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8"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9"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0"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28051A7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3066429</wp:posOffset>
                </wp:positionH>
                <wp:positionV relativeFrom="paragraph">
                  <wp:posOffset>262498</wp:posOffset>
                </wp:positionV>
                <wp:extent cx="0" cy="3482975"/>
                <wp:effectExtent l="25400" t="0" r="25400" b="349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829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45pt,20.65pt" to="241.45pt,294.9pt" strokecolor="white" strokeweight="4pt"/>
            </w:pict>
          </mc:Fallback>
        </mc:AlternateContent>
      </w:r>
      <w:r w:rsidR="003C4367">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143292</wp:posOffset>
                </wp:positionH>
                <wp:positionV relativeFrom="paragraph">
                  <wp:posOffset>1933916</wp:posOffset>
                </wp:positionV>
                <wp:extent cx="2794232" cy="0"/>
                <wp:effectExtent l="12700" t="12700" r="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94232"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2" style="flip:x;mso-height-percent:0;mso-height-relative:margin;mso-width-percent:0;mso-width-relative:margin;mso-wrap-distance-bottom:0;mso-wrap-distance-left:9pt;mso-wrap-distance-right:9pt;mso-wrap-distance-top:0;mso-wrap-style:square;position:absolute;visibility:visible;z-index:251669504" from="11.3pt,152.3pt" to="231.3pt,152.3pt" strokecolor="white" strokeweight="1.5pt"/>
            </w:pict>
          </mc:Fallback>
        </mc:AlternateContent>
      </w:r>
      <w:r w:rsidRPr="0030415A" w:rsidR="00DD4253">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-84455</wp:posOffset>
                </wp:positionH>
                <wp:positionV relativeFrom="paragraph">
                  <wp:posOffset>347980</wp:posOffset>
                </wp:positionV>
                <wp:extent cx="4558665" cy="4273550"/>
                <wp:effectExtent l="0" t="0" r="63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866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3171CA" w14:textId="5595516E">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EC6EA8" w:rsidR="00EC6EA8">
                              <w:rPr>
                                <w:rtl/>
                              </w:rPr>
                              <w:t xml:space="preserve">נובמבר </w:t>
                            </w:r>
                            <w:r>
                              <w:rPr>
                                <w:rFonts w:hint="cs"/>
                                <w:rtl/>
                              </w:rPr>
                              <w:t xml:space="preserve">2022 </w:t>
                            </w:r>
                          </w:p>
                          <w:p w:rsidR="00F73EE0" w:rsidP="0052031E" w14:textId="4F5A48BD">
                            <w:pPr>
                              <w:ind w:left="2268"/>
                              <w:rPr>
                                <w:rtl/>
                              </w:rPr>
                            </w:pPr>
                          </w:p>
                          <w:p w:rsidR="00F01B25" w:rsidP="0052031E" w14:textId="77777777">
                            <w:pPr>
                              <w:ind w:left="2268"/>
                              <w:rPr>
                                <w:rtl/>
                              </w:rPr>
                            </w:pPr>
                          </w:p>
                          <w:p w:rsidR="00F73EE0" w:rsidP="0052031E" w14:textId="77777777">
                            <w:pPr>
                              <w:ind w:left="2268"/>
                              <w:rPr>
                                <w:rtl/>
                              </w:rPr>
                            </w:pPr>
                          </w:p>
                          <w:p w:rsidR="005D0F8C" w:rsidRPr="000A3ED4" w:rsidP="00AB44A1" w14:textId="1EEBB9B6">
                            <w:pPr>
                              <w:pStyle w:val="-2"/>
                              <w:rPr>
                                <w:rtl/>
                              </w:rPr>
                            </w:pPr>
                            <w:r>
                              <w:rPr>
                                <w:rFonts w:hint="cs"/>
                                <w:rtl/>
                              </w:rPr>
                              <w:t>חברת תשתיות אנרגיה</w:t>
                            </w:r>
                            <w:r w:rsidR="003756AE">
                              <w:rPr>
                                <w:rFonts w:hint="cs"/>
                                <w:rtl/>
                              </w:rPr>
                              <w:t xml:space="preserve"> בע״מ</w:t>
                            </w:r>
                            <w:r w:rsidR="00C30482">
                              <w:rPr>
                                <w:rFonts w:hint="cs"/>
                                <w:rtl/>
                              </w:rPr>
                              <w:t xml:space="preserve"> </w:t>
                            </w:r>
                          </w:p>
                          <w:p w:rsidR="00C30482" w:rsidRPr="00AB44A1" w:rsidP="00337020" w14:textId="464AA095">
                            <w:pPr>
                              <w:pStyle w:val="a36"/>
                              <w:bidi/>
                              <w:spacing w:before="120"/>
                              <w:rPr>
                                <w:rtl/>
                              </w:rPr>
                            </w:pPr>
                            <w:r w:rsidRPr="00DD4253">
                              <w:rPr>
                                <w:rtl/>
                              </w:rPr>
                              <w:t xml:space="preserve">חברת תשתיות אנרגיה בע"מ - </w:t>
                            </w:r>
                            <w:r>
                              <w:rPr>
                                <w:rtl/>
                              </w:rPr>
                              <w:br/>
                            </w:r>
                            <w:r w:rsidRPr="00DD4253">
                              <w:rPr>
                                <w:rtl/>
                              </w:rPr>
                              <w:t>ביקורת פיננסית</w:t>
                            </w:r>
                            <w:r>
                              <w:rPr>
                                <w:rFonts w:hint="cs"/>
                                <w:rtl/>
                              </w:rPr>
                              <w:t xml:space="preserve"> </w:t>
                            </w:r>
                          </w:p>
                          <w:p w:rsidR="00DD4253" w:rsidRPr="00AB44A1" w:rsidP="00AB44A1" w14:textId="77777777">
                            <w:pPr>
                              <w:pStyle w:val="a36"/>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width:358.95pt;height:336.5pt;margin-top:27.4pt;margin-left:-6.6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3171CA" w14:paraId="6680A7A9" w14:textId="5595516E">
                      <w:pPr>
                        <w:pStyle w:val="a3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Pr="00EC6EA8" w:rsidR="00EC6EA8">
                        <w:rPr>
                          <w:rtl/>
                        </w:rPr>
                        <w:t xml:space="preserve">נובמבר </w:t>
                      </w:r>
                      <w:r>
                        <w:rPr>
                          <w:rFonts w:hint="cs"/>
                          <w:rtl/>
                        </w:rPr>
                        <w:t xml:space="preserve">2022 </w:t>
                      </w:r>
                    </w:p>
                    <w:p w:rsidR="00F73EE0" w:rsidP="0052031E" w14:paraId="7A4F68DA" w14:textId="4F5A48BD">
                      <w:pPr>
                        <w:ind w:left="2268"/>
                        <w:rPr>
                          <w:rtl/>
                        </w:rPr>
                      </w:pPr>
                    </w:p>
                    <w:p w:rsidR="00F01B25" w:rsidP="0052031E" w14:paraId="55A55087" w14:textId="77777777">
                      <w:pPr>
                        <w:ind w:left="2268"/>
                        <w:rPr>
                          <w:rtl/>
                        </w:rPr>
                      </w:pPr>
                    </w:p>
                    <w:p w:rsidR="00F73EE0" w:rsidP="0052031E" w14:paraId="537675A5" w14:textId="77777777">
                      <w:pPr>
                        <w:ind w:left="2268"/>
                        <w:rPr>
                          <w:rtl/>
                        </w:rPr>
                      </w:pPr>
                    </w:p>
                    <w:p w:rsidR="005D0F8C" w:rsidRPr="000A3ED4" w:rsidP="00AB44A1" w14:paraId="361EED1E" w14:textId="1EEBB9B6">
                      <w:pPr>
                        <w:pStyle w:val="-2"/>
                        <w:rPr>
                          <w:rtl/>
                        </w:rPr>
                      </w:pPr>
                      <w:r>
                        <w:rPr>
                          <w:rFonts w:hint="cs"/>
                          <w:rtl/>
                        </w:rPr>
                        <w:t>חברת תשתיות אנרגיה</w:t>
                      </w:r>
                      <w:r w:rsidR="003756AE">
                        <w:rPr>
                          <w:rFonts w:hint="cs"/>
                          <w:rtl/>
                        </w:rPr>
                        <w:t xml:space="preserve"> בע״מ</w:t>
                      </w:r>
                      <w:r w:rsidR="00C30482">
                        <w:rPr>
                          <w:rFonts w:hint="cs"/>
                          <w:rtl/>
                        </w:rPr>
                        <w:t xml:space="preserve"> </w:t>
                      </w:r>
                    </w:p>
                    <w:p w:rsidR="00C30482" w:rsidRPr="00AB44A1" w:rsidP="00337020" w14:paraId="5BE5E625" w14:textId="464AA095">
                      <w:pPr>
                        <w:pStyle w:val="a36"/>
                        <w:bidi/>
                        <w:spacing w:before="120"/>
                        <w:rPr>
                          <w:rtl/>
                        </w:rPr>
                      </w:pPr>
                      <w:r w:rsidRPr="00DD4253">
                        <w:rPr>
                          <w:rtl/>
                        </w:rPr>
                        <w:t xml:space="preserve">חברת תשתיות אנרגיה בע"מ - </w:t>
                      </w:r>
                      <w:r>
                        <w:rPr>
                          <w:rtl/>
                        </w:rPr>
                        <w:br/>
                      </w:r>
                      <w:r w:rsidRPr="00DD4253">
                        <w:rPr>
                          <w:rtl/>
                        </w:rPr>
                        <w:t>ביקורת פיננסית</w:t>
                      </w:r>
                      <w:r>
                        <w:rPr>
                          <w:rFonts w:hint="cs"/>
                          <w:rtl/>
                        </w:rPr>
                        <w:t xml:space="preserve"> </w:t>
                      </w:r>
                    </w:p>
                    <w:p w:rsidR="00DD4253" w:rsidRPr="00AB44A1" w:rsidP="00AB44A1" w14:paraId="37FF3B89" w14:textId="77777777">
                      <w:pPr>
                        <w:pStyle w:val="a36"/>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821EB8">
          <w:headerReference w:type="even" r:id="rId18"/>
          <w:pgSz w:w="11906" w:h="16838" w:code="9"/>
          <w:pgMar w:top="3062" w:right="2268" w:bottom="2552" w:left="2268" w:header="709" w:footer="709" w:gutter="0"/>
          <w:cols w:space="720"/>
          <w:bidi/>
          <w:rtlGutter/>
          <w:docGrid w:linePitch="272"/>
        </w:sectPr>
      </w:pPr>
    </w:p>
    <w:p w:rsidR="00B93C72" w:rsidRPr="001F3363" w:rsidP="00AD104F" w14:paraId="4ED3AA37" w14:textId="46970D1E">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586851">
        <w:rPr>
          <w:noProof/>
          <w:rtl/>
        </w:rPr>
        <mc:AlternateContent>
          <mc:Choice Requires="wps">
            <w:drawing>
              <wp:anchor distT="0" distB="0" distL="114300" distR="114300" simplePos="0" relativeHeight="251675648" behindDoc="0" locked="0" layoutInCell="1" allowOverlap="1">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5"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DD4253" w:rsidR="00DD4253">
        <w:rPr>
          <w:noProof/>
          <w:rtl/>
        </w:rPr>
        <w:t xml:space="preserve">חברת תשתיות אנרגיה בע"מ - </w:t>
      </w:r>
      <w:r w:rsidR="00AD104F">
        <w:rPr>
          <w:noProof/>
          <w:rtl/>
        </w:rPr>
        <w:br/>
      </w:r>
      <w:r w:rsidRPr="00DD4253" w:rsidR="00DD4253">
        <w:rPr>
          <w:noProof/>
          <w:rtl/>
        </w:rPr>
        <w:t>ביקורת פיננסית</w:t>
      </w:r>
      <w:r w:rsidR="00DD4253">
        <w:rPr>
          <w:rFonts w:hint="cs"/>
          <w:rtl/>
        </w:rPr>
        <w:t xml:space="preserve"> </w:t>
      </w:r>
    </w:p>
    <w:p w:rsidR="007F4A20" w:rsidP="007F4A20" w14:paraId="0B41EED6" w14:textId="316B4A2C">
      <w:pPr>
        <w:pStyle w:val="7392"/>
        <w:spacing w:before="360"/>
        <w:rPr>
          <w:rtl/>
        </w:rPr>
      </w:pPr>
      <w:r w:rsidRPr="005F717F">
        <w:rPr>
          <w:rtl/>
        </w:rPr>
        <w:t xml:space="preserve">מוצרי הדלק חיוניים לפעילות התקינה של המשק כולו, ויש להם כיום תפקיד מרכזי בפיתוחו של המשק ובצמיחתו הכלכלית. חברת תשתיות </w:t>
      </w:r>
      <w:r w:rsidRPr="005F717F">
        <w:rPr>
          <w:rtl/>
        </w:rPr>
        <w:t>אנרגייה</w:t>
      </w:r>
      <w:r w:rsidRPr="005F717F">
        <w:rPr>
          <w:rtl/>
        </w:rPr>
        <w:t xml:space="preserve"> בע"מ (להלן - תש"א או החברה)</w:t>
      </w:r>
      <w:r>
        <w:rPr>
          <w:vertAlign w:val="superscript"/>
          <w:rtl/>
        </w:rPr>
        <w:footnoteReference w:id="2"/>
      </w:r>
      <w:r w:rsidRPr="005F717F">
        <w:rPr>
          <w:rtl/>
        </w:rPr>
        <w:t xml:space="preserve"> היא חברה ממשלתית בבעלות מלאה של המדינה, שהוקמה כדי לספק את צורכי משק הדלק, לרבות אחסון, הזרמה ואספקה של מוצרי דלק. תש"א עוסקת בפעילות זו עם חברת הבת שלה - קו מוצרי דלק בע"מ (להלן - חברת קמ"ד). תש"א נוסדה בשנת 1959, ואליה הועברו הזכויות והנכסים של חברת הנפט העיראקית. חברת הנפט העיראקית קיבלה זיכיון של 70 שנה מהמנדט הבריטי, וזיכיון זה הוכר על ידי מדינת ישראל. הזיכיון פג בתחילת שנת 2001. מאז פג הזיכיון ועד יוני 2022 לא חתמו המדינה והחברה על הסכם הפעלה המגדיר את הנכסים שיישארו בידי החברה, הנכסים שיוחזרו למדינה, הסדרי המיסוי, הסדרי תשלום התמלוגים (להלן - דמי שימוש), הסדרי הבעלות על מקרקעין וסוגיות אחרות החיוניות להמשך פעילות החברה</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237"/>
        <w:gridCol w:w="1530"/>
        <w:gridCol w:w="237"/>
        <w:gridCol w:w="1697"/>
        <w:gridCol w:w="268"/>
        <w:gridCol w:w="1686"/>
      </w:tblGrid>
      <w:tr w14:paraId="58B4726B" w14:textId="77777777" w:rsidTr="0091287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3" w:type="pct"/>
            <w:tcBorders>
              <w:bottom w:val="single" w:sz="12" w:space="0" w:color="000000"/>
            </w:tcBorders>
            <w:vAlign w:val="bottom"/>
          </w:tcPr>
          <w:p w:rsidR="00420374" w:rsidRPr="004562F8" w:rsidP="00912879" w14:paraId="23EB689E" w14:textId="7E6DF13B">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800</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hint="cs"/>
                <w:b/>
                <w:bCs/>
                <w:color w:val="0D0D0D" w:themeColor="text1" w:themeTint="F2"/>
                <w:spacing w:val="-10"/>
                <w:sz w:val="26"/>
                <w:szCs w:val="26"/>
                <w:rtl/>
              </w:rPr>
              <w:t>ק״מ</w:t>
            </w:r>
          </w:p>
        </w:tc>
        <w:tc>
          <w:tcPr>
            <w:tcW w:w="161" w:type="pct"/>
            <w:vAlign w:val="bottom"/>
          </w:tcPr>
          <w:p w:rsidR="00420374" w:rsidP="00912879" w14:paraId="19192EA5" w14:textId="77777777">
            <w:pPr>
              <w:spacing w:before="120" w:after="60" w:line="240" w:lineRule="auto"/>
              <w:rPr>
                <w:rtl/>
              </w:rPr>
            </w:pPr>
          </w:p>
        </w:tc>
        <w:tc>
          <w:tcPr>
            <w:tcW w:w="1038" w:type="pct"/>
            <w:tcBorders>
              <w:bottom w:val="single" w:sz="12" w:space="0" w:color="000000"/>
            </w:tcBorders>
            <w:vAlign w:val="bottom"/>
          </w:tcPr>
          <w:p w:rsidR="00420374" w:rsidRPr="005C7ABF" w:rsidP="00912879" w14:paraId="761F4116" w14:textId="64CA6E78">
            <w:pPr>
              <w:pStyle w:val="2021"/>
              <w:spacing w:before="0" w:after="60"/>
              <w:rPr>
                <w:spacing w:val="-10"/>
                <w:rtl/>
              </w:rPr>
            </w:pPr>
            <w:r>
              <w:rPr>
                <w:rFonts w:hint="cs"/>
                <w:spacing w:val="-10"/>
                <w:rtl/>
              </w:rPr>
              <w:t>1</w:t>
            </w:r>
            <w:r>
              <w:rPr>
                <w:rFonts w:hint="cs"/>
                <w:spacing w:val="-10"/>
                <w:rtl/>
              </w:rPr>
              <w:t>.</w:t>
            </w:r>
            <w:r>
              <w:rPr>
                <w:rFonts w:hint="cs"/>
                <w:spacing w:val="-10"/>
                <w:rtl/>
              </w:rPr>
              <w:t>37</w:t>
            </w:r>
            <w:r>
              <w:rPr>
                <w:rFonts w:hint="cs"/>
                <w:spacing w:val="-10"/>
                <w:rtl/>
              </w:rPr>
              <w:t xml:space="preserve"> </w:t>
            </w:r>
            <w:r w:rsidRPr="00411396">
              <w:rPr>
                <w:rFonts w:hint="cs"/>
                <w:spacing w:val="-10"/>
                <w:sz w:val="26"/>
                <w:szCs w:val="26"/>
                <w:rtl/>
              </w:rPr>
              <w:t>מיליארד ש״ח</w:t>
            </w:r>
          </w:p>
        </w:tc>
        <w:tc>
          <w:tcPr>
            <w:tcW w:w="161" w:type="pct"/>
            <w:vAlign w:val="bottom"/>
          </w:tcPr>
          <w:p w:rsidR="00420374" w:rsidRPr="00DD4253" w:rsidP="00912879" w14:paraId="2810DE55" w14:textId="77777777">
            <w:pPr>
              <w:spacing w:before="120" w:after="60" w:line="240" w:lineRule="auto"/>
              <w:rPr>
                <w:rFonts w:ascii="Tahoma" w:hAnsi="Tahoma" w:eastAsiaTheme="minorEastAsia" w:cs="Tahoma"/>
                <w:b/>
                <w:bCs/>
                <w:color w:val="0D0D0D" w:themeColor="text1" w:themeTint="F2"/>
                <w:spacing w:val="-10"/>
                <w:sz w:val="36"/>
                <w:szCs w:val="36"/>
                <w:rtl/>
              </w:rPr>
            </w:pPr>
          </w:p>
        </w:tc>
        <w:tc>
          <w:tcPr>
            <w:tcW w:w="1151" w:type="pct"/>
            <w:tcBorders>
              <w:bottom w:val="single" w:sz="12" w:space="0" w:color="000000"/>
            </w:tcBorders>
            <w:vAlign w:val="bottom"/>
          </w:tcPr>
          <w:p w:rsidR="00420374" w:rsidRPr="00DD4253" w:rsidP="00912879" w14:paraId="2A2E27BD" w14:textId="0F10B1BA">
            <w:pPr>
              <w:pStyle w:val="2021"/>
              <w:spacing w:before="0" w:after="60"/>
              <w:rPr>
                <w:spacing w:val="-10"/>
                <w:rtl/>
              </w:rPr>
            </w:pPr>
            <w:r w:rsidRPr="00DD4253">
              <w:rPr>
                <w:rFonts w:hint="cs"/>
                <w:spacing w:val="-10"/>
                <w:rtl/>
              </w:rPr>
              <w:t>0</w:t>
            </w:r>
            <w:r>
              <w:rPr>
                <w:rFonts w:hint="cs"/>
                <w:spacing w:val="-10"/>
                <w:rtl/>
              </w:rPr>
              <w:t xml:space="preserve"> </w:t>
            </w:r>
            <w:r w:rsidRPr="00DD4253">
              <w:rPr>
                <w:rFonts w:hint="cs"/>
                <w:spacing w:val="-10"/>
                <w:sz w:val="26"/>
                <w:szCs w:val="26"/>
                <w:rtl/>
              </w:rPr>
              <w:t>ש״ח</w:t>
            </w:r>
          </w:p>
        </w:tc>
        <w:tc>
          <w:tcPr>
            <w:tcW w:w="182" w:type="pct"/>
          </w:tcPr>
          <w:p w:rsidR="00420374" w:rsidP="00912879" w14:paraId="47B754BA" w14:textId="77777777">
            <w:pPr>
              <w:pStyle w:val="2021"/>
              <w:spacing w:before="0" w:after="60"/>
              <w:rPr>
                <w:spacing w:val="-10"/>
                <w:rtl/>
              </w:rPr>
            </w:pPr>
          </w:p>
        </w:tc>
        <w:tc>
          <w:tcPr>
            <w:tcW w:w="1145" w:type="pct"/>
            <w:tcBorders>
              <w:bottom w:val="single" w:sz="12" w:space="0" w:color="000000"/>
            </w:tcBorders>
            <w:vAlign w:val="bottom"/>
          </w:tcPr>
          <w:p w:rsidR="00420374" w:rsidP="00912879" w14:paraId="5F3A3FF5" w14:textId="7A15DB76">
            <w:pPr>
              <w:pStyle w:val="2021"/>
              <w:spacing w:before="0" w:after="60"/>
              <w:rPr>
                <w:spacing w:val="-10"/>
                <w:rtl/>
              </w:rPr>
            </w:pPr>
            <w:r>
              <w:rPr>
                <w:rFonts w:hint="cs"/>
                <w:spacing w:val="-10"/>
                <w:rtl/>
              </w:rPr>
              <w:t>15</w:t>
            </w:r>
            <w:r>
              <w:rPr>
                <w:rFonts w:hint="cs"/>
                <w:spacing w:val="-10"/>
                <w:rtl/>
              </w:rPr>
              <w:t xml:space="preserve">% </w:t>
            </w:r>
          </w:p>
        </w:tc>
      </w:tr>
      <w:tr w14:paraId="6DFAF81C" w14:textId="77777777" w:rsidTr="00912879">
        <w:tblPrEx>
          <w:tblW w:w="5000" w:type="pct"/>
          <w:tblLook w:val="04A0"/>
        </w:tblPrEx>
        <w:tc>
          <w:tcPr>
            <w:tcW w:w="1163" w:type="pct"/>
            <w:tcBorders>
              <w:top w:val="single" w:sz="12" w:space="0" w:color="000000"/>
            </w:tcBorders>
          </w:tcPr>
          <w:p w:rsidR="00420374" w:rsidRPr="00E52143" w:rsidP="00937056" w14:paraId="1D96599A" w14:textId="15A25FE8">
            <w:pPr>
              <w:pStyle w:val="732021"/>
              <w:spacing w:before="0"/>
              <w:rPr>
                <w:rtl/>
              </w:rPr>
            </w:pPr>
            <w:r w:rsidRPr="005F717F">
              <w:rPr>
                <w:rtl/>
              </w:rPr>
              <w:t>אורך הצינורות להזרמת דלק גולמי ותזקיקי דלק</w:t>
            </w:r>
          </w:p>
        </w:tc>
        <w:tc>
          <w:tcPr>
            <w:tcW w:w="161" w:type="pct"/>
          </w:tcPr>
          <w:p w:rsidR="00420374" w:rsidRPr="00E52143" w:rsidP="00937056" w14:paraId="2BF81D8C" w14:textId="77777777">
            <w:pPr>
              <w:pStyle w:val="732021"/>
              <w:spacing w:before="0"/>
              <w:rPr>
                <w:rtl/>
              </w:rPr>
            </w:pPr>
          </w:p>
        </w:tc>
        <w:tc>
          <w:tcPr>
            <w:tcW w:w="1038" w:type="pct"/>
            <w:tcBorders>
              <w:top w:val="single" w:sz="12" w:space="0" w:color="000000"/>
            </w:tcBorders>
          </w:tcPr>
          <w:p w:rsidR="00DD4253" w:rsidRPr="005F717F" w:rsidP="00DD4253" w14:paraId="776CD36C" w14:textId="77777777">
            <w:pPr>
              <w:pStyle w:val="732021"/>
              <w:spacing w:before="0"/>
              <w:rPr>
                <w:rtl/>
              </w:rPr>
            </w:pPr>
            <w:r w:rsidRPr="005F717F">
              <w:rPr>
                <w:rtl/>
              </w:rPr>
              <w:t>יתרת העודפים והקרנות של החברה הראויים לחלוקה, נכון ל-31.12.20</w:t>
            </w:r>
          </w:p>
          <w:p w:rsidR="00420374" w:rsidRPr="00E52143" w:rsidP="00937056" w14:paraId="68924AF7" w14:textId="7EFAD290">
            <w:pPr>
              <w:pStyle w:val="732021"/>
              <w:spacing w:before="0"/>
              <w:rPr>
                <w:rtl/>
              </w:rPr>
            </w:pPr>
          </w:p>
        </w:tc>
        <w:tc>
          <w:tcPr>
            <w:tcW w:w="161" w:type="pct"/>
          </w:tcPr>
          <w:p w:rsidR="00420374" w:rsidRPr="00E52143" w:rsidP="00937056" w14:paraId="4F52CE08" w14:textId="77777777">
            <w:pPr>
              <w:pStyle w:val="732021"/>
              <w:spacing w:before="0"/>
              <w:rPr>
                <w:rtl/>
              </w:rPr>
            </w:pPr>
          </w:p>
        </w:tc>
        <w:tc>
          <w:tcPr>
            <w:tcW w:w="1151" w:type="pct"/>
            <w:tcBorders>
              <w:top w:val="single" w:sz="12" w:space="0" w:color="000000"/>
            </w:tcBorders>
          </w:tcPr>
          <w:p w:rsidR="00420374" w:rsidRPr="00E52143" w:rsidP="00937056" w14:paraId="203F9568" w14:textId="166A39BD">
            <w:pPr>
              <w:pStyle w:val="732021"/>
              <w:spacing w:before="0"/>
              <w:rPr>
                <w:rtl/>
              </w:rPr>
            </w:pPr>
            <w:r w:rsidRPr="005F717F">
              <w:rPr>
                <w:rtl/>
              </w:rPr>
              <w:t>הדיבידנדים שהחברה העבירה למדינה בגין השנים 2017 עד 2021</w:t>
            </w:r>
          </w:p>
        </w:tc>
        <w:tc>
          <w:tcPr>
            <w:tcW w:w="182" w:type="pct"/>
          </w:tcPr>
          <w:p w:rsidR="00420374" w:rsidRPr="00E52143" w:rsidP="00937056" w14:paraId="42538096" w14:textId="77777777">
            <w:pPr>
              <w:pStyle w:val="732021"/>
              <w:spacing w:before="0"/>
              <w:rPr>
                <w:rtl/>
              </w:rPr>
            </w:pPr>
          </w:p>
        </w:tc>
        <w:tc>
          <w:tcPr>
            <w:tcW w:w="1145" w:type="pct"/>
            <w:tcBorders>
              <w:top w:val="single" w:sz="12" w:space="0" w:color="000000"/>
            </w:tcBorders>
          </w:tcPr>
          <w:p w:rsidR="00420374" w:rsidRPr="00E52143" w:rsidP="00937056" w14:paraId="1878D11D" w14:textId="3FB88B0E">
            <w:pPr>
              <w:pStyle w:val="732021"/>
              <w:spacing w:before="0"/>
              <w:rPr>
                <w:rtl/>
              </w:rPr>
            </w:pPr>
            <w:r w:rsidRPr="005F717F">
              <w:rPr>
                <w:rtl/>
              </w:rPr>
              <w:t>שיעור הרווח הנקי בממוצע לשנים</w:t>
            </w:r>
            <w:r>
              <w:rPr>
                <w:rtl/>
              </w:rPr>
              <w:br/>
            </w:r>
            <w:r w:rsidRPr="005F717F">
              <w:rPr>
                <w:rtl/>
              </w:rPr>
              <w:t xml:space="preserve">2018 - 2020. זאת לעומת רווח נקי של 2% בממוצע באותן השנים בחברות </w:t>
            </w:r>
            <w:r w:rsidRPr="005F717F">
              <w:rPr>
                <w:rtl/>
              </w:rPr>
              <w:br/>
              <w:t>בין-לאומיות בענף שבו פועלת החברה</w:t>
            </w:r>
          </w:p>
        </w:tc>
      </w:tr>
      <w:tr w14:paraId="1BD5A20C" w14:textId="77777777" w:rsidTr="00912879">
        <w:tblPrEx>
          <w:tblW w:w="5000" w:type="pct"/>
          <w:tblLook w:val="04A0"/>
        </w:tblPrEx>
        <w:tc>
          <w:tcPr>
            <w:tcW w:w="1163" w:type="pct"/>
            <w:tcBorders>
              <w:bottom w:val="single" w:sz="12" w:space="0" w:color="000000"/>
            </w:tcBorders>
            <w:vAlign w:val="bottom"/>
          </w:tcPr>
          <w:p w:rsidR="00420374" w:rsidRPr="00411396" w:rsidP="00912879" w14:paraId="500D3B50" w14:textId="7C039B78">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350 </w:t>
            </w:r>
            <w:r>
              <w:rPr>
                <w:rFonts w:ascii="Tahoma" w:hAnsi="Tahoma" w:eastAsiaTheme="minorEastAsia" w:cs="Tahoma"/>
                <w:b/>
                <w:bCs/>
                <w:color w:val="0D0D0D" w:themeColor="text1" w:themeTint="F2"/>
                <w:spacing w:val="-10"/>
                <w:sz w:val="26"/>
                <w:szCs w:val="26"/>
                <w:rtl/>
              </w:rPr>
              <w:br/>
            </w:r>
            <w:r w:rsidRPr="00DD4253">
              <w:rPr>
                <w:rFonts w:ascii="Tahoma" w:hAnsi="Tahoma" w:eastAsiaTheme="minorEastAsia" w:cs="Tahoma" w:hint="cs"/>
                <w:b/>
                <w:bCs/>
                <w:color w:val="0D0D0D" w:themeColor="text1" w:themeTint="F2"/>
                <w:spacing w:val="-10"/>
                <w:sz w:val="26"/>
                <w:szCs w:val="26"/>
                <w:rtl/>
              </w:rPr>
              <w:t>מיליון ש״ח</w:t>
            </w:r>
          </w:p>
        </w:tc>
        <w:tc>
          <w:tcPr>
            <w:tcW w:w="161" w:type="pct"/>
            <w:vAlign w:val="bottom"/>
          </w:tcPr>
          <w:p w:rsidR="00420374" w:rsidRPr="00E52143" w:rsidP="00912879"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cBorders>
            <w:vAlign w:val="bottom"/>
          </w:tcPr>
          <w:p w:rsidR="00420374" w:rsidRPr="008D750B" w:rsidP="00912879" w14:paraId="48896DF7" w14:textId="7B108D1D">
            <w:pPr>
              <w:pStyle w:val="2021"/>
              <w:spacing w:before="0" w:after="60"/>
              <w:rPr>
                <w:spacing w:val="-10"/>
                <w:rtl/>
              </w:rPr>
            </w:pPr>
            <w:r>
              <w:rPr>
                <w:rFonts w:hint="cs"/>
                <w:spacing w:val="-10"/>
                <w:rtl/>
              </w:rPr>
              <w:t xml:space="preserve">316 </w:t>
            </w:r>
            <w:r w:rsidRPr="00DD4253">
              <w:rPr>
                <w:rFonts w:hint="cs"/>
                <w:spacing w:val="-10"/>
                <w:sz w:val="26"/>
                <w:szCs w:val="26"/>
                <w:rtl/>
              </w:rPr>
              <w:t>מיליון ש״ח</w:t>
            </w:r>
          </w:p>
        </w:tc>
        <w:tc>
          <w:tcPr>
            <w:tcW w:w="161" w:type="pct"/>
            <w:vAlign w:val="bottom"/>
          </w:tcPr>
          <w:p w:rsidR="00420374" w:rsidP="00912879" w14:paraId="5B4C8A80" w14:textId="77777777">
            <w:pPr>
              <w:spacing w:after="60" w:line="240" w:lineRule="auto"/>
              <w:jc w:val="left"/>
              <w:rPr>
                <w:rtl/>
              </w:rPr>
            </w:pPr>
          </w:p>
        </w:tc>
        <w:tc>
          <w:tcPr>
            <w:tcW w:w="1151" w:type="pct"/>
            <w:tcBorders>
              <w:bottom w:val="single" w:sz="12" w:space="0" w:color="000000"/>
            </w:tcBorders>
            <w:vAlign w:val="bottom"/>
          </w:tcPr>
          <w:p w:rsidR="00420374" w:rsidP="00912879" w14:paraId="529A8F7C" w14:textId="77777777">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216 </w:t>
            </w:r>
            <w:r>
              <w:rPr>
                <w:rFonts w:ascii="Tahoma" w:hAnsi="Tahoma" w:eastAsiaTheme="minorEastAsia" w:cs="Tahoma" w:hint="cs"/>
                <w:b/>
                <w:bCs/>
                <w:color w:val="0D0D0D" w:themeColor="text1" w:themeTint="F2"/>
                <w:spacing w:val="-10"/>
                <w:sz w:val="36"/>
                <w:szCs w:val="36"/>
                <w:rtl/>
              </w:rPr>
              <w:t>-</w:t>
            </w:r>
            <w:r>
              <w:rPr>
                <w:rFonts w:ascii="Tahoma" w:hAnsi="Tahoma" w:eastAsiaTheme="minorEastAsia" w:cs="Tahoma"/>
                <w:b/>
                <w:bCs/>
                <w:color w:val="0D0D0D" w:themeColor="text1" w:themeTint="F2"/>
                <w:spacing w:val="-10"/>
                <w:sz w:val="36"/>
                <w:szCs w:val="36"/>
                <w:rtl/>
              </w:rPr>
              <w:br/>
            </w:r>
            <w:r>
              <w:rPr>
                <w:rFonts w:ascii="Tahoma" w:hAnsi="Tahoma" w:eastAsiaTheme="minorEastAsia" w:cs="Tahoma" w:hint="cs"/>
                <w:b/>
                <w:bCs/>
                <w:color w:val="0D0D0D" w:themeColor="text1" w:themeTint="F2"/>
                <w:spacing w:val="-10"/>
                <w:sz w:val="36"/>
                <w:szCs w:val="36"/>
                <w:rtl/>
              </w:rPr>
              <w:t>659</w:t>
            </w:r>
          </w:p>
          <w:p w:rsidR="00DD4253" w:rsidRPr="0062456C" w:rsidP="00912879" w14:paraId="226A2E50" w14:textId="5C3317F9">
            <w:pPr>
              <w:spacing w:after="60" w:line="192" w:lineRule="auto"/>
              <w:jc w:val="left"/>
              <w:rPr>
                <w:rFonts w:ascii="Tahoma" w:hAnsi="Tahoma" w:eastAsiaTheme="minorEastAsia" w:cs="Tahoma"/>
                <w:b/>
                <w:bCs/>
                <w:color w:val="0D0D0D" w:themeColor="text1" w:themeTint="F2"/>
                <w:spacing w:val="-10"/>
                <w:sz w:val="36"/>
                <w:szCs w:val="36"/>
                <w:rtl/>
              </w:rPr>
            </w:pPr>
            <w:r w:rsidRPr="00DD4253">
              <w:rPr>
                <w:rFonts w:ascii="Tahoma" w:hAnsi="Tahoma" w:eastAsiaTheme="minorEastAsia" w:cs="Tahoma" w:hint="cs"/>
                <w:b/>
                <w:bCs/>
                <w:color w:val="0D0D0D" w:themeColor="text1" w:themeTint="F2"/>
                <w:spacing w:val="-10"/>
                <w:sz w:val="26"/>
                <w:szCs w:val="26"/>
                <w:rtl/>
              </w:rPr>
              <w:t>מיליון ש״ח</w:t>
            </w:r>
          </w:p>
        </w:tc>
        <w:tc>
          <w:tcPr>
            <w:tcW w:w="182" w:type="pct"/>
          </w:tcPr>
          <w:p w:rsidR="00420374" w:rsidP="00912879"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5" w:type="pct"/>
            <w:tcBorders>
              <w:bottom w:val="single" w:sz="12" w:space="0" w:color="000000"/>
            </w:tcBorders>
            <w:vAlign w:val="bottom"/>
          </w:tcPr>
          <w:p w:rsidR="00420374" w:rsidP="00912879" w14:paraId="5AEEF263" w14:textId="54902332">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20</w:t>
            </w:r>
            <w:r w:rsidRPr="00DD4253">
              <w:rPr>
                <w:rFonts w:ascii="Tahoma" w:hAnsi="Tahoma" w:eastAsiaTheme="minorEastAsia" w:cs="Tahoma" w:hint="cs"/>
                <w:b/>
                <w:bCs/>
                <w:color w:val="0D0D0D" w:themeColor="text1" w:themeTint="F2"/>
                <w:spacing w:val="-10"/>
                <w:sz w:val="26"/>
                <w:szCs w:val="26"/>
                <w:rtl/>
              </w:rPr>
              <w:t xml:space="preserve"> שנה</w:t>
            </w:r>
          </w:p>
        </w:tc>
      </w:tr>
      <w:tr w14:paraId="54154FA5" w14:textId="77777777" w:rsidTr="00912879">
        <w:tblPrEx>
          <w:tblW w:w="5000" w:type="pct"/>
          <w:tblLook w:val="04A0"/>
        </w:tblPrEx>
        <w:tc>
          <w:tcPr>
            <w:tcW w:w="1163" w:type="pct"/>
            <w:tcBorders>
              <w:top w:val="single" w:sz="12" w:space="0" w:color="000000"/>
            </w:tcBorders>
          </w:tcPr>
          <w:p w:rsidR="00420374" w:rsidRPr="004562F8" w:rsidP="00937056" w14:paraId="6DB67748" w14:textId="6DE52E69">
            <w:pPr>
              <w:pStyle w:val="732021"/>
              <w:spacing w:before="0" w:after="0"/>
              <w:rPr>
                <w:rtl/>
              </w:rPr>
            </w:pPr>
            <w:r w:rsidRPr="005F717F">
              <w:rPr>
                <w:rtl/>
              </w:rPr>
              <w:t>סכום שגויס בהנפקה של איגרות חוב מהגופים המוסדיים למימון תוכנית הרציפות התפקודית בשנת 2020</w:t>
            </w:r>
          </w:p>
        </w:tc>
        <w:tc>
          <w:tcPr>
            <w:tcW w:w="161" w:type="pct"/>
          </w:tcPr>
          <w:p w:rsidR="00420374" w:rsidRPr="008D750B" w:rsidP="00937056" w14:paraId="0C0AE598" w14:textId="77777777">
            <w:pPr>
              <w:pStyle w:val="732021"/>
              <w:spacing w:before="0" w:after="0"/>
              <w:rPr>
                <w:rtl/>
              </w:rPr>
            </w:pPr>
          </w:p>
        </w:tc>
        <w:tc>
          <w:tcPr>
            <w:tcW w:w="1038" w:type="pct"/>
            <w:tcBorders>
              <w:top w:val="single" w:sz="12" w:space="0" w:color="000000"/>
            </w:tcBorders>
          </w:tcPr>
          <w:p w:rsidR="00DD4253" w:rsidRPr="005F717F" w:rsidP="00DD4253" w14:paraId="38568984" w14:textId="77777777">
            <w:pPr>
              <w:pStyle w:val="732021"/>
              <w:spacing w:before="0"/>
              <w:rPr>
                <w:rtl/>
              </w:rPr>
            </w:pPr>
            <w:r w:rsidRPr="005F717F">
              <w:rPr>
                <w:rtl/>
              </w:rPr>
              <w:t>מחזור ההכנסות השנתי של תש"א בשנת 2020</w:t>
            </w:r>
          </w:p>
          <w:p w:rsidR="00420374" w:rsidRPr="004562F8" w:rsidP="00937056" w14:paraId="1916A301" w14:textId="481A69B8">
            <w:pPr>
              <w:pStyle w:val="732021"/>
              <w:spacing w:before="0" w:after="0"/>
              <w:rPr>
                <w:rtl/>
              </w:rPr>
            </w:pPr>
          </w:p>
        </w:tc>
        <w:tc>
          <w:tcPr>
            <w:tcW w:w="161" w:type="pct"/>
          </w:tcPr>
          <w:p w:rsidR="00420374" w:rsidP="00937056" w14:paraId="14782C57" w14:textId="77777777">
            <w:pPr>
              <w:pStyle w:val="732021"/>
              <w:spacing w:before="0" w:after="0"/>
              <w:rPr>
                <w:rtl/>
              </w:rPr>
            </w:pPr>
          </w:p>
        </w:tc>
        <w:tc>
          <w:tcPr>
            <w:tcW w:w="1151" w:type="pct"/>
            <w:tcBorders>
              <w:top w:val="single" w:sz="12" w:space="0" w:color="000000"/>
            </w:tcBorders>
          </w:tcPr>
          <w:p w:rsidR="00420374" w:rsidRPr="0062456C" w:rsidP="00937056" w14:paraId="6149CA50" w14:textId="2EAC90E7">
            <w:pPr>
              <w:pStyle w:val="732021"/>
              <w:spacing w:before="0" w:after="0"/>
              <w:rPr>
                <w:rtl/>
              </w:rPr>
            </w:pPr>
            <w:r w:rsidRPr="005F717F">
              <w:rPr>
                <w:rtl/>
              </w:rPr>
              <w:t xml:space="preserve">אומדן הנזק למשק </w:t>
            </w:r>
            <w:r w:rsidRPr="005F717F">
              <w:rPr>
                <w:rtl/>
              </w:rPr>
              <w:br/>
              <w:t>מאי-חתימה על הסכם הפעלה</w:t>
            </w:r>
            <w:r w:rsidRPr="0062254D">
              <w:rPr>
                <w:rFonts w:hint="cs"/>
                <w:rtl/>
              </w:rPr>
              <w:t xml:space="preserve"> </w:t>
            </w:r>
            <w:r w:rsidRPr="0062254D">
              <w:rPr>
                <w:rFonts w:hint="cs"/>
                <w:rtl/>
              </w:rPr>
              <w:t>2021</w:t>
            </w:r>
          </w:p>
        </w:tc>
        <w:tc>
          <w:tcPr>
            <w:tcW w:w="182" w:type="pct"/>
          </w:tcPr>
          <w:p w:rsidR="00420374" w:rsidRPr="00C92141" w:rsidP="00937056" w14:paraId="66E34E8E" w14:textId="77777777">
            <w:pPr>
              <w:pStyle w:val="732021"/>
              <w:spacing w:before="0" w:after="0"/>
              <w:rPr>
                <w:rtl/>
              </w:rPr>
            </w:pPr>
          </w:p>
        </w:tc>
        <w:tc>
          <w:tcPr>
            <w:tcW w:w="1145" w:type="pct"/>
            <w:tcBorders>
              <w:top w:val="single" w:sz="12" w:space="0" w:color="000000"/>
            </w:tcBorders>
          </w:tcPr>
          <w:p w:rsidR="00420374" w:rsidRPr="00C92141" w:rsidP="00937056" w14:paraId="39498237" w14:textId="39349836">
            <w:pPr>
              <w:pStyle w:val="732021"/>
              <w:spacing w:before="0" w:after="0"/>
              <w:rPr>
                <w:rtl/>
              </w:rPr>
            </w:pPr>
            <w:r w:rsidRPr="005F717F">
              <w:rPr>
                <w:rtl/>
              </w:rPr>
              <w:t>עברו מפקיעת הזיכיון לחברה, אולם החברה והמדינה טרם חתמו על הסכם הפעלה</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DD4253" w:rsidP="00420374" w14:paraId="1DC6AA0F" w14:textId="57D1D85C">
      <w:pPr>
        <w:pStyle w:val="7317"/>
        <w:rPr>
          <w:rtl/>
        </w:rPr>
      </w:pPr>
      <w:r w:rsidRPr="001F3363">
        <w:rPr>
          <w:noProof/>
        </w:rPr>
        <w:drawing>
          <wp:anchor distT="0" distB="0" distL="114300" distR="114300" simplePos="0" relativeHeight="251684864"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17F">
        <w:rPr>
          <w:rtl/>
        </w:rPr>
        <w:t xml:space="preserve">בחודשים אוגוסט 2021 עד ינואר 2022 ערך משרד מבקר המדינה ביקורת בנושאים פיננסיים הקשורים בחברה. הביקורת התמקדה בנושאים האלה: הדוחות הכספיים של החברה לשנים 2018 - 2020; מגזרי הפעילות; היחסים הפיננסיים והכלכליים; סעיפים מהותיים מן המאזן ומדוח הרווח וההפסד; עבודת רואה החשבון המבקר; וסוגיות בנושאי ממשל תאגידי. הביקורת נעשתה </w:t>
      </w:r>
      <w:r w:rsidRPr="005F717F">
        <w:rPr>
          <w:rtl/>
        </w:rPr>
        <w:t>בתש"א</w:t>
      </w:r>
      <w:r w:rsidRPr="005F717F">
        <w:rPr>
          <w:rtl/>
        </w:rPr>
        <w:t xml:space="preserve">, במשרד </w:t>
      </w:r>
      <w:r w:rsidRPr="005F717F">
        <w:rPr>
          <w:rtl/>
        </w:rPr>
        <w:t>האנרגייה</w:t>
      </w:r>
      <w:r w:rsidRPr="005F717F">
        <w:rPr>
          <w:rtl/>
        </w:rPr>
        <w:t xml:space="preserve"> וברשות החברות הממשלתיות. בדיקות השלמה נעשו בעיריית חיפה, ברשות הספנות והנמלים שבמשרד התחבורה והבטיחות בדרכים, ברשות מקרקעי ישראל (</w:t>
      </w:r>
      <w:r w:rsidRPr="005F717F">
        <w:rPr>
          <w:rtl/>
        </w:rPr>
        <w:t>רמ"י</w:t>
      </w:r>
      <w:r w:rsidRPr="005F717F">
        <w:rPr>
          <w:rtl/>
        </w:rPr>
        <w:t xml:space="preserve">), במשרד להגנת הסביבה, באגף החשב הכללי שבמשרד האוצר </w:t>
      </w:r>
      <w:r w:rsidRPr="005F717F">
        <w:rPr>
          <w:rtl/>
        </w:rPr>
        <w:t>ובמינהל</w:t>
      </w:r>
      <w:r w:rsidRPr="005F717F">
        <w:rPr>
          <w:rtl/>
        </w:rPr>
        <w:t xml:space="preserve"> התכנון שבמשרד הפנים</w:t>
      </w:r>
      <w:r>
        <w:rPr>
          <w:rFonts w:hint="cs"/>
          <w:rtl/>
        </w:rPr>
        <w:t>.</w:t>
      </w:r>
      <w:r w:rsidRPr="0062254D">
        <w:rPr>
          <w:rFonts w:hint="cs"/>
          <w:rtl/>
        </w:rPr>
        <w:t xml:space="preserve"> </w:t>
      </w:r>
    </w:p>
    <w:p w:rsidR="005D3DBF" w:rsidP="005D3DBF" w14:paraId="1352B668" w14:textId="77777777">
      <w:pPr>
        <w:pStyle w:val="733"/>
        <w:rPr>
          <w:rtl/>
        </w:rPr>
      </w:pPr>
    </w:p>
    <w:p w:rsidR="005D3DBF" w:rsidP="005D3DBF" w14:paraId="672C720B" w14:textId="77777777">
      <w:pPr>
        <w:pStyle w:val="733"/>
        <w:rPr>
          <w:rtl/>
        </w:rPr>
      </w:pPr>
    </w:p>
    <w:p w:rsidR="00420374" w:rsidRPr="002539B8" w:rsidP="00DD4253" w14:paraId="6CAF3371" w14:textId="5F27791D">
      <w:pPr>
        <w:pStyle w:val="7317"/>
        <w:rPr>
          <w:sz w:val="10"/>
          <w:szCs w:val="10"/>
          <w:rtl/>
        </w:rPr>
      </w:pPr>
      <w:r w:rsidRPr="00362C00">
        <w:rPr>
          <w:noProof/>
          <w:rtl/>
        </w:rPr>
        <w:drawing>
          <wp:anchor distT="0" distB="0" distL="114300" distR="114300" simplePos="0" relativeHeight="251698176" behindDoc="0" locked="0" layoutInCell="1" allowOverlap="1">
            <wp:simplePos x="0" y="0"/>
            <wp:positionH relativeFrom="column">
              <wp:posOffset>2553970</wp:posOffset>
            </wp:positionH>
            <wp:positionV relativeFrom="paragraph">
              <wp:posOffset>694155</wp:posOffset>
            </wp:positionV>
            <wp:extent cx="2101215" cy="172085"/>
            <wp:effectExtent l="0" t="0" r="0" b="5715"/>
            <wp:wrapSquare wrapText="bothSides"/>
            <wp:docPr id="205277094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7"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0683C" w:rsidR="00B8655F">
        <w:rPr>
          <w:noProof/>
          <w:sz w:val="22"/>
          <w:szCs w:val="22"/>
        </w:rPr>
        <mc:AlternateContent>
          <mc:Choice Requires="wps">
            <w:drawing>
              <wp:anchor distT="45720" distB="45720" distL="114300" distR="114300" simplePos="0" relativeHeight="251685888" behindDoc="0" locked="0" layoutInCell="1" allowOverlap="1">
                <wp:simplePos x="0" y="0"/>
                <wp:positionH relativeFrom="column">
                  <wp:posOffset>-5715</wp:posOffset>
                </wp:positionH>
                <wp:positionV relativeFrom="paragraph">
                  <wp:posOffset>541</wp:posOffset>
                </wp:positionV>
                <wp:extent cx="4793615" cy="675005"/>
                <wp:effectExtent l="0" t="0" r="6985" b="1079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93615" cy="675005"/>
                        </a:xfrm>
                        <a:prstGeom prst="rect">
                          <a:avLst/>
                        </a:prstGeom>
                        <a:solidFill>
                          <a:srgbClr val="FFFFFF"/>
                        </a:solidFill>
                        <a:ln w="9525">
                          <a:solidFill>
                            <a:schemeClr val="bg1"/>
                          </a:solidFill>
                          <a:miter lim="800000"/>
                          <a:headEnd/>
                          <a:tailEnd/>
                        </a:ln>
                      </wps:spPr>
                      <wps:txbx>
                        <w:txbxContent>
                          <w:p w:rsidR="00420374" w:rsidRPr="00662020" w:rsidP="00DD4253" w14:textId="77777777">
                            <w:pPr>
                              <w:pStyle w:val="7327"/>
                              <w:spacing w:before="240"/>
                              <w:rPr>
                                <w:rtl/>
                              </w:rPr>
                            </w:pPr>
                            <w:r w:rsidRPr="00662020">
                              <w:rPr>
                                <w:rFonts w:hint="cs"/>
                                <w:rtl/>
                              </w:rPr>
                              <w:t>תמונת המצב העולה מן הביקורת</w:t>
                            </w:r>
                          </w:p>
                          <w:p w:rsidR="00420374" w:rsidP="0042037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377.45pt;height:53.15pt;margin-top:0.05pt;margin-left:-0.45pt;mso-height-percent:0;mso-height-relative:margin;mso-width-percent:0;mso-width-relative:margin;mso-wrap-distance-bottom:3.6pt;mso-wrap-distance-left:9pt;mso-wrap-distance-right:9pt;mso-wrap-distance-top:3.6pt;mso-wrap-style:square;position:absolute;visibility:visible;v-text-anchor:top;z-index:251686912" strokecolor="white">
                <v:textbox>
                  <w:txbxContent>
                    <w:p w:rsidR="00420374" w:rsidRPr="00662020" w:rsidP="00DD4253" w14:paraId="51CA4B7B" w14:textId="77777777">
                      <w:pPr>
                        <w:pStyle w:val="7327"/>
                        <w:spacing w:before="240"/>
                        <w:rPr>
                          <w:rtl/>
                        </w:rPr>
                      </w:pPr>
                      <w:r w:rsidRPr="00662020">
                        <w:rPr>
                          <w:rFonts w:hint="cs"/>
                          <w:rtl/>
                        </w:rPr>
                        <w:t>תמונת המצב העולה מן הביקורת</w:t>
                      </w:r>
                    </w:p>
                    <w:p w:rsidR="00420374" w:rsidP="00420374" w14:paraId="58BE9F20" w14:textId="77777777"/>
                  </w:txbxContent>
                </v:textbox>
                <w10:wrap type="square"/>
              </v:shape>
            </w:pict>
          </mc:Fallback>
        </mc:AlternateContent>
      </w:r>
    </w:p>
    <w:p w:rsidR="00420374" w:rsidRPr="0093709F" w:rsidP="00B83D30" w14:paraId="18555822" w14:textId="3A69D43C">
      <w:pPr>
        <w:pStyle w:val="7392"/>
        <w:ind w:left="454"/>
        <w:rPr>
          <w:rtl/>
        </w:rPr>
      </w:pPr>
      <w:r w:rsidRPr="00B02658">
        <w:rPr>
          <w:rFonts w:hint="cs"/>
          <w:b/>
          <w:bCs/>
          <w:noProof/>
          <w:rtl/>
        </w:rPr>
        <w:drawing>
          <wp:anchor distT="0" distB="720090" distL="114300" distR="114300" simplePos="0" relativeHeight="251687936" behindDoc="1" locked="0" layoutInCell="1" allowOverlap="1">
            <wp:simplePos x="0" y="0"/>
            <wp:positionH relativeFrom="column">
              <wp:posOffset>4507230</wp:posOffset>
            </wp:positionH>
            <wp:positionV relativeFrom="paragraph">
              <wp:posOffset>19522</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4253" w:rsidR="00DD4253">
        <w:rPr>
          <w:b/>
          <w:bCs/>
          <w:rtl/>
        </w:rPr>
        <w:t>רווח נקי ותשואה על נכסים לפי מגזרי פעילות</w:t>
      </w:r>
      <w:r w:rsidRPr="005F717F" w:rsidR="00DD4253">
        <w:rPr>
          <w:rtl/>
        </w:rPr>
        <w:t xml:space="preserve"> - עלה כי הרווח הגולמי במגזר אחסון וניפוק של תזקיקים עלה בשנת 2020 ב-35%, לעומת שלוש השנים שקדמו לה. לעומת זאת, הרווח הגולמי במגזרי </w:t>
      </w:r>
      <w:r w:rsidRPr="005F717F" w:rsidR="00DD4253">
        <w:rPr>
          <w:rtl/>
        </w:rPr>
        <w:t>ההזרמות</w:t>
      </w:r>
      <w:r w:rsidRPr="005F717F" w:rsidR="00DD4253">
        <w:rPr>
          <w:rtl/>
        </w:rPr>
        <w:t>, שירותי הנמל ואחסון נפט גולמי ירד בשנת 2020 ב-62%, לעומת שלוש השנים שקדמו לה. עוד עלה כי שיעור התשואה על הנכסים במגזר אחסון נפט גולמי היה במגמת ירידה - מ-18% בשנת 2017 עד ל-8% בשנת 2021. כמו כן עלה כי שיעור התשואה על נכסים במגזר הנמל (5% בממוצע) היה קטן משיעור התשואה ביתר המגזרים (10% בממוצע) בשנים אלה</w:t>
      </w:r>
      <w:r w:rsidRPr="0093709F">
        <w:rPr>
          <w:rtl/>
        </w:rPr>
        <w:t>.</w:t>
      </w:r>
    </w:p>
    <w:p w:rsidR="00420374" w:rsidRPr="00B8655F" w:rsidP="00B83D30" w14:paraId="1D22E15A" w14:textId="72370F63">
      <w:pPr>
        <w:pStyle w:val="7392"/>
        <w:ind w:left="454"/>
        <w:rPr>
          <w:spacing w:val="-4"/>
        </w:rPr>
      </w:pPr>
      <w:r w:rsidRPr="00B8655F">
        <w:rPr>
          <w:rFonts w:hint="cs"/>
          <w:b/>
          <w:bCs/>
          <w:noProof/>
          <w:spacing w:val="-4"/>
          <w:rtl/>
        </w:rPr>
        <w:drawing>
          <wp:anchor distT="0" distB="720090" distL="114300" distR="114300" simplePos="0" relativeHeight="251688960" behindDoc="1" locked="0" layoutInCell="1" allowOverlap="1">
            <wp:simplePos x="0" y="0"/>
            <wp:positionH relativeFrom="column">
              <wp:posOffset>4507393</wp:posOffset>
            </wp:positionH>
            <wp:positionV relativeFrom="paragraph">
              <wp:posOffset>38100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8655F" w:rsidR="00DD4253">
        <w:rPr>
          <w:b/>
          <w:bCs/>
          <w:spacing w:val="-4"/>
          <w:rtl/>
        </w:rPr>
        <w:t>הסכם הפעלה עם המדינה</w:t>
      </w:r>
      <w:r w:rsidRPr="00B8655F" w:rsidR="00DD4253">
        <w:rPr>
          <w:spacing w:val="-4"/>
          <w:rtl/>
        </w:rPr>
        <w:t xml:space="preserve"> - מתום הזיכיון של החברה בינואר 2001, לפני יותר מ-20 שנים, אין לחברה ולמדינה הסכם הפעלה חתום. אי-חתימה על ההסכם פוגעת בתכנון הפעולות העתידיות של החברה, וכן פוגעת בהכנסות המדינה מהחברה. אילו היה נחתם הסכם הפעלה בהתאם להסכמות משנת 2003 - הייתה לו השפעה ניכרת על כמה סעיפים מרכזיים בדוחות הכספיים, כמו סכום דמי השימוש המגיעים למדינה בגין נכסים פעילים של החברה, השכרת נכסים מניבים ושומת מס. לפי אומדן משרד מבקר המדינה, היעדר הסכם הפעלה הביא להפסד משקי (הפסדים שנגמרו למדינה ולחברה) של 216 - 659 מיליון ש"ח</w:t>
      </w:r>
      <w:r w:rsidRPr="00B8655F">
        <w:rPr>
          <w:rFonts w:hint="cs"/>
          <w:spacing w:val="-4"/>
          <w:rtl/>
        </w:rPr>
        <w:t xml:space="preserve">. </w:t>
      </w:r>
    </w:p>
    <w:p w:rsidR="00420374" w:rsidRPr="0093709F" w:rsidP="00B83D30" w14:paraId="5E2BFABB" w14:textId="13AAB048">
      <w:pPr>
        <w:pStyle w:val="7392"/>
        <w:ind w:left="454"/>
        <w:rPr>
          <w:rtl/>
        </w:rPr>
      </w:pPr>
      <w:r w:rsidRPr="00B02658">
        <w:rPr>
          <w:rFonts w:hint="cs"/>
          <w:b/>
          <w:bCs/>
          <w:noProof/>
          <w:rtl/>
        </w:rPr>
        <w:drawing>
          <wp:anchor distT="0" distB="720090" distL="114300" distR="114300" simplePos="0" relativeHeight="251689984" behindDoc="1" locked="0" layoutInCell="1" allowOverlap="1">
            <wp:simplePos x="0" y="0"/>
            <wp:positionH relativeFrom="column">
              <wp:posOffset>4507393</wp:posOffset>
            </wp:positionH>
            <wp:positionV relativeFrom="paragraph">
              <wp:posOffset>38100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4253" w:rsidR="00DD4253">
        <w:rPr>
          <w:b/>
          <w:bCs/>
          <w:rtl/>
        </w:rPr>
        <w:t>החזרת נכסים למדינה</w:t>
      </w:r>
      <w:r w:rsidRPr="005F717F" w:rsidR="00DD4253">
        <w:rPr>
          <w:rtl/>
        </w:rPr>
        <w:t xml:space="preserve"> - החברה לא החזירה בתום הזיכיון את הנכסים שאינם בליבת הפעילות שלה למדינה, ובהם מחצית בניין מסחרי בטירת הכרמל, שטחי אחסון באזור התעשייה עטרות בירושלים ושטח של 24 דונם בחוף שמן במפרץ חיפה. במועד סיום הביקורת המשיכה החברה להחזיק בנכסים אלה ולהפעיל אותם, ובשנת 2020 הם הניבו הכנסה שנתית של 1.6 מיליון ש"ח. עלה כי יש שטחים בנכסים הלא-תפעוליים שלא הושכרו ולא הניבו הכנסות, למשל השטח של החברה בחוף שמן. אי-העברת נכסי נדל"ן שאינם בליבת הפעילות של החברה למדינה, כפי שנקבע בהסכם ההבנות, גרם לאובדן הכנסות לקופת המדינה ולחברה, עקב אי-מיצוי ההכנסות מאותם הנכסים</w:t>
      </w:r>
      <w:r w:rsidRPr="0093709F">
        <w:rPr>
          <w:rFonts w:hint="cs"/>
          <w:rtl/>
        </w:rPr>
        <w:t>.</w:t>
      </w:r>
    </w:p>
    <w:p w:rsidR="00420374" w:rsidRPr="0093709F" w:rsidP="00B83D30" w14:paraId="583ECB3F" w14:textId="051D1251">
      <w:pPr>
        <w:pStyle w:val="7392"/>
        <w:ind w:left="454"/>
      </w:pPr>
      <w:r w:rsidRPr="00B02658">
        <w:rPr>
          <w:rFonts w:hint="cs"/>
          <w:b/>
          <w:bCs/>
          <w:noProof/>
          <w:rtl/>
        </w:rPr>
        <w:drawing>
          <wp:anchor distT="0" distB="720090" distL="114300" distR="114300" simplePos="0" relativeHeight="251691008" behindDoc="1" locked="0" layoutInCell="1" allowOverlap="1">
            <wp:simplePos x="0" y="0"/>
            <wp:positionH relativeFrom="column">
              <wp:posOffset>4507393</wp:posOffset>
            </wp:positionH>
            <wp:positionV relativeFrom="paragraph">
              <wp:posOffset>38100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4253" w:rsidR="00DD4253">
        <w:rPr>
          <w:b/>
          <w:bCs/>
          <w:rtl/>
        </w:rPr>
        <w:t>חלוקת דיבידנד למדינה</w:t>
      </w:r>
      <w:r w:rsidRPr="005F717F" w:rsidR="00DD4253">
        <w:rPr>
          <w:rtl/>
        </w:rPr>
        <w:t xml:space="preserve"> - על פי הדוחות הכספיים המבוקרים של החברה, בסוף שנת 2020 מבחינה חשבונאית יותר ממיליארד ש"ח היו ראויים לחלוקה כדיבידנד (מיתרת הרווחים שנצברו ומהקרנות), ושיעור ההון העצמי של החברה בסוף שנת 2020 מסך המאזן היה 64%. ואולם עלה כי החברה לא חילקה דיבידנדים למדינה באופן סדיר. למשל, מרווחים המסתכמים ב-214 מיליון ש"ח שנצברו בשנים 2017 - 2020, החברה לא העבירה כל דיבידנד למדינה, זאת </w:t>
      </w:r>
      <w:r w:rsidRPr="005F717F" w:rsidR="00DD4253">
        <w:rPr>
          <w:rFonts w:hint="cs"/>
          <w:rtl/>
        </w:rPr>
        <w:t>הגם</w:t>
      </w:r>
      <w:r w:rsidRPr="005F717F" w:rsidR="00DD4253">
        <w:rPr>
          <w:rtl/>
        </w:rPr>
        <w:t xml:space="preserve"> </w:t>
      </w:r>
      <w:r w:rsidRPr="005F717F" w:rsidR="00DD4253">
        <w:rPr>
          <w:rFonts w:hint="cs"/>
          <w:rtl/>
        </w:rPr>
        <w:t>ש</w:t>
      </w:r>
      <w:r w:rsidRPr="005F717F" w:rsidR="00DD4253">
        <w:rPr>
          <w:rtl/>
        </w:rPr>
        <w:t>רשות החברות הממשלתיות קבעה בינואר 2019 כי עליה לחלק דיבידנדים (שהם 50% מהרווח הנקי). הדיבידנדים שלא חולקו עבור השנים 2017 - 2020 מסתכמים ב-107 מיליון ש"ח</w:t>
      </w:r>
      <w:r w:rsidRPr="0093709F">
        <w:rPr>
          <w:rFonts w:hint="cs"/>
          <w:rtl/>
        </w:rPr>
        <w:t xml:space="preserve">. </w:t>
      </w:r>
    </w:p>
    <w:p w:rsidR="00420374" w:rsidRPr="00DD4253" w:rsidP="00B83D30" w14:paraId="7C081EA1" w14:textId="5E6CA4B5">
      <w:pPr>
        <w:pStyle w:val="7392"/>
        <w:ind w:left="454"/>
        <w:rPr>
          <w:spacing w:val="-4"/>
        </w:rPr>
      </w:pPr>
      <w:r w:rsidRPr="00B02658">
        <w:rPr>
          <w:rFonts w:hint="cs"/>
          <w:b/>
          <w:bCs/>
          <w:noProof/>
          <w:rtl/>
        </w:rPr>
        <w:drawing>
          <wp:anchor distT="0" distB="720090" distL="114300" distR="114300" simplePos="0" relativeHeight="251692032" behindDoc="1" locked="0" layoutInCell="1" allowOverlap="1">
            <wp:simplePos x="0" y="0"/>
            <wp:positionH relativeFrom="column">
              <wp:posOffset>4507393</wp:posOffset>
            </wp:positionH>
            <wp:positionV relativeFrom="paragraph">
              <wp:posOffset>38100</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4253" w:rsidR="00DD4253">
        <w:rPr>
          <w:b/>
          <w:bCs/>
          <w:spacing w:val="-4"/>
          <w:rtl/>
        </w:rPr>
        <w:t>שיעור הרווח הנקי</w:t>
      </w:r>
      <w:r w:rsidRPr="00DD4253" w:rsidR="00DD4253">
        <w:rPr>
          <w:spacing w:val="-4"/>
          <w:rtl/>
        </w:rPr>
        <w:t xml:space="preserve"> - שיעור הרווח הנקי הממוצע של החברה בשנים 2017 - 2020 (15%) היה גבוה במידה ניכרת משיעור הרווח של ארבע החברות המובילות באותו הענף בארצות הברית (2%) ודומה לשיעור הרווח של חברת נתיבי הגז הטבעי לישראל. שיעור ההון הזר של החברה </w:t>
      </w:r>
      <w:r w:rsidRPr="00DD4253" w:rsidR="00DD4253">
        <w:rPr>
          <w:spacing w:val="-4"/>
          <w:rtl/>
        </w:rPr>
        <w:t>(36% בשנת 2020) הוא נמוך ושמרני, לעומת החברות הממשלתיות האחרות שנדגמו (ממוצע של 75%) ולעומת היעד שקבעה רשות החברות הממשלתיות לשנת 2021 (45%</w:t>
      </w:r>
      <w:r w:rsidRPr="00DD4253" w:rsidR="00DD4253">
        <w:rPr>
          <w:rFonts w:hint="cs"/>
          <w:spacing w:val="-4"/>
          <w:rtl/>
        </w:rPr>
        <w:t>)</w:t>
      </w:r>
      <w:r w:rsidRPr="00DD4253">
        <w:rPr>
          <w:rFonts w:hint="cs"/>
          <w:spacing w:val="-4"/>
          <w:rtl/>
        </w:rPr>
        <w:t xml:space="preserve">. </w:t>
      </w:r>
    </w:p>
    <w:p w:rsidR="00420374" w:rsidRPr="0093709F" w:rsidP="00B83D30" w14:paraId="5E8BF229" w14:textId="08F7A81F">
      <w:pPr>
        <w:pStyle w:val="7392"/>
        <w:ind w:left="454"/>
        <w:rPr>
          <w:rtl/>
        </w:rPr>
      </w:pPr>
      <w:r w:rsidRPr="00B02658">
        <w:rPr>
          <w:rFonts w:hint="cs"/>
          <w:b/>
          <w:bCs/>
          <w:noProof/>
          <w:rtl/>
        </w:rPr>
        <w:drawing>
          <wp:anchor distT="0" distB="720090" distL="114300" distR="114300" simplePos="0" relativeHeight="251693056" behindDoc="1" locked="0" layoutInCell="1" allowOverlap="1">
            <wp:simplePos x="0" y="0"/>
            <wp:positionH relativeFrom="column">
              <wp:posOffset>4508500</wp:posOffset>
            </wp:positionH>
            <wp:positionV relativeFrom="paragraph">
              <wp:posOffset>28738</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3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D4253" w:rsidR="00DD4253">
        <w:rPr>
          <w:b/>
          <w:bCs/>
          <w:rtl/>
        </w:rPr>
        <w:t>הוצאות הנהלה וכלליות</w:t>
      </w:r>
      <w:r w:rsidRPr="005F717F" w:rsidR="00DD4253">
        <w:rPr>
          <w:rtl/>
        </w:rPr>
        <w:t xml:space="preserve"> - שיעור הוצאות הנהלה וכלליות מהכנסות החברה בשנים 2018 - 2020 (13%) היה גדול מהשיעור שקבעה ועדת המחירים </w:t>
      </w:r>
      <w:r w:rsidRPr="005F717F" w:rsidR="00DD4253">
        <w:rPr>
          <w:rtl/>
        </w:rPr>
        <w:t>אנרגייה</w:t>
      </w:r>
      <w:r w:rsidRPr="005F717F" w:rsidR="00DD4253">
        <w:rPr>
          <w:rtl/>
        </w:rPr>
        <w:t xml:space="preserve"> (כ-9%). יצוין כי סכום ההוצאה של החברה (45 מיליון ש"ח) גדול בכ-17 מיליון ש"ח מסכום ההוצאה המחושב בהתאם לנורמה שקבעה ועדת המחירים-</w:t>
      </w:r>
      <w:r w:rsidRPr="005F717F" w:rsidR="00DD4253">
        <w:rPr>
          <w:rtl/>
        </w:rPr>
        <w:t>אנרגייה</w:t>
      </w:r>
      <w:r w:rsidRPr="005F717F" w:rsidR="00DD4253">
        <w:rPr>
          <w:rtl/>
        </w:rPr>
        <w:t xml:space="preserve"> (28 מיליון ש"ח, שהם 9% מההכנסות המסתכמות ב-316 מיליון ש"ח</w:t>
      </w:r>
      <w:r w:rsidRPr="0093709F">
        <w:rPr>
          <w:rFonts w:hint="cs"/>
          <w:rtl/>
        </w:rPr>
        <w:t>.</w:t>
      </w:r>
    </w:p>
    <w:p w:rsidR="00DD4253" w:rsidRPr="00DD4253" w:rsidP="00B83D30" w14:paraId="12856C36" w14:textId="580BA80F">
      <w:pPr>
        <w:pStyle w:val="7392"/>
        <w:ind w:left="454"/>
        <w:rPr>
          <w:b/>
          <w:bCs/>
          <w:noProof/>
          <w:sz w:val="19"/>
          <w:szCs w:val="19"/>
        </w:rPr>
      </w:pPr>
      <w:r w:rsidRPr="00B02658">
        <w:rPr>
          <w:rFonts w:hint="cs"/>
          <w:b/>
          <w:bCs/>
          <w:noProof/>
          <w:rtl/>
        </w:rPr>
        <w:drawing>
          <wp:anchor distT="0" distB="720090" distL="114300" distR="114300" simplePos="0" relativeHeight="251694080" behindDoc="1" locked="0" layoutInCell="1" allowOverlap="1">
            <wp:simplePos x="0" y="0"/>
            <wp:positionH relativeFrom="column">
              <wp:posOffset>4508500</wp:posOffset>
            </wp:positionH>
            <wp:positionV relativeFrom="paragraph">
              <wp:posOffset>33183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4253">
        <w:rPr>
          <w:b/>
          <w:bCs/>
          <w:sz w:val="19"/>
          <w:szCs w:val="19"/>
          <w:rtl/>
        </w:rPr>
        <w:t>נכסי החברה ונכסים שהיא מפעיל</w:t>
      </w:r>
      <w:r w:rsidRPr="00DD4253">
        <w:rPr>
          <w:rFonts w:hint="cs"/>
          <w:b/>
          <w:bCs/>
          <w:sz w:val="19"/>
          <w:szCs w:val="19"/>
          <w:rtl/>
        </w:rPr>
        <w:t>ה</w:t>
      </w:r>
    </w:p>
    <w:p w:rsidR="00DD4253" w:rsidRPr="00DD4253" w:rsidP="00FE4839" w14:paraId="41DC140F" w14:textId="2C9DEBB8">
      <w:pPr>
        <w:pStyle w:val="7392"/>
        <w:numPr>
          <w:ilvl w:val="0"/>
          <w:numId w:val="30"/>
        </w:numPr>
        <w:rPr>
          <w:spacing w:val="-4"/>
          <w:rtl/>
        </w:rPr>
      </w:pPr>
      <w:r w:rsidRPr="00DD4253">
        <w:rPr>
          <w:b/>
          <w:bCs/>
          <w:spacing w:val="-4"/>
          <w:rtl/>
        </w:rPr>
        <w:t>חוות המכלים ("הטרמינל") קריית חיים</w:t>
      </w:r>
      <w:r w:rsidRPr="00DD4253">
        <w:rPr>
          <w:spacing w:val="-4"/>
          <w:rtl/>
        </w:rPr>
        <w:t xml:space="preserve"> - באפריל 2022 היו בחוות המכלים קריית חיים 42 מכלי דלק. 22 מהמכלים (כמחצית), שהם שליש מסך קיבולת האחסון באתר, לא היו כשירים לשימוש. יוצא אפוא שהשימוש בשטחי החווה הוא חלקי בלבד. עולה כי התשתיות לאחסון דלקים ישנות</w:t>
      </w:r>
      <w:r w:rsidRPr="00DD4253">
        <w:rPr>
          <w:rFonts w:hint="cs"/>
          <w:spacing w:val="-4"/>
          <w:rtl/>
        </w:rPr>
        <w:t xml:space="preserve"> ו</w:t>
      </w:r>
      <w:r w:rsidRPr="00DD4253">
        <w:rPr>
          <w:spacing w:val="-4"/>
          <w:rtl/>
        </w:rPr>
        <w:t xml:space="preserve">כי בשנים 2017- 2021 החברה השקיעה כ-187 מיליון ש"ח </w:t>
      </w:r>
      <w:r w:rsidRPr="00DD4253">
        <w:rPr>
          <w:spacing w:val="-4"/>
          <w:rtl/>
        </w:rPr>
        <w:t>לתחזוק</w:t>
      </w:r>
      <w:r w:rsidRPr="00DD4253">
        <w:rPr>
          <w:spacing w:val="-4"/>
          <w:rtl/>
        </w:rPr>
        <w:t xml:space="preserve"> המכלים</w:t>
      </w:r>
      <w:r w:rsidRPr="00DD4253">
        <w:rPr>
          <w:rFonts w:hint="cs"/>
          <w:spacing w:val="-4"/>
          <w:rtl/>
        </w:rPr>
        <w:t>.</w:t>
      </w:r>
    </w:p>
    <w:p w:rsidR="00DD4253" w:rsidRPr="00DD4253" w:rsidP="00FE4839" w14:paraId="068B37E1" w14:textId="288E697A">
      <w:pPr>
        <w:pStyle w:val="7392"/>
        <w:numPr>
          <w:ilvl w:val="0"/>
          <w:numId w:val="30"/>
        </w:numPr>
        <w:rPr>
          <w:rtl/>
        </w:rPr>
      </w:pPr>
      <w:r w:rsidRPr="00DD4253">
        <w:rPr>
          <w:b/>
          <w:bCs/>
          <w:rtl/>
        </w:rPr>
        <w:t>שטח בבעלות החברה במפרץ חיפה - קרקעות הצפון</w:t>
      </w:r>
      <w:r w:rsidRPr="00DD4253">
        <w:rPr>
          <w:rtl/>
        </w:rPr>
        <w:t xml:space="preserve"> - במשך עשרות שנים שטח של 1,147 דונם בבעלות החברה במפרץ חיפה (קרקעות הצפון) אינו מניב כל ערך למדינה ולחברה; בדוחות הכספיים אין מידע על שווי הקרקעות ועל חלקה של המדינה בקרקעות אלה</w:t>
      </w:r>
      <w:r w:rsidRPr="00DD4253">
        <w:rPr>
          <w:rFonts w:hint="cs"/>
          <w:rtl/>
        </w:rPr>
        <w:t>.</w:t>
      </w:r>
    </w:p>
    <w:p w:rsidR="00DD4253" w:rsidP="00FE4839" w14:paraId="4EBA244A" w14:textId="16B2788D">
      <w:pPr>
        <w:pStyle w:val="7392"/>
        <w:numPr>
          <w:ilvl w:val="0"/>
          <w:numId w:val="30"/>
        </w:numPr>
        <w:rPr>
          <w:rtl/>
        </w:rPr>
      </w:pPr>
      <w:r w:rsidRPr="00DD4253">
        <w:rPr>
          <w:b/>
          <w:bCs/>
          <w:rtl/>
        </w:rPr>
        <w:t>נמל הדלק בחיפה</w:t>
      </w:r>
      <w:r w:rsidRPr="005F717F">
        <w:rPr>
          <w:rFonts w:hint="cs"/>
          <w:rtl/>
        </w:rPr>
        <w:t xml:space="preserve"> </w:t>
      </w:r>
      <w:r w:rsidRPr="005F717F">
        <w:rPr>
          <w:rtl/>
        </w:rPr>
        <w:t xml:space="preserve">- נמל הדלק בחיפה מיושן ואינו עומד בתקני בנייה מודרניים. ברם, חוסר הסכמה בין מקבלי ההחלטות מקבע את המצב של המשך הפעלת נמל הדלק הישן </w:t>
      </w:r>
      <w:r w:rsidRPr="005F717F">
        <w:rPr>
          <w:rtl/>
        </w:rPr>
        <w:t>ו</w:t>
      </w:r>
      <w:r w:rsidRPr="005F717F">
        <w:rPr>
          <w:rFonts w:hint="cs"/>
          <w:rtl/>
        </w:rPr>
        <w:t>ה</w:t>
      </w:r>
      <w:r w:rsidRPr="005F717F">
        <w:rPr>
          <w:rtl/>
        </w:rPr>
        <w:t>תכנית</w:t>
      </w:r>
      <w:r w:rsidRPr="005F717F">
        <w:rPr>
          <w:rtl/>
        </w:rPr>
        <w:t xml:space="preserve"> לשיפוצו לא יושמה. הדבר עלול לחש</w:t>
      </w:r>
      <w:r w:rsidRPr="005F717F">
        <w:rPr>
          <w:rFonts w:hint="cs"/>
          <w:rtl/>
        </w:rPr>
        <w:t>ו</w:t>
      </w:r>
      <w:r w:rsidRPr="005F717F">
        <w:rPr>
          <w:rtl/>
        </w:rPr>
        <w:t xml:space="preserve">ף את הציבור </w:t>
      </w:r>
      <w:r w:rsidRPr="005F717F">
        <w:rPr>
          <w:rFonts w:hint="cs"/>
          <w:rtl/>
        </w:rPr>
        <w:t xml:space="preserve">בתרחישים </w:t>
      </w:r>
      <w:r w:rsidRPr="005F717F">
        <w:rPr>
          <w:rFonts w:hint="cs"/>
          <w:rtl/>
        </w:rPr>
        <w:t>מסויימים</w:t>
      </w:r>
      <w:r w:rsidRPr="005F717F">
        <w:rPr>
          <w:rFonts w:hint="cs"/>
          <w:rtl/>
        </w:rPr>
        <w:t>, לנזק סביבתי ואף לפגיעה בנפש</w:t>
      </w:r>
      <w:r>
        <w:rPr>
          <w:rFonts w:hint="cs"/>
          <w:rtl/>
        </w:rPr>
        <w:t>.</w:t>
      </w:r>
    </w:p>
    <w:p w:rsidR="00DD4253" w:rsidRPr="00B8655F" w:rsidP="00FE4839" w14:paraId="4631EAA5" w14:textId="46839E4E">
      <w:pPr>
        <w:pStyle w:val="7392"/>
        <w:numPr>
          <w:ilvl w:val="0"/>
          <w:numId w:val="30"/>
        </w:numPr>
        <w:rPr>
          <w:spacing w:val="-4"/>
          <w:rtl/>
        </w:rPr>
      </w:pPr>
      <w:r w:rsidRPr="00B8655F">
        <w:rPr>
          <w:b/>
          <w:bCs/>
          <w:spacing w:val="-4"/>
          <w:rtl/>
        </w:rPr>
        <w:t>רישום זכויות בקרקע</w:t>
      </w:r>
      <w:r w:rsidRPr="00B8655F">
        <w:rPr>
          <w:spacing w:val="-4"/>
          <w:rtl/>
        </w:rPr>
        <w:t xml:space="preserve"> - מנתונים שסיפקו </w:t>
      </w:r>
      <w:r w:rsidRPr="00B8655F">
        <w:rPr>
          <w:spacing w:val="-4"/>
          <w:rtl/>
        </w:rPr>
        <w:t>רמ"י</w:t>
      </w:r>
      <w:r w:rsidRPr="00B8655F">
        <w:rPr>
          <w:spacing w:val="-4"/>
          <w:rtl/>
        </w:rPr>
        <w:t xml:space="preserve"> והחברה למשרד מבקר המדינה עולה כי השימוש בקרקעות של 8 מ-12 נכסים שבליבת פעילות החברה אינו מוסדר עם </w:t>
      </w:r>
      <w:r w:rsidRPr="00B8655F">
        <w:rPr>
          <w:spacing w:val="-4"/>
          <w:rtl/>
        </w:rPr>
        <w:t>רמ"י</w:t>
      </w:r>
      <w:r w:rsidRPr="00B8655F">
        <w:rPr>
          <w:rFonts w:hint="cs"/>
          <w:spacing w:val="-4"/>
          <w:rtl/>
        </w:rPr>
        <w:t>.</w:t>
      </w:r>
    </w:p>
    <w:p w:rsidR="00DD4253" w:rsidP="00B83D30" w14:paraId="0D30E0E7" w14:textId="7067056C">
      <w:pPr>
        <w:pStyle w:val="7392"/>
        <w:ind w:left="454"/>
      </w:pPr>
      <w:r w:rsidRPr="00B02658">
        <w:rPr>
          <w:rFonts w:hint="cs"/>
          <w:b/>
          <w:bCs/>
          <w:noProof/>
          <w:rtl/>
        </w:rPr>
        <w:drawing>
          <wp:anchor distT="0" distB="720090" distL="114300" distR="114300" simplePos="0" relativeHeight="251695104" behindDoc="1" locked="0" layoutInCell="1" allowOverlap="1">
            <wp:simplePos x="0" y="0"/>
            <wp:positionH relativeFrom="column">
              <wp:posOffset>4507393</wp:posOffset>
            </wp:positionH>
            <wp:positionV relativeFrom="paragraph">
              <wp:posOffset>10795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4253">
        <w:rPr>
          <w:b/>
          <w:bCs/>
          <w:rtl/>
        </w:rPr>
        <w:t>תעריף החברה</w:t>
      </w:r>
      <w:r w:rsidRPr="005F717F">
        <w:rPr>
          <w:rtl/>
        </w:rPr>
        <w:t xml:space="preserve"> - לצורך חישוב תעריף החברה, הוועדה לפיקוח על המחירים מביאה בחשבון את התשואה המשוקללת של החברה (</w:t>
      </w:r>
      <w:r w:rsidRPr="005F717F">
        <w:t>WACC</w:t>
      </w:r>
      <w:r w:rsidRPr="005F717F">
        <w:rPr>
          <w:rtl/>
        </w:rPr>
        <w:t>). הרכיבים שיש להביא בחשבון הם שיעור הריבית חסרת הסיכון לקביעת ההון העצמי; שיעור הריבית חסרת הסיכון להון זר; שיעור ריבית השוק; ושיעור מקדם התאמה לענף (ביתא). בעת עדכון המחירים השנתי המשתנה היחיד המעודכן היה שיעור הריבית חסרת הסיכון לקביעת ההון העצמי. נמצא כי החישוב הביא להעמדת התשואה על 4.59%. לעומת זאת, אילו הוועדה הייתה מביאה בחשבון את כלל הרכיבים בחישוב העלות המשוקללת של ההון של תש"א, התשואה הייתה בשיעור של 3.93%. בהינתן סכום הון עצמי במאזן של 1,371 מיליוני ש"ח נכון ל-31.12.20, הדבר היה משפיע על התעריף, והיה מביא להקטנת ההכנסות של החברה בכ-9 מיליון ש"ח, משמע ירידת מחירים של כ-2.5% לגבי הכנסותיה בשנת 2019 (השנה האחרונה המדווחת ללא השפעות הקורונה</w:t>
      </w:r>
      <w:r>
        <w:rPr>
          <w:rFonts w:hint="cs"/>
          <w:rtl/>
        </w:rPr>
        <w:t>)</w:t>
      </w:r>
      <w:r w:rsidRPr="0093709F">
        <w:rPr>
          <w:rFonts w:hint="cs"/>
          <w:rtl/>
        </w:rPr>
        <w:t>.</w:t>
      </w:r>
    </w:p>
    <w:p w:rsidR="00DD4253" w:rsidP="00B83D30" w14:paraId="596A37C7" w14:textId="6C8BD709">
      <w:pPr>
        <w:pStyle w:val="ListParagraph"/>
        <w:spacing w:after="180" w:line="288" w:lineRule="auto"/>
        <w:ind w:left="454"/>
        <w:rPr>
          <w:rFonts w:ascii="Tahoma" w:hAnsi="Tahoma" w:cs="Tahoma"/>
          <w:color w:val="0D0D0D" w:themeColor="text1" w:themeTint="F2"/>
          <w:sz w:val="18"/>
          <w:szCs w:val="18"/>
        </w:rPr>
      </w:pPr>
      <w:r w:rsidRPr="00B02658">
        <w:rPr>
          <w:rFonts w:hint="cs"/>
          <w:b/>
          <w:bCs/>
          <w:noProof/>
          <w:rtl/>
        </w:rPr>
        <w:drawing>
          <wp:anchor distT="0" distB="720090" distL="114300" distR="114300" simplePos="0" relativeHeight="251696128" behindDoc="1" locked="0" layoutInCell="1" allowOverlap="1">
            <wp:simplePos x="0" y="0"/>
            <wp:positionH relativeFrom="column">
              <wp:posOffset>4507393</wp:posOffset>
            </wp:positionH>
            <wp:positionV relativeFrom="paragraph">
              <wp:posOffset>10795</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4253">
        <w:rPr>
          <w:rFonts w:ascii="Tahoma" w:hAnsi="Tahoma" w:cs="Tahoma"/>
          <w:b/>
          <w:bCs/>
          <w:color w:val="0D0D0D" w:themeColor="text1" w:themeTint="F2"/>
          <w:sz w:val="18"/>
          <w:szCs w:val="18"/>
          <w:rtl/>
        </w:rPr>
        <w:t>תקופת כהונת רואה החשבון המבקר</w:t>
      </w:r>
      <w:r w:rsidRPr="005F717F">
        <w:rPr>
          <w:rFonts w:ascii="Tahoma" w:hAnsi="Tahoma" w:cs="Tahoma"/>
          <w:color w:val="0D0D0D" w:themeColor="text1" w:themeTint="F2"/>
          <w:sz w:val="18"/>
          <w:szCs w:val="18"/>
          <w:rtl/>
        </w:rPr>
        <w:t xml:space="preserve"> - עד מועד סיום הביקורת, ינואר 2022, לא מינו שרי האוצר והמשפטים ורשות החברות הממשלתיות את חברי הוועדה למינוי רואי חשבון. </w:t>
      </w:r>
      <w:r w:rsidRPr="005F717F">
        <w:rPr>
          <w:rFonts w:ascii="Tahoma" w:hAnsi="Tahoma" w:cs="Tahoma"/>
          <w:color w:val="0D0D0D" w:themeColor="text1" w:themeTint="F2"/>
          <w:sz w:val="18"/>
          <w:szCs w:val="18"/>
          <w:rtl/>
        </w:rPr>
        <w:t>עקב כך רואה החשבון המבקר של החברה מכהן כ-18 שנים, 12 שנים יותר מהתקופה שנקבעה בכללי רשות החברות הממשלתיות.</w:t>
      </w:r>
    </w:p>
    <w:p w:rsidR="00DD4253" w:rsidRPr="00DD4253" w:rsidP="00B83D30" w14:paraId="027C6146" w14:textId="64FD3DCF">
      <w:pPr>
        <w:pStyle w:val="7392"/>
        <w:ind w:left="454"/>
        <w:rPr>
          <w:b/>
          <w:bCs/>
          <w:noProof/>
          <w:sz w:val="19"/>
          <w:szCs w:val="19"/>
        </w:rPr>
      </w:pPr>
      <w:r w:rsidRPr="00B02658">
        <w:rPr>
          <w:rFonts w:hint="cs"/>
          <w:b/>
          <w:bCs/>
          <w:noProof/>
          <w:rtl/>
        </w:rPr>
        <w:drawing>
          <wp:anchor distT="0" distB="720090" distL="114300" distR="114300" simplePos="0" relativeHeight="251697152" behindDoc="1" locked="0" layoutInCell="1" allowOverlap="1">
            <wp:simplePos x="0" y="0"/>
            <wp:positionH relativeFrom="column">
              <wp:posOffset>4508500</wp:posOffset>
            </wp:positionH>
            <wp:positionV relativeFrom="paragraph">
              <wp:posOffset>40803</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4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D4253">
        <w:rPr>
          <w:b/>
          <w:bCs/>
          <w:sz w:val="19"/>
          <w:szCs w:val="19"/>
          <w:rtl/>
        </w:rPr>
        <w:t>דירקטוריון החברה וחברת הבת (חברת קמ"ד</w:t>
      </w:r>
      <w:r w:rsidRPr="00DD4253">
        <w:rPr>
          <w:rFonts w:hint="cs"/>
          <w:b/>
          <w:bCs/>
          <w:sz w:val="19"/>
          <w:szCs w:val="19"/>
          <w:rtl/>
        </w:rPr>
        <w:t>):</w:t>
      </w:r>
      <w:r w:rsidRPr="00DD4253">
        <w:rPr>
          <w:b/>
          <w:bCs/>
          <w:sz w:val="19"/>
          <w:szCs w:val="19"/>
          <w:rtl/>
        </w:rPr>
        <w:t xml:space="preserve"> </w:t>
      </w:r>
    </w:p>
    <w:p w:rsidR="00DD4253" w:rsidP="00FE4839" w14:paraId="78AC7EC3" w14:textId="508CB7A9">
      <w:pPr>
        <w:pStyle w:val="7392"/>
        <w:numPr>
          <w:ilvl w:val="0"/>
          <w:numId w:val="31"/>
        </w:numPr>
        <w:rPr>
          <w:rtl/>
        </w:rPr>
      </w:pPr>
      <w:r w:rsidRPr="00DD4253">
        <w:rPr>
          <w:b/>
          <w:bCs/>
          <w:rtl/>
        </w:rPr>
        <w:t>ייצוג הולם</w:t>
      </w:r>
      <w:r w:rsidRPr="005F717F">
        <w:rPr>
          <w:rtl/>
        </w:rPr>
        <w:t xml:space="preserve"> - הועלה כי בדצמבר 2021 שישה משמונת הדירקטורים המכהנים </w:t>
      </w:r>
      <w:r w:rsidRPr="005F717F">
        <w:rPr>
          <w:rtl/>
        </w:rPr>
        <w:t>בתש"א</w:t>
      </w:r>
      <w:r w:rsidRPr="005F717F">
        <w:rPr>
          <w:rtl/>
        </w:rPr>
        <w:t xml:space="preserve"> היו גברים</w:t>
      </w:r>
      <w:r>
        <w:rPr>
          <w:rFonts w:hint="cs"/>
          <w:rtl/>
        </w:rPr>
        <w:t xml:space="preserve">. </w:t>
      </w:r>
    </w:p>
    <w:p w:rsidR="00DD4253" w:rsidP="00FE4839" w14:paraId="0C87F1DC" w14:textId="3E0AEB51">
      <w:pPr>
        <w:pStyle w:val="7392"/>
        <w:numPr>
          <w:ilvl w:val="0"/>
          <w:numId w:val="31"/>
        </w:numPr>
        <w:rPr>
          <w:rtl/>
        </w:rPr>
      </w:pPr>
      <w:r w:rsidRPr="00DD4253">
        <w:rPr>
          <w:rStyle w:val="7340"/>
          <w:rFonts w:hint="cs"/>
          <w:noProof/>
          <w:rtl/>
        </w:rPr>
        <w:drawing>
          <wp:anchor distT="0" distB="0" distL="114300" distR="114300" simplePos="0" relativeHeight="251683840" behindDoc="0" locked="0" layoutInCell="1" allowOverlap="1">
            <wp:simplePos x="0" y="0"/>
            <wp:positionH relativeFrom="column">
              <wp:posOffset>2469275</wp:posOffset>
            </wp:positionH>
            <wp:positionV relativeFrom="paragraph">
              <wp:posOffset>609600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DD4253">
        <w:rPr>
          <w:rStyle w:val="7340"/>
          <w:rtl/>
        </w:rPr>
        <w:t>דירקטוריון חברת קמ"ד</w:t>
      </w:r>
      <w:r w:rsidRPr="005F717F">
        <w:rPr>
          <w:rtl/>
        </w:rPr>
        <w:t xml:space="preserve"> - עלה כי בשנים 2017 - 2020 אין מניין חוקי לדירקטורי</w:t>
      </w:r>
      <w:r w:rsidRPr="005F717F">
        <w:rPr>
          <w:rFonts w:hint="cs"/>
          <w:rtl/>
        </w:rPr>
        <w:t>ון</w:t>
      </w:r>
      <w:r w:rsidRPr="005F717F">
        <w:rPr>
          <w:rtl/>
        </w:rPr>
        <w:t xml:space="preserve"> בחברת קמ"ד, ובמועד סיום הביקורת - ינואר </w:t>
      </w:r>
      <w:r w:rsidRPr="005F717F">
        <w:t>2022</w:t>
      </w:r>
      <w:r w:rsidRPr="005F717F">
        <w:rPr>
          <w:rtl/>
        </w:rPr>
        <w:t>, היה רק דירקטור אחד</w:t>
      </w:r>
      <w:r>
        <w:rPr>
          <w:rFonts w:hint="cs"/>
          <w:rtl/>
        </w:rPr>
        <w:t>.</w:t>
      </w:r>
    </w:p>
    <w:p w:rsidR="00420374" w:rsidRPr="00411396" w:rsidP="00420374" w14:paraId="5E6B04AD" w14:textId="6C48C06C">
      <w:pPr>
        <w:pStyle w:val="7392"/>
        <w:spacing w:before="360"/>
        <w:rPr>
          <w:rtl/>
        </w:rPr>
      </w:pPr>
      <w:r w:rsidRPr="00DD4253">
        <w:rPr>
          <w:b/>
          <w:bCs/>
          <w:rtl/>
        </w:rPr>
        <w:t>דירוג החברה</w:t>
      </w:r>
      <w:r w:rsidRPr="005F717F">
        <w:rPr>
          <w:rtl/>
        </w:rPr>
        <w:t xml:space="preserve"> - בפברואר 2020 דורגה החברה בדירוג ראשוני מותנה על ידי חברת דירוג האשראי "</w:t>
      </w:r>
      <w:r w:rsidRPr="005F717F">
        <w:rPr>
          <w:rtl/>
        </w:rPr>
        <w:t>מידרוג</w:t>
      </w:r>
      <w:r w:rsidRPr="005F717F">
        <w:rPr>
          <w:rtl/>
        </w:rPr>
        <w:t xml:space="preserve">" ברמה הגבוהה ביותר האפשרית - </w:t>
      </w:r>
      <w:r w:rsidRPr="005F717F">
        <w:t>Aaa.il</w:t>
      </w:r>
      <w:r w:rsidRPr="005F717F">
        <w:rPr>
          <w:rtl/>
        </w:rPr>
        <w:t>.</w:t>
      </w:r>
      <w:r w:rsidRPr="005F717F">
        <w:rPr>
          <w:rFonts w:hint="cs"/>
          <w:rtl/>
        </w:rPr>
        <w:t xml:space="preserve"> </w:t>
      </w:r>
      <w:r w:rsidRPr="005F717F">
        <w:rPr>
          <w:rtl/>
        </w:rPr>
        <w:t>במרץ 2022 פורסם דוח מעקב, ואופק הדירוג של איגרות חוב שהחברה הנפיקה באותה שנה נקבע כיציב</w:t>
      </w:r>
      <w:r>
        <w:rPr>
          <w:rFonts w:hint="cs"/>
          <w:rtl/>
        </w:rPr>
        <w:t xml:space="preserve">. </w:t>
      </w:r>
    </w:p>
    <w:p w:rsidR="00706096" w:rsidRPr="00243867" w:rsidP="00B8655F" w14:paraId="01D52D46" w14:textId="26A72034">
      <w:pPr>
        <w:pStyle w:val="7392"/>
        <w:jc w:val="left"/>
        <w:rPr>
          <w:spacing w:val="-2"/>
          <w:rtl/>
        </w:rPr>
      </w:pPr>
      <w:r w:rsidRPr="00B8655F">
        <w:rPr>
          <w:rStyle w:val="7340"/>
          <w:noProof/>
          <w:spacing w:val="-6"/>
          <w:rtl/>
        </w:rPr>
        <mc:AlternateContent>
          <mc:Choice Requires="wps">
            <w:drawing>
              <wp:anchor distT="45720" distB="45720" distL="114300" distR="114300" simplePos="0" relativeHeight="251678720" behindDoc="0" locked="0" layoutInCell="1" allowOverlap="1">
                <wp:simplePos x="0" y="0"/>
                <wp:positionH relativeFrom="column">
                  <wp:posOffset>-54610</wp:posOffset>
                </wp:positionH>
                <wp:positionV relativeFrom="paragraph">
                  <wp:posOffset>578790</wp:posOffset>
                </wp:positionV>
                <wp:extent cx="4779645" cy="768985"/>
                <wp:effectExtent l="0" t="0" r="8255" b="18415"/>
                <wp:wrapSquare wrapText="bothSides"/>
                <wp:docPr id="14510666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79645" cy="768985"/>
                        </a:xfrm>
                        <a:prstGeom prst="rect">
                          <a:avLst/>
                        </a:prstGeom>
                        <a:solidFill>
                          <a:srgbClr val="FFFFFF"/>
                        </a:solidFill>
                        <a:ln w="9525">
                          <a:solidFill>
                            <a:schemeClr val="bg1"/>
                          </a:solidFill>
                          <a:miter lim="800000"/>
                          <a:headEnd/>
                          <a:tailEnd/>
                        </a:ln>
                      </wps:spPr>
                      <wps:txbx>
                        <w:txbxContent>
                          <w:p w:rsidR="005D0F8C" w:rsidRPr="00662020" w:rsidP="00662020" w14:textId="77777777">
                            <w:pPr>
                              <w:pStyle w:val="7327"/>
                              <w:rPr>
                                <w:rtl/>
                              </w:rPr>
                            </w:pPr>
                            <w:r w:rsidRPr="00662020">
                              <w:rPr>
                                <w:rFonts w:hint="cs"/>
                                <w:rtl/>
                              </w:rPr>
                              <w:t>עיקרי המלצות הביקורת</w:t>
                            </w:r>
                          </w:p>
                          <w:p w:rsidR="005D0F8C" w:rsidP="005D0F8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376.35pt;height:60.55pt;margin-top:45.55pt;margin-left:-4.3pt;mso-height-percent:0;mso-height-relative:margin;mso-width-percent:0;mso-width-relative:margin;mso-wrap-distance-bottom:3.6pt;mso-wrap-distance-left:9pt;mso-wrap-distance-right:9pt;mso-wrap-distance-top:3.6pt;mso-wrap-style:square;position:absolute;visibility:visible;v-text-anchor:top;z-index:251679744" strokecolor="white">
                <v:textbox>
                  <w:txbxContent>
                    <w:p w:rsidR="005D0F8C" w:rsidRPr="00662020" w:rsidP="00662020" w14:paraId="53DEFFAD" w14:textId="77777777">
                      <w:pPr>
                        <w:pStyle w:val="7327"/>
                        <w:rPr>
                          <w:rtl/>
                        </w:rPr>
                      </w:pPr>
                      <w:r w:rsidRPr="00662020">
                        <w:rPr>
                          <w:rFonts w:hint="cs"/>
                          <w:rtl/>
                        </w:rPr>
                        <w:t>עיקרי המלצות הביקורת</w:t>
                      </w:r>
                    </w:p>
                    <w:p w:rsidR="005D0F8C" w:rsidP="005D0F8C" w14:paraId="2D036199" w14:textId="77777777"/>
                  </w:txbxContent>
                </v:textbox>
                <w10:wrap type="square"/>
              </v:shape>
            </w:pict>
          </mc:Fallback>
        </mc:AlternateContent>
      </w:r>
      <w:r w:rsidRPr="00B8655F">
        <w:rPr>
          <w:rStyle w:val="7340"/>
          <w:spacing w:val="-6"/>
          <w:rtl/>
        </w:rPr>
        <w:t>ממשל תאגידי</w:t>
      </w:r>
      <w:r w:rsidRPr="00B8655F">
        <w:rPr>
          <w:spacing w:val="-6"/>
          <w:rtl/>
        </w:rPr>
        <w:t xml:space="preserve"> - משרד מבקר המדינה מציין לחיוב את החברה על קבלת עמידה בתקן</w:t>
      </w:r>
      <w:r w:rsidRPr="00B8655F" w:rsidR="00243867">
        <w:rPr>
          <w:spacing w:val="-6"/>
        </w:rPr>
        <w:t xml:space="preserve"> </w:t>
      </w:r>
      <w:r w:rsidRPr="00B8655F" w:rsidR="00243867">
        <w:rPr>
          <w:rFonts w:hint="cs"/>
          <w:spacing w:val="-6"/>
          <w:rtl/>
        </w:rPr>
        <w:t xml:space="preserve">37001 </w:t>
      </w:r>
      <w:r w:rsidRPr="00B8655F" w:rsidR="00243867">
        <w:rPr>
          <w:spacing w:val="-6"/>
        </w:rPr>
        <w:t>ISO</w:t>
      </w:r>
      <w:r w:rsidRPr="00B8655F" w:rsidR="00243867">
        <w:rPr>
          <w:rFonts w:hint="cs"/>
          <w:spacing w:val="-4"/>
          <w:rtl/>
        </w:rPr>
        <w:t xml:space="preserve"> </w:t>
      </w:r>
      <w:r w:rsidR="00B8655F">
        <w:br/>
      </w:r>
      <w:r w:rsidRPr="00B8655F">
        <w:rPr>
          <w:rtl/>
        </w:rPr>
        <w:t>למערכת למניעת שוחד, ועל פיתוח קוד אתי והטמעתו והפעלת מערך יעיל להערכת סיכונים</w:t>
      </w:r>
      <w:r w:rsidRPr="00B8655F" w:rsidR="00420374">
        <w:rPr>
          <w:rFonts w:hint="cs"/>
          <w:rtl/>
        </w:rPr>
        <w:t>.</w:t>
      </w:r>
      <w:r w:rsidRPr="00243867" w:rsidR="00706096">
        <w:rPr>
          <w:spacing w:val="-2"/>
          <w:rtl/>
        </w:rPr>
        <w:t xml:space="preserve"> </w:t>
      </w:r>
    </w:p>
    <w:p w:rsidR="005D0F8C" w:rsidRPr="008E57FE" w:rsidP="00C96EB2" w14:paraId="74996E08" w14:textId="38AAAF50">
      <w:pPr>
        <w:pStyle w:val="7317"/>
        <w:ind w:left="566"/>
        <w:rPr>
          <w:rtl/>
        </w:rPr>
      </w:pPr>
      <w:r w:rsidRPr="00B02658">
        <w:rPr>
          <w:rFonts w:hint="cs"/>
          <w:b/>
          <w:bCs/>
          <w:noProof/>
          <w:rtl/>
        </w:rPr>
        <w:drawing>
          <wp:anchor distT="0" distB="1440180" distL="107950" distR="114300" simplePos="0" relativeHeight="251699200" behindDoc="1" locked="0" layoutInCell="1" allowOverlap="1">
            <wp:simplePos x="0" y="0"/>
            <wp:positionH relativeFrom="column">
              <wp:posOffset>4462651</wp:posOffset>
            </wp:positionH>
            <wp:positionV relativeFrom="paragraph">
              <wp:posOffset>998855</wp:posOffset>
            </wp:positionV>
            <wp:extent cx="144000" cy="162000"/>
            <wp:effectExtent l="0" t="0" r="0" b="3175"/>
            <wp:wrapTight wrapText="bothSides">
              <wp:wrapPolygon>
                <wp:start x="1912" y="0"/>
                <wp:lineTo x="0" y="1694"/>
                <wp:lineTo x="0" y="20329"/>
                <wp:lineTo x="19115" y="20329"/>
                <wp:lineTo x="19115" y="0"/>
                <wp:lineTo x="1912" y="0"/>
              </wp:wrapPolygon>
            </wp:wrapTight>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F717F" w:rsidR="00DD4253">
        <w:rPr>
          <w:rtl/>
        </w:rPr>
        <w:t>על משרד האוצר, בהובלת החשב הכללי</w:t>
      </w:r>
      <w:r w:rsidRPr="005F717F" w:rsidR="00DD4253">
        <w:rPr>
          <w:rFonts w:hint="cs"/>
          <w:rtl/>
        </w:rPr>
        <w:t>,</w:t>
      </w:r>
      <w:r w:rsidRPr="005F717F" w:rsidR="00DD4253">
        <w:rPr>
          <w:rtl/>
        </w:rPr>
        <w:t xml:space="preserve"> רשות החברות הממשלתיות</w:t>
      </w:r>
      <w:r w:rsidRPr="005F717F" w:rsidR="00DD4253">
        <w:rPr>
          <w:rFonts w:hint="cs"/>
          <w:rtl/>
        </w:rPr>
        <w:t>,</w:t>
      </w:r>
      <w:r w:rsidRPr="005F717F" w:rsidR="00DD4253">
        <w:rPr>
          <w:rtl/>
        </w:rPr>
        <w:t xml:space="preserve"> משרד </w:t>
      </w:r>
      <w:r w:rsidRPr="005F717F" w:rsidR="00DD4253">
        <w:rPr>
          <w:rtl/>
        </w:rPr>
        <w:t>האנרגייה</w:t>
      </w:r>
      <w:r w:rsidRPr="005F717F" w:rsidR="00DD4253">
        <w:rPr>
          <w:rFonts w:hint="cs"/>
          <w:rtl/>
        </w:rPr>
        <w:t>,</w:t>
      </w:r>
      <w:r w:rsidRPr="005F717F" w:rsidR="00DD4253">
        <w:rPr>
          <w:rtl/>
        </w:rPr>
        <w:t xml:space="preserve"> </w:t>
      </w:r>
      <w:r w:rsidRPr="005F717F" w:rsidR="00DD4253">
        <w:rPr>
          <w:rtl/>
        </w:rPr>
        <w:t>רמ"י</w:t>
      </w:r>
      <w:r w:rsidRPr="005F717F" w:rsidR="00DD4253">
        <w:rPr>
          <w:rtl/>
        </w:rPr>
        <w:t xml:space="preserve"> ורשות המיסים להשלים גיבוש נוסח מוסכם של הסכם הפעלה עם החברה, זאת כדי להסדיר את תשלומי דמי השימוש במקרקעין ושומת מס ההכנסה ואת העברת </w:t>
      </w:r>
      <w:r w:rsidRPr="005F717F" w:rsidR="00DD4253">
        <w:rPr>
          <w:rFonts w:hint="cs"/>
          <w:rtl/>
        </w:rPr>
        <w:t>ה</w:t>
      </w:r>
      <w:r w:rsidRPr="005F717F" w:rsidR="00DD4253">
        <w:rPr>
          <w:rtl/>
        </w:rPr>
        <w:t>דיבידנדים ו</w:t>
      </w:r>
      <w:r w:rsidRPr="005F717F" w:rsidR="00DD4253">
        <w:rPr>
          <w:rFonts w:hint="cs"/>
          <w:rtl/>
        </w:rPr>
        <w:t>ה</w:t>
      </w:r>
      <w:r w:rsidRPr="005F717F" w:rsidR="00DD4253">
        <w:rPr>
          <w:rtl/>
        </w:rPr>
        <w:t>נכסים למדינה ולאפשר את פעילותה הסדירה של החברה ואת פיתוחה בטווח הארוך עם רישיון מחודש. הצורך מתחדד בשעה שהחברה מתכננת לגייס כספים נוספים מהציבור באמצעות הנפקת איגרות חוב</w:t>
      </w:r>
      <w:r w:rsidRPr="008E57FE">
        <w:rPr>
          <w:rFonts w:hint="cs"/>
          <w:rtl/>
        </w:rPr>
        <w:t>.</w:t>
      </w:r>
    </w:p>
    <w:p w:rsidR="0093709F" w:rsidP="00C96EB2" w14:paraId="0466320B" w14:textId="2497F677">
      <w:pPr>
        <w:pStyle w:val="7317"/>
        <w:ind w:left="566"/>
      </w:pPr>
      <w:r w:rsidRPr="00B02658">
        <w:rPr>
          <w:rFonts w:hint="cs"/>
          <w:b/>
          <w:bCs/>
          <w:noProof/>
          <w:rtl/>
        </w:rPr>
        <w:drawing>
          <wp:anchor distT="0" distB="1440180" distL="107950" distR="114300" simplePos="0" relativeHeight="251700224" behindDoc="1" locked="0" layoutInCell="1" allowOverlap="1">
            <wp:simplePos x="0" y="0"/>
            <wp:positionH relativeFrom="column">
              <wp:posOffset>4470400</wp:posOffset>
            </wp:positionH>
            <wp:positionV relativeFrom="paragraph">
              <wp:posOffset>8761</wp:posOffset>
            </wp:positionV>
            <wp:extent cx="144000" cy="162000"/>
            <wp:effectExtent l="0" t="0" r="0" b="3175"/>
            <wp:wrapTight wrapText="bothSides">
              <wp:wrapPolygon>
                <wp:start x="1912" y="0"/>
                <wp:lineTo x="0" y="1694"/>
                <wp:lineTo x="0" y="20329"/>
                <wp:lineTo x="19115" y="20329"/>
                <wp:lineTo x="19115" y="0"/>
                <wp:lineTo x="1912" y="0"/>
              </wp:wrapPolygon>
            </wp:wrapTight>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F717F" w:rsidR="00DD4253">
        <w:rPr>
          <w:rtl/>
        </w:rPr>
        <w:t xml:space="preserve">מוצע לרשות החברות הממשלתיות ולמשרד האוצר לפעול להסדרת התשלומים למדינה עבור השימוש בנכסים הפעילים, לרבות הסדרת חובות העבר. על </w:t>
      </w:r>
      <w:r w:rsidRPr="005F717F" w:rsidR="00DD4253">
        <w:rPr>
          <w:rtl/>
        </w:rPr>
        <w:t>רמ"י</w:t>
      </w:r>
      <w:r w:rsidRPr="005F717F" w:rsidR="00DD4253">
        <w:rPr>
          <w:rtl/>
        </w:rPr>
        <w:t xml:space="preserve"> והחברה להסדיר הסכמי חכירה תקפים לגבי כלל נכסי החברה, כדי שלחברה תהיה ודאות בנוגע לזכויותיה וחובותיה כלפי המדינה בנושאי מקרקעין, וכדי שהמדינה תקבל דמי חכירה ודמי שימוש במקרקעין</w:t>
      </w:r>
      <w:r w:rsidRPr="008E57FE" w:rsidR="005D0F8C">
        <w:rPr>
          <w:rFonts w:hint="cs"/>
          <w:rtl/>
        </w:rPr>
        <w:t xml:space="preserve">. </w:t>
      </w:r>
    </w:p>
    <w:p w:rsidR="005D0F8C" w:rsidRPr="008E57FE" w:rsidP="00C96EB2" w14:paraId="6C626C68" w14:textId="0D369A9F">
      <w:pPr>
        <w:pStyle w:val="7317"/>
        <w:ind w:left="566"/>
      </w:pPr>
      <w:r w:rsidRPr="00B02658">
        <w:rPr>
          <w:rFonts w:hint="cs"/>
          <w:b/>
          <w:bCs/>
          <w:noProof/>
          <w:rtl/>
        </w:rPr>
        <w:drawing>
          <wp:anchor distT="0" distB="1440180" distL="107950" distR="114300" simplePos="0" relativeHeight="251701248" behindDoc="1" locked="0" layoutInCell="1" allowOverlap="1">
            <wp:simplePos x="0" y="0"/>
            <wp:positionH relativeFrom="column">
              <wp:posOffset>4479796</wp:posOffset>
            </wp:positionH>
            <wp:positionV relativeFrom="paragraph">
              <wp:posOffset>16510</wp:posOffset>
            </wp:positionV>
            <wp:extent cx="144000" cy="162000"/>
            <wp:effectExtent l="0" t="0" r="0" b="3175"/>
            <wp:wrapTight wrapText="bothSides">
              <wp:wrapPolygon>
                <wp:start x="1912" y="0"/>
                <wp:lineTo x="0" y="1694"/>
                <wp:lineTo x="0" y="20329"/>
                <wp:lineTo x="19115" y="20329"/>
                <wp:lineTo x="19115" y="0"/>
                <wp:lineTo x="1912" y="0"/>
              </wp:wrapPolygon>
            </wp:wrapTight>
            <wp:docPr id="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F717F" w:rsidR="00DD4253">
        <w:rPr>
          <w:rtl/>
        </w:rPr>
        <w:t xml:space="preserve">על החברה לממש את החלטת הדירקטוריון שלה מיוני 2021 ולפעול לחלוקת דיבידנדים למדינה בשיעור שנקבע לה על ידי רשות החברות הממשלתיות (50% מהרווח הנקי). מומלץ כי רשות החברות הממשלתיות תוודא </w:t>
      </w:r>
      <w:r w:rsidRPr="005F717F" w:rsidR="00DD4253">
        <w:rPr>
          <w:rFonts w:hint="cs"/>
          <w:rtl/>
        </w:rPr>
        <w:t>עמיד</w:t>
      </w:r>
      <w:r w:rsidRPr="005F717F" w:rsidR="00DD4253">
        <w:rPr>
          <w:rtl/>
        </w:rPr>
        <w:t>ת</w:t>
      </w:r>
      <w:r w:rsidRPr="005F717F" w:rsidR="00DD4253">
        <w:rPr>
          <w:rFonts w:hint="cs"/>
          <w:rtl/>
        </w:rPr>
        <w:t xml:space="preserve"> </w:t>
      </w:r>
      <w:r w:rsidRPr="005F717F" w:rsidR="00DD4253">
        <w:rPr>
          <w:rtl/>
        </w:rPr>
        <w:t>החברה ביעדי חלוקת הדיבידנד שרשות החברות הממשלתיות הציבה לה, באופן שוטף במסגרת הבקרה על עמידת החברה בכלל יעדיה</w:t>
      </w:r>
      <w:r w:rsidRPr="008E57FE">
        <w:rPr>
          <w:rtl/>
        </w:rPr>
        <w:t xml:space="preserve">. </w:t>
      </w:r>
    </w:p>
    <w:p w:rsidR="005D0F8C" w:rsidP="00C96EB2" w14:paraId="16E5BFEE" w14:textId="4647C1EE">
      <w:pPr>
        <w:pStyle w:val="7317"/>
        <w:ind w:left="566"/>
        <w:rPr>
          <w:rtl/>
        </w:rPr>
      </w:pPr>
      <w:r w:rsidRPr="00B02658">
        <w:rPr>
          <w:rFonts w:hint="cs"/>
          <w:b/>
          <w:bCs/>
          <w:noProof/>
          <w:rtl/>
        </w:rPr>
        <w:drawing>
          <wp:anchor distT="0" distB="1440180" distL="107950" distR="114300" simplePos="0" relativeHeight="251702272" behindDoc="1" locked="0" layoutInCell="1" allowOverlap="1">
            <wp:simplePos x="0" y="0"/>
            <wp:positionH relativeFrom="column">
              <wp:posOffset>4536440</wp:posOffset>
            </wp:positionH>
            <wp:positionV relativeFrom="paragraph">
              <wp:posOffset>49788</wp:posOffset>
            </wp:positionV>
            <wp:extent cx="144000" cy="162000"/>
            <wp:effectExtent l="0" t="0" r="0" b="3175"/>
            <wp:wrapTight wrapText="bothSides">
              <wp:wrapPolygon>
                <wp:start x="1912" y="0"/>
                <wp:lineTo x="0" y="1694"/>
                <wp:lineTo x="0" y="20329"/>
                <wp:lineTo x="19115" y="20329"/>
                <wp:lineTo x="19115" y="0"/>
                <wp:lineTo x="1912" y="0"/>
              </wp:wrapPolygon>
            </wp:wrapTight>
            <wp:docPr id="5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F717F" w:rsidR="00DD4253">
        <w:rPr>
          <w:rtl/>
        </w:rPr>
        <w:t>משרד מבקר המדינה ממליץ לדירקטוריון החברה ולרשות החברות הממשלתיות לבחון את שיעורו הגבוה של הרווח הנקי של החברה במשך השנים. עוד מומלץ כי ועדת המחירים-</w:t>
      </w:r>
      <w:r w:rsidRPr="005F717F" w:rsidR="00DD4253">
        <w:rPr>
          <w:rtl/>
        </w:rPr>
        <w:t>אנרגייה</w:t>
      </w:r>
      <w:r w:rsidRPr="005F717F" w:rsidR="00DD4253">
        <w:rPr>
          <w:rtl/>
        </w:rPr>
        <w:t xml:space="preserve"> תבחן את התעריפים שאושרו לחברה גורם מרכזי או מונופול בתחומי בליבת הפעילות שלה, כמשפיעים על ההכנסות ורווחיותה בדוחותיה הכספיים</w:t>
      </w:r>
      <w:r w:rsidRPr="008E57FE">
        <w:rPr>
          <w:rFonts w:hint="cs"/>
          <w:rtl/>
        </w:rPr>
        <w:t>.</w:t>
      </w:r>
    </w:p>
    <w:p w:rsidR="00706096" w:rsidP="00C96EB2" w14:paraId="3F6A2BE4" w14:textId="49E7AC2A">
      <w:pPr>
        <w:pStyle w:val="7317"/>
        <w:spacing w:after="120"/>
        <w:ind w:left="566"/>
        <w:rPr>
          <w:rtl/>
        </w:rPr>
      </w:pPr>
      <w:r w:rsidRPr="00B02658">
        <w:rPr>
          <w:rFonts w:hint="cs"/>
          <w:b/>
          <w:bCs/>
          <w:noProof/>
          <w:rtl/>
        </w:rPr>
        <w:drawing>
          <wp:anchor distT="0" distB="1440180" distL="107950" distR="114300" simplePos="0" relativeHeight="251703296" behindDoc="1" locked="0" layoutInCell="1" allowOverlap="1">
            <wp:simplePos x="0" y="0"/>
            <wp:positionH relativeFrom="column">
              <wp:posOffset>4528691</wp:posOffset>
            </wp:positionH>
            <wp:positionV relativeFrom="paragraph">
              <wp:posOffset>10795</wp:posOffset>
            </wp:positionV>
            <wp:extent cx="143510" cy="161925"/>
            <wp:effectExtent l="0" t="0" r="0" b="3175"/>
            <wp:wrapTight wrapText="bothSides">
              <wp:wrapPolygon>
                <wp:start x="1912" y="0"/>
                <wp:lineTo x="0" y="1694"/>
                <wp:lineTo x="0" y="20329"/>
                <wp:lineTo x="19115" y="20329"/>
                <wp:lineTo x="19115" y="0"/>
                <wp:lineTo x="1912" y="0"/>
              </wp:wrapPolygon>
            </wp:wrapTight>
            <wp:docPr id="5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F717F" w:rsidR="00DD4253">
        <w:rPr>
          <w:rtl/>
        </w:rPr>
        <w:t xml:space="preserve">מומלץ כי שרת </w:t>
      </w:r>
      <w:r w:rsidRPr="005F717F" w:rsidR="00DD4253">
        <w:rPr>
          <w:rtl/>
        </w:rPr>
        <w:t>האנרגייה</w:t>
      </w:r>
      <w:r w:rsidRPr="005F717F" w:rsidR="00DD4253">
        <w:rPr>
          <w:rtl/>
        </w:rPr>
        <w:t xml:space="preserve">, שר האוצר ורשות החברות הממשלתיות יפעלו לייצוג הולם של נשים בדירקטוריון החברה. עוד מומלץ כי שרת </w:t>
      </w:r>
      <w:r w:rsidRPr="005F717F" w:rsidR="00DD4253">
        <w:rPr>
          <w:rtl/>
        </w:rPr>
        <w:t>האנרגייה</w:t>
      </w:r>
      <w:r w:rsidRPr="005F717F" w:rsidR="00DD4253">
        <w:rPr>
          <w:rtl/>
        </w:rPr>
        <w:t xml:space="preserve"> ושר האוצר ימנו דירקטורים לחברת קמ"ד, כדי שהיא תוכל לקבל החלטות כדין</w:t>
      </w:r>
      <w:r w:rsidRPr="008E57FE">
        <w:rPr>
          <w:rFonts w:hint="cs"/>
          <w:rtl/>
        </w:rPr>
        <w:t>.</w:t>
      </w:r>
    </w:p>
    <w:p w:rsidR="005D0F8C" w:rsidP="00706096" w14:paraId="24125138" w14:textId="7CFC6504">
      <w:pPr>
        <w:tabs>
          <w:tab w:val="right" w:pos="7370"/>
        </w:tabs>
        <w:bidi w:val="0"/>
        <w:spacing w:after="200" w:line="276" w:lineRule="auto"/>
        <w:rPr>
          <w:rtl/>
        </w:rPr>
      </w:pPr>
      <w:r w:rsidRPr="00D527BD">
        <w:rPr>
          <w:noProof/>
          <w:szCs w:val="20"/>
          <w:rtl/>
        </w:rPr>
        <w:drawing>
          <wp:anchor distT="0" distB="0" distL="114300" distR="114300" simplePos="0" relativeHeight="251680768" behindDoc="0" locked="0" layoutInCell="1" allowOverlap="1">
            <wp:simplePos x="0" y="0"/>
            <wp:positionH relativeFrom="column">
              <wp:posOffset>-33411</wp:posOffset>
            </wp:positionH>
            <wp:positionV relativeFrom="paragraph">
              <wp:posOffset>181805</wp:posOffset>
            </wp:positionV>
            <wp:extent cx="4796546" cy="762551"/>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33735" cy="768463"/>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81792" behindDoc="0" locked="0" layoutInCell="1" allowOverlap="1">
                <wp:simplePos x="0" y="0"/>
                <wp:positionH relativeFrom="column">
                  <wp:posOffset>226011</wp:posOffset>
                </wp:positionH>
                <wp:positionV relativeFrom="paragraph">
                  <wp:posOffset>280670</wp:posOffset>
                </wp:positionV>
                <wp:extent cx="4436745" cy="414997"/>
                <wp:effectExtent l="0" t="0" r="0" b="4445"/>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14997"/>
                        </a:xfrm>
                        <a:prstGeom prst="rect">
                          <a:avLst/>
                        </a:prstGeom>
                        <a:solidFill>
                          <a:srgbClr val="F05260"/>
                        </a:solidFill>
                        <a:ln w="9525">
                          <a:noFill/>
                          <a:miter lim="800000"/>
                          <a:headEnd/>
                          <a:tailEnd/>
                        </a:ln>
                      </wps:spPr>
                      <wps:txbx>
                        <w:txbxContent>
                          <w:p w:rsidR="005D0F8C" w:rsidRPr="00DD4253" w:rsidP="00DD4253" w14:textId="4821C66C">
                            <w:pPr>
                              <w:pStyle w:val="7332"/>
                              <w:spacing w:before="0"/>
                              <w:rPr>
                                <w:rtl/>
                              </w:rPr>
                            </w:pPr>
                            <w:r w:rsidRPr="00A66674">
                              <w:rPr>
                                <w:rtl/>
                              </w:rPr>
                              <w:t xml:space="preserve">תחומי הפעילות (מגזרים) של החברה </w:t>
                            </w:r>
                            <w:r w:rsidRPr="005F717F">
                              <w:rPr>
                                <w:rtl/>
                              </w:rPr>
                              <w:t>בשנת</w:t>
                            </w:r>
                            <w:r w:rsidRPr="008861BD">
                              <w:rPr>
                                <w:rFonts w:hint="cs"/>
                                <w:rtl/>
                              </w:rPr>
                              <w:t xml:space="preserve"> 2020 </w:t>
                            </w:r>
                            <w:r>
                              <w:rPr>
                                <w:rtl/>
                              </w:rPr>
                              <w:br/>
                            </w:r>
                            <w:r w:rsidRPr="008861BD">
                              <w:rPr>
                                <w:rFonts w:hint="cs"/>
                                <w:rtl/>
                              </w:rPr>
                              <w:t>(באלפי ש"ח)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8" type="#_x0000_t202" style="width:349.35pt;height:32.7pt;margin-top:22.1pt;margin-left:17.8pt;mso-height-percent:0;mso-height-relative:margin;mso-width-percent:0;mso-width-relative:margin;mso-wrap-distance-bottom:0;mso-wrap-distance-left:9pt;mso-wrap-distance-right:9pt;mso-wrap-distance-top:0;mso-wrap-style:square;position:absolute;visibility:visible;v-text-anchor:middle;z-index:251682816" fillcolor="#f05260" stroked="f">
                <v:textbox>
                  <w:txbxContent>
                    <w:p w:rsidR="005D0F8C" w:rsidRPr="00DD4253" w:rsidP="00DD4253" w14:paraId="1D5D7976" w14:textId="4821C66C">
                      <w:pPr>
                        <w:pStyle w:val="7332"/>
                        <w:spacing w:before="0"/>
                        <w:rPr>
                          <w:rtl/>
                        </w:rPr>
                      </w:pPr>
                      <w:r w:rsidRPr="00A66674">
                        <w:rPr>
                          <w:rtl/>
                        </w:rPr>
                        <w:t xml:space="preserve">תחומי הפעילות (מגזרים) של החברה </w:t>
                      </w:r>
                      <w:r w:rsidRPr="005F717F">
                        <w:rPr>
                          <w:rtl/>
                        </w:rPr>
                        <w:t>בשנת</w:t>
                      </w:r>
                      <w:r w:rsidRPr="008861BD">
                        <w:rPr>
                          <w:rFonts w:hint="cs"/>
                          <w:rtl/>
                        </w:rPr>
                        <w:t xml:space="preserve"> 2020 </w:t>
                      </w:r>
                      <w:r>
                        <w:rPr>
                          <w:rtl/>
                        </w:rPr>
                        <w:br/>
                      </w:r>
                      <w:r w:rsidRPr="008861BD">
                        <w:rPr>
                          <w:rFonts w:hint="cs"/>
                          <w:rtl/>
                        </w:rPr>
                        <w:t>(באלפי ש"ח)</w:t>
                      </w:r>
                    </w:p>
                  </w:txbxContent>
                </v:textbox>
              </v:shape>
            </w:pict>
          </mc:Fallback>
        </mc:AlternateContent>
      </w:r>
    </w:p>
    <w:p w:rsidR="005D0F8C" w:rsidP="005D0F8C" w14:paraId="6DC28C4F" w14:textId="68EC595C">
      <w:pPr>
        <w:pStyle w:val="7317"/>
        <w:rPr>
          <w:rtl/>
        </w:rPr>
      </w:pPr>
      <w:r>
        <w:rPr>
          <w:rtl/>
        </w:rPr>
        <w:t xml:space="preserve"> </w:t>
      </w:r>
    </w:p>
    <w:p w:rsidR="005D0F8C" w:rsidP="005D0F8C" w14:paraId="5B8DB107" w14:textId="20FFFE4E">
      <w:pPr>
        <w:pStyle w:val="7317"/>
        <w:rPr>
          <w:rtl/>
        </w:rPr>
      </w:pPr>
    </w:p>
    <w:p w:rsidR="000B31AA" w:rsidRPr="000B31AA" w:rsidP="00662020" w14:paraId="1001632A" w14:textId="10F81D66">
      <w:pPr>
        <w:pStyle w:val="738"/>
        <w:spacing w:before="0" w:after="0"/>
        <w:rPr>
          <w:rtl/>
        </w:rPr>
      </w:pPr>
    </w:p>
    <w:tbl>
      <w:tblPr>
        <w:tblStyle w:val="TableGrid"/>
        <w:bidiVisual/>
        <w:tblW w:w="5000" w:type="pct"/>
        <w:tblBorders>
          <w:top w:val="none" w:sz="0" w:space="0" w:color="auto"/>
          <w:left w:val="single" w:sz="2" w:space="0" w:color="000000" w:themeColor="text1"/>
          <w:bottom w:val="none" w:sz="0" w:space="0" w:color="auto"/>
          <w:right w:val="single" w:sz="2" w:space="0" w:color="000000" w:themeColor="text1"/>
          <w:insideH w:val="none" w:sz="0" w:space="0" w:color="auto"/>
          <w:insideV w:val="single" w:sz="2" w:space="0" w:color="000000" w:themeColor="text1"/>
        </w:tblBorders>
        <w:tblLook w:val="04A0"/>
      </w:tblPr>
      <w:tblGrid>
        <w:gridCol w:w="1687"/>
        <w:gridCol w:w="1326"/>
        <w:gridCol w:w="1085"/>
        <w:gridCol w:w="1085"/>
        <w:gridCol w:w="1085"/>
        <w:gridCol w:w="1096"/>
      </w:tblGrid>
      <w:tr w14:paraId="3A9BB0F3" w14:textId="77777777" w:rsidTr="00AE5E0E">
        <w:tblPrEx>
          <w:tblW w:w="5000" w:type="pct"/>
          <w:tblBorders>
            <w:top w:val="none" w:sz="0" w:space="0" w:color="auto"/>
            <w:left w:val="single" w:sz="2" w:space="0" w:color="000000" w:themeColor="text1"/>
            <w:bottom w:val="none" w:sz="0" w:space="0" w:color="auto"/>
            <w:right w:val="single" w:sz="2" w:space="0" w:color="000000" w:themeColor="text1"/>
            <w:insideH w:val="none" w:sz="0" w:space="0" w:color="auto"/>
            <w:insideV w:val="single" w:sz="2" w:space="0" w:color="000000" w:themeColor="text1"/>
          </w:tblBorders>
          <w:tblLook w:val="04A0"/>
        </w:tblPrEx>
        <w:trPr>
          <w:trHeight w:val="840"/>
        </w:trPr>
        <w:tc>
          <w:tcPr>
            <w:tcW w:w="1145" w:type="pct"/>
            <w:shd w:val="clear" w:color="auto" w:fill="C8DCE4"/>
            <w:vAlign w:val="bottom"/>
          </w:tcPr>
          <w:p w:rsidR="00AE5E0E" w:rsidRPr="00DD4253" w:rsidP="00DD4253" w14:paraId="39241F2E" w14:textId="77777777">
            <w:pPr>
              <w:pStyle w:val="73B"/>
              <w:rPr>
                <w:rtl/>
              </w:rPr>
            </w:pPr>
          </w:p>
        </w:tc>
        <w:tc>
          <w:tcPr>
            <w:tcW w:w="900" w:type="pct"/>
            <w:shd w:val="clear" w:color="auto" w:fill="C8DCE4"/>
            <w:vAlign w:val="bottom"/>
          </w:tcPr>
          <w:p w:rsidR="00AE5E0E" w:rsidRPr="00DD4253" w:rsidP="00DD4253" w14:paraId="39CCF603" w14:textId="725AF0CE">
            <w:pPr>
              <w:pStyle w:val="73B"/>
              <w:rPr>
                <w:rtl/>
              </w:rPr>
            </w:pPr>
            <w:r w:rsidRPr="00DD4253">
              <w:rPr>
                <w:rFonts w:hint="cs"/>
                <w:rtl/>
              </w:rPr>
              <w:t>אחסון וניפוק תזקיקים</w:t>
            </w:r>
          </w:p>
        </w:tc>
        <w:tc>
          <w:tcPr>
            <w:tcW w:w="737" w:type="pct"/>
            <w:shd w:val="clear" w:color="auto" w:fill="C8DCE4"/>
            <w:vAlign w:val="bottom"/>
          </w:tcPr>
          <w:p w:rsidR="00AE5E0E" w:rsidRPr="00DD4253" w:rsidP="00DD4253" w14:paraId="0706A3D1" w14:textId="2FE1FC0C">
            <w:pPr>
              <w:pStyle w:val="73B"/>
              <w:rPr>
                <w:rtl/>
              </w:rPr>
            </w:pPr>
            <w:r w:rsidRPr="00DD4253">
              <w:rPr>
                <w:rtl/>
              </w:rPr>
              <w:t>הזרמות</w:t>
            </w:r>
          </w:p>
        </w:tc>
        <w:tc>
          <w:tcPr>
            <w:tcW w:w="737" w:type="pct"/>
            <w:shd w:val="clear" w:color="auto" w:fill="C8DCE4"/>
            <w:vAlign w:val="bottom"/>
          </w:tcPr>
          <w:p w:rsidR="00AE5E0E" w:rsidRPr="00DD4253" w:rsidP="00DD4253" w14:paraId="24C72A6C" w14:textId="0B8F2C82">
            <w:pPr>
              <w:pStyle w:val="73B"/>
              <w:rPr>
                <w:rtl/>
              </w:rPr>
            </w:pPr>
            <w:r w:rsidRPr="00DD4253">
              <w:rPr>
                <w:rtl/>
              </w:rPr>
              <w:t>שירותי נמל</w:t>
            </w:r>
          </w:p>
        </w:tc>
        <w:tc>
          <w:tcPr>
            <w:tcW w:w="737" w:type="pct"/>
            <w:shd w:val="clear" w:color="auto" w:fill="C8DCE4"/>
            <w:vAlign w:val="bottom"/>
          </w:tcPr>
          <w:p w:rsidR="00AE5E0E" w:rsidRPr="00DD4253" w:rsidP="00AE5E0E" w14:paraId="07B32C22" w14:textId="314AA18A">
            <w:pPr>
              <w:pStyle w:val="73B"/>
              <w:rPr>
                <w:rtl/>
              </w:rPr>
            </w:pPr>
            <w:r w:rsidRPr="00DD4253">
              <w:rPr>
                <w:rtl/>
              </w:rPr>
              <w:t>אחסון</w:t>
            </w:r>
            <w:r>
              <w:br/>
            </w:r>
            <w:r w:rsidRPr="00DD4253">
              <w:rPr>
                <w:rtl/>
              </w:rPr>
              <w:t>נפט גולמי</w:t>
            </w:r>
          </w:p>
        </w:tc>
        <w:tc>
          <w:tcPr>
            <w:tcW w:w="744" w:type="pct"/>
            <w:shd w:val="clear" w:color="auto" w:fill="C8DCE4"/>
            <w:vAlign w:val="bottom"/>
          </w:tcPr>
          <w:p w:rsidR="00AE5E0E" w:rsidRPr="00DD4253" w:rsidP="00DD4253" w14:paraId="7FB0BEFB" w14:textId="57782E3A">
            <w:pPr>
              <w:pStyle w:val="73B"/>
              <w:rPr>
                <w:rtl/>
              </w:rPr>
            </w:pPr>
            <w:r w:rsidRPr="00DD4253">
              <w:rPr>
                <w:rtl/>
              </w:rPr>
              <w:t>סה"כ</w:t>
            </w:r>
          </w:p>
        </w:tc>
      </w:tr>
      <w:tr w14:paraId="678D20D5" w14:textId="77777777" w:rsidTr="00AE5E0E">
        <w:tblPrEx>
          <w:tblW w:w="5000" w:type="pct"/>
          <w:tblLook w:val="04A0"/>
        </w:tblPrEx>
        <w:trPr>
          <w:trHeight w:val="170"/>
        </w:trPr>
        <w:tc>
          <w:tcPr>
            <w:tcW w:w="1145" w:type="pct"/>
            <w:shd w:val="clear" w:color="auto" w:fill="DEEBEE"/>
            <w:vAlign w:val="center"/>
          </w:tcPr>
          <w:p w:rsidR="00DD4253" w:rsidP="003D2B25" w14:paraId="12C3CD61" w14:textId="709247DE">
            <w:pPr>
              <w:pStyle w:val="73R"/>
              <w:spacing w:before="100" w:after="100"/>
              <w:rPr>
                <w:rtl/>
              </w:rPr>
            </w:pPr>
            <w:r w:rsidRPr="00155285">
              <w:rPr>
                <w:rFonts w:eastAsia="Times New Roman"/>
                <w:b/>
                <w:bCs/>
                <w:color w:val="000000"/>
                <w:rtl/>
              </w:rPr>
              <w:t>הכנסות</w:t>
            </w:r>
          </w:p>
        </w:tc>
        <w:tc>
          <w:tcPr>
            <w:tcW w:w="900" w:type="pct"/>
            <w:shd w:val="clear" w:color="auto" w:fill="DEEBEE"/>
            <w:vAlign w:val="center"/>
          </w:tcPr>
          <w:p w:rsidR="00DD4253" w:rsidP="003D2B25" w14:paraId="7CAAB257" w14:textId="36DC0643">
            <w:pPr>
              <w:pStyle w:val="73R"/>
              <w:spacing w:before="100" w:after="100"/>
              <w:rPr>
                <w:rtl/>
              </w:rPr>
            </w:pPr>
            <w:r w:rsidRPr="00155285">
              <w:rPr>
                <w:rFonts w:eastAsia="Times New Roman"/>
                <w:color w:val="000000"/>
              </w:rPr>
              <w:t>147,913</w:t>
            </w:r>
          </w:p>
        </w:tc>
        <w:tc>
          <w:tcPr>
            <w:tcW w:w="737" w:type="pct"/>
            <w:shd w:val="clear" w:color="auto" w:fill="DEEBEE"/>
            <w:vAlign w:val="center"/>
          </w:tcPr>
          <w:p w:rsidR="00DD4253" w:rsidP="003D2B25" w14:paraId="3B88A4F9" w14:textId="31E9007F">
            <w:pPr>
              <w:pStyle w:val="73R"/>
              <w:spacing w:before="100" w:after="100"/>
              <w:rPr>
                <w:rtl/>
              </w:rPr>
            </w:pPr>
            <w:r w:rsidRPr="00155285">
              <w:rPr>
                <w:rFonts w:eastAsia="Times New Roman"/>
                <w:color w:val="000000"/>
              </w:rPr>
              <w:t>81,991</w:t>
            </w:r>
          </w:p>
        </w:tc>
        <w:tc>
          <w:tcPr>
            <w:tcW w:w="737" w:type="pct"/>
            <w:shd w:val="clear" w:color="auto" w:fill="DEEBEE"/>
            <w:vAlign w:val="center"/>
          </w:tcPr>
          <w:p w:rsidR="00DD4253" w:rsidP="003D2B25" w14:paraId="042DB78E" w14:textId="52C4DEE7">
            <w:pPr>
              <w:pStyle w:val="73R"/>
              <w:spacing w:before="100" w:after="100"/>
              <w:rPr>
                <w:rtl/>
              </w:rPr>
            </w:pPr>
            <w:r w:rsidRPr="00155285">
              <w:rPr>
                <w:rFonts w:eastAsia="Times New Roman"/>
                <w:color w:val="000000"/>
              </w:rPr>
              <w:t>52,246</w:t>
            </w:r>
          </w:p>
        </w:tc>
        <w:tc>
          <w:tcPr>
            <w:tcW w:w="737" w:type="pct"/>
            <w:shd w:val="clear" w:color="auto" w:fill="DEEBEE"/>
            <w:vAlign w:val="center"/>
          </w:tcPr>
          <w:p w:rsidR="00DD4253" w:rsidP="003D2B25" w14:paraId="68E786EB" w14:textId="65A82ACB">
            <w:pPr>
              <w:pStyle w:val="73R"/>
              <w:spacing w:before="100" w:after="100"/>
              <w:rPr>
                <w:rtl/>
              </w:rPr>
            </w:pPr>
            <w:r w:rsidRPr="00155285">
              <w:rPr>
                <w:rFonts w:eastAsia="Times New Roman"/>
                <w:color w:val="000000"/>
              </w:rPr>
              <w:t>33,476</w:t>
            </w:r>
          </w:p>
        </w:tc>
        <w:tc>
          <w:tcPr>
            <w:tcW w:w="744" w:type="pct"/>
            <w:shd w:val="clear" w:color="auto" w:fill="DEEBEE"/>
            <w:vAlign w:val="center"/>
          </w:tcPr>
          <w:p w:rsidR="00DD4253" w:rsidP="003D2B25" w14:paraId="152FD864" w14:textId="7F7E96A4">
            <w:pPr>
              <w:pStyle w:val="73R"/>
              <w:spacing w:before="100" w:after="100"/>
              <w:rPr>
                <w:rtl/>
              </w:rPr>
            </w:pPr>
            <w:r w:rsidRPr="00155285">
              <w:rPr>
                <w:rFonts w:eastAsia="Times New Roman"/>
                <w:color w:val="000000"/>
              </w:rPr>
              <w:t>315,626</w:t>
            </w:r>
          </w:p>
        </w:tc>
      </w:tr>
      <w:tr w14:paraId="468C2DF7" w14:textId="77777777" w:rsidTr="00AE5E0E">
        <w:tblPrEx>
          <w:tblW w:w="5000" w:type="pct"/>
          <w:tblLook w:val="04A0"/>
        </w:tblPrEx>
        <w:trPr>
          <w:trHeight w:val="170"/>
        </w:trPr>
        <w:tc>
          <w:tcPr>
            <w:tcW w:w="1145" w:type="pct"/>
            <w:shd w:val="clear" w:color="auto" w:fill="EFF7F8"/>
            <w:vAlign w:val="center"/>
          </w:tcPr>
          <w:p w:rsidR="00DD4253" w:rsidP="003D2B25" w14:paraId="2C318789" w14:textId="4E95AACE">
            <w:pPr>
              <w:pStyle w:val="73R"/>
              <w:spacing w:before="100" w:after="100"/>
              <w:rPr>
                <w:rtl/>
              </w:rPr>
            </w:pPr>
            <w:r w:rsidRPr="00155285">
              <w:rPr>
                <w:rFonts w:eastAsia="Times New Roman"/>
                <w:b/>
                <w:bCs/>
                <w:color w:val="000000"/>
                <w:rtl/>
              </w:rPr>
              <w:t>שיעור המגזר בסה"כ הכנסות</w:t>
            </w:r>
          </w:p>
        </w:tc>
        <w:tc>
          <w:tcPr>
            <w:tcW w:w="900" w:type="pct"/>
            <w:shd w:val="clear" w:color="auto" w:fill="EFF7F8"/>
            <w:vAlign w:val="center"/>
          </w:tcPr>
          <w:p w:rsidR="00DD4253" w:rsidP="003D2B25" w14:paraId="03296BCA" w14:textId="5EC69041">
            <w:pPr>
              <w:pStyle w:val="73R"/>
              <w:spacing w:before="100" w:after="100"/>
              <w:rPr>
                <w:rtl/>
              </w:rPr>
            </w:pPr>
            <w:r w:rsidRPr="00155285">
              <w:rPr>
                <w:rFonts w:eastAsia="Times New Roman"/>
                <w:color w:val="000000"/>
              </w:rPr>
              <w:t>47%</w:t>
            </w:r>
          </w:p>
        </w:tc>
        <w:tc>
          <w:tcPr>
            <w:tcW w:w="737" w:type="pct"/>
            <w:shd w:val="clear" w:color="auto" w:fill="EFF7F8"/>
            <w:vAlign w:val="center"/>
          </w:tcPr>
          <w:p w:rsidR="00DD4253" w:rsidP="003D2B25" w14:paraId="6718CFC4" w14:textId="0298EB47">
            <w:pPr>
              <w:pStyle w:val="73R"/>
              <w:spacing w:before="100" w:after="100"/>
              <w:rPr>
                <w:rtl/>
              </w:rPr>
            </w:pPr>
            <w:r w:rsidRPr="00155285">
              <w:rPr>
                <w:rFonts w:eastAsia="Times New Roman"/>
                <w:color w:val="000000"/>
              </w:rPr>
              <w:t>26%</w:t>
            </w:r>
          </w:p>
        </w:tc>
        <w:tc>
          <w:tcPr>
            <w:tcW w:w="737" w:type="pct"/>
            <w:shd w:val="clear" w:color="auto" w:fill="EFF7F8"/>
            <w:vAlign w:val="center"/>
          </w:tcPr>
          <w:p w:rsidR="00DD4253" w:rsidP="003D2B25" w14:paraId="3DE77290" w14:textId="3F86B838">
            <w:pPr>
              <w:pStyle w:val="73R"/>
              <w:spacing w:before="100" w:after="100"/>
              <w:rPr>
                <w:rtl/>
              </w:rPr>
            </w:pPr>
            <w:r w:rsidRPr="00155285">
              <w:rPr>
                <w:rFonts w:eastAsia="Times New Roman"/>
                <w:color w:val="000000"/>
              </w:rPr>
              <w:t>17%</w:t>
            </w:r>
          </w:p>
        </w:tc>
        <w:tc>
          <w:tcPr>
            <w:tcW w:w="737" w:type="pct"/>
            <w:shd w:val="clear" w:color="auto" w:fill="EFF7F8"/>
            <w:vAlign w:val="center"/>
          </w:tcPr>
          <w:p w:rsidR="00DD4253" w:rsidP="003D2B25" w14:paraId="7322DF6B" w14:textId="2E560361">
            <w:pPr>
              <w:pStyle w:val="73R"/>
              <w:spacing w:before="100" w:after="100"/>
              <w:rPr>
                <w:rtl/>
              </w:rPr>
            </w:pPr>
            <w:r w:rsidRPr="00155285">
              <w:rPr>
                <w:rFonts w:eastAsia="Times New Roman"/>
                <w:color w:val="000000"/>
              </w:rPr>
              <w:t>11%</w:t>
            </w:r>
          </w:p>
        </w:tc>
        <w:tc>
          <w:tcPr>
            <w:tcW w:w="744" w:type="pct"/>
            <w:shd w:val="clear" w:color="auto" w:fill="EFF7F8"/>
            <w:vAlign w:val="center"/>
          </w:tcPr>
          <w:p w:rsidR="00DD4253" w:rsidP="003D2B25" w14:paraId="1BE1F54C" w14:textId="34CC7236">
            <w:pPr>
              <w:pStyle w:val="73R"/>
              <w:spacing w:before="100" w:after="100"/>
              <w:rPr>
                <w:rtl/>
              </w:rPr>
            </w:pPr>
            <w:r w:rsidRPr="00155285">
              <w:rPr>
                <w:rFonts w:eastAsia="Times New Roman"/>
                <w:color w:val="000000"/>
              </w:rPr>
              <w:t>100%</w:t>
            </w:r>
          </w:p>
        </w:tc>
      </w:tr>
      <w:tr w14:paraId="0DBE2EC3" w14:textId="77777777" w:rsidTr="00AE5E0E">
        <w:tblPrEx>
          <w:tblW w:w="5000" w:type="pct"/>
          <w:tblLook w:val="04A0"/>
        </w:tblPrEx>
        <w:trPr>
          <w:trHeight w:val="170"/>
        </w:trPr>
        <w:tc>
          <w:tcPr>
            <w:tcW w:w="1145" w:type="pct"/>
            <w:shd w:val="clear" w:color="auto" w:fill="DEEBEE"/>
            <w:vAlign w:val="center"/>
          </w:tcPr>
          <w:p w:rsidR="00DD4253" w:rsidP="003D2B25" w14:paraId="0ACC2FE8" w14:textId="063E9EC5">
            <w:pPr>
              <w:pStyle w:val="73R"/>
              <w:spacing w:before="100" w:after="100"/>
              <w:rPr>
                <w:rtl/>
              </w:rPr>
            </w:pPr>
            <w:r w:rsidRPr="00155285">
              <w:rPr>
                <w:rFonts w:eastAsia="Times New Roman"/>
                <w:b/>
                <w:bCs/>
                <w:color w:val="000000"/>
                <w:rtl/>
              </w:rPr>
              <w:t>סה"כ הוצאות</w:t>
            </w:r>
          </w:p>
        </w:tc>
        <w:tc>
          <w:tcPr>
            <w:tcW w:w="900" w:type="pct"/>
            <w:shd w:val="clear" w:color="auto" w:fill="DEEBEE"/>
            <w:vAlign w:val="center"/>
          </w:tcPr>
          <w:p w:rsidR="00DD4253" w:rsidP="003D2B25" w14:paraId="56567C38" w14:textId="2B5DAABC">
            <w:pPr>
              <w:pStyle w:val="73R"/>
              <w:spacing w:before="100" w:after="100"/>
              <w:rPr>
                <w:rtl/>
              </w:rPr>
            </w:pPr>
            <w:r w:rsidRPr="00155285">
              <w:rPr>
                <w:rFonts w:eastAsia="Times New Roman"/>
                <w:color w:val="000000"/>
              </w:rPr>
              <w:t>97,422</w:t>
            </w:r>
          </w:p>
        </w:tc>
        <w:tc>
          <w:tcPr>
            <w:tcW w:w="737" w:type="pct"/>
            <w:shd w:val="clear" w:color="auto" w:fill="DEEBEE"/>
            <w:vAlign w:val="center"/>
          </w:tcPr>
          <w:p w:rsidR="00DD4253" w:rsidP="003D2B25" w14:paraId="4EE85F3D" w14:textId="436BA67E">
            <w:pPr>
              <w:pStyle w:val="73R"/>
              <w:spacing w:before="100" w:after="100"/>
              <w:rPr>
                <w:rtl/>
              </w:rPr>
            </w:pPr>
            <w:r w:rsidRPr="00155285">
              <w:rPr>
                <w:rFonts w:eastAsia="Times New Roman"/>
                <w:color w:val="000000"/>
              </w:rPr>
              <w:t>62,190</w:t>
            </w:r>
          </w:p>
        </w:tc>
        <w:tc>
          <w:tcPr>
            <w:tcW w:w="737" w:type="pct"/>
            <w:shd w:val="clear" w:color="auto" w:fill="DEEBEE"/>
            <w:vAlign w:val="center"/>
          </w:tcPr>
          <w:p w:rsidR="00DD4253" w:rsidP="003D2B25" w14:paraId="439A7A68" w14:textId="13DF1275">
            <w:pPr>
              <w:pStyle w:val="73R"/>
              <w:spacing w:before="100" w:after="100"/>
              <w:rPr>
                <w:rtl/>
              </w:rPr>
            </w:pPr>
            <w:r w:rsidRPr="00155285">
              <w:rPr>
                <w:rFonts w:eastAsia="Times New Roman"/>
                <w:color w:val="000000"/>
              </w:rPr>
              <w:t>47,498</w:t>
            </w:r>
          </w:p>
        </w:tc>
        <w:tc>
          <w:tcPr>
            <w:tcW w:w="737" w:type="pct"/>
            <w:shd w:val="clear" w:color="auto" w:fill="DEEBEE"/>
            <w:vAlign w:val="center"/>
          </w:tcPr>
          <w:p w:rsidR="00DD4253" w:rsidP="003D2B25" w14:paraId="1856BA0E" w14:textId="6FD3CE72">
            <w:pPr>
              <w:pStyle w:val="73R"/>
              <w:spacing w:before="100" w:after="100"/>
              <w:rPr>
                <w:rtl/>
              </w:rPr>
            </w:pPr>
            <w:r w:rsidRPr="00155285">
              <w:rPr>
                <w:rFonts w:eastAsia="Times New Roman"/>
                <w:color w:val="000000"/>
              </w:rPr>
              <w:t>26,719</w:t>
            </w:r>
          </w:p>
        </w:tc>
        <w:tc>
          <w:tcPr>
            <w:tcW w:w="744" w:type="pct"/>
            <w:shd w:val="clear" w:color="auto" w:fill="DEEBEE"/>
            <w:vAlign w:val="center"/>
          </w:tcPr>
          <w:p w:rsidR="00DD4253" w:rsidP="003D2B25" w14:paraId="522C6F7F" w14:textId="2BA3D13E">
            <w:pPr>
              <w:pStyle w:val="73R"/>
              <w:spacing w:before="100" w:after="100"/>
              <w:rPr>
                <w:rtl/>
              </w:rPr>
            </w:pPr>
            <w:r w:rsidRPr="00155285">
              <w:rPr>
                <w:rFonts w:eastAsia="Times New Roman"/>
                <w:color w:val="000000"/>
              </w:rPr>
              <w:t>233,830</w:t>
            </w:r>
          </w:p>
        </w:tc>
      </w:tr>
      <w:tr w14:paraId="5DCE9B4B" w14:textId="77777777" w:rsidTr="00AE5E0E">
        <w:tblPrEx>
          <w:tblW w:w="5000" w:type="pct"/>
          <w:tblLook w:val="04A0"/>
        </w:tblPrEx>
        <w:trPr>
          <w:trHeight w:val="170"/>
        </w:trPr>
        <w:tc>
          <w:tcPr>
            <w:tcW w:w="1145" w:type="pct"/>
            <w:shd w:val="clear" w:color="auto" w:fill="EFF7F8"/>
            <w:vAlign w:val="center"/>
          </w:tcPr>
          <w:p w:rsidR="00DD4253" w:rsidP="003D2B25" w14:paraId="5414973A" w14:textId="110D4DFC">
            <w:pPr>
              <w:pStyle w:val="73R"/>
              <w:spacing w:before="100" w:after="100"/>
              <w:rPr>
                <w:rtl/>
              </w:rPr>
            </w:pPr>
            <w:r w:rsidRPr="00155285">
              <w:rPr>
                <w:rFonts w:eastAsia="Times New Roman"/>
                <w:b/>
                <w:bCs/>
                <w:color w:val="000000"/>
                <w:rtl/>
              </w:rPr>
              <w:t>שיעור ההוצאות מההכנסות</w:t>
            </w:r>
          </w:p>
        </w:tc>
        <w:tc>
          <w:tcPr>
            <w:tcW w:w="900" w:type="pct"/>
            <w:shd w:val="clear" w:color="auto" w:fill="EFF7F8"/>
            <w:vAlign w:val="center"/>
          </w:tcPr>
          <w:p w:rsidR="00DD4253" w:rsidP="003D2B25" w14:paraId="34FA623D" w14:textId="467588AD">
            <w:pPr>
              <w:pStyle w:val="73R"/>
              <w:spacing w:before="100" w:after="100"/>
              <w:rPr>
                <w:rtl/>
              </w:rPr>
            </w:pPr>
            <w:r w:rsidRPr="00155285">
              <w:rPr>
                <w:rFonts w:eastAsia="Times New Roman"/>
                <w:color w:val="000000"/>
              </w:rPr>
              <w:t>66%</w:t>
            </w:r>
          </w:p>
        </w:tc>
        <w:tc>
          <w:tcPr>
            <w:tcW w:w="737" w:type="pct"/>
            <w:shd w:val="clear" w:color="auto" w:fill="EFF7F8"/>
            <w:vAlign w:val="center"/>
          </w:tcPr>
          <w:p w:rsidR="00DD4253" w:rsidP="003D2B25" w14:paraId="049793A8" w14:textId="26091D4E">
            <w:pPr>
              <w:pStyle w:val="73R"/>
              <w:spacing w:before="100" w:after="100"/>
              <w:rPr>
                <w:rtl/>
              </w:rPr>
            </w:pPr>
            <w:r w:rsidRPr="00155285">
              <w:rPr>
                <w:rFonts w:eastAsia="Times New Roman"/>
                <w:color w:val="000000"/>
              </w:rPr>
              <w:t>76%</w:t>
            </w:r>
          </w:p>
        </w:tc>
        <w:tc>
          <w:tcPr>
            <w:tcW w:w="737" w:type="pct"/>
            <w:shd w:val="clear" w:color="auto" w:fill="EFF7F8"/>
            <w:vAlign w:val="center"/>
          </w:tcPr>
          <w:p w:rsidR="00DD4253" w:rsidP="003D2B25" w14:paraId="4608512C" w14:textId="46B6059D">
            <w:pPr>
              <w:pStyle w:val="73R"/>
              <w:spacing w:before="100" w:after="100"/>
              <w:rPr>
                <w:rtl/>
              </w:rPr>
            </w:pPr>
            <w:r w:rsidRPr="00155285">
              <w:rPr>
                <w:rFonts w:eastAsia="Times New Roman"/>
                <w:color w:val="000000"/>
              </w:rPr>
              <w:t>91%</w:t>
            </w:r>
          </w:p>
        </w:tc>
        <w:tc>
          <w:tcPr>
            <w:tcW w:w="737" w:type="pct"/>
            <w:shd w:val="clear" w:color="auto" w:fill="EFF7F8"/>
            <w:vAlign w:val="center"/>
          </w:tcPr>
          <w:p w:rsidR="00DD4253" w:rsidP="003D2B25" w14:paraId="481EE737" w14:textId="50022E6D">
            <w:pPr>
              <w:pStyle w:val="73R"/>
              <w:spacing w:before="100" w:after="100"/>
              <w:rPr>
                <w:rtl/>
              </w:rPr>
            </w:pPr>
            <w:r w:rsidRPr="00155285">
              <w:rPr>
                <w:rFonts w:eastAsia="Times New Roman"/>
                <w:color w:val="000000"/>
              </w:rPr>
              <w:t>80%</w:t>
            </w:r>
          </w:p>
        </w:tc>
        <w:tc>
          <w:tcPr>
            <w:tcW w:w="744" w:type="pct"/>
            <w:shd w:val="clear" w:color="auto" w:fill="EFF7F8"/>
            <w:vAlign w:val="center"/>
          </w:tcPr>
          <w:p w:rsidR="00DD4253" w:rsidP="003D2B25" w14:paraId="649907D6" w14:textId="7EBBF5FE">
            <w:pPr>
              <w:pStyle w:val="73R"/>
              <w:spacing w:before="100" w:after="100"/>
              <w:rPr>
                <w:rtl/>
              </w:rPr>
            </w:pPr>
            <w:r w:rsidRPr="00155285">
              <w:rPr>
                <w:rFonts w:eastAsia="Times New Roman"/>
                <w:color w:val="000000"/>
              </w:rPr>
              <w:t>74%</w:t>
            </w:r>
          </w:p>
        </w:tc>
      </w:tr>
      <w:tr w14:paraId="17B21B23" w14:textId="77777777" w:rsidTr="00AE5E0E">
        <w:tblPrEx>
          <w:tblW w:w="5000" w:type="pct"/>
          <w:tblLook w:val="04A0"/>
        </w:tblPrEx>
        <w:trPr>
          <w:trHeight w:val="20"/>
        </w:trPr>
        <w:tc>
          <w:tcPr>
            <w:tcW w:w="1145" w:type="pct"/>
          </w:tcPr>
          <w:p w:rsidR="00DD4253" w:rsidRPr="00DD4253" w:rsidP="003D2B25" w14:paraId="5A28846E" w14:textId="77777777">
            <w:pPr>
              <w:pStyle w:val="73R"/>
              <w:spacing w:before="100" w:after="100"/>
              <w:rPr>
                <w:sz w:val="14"/>
                <w:szCs w:val="14"/>
                <w:rtl/>
              </w:rPr>
            </w:pPr>
          </w:p>
        </w:tc>
        <w:tc>
          <w:tcPr>
            <w:tcW w:w="900" w:type="pct"/>
          </w:tcPr>
          <w:p w:rsidR="00DD4253" w:rsidRPr="00DD4253" w:rsidP="003D2B25" w14:paraId="5F6D5749" w14:textId="77777777">
            <w:pPr>
              <w:pStyle w:val="73R"/>
              <w:spacing w:before="100" w:after="100"/>
              <w:rPr>
                <w:sz w:val="14"/>
                <w:szCs w:val="14"/>
                <w:rtl/>
              </w:rPr>
            </w:pPr>
          </w:p>
        </w:tc>
        <w:tc>
          <w:tcPr>
            <w:tcW w:w="737" w:type="pct"/>
          </w:tcPr>
          <w:p w:rsidR="00DD4253" w:rsidRPr="00DD4253" w:rsidP="003D2B25" w14:paraId="00BA77DF" w14:textId="77777777">
            <w:pPr>
              <w:pStyle w:val="73R"/>
              <w:spacing w:before="100" w:after="100"/>
              <w:rPr>
                <w:sz w:val="14"/>
                <w:szCs w:val="14"/>
                <w:rtl/>
              </w:rPr>
            </w:pPr>
          </w:p>
        </w:tc>
        <w:tc>
          <w:tcPr>
            <w:tcW w:w="737" w:type="pct"/>
          </w:tcPr>
          <w:p w:rsidR="00DD4253" w:rsidRPr="00DD4253" w:rsidP="003D2B25" w14:paraId="0C954C27" w14:textId="77777777">
            <w:pPr>
              <w:pStyle w:val="73R"/>
              <w:spacing w:before="100" w:after="100"/>
              <w:rPr>
                <w:sz w:val="14"/>
                <w:szCs w:val="14"/>
                <w:rtl/>
              </w:rPr>
            </w:pPr>
          </w:p>
        </w:tc>
        <w:tc>
          <w:tcPr>
            <w:tcW w:w="737" w:type="pct"/>
          </w:tcPr>
          <w:p w:rsidR="00DD4253" w:rsidRPr="00DD4253" w:rsidP="003D2B25" w14:paraId="5697391A" w14:textId="77777777">
            <w:pPr>
              <w:pStyle w:val="73R"/>
              <w:spacing w:before="100" w:after="100"/>
              <w:rPr>
                <w:sz w:val="14"/>
                <w:szCs w:val="14"/>
                <w:rtl/>
              </w:rPr>
            </w:pPr>
          </w:p>
        </w:tc>
        <w:tc>
          <w:tcPr>
            <w:tcW w:w="744" w:type="pct"/>
          </w:tcPr>
          <w:p w:rsidR="00DD4253" w:rsidRPr="00DD4253" w:rsidP="003D2B25" w14:paraId="027683FC" w14:textId="77777777">
            <w:pPr>
              <w:pStyle w:val="73R"/>
              <w:spacing w:before="100" w:after="100"/>
              <w:rPr>
                <w:sz w:val="14"/>
                <w:szCs w:val="14"/>
                <w:rtl/>
              </w:rPr>
            </w:pPr>
          </w:p>
        </w:tc>
      </w:tr>
      <w:tr w14:paraId="5CAB1804" w14:textId="77777777" w:rsidTr="00AE5E0E">
        <w:tblPrEx>
          <w:tblW w:w="5000" w:type="pct"/>
          <w:tblLook w:val="04A0"/>
        </w:tblPrEx>
        <w:trPr>
          <w:trHeight w:val="170"/>
        </w:trPr>
        <w:tc>
          <w:tcPr>
            <w:tcW w:w="1145" w:type="pct"/>
            <w:shd w:val="clear" w:color="auto" w:fill="DEEBEE"/>
            <w:vAlign w:val="center"/>
          </w:tcPr>
          <w:p w:rsidR="00DD4253" w:rsidP="003D2B25" w14:paraId="26C7D739" w14:textId="0F6189A5">
            <w:pPr>
              <w:pStyle w:val="73R"/>
              <w:spacing w:before="100" w:after="100"/>
              <w:rPr>
                <w:rtl/>
              </w:rPr>
            </w:pPr>
            <w:r w:rsidRPr="00155285">
              <w:rPr>
                <w:rFonts w:eastAsia="Times New Roman"/>
                <w:b/>
                <w:bCs/>
                <w:color w:val="000000"/>
                <w:rtl/>
              </w:rPr>
              <w:t xml:space="preserve">רווח גולמי  </w:t>
            </w:r>
          </w:p>
        </w:tc>
        <w:tc>
          <w:tcPr>
            <w:tcW w:w="900" w:type="pct"/>
            <w:shd w:val="clear" w:color="auto" w:fill="DEEBEE"/>
            <w:vAlign w:val="center"/>
          </w:tcPr>
          <w:p w:rsidR="00DD4253" w:rsidP="003D2B25" w14:paraId="5B987774" w14:textId="6493E024">
            <w:pPr>
              <w:pStyle w:val="73R"/>
              <w:spacing w:before="100" w:after="100"/>
              <w:rPr>
                <w:rtl/>
              </w:rPr>
            </w:pPr>
            <w:r w:rsidRPr="00155285">
              <w:rPr>
                <w:rFonts w:eastAsia="Times New Roman"/>
                <w:color w:val="000000"/>
              </w:rPr>
              <w:t>50,490</w:t>
            </w:r>
          </w:p>
        </w:tc>
        <w:tc>
          <w:tcPr>
            <w:tcW w:w="737" w:type="pct"/>
            <w:shd w:val="clear" w:color="auto" w:fill="DEEBEE"/>
            <w:vAlign w:val="center"/>
          </w:tcPr>
          <w:p w:rsidR="00DD4253" w:rsidP="003D2B25" w14:paraId="032B7D81" w14:textId="6E4B0354">
            <w:pPr>
              <w:pStyle w:val="73R"/>
              <w:spacing w:before="100" w:after="100"/>
              <w:rPr>
                <w:rtl/>
              </w:rPr>
            </w:pPr>
            <w:r w:rsidRPr="00155285">
              <w:rPr>
                <w:rFonts w:eastAsia="Times New Roman"/>
                <w:color w:val="000000"/>
              </w:rPr>
              <w:t>19,801</w:t>
            </w:r>
          </w:p>
        </w:tc>
        <w:tc>
          <w:tcPr>
            <w:tcW w:w="737" w:type="pct"/>
            <w:shd w:val="clear" w:color="auto" w:fill="DEEBEE"/>
            <w:vAlign w:val="center"/>
          </w:tcPr>
          <w:p w:rsidR="00DD4253" w:rsidP="003D2B25" w14:paraId="367A619B" w14:textId="74FCD2CC">
            <w:pPr>
              <w:pStyle w:val="73R"/>
              <w:spacing w:before="100" w:after="100"/>
              <w:rPr>
                <w:rtl/>
              </w:rPr>
            </w:pPr>
            <w:r w:rsidRPr="00155285">
              <w:rPr>
                <w:rFonts w:eastAsia="Times New Roman"/>
                <w:color w:val="000000"/>
              </w:rPr>
              <w:t>4,748</w:t>
            </w:r>
          </w:p>
        </w:tc>
        <w:tc>
          <w:tcPr>
            <w:tcW w:w="737" w:type="pct"/>
            <w:shd w:val="clear" w:color="auto" w:fill="DEEBEE"/>
            <w:vAlign w:val="center"/>
          </w:tcPr>
          <w:p w:rsidR="00DD4253" w:rsidP="003D2B25" w14:paraId="0FFF4371" w14:textId="1FEA68FC">
            <w:pPr>
              <w:pStyle w:val="73R"/>
              <w:spacing w:before="100" w:after="100"/>
              <w:rPr>
                <w:rtl/>
              </w:rPr>
            </w:pPr>
            <w:r w:rsidRPr="00155285">
              <w:rPr>
                <w:rFonts w:eastAsia="Times New Roman"/>
                <w:color w:val="000000"/>
              </w:rPr>
              <w:t>6,757</w:t>
            </w:r>
          </w:p>
        </w:tc>
        <w:tc>
          <w:tcPr>
            <w:tcW w:w="744" w:type="pct"/>
            <w:shd w:val="clear" w:color="auto" w:fill="DEEBEE"/>
            <w:vAlign w:val="center"/>
          </w:tcPr>
          <w:p w:rsidR="00DD4253" w:rsidP="003D2B25" w14:paraId="4ECAFF25" w14:textId="3039B6D8">
            <w:pPr>
              <w:pStyle w:val="73R"/>
              <w:spacing w:before="100" w:after="100"/>
              <w:rPr>
                <w:rtl/>
              </w:rPr>
            </w:pPr>
            <w:r w:rsidRPr="00155285">
              <w:rPr>
                <w:rFonts w:eastAsia="Times New Roman"/>
                <w:color w:val="000000"/>
              </w:rPr>
              <w:t>81,796</w:t>
            </w:r>
          </w:p>
        </w:tc>
      </w:tr>
      <w:tr w14:paraId="7A61ED29" w14:textId="77777777" w:rsidTr="00AE5E0E">
        <w:tblPrEx>
          <w:tblW w:w="5000" w:type="pct"/>
          <w:tblLook w:val="04A0"/>
        </w:tblPrEx>
        <w:trPr>
          <w:trHeight w:val="170"/>
        </w:trPr>
        <w:tc>
          <w:tcPr>
            <w:tcW w:w="1145" w:type="pct"/>
            <w:shd w:val="clear" w:color="auto" w:fill="EFF7F8"/>
            <w:vAlign w:val="center"/>
          </w:tcPr>
          <w:p w:rsidR="00DD4253" w:rsidP="003D2B25" w14:paraId="2AC528AC" w14:textId="718FBCDF">
            <w:pPr>
              <w:pStyle w:val="73R"/>
              <w:spacing w:before="100" w:after="100"/>
              <w:rPr>
                <w:rtl/>
              </w:rPr>
            </w:pPr>
            <w:r w:rsidRPr="00155285">
              <w:rPr>
                <w:rFonts w:eastAsia="Times New Roman"/>
                <w:b/>
                <w:bCs/>
                <w:color w:val="000000"/>
                <w:rtl/>
              </w:rPr>
              <w:t>שיעור הרווח הגולמי מההכנסות</w:t>
            </w:r>
          </w:p>
        </w:tc>
        <w:tc>
          <w:tcPr>
            <w:tcW w:w="900" w:type="pct"/>
            <w:shd w:val="clear" w:color="auto" w:fill="EFF7F8"/>
            <w:vAlign w:val="center"/>
          </w:tcPr>
          <w:p w:rsidR="00DD4253" w:rsidP="003D2B25" w14:paraId="68B61271" w14:textId="68A31FEF">
            <w:pPr>
              <w:pStyle w:val="73R"/>
              <w:spacing w:before="100" w:after="100"/>
              <w:rPr>
                <w:rtl/>
              </w:rPr>
            </w:pPr>
            <w:r w:rsidRPr="00155285">
              <w:rPr>
                <w:rFonts w:eastAsia="Times New Roman"/>
                <w:color w:val="000000"/>
              </w:rPr>
              <w:t>34%</w:t>
            </w:r>
          </w:p>
        </w:tc>
        <w:tc>
          <w:tcPr>
            <w:tcW w:w="737" w:type="pct"/>
            <w:shd w:val="clear" w:color="auto" w:fill="EFF7F8"/>
            <w:vAlign w:val="center"/>
          </w:tcPr>
          <w:p w:rsidR="00DD4253" w:rsidP="003D2B25" w14:paraId="2BEE6F97" w14:textId="708CD04F">
            <w:pPr>
              <w:pStyle w:val="73R"/>
              <w:spacing w:before="100" w:after="100"/>
              <w:rPr>
                <w:rtl/>
              </w:rPr>
            </w:pPr>
            <w:r w:rsidRPr="00155285">
              <w:rPr>
                <w:rFonts w:eastAsia="Times New Roman"/>
                <w:color w:val="000000"/>
              </w:rPr>
              <w:t>24%</w:t>
            </w:r>
          </w:p>
        </w:tc>
        <w:tc>
          <w:tcPr>
            <w:tcW w:w="737" w:type="pct"/>
            <w:shd w:val="clear" w:color="auto" w:fill="EFF7F8"/>
            <w:vAlign w:val="center"/>
          </w:tcPr>
          <w:p w:rsidR="00DD4253" w:rsidP="003D2B25" w14:paraId="753BB4F7" w14:textId="255AF1A3">
            <w:pPr>
              <w:pStyle w:val="73R"/>
              <w:spacing w:before="100" w:after="100"/>
              <w:rPr>
                <w:rtl/>
              </w:rPr>
            </w:pPr>
            <w:r w:rsidRPr="00155285">
              <w:rPr>
                <w:rFonts w:eastAsia="Times New Roman"/>
                <w:color w:val="000000"/>
              </w:rPr>
              <w:t>9%</w:t>
            </w:r>
          </w:p>
        </w:tc>
        <w:tc>
          <w:tcPr>
            <w:tcW w:w="737" w:type="pct"/>
            <w:shd w:val="clear" w:color="auto" w:fill="EFF7F8"/>
            <w:vAlign w:val="center"/>
          </w:tcPr>
          <w:p w:rsidR="00DD4253" w:rsidP="003D2B25" w14:paraId="0E9A6204" w14:textId="456426AF">
            <w:pPr>
              <w:pStyle w:val="73R"/>
              <w:spacing w:before="100" w:after="100"/>
              <w:rPr>
                <w:rtl/>
              </w:rPr>
            </w:pPr>
            <w:r w:rsidRPr="00155285">
              <w:rPr>
                <w:rFonts w:eastAsia="Times New Roman"/>
                <w:color w:val="000000"/>
              </w:rPr>
              <w:t>20%</w:t>
            </w:r>
          </w:p>
        </w:tc>
        <w:tc>
          <w:tcPr>
            <w:tcW w:w="744" w:type="pct"/>
            <w:shd w:val="clear" w:color="auto" w:fill="EFF7F8"/>
            <w:vAlign w:val="center"/>
          </w:tcPr>
          <w:p w:rsidR="00DD4253" w:rsidP="003D2B25" w14:paraId="53AEF7B6" w14:textId="0A045A5E">
            <w:pPr>
              <w:pStyle w:val="73R"/>
              <w:spacing w:before="100" w:after="100"/>
              <w:rPr>
                <w:rtl/>
              </w:rPr>
            </w:pPr>
            <w:r w:rsidRPr="00155285">
              <w:rPr>
                <w:rFonts w:eastAsia="Times New Roman"/>
                <w:color w:val="000000"/>
              </w:rPr>
              <w:t>26%</w:t>
            </w:r>
          </w:p>
        </w:tc>
      </w:tr>
      <w:tr w14:paraId="5655E577" w14:textId="77777777" w:rsidTr="00AE5E0E">
        <w:tblPrEx>
          <w:tblW w:w="5000" w:type="pct"/>
          <w:tblLook w:val="04A0"/>
        </w:tblPrEx>
        <w:trPr>
          <w:trHeight w:val="170"/>
        </w:trPr>
        <w:tc>
          <w:tcPr>
            <w:tcW w:w="1145" w:type="pct"/>
          </w:tcPr>
          <w:p w:rsidR="00DD4253" w:rsidRPr="00DD4253" w:rsidP="003D2B25" w14:paraId="19D43B41" w14:textId="77777777">
            <w:pPr>
              <w:pStyle w:val="73R"/>
              <w:spacing w:before="100" w:after="100"/>
              <w:rPr>
                <w:sz w:val="14"/>
                <w:szCs w:val="14"/>
                <w:rtl/>
              </w:rPr>
            </w:pPr>
          </w:p>
        </w:tc>
        <w:tc>
          <w:tcPr>
            <w:tcW w:w="900" w:type="pct"/>
          </w:tcPr>
          <w:p w:rsidR="00DD4253" w:rsidRPr="00DD4253" w:rsidP="003D2B25" w14:paraId="7DF1DBBD" w14:textId="77777777">
            <w:pPr>
              <w:pStyle w:val="73R"/>
              <w:spacing w:before="100" w:after="100"/>
              <w:rPr>
                <w:sz w:val="14"/>
                <w:szCs w:val="14"/>
                <w:rtl/>
              </w:rPr>
            </w:pPr>
          </w:p>
        </w:tc>
        <w:tc>
          <w:tcPr>
            <w:tcW w:w="737" w:type="pct"/>
          </w:tcPr>
          <w:p w:rsidR="00DD4253" w:rsidRPr="00DD4253" w:rsidP="003D2B25" w14:paraId="4287EB87" w14:textId="77777777">
            <w:pPr>
              <w:pStyle w:val="73R"/>
              <w:spacing w:before="100" w:after="100"/>
              <w:rPr>
                <w:sz w:val="14"/>
                <w:szCs w:val="14"/>
                <w:rtl/>
              </w:rPr>
            </w:pPr>
          </w:p>
        </w:tc>
        <w:tc>
          <w:tcPr>
            <w:tcW w:w="737" w:type="pct"/>
          </w:tcPr>
          <w:p w:rsidR="00DD4253" w:rsidRPr="00DD4253" w:rsidP="003D2B25" w14:paraId="73637C45" w14:textId="77777777">
            <w:pPr>
              <w:pStyle w:val="73R"/>
              <w:spacing w:before="100" w:after="100"/>
              <w:rPr>
                <w:sz w:val="14"/>
                <w:szCs w:val="14"/>
                <w:rtl/>
              </w:rPr>
            </w:pPr>
          </w:p>
        </w:tc>
        <w:tc>
          <w:tcPr>
            <w:tcW w:w="737" w:type="pct"/>
          </w:tcPr>
          <w:p w:rsidR="00DD4253" w:rsidRPr="00DD4253" w:rsidP="003D2B25" w14:paraId="4AA3684A" w14:textId="77777777">
            <w:pPr>
              <w:pStyle w:val="73R"/>
              <w:spacing w:before="100" w:after="100"/>
              <w:rPr>
                <w:sz w:val="14"/>
                <w:szCs w:val="14"/>
                <w:rtl/>
              </w:rPr>
            </w:pPr>
          </w:p>
        </w:tc>
        <w:tc>
          <w:tcPr>
            <w:tcW w:w="744" w:type="pct"/>
          </w:tcPr>
          <w:p w:rsidR="00DD4253" w:rsidRPr="00DD4253" w:rsidP="003D2B25" w14:paraId="79E4B738" w14:textId="77777777">
            <w:pPr>
              <w:pStyle w:val="73R"/>
              <w:spacing w:before="100" w:after="100"/>
              <w:rPr>
                <w:sz w:val="14"/>
                <w:szCs w:val="14"/>
                <w:rtl/>
              </w:rPr>
            </w:pPr>
          </w:p>
        </w:tc>
      </w:tr>
      <w:tr w14:paraId="40F79520" w14:textId="77777777" w:rsidTr="00AE5E0E">
        <w:tblPrEx>
          <w:tblW w:w="5000" w:type="pct"/>
          <w:tblLook w:val="04A0"/>
        </w:tblPrEx>
        <w:tc>
          <w:tcPr>
            <w:tcW w:w="1145" w:type="pct"/>
            <w:shd w:val="clear" w:color="auto" w:fill="DEEBEE"/>
            <w:vAlign w:val="center"/>
          </w:tcPr>
          <w:p w:rsidR="00DD4253" w:rsidP="003D2B25" w14:paraId="3850E577" w14:textId="48CDB178">
            <w:pPr>
              <w:pStyle w:val="73R"/>
              <w:spacing w:before="100" w:after="100"/>
              <w:rPr>
                <w:rtl/>
              </w:rPr>
            </w:pPr>
            <w:r w:rsidRPr="00155285">
              <w:rPr>
                <w:rFonts w:eastAsia="Times New Roman"/>
                <w:b/>
                <w:bCs/>
                <w:color w:val="000000"/>
                <w:rtl/>
              </w:rPr>
              <w:t>נכסי המגזר</w:t>
            </w:r>
          </w:p>
        </w:tc>
        <w:tc>
          <w:tcPr>
            <w:tcW w:w="900" w:type="pct"/>
            <w:shd w:val="clear" w:color="auto" w:fill="DEEBEE"/>
            <w:vAlign w:val="center"/>
          </w:tcPr>
          <w:p w:rsidR="00DD4253" w:rsidP="003D2B25" w14:paraId="127FDAE7" w14:textId="161E1180">
            <w:pPr>
              <w:pStyle w:val="73R"/>
              <w:spacing w:before="100" w:after="100"/>
              <w:rPr>
                <w:rtl/>
              </w:rPr>
            </w:pPr>
            <w:r w:rsidRPr="00155285">
              <w:rPr>
                <w:rFonts w:eastAsia="Times New Roman"/>
                <w:color w:val="000000"/>
              </w:rPr>
              <w:t>124,458</w:t>
            </w:r>
          </w:p>
        </w:tc>
        <w:tc>
          <w:tcPr>
            <w:tcW w:w="737" w:type="pct"/>
            <w:shd w:val="clear" w:color="auto" w:fill="DEEBEE"/>
            <w:vAlign w:val="center"/>
          </w:tcPr>
          <w:p w:rsidR="00DD4253" w:rsidP="003D2B25" w14:paraId="4DFD8D22" w14:textId="1A922B3A">
            <w:pPr>
              <w:pStyle w:val="73R"/>
              <w:spacing w:before="100" w:after="100"/>
              <w:rPr>
                <w:rtl/>
              </w:rPr>
            </w:pPr>
            <w:r w:rsidRPr="00155285">
              <w:rPr>
                <w:rFonts w:eastAsia="Times New Roman"/>
                <w:color w:val="000000"/>
              </w:rPr>
              <w:t>566,656</w:t>
            </w:r>
          </w:p>
        </w:tc>
        <w:tc>
          <w:tcPr>
            <w:tcW w:w="737" w:type="pct"/>
            <w:shd w:val="clear" w:color="auto" w:fill="DEEBEE"/>
            <w:vAlign w:val="center"/>
          </w:tcPr>
          <w:p w:rsidR="00DD4253" w:rsidP="003D2B25" w14:paraId="131C3A8E" w14:textId="74910DBC">
            <w:pPr>
              <w:pStyle w:val="73R"/>
              <w:spacing w:before="100" w:after="100"/>
              <w:rPr>
                <w:rtl/>
              </w:rPr>
            </w:pPr>
            <w:r w:rsidRPr="00155285">
              <w:rPr>
                <w:rFonts w:eastAsia="Times New Roman"/>
                <w:color w:val="000000"/>
              </w:rPr>
              <w:t>5,454</w:t>
            </w:r>
          </w:p>
        </w:tc>
        <w:tc>
          <w:tcPr>
            <w:tcW w:w="737" w:type="pct"/>
            <w:shd w:val="clear" w:color="auto" w:fill="DEEBEE"/>
            <w:vAlign w:val="center"/>
          </w:tcPr>
          <w:p w:rsidR="00DD4253" w:rsidP="003D2B25" w14:paraId="3CFF0DF6" w14:textId="7BC8D1F1">
            <w:pPr>
              <w:pStyle w:val="73R"/>
              <w:spacing w:before="100" w:after="100"/>
              <w:rPr>
                <w:rtl/>
              </w:rPr>
            </w:pPr>
            <w:r w:rsidRPr="00155285">
              <w:rPr>
                <w:rFonts w:eastAsia="Times New Roman"/>
                <w:color w:val="000000"/>
              </w:rPr>
              <w:t>-</w:t>
            </w:r>
          </w:p>
        </w:tc>
        <w:tc>
          <w:tcPr>
            <w:tcW w:w="744" w:type="pct"/>
            <w:shd w:val="clear" w:color="auto" w:fill="DEEBEE"/>
            <w:vAlign w:val="center"/>
          </w:tcPr>
          <w:p w:rsidR="00DD4253" w:rsidP="003D2B25" w14:paraId="1FC76EEF" w14:textId="622AF313">
            <w:pPr>
              <w:pStyle w:val="73R"/>
              <w:spacing w:before="100" w:after="100"/>
              <w:rPr>
                <w:rtl/>
              </w:rPr>
            </w:pPr>
            <w:r w:rsidRPr="00155285">
              <w:rPr>
                <w:rFonts w:eastAsia="Times New Roman"/>
                <w:color w:val="000000"/>
              </w:rPr>
              <w:t>696,568</w:t>
            </w:r>
          </w:p>
        </w:tc>
      </w:tr>
      <w:tr w14:paraId="63947657" w14:textId="77777777" w:rsidTr="00AE5E0E">
        <w:tblPrEx>
          <w:tblW w:w="5000" w:type="pct"/>
          <w:tblLook w:val="04A0"/>
        </w:tblPrEx>
        <w:tc>
          <w:tcPr>
            <w:tcW w:w="1145" w:type="pct"/>
            <w:shd w:val="clear" w:color="auto" w:fill="EFF7F8"/>
            <w:vAlign w:val="center"/>
          </w:tcPr>
          <w:p w:rsidR="00DD4253" w:rsidP="003D2B25" w14:paraId="7520BF58" w14:textId="24BC08BB">
            <w:pPr>
              <w:pStyle w:val="73R"/>
              <w:spacing w:before="100" w:after="100"/>
              <w:rPr>
                <w:rtl/>
              </w:rPr>
            </w:pPr>
            <w:r w:rsidRPr="00155285">
              <w:rPr>
                <w:rFonts w:eastAsia="Times New Roman"/>
                <w:b/>
                <w:bCs/>
                <w:color w:val="000000"/>
                <w:rtl/>
              </w:rPr>
              <w:t>נכסים תפעוליים מעורבים</w:t>
            </w:r>
          </w:p>
        </w:tc>
        <w:tc>
          <w:tcPr>
            <w:tcW w:w="900" w:type="pct"/>
            <w:shd w:val="clear" w:color="auto" w:fill="EFF7F8"/>
            <w:vAlign w:val="center"/>
          </w:tcPr>
          <w:p w:rsidR="00DD4253" w:rsidP="003D2B25" w14:paraId="04598131" w14:textId="5CA7A5D4">
            <w:pPr>
              <w:pStyle w:val="73R"/>
              <w:spacing w:before="100" w:after="100"/>
              <w:rPr>
                <w:rtl/>
              </w:rPr>
            </w:pPr>
            <w:r w:rsidRPr="00155285">
              <w:rPr>
                <w:rFonts w:eastAsia="Times New Roman"/>
                <w:color w:val="000000"/>
              </w:rPr>
              <w:t>222,104</w:t>
            </w:r>
          </w:p>
        </w:tc>
        <w:tc>
          <w:tcPr>
            <w:tcW w:w="737" w:type="pct"/>
            <w:shd w:val="clear" w:color="auto" w:fill="EFF7F8"/>
            <w:vAlign w:val="center"/>
          </w:tcPr>
          <w:p w:rsidR="00DD4253" w:rsidP="003D2B25" w14:paraId="78BDEFC4" w14:textId="2691A330">
            <w:pPr>
              <w:pStyle w:val="73R"/>
              <w:spacing w:before="100" w:after="100"/>
              <w:rPr>
                <w:rtl/>
              </w:rPr>
            </w:pPr>
            <w:r w:rsidRPr="00155285">
              <w:rPr>
                <w:rFonts w:eastAsia="Times New Roman"/>
                <w:color w:val="000000"/>
              </w:rPr>
              <w:t>117,269</w:t>
            </w:r>
          </w:p>
        </w:tc>
        <w:tc>
          <w:tcPr>
            <w:tcW w:w="737" w:type="pct"/>
            <w:shd w:val="clear" w:color="auto" w:fill="EFF7F8"/>
            <w:vAlign w:val="center"/>
          </w:tcPr>
          <w:p w:rsidR="00DD4253" w:rsidP="003D2B25" w14:paraId="29A43089" w14:textId="3C2E34DD">
            <w:pPr>
              <w:pStyle w:val="73R"/>
              <w:spacing w:before="100" w:after="100"/>
              <w:rPr>
                <w:rtl/>
              </w:rPr>
            </w:pPr>
            <w:r w:rsidRPr="00155285">
              <w:rPr>
                <w:rFonts w:eastAsia="Times New Roman"/>
                <w:color w:val="000000"/>
              </w:rPr>
              <w:t>198,145</w:t>
            </w:r>
          </w:p>
        </w:tc>
        <w:tc>
          <w:tcPr>
            <w:tcW w:w="737" w:type="pct"/>
            <w:shd w:val="clear" w:color="auto" w:fill="EFF7F8"/>
            <w:vAlign w:val="center"/>
          </w:tcPr>
          <w:p w:rsidR="00DD4253" w:rsidP="003D2B25" w14:paraId="1AE6B4D7" w14:textId="53AEE69D">
            <w:pPr>
              <w:pStyle w:val="73R"/>
              <w:spacing w:before="100" w:after="100"/>
              <w:rPr>
                <w:rtl/>
              </w:rPr>
            </w:pPr>
            <w:r w:rsidRPr="00155285">
              <w:rPr>
                <w:rFonts w:eastAsia="Times New Roman"/>
                <w:color w:val="000000"/>
              </w:rPr>
              <w:t>169,567</w:t>
            </w:r>
          </w:p>
        </w:tc>
        <w:tc>
          <w:tcPr>
            <w:tcW w:w="744" w:type="pct"/>
            <w:shd w:val="clear" w:color="auto" w:fill="EFF7F8"/>
            <w:vAlign w:val="center"/>
          </w:tcPr>
          <w:p w:rsidR="00DD4253" w:rsidP="003D2B25" w14:paraId="1FB45102" w14:textId="77D1F730">
            <w:pPr>
              <w:pStyle w:val="73R"/>
              <w:spacing w:before="100" w:after="100"/>
              <w:rPr>
                <w:rtl/>
              </w:rPr>
            </w:pPr>
            <w:r w:rsidRPr="00155285">
              <w:rPr>
                <w:rFonts w:eastAsia="Times New Roman"/>
                <w:color w:val="000000"/>
              </w:rPr>
              <w:t>707,085</w:t>
            </w:r>
          </w:p>
        </w:tc>
      </w:tr>
      <w:tr w14:paraId="0648975E" w14:textId="77777777" w:rsidTr="00AE5E0E">
        <w:tblPrEx>
          <w:tblW w:w="5000" w:type="pct"/>
          <w:tblLook w:val="04A0"/>
        </w:tblPrEx>
        <w:tc>
          <w:tcPr>
            <w:tcW w:w="1145" w:type="pct"/>
            <w:shd w:val="clear" w:color="auto" w:fill="DEEBEE"/>
            <w:vAlign w:val="center"/>
          </w:tcPr>
          <w:p w:rsidR="00DD4253" w:rsidP="003D2B25" w14:paraId="518CE5C9" w14:textId="4D04EAB1">
            <w:pPr>
              <w:pStyle w:val="73R"/>
              <w:spacing w:before="100" w:after="100"/>
              <w:rPr>
                <w:rtl/>
              </w:rPr>
            </w:pPr>
            <w:r w:rsidRPr="00155285">
              <w:rPr>
                <w:rFonts w:eastAsia="Times New Roman"/>
                <w:b/>
                <w:bCs/>
                <w:color w:val="000000"/>
                <w:rtl/>
              </w:rPr>
              <w:t>סה"כ נכסים מיוחסים למגזר</w:t>
            </w:r>
          </w:p>
        </w:tc>
        <w:tc>
          <w:tcPr>
            <w:tcW w:w="900" w:type="pct"/>
            <w:shd w:val="clear" w:color="auto" w:fill="DEEBEE"/>
            <w:vAlign w:val="center"/>
          </w:tcPr>
          <w:p w:rsidR="00DD4253" w:rsidP="003D2B25" w14:paraId="2558255D" w14:textId="50AC64B0">
            <w:pPr>
              <w:pStyle w:val="73R"/>
              <w:spacing w:before="100" w:after="100"/>
              <w:rPr>
                <w:rtl/>
              </w:rPr>
            </w:pPr>
            <w:r w:rsidRPr="00155285">
              <w:rPr>
                <w:rFonts w:eastAsia="Times New Roman"/>
                <w:color w:val="000000"/>
              </w:rPr>
              <w:t>346,562</w:t>
            </w:r>
          </w:p>
        </w:tc>
        <w:tc>
          <w:tcPr>
            <w:tcW w:w="737" w:type="pct"/>
            <w:shd w:val="clear" w:color="auto" w:fill="DEEBEE"/>
            <w:vAlign w:val="center"/>
          </w:tcPr>
          <w:p w:rsidR="00DD4253" w:rsidP="003D2B25" w14:paraId="419E365A" w14:textId="009F8C5B">
            <w:pPr>
              <w:pStyle w:val="73R"/>
              <w:spacing w:before="100" w:after="100"/>
              <w:rPr>
                <w:rtl/>
              </w:rPr>
            </w:pPr>
            <w:r w:rsidRPr="00155285">
              <w:rPr>
                <w:rFonts w:eastAsia="Times New Roman"/>
                <w:color w:val="000000"/>
              </w:rPr>
              <w:t>683,925</w:t>
            </w:r>
          </w:p>
        </w:tc>
        <w:tc>
          <w:tcPr>
            <w:tcW w:w="737" w:type="pct"/>
            <w:shd w:val="clear" w:color="auto" w:fill="DEEBEE"/>
            <w:vAlign w:val="center"/>
          </w:tcPr>
          <w:p w:rsidR="00DD4253" w:rsidP="003D2B25" w14:paraId="6D98052A" w14:textId="03D83F6D">
            <w:pPr>
              <w:pStyle w:val="73R"/>
              <w:spacing w:before="100" w:after="100"/>
              <w:rPr>
                <w:rtl/>
              </w:rPr>
            </w:pPr>
            <w:r w:rsidRPr="00155285">
              <w:rPr>
                <w:rFonts w:eastAsia="Times New Roman"/>
                <w:color w:val="000000"/>
              </w:rPr>
              <w:t>203,599</w:t>
            </w:r>
          </w:p>
        </w:tc>
        <w:tc>
          <w:tcPr>
            <w:tcW w:w="737" w:type="pct"/>
            <w:shd w:val="clear" w:color="auto" w:fill="DEEBEE"/>
            <w:vAlign w:val="center"/>
          </w:tcPr>
          <w:p w:rsidR="00DD4253" w:rsidP="003D2B25" w14:paraId="7C0B20BA" w14:textId="1A05ED33">
            <w:pPr>
              <w:pStyle w:val="73R"/>
              <w:spacing w:before="100" w:after="100"/>
              <w:rPr>
                <w:rtl/>
              </w:rPr>
            </w:pPr>
            <w:r w:rsidRPr="00155285">
              <w:rPr>
                <w:rFonts w:eastAsia="Times New Roman"/>
                <w:color w:val="000000"/>
              </w:rPr>
              <w:t>169,567</w:t>
            </w:r>
          </w:p>
        </w:tc>
        <w:tc>
          <w:tcPr>
            <w:tcW w:w="744" w:type="pct"/>
            <w:shd w:val="clear" w:color="auto" w:fill="DEEBEE"/>
            <w:vAlign w:val="center"/>
          </w:tcPr>
          <w:p w:rsidR="00DD4253" w:rsidP="003D2B25" w14:paraId="51F3852B" w14:textId="70699021">
            <w:pPr>
              <w:pStyle w:val="73R"/>
              <w:spacing w:before="100" w:after="100"/>
              <w:rPr>
                <w:rtl/>
              </w:rPr>
            </w:pPr>
            <w:r w:rsidRPr="00155285">
              <w:rPr>
                <w:rFonts w:eastAsia="Times New Roman"/>
                <w:color w:val="000000"/>
              </w:rPr>
              <w:t>1,403,653</w:t>
            </w:r>
          </w:p>
        </w:tc>
      </w:tr>
      <w:tr w14:paraId="77037E50" w14:textId="77777777" w:rsidTr="00AE5E0E">
        <w:tblPrEx>
          <w:tblW w:w="5000" w:type="pct"/>
          <w:tblLook w:val="04A0"/>
        </w:tblPrEx>
        <w:tc>
          <w:tcPr>
            <w:tcW w:w="1145" w:type="pct"/>
            <w:shd w:val="clear" w:color="auto" w:fill="EFF7F8"/>
            <w:vAlign w:val="center"/>
          </w:tcPr>
          <w:p w:rsidR="00DD4253" w:rsidP="003D2B25" w14:paraId="29E3B556" w14:textId="1CCB3151">
            <w:pPr>
              <w:pStyle w:val="73R"/>
              <w:spacing w:before="100" w:after="100"/>
              <w:rPr>
                <w:rtl/>
              </w:rPr>
            </w:pPr>
            <w:r w:rsidRPr="00155285">
              <w:rPr>
                <w:rFonts w:eastAsia="Times New Roman"/>
                <w:b/>
                <w:bCs/>
                <w:color w:val="000000"/>
                <w:rtl/>
              </w:rPr>
              <w:t>שיעור הרווח מנכסי המגזר</w:t>
            </w:r>
          </w:p>
        </w:tc>
        <w:tc>
          <w:tcPr>
            <w:tcW w:w="900" w:type="pct"/>
            <w:shd w:val="clear" w:color="auto" w:fill="EFF7F8"/>
            <w:vAlign w:val="center"/>
          </w:tcPr>
          <w:p w:rsidR="00DD4253" w:rsidP="003D2B25" w14:paraId="1FB062F6" w14:textId="3A2FA8B3">
            <w:pPr>
              <w:pStyle w:val="73R"/>
              <w:spacing w:before="100" w:after="100"/>
              <w:rPr>
                <w:rtl/>
              </w:rPr>
            </w:pPr>
            <w:r w:rsidRPr="00155285">
              <w:rPr>
                <w:rFonts w:eastAsia="Times New Roman"/>
                <w:color w:val="000000"/>
              </w:rPr>
              <w:t>15%</w:t>
            </w:r>
          </w:p>
        </w:tc>
        <w:tc>
          <w:tcPr>
            <w:tcW w:w="737" w:type="pct"/>
            <w:shd w:val="clear" w:color="auto" w:fill="EFF7F8"/>
            <w:vAlign w:val="center"/>
          </w:tcPr>
          <w:p w:rsidR="00DD4253" w:rsidP="003D2B25" w14:paraId="4CD12C1E" w14:textId="51679E50">
            <w:pPr>
              <w:pStyle w:val="73R"/>
              <w:spacing w:before="100" w:after="100"/>
              <w:rPr>
                <w:rtl/>
              </w:rPr>
            </w:pPr>
            <w:r w:rsidRPr="00155285">
              <w:rPr>
                <w:rFonts w:eastAsia="Times New Roman"/>
                <w:color w:val="000000"/>
              </w:rPr>
              <w:t>3%</w:t>
            </w:r>
          </w:p>
        </w:tc>
        <w:tc>
          <w:tcPr>
            <w:tcW w:w="737" w:type="pct"/>
            <w:shd w:val="clear" w:color="auto" w:fill="EFF7F8"/>
            <w:vAlign w:val="center"/>
          </w:tcPr>
          <w:p w:rsidR="00DD4253" w:rsidP="003D2B25" w14:paraId="0F964FF2" w14:textId="0F314140">
            <w:pPr>
              <w:pStyle w:val="73R"/>
              <w:spacing w:before="100" w:after="100"/>
              <w:rPr>
                <w:rtl/>
              </w:rPr>
            </w:pPr>
            <w:r w:rsidRPr="00155285">
              <w:rPr>
                <w:rFonts w:eastAsia="Times New Roman"/>
                <w:color w:val="000000"/>
              </w:rPr>
              <w:t>2%</w:t>
            </w:r>
          </w:p>
        </w:tc>
        <w:tc>
          <w:tcPr>
            <w:tcW w:w="737" w:type="pct"/>
            <w:shd w:val="clear" w:color="auto" w:fill="EFF7F8"/>
            <w:vAlign w:val="center"/>
          </w:tcPr>
          <w:p w:rsidR="00DD4253" w:rsidP="003D2B25" w14:paraId="1485B09D" w14:textId="6FA0F416">
            <w:pPr>
              <w:pStyle w:val="73R"/>
              <w:spacing w:before="100" w:after="100"/>
              <w:rPr>
                <w:rtl/>
              </w:rPr>
            </w:pPr>
            <w:r w:rsidRPr="00155285">
              <w:rPr>
                <w:rFonts w:eastAsia="Times New Roman"/>
                <w:color w:val="000000"/>
              </w:rPr>
              <w:t>5%</w:t>
            </w:r>
          </w:p>
        </w:tc>
        <w:tc>
          <w:tcPr>
            <w:tcW w:w="744" w:type="pct"/>
            <w:shd w:val="clear" w:color="auto" w:fill="EFF7F8"/>
            <w:vAlign w:val="center"/>
          </w:tcPr>
          <w:p w:rsidR="00DD4253" w:rsidP="003D2B25" w14:paraId="67D52544" w14:textId="0CC0E6E8">
            <w:pPr>
              <w:pStyle w:val="73R"/>
              <w:spacing w:before="100" w:after="100"/>
              <w:rPr>
                <w:rtl/>
              </w:rPr>
            </w:pPr>
            <w:r w:rsidRPr="00155285">
              <w:rPr>
                <w:rFonts w:eastAsia="Times New Roman"/>
                <w:color w:val="000000"/>
              </w:rPr>
              <w:t>6%</w:t>
            </w:r>
          </w:p>
        </w:tc>
      </w:tr>
      <w:tr w14:paraId="5A8375DE" w14:textId="77777777" w:rsidTr="00AE5E0E">
        <w:tblPrEx>
          <w:tblW w:w="5000" w:type="pct"/>
          <w:tblLook w:val="04A0"/>
        </w:tblPrEx>
        <w:tc>
          <w:tcPr>
            <w:tcW w:w="1145" w:type="pct"/>
            <w:shd w:val="clear" w:color="auto" w:fill="DEEBEE"/>
            <w:vAlign w:val="center"/>
          </w:tcPr>
          <w:p w:rsidR="00DD4253" w:rsidP="003D2B25" w14:paraId="5C11B062" w14:textId="5F670FF2">
            <w:pPr>
              <w:pStyle w:val="73R"/>
              <w:spacing w:before="100" w:after="100"/>
              <w:rPr>
                <w:rtl/>
              </w:rPr>
            </w:pPr>
            <w:r w:rsidRPr="00155285">
              <w:rPr>
                <w:rFonts w:eastAsia="Times New Roman"/>
                <w:b/>
                <w:bCs/>
                <w:color w:val="000000"/>
                <w:rtl/>
              </w:rPr>
              <w:t>נכסים לא מיוחסים למגזר</w:t>
            </w:r>
          </w:p>
        </w:tc>
        <w:tc>
          <w:tcPr>
            <w:tcW w:w="900" w:type="pct"/>
            <w:shd w:val="clear" w:color="auto" w:fill="DEEBEE"/>
            <w:vAlign w:val="center"/>
          </w:tcPr>
          <w:p w:rsidR="00DD4253" w:rsidP="003D2B25" w14:paraId="2DA87A0B" w14:textId="77777777">
            <w:pPr>
              <w:pStyle w:val="73R"/>
              <w:spacing w:before="100" w:after="100"/>
              <w:rPr>
                <w:rtl/>
              </w:rPr>
            </w:pPr>
          </w:p>
        </w:tc>
        <w:tc>
          <w:tcPr>
            <w:tcW w:w="737" w:type="pct"/>
            <w:shd w:val="clear" w:color="auto" w:fill="DEEBEE"/>
            <w:vAlign w:val="center"/>
          </w:tcPr>
          <w:p w:rsidR="00DD4253" w:rsidP="003D2B25" w14:paraId="335EB4B0" w14:textId="77777777">
            <w:pPr>
              <w:pStyle w:val="73R"/>
              <w:spacing w:before="100" w:after="100"/>
              <w:rPr>
                <w:rtl/>
              </w:rPr>
            </w:pPr>
          </w:p>
        </w:tc>
        <w:tc>
          <w:tcPr>
            <w:tcW w:w="737" w:type="pct"/>
            <w:shd w:val="clear" w:color="auto" w:fill="DEEBEE"/>
            <w:vAlign w:val="center"/>
          </w:tcPr>
          <w:p w:rsidR="00DD4253" w:rsidP="003D2B25" w14:paraId="5346A2B9" w14:textId="77777777">
            <w:pPr>
              <w:pStyle w:val="73R"/>
              <w:spacing w:before="100" w:after="100"/>
              <w:rPr>
                <w:rtl/>
              </w:rPr>
            </w:pPr>
          </w:p>
        </w:tc>
        <w:tc>
          <w:tcPr>
            <w:tcW w:w="737" w:type="pct"/>
            <w:shd w:val="clear" w:color="auto" w:fill="DEEBEE"/>
            <w:vAlign w:val="center"/>
          </w:tcPr>
          <w:p w:rsidR="00DD4253" w:rsidP="003D2B25" w14:paraId="57DD646E" w14:textId="77777777">
            <w:pPr>
              <w:pStyle w:val="73R"/>
              <w:spacing w:before="100" w:after="100"/>
              <w:rPr>
                <w:rtl/>
              </w:rPr>
            </w:pPr>
          </w:p>
        </w:tc>
        <w:tc>
          <w:tcPr>
            <w:tcW w:w="744" w:type="pct"/>
            <w:shd w:val="clear" w:color="auto" w:fill="DEEBEE"/>
            <w:vAlign w:val="center"/>
          </w:tcPr>
          <w:p w:rsidR="00DD4253" w:rsidP="003D2B25" w14:paraId="6362A5E7" w14:textId="0FDBA390">
            <w:pPr>
              <w:pStyle w:val="73R"/>
              <w:spacing w:before="100" w:after="100"/>
              <w:rPr>
                <w:rtl/>
              </w:rPr>
            </w:pPr>
            <w:r w:rsidRPr="00155285">
              <w:rPr>
                <w:rFonts w:eastAsia="Times New Roman"/>
                <w:color w:val="000000"/>
              </w:rPr>
              <w:t>133,126</w:t>
            </w:r>
          </w:p>
        </w:tc>
      </w:tr>
      <w:tr w14:paraId="6C8BD393" w14:textId="77777777" w:rsidTr="00AE5E0E">
        <w:tblPrEx>
          <w:tblW w:w="5000" w:type="pct"/>
          <w:tblLook w:val="04A0"/>
        </w:tblPrEx>
        <w:tc>
          <w:tcPr>
            <w:tcW w:w="1145" w:type="pct"/>
            <w:shd w:val="clear" w:color="auto" w:fill="EFF7F8"/>
            <w:vAlign w:val="center"/>
          </w:tcPr>
          <w:p w:rsidR="00DD4253" w:rsidP="00DD4253" w14:paraId="004DB585" w14:textId="781E8D52">
            <w:pPr>
              <w:pStyle w:val="73R"/>
              <w:rPr>
                <w:rtl/>
              </w:rPr>
            </w:pPr>
            <w:r w:rsidRPr="00155285">
              <w:rPr>
                <w:rFonts w:eastAsia="Times New Roman"/>
                <w:b/>
                <w:bCs/>
                <w:color w:val="000000"/>
                <w:rtl/>
              </w:rPr>
              <w:t>סה"כ נכסים</w:t>
            </w:r>
          </w:p>
        </w:tc>
        <w:tc>
          <w:tcPr>
            <w:tcW w:w="900" w:type="pct"/>
            <w:shd w:val="clear" w:color="auto" w:fill="EFF7F8"/>
            <w:vAlign w:val="center"/>
          </w:tcPr>
          <w:p w:rsidR="00DD4253" w:rsidP="00DD4253" w14:paraId="40396A0F" w14:textId="77777777">
            <w:pPr>
              <w:pStyle w:val="73R"/>
              <w:rPr>
                <w:rtl/>
              </w:rPr>
            </w:pPr>
          </w:p>
        </w:tc>
        <w:tc>
          <w:tcPr>
            <w:tcW w:w="737" w:type="pct"/>
            <w:shd w:val="clear" w:color="auto" w:fill="EFF7F8"/>
            <w:vAlign w:val="center"/>
          </w:tcPr>
          <w:p w:rsidR="00DD4253" w:rsidP="00DD4253" w14:paraId="75A6AADF" w14:textId="77777777">
            <w:pPr>
              <w:pStyle w:val="73R"/>
              <w:rPr>
                <w:rtl/>
              </w:rPr>
            </w:pPr>
          </w:p>
        </w:tc>
        <w:tc>
          <w:tcPr>
            <w:tcW w:w="737" w:type="pct"/>
            <w:shd w:val="clear" w:color="auto" w:fill="EFF7F8"/>
            <w:vAlign w:val="center"/>
          </w:tcPr>
          <w:p w:rsidR="00DD4253" w:rsidP="00DD4253" w14:paraId="15F62B0B" w14:textId="77777777">
            <w:pPr>
              <w:pStyle w:val="73R"/>
              <w:rPr>
                <w:rtl/>
              </w:rPr>
            </w:pPr>
          </w:p>
        </w:tc>
        <w:tc>
          <w:tcPr>
            <w:tcW w:w="737" w:type="pct"/>
            <w:shd w:val="clear" w:color="auto" w:fill="EFF7F8"/>
            <w:vAlign w:val="center"/>
          </w:tcPr>
          <w:p w:rsidR="00DD4253" w:rsidP="00DD4253" w14:paraId="1FDE0C8E" w14:textId="77777777">
            <w:pPr>
              <w:pStyle w:val="73R"/>
              <w:rPr>
                <w:rtl/>
              </w:rPr>
            </w:pPr>
          </w:p>
        </w:tc>
        <w:tc>
          <w:tcPr>
            <w:tcW w:w="744" w:type="pct"/>
            <w:shd w:val="clear" w:color="auto" w:fill="EFF7F8"/>
            <w:vAlign w:val="center"/>
          </w:tcPr>
          <w:p w:rsidR="00DD4253" w:rsidP="00DD4253" w14:paraId="249468F9" w14:textId="472083F7">
            <w:pPr>
              <w:pStyle w:val="73R"/>
              <w:rPr>
                <w:rtl/>
              </w:rPr>
            </w:pPr>
            <w:r w:rsidRPr="00155285">
              <w:rPr>
                <w:rFonts w:eastAsia="Times New Roman"/>
                <w:b/>
                <w:bCs/>
                <w:color w:val="000000"/>
              </w:rPr>
              <w:t>1,536,779</w:t>
            </w:r>
          </w:p>
        </w:tc>
      </w:tr>
    </w:tbl>
    <w:p w:rsidR="00B57FF3" w:rsidP="00B57FF3" w14:paraId="1A17FE5D" w14:textId="77777777">
      <w:pPr>
        <w:pStyle w:val="73"/>
        <w:rPr>
          <w:rtl/>
        </w:rPr>
      </w:pPr>
      <w:r w:rsidRPr="00EF3061">
        <w:rPr>
          <w:rFonts w:hint="cs"/>
          <w:rtl/>
        </w:rPr>
        <w:t>סיכום</w:t>
      </w:r>
    </w:p>
    <w:p w:rsidR="00B57FF3" w:rsidRPr="005F717F" w:rsidP="00B57FF3" w14:paraId="2585FFBE" w14:textId="77777777">
      <w:pPr>
        <w:pStyle w:val="7392"/>
        <w:rPr>
          <w:rtl/>
        </w:rPr>
      </w:pPr>
      <w:r w:rsidRPr="005F717F">
        <w:rPr>
          <w:rFonts w:hint="eastAsia"/>
          <w:rtl/>
        </w:rPr>
        <w:t>תש</w:t>
      </w:r>
      <w:r w:rsidRPr="005F717F">
        <w:rPr>
          <w:rtl/>
        </w:rPr>
        <w:t xml:space="preserve">"א משמשת גורם מרכזי בענף הדלק בישראל </w:t>
      </w:r>
      <w:r w:rsidRPr="005F717F">
        <w:rPr>
          <w:rtl/>
        </w:rPr>
        <w:t>בעיתות</w:t>
      </w:r>
      <w:r w:rsidRPr="005F717F">
        <w:rPr>
          <w:rtl/>
        </w:rPr>
        <w:t xml:space="preserve"> שגרה ובמצבי חירום, והיא מונופול או גורם מרכזי ברוב תחומי פעילותה. המתקנים והצינורות של החברה פרוסים לאורכה ולרוחבה של הארץ. שיעור הרווח הנקי של החברה במשך השנים גבוה יחסית (10% - 20%), והיא איתנה מבחינה פיננסית. עם זאת, מצבה הפיננסי בטווח הארוך לוט בערפל, זאת מאחר שבמרץ 2022 הממשלה החליטה על סגירת ענף הפטרוכימיה באזור חיפה. להחלטה כזו יש השפעות רחבות על החברה, כולל העתקת תשתיות ופוטנציאל לפגיעה בהיקפי פעילותה. נוסף על כך, התוכנית האסטרטגית של החברה לא תוקפה על ידי שר</w:t>
      </w:r>
      <w:r w:rsidRPr="005F717F">
        <w:rPr>
          <w:rFonts w:hint="eastAsia"/>
          <w:rtl/>
        </w:rPr>
        <w:t>ת</w:t>
      </w:r>
      <w:r w:rsidRPr="005F717F">
        <w:rPr>
          <w:rtl/>
        </w:rPr>
        <w:t xml:space="preserve"> </w:t>
      </w:r>
      <w:r w:rsidRPr="005F717F">
        <w:rPr>
          <w:rtl/>
        </w:rPr>
        <w:t>האנרגייה</w:t>
      </w:r>
      <w:r w:rsidRPr="005F717F">
        <w:rPr>
          <w:rtl/>
        </w:rPr>
        <w:t xml:space="preserve"> ומשרד </w:t>
      </w:r>
      <w:r w:rsidRPr="005F717F">
        <w:rPr>
          <w:rtl/>
        </w:rPr>
        <w:t>האנרגייה</w:t>
      </w:r>
      <w:r w:rsidRPr="005F717F">
        <w:rPr>
          <w:rtl/>
        </w:rPr>
        <w:t>.</w:t>
      </w:r>
    </w:p>
    <w:p w:rsidR="00B57FF3" w:rsidRPr="005F717F" w:rsidP="00B57FF3" w14:paraId="20B0DA37" w14:textId="77777777">
      <w:pPr>
        <w:pStyle w:val="7392"/>
        <w:rPr>
          <w:rtl/>
        </w:rPr>
      </w:pPr>
      <w:r w:rsidRPr="005F717F">
        <w:rPr>
          <w:rtl/>
        </w:rPr>
        <w:t>מהביקורת עולה כי החברה פועלת יותר מ-20 שנים ללא הסכם הפעלה בינה ובין המדינה המסדיר את היחסים ביניהן ואת הבעלות על הנכסים שהחברה מתחזקת ומפעילה. בעקבות כך בין היתר נגרם הפסד משקי (למדינה ולחברה) בתקופה זו בסכום הנאמד במאות מיליוני ש"ח (מ-216 עד 659 מיליון ש"ח). בנוסף על כך, יש מחלוקת בבית משפט בין החברה ובין רשות המיסים בסכום של עשרות מיליוני ש"ח של חבות מס של החברה בנוגע לנכסי נדל"ן האמורים לעבור למדינה. כמו כן, עלה כי בחברה יש יתרת עודפים הראויים לחלוקה כדיבידנד למדינה של יותר ממיליארד ש"ח וכי בגין השנים 2017 - 2020 החברה לא חלקה דיבידנדים למדינה.</w:t>
      </w:r>
    </w:p>
    <w:p w:rsidR="00B57FF3" w:rsidP="00B57FF3" w14:paraId="3BB040AE" w14:textId="77777777">
      <w:pPr>
        <w:pStyle w:val="7392"/>
        <w:rPr>
          <w:rtl/>
        </w:rPr>
      </w:pPr>
      <w:r w:rsidRPr="005F717F">
        <w:rPr>
          <w:rtl/>
        </w:rPr>
        <w:t>על משרד האוצר, בהובלת החשב הכללי</w:t>
      </w:r>
      <w:r w:rsidRPr="005F717F">
        <w:rPr>
          <w:rFonts w:hint="cs"/>
          <w:rtl/>
        </w:rPr>
        <w:t>,</w:t>
      </w:r>
      <w:r w:rsidRPr="005F717F">
        <w:rPr>
          <w:rtl/>
        </w:rPr>
        <w:t xml:space="preserve"> משרד </w:t>
      </w:r>
      <w:r w:rsidRPr="005F717F">
        <w:rPr>
          <w:rtl/>
        </w:rPr>
        <w:t>האנרגייה</w:t>
      </w:r>
      <w:r w:rsidRPr="005F717F">
        <w:rPr>
          <w:rFonts w:hint="cs"/>
          <w:rtl/>
        </w:rPr>
        <w:t>,</w:t>
      </w:r>
      <w:r w:rsidRPr="005F717F">
        <w:rPr>
          <w:rtl/>
        </w:rPr>
        <w:t xml:space="preserve"> רשות החברות הממשלתיות</w:t>
      </w:r>
      <w:r w:rsidRPr="005F717F">
        <w:rPr>
          <w:rFonts w:hint="cs"/>
          <w:rtl/>
        </w:rPr>
        <w:t>,</w:t>
      </w:r>
      <w:r w:rsidRPr="005F717F">
        <w:rPr>
          <w:rtl/>
        </w:rPr>
        <w:t xml:space="preserve"> רשות המיסים </w:t>
      </w:r>
      <w:r w:rsidRPr="005F717F">
        <w:rPr>
          <w:rtl/>
        </w:rPr>
        <w:t>ורמ"י</w:t>
      </w:r>
      <w:r w:rsidRPr="005F717F">
        <w:rPr>
          <w:rtl/>
        </w:rPr>
        <w:t>, בסיוע היועץ המשפטי לממשלה, להשלים את גיבושו של נוסח מוסכם של הסכם הפעלה עם החברה. על רשות החברות הממשלתיות לפעול עם דירקטוריון החברה לחלוקת דיבידנד למדינה</w:t>
      </w:r>
      <w:r w:rsidRPr="00BE0973">
        <w:rPr>
          <w:rtl/>
        </w:rPr>
        <w:t>.</w:t>
      </w:r>
    </w:p>
    <w:sectPr w:rsidSect="00174C85">
      <w:headerReference w:type="even" r:id="rId27"/>
      <w:footerReference w:type="even" r:id="rId28"/>
      <w:pgSz w:w="11906" w:h="16838" w:code="9"/>
      <w:pgMar w:top="3062" w:right="2268" w:bottom="2552" w:left="2268" w:header="1134" w:footer="1361" w:gutter="0"/>
      <w:pgNumType w:start="165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11988" w14:paraId="2E483F02" w14:textId="77777777">
      <w:pPr>
        <w:spacing w:line="240" w:lineRule="auto"/>
      </w:pPr>
      <w:r>
        <w:separator/>
      </w:r>
    </w:p>
    <w:p w:rsidR="00F11988" w14:paraId="24A5F663" w14:textId="77777777"/>
    <w:p w:rsidR="00F11988" w14:paraId="0DE9F275" w14:textId="77777777"/>
    <w:p w:rsidR="00F11988" w14:paraId="630738B6" w14:textId="77777777"/>
  </w:endnote>
  <w:endnote w:type="continuationSeparator" w:id="1">
    <w:p w:rsidR="00F11988" w14:paraId="4B84169D" w14:textId="77777777">
      <w:pPr>
        <w:spacing w:line="240" w:lineRule="auto"/>
      </w:pPr>
      <w:r>
        <w:continuationSeparator/>
      </w:r>
    </w:p>
    <w:p w:rsidR="00F11988" w14:paraId="25646432" w14:textId="77777777"/>
    <w:p w:rsidR="00F11988" w14:paraId="17649FDE" w14:textId="77777777"/>
    <w:p w:rsidR="00F11988" w14:paraId="0A55C8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56AE" w14:paraId="22B903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74C85" w14:paraId="0C89F632" w14:textId="5FC1BD3C">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1739</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174C85" w:rsidRPr="00174C85" w:rsidP="00174C85" w14:paraId="26857FE3"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56AE" w14:paraId="22D11D5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B0C" w:rsidP="00AD4B0C" w14:paraId="785F1DC6" w14:textId="77777777">
    <w:pPr>
      <w:pStyle w:val="Footer"/>
      <w:spacing w:after="120" w:line="312" w:lineRule="auto"/>
      <w:ind w:left="-510"/>
      <w:jc w:val="left"/>
      <w:rPr>
        <w:rFonts w:ascii="Tahoma" w:hAnsi="Tahoma" w:cs="Tahoma"/>
        <w:sz w:val="18"/>
        <w:szCs w:val="18"/>
        <w:rtl/>
      </w:rPr>
    </w:pPr>
  </w:p>
  <w:p w:rsidR="00AD4B0C" w:rsidP="00AD4B0C" w14:paraId="740639ED" w14:textId="77777777">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1652</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8B694B" w:rsidRPr="00AD4B0C" w:rsidP="00AD4B0C"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11988" w:rsidP="00E7235E" w14:paraId="1E84047B" w14:textId="77777777">
      <w:pPr>
        <w:spacing w:line="240" w:lineRule="auto"/>
      </w:pPr>
      <w:r>
        <w:separator/>
      </w:r>
    </w:p>
  </w:footnote>
  <w:footnote w:type="continuationSeparator" w:id="1">
    <w:p w:rsidR="00F11988" w:rsidP="00C23CC9" w14:paraId="7CCD1747" w14:textId="77777777">
      <w:pPr>
        <w:spacing w:line="240" w:lineRule="auto"/>
      </w:pPr>
      <w:r>
        <w:continuationSeparator/>
      </w:r>
    </w:p>
    <w:p w:rsidR="00F11988" w14:paraId="6303085C" w14:textId="77777777"/>
    <w:p w:rsidR="00F11988" w14:paraId="06649E26" w14:textId="77777777"/>
    <w:p w:rsidR="00F11988" w14:paraId="5D13BA6C" w14:textId="77777777"/>
  </w:footnote>
  <w:footnote w:id="2">
    <w:p w:rsidR="00DD4253" w:rsidRPr="009A0198" w:rsidP="00502B59" w14:paraId="7C0934A6" w14:textId="77777777">
      <w:pPr>
        <w:pStyle w:val="733"/>
      </w:pPr>
      <w:r w:rsidRPr="00A67251">
        <w:footnoteRef/>
      </w:r>
      <w:r w:rsidRPr="00A67251">
        <w:rPr>
          <w:rtl/>
        </w:rPr>
        <w:t xml:space="preserve"> </w:t>
      </w:r>
      <w:r w:rsidRPr="00A67251">
        <w:rPr>
          <w:rtl/>
        </w:rPr>
        <w:tab/>
      </w:r>
      <w:r w:rsidRPr="004A6194">
        <w:rPr>
          <w:rtl/>
        </w:rPr>
        <w:t>שם זה התקבל בשנת 2021. שמה הקודם של החברה - תשתיות אנרגייה ונפט (תש"ן).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DD4253" w14:textId="28B45A2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D4253" w:rsidR="00DD4253">
                            <w:rPr>
                              <w:rFonts w:ascii="Tahoma" w:hAnsi="Tahoma" w:cs="Tahoma"/>
                              <w:b/>
                              <w:bCs/>
                              <w:rtl/>
                            </w:rPr>
                            <w:t>חברת תשתיות אנרגיה בע"מ - ביקורת פיננסית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DD4253" w14:paraId="77809697" w14:textId="28B45A2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D4253" w:rsidR="00DD4253">
                      <w:rPr>
                        <w:rFonts w:ascii="Tahoma" w:hAnsi="Tahoma" w:cs="Tahoma"/>
                        <w:b/>
                        <w:bCs/>
                        <w:rtl/>
                      </w:rPr>
                      <w:t>חברת תשתיות אנרגיה בע"מ - ביקורת פיננסית</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688EF4DD">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התשפ״ג | </w:t>
                          </w:r>
                          <w:r w:rsidRPr="00EC6EA8" w:rsidR="00EC6EA8">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688EF4DD">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sidRPr="00EC6EA8" w:rsidR="00EC6EA8">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422FA24B">
                          <w:pPr>
                            <w:pStyle w:val="Heading1"/>
                            <w:spacing w:line="269" w:lineRule="auto"/>
                            <w:jc w:val="left"/>
                            <w:rPr>
                              <w:rFonts w:ascii="Tahoma" w:hAnsi="Tahoma" w:eastAsiaTheme="minorHAnsi" w:cs="Tahoma"/>
                              <w:bCs w:val="0"/>
                              <w:color w:val="0D0D0D" w:themeColor="text1" w:themeTint="F2"/>
                              <w:sz w:val="16"/>
                              <w:szCs w:val="16"/>
                              <w:u w:val="none"/>
                            </w:rPr>
                          </w:pPr>
                          <w:r w:rsidRPr="00DD4253">
                            <w:rPr>
                              <w:rFonts w:ascii="Tahoma" w:hAnsi="Tahoma" w:eastAsiaTheme="minorHAnsi" w:cs="Tahoma"/>
                              <w:bCs w:val="0"/>
                              <w:color w:val="0D0D0D" w:themeColor="text1" w:themeTint="F2"/>
                              <w:sz w:val="16"/>
                              <w:szCs w:val="16"/>
                              <w:u w:val="none"/>
                              <w:rtl/>
                            </w:rPr>
                            <w:t>חברת תשתיות אנרגיה בע"מ - ביקורת פיננסית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422FA24B">
                    <w:pPr>
                      <w:pStyle w:val="Heading1"/>
                      <w:spacing w:line="269" w:lineRule="auto"/>
                      <w:jc w:val="left"/>
                      <w:rPr>
                        <w:rFonts w:ascii="Tahoma" w:hAnsi="Tahoma" w:eastAsiaTheme="minorHAnsi" w:cs="Tahoma"/>
                        <w:bCs w:val="0"/>
                        <w:color w:val="0D0D0D" w:themeColor="text1" w:themeTint="F2"/>
                        <w:sz w:val="16"/>
                        <w:szCs w:val="16"/>
                        <w:u w:val="none"/>
                      </w:rPr>
                    </w:pPr>
                    <w:r w:rsidRPr="00DD4253">
                      <w:rPr>
                        <w:rFonts w:ascii="Tahoma" w:hAnsi="Tahoma" w:eastAsiaTheme="minorHAnsi" w:cs="Tahoma"/>
                        <w:bCs w:val="0"/>
                        <w:color w:val="0D0D0D" w:themeColor="text1" w:themeTint="F2"/>
                        <w:sz w:val="16"/>
                        <w:szCs w:val="16"/>
                        <w:u w:val="none"/>
                        <w:rtl/>
                      </w:rPr>
                      <w:t>חברת תשתיות אנרגיה בע"מ - ביקורת פיננסית</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5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4B0C" w:rsidP="00AD4B0C" w14:paraId="7CF10912" w14:textId="77777777">
    <w:pPr>
      <w:pStyle w:val="Header"/>
      <w:rPr>
        <w:rtl/>
      </w:rPr>
    </w:pPr>
    <w:r>
      <w:rPr>
        <w:noProof/>
        <w:rtl/>
        <w:lang w:val="he-IL"/>
      </w:rPr>
      <mc:AlternateContent>
        <mc:Choice Requires="wps">
          <w:drawing>
            <wp:anchor distT="0" distB="0" distL="114300" distR="114300" simplePos="0" relativeHeight="25168179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9"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D4B0C" w:rsidRPr="00FD02CC" w:rsidP="00AD4B0C"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3664" filled="f" strokecolor="#a5a5a5" strokeweight="0.25pt">
              <v:stroke dashstyle="longDash"/>
              <v:textbox>
                <w:txbxContent>
                  <w:p w:rsidR="00AD4B0C" w:rsidRPr="00FD02CC" w:rsidP="00AD4B0C" w14:paraId="4FDCCD1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AD4B0C" w:rsidP="00AD4B0C" w14:paraId="45F5E742" w14:textId="77777777">
    <w:pPr>
      <w:pStyle w:val="Header"/>
      <w:ind w:firstLine="720"/>
      <w:rPr>
        <w:rtl/>
      </w:rPr>
    </w:pPr>
  </w:p>
  <w:p w:rsidR="00AD4B0C" w:rsidP="00AD4B0C" w14:paraId="05B5A23A" w14:textId="77777777">
    <w:pPr>
      <w:pStyle w:val="Header"/>
      <w:rPr>
        <w:rtl/>
      </w:rPr>
    </w:pPr>
  </w:p>
  <w:p w:rsidR="00AD4B0C" w:rsidP="00AD4B0C" w14:paraId="241D36FB"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6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AD4B0C" w:rsidRPr="003D62C4" w:rsidP="00AD4B0C"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DD4253">
                            <w:rPr>
                              <w:rFonts w:ascii="Tahoma" w:hAnsi="Tahoma" w:eastAsiaTheme="minorHAnsi" w:cs="Tahoma"/>
                              <w:bCs w:val="0"/>
                              <w:color w:val="0D0D0D" w:themeColor="text1" w:themeTint="F2"/>
                              <w:sz w:val="16"/>
                              <w:szCs w:val="16"/>
                              <w:u w:val="none"/>
                              <w:rtl/>
                            </w:rPr>
                            <w:t>חברת תשתיות אנרגיה בע"מ - ביקורת פיננסית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0768" stroked="f">
              <v:textbox style="mso-fit-shape-to-text:t">
                <w:txbxContent>
                  <w:p w:rsidR="00AD4B0C" w:rsidRPr="003D62C4" w:rsidP="00AD4B0C" w14:paraId="64B488CD"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DD4253">
                      <w:rPr>
                        <w:rFonts w:ascii="Tahoma" w:hAnsi="Tahoma" w:eastAsiaTheme="minorHAnsi" w:cs="Tahoma"/>
                        <w:bCs w:val="0"/>
                        <w:color w:val="0D0D0D" w:themeColor="text1" w:themeTint="F2"/>
                        <w:sz w:val="16"/>
                        <w:szCs w:val="16"/>
                        <w:u w:val="none"/>
                        <w:rtl/>
                      </w:rPr>
                      <w:t>חברת תשתיות אנרגיה בע"מ - ביקורת פיננסית</w:t>
                    </w:r>
                  </w:p>
                </w:txbxContent>
              </v:textbox>
              <w10:wrap type="square"/>
            </v:shape>
          </w:pict>
        </mc:Fallback>
      </mc:AlternateContent>
    </w:r>
  </w:p>
  <w:p w:rsidR="008B694B" w:rsidRPr="00AD4B0C" w:rsidP="00AD4B0C" w14:paraId="4E47EA6D" w14:textId="35826FE1">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11357587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4"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113575873"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78720" from="-109.7pt,27.8pt" to="367.9pt,27.8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9pt" o:bullet="t">
        <v:imagedata r:id="rId1" o:title="icon-menura copy"/>
      </v:shape>
    </w:pict>
  </w:numPicBullet>
  <w:numPicBullet w:numPicBulletId="1">
    <w:pict>
      <v:shape id="_x0000_i1027" type="#_x0000_t75" style="width:49pt;height:55.5pt" o:bullet="t">
        <v:imagedata r:id="rId2" o:title="yad-red"/>
      </v:shape>
    </w:pict>
  </w:numPicBullet>
  <w:abstractNum w:abstractNumId="0">
    <w:nsid w:val="FFFFFF7C"/>
    <w:multiLevelType w:val="singleLevel"/>
    <w:tmpl w:val="445E4E02"/>
    <w:lvl w:ilvl="0">
      <w:start w:val="1"/>
      <w:numFmt w:val="decimal"/>
      <w:lvlText w:val="%1."/>
      <w:lvlJc w:val="left"/>
      <w:pPr>
        <w:tabs>
          <w:tab w:val="num" w:pos="1492"/>
        </w:tabs>
        <w:ind w:left="1492" w:hanging="360"/>
      </w:pPr>
    </w:lvl>
  </w:abstractNum>
  <w:abstractNum w:abstractNumId="1">
    <w:nsid w:val="FFFFFF7D"/>
    <w:multiLevelType w:val="singleLevel"/>
    <w:tmpl w:val="FDCADD4E"/>
    <w:lvl w:ilvl="0">
      <w:start w:val="1"/>
      <w:numFmt w:val="decimal"/>
      <w:lvlText w:val="%1."/>
      <w:lvlJc w:val="left"/>
      <w:pPr>
        <w:tabs>
          <w:tab w:val="num" w:pos="1209"/>
        </w:tabs>
        <w:ind w:left="1209" w:hanging="360"/>
      </w:pPr>
    </w:lvl>
  </w:abstractNum>
  <w:abstractNum w:abstractNumId="2">
    <w:nsid w:val="FFFFFF7F"/>
    <w:multiLevelType w:val="singleLevel"/>
    <w:tmpl w:val="792AB4A0"/>
    <w:lvl w:ilvl="0">
      <w:start w:val="1"/>
      <w:numFmt w:val="decimal"/>
      <w:lvlText w:val="%1."/>
      <w:lvlJc w:val="left"/>
      <w:pPr>
        <w:tabs>
          <w:tab w:val="num" w:pos="643"/>
        </w:tabs>
        <w:ind w:left="643" w:hanging="360"/>
      </w:pPr>
    </w:lvl>
  </w:abstractNum>
  <w:abstractNum w:abstractNumId="3">
    <w:nsid w:val="FFFFFF80"/>
    <w:multiLevelType w:val="singleLevel"/>
    <w:tmpl w:val="BF501B1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5F78EAC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262D34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D8A69A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3AE85772"/>
    <w:lvl w:ilvl="0">
      <w:start w:val="1"/>
      <w:numFmt w:val="bullet"/>
      <w:lvlText w:val=""/>
      <w:lvlJc w:val="left"/>
      <w:pPr>
        <w:tabs>
          <w:tab w:val="num" w:pos="360"/>
        </w:tabs>
        <w:ind w:left="360" w:hanging="360"/>
      </w:pPr>
      <w:rPr>
        <w:rFonts w:ascii="Symbol" w:hAnsi="Symbol" w:hint="default"/>
      </w:rPr>
    </w:lvl>
  </w:abstractNum>
  <w:abstractNum w:abstractNumId="8">
    <w:nsid w:val="015A7A2A"/>
    <w:multiLevelType w:val="hybridMultilevel"/>
    <w:tmpl w:val="BDC4BE8E"/>
    <w:lvl w:ilvl="0">
      <w:start w:val="1"/>
      <w:numFmt w:val="decimal"/>
      <w:lvlText w:val="%1."/>
      <w:lvlJc w:val="left"/>
      <w:pPr>
        <w:ind w:left="340"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F81A3A"/>
    <w:multiLevelType w:val="hybridMultilevel"/>
    <w:tmpl w:val="65A84CA4"/>
    <w:lvl w:ilvl="0">
      <w:start w:val="1"/>
      <w:numFmt w:val="bullet"/>
      <w:lvlText w:val=""/>
      <w:lvlPicBulletId w:val="1"/>
      <w:lvlJc w:val="left"/>
      <w:pPr>
        <w:ind w:left="454" w:hanging="454"/>
      </w:pPr>
      <w:rPr>
        <w:rFonts w:ascii="Symbol" w:hAnsi="Symbol" w:hint="default"/>
        <w:color w:val="auto"/>
        <w:sz w:val="30"/>
        <w:szCs w:val="3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074133"/>
    <w:multiLevelType w:val="hybridMultilevel"/>
    <w:tmpl w:val="ED4C3644"/>
    <w:lvl w:ilvl="0">
      <w:start w:val="1"/>
      <w:numFmt w:val="bullet"/>
      <w:lvlText w:val=""/>
      <w:lvlPicBulletId w:val="0"/>
      <w:lvlJc w:val="left"/>
      <w:pPr>
        <w:ind w:left="760" w:hanging="403"/>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CB5BF3"/>
    <w:multiLevelType w:val="multilevel"/>
    <w:tmpl w:val="646C0440"/>
    <w:lvl w:ilvl="0">
      <w:start w:val="1"/>
      <w:numFmt w:val="decimal"/>
      <w:lvlText w:val="%1."/>
      <w:lvlJc w:val="left"/>
      <w:pPr>
        <w:ind w:left="340" w:hanging="340"/>
      </w:pPr>
      <w:rPr>
        <w:rFonts w:hint="default"/>
      </w:rPr>
    </w:lvl>
    <w:lvl w:ilvl="1">
      <w:start w:val="1"/>
      <w:numFmt w:val="none"/>
      <w:pStyle w:val="737"/>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1F5F3945"/>
    <w:multiLevelType w:val="hybridMultilevel"/>
    <w:tmpl w:val="A7226ECE"/>
    <w:lvl w:ilvl="0">
      <w:start w:val="1"/>
      <w:numFmt w:val="decimal"/>
      <w:lvlText w:val="%1."/>
      <w:lvlJc w:val="left"/>
      <w:pPr>
        <w:ind w:left="340"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F0518F"/>
    <w:multiLevelType w:val="hybridMultilevel"/>
    <w:tmpl w:val="0756CC42"/>
    <w:lvl w:ilvl="0">
      <w:start w:val="5"/>
      <w:numFmt w:val="bullet"/>
      <w:lvlText w:val=""/>
      <w:lvlJc w:val="left"/>
      <w:pPr>
        <w:ind w:left="926" w:hanging="360"/>
      </w:pPr>
      <w:rPr>
        <w:rFonts w:ascii="Symbol" w:eastAsia="Calibri" w:hAnsi="Symbol" w:cs="David" w:hint="default"/>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6">
    <w:nsid w:val="22287F4E"/>
    <w:multiLevelType w:val="hybridMultilevel"/>
    <w:tmpl w:val="5F5A92E2"/>
    <w:lvl w:ilvl="0">
      <w:start w:val="1"/>
      <w:numFmt w:val="decimal"/>
      <w:lvlText w:val="%1."/>
      <w:lvlJc w:val="left"/>
      <w:pPr>
        <w:ind w:left="340"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CD683B"/>
    <w:multiLevelType w:val="hybridMultilevel"/>
    <w:tmpl w:val="AA143E0C"/>
    <w:lvl w:ilvl="0">
      <w:start w:val="1"/>
      <w:numFmt w:val="bullet"/>
      <w:lvlText w:val="o"/>
      <w:lvlJc w:val="left"/>
      <w:pPr>
        <w:ind w:left="926" w:hanging="360"/>
      </w:pPr>
      <w:rPr>
        <w:rFonts w:ascii="Courier New" w:hAnsi="Courier New" w:cs="Courier New" w:hint="default"/>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8">
    <w:nsid w:val="2B80115C"/>
    <w:multiLevelType w:val="hybridMultilevel"/>
    <w:tmpl w:val="4814A4AA"/>
    <w:lvl w:ilvl="0">
      <w:start w:val="1"/>
      <w:numFmt w:val="decimal"/>
      <w:lvlText w:val="%1."/>
      <w:lvlJc w:val="left"/>
      <w:pPr>
        <w:ind w:left="340"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0">
    <w:nsid w:val="305976A0"/>
    <w:multiLevelType w:val="hybridMultilevel"/>
    <w:tmpl w:val="6854B92A"/>
    <w:lvl w:ilvl="0">
      <w:start w:val="1"/>
      <w:numFmt w:val="bullet"/>
      <w:lvlText w:val="o"/>
      <w:lvlJc w:val="left"/>
      <w:pPr>
        <w:ind w:left="1174" w:hanging="360"/>
      </w:pPr>
      <w:rPr>
        <w:rFonts w:ascii="Courier New" w:hAnsi="Courier New" w:cs="Courier New" w:hint="default"/>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BC1088C"/>
    <w:multiLevelType w:val="multilevel"/>
    <w:tmpl w:val="1EAC27C8"/>
    <w:lvl w:ilvl="0">
      <w:start w:val="1"/>
      <w:numFmt w:val="decimal"/>
      <w:pStyle w:val="73110"/>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3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9980755"/>
    <w:multiLevelType w:val="hybridMultilevel"/>
    <w:tmpl w:val="0038DA26"/>
    <w:lvl w:ilvl="0">
      <w:start w:val="1"/>
      <w:numFmt w:val="decimal"/>
      <w:lvlText w:val="%1."/>
      <w:lvlJc w:val="left"/>
      <w:pPr>
        <w:ind w:left="340"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FD6C9A"/>
    <w:multiLevelType w:val="hybridMultilevel"/>
    <w:tmpl w:val="61903708"/>
    <w:lvl w:ilvl="0">
      <w:start w:val="1"/>
      <w:numFmt w:val="bullet"/>
      <w:lvlText w:val="o"/>
      <w:lvlJc w:val="left"/>
      <w:pPr>
        <w:ind w:left="1174" w:hanging="360"/>
      </w:pPr>
      <w:rPr>
        <w:rFonts w:ascii="Courier New" w:hAnsi="Courier New" w:cs="Courier New" w:hint="default"/>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8">
    <w:nsid w:val="67916F57"/>
    <w:multiLevelType w:val="hybridMultilevel"/>
    <w:tmpl w:val="646C19FC"/>
    <w:lvl w:ilvl="0">
      <w:start w:val="5"/>
      <w:numFmt w:val="bullet"/>
      <w:lvlText w:val=""/>
      <w:lvlJc w:val="left"/>
      <w:pPr>
        <w:ind w:left="926" w:hanging="360"/>
      </w:pPr>
      <w:rPr>
        <w:rFonts w:ascii="Symbol" w:eastAsia="Calibri" w:hAnsi="Symbol" w:cs="David" w:hint="default"/>
      </w:rPr>
    </w:lvl>
    <w:lvl w:ilvl="1" w:tentative="1">
      <w:start w:val="1"/>
      <w:numFmt w:val="bullet"/>
      <w:lvlText w:val="o"/>
      <w:lvlJc w:val="left"/>
      <w:pPr>
        <w:ind w:left="1646" w:hanging="360"/>
      </w:pPr>
      <w:rPr>
        <w:rFonts w:ascii="Courier New" w:hAnsi="Courier New" w:cs="Courier New" w:hint="default"/>
      </w:rPr>
    </w:lvl>
    <w:lvl w:ilvl="2" w:tentative="1">
      <w:start w:val="1"/>
      <w:numFmt w:val="bullet"/>
      <w:lvlText w:val=""/>
      <w:lvlJc w:val="left"/>
      <w:pPr>
        <w:ind w:left="2366" w:hanging="360"/>
      </w:pPr>
      <w:rPr>
        <w:rFonts w:ascii="Wingdings" w:hAnsi="Wingdings" w:hint="default"/>
      </w:rPr>
    </w:lvl>
    <w:lvl w:ilvl="3" w:tentative="1">
      <w:start w:val="1"/>
      <w:numFmt w:val="bullet"/>
      <w:lvlText w:val=""/>
      <w:lvlJc w:val="left"/>
      <w:pPr>
        <w:ind w:left="3086" w:hanging="360"/>
      </w:pPr>
      <w:rPr>
        <w:rFonts w:ascii="Symbol" w:hAnsi="Symbol" w:hint="default"/>
      </w:rPr>
    </w:lvl>
    <w:lvl w:ilvl="4" w:tentative="1">
      <w:start w:val="1"/>
      <w:numFmt w:val="bullet"/>
      <w:lvlText w:val="o"/>
      <w:lvlJc w:val="left"/>
      <w:pPr>
        <w:ind w:left="3806" w:hanging="360"/>
      </w:pPr>
      <w:rPr>
        <w:rFonts w:ascii="Courier New" w:hAnsi="Courier New" w:cs="Courier New" w:hint="default"/>
      </w:rPr>
    </w:lvl>
    <w:lvl w:ilvl="5" w:tentative="1">
      <w:start w:val="1"/>
      <w:numFmt w:val="bullet"/>
      <w:lvlText w:val=""/>
      <w:lvlJc w:val="left"/>
      <w:pPr>
        <w:ind w:left="4526" w:hanging="360"/>
      </w:pPr>
      <w:rPr>
        <w:rFonts w:ascii="Wingdings" w:hAnsi="Wingdings" w:hint="default"/>
      </w:rPr>
    </w:lvl>
    <w:lvl w:ilvl="6" w:tentative="1">
      <w:start w:val="1"/>
      <w:numFmt w:val="bullet"/>
      <w:lvlText w:val=""/>
      <w:lvlJc w:val="left"/>
      <w:pPr>
        <w:ind w:left="5246" w:hanging="360"/>
      </w:pPr>
      <w:rPr>
        <w:rFonts w:ascii="Symbol" w:hAnsi="Symbol" w:hint="default"/>
      </w:rPr>
    </w:lvl>
    <w:lvl w:ilvl="7" w:tentative="1">
      <w:start w:val="1"/>
      <w:numFmt w:val="bullet"/>
      <w:lvlText w:val="o"/>
      <w:lvlJc w:val="left"/>
      <w:pPr>
        <w:ind w:left="5966" w:hanging="360"/>
      </w:pPr>
      <w:rPr>
        <w:rFonts w:ascii="Courier New" w:hAnsi="Courier New" w:cs="Courier New" w:hint="default"/>
      </w:rPr>
    </w:lvl>
    <w:lvl w:ilvl="8" w:tentative="1">
      <w:start w:val="1"/>
      <w:numFmt w:val="bullet"/>
      <w:lvlText w:val=""/>
      <w:lvlJc w:val="left"/>
      <w:pPr>
        <w:ind w:left="6686" w:hanging="360"/>
      </w:pPr>
      <w:rPr>
        <w:rFonts w:ascii="Wingdings" w:hAnsi="Wingdings" w:hint="default"/>
      </w:rPr>
    </w:lvl>
  </w:abstractNum>
  <w:abstractNum w:abstractNumId="29">
    <w:nsid w:val="737F1B4E"/>
    <w:multiLevelType w:val="hybridMultilevel"/>
    <w:tmpl w:val="62442162"/>
    <w:lvl w:ilvl="0">
      <w:start w:val="1"/>
      <w:numFmt w:val="bullet"/>
      <w:lvlText w:val="o"/>
      <w:lvlJc w:val="left"/>
      <w:pPr>
        <w:ind w:left="926" w:hanging="360"/>
      </w:pPr>
      <w:rPr>
        <w:rFonts w:ascii="Courier New" w:hAnsi="Courier New" w:cs="Courier New" w:hint="default"/>
      </w:rPr>
    </w:lvl>
    <w:lvl w:ilvl="1" w:tentative="1">
      <w:start w:val="1"/>
      <w:numFmt w:val="bullet"/>
      <w:lvlText w:val="o"/>
      <w:lvlJc w:val="left"/>
      <w:pPr>
        <w:ind w:left="1646" w:hanging="360"/>
      </w:pPr>
      <w:rPr>
        <w:rFonts w:ascii="Courier New" w:hAnsi="Courier New" w:cs="Courier New" w:hint="default"/>
      </w:rPr>
    </w:lvl>
    <w:lvl w:ilvl="2" w:tentative="1">
      <w:start w:val="1"/>
      <w:numFmt w:val="bullet"/>
      <w:lvlText w:val=""/>
      <w:lvlJc w:val="left"/>
      <w:pPr>
        <w:ind w:left="2366" w:hanging="360"/>
      </w:pPr>
      <w:rPr>
        <w:rFonts w:ascii="Wingdings" w:hAnsi="Wingdings" w:hint="default"/>
      </w:rPr>
    </w:lvl>
    <w:lvl w:ilvl="3" w:tentative="1">
      <w:start w:val="1"/>
      <w:numFmt w:val="bullet"/>
      <w:lvlText w:val=""/>
      <w:lvlJc w:val="left"/>
      <w:pPr>
        <w:ind w:left="3086" w:hanging="360"/>
      </w:pPr>
      <w:rPr>
        <w:rFonts w:ascii="Symbol" w:hAnsi="Symbol" w:hint="default"/>
      </w:rPr>
    </w:lvl>
    <w:lvl w:ilvl="4" w:tentative="1">
      <w:start w:val="1"/>
      <w:numFmt w:val="bullet"/>
      <w:lvlText w:val="o"/>
      <w:lvlJc w:val="left"/>
      <w:pPr>
        <w:ind w:left="3806" w:hanging="360"/>
      </w:pPr>
      <w:rPr>
        <w:rFonts w:ascii="Courier New" w:hAnsi="Courier New" w:cs="Courier New" w:hint="default"/>
      </w:rPr>
    </w:lvl>
    <w:lvl w:ilvl="5" w:tentative="1">
      <w:start w:val="1"/>
      <w:numFmt w:val="bullet"/>
      <w:lvlText w:val=""/>
      <w:lvlJc w:val="left"/>
      <w:pPr>
        <w:ind w:left="4526" w:hanging="360"/>
      </w:pPr>
      <w:rPr>
        <w:rFonts w:ascii="Wingdings" w:hAnsi="Wingdings" w:hint="default"/>
      </w:rPr>
    </w:lvl>
    <w:lvl w:ilvl="6" w:tentative="1">
      <w:start w:val="1"/>
      <w:numFmt w:val="bullet"/>
      <w:lvlText w:val=""/>
      <w:lvlJc w:val="left"/>
      <w:pPr>
        <w:ind w:left="5246" w:hanging="360"/>
      </w:pPr>
      <w:rPr>
        <w:rFonts w:ascii="Symbol" w:hAnsi="Symbol" w:hint="default"/>
      </w:rPr>
    </w:lvl>
    <w:lvl w:ilvl="7" w:tentative="1">
      <w:start w:val="1"/>
      <w:numFmt w:val="bullet"/>
      <w:lvlText w:val="o"/>
      <w:lvlJc w:val="left"/>
      <w:pPr>
        <w:ind w:left="5966" w:hanging="360"/>
      </w:pPr>
      <w:rPr>
        <w:rFonts w:ascii="Courier New" w:hAnsi="Courier New" w:cs="Courier New" w:hint="default"/>
      </w:rPr>
    </w:lvl>
    <w:lvl w:ilvl="8" w:tentative="1">
      <w:start w:val="1"/>
      <w:numFmt w:val="bullet"/>
      <w:lvlText w:val=""/>
      <w:lvlJc w:val="left"/>
      <w:pPr>
        <w:ind w:left="6686" w:hanging="360"/>
      </w:pPr>
      <w:rPr>
        <w:rFonts w:ascii="Wingdings" w:hAnsi="Wingdings" w:hint="default"/>
      </w:rPr>
    </w:lvl>
  </w:abstractNum>
  <w:abstractNum w:abstractNumId="3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3"/>
  </w:num>
  <w:num w:numId="2">
    <w:abstractNumId w:val="22"/>
  </w:num>
  <w:num w:numId="3">
    <w:abstractNumId w:val="26"/>
  </w:num>
  <w:num w:numId="4">
    <w:abstractNumId w:val="19"/>
  </w:num>
  <w:num w:numId="5">
    <w:abstractNumId w:val="21"/>
  </w:num>
  <w:num w:numId="6">
    <w:abstractNumId w:val="30"/>
  </w:num>
  <w:num w:numId="7">
    <w:abstractNumId w:val="9"/>
  </w:num>
  <w:num w:numId="8">
    <w:abstractNumId w:val="23"/>
  </w:num>
  <w:num w:numId="9">
    <w:abstractNumId w:val="27"/>
  </w:num>
  <w:num w:numId="10">
    <w:abstractNumId w:val="10"/>
  </w:num>
  <w:num w:numId="11">
    <w:abstractNumId w:val="12"/>
  </w:num>
  <w:num w:numId="12">
    <w:abstractNumId w:val="11"/>
  </w:num>
  <w:num w:numId="13">
    <w:abstractNumId w:val="14"/>
  </w:num>
  <w:num w:numId="14">
    <w:abstractNumId w:val="18"/>
  </w:num>
  <w:num w:numId="15">
    <w:abstractNumId w:val="8"/>
  </w:num>
  <w:num w:numId="16">
    <w:abstractNumId w:val="24"/>
  </w:num>
  <w:num w:numId="17">
    <w:abstractNumId w:val="16"/>
  </w:num>
  <w:num w:numId="18">
    <w:abstractNumId w:val="3"/>
  </w:num>
  <w:num w:numId="19">
    <w:abstractNumId w:val="4"/>
  </w:num>
  <w:num w:numId="20">
    <w:abstractNumId w:val="5"/>
  </w:num>
  <w:num w:numId="21">
    <w:abstractNumId w:val="6"/>
  </w:num>
  <w:num w:numId="22">
    <w:abstractNumId w:val="7"/>
  </w:num>
  <w:num w:numId="23">
    <w:abstractNumId w:val="0"/>
  </w:num>
  <w:num w:numId="24">
    <w:abstractNumId w:val="1"/>
  </w:num>
  <w:num w:numId="25">
    <w:abstractNumId w:val="2"/>
  </w:num>
  <w:num w:numId="26">
    <w:abstractNumId w:val="25"/>
  </w:num>
  <w:num w:numId="27">
    <w:abstractNumId w:val="20"/>
  </w:num>
  <w:num w:numId="28">
    <w:abstractNumId w:val="29"/>
  </w:num>
  <w:num w:numId="29">
    <w:abstractNumId w:val="17"/>
  </w:num>
  <w:num w:numId="30">
    <w:abstractNumId w:val="28"/>
  </w:num>
  <w:num w:numId="3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9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DDD"/>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297"/>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021"/>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DA4"/>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E8E"/>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285"/>
    <w:rsid w:val="00155501"/>
    <w:rsid w:val="001560B9"/>
    <w:rsid w:val="00156CAA"/>
    <w:rsid w:val="00156DEF"/>
    <w:rsid w:val="0015702B"/>
    <w:rsid w:val="00157577"/>
    <w:rsid w:val="00157D86"/>
    <w:rsid w:val="00160155"/>
    <w:rsid w:val="0016031C"/>
    <w:rsid w:val="00161124"/>
    <w:rsid w:val="00161717"/>
    <w:rsid w:val="00161DA5"/>
    <w:rsid w:val="00161E01"/>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4C85"/>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2BD"/>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294D"/>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867"/>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2FE1"/>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E70"/>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741"/>
    <w:rsid w:val="002A0913"/>
    <w:rsid w:val="002A1117"/>
    <w:rsid w:val="002A169B"/>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201"/>
    <w:rsid w:val="002B02E2"/>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0CBA"/>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19E"/>
    <w:rsid w:val="0031468A"/>
    <w:rsid w:val="003149AC"/>
    <w:rsid w:val="00314F75"/>
    <w:rsid w:val="00315624"/>
    <w:rsid w:val="00315BD6"/>
    <w:rsid w:val="00315D7F"/>
    <w:rsid w:val="00315FF2"/>
    <w:rsid w:val="00316385"/>
    <w:rsid w:val="00316C57"/>
    <w:rsid w:val="00316F0F"/>
    <w:rsid w:val="003171CA"/>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20"/>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1D4"/>
    <w:rsid w:val="00343B0B"/>
    <w:rsid w:val="00343D49"/>
    <w:rsid w:val="00344346"/>
    <w:rsid w:val="00344842"/>
    <w:rsid w:val="00344BBF"/>
    <w:rsid w:val="003450E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021"/>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6AE"/>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6E1"/>
    <w:rsid w:val="003B7A94"/>
    <w:rsid w:val="003B7CBC"/>
    <w:rsid w:val="003C0A02"/>
    <w:rsid w:val="003C2143"/>
    <w:rsid w:val="003C22AC"/>
    <w:rsid w:val="003C2534"/>
    <w:rsid w:val="003C26AC"/>
    <w:rsid w:val="003C2A0B"/>
    <w:rsid w:val="003C2EC6"/>
    <w:rsid w:val="003C32FE"/>
    <w:rsid w:val="003C3358"/>
    <w:rsid w:val="003C41CF"/>
    <w:rsid w:val="003C4367"/>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B2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95A"/>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C7C"/>
    <w:rsid w:val="00490D8B"/>
    <w:rsid w:val="00490E40"/>
    <w:rsid w:val="00491199"/>
    <w:rsid w:val="00491607"/>
    <w:rsid w:val="004919A3"/>
    <w:rsid w:val="00491CCB"/>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194"/>
    <w:rsid w:val="004A6B9E"/>
    <w:rsid w:val="004A6C9C"/>
    <w:rsid w:val="004A6CC0"/>
    <w:rsid w:val="004A6FE6"/>
    <w:rsid w:val="004A7203"/>
    <w:rsid w:val="004A7751"/>
    <w:rsid w:val="004A77C4"/>
    <w:rsid w:val="004A7ABE"/>
    <w:rsid w:val="004B0303"/>
    <w:rsid w:val="004B09A3"/>
    <w:rsid w:val="004B0C7F"/>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C1A"/>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B59"/>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231B"/>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180A"/>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A0A"/>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3ED6"/>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6CB"/>
    <w:rsid w:val="005D293C"/>
    <w:rsid w:val="005D2A58"/>
    <w:rsid w:val="005D30B8"/>
    <w:rsid w:val="005D3DBF"/>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17F"/>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C19"/>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54D"/>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3B68"/>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6B0"/>
    <w:rsid w:val="006A7897"/>
    <w:rsid w:val="006A7F23"/>
    <w:rsid w:val="006B0109"/>
    <w:rsid w:val="006B056A"/>
    <w:rsid w:val="006B0630"/>
    <w:rsid w:val="006B0FA2"/>
    <w:rsid w:val="006B1154"/>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39FB"/>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3797C"/>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5D8"/>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AD"/>
    <w:rsid w:val="0081138B"/>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1EB8"/>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478"/>
    <w:rsid w:val="00884A24"/>
    <w:rsid w:val="00884B09"/>
    <w:rsid w:val="00884F1E"/>
    <w:rsid w:val="00885345"/>
    <w:rsid w:val="00885469"/>
    <w:rsid w:val="008861BD"/>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7CD"/>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879"/>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E51"/>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18"/>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9778A"/>
    <w:rsid w:val="009A0198"/>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AB6"/>
    <w:rsid w:val="009F4F93"/>
    <w:rsid w:val="009F556C"/>
    <w:rsid w:val="009F63EE"/>
    <w:rsid w:val="009F711E"/>
    <w:rsid w:val="009F7F2B"/>
    <w:rsid w:val="00A0001D"/>
    <w:rsid w:val="00A00A47"/>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0B9"/>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19"/>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674"/>
    <w:rsid w:val="00A66E2A"/>
    <w:rsid w:val="00A67251"/>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30F8"/>
    <w:rsid w:val="00AB44A1"/>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0DA"/>
    <w:rsid w:val="00AC4DD2"/>
    <w:rsid w:val="00AC5210"/>
    <w:rsid w:val="00AC54BD"/>
    <w:rsid w:val="00AC5B1B"/>
    <w:rsid w:val="00AC5BDF"/>
    <w:rsid w:val="00AC5DA2"/>
    <w:rsid w:val="00AC662A"/>
    <w:rsid w:val="00AC665E"/>
    <w:rsid w:val="00AC6903"/>
    <w:rsid w:val="00AC6B95"/>
    <w:rsid w:val="00AC722F"/>
    <w:rsid w:val="00AC7290"/>
    <w:rsid w:val="00AC7669"/>
    <w:rsid w:val="00AC79C9"/>
    <w:rsid w:val="00AD03B9"/>
    <w:rsid w:val="00AD0AF6"/>
    <w:rsid w:val="00AD104F"/>
    <w:rsid w:val="00AD277E"/>
    <w:rsid w:val="00AD343E"/>
    <w:rsid w:val="00AD3A02"/>
    <w:rsid w:val="00AD3B2B"/>
    <w:rsid w:val="00AD4267"/>
    <w:rsid w:val="00AD476A"/>
    <w:rsid w:val="00AD47AA"/>
    <w:rsid w:val="00AD4ABF"/>
    <w:rsid w:val="00AD4B0C"/>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A99"/>
    <w:rsid w:val="00AE1BC1"/>
    <w:rsid w:val="00AE1BD1"/>
    <w:rsid w:val="00AE1DBE"/>
    <w:rsid w:val="00AE276C"/>
    <w:rsid w:val="00AE3DF4"/>
    <w:rsid w:val="00AE41D4"/>
    <w:rsid w:val="00AE4788"/>
    <w:rsid w:val="00AE4BEA"/>
    <w:rsid w:val="00AE4C6D"/>
    <w:rsid w:val="00AE4F91"/>
    <w:rsid w:val="00AE50A3"/>
    <w:rsid w:val="00AE54FF"/>
    <w:rsid w:val="00AE563F"/>
    <w:rsid w:val="00AE5E0E"/>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A83"/>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57FF3"/>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30"/>
    <w:rsid w:val="00B83D46"/>
    <w:rsid w:val="00B850CE"/>
    <w:rsid w:val="00B862C0"/>
    <w:rsid w:val="00B863D9"/>
    <w:rsid w:val="00B864BA"/>
    <w:rsid w:val="00B8655F"/>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AA3"/>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66"/>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2DDA"/>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844"/>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149"/>
    <w:rsid w:val="00C4041E"/>
    <w:rsid w:val="00C40C64"/>
    <w:rsid w:val="00C41011"/>
    <w:rsid w:val="00C42239"/>
    <w:rsid w:val="00C433C4"/>
    <w:rsid w:val="00C43B8B"/>
    <w:rsid w:val="00C43FBA"/>
    <w:rsid w:val="00C441CC"/>
    <w:rsid w:val="00C44475"/>
    <w:rsid w:val="00C44F87"/>
    <w:rsid w:val="00C451F2"/>
    <w:rsid w:val="00C45757"/>
    <w:rsid w:val="00C4609D"/>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AE8"/>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6EB2"/>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267"/>
    <w:rsid w:val="00CB67F2"/>
    <w:rsid w:val="00CB68CC"/>
    <w:rsid w:val="00CB6BB5"/>
    <w:rsid w:val="00CB6D6A"/>
    <w:rsid w:val="00CB7873"/>
    <w:rsid w:val="00CC0309"/>
    <w:rsid w:val="00CC06C3"/>
    <w:rsid w:val="00CC07DB"/>
    <w:rsid w:val="00CC0A26"/>
    <w:rsid w:val="00CC0AB1"/>
    <w:rsid w:val="00CC0FF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4A30"/>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940"/>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57B"/>
    <w:rsid w:val="00D17643"/>
    <w:rsid w:val="00D17911"/>
    <w:rsid w:val="00D17FB4"/>
    <w:rsid w:val="00D20188"/>
    <w:rsid w:val="00D201E3"/>
    <w:rsid w:val="00D2027A"/>
    <w:rsid w:val="00D20B23"/>
    <w:rsid w:val="00D20C94"/>
    <w:rsid w:val="00D2140F"/>
    <w:rsid w:val="00D218EF"/>
    <w:rsid w:val="00D21E86"/>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390"/>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6F2"/>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421"/>
    <w:rsid w:val="00DD26CC"/>
    <w:rsid w:val="00DD3543"/>
    <w:rsid w:val="00DD3766"/>
    <w:rsid w:val="00DD380F"/>
    <w:rsid w:val="00DD4253"/>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4BD3"/>
    <w:rsid w:val="00E051FB"/>
    <w:rsid w:val="00E056B0"/>
    <w:rsid w:val="00E05984"/>
    <w:rsid w:val="00E05B97"/>
    <w:rsid w:val="00E05C27"/>
    <w:rsid w:val="00E063DE"/>
    <w:rsid w:val="00E0671B"/>
    <w:rsid w:val="00E068F3"/>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6EA8"/>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88"/>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6C9"/>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3AF"/>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93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E24"/>
    <w:rsid w:val="00FE1303"/>
    <w:rsid w:val="00FE1ABB"/>
    <w:rsid w:val="00FE291B"/>
    <w:rsid w:val="00FE2D2B"/>
    <w:rsid w:val="00FE330C"/>
    <w:rsid w:val="00FE3B4E"/>
    <w:rsid w:val="00FE40C1"/>
    <w:rsid w:val="00FE410C"/>
    <w:rsid w:val="00FE4839"/>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4F2C1A"/>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924E51"/>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FF6AD9"/>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662020"/>
    <w:pPr>
      <w:keepNext/>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662020"/>
    <w:pPr>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FF6AD9"/>
    <w:pPr>
      <w:ind w:left="227"/>
    </w:pPr>
  </w:style>
  <w:style w:type="paragraph" w:customStyle="1" w:styleId="73414">
    <w:name w:val="73א כותרת 4_14"/>
    <w:basedOn w:val="Heading4"/>
    <w:qFormat/>
    <w:rsid w:val="001F3363"/>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924E51"/>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924E51"/>
    <w:rPr>
      <w:rFonts w:ascii="Tahoma" w:hAnsi="Tahoma" w:eastAsiaTheme="minorEastAsia" w:cs="Tahoma"/>
      <w:b w:val="0"/>
      <w:bCs/>
      <w:color w:val="00305F"/>
      <w:sz w:val="31"/>
      <w:szCs w:val="31"/>
    </w:rPr>
  </w:style>
  <w:style w:type="paragraph" w:customStyle="1" w:styleId="7329">
    <w:name w:val="73א כותרת 2"/>
    <w:link w:val="73210"/>
    <w:qFormat/>
    <w:rsid w:val="004F2C1A"/>
    <w:pPr>
      <w:keepNext/>
      <w:keepLines/>
      <w:spacing w:before="360" w:after="240" w:line="240" w:lineRule="atLeast"/>
      <w:jc w:val="right"/>
      <w:outlineLvl w:val="1"/>
    </w:pPr>
    <w:rPr>
      <w:rFonts w:ascii="Tahoma" w:hAnsi="Tahoma" w:cs="Tahoma"/>
      <w:b/>
      <w:bCs/>
      <w:color w:val="00305F"/>
      <w:sz w:val="40"/>
      <w:szCs w:val="34"/>
    </w:rPr>
  </w:style>
  <w:style w:type="character" w:customStyle="1" w:styleId="73210">
    <w:name w:val="73א כותרת 2 תו"/>
    <w:basedOn w:val="DefaultParagraphFont"/>
    <w:link w:val="7329"/>
    <w:rsid w:val="004F2C1A"/>
    <w:rPr>
      <w:rFonts w:ascii="Tahoma" w:hAnsi="Tahoma" w:cs="Tahoma"/>
      <w:b/>
      <w:bCs/>
      <w:color w:val="00305F"/>
      <w:sz w:val="40"/>
      <w:szCs w:val="34"/>
    </w:rPr>
  </w:style>
  <w:style w:type="character" w:customStyle="1" w:styleId="7330">
    <w:name w:val="73א הערות שוליים תו"/>
    <w:basedOn w:val="3"/>
    <w:link w:val="733"/>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37"/>
    <w:link w:val="7370"/>
    <w:rsid w:val="002E6467"/>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1F3363"/>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924E51"/>
    <w:rPr>
      <w:color w:val="0D0D0D" w:themeColor="text1" w:themeTint="F2"/>
      <w:sz w:val="18"/>
    </w:rPr>
  </w:style>
  <w:style w:type="character" w:customStyle="1" w:styleId="7393">
    <w:name w:val="73א טקסט רץ 9 תו"/>
    <w:basedOn w:val="Char4"/>
    <w:link w:val="7392"/>
    <w:rsid w:val="00924E51"/>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DefaultParagraphFont"/>
    <w:link w:val="73612"/>
    <w:rsid w:val="001F3363"/>
    <w:rPr>
      <w:rFonts w:ascii="Tahoma" w:hAnsi="Tahoma" w:cs="Tahoma"/>
      <w:b/>
      <w:bCs/>
      <w:color w:val="00305F"/>
      <w:sz w:val="24"/>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table" w:customStyle="1" w:styleId="35">
    <w:name w:val="רשת טבלה3"/>
    <w:basedOn w:val="TableNormal"/>
    <w:next w:val="TableGrid"/>
    <w:uiPriority w:val="59"/>
    <w:rsid w:val="00502B59"/>
    <w:pPr>
      <w:spacing w:after="0" w:line="240" w:lineRule="auto"/>
      <w:jc w:val="left"/>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רשת טבלה4"/>
    <w:basedOn w:val="TableNormal"/>
    <w:next w:val="TableGrid"/>
    <w:uiPriority w:val="59"/>
    <w:rsid w:val="00502B59"/>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1">
    <w:name w:val="71ג מקרא+הערות לתרשים/לוח/תמונה"/>
    <w:basedOn w:val="Normal"/>
    <w:link w:val="71Char"/>
    <w:qFormat/>
    <w:rsid w:val="00AC5B1B"/>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DefaultParagraphFont"/>
    <w:link w:val="711"/>
    <w:rsid w:val="00AC5B1B"/>
    <w:rPr>
      <w:rFonts w:ascii="Tahoma" w:hAnsi="Tahoma" w:cs="Tahoma"/>
      <w:color w:val="0D0D0D" w:themeColor="text1" w:themeTint="F2"/>
      <w:sz w:val="16"/>
      <w:szCs w:val="16"/>
    </w:rPr>
  </w:style>
  <w:style w:type="paragraph" w:customStyle="1" w:styleId="a35">
    <w:name w:val="תאריך הדוח"/>
    <w:qFormat/>
    <w:rsid w:val="003171CA"/>
    <w:pPr>
      <w:ind w:left="2268"/>
      <w:jc w:val="left"/>
    </w:pPr>
    <w:rPr>
      <w:rFonts w:ascii="Tahoma" w:hAnsi="Tahoma" w:cs="Tahoma"/>
      <w:sz w:val="18"/>
      <w:szCs w:val="18"/>
    </w:rPr>
  </w:style>
  <w:style w:type="paragraph" w:customStyle="1" w:styleId="a36">
    <w:name w:val="כותרת ראשית לדוח"/>
    <w:qFormat/>
    <w:rsid w:val="00AB44A1"/>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header" Target="header5.xml" /><Relationship Id="rId28" Type="http://schemas.openxmlformats.org/officeDocument/2006/relationships/footer" Target="footer4.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media/image13.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609C006A-443E-4581-BDD2-22626C80ED39}"/>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