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ackground w:color="ffffff">
    <v:background id="_x0000_s1025"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0" b="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gradFill rotWithShape="1">
                            <a:gsLst>
                              <a:gs pos="0">
                                <a:srgbClr val="0D0D0D"/>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8" style="flip:x;mso-height-percent:0;mso-height-relative:margin;mso-width-percent:0;mso-width-relative:margin;mso-wrap-distance-bottom:0;mso-wrap-distance-left:9pt;mso-wrap-distance-right:9pt;mso-wrap-distance-top:0;mso-wrap-style:square;position:absolute;visibility:visible;z-index:-251642880" from="-46.45pt,-19.2pt" to="482.8pt,-19.2pt"/>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9" style="width:0.75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30"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6E879D0B">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3066430</wp:posOffset>
                </wp:positionH>
                <wp:positionV relativeFrom="paragraph">
                  <wp:posOffset>262498</wp:posOffset>
                </wp:positionV>
                <wp:extent cx="0" cy="3884930"/>
                <wp:effectExtent l="25400" t="0" r="25400" b="2667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388493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1" style="mso-height-percent:0;mso-height-relative:margin;mso-width-percent:0;mso-width-relative:margin;mso-wrap-distance-bottom:0;mso-wrap-distance-left:9pt;mso-wrap-distance-right:9pt;mso-wrap-distance-top:0;mso-wrap-style:square;position:absolute;visibility:visible;z-index:251667456" from="241.45pt,20.65pt" to="241.45pt,326.55pt" strokecolor="white" strokeweight="4pt"/>
            </w:pict>
          </mc:Fallback>
        </mc:AlternateContent>
      </w:r>
      <w:r w:rsidR="00D775E6">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127362</wp:posOffset>
                </wp:positionH>
                <wp:positionV relativeFrom="paragraph">
                  <wp:posOffset>1934845</wp:posOffset>
                </wp:positionV>
                <wp:extent cx="2811689" cy="0"/>
                <wp:effectExtent l="12700" t="12700" r="8255"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811689"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2" style="flip:x;mso-height-percent:0;mso-height-relative:margin;mso-width-percent:0;mso-width-relative:margin;mso-wrap-distance-bottom:0;mso-wrap-distance-left:9pt;mso-wrap-distance-right:9pt;mso-wrap-distance-top:0;mso-wrap-style:square;position:absolute;visibility:visible;z-index:251669504" from="10.05pt,152.35pt" to="231.45pt,152.35pt" strokecolor="white" strokeweight="1.5pt"/>
            </w:pict>
          </mc:Fallback>
        </mc:AlternateContent>
      </w:r>
      <w:r w:rsidRPr="0030415A" w:rsidR="00D36C6B">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-79375</wp:posOffset>
                </wp:positionH>
                <wp:positionV relativeFrom="paragraph">
                  <wp:posOffset>344170</wp:posOffset>
                </wp:positionV>
                <wp:extent cx="4553585" cy="4273550"/>
                <wp:effectExtent l="0" t="0" r="5715" b="635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53585"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136A3E" w:rsidRPr="0052031E" w:rsidP="001C7D48" w14:textId="735D6571">
                            <w:pPr>
                              <w:pStyle w:val="a35"/>
                              <w:bidi/>
                              <w:rPr>
                                <w:rtl/>
                              </w:rPr>
                            </w:pPr>
                            <w:r>
                              <w:rPr>
                                <w:rFonts w:hint="cs"/>
                                <w:rtl/>
                              </w:rPr>
                              <w:t xml:space="preserve">דוח </w:t>
                            </w:r>
                            <w:r w:rsidRPr="0052031E">
                              <w:rPr>
                                <w:rtl/>
                              </w:rPr>
                              <w:t>מבקר המדינה</w:t>
                            </w:r>
                            <w:r>
                              <w:rPr>
                                <w:rFonts w:hint="cs"/>
                                <w:rtl/>
                              </w:rPr>
                              <w:t xml:space="preserve"> </w:t>
                            </w:r>
                            <w:r w:rsidRPr="0052031E">
                              <w:rPr>
                                <w:rtl/>
                              </w:rPr>
                              <w:t>|</w:t>
                            </w:r>
                            <w:r>
                              <w:rPr>
                                <w:rFonts w:hint="cs"/>
                                <w:rtl/>
                              </w:rPr>
                              <w:t xml:space="preserve"> </w:t>
                            </w:r>
                            <w:r w:rsidR="00C30482">
                              <w:rPr>
                                <w:rFonts w:hint="cs"/>
                                <w:rtl/>
                              </w:rPr>
                              <w:t>חשוון</w:t>
                            </w:r>
                            <w:r>
                              <w:rPr>
                                <w:rFonts w:hint="cs"/>
                                <w:rtl/>
                              </w:rPr>
                              <w:t xml:space="preserve"> </w:t>
                            </w:r>
                            <w:r>
                              <w:rPr>
                                <w:rFonts w:hint="cs"/>
                                <w:rtl/>
                              </w:rPr>
                              <w:t>התשפ״</w:t>
                            </w:r>
                            <w:r w:rsidR="00C30482">
                              <w:rPr>
                                <w:rFonts w:hint="cs"/>
                                <w:rtl/>
                              </w:rPr>
                              <w:t>ג</w:t>
                            </w:r>
                            <w:r w:rsidR="001C1B42">
                              <w:rPr>
                                <w:rFonts w:hint="cs"/>
                                <w:rtl/>
                              </w:rPr>
                              <w:t xml:space="preserve"> </w:t>
                            </w:r>
                            <w:r w:rsidRPr="0052031E">
                              <w:rPr>
                                <w:rtl/>
                              </w:rPr>
                              <w:t>|</w:t>
                            </w:r>
                            <w:r>
                              <w:rPr>
                                <w:rFonts w:hint="cs"/>
                                <w:rtl/>
                              </w:rPr>
                              <w:t xml:space="preserve"> </w:t>
                            </w:r>
                            <w:r w:rsidRPr="007C6E6F" w:rsidR="007C6E6F">
                              <w:rPr>
                                <w:rtl/>
                              </w:rPr>
                              <w:t xml:space="preserve">נובמבר </w:t>
                            </w:r>
                            <w:r w:rsidR="007C6E6F">
                              <w:rPr>
                                <w:rFonts w:hint="cs"/>
                                <w:rtl/>
                              </w:rPr>
                              <w:t xml:space="preserve"> </w:t>
                            </w:r>
                            <w:r>
                              <w:rPr>
                                <w:rFonts w:hint="cs"/>
                                <w:rtl/>
                              </w:rPr>
                              <w:t xml:space="preserve">2022 </w:t>
                            </w:r>
                          </w:p>
                          <w:p w:rsidR="00F73EE0" w:rsidP="0052031E" w14:textId="4F5A48BD">
                            <w:pPr>
                              <w:ind w:left="2268"/>
                              <w:rPr>
                                <w:rtl/>
                              </w:rPr>
                            </w:pPr>
                          </w:p>
                          <w:p w:rsidR="00F01B25" w:rsidP="0052031E" w14:textId="77777777">
                            <w:pPr>
                              <w:ind w:left="2268"/>
                              <w:rPr>
                                <w:rtl/>
                              </w:rPr>
                            </w:pPr>
                          </w:p>
                          <w:p w:rsidR="00F73EE0" w:rsidP="0052031E" w14:textId="77777777">
                            <w:pPr>
                              <w:ind w:left="2268"/>
                              <w:rPr>
                                <w:rtl/>
                              </w:rPr>
                            </w:pPr>
                          </w:p>
                          <w:p w:rsidR="005D0F8C" w:rsidRPr="000A3ED4" w:rsidP="00202249" w14:textId="61D6EFE6">
                            <w:pPr>
                              <w:pStyle w:val="-2"/>
                              <w:rPr>
                                <w:rtl/>
                              </w:rPr>
                            </w:pPr>
                            <w:r>
                              <w:rPr>
                                <w:rFonts w:hint="cs"/>
                                <w:rtl/>
                              </w:rPr>
                              <w:t>חברת נתיבי איילון</w:t>
                            </w:r>
                            <w:r w:rsidR="00C30482">
                              <w:rPr>
                                <w:rFonts w:hint="cs"/>
                                <w:rtl/>
                              </w:rPr>
                              <w:t xml:space="preserve"> </w:t>
                            </w:r>
                            <w:r w:rsidR="00DA7F26">
                              <w:rPr>
                                <w:rFonts w:hint="cs"/>
                                <w:rtl/>
                              </w:rPr>
                              <w:t>בע״מ</w:t>
                            </w:r>
                          </w:p>
                          <w:p w:rsidR="00C30482" w:rsidRPr="00202249" w:rsidP="00E67E2D" w14:textId="066C7851">
                            <w:pPr>
                              <w:pStyle w:val="a36"/>
                              <w:bidi/>
                              <w:spacing w:before="120"/>
                              <w:rPr>
                                <w:rtl/>
                              </w:rPr>
                            </w:pPr>
                            <w:r w:rsidRPr="00D36C6B">
                              <w:rPr>
                                <w:rtl/>
                              </w:rPr>
                              <w:t>חברת נתיבי איילון בע"מ - התארגנות מחדש והיבטים פיננסיים</w:t>
                            </w:r>
                          </w:p>
                          <w:p w:rsidR="00C30482" w:rsidRPr="00202249" w:rsidP="00202249" w14:textId="77777777">
                            <w:pPr>
                              <w:pStyle w:val="a36"/>
                              <w:bidi/>
                              <w:rPr>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width:358.55pt;height:336.5pt;margin-top:27.1pt;margin-left:-6.25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136A3E" w:rsidRPr="0052031E" w:rsidP="001C7D48" w14:paraId="6680A7A9" w14:textId="735D6571">
                      <w:pPr>
                        <w:pStyle w:val="a35"/>
                        <w:bidi/>
                        <w:rPr>
                          <w:rtl/>
                        </w:rPr>
                      </w:pPr>
                      <w:r>
                        <w:rPr>
                          <w:rFonts w:hint="cs"/>
                          <w:rtl/>
                        </w:rPr>
                        <w:t xml:space="preserve">דוח </w:t>
                      </w:r>
                      <w:r w:rsidRPr="0052031E">
                        <w:rPr>
                          <w:rtl/>
                        </w:rPr>
                        <w:t>מבקר המדינה</w:t>
                      </w:r>
                      <w:r>
                        <w:rPr>
                          <w:rFonts w:hint="cs"/>
                          <w:rtl/>
                        </w:rPr>
                        <w:t xml:space="preserve"> </w:t>
                      </w:r>
                      <w:r w:rsidRPr="0052031E">
                        <w:rPr>
                          <w:rtl/>
                        </w:rPr>
                        <w:t>|</w:t>
                      </w:r>
                      <w:r>
                        <w:rPr>
                          <w:rFonts w:hint="cs"/>
                          <w:rtl/>
                        </w:rPr>
                        <w:t xml:space="preserve"> </w:t>
                      </w:r>
                      <w:r w:rsidR="00C30482">
                        <w:rPr>
                          <w:rFonts w:hint="cs"/>
                          <w:rtl/>
                        </w:rPr>
                        <w:t>חשוון</w:t>
                      </w:r>
                      <w:r>
                        <w:rPr>
                          <w:rFonts w:hint="cs"/>
                          <w:rtl/>
                        </w:rPr>
                        <w:t xml:space="preserve"> </w:t>
                      </w:r>
                      <w:r>
                        <w:rPr>
                          <w:rFonts w:hint="cs"/>
                          <w:rtl/>
                        </w:rPr>
                        <w:t>התשפ״</w:t>
                      </w:r>
                      <w:r w:rsidR="00C30482">
                        <w:rPr>
                          <w:rFonts w:hint="cs"/>
                          <w:rtl/>
                        </w:rPr>
                        <w:t>ג</w:t>
                      </w:r>
                      <w:r w:rsidR="001C1B42">
                        <w:rPr>
                          <w:rFonts w:hint="cs"/>
                          <w:rtl/>
                        </w:rPr>
                        <w:t xml:space="preserve"> </w:t>
                      </w:r>
                      <w:r w:rsidRPr="0052031E">
                        <w:rPr>
                          <w:rtl/>
                        </w:rPr>
                        <w:t>|</w:t>
                      </w:r>
                      <w:r>
                        <w:rPr>
                          <w:rFonts w:hint="cs"/>
                          <w:rtl/>
                        </w:rPr>
                        <w:t xml:space="preserve"> </w:t>
                      </w:r>
                      <w:r w:rsidRPr="007C6E6F" w:rsidR="007C6E6F">
                        <w:rPr>
                          <w:rtl/>
                        </w:rPr>
                        <w:t xml:space="preserve">נובמבר </w:t>
                      </w:r>
                      <w:r w:rsidR="007C6E6F">
                        <w:rPr>
                          <w:rFonts w:hint="cs"/>
                          <w:rtl/>
                        </w:rPr>
                        <w:t xml:space="preserve"> </w:t>
                      </w:r>
                      <w:r>
                        <w:rPr>
                          <w:rFonts w:hint="cs"/>
                          <w:rtl/>
                        </w:rPr>
                        <w:t xml:space="preserve">2022 </w:t>
                      </w:r>
                    </w:p>
                    <w:p w:rsidR="00F73EE0" w:rsidP="0052031E" w14:paraId="7A4F68DA" w14:textId="4F5A48BD">
                      <w:pPr>
                        <w:ind w:left="2268"/>
                        <w:rPr>
                          <w:rtl/>
                        </w:rPr>
                      </w:pPr>
                    </w:p>
                    <w:p w:rsidR="00F01B25" w:rsidP="0052031E" w14:paraId="55A55087" w14:textId="77777777">
                      <w:pPr>
                        <w:ind w:left="2268"/>
                        <w:rPr>
                          <w:rtl/>
                        </w:rPr>
                      </w:pPr>
                    </w:p>
                    <w:p w:rsidR="00F73EE0" w:rsidP="0052031E" w14:paraId="537675A5" w14:textId="77777777">
                      <w:pPr>
                        <w:ind w:left="2268"/>
                        <w:rPr>
                          <w:rtl/>
                        </w:rPr>
                      </w:pPr>
                    </w:p>
                    <w:p w:rsidR="005D0F8C" w:rsidRPr="000A3ED4" w:rsidP="00202249" w14:paraId="361EED1E" w14:textId="61D6EFE6">
                      <w:pPr>
                        <w:pStyle w:val="-2"/>
                        <w:rPr>
                          <w:rtl/>
                        </w:rPr>
                      </w:pPr>
                      <w:r>
                        <w:rPr>
                          <w:rFonts w:hint="cs"/>
                          <w:rtl/>
                        </w:rPr>
                        <w:t>חברת נתיבי איילון</w:t>
                      </w:r>
                      <w:r w:rsidR="00C30482">
                        <w:rPr>
                          <w:rFonts w:hint="cs"/>
                          <w:rtl/>
                        </w:rPr>
                        <w:t xml:space="preserve"> </w:t>
                      </w:r>
                      <w:r w:rsidR="00DA7F26">
                        <w:rPr>
                          <w:rFonts w:hint="cs"/>
                          <w:rtl/>
                        </w:rPr>
                        <w:t>בע״מ</w:t>
                      </w:r>
                    </w:p>
                    <w:p w:rsidR="00C30482" w:rsidRPr="00202249" w:rsidP="00E67E2D" w14:paraId="005557EF" w14:textId="066C7851">
                      <w:pPr>
                        <w:pStyle w:val="a36"/>
                        <w:bidi/>
                        <w:spacing w:before="120"/>
                        <w:rPr>
                          <w:rtl/>
                        </w:rPr>
                      </w:pPr>
                      <w:r w:rsidRPr="00D36C6B">
                        <w:rPr>
                          <w:rtl/>
                        </w:rPr>
                        <w:t>חברת נתיבי איילון בע"מ - התארגנות מחדש והיבטים פיננסיים</w:t>
                      </w:r>
                    </w:p>
                    <w:p w:rsidR="00C30482" w:rsidRPr="00202249" w:rsidP="00202249" w14:paraId="5BE5E625" w14:textId="77777777">
                      <w:pPr>
                        <w:pStyle w:val="a36"/>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4A1467E9">
      <w:pPr>
        <w:spacing w:line="240" w:lineRule="atLeast"/>
        <w:jc w:val="center"/>
        <w:rPr>
          <w:rFonts w:ascii="Tahoma" w:hAnsi="Tahoma" w:cs="Tahoma"/>
          <w:sz w:val="22"/>
          <w:szCs w:val="22"/>
          <w:rtl/>
        </w:rPr>
      </w:pPr>
    </w:p>
    <w:p w:rsidR="00E35DF9" w:rsidRPr="00406E80" w:rsidP="008D2388" w14:paraId="5F398D7B" w14:textId="4F30E2B5">
      <w:pPr>
        <w:spacing w:line="240" w:lineRule="atLeast"/>
        <w:jc w:val="center"/>
        <w:rPr>
          <w:rFonts w:ascii="Tahoma" w:hAnsi="Tahoma" w:cs="Tahoma"/>
          <w:color w:val="C6D9F1"/>
          <w:sz w:val="22"/>
          <w:szCs w:val="22"/>
          <w:rtl/>
        </w:rPr>
      </w:pPr>
    </w:p>
    <w:p w:rsidR="008C0B8B" w:rsidP="008D2388" w14:paraId="1D311F15" w14:textId="47FC2C8F">
      <w:pPr>
        <w:spacing w:line="240" w:lineRule="atLeast"/>
        <w:jc w:val="center"/>
        <w:rPr>
          <w:rFonts w:ascii="Tahoma" w:hAnsi="Tahoma" w:cs="Tahoma"/>
          <w:sz w:val="22"/>
          <w:szCs w:val="22"/>
          <w:rtl/>
        </w:rPr>
      </w:pPr>
    </w:p>
    <w:p w:rsidR="008C0B8B" w:rsidP="008D2388" w14:paraId="1AC7C61F" w14:textId="7EB27B86">
      <w:pPr>
        <w:spacing w:line="240" w:lineRule="atLeast"/>
        <w:jc w:val="center"/>
        <w:rPr>
          <w:rFonts w:ascii="Tahoma" w:hAnsi="Tahoma" w:cs="Tahoma"/>
          <w:sz w:val="22"/>
          <w:szCs w:val="22"/>
          <w:rtl/>
        </w:rPr>
      </w:pPr>
    </w:p>
    <w:p w:rsidR="00E35DF9" w:rsidP="008D2388" w14:paraId="1081EBD1" w14:textId="1102587C">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14:paraId="67CE1943" w14:textId="0F8F3485">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-1421995</wp:posOffset>
                </wp:positionH>
                <wp:positionV relativeFrom="paragraph">
                  <wp:posOffset>-1325825</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4" style="width:598.55pt;height:121.5pt;margin-top:-104.4pt;margin-left:-111.95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514133F9">
      <w:pPr>
        <w:jc w:val="left"/>
        <w:rPr>
          <w:rFonts w:ascii="Tahoma" w:hAnsi="Tahoma" w:cs="Tahoma"/>
          <w:sz w:val="22"/>
          <w:szCs w:val="22"/>
          <w:rtl/>
        </w:rPr>
        <w:sectPr w:rsidSect="000F450D">
          <w:headerReference w:type="even" r:id="rId18"/>
          <w:pgSz w:w="11906" w:h="16838" w:code="9"/>
          <w:pgMar w:top="3062" w:right="2268" w:bottom="2552" w:left="2268" w:header="709" w:footer="709" w:gutter="0"/>
          <w:cols w:space="720"/>
          <w:bidi/>
          <w:rtlGutter/>
          <w:docGrid w:linePitch="272"/>
        </w:sectPr>
      </w:pPr>
    </w:p>
    <w:p w:rsidR="00B93C72" w:rsidRPr="001F3363" w:rsidP="0078027B" w14:paraId="4ED3AA37" w14:textId="6181C478">
      <w:pPr>
        <w:pStyle w:val="7329"/>
        <w:bidi/>
        <w:jc w:val="left"/>
        <w:rPr>
          <w:rtl/>
        </w:rPr>
      </w:pPr>
      <w:r w:rsidRPr="001F3363">
        <w:rPr>
          <w:noProof/>
          <w:rtl/>
        </w:rPr>
        <w:drawing>
          <wp:anchor distT="0" distB="0" distL="114300" distR="114300" simplePos="0" relativeHeight="251674624" behindDoc="0" locked="0" layoutInCell="1" allowOverlap="1">
            <wp:simplePos x="0" y="0"/>
            <wp:positionH relativeFrom="column">
              <wp:posOffset>3298190</wp:posOffset>
            </wp:positionH>
            <wp:positionV relativeFrom="paragraph">
              <wp:posOffset>879084</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1F3363" w:rsidR="00586851">
        <w:rPr>
          <w:noProof/>
          <w:rtl/>
        </w:rPr>
        <mc:AlternateContent>
          <mc:Choice Requires="wps">
            <w:drawing>
              <wp:anchor distT="0" distB="0" distL="114300" distR="114300" simplePos="0" relativeHeight="251675648" behindDoc="0" locked="0" layoutInCell="1" allowOverlap="1">
                <wp:simplePos x="0" y="0"/>
                <wp:positionH relativeFrom="column">
                  <wp:posOffset>-652595</wp:posOffset>
                </wp:positionH>
                <wp:positionV relativeFrom="paragraph">
                  <wp:posOffset>318268</wp:posOffset>
                </wp:positionV>
                <wp:extent cx="194310" cy="5570397"/>
                <wp:effectExtent l="0" t="0" r="0" b="5080"/>
                <wp:wrapNone/>
                <wp:docPr id="21"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94310" cy="5570397"/>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5" style="width:15.3pt;height:438.6pt;margin-top:25.05pt;margin-left:-51.4pt;flip:y;mso-height-percent:0;mso-height-relative:margin;mso-width-percent:0;mso-width-relative:margin;mso-wrap-distance-bottom:0;mso-wrap-distance-left:9pt;mso-wrap-distance-right:9pt;mso-wrap-distance-top:0;mso-wrap-style:square;position:absolute;visibility:visible;v-text-anchor:middle;z-index:251676672" fillcolor="#00305f" stroked="f" strokeweight="1.25pt"/>
            </w:pict>
          </mc:Fallback>
        </mc:AlternateContent>
      </w:r>
      <w:r w:rsidRPr="00D36C6B" w:rsidR="00D36C6B">
        <w:rPr>
          <w:noProof/>
          <w:rtl/>
        </w:rPr>
        <w:t>חברת נתיבי איילון בע"מ - התארגנות מחדש והיבטים פיננסיים</w:t>
      </w:r>
    </w:p>
    <w:p w:rsidR="007F4A20" w:rsidP="007F4A20" w14:paraId="0B41EED6" w14:textId="222C98B1">
      <w:pPr>
        <w:pStyle w:val="7392"/>
        <w:spacing w:before="360"/>
        <w:rPr>
          <w:rtl/>
        </w:rPr>
      </w:pPr>
      <w:r w:rsidRPr="0028135E">
        <w:rPr>
          <w:rtl/>
        </w:rPr>
        <w:t xml:space="preserve">חברת נתיבי איילון בע"מ (גם </w:t>
      </w:r>
      <w:r w:rsidRPr="0028135E">
        <w:rPr>
          <w:rtl/>
        </w:rPr>
        <w:t>נת"א</w:t>
      </w:r>
      <w:r w:rsidRPr="0028135E">
        <w:rPr>
          <w:rtl/>
        </w:rPr>
        <w:t xml:space="preserve"> או החברה) היא חברה ממשלתית המשמשת בעיקר זרוע ביצוע של משרד התחבורה והבטיחות בדרכים (משרד התחבורה או </w:t>
      </w:r>
      <w:r w:rsidRPr="0028135E">
        <w:rPr>
          <w:rtl/>
        </w:rPr>
        <w:t>מת"ח</w:t>
      </w:r>
      <w:r w:rsidRPr="0028135E">
        <w:rPr>
          <w:rtl/>
        </w:rPr>
        <w:t xml:space="preserve">). עד 2016 הייתה החברה בבעלות משותפת של ממשלת ישראל ועיריית תל אביב-יפו; בשנה זו עברה החברה לבעלות מלאה של המדינה, וב-2018 החלה החברה בתהליך של התארגנות מחדש. ב-2017 ו-2020 התקבלו שתי החלטות ממשלה שהגדירו מחדש את מטרותיה והרחיבו את תחומי פעילותה. בין מטרותיה: תכנון של פרויקטים תחבורתיים עירוניים </w:t>
      </w:r>
      <w:r w:rsidRPr="0028135E">
        <w:rPr>
          <w:rtl/>
        </w:rPr>
        <w:t>ומטרופוליניים</w:t>
      </w:r>
      <w:r w:rsidRPr="0028135E">
        <w:rPr>
          <w:rtl/>
        </w:rPr>
        <w:t xml:space="preserve"> וביצועם; הקמה וניהול של צוות תוכנית אב לתחבורה; ניהול, ייזום ופיתוח של פרויקטים טכנולוגיים בתחום התחבורה; תכנון, פיתוח, תחזוקה וניהול תנועה של דרכים ושל מתקני תחבורה ציבורית. </w:t>
      </w:r>
      <w:r w:rsidRPr="0028135E">
        <w:rPr>
          <w:rtl/>
        </w:rPr>
        <w:t>מת"ח</w:t>
      </w:r>
      <w:r w:rsidRPr="0028135E">
        <w:rPr>
          <w:rtl/>
        </w:rPr>
        <w:t xml:space="preserve"> מממן את מרבית הפרויקטים שבאחריות החברה, והוא גם מפקח על פעילותה. רשות החברות הממשלתיות ומשרד האוצר עוקבים אף הם אחר פעילות החברה</w:t>
      </w:r>
      <w:r w:rsidRPr="001F3363" w:rsidR="0036097F">
        <w:rPr>
          <w:rFonts w:hint="cs"/>
          <w:rtl/>
        </w:rPr>
        <w:t>.</w:t>
      </w:r>
      <w:r w:rsidRPr="001F3363" w:rsidR="00B61DE7">
        <w:rPr>
          <w:rtl/>
        </w:rPr>
        <w:t xml:space="preserve"> </w:t>
      </w:r>
    </w:p>
    <w:p w:rsidR="007F4A20" w14:paraId="37B9E65E" w14:textId="77777777">
      <w:pPr>
        <w:bidi w:val="0"/>
        <w:spacing w:after="200" w:line="276" w:lineRule="auto"/>
        <w:rPr>
          <w:rFonts w:ascii="Tahoma" w:hAnsi="Tahoma" w:cs="Tahoma"/>
          <w:color w:val="0D0D0D" w:themeColor="text1" w:themeTint="F2"/>
          <w:sz w:val="18"/>
          <w:szCs w:val="18"/>
          <w:rtl/>
        </w:rPr>
      </w:pPr>
      <w:r>
        <w:rPr>
          <w:rtl/>
        </w:rPr>
        <w:br w:type="page"/>
      </w:r>
    </w:p>
    <w:p w:rsidR="005D0F8C" w:rsidP="007F4A20" w14:paraId="087C7BAD" w14:textId="0A8743A0">
      <w:pPr>
        <w:pStyle w:val="7392"/>
        <w:spacing w:before="360"/>
        <w:rPr>
          <w:b/>
          <w:bCs/>
          <w:color w:val="00305F"/>
          <w:sz w:val="32"/>
          <w:szCs w:val="32"/>
          <w:rtl/>
        </w:rPr>
      </w:pPr>
      <w:r w:rsidRPr="001F3363">
        <w:rPr>
          <w:noProof/>
          <w:rtl/>
        </w:rPr>
        <w:drawing>
          <wp:anchor distT="0" distB="0" distL="114300" distR="114300" simplePos="0" relativeHeight="251677696"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14:paraId="2AA141C4" w14:textId="77777777">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5"/>
        <w:gridCol w:w="237"/>
        <w:gridCol w:w="1530"/>
        <w:gridCol w:w="237"/>
        <w:gridCol w:w="1697"/>
        <w:gridCol w:w="268"/>
        <w:gridCol w:w="1686"/>
      </w:tblGrid>
      <w:tr w14:paraId="58B4726B" w14:textId="77777777" w:rsidTr="00A460E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3" w:type="pct"/>
            <w:tcBorders>
              <w:bottom w:val="single" w:sz="12" w:space="0" w:color="000000"/>
            </w:tcBorders>
            <w:vAlign w:val="bottom"/>
          </w:tcPr>
          <w:p w:rsidR="00420374" w:rsidRPr="004562F8" w:rsidP="00937056" w14:paraId="23EB689E" w14:textId="4F5FEA15">
            <w:pPr>
              <w:spacing w:after="60" w:line="240" w:lineRule="auto"/>
              <w:rPr>
                <w:b/>
                <w:bCs/>
                <w:spacing w:val="-28"/>
                <w:rtl/>
              </w:rPr>
            </w:pPr>
            <w:r>
              <w:rPr>
                <w:rFonts w:ascii="Tahoma" w:hAnsi="Tahoma" w:eastAsiaTheme="minorEastAsia" w:cs="Tahoma"/>
                <w:b/>
                <w:bCs/>
                <w:color w:val="0D0D0D" w:themeColor="text1" w:themeTint="F2"/>
                <w:spacing w:val="-10"/>
                <w:sz w:val="36"/>
                <w:szCs w:val="36"/>
              </w:rPr>
              <w:t>97%</w:t>
            </w:r>
            <w:r>
              <w:rPr>
                <w:rFonts w:ascii="Tahoma" w:hAnsi="Tahoma" w:eastAsiaTheme="minorEastAsia" w:cs="Tahoma" w:hint="cs"/>
                <w:b/>
                <w:bCs/>
                <w:color w:val="0D0D0D" w:themeColor="text1" w:themeTint="F2"/>
                <w:spacing w:val="-10"/>
                <w:sz w:val="36"/>
                <w:szCs w:val="36"/>
                <w:rtl/>
              </w:rPr>
              <w:t xml:space="preserve"> </w:t>
            </w:r>
          </w:p>
        </w:tc>
        <w:tc>
          <w:tcPr>
            <w:tcW w:w="161" w:type="pct"/>
            <w:vAlign w:val="bottom"/>
          </w:tcPr>
          <w:p w:rsidR="00420374" w:rsidP="00937056" w14:paraId="19192EA5" w14:textId="77777777">
            <w:pPr>
              <w:spacing w:before="120" w:after="60" w:line="240" w:lineRule="auto"/>
              <w:rPr>
                <w:rtl/>
              </w:rPr>
            </w:pPr>
          </w:p>
        </w:tc>
        <w:tc>
          <w:tcPr>
            <w:tcW w:w="1038" w:type="pct"/>
            <w:tcBorders>
              <w:bottom w:val="single" w:sz="12" w:space="0" w:color="000000"/>
            </w:tcBorders>
            <w:vAlign w:val="bottom"/>
          </w:tcPr>
          <w:p w:rsidR="00420374" w:rsidRPr="005C7ABF" w:rsidP="00937056" w14:paraId="761F4116" w14:textId="102AAF27">
            <w:pPr>
              <w:pStyle w:val="2021"/>
              <w:spacing w:before="0" w:after="60"/>
              <w:rPr>
                <w:spacing w:val="-10"/>
                <w:rtl/>
              </w:rPr>
            </w:pPr>
            <w:r>
              <w:rPr>
                <w:spacing w:val="-10"/>
              </w:rPr>
              <w:t>1.296</w:t>
            </w:r>
            <w:r>
              <w:rPr>
                <w:rFonts w:hint="cs"/>
                <w:spacing w:val="-10"/>
                <w:rtl/>
              </w:rPr>
              <w:t xml:space="preserve"> </w:t>
            </w:r>
            <w:r w:rsidRPr="00411396">
              <w:rPr>
                <w:rFonts w:hint="cs"/>
                <w:spacing w:val="-10"/>
                <w:sz w:val="26"/>
                <w:szCs w:val="26"/>
                <w:rtl/>
              </w:rPr>
              <w:t>מיליארד ש״ח</w:t>
            </w:r>
          </w:p>
        </w:tc>
        <w:tc>
          <w:tcPr>
            <w:tcW w:w="161" w:type="pct"/>
            <w:vAlign w:val="bottom"/>
          </w:tcPr>
          <w:p w:rsidR="00420374" w:rsidP="00937056" w14:paraId="2810DE55" w14:textId="77777777">
            <w:pPr>
              <w:spacing w:before="120" w:after="60" w:line="240" w:lineRule="auto"/>
              <w:rPr>
                <w:rtl/>
              </w:rPr>
            </w:pPr>
          </w:p>
        </w:tc>
        <w:tc>
          <w:tcPr>
            <w:tcW w:w="1151" w:type="pct"/>
            <w:tcBorders>
              <w:bottom w:val="single" w:sz="12" w:space="0" w:color="000000"/>
            </w:tcBorders>
            <w:vAlign w:val="bottom"/>
          </w:tcPr>
          <w:p w:rsidR="00420374" w:rsidRPr="00340353" w:rsidP="00937056" w14:paraId="2A2E27BD" w14:textId="7AEDA1C8">
            <w:pPr>
              <w:pStyle w:val="2021"/>
              <w:spacing w:before="0" w:after="60"/>
              <w:rPr>
                <w:b w:val="0"/>
                <w:bCs w:val="0"/>
                <w:spacing w:val="-20"/>
                <w:sz w:val="24"/>
                <w:rtl/>
              </w:rPr>
            </w:pPr>
            <w:r>
              <w:rPr>
                <w:rFonts w:hint="cs"/>
                <w:spacing w:val="-10"/>
                <w:rtl/>
              </w:rPr>
              <w:t>61</w:t>
            </w:r>
            <w:r>
              <w:rPr>
                <w:rFonts w:hint="cs"/>
                <w:spacing w:val="-10"/>
                <w:rtl/>
              </w:rPr>
              <w:t xml:space="preserve">% </w:t>
            </w:r>
          </w:p>
        </w:tc>
        <w:tc>
          <w:tcPr>
            <w:tcW w:w="182" w:type="pct"/>
          </w:tcPr>
          <w:p w:rsidR="00420374" w:rsidP="00937056" w14:paraId="47B754BA" w14:textId="77777777">
            <w:pPr>
              <w:pStyle w:val="2021"/>
              <w:spacing w:before="0" w:after="60"/>
              <w:rPr>
                <w:spacing w:val="-10"/>
                <w:rtl/>
              </w:rPr>
            </w:pPr>
          </w:p>
        </w:tc>
        <w:tc>
          <w:tcPr>
            <w:tcW w:w="1145" w:type="pct"/>
            <w:tcBorders>
              <w:bottom w:val="single" w:sz="12" w:space="0" w:color="000000"/>
            </w:tcBorders>
            <w:vAlign w:val="bottom"/>
          </w:tcPr>
          <w:p w:rsidR="00420374" w:rsidP="00937056" w14:paraId="5F3A3FF5" w14:textId="10136658">
            <w:pPr>
              <w:pStyle w:val="2021"/>
              <w:spacing w:before="0" w:after="60"/>
              <w:rPr>
                <w:spacing w:val="-10"/>
                <w:rtl/>
              </w:rPr>
            </w:pPr>
            <w:r>
              <w:rPr>
                <w:rFonts w:hint="cs"/>
                <w:spacing w:val="-10"/>
                <w:rtl/>
              </w:rPr>
              <w:t xml:space="preserve">7.6 </w:t>
            </w:r>
            <w:r w:rsidRPr="00747AE5">
              <w:rPr>
                <w:rFonts w:hint="cs"/>
                <w:spacing w:val="-10"/>
                <w:sz w:val="26"/>
                <w:szCs w:val="26"/>
                <w:rtl/>
              </w:rPr>
              <w:t>מיליארד ש״ח</w:t>
            </w:r>
            <w:r>
              <w:rPr>
                <w:rFonts w:hint="cs"/>
                <w:spacing w:val="-10"/>
                <w:rtl/>
              </w:rPr>
              <w:t xml:space="preserve"> </w:t>
            </w:r>
          </w:p>
        </w:tc>
      </w:tr>
      <w:tr w14:paraId="6DFAF81C" w14:textId="77777777" w:rsidTr="00A460E8">
        <w:tblPrEx>
          <w:tblW w:w="5000" w:type="pct"/>
          <w:tblLook w:val="04A0"/>
        </w:tblPrEx>
        <w:tc>
          <w:tcPr>
            <w:tcW w:w="1163" w:type="pct"/>
            <w:tcBorders>
              <w:top w:val="single" w:sz="12" w:space="0" w:color="000000"/>
            </w:tcBorders>
          </w:tcPr>
          <w:p w:rsidR="00420374" w:rsidRPr="00E52143" w:rsidP="00937056" w14:paraId="1D96599A" w14:textId="07027312">
            <w:pPr>
              <w:pStyle w:val="732021"/>
              <w:spacing w:before="0"/>
              <w:rPr>
                <w:rtl/>
              </w:rPr>
            </w:pPr>
            <w:r w:rsidRPr="0028135E">
              <w:rPr>
                <w:rtl/>
              </w:rPr>
              <w:t xml:space="preserve">מכלל הכנסות החברה ב-2021 התקבלו </w:t>
            </w:r>
            <w:r w:rsidRPr="0028135E">
              <w:rPr>
                <w:rtl/>
              </w:rPr>
              <w:t>ממת"ח</w:t>
            </w:r>
          </w:p>
        </w:tc>
        <w:tc>
          <w:tcPr>
            <w:tcW w:w="161" w:type="pct"/>
          </w:tcPr>
          <w:p w:rsidR="00420374" w:rsidRPr="00E52143" w:rsidP="00937056" w14:paraId="2BF81D8C" w14:textId="77777777">
            <w:pPr>
              <w:pStyle w:val="732021"/>
              <w:spacing w:before="0"/>
              <w:rPr>
                <w:rtl/>
              </w:rPr>
            </w:pPr>
          </w:p>
        </w:tc>
        <w:tc>
          <w:tcPr>
            <w:tcW w:w="1038" w:type="pct"/>
            <w:tcBorders>
              <w:top w:val="single" w:sz="12" w:space="0" w:color="000000"/>
            </w:tcBorders>
          </w:tcPr>
          <w:p w:rsidR="00420374" w:rsidRPr="00E52143" w:rsidP="00937056" w14:paraId="68924AF7" w14:textId="79D9A4AB">
            <w:pPr>
              <w:pStyle w:val="732021"/>
              <w:spacing w:before="0"/>
              <w:rPr>
                <w:rtl/>
              </w:rPr>
            </w:pPr>
            <w:r w:rsidRPr="0028135E">
              <w:rPr>
                <w:rtl/>
              </w:rPr>
              <w:t>הכנסות החברה בשנת 2020; 94% מהן נבעו מתחום ניהול פרויקטים</w:t>
            </w:r>
          </w:p>
        </w:tc>
        <w:tc>
          <w:tcPr>
            <w:tcW w:w="161" w:type="pct"/>
          </w:tcPr>
          <w:p w:rsidR="00420374" w:rsidRPr="00E52143" w:rsidP="00937056" w14:paraId="4F52CE08" w14:textId="77777777">
            <w:pPr>
              <w:pStyle w:val="732021"/>
              <w:spacing w:before="0"/>
              <w:rPr>
                <w:rtl/>
              </w:rPr>
            </w:pPr>
          </w:p>
        </w:tc>
        <w:tc>
          <w:tcPr>
            <w:tcW w:w="1151" w:type="pct"/>
            <w:tcBorders>
              <w:top w:val="single" w:sz="12" w:space="0" w:color="000000"/>
            </w:tcBorders>
          </w:tcPr>
          <w:p w:rsidR="00420374" w:rsidRPr="00E52143" w:rsidP="00747AE5" w14:paraId="203F9568" w14:textId="49839284">
            <w:pPr>
              <w:pStyle w:val="732021"/>
              <w:spacing w:before="0"/>
              <w:rPr>
                <w:rtl/>
              </w:rPr>
            </w:pPr>
            <w:r w:rsidRPr="0028135E">
              <w:rPr>
                <w:rtl/>
              </w:rPr>
              <w:t>שיעור הגידול השנתי הממוצע של מחזור פעילות החברה בשנים 2017 - 2020</w:t>
            </w:r>
          </w:p>
        </w:tc>
        <w:tc>
          <w:tcPr>
            <w:tcW w:w="182" w:type="pct"/>
          </w:tcPr>
          <w:p w:rsidR="00420374" w:rsidRPr="00E52143" w:rsidP="00937056" w14:paraId="42538096" w14:textId="77777777">
            <w:pPr>
              <w:pStyle w:val="732021"/>
              <w:spacing w:before="0"/>
              <w:rPr>
                <w:rtl/>
              </w:rPr>
            </w:pPr>
          </w:p>
        </w:tc>
        <w:tc>
          <w:tcPr>
            <w:tcW w:w="1145" w:type="pct"/>
            <w:tcBorders>
              <w:top w:val="single" w:sz="12" w:space="0" w:color="000000"/>
            </w:tcBorders>
          </w:tcPr>
          <w:p w:rsidR="00420374" w:rsidRPr="00E52143" w:rsidP="00937056" w14:paraId="1878D11D" w14:textId="27538B91">
            <w:pPr>
              <w:pStyle w:val="732021"/>
              <w:spacing w:before="0"/>
              <w:rPr>
                <w:rtl/>
              </w:rPr>
            </w:pPr>
            <w:r w:rsidRPr="0028135E">
              <w:rPr>
                <w:rtl/>
              </w:rPr>
              <w:t>צבר ההזמנות בסוף שנת 2020</w:t>
            </w:r>
          </w:p>
        </w:tc>
      </w:tr>
      <w:tr w14:paraId="1BD5A20C" w14:textId="77777777" w:rsidTr="00A460E8">
        <w:tblPrEx>
          <w:tblW w:w="5000" w:type="pct"/>
          <w:tblLook w:val="04A0"/>
        </w:tblPrEx>
        <w:tc>
          <w:tcPr>
            <w:tcW w:w="1163" w:type="pct"/>
            <w:tcBorders>
              <w:bottom w:val="single" w:sz="12" w:space="0" w:color="000000"/>
            </w:tcBorders>
            <w:vAlign w:val="bottom"/>
          </w:tcPr>
          <w:p w:rsidR="00420374" w:rsidRPr="00411396" w:rsidP="00EE084A" w14:paraId="500D3B50" w14:textId="3DAA6CFC">
            <w:pPr>
              <w:spacing w:after="60" w:line="240" w:lineRule="auto"/>
              <w:rPr>
                <w:rFonts w:ascii="Tahoma" w:hAnsi="Tahoma" w:eastAsiaTheme="minorEastAsia" w:cs="Tahoma"/>
                <w:b/>
                <w:bCs/>
                <w:color w:val="0D0D0D" w:themeColor="text1" w:themeTint="F2"/>
                <w:spacing w:val="-10"/>
                <w:sz w:val="36"/>
                <w:szCs w:val="36"/>
                <w:rtl/>
              </w:rPr>
            </w:pPr>
            <w:r>
              <w:rPr>
                <w:rFonts w:ascii="Tahoma" w:hAnsi="Tahoma" w:eastAsiaTheme="minorEastAsia" w:cs="Tahoma" w:hint="cs"/>
                <w:b/>
                <w:bCs/>
                <w:color w:val="0D0D0D" w:themeColor="text1" w:themeTint="F2"/>
                <w:spacing w:val="-10"/>
                <w:sz w:val="36"/>
                <w:szCs w:val="36"/>
                <w:rtl/>
              </w:rPr>
              <w:t>5.7</w:t>
            </w:r>
            <w:r>
              <w:rPr>
                <w:rFonts w:ascii="Tahoma" w:hAnsi="Tahoma" w:eastAsiaTheme="minorEastAsia" w:cs="Tahoma" w:hint="cs"/>
                <w:b/>
                <w:bCs/>
                <w:color w:val="0D0D0D" w:themeColor="text1" w:themeTint="F2"/>
                <w:spacing w:val="-10"/>
                <w:sz w:val="36"/>
                <w:szCs w:val="36"/>
                <w:rtl/>
              </w:rPr>
              <w:t>%</w:t>
            </w:r>
          </w:p>
        </w:tc>
        <w:tc>
          <w:tcPr>
            <w:tcW w:w="161" w:type="pct"/>
            <w:vAlign w:val="bottom"/>
          </w:tcPr>
          <w:p w:rsidR="00420374" w:rsidRPr="00E52143" w:rsidP="00EE084A" w14:paraId="26A950B1" w14:textId="77777777">
            <w:pPr>
              <w:spacing w:after="60"/>
              <w:jc w:val="left"/>
              <w:rPr>
                <w:rFonts w:ascii="Tahoma" w:hAnsi="Tahoma" w:eastAsiaTheme="minorEastAsia" w:cs="Tahoma"/>
                <w:b/>
                <w:bCs/>
                <w:color w:val="0D0D0D" w:themeColor="text1" w:themeTint="F2"/>
                <w:spacing w:val="-10"/>
                <w:sz w:val="36"/>
                <w:szCs w:val="36"/>
                <w:rtl/>
              </w:rPr>
            </w:pPr>
          </w:p>
        </w:tc>
        <w:tc>
          <w:tcPr>
            <w:tcW w:w="1038" w:type="pct"/>
            <w:tcBorders>
              <w:bottom w:val="single" w:sz="12" w:space="0" w:color="000000"/>
            </w:tcBorders>
            <w:vAlign w:val="bottom"/>
          </w:tcPr>
          <w:p w:rsidR="00420374" w:rsidRPr="008D750B" w:rsidP="00EE084A" w14:paraId="48896DF7" w14:textId="38B5990A">
            <w:pPr>
              <w:pStyle w:val="2021"/>
              <w:spacing w:before="0" w:after="60"/>
              <w:rPr>
                <w:spacing w:val="-10"/>
                <w:rtl/>
              </w:rPr>
            </w:pPr>
            <w:r>
              <w:rPr>
                <w:rFonts w:hint="cs"/>
                <w:spacing w:val="-10"/>
                <w:rtl/>
              </w:rPr>
              <w:t>175</w:t>
            </w:r>
          </w:p>
        </w:tc>
        <w:tc>
          <w:tcPr>
            <w:tcW w:w="161" w:type="pct"/>
            <w:vAlign w:val="bottom"/>
          </w:tcPr>
          <w:p w:rsidR="00420374" w:rsidP="00EE084A" w14:paraId="5B4C8A80" w14:textId="77777777">
            <w:pPr>
              <w:spacing w:after="60" w:line="240" w:lineRule="auto"/>
              <w:jc w:val="left"/>
              <w:rPr>
                <w:rtl/>
              </w:rPr>
            </w:pPr>
          </w:p>
        </w:tc>
        <w:tc>
          <w:tcPr>
            <w:tcW w:w="1151" w:type="pct"/>
            <w:tcBorders>
              <w:bottom w:val="single" w:sz="12" w:space="0" w:color="000000"/>
            </w:tcBorders>
            <w:vAlign w:val="bottom"/>
          </w:tcPr>
          <w:p w:rsidR="00420374" w:rsidRPr="0062456C" w:rsidP="00EE084A" w14:paraId="226A2E50" w14:textId="1FFE5862">
            <w:pPr>
              <w:spacing w:after="60" w:line="192" w:lineRule="auto"/>
              <w:rPr>
                <w:rFonts w:ascii="Tahoma" w:hAnsi="Tahoma" w:eastAsiaTheme="minorEastAsia" w:cs="Tahoma"/>
                <w:b/>
                <w:bCs/>
                <w:color w:val="0D0D0D" w:themeColor="text1" w:themeTint="F2"/>
                <w:spacing w:val="-10"/>
                <w:sz w:val="36"/>
                <w:szCs w:val="36"/>
                <w:rtl/>
              </w:rPr>
            </w:pPr>
            <w:r>
              <w:rPr>
                <w:rFonts w:ascii="Tahoma" w:hAnsi="Tahoma" w:eastAsiaTheme="minorEastAsia" w:cs="Tahoma" w:hint="cs"/>
                <w:b/>
                <w:bCs/>
                <w:color w:val="0D0D0D" w:themeColor="text1" w:themeTint="F2"/>
                <w:spacing w:val="-10"/>
                <w:sz w:val="36"/>
                <w:szCs w:val="36"/>
                <w:rtl/>
              </w:rPr>
              <w:t>1.16</w:t>
            </w:r>
          </w:p>
        </w:tc>
        <w:tc>
          <w:tcPr>
            <w:tcW w:w="182" w:type="pct"/>
          </w:tcPr>
          <w:p w:rsidR="00420374" w:rsidP="00EE084A" w14:paraId="5E7F766C" w14:textId="77777777">
            <w:pPr>
              <w:spacing w:after="60" w:line="240" w:lineRule="auto"/>
              <w:rPr>
                <w:rFonts w:ascii="Tahoma" w:hAnsi="Tahoma" w:eastAsiaTheme="minorEastAsia" w:cs="Tahoma"/>
                <w:b/>
                <w:bCs/>
                <w:color w:val="0D0D0D" w:themeColor="text1" w:themeTint="F2"/>
                <w:spacing w:val="-10"/>
                <w:sz w:val="36"/>
                <w:szCs w:val="36"/>
                <w:rtl/>
              </w:rPr>
            </w:pPr>
          </w:p>
        </w:tc>
        <w:tc>
          <w:tcPr>
            <w:tcW w:w="1145" w:type="pct"/>
            <w:tcBorders>
              <w:bottom w:val="single" w:sz="12" w:space="0" w:color="000000"/>
            </w:tcBorders>
            <w:vAlign w:val="bottom"/>
          </w:tcPr>
          <w:p w:rsidR="00420374" w:rsidP="00EE084A" w14:paraId="5AEEF263" w14:textId="0FCC55D5">
            <w:pPr>
              <w:spacing w:after="60" w:line="240" w:lineRule="auto"/>
              <w:rPr>
                <w:rFonts w:ascii="Tahoma" w:hAnsi="Tahoma" w:eastAsiaTheme="minorEastAsia" w:cs="Tahoma"/>
                <w:b/>
                <w:bCs/>
                <w:color w:val="0D0D0D" w:themeColor="text1" w:themeTint="F2"/>
                <w:spacing w:val="-10"/>
                <w:sz w:val="36"/>
                <w:szCs w:val="36"/>
                <w:rtl/>
              </w:rPr>
            </w:pPr>
            <w:r>
              <w:rPr>
                <w:rFonts w:ascii="Tahoma" w:hAnsi="Tahoma" w:eastAsiaTheme="minorEastAsia" w:cs="Tahoma" w:hint="cs"/>
                <w:b/>
                <w:bCs/>
                <w:color w:val="0D0D0D" w:themeColor="text1" w:themeTint="F2"/>
                <w:spacing w:val="-10"/>
                <w:sz w:val="36"/>
                <w:szCs w:val="36"/>
                <w:rtl/>
              </w:rPr>
              <w:t>68%</w:t>
            </w:r>
          </w:p>
        </w:tc>
      </w:tr>
      <w:tr w14:paraId="54154FA5" w14:textId="77777777" w:rsidTr="00A460E8">
        <w:tblPrEx>
          <w:tblW w:w="5000" w:type="pct"/>
          <w:tblLook w:val="04A0"/>
        </w:tblPrEx>
        <w:tc>
          <w:tcPr>
            <w:tcW w:w="1163" w:type="pct"/>
            <w:tcBorders>
              <w:top w:val="single" w:sz="12" w:space="0" w:color="000000"/>
            </w:tcBorders>
          </w:tcPr>
          <w:p w:rsidR="00420374" w:rsidRPr="004562F8" w:rsidP="00937056" w14:paraId="6DB67748" w14:textId="6CFFC05E">
            <w:pPr>
              <w:pStyle w:val="732021"/>
              <w:spacing w:before="0" w:after="0"/>
              <w:rPr>
                <w:rtl/>
              </w:rPr>
            </w:pPr>
            <w:r w:rsidRPr="0028135E">
              <w:rPr>
                <w:rtl/>
              </w:rPr>
              <w:t>שיעור הוצאות הנהלה וכלליות ביחס לעלות המכר. היעד שנקבע לחברה על ידי רשות החברות הממשלתיות: 4%</w:t>
            </w:r>
          </w:p>
        </w:tc>
        <w:tc>
          <w:tcPr>
            <w:tcW w:w="161" w:type="pct"/>
          </w:tcPr>
          <w:p w:rsidR="00420374" w:rsidRPr="008D750B" w:rsidP="00937056" w14:paraId="0C0AE598" w14:textId="77777777">
            <w:pPr>
              <w:pStyle w:val="732021"/>
              <w:spacing w:before="0" w:after="0"/>
              <w:rPr>
                <w:rtl/>
              </w:rPr>
            </w:pPr>
          </w:p>
        </w:tc>
        <w:tc>
          <w:tcPr>
            <w:tcW w:w="1038" w:type="pct"/>
            <w:tcBorders>
              <w:top w:val="single" w:sz="12" w:space="0" w:color="000000"/>
            </w:tcBorders>
          </w:tcPr>
          <w:p w:rsidR="00420374" w:rsidRPr="004562F8" w:rsidP="00937056" w14:paraId="1916A301" w14:textId="54D6FCF2">
            <w:pPr>
              <w:pStyle w:val="732021"/>
              <w:spacing w:before="0" w:after="0"/>
              <w:rPr>
                <w:rtl/>
              </w:rPr>
            </w:pPr>
            <w:r w:rsidRPr="0028135E">
              <w:rPr>
                <w:rtl/>
              </w:rPr>
              <w:t>מספר עובדי החברה בשנת 2020, לעומת 71 ב-2017</w:t>
            </w:r>
          </w:p>
        </w:tc>
        <w:tc>
          <w:tcPr>
            <w:tcW w:w="161" w:type="pct"/>
          </w:tcPr>
          <w:p w:rsidR="00420374" w:rsidP="00937056" w14:paraId="14782C57" w14:textId="77777777">
            <w:pPr>
              <w:pStyle w:val="732021"/>
              <w:spacing w:before="0" w:after="0"/>
              <w:rPr>
                <w:rtl/>
              </w:rPr>
            </w:pPr>
          </w:p>
        </w:tc>
        <w:tc>
          <w:tcPr>
            <w:tcW w:w="1151" w:type="pct"/>
            <w:tcBorders>
              <w:top w:val="single" w:sz="12" w:space="0" w:color="000000"/>
            </w:tcBorders>
          </w:tcPr>
          <w:p w:rsidR="00420374" w:rsidRPr="0062456C" w:rsidP="00937056" w14:paraId="6149CA50" w14:textId="48636CF6">
            <w:pPr>
              <w:pStyle w:val="732021"/>
              <w:spacing w:before="0" w:after="0"/>
              <w:rPr>
                <w:rtl/>
              </w:rPr>
            </w:pPr>
            <w:r w:rsidRPr="0028135E">
              <w:rPr>
                <w:rtl/>
              </w:rPr>
              <w:t>היחס השוטף במאזן החברה ב-2020</w:t>
            </w:r>
          </w:p>
        </w:tc>
        <w:tc>
          <w:tcPr>
            <w:tcW w:w="182" w:type="pct"/>
          </w:tcPr>
          <w:p w:rsidR="00420374" w:rsidRPr="00C92141" w:rsidP="00937056" w14:paraId="66E34E8E" w14:textId="77777777">
            <w:pPr>
              <w:pStyle w:val="732021"/>
              <w:spacing w:before="0" w:after="0"/>
              <w:rPr>
                <w:rtl/>
              </w:rPr>
            </w:pPr>
          </w:p>
        </w:tc>
        <w:tc>
          <w:tcPr>
            <w:tcW w:w="1145" w:type="pct"/>
            <w:tcBorders>
              <w:top w:val="single" w:sz="12" w:space="0" w:color="000000"/>
            </w:tcBorders>
          </w:tcPr>
          <w:p w:rsidR="00420374" w:rsidRPr="00C92141" w:rsidP="00937056" w14:paraId="39498237" w14:textId="576D3A98">
            <w:pPr>
              <w:pStyle w:val="732021"/>
              <w:spacing w:before="0" w:after="0"/>
              <w:rPr>
                <w:rtl/>
              </w:rPr>
            </w:pPr>
            <w:r w:rsidRPr="0028135E">
              <w:rPr>
                <w:rtl/>
              </w:rPr>
              <w:t xml:space="preserve">מהחשבונות ששילמה החברה לספקיה ונבדקו על ידי </w:t>
            </w:r>
            <w:r w:rsidRPr="0028135E">
              <w:rPr>
                <w:rtl/>
              </w:rPr>
              <w:t>מת"ח</w:t>
            </w:r>
            <w:r w:rsidRPr="0028135E">
              <w:rPr>
                <w:rtl/>
              </w:rPr>
              <w:t xml:space="preserve"> בשנת 2021 בסכום של </w:t>
            </w:r>
            <w:r w:rsidRPr="0028135E">
              <w:rPr>
                <w:rtl/>
              </w:rPr>
              <w:br/>
              <w:t>כ-555 מיליון ש"ח חרגו מהכללים הקבועים בחוק מוסר תשלומים</w:t>
            </w:r>
          </w:p>
        </w:tc>
      </w:tr>
    </w:tbl>
    <w:p w:rsidR="00420374" w:rsidP="00420374" w14:paraId="509D5AB6" w14:textId="77777777">
      <w:pPr>
        <w:pStyle w:val="7317"/>
        <w:spacing w:after="0"/>
        <w:rPr>
          <w:sz w:val="10"/>
          <w:szCs w:val="10"/>
          <w:rtl/>
        </w:rPr>
      </w:pPr>
    </w:p>
    <w:p w:rsidR="00420374" w:rsidRPr="00C62692" w:rsidP="00420374" w14:paraId="3FADD5EE" w14:textId="77777777">
      <w:pPr>
        <w:pStyle w:val="73"/>
        <w:rPr>
          <w:rtl/>
        </w:rPr>
      </w:pPr>
      <w:r w:rsidRPr="00C62692">
        <w:rPr>
          <w:rtl/>
        </w:rPr>
        <w:t>פעולות הביקורת</w:t>
      </w:r>
    </w:p>
    <w:p w:rsidR="00420374" w:rsidP="00747AE5" w14:paraId="0AF4CED3" w14:textId="75D9758E">
      <w:pPr>
        <w:pStyle w:val="7317"/>
        <w:spacing w:after="960"/>
      </w:pPr>
      <w:r w:rsidRPr="001F3363">
        <w:rPr>
          <w:noProof/>
        </w:rPr>
        <w:drawing>
          <wp:anchor distT="0" distB="0" distL="114300" distR="114300" simplePos="0" relativeHeight="251682816" behindDoc="0" locked="0" layoutInCell="1" allowOverlap="1">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135E" w:rsidR="00747AE5">
        <w:rPr>
          <w:rtl/>
        </w:rPr>
        <w:t xml:space="preserve">בחודשים ספטמבר 2021 עד מרץ 2022 בדק משרד מבקר המדינה את הליך ההתארגנות מחדש של החברה, את נתוניה הפיננסיים, את תהליכי העבודה שלה בנוגע לניהול פרויקטים ואת תהליכי הבקרה על החברה. הנתונים הכספיים והמידע הכמותי בדוח הביקורת נכונים לסוף שנת 2020, בהתאם לדוחות הכספיים לשנת 2020 (אלא אם כן צוין אחרת בגוף הדוח). הביקורת נעשתה </w:t>
      </w:r>
      <w:r w:rsidRPr="0028135E" w:rsidR="00747AE5">
        <w:rPr>
          <w:rtl/>
        </w:rPr>
        <w:t>בנת"א</w:t>
      </w:r>
      <w:r w:rsidRPr="0028135E" w:rsidR="00747AE5">
        <w:rPr>
          <w:rtl/>
        </w:rPr>
        <w:t xml:space="preserve"> ובמשרד התחבורה. בדיקות השלמה נעשו ברשות החברות הממשלתיות ובמשרד האוצר</w:t>
      </w:r>
      <w:r>
        <w:rPr>
          <w:rFonts w:hint="cs"/>
          <w:rtl/>
        </w:rPr>
        <w:t>.</w:t>
      </w:r>
      <w:r w:rsidRPr="001F3363">
        <w:rPr>
          <w:rFonts w:hint="cs"/>
          <w:rtl/>
        </w:rPr>
        <w:t xml:space="preserve"> </w:t>
      </w:r>
    </w:p>
    <w:p w:rsidR="00BD08DF" w:rsidP="00747AE5" w14:paraId="327FC0FF" w14:textId="77777777">
      <w:pPr>
        <w:pStyle w:val="7317"/>
        <w:spacing w:after="960"/>
        <w:rPr>
          <w:rtl/>
        </w:rPr>
      </w:pPr>
    </w:p>
    <w:p w:rsidR="002753C7" w:rsidRPr="00662020" w:rsidP="002753C7" w14:paraId="690F076D" w14:textId="788C4A39">
      <w:pPr>
        <w:pStyle w:val="7327"/>
        <w:rPr>
          <w:rtl/>
        </w:rPr>
      </w:pPr>
      <w:r w:rsidRPr="00662020">
        <w:rPr>
          <w:rFonts w:hint="cs"/>
          <w:rtl/>
        </w:rPr>
        <w:t>תמונת המצב העולה מן הביקורת</w:t>
      </w:r>
    </w:p>
    <w:p w:rsidR="002753C7" w:rsidRPr="001F3363" w:rsidP="00420374" w14:paraId="0B2F822B" w14:textId="51AB7F73">
      <w:pPr>
        <w:pStyle w:val="7317"/>
        <w:rPr>
          <w:rtl/>
        </w:rPr>
      </w:pPr>
      <w:r w:rsidRPr="00362C00">
        <w:rPr>
          <w:noProof/>
          <w:rtl/>
        </w:rPr>
        <w:drawing>
          <wp:anchor distT="0" distB="0" distL="114300" distR="114300" simplePos="0" relativeHeight="251696128" behindDoc="0" locked="0" layoutInCell="1" allowOverlap="1">
            <wp:simplePos x="0" y="0"/>
            <wp:positionH relativeFrom="column">
              <wp:posOffset>2655570</wp:posOffset>
            </wp:positionH>
            <wp:positionV relativeFrom="paragraph">
              <wp:posOffset>48394</wp:posOffset>
            </wp:positionV>
            <wp:extent cx="2101215" cy="172085"/>
            <wp:effectExtent l="0" t="0" r="0" b="5715"/>
            <wp:wrapSquare wrapText="bothSides"/>
            <wp:docPr id="2052770947"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47" name="תמונה 2"/>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p>
    <w:p w:rsidR="00420374" w:rsidRPr="0093709F" w:rsidP="00D8446F" w14:paraId="18555822" w14:textId="0F6FDE30">
      <w:pPr>
        <w:pStyle w:val="7392"/>
        <w:spacing w:before="360"/>
        <w:ind w:left="424"/>
        <w:rPr>
          <w:rtl/>
        </w:rPr>
      </w:pPr>
      <w:r w:rsidRPr="00B02658">
        <w:rPr>
          <w:rFonts w:hint="cs"/>
          <w:b/>
          <w:bCs/>
          <w:noProof/>
          <w:rtl/>
        </w:rPr>
        <w:drawing>
          <wp:anchor distT="0" distB="720090" distL="114300" distR="114300" simplePos="0" relativeHeight="251688960" behindDoc="1" locked="0" layoutInCell="1" allowOverlap="1">
            <wp:simplePos x="0" y="0"/>
            <wp:positionH relativeFrom="column">
              <wp:posOffset>4526280</wp:posOffset>
            </wp:positionH>
            <wp:positionV relativeFrom="paragraph">
              <wp:posOffset>145578</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3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47AE5" w:rsidR="00747AE5">
        <w:rPr>
          <w:b/>
          <w:bCs/>
          <w:spacing w:val="-4"/>
          <w:rtl/>
        </w:rPr>
        <w:t>קביעת תחומי הפעילות של חברות התשתית הממשלתיות על ידי משרד התחבורה</w:t>
      </w:r>
      <w:r w:rsidRPr="0028135E" w:rsidR="00747AE5">
        <w:rPr>
          <w:spacing w:val="-4"/>
          <w:rtl/>
        </w:rPr>
        <w:t xml:space="preserve"> - בביקורת עלה כי </w:t>
      </w:r>
      <w:r w:rsidRPr="0028135E" w:rsidR="00747AE5">
        <w:rPr>
          <w:spacing w:val="-4"/>
          <w:rtl/>
        </w:rPr>
        <w:t>מת"ח</w:t>
      </w:r>
      <w:r w:rsidRPr="0028135E" w:rsidR="00747AE5">
        <w:rPr>
          <w:spacing w:val="-4"/>
          <w:rtl/>
        </w:rPr>
        <w:t xml:space="preserve"> לא גיבש מסמך מדיניות הנסמך על עבודת מטה, כזאת הנעשית מתוך ראייה מערכתית ועומדת על היתרונות והחסרונות של האפשרויות השונות לחלוקת תחומי הפעילות בין חברות התשתית. על כן, החלטות הממשלה שקבעו את מטרות חברות התשתית התקבלו בלי אסטרטגיה מגובשת בעניין זה. בפועל התקבלו ההחלטות בהתאם למצב ששרר בעת קבלתן, ללא קווים מנחים לחלוקת הפרויקטים והעבודות בין החברות. היעדר מדיניות ברורה גורם גם לחוסר ודאות מנקודת מבטן של חברות התשתית, והוא עלול להקשות עליהן לתכנן את פעילותן באופן מיטבי</w:t>
      </w:r>
      <w:r w:rsidRPr="0093709F">
        <w:rPr>
          <w:rtl/>
        </w:rPr>
        <w:t>.</w:t>
      </w:r>
    </w:p>
    <w:p w:rsidR="00420374" w:rsidRPr="0093709F" w:rsidP="00D8446F" w14:paraId="1D22E15A" w14:textId="02C7DC26">
      <w:pPr>
        <w:pStyle w:val="7392"/>
        <w:ind w:left="424"/>
      </w:pPr>
      <w:r w:rsidRPr="00B02658">
        <w:rPr>
          <w:rFonts w:hint="cs"/>
          <w:b/>
          <w:bCs/>
          <w:noProof/>
          <w:rtl/>
        </w:rPr>
        <w:drawing>
          <wp:anchor distT="0" distB="720090" distL="114300" distR="114300" simplePos="0" relativeHeight="251687936" behindDoc="1" locked="0" layoutInCell="1" allowOverlap="1">
            <wp:simplePos x="0" y="0"/>
            <wp:positionH relativeFrom="column">
              <wp:posOffset>4526280</wp:posOffset>
            </wp:positionH>
            <wp:positionV relativeFrom="paragraph">
              <wp:posOffset>37628</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47AE5" w:rsidR="00747AE5">
        <w:rPr>
          <w:b/>
          <w:bCs/>
          <w:spacing w:val="-4"/>
          <w:rtl/>
        </w:rPr>
        <w:t xml:space="preserve">הסכם מסגרת בין המדינה לבין החברה - </w:t>
      </w:r>
      <w:r w:rsidRPr="00747AE5" w:rsidR="00747AE5">
        <w:rPr>
          <w:spacing w:val="-4"/>
          <w:rtl/>
        </w:rPr>
        <w:t xml:space="preserve">נכון למועד סיום הביקורת - יותר מחמש שנים לאחר שהושלמה הפרדת </w:t>
      </w:r>
      <w:r w:rsidRPr="00747AE5" w:rsidR="00747AE5">
        <w:rPr>
          <w:spacing w:val="-4"/>
          <w:rtl/>
        </w:rPr>
        <w:t>ההחזקות</w:t>
      </w:r>
      <w:r w:rsidRPr="00747AE5" w:rsidR="00747AE5">
        <w:rPr>
          <w:spacing w:val="-4"/>
          <w:rtl/>
        </w:rPr>
        <w:t xml:space="preserve"> </w:t>
      </w:r>
      <w:r w:rsidRPr="00747AE5" w:rsidR="00747AE5">
        <w:rPr>
          <w:spacing w:val="-4"/>
          <w:rtl/>
        </w:rPr>
        <w:t>בנת"א</w:t>
      </w:r>
      <w:r w:rsidRPr="00747AE5" w:rsidR="00747AE5">
        <w:rPr>
          <w:spacing w:val="-4"/>
          <w:rtl/>
        </w:rPr>
        <w:t>, ומשהחברה בבעלות ממשלתית מלאה</w:t>
      </w:r>
      <w:r w:rsidRPr="0028135E" w:rsidR="00747AE5">
        <w:rPr>
          <w:spacing w:val="-4"/>
          <w:rtl/>
        </w:rPr>
        <w:t xml:space="preserve"> - לא נחתם הסכם מסגרת בינה לבין הממשלה. בהחלטות הממשלה נקבע כי פעילות החברה תיעשה על בסיס הסכמים שייחתמו בין המדינה לחברה, הסכמים שאמורים לעגן נושאים שונים בכל הנוגע למסירת עבודות, לאופן הפעולה של החברה מול הממשלה ולפיקוח ולבקרה עליה. עם זאת, במהלך השנים האלה מסר משרד התחבורה לחברה עבודות ופרויקטים רבים ללא הסכם וללא הליך מסודר של ביצוע התקשרות בפטור ממכרז, כל זאת שלא בהתאם לתקנות חובת המכרזים</w:t>
      </w:r>
      <w:r w:rsidRPr="0093709F">
        <w:rPr>
          <w:rFonts w:hint="cs"/>
          <w:rtl/>
        </w:rPr>
        <w:t xml:space="preserve">. </w:t>
      </w:r>
    </w:p>
    <w:p w:rsidR="00420374" w:rsidRPr="0093709F" w:rsidP="00D8446F" w14:paraId="5E2BFABB" w14:textId="14DB6F7F">
      <w:pPr>
        <w:pStyle w:val="7392"/>
        <w:ind w:left="424"/>
        <w:rPr>
          <w:rtl/>
        </w:rPr>
      </w:pPr>
      <w:r w:rsidRPr="00B02658">
        <w:rPr>
          <w:rFonts w:hint="cs"/>
          <w:b/>
          <w:bCs/>
          <w:noProof/>
          <w:rtl/>
        </w:rPr>
        <w:drawing>
          <wp:anchor distT="0" distB="720090" distL="114300" distR="114300" simplePos="0" relativeHeight="251686912" behindDoc="1" locked="0" layoutInCell="1" allowOverlap="1">
            <wp:simplePos x="0" y="0"/>
            <wp:positionH relativeFrom="column">
              <wp:posOffset>4526280</wp:posOffset>
            </wp:positionH>
            <wp:positionV relativeFrom="paragraph">
              <wp:posOffset>37628</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47AE5" w:rsidR="00747AE5">
        <w:rPr>
          <w:b/>
          <w:bCs/>
          <w:spacing w:val="-4"/>
          <w:rtl/>
        </w:rPr>
        <w:t>מינוי דירקטורים</w:t>
      </w:r>
      <w:r w:rsidRPr="0028135E" w:rsidR="00747AE5">
        <w:rPr>
          <w:spacing w:val="-4"/>
          <w:rtl/>
        </w:rPr>
        <w:t xml:space="preserve"> - בביקורת נמצא כי במשך שנה וחצי (למעט חודשיים) הרכב הדירקטוריון היה חסר על פי תקנון החברה, ומנה שניים עד ארבעה חברים במקום חמישה עד תשעה חברים כפי שנקבע בתקנון החברה. זאת ועוד, במשך חודשיים לא היה מניין חוקי לישיבות הדירקטוריון. נכון למועד סיום הביקורת, הדירקטוריון מתנהל בהרכב חסר ומכהנים בו ארבעה חברים. מצב זה עלול להשפיע על ניהולה התקין של החברה</w:t>
      </w:r>
      <w:r w:rsidRPr="0093709F">
        <w:rPr>
          <w:rFonts w:hint="cs"/>
          <w:rtl/>
        </w:rPr>
        <w:t>.</w:t>
      </w:r>
    </w:p>
    <w:p w:rsidR="00420374" w:rsidRPr="0093709F" w:rsidP="00D8446F" w14:paraId="583ECB3F" w14:textId="51AE0181">
      <w:pPr>
        <w:pStyle w:val="7392"/>
        <w:ind w:left="424"/>
      </w:pPr>
      <w:r w:rsidRPr="00B02658">
        <w:rPr>
          <w:rFonts w:hint="cs"/>
          <w:b/>
          <w:bCs/>
          <w:noProof/>
          <w:rtl/>
        </w:rPr>
        <w:drawing>
          <wp:anchor distT="0" distB="720090" distL="114300" distR="114300" simplePos="0" relativeHeight="251685888" behindDoc="1" locked="0" layoutInCell="1" allowOverlap="1">
            <wp:simplePos x="0" y="0"/>
            <wp:positionH relativeFrom="column">
              <wp:posOffset>4526280</wp:posOffset>
            </wp:positionH>
            <wp:positionV relativeFrom="paragraph">
              <wp:posOffset>37628</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47AE5" w:rsidR="00747AE5">
        <w:rPr>
          <w:b/>
          <w:bCs/>
          <w:spacing w:val="-4"/>
          <w:rtl/>
        </w:rPr>
        <w:t>אחריות החברה וסמכויותיה</w:t>
      </w:r>
      <w:r w:rsidRPr="0028135E" w:rsidR="00747AE5">
        <w:rPr>
          <w:spacing w:val="-4"/>
          <w:rtl/>
        </w:rPr>
        <w:t xml:space="preserve"> - קידום פרויקטים בתווך עירוני מחייב תיאום הדוק בין </w:t>
      </w:r>
      <w:r w:rsidRPr="0028135E" w:rsidR="00747AE5">
        <w:rPr>
          <w:spacing w:val="-4"/>
          <w:rtl/>
        </w:rPr>
        <w:t>נת"א</w:t>
      </w:r>
      <w:r w:rsidRPr="0028135E" w:rsidR="00747AE5">
        <w:rPr>
          <w:spacing w:val="-4"/>
          <w:rtl/>
        </w:rPr>
        <w:t xml:space="preserve"> לבין הרשויות המקומיות, כדי לקדם את הפרויקטים ביעילות וכדי למזער את הפגיעה במהלך החיים השוטף של העיר. בשל העובדה שאין בידי החברה הסמכויות הנדרשות לצורך קידום הפרויקטים, ובהן סמכויות של רשות </w:t>
      </w:r>
      <w:r w:rsidRPr="0028135E" w:rsidR="00747AE5">
        <w:rPr>
          <w:spacing w:val="-4"/>
          <w:rtl/>
        </w:rPr>
        <w:t>תימרור</w:t>
      </w:r>
      <w:r w:rsidRPr="0028135E" w:rsidR="00747AE5">
        <w:rPr>
          <w:spacing w:val="-4"/>
          <w:rtl/>
        </w:rPr>
        <w:t>, התקדמות הפרויקטים של החברה תלויה בהסכמתן של רשויות מקומיות, שלעיתים האינטרסים שלהן אינם עולים בקנה אחד עם האינטרסים שבבסיס קידום הפרויקטים. התופעה מהותית במיוחד כאשר מדובר בפרויקטים העוברים בתחומיהן של כמה רשויות, כך בעניין פרויקט "מהיר לעיר". כמו כן נמצאו מקרים שבהם, בשל מורכבות התכנון והזמן הרב הנדרש להשלמתו, הרשויות המקומיות שינו את עמדתן ודרשו שינויים בתכנון</w:t>
      </w:r>
      <w:r w:rsidRPr="0093709F">
        <w:rPr>
          <w:rFonts w:hint="cs"/>
          <w:rtl/>
        </w:rPr>
        <w:t xml:space="preserve">. </w:t>
      </w:r>
    </w:p>
    <w:p w:rsidR="00420374" w:rsidRPr="0093709F" w:rsidP="00D8446F" w14:paraId="7C081EA1" w14:textId="39B27475">
      <w:pPr>
        <w:pStyle w:val="7392"/>
        <w:ind w:left="424"/>
      </w:pPr>
      <w:r w:rsidRPr="00B02658">
        <w:rPr>
          <w:rFonts w:hint="cs"/>
          <w:b/>
          <w:bCs/>
          <w:noProof/>
          <w:rtl/>
        </w:rPr>
        <w:drawing>
          <wp:anchor distT="0" distB="720090" distL="114300" distR="114300" simplePos="0" relativeHeight="251684864" behindDoc="1" locked="0" layoutInCell="1" allowOverlap="1">
            <wp:simplePos x="0" y="0"/>
            <wp:positionH relativeFrom="column">
              <wp:posOffset>4526280</wp:posOffset>
            </wp:positionH>
            <wp:positionV relativeFrom="paragraph">
              <wp:posOffset>37628</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1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47AE5" w:rsidR="00747AE5">
        <w:rPr>
          <w:b/>
          <w:bCs/>
          <w:spacing w:val="-4"/>
          <w:rtl/>
        </w:rPr>
        <w:t xml:space="preserve">רשויות תחבורה </w:t>
      </w:r>
      <w:r w:rsidRPr="00747AE5" w:rsidR="00747AE5">
        <w:rPr>
          <w:b/>
          <w:bCs/>
          <w:spacing w:val="-4"/>
          <w:rtl/>
        </w:rPr>
        <w:t>מטרופוליניות</w:t>
      </w:r>
      <w:r w:rsidRPr="0028135E" w:rsidR="00747AE5">
        <w:rPr>
          <w:spacing w:val="-4"/>
          <w:rtl/>
        </w:rPr>
        <w:t xml:space="preserve"> - בהיעדר רשויות תחבורה </w:t>
      </w:r>
      <w:r w:rsidRPr="0028135E" w:rsidR="00747AE5">
        <w:rPr>
          <w:spacing w:val="-4"/>
          <w:rtl/>
        </w:rPr>
        <w:t>מטרופוליניות</w:t>
      </w:r>
      <w:r w:rsidRPr="0028135E" w:rsidR="00747AE5">
        <w:rPr>
          <w:spacing w:val="-4"/>
          <w:rtl/>
        </w:rPr>
        <w:t xml:space="preserve">, החברה ממלאת חלק מהתפקידים שרשויות אלה היו אמורות למלא, ובהם הקמה והפעלה של מרכזים </w:t>
      </w:r>
      <w:r w:rsidRPr="0028135E" w:rsidR="00747AE5">
        <w:rPr>
          <w:spacing w:val="-4"/>
          <w:rtl/>
        </w:rPr>
        <w:t>מטרופוליניים</w:t>
      </w:r>
      <w:r w:rsidRPr="0028135E" w:rsidR="00747AE5">
        <w:rPr>
          <w:spacing w:val="-4"/>
          <w:rtl/>
        </w:rPr>
        <w:t xml:space="preserve"> לניהול התנועה ולבקרה עליה. ואולם, בהיעדר אסדרה שתעגן את סמכויות הגוף המנהל את המרכזים, </w:t>
      </w:r>
      <w:r w:rsidRPr="0028135E" w:rsidR="00747AE5">
        <w:rPr>
          <w:spacing w:val="-4"/>
          <w:rtl/>
        </w:rPr>
        <w:t>נת"א</w:t>
      </w:r>
      <w:r w:rsidRPr="0028135E" w:rsidR="00747AE5">
        <w:rPr>
          <w:spacing w:val="-4"/>
          <w:rtl/>
        </w:rPr>
        <w:t xml:space="preserve"> נדרשת להגיע להסכמות הדדיות עם כל רשות מקומית בנפרד, מה שמעכב את הפעלת מרכז השליטה והבקרה </w:t>
      </w:r>
      <w:r w:rsidRPr="0028135E" w:rsidR="00747AE5">
        <w:rPr>
          <w:spacing w:val="-4"/>
          <w:rtl/>
        </w:rPr>
        <w:t>המטרופוליני</w:t>
      </w:r>
      <w:r w:rsidRPr="0028135E" w:rsidR="00747AE5">
        <w:rPr>
          <w:spacing w:val="-4"/>
          <w:rtl/>
        </w:rPr>
        <w:t xml:space="preserve"> שהקימה בתל אביב-יפו</w:t>
      </w:r>
      <w:r w:rsidRPr="0093709F">
        <w:rPr>
          <w:rFonts w:hint="cs"/>
          <w:rtl/>
        </w:rPr>
        <w:t xml:space="preserve">. </w:t>
      </w:r>
    </w:p>
    <w:p w:rsidR="00420374" w:rsidRPr="0093709F" w:rsidP="00D8446F" w14:paraId="5E8BF229" w14:textId="56EC04A7">
      <w:pPr>
        <w:pStyle w:val="7392"/>
        <w:ind w:left="424"/>
        <w:rPr>
          <w:rtl/>
        </w:rPr>
      </w:pPr>
      <w:r w:rsidRPr="00B02658">
        <w:rPr>
          <w:rFonts w:hint="cs"/>
          <w:b/>
          <w:bCs/>
          <w:noProof/>
          <w:rtl/>
        </w:rPr>
        <w:drawing>
          <wp:anchor distT="0" distB="720090" distL="114300" distR="114300" simplePos="0" relativeHeight="251689984" behindDoc="1" locked="0" layoutInCell="1" allowOverlap="1">
            <wp:simplePos x="0" y="0"/>
            <wp:positionH relativeFrom="column">
              <wp:posOffset>4526752</wp:posOffset>
            </wp:positionH>
            <wp:positionV relativeFrom="paragraph">
              <wp:posOffset>39370</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4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47AE5" w:rsidR="00747AE5">
        <w:rPr>
          <w:b/>
          <w:bCs/>
          <w:spacing w:val="-4"/>
          <w:rtl/>
        </w:rPr>
        <w:t>רמת הנזילות של החברה</w:t>
      </w:r>
      <w:r w:rsidRPr="0028135E" w:rsidR="00747AE5">
        <w:rPr>
          <w:spacing w:val="-4"/>
          <w:rtl/>
        </w:rPr>
        <w:t xml:space="preserve"> - מניתוח הדוחות הכספיים של החברה עולה כי לצד הגידול המואץ בפעילות החברה, רמת הנזילות שלה הולכת ופוחתת. מדדי הנזילות מלמדים שהאמצעים העצמיים של החברה למימון פעילותה הולכים ופוחתים, והחשיבות של תזמון קבלת הכספים ממשרד התחבורה לצורך תשלומים לספקיה ושל אישור המשרד את מלוא התשלומים עולה. יצוין כי על פי סקר הסיכונים שערכה החברה, תלותה בהחלטות ממשלה ובגורמים רגולטוריים דורג על ידי החברה כסיכון שעוצמתו גבוהה (דרגה 5 מתוך 5) ומידת סבירותו גבוהה אף היא (דרגה 4 מתוך 5</w:t>
      </w:r>
      <w:r w:rsidR="00747AE5">
        <w:rPr>
          <w:rFonts w:hint="cs"/>
          <w:rtl/>
        </w:rPr>
        <w:t>)</w:t>
      </w:r>
      <w:r w:rsidRPr="0093709F">
        <w:rPr>
          <w:rFonts w:hint="cs"/>
          <w:rtl/>
        </w:rPr>
        <w:t>.</w:t>
      </w:r>
    </w:p>
    <w:p w:rsidR="00420374" w:rsidP="00D8446F" w14:paraId="39D5E97C" w14:textId="237A2DED">
      <w:pPr>
        <w:pStyle w:val="7392"/>
        <w:ind w:left="424"/>
        <w:rPr>
          <w:noProof/>
        </w:rPr>
      </w:pPr>
      <w:r w:rsidRPr="00B02658">
        <w:rPr>
          <w:rFonts w:hint="cs"/>
          <w:b/>
          <w:bCs/>
          <w:noProof/>
          <w:rtl/>
        </w:rPr>
        <w:drawing>
          <wp:anchor distT="0" distB="720090" distL="114300" distR="114300" simplePos="0" relativeHeight="251691008" behindDoc="1" locked="0" layoutInCell="1" allowOverlap="1">
            <wp:simplePos x="0" y="0"/>
            <wp:positionH relativeFrom="column">
              <wp:posOffset>4526752</wp:posOffset>
            </wp:positionH>
            <wp:positionV relativeFrom="paragraph">
              <wp:posOffset>39370</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145106662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4"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47AE5" w:rsidR="00747AE5">
        <w:rPr>
          <w:b/>
          <w:bCs/>
          <w:spacing w:val="-4"/>
          <w:rtl/>
        </w:rPr>
        <w:t>תביעות כנגד החברה</w:t>
      </w:r>
      <w:r w:rsidRPr="0028135E" w:rsidR="00747AE5">
        <w:rPr>
          <w:spacing w:val="-4"/>
          <w:rtl/>
        </w:rPr>
        <w:t xml:space="preserve"> - הפרשות החברה לתביעות במאזן הסתכמו בסוף שנת 2020 בכ-3.7 מיליון ש"ח. בה בעת קיימות תביעות בסכום של 594 מיליון ש"ח שבגינן לא בוצעה הפרשה, רובן בגין ירידת ערך נכסים לפי סעיף 197 לחוק התכנון והבניה, התשכ"ה-1965. החברה רשמה בביאורים לדוחותיה הכספיים כי בהתבסס על ניסיון העבר ועל חוות הדעת של יועציה המשפטיים, אין לה חשיפה כספית בנוגע לתביעות שבגינן היא לא ביצעה הפרשה במאזנה, זאת בשל הערכה נמוכה של סיכויי התביעות או בשל השלב המקדמי שבו מצויות התביעות</w:t>
      </w:r>
      <w:r w:rsidRPr="0093709F">
        <w:rPr>
          <w:rFonts w:hint="cs"/>
          <w:rtl/>
        </w:rPr>
        <w:t xml:space="preserve">. </w:t>
      </w:r>
    </w:p>
    <w:p w:rsidR="00747AE5" w:rsidP="00D8446F" w14:paraId="411748E4" w14:textId="73D5AC36">
      <w:pPr>
        <w:pStyle w:val="7392"/>
        <w:ind w:left="424"/>
        <w:rPr>
          <w:noProof/>
        </w:rPr>
      </w:pPr>
      <w:r w:rsidRPr="00B02658">
        <w:rPr>
          <w:rFonts w:hint="cs"/>
          <w:b/>
          <w:bCs/>
          <w:noProof/>
          <w:rtl/>
        </w:rPr>
        <w:drawing>
          <wp:anchor distT="0" distB="720090" distL="114300" distR="114300" simplePos="0" relativeHeight="251692032" behindDoc="1" locked="0" layoutInCell="1" allowOverlap="1">
            <wp:simplePos x="0" y="0"/>
            <wp:positionH relativeFrom="column">
              <wp:posOffset>4526752</wp:posOffset>
            </wp:positionH>
            <wp:positionV relativeFrom="paragraph">
              <wp:posOffset>39370</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145106662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5"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47AE5">
        <w:rPr>
          <w:b/>
          <w:bCs/>
          <w:spacing w:val="-4"/>
          <w:rtl/>
        </w:rPr>
        <w:t>מוסר התשלומים של החברה</w:t>
      </w:r>
      <w:r w:rsidRPr="0028135E">
        <w:rPr>
          <w:spacing w:val="-4"/>
          <w:rtl/>
        </w:rPr>
        <w:t xml:space="preserve"> - על פי חוק מוסר תשלומים, על החברה לשלם לספקיה בהתקשרויות שאינן לביצוע עבודות הנדסה בנאיות בתוך 30 או 45 יום, ואם מדובר בעבודות הנדסה בנאיות - בתוך 70 או 85 יום. ב-68% מהחשבונות ששילמה החברה לספקיה ונבדקו על ידי </w:t>
      </w:r>
      <w:r w:rsidRPr="0028135E">
        <w:rPr>
          <w:spacing w:val="-4"/>
          <w:rtl/>
        </w:rPr>
        <w:t>מת"ח</w:t>
      </w:r>
      <w:r w:rsidRPr="0028135E">
        <w:rPr>
          <w:spacing w:val="-4"/>
          <w:rtl/>
        </w:rPr>
        <w:t xml:space="preserve"> בשנת 2021 בסכום של כ-555 מיליון ש"ח, היו חריגות מחוק מוסר תשלומים. כמו כן, כ-28% מהתשלומים החורגים הועברו לספקים באיחור של יותר מ-50 יום</w:t>
      </w:r>
      <w:r>
        <w:rPr>
          <w:rFonts w:hint="cs"/>
          <w:noProof/>
          <w:rtl/>
        </w:rPr>
        <w:t>.</w:t>
      </w:r>
    </w:p>
    <w:p w:rsidR="00747AE5" w:rsidRPr="00747AE5" w:rsidP="00D8446F" w14:paraId="0BCB2DD1" w14:textId="7066A8EA">
      <w:pPr>
        <w:pStyle w:val="7392"/>
        <w:ind w:left="424"/>
        <w:rPr>
          <w:spacing w:val="-4"/>
        </w:rPr>
      </w:pPr>
      <w:r w:rsidRPr="00B02658">
        <w:rPr>
          <w:rFonts w:hint="cs"/>
          <w:b/>
          <w:bCs/>
          <w:noProof/>
          <w:rtl/>
        </w:rPr>
        <w:drawing>
          <wp:anchor distT="0" distB="720090" distL="114300" distR="114300" simplePos="0" relativeHeight="251693056" behindDoc="1" locked="0" layoutInCell="1" allowOverlap="1">
            <wp:simplePos x="0" y="0"/>
            <wp:positionH relativeFrom="column">
              <wp:posOffset>4526752</wp:posOffset>
            </wp:positionH>
            <wp:positionV relativeFrom="paragraph">
              <wp:posOffset>39370</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145106662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6"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47AE5">
        <w:rPr>
          <w:b/>
          <w:bCs/>
          <w:spacing w:val="-4"/>
          <w:rtl/>
        </w:rPr>
        <w:t>תקצוב פרויקטים וניהולם</w:t>
      </w:r>
      <w:r w:rsidRPr="0028135E">
        <w:rPr>
          <w:spacing w:val="-4"/>
          <w:rtl/>
        </w:rPr>
        <w:t xml:space="preserve"> - בבדיקת פרויקטים שעלותם יותר מ-30 מיליון ש"ח עולה כי העלויות שנקבעו במכרז היו נמוכות ב-3% עד 27% מאומדן העלויות הקבלניות לפני פרסום המכרז. דפוס זה מסתמן במרבית הפרויקטים של </w:t>
      </w:r>
      <w:r w:rsidRPr="0028135E">
        <w:rPr>
          <w:spacing w:val="-4"/>
          <w:rtl/>
        </w:rPr>
        <w:t>נת"א</w:t>
      </w:r>
      <w:r w:rsidRPr="0028135E">
        <w:rPr>
          <w:spacing w:val="-4"/>
          <w:rtl/>
        </w:rPr>
        <w:t xml:space="preserve"> שנבדקו במסגרת הביקורת (64 מתוך 69), ובפרט הגדולים שבהם, אף שבביקורת נמצאו גם מקרים הפוכים. התקציב שמקצה </w:t>
      </w:r>
      <w:r w:rsidRPr="0028135E">
        <w:rPr>
          <w:spacing w:val="-4"/>
          <w:rtl/>
        </w:rPr>
        <w:t>מת"ח</w:t>
      </w:r>
      <w:r w:rsidRPr="0028135E">
        <w:rPr>
          <w:spacing w:val="-4"/>
          <w:rtl/>
        </w:rPr>
        <w:t xml:space="preserve"> לביצוע הפרויקטים נקבע בשלב שלפני פרסום המכרז, על פי דוח ה-</w:t>
      </w:r>
      <w:r w:rsidRPr="0028135E">
        <w:rPr>
          <w:spacing w:val="-4"/>
        </w:rPr>
        <w:t>RFT</w:t>
      </w:r>
      <w:r w:rsidRPr="0028135E">
        <w:rPr>
          <w:spacing w:val="-4"/>
          <w:rtl/>
        </w:rPr>
        <w:t>, והוא אינו מתעדכן לאחר מכן בהתאם לעלות שנקבעה במכרז. מצד אחד, שיטה זו מאפשרת גמישות רבה לחברה בכל הקשור להתמודדות עם שינויים בפרויקטים, הנובעים לעיתים ממורכבות הפרויקטים ומאי-ודאות גדולה בניהולם; מן הצד האחר, הפער בעלויות עלול להיות מקור מימון להגדלת ההוצאה על הפרויקט, בפיקוח ובבקרה מעטים, שכן תוספת ההוצאה אינה פורצת את מסגרת התקציב. ואכן, בכל הפרויקטים שנבדקו שעלותם יותר מ-30 מיליון ש"ח עלות העבודות הקבלניות גדלה במהלך ביצוע הפרויקט ביחס לעלות שנקבעה בהסכם עם הקבלן</w:t>
      </w:r>
      <w:r>
        <w:rPr>
          <w:rFonts w:hint="cs"/>
          <w:spacing w:val="-4"/>
          <w:rtl/>
        </w:rPr>
        <w:t>.</w:t>
      </w:r>
    </w:p>
    <w:p w:rsidR="00747AE5" w:rsidP="00D8446F" w14:paraId="3B55135B" w14:textId="40910939">
      <w:pPr>
        <w:pStyle w:val="7392"/>
        <w:ind w:left="424"/>
        <w:rPr>
          <w:noProof/>
        </w:rPr>
      </w:pPr>
      <w:r w:rsidRPr="00B02658">
        <w:rPr>
          <w:rFonts w:hint="cs"/>
          <w:b/>
          <w:bCs/>
          <w:noProof/>
          <w:rtl/>
        </w:rPr>
        <w:drawing>
          <wp:anchor distT="0" distB="720090" distL="114300" distR="114300" simplePos="0" relativeHeight="251694080" behindDoc="1" locked="0" layoutInCell="1" allowOverlap="1">
            <wp:simplePos x="0" y="0"/>
            <wp:positionH relativeFrom="column">
              <wp:posOffset>4526752</wp:posOffset>
            </wp:positionH>
            <wp:positionV relativeFrom="paragraph">
              <wp:posOffset>39370</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14510666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47AE5">
        <w:rPr>
          <w:b/>
          <w:bCs/>
          <w:spacing w:val="-4"/>
          <w:rtl/>
        </w:rPr>
        <w:t>מערכת לניהול פרויקטים</w:t>
      </w:r>
      <w:r w:rsidRPr="0028135E">
        <w:rPr>
          <w:spacing w:val="-4"/>
          <w:rtl/>
        </w:rPr>
        <w:t xml:space="preserve"> - נמצא כי המידע על הפרויקטים קיים בחטיבות הביצוע השונות בחברה, אולם אין מערכת מידע אחת המכילה את הנתונים של כלל הפרויקטים, וכן אין פורמט אחיד לשמירת המידע ולהפקת דוחות</w:t>
      </w:r>
      <w:r>
        <w:rPr>
          <w:rFonts w:hint="cs"/>
          <w:noProof/>
          <w:rtl/>
        </w:rPr>
        <w:t>.</w:t>
      </w:r>
    </w:p>
    <w:p w:rsidR="00747AE5" w:rsidP="00D8446F" w14:paraId="64F860ED" w14:textId="27D1BF96">
      <w:pPr>
        <w:pStyle w:val="7392"/>
        <w:ind w:left="424"/>
        <w:rPr>
          <w:noProof/>
          <w:rtl/>
        </w:rPr>
      </w:pPr>
      <w:r w:rsidRPr="00B02658">
        <w:rPr>
          <w:rFonts w:hint="cs"/>
          <w:b/>
          <w:bCs/>
          <w:noProof/>
          <w:rtl/>
        </w:rPr>
        <w:drawing>
          <wp:anchor distT="0" distB="720090" distL="114300" distR="114300" simplePos="0" relativeHeight="251695104" behindDoc="1" locked="0" layoutInCell="1" allowOverlap="1">
            <wp:simplePos x="0" y="0"/>
            <wp:positionH relativeFrom="column">
              <wp:posOffset>4526752</wp:posOffset>
            </wp:positionH>
            <wp:positionV relativeFrom="paragraph">
              <wp:posOffset>39370</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47AE5">
        <w:rPr>
          <w:b/>
          <w:bCs/>
          <w:spacing w:val="-4"/>
          <w:rtl/>
        </w:rPr>
        <w:t xml:space="preserve">בקרות על החברה מטעם </w:t>
      </w:r>
      <w:r w:rsidRPr="00747AE5">
        <w:rPr>
          <w:b/>
          <w:bCs/>
          <w:spacing w:val="-4"/>
          <w:rtl/>
        </w:rPr>
        <w:t>מת"ח</w:t>
      </w:r>
      <w:r w:rsidRPr="00747AE5">
        <w:rPr>
          <w:b/>
          <w:bCs/>
          <w:spacing w:val="-4"/>
          <w:rtl/>
        </w:rPr>
        <w:t xml:space="preserve"> -</w:t>
      </w:r>
      <w:r w:rsidRPr="0028135E">
        <w:rPr>
          <w:spacing w:val="-4"/>
          <w:rtl/>
        </w:rPr>
        <w:t xml:space="preserve"> קיים מחסור בעובדים </w:t>
      </w:r>
      <w:r w:rsidRPr="0028135E">
        <w:rPr>
          <w:spacing w:val="-4"/>
          <w:rtl/>
        </w:rPr>
        <w:t>במינהל</w:t>
      </w:r>
      <w:r w:rsidRPr="0028135E">
        <w:rPr>
          <w:spacing w:val="-4"/>
          <w:rtl/>
        </w:rPr>
        <w:t xml:space="preserve"> התשתיות </w:t>
      </w:r>
      <w:r w:rsidRPr="0028135E">
        <w:rPr>
          <w:spacing w:val="-4"/>
          <w:rtl/>
        </w:rPr>
        <w:t>במת"ח</w:t>
      </w:r>
      <w:r w:rsidRPr="0028135E">
        <w:rPr>
          <w:spacing w:val="-4"/>
          <w:rtl/>
        </w:rPr>
        <w:t xml:space="preserve">, וארבעה מתוך שישה תקנים אינם מאוישים, דבר שעלול לפגוע בתהליכי הפיקוח והבקרה על חברות התשתית הממשלתיות ובהן </w:t>
      </w:r>
      <w:r w:rsidRPr="0028135E">
        <w:rPr>
          <w:spacing w:val="-4"/>
          <w:rtl/>
        </w:rPr>
        <w:t>נת"א</w:t>
      </w:r>
      <w:r w:rsidRPr="0028135E">
        <w:rPr>
          <w:spacing w:val="-4"/>
          <w:rtl/>
        </w:rPr>
        <w:t xml:space="preserve">. נמצאו חוסרים בבקרות של </w:t>
      </w:r>
      <w:r w:rsidRPr="0028135E">
        <w:rPr>
          <w:spacing w:val="-4"/>
          <w:rtl/>
        </w:rPr>
        <w:t>מת"ח</w:t>
      </w:r>
      <w:r w:rsidRPr="0028135E">
        <w:rPr>
          <w:spacing w:val="-4"/>
          <w:rtl/>
        </w:rPr>
        <w:t xml:space="preserve"> על העמידה של </w:t>
      </w:r>
      <w:r w:rsidRPr="0028135E">
        <w:rPr>
          <w:spacing w:val="-4"/>
          <w:rtl/>
        </w:rPr>
        <w:t>נת"א</w:t>
      </w:r>
      <w:r w:rsidRPr="0028135E">
        <w:rPr>
          <w:spacing w:val="-4"/>
          <w:rtl/>
        </w:rPr>
        <w:t xml:space="preserve"> בתחזית תזרים המזומנים ועל עמידת הפרויקטים בתקציב ובלוחות הזמנים, ובתיעוד השינויים בתקציב ובלוחות הזמנים. כמו כן אין </w:t>
      </w:r>
      <w:r w:rsidRPr="0028135E">
        <w:rPr>
          <w:spacing w:val="-4"/>
          <w:rtl/>
        </w:rPr>
        <w:t>במת"ח</w:t>
      </w:r>
      <w:r w:rsidRPr="0028135E">
        <w:rPr>
          <w:spacing w:val="-4"/>
          <w:rtl/>
        </w:rPr>
        <w:t xml:space="preserve"> מערכת מחשוב מתאימה המאפשרת לו לעקוב באופן יעיל אחר התקדמות הפרויקטים, להציג את השינויים ואת סיבותיהם בלוחות </w:t>
      </w:r>
      <w:r w:rsidRPr="0028135E">
        <w:rPr>
          <w:spacing w:val="-4"/>
          <w:rtl/>
        </w:rPr>
        <w:t xml:space="preserve">הזמנים, בתקציב ובתכולות הפרויקט לאורך חייו, ולקבל תמונה כוללת של התקציב המועבר </w:t>
      </w:r>
      <w:r w:rsidRPr="00E52143">
        <w:rPr>
          <w:rStyle w:val="7340"/>
          <w:rFonts w:hint="cs"/>
          <w:noProof/>
          <w:rtl/>
          <w:lang w:eastAsia="he-IL"/>
        </w:rPr>
        <w:drawing>
          <wp:anchor distT="0" distB="0" distL="114300" distR="114300" simplePos="0" relativeHeight="251681792" behindDoc="0" locked="0" layoutInCell="1" allowOverlap="1">
            <wp:simplePos x="0" y="0"/>
            <wp:positionH relativeFrom="column">
              <wp:posOffset>2453640</wp:posOffset>
            </wp:positionH>
            <wp:positionV relativeFrom="paragraph">
              <wp:posOffset>459105</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Pr="0028135E">
        <w:rPr>
          <w:spacing w:val="-4"/>
          <w:rtl/>
        </w:rPr>
        <w:t>לחברה</w:t>
      </w:r>
      <w:r>
        <w:rPr>
          <w:rFonts w:hint="cs"/>
          <w:noProof/>
          <w:rtl/>
        </w:rPr>
        <w:t>.</w:t>
      </w:r>
    </w:p>
    <w:p w:rsidR="00420374" w:rsidRPr="00747AE5" w:rsidP="00420374" w14:paraId="5E6B04AD" w14:textId="68628BC5">
      <w:pPr>
        <w:pStyle w:val="7392"/>
        <w:spacing w:before="360"/>
        <w:rPr>
          <w:rtl/>
        </w:rPr>
      </w:pPr>
      <w:r w:rsidRPr="00747AE5">
        <w:rPr>
          <w:b/>
          <w:bCs/>
          <w:rtl/>
        </w:rPr>
        <w:t>התארגנות החברה מחדש</w:t>
      </w:r>
      <w:r w:rsidRPr="00747AE5">
        <w:rPr>
          <w:rtl/>
        </w:rPr>
        <w:t xml:space="preserve"> - החברה החלה להתארגן מחדש ב-2018, ועד מועד סיום הביקורת ביצעה בין היתר שינוי מהותי במבנה הארגוני, גיבשה והטמיעה מערכת נהלים חדשה, הגדילה במידה ניכרת את מצבת כוח האדם שלה, הטמיעה מערכות מחשוב חדשות, הפיקה לקחים מדוחות ביקורת קודמים, הטמיעה תהליכי בקרה, ערכה סקר סיכונים, גיבשה תוכנית אסטרטגית ועוד. כל זאת תוך הגדלה ניכרת של היקפי הפעילות והרחבה שלהם ושיפור ביכולת הביצוע של החברה</w:t>
      </w:r>
      <w:r w:rsidRPr="00747AE5">
        <w:rPr>
          <w:rtl/>
        </w:rPr>
        <w:t>.</w:t>
      </w:r>
    </w:p>
    <w:p w:rsidR="00420374" w:rsidRPr="00411396" w:rsidP="00420374" w14:paraId="4A9F3764" w14:textId="572C397E">
      <w:pPr>
        <w:pStyle w:val="7392"/>
        <w:rPr>
          <w:rtl/>
        </w:rPr>
      </w:pPr>
      <w:r w:rsidRPr="00747AE5">
        <w:rPr>
          <w:b/>
          <w:bCs/>
          <w:rtl/>
        </w:rPr>
        <w:t>תיאומים אל מול חברות תשתית אחרות וגופים ממשלתיים</w:t>
      </w:r>
      <w:r w:rsidRPr="0028135E">
        <w:rPr>
          <w:rtl/>
        </w:rPr>
        <w:t xml:space="preserve"> - משרד מבקר המדינה מציין לחיוב את הקמת המערכת לתיאום תשתיות על ידי </w:t>
      </w:r>
      <w:r w:rsidRPr="0028135E">
        <w:rPr>
          <w:rtl/>
        </w:rPr>
        <w:t>מת"ח</w:t>
      </w:r>
      <w:r w:rsidRPr="0028135E">
        <w:rPr>
          <w:rtl/>
        </w:rPr>
        <w:t xml:space="preserve">, משרד ראש הממשלה ומשרד האוצר, אשר אמורה להקל את איתור התשתיות לצורך קידום פרויקטים תחבורתיים ואת תהליך בקשת התיאום. עם זאת, עדיין קיימים קשיים רבים לאחר שלב הגשת הבקשה לתיאום, בעת קביעת תכולות העבודות, מועד ביצוען וזהות המבצעים ובשלבים של ביצוע העבודות בפועל. לדוגמה: עיכובים בתיאום ובביצוע של עבודות העתקת תשתיות שמבוצעות על ידי חברות תשתית אחרות, ושעות עבודה מצומצמות בתחומי מסילות הרכבת על מנת להקטין את הפגיעה בפעילות </w:t>
      </w:r>
      <w:r w:rsidRPr="0028135E">
        <w:rPr>
          <w:rtl/>
        </w:rPr>
        <w:t>הרכבתית</w:t>
      </w:r>
      <w:r w:rsidRPr="00411396">
        <w:rPr>
          <w:rFonts w:hint="cs"/>
          <w:rtl/>
        </w:rPr>
        <w:t>.</w:t>
      </w:r>
    </w:p>
    <w:p w:rsidR="002753C7" w:rsidRPr="00662020" w:rsidP="003827EF" w14:paraId="7C748CCB" w14:textId="77777777">
      <w:pPr>
        <w:pStyle w:val="7327"/>
        <w:spacing w:before="480" w:after="240"/>
        <w:rPr>
          <w:rtl/>
        </w:rPr>
      </w:pPr>
      <w:r w:rsidRPr="00662020">
        <w:rPr>
          <w:rFonts w:hint="cs"/>
          <w:rtl/>
        </w:rPr>
        <w:t>עיקרי המלצות הביקורת</w:t>
      </w:r>
    </w:p>
    <w:p w:rsidR="0093709F" w:rsidP="00583ABB" w14:paraId="0466320B" w14:textId="74E006BE">
      <w:pPr>
        <w:pStyle w:val="7317"/>
        <w:ind w:left="566"/>
      </w:pPr>
      <w:r w:rsidRPr="00B02658">
        <w:rPr>
          <w:rFonts w:hint="cs"/>
          <w:b/>
          <w:bCs/>
          <w:noProof/>
          <w:rtl/>
        </w:rPr>
        <w:drawing>
          <wp:anchor distT="0" distB="1440180" distL="107950" distR="114300" simplePos="0" relativeHeight="251697152" behindDoc="1" locked="0" layoutInCell="1" allowOverlap="1">
            <wp:simplePos x="0" y="0"/>
            <wp:positionH relativeFrom="column">
              <wp:posOffset>4503420</wp:posOffset>
            </wp:positionH>
            <wp:positionV relativeFrom="paragraph">
              <wp:posOffset>40511</wp:posOffset>
            </wp:positionV>
            <wp:extent cx="144000" cy="162000"/>
            <wp:effectExtent l="0" t="0" r="0" b="3175"/>
            <wp:wrapTight wrapText="bothSides">
              <wp:wrapPolygon>
                <wp:start x="1912" y="0"/>
                <wp:lineTo x="0" y="1694"/>
                <wp:lineTo x="0" y="20329"/>
                <wp:lineTo x="19115" y="20329"/>
                <wp:lineTo x="19115" y="0"/>
                <wp:lineTo x="1912" y="0"/>
              </wp:wrapPolygon>
            </wp:wrapTight>
            <wp:docPr id="145106663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30"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28135E" w:rsidR="00747AE5">
        <w:rPr>
          <w:rtl/>
        </w:rPr>
        <w:t xml:space="preserve">על משרד התחבורה </w:t>
      </w:r>
      <w:r w:rsidRPr="0028135E" w:rsidR="00747AE5">
        <w:rPr>
          <w:rtl/>
        </w:rPr>
        <w:t>ונת"א</w:t>
      </w:r>
      <w:r w:rsidRPr="0028135E" w:rsidR="00747AE5">
        <w:rPr>
          <w:rtl/>
        </w:rPr>
        <w:t>, בתיאום עם רשות החברות הממשלתיות ומשרד האוצר, לפעול כדי לחתום על הסכם מסגרת בין המדינה לחברה, כדי להסדיר את הפעילות המשותפת, בהתאם להחלטות הממשלה ולתקנות חובת המכרזים</w:t>
      </w:r>
      <w:r w:rsidRPr="008E57FE" w:rsidR="005D0F8C">
        <w:rPr>
          <w:rFonts w:hint="cs"/>
          <w:rtl/>
        </w:rPr>
        <w:t xml:space="preserve">. </w:t>
      </w:r>
    </w:p>
    <w:p w:rsidR="005D0F8C" w:rsidRPr="008E57FE" w:rsidP="00583ABB" w14:paraId="6C626C68" w14:textId="72368686">
      <w:pPr>
        <w:pStyle w:val="7317"/>
        <w:ind w:left="566"/>
      </w:pPr>
      <w:r w:rsidRPr="00B02658">
        <w:rPr>
          <w:rFonts w:hint="cs"/>
          <w:b/>
          <w:bCs/>
          <w:noProof/>
          <w:rtl/>
        </w:rPr>
        <w:drawing>
          <wp:anchor distT="0" distB="1440180" distL="107950" distR="114300" simplePos="0" relativeHeight="251698176" behindDoc="1" locked="0" layoutInCell="1" allowOverlap="1">
            <wp:simplePos x="0" y="0"/>
            <wp:positionH relativeFrom="column">
              <wp:posOffset>4504055</wp:posOffset>
            </wp:positionH>
            <wp:positionV relativeFrom="paragraph">
              <wp:posOffset>6350</wp:posOffset>
            </wp:positionV>
            <wp:extent cx="144000" cy="162000"/>
            <wp:effectExtent l="0" t="0" r="0" b="3175"/>
            <wp:wrapTight wrapText="bothSides">
              <wp:wrapPolygon>
                <wp:start x="1912" y="0"/>
                <wp:lineTo x="0" y="1694"/>
                <wp:lineTo x="0" y="20329"/>
                <wp:lineTo x="19115" y="20329"/>
                <wp:lineTo x="19115" y="0"/>
                <wp:lineTo x="1912" y="0"/>
              </wp:wrapPolygon>
            </wp:wrapTight>
            <wp:docPr id="145106663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31"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28135E" w:rsidR="00747AE5">
        <w:rPr>
          <w:rtl/>
        </w:rPr>
        <w:t>על שרי התחבורה והאוצר למנות דירקטורים בחברה בהתאם לחוק החברות הממשלתיות, וזאת כדי לאפשר ממשל תאגידי תקין בחברה</w:t>
      </w:r>
      <w:r w:rsidRPr="008E57FE">
        <w:rPr>
          <w:rtl/>
        </w:rPr>
        <w:t xml:space="preserve">. </w:t>
      </w:r>
    </w:p>
    <w:p w:rsidR="005D0F8C" w:rsidP="00583ABB" w14:paraId="16E5BFEE" w14:textId="30D3B971">
      <w:pPr>
        <w:pStyle w:val="7317"/>
        <w:ind w:left="566"/>
        <w:rPr>
          <w:rtl/>
        </w:rPr>
      </w:pPr>
      <w:r w:rsidRPr="00B02658">
        <w:rPr>
          <w:rFonts w:hint="cs"/>
          <w:b/>
          <w:bCs/>
          <w:noProof/>
          <w:rtl/>
        </w:rPr>
        <w:drawing>
          <wp:anchor distT="0" distB="1440180" distL="107950" distR="114300" simplePos="0" relativeHeight="251699200" behindDoc="1" locked="0" layoutInCell="1" allowOverlap="1">
            <wp:simplePos x="0" y="0"/>
            <wp:positionH relativeFrom="column">
              <wp:posOffset>4503420</wp:posOffset>
            </wp:positionH>
            <wp:positionV relativeFrom="paragraph">
              <wp:posOffset>10795</wp:posOffset>
            </wp:positionV>
            <wp:extent cx="143510" cy="161925"/>
            <wp:effectExtent l="0" t="0" r="0" b="3175"/>
            <wp:wrapTight wrapText="bothSides">
              <wp:wrapPolygon>
                <wp:start x="1912" y="0"/>
                <wp:lineTo x="0" y="1694"/>
                <wp:lineTo x="0" y="20329"/>
                <wp:lineTo x="19115" y="20329"/>
                <wp:lineTo x="19115" y="0"/>
                <wp:lineTo x="1912" y="0"/>
              </wp:wrapPolygon>
            </wp:wrapTight>
            <wp:docPr id="145106663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32"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28135E" w:rsidR="00747AE5">
        <w:rPr>
          <w:rtl/>
        </w:rPr>
        <w:t xml:space="preserve">מומלץ שמשרדי התחבורה והאוצר יפעלו להקמת רשויות תחבורה </w:t>
      </w:r>
      <w:r w:rsidRPr="0028135E" w:rsidR="00747AE5">
        <w:rPr>
          <w:rtl/>
        </w:rPr>
        <w:t>מטרופוליניות</w:t>
      </w:r>
      <w:r w:rsidRPr="0028135E" w:rsidR="00747AE5">
        <w:rPr>
          <w:rtl/>
        </w:rPr>
        <w:t xml:space="preserve">, ועד אז ימצאו דרכים חלופיות כפתרונות ביניים להסרת החסמים הקיימים בפעילות החברה, כדי לאזן בין האינטרסים </w:t>
      </w:r>
      <w:r w:rsidRPr="0028135E" w:rsidR="00747AE5">
        <w:rPr>
          <w:rtl/>
        </w:rPr>
        <w:t>המטרופוליניים</w:t>
      </w:r>
      <w:r w:rsidRPr="0028135E" w:rsidR="00747AE5">
        <w:rPr>
          <w:rtl/>
        </w:rPr>
        <w:t xml:space="preserve"> לאינטרסים המקומיים</w:t>
      </w:r>
      <w:r w:rsidRPr="008E57FE">
        <w:rPr>
          <w:rFonts w:hint="cs"/>
          <w:rtl/>
        </w:rPr>
        <w:t>.</w:t>
      </w:r>
    </w:p>
    <w:p w:rsidR="00706096" w:rsidP="00583ABB" w14:paraId="3F6A2BE4" w14:textId="7431F448">
      <w:pPr>
        <w:pStyle w:val="7317"/>
        <w:ind w:left="566"/>
        <w:rPr>
          <w:rtl/>
        </w:rPr>
      </w:pPr>
      <w:r w:rsidRPr="00B02658">
        <w:rPr>
          <w:rFonts w:hint="cs"/>
          <w:b/>
          <w:bCs/>
          <w:noProof/>
          <w:rtl/>
        </w:rPr>
        <w:drawing>
          <wp:anchor distT="0" distB="1440180" distL="107950" distR="114300" simplePos="0" relativeHeight="251700224" behindDoc="1" locked="0" layoutInCell="1" allowOverlap="1">
            <wp:simplePos x="0" y="0"/>
            <wp:positionH relativeFrom="column">
              <wp:posOffset>4503420</wp:posOffset>
            </wp:positionH>
            <wp:positionV relativeFrom="paragraph">
              <wp:posOffset>10666</wp:posOffset>
            </wp:positionV>
            <wp:extent cx="143510" cy="161925"/>
            <wp:effectExtent l="0" t="0" r="0" b="3175"/>
            <wp:wrapTight wrapText="bothSides">
              <wp:wrapPolygon>
                <wp:start x="1912" y="0"/>
                <wp:lineTo x="0" y="1694"/>
                <wp:lineTo x="0" y="20329"/>
                <wp:lineTo x="19115" y="20329"/>
                <wp:lineTo x="19115" y="0"/>
                <wp:lineTo x="1912" y="0"/>
              </wp:wrapPolygon>
            </wp:wrapTight>
            <wp:docPr id="145106663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33"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B02658">
        <w:rPr>
          <w:rFonts w:hint="cs"/>
          <w:b/>
          <w:bCs/>
          <w:noProof/>
          <w:rtl/>
        </w:rPr>
        <w:drawing>
          <wp:anchor distT="0" distB="1440180" distL="107950" distR="114300" simplePos="0" relativeHeight="251701248" behindDoc="1" locked="0" layoutInCell="1" allowOverlap="1">
            <wp:simplePos x="0" y="0"/>
            <wp:positionH relativeFrom="column">
              <wp:posOffset>4503420</wp:posOffset>
            </wp:positionH>
            <wp:positionV relativeFrom="paragraph">
              <wp:posOffset>924560</wp:posOffset>
            </wp:positionV>
            <wp:extent cx="143510" cy="161925"/>
            <wp:effectExtent l="0" t="0" r="0" b="3175"/>
            <wp:wrapTight wrapText="bothSides">
              <wp:wrapPolygon>
                <wp:start x="1912" y="0"/>
                <wp:lineTo x="0" y="1694"/>
                <wp:lineTo x="0" y="20329"/>
                <wp:lineTo x="19115" y="20329"/>
                <wp:lineTo x="19115" y="0"/>
                <wp:lineTo x="1912" y="0"/>
              </wp:wrapPolygon>
            </wp:wrapTight>
            <wp:docPr id="145106663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34"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28135E" w:rsidR="00747AE5">
        <w:rPr>
          <w:rtl/>
        </w:rPr>
        <w:t>מומלץ כי משרד התחבורה ימשיך</w:t>
      </w:r>
      <w:r w:rsidRPr="00121169" w:rsidR="00747AE5">
        <w:rPr>
          <w:rtl/>
        </w:rPr>
        <w:t xml:space="preserve"> </w:t>
      </w:r>
      <w:r w:rsidRPr="0028135E" w:rsidR="00747AE5">
        <w:rPr>
          <w:rtl/>
        </w:rPr>
        <w:t xml:space="preserve">לבחון וליישם דרכים להקל על חברות התשתית בתחום התחבורה בכל הקשור לגיוס שיתופי הפעולה הנדרשים לתיאומים הנדסיים ולהקלת תהליכי העבודה, לדוגמה באמצעות שיתוף פעולה עם גורמים ממשלתיים ורגולטורים רלוונטיים, יצירת אחידות בנוסחי ההסכמים, ההתחייבויות והדרישות </w:t>
      </w:r>
      <w:r w:rsidRPr="0028135E" w:rsidR="00747AE5">
        <w:rPr>
          <w:rtl/>
        </w:rPr>
        <w:t>הביטוחיות</w:t>
      </w:r>
      <w:r w:rsidRPr="008E57FE">
        <w:rPr>
          <w:rFonts w:hint="cs"/>
          <w:rtl/>
        </w:rPr>
        <w:t>.</w:t>
      </w:r>
    </w:p>
    <w:p w:rsidR="00706096" w:rsidRPr="00662020" w:rsidP="00583ABB" w14:paraId="36B4D251" w14:textId="3C4EC9E6">
      <w:pPr>
        <w:pStyle w:val="ListParagraph"/>
        <w:widowControl w:val="0"/>
        <w:spacing w:after="60" w:line="276" w:lineRule="auto"/>
        <w:ind w:left="566"/>
        <w:rPr>
          <w:rFonts w:ascii="Tahoma" w:hAnsi="Tahoma" w:cs="Tahoma"/>
          <w:color w:val="0D0D0D" w:themeColor="text1" w:themeTint="F2"/>
          <w:sz w:val="18"/>
          <w:szCs w:val="18"/>
        </w:rPr>
      </w:pPr>
      <w:r w:rsidRPr="0028135E">
        <w:rPr>
          <w:rFonts w:ascii="Tahoma" w:hAnsi="Tahoma" w:cs="Tahoma"/>
          <w:sz w:val="18"/>
          <w:szCs w:val="18"/>
          <w:rtl/>
        </w:rPr>
        <w:t>על החברה ומשרד התחבורה לבדוק את הסיבות לחריגות מחוק מוסר התשלומים ולפעול לעמידה בדרישות החוק ולפעול בשיתוף פעולה מלא לקיצור זמני אישור התשלומים והטיפול בהם</w:t>
      </w:r>
      <w:r w:rsidRPr="00662020">
        <w:rPr>
          <w:rFonts w:ascii="Tahoma" w:hAnsi="Tahoma" w:cs="Tahoma" w:hint="cs"/>
          <w:color w:val="0D0D0D" w:themeColor="text1" w:themeTint="F2"/>
          <w:sz w:val="18"/>
          <w:szCs w:val="18"/>
          <w:rtl/>
        </w:rPr>
        <w:t>.</w:t>
      </w:r>
    </w:p>
    <w:p w:rsidR="00706096" w:rsidP="00583ABB" w14:paraId="30F30DD7" w14:textId="6C20CCAD">
      <w:pPr>
        <w:pStyle w:val="7317"/>
        <w:ind w:left="566"/>
      </w:pPr>
      <w:r w:rsidRPr="00B02658">
        <w:rPr>
          <w:rFonts w:hint="cs"/>
          <w:b/>
          <w:bCs/>
          <w:noProof/>
          <w:rtl/>
        </w:rPr>
        <w:drawing>
          <wp:anchor distT="0" distB="1440180" distL="107950" distR="114300" simplePos="0" relativeHeight="251702272" behindDoc="1" locked="0" layoutInCell="1" allowOverlap="1">
            <wp:simplePos x="0" y="0"/>
            <wp:positionH relativeFrom="column">
              <wp:posOffset>4503926</wp:posOffset>
            </wp:positionH>
            <wp:positionV relativeFrom="paragraph">
              <wp:posOffset>31115</wp:posOffset>
            </wp:positionV>
            <wp:extent cx="144000" cy="162000"/>
            <wp:effectExtent l="0" t="0" r="0" b="3175"/>
            <wp:wrapTight wrapText="bothSides">
              <wp:wrapPolygon>
                <wp:start x="1912" y="0"/>
                <wp:lineTo x="0" y="1694"/>
                <wp:lineTo x="0" y="20329"/>
                <wp:lineTo x="19115" y="20329"/>
                <wp:lineTo x="19115" y="0"/>
                <wp:lineTo x="1912" y="0"/>
              </wp:wrapPolygon>
            </wp:wrapTight>
            <wp:docPr id="145106663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35"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28135E" w:rsidR="00747AE5">
        <w:rPr>
          <w:rtl/>
        </w:rPr>
        <w:t xml:space="preserve">מומלץ כי משרד התחבורה יפעל כדי להשלים הטמעת מערכת מידע כוללת לניהול פרויקטים בחברות התשתית בתחום התחבורה בכלל </w:t>
      </w:r>
      <w:r w:rsidRPr="0028135E" w:rsidR="00747AE5">
        <w:rPr>
          <w:rtl/>
        </w:rPr>
        <w:t>ובנת"א</w:t>
      </w:r>
      <w:r w:rsidRPr="0028135E" w:rsidR="00747AE5">
        <w:rPr>
          <w:rtl/>
        </w:rPr>
        <w:t xml:space="preserve"> בפרט, וכי חברות התשתית ישתפו פעולה עם המהלך. עוד מומלץ לשקול לשלב במערכת מודול מקוון לדיווחים למשרד התחבורה בפורמט אחיד לכלל חברות התשתית</w:t>
      </w:r>
      <w:r w:rsidRPr="008E57FE">
        <w:rPr>
          <w:rFonts w:hint="cs"/>
          <w:rtl/>
        </w:rPr>
        <w:t>.</w:t>
      </w:r>
    </w:p>
    <w:p w:rsidR="00747AE5" w:rsidP="00583ABB" w14:paraId="45819E43" w14:textId="41590754">
      <w:pPr>
        <w:pStyle w:val="7317"/>
        <w:ind w:left="566"/>
        <w:rPr>
          <w:rtl/>
        </w:rPr>
      </w:pPr>
      <w:r w:rsidRPr="00B02658">
        <w:rPr>
          <w:rFonts w:hint="cs"/>
          <w:b/>
          <w:bCs/>
          <w:noProof/>
          <w:rtl/>
        </w:rPr>
        <w:drawing>
          <wp:anchor distT="0" distB="1440180" distL="107950" distR="114300" simplePos="0" relativeHeight="251703296" behindDoc="1" locked="0" layoutInCell="1" allowOverlap="1">
            <wp:simplePos x="0" y="0"/>
            <wp:positionH relativeFrom="column">
              <wp:posOffset>4503420</wp:posOffset>
            </wp:positionH>
            <wp:positionV relativeFrom="paragraph">
              <wp:posOffset>25271</wp:posOffset>
            </wp:positionV>
            <wp:extent cx="143510" cy="161925"/>
            <wp:effectExtent l="0" t="0" r="0" b="3175"/>
            <wp:wrapTight wrapText="bothSides">
              <wp:wrapPolygon>
                <wp:start x="1912" y="0"/>
                <wp:lineTo x="0" y="1694"/>
                <wp:lineTo x="0" y="20329"/>
                <wp:lineTo x="19115" y="20329"/>
                <wp:lineTo x="19115" y="0"/>
                <wp:lineTo x="1912" y="0"/>
              </wp:wrapPolygon>
            </wp:wrapTight>
            <wp:docPr id="145106663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36"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28135E">
        <w:rPr>
          <w:rtl/>
        </w:rPr>
        <w:t xml:space="preserve">מומלץ כי משרד האוצר ומשרד התחבורה יתאימו את ההתחייבויות לביצוע הפרויקטים בשים לב לתוצאות המכרזים. כמו כן מומלץ לבחון אם קיים צורך במנגנון שיאפשר את הגדלת ההוצאה מעבר להסכם הקבלני, ואם כן - מומלץ שמשרד האוצר ומשרד התחבורה יפעלו ליישום של מנגנון גמיש ומבוקר שיקצה לצורך כך סכומים המותאמים לרמת הסיכון המוערכת של הפרויקט; לדוגמה באמצעות תקצוב סעיף </w:t>
      </w:r>
      <w:r w:rsidRPr="0028135E">
        <w:rPr>
          <w:rtl/>
        </w:rPr>
        <w:t>בצ"ם</w:t>
      </w:r>
      <w:r w:rsidRPr="0028135E">
        <w:rPr>
          <w:rtl/>
        </w:rPr>
        <w:t xml:space="preserve"> בהתאם לנדרש, סעיף שלגבי מנגנון השימוש בו הוגדרו מנגנוני פיקוח ובקרה סדורים, או באמצעו</w:t>
      </w:r>
      <w:r w:rsidR="00A8129F">
        <w:rPr>
          <w:rFonts w:hint="cs"/>
          <w:rtl/>
        </w:rPr>
        <w:t>ת</w:t>
      </w:r>
      <w:r w:rsidRPr="0028135E">
        <w:rPr>
          <w:rtl/>
        </w:rPr>
        <w:t xml:space="preserve"> תקצוב רזרבה ייעודית</w:t>
      </w:r>
      <w:r>
        <w:rPr>
          <w:rFonts w:hint="cs"/>
          <w:rtl/>
        </w:rPr>
        <w:t>.</w:t>
      </w:r>
    </w:p>
    <w:p w:rsidR="005D0F8C" w:rsidP="00706096" w14:paraId="24125138" w14:textId="57EDB0AA">
      <w:pPr>
        <w:tabs>
          <w:tab w:val="right" w:pos="7370"/>
        </w:tabs>
        <w:bidi w:val="0"/>
        <w:spacing w:after="200" w:line="276" w:lineRule="auto"/>
        <w:rPr>
          <w:rtl/>
        </w:rPr>
      </w:pPr>
      <w:r w:rsidRPr="00D527BD">
        <w:rPr>
          <w:noProof/>
          <w:szCs w:val="20"/>
          <w:rtl/>
        </w:rPr>
        <w:drawing>
          <wp:anchor distT="0" distB="0" distL="114300" distR="114300" simplePos="0" relativeHeight="251678720" behindDoc="0" locked="0" layoutInCell="1" allowOverlap="1">
            <wp:simplePos x="0" y="0"/>
            <wp:positionH relativeFrom="column">
              <wp:posOffset>-71917</wp:posOffset>
            </wp:positionH>
            <wp:positionV relativeFrom="paragraph">
              <wp:posOffset>180099</wp:posOffset>
            </wp:positionV>
            <wp:extent cx="4728807" cy="607375"/>
            <wp:effectExtent l="0" t="0" r="0" b="0"/>
            <wp:wrapNone/>
            <wp:docPr id="14510666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21"/>
                    <pic:cNvPicPr>
                      <a:picLocks noChangeAspect="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55845" cy="610848"/>
                    </a:xfrm>
                    <a:prstGeom prst="rect">
                      <a:avLst/>
                    </a:prstGeom>
                  </pic:spPr>
                </pic:pic>
              </a:graphicData>
            </a:graphic>
            <wp14:sizeRelV relativeFrom="margin">
              <wp14:pctHeight>0</wp14:pctHeight>
            </wp14:sizeRelV>
          </wp:anchor>
        </w:drawing>
      </w:r>
      <w:r w:rsidRPr="00D527BD">
        <w:rPr>
          <w:noProof/>
          <w:szCs w:val="20"/>
          <w:rtl/>
        </w:rPr>
        <mc:AlternateContent>
          <mc:Choice Requires="wps">
            <w:drawing>
              <wp:anchor distT="0" distB="0" distL="114300" distR="114300" simplePos="0" relativeHeight="251680768" behindDoc="0" locked="0" layoutInCell="1" allowOverlap="1">
                <wp:simplePos x="0" y="0"/>
                <wp:positionH relativeFrom="column">
                  <wp:posOffset>121642</wp:posOffset>
                </wp:positionH>
                <wp:positionV relativeFrom="paragraph">
                  <wp:posOffset>273542</wp:posOffset>
                </wp:positionV>
                <wp:extent cx="4436745" cy="320374"/>
                <wp:effectExtent l="0" t="0" r="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320374"/>
                        </a:xfrm>
                        <a:prstGeom prst="rect">
                          <a:avLst/>
                        </a:prstGeom>
                        <a:solidFill>
                          <a:srgbClr val="F05260"/>
                        </a:solidFill>
                        <a:ln w="9525">
                          <a:noFill/>
                          <a:miter lim="800000"/>
                          <a:headEnd/>
                          <a:tailEnd/>
                        </a:ln>
                      </wps:spPr>
                      <wps:txbx>
                        <w:txbxContent>
                          <w:p w:rsidR="005D0F8C" w:rsidRPr="005C7ABF" w:rsidP="00662020" w14:textId="23010BE7">
                            <w:pPr>
                              <w:spacing w:line="240" w:lineRule="auto"/>
                              <w:ind w:right="113"/>
                              <w:suppressOverlap/>
                              <w:jc w:val="left"/>
                              <w:rPr>
                                <w:rFonts w:ascii="Tahoma" w:hAnsi="Tahoma" w:cs="Tahoma"/>
                                <w:b/>
                                <w:bCs/>
                                <w:color w:val="FFFFFF" w:themeColor="background1"/>
                                <w:spacing w:val="-4"/>
                                <w:sz w:val="22"/>
                                <w:szCs w:val="22"/>
                                <w:rtl/>
                              </w:rPr>
                            </w:pPr>
                            <w:r w:rsidRPr="0028135E">
                              <w:rPr>
                                <w:rFonts w:ascii="Tahoma" w:hAnsi="Tahoma" w:cs="Tahoma" w:hint="cs"/>
                                <w:b/>
                                <w:bCs/>
                                <w:color w:val="FFFFFF" w:themeColor="background1"/>
                                <w:spacing w:val="-4"/>
                                <w:sz w:val="22"/>
                                <w:szCs w:val="22"/>
                                <w:rtl/>
                              </w:rPr>
                              <w:t xml:space="preserve">מחזור הפעילות של </w:t>
                            </w:r>
                            <w:r w:rsidRPr="0028135E">
                              <w:rPr>
                                <w:rFonts w:ascii="Tahoma" w:hAnsi="Tahoma" w:cs="Tahoma" w:hint="cs"/>
                                <w:b/>
                                <w:bCs/>
                                <w:color w:val="FFFFFF" w:themeColor="background1"/>
                                <w:spacing w:val="-4"/>
                                <w:sz w:val="22"/>
                                <w:szCs w:val="22"/>
                                <w:rtl/>
                              </w:rPr>
                              <w:t>נת"א</w:t>
                            </w:r>
                            <w:r w:rsidRPr="0028135E">
                              <w:rPr>
                                <w:rFonts w:ascii="Tahoma" w:hAnsi="Tahoma" w:cs="Tahoma" w:hint="cs"/>
                                <w:b/>
                                <w:bCs/>
                                <w:color w:val="FFFFFF" w:themeColor="background1"/>
                                <w:spacing w:val="-4"/>
                                <w:sz w:val="22"/>
                                <w:szCs w:val="22"/>
                                <w:rtl/>
                              </w:rPr>
                              <w:t>, 2015 - 2020 (במיליוני שקלים)*</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2" o:spid="_x0000_s1036" type="#_x0000_t202" style="width:349.35pt;height:25.23pt;margin-top:21.54pt;margin-left:9.58pt;mso-height-percent:0;mso-height-relative:margin;mso-width-percent:0;mso-width-relative:margin;mso-wrap-distance-bottom:0;mso-wrap-distance-left:9pt;mso-wrap-distance-right:9pt;mso-wrap-distance-top:0;position:absolute;v-text-anchor:middle;z-index:251679744" fillcolor="#f05260" stroked="f" strokeweight="0.75pt">
                <v:textbox>
                  <w:txbxContent>
                    <w:p w:rsidR="005D0F8C" w:rsidRPr="005C7ABF" w:rsidP="00662020" w14:paraId="1D5D7976" w14:textId="23010BE7">
                      <w:pPr>
                        <w:spacing w:line="240" w:lineRule="auto"/>
                        <w:ind w:right="113"/>
                        <w:suppressOverlap/>
                        <w:jc w:val="left"/>
                        <w:rPr>
                          <w:rFonts w:ascii="Tahoma" w:hAnsi="Tahoma" w:cs="Tahoma"/>
                          <w:b/>
                          <w:bCs/>
                          <w:color w:val="FFFFFF" w:themeColor="background1"/>
                          <w:spacing w:val="-4"/>
                          <w:sz w:val="22"/>
                          <w:szCs w:val="22"/>
                          <w:rtl/>
                        </w:rPr>
                      </w:pPr>
                      <w:r w:rsidRPr="0028135E">
                        <w:rPr>
                          <w:rFonts w:ascii="Tahoma" w:hAnsi="Tahoma" w:cs="Tahoma" w:hint="cs"/>
                          <w:b/>
                          <w:bCs/>
                          <w:color w:val="FFFFFF" w:themeColor="background1"/>
                          <w:spacing w:val="-4"/>
                          <w:sz w:val="22"/>
                          <w:szCs w:val="22"/>
                          <w:rtl/>
                        </w:rPr>
                        <w:t xml:space="preserve">מחזור הפעילות של </w:t>
                      </w:r>
                      <w:r w:rsidRPr="0028135E">
                        <w:rPr>
                          <w:rFonts w:ascii="Tahoma" w:hAnsi="Tahoma" w:cs="Tahoma" w:hint="cs"/>
                          <w:b/>
                          <w:bCs/>
                          <w:color w:val="FFFFFF" w:themeColor="background1"/>
                          <w:spacing w:val="-4"/>
                          <w:sz w:val="22"/>
                          <w:szCs w:val="22"/>
                          <w:rtl/>
                        </w:rPr>
                        <w:t>נת"א</w:t>
                      </w:r>
                      <w:r w:rsidRPr="0028135E">
                        <w:rPr>
                          <w:rFonts w:ascii="Tahoma" w:hAnsi="Tahoma" w:cs="Tahoma" w:hint="cs"/>
                          <w:b/>
                          <w:bCs/>
                          <w:color w:val="FFFFFF" w:themeColor="background1"/>
                          <w:spacing w:val="-4"/>
                          <w:sz w:val="22"/>
                          <w:szCs w:val="22"/>
                          <w:rtl/>
                        </w:rPr>
                        <w:t>, 2015 - 2020 (במיליוני שקלים)*</w:t>
                      </w:r>
                    </w:p>
                  </w:txbxContent>
                </v:textbox>
              </v:shape>
            </w:pict>
          </mc:Fallback>
        </mc:AlternateContent>
      </w:r>
    </w:p>
    <w:p w:rsidR="005D0F8C" w:rsidP="005D0F8C" w14:paraId="6DC28C4F" w14:textId="6DF09389">
      <w:pPr>
        <w:pStyle w:val="7317"/>
        <w:rPr>
          <w:rtl/>
        </w:rPr>
      </w:pPr>
      <w:r>
        <w:rPr>
          <w:rtl/>
        </w:rPr>
        <w:t xml:space="preserve"> </w:t>
      </w:r>
    </w:p>
    <w:p w:rsidR="005D0F8C" w:rsidP="005D0F8C" w14:paraId="5B8DB107" w14:textId="4158D5B9">
      <w:pPr>
        <w:pStyle w:val="7317"/>
        <w:rPr>
          <w:rtl/>
        </w:rPr>
      </w:pPr>
      <w:r>
        <w:rPr>
          <w:noProof/>
          <w:rtl/>
          <w:lang w:val="he-IL"/>
        </w:rPr>
        <w:drawing>
          <wp:anchor distT="0" distB="0" distL="114300" distR="114300" simplePos="0" relativeHeight="251683840" behindDoc="0" locked="0" layoutInCell="1" allowOverlap="1">
            <wp:simplePos x="0" y="0"/>
            <wp:positionH relativeFrom="column">
              <wp:posOffset>5715</wp:posOffset>
            </wp:positionH>
            <wp:positionV relativeFrom="paragraph">
              <wp:posOffset>243205</wp:posOffset>
            </wp:positionV>
            <wp:extent cx="4643120" cy="3331845"/>
            <wp:effectExtent l="0" t="0" r="0" b="0"/>
            <wp:wrapTopAndBottom/>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תמונה 22"/>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4643120" cy="3331845"/>
                    </a:xfrm>
                    <a:prstGeom prst="rect">
                      <a:avLst/>
                    </a:prstGeom>
                  </pic:spPr>
                </pic:pic>
              </a:graphicData>
            </a:graphic>
            <wp14:sizeRelH relativeFrom="page">
              <wp14:pctWidth>0</wp14:pctWidth>
            </wp14:sizeRelH>
            <wp14:sizeRelV relativeFrom="page">
              <wp14:pctHeight>0</wp14:pctHeight>
            </wp14:sizeRelV>
          </wp:anchor>
        </w:drawing>
      </w:r>
    </w:p>
    <w:p w:rsidR="00747AE5" w:rsidRPr="004874D8" w:rsidP="00747AE5" w14:paraId="543E59F4" w14:textId="77777777">
      <w:pPr>
        <w:pStyle w:val="711"/>
        <w:spacing w:before="240" w:after="0"/>
        <w:rPr>
          <w:rtl/>
        </w:rPr>
      </w:pPr>
      <w:r w:rsidRPr="00121169">
        <w:rPr>
          <w:rtl/>
        </w:rPr>
        <w:t xml:space="preserve">על פי נתוני הדוחות הכספיים של החברה, בעיבוד משרד מבקר המדינה. </w:t>
      </w:r>
    </w:p>
    <w:p w:rsidR="000B31AA" w:rsidRPr="003A253B" w:rsidP="00620BD6" w14:paraId="5C1AE375" w14:textId="62CFFCD4">
      <w:pPr>
        <w:pStyle w:val="711"/>
        <w:spacing w:before="0" w:after="0"/>
        <w:rPr>
          <w:rtl/>
        </w:rPr>
      </w:pPr>
      <w:r w:rsidRPr="004874D8">
        <w:rPr>
          <w:rtl/>
        </w:rPr>
        <w:t xml:space="preserve">* </w:t>
      </w:r>
      <w:r>
        <w:rPr>
          <w:rtl/>
        </w:rPr>
        <w:tab/>
      </w:r>
      <w:r w:rsidRPr="004874D8">
        <w:rPr>
          <w:rtl/>
        </w:rPr>
        <w:t>בדוחות הכספיים לשנת 2018 אימצה החברה לראשונה את תקני ה-</w:t>
      </w:r>
      <w:r w:rsidRPr="004874D8">
        <w:t>IFRS</w:t>
      </w:r>
      <w:r w:rsidRPr="004874D8">
        <w:rPr>
          <w:rtl/>
        </w:rPr>
        <w:t xml:space="preserve">. מועד הדיווח </w:t>
      </w:r>
      <w:r>
        <w:rPr>
          <w:rtl/>
        </w:rPr>
        <w:t>למעבר לתקן זה היה 1.1.17. על כן</w:t>
      </w:r>
      <w:r>
        <w:rPr>
          <w:rFonts w:hint="cs"/>
          <w:rtl/>
        </w:rPr>
        <w:t xml:space="preserve"> </w:t>
      </w:r>
      <w:r w:rsidRPr="004874D8">
        <w:rPr>
          <w:rtl/>
        </w:rPr>
        <w:t>ההשוואה המספרית בשנים 2015 ו-2016 לשנים שלאחריהן איננה מדויקת. כדי לנטרל את ההשפעה של השינוי בשיטת הדיווח על שיעורי השינוי השנתיים, חושבו שיעורי השינוי בכל שנה לעומת קודמתה על בסיס הנתונים באותו דוח כספי</w:t>
      </w:r>
      <w:r w:rsidRPr="00BE0973" w:rsidR="005D0F8C">
        <w:rPr>
          <w:rFonts w:hint="cs"/>
          <w:rtl/>
        </w:rPr>
        <w:t>.</w:t>
      </w:r>
    </w:p>
    <w:p w:rsidR="0094075A" w:rsidP="0094075A" w14:paraId="5EB06404" w14:textId="77777777">
      <w:pPr>
        <w:pStyle w:val="73"/>
        <w:rPr>
          <w:rtl/>
        </w:rPr>
      </w:pPr>
      <w:r w:rsidRPr="00EF3061">
        <w:rPr>
          <w:rFonts w:hint="cs"/>
          <w:rtl/>
        </w:rPr>
        <w:t>סיכום</w:t>
      </w:r>
    </w:p>
    <w:p w:rsidR="00965E97" w:rsidP="0094075A" w14:paraId="2FF9CB90" w14:textId="19F40554">
      <w:pPr>
        <w:widowControl w:val="0"/>
        <w:spacing w:before="240" w:line="276" w:lineRule="auto"/>
        <w:ind w:left="-1"/>
        <w:rPr>
          <w:rFonts w:ascii="Tahoma" w:hAnsi="Tahoma" w:cs="Tahoma"/>
          <w:sz w:val="18"/>
          <w:szCs w:val="18"/>
          <w:rtl/>
        </w:rPr>
      </w:pPr>
      <w:r w:rsidRPr="0028135E">
        <w:rPr>
          <w:rFonts w:ascii="Tahoma" w:hAnsi="Tahoma" w:cs="Tahoma"/>
          <w:sz w:val="18"/>
          <w:szCs w:val="18"/>
          <w:rtl/>
        </w:rPr>
        <w:t xml:space="preserve">מאז החלה ההתארגנות מחדש של </w:t>
      </w:r>
      <w:r w:rsidRPr="0028135E">
        <w:rPr>
          <w:rFonts w:ascii="Tahoma" w:hAnsi="Tahoma" w:cs="Tahoma"/>
          <w:sz w:val="18"/>
          <w:szCs w:val="18"/>
          <w:rtl/>
        </w:rPr>
        <w:t>נת"א</w:t>
      </w:r>
      <w:r w:rsidRPr="0028135E">
        <w:rPr>
          <w:rFonts w:ascii="Tahoma" w:hAnsi="Tahoma" w:cs="Tahoma"/>
          <w:sz w:val="18"/>
          <w:szCs w:val="18"/>
          <w:rtl/>
        </w:rPr>
        <w:t xml:space="preserve"> חלה הגדלה ניכרת של היקפי פעילותה, הורחבו תחומי פעילותה, והיא ביצעה שינויים מהותיים במבנה הארגוני שלה ובשיטות עבודתה. בביקורת עלה כי הסדרת פעילות החברה מול המדינה ובפרט מול משרד התחבורה לא הושלמה מאז הפכה לחברה בבעלות מלאה של הממשלה. נמצא כי אין בחברה מערכת לניהול פרויקטים ואין פורמט אחיד לשמירת המידע. כמו כן הועלו ליקויים בבקרות המופעלות על החברה מטעם </w:t>
      </w:r>
      <w:r w:rsidRPr="0028135E">
        <w:rPr>
          <w:rFonts w:ascii="Tahoma" w:hAnsi="Tahoma" w:cs="Tahoma"/>
          <w:sz w:val="18"/>
          <w:szCs w:val="18"/>
          <w:rtl/>
        </w:rPr>
        <w:t>מת"ח</w:t>
      </w:r>
      <w:r w:rsidRPr="0028135E">
        <w:rPr>
          <w:rFonts w:ascii="Tahoma" w:hAnsi="Tahoma" w:cs="Tahoma"/>
          <w:sz w:val="18"/>
          <w:szCs w:val="18"/>
          <w:rtl/>
        </w:rPr>
        <w:t xml:space="preserve">. עוד נמצא כי החברה מתקשה לעיתים לגייס שיתוף פעולה מצד רשויות מקומיות, חברות תשתית אחרות וגופים ממשלתיים לצורך ביצוע תיאום תשתיות. מומלץ כי </w:t>
      </w:r>
      <w:r w:rsidRPr="0028135E">
        <w:rPr>
          <w:rFonts w:ascii="Tahoma" w:hAnsi="Tahoma" w:cs="Tahoma"/>
          <w:sz w:val="18"/>
          <w:szCs w:val="18"/>
          <w:rtl/>
        </w:rPr>
        <w:t>מת"ח</w:t>
      </w:r>
      <w:r w:rsidRPr="0028135E">
        <w:rPr>
          <w:rFonts w:ascii="Tahoma" w:hAnsi="Tahoma" w:cs="Tahoma"/>
          <w:sz w:val="18"/>
          <w:szCs w:val="18"/>
          <w:rtl/>
        </w:rPr>
        <w:t xml:space="preserve">, משרד האוצר ורשות החברות הממשלתיות יסדירו את פעילותה של </w:t>
      </w:r>
      <w:r w:rsidRPr="0028135E">
        <w:rPr>
          <w:rFonts w:ascii="Tahoma" w:hAnsi="Tahoma" w:cs="Tahoma"/>
          <w:sz w:val="18"/>
          <w:szCs w:val="18"/>
          <w:rtl/>
        </w:rPr>
        <w:t>נת"א</w:t>
      </w:r>
      <w:r w:rsidRPr="0028135E">
        <w:rPr>
          <w:rFonts w:ascii="Tahoma" w:hAnsi="Tahoma" w:cs="Tahoma"/>
          <w:sz w:val="18"/>
          <w:szCs w:val="18"/>
          <w:rtl/>
        </w:rPr>
        <w:t xml:space="preserve"> וסמכויותיה וישפרו את המעקב, הפיקוח והבקרה בנוגע לתפקודה. עוד מומלץ כי החברה תמשיך לפתח את יכולותיה בתחומים שהוגדרו לה</w:t>
      </w:r>
      <w:r w:rsidRPr="006615C6">
        <w:rPr>
          <w:rFonts w:ascii="Tahoma" w:hAnsi="Tahoma" w:cs="Tahoma" w:hint="cs"/>
          <w:sz w:val="18"/>
          <w:szCs w:val="18"/>
          <w:rtl/>
        </w:rPr>
        <w:t xml:space="preserve">. </w:t>
      </w:r>
    </w:p>
    <w:p w:rsidR="00965E97" w14:paraId="417D14EC" w14:textId="77777777">
      <w:pPr>
        <w:bidi w:val="0"/>
        <w:spacing w:after="200" w:line="276" w:lineRule="auto"/>
        <w:rPr>
          <w:rFonts w:ascii="Tahoma" w:hAnsi="Tahoma" w:cs="Tahoma"/>
          <w:sz w:val="18"/>
          <w:szCs w:val="18"/>
          <w:rtl/>
        </w:rPr>
      </w:pPr>
      <w:r>
        <w:rPr>
          <w:rFonts w:ascii="Tahoma" w:hAnsi="Tahoma" w:cs="Tahoma"/>
          <w:sz w:val="18"/>
          <w:szCs w:val="18"/>
          <w:rtl/>
        </w:rPr>
        <w:br w:type="page"/>
      </w:r>
    </w:p>
    <w:p w:rsidR="0094075A" w:rsidRPr="00747AE5" w:rsidP="0094075A" w14:paraId="485903CF" w14:textId="5336C329">
      <w:pPr>
        <w:widowControl w:val="0"/>
        <w:spacing w:before="240" w:line="276" w:lineRule="auto"/>
        <w:ind w:left="-1"/>
        <w:rPr>
          <w:rFonts w:ascii="Tahoma" w:hAnsi="Tahoma" w:cs="Tahoma"/>
          <w:sz w:val="18"/>
          <w:szCs w:val="18"/>
          <w:rtl/>
        </w:rPr>
      </w:pPr>
      <w:r>
        <w:rPr>
          <w:rFonts w:ascii="Tahoma" w:hAnsi="Tahoma" w:cs="Tahoma"/>
          <w:noProof/>
          <w:sz w:val="18"/>
          <w:szCs w:val="18"/>
          <w:rtl/>
          <w:lang w:val="he-IL"/>
        </w:rPr>
        <mc:AlternateContent>
          <mc:Choice Requires="wps">
            <w:drawing>
              <wp:anchor distT="0" distB="0" distL="114300" distR="114300" simplePos="0" relativeHeight="251704320" behindDoc="0" locked="0" layoutInCell="1" allowOverlap="1">
                <wp:simplePos x="0" y="0"/>
                <wp:positionH relativeFrom="column">
                  <wp:posOffset>-1395575</wp:posOffset>
                </wp:positionH>
                <wp:positionV relativeFrom="paragraph">
                  <wp:posOffset>-851550</wp:posOffset>
                </wp:positionV>
                <wp:extent cx="6727902" cy="8727687"/>
                <wp:effectExtent l="0" t="0" r="3175" b="0"/>
                <wp:wrapNone/>
                <wp:docPr id="30" name="מלבן 30"/>
                <wp:cNvGraphicFramePr/>
                <a:graphic xmlns:a="http://schemas.openxmlformats.org/drawingml/2006/main">
                  <a:graphicData uri="http://schemas.microsoft.com/office/word/2010/wordprocessingShape">
                    <wps:wsp xmlns:wps="http://schemas.microsoft.com/office/word/2010/wordprocessingShape">
                      <wps:cNvSpPr/>
                      <wps:spPr>
                        <a:xfrm>
                          <a:off x="0" y="0"/>
                          <a:ext cx="6727902" cy="87276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30" o:spid="_x0000_s1037" style="width:529.75pt;height:687.2pt;margin-top:-67.05pt;margin-left:-109.9pt;mso-height-percent:0;mso-height-relative:margin;mso-width-percent:0;mso-width-relative:margin;mso-wrap-distance-bottom:0;mso-wrap-distance-left:9pt;mso-wrap-distance-right:9pt;mso-wrap-distance-top:0;mso-wrap-style:square;position:absolute;visibility:visible;v-text-anchor:middle;z-index:251705344" fillcolor="white" stroked="f" strokeweight="1.25pt"/>
            </w:pict>
          </mc:Fallback>
        </mc:AlternateContent>
      </w:r>
    </w:p>
    <w:p w:rsidR="0094075A" w:rsidP="000B31AA" w14:paraId="19886F6D" w14:textId="77777777">
      <w:pPr>
        <w:pStyle w:val="7317"/>
        <w:spacing w:before="360" w:after="360"/>
        <w:rPr>
          <w:rtl/>
        </w:rPr>
      </w:pPr>
    </w:p>
    <w:sectPr w:rsidSect="00965E97">
      <w:headerReference w:type="even" r:id="rId28"/>
      <w:footerReference w:type="even" r:id="rId29"/>
      <w:pgSz w:w="11906" w:h="16838" w:code="9"/>
      <w:pgMar w:top="3062" w:right="2268" w:bottom="2552" w:left="2268" w:header="1134" w:footer="1361" w:gutter="0"/>
      <w:pgNumType w:start="173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A48AC" w14:paraId="16A72FEE" w14:textId="77777777">
      <w:pPr>
        <w:spacing w:line="240" w:lineRule="auto"/>
      </w:pPr>
      <w:r>
        <w:separator/>
      </w:r>
    </w:p>
    <w:p w:rsidR="009A48AC" w14:paraId="26E688EA" w14:textId="77777777"/>
    <w:p w:rsidR="009A48AC" w14:paraId="751F4F79" w14:textId="77777777"/>
    <w:p w:rsidR="009A48AC" w14:paraId="4D38C653" w14:textId="77777777"/>
  </w:endnote>
  <w:endnote w:type="continuationSeparator" w:id="1">
    <w:p w:rsidR="009A48AC" w14:paraId="78F72895" w14:textId="77777777">
      <w:pPr>
        <w:spacing w:line="240" w:lineRule="auto"/>
      </w:pPr>
      <w:r>
        <w:continuationSeparator/>
      </w:r>
    </w:p>
    <w:p w:rsidR="009A48AC" w14:paraId="3CDCCF25" w14:textId="77777777"/>
    <w:p w:rsidR="009A48AC" w14:paraId="7E039162" w14:textId="77777777"/>
    <w:p w:rsidR="009A48AC" w14:paraId="69ED5F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7F26" w14:paraId="371FCA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5E97" w:rsidP="00965E97" w14:paraId="4B2C0D90" w14:textId="7777777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1829</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965E97" w:rsidRPr="00965E97" w:rsidP="00965E97" w14:paraId="4F21EBC5"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7F26" w14:paraId="5913E1C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5472" w:rsidP="00005472" w14:paraId="582D62AA" w14:textId="77777777">
    <w:pPr>
      <w:pStyle w:val="Footer"/>
      <w:spacing w:after="120" w:line="312" w:lineRule="auto"/>
      <w:ind w:left="-510"/>
      <w:jc w:val="left"/>
      <w:rPr>
        <w:rFonts w:ascii="Tahoma" w:hAnsi="Tahoma" w:cs="Tahoma"/>
        <w:sz w:val="18"/>
        <w:szCs w:val="18"/>
        <w:rtl/>
      </w:rPr>
    </w:pPr>
  </w:p>
  <w:p w:rsidR="00005472" w:rsidP="00005472" w14:paraId="602EFD08" w14:textId="77777777">
    <w:pPr>
      <w:pStyle w:val="Footer"/>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1738</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p>
  <w:p w:rsidR="008B694B" w:rsidRPr="00005472" w:rsidP="00005472" w14:paraId="71472E75" w14:textId="77777777">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A48AC" w:rsidP="00E7235E" w14:paraId="2A4B384A" w14:textId="77777777">
      <w:pPr>
        <w:spacing w:line="240" w:lineRule="auto"/>
      </w:pPr>
      <w:r>
        <w:separator/>
      </w:r>
    </w:p>
  </w:footnote>
  <w:footnote w:type="continuationSeparator" w:id="1">
    <w:p w:rsidR="009A48AC" w:rsidP="00C23CC9" w14:paraId="013028F1" w14:textId="77777777">
      <w:pPr>
        <w:spacing w:line="240" w:lineRule="auto"/>
      </w:pPr>
      <w:r>
        <w:continuationSeparator/>
      </w:r>
    </w:p>
    <w:p w:rsidR="009A48AC" w14:paraId="2F9F54D5" w14:textId="77777777"/>
    <w:p w:rsidR="009A48AC" w14:paraId="0E863A76" w14:textId="77777777"/>
    <w:p w:rsidR="009A48AC" w14:paraId="4E7D7FF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1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586851" w14:textId="66AB9995">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D36C6B" w:rsidR="00D36C6B">
                            <w:rPr>
                              <w:rFonts w:ascii="Tahoma" w:hAnsi="Tahoma" w:cs="Tahoma"/>
                              <w:b/>
                              <w:bCs/>
                              <w:rtl/>
                            </w:rPr>
                            <w:t>חברת נתיבי איילון בע"מ - התארגנות מחדש והיבטים פיננסיים</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66AB9995">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D36C6B" w:rsidR="00D36C6B">
                      <w:rPr>
                        <w:rFonts w:ascii="Tahoma" w:hAnsi="Tahoma" w:cs="Tahoma"/>
                        <w:b/>
                        <w:bCs/>
                        <w:rtl/>
                      </w:rPr>
                      <w:t>חברת נתיבי איילון בע"מ - התארגנות מחדש והיבטים פיננסיים</w:t>
                    </w: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92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F73EE0" w:rsidRPr="00136A3E" w:rsidP="00B244B0" w14:textId="2629B409">
                          <w:pPr>
                            <w:jc w:val="right"/>
                            <w:rPr>
                              <w:color w:val="0D0D0D" w:themeColor="text1" w:themeTint="F2"/>
                              <w:sz w:val="16"/>
                              <w:szCs w:val="16"/>
                            </w:rPr>
                          </w:pPr>
                          <w:r w:rsidRPr="00A80DC3">
                            <w:rPr>
                              <w:rFonts w:ascii="Tahoma" w:hAnsi="Tahoma" w:cs="Tahoma"/>
                              <w:color w:val="0D0D0D"/>
                              <w:sz w:val="16"/>
                              <w:szCs w:val="16"/>
                              <w:rtl/>
                            </w:rPr>
                            <w:t xml:space="preserve">דוח מבקר המדינה | חשוון </w:t>
                          </w:r>
                          <w:r w:rsidRPr="00A80DC3">
                            <w:rPr>
                              <w:rFonts w:ascii="Tahoma" w:hAnsi="Tahoma" w:cs="Tahoma"/>
                              <w:color w:val="0D0D0D"/>
                              <w:sz w:val="16"/>
                              <w:szCs w:val="16"/>
                              <w:rtl/>
                            </w:rPr>
                            <w:t>התשפ״ג</w:t>
                          </w:r>
                          <w:r w:rsidRPr="00A80DC3">
                            <w:rPr>
                              <w:rFonts w:ascii="Tahoma" w:hAnsi="Tahoma" w:cs="Tahoma"/>
                              <w:color w:val="0D0D0D"/>
                              <w:sz w:val="16"/>
                              <w:szCs w:val="16"/>
                              <w:rtl/>
                            </w:rPr>
                            <w:t xml:space="preserve"> | </w:t>
                          </w:r>
                          <w:r w:rsidRPr="007C6E6F" w:rsidR="007C6E6F">
                            <w:rPr>
                              <w:rFonts w:ascii="Tahoma" w:hAnsi="Tahoma" w:cs="Tahoma"/>
                              <w:color w:val="0D0D0D"/>
                              <w:sz w:val="16"/>
                              <w:szCs w:val="16"/>
                              <w:rtl/>
                            </w:rPr>
                            <w:t xml:space="preserve">נובמבר </w:t>
                          </w:r>
                          <w:r w:rsidRPr="00A80DC3">
                            <w:rPr>
                              <w:rFonts w:ascii="Tahoma" w:hAnsi="Tahoma" w:cs="Tahoma"/>
                              <w:color w:val="0D0D0D"/>
                              <w:sz w:val="16"/>
                              <w:szCs w:val="16"/>
                              <w:rtl/>
                            </w:rPr>
                            <w:t>2022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53" type="#_x0000_t202" style="width:351.16pt;height:23.27pt;margin-top:27.7pt;margin-left:21.41pt;mso-height-percent:0;mso-height-relative:margin;mso-width-percent:0;mso-width-relative:margin;mso-wrap-distance-bottom:3.6pt;mso-wrap-distance-left:9pt;mso-wrap-distance-right:9pt;mso-wrap-distance-top:3.6pt;position:absolute;v-text-anchor:top;z-index:251658240" fillcolor="white" stroked="t" strokecolor="white" strokeweight="0.75pt">
              <v:textbox>
                <w:txbxContent>
                  <w:p w:rsidR="00F73EE0" w:rsidRPr="00136A3E" w:rsidP="00B244B0" w14:paraId="1CF273F4" w14:textId="2629B409">
                    <w:pPr>
                      <w:jc w:val="right"/>
                      <w:rPr>
                        <w:color w:val="0D0D0D" w:themeColor="text1" w:themeTint="F2"/>
                        <w:sz w:val="16"/>
                        <w:szCs w:val="16"/>
                      </w:rPr>
                    </w:pPr>
                    <w:r w:rsidRPr="00A80DC3">
                      <w:rPr>
                        <w:rFonts w:ascii="Tahoma" w:hAnsi="Tahoma" w:cs="Tahoma"/>
                        <w:color w:val="0D0D0D"/>
                        <w:sz w:val="16"/>
                        <w:szCs w:val="16"/>
                        <w:rtl/>
                      </w:rPr>
                      <w:t xml:space="preserve">דוח מבקר המדינה | חשוון </w:t>
                    </w:r>
                    <w:r w:rsidRPr="00A80DC3">
                      <w:rPr>
                        <w:rFonts w:ascii="Tahoma" w:hAnsi="Tahoma" w:cs="Tahoma"/>
                        <w:color w:val="0D0D0D"/>
                        <w:sz w:val="16"/>
                        <w:szCs w:val="16"/>
                        <w:rtl/>
                      </w:rPr>
                      <w:t>התשפ״ג</w:t>
                    </w:r>
                    <w:r w:rsidRPr="00A80DC3">
                      <w:rPr>
                        <w:rFonts w:ascii="Tahoma" w:hAnsi="Tahoma" w:cs="Tahoma"/>
                        <w:color w:val="0D0D0D"/>
                        <w:sz w:val="16"/>
                        <w:szCs w:val="16"/>
                        <w:rtl/>
                      </w:rPr>
                      <w:t xml:space="preserve"> | </w:t>
                    </w:r>
                    <w:r w:rsidRPr="007C6E6F" w:rsidR="007C6E6F">
                      <w:rPr>
                        <w:rFonts w:ascii="Tahoma" w:hAnsi="Tahoma" w:cs="Tahoma"/>
                        <w:color w:val="0D0D0D"/>
                        <w:sz w:val="16"/>
                        <w:szCs w:val="16"/>
                        <w:rtl/>
                      </w:rPr>
                      <w:t xml:space="preserve">נובמבר </w:t>
                    </w:r>
                    <w:r w:rsidRPr="00A80DC3">
                      <w:rPr>
                        <w:rFonts w:ascii="Tahoma" w:hAnsi="Tahoma" w:cs="Tahoma"/>
                        <w:color w:val="0D0D0D"/>
                        <w:sz w:val="16"/>
                        <w:szCs w:val="16"/>
                        <w:rtl/>
                      </w:rPr>
                      <w:t>2022</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45106663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37"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40F77C3E">
                          <w:pPr>
                            <w:pStyle w:val="Heading1"/>
                            <w:spacing w:line="269" w:lineRule="auto"/>
                            <w:jc w:val="left"/>
                            <w:rPr>
                              <w:rFonts w:ascii="Tahoma" w:hAnsi="Tahoma" w:eastAsiaTheme="minorHAnsi" w:cs="Tahoma"/>
                              <w:bCs w:val="0"/>
                              <w:color w:val="0D0D0D" w:themeColor="text1" w:themeTint="F2"/>
                              <w:sz w:val="16"/>
                              <w:szCs w:val="16"/>
                              <w:u w:val="none"/>
                            </w:rPr>
                          </w:pPr>
                          <w:r w:rsidRPr="00D36C6B">
                            <w:rPr>
                              <w:rFonts w:ascii="Tahoma" w:hAnsi="Tahoma" w:eastAsiaTheme="minorHAnsi" w:cs="Tahoma"/>
                              <w:bCs w:val="0"/>
                              <w:color w:val="0D0D0D" w:themeColor="text1" w:themeTint="F2"/>
                              <w:sz w:val="16"/>
                              <w:szCs w:val="16"/>
                              <w:u w:val="none"/>
                              <w:rtl/>
                            </w:rPr>
                            <w:t>חברת נתיבי איילון בע"מ - התארגנות מחדש והיבטים פיננסיים</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40F77C3E">
                    <w:pPr>
                      <w:pStyle w:val="Heading1"/>
                      <w:spacing w:line="269" w:lineRule="auto"/>
                      <w:jc w:val="left"/>
                      <w:rPr>
                        <w:rFonts w:ascii="Tahoma" w:hAnsi="Tahoma" w:eastAsiaTheme="minorHAnsi" w:cs="Tahoma"/>
                        <w:bCs w:val="0"/>
                        <w:color w:val="0D0D0D" w:themeColor="text1" w:themeTint="F2"/>
                        <w:sz w:val="16"/>
                        <w:szCs w:val="16"/>
                        <w:u w:val="none"/>
                      </w:rPr>
                    </w:pPr>
                    <w:r w:rsidRPr="00D36C6B">
                      <w:rPr>
                        <w:rFonts w:ascii="Tahoma" w:hAnsi="Tahoma" w:eastAsiaTheme="minorHAnsi" w:cs="Tahoma"/>
                        <w:bCs w:val="0"/>
                        <w:color w:val="0D0D0D" w:themeColor="text1" w:themeTint="F2"/>
                        <w:sz w:val="16"/>
                        <w:szCs w:val="16"/>
                        <w:u w:val="none"/>
                        <w:rtl/>
                      </w:rPr>
                      <w:t>חברת נתיבי איילון בע"מ - התארגנות מחדש והיבטים פיננסיים</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45106663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3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5472" w:rsidP="00005472" w14:paraId="7FF8BDBD" w14:textId="77777777">
    <w:pPr>
      <w:pStyle w:val="Header"/>
      <w:rPr>
        <w:rtl/>
      </w:rPr>
    </w:pPr>
    <w:r>
      <w:rPr>
        <w:noProof/>
        <w:rtl/>
        <w:lang w:val="he-IL"/>
      </w:rPr>
      <mc:AlternateContent>
        <mc:Choice Requires="wps">
          <w:drawing>
            <wp:anchor distT="0" distB="0" distL="114300" distR="114300" simplePos="0" relativeHeight="251681792"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52770967"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005472" w:rsidRPr="00FD02CC" w:rsidP="00005472"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3664" filled="f" strokecolor="#a5a5a5" strokeweight="0.25pt">
              <v:stroke dashstyle="longDash"/>
              <v:textbox>
                <w:txbxContent>
                  <w:p w:rsidR="00005472" w:rsidRPr="00FD02CC" w:rsidP="00005472" w14:paraId="37A5C8AC"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005472" w:rsidP="00005472" w14:paraId="0493E9E2" w14:textId="77777777">
    <w:pPr>
      <w:pStyle w:val="Header"/>
      <w:ind w:firstLine="720"/>
      <w:rPr>
        <w:rtl/>
      </w:rPr>
    </w:pPr>
  </w:p>
  <w:p w:rsidR="00005472" w:rsidP="00005472" w14:paraId="39803E12" w14:textId="77777777">
    <w:pPr>
      <w:pStyle w:val="Header"/>
      <w:rPr>
        <w:rtl/>
      </w:rPr>
    </w:pPr>
  </w:p>
  <w:p w:rsidR="00005472" w:rsidP="00005472" w14:paraId="07DA1082"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9744"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205277096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005472" w:rsidRPr="003D62C4" w:rsidP="00005472" w14:textId="77777777">
                          <w:pPr>
                            <w:pStyle w:val="Heading1"/>
                            <w:spacing w:line="269" w:lineRule="auto"/>
                            <w:jc w:val="left"/>
                            <w:rPr>
                              <w:rFonts w:ascii="Tahoma" w:hAnsi="Tahoma" w:eastAsiaTheme="minorHAnsi" w:cs="Tahoma"/>
                              <w:bCs w:val="0"/>
                              <w:color w:val="0D0D0D" w:themeColor="text1" w:themeTint="F2"/>
                              <w:sz w:val="16"/>
                              <w:szCs w:val="16"/>
                              <w:u w:val="none"/>
                            </w:rPr>
                          </w:pPr>
                          <w:r w:rsidRPr="00D36C6B">
                            <w:rPr>
                              <w:rFonts w:ascii="Tahoma" w:hAnsi="Tahoma" w:eastAsiaTheme="minorHAnsi" w:cs="Tahoma"/>
                              <w:bCs w:val="0"/>
                              <w:color w:val="0D0D0D" w:themeColor="text1" w:themeTint="F2"/>
                              <w:sz w:val="16"/>
                              <w:szCs w:val="16"/>
                              <w:u w:val="none"/>
                              <w:rtl/>
                            </w:rPr>
                            <w:t>חברת נתיבי איילון בע"מ - התארגנות מחדש והיבטים פיננסיים</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9" type="#_x0000_t202" style="width:357.2pt;height:22.1pt;margin-top:16.15pt;margin-left:-8.4pt;mso-width-percent:0;mso-width-relative:margin;mso-wrap-distance-bottom:0;mso-wrap-distance-left:9pt;mso-wrap-distance-right:9pt;mso-wrap-distance-top:0;mso-wrap-style:square;position:absolute;visibility:visible;v-text-anchor:top;z-index:251680768" stroked="f">
              <v:textbox style="mso-fit-shape-to-text:t">
                <w:txbxContent>
                  <w:p w:rsidR="00005472" w:rsidRPr="003D62C4" w:rsidP="00005472" w14:paraId="6E103CC8" w14:textId="77777777">
                    <w:pPr>
                      <w:pStyle w:val="Heading1"/>
                      <w:spacing w:line="269" w:lineRule="auto"/>
                      <w:jc w:val="left"/>
                      <w:rPr>
                        <w:rFonts w:ascii="Tahoma" w:hAnsi="Tahoma" w:eastAsiaTheme="minorHAnsi" w:cs="Tahoma"/>
                        <w:bCs w:val="0"/>
                        <w:color w:val="0D0D0D" w:themeColor="text1" w:themeTint="F2"/>
                        <w:sz w:val="16"/>
                        <w:szCs w:val="16"/>
                        <w:u w:val="none"/>
                      </w:rPr>
                    </w:pPr>
                    <w:r w:rsidRPr="00D36C6B">
                      <w:rPr>
                        <w:rFonts w:ascii="Tahoma" w:hAnsi="Tahoma" w:eastAsiaTheme="minorHAnsi" w:cs="Tahoma"/>
                        <w:bCs w:val="0"/>
                        <w:color w:val="0D0D0D" w:themeColor="text1" w:themeTint="F2"/>
                        <w:sz w:val="16"/>
                        <w:szCs w:val="16"/>
                        <w:u w:val="none"/>
                        <w:rtl/>
                      </w:rPr>
                      <w:t>חברת נתיבי איילון בע"מ - התארגנות מחדש והיבטים פיננסיים</w:t>
                    </w:r>
                  </w:p>
                </w:txbxContent>
              </v:textbox>
              <w10:wrap type="square"/>
            </v:shape>
          </w:pict>
        </mc:Fallback>
      </mc:AlternateContent>
    </w:r>
  </w:p>
  <w:p w:rsidR="008B694B" w:rsidRPr="00005472" w:rsidP="00005472" w14:paraId="4E47EA6D" w14:textId="698B4DAD">
    <w:pPr>
      <w:pStyle w:val="Header"/>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097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70"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769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2052770969"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78720" from="-109.7pt,27.8pt" to="367.9pt,27.8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59pt" o:bullet="t">
        <v:imagedata r:id="rId1" o:title="icon-menura copy"/>
      </v:shape>
    </w:pict>
  </w:numPicBullet>
  <w:numPicBullet w:numPicBulletId="1">
    <w:pict>
      <v:shape id="_x0000_i1027" type="#_x0000_t75" style="width:49pt;height:55.5pt" o:bullet="t">
        <v:imagedata r:id="rId2" o:title="yad-red"/>
      </v:shape>
    </w:pict>
  </w:numPicBullet>
  <w:abstractNum w:abstractNumId="0">
    <w:nsid w:val="FFFFFF7C"/>
    <w:multiLevelType w:val="singleLevel"/>
    <w:tmpl w:val="B6EE6258"/>
    <w:lvl w:ilvl="0">
      <w:start w:val="1"/>
      <w:numFmt w:val="decimal"/>
      <w:lvlText w:val="%1."/>
      <w:lvlJc w:val="left"/>
      <w:pPr>
        <w:tabs>
          <w:tab w:val="num" w:pos="1492"/>
        </w:tabs>
        <w:ind w:left="1492" w:hanging="360"/>
      </w:pPr>
    </w:lvl>
  </w:abstractNum>
  <w:abstractNum w:abstractNumId="1">
    <w:nsid w:val="FFFFFF7D"/>
    <w:multiLevelType w:val="singleLevel"/>
    <w:tmpl w:val="35008B0A"/>
    <w:lvl w:ilvl="0">
      <w:start w:val="1"/>
      <w:numFmt w:val="decimal"/>
      <w:lvlText w:val="%1."/>
      <w:lvlJc w:val="left"/>
      <w:pPr>
        <w:tabs>
          <w:tab w:val="num" w:pos="1209"/>
        </w:tabs>
        <w:ind w:left="1209" w:hanging="360"/>
      </w:pPr>
    </w:lvl>
  </w:abstractNum>
  <w:abstractNum w:abstractNumId="2">
    <w:nsid w:val="FFFFFF7F"/>
    <w:multiLevelType w:val="singleLevel"/>
    <w:tmpl w:val="A1BE991A"/>
    <w:lvl w:ilvl="0">
      <w:start w:val="1"/>
      <w:numFmt w:val="decimal"/>
      <w:lvlText w:val="%1."/>
      <w:lvlJc w:val="left"/>
      <w:pPr>
        <w:tabs>
          <w:tab w:val="num" w:pos="643"/>
        </w:tabs>
        <w:ind w:left="643" w:hanging="360"/>
      </w:pPr>
    </w:lvl>
  </w:abstractNum>
  <w:abstractNum w:abstractNumId="3">
    <w:nsid w:val="FFFFFF80"/>
    <w:multiLevelType w:val="singleLevel"/>
    <w:tmpl w:val="2DF2E47C"/>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2A22DFE8"/>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66684396"/>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45646A40"/>
    <w:lvl w:ilvl="0">
      <w:start w:val="1"/>
      <w:numFmt w:val="bullet"/>
      <w:lvlText w:val=""/>
      <w:lvlJc w:val="left"/>
      <w:pPr>
        <w:tabs>
          <w:tab w:val="num" w:pos="643"/>
        </w:tabs>
        <w:ind w:left="643" w:hanging="360"/>
      </w:pPr>
      <w:rPr>
        <w:rFonts w:ascii="Symbol" w:hAnsi="Symbol" w:hint="default"/>
      </w:rPr>
    </w:lvl>
  </w:abstractNum>
  <w:abstractNum w:abstractNumId="7">
    <w:nsid w:val="FFFFFF89"/>
    <w:multiLevelType w:val="singleLevel"/>
    <w:tmpl w:val="883E179A"/>
    <w:lvl w:ilvl="0">
      <w:start w:val="1"/>
      <w:numFmt w:val="bullet"/>
      <w:lvlText w:val=""/>
      <w:lvlJc w:val="left"/>
      <w:pPr>
        <w:tabs>
          <w:tab w:val="num" w:pos="360"/>
        </w:tabs>
        <w:ind w:left="360" w:hanging="360"/>
      </w:pPr>
      <w:rPr>
        <w:rFonts w:ascii="Symbol" w:hAnsi="Symbol" w:hint="default"/>
      </w:rPr>
    </w:lvl>
  </w:abstractNum>
  <w:abstractNum w:abstractNumId="8">
    <w:nsid w:val="07C54509"/>
    <w:multiLevelType w:val="multilevel"/>
    <w:tmpl w:val="19366FAA"/>
    <w:lvl w:ilvl="0">
      <w:start w:val="5"/>
      <w:numFmt w:val="hebrew1"/>
      <w:lvlText w:val="%1."/>
      <w:lvlJc w:val="left"/>
      <w:pPr>
        <w:ind w:left="794" w:hanging="437"/>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9">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08D24B3"/>
    <w:multiLevelType w:val="multilevel"/>
    <w:tmpl w:val="B5F62530"/>
    <w:lvl w:ilvl="0">
      <w:start w:val="1"/>
      <w:numFmt w:val="hebrew1"/>
      <w:lvlText w:val="%1."/>
      <w:lvlJc w:val="left"/>
      <w:pPr>
        <w:ind w:left="760" w:hanging="437"/>
      </w:pPr>
      <w:rPr>
        <w:rFonts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11">
    <w:nsid w:val="12074133"/>
    <w:multiLevelType w:val="hybridMultilevel"/>
    <w:tmpl w:val="ED4C3644"/>
    <w:lvl w:ilvl="0">
      <w:start w:val="1"/>
      <w:numFmt w:val="bullet"/>
      <w:lvlText w:val=""/>
      <w:lvlPicBulletId w:val="0"/>
      <w:lvlJc w:val="left"/>
      <w:pPr>
        <w:ind w:left="760" w:hanging="403"/>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CB5BF3"/>
    <w:multiLevelType w:val="multilevel"/>
    <w:tmpl w:val="646C0440"/>
    <w:lvl w:ilvl="0">
      <w:start w:val="1"/>
      <w:numFmt w:val="decimal"/>
      <w:lvlText w:val="%1."/>
      <w:lvlJc w:val="left"/>
      <w:pPr>
        <w:ind w:left="340" w:hanging="340"/>
      </w:pPr>
      <w:rPr>
        <w:rFonts w:hint="default"/>
      </w:rPr>
    </w:lvl>
    <w:lvl w:ilvl="1">
      <w:start w:val="1"/>
      <w:numFmt w:val="none"/>
      <w:pStyle w:val="737"/>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3">
    <w:nsid w:val="1DED4564"/>
    <w:multiLevelType w:val="hybridMultilevel"/>
    <w:tmpl w:val="A6CA3CAC"/>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5C009F"/>
    <w:multiLevelType w:val="multilevel"/>
    <w:tmpl w:val="FD8A2744"/>
    <w:lvl w:ilvl="0">
      <w:start w:val="1"/>
      <w:numFmt w:val="decimal"/>
      <w:lvlText w:val="%1."/>
      <w:lvlJc w:val="left"/>
      <w:pPr>
        <w:ind w:left="340" w:hanging="340"/>
      </w:pPr>
      <w:rPr>
        <w:rFonts w:hint="default"/>
      </w:rPr>
    </w:lvl>
    <w:lvl w:ilvl="1">
      <w:start w:val="2"/>
      <w:numFmt w:val="hebrew1"/>
      <w:lvlText w:val="%2."/>
      <w:lvlJc w:val="left"/>
      <w:pPr>
        <w:ind w:left="1069" w:hanging="360"/>
      </w:pPr>
      <w:rPr>
        <w:rFonts w:hint="default"/>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5">
    <w:nsid w:val="23215287"/>
    <w:multiLevelType w:val="hybridMultilevel"/>
    <w:tmpl w:val="8690A39C"/>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CC609F"/>
    <w:multiLevelType w:val="multilevel"/>
    <w:tmpl w:val="0D249A42"/>
    <w:lvl w:ilvl="0">
      <w:start w:val="1"/>
      <w:numFmt w:val="decimal"/>
      <w:lvlText w:val="%1."/>
      <w:lvlJc w:val="left"/>
      <w:pPr>
        <w:ind w:left="340" w:hanging="340"/>
      </w:pPr>
      <w:rPr>
        <w:b w:val="0"/>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7">
    <w:nsid w:val="2AC87A28"/>
    <w:multiLevelType w:val="multilevel"/>
    <w:tmpl w:val="21C27F8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8">
    <w:nsid w:val="2B16139F"/>
    <w:multiLevelType w:val="hybridMultilevel"/>
    <w:tmpl w:val="D06C34BA"/>
    <w:lvl w:ilvl="0">
      <w:start w:val="1"/>
      <w:numFmt w:val="bullet"/>
      <w:lvlText w:val=""/>
      <w:lvlPicBulletId w:val="1"/>
      <w:lvlJc w:val="left"/>
      <w:pPr>
        <w:ind w:left="360" w:hanging="360"/>
      </w:pPr>
      <w:rPr>
        <w:rFonts w:ascii="Symbol" w:hAnsi="Symbol" w:hint="default"/>
        <w:color w:val="auto"/>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BF762E1"/>
    <w:multiLevelType w:val="multilevel"/>
    <w:tmpl w:val="4BE61798"/>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0">
    <w:nsid w:val="2D043C20"/>
    <w:multiLevelType w:val="hybridMultilevel"/>
    <w:tmpl w:val="E4FA01E4"/>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22">
    <w:nsid w:val="2F7D057D"/>
    <w:multiLevelType w:val="multilevel"/>
    <w:tmpl w:val="623AB11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3">
    <w:nsid w:val="36F7590D"/>
    <w:multiLevelType w:val="multilevel"/>
    <w:tmpl w:val="2F6838A8"/>
    <w:lvl w:ilvl="0">
      <w:start w:val="1"/>
      <w:numFmt w:val="decimal"/>
      <w:lvlText w:val="%1."/>
      <w:lvlJc w:val="left"/>
      <w:pPr>
        <w:ind w:left="357" w:hanging="357"/>
      </w:pPr>
      <w:rPr>
        <w:rFonts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24">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3BC1088C"/>
    <w:multiLevelType w:val="multilevel"/>
    <w:tmpl w:val="1EAC27C8"/>
    <w:lvl w:ilvl="0">
      <w:start w:val="1"/>
      <w:numFmt w:val="decimal"/>
      <w:pStyle w:val="73110"/>
      <w:lvlText w:val="%1."/>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3110"/>
      <w:lvlText w:val="%2."/>
      <w:lvlJc w:val="left"/>
      <w:pPr>
        <w:ind w:left="765" w:hanging="340"/>
      </w:pPr>
      <w:rPr>
        <w:rFonts w:hint="default"/>
        <w:lang w:val="en-US"/>
      </w:rPr>
    </w:lvl>
    <w:lvl w:ilvl="2">
      <w:start w:val="1"/>
      <w:numFmt w:val="decimal"/>
      <w:pStyle w:val="a3"/>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6">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7">
    <w:nsid w:val="48C31C01"/>
    <w:multiLevelType w:val="multilevel"/>
    <w:tmpl w:val="87F445E8"/>
    <w:lvl w:ilvl="0">
      <w:start w:val="2"/>
      <w:numFmt w:val="decimal"/>
      <w:lvlText w:val="%1."/>
      <w:lvlJc w:val="left"/>
      <w:pPr>
        <w:ind w:left="357" w:hanging="357"/>
      </w:pPr>
      <w:rPr>
        <w:rFonts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28">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9">
    <w:nsid w:val="5E6A4DBD"/>
    <w:multiLevelType w:val="hybridMultilevel"/>
    <w:tmpl w:val="6E4A9190"/>
    <w:lvl w:ilvl="0">
      <w:start w:val="5"/>
      <w:numFmt w:val="hebrew1"/>
      <w:lvlText w:val="%1."/>
      <w:lvlJc w:val="left"/>
      <w:pPr>
        <w:ind w:left="1106"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8F5BA7"/>
    <w:multiLevelType w:val="multilevel"/>
    <w:tmpl w:val="4BE61798"/>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1">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32">
    <w:nsid w:val="79BA1FDA"/>
    <w:multiLevelType w:val="multilevel"/>
    <w:tmpl w:val="0D249A42"/>
    <w:lvl w:ilvl="0">
      <w:start w:val="1"/>
      <w:numFmt w:val="decimal"/>
      <w:lvlText w:val="%1."/>
      <w:lvlJc w:val="left"/>
      <w:pPr>
        <w:ind w:left="340" w:hanging="340"/>
      </w:pPr>
      <w:rPr>
        <w:b w:val="0"/>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3">
    <w:nsid w:val="79C83CA0"/>
    <w:multiLevelType w:val="multilevel"/>
    <w:tmpl w:val="2F6838A8"/>
    <w:lvl w:ilvl="0">
      <w:start w:val="1"/>
      <w:numFmt w:val="decimal"/>
      <w:lvlText w:val="%1."/>
      <w:lvlJc w:val="left"/>
      <w:pPr>
        <w:ind w:left="357" w:hanging="357"/>
      </w:pPr>
      <w:rPr>
        <w:rFonts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34">
    <w:nsid w:val="7BDC75EF"/>
    <w:multiLevelType w:val="hybridMultilevel"/>
    <w:tmpl w:val="0EA40AC0"/>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12"/>
  </w:num>
  <w:num w:numId="2">
    <w:abstractNumId w:val="25"/>
  </w:num>
  <w:num w:numId="3">
    <w:abstractNumId w:val="28"/>
  </w:num>
  <w:num w:numId="4">
    <w:abstractNumId w:val="21"/>
  </w:num>
  <w:num w:numId="5">
    <w:abstractNumId w:val="24"/>
  </w:num>
  <w:num w:numId="6">
    <w:abstractNumId w:val="35"/>
  </w:num>
  <w:num w:numId="7">
    <w:abstractNumId w:val="8"/>
  </w:num>
  <w:num w:numId="8">
    <w:abstractNumId w:val="26"/>
  </w:num>
  <w:num w:numId="9">
    <w:abstractNumId w:val="31"/>
  </w:num>
  <w:num w:numId="10">
    <w:abstractNumId w:val="9"/>
  </w:num>
  <w:num w:numId="11">
    <w:abstractNumId w:val="11"/>
  </w:num>
  <w:num w:numId="12">
    <w:abstractNumId w:val="18"/>
  </w:num>
  <w:num w:numId="13">
    <w:abstractNumId w:val="17"/>
  </w:num>
  <w:num w:numId="14">
    <w:abstractNumId w:val="19"/>
  </w:num>
  <w:num w:numId="15">
    <w:abstractNumId w:val="22"/>
  </w:num>
  <w:num w:numId="16">
    <w:abstractNumId w:val="34"/>
  </w:num>
  <w:num w:numId="17">
    <w:abstractNumId w:val="27"/>
  </w:num>
  <w:num w:numId="18">
    <w:abstractNumId w:val="23"/>
  </w:num>
  <w:num w:numId="19">
    <w:abstractNumId w:val="33"/>
  </w:num>
  <w:num w:numId="20">
    <w:abstractNumId w:val="10"/>
  </w:num>
  <w:num w:numId="21">
    <w:abstractNumId w:val="13"/>
  </w:num>
  <w:num w:numId="22">
    <w:abstractNumId w:val="15"/>
  </w:num>
  <w:num w:numId="23">
    <w:abstractNumId w:val="30"/>
  </w:num>
  <w:num w:numId="24">
    <w:abstractNumId w:val="16"/>
  </w:num>
  <w:num w:numId="25">
    <w:abstractNumId w:val="32"/>
  </w:num>
  <w:num w:numId="26">
    <w:abstractNumId w:val="20"/>
  </w:num>
  <w:num w:numId="27">
    <w:abstractNumId w:val="3"/>
  </w:num>
  <w:num w:numId="28">
    <w:abstractNumId w:val="4"/>
  </w:num>
  <w:num w:numId="29">
    <w:abstractNumId w:val="5"/>
  </w:num>
  <w:num w:numId="30">
    <w:abstractNumId w:val="6"/>
  </w:num>
  <w:num w:numId="31">
    <w:abstractNumId w:val="7"/>
  </w:num>
  <w:num w:numId="32">
    <w:abstractNumId w:val="0"/>
  </w:num>
  <w:num w:numId="33">
    <w:abstractNumId w:val="1"/>
  </w:num>
  <w:num w:numId="34">
    <w:abstractNumId w:val="2"/>
  </w:num>
  <w:num w:numId="35">
    <w:abstractNumId w:val="12"/>
  </w:num>
  <w:num w:numId="36">
    <w:abstractNumId w:val="14"/>
  </w:num>
  <w:num w:numId="37">
    <w:abstractNumId w:val="12"/>
  </w:num>
  <w:num w:numId="38">
    <w:abstractNumId w:val="12"/>
  </w:num>
  <w:num w:numId="39">
    <w:abstractNumId w:val="12"/>
  </w:num>
  <w:num w:numId="40">
    <w:abstractNumId w:val="12"/>
  </w:num>
  <w:num w:numId="41">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96"/>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72"/>
    <w:rsid w:val="000054B7"/>
    <w:rsid w:val="00005638"/>
    <w:rsid w:val="00005B23"/>
    <w:rsid w:val="00005EE0"/>
    <w:rsid w:val="00006B59"/>
    <w:rsid w:val="00006C34"/>
    <w:rsid w:val="000071AD"/>
    <w:rsid w:val="000100D8"/>
    <w:rsid w:val="0001014C"/>
    <w:rsid w:val="000107D8"/>
    <w:rsid w:val="000117A8"/>
    <w:rsid w:val="00011BFC"/>
    <w:rsid w:val="00011DF7"/>
    <w:rsid w:val="00012269"/>
    <w:rsid w:val="00012487"/>
    <w:rsid w:val="00012657"/>
    <w:rsid w:val="00013641"/>
    <w:rsid w:val="00013BC3"/>
    <w:rsid w:val="0001431C"/>
    <w:rsid w:val="0001482C"/>
    <w:rsid w:val="00014D29"/>
    <w:rsid w:val="000155F0"/>
    <w:rsid w:val="000157CF"/>
    <w:rsid w:val="00015A22"/>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AC6"/>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800"/>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901C8"/>
    <w:rsid w:val="0009042C"/>
    <w:rsid w:val="00090633"/>
    <w:rsid w:val="000907D0"/>
    <w:rsid w:val="00091397"/>
    <w:rsid w:val="00091811"/>
    <w:rsid w:val="00091A72"/>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482C"/>
    <w:rsid w:val="000A5140"/>
    <w:rsid w:val="000A567C"/>
    <w:rsid w:val="000A5B75"/>
    <w:rsid w:val="000A65A9"/>
    <w:rsid w:val="000A69A7"/>
    <w:rsid w:val="000A6D5B"/>
    <w:rsid w:val="000A7523"/>
    <w:rsid w:val="000B03E7"/>
    <w:rsid w:val="000B0915"/>
    <w:rsid w:val="000B0929"/>
    <w:rsid w:val="000B0AB9"/>
    <w:rsid w:val="000B1102"/>
    <w:rsid w:val="000B153C"/>
    <w:rsid w:val="000B1600"/>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F158C"/>
    <w:rsid w:val="000F1DEA"/>
    <w:rsid w:val="000F23C7"/>
    <w:rsid w:val="000F2408"/>
    <w:rsid w:val="000F2A10"/>
    <w:rsid w:val="000F2E36"/>
    <w:rsid w:val="000F2F7E"/>
    <w:rsid w:val="000F3700"/>
    <w:rsid w:val="000F441E"/>
    <w:rsid w:val="000F450D"/>
    <w:rsid w:val="000F4578"/>
    <w:rsid w:val="000F4B6E"/>
    <w:rsid w:val="000F4C79"/>
    <w:rsid w:val="000F53C2"/>
    <w:rsid w:val="000F5EDB"/>
    <w:rsid w:val="000F60AB"/>
    <w:rsid w:val="000F62A9"/>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6816"/>
    <w:rsid w:val="00116E1B"/>
    <w:rsid w:val="001172DF"/>
    <w:rsid w:val="00117408"/>
    <w:rsid w:val="00117C0E"/>
    <w:rsid w:val="00117DC2"/>
    <w:rsid w:val="00121169"/>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BD6"/>
    <w:rsid w:val="00141E09"/>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A02"/>
    <w:rsid w:val="001C5BF5"/>
    <w:rsid w:val="001C5C3E"/>
    <w:rsid w:val="001C5C9D"/>
    <w:rsid w:val="001C5EB7"/>
    <w:rsid w:val="001C5FEF"/>
    <w:rsid w:val="001C6FC8"/>
    <w:rsid w:val="001C72B2"/>
    <w:rsid w:val="001C7D48"/>
    <w:rsid w:val="001D0073"/>
    <w:rsid w:val="001D0955"/>
    <w:rsid w:val="001D1192"/>
    <w:rsid w:val="001D223A"/>
    <w:rsid w:val="001D2243"/>
    <w:rsid w:val="001D2793"/>
    <w:rsid w:val="001D2F2A"/>
    <w:rsid w:val="001D3679"/>
    <w:rsid w:val="001D3CC2"/>
    <w:rsid w:val="001D4406"/>
    <w:rsid w:val="001D461F"/>
    <w:rsid w:val="001D46D3"/>
    <w:rsid w:val="001D6714"/>
    <w:rsid w:val="001D713E"/>
    <w:rsid w:val="001D77E6"/>
    <w:rsid w:val="001D7C42"/>
    <w:rsid w:val="001E0306"/>
    <w:rsid w:val="001E048C"/>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6B"/>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249"/>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8C"/>
    <w:rsid w:val="00214BC0"/>
    <w:rsid w:val="00214CAA"/>
    <w:rsid w:val="002154D1"/>
    <w:rsid w:val="00215BEE"/>
    <w:rsid w:val="0021654E"/>
    <w:rsid w:val="00217B31"/>
    <w:rsid w:val="002202E4"/>
    <w:rsid w:val="0022072A"/>
    <w:rsid w:val="00220B3D"/>
    <w:rsid w:val="0022100A"/>
    <w:rsid w:val="00221160"/>
    <w:rsid w:val="002213EE"/>
    <w:rsid w:val="00221922"/>
    <w:rsid w:val="00221B94"/>
    <w:rsid w:val="00221E3A"/>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DB0"/>
    <w:rsid w:val="00273FDF"/>
    <w:rsid w:val="0027424D"/>
    <w:rsid w:val="00275141"/>
    <w:rsid w:val="002753C7"/>
    <w:rsid w:val="00275A79"/>
    <w:rsid w:val="002763F9"/>
    <w:rsid w:val="00276D55"/>
    <w:rsid w:val="00277114"/>
    <w:rsid w:val="002774D4"/>
    <w:rsid w:val="0028135E"/>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4A3A"/>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997"/>
    <w:rsid w:val="00301A9A"/>
    <w:rsid w:val="003020D6"/>
    <w:rsid w:val="00302134"/>
    <w:rsid w:val="00302C17"/>
    <w:rsid w:val="00302DC7"/>
    <w:rsid w:val="0030338B"/>
    <w:rsid w:val="003038A7"/>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CB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53"/>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7EF"/>
    <w:rsid w:val="00382981"/>
    <w:rsid w:val="003839AA"/>
    <w:rsid w:val="003842D1"/>
    <w:rsid w:val="003843E4"/>
    <w:rsid w:val="00384988"/>
    <w:rsid w:val="00384EDD"/>
    <w:rsid w:val="00385426"/>
    <w:rsid w:val="003855E1"/>
    <w:rsid w:val="0038575C"/>
    <w:rsid w:val="00385CBB"/>
    <w:rsid w:val="00385FBB"/>
    <w:rsid w:val="00386498"/>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53B"/>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41CF"/>
    <w:rsid w:val="003C4F30"/>
    <w:rsid w:val="003C5044"/>
    <w:rsid w:val="003C5153"/>
    <w:rsid w:val="003C5BB1"/>
    <w:rsid w:val="003C5BC7"/>
    <w:rsid w:val="003C5ED9"/>
    <w:rsid w:val="003C619B"/>
    <w:rsid w:val="003C67F0"/>
    <w:rsid w:val="003C6AE0"/>
    <w:rsid w:val="003C6C20"/>
    <w:rsid w:val="003C6C2D"/>
    <w:rsid w:val="003C73F8"/>
    <w:rsid w:val="003C7457"/>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396"/>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91D"/>
    <w:rsid w:val="00437CB8"/>
    <w:rsid w:val="00437D9B"/>
    <w:rsid w:val="00440A6B"/>
    <w:rsid w:val="00440C19"/>
    <w:rsid w:val="004413C7"/>
    <w:rsid w:val="0044147E"/>
    <w:rsid w:val="004414E6"/>
    <w:rsid w:val="004417D2"/>
    <w:rsid w:val="00441D68"/>
    <w:rsid w:val="004424B2"/>
    <w:rsid w:val="004428A8"/>
    <w:rsid w:val="00442E2D"/>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1DE"/>
    <w:rsid w:val="0047228C"/>
    <w:rsid w:val="00472B97"/>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4D8"/>
    <w:rsid w:val="004875EB"/>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33E"/>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0873"/>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717"/>
    <w:rsid w:val="004E694F"/>
    <w:rsid w:val="004E6D72"/>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3820"/>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20147"/>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D71"/>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ABB"/>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F44"/>
    <w:rsid w:val="005B20D0"/>
    <w:rsid w:val="005B21E1"/>
    <w:rsid w:val="005B2AC2"/>
    <w:rsid w:val="005B2BF5"/>
    <w:rsid w:val="005B2DAB"/>
    <w:rsid w:val="005B3945"/>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88D"/>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C90"/>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0BD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1DE"/>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5C6"/>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21AF"/>
    <w:rsid w:val="006A2D1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ABF"/>
    <w:rsid w:val="006C1BD3"/>
    <w:rsid w:val="006C1C44"/>
    <w:rsid w:val="006C1C92"/>
    <w:rsid w:val="006C1D80"/>
    <w:rsid w:val="006C2017"/>
    <w:rsid w:val="006C2950"/>
    <w:rsid w:val="006C2C47"/>
    <w:rsid w:val="006C34ED"/>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900"/>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3B6"/>
    <w:rsid w:val="00722424"/>
    <w:rsid w:val="0072288D"/>
    <w:rsid w:val="00722DED"/>
    <w:rsid w:val="00722F8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450C"/>
    <w:rsid w:val="00744632"/>
    <w:rsid w:val="00744A32"/>
    <w:rsid w:val="00744A94"/>
    <w:rsid w:val="007452B3"/>
    <w:rsid w:val="007462AB"/>
    <w:rsid w:val="007467DE"/>
    <w:rsid w:val="0074683C"/>
    <w:rsid w:val="00746F21"/>
    <w:rsid w:val="00746F99"/>
    <w:rsid w:val="0074714A"/>
    <w:rsid w:val="007474F0"/>
    <w:rsid w:val="00747AC3"/>
    <w:rsid w:val="00747AE5"/>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1DD"/>
    <w:rsid w:val="00757B56"/>
    <w:rsid w:val="00760B67"/>
    <w:rsid w:val="00760F3C"/>
    <w:rsid w:val="0076115B"/>
    <w:rsid w:val="00761CE2"/>
    <w:rsid w:val="00761E1F"/>
    <w:rsid w:val="00761E43"/>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27B"/>
    <w:rsid w:val="007809A9"/>
    <w:rsid w:val="00780AAC"/>
    <w:rsid w:val="00780C36"/>
    <w:rsid w:val="00780D40"/>
    <w:rsid w:val="00781125"/>
    <w:rsid w:val="00781F3B"/>
    <w:rsid w:val="007824AB"/>
    <w:rsid w:val="00783850"/>
    <w:rsid w:val="00783CD9"/>
    <w:rsid w:val="00784D2F"/>
    <w:rsid w:val="00784F53"/>
    <w:rsid w:val="00785D0A"/>
    <w:rsid w:val="00786364"/>
    <w:rsid w:val="00787591"/>
    <w:rsid w:val="007877E8"/>
    <w:rsid w:val="00787AC0"/>
    <w:rsid w:val="00787EAD"/>
    <w:rsid w:val="0079068D"/>
    <w:rsid w:val="00790A1C"/>
    <w:rsid w:val="00790BF1"/>
    <w:rsid w:val="00791581"/>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C7D"/>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065"/>
    <w:rsid w:val="007B619F"/>
    <w:rsid w:val="007B6592"/>
    <w:rsid w:val="007B687A"/>
    <w:rsid w:val="007B691A"/>
    <w:rsid w:val="007B6942"/>
    <w:rsid w:val="007B6CE2"/>
    <w:rsid w:val="007B6D25"/>
    <w:rsid w:val="007B6FD2"/>
    <w:rsid w:val="007B72DD"/>
    <w:rsid w:val="007B78B6"/>
    <w:rsid w:val="007C0288"/>
    <w:rsid w:val="007C05BE"/>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6E6F"/>
    <w:rsid w:val="007C71D4"/>
    <w:rsid w:val="007C71E2"/>
    <w:rsid w:val="007C76F8"/>
    <w:rsid w:val="007C7734"/>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643"/>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3382"/>
    <w:rsid w:val="00803CE5"/>
    <w:rsid w:val="00804642"/>
    <w:rsid w:val="008050AB"/>
    <w:rsid w:val="008059B4"/>
    <w:rsid w:val="00805A57"/>
    <w:rsid w:val="00805B42"/>
    <w:rsid w:val="00805E4B"/>
    <w:rsid w:val="00805F58"/>
    <w:rsid w:val="00805F9E"/>
    <w:rsid w:val="00806D63"/>
    <w:rsid w:val="00807409"/>
    <w:rsid w:val="0080798A"/>
    <w:rsid w:val="00807C14"/>
    <w:rsid w:val="00807CC3"/>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971"/>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FB"/>
    <w:rsid w:val="00847373"/>
    <w:rsid w:val="008474A5"/>
    <w:rsid w:val="008477E8"/>
    <w:rsid w:val="008478AA"/>
    <w:rsid w:val="00847989"/>
    <w:rsid w:val="00847B0A"/>
    <w:rsid w:val="00847B8A"/>
    <w:rsid w:val="00847C79"/>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4757"/>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F0B"/>
    <w:rsid w:val="008E1159"/>
    <w:rsid w:val="008E1580"/>
    <w:rsid w:val="008E1A9C"/>
    <w:rsid w:val="008E20F1"/>
    <w:rsid w:val="008E2F17"/>
    <w:rsid w:val="008E3175"/>
    <w:rsid w:val="008E32CE"/>
    <w:rsid w:val="008E3CC4"/>
    <w:rsid w:val="008E3DDC"/>
    <w:rsid w:val="008E417F"/>
    <w:rsid w:val="008E4F24"/>
    <w:rsid w:val="008E5512"/>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04C"/>
    <w:rsid w:val="008F2E02"/>
    <w:rsid w:val="008F3327"/>
    <w:rsid w:val="008F3549"/>
    <w:rsid w:val="008F3F92"/>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652"/>
    <w:rsid w:val="00907A2C"/>
    <w:rsid w:val="00907C3D"/>
    <w:rsid w:val="0091051D"/>
    <w:rsid w:val="00910533"/>
    <w:rsid w:val="00910C50"/>
    <w:rsid w:val="00911371"/>
    <w:rsid w:val="009117BF"/>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0CDB"/>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56"/>
    <w:rsid w:val="0093709F"/>
    <w:rsid w:val="009376D4"/>
    <w:rsid w:val="009376D7"/>
    <w:rsid w:val="00937A6E"/>
    <w:rsid w:val="0094075A"/>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5E97"/>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E62"/>
    <w:rsid w:val="00974130"/>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118"/>
    <w:rsid w:val="009A245B"/>
    <w:rsid w:val="009A24A2"/>
    <w:rsid w:val="009A2516"/>
    <w:rsid w:val="009A2845"/>
    <w:rsid w:val="009A2B4B"/>
    <w:rsid w:val="009A2FAA"/>
    <w:rsid w:val="009A3127"/>
    <w:rsid w:val="009A349F"/>
    <w:rsid w:val="009A3852"/>
    <w:rsid w:val="009A3D49"/>
    <w:rsid w:val="009A3E52"/>
    <w:rsid w:val="009A4788"/>
    <w:rsid w:val="009A48AC"/>
    <w:rsid w:val="009A4A6E"/>
    <w:rsid w:val="009A58E6"/>
    <w:rsid w:val="009A5FDB"/>
    <w:rsid w:val="009A6B3F"/>
    <w:rsid w:val="009A78AB"/>
    <w:rsid w:val="009B03D5"/>
    <w:rsid w:val="009B0A9C"/>
    <w:rsid w:val="009B10AE"/>
    <w:rsid w:val="009B1240"/>
    <w:rsid w:val="009B1690"/>
    <w:rsid w:val="009B18D7"/>
    <w:rsid w:val="009B23EE"/>
    <w:rsid w:val="009B257E"/>
    <w:rsid w:val="009B3610"/>
    <w:rsid w:val="009B37D3"/>
    <w:rsid w:val="009B4C61"/>
    <w:rsid w:val="009B4CB0"/>
    <w:rsid w:val="009B4CE0"/>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074AA"/>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312"/>
    <w:rsid w:val="00A4133B"/>
    <w:rsid w:val="00A4189A"/>
    <w:rsid w:val="00A41A4E"/>
    <w:rsid w:val="00A42565"/>
    <w:rsid w:val="00A42621"/>
    <w:rsid w:val="00A436D2"/>
    <w:rsid w:val="00A43752"/>
    <w:rsid w:val="00A4391C"/>
    <w:rsid w:val="00A443B8"/>
    <w:rsid w:val="00A4469D"/>
    <w:rsid w:val="00A452B2"/>
    <w:rsid w:val="00A454E3"/>
    <w:rsid w:val="00A460E8"/>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29F"/>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915F4"/>
    <w:rsid w:val="00A916EF"/>
    <w:rsid w:val="00A917A9"/>
    <w:rsid w:val="00A91C36"/>
    <w:rsid w:val="00A91D41"/>
    <w:rsid w:val="00A926F4"/>
    <w:rsid w:val="00A93F51"/>
    <w:rsid w:val="00A940CD"/>
    <w:rsid w:val="00A94153"/>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893"/>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0CCA"/>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9C7"/>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50CE"/>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CCE"/>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6F83"/>
    <w:rsid w:val="00BC717C"/>
    <w:rsid w:val="00BC75B3"/>
    <w:rsid w:val="00BC7B04"/>
    <w:rsid w:val="00BC7E15"/>
    <w:rsid w:val="00BC7E36"/>
    <w:rsid w:val="00BD020B"/>
    <w:rsid w:val="00BD024E"/>
    <w:rsid w:val="00BD08DF"/>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973"/>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531C"/>
    <w:rsid w:val="00C05806"/>
    <w:rsid w:val="00C05FA3"/>
    <w:rsid w:val="00C067C2"/>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7D44"/>
    <w:rsid w:val="00C50B1E"/>
    <w:rsid w:val="00C51C72"/>
    <w:rsid w:val="00C51CB1"/>
    <w:rsid w:val="00C521B4"/>
    <w:rsid w:val="00C52914"/>
    <w:rsid w:val="00C539F2"/>
    <w:rsid w:val="00C544CC"/>
    <w:rsid w:val="00C546E7"/>
    <w:rsid w:val="00C55114"/>
    <w:rsid w:val="00C56262"/>
    <w:rsid w:val="00C57198"/>
    <w:rsid w:val="00C573E7"/>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4B22"/>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2E50"/>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0AC"/>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55E"/>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B47"/>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6C6B"/>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EF"/>
    <w:rsid w:val="00D46D32"/>
    <w:rsid w:val="00D46EB7"/>
    <w:rsid w:val="00D46FA2"/>
    <w:rsid w:val="00D476EB"/>
    <w:rsid w:val="00D478AA"/>
    <w:rsid w:val="00D47F55"/>
    <w:rsid w:val="00D50562"/>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5E6"/>
    <w:rsid w:val="00D779F7"/>
    <w:rsid w:val="00D80754"/>
    <w:rsid w:val="00D81F77"/>
    <w:rsid w:val="00D82F54"/>
    <w:rsid w:val="00D83026"/>
    <w:rsid w:val="00D83045"/>
    <w:rsid w:val="00D8314F"/>
    <w:rsid w:val="00D83354"/>
    <w:rsid w:val="00D83B9A"/>
    <w:rsid w:val="00D8446F"/>
    <w:rsid w:val="00D844D3"/>
    <w:rsid w:val="00D855A5"/>
    <w:rsid w:val="00D855E1"/>
    <w:rsid w:val="00D857E6"/>
    <w:rsid w:val="00D85885"/>
    <w:rsid w:val="00D8653A"/>
    <w:rsid w:val="00D871CE"/>
    <w:rsid w:val="00D8754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DE7"/>
    <w:rsid w:val="00D93F6A"/>
    <w:rsid w:val="00D93FAF"/>
    <w:rsid w:val="00D94046"/>
    <w:rsid w:val="00D940D3"/>
    <w:rsid w:val="00D945EB"/>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5F"/>
    <w:rsid w:val="00DA04E9"/>
    <w:rsid w:val="00DA0755"/>
    <w:rsid w:val="00DA08A5"/>
    <w:rsid w:val="00DA1D77"/>
    <w:rsid w:val="00DA23AB"/>
    <w:rsid w:val="00DA2B4B"/>
    <w:rsid w:val="00DA4512"/>
    <w:rsid w:val="00DA4D03"/>
    <w:rsid w:val="00DA4EAF"/>
    <w:rsid w:val="00DA5A16"/>
    <w:rsid w:val="00DA6949"/>
    <w:rsid w:val="00DA7D0B"/>
    <w:rsid w:val="00DA7F26"/>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ACF"/>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CF"/>
    <w:rsid w:val="00E051FB"/>
    <w:rsid w:val="00E056B0"/>
    <w:rsid w:val="00E05984"/>
    <w:rsid w:val="00E05C27"/>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703B"/>
    <w:rsid w:val="00E577EC"/>
    <w:rsid w:val="00E57C4D"/>
    <w:rsid w:val="00E602BD"/>
    <w:rsid w:val="00E60386"/>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67E2D"/>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C22"/>
    <w:rsid w:val="00EB1ED2"/>
    <w:rsid w:val="00EB1FCF"/>
    <w:rsid w:val="00EB22C0"/>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6E3"/>
    <w:rsid w:val="00EC6B44"/>
    <w:rsid w:val="00EC73C2"/>
    <w:rsid w:val="00EC749B"/>
    <w:rsid w:val="00EC760C"/>
    <w:rsid w:val="00EC7CED"/>
    <w:rsid w:val="00ED025B"/>
    <w:rsid w:val="00ED0541"/>
    <w:rsid w:val="00ED0A14"/>
    <w:rsid w:val="00ED0D39"/>
    <w:rsid w:val="00ED0EA7"/>
    <w:rsid w:val="00ED172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84A"/>
    <w:rsid w:val="00EE0BC0"/>
    <w:rsid w:val="00EE0E63"/>
    <w:rsid w:val="00EE11C7"/>
    <w:rsid w:val="00EE123E"/>
    <w:rsid w:val="00EE1558"/>
    <w:rsid w:val="00EE298D"/>
    <w:rsid w:val="00EE2B19"/>
    <w:rsid w:val="00EE2B5D"/>
    <w:rsid w:val="00EE2BB3"/>
    <w:rsid w:val="00EE3291"/>
    <w:rsid w:val="00EE343A"/>
    <w:rsid w:val="00EE37A3"/>
    <w:rsid w:val="00EE3AF7"/>
    <w:rsid w:val="00EE3E91"/>
    <w:rsid w:val="00EE4E61"/>
    <w:rsid w:val="00EE4F91"/>
    <w:rsid w:val="00EE553C"/>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4FD"/>
    <w:rsid w:val="00F04BF2"/>
    <w:rsid w:val="00F05790"/>
    <w:rsid w:val="00F05CF9"/>
    <w:rsid w:val="00F06960"/>
    <w:rsid w:val="00F06967"/>
    <w:rsid w:val="00F07390"/>
    <w:rsid w:val="00F0755E"/>
    <w:rsid w:val="00F07E52"/>
    <w:rsid w:val="00F106E4"/>
    <w:rsid w:val="00F10B1D"/>
    <w:rsid w:val="00F10ECA"/>
    <w:rsid w:val="00F11011"/>
    <w:rsid w:val="00F115D6"/>
    <w:rsid w:val="00F1171C"/>
    <w:rsid w:val="00F119FB"/>
    <w:rsid w:val="00F11F70"/>
    <w:rsid w:val="00F12333"/>
    <w:rsid w:val="00F1255D"/>
    <w:rsid w:val="00F12F5F"/>
    <w:rsid w:val="00F145D4"/>
    <w:rsid w:val="00F14AEC"/>
    <w:rsid w:val="00F14ED0"/>
    <w:rsid w:val="00F15ED6"/>
    <w:rsid w:val="00F15F5B"/>
    <w:rsid w:val="00F16210"/>
    <w:rsid w:val="00F164D5"/>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063"/>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3D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21EF"/>
    <w:rsid w:val="00FF2A34"/>
    <w:rsid w:val="00FF2BA8"/>
    <w:rsid w:val="00FF364B"/>
    <w:rsid w:val="00FF3803"/>
    <w:rsid w:val="00FF4871"/>
    <w:rsid w:val="00FF4A4D"/>
    <w:rsid w:val="00FF5076"/>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FCF"/>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1,Footnote Reference_1_0,Footnote Reference_2,Footnote Reference_2_0,Footnote Reference_3,Footnote Reference_4,fr,הפניה להערת שוליים חדש,מ"/>
    <w:basedOn w:val="DefaultParagraphFont"/>
    <w:uiPriority w:val="99"/>
    <w:unhideWhenUsed/>
    <w:rsid w:val="00566629"/>
    <w:rPr>
      <w:vertAlign w:val="superscript"/>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D50562"/>
    <w:pPr>
      <w:keepNext/>
      <w:keepLines/>
      <w:pageBreakBefore/>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6"/>
    <w:qFormat/>
    <w:rsid w:val="00EB1FCF"/>
    <w:pPr>
      <w:pBdr>
        <w:top w:val="double" w:sz="12" w:space="5" w:color="auto"/>
      </w:pBdr>
      <w:spacing w:before="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FF6AD9"/>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1F3363"/>
    <w:pPr>
      <w:spacing w:before="360" w:after="180" w:line="240" w:lineRule="atLeast"/>
      <w:jc w:val="left"/>
    </w:pPr>
    <w:rPr>
      <w:rFonts w:ascii="Tahoma" w:eastAsia="Times New Roman" w:hAnsi="Tahoma" w:cs="Tahoma"/>
      <w:b/>
      <w:color w:val="00305F"/>
      <w:sz w:val="32"/>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1F3363"/>
    <w:rPr>
      <w:rFonts w:ascii="Tahoma" w:eastAsia="Times New Roman" w:hAnsi="Tahoma" w:cs="Tahoma"/>
      <w:b/>
      <w:bCs/>
      <w:color w:val="00305F"/>
      <w:sz w:val="32"/>
      <w:szCs w:val="31"/>
      <w:u w:val="single"/>
    </w:rPr>
  </w:style>
  <w:style w:type="paragraph" w:customStyle="1" w:styleId="733">
    <w:name w:val="73א הערות שוליים"/>
    <w:basedOn w:val="FootnoteText"/>
    <w:link w:val="7330"/>
    <w:qFormat/>
    <w:rsid w:val="001F3363"/>
    <w:pPr>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662020"/>
    <w:pPr>
      <w:keepNext/>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662020"/>
    <w:pPr>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520550"/>
    <w:pPr>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numPr>
        <w:ilvl w:val="2"/>
        <w:numId w:val="2"/>
      </w:numPr>
      <w:spacing w:after="12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FF6AD9"/>
    <w:pPr>
      <w:ind w:left="227"/>
    </w:pPr>
  </w:style>
  <w:style w:type="paragraph" w:customStyle="1" w:styleId="73414">
    <w:name w:val="73א כותרת 4_14"/>
    <w:basedOn w:val="Heading4"/>
    <w:qFormat/>
    <w:rsid w:val="001F3363"/>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1F3363"/>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pPr>
      <w:numPr>
        <w:numId w:val="2"/>
      </w:numPr>
    </w:pPr>
  </w:style>
  <w:style w:type="numbering" w:customStyle="1" w:styleId="-">
    <w:name w:val="משרד האוצר - מדורג"/>
    <w:uiPriority w:val="99"/>
    <w:rsid w:val="006D5CCE"/>
    <w:pPr>
      <w:numPr>
        <w:numId w:val="3"/>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11">
    <w:name w:val="הפניה להערת שוליים1"/>
    <w:unhideWhenUsed/>
    <w:rsid w:val="002516DF"/>
    <w:rPr>
      <w:vertAlign w:val="superscript"/>
    </w:rPr>
  </w:style>
  <w:style w:type="paragraph" w:customStyle="1" w:styleId="112">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3">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3"/>
    <w:uiPriority w:val="99"/>
    <w:semiHidden/>
    <w:rsid w:val="002516DF"/>
    <w:rPr>
      <w:rFonts w:ascii="Tahoma" w:eastAsia="Calibri" w:hAnsi="Tahoma" w:cs="Tahoma"/>
      <w:sz w:val="18"/>
      <w:szCs w:val="18"/>
    </w:rPr>
  </w:style>
  <w:style w:type="paragraph" w:customStyle="1" w:styleId="114">
    <w:name w:val="גוף טקסט1"/>
    <w:basedOn w:val="Normal"/>
    <w:link w:val="115"/>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rsid w:val="002516DF"/>
  </w:style>
  <w:style w:type="character" w:customStyle="1" w:styleId="115">
    <w:name w:val="גוף טקסט תו1"/>
    <w:link w:val="114"/>
    <w:uiPriority w:val="99"/>
    <w:rsid w:val="002516DF"/>
    <w:rPr>
      <w:rFonts w:eastAsia="Times New Roman" w:cs="FrankRuehl"/>
      <w:sz w:val="22"/>
      <w:szCs w:val="22"/>
    </w:rPr>
  </w:style>
  <w:style w:type="character" w:customStyle="1" w:styleId="116">
    <w:name w:val="כותרת תחתונה תו1"/>
    <w:uiPriority w:val="99"/>
    <w:rsid w:val="002516DF"/>
    <w:rPr>
      <w:rFonts w:cs="David"/>
      <w:sz w:val="24"/>
      <w:szCs w:val="24"/>
    </w:rPr>
  </w:style>
  <w:style w:type="character" w:customStyle="1" w:styleId="117">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4"/>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5"/>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8">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19">
    <w:name w:val="הפניה להערה1"/>
    <w:uiPriority w:val="99"/>
    <w:semiHidden/>
    <w:unhideWhenUsed/>
    <w:rsid w:val="002516DF"/>
    <w:rPr>
      <w:sz w:val="16"/>
      <w:szCs w:val="16"/>
    </w:rPr>
  </w:style>
  <w:style w:type="paragraph" w:customStyle="1" w:styleId="120">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0"/>
    <w:uiPriority w:val="99"/>
    <w:rsid w:val="002516DF"/>
    <w:rPr>
      <w:rFonts w:eastAsia="Calibri"/>
      <w:szCs w:val="20"/>
    </w:rPr>
  </w:style>
  <w:style w:type="paragraph" w:customStyle="1" w:styleId="122">
    <w:name w:val="נושא הערה1"/>
    <w:basedOn w:val="120"/>
    <w:next w:val="120"/>
    <w:link w:val="a14"/>
    <w:uiPriority w:val="99"/>
    <w:semiHidden/>
    <w:unhideWhenUsed/>
    <w:rsid w:val="002516DF"/>
    <w:rPr>
      <w:b/>
      <w:bCs/>
    </w:rPr>
  </w:style>
  <w:style w:type="character" w:customStyle="1" w:styleId="a14">
    <w:name w:val="נושא הערה תו"/>
    <w:link w:val="122"/>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23">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6"/>
      </w:numPr>
      <w:spacing w:after="180" w:line="260" w:lineRule="exact"/>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0" w:right="227"/>
      <w:contextualSpacing w:val="0"/>
    </w:pPr>
    <w:rPr>
      <w:rFonts w:ascii="Tahoma" w:hAnsi="Tahoma" w:cs="Tahoma"/>
      <w:color w:val="0D0D0D" w:themeColor="text1" w:themeTint="F2"/>
      <w:sz w:val="18"/>
      <w:szCs w:val="18"/>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8">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8"/>
      </w:numPr>
      <w:spacing w:after="180" w:line="260" w:lineRule="exact"/>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2">
    <w:name w:val="73א כותרת 6_12"/>
    <w:basedOn w:val="73512"/>
    <w:link w:val="736120"/>
    <w:qFormat/>
    <w:rsid w:val="001F3363"/>
    <w:pPr>
      <w:outlineLvl w:val="5"/>
    </w:pPr>
    <w:rPr>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4">
    <w:name w:val="כותרת טקסט1"/>
    <w:basedOn w:val="DefaultParagraphFont"/>
    <w:rsid w:val="00D81F77"/>
  </w:style>
  <w:style w:type="paragraph" w:customStyle="1" w:styleId="a23">
    <w:name w:val="כותרת סעיף"/>
    <w:basedOn w:val="Normal"/>
    <w:rsid w:val="005F7321"/>
    <w:pPr>
      <w:numPr>
        <w:numId w:val="9"/>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10"/>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4">
    <w:name w:val="סיכום תקציר 21"/>
    <w:basedOn w:val="Normal"/>
    <w:link w:val="21Char0"/>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5">
    <w:name w:val="עיקרי המלצות הביקורת 21"/>
    <w:basedOn w:val="Normal"/>
    <w:link w:val="21Char1"/>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0">
    <w:name w:val="סיכום תקציר 21 Char"/>
    <w:basedOn w:val="DefaultParagraphFont"/>
    <w:link w:val="214"/>
    <w:rsid w:val="00454096"/>
    <w:rPr>
      <w:rFonts w:ascii="Tahoma" w:hAnsi="Tahoma" w:eastAsiaTheme="minorEastAsia" w:cs="Tahoma"/>
      <w:b/>
      <w:bCs/>
      <w:color w:val="00305F"/>
      <w:sz w:val="34"/>
      <w:szCs w:val="32"/>
    </w:rPr>
  </w:style>
  <w:style w:type="paragraph" w:customStyle="1" w:styleId="216">
    <w:name w:val="פעולות הביקורת 21"/>
    <w:basedOn w:val="Normal"/>
    <w:link w:val="21Char2"/>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1">
    <w:name w:val="עיקרי המלצות הביקורת 21 Char"/>
    <w:basedOn w:val="DefaultParagraphFont"/>
    <w:link w:val="215"/>
    <w:rsid w:val="00454096"/>
    <w:rPr>
      <w:rFonts w:ascii="Tahoma" w:hAnsi="Tahoma" w:eastAsiaTheme="minorEastAsia" w:cs="Tahoma"/>
      <w:b/>
      <w:bCs/>
      <w:color w:val="002E5F"/>
      <w:sz w:val="34"/>
      <w:szCs w:val="32"/>
    </w:rPr>
  </w:style>
  <w:style w:type="character" w:customStyle="1" w:styleId="21Char2">
    <w:name w:val="פעולות הביקורת 21 Char"/>
    <w:basedOn w:val="DefaultParagraphFont"/>
    <w:link w:val="216"/>
    <w:rsid w:val="00454096"/>
    <w:rPr>
      <w:rFonts w:ascii="Tahoma" w:hAnsi="Tahoma" w:eastAsiaTheme="minorEastAsia" w:cs="Tahoma"/>
      <w:b w:val="0"/>
      <w:bCs/>
      <w:color w:val="00305F"/>
      <w:sz w:val="32"/>
      <w:szCs w:val="32"/>
    </w:rPr>
  </w:style>
  <w:style w:type="paragraph" w:customStyle="1" w:styleId="217">
    <w:name w:val="פעולות הביקורת21"/>
    <w:basedOn w:val="Normal"/>
    <w:link w:val="21Char3"/>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6">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sz w:val="31"/>
    </w:rPr>
  </w:style>
  <w:style w:type="paragraph" w:customStyle="1" w:styleId="7327">
    <w:name w:val="73א תמונת המצב העולה מן הביקורת"/>
    <w:basedOn w:val="216"/>
    <w:link w:val="7328"/>
    <w:qFormat/>
    <w:rsid w:val="00EB1FCF"/>
    <w:pPr>
      <w:keepNext/>
      <w:keepLines/>
      <w:pBdr>
        <w:top w:val="single" w:sz="12" w:space="5" w:color="auto"/>
      </w:pBdr>
      <w:spacing w:before="360"/>
      <w:outlineLvl w:val="9"/>
    </w:pPr>
    <w:rPr>
      <w:sz w:val="31"/>
      <w:szCs w:val="31"/>
    </w:rPr>
  </w:style>
  <w:style w:type="character" w:customStyle="1" w:styleId="7328">
    <w:name w:val="73א תמונת המצב העולה מן הביקורת תו"/>
    <w:basedOn w:val="21Char2"/>
    <w:link w:val="7327"/>
    <w:rsid w:val="00EB1FCF"/>
    <w:rPr>
      <w:rFonts w:ascii="Tahoma" w:hAnsi="Tahoma" w:eastAsiaTheme="minorEastAsia" w:cs="Tahoma"/>
      <w:b w:val="0"/>
      <w:bCs/>
      <w:color w:val="00305F"/>
      <w:sz w:val="31"/>
      <w:szCs w:val="31"/>
    </w:rPr>
  </w:style>
  <w:style w:type="paragraph" w:customStyle="1" w:styleId="7329">
    <w:name w:val="73א כותרת 2"/>
    <w:link w:val="73210"/>
    <w:qFormat/>
    <w:rsid w:val="00D50562"/>
    <w:pPr>
      <w:keepNext/>
      <w:keepLines/>
      <w:spacing w:before="360" w:after="240" w:line="240" w:lineRule="atLeast"/>
      <w:jc w:val="right"/>
      <w:outlineLvl w:val="1"/>
    </w:pPr>
    <w:rPr>
      <w:rFonts w:ascii="Tahoma" w:hAnsi="Tahoma" w:cs="Tahoma"/>
      <w:b/>
      <w:bCs/>
      <w:color w:val="00305F"/>
      <w:sz w:val="40"/>
      <w:szCs w:val="34"/>
    </w:rPr>
  </w:style>
  <w:style w:type="character" w:customStyle="1" w:styleId="73210">
    <w:name w:val="73א כותרת 2 תו"/>
    <w:basedOn w:val="DefaultParagraphFont"/>
    <w:link w:val="7329"/>
    <w:rsid w:val="00D50562"/>
    <w:rPr>
      <w:rFonts w:ascii="Tahoma" w:hAnsi="Tahoma" w:cs="Tahoma"/>
      <w:b/>
      <w:bCs/>
      <w:color w:val="00305F"/>
      <w:sz w:val="40"/>
      <w:szCs w:val="34"/>
    </w:rPr>
  </w:style>
  <w:style w:type="character" w:customStyle="1" w:styleId="7330">
    <w:name w:val="73א הערות שוליים תו"/>
    <w:basedOn w:val="3"/>
    <w:link w:val="733"/>
    <w:rsid w:val="001F3363"/>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662020"/>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7"/>
    <w:link w:val="7391"/>
    <w:qFormat/>
    <w:rsid w:val="00FF6AD9"/>
    <w:pPr>
      <w:ind w:left="397"/>
    </w:pPr>
    <w:rPr>
      <w:bCs/>
      <w:noProof/>
      <w:color w:val="0D0D0D" w:themeColor="text1" w:themeTint="F2"/>
      <w:lang w:val="he-IL"/>
    </w:rPr>
  </w:style>
  <w:style w:type="character" w:customStyle="1" w:styleId="21Char3">
    <w:name w:val="פעולות הביקורת21 Char"/>
    <w:basedOn w:val="DefaultParagraphFont"/>
    <w:link w:val="217"/>
    <w:rsid w:val="001F3363"/>
    <w:rPr>
      <w:rFonts w:ascii="Tahoma" w:hAnsi="Tahoma" w:cs="Tahoma"/>
      <w:color w:val="0D0D0D" w:themeColor="text1" w:themeTint="F2"/>
      <w:sz w:val="18"/>
      <w:szCs w:val="18"/>
    </w:rPr>
  </w:style>
  <w:style w:type="character" w:customStyle="1" w:styleId="7391">
    <w:name w:val="73א בולד 9 בתוך שורה תו"/>
    <w:basedOn w:val="21Char3"/>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7">
    <w:name w:val="כותרת לבנה בתוך תבנית אדומה בתקציר"/>
    <w:basedOn w:val="Normal"/>
    <w:link w:val="Char6"/>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7"/>
    <w:link w:val="7333"/>
    <w:qFormat/>
    <w:rsid w:val="009D41AC"/>
  </w:style>
  <w:style w:type="character" w:customStyle="1" w:styleId="Char6">
    <w:name w:val="כותרת לבנה בתוך תבנית אדומה בתקציר Char"/>
    <w:basedOn w:val="DefaultParagraphFont"/>
    <w:link w:val="a27"/>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6"/>
    <w:link w:val="7332"/>
    <w:rsid w:val="009D41AC"/>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styleId="UnresolvedMention">
    <w:name w:val="Unresolved Mention"/>
    <w:basedOn w:val="DefaultParagraphFont"/>
    <w:uiPriority w:val="99"/>
    <w:semiHidden/>
    <w:unhideWhenUsed/>
    <w:rsid w:val="00965248"/>
    <w:rPr>
      <w:color w:val="605E5C"/>
      <w:shd w:val="clear" w:color="auto" w:fill="E1DFDD"/>
    </w:rPr>
  </w:style>
  <w:style w:type="paragraph" w:customStyle="1" w:styleId="7334">
    <w:name w:val="73א היפרלינק"/>
    <w:basedOn w:val="733"/>
    <w:link w:val="7335"/>
    <w:qFormat/>
    <w:rsid w:val="00973E62"/>
    <w:pPr>
      <w:bidi w:val="0"/>
    </w:pPr>
    <w:rPr>
      <w:color w:val="0000FF"/>
      <w:u w:val="single"/>
    </w:rPr>
  </w:style>
  <w:style w:type="character" w:customStyle="1" w:styleId="7335">
    <w:name w:val="73א היפרלינק תו"/>
    <w:basedOn w:val="7330"/>
    <w:link w:val="7334"/>
    <w:rsid w:val="00973E62"/>
    <w:rPr>
      <w:rFonts w:ascii="Tahoma" w:hAnsi="Tahoma" w:cs="Tahoma"/>
      <w:color w:val="0000FF"/>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BE57E3"/>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2E6467"/>
    <w:rPr>
      <w:bCs/>
    </w:rPr>
  </w:style>
  <w:style w:type="character" w:customStyle="1" w:styleId="7371">
    <w:name w:val="73א כותרת 7 בתוך טקסט תו"/>
    <w:basedOn w:val="7337"/>
    <w:link w:val="7370"/>
    <w:rsid w:val="002E6467"/>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8">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9">
    <w:name w:val="נבנצאל תו"/>
    <w:basedOn w:val="DefaultParagraphFont"/>
    <w:link w:val="a30"/>
    <w:uiPriority w:val="99"/>
    <w:locked/>
    <w:rsid w:val="00905FB1"/>
    <w:rPr>
      <w:szCs w:val="20"/>
    </w:rPr>
  </w:style>
  <w:style w:type="paragraph" w:customStyle="1" w:styleId="a30">
    <w:name w:val="נבנצאל"/>
    <w:basedOn w:val="Normal"/>
    <w:next w:val="Normal"/>
    <w:link w:val="a29"/>
    <w:uiPriority w:val="99"/>
    <w:rsid w:val="00905FB1"/>
    <w:pPr>
      <w:ind w:left="-567"/>
    </w:pPr>
    <w:rPr>
      <w:szCs w:val="20"/>
    </w:rPr>
  </w:style>
  <w:style w:type="paragraph" w:styleId="DocumentMap">
    <w:name w:val="Document Map"/>
    <w:basedOn w:val="Normal"/>
    <w:link w:val="a31"/>
    <w:uiPriority w:val="99"/>
    <w:semiHidden/>
    <w:unhideWhenUsed/>
    <w:rsid w:val="0030451F"/>
    <w:pPr>
      <w:spacing w:line="240" w:lineRule="auto"/>
    </w:pPr>
    <w:rPr>
      <w:rFonts w:ascii="Tahoma" w:hAnsi="Tahoma" w:cs="Tahoma"/>
      <w:sz w:val="16"/>
      <w:szCs w:val="16"/>
    </w:rPr>
  </w:style>
  <w:style w:type="character" w:customStyle="1" w:styleId="a31">
    <w:name w:val="מפת מסמך תו"/>
    <w:basedOn w:val="DefaultParagraphFont"/>
    <w:link w:val="DocumentMap"/>
    <w:uiPriority w:val="99"/>
    <w:semiHidden/>
    <w:rsid w:val="0030451F"/>
    <w:rPr>
      <w:rFonts w:ascii="Tahoma" w:hAnsi="Tahoma" w:cs="Tahoma"/>
      <w:sz w:val="16"/>
      <w:szCs w:val="16"/>
    </w:rPr>
  </w:style>
  <w:style w:type="paragraph" w:customStyle="1" w:styleId="125">
    <w:name w:val="סגנון1"/>
    <w:basedOn w:val="Caption"/>
    <w:qFormat/>
    <w:rsid w:val="0030451F"/>
    <w:pPr>
      <w:jc w:val="center"/>
    </w:pPr>
    <w:rPr>
      <w:b/>
      <w:bCs/>
      <w:iCs w:val="0"/>
      <w:color w:val="000000" w:themeColor="text1"/>
      <w:sz w:val="24"/>
      <w:szCs w:val="24"/>
    </w:rPr>
  </w:style>
  <w:style w:type="paragraph" w:customStyle="1" w:styleId="29">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32">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1F3363"/>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1F3363"/>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3">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1">
    <w:name w:val="מבקר המדינה - עמוד שער(לבן)"/>
    <w:basedOn w:val="Normal"/>
    <w:qFormat/>
    <w:rsid w:val="003570AC"/>
    <w:pPr>
      <w:ind w:left="2268"/>
    </w:pPr>
    <w:rPr>
      <w:rFonts w:ascii="Tahoma" w:hAnsi="Tahoma" w:cs="Tahoma"/>
      <w:sz w:val="18"/>
      <w:szCs w:val="18"/>
    </w:rPr>
  </w:style>
  <w:style w:type="paragraph" w:customStyle="1" w:styleId="-2">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4">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4"/>
    <w:link w:val="7393"/>
    <w:qFormat/>
    <w:rsid w:val="00EB1FCF"/>
    <w:rPr>
      <w:color w:val="0D0D0D" w:themeColor="text1" w:themeTint="F2"/>
      <w:sz w:val="18"/>
    </w:rPr>
  </w:style>
  <w:style w:type="character" w:customStyle="1" w:styleId="7393">
    <w:name w:val="73א טקסט רץ 9 תו"/>
    <w:basedOn w:val="Char4"/>
    <w:link w:val="7392"/>
    <w:rsid w:val="00EB1FCF"/>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20">
    <w:name w:val="73א כותרת 6_12 תו"/>
    <w:basedOn w:val="DefaultParagraphFont"/>
    <w:link w:val="73612"/>
    <w:rsid w:val="001F3363"/>
    <w:rPr>
      <w:rFonts w:ascii="Tahoma" w:hAnsi="Tahoma" w:cs="Tahoma"/>
      <w:b/>
      <w:bCs/>
      <w:color w:val="00305F"/>
      <w:sz w:val="24"/>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6">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711">
    <w:name w:val="71ג מקרא+הערות לתרשים/לוח/תמונה"/>
    <w:basedOn w:val="Normal"/>
    <w:link w:val="71Char"/>
    <w:qFormat/>
    <w:rsid w:val="00747AE5"/>
    <w:pPr>
      <w:spacing w:before="120" w:after="240" w:line="260" w:lineRule="exact"/>
      <w:ind w:left="397" w:hanging="397"/>
    </w:pPr>
    <w:rPr>
      <w:rFonts w:ascii="Tahoma" w:hAnsi="Tahoma" w:cs="Tahoma"/>
      <w:color w:val="0D0D0D" w:themeColor="text1" w:themeTint="F2"/>
      <w:sz w:val="16"/>
      <w:szCs w:val="16"/>
    </w:rPr>
  </w:style>
  <w:style w:type="character" w:customStyle="1" w:styleId="71Char">
    <w:name w:val="71ג מקרא+הערות לתרשים/לוח/תמונה Char"/>
    <w:basedOn w:val="DefaultParagraphFont"/>
    <w:link w:val="711"/>
    <w:rsid w:val="00747AE5"/>
    <w:rPr>
      <w:rFonts w:ascii="Tahoma" w:hAnsi="Tahoma" w:cs="Tahoma"/>
      <w:color w:val="0D0D0D" w:themeColor="text1" w:themeTint="F2"/>
      <w:sz w:val="16"/>
      <w:szCs w:val="16"/>
    </w:rPr>
  </w:style>
  <w:style w:type="paragraph" w:customStyle="1" w:styleId="a35">
    <w:name w:val="תאריך הדוח"/>
    <w:qFormat/>
    <w:rsid w:val="001C7D48"/>
    <w:pPr>
      <w:ind w:left="2268"/>
      <w:jc w:val="left"/>
    </w:pPr>
    <w:rPr>
      <w:rFonts w:ascii="Tahoma" w:hAnsi="Tahoma" w:cs="Tahoma"/>
      <w:sz w:val="18"/>
      <w:szCs w:val="18"/>
    </w:rPr>
  </w:style>
  <w:style w:type="paragraph" w:customStyle="1" w:styleId="a36">
    <w:name w:val="כותרת ראשית לדוח"/>
    <w:qFormat/>
    <w:rsid w:val="00202249"/>
    <w:pPr>
      <w:spacing w:before="360" w:line="600" w:lineRule="exact"/>
      <w:ind w:left="2268"/>
      <w:jc w:val="left"/>
    </w:pPr>
    <w:rPr>
      <w:rFonts w:ascii="Tahoma" w:hAnsi="Tahoma" w:cs="Tahoma"/>
      <w:b/>
      <w:bC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image" Target="media/image4.jpeg" /><Relationship Id="rId2" Type="http://schemas.openxmlformats.org/officeDocument/2006/relationships/endnotes" Target="endnote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image" Target="media/image10.jpeg" /><Relationship Id="rId26" Type="http://schemas.openxmlformats.org/officeDocument/2006/relationships/image" Target="media/image11.jpeg" /><Relationship Id="rId27" Type="http://schemas.openxmlformats.org/officeDocument/2006/relationships/image" Target="media/image12.emf" /><Relationship Id="rId28" Type="http://schemas.openxmlformats.org/officeDocument/2006/relationships/header" Target="header5.xml" /><Relationship Id="rId29" Type="http://schemas.openxmlformats.org/officeDocument/2006/relationships/footer" Target="footer4.xml" /><Relationship Id="rId3" Type="http://schemas.openxmlformats.org/officeDocument/2006/relationships/settings" Target="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s>
</file>

<file path=word/_rels/numbering.xml.rels><?xml version="1.0" encoding="utf-8" standalone="yes"?><Relationships xmlns="http://schemas.openxmlformats.org/package/2006/relationships"><Relationship Id="rId1" Type="http://schemas.openxmlformats.org/officeDocument/2006/relationships/image" Target="media/image13.png" /><Relationship Id="rId2" Type="http://schemas.openxmlformats.org/officeDocument/2006/relationships/image" Target="media/image14.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5.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3.xml><?xml version="1.0" encoding="utf-8"?>
<ds:datastoreItem xmlns:ds="http://schemas.openxmlformats.org/officeDocument/2006/customXml" ds:itemID="{F8539821-4BE0-444B-BC8C-64E7B792C4A0}"/>
</file>

<file path=customXml/itemProps4.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