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114740" w:rsidP="00114740" w14:paraId="64FDB40A" w14:textId="77777777">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8"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Pr>
          <w:rtl/>
        </w:rPr>
        <w:tab/>
      </w:r>
    </w:p>
    <w:p w:rsidR="00114740" w:rsidP="00114740" w14:paraId="73F0C689" w14:textId="77777777">
      <w:pPr>
        <w:rPr>
          <w:rtl/>
        </w:rPr>
      </w:pPr>
    </w:p>
    <w:p w:rsidR="00114740" w:rsidP="00114740" w14:paraId="76FD6CFA" w14:textId="7777777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0"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114740" w:rsidP="00114740" w14:paraId="734AB2B8" w14:textId="77777777">
      <w:pPr>
        <w:spacing w:line="240" w:lineRule="atLeast"/>
        <w:jc w:val="center"/>
        <w:rPr>
          <w:rFonts w:ascii="Tahoma" w:hAnsi="Tahoma" w:cs="Tahoma"/>
          <w:sz w:val="22"/>
          <w:szCs w:val="22"/>
          <w:rtl/>
        </w:rPr>
      </w:pPr>
    </w:p>
    <w:p w:rsidR="00114740" w:rsidP="00114740" w14:paraId="13B73F72" w14:textId="77777777">
      <w:pPr>
        <w:spacing w:line="240" w:lineRule="atLeast"/>
        <w:jc w:val="center"/>
        <w:rPr>
          <w:rFonts w:ascii="Tahoma" w:hAnsi="Tahoma" w:cs="Tahoma"/>
          <w:sz w:val="22"/>
          <w:szCs w:val="22"/>
          <w:rtl/>
        </w:rPr>
      </w:pPr>
    </w:p>
    <w:p w:rsidR="00114740" w:rsidRPr="00170230" w:rsidP="00114740" w14:paraId="7809C2F7" w14:textId="77777777">
      <w:pPr>
        <w:spacing w:line="240" w:lineRule="atLeast"/>
        <w:jc w:val="center"/>
        <w:rPr>
          <w:rFonts w:ascii="Tahoma" w:hAnsi="Tahoma" w:cs="Tahoma"/>
          <w:szCs w:val="18"/>
          <w:rtl/>
        </w:rPr>
      </w:pPr>
    </w:p>
    <w:p w:rsidR="00114740" w:rsidP="00114740" w14:paraId="298973AB" w14:textId="6F2E9D3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3066430</wp:posOffset>
                </wp:positionH>
                <wp:positionV relativeFrom="paragraph">
                  <wp:posOffset>262498</wp:posOffset>
                </wp:positionV>
                <wp:extent cx="0" cy="3904615"/>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0461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45pt,20.65pt" to="241.45pt,328.1pt" strokecolor="white" strokeweight="4pt"/>
            </w:pict>
          </mc:Fallback>
        </mc:AlternateContent>
      </w:r>
      <w:r w:rsidR="004D1728">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128424</wp:posOffset>
                </wp:positionH>
                <wp:positionV relativeFrom="paragraph">
                  <wp:posOffset>1933916</wp:posOffset>
                </wp:positionV>
                <wp:extent cx="2809100" cy="0"/>
                <wp:effectExtent l="12700" t="12700" r="1079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091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9504" from="10.1pt,152.3pt" to="231.3pt,152.3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-125095</wp:posOffset>
                </wp:positionH>
                <wp:positionV relativeFrom="paragraph">
                  <wp:posOffset>347980</wp:posOffset>
                </wp:positionV>
                <wp:extent cx="459930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9305" cy="4273550"/>
                        </a:xfrm>
                        <a:prstGeom prst="rect">
                          <a:avLst/>
                        </a:prstGeom>
                        <a:solidFill>
                          <a:srgbClr val="00305F"/>
                        </a:solidFill>
                        <a:ln w="9525">
                          <a:noFill/>
                          <a:miter lim="800000"/>
                          <a:headEnd/>
                          <a:tailEnd/>
                        </a:ln>
                      </wps:spPr>
                      <wps:txbx>
                        <w:txbxContent>
                          <w:p w:rsidR="00114740" w:rsidP="00114740" w14:textId="77777777">
                            <w:pPr>
                              <w:ind w:left="2268"/>
                              <w:rPr>
                                <w:rFonts w:ascii="Tahoma" w:hAnsi="Tahoma" w:cs="Tahoma"/>
                                <w:sz w:val="18"/>
                                <w:szCs w:val="18"/>
                                <w:rtl/>
                              </w:rPr>
                            </w:pPr>
                          </w:p>
                          <w:p w:rsidR="00114740" w:rsidP="00114740" w14:textId="77777777">
                            <w:pPr>
                              <w:ind w:left="2268"/>
                              <w:rPr>
                                <w:rFonts w:ascii="Tahoma" w:hAnsi="Tahoma" w:cs="Tahoma"/>
                                <w:sz w:val="18"/>
                                <w:szCs w:val="18"/>
                                <w:rtl/>
                              </w:rPr>
                            </w:pPr>
                          </w:p>
                          <w:p w:rsidR="00114740" w:rsidRPr="0052031E" w:rsidP="00E70F78" w14:textId="4EB4371A">
                            <w:pPr>
                              <w:pStyle w:val="a41"/>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חשוון </w:t>
                            </w:r>
                            <w:r>
                              <w:rPr>
                                <w:rFonts w:hint="cs"/>
                                <w:rtl/>
                              </w:rPr>
                              <w:t>התשפ״ג</w:t>
                            </w:r>
                            <w:r>
                              <w:rPr>
                                <w:rFonts w:hint="cs"/>
                                <w:rtl/>
                              </w:rPr>
                              <w:t xml:space="preserve"> </w:t>
                            </w:r>
                            <w:r w:rsidRPr="0052031E">
                              <w:rPr>
                                <w:rtl/>
                              </w:rPr>
                              <w:t>|</w:t>
                            </w:r>
                            <w:r>
                              <w:rPr>
                                <w:rFonts w:hint="cs"/>
                                <w:rtl/>
                              </w:rPr>
                              <w:t xml:space="preserve"> </w:t>
                            </w:r>
                            <w:r w:rsidRPr="00ED3F50" w:rsidR="00ED3F50">
                              <w:rPr>
                                <w:rtl/>
                              </w:rPr>
                              <w:t xml:space="preserve">נובמבר </w:t>
                            </w:r>
                            <w:r>
                              <w:rPr>
                                <w:rFonts w:hint="cs"/>
                                <w:rtl/>
                              </w:rPr>
                              <w:t xml:space="preserve">2022 </w:t>
                            </w:r>
                          </w:p>
                          <w:p w:rsidR="00114740" w:rsidP="00114740" w14:textId="77777777">
                            <w:pPr>
                              <w:ind w:left="2268"/>
                              <w:rPr>
                                <w:rtl/>
                              </w:rPr>
                            </w:pPr>
                          </w:p>
                          <w:p w:rsidR="00114740" w:rsidP="00114740" w14:textId="77777777">
                            <w:pPr>
                              <w:ind w:left="2268"/>
                              <w:rPr>
                                <w:rtl/>
                              </w:rPr>
                            </w:pPr>
                          </w:p>
                          <w:p w:rsidR="00114740" w:rsidP="00114740" w14:textId="77777777">
                            <w:pPr>
                              <w:ind w:left="2268"/>
                              <w:rPr>
                                <w:rtl/>
                              </w:rPr>
                            </w:pPr>
                          </w:p>
                          <w:p w:rsidR="00114740" w:rsidRPr="000A3ED4" w:rsidP="00D83470" w14:textId="5CF78EDF">
                            <w:pPr>
                              <w:pStyle w:val="-2"/>
                              <w:rPr>
                                <w:rtl/>
                              </w:rPr>
                            </w:pPr>
                            <w:r w:rsidRPr="007813F2">
                              <w:rPr>
                                <w:rtl/>
                              </w:rPr>
                              <w:t>רשות שוק ההון, ביטוח וחיסכון</w:t>
                            </w:r>
                            <w:r w:rsidRPr="007813F2">
                              <w:rPr>
                                <w:rFonts w:hint="cs"/>
                                <w:rtl/>
                              </w:rPr>
                              <w:t xml:space="preserve"> </w:t>
                            </w:r>
                          </w:p>
                          <w:p w:rsidR="00114740" w:rsidRPr="00D83470" w:rsidP="00163D58" w14:textId="77777777">
                            <w:pPr>
                              <w:pStyle w:val="a42"/>
                              <w:bidi/>
                              <w:spacing w:before="120"/>
                              <w:rPr>
                                <w:rtl/>
                              </w:rPr>
                            </w:pPr>
                            <w:r w:rsidRPr="00411396">
                              <w:rPr>
                                <w:rtl/>
                              </w:rPr>
                              <w:t xml:space="preserve">היבטים </w:t>
                            </w:r>
                            <w:r w:rsidRPr="00411396">
                              <w:rPr>
                                <w:rtl/>
                              </w:rPr>
                              <w:t>בפנסייה</w:t>
                            </w:r>
                            <w:r w:rsidRPr="00411396">
                              <w:rPr>
                                <w:rtl/>
                              </w:rPr>
                              <w:t xml:space="preserve"> הצוברת ובשוק ההפצה הפנסיוני - ביקורת מעקב</w:t>
                            </w:r>
                          </w:p>
                          <w:p w:rsidR="00114740" w:rsidRPr="00D83470" w:rsidP="00D83470" w14:textId="77777777">
                            <w:pPr>
                              <w:pStyle w:val="a4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width:362.15pt;height:336.5pt;margin-top:27.4pt;margin-left:-9.85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114740" w:rsidP="00114740" w14:paraId="5C474AEB" w14:textId="77777777">
                      <w:pPr>
                        <w:ind w:left="2268"/>
                        <w:rPr>
                          <w:rFonts w:ascii="Tahoma" w:hAnsi="Tahoma" w:cs="Tahoma"/>
                          <w:sz w:val="18"/>
                          <w:szCs w:val="18"/>
                          <w:rtl/>
                        </w:rPr>
                      </w:pPr>
                    </w:p>
                    <w:p w:rsidR="00114740" w:rsidP="00114740" w14:paraId="3611F9CE" w14:textId="77777777">
                      <w:pPr>
                        <w:ind w:left="2268"/>
                        <w:rPr>
                          <w:rFonts w:ascii="Tahoma" w:hAnsi="Tahoma" w:cs="Tahoma"/>
                          <w:sz w:val="18"/>
                          <w:szCs w:val="18"/>
                          <w:rtl/>
                        </w:rPr>
                      </w:pPr>
                    </w:p>
                    <w:p w:rsidR="00114740" w:rsidRPr="0052031E" w:rsidP="00E70F78" w14:paraId="6AA924E8" w14:textId="4EB4371A">
                      <w:pPr>
                        <w:pStyle w:val="a41"/>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חשוון </w:t>
                      </w:r>
                      <w:r>
                        <w:rPr>
                          <w:rFonts w:hint="cs"/>
                          <w:rtl/>
                        </w:rPr>
                        <w:t>התשפ״ג</w:t>
                      </w:r>
                      <w:r>
                        <w:rPr>
                          <w:rFonts w:hint="cs"/>
                          <w:rtl/>
                        </w:rPr>
                        <w:t xml:space="preserve"> </w:t>
                      </w:r>
                      <w:r w:rsidRPr="0052031E">
                        <w:rPr>
                          <w:rtl/>
                        </w:rPr>
                        <w:t>|</w:t>
                      </w:r>
                      <w:r>
                        <w:rPr>
                          <w:rFonts w:hint="cs"/>
                          <w:rtl/>
                        </w:rPr>
                        <w:t xml:space="preserve"> </w:t>
                      </w:r>
                      <w:r w:rsidRPr="00ED3F50" w:rsidR="00ED3F50">
                        <w:rPr>
                          <w:rtl/>
                        </w:rPr>
                        <w:t xml:space="preserve">נובמבר </w:t>
                      </w:r>
                      <w:r>
                        <w:rPr>
                          <w:rFonts w:hint="cs"/>
                          <w:rtl/>
                        </w:rPr>
                        <w:t xml:space="preserve">2022 </w:t>
                      </w:r>
                    </w:p>
                    <w:p w:rsidR="00114740" w:rsidP="00114740" w14:paraId="75F9C6A6" w14:textId="77777777">
                      <w:pPr>
                        <w:ind w:left="2268"/>
                        <w:rPr>
                          <w:rtl/>
                        </w:rPr>
                      </w:pPr>
                    </w:p>
                    <w:p w:rsidR="00114740" w:rsidP="00114740" w14:paraId="0A46BD80" w14:textId="77777777">
                      <w:pPr>
                        <w:ind w:left="2268"/>
                        <w:rPr>
                          <w:rtl/>
                        </w:rPr>
                      </w:pPr>
                    </w:p>
                    <w:p w:rsidR="00114740" w:rsidP="00114740" w14:paraId="56E0A041" w14:textId="77777777">
                      <w:pPr>
                        <w:ind w:left="2268"/>
                        <w:rPr>
                          <w:rtl/>
                        </w:rPr>
                      </w:pPr>
                    </w:p>
                    <w:p w:rsidR="00114740" w:rsidRPr="000A3ED4" w:rsidP="00D83470" w14:paraId="0270C5C5" w14:textId="5CF78EDF">
                      <w:pPr>
                        <w:pStyle w:val="-2"/>
                        <w:rPr>
                          <w:rtl/>
                        </w:rPr>
                      </w:pPr>
                      <w:r w:rsidRPr="007813F2">
                        <w:rPr>
                          <w:rtl/>
                        </w:rPr>
                        <w:t>רשות שוק ההון, ביטוח וחיסכון</w:t>
                      </w:r>
                      <w:r w:rsidRPr="007813F2">
                        <w:rPr>
                          <w:rFonts w:hint="cs"/>
                          <w:rtl/>
                        </w:rPr>
                        <w:t xml:space="preserve"> </w:t>
                      </w:r>
                    </w:p>
                    <w:p w:rsidR="00114740" w:rsidRPr="00D83470" w:rsidP="00163D58" w14:paraId="3B5FB61D" w14:textId="77777777">
                      <w:pPr>
                        <w:pStyle w:val="a42"/>
                        <w:bidi/>
                        <w:spacing w:before="120"/>
                        <w:rPr>
                          <w:rtl/>
                        </w:rPr>
                      </w:pPr>
                      <w:r w:rsidRPr="00411396">
                        <w:rPr>
                          <w:rtl/>
                        </w:rPr>
                        <w:t xml:space="preserve">היבטים </w:t>
                      </w:r>
                      <w:r w:rsidRPr="00411396">
                        <w:rPr>
                          <w:rtl/>
                        </w:rPr>
                        <w:t>בפנסייה</w:t>
                      </w:r>
                      <w:r w:rsidRPr="00411396">
                        <w:rPr>
                          <w:rtl/>
                        </w:rPr>
                        <w:t xml:space="preserve"> הצוברת ובשוק ההפצה הפנסיוני - ביקורת מעקב</w:t>
                      </w:r>
                    </w:p>
                    <w:p w:rsidR="00114740" w:rsidRPr="00D83470" w:rsidP="00D83470" w14:paraId="61DA3C12" w14:textId="77777777">
                      <w:pPr>
                        <w:pStyle w:val="a42"/>
                        <w:bidi/>
                        <w:rPr>
                          <w:rtl/>
                        </w:rPr>
                      </w:pPr>
                    </w:p>
                  </w:txbxContent>
                </v:textbox>
                <w10:wrap type="square"/>
              </v:shape>
            </w:pict>
          </mc:Fallback>
        </mc:AlternateContent>
      </w:r>
      <w:r>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114740" w:rsidP="00114740" w14:paraId="19273D5E" w14:textId="77777777">
      <w:pPr>
        <w:spacing w:line="240" w:lineRule="atLeast"/>
        <w:jc w:val="center"/>
        <w:rPr>
          <w:rFonts w:ascii="Tahoma" w:hAnsi="Tahoma" w:cs="Tahoma"/>
          <w:sz w:val="22"/>
          <w:szCs w:val="22"/>
          <w:rtl/>
        </w:rPr>
      </w:pPr>
    </w:p>
    <w:p w:rsidR="00114740" w:rsidRPr="00406E80" w:rsidP="00114740" w14:paraId="1169F540" w14:textId="77777777">
      <w:pPr>
        <w:spacing w:line="240" w:lineRule="atLeast"/>
        <w:jc w:val="center"/>
        <w:rPr>
          <w:rFonts w:ascii="Tahoma" w:hAnsi="Tahoma" w:cs="Tahoma"/>
          <w:color w:val="C6D9F1"/>
          <w:sz w:val="22"/>
          <w:szCs w:val="22"/>
          <w:rtl/>
        </w:rPr>
      </w:pPr>
    </w:p>
    <w:p w:rsidR="00114740" w:rsidP="00114740" w14:paraId="28F25146" w14:textId="77777777">
      <w:pPr>
        <w:spacing w:line="240" w:lineRule="atLeast"/>
        <w:jc w:val="center"/>
        <w:rPr>
          <w:rFonts w:ascii="Tahoma" w:hAnsi="Tahoma" w:cs="Tahoma"/>
          <w:sz w:val="22"/>
          <w:szCs w:val="22"/>
          <w:rtl/>
        </w:rPr>
      </w:pPr>
    </w:p>
    <w:p w:rsidR="00114740" w:rsidP="00114740" w14:paraId="7324A6AB" w14:textId="77777777">
      <w:pPr>
        <w:spacing w:line="240" w:lineRule="atLeast"/>
        <w:jc w:val="center"/>
        <w:rPr>
          <w:rFonts w:ascii="Tahoma" w:hAnsi="Tahoma" w:cs="Tahoma"/>
          <w:sz w:val="22"/>
          <w:szCs w:val="22"/>
          <w:rtl/>
        </w:rPr>
      </w:pPr>
    </w:p>
    <w:p w:rsidR="00114740" w:rsidP="00114740" w14:paraId="601AEFD2" w14:textId="77777777">
      <w:pPr>
        <w:spacing w:line="240" w:lineRule="atLeast"/>
        <w:jc w:val="center"/>
        <w:rPr>
          <w:rFonts w:ascii="Tahoma" w:hAnsi="Tahoma" w:cs="Tahoma"/>
          <w:sz w:val="22"/>
          <w:szCs w:val="22"/>
          <w:rtl/>
        </w:rPr>
      </w:pPr>
    </w:p>
    <w:p w:rsidR="00114740" w:rsidP="00114740" w14:paraId="046F3551"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114740" w:rsidP="00114740" w14:paraId="395D18BA"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-1526506</wp:posOffset>
                </wp:positionH>
                <wp:positionV relativeFrom="paragraph">
                  <wp:posOffset>-1288616</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598.55pt;height:121.5pt;margin-top:-101.45pt;margin-left:-120.2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114740" w:rsidP="00114740" w14:paraId="438A692B" w14:textId="77777777">
      <w:pPr>
        <w:jc w:val="left"/>
        <w:rPr>
          <w:rFonts w:ascii="Tahoma" w:hAnsi="Tahoma" w:cs="Tahoma"/>
          <w:sz w:val="22"/>
          <w:szCs w:val="22"/>
          <w:rtl/>
        </w:rPr>
        <w:sectPr w:rsidSect="00EE49B3">
          <w:headerReference w:type="even" r:id="rId18"/>
          <w:pgSz w:w="11906" w:h="16838" w:code="9"/>
          <w:pgMar w:top="3062" w:right="2268" w:bottom="2552" w:left="2268" w:header="709" w:footer="709" w:gutter="0"/>
          <w:cols w:space="720"/>
          <w:bidi/>
          <w:rtlGutter/>
          <w:docGrid w:linePitch="272"/>
        </w:sectPr>
      </w:pPr>
    </w:p>
    <w:p w:rsidR="00114740" w:rsidRPr="001F3363" w:rsidP="008F2A90" w14:paraId="2FF1690B" w14:textId="77777777">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-652389</wp:posOffset>
                </wp:positionH>
                <wp:positionV relativeFrom="paragraph">
                  <wp:posOffset>67310</wp:posOffset>
                </wp:positionV>
                <wp:extent cx="194310" cy="5823438"/>
                <wp:effectExtent l="0" t="0" r="0" b="635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823438"/>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15.3pt;height:458.55pt;margin-top:5.3pt;margin-left:-51.35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411396">
        <w:rPr>
          <w:rtl/>
        </w:rPr>
        <w:t xml:space="preserve">היבטים </w:t>
      </w:r>
      <w:r w:rsidRPr="00411396">
        <w:rPr>
          <w:rtl/>
        </w:rPr>
        <w:t>בפנסייה</w:t>
      </w:r>
      <w:r w:rsidRPr="00411396">
        <w:rPr>
          <w:rtl/>
        </w:rPr>
        <w:t xml:space="preserve"> הצוברת ובשוק ההפצה הפנסיוני - ביקורת מעקב</w:t>
      </w:r>
    </w:p>
    <w:p w:rsidR="00114740" w:rsidRPr="00411396" w:rsidP="00162B1A" w14:paraId="5B579D57" w14:textId="77777777">
      <w:pPr>
        <w:pStyle w:val="7392"/>
        <w:spacing w:before="240"/>
        <w:rPr>
          <w:rtl/>
        </w:rPr>
      </w:pPr>
      <w:r w:rsidRPr="0062254D">
        <w:rPr>
          <w:rFonts w:hint="cs"/>
          <w:rtl/>
        </w:rPr>
        <w:t xml:space="preserve">החיסכון לגיל פרישה מורכב משלושה רבדים: הרובד הראשון הוא קצבת הזקנה; הרובד השני, שהוא בדרך כלל מקור ההכנסה העיקרי לאחר הפרישה מהעבודה, הוא החיסכון הפנסיוני שצבר העובד בשנות עבודתו; והרובד השלישי הוא החיסכון הפרטי של משקי הבית. קרנות </w:t>
      </w:r>
      <w:r w:rsidRPr="0062254D">
        <w:rPr>
          <w:rFonts w:hint="cs"/>
          <w:rtl/>
        </w:rPr>
        <w:t>הפנסייה</w:t>
      </w:r>
      <w:r w:rsidRPr="0062254D">
        <w:rPr>
          <w:rFonts w:hint="cs"/>
          <w:rtl/>
        </w:rPr>
        <w:t xml:space="preserve"> החדשות נכללות ברובד השני של החיסכון הפנסיוני - כתוכניות </w:t>
      </w:r>
      <w:r w:rsidRPr="0062254D">
        <w:rPr>
          <w:rFonts w:hint="cs"/>
          <w:rtl/>
        </w:rPr>
        <w:t>פנסייה</w:t>
      </w:r>
      <w:r w:rsidRPr="0062254D">
        <w:rPr>
          <w:rFonts w:hint="cs"/>
          <w:rtl/>
        </w:rPr>
        <w:t xml:space="preserve"> מוגדרות צבירה </w:t>
      </w:r>
      <w:r w:rsidRPr="0062254D">
        <w:rPr>
          <w:rtl/>
        </w:rPr>
        <w:t>(</w:t>
      </w:r>
      <w:r w:rsidRPr="0062254D">
        <w:t>Defined Contribution - DC</w:t>
      </w:r>
      <w:r w:rsidRPr="0062254D">
        <w:rPr>
          <w:rtl/>
        </w:rPr>
        <w:t>)</w:t>
      </w:r>
      <w:r w:rsidRPr="0062254D">
        <w:rPr>
          <w:rFonts w:hint="cs"/>
          <w:rtl/>
        </w:rPr>
        <w:t xml:space="preserve">. בשיטת </w:t>
      </w:r>
      <w:r w:rsidRPr="0062254D">
        <w:rPr>
          <w:rFonts w:hint="cs"/>
        </w:rPr>
        <w:t>DC</w:t>
      </w:r>
      <w:r w:rsidRPr="0062254D">
        <w:rPr>
          <w:rFonts w:hint="cs"/>
          <w:rtl/>
        </w:rPr>
        <w:t xml:space="preserve"> הגמלה נקבעת לפי צבירת ההפרשות של העובד ושל המעסיק לקרן, בתוספת התשואה שעשתה הקרן ובניכוי דמי הניהול ועל יסוד הנחות לגבי תוחלת החיים. בשיטה זו מוטלים סיכוני התשואה במלואם על העובד</w:t>
      </w:r>
      <w:r w:rsidRPr="00411396">
        <w:rPr>
          <w:rFonts w:hint="cs"/>
          <w:rtl/>
        </w:rPr>
        <w:t>.</w:t>
      </w:r>
      <w:r w:rsidRPr="00411396">
        <w:rPr>
          <w:rtl/>
        </w:rPr>
        <w:t xml:space="preserve"> </w:t>
      </w:r>
    </w:p>
    <w:p w:rsidR="00114740" w:rsidP="00114740" w14:paraId="587F99D4" w14:textId="77777777">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3324225</wp:posOffset>
            </wp:positionH>
            <wp:positionV relativeFrom="paragraph">
              <wp:posOffset>7802</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114740" w:rsidP="001748C5" w14:paraId="323D4F81" w14:textId="77777777">
      <w:pPr>
        <w:pStyle w:val="100"/>
        <w:tabs>
          <w:tab w:val="center" w:pos="3685"/>
        </w:tabs>
        <w:spacing w:before="240" w:after="0" w:line="240" w:lineRule="exact"/>
        <w:rPr>
          <w:b/>
          <w:bCs/>
          <w:color w:val="00305F"/>
          <w:sz w:val="32"/>
          <w:szCs w:val="32"/>
          <w:rtl/>
        </w:rPr>
      </w:pPr>
    </w:p>
    <w:tbl>
      <w:tblPr>
        <w:tblStyle w:val="TableGrid"/>
        <w:bidiVisual/>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5"/>
        <w:gridCol w:w="238"/>
        <w:gridCol w:w="1759"/>
        <w:gridCol w:w="238"/>
        <w:gridCol w:w="1686"/>
        <w:gridCol w:w="266"/>
        <w:gridCol w:w="1530"/>
      </w:tblGrid>
      <w:tr w14:paraId="651FEA5D" w14:textId="77777777" w:rsidTr="001748C5">
        <w:tblPrEx>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74" w:type="pct"/>
            <w:tcBorders>
              <w:bottom w:val="single" w:sz="12" w:space="0" w:color="000000"/>
            </w:tcBorders>
            <w:vAlign w:val="bottom"/>
          </w:tcPr>
          <w:p w:rsidR="00114740" w:rsidRPr="004562F8" w:rsidP="00937056" w14:paraId="751FDA82" w14:textId="77777777">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 xml:space="preserve">464.7 </w:t>
            </w:r>
            <w:r w:rsidRPr="00CB59D3">
              <w:rPr>
                <w:rFonts w:ascii="1" w:hAnsi="1" w:eastAsiaTheme="minorEastAsia" w:cs="Tahoma" w:hint="cs"/>
                <w:b/>
                <w:bCs/>
                <w:color w:val="0D0D0D" w:themeColor="text1" w:themeTint="F2"/>
                <w:spacing w:val="-20"/>
                <w:sz w:val="26"/>
                <w:szCs w:val="26"/>
                <w:rtl/>
              </w:rPr>
              <w:t>מיליארד ש״ח</w:t>
            </w:r>
          </w:p>
        </w:tc>
        <w:tc>
          <w:tcPr>
            <w:tcW w:w="159" w:type="pct"/>
            <w:vAlign w:val="bottom"/>
          </w:tcPr>
          <w:p w:rsidR="00114740" w:rsidP="00937056" w14:paraId="620E947A" w14:textId="77777777">
            <w:pPr>
              <w:spacing w:before="120" w:after="60" w:line="240" w:lineRule="auto"/>
              <w:rPr>
                <w:rtl/>
              </w:rPr>
            </w:pPr>
          </w:p>
        </w:tc>
        <w:tc>
          <w:tcPr>
            <w:tcW w:w="1177" w:type="pct"/>
            <w:tcBorders>
              <w:bottom w:val="single" w:sz="12" w:space="0" w:color="000000"/>
            </w:tcBorders>
            <w:vAlign w:val="bottom"/>
          </w:tcPr>
          <w:p w:rsidR="00114740" w:rsidRPr="005C7ABF" w:rsidP="00937056" w14:paraId="6462F1D9" w14:textId="77777777">
            <w:pPr>
              <w:pStyle w:val="2021"/>
              <w:spacing w:before="0" w:after="60"/>
              <w:rPr>
                <w:spacing w:val="-10"/>
                <w:rtl/>
              </w:rPr>
            </w:pPr>
            <w:r>
              <w:rPr>
                <w:rFonts w:hint="cs"/>
                <w:spacing w:val="-10"/>
                <w:rtl/>
              </w:rPr>
              <w:t xml:space="preserve">44.9 </w:t>
            </w:r>
            <w:r w:rsidRPr="00CB59D3">
              <w:rPr>
                <w:rFonts w:hint="cs"/>
                <w:spacing w:val="-20"/>
                <w:sz w:val="26"/>
                <w:szCs w:val="26"/>
                <w:rtl/>
              </w:rPr>
              <w:t>מיליארד ש״ח</w:t>
            </w:r>
          </w:p>
        </w:tc>
        <w:tc>
          <w:tcPr>
            <w:tcW w:w="159" w:type="pct"/>
            <w:vAlign w:val="bottom"/>
          </w:tcPr>
          <w:p w:rsidR="00114740" w:rsidP="00937056" w14:paraId="42E4F064" w14:textId="77777777">
            <w:pPr>
              <w:spacing w:before="120" w:after="60" w:line="240" w:lineRule="auto"/>
              <w:rPr>
                <w:rtl/>
              </w:rPr>
            </w:pPr>
          </w:p>
        </w:tc>
        <w:tc>
          <w:tcPr>
            <w:tcW w:w="1128" w:type="pct"/>
            <w:tcBorders>
              <w:bottom w:val="single" w:sz="12" w:space="0" w:color="000000"/>
            </w:tcBorders>
            <w:vAlign w:val="bottom"/>
          </w:tcPr>
          <w:p w:rsidR="00114740" w:rsidRPr="00340353" w:rsidP="00937056" w14:paraId="63E70F02" w14:textId="77777777">
            <w:pPr>
              <w:pStyle w:val="2021"/>
              <w:spacing w:before="0" w:after="60"/>
              <w:rPr>
                <w:b w:val="0"/>
                <w:bCs w:val="0"/>
                <w:spacing w:val="-20"/>
                <w:sz w:val="24"/>
                <w:rtl/>
              </w:rPr>
            </w:pPr>
            <w:r>
              <w:rPr>
                <w:rFonts w:hint="cs"/>
                <w:spacing w:val="-10"/>
                <w:rtl/>
              </w:rPr>
              <w:t xml:space="preserve">1.95% </w:t>
            </w:r>
          </w:p>
        </w:tc>
        <w:tc>
          <w:tcPr>
            <w:tcW w:w="178" w:type="pct"/>
          </w:tcPr>
          <w:p w:rsidR="00114740" w:rsidP="00937056" w14:paraId="3237A209" w14:textId="77777777">
            <w:pPr>
              <w:pStyle w:val="2021"/>
              <w:spacing w:before="0" w:after="60"/>
              <w:rPr>
                <w:spacing w:val="-10"/>
                <w:rtl/>
              </w:rPr>
            </w:pPr>
          </w:p>
        </w:tc>
        <w:tc>
          <w:tcPr>
            <w:tcW w:w="1024" w:type="pct"/>
            <w:tcBorders>
              <w:bottom w:val="single" w:sz="12" w:space="0" w:color="000000"/>
            </w:tcBorders>
            <w:vAlign w:val="bottom"/>
          </w:tcPr>
          <w:p w:rsidR="00114740" w:rsidP="00937056" w14:paraId="1B4FF2BD" w14:textId="77777777">
            <w:pPr>
              <w:pStyle w:val="2021"/>
              <w:spacing w:before="0" w:after="60"/>
              <w:rPr>
                <w:spacing w:val="-10"/>
                <w:rtl/>
              </w:rPr>
            </w:pPr>
            <w:r>
              <w:rPr>
                <w:rFonts w:hint="cs"/>
                <w:spacing w:val="-10"/>
                <w:rtl/>
              </w:rPr>
              <w:t xml:space="preserve">0.19% </w:t>
            </w:r>
          </w:p>
        </w:tc>
      </w:tr>
      <w:tr w14:paraId="3B562011" w14:textId="77777777" w:rsidTr="001748C5">
        <w:tblPrEx>
          <w:tblW w:w="5069" w:type="pct"/>
          <w:tblLook w:val="04A0"/>
        </w:tblPrEx>
        <w:tc>
          <w:tcPr>
            <w:tcW w:w="1174" w:type="pct"/>
            <w:tcBorders>
              <w:top w:val="single" w:sz="12" w:space="0" w:color="000000"/>
            </w:tcBorders>
          </w:tcPr>
          <w:p w:rsidR="00114740" w:rsidRPr="00E52143" w:rsidP="00937056" w14:paraId="146EEA59" w14:textId="77777777">
            <w:pPr>
              <w:pStyle w:val="732021"/>
              <w:spacing w:before="0"/>
              <w:rPr>
                <w:rtl/>
              </w:rPr>
            </w:pPr>
            <w:r w:rsidRPr="00E52143">
              <w:rPr>
                <w:rFonts w:hint="cs"/>
                <w:rtl/>
              </w:rPr>
              <w:t xml:space="preserve">יתרת הנכסים של קרנות </w:t>
            </w:r>
            <w:r w:rsidRPr="00E52143">
              <w:rPr>
                <w:rFonts w:hint="cs"/>
                <w:rtl/>
              </w:rPr>
              <w:t>הפנסייה</w:t>
            </w:r>
            <w:r w:rsidRPr="00E52143">
              <w:rPr>
                <w:rFonts w:hint="cs"/>
                <w:rtl/>
              </w:rPr>
              <w:t xml:space="preserve"> החדשות ב-31.12.20 - גידול של כ-15% לעומת שנת 2019</w:t>
            </w:r>
          </w:p>
        </w:tc>
        <w:tc>
          <w:tcPr>
            <w:tcW w:w="159" w:type="pct"/>
          </w:tcPr>
          <w:p w:rsidR="00114740" w:rsidRPr="00E52143" w:rsidP="00937056" w14:paraId="7E2115C5" w14:textId="77777777">
            <w:pPr>
              <w:pStyle w:val="732021"/>
              <w:spacing w:before="0"/>
              <w:rPr>
                <w:rtl/>
              </w:rPr>
            </w:pPr>
          </w:p>
        </w:tc>
        <w:tc>
          <w:tcPr>
            <w:tcW w:w="1177" w:type="pct"/>
            <w:tcBorders>
              <w:top w:val="single" w:sz="12" w:space="0" w:color="000000"/>
            </w:tcBorders>
          </w:tcPr>
          <w:p w:rsidR="00114740" w:rsidRPr="00E52143" w:rsidP="00937056" w14:paraId="564D24AB" w14:textId="77777777">
            <w:pPr>
              <w:pStyle w:val="732021"/>
              <w:spacing w:before="0"/>
              <w:rPr>
                <w:rtl/>
              </w:rPr>
            </w:pPr>
            <w:r w:rsidRPr="00E52143">
              <w:rPr>
                <w:rFonts w:hint="cs"/>
                <w:rtl/>
              </w:rPr>
              <w:t xml:space="preserve">ההפקדות לקרנות </w:t>
            </w:r>
            <w:r w:rsidRPr="00E52143">
              <w:rPr>
                <w:rFonts w:hint="cs"/>
                <w:rtl/>
              </w:rPr>
              <w:t>הפנסייה</w:t>
            </w:r>
            <w:r w:rsidRPr="00E52143">
              <w:rPr>
                <w:rFonts w:hint="cs"/>
                <w:rtl/>
              </w:rPr>
              <w:t xml:space="preserve"> החדשות בשנת 2020 - גידול של 5% לעומת שנת 2019</w:t>
            </w:r>
          </w:p>
        </w:tc>
        <w:tc>
          <w:tcPr>
            <w:tcW w:w="159" w:type="pct"/>
          </w:tcPr>
          <w:p w:rsidR="00114740" w:rsidRPr="00E52143" w:rsidP="00937056" w14:paraId="6884A8EF" w14:textId="77777777">
            <w:pPr>
              <w:pStyle w:val="732021"/>
              <w:spacing w:before="0"/>
              <w:rPr>
                <w:rtl/>
              </w:rPr>
            </w:pPr>
          </w:p>
        </w:tc>
        <w:tc>
          <w:tcPr>
            <w:tcW w:w="1128" w:type="pct"/>
            <w:tcBorders>
              <w:top w:val="single" w:sz="12" w:space="0" w:color="000000"/>
            </w:tcBorders>
          </w:tcPr>
          <w:p w:rsidR="008078D9" w:rsidRPr="00E52143" w:rsidP="00162B1A" w14:paraId="0E4589AA" w14:textId="6FF67707">
            <w:pPr>
              <w:pStyle w:val="732021"/>
              <w:spacing w:before="0"/>
              <w:rPr>
                <w:rtl/>
              </w:rPr>
            </w:pPr>
            <w:r w:rsidRPr="00E52143">
              <w:rPr>
                <w:rFonts w:hint="cs"/>
                <w:rtl/>
              </w:rPr>
              <w:t xml:space="preserve">השיעור הממוצע של דמי הניהול מההפקדות של כלל העמיתים בקרנות </w:t>
            </w:r>
            <w:r w:rsidRPr="00E52143">
              <w:rPr>
                <w:rFonts w:hint="cs"/>
                <w:rtl/>
              </w:rPr>
              <w:t>הפנסייה</w:t>
            </w:r>
            <w:r w:rsidRPr="00E52143">
              <w:rPr>
                <w:rFonts w:hint="cs"/>
                <w:rtl/>
              </w:rPr>
              <w:t xml:space="preserve"> החדשות והמקיפות בשנת 2020, לעומת 2.85% בשנת 2016</w:t>
            </w:r>
          </w:p>
        </w:tc>
        <w:tc>
          <w:tcPr>
            <w:tcW w:w="178" w:type="pct"/>
          </w:tcPr>
          <w:p w:rsidR="00114740" w:rsidRPr="00E52143" w:rsidP="00937056" w14:paraId="1CBEFA67" w14:textId="77777777">
            <w:pPr>
              <w:pStyle w:val="732021"/>
              <w:spacing w:before="0"/>
              <w:rPr>
                <w:rtl/>
              </w:rPr>
            </w:pPr>
          </w:p>
        </w:tc>
        <w:tc>
          <w:tcPr>
            <w:tcW w:w="1024" w:type="pct"/>
            <w:tcBorders>
              <w:top w:val="single" w:sz="12" w:space="0" w:color="000000"/>
            </w:tcBorders>
          </w:tcPr>
          <w:p w:rsidR="00114740" w:rsidRPr="00162B1A" w:rsidP="00937056" w14:paraId="65990B5F" w14:textId="77777777">
            <w:pPr>
              <w:pStyle w:val="732021"/>
              <w:spacing w:before="0"/>
              <w:rPr>
                <w:spacing w:val="-4"/>
                <w:rtl/>
              </w:rPr>
            </w:pPr>
            <w:r w:rsidRPr="00162B1A">
              <w:rPr>
                <w:rFonts w:hint="cs"/>
                <w:spacing w:val="-4"/>
                <w:rtl/>
              </w:rPr>
              <w:t xml:space="preserve">השיעור הממוצע של דמי הניהול מהנכסים של כלל העמיתים בקרנות </w:t>
            </w:r>
            <w:r w:rsidRPr="00162B1A">
              <w:rPr>
                <w:rFonts w:hint="cs"/>
                <w:spacing w:val="-4"/>
                <w:rtl/>
              </w:rPr>
              <w:t>הפנסייה</w:t>
            </w:r>
            <w:r w:rsidRPr="00162B1A">
              <w:rPr>
                <w:rFonts w:hint="cs"/>
                <w:spacing w:val="-4"/>
                <w:rtl/>
              </w:rPr>
              <w:t xml:space="preserve"> החדשות והמקיפות בשנת 2020, לעומת 0.26% בשנת 2016</w:t>
            </w:r>
          </w:p>
        </w:tc>
      </w:tr>
      <w:tr w14:paraId="4F607F31" w14:textId="77777777" w:rsidTr="001748C5">
        <w:tblPrEx>
          <w:tblW w:w="5069" w:type="pct"/>
          <w:tblLook w:val="04A0"/>
        </w:tblPrEx>
        <w:tc>
          <w:tcPr>
            <w:tcW w:w="1174" w:type="pct"/>
            <w:tcBorders>
              <w:bottom w:val="single" w:sz="12" w:space="0" w:color="000000"/>
            </w:tcBorders>
            <w:vAlign w:val="bottom"/>
          </w:tcPr>
          <w:p w:rsidR="00114740" w:rsidRPr="00411396" w:rsidP="00162B1A" w14:paraId="7218FCDF" w14:textId="77777777">
            <w:pPr>
              <w:spacing w:before="240"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56%</w:t>
            </w:r>
          </w:p>
        </w:tc>
        <w:tc>
          <w:tcPr>
            <w:tcW w:w="159" w:type="pct"/>
            <w:vAlign w:val="bottom"/>
          </w:tcPr>
          <w:p w:rsidR="00114740" w:rsidRPr="00E52143" w:rsidP="00162B1A" w14:paraId="43A9E8E7" w14:textId="77777777">
            <w:pPr>
              <w:spacing w:before="240" w:after="60"/>
              <w:jc w:val="left"/>
              <w:rPr>
                <w:rFonts w:ascii="Tahoma" w:hAnsi="Tahoma" w:eastAsiaTheme="minorEastAsia" w:cs="Tahoma"/>
                <w:b/>
                <w:bCs/>
                <w:color w:val="0D0D0D" w:themeColor="text1" w:themeTint="F2"/>
                <w:spacing w:val="-10"/>
                <w:sz w:val="36"/>
                <w:szCs w:val="36"/>
                <w:rtl/>
              </w:rPr>
            </w:pPr>
          </w:p>
        </w:tc>
        <w:tc>
          <w:tcPr>
            <w:tcW w:w="1177" w:type="pct"/>
            <w:tcBorders>
              <w:bottom w:val="single" w:sz="12" w:space="0" w:color="000000"/>
            </w:tcBorders>
            <w:vAlign w:val="bottom"/>
          </w:tcPr>
          <w:p w:rsidR="00114740" w:rsidRPr="008D750B" w:rsidP="00162B1A" w14:paraId="6858C35A" w14:textId="77777777">
            <w:pPr>
              <w:pStyle w:val="2021"/>
              <w:spacing w:before="240" w:after="60"/>
              <w:rPr>
                <w:spacing w:val="-10"/>
                <w:rtl/>
              </w:rPr>
            </w:pPr>
            <w:r>
              <w:rPr>
                <w:rFonts w:hint="cs"/>
                <w:spacing w:val="-10"/>
                <w:rtl/>
              </w:rPr>
              <w:t>93</w:t>
            </w:r>
            <w:r w:rsidRPr="008D750B">
              <w:rPr>
                <w:spacing w:val="-10"/>
                <w:rtl/>
              </w:rPr>
              <w:t>%</w:t>
            </w:r>
          </w:p>
        </w:tc>
        <w:tc>
          <w:tcPr>
            <w:tcW w:w="159" w:type="pct"/>
            <w:vAlign w:val="bottom"/>
          </w:tcPr>
          <w:p w:rsidR="00114740" w:rsidP="00162B1A" w14:paraId="304B40F1" w14:textId="77777777">
            <w:pPr>
              <w:spacing w:before="240" w:after="60" w:line="240" w:lineRule="auto"/>
              <w:jc w:val="left"/>
              <w:rPr>
                <w:rtl/>
              </w:rPr>
            </w:pPr>
          </w:p>
        </w:tc>
        <w:tc>
          <w:tcPr>
            <w:tcW w:w="1128" w:type="pct"/>
            <w:tcBorders>
              <w:bottom w:val="single" w:sz="12" w:space="0" w:color="000000"/>
            </w:tcBorders>
            <w:vAlign w:val="bottom"/>
          </w:tcPr>
          <w:p w:rsidR="00114740" w:rsidRPr="0062456C" w:rsidP="00162B1A" w14:paraId="520730F2" w14:textId="469AFD19">
            <w:pPr>
              <w:spacing w:before="240"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41.5%</w:t>
            </w:r>
            <w:r w:rsidR="00F036A9">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36"/>
                <w:szCs w:val="36"/>
                <w:rtl/>
              </w:rPr>
              <w:t>-</w:t>
            </w:r>
            <w:r w:rsidR="00F036A9">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36"/>
                <w:szCs w:val="36"/>
                <w:rtl/>
              </w:rPr>
              <w:t>43.2%</w:t>
            </w:r>
          </w:p>
        </w:tc>
        <w:tc>
          <w:tcPr>
            <w:tcW w:w="178" w:type="pct"/>
          </w:tcPr>
          <w:p w:rsidR="00114740" w:rsidP="00162B1A" w14:paraId="78ED941E" w14:textId="77777777">
            <w:pPr>
              <w:spacing w:before="240" w:after="60" w:line="240" w:lineRule="auto"/>
              <w:rPr>
                <w:rFonts w:ascii="Tahoma" w:hAnsi="Tahoma" w:eastAsiaTheme="minorEastAsia" w:cs="Tahoma"/>
                <w:b/>
                <w:bCs/>
                <w:color w:val="0D0D0D" w:themeColor="text1" w:themeTint="F2"/>
                <w:spacing w:val="-10"/>
                <w:sz w:val="36"/>
                <w:szCs w:val="36"/>
                <w:rtl/>
              </w:rPr>
            </w:pPr>
          </w:p>
        </w:tc>
        <w:tc>
          <w:tcPr>
            <w:tcW w:w="1024" w:type="pct"/>
            <w:tcBorders>
              <w:bottom w:val="single" w:sz="12" w:space="0" w:color="000000"/>
            </w:tcBorders>
            <w:vAlign w:val="bottom"/>
          </w:tcPr>
          <w:p w:rsidR="00114740" w:rsidP="00162B1A" w14:paraId="4D584BCB" w14:textId="77777777">
            <w:pPr>
              <w:spacing w:before="240"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479</w:t>
            </w:r>
          </w:p>
        </w:tc>
      </w:tr>
      <w:tr w14:paraId="31A21551" w14:textId="77777777" w:rsidTr="001748C5">
        <w:tblPrEx>
          <w:tblW w:w="5069" w:type="pct"/>
          <w:tblLook w:val="04A0"/>
        </w:tblPrEx>
        <w:tc>
          <w:tcPr>
            <w:tcW w:w="1174" w:type="pct"/>
            <w:tcBorders>
              <w:top w:val="single" w:sz="12" w:space="0" w:color="000000"/>
            </w:tcBorders>
          </w:tcPr>
          <w:p w:rsidR="00114740" w:rsidRPr="004562F8" w:rsidP="00937056" w14:paraId="43FC497A" w14:textId="77777777">
            <w:pPr>
              <w:pStyle w:val="732021"/>
              <w:spacing w:before="0" w:after="0"/>
              <w:rPr>
                <w:rtl/>
              </w:rPr>
            </w:pPr>
            <w:r w:rsidRPr="0062254D">
              <w:rPr>
                <w:rFonts w:hint="cs"/>
                <w:rtl/>
              </w:rPr>
              <w:t>שיעור החוסכים הלא פעילים ששילמו דמי ניהול מרביים בשנת 2021, לעומת 90% בשנת 2015</w:t>
            </w:r>
          </w:p>
        </w:tc>
        <w:tc>
          <w:tcPr>
            <w:tcW w:w="159" w:type="pct"/>
          </w:tcPr>
          <w:p w:rsidR="00114740" w:rsidRPr="008D750B" w:rsidP="00937056" w14:paraId="409B9C85" w14:textId="77777777">
            <w:pPr>
              <w:pStyle w:val="732021"/>
              <w:spacing w:before="0" w:after="0"/>
              <w:rPr>
                <w:rtl/>
              </w:rPr>
            </w:pPr>
          </w:p>
        </w:tc>
        <w:tc>
          <w:tcPr>
            <w:tcW w:w="1177" w:type="pct"/>
            <w:tcBorders>
              <w:top w:val="single" w:sz="12" w:space="0" w:color="000000"/>
            </w:tcBorders>
          </w:tcPr>
          <w:p w:rsidR="00114740" w:rsidRPr="00CB59D3" w:rsidP="00937056" w14:paraId="2CD073EF" w14:textId="77777777">
            <w:pPr>
              <w:pStyle w:val="732021"/>
              <w:spacing w:before="0" w:after="0"/>
              <w:rPr>
                <w:spacing w:val="-8"/>
                <w:rtl/>
              </w:rPr>
            </w:pPr>
            <w:r w:rsidRPr="00CB59D3">
              <w:rPr>
                <w:rFonts w:hint="cs"/>
                <w:spacing w:val="-4"/>
                <w:rtl/>
              </w:rPr>
              <w:t>שיעור הפנסיונרים</w:t>
            </w:r>
            <w:r w:rsidRPr="00CB59D3">
              <w:rPr>
                <w:rFonts w:hint="cs"/>
                <w:spacing w:val="-8"/>
                <w:rtl/>
              </w:rPr>
              <w:t xml:space="preserve"> מקבלי הקצבה ששילמו </w:t>
            </w:r>
            <w:r w:rsidRPr="00CB59D3">
              <w:rPr>
                <w:rFonts w:hint="cs"/>
                <w:spacing w:val="-4"/>
                <w:rtl/>
              </w:rPr>
              <w:t xml:space="preserve">דמי ניהול מרביים בחמש קרנות </w:t>
            </w:r>
            <w:r w:rsidRPr="00CB59D3">
              <w:rPr>
                <w:rFonts w:hint="cs"/>
                <w:spacing w:val="-4"/>
                <w:rtl/>
              </w:rPr>
              <w:t>הפנסייה</w:t>
            </w:r>
            <w:r w:rsidRPr="00CB59D3">
              <w:rPr>
                <w:rFonts w:hint="cs"/>
                <w:spacing w:val="-4"/>
                <w:rtl/>
              </w:rPr>
              <w:t xml:space="preserve"> החדשות הגדולות בשנת 2021, לעומת 100% בשנת 2015</w:t>
            </w:r>
          </w:p>
        </w:tc>
        <w:tc>
          <w:tcPr>
            <w:tcW w:w="159" w:type="pct"/>
          </w:tcPr>
          <w:p w:rsidR="00114740" w:rsidP="00937056" w14:paraId="53FC5497" w14:textId="77777777">
            <w:pPr>
              <w:pStyle w:val="732021"/>
              <w:spacing w:before="0" w:after="0"/>
              <w:rPr>
                <w:rtl/>
              </w:rPr>
            </w:pPr>
          </w:p>
        </w:tc>
        <w:tc>
          <w:tcPr>
            <w:tcW w:w="1128" w:type="pct"/>
            <w:tcBorders>
              <w:top w:val="single" w:sz="12" w:space="0" w:color="000000"/>
            </w:tcBorders>
          </w:tcPr>
          <w:p w:rsidR="00114740" w:rsidRPr="00CB59D3" w:rsidP="00937056" w14:paraId="12460A9C" w14:textId="77777777">
            <w:pPr>
              <w:pStyle w:val="732021"/>
              <w:spacing w:before="0" w:after="0"/>
              <w:rPr>
                <w:spacing w:val="-12"/>
                <w:rtl/>
              </w:rPr>
            </w:pPr>
            <w:r w:rsidRPr="00CB59D3">
              <w:rPr>
                <w:rFonts w:hint="cs"/>
                <w:spacing w:val="-2"/>
                <w:rtl/>
              </w:rPr>
              <w:t xml:space="preserve">התשואה המצטברת של </w:t>
            </w:r>
            <w:r w:rsidRPr="00CB59D3">
              <w:rPr>
                <w:rFonts w:hint="eastAsia"/>
                <w:spacing w:val="-2"/>
                <w:rtl/>
              </w:rPr>
              <w:t>קרנות</w:t>
            </w:r>
            <w:r w:rsidRPr="00CB59D3">
              <w:rPr>
                <w:spacing w:val="-2"/>
                <w:rtl/>
              </w:rPr>
              <w:t xml:space="preserve"> </w:t>
            </w:r>
            <w:r w:rsidRPr="00CB59D3">
              <w:rPr>
                <w:rFonts w:hint="eastAsia"/>
                <w:spacing w:val="-2"/>
                <w:rtl/>
              </w:rPr>
              <w:t>ברירת</w:t>
            </w:r>
            <w:r w:rsidRPr="00CB59D3">
              <w:rPr>
                <w:spacing w:val="-12"/>
                <w:rtl/>
              </w:rPr>
              <w:t xml:space="preserve"> </w:t>
            </w:r>
            <w:r w:rsidRPr="00CB59D3">
              <w:rPr>
                <w:rFonts w:hint="eastAsia"/>
                <w:spacing w:val="-12"/>
                <w:rtl/>
              </w:rPr>
              <w:t>המחדל</w:t>
            </w:r>
            <w:r w:rsidRPr="00CB59D3">
              <w:rPr>
                <w:rFonts w:hint="cs"/>
                <w:spacing w:val="-12"/>
                <w:rtl/>
              </w:rPr>
              <w:t>,</w:t>
            </w:r>
            <w:r w:rsidRPr="00CB59D3">
              <w:rPr>
                <w:spacing w:val="-12"/>
                <w:rtl/>
              </w:rPr>
              <w:t xml:space="preserve"> </w:t>
            </w:r>
            <w:r w:rsidRPr="00CB59D3">
              <w:rPr>
                <w:rFonts w:hint="eastAsia"/>
                <w:spacing w:val="-12"/>
                <w:rtl/>
              </w:rPr>
              <w:t>לעומת</w:t>
            </w:r>
            <w:r w:rsidRPr="00CB59D3">
              <w:rPr>
                <w:spacing w:val="-12"/>
                <w:rtl/>
              </w:rPr>
              <w:t xml:space="preserve"> </w:t>
            </w:r>
            <w:r w:rsidRPr="00CB59D3">
              <w:rPr>
                <w:rFonts w:hint="eastAsia"/>
                <w:spacing w:val="-12"/>
                <w:rtl/>
              </w:rPr>
              <w:t>תשואה</w:t>
            </w:r>
            <w:r w:rsidRPr="00CB59D3">
              <w:rPr>
                <w:spacing w:val="-12"/>
                <w:rtl/>
              </w:rPr>
              <w:t xml:space="preserve"> </w:t>
            </w:r>
            <w:r w:rsidRPr="00CB59D3">
              <w:rPr>
                <w:spacing w:val="-4"/>
                <w:rtl/>
              </w:rPr>
              <w:t>ממוצעת בשיעור</w:t>
            </w:r>
            <w:r w:rsidRPr="00CB59D3">
              <w:rPr>
                <w:rFonts w:hint="cs"/>
                <w:spacing w:val="-4"/>
                <w:rtl/>
              </w:rPr>
              <w:t xml:space="preserve"> של</w:t>
            </w:r>
            <w:r w:rsidRPr="00CB59D3">
              <w:rPr>
                <w:spacing w:val="-4"/>
                <w:rtl/>
              </w:rPr>
              <w:t xml:space="preserve"> 35.56% </w:t>
            </w:r>
            <w:r w:rsidRPr="00CB59D3">
              <w:rPr>
                <w:rFonts w:hint="cs"/>
                <w:spacing w:val="-4"/>
                <w:rtl/>
              </w:rPr>
              <w:t xml:space="preserve">בכלל קרנות </w:t>
            </w:r>
            <w:r w:rsidRPr="00CB59D3">
              <w:rPr>
                <w:rFonts w:hint="cs"/>
                <w:spacing w:val="-4"/>
                <w:rtl/>
              </w:rPr>
              <w:t>הפנסייה</w:t>
            </w:r>
            <w:r w:rsidRPr="00CB59D3">
              <w:rPr>
                <w:rFonts w:hint="cs"/>
                <w:spacing w:val="-4"/>
                <w:rtl/>
              </w:rPr>
              <w:t xml:space="preserve"> החדשות בשנים 2019 - 2021</w:t>
            </w:r>
          </w:p>
        </w:tc>
        <w:tc>
          <w:tcPr>
            <w:tcW w:w="178" w:type="pct"/>
          </w:tcPr>
          <w:p w:rsidR="00114740" w:rsidRPr="00C92141" w:rsidP="00937056" w14:paraId="2411CFC6" w14:textId="77777777">
            <w:pPr>
              <w:pStyle w:val="732021"/>
              <w:spacing w:before="0" w:after="0"/>
              <w:rPr>
                <w:rtl/>
              </w:rPr>
            </w:pPr>
          </w:p>
        </w:tc>
        <w:tc>
          <w:tcPr>
            <w:tcW w:w="1024" w:type="pct"/>
            <w:tcBorders>
              <w:top w:val="single" w:sz="12" w:space="0" w:color="000000"/>
            </w:tcBorders>
          </w:tcPr>
          <w:p w:rsidR="00114740" w:rsidRPr="00C92141" w:rsidP="00937056" w14:paraId="5A5CB53F" w14:textId="77777777">
            <w:pPr>
              <w:pStyle w:val="732021"/>
              <w:spacing w:before="0" w:after="0"/>
              <w:rPr>
                <w:rtl/>
              </w:rPr>
            </w:pPr>
            <w:r w:rsidRPr="0062254D">
              <w:rPr>
                <w:rFonts w:hint="cs"/>
                <w:rtl/>
              </w:rPr>
              <w:t>מספר בעלי הרישיון לייעוץ פנסיוני בשנת 2020 - לעומת 922 בשנת 2015 - ירידה של כ-48%</w:t>
            </w:r>
          </w:p>
        </w:tc>
      </w:tr>
    </w:tbl>
    <w:p w:rsidR="00162B1A" w14:paraId="458A4983" w14:textId="77777777">
      <w:pPr>
        <w:bidi w:val="0"/>
        <w:spacing w:after="200" w:line="276" w:lineRule="auto"/>
        <w:rPr>
          <w:rFonts w:ascii="Tahoma" w:hAnsi="Tahoma" w:cs="Tahoma"/>
          <w:b/>
          <w:bCs/>
          <w:color w:val="0D0D0D" w:themeColor="text1" w:themeTint="F2"/>
          <w:sz w:val="18"/>
          <w:szCs w:val="18"/>
          <w:rtl/>
        </w:rPr>
      </w:pPr>
      <w:r>
        <w:rPr>
          <w:b/>
          <w:bCs/>
          <w:rtl/>
        </w:rPr>
        <w:br w:type="page"/>
      </w:r>
    </w:p>
    <w:p w:rsidR="00162B1A" w:rsidRPr="00C62692" w:rsidP="00162B1A" w14:paraId="72995823" w14:textId="77777777">
      <w:pPr>
        <w:pStyle w:val="73"/>
        <w:rPr>
          <w:rtl/>
        </w:rPr>
      </w:pPr>
      <w:r w:rsidRPr="00C62692">
        <w:rPr>
          <w:rtl/>
        </w:rPr>
        <w:t>פעולות הביקורת</w:t>
      </w:r>
    </w:p>
    <w:p w:rsidR="00162B1A" w:rsidRPr="001F3363" w:rsidP="00162B1A" w14:paraId="7FD71BF0" w14:textId="77777777">
      <w:pPr>
        <w:pStyle w:val="7317"/>
        <w:rPr>
          <w:rtl/>
        </w:rPr>
      </w:pPr>
      <w:r w:rsidRPr="00362C00">
        <w:rPr>
          <w:noProof/>
          <w:rtl/>
        </w:rPr>
        <w:drawing>
          <wp:anchor distT="0" distB="0" distL="114300" distR="114300" simplePos="0" relativeHeight="251707392" behindDoc="0" locked="0" layoutInCell="1" allowOverlap="1">
            <wp:simplePos x="0" y="0"/>
            <wp:positionH relativeFrom="column">
              <wp:posOffset>2565535</wp:posOffset>
            </wp:positionH>
            <wp:positionV relativeFrom="paragraph">
              <wp:posOffset>2686685</wp:posOffset>
            </wp:positionV>
            <wp:extent cx="2120265" cy="173355"/>
            <wp:effectExtent l="0" t="0" r="635" b="444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20265" cy="173355"/>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05344" behindDoc="0" locked="0" layoutInCell="1" allowOverlap="1">
                <wp:simplePos x="0" y="0"/>
                <wp:positionH relativeFrom="column">
                  <wp:posOffset>-4445</wp:posOffset>
                </wp:positionH>
                <wp:positionV relativeFrom="paragraph">
                  <wp:posOffset>1898015</wp:posOffset>
                </wp:positionV>
                <wp:extent cx="4793615" cy="736600"/>
                <wp:effectExtent l="0" t="0" r="6985" b="1270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93615" cy="736600"/>
                        </a:xfrm>
                        <a:prstGeom prst="rect">
                          <a:avLst/>
                        </a:prstGeom>
                        <a:solidFill>
                          <a:srgbClr val="FFFFFF"/>
                        </a:solidFill>
                        <a:ln w="9525">
                          <a:solidFill>
                            <a:schemeClr val="bg1"/>
                          </a:solidFill>
                          <a:miter lim="800000"/>
                          <a:headEnd/>
                          <a:tailEnd/>
                        </a:ln>
                      </wps:spPr>
                      <wps:txbx>
                        <w:txbxContent>
                          <w:p w:rsidR="00162B1A" w:rsidRPr="00662020" w:rsidP="00162B1A" w14:textId="77777777">
                            <w:pPr>
                              <w:pStyle w:val="7327"/>
                              <w:rPr>
                                <w:rtl/>
                              </w:rPr>
                            </w:pPr>
                            <w:r w:rsidRPr="00662020">
                              <w:rPr>
                                <w:rFonts w:hint="cs"/>
                                <w:rtl/>
                              </w:rPr>
                              <w:t>תמונת המצב העולה מן הביקורת</w:t>
                            </w:r>
                          </w:p>
                          <w:p w:rsidR="00162B1A" w:rsidP="00162B1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77.45pt;height:58pt;margin-top:149.45pt;margin-left:-0.35pt;mso-height-percent:0;mso-height-relative:margin;mso-width-percent:0;mso-width-relative:margin;mso-wrap-distance-bottom:3.6pt;mso-wrap-distance-left:9pt;mso-wrap-distance-right:9pt;mso-wrap-distance-top:3.6pt;mso-wrap-style:square;position:absolute;visibility:visible;v-text-anchor:top;z-index:251706368" strokecolor="white">
                <v:textbox>
                  <w:txbxContent>
                    <w:p w:rsidR="00162B1A" w:rsidRPr="00662020" w:rsidP="00162B1A" w14:paraId="6532EDFF" w14:textId="77777777">
                      <w:pPr>
                        <w:pStyle w:val="7327"/>
                        <w:rPr>
                          <w:rtl/>
                        </w:rPr>
                      </w:pPr>
                      <w:r w:rsidRPr="00662020">
                        <w:rPr>
                          <w:rFonts w:hint="cs"/>
                          <w:rtl/>
                        </w:rPr>
                        <w:t>תמונת המצב העולה מן הביקורת</w:t>
                      </w:r>
                    </w:p>
                    <w:p w:rsidR="00162B1A" w:rsidP="00162B1A" w14:paraId="6DE12D72" w14:textId="77777777"/>
                  </w:txbxContent>
                </v:textbox>
                <w10:wrap type="square"/>
              </v:shape>
            </w:pict>
          </mc:Fallback>
        </mc:AlternateContent>
      </w:r>
      <w:r w:rsidRPr="001F3363">
        <w:rPr>
          <w:noProof/>
        </w:rPr>
        <w:drawing>
          <wp:anchor distT="0" distB="0" distL="114300" distR="114300" simplePos="0" relativeHeight="251704320"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54D">
        <w:rPr>
          <w:rtl/>
        </w:rPr>
        <w:t xml:space="preserve">בשנת 2016 פרסם משרד מבקר המדינה דוח מיוחד בעניין הסדרי </w:t>
      </w:r>
      <w:r w:rsidRPr="0062254D">
        <w:rPr>
          <w:rtl/>
        </w:rPr>
        <w:t>הפנסייה</w:t>
      </w:r>
      <w:r w:rsidRPr="0062254D">
        <w:rPr>
          <w:rtl/>
        </w:rPr>
        <w:t xml:space="preserve"> במדינה</w:t>
      </w:r>
      <w:r>
        <w:rPr>
          <w:vertAlign w:val="superscript"/>
          <w:rtl/>
        </w:rPr>
        <w:footnoteReference w:id="2"/>
      </w:r>
      <w:r w:rsidRPr="0062254D">
        <w:rPr>
          <w:rtl/>
        </w:rPr>
        <w:t xml:space="preserve"> (הדוח הקודם) בעקבות ביקורת שביצע בנושא זה (הביקורת הקודמת). בחודשים</w:t>
      </w:r>
      <w:r w:rsidRPr="0062254D">
        <w:rPr>
          <w:rFonts w:hint="cs"/>
          <w:rtl/>
        </w:rPr>
        <w:t xml:space="preserve"> ינואר עד מרץ 2022 בדק משרד מבקר המדינה את פעולות רשות שוק ההון, ביטוח וחיסכון (רשות שוק ההון) לתיקון הליקויים העיקריים שצוינו בדוח הקודם בתחומי </w:t>
      </w:r>
      <w:r w:rsidRPr="0062254D">
        <w:rPr>
          <w:rFonts w:hint="cs"/>
          <w:rtl/>
        </w:rPr>
        <w:t>הפנסייה</w:t>
      </w:r>
      <w:r w:rsidRPr="0062254D">
        <w:rPr>
          <w:rFonts w:hint="cs"/>
          <w:rtl/>
        </w:rPr>
        <w:t xml:space="preserve"> הצוברת ושוק ההפצה הפנסיוני. ביקורת המעקב נעשתה ברשות שוק ההון. בדיקות השלמה נעשו בכמה משרדי ממשלה וחברות ממשלתיות, ובכלל זה במשרד הכלכלה והתעשייה, משרד </w:t>
      </w:r>
      <w:r w:rsidRPr="0062254D">
        <w:rPr>
          <w:rFonts w:hint="cs"/>
          <w:rtl/>
        </w:rPr>
        <w:t>האנרגייה</w:t>
      </w:r>
      <w:r w:rsidRPr="0062254D">
        <w:rPr>
          <w:rFonts w:hint="cs"/>
          <w:rtl/>
        </w:rPr>
        <w:t>, משרד החינוך, משרד המשפטים, המשרד לביטחון הפנים, משרד הפנים, משרד התקשורת, נציבות שירות המדינה, חברת נמל חיפה בע"מ (נמל חיפה), חברת החשמל לישראל בע"מ (חברת החשמל), חברת נמל אשדוד בע"מ (נמל אשדוד), חברת רכבת ישראל בע"מ (רכבת ישראל) ונתיבי ישראל - החברה הלאומית לתשתיות תחבורה בע"מ (נתיבי ישראל</w:t>
      </w:r>
      <w:r>
        <w:rPr>
          <w:rFonts w:hint="cs"/>
          <w:rtl/>
        </w:rPr>
        <w:t>).</w:t>
      </w:r>
      <w:r w:rsidRPr="001F3363">
        <w:rPr>
          <w:rFonts w:hint="cs"/>
          <w:rtl/>
        </w:rPr>
        <w:t xml:space="preserve"> </w:t>
      </w:r>
    </w:p>
    <w:p w:rsidR="00162B1A" w:rsidRPr="002539B8" w:rsidP="00162B1A" w14:paraId="7A57D5AC" w14:textId="77777777">
      <w:pPr>
        <w:pStyle w:val="7317"/>
        <w:spacing w:after="240"/>
        <w:rPr>
          <w:sz w:val="10"/>
          <w:szCs w:val="10"/>
          <w:rtl/>
        </w:rPr>
      </w:pPr>
    </w:p>
    <w:p w:rsidR="00162B1A" w:rsidRPr="00D406C5" w:rsidP="00D406C5" w14:paraId="16AD21B2" w14:textId="77777777">
      <w:pPr>
        <w:pStyle w:val="7317"/>
        <w:rPr>
          <w:rtl/>
        </w:rPr>
      </w:pPr>
      <w:r w:rsidRPr="00D406C5">
        <w:rPr>
          <w:rFonts w:hint="cs"/>
          <w:b/>
          <w:bCs/>
          <w:noProof/>
          <w:rtl/>
        </w:rPr>
        <w:drawing>
          <wp:anchor distT="0" distB="720090" distL="114300" distR="114300" simplePos="0" relativeHeight="251708416" behindDoc="1" locked="0" layoutInCell="1" allowOverlap="1">
            <wp:simplePos x="0" y="0"/>
            <wp:positionH relativeFrom="column">
              <wp:posOffset>4542655</wp:posOffset>
            </wp:positionH>
            <wp:positionV relativeFrom="paragraph">
              <wp:posOffset>29210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406C5">
        <w:rPr>
          <w:rFonts w:hint="eastAsia"/>
          <w:b/>
          <w:bCs/>
          <w:rtl/>
        </w:rPr>
        <w:t>שיעור</w:t>
      </w:r>
      <w:r w:rsidRPr="00D406C5">
        <w:rPr>
          <w:b/>
          <w:bCs/>
          <w:rtl/>
        </w:rPr>
        <w:t xml:space="preserve"> דמי </w:t>
      </w:r>
      <w:r w:rsidRPr="00D406C5">
        <w:rPr>
          <w:rFonts w:hint="eastAsia"/>
          <w:b/>
          <w:bCs/>
          <w:rtl/>
        </w:rPr>
        <w:t>הניהול</w:t>
      </w:r>
      <w:r w:rsidRPr="00D406C5">
        <w:rPr>
          <w:b/>
          <w:bCs/>
          <w:rtl/>
        </w:rPr>
        <w:t xml:space="preserve"> </w:t>
      </w:r>
      <w:r w:rsidRPr="00D406C5">
        <w:rPr>
          <w:rFonts w:hint="eastAsia"/>
          <w:b/>
          <w:bCs/>
          <w:rtl/>
        </w:rPr>
        <w:t>של</w:t>
      </w:r>
      <w:r w:rsidRPr="00D406C5">
        <w:rPr>
          <w:b/>
          <w:bCs/>
          <w:rtl/>
        </w:rPr>
        <w:t xml:space="preserve"> </w:t>
      </w:r>
      <w:r w:rsidRPr="00D406C5">
        <w:rPr>
          <w:rFonts w:hint="eastAsia"/>
          <w:b/>
          <w:bCs/>
          <w:rtl/>
        </w:rPr>
        <w:t>חוסכים</w:t>
      </w:r>
      <w:r w:rsidRPr="00D406C5">
        <w:rPr>
          <w:b/>
          <w:bCs/>
          <w:rtl/>
        </w:rPr>
        <w:t xml:space="preserve"> </w:t>
      </w:r>
      <w:r w:rsidRPr="00D406C5">
        <w:rPr>
          <w:rFonts w:hint="eastAsia"/>
          <w:b/>
          <w:bCs/>
          <w:rtl/>
        </w:rPr>
        <w:t>לא</w:t>
      </w:r>
      <w:r w:rsidRPr="00D406C5">
        <w:rPr>
          <w:b/>
          <w:bCs/>
          <w:rtl/>
        </w:rPr>
        <w:t xml:space="preserve"> </w:t>
      </w:r>
      <w:r w:rsidRPr="00D406C5">
        <w:rPr>
          <w:rFonts w:hint="eastAsia"/>
          <w:b/>
          <w:bCs/>
          <w:rtl/>
        </w:rPr>
        <w:t>פעילים</w:t>
      </w:r>
      <w:r w:rsidRPr="00D406C5">
        <w:rPr>
          <w:rtl/>
        </w:rPr>
        <w:t xml:space="preserve"> - בביקורת הקודמת נמצא כי כ-90% מהחוסכים הלא פעילים בחמש קרנות </w:t>
      </w:r>
      <w:r w:rsidRPr="00D406C5">
        <w:rPr>
          <w:rtl/>
        </w:rPr>
        <w:t>הפנסייה</w:t>
      </w:r>
      <w:r w:rsidRPr="00D406C5">
        <w:rPr>
          <w:rtl/>
        </w:rPr>
        <w:t xml:space="preserve"> החדשות הגדולות שילמו דמי ניהול מרביים. בביקורת המעקב נמצא כי הליקוי תוקן במידה </w:t>
      </w:r>
      <w:r w:rsidRPr="00D406C5">
        <w:rPr>
          <w:rFonts w:hint="cs"/>
          <w:rtl/>
        </w:rPr>
        <w:t>חלקית</w:t>
      </w:r>
      <w:r w:rsidRPr="00D406C5">
        <w:rPr>
          <w:rtl/>
        </w:rPr>
        <w:t xml:space="preserve"> - </w:t>
      </w:r>
      <w:r w:rsidRPr="00D406C5">
        <w:rPr>
          <w:rFonts w:hint="eastAsia"/>
          <w:rtl/>
        </w:rPr>
        <w:t>בשנת</w:t>
      </w:r>
      <w:r w:rsidRPr="00D406C5">
        <w:rPr>
          <w:rtl/>
        </w:rPr>
        <w:t xml:space="preserve"> 2021 כ-67% מהחוסכים הלא פעילים בחמש קרנות </w:t>
      </w:r>
      <w:r w:rsidRPr="00D406C5">
        <w:rPr>
          <w:rtl/>
        </w:rPr>
        <w:t>הפנסייה</w:t>
      </w:r>
      <w:r w:rsidRPr="00D406C5">
        <w:rPr>
          <w:rtl/>
        </w:rPr>
        <w:t xml:space="preserve"> החדשות הגדולות </w:t>
      </w:r>
      <w:r w:rsidRPr="00D406C5">
        <w:rPr>
          <w:rFonts w:hint="eastAsia"/>
          <w:rtl/>
        </w:rPr>
        <w:t>אומנם</w:t>
      </w:r>
      <w:r w:rsidRPr="00D406C5">
        <w:rPr>
          <w:rtl/>
        </w:rPr>
        <w:t xml:space="preserve"> </w:t>
      </w:r>
      <w:r w:rsidRPr="00D406C5">
        <w:rPr>
          <w:rFonts w:hint="eastAsia"/>
          <w:rtl/>
        </w:rPr>
        <w:t>שילמו</w:t>
      </w:r>
      <w:r w:rsidRPr="00D406C5">
        <w:rPr>
          <w:rtl/>
        </w:rPr>
        <w:t xml:space="preserve"> </w:t>
      </w:r>
      <w:r w:rsidRPr="00D406C5">
        <w:rPr>
          <w:rFonts w:hint="eastAsia"/>
          <w:rtl/>
        </w:rPr>
        <w:t>דמי</w:t>
      </w:r>
      <w:r w:rsidRPr="00D406C5">
        <w:rPr>
          <w:rtl/>
        </w:rPr>
        <w:t xml:space="preserve"> </w:t>
      </w:r>
      <w:r w:rsidRPr="00D406C5">
        <w:rPr>
          <w:rFonts w:hint="eastAsia"/>
          <w:rtl/>
        </w:rPr>
        <w:t>ניהול</w:t>
      </w:r>
      <w:r w:rsidRPr="00D406C5">
        <w:rPr>
          <w:rtl/>
        </w:rPr>
        <w:t xml:space="preserve"> </w:t>
      </w:r>
      <w:r w:rsidRPr="00D406C5">
        <w:rPr>
          <w:rFonts w:hint="eastAsia"/>
          <w:rtl/>
        </w:rPr>
        <w:t>מרביים</w:t>
      </w:r>
      <w:r w:rsidRPr="00D406C5">
        <w:rPr>
          <w:rtl/>
        </w:rPr>
        <w:t>, אך שיעור החוסכים הלא פעילים ששילמו דמי ניהול מרביים בכלל השוק בשנת 2021 היה כ-56</w:t>
      </w:r>
      <w:r w:rsidRPr="00D406C5">
        <w:rPr>
          <w:rFonts w:hint="cs"/>
          <w:rtl/>
        </w:rPr>
        <w:t>%</w:t>
      </w:r>
      <w:r w:rsidRPr="00D406C5">
        <w:rPr>
          <w:rtl/>
        </w:rPr>
        <w:t>.</w:t>
      </w:r>
    </w:p>
    <w:p w:rsidR="00162B1A" w:rsidRPr="00D406C5" w:rsidP="00D406C5" w14:paraId="0AF26709" w14:textId="77777777">
      <w:pPr>
        <w:pStyle w:val="7317"/>
      </w:pPr>
      <w:r w:rsidRPr="00D406C5">
        <w:rPr>
          <w:rFonts w:hint="cs"/>
          <w:b/>
          <w:bCs/>
          <w:noProof/>
          <w:rtl/>
        </w:rPr>
        <w:drawing>
          <wp:anchor distT="0" distB="720090" distL="114300" distR="114300" simplePos="0" relativeHeight="251709440" behindDoc="1" locked="0" layoutInCell="1" allowOverlap="1">
            <wp:simplePos x="0" y="0"/>
            <wp:positionH relativeFrom="column">
              <wp:posOffset>4542655</wp:posOffset>
            </wp:positionH>
            <wp:positionV relativeFrom="paragraph">
              <wp:posOffset>29210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406C5">
        <w:rPr>
          <w:rFonts w:hint="cs"/>
          <w:b/>
          <w:bCs/>
          <w:rtl/>
        </w:rPr>
        <w:t>מבנה הבעלות בשוק ההפצה הפנסיוני</w:t>
      </w:r>
      <w:r w:rsidRPr="00D406C5">
        <w:rPr>
          <w:rFonts w:hint="cs"/>
          <w:rtl/>
        </w:rPr>
        <w:t xml:space="preserve"> - בביקורת הקודמת נמצא כי רשות שוק ההון לא בחנה את מבנה הבעלות של סוכנויות הביטוח וההסדר</w:t>
      </w:r>
      <w:r>
        <w:rPr>
          <w:vertAlign w:val="superscript"/>
          <w:rtl/>
        </w:rPr>
        <w:footnoteReference w:id="3"/>
      </w:r>
      <w:r w:rsidRPr="00D406C5">
        <w:rPr>
          <w:rFonts w:hint="cs"/>
          <w:rtl/>
        </w:rPr>
        <w:t xml:space="preserve"> ולא קבעה הוראות הכוללות מגבלות מתאימות בעניין הפצת מוצרי חברת האם באמצעות סוכנויות שבבעלות גופים מוסדיים. בביקורת המעקב נמצא כי הליקוי תוקן במידה מועטה - רשות שוק ההון אומנם בחנה את מבנה הבעלות של סוכנויות הביטוח וההסדר, אך לא קבעה הוראות הכוללות מגבלות מתאימות בעניין הפצת מוצרי חברת האם באמצעות סוכנויות בבעלות של גופים מוסדיים. </w:t>
      </w:r>
    </w:p>
    <w:p w:rsidR="00162B1A" w:rsidRPr="00D406C5" w:rsidP="00D406C5" w14:paraId="10676EAF" w14:textId="77777777">
      <w:pPr>
        <w:pStyle w:val="7317"/>
        <w:rPr>
          <w:rtl/>
        </w:rPr>
      </w:pPr>
      <w:r w:rsidRPr="00D406C5">
        <w:rPr>
          <w:rFonts w:hint="cs"/>
          <w:b/>
          <w:bCs/>
          <w:noProof/>
          <w:rtl/>
        </w:rPr>
        <w:drawing>
          <wp:anchor distT="0" distB="720090" distL="114300" distR="114300" simplePos="0" relativeHeight="251710464" behindDoc="1" locked="0" layoutInCell="1" allowOverlap="1">
            <wp:simplePos x="0" y="0"/>
            <wp:positionH relativeFrom="column">
              <wp:posOffset>4542655</wp:posOffset>
            </wp:positionH>
            <wp:positionV relativeFrom="paragraph">
              <wp:posOffset>29210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406C5">
        <w:rPr>
          <w:rFonts w:hint="cs"/>
          <w:b/>
          <w:bCs/>
          <w:rtl/>
        </w:rPr>
        <w:t>מודל התגמול לסוכנים</w:t>
      </w:r>
      <w:r w:rsidRPr="00D406C5">
        <w:rPr>
          <w:rFonts w:hint="cs"/>
          <w:rtl/>
        </w:rPr>
        <w:t xml:space="preserve"> - בביקורת הקודמת נמצא כי רשות שוק ההון לא הסדירה כללים ברורים למתן תמריצים כלכליים בשיטת התגמול של סוכני הביטוח שיש בהם כדי למזער </w:t>
      </w:r>
      <w:r w:rsidRPr="00D406C5">
        <w:rPr>
          <w:rFonts w:hint="cs"/>
          <w:rtl/>
        </w:rPr>
        <w:t>את השפעתם של שיקולים זרים בנוגע להפצת חיסכון פנסיוני ללקוח. בביקורת המעקב נמצא כי הליקוי לא תוקן, וכי לא הוסדרו כללים כאמור.</w:t>
      </w:r>
    </w:p>
    <w:p w:rsidR="00162B1A" w:rsidRPr="00D406C5" w:rsidP="00D406C5" w14:paraId="6B0DDBB4" w14:textId="77777777">
      <w:pPr>
        <w:pStyle w:val="7317"/>
      </w:pPr>
      <w:r w:rsidRPr="00D406C5">
        <w:rPr>
          <w:rFonts w:hint="cs"/>
          <w:b/>
          <w:bCs/>
          <w:noProof/>
          <w:rtl/>
        </w:rPr>
        <w:drawing>
          <wp:anchor distT="0" distB="720090" distL="114300" distR="114300" simplePos="0" relativeHeight="251711488" behindDoc="1" locked="0" layoutInCell="1" allowOverlap="1">
            <wp:simplePos x="0" y="0"/>
            <wp:positionH relativeFrom="column">
              <wp:posOffset>4543290</wp:posOffset>
            </wp:positionH>
            <wp:positionV relativeFrom="paragraph">
              <wp:posOffset>37465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406C5">
        <w:rPr>
          <w:rFonts w:hint="cs"/>
          <w:b/>
          <w:bCs/>
          <w:rtl/>
        </w:rPr>
        <w:t>מסמך ההנמקה</w:t>
      </w:r>
      <w:r w:rsidRPr="00D406C5">
        <w:rPr>
          <w:rFonts w:hint="cs"/>
          <w:rtl/>
        </w:rPr>
        <w:t xml:space="preserve"> -</w:t>
      </w:r>
      <w:r w:rsidRPr="00D406C5">
        <w:rPr>
          <w:rtl/>
        </w:rPr>
        <w:t xml:space="preserve"> סעיף 14 לחוק הפיקוח על שירותים פיננסיים (ייעוץ, שיווק ומערכת סליקה פנסיוניים), התשס"ה-2005</w:t>
      </w:r>
      <w:r w:rsidRPr="00D406C5">
        <w:rPr>
          <w:rFonts w:hint="cs"/>
          <w:rtl/>
        </w:rPr>
        <w:t xml:space="preserve"> (חוק</w:t>
      </w:r>
      <w:r w:rsidRPr="00D406C5">
        <w:rPr>
          <w:rtl/>
        </w:rPr>
        <w:t xml:space="preserve"> הייעוץ והשיווק הפנסיוני</w:t>
      </w:r>
      <w:r w:rsidRPr="00D406C5">
        <w:rPr>
          <w:rFonts w:hint="cs"/>
          <w:rtl/>
        </w:rPr>
        <w:t>),</w:t>
      </w:r>
      <w:r w:rsidRPr="00D406C5">
        <w:rPr>
          <w:rtl/>
        </w:rPr>
        <w:t xml:space="preserve"> מחייב את בעל הרישיון למסור ללקוח בעת מתן המלצה בעניין חיסכון מסמך בכתב המפרט את הנימוקים להמלצה בדבר כדאיות החיסכון של הלקוח או של קרובו באמצעות מוצר פנסיוני</w:t>
      </w:r>
      <w:r w:rsidRPr="00D406C5">
        <w:rPr>
          <w:rFonts w:hint="cs"/>
          <w:rtl/>
        </w:rPr>
        <w:t xml:space="preserve"> (מסמך הנמקה).</w:t>
      </w:r>
      <w:r w:rsidRPr="00D406C5">
        <w:rPr>
          <w:rtl/>
        </w:rPr>
        <w:t xml:space="preserve"> </w:t>
      </w:r>
      <w:r w:rsidRPr="00D406C5">
        <w:rPr>
          <w:rFonts w:hint="cs"/>
          <w:rtl/>
        </w:rPr>
        <w:t xml:space="preserve">בביקורת הקודמת מצא משרד מבקר המדינה כי השימוש במסמך ההנמקה ככלי עבודה עיקרי בידי בעל הרישיון יצר מראית עין של דאגה לאינטרס הלקוח, אך בפועל לא הבטיח שהמוצר הפנסיוני הנבחר הוא אומנם המוצר המתאים ביותר ללקוח, ולפיכך אין בו כדי לפתור את בעיית ניגוד העניינים המובנה של סוכן הביטוח. בביקורת המעקב נמצא כי הליקוי תוקן במידה מועטה - רשות שוק ההון ביצעה תיקונים למסמך ההנמקה, הכוללים הרחבה של הגילוי הנאות לגבי השיקולים שהנחו את בעל הרישיון במתן ההמלצה, אך אין בכך די כדי לפתור את בעיית ניגוד העניינים המובנה שבה מצוי סוכן הביטוח. </w:t>
      </w:r>
    </w:p>
    <w:p w:rsidR="00162B1A" w:rsidRPr="00D406C5" w:rsidP="00D406C5" w14:paraId="0DB28812" w14:textId="77777777">
      <w:pPr>
        <w:pStyle w:val="7317"/>
      </w:pPr>
      <w:r w:rsidRPr="00D406C5">
        <w:rPr>
          <w:rFonts w:hint="cs"/>
          <w:b/>
          <w:bCs/>
          <w:noProof/>
          <w:rtl/>
        </w:rPr>
        <w:drawing>
          <wp:anchor distT="0" distB="720090" distL="114300" distR="114300" simplePos="0" relativeHeight="251712512" behindDoc="1" locked="0" layoutInCell="1" allowOverlap="1">
            <wp:simplePos x="0" y="0"/>
            <wp:positionH relativeFrom="column">
              <wp:posOffset>4543290</wp:posOffset>
            </wp:positionH>
            <wp:positionV relativeFrom="paragraph">
              <wp:posOffset>37465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406C5">
        <w:rPr>
          <w:rFonts w:hint="cs"/>
          <w:b/>
          <w:bCs/>
          <w:rtl/>
        </w:rPr>
        <w:t>שוק הייעוץ הפנסיוני</w:t>
      </w:r>
      <w:r w:rsidRPr="00D406C5">
        <w:rPr>
          <w:rFonts w:hint="cs"/>
          <w:rtl/>
        </w:rPr>
        <w:t xml:space="preserve"> - בביקורת הקודמת נמצא כי שיעור בעלי הרישיון לייעוץ פנסיוני מכלל בעלי הרישיון לשירותי ייעוץ ותיווך הנוגעים</w:t>
      </w:r>
      <w:r w:rsidRPr="00D406C5">
        <w:rPr>
          <w:rtl/>
        </w:rPr>
        <w:t xml:space="preserve"> </w:t>
      </w:r>
      <w:r w:rsidRPr="00D406C5">
        <w:rPr>
          <w:rFonts w:hint="cs"/>
          <w:rtl/>
        </w:rPr>
        <w:t>למוצרי ביטוח וחיסכון פנסיוני</w:t>
      </w:r>
      <w:r>
        <w:rPr>
          <w:vertAlign w:val="superscript"/>
          <w:rtl/>
        </w:rPr>
        <w:footnoteReference w:id="4"/>
      </w:r>
      <w:r w:rsidRPr="00D406C5">
        <w:rPr>
          <w:rFonts w:hint="cs"/>
          <w:rtl/>
        </w:rPr>
        <w:t xml:space="preserve"> היה כ-9% בלבד בשנת 2014, וכי לגבי מרבית האוכלוסייה קיים חשש להיעדר ייעוץ פנסיוני אובייקטיבי הבוחן את צורכי המבוטח. בביקורת המעקב נמצא כי הליקוי לא תוקן: </w:t>
      </w:r>
      <w:r w:rsidRPr="00D406C5">
        <w:rPr>
          <w:rtl/>
        </w:rPr>
        <w:t>מספר בעלי הרישיון לייעוץ פנסיוני ירד מ-922 בשנת 2015 ל-479 בשנת 2020 (ירידה של כ-48%).</w:t>
      </w:r>
      <w:r w:rsidRPr="00D406C5">
        <w:rPr>
          <w:rFonts w:hint="cs"/>
          <w:rtl/>
        </w:rPr>
        <w:t xml:space="preserve"> כמו כן,</w:t>
      </w:r>
      <w:r w:rsidRPr="00D406C5">
        <w:rPr>
          <w:rtl/>
        </w:rPr>
        <w:t xml:space="preserve"> חלה ירידה בשיעורם של בעלי הרישיון לייעוץ פנסיוני מ</w:t>
      </w:r>
      <w:r w:rsidRPr="00D406C5">
        <w:rPr>
          <w:rFonts w:hint="cs"/>
          <w:rtl/>
        </w:rPr>
        <w:t>כלל</w:t>
      </w:r>
      <w:r w:rsidRPr="00D406C5">
        <w:rPr>
          <w:rtl/>
        </w:rPr>
        <w:t xml:space="preserve"> בעלי רישיון יחידים בשוק ההפצה הפנסיוני - מ-8.2% בשנת 2015 ל-4% בשנת 2020</w:t>
      </w:r>
      <w:r w:rsidRPr="00D406C5">
        <w:rPr>
          <w:rFonts w:hint="cs"/>
          <w:rtl/>
        </w:rPr>
        <w:t xml:space="preserve">. </w:t>
      </w:r>
    </w:p>
    <w:p w:rsidR="00162B1A" w:rsidRPr="00D406C5" w:rsidP="00D406C5" w14:paraId="151AE1CC" w14:textId="77777777">
      <w:pPr>
        <w:pStyle w:val="7317"/>
        <w:rPr>
          <w:rtl/>
        </w:rPr>
      </w:pPr>
      <w:r w:rsidRPr="00D406C5">
        <w:rPr>
          <w:rFonts w:hint="cs"/>
          <w:b/>
          <w:bCs/>
          <w:noProof/>
          <w:rtl/>
        </w:rPr>
        <w:drawing>
          <wp:anchor distT="0" distB="720090" distL="114300" distR="114300" simplePos="0" relativeHeight="251713536" behindDoc="1" locked="0" layoutInCell="1" allowOverlap="1">
            <wp:simplePos x="0" y="0"/>
            <wp:positionH relativeFrom="column">
              <wp:posOffset>4543290</wp:posOffset>
            </wp:positionH>
            <wp:positionV relativeFrom="paragraph">
              <wp:posOffset>37465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406C5">
        <w:rPr>
          <w:rFonts w:hint="cs"/>
          <w:b/>
          <w:bCs/>
          <w:rtl/>
        </w:rPr>
        <w:t>אפקטיביות האכיפה</w:t>
      </w:r>
      <w:r w:rsidRPr="00D406C5">
        <w:rPr>
          <w:rFonts w:hint="cs"/>
          <w:rtl/>
        </w:rPr>
        <w:t xml:space="preserve"> - בביקורת הקודמת נמצא כי לא בוצעה עבודת מטה ברשות שוק ההון הבוחנת את אפקטיביות האכיפה של סעיפי חוק הייעוץ והשיווק הפנסיוני. בביקורת המעקב נמצא כי הליקוי לא תוקן - הרשות לא ביצעה עבודת מטה לבחינת אפקטיביות האכיפה שהיא מבצעת, חוץ מבחינת כמה פניות שהגיעו אליה מהציבור.</w:t>
      </w:r>
    </w:p>
    <w:p w:rsidR="00162B1A" w:rsidP="00D406C5" w14:paraId="43551EFC" w14:textId="777EE1AE">
      <w:pPr>
        <w:pStyle w:val="7317"/>
        <w:rPr>
          <w:noProof/>
          <w:rtl/>
        </w:rPr>
      </w:pPr>
      <w:r w:rsidRPr="00D406C5">
        <w:rPr>
          <w:rStyle w:val="7371"/>
          <w:rFonts w:hint="cs"/>
          <w:noProof/>
          <w:rtl/>
        </w:rPr>
        <w:drawing>
          <wp:anchor distT="0" distB="720090" distL="114300" distR="114300" simplePos="0" relativeHeight="251714560" behindDoc="1" locked="0" layoutInCell="1" allowOverlap="1">
            <wp:simplePos x="0" y="0"/>
            <wp:positionH relativeFrom="column">
              <wp:posOffset>4543290</wp:posOffset>
            </wp:positionH>
            <wp:positionV relativeFrom="paragraph">
              <wp:posOffset>37465</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406C5">
        <w:rPr>
          <w:rStyle w:val="7371"/>
          <w:rFonts w:hint="cs"/>
          <w:noProof/>
          <w:rtl/>
        </w:rPr>
        <w:drawing>
          <wp:anchor distT="0" distB="0" distL="114300" distR="114300" simplePos="0" relativeHeight="251703296" behindDoc="0" locked="0" layoutInCell="1" allowOverlap="1">
            <wp:simplePos x="0" y="0"/>
            <wp:positionH relativeFrom="column">
              <wp:posOffset>2453640</wp:posOffset>
            </wp:positionH>
            <wp:positionV relativeFrom="paragraph">
              <wp:posOffset>1164590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D406C5">
        <w:rPr>
          <w:rStyle w:val="7371"/>
          <w:rFonts w:hint="cs"/>
          <w:rtl/>
        </w:rPr>
        <w:t>תדירות מתן ייעוץ או שיווק פנסיוני במהלך חיי העובד</w:t>
      </w:r>
      <w:r w:rsidRPr="00D406C5">
        <w:rPr>
          <w:rFonts w:hint="cs"/>
          <w:rtl/>
        </w:rPr>
        <w:t xml:space="preserve"> - </w:t>
      </w:r>
      <w:r w:rsidRPr="00D406C5">
        <w:rPr>
          <w:rtl/>
        </w:rPr>
        <w:t>בכל הגופים שנבדקו</w:t>
      </w:r>
      <w:r w:rsidRPr="00D406C5">
        <w:rPr>
          <w:rFonts w:hint="cs"/>
          <w:rtl/>
        </w:rPr>
        <w:t xml:space="preserve"> בביקורת</w:t>
      </w:r>
      <w:r w:rsidRPr="00D406C5">
        <w:rPr>
          <w:rtl/>
        </w:rPr>
        <w:t xml:space="preserve"> </w:t>
      </w:r>
      <w:r w:rsidRPr="00D406C5">
        <w:rPr>
          <w:rFonts w:hint="cs"/>
          <w:rtl/>
        </w:rPr>
        <w:t>המעקב,</w:t>
      </w:r>
      <w:r w:rsidRPr="00D406C5">
        <w:rPr>
          <w:rtl/>
        </w:rPr>
        <w:t xml:space="preserve"> פרט לרכבת ישראל</w:t>
      </w:r>
      <w:r w:rsidRPr="00D406C5">
        <w:rPr>
          <w:rFonts w:hint="cs"/>
          <w:rtl/>
        </w:rPr>
        <w:t>, ובכלל זה משרדי ממשלה, חברת החשמל, נמל חיפה, נמל אשדוד ונתיבי ישראל,</w:t>
      </w:r>
      <w:r w:rsidRPr="00D406C5">
        <w:rPr>
          <w:rtl/>
        </w:rPr>
        <w:t xml:space="preserve"> העובד</w:t>
      </w:r>
      <w:r w:rsidRPr="00D406C5">
        <w:rPr>
          <w:rFonts w:hint="cs"/>
          <w:rtl/>
        </w:rPr>
        <w:t>ים</w:t>
      </w:r>
      <w:r w:rsidRPr="00D406C5">
        <w:rPr>
          <w:rtl/>
        </w:rPr>
        <w:t xml:space="preserve"> אינ</w:t>
      </w:r>
      <w:r w:rsidRPr="00D406C5">
        <w:rPr>
          <w:rFonts w:hint="cs"/>
          <w:rtl/>
        </w:rPr>
        <w:t>ם</w:t>
      </w:r>
      <w:r w:rsidRPr="00D406C5">
        <w:rPr>
          <w:rtl/>
        </w:rPr>
        <w:t xml:space="preserve"> מקבל</w:t>
      </w:r>
      <w:r w:rsidRPr="00D406C5">
        <w:rPr>
          <w:rFonts w:hint="cs"/>
          <w:rtl/>
        </w:rPr>
        <w:t>ים</w:t>
      </w:r>
      <w:r w:rsidRPr="00D406C5">
        <w:rPr>
          <w:rtl/>
        </w:rPr>
        <w:t xml:space="preserve"> ייעוץ פנסיוני בתקופת עבודת</w:t>
      </w:r>
      <w:r w:rsidRPr="00D406C5">
        <w:rPr>
          <w:rFonts w:hint="cs"/>
          <w:rtl/>
        </w:rPr>
        <w:t>ם</w:t>
      </w:r>
      <w:r w:rsidRPr="00D406C5">
        <w:rPr>
          <w:rtl/>
        </w:rPr>
        <w:t>, שבה עשויים לחול שינויים במצב</w:t>
      </w:r>
      <w:r w:rsidRPr="00D406C5">
        <w:rPr>
          <w:rFonts w:hint="cs"/>
          <w:rtl/>
        </w:rPr>
        <w:t>ם</w:t>
      </w:r>
      <w:r w:rsidRPr="00D406C5">
        <w:rPr>
          <w:rtl/>
        </w:rPr>
        <w:t xml:space="preserve"> האישי או המשפחתי</w:t>
      </w:r>
      <w:r w:rsidRPr="00D406C5">
        <w:rPr>
          <w:rFonts w:hint="cs"/>
          <w:rtl/>
        </w:rPr>
        <w:t>.</w:t>
      </w:r>
      <w:r w:rsidRPr="00D406C5">
        <w:rPr>
          <w:rtl/>
        </w:rPr>
        <w:t xml:space="preserve"> בחלק מן הגופים </w:t>
      </w:r>
      <w:r w:rsidRPr="00D406C5">
        <w:rPr>
          <w:rFonts w:hint="cs"/>
          <w:rtl/>
        </w:rPr>
        <w:t>העובדים</w:t>
      </w:r>
      <w:r w:rsidRPr="00D406C5">
        <w:rPr>
          <w:rtl/>
        </w:rPr>
        <w:t xml:space="preserve"> מופנ</w:t>
      </w:r>
      <w:r w:rsidRPr="00D406C5">
        <w:rPr>
          <w:rFonts w:hint="cs"/>
          <w:rtl/>
        </w:rPr>
        <w:t>ים</w:t>
      </w:r>
      <w:r w:rsidRPr="00D406C5">
        <w:rPr>
          <w:rtl/>
        </w:rPr>
        <w:t xml:space="preserve"> לסוכן ביטוח פנסיוני או משווק פנסיוני, דבר שעלול לגרום להטיה אפשרית במוצרי הביטוח שהעובד</w:t>
      </w:r>
      <w:r w:rsidRPr="00D406C5">
        <w:rPr>
          <w:rFonts w:hint="cs"/>
          <w:rtl/>
        </w:rPr>
        <w:t>ים</w:t>
      </w:r>
      <w:r w:rsidRPr="00D406C5">
        <w:rPr>
          <w:rtl/>
        </w:rPr>
        <w:t xml:space="preserve"> מקבל</w:t>
      </w:r>
      <w:r w:rsidRPr="00D406C5">
        <w:rPr>
          <w:rFonts w:hint="cs"/>
          <w:rtl/>
        </w:rPr>
        <w:t xml:space="preserve">ים. </w:t>
      </w:r>
    </w:p>
    <w:p w:rsidR="00162B1A" w:rsidRPr="00411396" w:rsidP="00162B1A" w14:paraId="33927527" w14:textId="77777777">
      <w:pPr>
        <w:pStyle w:val="7392"/>
        <w:spacing w:before="360"/>
        <w:rPr>
          <w:rtl/>
        </w:rPr>
      </w:pPr>
      <w:r w:rsidRPr="00411396">
        <w:rPr>
          <w:rFonts w:hint="eastAsia"/>
          <w:b/>
          <w:bCs/>
          <w:rtl/>
        </w:rPr>
        <w:t>שיעור</w:t>
      </w:r>
      <w:r w:rsidRPr="00411396">
        <w:rPr>
          <w:b/>
          <w:bCs/>
          <w:rtl/>
        </w:rPr>
        <w:t xml:space="preserve"> דמי </w:t>
      </w:r>
      <w:r w:rsidRPr="00411396">
        <w:rPr>
          <w:rFonts w:hint="eastAsia"/>
          <w:b/>
          <w:bCs/>
          <w:rtl/>
        </w:rPr>
        <w:t>הניהול</w:t>
      </w:r>
      <w:r w:rsidRPr="00411396">
        <w:rPr>
          <w:b/>
          <w:bCs/>
          <w:rtl/>
        </w:rPr>
        <w:t xml:space="preserve"> </w:t>
      </w:r>
      <w:r w:rsidRPr="00411396">
        <w:rPr>
          <w:rFonts w:hint="eastAsia"/>
          <w:b/>
          <w:bCs/>
          <w:rtl/>
        </w:rPr>
        <w:t>של</w:t>
      </w:r>
      <w:r w:rsidRPr="00411396">
        <w:rPr>
          <w:b/>
          <w:bCs/>
          <w:rtl/>
        </w:rPr>
        <w:t xml:space="preserve"> </w:t>
      </w:r>
      <w:r w:rsidRPr="00411396">
        <w:rPr>
          <w:rFonts w:hint="eastAsia"/>
          <w:b/>
          <w:bCs/>
          <w:rtl/>
        </w:rPr>
        <w:t>פנסיונרים</w:t>
      </w:r>
      <w:r w:rsidRPr="00411396">
        <w:rPr>
          <w:rtl/>
        </w:rPr>
        <w:t xml:space="preserve"> - בביקורת הקודמת נמצא כי בשנת 2015 שילמו כל הפנסיונרים בחמש קרנות </w:t>
      </w:r>
      <w:r w:rsidRPr="00411396">
        <w:rPr>
          <w:rtl/>
        </w:rPr>
        <w:t>הפנסייה</w:t>
      </w:r>
      <w:r w:rsidRPr="00411396">
        <w:rPr>
          <w:rtl/>
        </w:rPr>
        <w:t xml:space="preserve"> החדשות הגדולות את שיעור דמי הניהול המרבי הקבוע בחוק.</w:t>
      </w:r>
      <w:r w:rsidRPr="00411396">
        <w:rPr>
          <w:rFonts w:hint="cs"/>
          <w:rtl/>
        </w:rPr>
        <w:t xml:space="preserve"> ביקורת המעקב העלתה כי בכל הנוגע לפורשים שיצאו לפנסיה החל מפברואר 2022 הליקוי תוקן באופן מלא אולם לא נמצא פתרון בכל הנוגע לעמיתים שפרשו טרם מועד זה. </w:t>
      </w:r>
      <w:r w:rsidRPr="00411396">
        <w:rPr>
          <w:rFonts w:hint="eastAsia"/>
          <w:rtl/>
        </w:rPr>
        <w:t>בינואר</w:t>
      </w:r>
      <w:r w:rsidRPr="00411396">
        <w:rPr>
          <w:rtl/>
        </w:rPr>
        <w:t xml:space="preserve"> 2022 </w:t>
      </w:r>
      <w:r w:rsidRPr="00411396">
        <w:rPr>
          <w:rFonts w:hint="eastAsia"/>
          <w:rtl/>
        </w:rPr>
        <w:t>אישרה</w:t>
      </w:r>
      <w:r w:rsidRPr="00411396">
        <w:rPr>
          <w:rtl/>
        </w:rPr>
        <w:t xml:space="preserve"> ועדת הכספים של הכנסת </w:t>
      </w:r>
      <w:r w:rsidRPr="00411396">
        <w:rPr>
          <w:rFonts w:hint="eastAsia"/>
          <w:rtl/>
        </w:rPr>
        <w:t>את</w:t>
      </w:r>
      <w:r w:rsidRPr="00411396">
        <w:rPr>
          <w:rtl/>
        </w:rPr>
        <w:t xml:space="preserve"> </w:t>
      </w:r>
      <w:r w:rsidRPr="00411396">
        <w:rPr>
          <w:rFonts w:hint="eastAsia"/>
          <w:rtl/>
        </w:rPr>
        <w:t>התיקון</w:t>
      </w:r>
      <w:r>
        <w:rPr>
          <w:vertAlign w:val="superscript"/>
          <w:rtl/>
        </w:rPr>
        <w:footnoteReference w:id="5"/>
      </w:r>
      <w:r w:rsidRPr="00411396">
        <w:rPr>
          <w:rtl/>
        </w:rPr>
        <w:t xml:space="preserve"> </w:t>
      </w:r>
      <w:r w:rsidRPr="00411396">
        <w:rPr>
          <w:rFonts w:hint="eastAsia"/>
          <w:rtl/>
        </w:rPr>
        <w:t>לתקנות</w:t>
      </w:r>
      <w:r w:rsidRPr="00411396">
        <w:rPr>
          <w:rtl/>
        </w:rPr>
        <w:t xml:space="preserve"> הפיקוח על שירותים פיננסיים (קופות גמל) (דמי ניהול), התשע"ב-2012. בתיקון האמור, שיזם הממונה על שוק ההון, ביטוח וחיסכון בשיתוף שר האוצר, נקבעה לפורשים לגמלאות תקרת דמי ניהול נמוכה יותר בשיעור של 0.3% (במקום 0.5% בקרן </w:t>
      </w:r>
      <w:r w:rsidRPr="00411396">
        <w:rPr>
          <w:rtl/>
        </w:rPr>
        <w:t>פנסייה</w:t>
      </w:r>
      <w:r w:rsidRPr="00411396">
        <w:rPr>
          <w:rtl/>
        </w:rPr>
        <w:t xml:space="preserve"> חדשה מקיפה ו-0.6% בקרן </w:t>
      </w:r>
      <w:r w:rsidRPr="00411396">
        <w:rPr>
          <w:rtl/>
        </w:rPr>
        <w:t>פנסייה</w:t>
      </w:r>
      <w:r w:rsidRPr="00411396">
        <w:rPr>
          <w:rtl/>
        </w:rPr>
        <w:t xml:space="preserve"> חדשה כללית) מהתקרה הקבועה בתקנות. עוד נמצא בביקורת המעקב כי בשנת 2021 </w:t>
      </w:r>
      <w:r w:rsidRPr="00411396">
        <w:rPr>
          <w:rFonts w:hint="eastAsia"/>
          <w:rtl/>
        </w:rPr>
        <w:t>לפני</w:t>
      </w:r>
      <w:r w:rsidRPr="00411396">
        <w:rPr>
          <w:rtl/>
        </w:rPr>
        <w:t xml:space="preserve"> </w:t>
      </w:r>
      <w:r w:rsidRPr="00411396">
        <w:rPr>
          <w:rFonts w:hint="eastAsia"/>
          <w:rtl/>
        </w:rPr>
        <w:t>התיקון</w:t>
      </w:r>
      <w:r w:rsidRPr="00411396">
        <w:rPr>
          <w:rtl/>
        </w:rPr>
        <w:t xml:space="preserve"> </w:t>
      </w:r>
      <w:r w:rsidRPr="00411396">
        <w:rPr>
          <w:rFonts w:hint="eastAsia"/>
          <w:rtl/>
        </w:rPr>
        <w:t>האמור</w:t>
      </w:r>
      <w:r w:rsidRPr="00411396">
        <w:rPr>
          <w:rtl/>
        </w:rPr>
        <w:t xml:space="preserve">, </w:t>
      </w:r>
      <w:r w:rsidRPr="00411396">
        <w:rPr>
          <w:rFonts w:hint="eastAsia"/>
          <w:rtl/>
        </w:rPr>
        <w:t>כ</w:t>
      </w:r>
      <w:r w:rsidRPr="00411396">
        <w:rPr>
          <w:rtl/>
        </w:rPr>
        <w:t xml:space="preserve">-93% </w:t>
      </w:r>
      <w:r w:rsidRPr="00411396">
        <w:rPr>
          <w:rFonts w:hint="eastAsia"/>
          <w:rtl/>
        </w:rPr>
        <w:t>מהפנסיונרים</w:t>
      </w:r>
      <w:r w:rsidRPr="00411396">
        <w:rPr>
          <w:rtl/>
        </w:rPr>
        <w:t xml:space="preserve"> </w:t>
      </w:r>
      <w:r w:rsidRPr="00411396">
        <w:rPr>
          <w:rFonts w:hint="eastAsia"/>
          <w:rtl/>
        </w:rPr>
        <w:t>מקבלי</w:t>
      </w:r>
      <w:r w:rsidRPr="00411396">
        <w:rPr>
          <w:rtl/>
        </w:rPr>
        <w:t xml:space="preserve"> </w:t>
      </w:r>
      <w:r w:rsidRPr="00411396">
        <w:rPr>
          <w:rFonts w:hint="eastAsia"/>
          <w:rtl/>
        </w:rPr>
        <w:t>הקצבה</w:t>
      </w:r>
      <w:r w:rsidRPr="00411396">
        <w:rPr>
          <w:rtl/>
        </w:rPr>
        <w:t xml:space="preserve"> </w:t>
      </w:r>
      <w:r w:rsidRPr="00411396">
        <w:rPr>
          <w:rFonts w:hint="eastAsia"/>
          <w:rtl/>
        </w:rPr>
        <w:t>בחמש</w:t>
      </w:r>
      <w:r w:rsidRPr="00411396">
        <w:rPr>
          <w:rtl/>
        </w:rPr>
        <w:t xml:space="preserve"> </w:t>
      </w:r>
      <w:r w:rsidRPr="00411396">
        <w:rPr>
          <w:rFonts w:hint="eastAsia"/>
          <w:rtl/>
        </w:rPr>
        <w:t>קרנות</w:t>
      </w:r>
      <w:r w:rsidRPr="00411396">
        <w:rPr>
          <w:rtl/>
        </w:rPr>
        <w:t xml:space="preserve"> </w:t>
      </w:r>
      <w:r w:rsidRPr="00411396">
        <w:rPr>
          <w:rFonts w:hint="eastAsia"/>
          <w:rtl/>
        </w:rPr>
        <w:t>הפנסייה</w:t>
      </w:r>
      <w:r w:rsidRPr="00411396">
        <w:rPr>
          <w:rtl/>
        </w:rPr>
        <w:t xml:space="preserve"> </w:t>
      </w:r>
      <w:r w:rsidRPr="00411396">
        <w:rPr>
          <w:rFonts w:hint="eastAsia"/>
          <w:rtl/>
        </w:rPr>
        <w:t>החדשות</w:t>
      </w:r>
      <w:r w:rsidRPr="00411396">
        <w:rPr>
          <w:rtl/>
        </w:rPr>
        <w:t xml:space="preserve"> </w:t>
      </w:r>
      <w:r w:rsidRPr="00411396">
        <w:rPr>
          <w:rFonts w:hint="eastAsia"/>
          <w:rtl/>
        </w:rPr>
        <w:t>הגדולות</w:t>
      </w:r>
      <w:r w:rsidRPr="00411396">
        <w:rPr>
          <w:rtl/>
        </w:rPr>
        <w:t xml:space="preserve"> </w:t>
      </w:r>
      <w:r w:rsidRPr="00411396">
        <w:rPr>
          <w:rFonts w:hint="eastAsia"/>
          <w:rtl/>
        </w:rPr>
        <w:t>עדיין</w:t>
      </w:r>
      <w:r w:rsidRPr="00411396">
        <w:rPr>
          <w:rtl/>
        </w:rPr>
        <w:t xml:space="preserve"> </w:t>
      </w:r>
      <w:r w:rsidRPr="00411396">
        <w:rPr>
          <w:rFonts w:hint="eastAsia"/>
          <w:rtl/>
        </w:rPr>
        <w:t>שילמו</w:t>
      </w:r>
      <w:r w:rsidRPr="00411396">
        <w:rPr>
          <w:rtl/>
        </w:rPr>
        <w:t xml:space="preserve"> </w:t>
      </w:r>
      <w:r w:rsidRPr="00411396">
        <w:rPr>
          <w:rFonts w:hint="eastAsia"/>
          <w:rtl/>
        </w:rPr>
        <w:t>דמי</w:t>
      </w:r>
      <w:r w:rsidRPr="00411396">
        <w:rPr>
          <w:rtl/>
        </w:rPr>
        <w:t xml:space="preserve"> </w:t>
      </w:r>
      <w:r w:rsidRPr="00411396">
        <w:rPr>
          <w:rFonts w:hint="eastAsia"/>
          <w:rtl/>
        </w:rPr>
        <w:t>ניהול</w:t>
      </w:r>
      <w:r w:rsidRPr="00411396">
        <w:rPr>
          <w:rtl/>
        </w:rPr>
        <w:t xml:space="preserve"> </w:t>
      </w:r>
      <w:r w:rsidRPr="00411396">
        <w:rPr>
          <w:rFonts w:hint="eastAsia"/>
          <w:rtl/>
        </w:rPr>
        <w:t>מרביים</w:t>
      </w:r>
      <w:r w:rsidRPr="00411396">
        <w:rPr>
          <w:rtl/>
        </w:rPr>
        <w:t>, וכי שיעור משלמי דמי הניהול המרביים בקרב פורשים לגמלאות בשנים האחרונות ירד מ-100% בשנת 2017 ל-68% בשנת 2021. התשלום העודף של פנסיונרים מקבלי קצבה ששילמו את דמי הניהול המרביים בשנת 2021, לעומת השיעור הממוצע של דמי הניהול ששילמו כלל העמיתים באותה השנה</w:t>
      </w:r>
      <w:r>
        <w:rPr>
          <w:vertAlign w:val="superscript"/>
          <w:rtl/>
        </w:rPr>
        <w:footnoteReference w:id="6"/>
      </w:r>
      <w:r w:rsidRPr="00411396">
        <w:rPr>
          <w:rtl/>
        </w:rPr>
        <w:t xml:space="preserve">, הסתכם </w:t>
      </w:r>
      <w:r w:rsidRPr="00411396">
        <w:rPr>
          <w:rFonts w:hint="eastAsia"/>
          <w:rtl/>
        </w:rPr>
        <w:t>בכ</w:t>
      </w:r>
      <w:r w:rsidRPr="00411396">
        <w:rPr>
          <w:rtl/>
        </w:rPr>
        <w:t>-59 - 87 מיליוני ש"ח.</w:t>
      </w:r>
    </w:p>
    <w:p w:rsidR="00114740" w:rsidRPr="00411396" w:rsidP="00114740" w14:paraId="4CB1848A" w14:textId="0C2D6BB9">
      <w:pPr>
        <w:pStyle w:val="7392"/>
        <w:rPr>
          <w:rtl/>
        </w:rPr>
      </w:pPr>
      <w:r w:rsidRPr="00411396">
        <w:rPr>
          <w:rFonts w:hint="cs"/>
          <w:b/>
          <w:bCs/>
          <w:rtl/>
        </w:rPr>
        <w:t>בחירת קרנות נבחרות על ידי רשות שוק ההון</w:t>
      </w:r>
      <w:r w:rsidRPr="00411396">
        <w:rPr>
          <w:rFonts w:hint="cs"/>
          <w:rtl/>
        </w:rPr>
        <w:t xml:space="preserve"> - בדוח הקודם המליץ משרד מבקר המדינה לרשות שוק ההון לחזור ולשקול, כחלק מבחינת השפעת ההסדר על השוק הפנסיוני, את הצורך בהוספת קריטריונים נוספים לבחירת קרנות ברירת המחדל</w:t>
      </w:r>
      <w:r>
        <w:rPr>
          <w:vertAlign w:val="superscript"/>
          <w:rtl/>
        </w:rPr>
        <w:footnoteReference w:id="7"/>
      </w:r>
      <w:r w:rsidRPr="00411396">
        <w:rPr>
          <w:rFonts w:hint="cs"/>
          <w:rtl/>
        </w:rPr>
        <w:t>, מלבד שיעור דמי הניהול, כגון קריטריונים הנוגעים לאיכות המוצר ולתשואה המותאמת. בביקורת המעקב נמצא כי הליקוי תוקן באופן מלא, וכי במסגרת ההליכים השני והשלישי לקביעת קרנות נבחרות, שפורסמו באוגוסט 2018 ובאוגוסט 2021 בהתאמה, בחנה רשות שוק ההון את הצורך בהוספת קריטריונים לבחירת קרן נבחרת, מלבד שיעור דמי הניהול המוצעים, ומצאה כי נכון להותיר את קריטריון דמי הניהול כקריטריון היחיד בהליך הבחירה. זאת מכיוון שהקריטריון של דמי הניהול הוא הקריטריון האובייקטיבי היחיד שעליו ניתן להתבסס בהליך זה.</w:t>
      </w:r>
    </w:p>
    <w:p w:rsidR="00114740" w:rsidRPr="00411396" w:rsidP="00114740" w14:paraId="513685DD" w14:textId="77777777">
      <w:pPr>
        <w:pStyle w:val="7392"/>
        <w:rPr>
          <w:rtl/>
        </w:rPr>
      </w:pPr>
      <w:r w:rsidRPr="00411396">
        <w:rPr>
          <w:rFonts w:hint="cs"/>
          <w:b/>
          <w:bCs/>
          <w:rtl/>
        </w:rPr>
        <w:t>בחירת קופת ברירת מחדל על ידי מעסיק או ארגון עובדים</w:t>
      </w:r>
      <w:r w:rsidRPr="00411396">
        <w:rPr>
          <w:rFonts w:hint="cs"/>
          <w:rtl/>
        </w:rPr>
        <w:t xml:space="preserve"> - בביקורת הקודמת נמצא לגבי ההליך התחרותי לבחירת קופת ברירת מחדל על ידי מעסיק או ארגון עובדים כי רשות שוק ההון לא התאימה את קריטריון התשואה לרמת הסיכון של תיק ההשקעות, דבר שעלול לגרום להשוואה לא נאותה בין הקופות בהליך התחרותי. בביקורת המעקב נמצא כי הליקוי תוקן במידה רבה, וכי במסגרת ההליך השלישי קבעה רשות שוק ההון שבהליך תחרותי הכולל קריטריון של תשואת קופת הגמל יהיה ניתן להוסיף לקריטריון זה גם את הקריטריון של "מדד שארפ ריבית חסרת סיכון"</w:t>
      </w:r>
      <w:r>
        <w:rPr>
          <w:vertAlign w:val="superscript"/>
          <w:rtl/>
        </w:rPr>
        <w:footnoteReference w:id="8"/>
      </w:r>
      <w:r w:rsidRPr="00411396">
        <w:rPr>
          <w:rFonts w:hint="cs"/>
          <w:rtl/>
        </w:rPr>
        <w:t>, שמבטא את סיכון תיק ההשקעות אך הרשות לא חייבה הוספת קריטריון זה.</w:t>
      </w:r>
    </w:p>
    <w:p w:rsidR="00114740" w:rsidP="00114740" w14:paraId="33BA400F" w14:textId="0F71BEE2">
      <w:pPr>
        <w:pStyle w:val="7392"/>
        <w:rPr>
          <w:rtl/>
        </w:rPr>
      </w:pPr>
      <w:r w:rsidRPr="00411396">
        <w:rPr>
          <w:rFonts w:hint="cs"/>
          <w:b/>
          <w:bCs/>
          <w:rtl/>
        </w:rPr>
        <w:t xml:space="preserve">הגירעון האקטוארי בקרנות </w:t>
      </w:r>
      <w:r w:rsidRPr="00411396">
        <w:rPr>
          <w:rFonts w:hint="cs"/>
          <w:b/>
          <w:bCs/>
          <w:rtl/>
        </w:rPr>
        <w:t>הפנסייה</w:t>
      </w:r>
      <w:r w:rsidRPr="00411396">
        <w:rPr>
          <w:rFonts w:hint="cs"/>
          <w:b/>
          <w:bCs/>
          <w:rtl/>
        </w:rPr>
        <w:t xml:space="preserve"> החדשות שנוצר על ידי מקבלי קצבת נכות וקצבת שאירים</w:t>
      </w:r>
      <w:r w:rsidRPr="00411396">
        <w:rPr>
          <w:rFonts w:hint="cs"/>
          <w:rtl/>
        </w:rPr>
        <w:t xml:space="preserve"> - בביקורת הקודמת נמצא כי קיימת בעיית גירעון אקטוארי שיוצרים מקבלי קצבת נכות וקצבת שאירים, הגורם לסבסוד בינם לבין יתר העמיתים בקרן. בביקורת המעקב נמצא כי הליקוי תוקן באופן מלא - רשות שוק ההון הסדירה את בעיית הסבסוד הצולב בין כלל העמיתים שנגרם </w:t>
      </w:r>
      <w:r w:rsidRPr="00411396">
        <w:rPr>
          <w:rFonts w:hint="cs"/>
          <w:rtl/>
        </w:rPr>
        <w:t xml:space="preserve">מהגירעון האקטוארי שיוצרים כלל מקבלי הקצבאות, לרבות מקבלי קצבת נכות וקצבת שאירים, </w:t>
      </w:r>
      <w:r w:rsidRPr="00E52143" w:rsidR="002E6802">
        <w:rPr>
          <w:noProof/>
          <w:rtl/>
        </w:rPr>
        <mc:AlternateContent>
          <mc:Choice Requires="wps">
            <w:drawing>
              <wp:anchor distT="45720" distB="45720" distL="114300" distR="114300" simplePos="0" relativeHeight="251678720" behindDoc="0" locked="0" layoutInCell="1" allowOverlap="1">
                <wp:simplePos x="0" y="0"/>
                <wp:positionH relativeFrom="column">
                  <wp:posOffset>-17064</wp:posOffset>
                </wp:positionH>
                <wp:positionV relativeFrom="paragraph">
                  <wp:posOffset>580390</wp:posOffset>
                </wp:positionV>
                <wp:extent cx="4799965" cy="661035"/>
                <wp:effectExtent l="0" t="0" r="13335" b="12065"/>
                <wp:wrapSquare wrapText="bothSides"/>
                <wp:docPr id="14510666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99965" cy="661035"/>
                        </a:xfrm>
                        <a:prstGeom prst="rect">
                          <a:avLst/>
                        </a:prstGeom>
                        <a:solidFill>
                          <a:srgbClr val="FFFFFF"/>
                        </a:solidFill>
                        <a:ln w="9525">
                          <a:solidFill>
                            <a:schemeClr val="bg1"/>
                          </a:solidFill>
                          <a:miter lim="800000"/>
                          <a:headEnd/>
                          <a:tailEnd/>
                        </a:ln>
                      </wps:spPr>
                      <wps:txbx>
                        <w:txbxContent>
                          <w:p w:rsidR="00114740" w:rsidP="00114740" w14:textId="77777777">
                            <w:pPr>
                              <w:pStyle w:val="7327"/>
                              <w:spacing w:before="120"/>
                            </w:pPr>
                            <w:r w:rsidRPr="00662020">
                              <w:rPr>
                                <w:rFonts w:hint="cs"/>
                                <w:rtl/>
                              </w:rPr>
                              <w:t>עיקרי המלצות הביקורת</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77.95pt;height:52.05pt;margin-top:45.7pt;margin-left:-1.35pt;mso-height-percent:0;mso-height-relative:margin;mso-width-percent:0;mso-width-relative:margin;mso-wrap-distance-bottom:3.6pt;mso-wrap-distance-left:9pt;mso-wrap-distance-right:9pt;mso-wrap-distance-top:3.6pt;mso-wrap-style:square;position:absolute;visibility:visible;v-text-anchor:top;z-index:251679744" strokecolor="white">
                <v:textbox>
                  <w:txbxContent>
                    <w:p w:rsidR="00114740" w:rsidP="00114740" w14:paraId="4E03E2F5" w14:textId="77777777">
                      <w:pPr>
                        <w:pStyle w:val="7327"/>
                        <w:spacing w:before="120"/>
                      </w:pPr>
                      <w:r w:rsidRPr="00662020">
                        <w:rPr>
                          <w:rFonts w:hint="cs"/>
                          <w:rtl/>
                        </w:rPr>
                        <w:t>עיקרי המלצות הביקורת</w:t>
                      </w:r>
                    </w:p>
                  </w:txbxContent>
                </v:textbox>
                <w10:wrap type="square"/>
              </v:shape>
            </w:pict>
          </mc:Fallback>
        </mc:AlternateContent>
      </w:r>
      <w:r w:rsidRPr="00411396">
        <w:rPr>
          <w:rFonts w:hint="cs"/>
          <w:rtl/>
        </w:rPr>
        <w:t>באמצעות מנגנון המעביר את הסיכון לפנסיונר עצמו ולא לכלל העמיתים בקרן</w:t>
      </w:r>
      <w:r w:rsidRPr="00411396">
        <w:rPr>
          <w:rtl/>
        </w:rPr>
        <w:t xml:space="preserve">. </w:t>
      </w:r>
    </w:p>
    <w:p w:rsidR="00114740" w:rsidRPr="0062254D" w:rsidP="002E6802" w14:paraId="0AAC8A3B" w14:textId="19B4A691">
      <w:pPr>
        <w:pStyle w:val="7317"/>
      </w:pPr>
      <w:r w:rsidRPr="002E6802">
        <w:rPr>
          <w:rFonts w:hint="cs"/>
          <w:noProof/>
          <w:rtl/>
        </w:rPr>
        <w:drawing>
          <wp:anchor distT="0" distB="1440180" distL="107950" distR="114300" simplePos="0" relativeHeight="251715584" behindDoc="1" locked="0" layoutInCell="1" allowOverlap="1">
            <wp:simplePos x="0" y="0"/>
            <wp:positionH relativeFrom="column">
              <wp:posOffset>4545330</wp:posOffset>
            </wp:positionH>
            <wp:positionV relativeFrom="paragraph">
              <wp:posOffset>875530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52143">
        <w:rPr>
          <w:rFonts w:hint="cs"/>
          <w:rtl/>
        </w:rPr>
        <w:t>מומלץ</w:t>
      </w:r>
      <w:r w:rsidRPr="0062254D">
        <w:rPr>
          <w:rFonts w:hint="cs"/>
          <w:rtl/>
        </w:rPr>
        <w:t xml:space="preserve"> כי רשות שוק ההון תמשיך לעקוב אחר הרכב יתרות החוסכים הלא פעילים המשלמים דמי ניהול מרביים ותבחן כיצד ניתן לצמצם את סכומי היתרות.</w:t>
      </w:r>
    </w:p>
    <w:p w:rsidR="00114740" w:rsidRPr="002E6802" w:rsidP="002E6802" w14:paraId="183FC0B1" w14:textId="3656F121">
      <w:pPr>
        <w:pStyle w:val="7317"/>
      </w:pPr>
      <w:r w:rsidRPr="00B02658">
        <w:rPr>
          <w:rFonts w:hint="cs"/>
          <w:b/>
          <w:bCs/>
          <w:noProof/>
          <w:rtl/>
        </w:rPr>
        <w:drawing>
          <wp:anchor distT="0" distB="1440180" distL="107950" distR="114300" simplePos="0" relativeHeight="251716608" behindDoc="1" locked="0" layoutInCell="1" allowOverlap="1">
            <wp:simplePos x="0" y="0"/>
            <wp:positionH relativeFrom="column">
              <wp:posOffset>4554855</wp:posOffset>
            </wp:positionH>
            <wp:positionV relativeFrom="paragraph">
              <wp:posOffset>29075</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E6802">
        <w:rPr>
          <w:rFonts w:hint="cs"/>
          <w:rtl/>
        </w:rPr>
        <w:t>מומלץ כי רשות שוק ההון תקבע כללים ברורים למתן תמריצים כלכליים בשיטת התגמול של סוכני הביטוח שיש בהם כדי למזער את השפעתם של שיקולים זרים בנוגע להפצת חיסכון פנסיוני ללקוח.</w:t>
      </w:r>
    </w:p>
    <w:p w:rsidR="00114740" w:rsidRPr="002E6802" w:rsidP="002E6802" w14:paraId="60D0162C" w14:textId="406D4439">
      <w:pPr>
        <w:pStyle w:val="7317"/>
      </w:pPr>
      <w:r w:rsidRPr="00B02658">
        <w:rPr>
          <w:rFonts w:hint="cs"/>
          <w:b/>
          <w:bCs/>
          <w:noProof/>
          <w:rtl/>
        </w:rPr>
        <w:drawing>
          <wp:anchor distT="0" distB="1440180" distL="107950" distR="114300" simplePos="0" relativeHeight="251717632" behindDoc="1" locked="0" layoutInCell="1" allowOverlap="1">
            <wp:simplePos x="0" y="0"/>
            <wp:positionH relativeFrom="column">
              <wp:posOffset>4554855</wp:posOffset>
            </wp:positionH>
            <wp:positionV relativeFrom="paragraph">
              <wp:posOffset>24630</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E6802">
        <w:rPr>
          <w:rFonts w:hint="cs"/>
          <w:rtl/>
        </w:rPr>
        <w:t>מומלץ כי רשות שוק ההון תשלים את הבחינה של מסמך ההנמקה ותתאימו לצרכים המשתנים ולהתפתחויות הטכנולוגיות שחלו בשנים האחרונות. כן מומלץ שהרשות תבחן דרכים וכלים נוספים כדי להתמודד עם ניגודי העניינים בפעילותם של סוכני הביטוח ולמזער את השפעתם של שיקולים שאינם ענייניים ומקצועיים על פעילותם של סוכני הביטוח מול הלקוחות.</w:t>
      </w:r>
    </w:p>
    <w:p w:rsidR="00114740" w:rsidRPr="002E6802" w:rsidP="002E6802" w14:paraId="29EF87F4" w14:textId="2B508024">
      <w:pPr>
        <w:pStyle w:val="7317"/>
      </w:pPr>
      <w:r w:rsidRPr="00B02658">
        <w:rPr>
          <w:rFonts w:hint="cs"/>
          <w:b/>
          <w:bCs/>
          <w:noProof/>
          <w:rtl/>
        </w:rPr>
        <w:drawing>
          <wp:anchor distT="0" distB="1440180" distL="107950" distR="114300" simplePos="0" relativeHeight="251718656" behindDoc="1" locked="0" layoutInCell="1" allowOverlap="1">
            <wp:simplePos x="0" y="0"/>
            <wp:positionH relativeFrom="column">
              <wp:posOffset>4554855</wp:posOffset>
            </wp:positionH>
            <wp:positionV relativeFrom="paragraph">
              <wp:posOffset>25900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E6802">
        <w:rPr>
          <w:rFonts w:hint="cs"/>
          <w:rtl/>
        </w:rPr>
        <w:t>מומלץ לרשות שוק ההון להמשיך לפעול כדי לפתח ולשכלל את שוק הייעוץ הפנסיוני, ובכלל זה לקדם אסדרה שתאפשר מתן ייעוץ פנסיוני באופן דיגיטלי, מתקדם ונוח, ולבחון את מודל התמחור לייעוץ פנסיוני בראייה כוללת של הכדאיות לכלל השחקנים בשוק.</w:t>
      </w:r>
    </w:p>
    <w:p w:rsidR="00114740" w:rsidRPr="002E6802" w:rsidP="002E6802" w14:paraId="653F59AE" w14:textId="4A50A78A">
      <w:pPr>
        <w:pStyle w:val="7317"/>
      </w:pPr>
      <w:r w:rsidRPr="00B02658">
        <w:rPr>
          <w:rFonts w:hint="cs"/>
          <w:b/>
          <w:bCs/>
          <w:noProof/>
          <w:rtl/>
        </w:rPr>
        <w:drawing>
          <wp:anchor distT="0" distB="1440180" distL="107950" distR="114300" simplePos="0" relativeHeight="251719680" behindDoc="1" locked="0" layoutInCell="1" allowOverlap="1">
            <wp:simplePos x="0" y="0"/>
            <wp:positionH relativeFrom="column">
              <wp:posOffset>4554855</wp:posOffset>
            </wp:positionH>
            <wp:positionV relativeFrom="paragraph">
              <wp:posOffset>22725</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E6802">
        <w:rPr>
          <w:rFonts w:hint="cs"/>
          <w:rtl/>
        </w:rPr>
        <w:t>מומלץ כי רשות שוק ההון תבחן דרכים להגביר את תדירות הייעוץ הפנסיוני הניתן לעובדים, ובפרט בנקודות זמן מרכזיות, כגון במועד תחילת העבודה, בעת שחלים שינויים במצבו האישי או המשפחתי של העובד ובמועד פרישתו לגמלאות. זאת כדי להבטיח את התאמת הביטוח הפנסיוני וייעודו לצורכי העובד ולמצות את זכויותיו. נוסף על כך מומלץ כי נציבות שירות המדינה ומנכ"לי הגופים השונים יגבשו נוהל להפניית עובדים לייעוץ פנסיוני באופן תקופתי</w:t>
      </w:r>
      <w:r w:rsidRPr="002E6802" w:rsidR="00A9512B">
        <w:rPr>
          <w:rFonts w:hint="cs"/>
          <w:rtl/>
        </w:rPr>
        <w:t>.</w:t>
      </w:r>
    </w:p>
    <w:p w:rsidR="00114740" w:rsidP="00114740" w14:paraId="4A605156" w14:textId="5E95E867">
      <w:pPr>
        <w:bidi w:val="0"/>
        <w:spacing w:after="200" w:line="276" w:lineRule="auto"/>
        <w:rPr>
          <w:rFonts w:ascii="Tahoma" w:hAnsi="Tahoma" w:cs="Tahoma"/>
          <w:sz w:val="18"/>
          <w:szCs w:val="18"/>
          <w:rtl/>
        </w:rPr>
      </w:pPr>
      <w:r>
        <w:rPr>
          <w:rFonts w:ascii="Tahoma" w:hAnsi="Tahoma" w:cs="Tahoma"/>
          <w:sz w:val="18"/>
          <w:szCs w:val="18"/>
          <w:rtl/>
        </w:rPr>
        <w:br w:type="page"/>
      </w:r>
    </w:p>
    <w:p w:rsidR="00534907" w:rsidP="00114740" w14:paraId="654231F1" w14:textId="5697C95B">
      <w:pPr>
        <w:widowControl w:val="0"/>
        <w:tabs>
          <w:tab w:val="left" w:pos="9604"/>
        </w:tabs>
        <w:spacing w:before="240" w:line="276" w:lineRule="auto"/>
        <w:ind w:left="-1"/>
        <w:rPr>
          <w:rtl/>
        </w:rPr>
      </w:pPr>
      <w:r w:rsidRPr="00DC1D24">
        <w:rPr>
          <w:noProof/>
          <w:rtl/>
        </w:rPr>
        <mc:AlternateContent>
          <mc:Choice Requires="wpg">
            <w:drawing>
              <wp:anchor distT="0" distB="0" distL="114300" distR="114300" simplePos="0" relativeHeight="251693056" behindDoc="0" locked="0" layoutInCell="1" allowOverlap="1">
                <wp:simplePos x="0" y="0"/>
                <wp:positionH relativeFrom="margin">
                  <wp:posOffset>635</wp:posOffset>
                </wp:positionH>
                <wp:positionV relativeFrom="paragraph">
                  <wp:posOffset>94209</wp:posOffset>
                </wp:positionV>
                <wp:extent cx="4787900" cy="672465"/>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672465"/>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6331D4" w:rsidRPr="00A47335" w:rsidP="006331D4" w14:textId="77777777">
                              <w:pPr>
                                <w:spacing w:before="60" w:after="60" w:line="240" w:lineRule="auto"/>
                                <w:ind w:right="113"/>
                                <w:jc w:val="left"/>
                                <w:rPr>
                                  <w:b/>
                                  <w:bCs/>
                                </w:rPr>
                              </w:pPr>
                              <w:r w:rsidRPr="00A9512B">
                                <w:rPr>
                                  <w:rFonts w:ascii="Tahoma" w:hAnsi="Tahoma" w:cs="Tahoma"/>
                                  <w:b/>
                                  <w:bCs/>
                                  <w:color w:val="FFFFFF" w:themeColor="background1"/>
                                  <w:spacing w:val="-4"/>
                                  <w:sz w:val="22"/>
                                  <w:szCs w:val="22"/>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8" style="width:377pt;height:52.95pt;margin-top:7.4pt;margin-left:0.05pt;mso-height-relative:margin;mso-position-horizontal-relative:margin;mso-width-relative:margin;position:absolute;z-index:25169408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9" type="#_x0000_t75" style="width:47879;height:6148;mso-wrap-style:square;position:absolute;top:1815;visibility:visible">
                  <v:imagedata r:id="rId26" o:title=""/>
                </v:shape>
                <v:shape id="_x0000_s1040" type="#_x0000_t202" style="width:44284;height:3476;left:2028;mso-wrap-style:square;position:absolute;top:2665;visibility:visible;v-text-anchor:middle" fillcolor="#f05260" stroked="f">
                  <v:textbox>
                    <w:txbxContent>
                      <w:p w:rsidR="006331D4" w:rsidRPr="00A47335" w:rsidP="006331D4" w14:paraId="7666846E" w14:textId="77777777">
                        <w:pPr>
                          <w:spacing w:before="60" w:after="60" w:line="240" w:lineRule="auto"/>
                          <w:ind w:right="113"/>
                          <w:jc w:val="left"/>
                          <w:rPr>
                            <w:b/>
                            <w:bCs/>
                          </w:rPr>
                        </w:pPr>
                        <w:r w:rsidRPr="00A9512B">
                          <w:rPr>
                            <w:rFonts w:ascii="Tahoma" w:hAnsi="Tahoma" w:cs="Tahoma"/>
                            <w:b/>
                            <w:bCs/>
                            <w:color w:val="FFFFFF" w:themeColor="background1"/>
                            <w:spacing w:val="-4"/>
                            <w:sz w:val="22"/>
                            <w:szCs w:val="22"/>
                            <w:rtl/>
                          </w:rPr>
                          <w:t>מידת תיקון עיקרי הליקויים שעלו בדוח הקודם</w:t>
                        </w:r>
                      </w:p>
                    </w:txbxContent>
                  </v:textbox>
                </v:shape>
                <w10:wrap type="square"/>
              </v:group>
            </w:pict>
          </mc:Fallback>
        </mc:AlternateContent>
      </w:r>
      <w:r w:rsidRPr="006615C6" w:rsidR="00114740">
        <w:rPr>
          <w:rFonts w:ascii="Tahoma" w:hAnsi="Tahoma" w:cs="Tahoma" w:hint="cs"/>
          <w:sz w:val="18"/>
          <w:szCs w:val="18"/>
          <w:rtl/>
        </w:rPr>
        <w:t xml:space="preserve"> </w:t>
      </w:r>
    </w:p>
    <w:tbl>
      <w:tblPr>
        <w:tblStyle w:val="TableGrid"/>
        <w:bidiVisual/>
        <w:tblW w:w="7450" w:type="dxa"/>
        <w:tblBorders>
          <w:top w:val="none" w:sz="0" w:space="0" w:color="auto"/>
          <w:bottom w:val="none" w:sz="0" w:space="0" w:color="auto"/>
          <w:insideH w:val="none" w:sz="0" w:space="0" w:color="auto"/>
        </w:tblBorders>
        <w:tblLook w:val="04A0"/>
      </w:tblPr>
      <w:tblGrid>
        <w:gridCol w:w="909"/>
        <w:gridCol w:w="905"/>
        <w:gridCol w:w="2041"/>
        <w:gridCol w:w="623"/>
        <w:gridCol w:w="758"/>
        <w:gridCol w:w="741"/>
        <w:gridCol w:w="737"/>
        <w:gridCol w:w="736"/>
      </w:tblGrid>
      <w:tr w14:paraId="20614136" w14:textId="77777777" w:rsidTr="00C70C69">
        <w:tblPrEx>
          <w:tblW w:w="7450" w:type="dxa"/>
          <w:tblBorders>
            <w:top w:val="none" w:sz="0" w:space="0" w:color="auto"/>
            <w:bottom w:val="none" w:sz="0" w:space="0" w:color="auto"/>
            <w:insideH w:val="none" w:sz="0" w:space="0" w:color="auto"/>
          </w:tblBorders>
          <w:tblLook w:val="04A0"/>
        </w:tblPrEx>
        <w:trPr>
          <w:tblHeader/>
        </w:trPr>
        <w:tc>
          <w:tcPr>
            <w:tcW w:w="909" w:type="dxa"/>
            <w:shd w:val="clear" w:color="auto" w:fill="C8DCE4"/>
          </w:tcPr>
          <w:p w:rsidR="00E64536" w:rsidP="00534907" w14:paraId="365A3DA6" w14:textId="77777777">
            <w:pPr>
              <w:pStyle w:val="73R"/>
              <w:rPr>
                <w:rtl/>
              </w:rPr>
            </w:pPr>
          </w:p>
        </w:tc>
        <w:tc>
          <w:tcPr>
            <w:tcW w:w="905" w:type="dxa"/>
            <w:shd w:val="clear" w:color="auto" w:fill="C8DCE4"/>
          </w:tcPr>
          <w:p w:rsidR="00E64536" w:rsidP="00534907" w14:paraId="3EFBE35E" w14:textId="77777777">
            <w:pPr>
              <w:pStyle w:val="73R"/>
              <w:rPr>
                <w:rtl/>
              </w:rPr>
            </w:pPr>
          </w:p>
        </w:tc>
        <w:tc>
          <w:tcPr>
            <w:tcW w:w="2041" w:type="dxa"/>
            <w:shd w:val="clear" w:color="auto" w:fill="C8DCE4"/>
          </w:tcPr>
          <w:p w:rsidR="00E64536" w:rsidP="00534907" w14:paraId="604E73B9" w14:textId="77777777">
            <w:pPr>
              <w:pStyle w:val="73R"/>
              <w:rPr>
                <w:rtl/>
              </w:rPr>
            </w:pPr>
          </w:p>
        </w:tc>
        <w:tc>
          <w:tcPr>
            <w:tcW w:w="3595" w:type="dxa"/>
            <w:gridSpan w:val="5"/>
            <w:shd w:val="clear" w:color="auto" w:fill="C8DCE4"/>
          </w:tcPr>
          <w:p w:rsidR="00E64536" w:rsidRPr="00E64536" w:rsidP="00E64536" w14:paraId="6A718752" w14:textId="79D99356">
            <w:pPr>
              <w:pStyle w:val="73R"/>
              <w:jc w:val="center"/>
              <w:rPr>
                <w:b/>
                <w:bCs/>
                <w:rtl/>
              </w:rPr>
            </w:pPr>
            <w:r w:rsidRPr="00E64536">
              <w:rPr>
                <w:b/>
                <w:bCs/>
                <w:rtl/>
              </w:rPr>
              <w:t>מידת תיקון הליקוי</w:t>
            </w:r>
            <w:r w:rsidRPr="00E64536">
              <w:rPr>
                <w:rFonts w:hint="cs"/>
                <w:b/>
                <w:bCs/>
                <w:rtl/>
              </w:rPr>
              <w:t xml:space="preserve"> כפי שעלה </w:t>
            </w:r>
            <w:r w:rsidRPr="00E64536">
              <w:rPr>
                <w:b/>
                <w:bCs/>
                <w:rtl/>
              </w:rPr>
              <w:br/>
            </w:r>
            <w:r w:rsidRPr="00E64536">
              <w:rPr>
                <w:rFonts w:hint="cs"/>
                <w:b/>
                <w:bCs/>
                <w:rtl/>
              </w:rPr>
              <w:t>בביקורת המעקב</w:t>
            </w:r>
          </w:p>
        </w:tc>
      </w:tr>
      <w:tr w14:paraId="2F213115" w14:textId="77777777" w:rsidTr="00C70C69">
        <w:tblPrEx>
          <w:tblW w:w="7450" w:type="dxa"/>
          <w:tblLook w:val="04A0"/>
        </w:tblPrEx>
        <w:trPr>
          <w:tblHeader/>
        </w:trPr>
        <w:tc>
          <w:tcPr>
            <w:tcW w:w="909" w:type="dxa"/>
            <w:shd w:val="clear" w:color="auto" w:fill="C8DCE4"/>
            <w:vAlign w:val="bottom"/>
          </w:tcPr>
          <w:p w:rsidR="00E64536" w:rsidRPr="00E64536" w:rsidP="00E64536" w14:paraId="4E0F8816" w14:textId="1557D89B">
            <w:pPr>
              <w:pStyle w:val="73R"/>
              <w:rPr>
                <w:b/>
                <w:bCs/>
                <w:rtl/>
              </w:rPr>
            </w:pPr>
            <w:r w:rsidRPr="00E64536">
              <w:rPr>
                <w:b/>
                <w:bCs/>
                <w:rtl/>
              </w:rPr>
              <w:t>פרק הביקורת</w:t>
            </w:r>
          </w:p>
        </w:tc>
        <w:tc>
          <w:tcPr>
            <w:tcW w:w="905" w:type="dxa"/>
            <w:shd w:val="clear" w:color="auto" w:fill="C8DCE4"/>
            <w:vAlign w:val="bottom"/>
          </w:tcPr>
          <w:p w:rsidR="00E64536" w:rsidRPr="00E64536" w:rsidP="00E64536" w14:paraId="44E49B2B" w14:textId="220C02E7">
            <w:pPr>
              <w:pStyle w:val="73R"/>
              <w:rPr>
                <w:b/>
                <w:bCs/>
                <w:rtl/>
              </w:rPr>
            </w:pPr>
            <w:r w:rsidRPr="00E64536">
              <w:rPr>
                <w:rFonts w:hint="cs"/>
                <w:b/>
                <w:bCs/>
                <w:rtl/>
              </w:rPr>
              <w:t>הגוף המבקר</w:t>
            </w:r>
          </w:p>
        </w:tc>
        <w:tc>
          <w:tcPr>
            <w:tcW w:w="2041" w:type="dxa"/>
            <w:shd w:val="clear" w:color="auto" w:fill="C8DCE4"/>
            <w:vAlign w:val="bottom"/>
          </w:tcPr>
          <w:p w:rsidR="00E64536" w:rsidRPr="00E64536" w:rsidP="00E64536" w14:paraId="11219F09" w14:textId="3769184A">
            <w:pPr>
              <w:pStyle w:val="73R"/>
              <w:rPr>
                <w:b/>
                <w:bCs/>
                <w:rtl/>
              </w:rPr>
            </w:pPr>
            <w:r w:rsidRPr="00E64536">
              <w:rPr>
                <w:b/>
                <w:bCs/>
                <w:rtl/>
              </w:rPr>
              <w:t>הליקוי בדוח הביקורת</w:t>
            </w:r>
            <w:r w:rsidRPr="00E64536">
              <w:rPr>
                <w:rFonts w:hint="cs"/>
                <w:b/>
                <w:bCs/>
                <w:rtl/>
              </w:rPr>
              <w:t xml:space="preserve"> הקודם</w:t>
            </w:r>
          </w:p>
        </w:tc>
        <w:tc>
          <w:tcPr>
            <w:tcW w:w="623" w:type="dxa"/>
            <w:shd w:val="clear" w:color="auto" w:fill="FF0100"/>
            <w:vAlign w:val="bottom"/>
          </w:tcPr>
          <w:p w:rsidR="00E64536" w:rsidRPr="00E64536" w:rsidP="00E64536" w14:paraId="51DECAA6" w14:textId="484CA16E">
            <w:pPr>
              <w:pStyle w:val="73R"/>
              <w:rPr>
                <w:b/>
                <w:bCs/>
                <w:rtl/>
              </w:rPr>
            </w:pPr>
            <w:r w:rsidRPr="00E64536">
              <w:rPr>
                <w:rFonts w:hint="eastAsia"/>
                <w:b/>
                <w:bCs/>
                <w:rtl/>
              </w:rPr>
              <w:t>לא</w:t>
            </w:r>
            <w:r w:rsidRPr="00E64536">
              <w:rPr>
                <w:b/>
                <w:bCs/>
                <w:rtl/>
              </w:rPr>
              <w:t xml:space="preserve"> </w:t>
            </w:r>
            <w:r w:rsidRPr="00E64536">
              <w:rPr>
                <w:rFonts w:hint="eastAsia"/>
                <w:b/>
                <w:bCs/>
                <w:rtl/>
              </w:rPr>
              <w:t>תוקן</w:t>
            </w:r>
          </w:p>
        </w:tc>
        <w:tc>
          <w:tcPr>
            <w:tcW w:w="758" w:type="dxa"/>
            <w:shd w:val="clear" w:color="auto" w:fill="FFC002"/>
            <w:vAlign w:val="bottom"/>
          </w:tcPr>
          <w:p w:rsidR="00E64536" w:rsidRPr="00E64536" w:rsidP="00E64536" w14:paraId="6B112CDA" w14:textId="13FDC0D5">
            <w:pPr>
              <w:pStyle w:val="73R"/>
              <w:rPr>
                <w:b/>
                <w:bCs/>
                <w:rtl/>
              </w:rPr>
            </w:pPr>
            <w:r w:rsidRPr="00E64536">
              <w:rPr>
                <w:rFonts w:hint="eastAsia"/>
                <w:b/>
                <w:bCs/>
                <w:rtl/>
              </w:rPr>
              <w:t>תוקן</w:t>
            </w:r>
            <w:r w:rsidRPr="00E64536">
              <w:rPr>
                <w:b/>
                <w:bCs/>
                <w:rtl/>
              </w:rPr>
              <w:t xml:space="preserve"> </w:t>
            </w:r>
            <w:r w:rsidRPr="00E64536">
              <w:rPr>
                <w:rFonts w:hint="eastAsia"/>
                <w:b/>
                <w:bCs/>
                <w:rtl/>
              </w:rPr>
              <w:t>במידה</w:t>
            </w:r>
            <w:r w:rsidRPr="00E64536">
              <w:rPr>
                <w:b/>
                <w:bCs/>
                <w:rtl/>
              </w:rPr>
              <w:t xml:space="preserve"> </w:t>
            </w:r>
            <w:r w:rsidRPr="00E64536">
              <w:rPr>
                <w:rFonts w:hint="eastAsia"/>
                <w:b/>
                <w:bCs/>
                <w:rtl/>
              </w:rPr>
              <w:t>מועטה</w:t>
            </w:r>
          </w:p>
        </w:tc>
        <w:tc>
          <w:tcPr>
            <w:tcW w:w="741" w:type="dxa"/>
            <w:shd w:val="clear" w:color="auto" w:fill="FFFF00"/>
            <w:vAlign w:val="bottom"/>
          </w:tcPr>
          <w:p w:rsidR="00E64536" w:rsidRPr="00E64536" w:rsidP="00E64536" w14:paraId="0CF28C47" w14:textId="08DB71E4">
            <w:pPr>
              <w:pStyle w:val="73R"/>
              <w:rPr>
                <w:b/>
                <w:bCs/>
                <w:rtl/>
              </w:rPr>
            </w:pPr>
            <w:r w:rsidRPr="00E64536">
              <w:rPr>
                <w:rFonts w:hint="eastAsia"/>
                <w:b/>
                <w:bCs/>
                <w:rtl/>
              </w:rPr>
              <w:t>תוקן</w:t>
            </w:r>
            <w:r w:rsidRPr="00E64536">
              <w:rPr>
                <w:b/>
                <w:bCs/>
                <w:rtl/>
              </w:rPr>
              <w:t xml:space="preserve"> </w:t>
            </w:r>
            <w:r w:rsidRPr="00E64536">
              <w:rPr>
                <w:rFonts w:hint="eastAsia"/>
                <w:b/>
                <w:bCs/>
                <w:rtl/>
              </w:rPr>
              <w:t>במידה</w:t>
            </w:r>
            <w:r w:rsidRPr="00E64536">
              <w:rPr>
                <w:b/>
                <w:bCs/>
                <w:rtl/>
              </w:rPr>
              <w:t xml:space="preserve"> </w:t>
            </w:r>
            <w:r w:rsidRPr="00E64536">
              <w:rPr>
                <w:rFonts w:hint="cs"/>
                <w:b/>
                <w:bCs/>
                <w:rtl/>
              </w:rPr>
              <w:t>חלקית</w:t>
            </w:r>
          </w:p>
        </w:tc>
        <w:tc>
          <w:tcPr>
            <w:tcW w:w="737" w:type="dxa"/>
            <w:shd w:val="clear" w:color="auto" w:fill="C0E562"/>
            <w:vAlign w:val="bottom"/>
          </w:tcPr>
          <w:p w:rsidR="00E64536" w:rsidRPr="00E64536" w:rsidP="00E64536" w14:paraId="4FFC349E" w14:textId="65ACE861">
            <w:pPr>
              <w:pStyle w:val="73R"/>
              <w:rPr>
                <w:b/>
                <w:bCs/>
                <w:rtl/>
              </w:rPr>
            </w:pPr>
            <w:r w:rsidRPr="00E64536">
              <w:rPr>
                <w:rFonts w:hint="eastAsia"/>
                <w:b/>
                <w:bCs/>
                <w:rtl/>
              </w:rPr>
              <w:t>תוקן</w:t>
            </w:r>
            <w:r w:rsidRPr="00E64536">
              <w:rPr>
                <w:b/>
                <w:bCs/>
                <w:rtl/>
              </w:rPr>
              <w:t xml:space="preserve"> </w:t>
            </w:r>
            <w:r w:rsidRPr="00E64536">
              <w:rPr>
                <w:rFonts w:hint="eastAsia"/>
                <w:b/>
                <w:bCs/>
                <w:rtl/>
              </w:rPr>
              <w:t>במידה</w:t>
            </w:r>
            <w:r w:rsidRPr="00E64536">
              <w:rPr>
                <w:b/>
                <w:bCs/>
                <w:rtl/>
              </w:rPr>
              <w:t xml:space="preserve"> </w:t>
            </w:r>
            <w:r w:rsidRPr="00E64536">
              <w:rPr>
                <w:rFonts w:hint="cs"/>
                <w:b/>
                <w:bCs/>
                <w:rtl/>
              </w:rPr>
              <w:t>רבה</w:t>
            </w:r>
          </w:p>
        </w:tc>
        <w:tc>
          <w:tcPr>
            <w:tcW w:w="736" w:type="dxa"/>
            <w:shd w:val="clear" w:color="auto" w:fill="92D150"/>
            <w:vAlign w:val="bottom"/>
          </w:tcPr>
          <w:p w:rsidR="00E64536" w:rsidRPr="00E64536" w:rsidP="00E64536" w14:paraId="197B6D6A" w14:textId="355BC60D">
            <w:pPr>
              <w:pStyle w:val="73R"/>
              <w:rPr>
                <w:b/>
                <w:bCs/>
                <w:rtl/>
              </w:rPr>
            </w:pPr>
            <w:r w:rsidRPr="00E64536">
              <w:rPr>
                <w:rFonts w:hint="eastAsia"/>
                <w:b/>
                <w:bCs/>
                <w:rtl/>
              </w:rPr>
              <w:t>תוקן</w:t>
            </w:r>
            <w:r w:rsidRPr="00E64536">
              <w:rPr>
                <w:b/>
                <w:bCs/>
                <w:rtl/>
              </w:rPr>
              <w:t xml:space="preserve"> </w:t>
            </w:r>
            <w:r w:rsidRPr="00E64536">
              <w:rPr>
                <w:rFonts w:hint="eastAsia"/>
                <w:b/>
                <w:bCs/>
                <w:rtl/>
              </w:rPr>
              <w:t>באופן</w:t>
            </w:r>
            <w:r w:rsidRPr="00E64536">
              <w:rPr>
                <w:b/>
                <w:bCs/>
                <w:rtl/>
              </w:rPr>
              <w:t xml:space="preserve"> </w:t>
            </w:r>
            <w:r w:rsidRPr="00E64536">
              <w:rPr>
                <w:rFonts w:hint="eastAsia"/>
                <w:b/>
                <w:bCs/>
                <w:rtl/>
              </w:rPr>
              <w:t>מלא</w:t>
            </w:r>
          </w:p>
        </w:tc>
      </w:tr>
      <w:tr w14:paraId="2F164309" w14:textId="77777777" w:rsidTr="00C70C69">
        <w:tblPrEx>
          <w:tblW w:w="7450" w:type="dxa"/>
          <w:tblLook w:val="04A0"/>
        </w:tblPrEx>
        <w:tc>
          <w:tcPr>
            <w:tcW w:w="909" w:type="dxa"/>
            <w:shd w:val="clear" w:color="auto" w:fill="DFECEF"/>
          </w:tcPr>
          <w:p w:rsidR="00E64536" w:rsidP="006331D4" w14:paraId="2764C799" w14:textId="10621FE0">
            <w:pPr>
              <w:pStyle w:val="73R"/>
              <w:rPr>
                <w:rtl/>
              </w:rPr>
            </w:pPr>
            <w:r w:rsidRPr="002222E2">
              <w:rPr>
                <w:rFonts w:hint="cs"/>
                <w:rtl/>
              </w:rPr>
              <w:t>פנסייה</w:t>
            </w:r>
            <w:r w:rsidRPr="002222E2">
              <w:rPr>
                <w:rFonts w:hint="cs"/>
                <w:rtl/>
              </w:rPr>
              <w:t xml:space="preserve"> צוברת</w:t>
            </w:r>
          </w:p>
        </w:tc>
        <w:tc>
          <w:tcPr>
            <w:tcW w:w="905" w:type="dxa"/>
            <w:shd w:val="clear" w:color="auto" w:fill="DFECEF"/>
          </w:tcPr>
          <w:p w:rsidR="00E64536" w:rsidP="006331D4" w14:paraId="604A11AC" w14:textId="660304C1">
            <w:pPr>
              <w:pStyle w:val="73R"/>
              <w:rPr>
                <w:rtl/>
              </w:rPr>
            </w:pPr>
            <w:r w:rsidRPr="002222E2">
              <w:rPr>
                <w:rFonts w:hint="cs"/>
                <w:rtl/>
              </w:rPr>
              <w:t>רשות שוק ההון</w:t>
            </w:r>
          </w:p>
        </w:tc>
        <w:tc>
          <w:tcPr>
            <w:tcW w:w="2041" w:type="dxa"/>
            <w:shd w:val="clear" w:color="auto" w:fill="DFECEF"/>
          </w:tcPr>
          <w:p w:rsidR="00E64536" w:rsidP="006331D4" w14:paraId="1494CC34" w14:textId="05E81255">
            <w:pPr>
              <w:pStyle w:val="73R"/>
              <w:rPr>
                <w:rtl/>
              </w:rPr>
            </w:pPr>
            <w:r w:rsidRPr="002222E2">
              <w:rPr>
                <w:rFonts w:hint="cs"/>
                <w:rtl/>
              </w:rPr>
              <w:t>רוב החוסכים הלא פעילים שילמו דמי ניהול מרביים</w:t>
            </w:r>
          </w:p>
        </w:tc>
        <w:tc>
          <w:tcPr>
            <w:tcW w:w="623" w:type="dxa"/>
            <w:shd w:val="clear" w:color="auto" w:fill="DFECEF"/>
          </w:tcPr>
          <w:p w:rsidR="00E64536" w:rsidP="006331D4" w14:paraId="2B6A9CC4" w14:textId="3313FF87">
            <w:pPr>
              <w:pStyle w:val="73R"/>
              <w:rPr>
                <w:rtl/>
              </w:rPr>
            </w:pPr>
            <w:r w:rsidRPr="00973C85">
              <w:rPr>
                <w:noProof/>
                <w:rtl/>
              </w:rPr>
              <mc:AlternateContent>
                <mc:Choice Requires="wps">
                  <w:drawing>
                    <wp:anchor distT="0" distB="0" distL="114300" distR="114300" simplePos="0" relativeHeight="251680768" behindDoc="0" locked="0" layoutInCell="1" allowOverlap="1">
                      <wp:simplePos x="0" y="0"/>
                      <wp:positionH relativeFrom="column">
                        <wp:posOffset>-953846</wp:posOffset>
                      </wp:positionH>
                      <wp:positionV relativeFrom="paragraph">
                        <wp:posOffset>178080</wp:posOffset>
                      </wp:positionV>
                      <wp:extent cx="1269804" cy="226060"/>
                      <wp:effectExtent l="12700" t="12700" r="13335" b="15240"/>
                      <wp:wrapNone/>
                      <wp:docPr id="58" name="חץ שמאלה 58"/>
                      <wp:cNvGraphicFramePr/>
                      <a:graphic xmlns:a="http://schemas.openxmlformats.org/drawingml/2006/main">
                        <a:graphicData uri="http://schemas.microsoft.com/office/word/2010/wordprocessingShape">
                          <wps:wsp xmlns:wps="http://schemas.microsoft.com/office/word/2010/wordprocessingShape">
                            <wps:cNvSpPr/>
                            <wps:spPr>
                              <a:xfrm>
                                <a:off x="0" y="0"/>
                                <a:ext cx="1269804" cy="22606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58" o:spid="_x0000_s1041" type="#_x0000_t66" style="width:100pt;height:17.8pt;margin-top:14pt;margin-left:-75.1pt;mso-height-percent:0;mso-height-relative:margin;mso-width-percent:0;mso-width-relative:margin;mso-wrap-distance-bottom:0;mso-wrap-distance-left:9pt;mso-wrap-distance-right:9pt;mso-wrap-distance-top:0;mso-wrap-style:square;position:absolute;visibility:visible;v-text-anchor:middle;z-index:251681792" adj="1923" fillcolor="yellow" strokecolor="yellow" strokeweight="2pt"/>
                  </w:pict>
                </mc:Fallback>
              </mc:AlternateContent>
            </w:r>
          </w:p>
        </w:tc>
        <w:tc>
          <w:tcPr>
            <w:tcW w:w="758" w:type="dxa"/>
            <w:shd w:val="clear" w:color="auto" w:fill="DFECEF"/>
          </w:tcPr>
          <w:p w:rsidR="00E64536" w:rsidP="006331D4" w14:paraId="340CD5AF" w14:textId="77777777">
            <w:pPr>
              <w:pStyle w:val="73R"/>
              <w:rPr>
                <w:rtl/>
              </w:rPr>
            </w:pPr>
          </w:p>
        </w:tc>
        <w:tc>
          <w:tcPr>
            <w:tcW w:w="741" w:type="dxa"/>
            <w:shd w:val="clear" w:color="auto" w:fill="DFECEF"/>
          </w:tcPr>
          <w:p w:rsidR="00E64536" w:rsidP="006331D4" w14:paraId="6B6E632D" w14:textId="77777777">
            <w:pPr>
              <w:pStyle w:val="73R"/>
              <w:rPr>
                <w:rtl/>
              </w:rPr>
            </w:pPr>
          </w:p>
        </w:tc>
        <w:tc>
          <w:tcPr>
            <w:tcW w:w="737" w:type="dxa"/>
            <w:shd w:val="clear" w:color="auto" w:fill="DFECEF"/>
          </w:tcPr>
          <w:p w:rsidR="00E64536" w:rsidP="006331D4" w14:paraId="04DFB5EE" w14:textId="77777777">
            <w:pPr>
              <w:pStyle w:val="73R"/>
              <w:rPr>
                <w:rtl/>
              </w:rPr>
            </w:pPr>
          </w:p>
        </w:tc>
        <w:tc>
          <w:tcPr>
            <w:tcW w:w="736" w:type="dxa"/>
            <w:shd w:val="clear" w:color="auto" w:fill="DFECEF"/>
          </w:tcPr>
          <w:p w:rsidR="00E64536" w:rsidP="006331D4" w14:paraId="15531340" w14:textId="77777777">
            <w:pPr>
              <w:pStyle w:val="73R"/>
              <w:rPr>
                <w:rtl/>
              </w:rPr>
            </w:pPr>
          </w:p>
        </w:tc>
      </w:tr>
      <w:tr w14:paraId="5C4D71B4" w14:textId="77777777" w:rsidTr="00C70C69">
        <w:tblPrEx>
          <w:tblW w:w="7450" w:type="dxa"/>
          <w:tblLook w:val="04A0"/>
        </w:tblPrEx>
        <w:tc>
          <w:tcPr>
            <w:tcW w:w="909" w:type="dxa"/>
            <w:shd w:val="clear" w:color="auto" w:fill="F0F8F9"/>
          </w:tcPr>
          <w:p w:rsidR="00E64536" w:rsidP="006331D4" w14:paraId="0416805F" w14:textId="76DC1B20">
            <w:pPr>
              <w:pStyle w:val="73R"/>
              <w:rPr>
                <w:rtl/>
              </w:rPr>
            </w:pPr>
            <w:r w:rsidRPr="002222E2">
              <w:rPr>
                <w:rFonts w:hint="cs"/>
                <w:rtl/>
              </w:rPr>
              <w:t>פנסייה</w:t>
            </w:r>
            <w:r w:rsidRPr="002222E2">
              <w:rPr>
                <w:rFonts w:hint="cs"/>
                <w:rtl/>
              </w:rPr>
              <w:t xml:space="preserve"> צוברת</w:t>
            </w:r>
          </w:p>
        </w:tc>
        <w:tc>
          <w:tcPr>
            <w:tcW w:w="905" w:type="dxa"/>
            <w:shd w:val="clear" w:color="auto" w:fill="F0F8F9"/>
          </w:tcPr>
          <w:p w:rsidR="00E64536" w:rsidP="006331D4" w14:paraId="6E4776A7" w14:textId="669792FA">
            <w:pPr>
              <w:pStyle w:val="73R"/>
              <w:rPr>
                <w:rtl/>
              </w:rPr>
            </w:pPr>
            <w:r w:rsidRPr="002222E2">
              <w:rPr>
                <w:rFonts w:hint="cs"/>
                <w:rtl/>
              </w:rPr>
              <w:t>רשות שוק ההון</w:t>
            </w:r>
          </w:p>
        </w:tc>
        <w:tc>
          <w:tcPr>
            <w:tcW w:w="2041" w:type="dxa"/>
            <w:shd w:val="clear" w:color="auto" w:fill="F0F8F9"/>
          </w:tcPr>
          <w:p w:rsidR="00E64536" w:rsidP="006331D4" w14:paraId="469FE312" w14:textId="7372CE1D">
            <w:pPr>
              <w:pStyle w:val="73R"/>
              <w:rPr>
                <w:rtl/>
              </w:rPr>
            </w:pPr>
            <w:r w:rsidRPr="002222E2">
              <w:rPr>
                <w:rFonts w:hint="cs"/>
                <w:rtl/>
              </w:rPr>
              <w:t>כל הפנסיונרים שילמו את דמי הניהול המרביים הקבועים בחוק</w:t>
            </w:r>
          </w:p>
        </w:tc>
        <w:tc>
          <w:tcPr>
            <w:tcW w:w="623" w:type="dxa"/>
            <w:shd w:val="clear" w:color="auto" w:fill="F0F8F9"/>
          </w:tcPr>
          <w:p w:rsidR="00E64536" w:rsidP="006331D4" w14:paraId="7ED713DC" w14:textId="3B454E5A">
            <w:pPr>
              <w:pStyle w:val="73R"/>
              <w:rPr>
                <w:rtl/>
              </w:rPr>
            </w:pPr>
          </w:p>
        </w:tc>
        <w:tc>
          <w:tcPr>
            <w:tcW w:w="758" w:type="dxa"/>
            <w:shd w:val="clear" w:color="auto" w:fill="F0F8F9"/>
          </w:tcPr>
          <w:p w:rsidR="00E64536" w:rsidP="006331D4" w14:paraId="1C21D576" w14:textId="3E83445A">
            <w:pPr>
              <w:pStyle w:val="73R"/>
              <w:rPr>
                <w:rtl/>
              </w:rPr>
            </w:pPr>
          </w:p>
        </w:tc>
        <w:tc>
          <w:tcPr>
            <w:tcW w:w="741" w:type="dxa"/>
            <w:shd w:val="clear" w:color="auto" w:fill="F0F8F9"/>
          </w:tcPr>
          <w:p w:rsidR="00E64536" w:rsidP="006331D4" w14:paraId="5906D121" w14:textId="6CDBB60C">
            <w:pPr>
              <w:pStyle w:val="73R"/>
              <w:rPr>
                <w:rtl/>
              </w:rPr>
            </w:pPr>
            <w:r w:rsidRPr="00973C85">
              <w:rPr>
                <w:noProof/>
                <w:rtl/>
              </w:rPr>
              <mc:AlternateContent>
                <mc:Choice Requires="wps">
                  <w:drawing>
                    <wp:anchor distT="0" distB="0" distL="114300" distR="114300" simplePos="0" relativeHeight="251682816" behindDoc="0" locked="0" layoutInCell="1" allowOverlap="1">
                      <wp:simplePos x="0" y="0"/>
                      <wp:positionH relativeFrom="column">
                        <wp:posOffset>-475057</wp:posOffset>
                      </wp:positionH>
                      <wp:positionV relativeFrom="paragraph">
                        <wp:posOffset>145009</wp:posOffset>
                      </wp:positionV>
                      <wp:extent cx="1742440" cy="226060"/>
                      <wp:effectExtent l="12700" t="12700" r="10160" b="15240"/>
                      <wp:wrapNone/>
                      <wp:docPr id="57" name="חץ שמאלה 57"/>
                      <wp:cNvGraphicFramePr/>
                      <a:graphic xmlns:a="http://schemas.openxmlformats.org/drawingml/2006/main">
                        <a:graphicData uri="http://schemas.microsoft.com/office/word/2010/wordprocessingShape">
                          <wps:wsp xmlns:wps="http://schemas.microsoft.com/office/word/2010/wordprocessingShape">
                            <wps:cNvSpPr/>
                            <wps:spPr>
                              <a:xfrm>
                                <a:off x="0" y="0"/>
                                <a:ext cx="1742440" cy="226060"/>
                              </a:xfrm>
                              <a:prstGeom prst="leftArrow">
                                <a:avLst/>
                              </a:prstGeom>
                              <a:solidFill>
                                <a:srgbClr val="C0E563"/>
                              </a:solidFill>
                              <a:ln w="25400">
                                <a:solidFill>
                                  <a:srgbClr val="C0E563"/>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2" type="#_x0000_t66" style="width:137.2pt;height:17.8pt;margin-top:11.4pt;margin-left:-37.4pt;mso-height-percent:0;mso-height-relative:margin;mso-width-percent:0;mso-width-relative:margin;mso-wrap-distance-bottom:0;mso-wrap-distance-left:9pt;mso-wrap-distance-right:9pt;mso-wrap-distance-top:0;mso-wrap-style:square;position:absolute;visibility:visible;v-text-anchor:middle;z-index:251683840" adj="1401" fillcolor="#c0e563" strokecolor="#c0e563" strokeweight="2pt"/>
                  </w:pict>
                </mc:Fallback>
              </mc:AlternateContent>
            </w:r>
          </w:p>
        </w:tc>
        <w:tc>
          <w:tcPr>
            <w:tcW w:w="737" w:type="dxa"/>
            <w:shd w:val="clear" w:color="auto" w:fill="F0F8F9"/>
          </w:tcPr>
          <w:p w:rsidR="00E64536" w:rsidP="006331D4" w14:paraId="7591C0D7" w14:textId="77777777">
            <w:pPr>
              <w:pStyle w:val="73R"/>
              <w:rPr>
                <w:rtl/>
              </w:rPr>
            </w:pPr>
          </w:p>
        </w:tc>
        <w:tc>
          <w:tcPr>
            <w:tcW w:w="736" w:type="dxa"/>
            <w:shd w:val="clear" w:color="auto" w:fill="F0F8F9"/>
          </w:tcPr>
          <w:p w:rsidR="00E64536" w:rsidP="006331D4" w14:paraId="73A000D9" w14:textId="77777777">
            <w:pPr>
              <w:pStyle w:val="73R"/>
              <w:rPr>
                <w:rtl/>
              </w:rPr>
            </w:pPr>
          </w:p>
        </w:tc>
      </w:tr>
      <w:tr w14:paraId="3E3DC56A" w14:textId="77777777" w:rsidTr="00C70C69">
        <w:tblPrEx>
          <w:tblW w:w="7450" w:type="dxa"/>
          <w:tblLook w:val="04A0"/>
        </w:tblPrEx>
        <w:tc>
          <w:tcPr>
            <w:tcW w:w="909" w:type="dxa"/>
            <w:shd w:val="clear" w:color="auto" w:fill="DFECEF"/>
          </w:tcPr>
          <w:p w:rsidR="00E64536" w:rsidP="006331D4" w14:paraId="220FDD62" w14:textId="32C2201A">
            <w:pPr>
              <w:pStyle w:val="73R"/>
              <w:rPr>
                <w:rtl/>
              </w:rPr>
            </w:pPr>
            <w:r w:rsidRPr="002222E2">
              <w:rPr>
                <w:rFonts w:hint="cs"/>
                <w:rtl/>
              </w:rPr>
              <w:t>פנסייה</w:t>
            </w:r>
            <w:r w:rsidRPr="002222E2">
              <w:rPr>
                <w:rFonts w:hint="cs"/>
                <w:rtl/>
              </w:rPr>
              <w:t xml:space="preserve"> צוברת</w:t>
            </w:r>
          </w:p>
        </w:tc>
        <w:tc>
          <w:tcPr>
            <w:tcW w:w="905" w:type="dxa"/>
            <w:shd w:val="clear" w:color="auto" w:fill="DFECEF"/>
          </w:tcPr>
          <w:p w:rsidR="00E64536" w:rsidP="006331D4" w14:paraId="55ACCE05" w14:textId="1C48D97C">
            <w:pPr>
              <w:pStyle w:val="73R"/>
              <w:rPr>
                <w:rtl/>
              </w:rPr>
            </w:pPr>
            <w:r w:rsidRPr="002222E2">
              <w:rPr>
                <w:rFonts w:hint="cs"/>
                <w:rtl/>
              </w:rPr>
              <w:t>רשות שוק ההון</w:t>
            </w:r>
          </w:p>
        </w:tc>
        <w:tc>
          <w:tcPr>
            <w:tcW w:w="2041" w:type="dxa"/>
            <w:shd w:val="clear" w:color="auto" w:fill="DFECEF"/>
          </w:tcPr>
          <w:p w:rsidR="00E64536" w:rsidP="006331D4" w14:paraId="6168725A" w14:textId="426A8A79">
            <w:pPr>
              <w:pStyle w:val="73R"/>
              <w:rPr>
                <w:rtl/>
              </w:rPr>
            </w:pPr>
            <w:r w:rsidRPr="002222E2">
              <w:rPr>
                <w:rFonts w:hint="cs"/>
                <w:rtl/>
              </w:rPr>
              <w:t>בחינת השימוש בקריטריון יחיד של דמי ניהול בקביעת קרן ברירת מחדל</w:t>
            </w:r>
          </w:p>
        </w:tc>
        <w:tc>
          <w:tcPr>
            <w:tcW w:w="623" w:type="dxa"/>
            <w:shd w:val="clear" w:color="auto" w:fill="DFECEF"/>
          </w:tcPr>
          <w:p w:rsidR="00E64536" w:rsidP="006331D4" w14:paraId="7EF7CD0B" w14:textId="4C6CA740">
            <w:pPr>
              <w:pStyle w:val="73R"/>
              <w:rPr>
                <w:rtl/>
              </w:rPr>
            </w:pPr>
          </w:p>
        </w:tc>
        <w:tc>
          <w:tcPr>
            <w:tcW w:w="758" w:type="dxa"/>
            <w:shd w:val="clear" w:color="auto" w:fill="DFECEF"/>
          </w:tcPr>
          <w:p w:rsidR="00E64536" w:rsidP="006331D4" w14:paraId="038223D9" w14:textId="2788CC69">
            <w:pPr>
              <w:pStyle w:val="73R"/>
              <w:rPr>
                <w:rtl/>
              </w:rPr>
            </w:pPr>
          </w:p>
        </w:tc>
        <w:tc>
          <w:tcPr>
            <w:tcW w:w="741" w:type="dxa"/>
            <w:shd w:val="clear" w:color="auto" w:fill="DFECEF"/>
          </w:tcPr>
          <w:p w:rsidR="00E64536" w:rsidP="006331D4" w14:paraId="32A5F142" w14:textId="11F94321">
            <w:pPr>
              <w:pStyle w:val="73R"/>
              <w:rPr>
                <w:rtl/>
              </w:rPr>
            </w:pPr>
          </w:p>
        </w:tc>
        <w:tc>
          <w:tcPr>
            <w:tcW w:w="737" w:type="dxa"/>
            <w:shd w:val="clear" w:color="auto" w:fill="DFECEF"/>
          </w:tcPr>
          <w:p w:rsidR="00E64536" w:rsidP="006331D4" w14:paraId="23253803" w14:textId="77777777">
            <w:pPr>
              <w:pStyle w:val="73R"/>
              <w:rPr>
                <w:rtl/>
              </w:rPr>
            </w:pPr>
          </w:p>
        </w:tc>
        <w:tc>
          <w:tcPr>
            <w:tcW w:w="736" w:type="dxa"/>
            <w:shd w:val="clear" w:color="auto" w:fill="DFECEF"/>
          </w:tcPr>
          <w:p w:rsidR="00E64536" w:rsidP="006331D4" w14:paraId="65E2860E" w14:textId="2290FAD1">
            <w:pPr>
              <w:pStyle w:val="73R"/>
              <w:rPr>
                <w:rtl/>
              </w:rPr>
            </w:pPr>
            <w:r w:rsidRPr="00973C85">
              <w:rPr>
                <w:noProof/>
                <w:rtl/>
              </w:rPr>
              <mc:AlternateContent>
                <mc:Choice Requires="wps">
                  <w:drawing>
                    <wp:anchor distT="0" distB="0" distL="114300" distR="114300" simplePos="0" relativeHeight="251684864" behindDoc="0" locked="0" layoutInCell="1" allowOverlap="1">
                      <wp:simplePos x="0" y="0"/>
                      <wp:positionH relativeFrom="column">
                        <wp:posOffset>6350</wp:posOffset>
                      </wp:positionH>
                      <wp:positionV relativeFrom="paragraph">
                        <wp:posOffset>186690</wp:posOffset>
                      </wp:positionV>
                      <wp:extent cx="2186940" cy="226060"/>
                      <wp:effectExtent l="12700" t="12700" r="10160" b="15240"/>
                      <wp:wrapNone/>
                      <wp:docPr id="3" name="חץ שמאלה 3"/>
                      <wp:cNvGraphicFramePr/>
                      <a:graphic xmlns:a="http://schemas.openxmlformats.org/drawingml/2006/main">
                        <a:graphicData uri="http://schemas.microsoft.com/office/word/2010/wordprocessingShape">
                          <wps:wsp xmlns:wps="http://schemas.microsoft.com/office/word/2010/wordprocessingShape">
                            <wps:cNvSpPr/>
                            <wps:spPr>
                              <a:xfrm>
                                <a:off x="0" y="0"/>
                                <a:ext cx="2186940" cy="22606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 o:spid="_x0000_s1043" type="#_x0000_t66" style="width:172.2pt;height:17.8pt;margin-top:14.7pt;margin-left:0.5pt;mso-height-percent:0;mso-height-relative:margin;mso-width-percent:0;mso-width-relative:margin;mso-wrap-distance-bottom:0;mso-wrap-distance-left:9pt;mso-wrap-distance-right:9pt;mso-wrap-distance-top:0;mso-wrap-style:square;position:absolute;visibility:visible;v-text-anchor:middle;z-index:251685888" adj="1116" fillcolor="#67b641" strokecolor="#67b641" strokeweight="2pt"/>
                  </w:pict>
                </mc:Fallback>
              </mc:AlternateContent>
            </w:r>
          </w:p>
        </w:tc>
      </w:tr>
      <w:tr w14:paraId="41D67BCB" w14:textId="77777777" w:rsidTr="00C70C69">
        <w:tblPrEx>
          <w:tblW w:w="7450" w:type="dxa"/>
          <w:tblLook w:val="04A0"/>
        </w:tblPrEx>
        <w:tc>
          <w:tcPr>
            <w:tcW w:w="909" w:type="dxa"/>
            <w:shd w:val="clear" w:color="auto" w:fill="F0F8F9"/>
          </w:tcPr>
          <w:p w:rsidR="00E64536" w:rsidP="006331D4" w14:paraId="62CB56C9" w14:textId="092EC354">
            <w:pPr>
              <w:pStyle w:val="73R"/>
              <w:rPr>
                <w:rtl/>
              </w:rPr>
            </w:pPr>
            <w:r w:rsidRPr="002222E2">
              <w:rPr>
                <w:rFonts w:hint="cs"/>
                <w:rtl/>
              </w:rPr>
              <w:t>פנסייה</w:t>
            </w:r>
            <w:r w:rsidRPr="002222E2">
              <w:rPr>
                <w:rFonts w:hint="cs"/>
                <w:rtl/>
              </w:rPr>
              <w:t xml:space="preserve"> צוברת</w:t>
            </w:r>
          </w:p>
        </w:tc>
        <w:tc>
          <w:tcPr>
            <w:tcW w:w="905" w:type="dxa"/>
            <w:shd w:val="clear" w:color="auto" w:fill="F0F8F9"/>
          </w:tcPr>
          <w:p w:rsidR="00E64536" w:rsidP="006331D4" w14:paraId="2DCD50B6" w14:textId="66CFAB66">
            <w:pPr>
              <w:pStyle w:val="73R"/>
              <w:rPr>
                <w:rtl/>
              </w:rPr>
            </w:pPr>
            <w:r w:rsidRPr="002222E2">
              <w:rPr>
                <w:rFonts w:hint="cs"/>
                <w:rtl/>
              </w:rPr>
              <w:t>רשות שוק ההון</w:t>
            </w:r>
          </w:p>
        </w:tc>
        <w:tc>
          <w:tcPr>
            <w:tcW w:w="2041" w:type="dxa"/>
            <w:shd w:val="clear" w:color="auto" w:fill="F0F8F9"/>
          </w:tcPr>
          <w:p w:rsidR="00E64536" w:rsidP="006331D4" w14:paraId="389E1AFA" w14:textId="5F51D281">
            <w:pPr>
              <w:pStyle w:val="73R"/>
              <w:rPr>
                <w:rtl/>
              </w:rPr>
            </w:pPr>
            <w:r w:rsidRPr="002222E2">
              <w:rPr>
                <w:rFonts w:hint="cs"/>
                <w:rtl/>
              </w:rPr>
              <w:t>אי-התאמה של קריטריון התשואה בהליך התחרותי לבחירת קופת ברירת מחדל על ידי מעסיק או ארגון עובדים לרמת הסיכון של תיק ההשקעות</w:t>
            </w:r>
          </w:p>
        </w:tc>
        <w:tc>
          <w:tcPr>
            <w:tcW w:w="623" w:type="dxa"/>
            <w:shd w:val="clear" w:color="auto" w:fill="F0F8F9"/>
          </w:tcPr>
          <w:p w:rsidR="00E64536" w:rsidP="006331D4" w14:paraId="247DBFE4" w14:textId="0ACFD29A">
            <w:pPr>
              <w:pStyle w:val="73R"/>
              <w:rPr>
                <w:rtl/>
              </w:rPr>
            </w:pPr>
          </w:p>
        </w:tc>
        <w:tc>
          <w:tcPr>
            <w:tcW w:w="758" w:type="dxa"/>
            <w:shd w:val="clear" w:color="auto" w:fill="F0F8F9"/>
          </w:tcPr>
          <w:p w:rsidR="00E64536" w:rsidP="006331D4" w14:paraId="073743DB" w14:textId="6616A20C">
            <w:pPr>
              <w:pStyle w:val="73R"/>
              <w:rPr>
                <w:rtl/>
              </w:rPr>
            </w:pPr>
          </w:p>
        </w:tc>
        <w:tc>
          <w:tcPr>
            <w:tcW w:w="741" w:type="dxa"/>
            <w:shd w:val="clear" w:color="auto" w:fill="F0F8F9"/>
          </w:tcPr>
          <w:p w:rsidR="00E64536" w:rsidP="006331D4" w14:paraId="6E32DA9C" w14:textId="61CF2234">
            <w:pPr>
              <w:pStyle w:val="73R"/>
              <w:rPr>
                <w:rtl/>
              </w:rPr>
            </w:pPr>
            <w:r w:rsidRPr="00973C85">
              <w:rPr>
                <w:noProof/>
                <w:rtl/>
              </w:rPr>
              <mc:AlternateContent>
                <mc:Choice Requires="wps">
                  <w:drawing>
                    <wp:anchor distT="0" distB="0" distL="114300" distR="114300" simplePos="0" relativeHeight="251686912" behindDoc="0" locked="0" layoutInCell="1" allowOverlap="1">
                      <wp:simplePos x="0" y="0"/>
                      <wp:positionH relativeFrom="column">
                        <wp:posOffset>-475057</wp:posOffset>
                      </wp:positionH>
                      <wp:positionV relativeFrom="paragraph">
                        <wp:posOffset>295757</wp:posOffset>
                      </wp:positionV>
                      <wp:extent cx="1742440" cy="226060"/>
                      <wp:effectExtent l="12700" t="12700" r="10160" b="15240"/>
                      <wp:wrapNone/>
                      <wp:docPr id="59" name="חץ שמאלה 59"/>
                      <wp:cNvGraphicFramePr/>
                      <a:graphic xmlns:a="http://schemas.openxmlformats.org/drawingml/2006/main">
                        <a:graphicData uri="http://schemas.microsoft.com/office/word/2010/wordprocessingShape">
                          <wps:wsp xmlns:wps="http://schemas.microsoft.com/office/word/2010/wordprocessingShape">
                            <wps:cNvSpPr/>
                            <wps:spPr>
                              <a:xfrm>
                                <a:off x="0" y="0"/>
                                <a:ext cx="1742440" cy="226060"/>
                              </a:xfrm>
                              <a:prstGeom prst="leftArrow">
                                <a:avLst/>
                              </a:prstGeom>
                              <a:solidFill>
                                <a:srgbClr val="C0E563"/>
                              </a:solidFill>
                              <a:ln w="25400">
                                <a:solidFill>
                                  <a:srgbClr val="C0E563"/>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9" o:spid="_x0000_s1044" type="#_x0000_t66" style="width:137.2pt;height:17.8pt;margin-top:23.3pt;margin-left:-37.4pt;mso-height-percent:0;mso-height-relative:margin;mso-width-percent:0;mso-width-relative:margin;mso-wrap-distance-bottom:0;mso-wrap-distance-left:9pt;mso-wrap-distance-right:9pt;mso-wrap-distance-top:0;mso-wrap-style:square;position:absolute;visibility:visible;v-text-anchor:middle;z-index:251687936" adj="1401" fillcolor="#c0e563" strokecolor="#c0e563" strokeweight="2pt"/>
                  </w:pict>
                </mc:Fallback>
              </mc:AlternateContent>
            </w:r>
          </w:p>
        </w:tc>
        <w:tc>
          <w:tcPr>
            <w:tcW w:w="737" w:type="dxa"/>
            <w:shd w:val="clear" w:color="auto" w:fill="F0F8F9"/>
          </w:tcPr>
          <w:p w:rsidR="00E64536" w:rsidP="006331D4" w14:paraId="2FF97966" w14:textId="77777777">
            <w:pPr>
              <w:pStyle w:val="73R"/>
              <w:rPr>
                <w:rtl/>
              </w:rPr>
            </w:pPr>
          </w:p>
        </w:tc>
        <w:tc>
          <w:tcPr>
            <w:tcW w:w="736" w:type="dxa"/>
            <w:shd w:val="clear" w:color="auto" w:fill="F0F8F9"/>
          </w:tcPr>
          <w:p w:rsidR="00E64536" w:rsidP="006331D4" w14:paraId="10B31919" w14:textId="77777777">
            <w:pPr>
              <w:pStyle w:val="73R"/>
              <w:rPr>
                <w:rtl/>
              </w:rPr>
            </w:pPr>
          </w:p>
        </w:tc>
      </w:tr>
      <w:tr w14:paraId="0BF406DD" w14:textId="77777777" w:rsidTr="00C70C69">
        <w:tblPrEx>
          <w:tblW w:w="7450" w:type="dxa"/>
          <w:tblLook w:val="04A0"/>
        </w:tblPrEx>
        <w:tc>
          <w:tcPr>
            <w:tcW w:w="909" w:type="dxa"/>
            <w:shd w:val="clear" w:color="auto" w:fill="DFECEF"/>
          </w:tcPr>
          <w:p w:rsidR="006331D4" w:rsidP="006331D4" w14:paraId="5C57FEEC" w14:textId="0B7FFB6C">
            <w:pPr>
              <w:pStyle w:val="73R"/>
              <w:rPr>
                <w:rtl/>
              </w:rPr>
            </w:pPr>
            <w:r w:rsidRPr="002222E2">
              <w:rPr>
                <w:rFonts w:hint="cs"/>
                <w:rtl/>
              </w:rPr>
              <w:t>פנסייה</w:t>
            </w:r>
            <w:r w:rsidRPr="002222E2">
              <w:rPr>
                <w:rFonts w:hint="cs"/>
                <w:rtl/>
              </w:rPr>
              <w:t xml:space="preserve"> צוברת</w:t>
            </w:r>
          </w:p>
        </w:tc>
        <w:tc>
          <w:tcPr>
            <w:tcW w:w="905" w:type="dxa"/>
            <w:shd w:val="clear" w:color="auto" w:fill="DFECEF"/>
          </w:tcPr>
          <w:p w:rsidR="006331D4" w:rsidP="006331D4" w14:paraId="36DB9E51" w14:textId="31DA5D51">
            <w:pPr>
              <w:pStyle w:val="73R"/>
              <w:rPr>
                <w:rtl/>
              </w:rPr>
            </w:pPr>
            <w:r w:rsidRPr="002222E2">
              <w:rPr>
                <w:rFonts w:hint="cs"/>
                <w:rtl/>
              </w:rPr>
              <w:t>רשות שוק ההון</w:t>
            </w:r>
          </w:p>
        </w:tc>
        <w:tc>
          <w:tcPr>
            <w:tcW w:w="2041" w:type="dxa"/>
            <w:shd w:val="clear" w:color="auto" w:fill="DFECEF"/>
          </w:tcPr>
          <w:p w:rsidR="006331D4" w:rsidP="006331D4" w14:paraId="22556990" w14:textId="14A4BEB1">
            <w:pPr>
              <w:pStyle w:val="73R"/>
              <w:rPr>
                <w:rtl/>
              </w:rPr>
            </w:pPr>
            <w:r w:rsidRPr="002222E2">
              <w:rPr>
                <w:rFonts w:hint="cs"/>
                <w:rtl/>
              </w:rPr>
              <w:t>מקבלי קצבת נכון ושאירים יוצרים בעיה של גירעון אקטוארי הגורם לסבסוד בינם לבין יתר העמיתים בקרן</w:t>
            </w:r>
          </w:p>
        </w:tc>
        <w:tc>
          <w:tcPr>
            <w:tcW w:w="623" w:type="dxa"/>
            <w:shd w:val="clear" w:color="auto" w:fill="DFECEF"/>
          </w:tcPr>
          <w:p w:rsidR="006331D4" w:rsidP="006331D4" w14:paraId="41BF6E83" w14:textId="32B300D1">
            <w:pPr>
              <w:pStyle w:val="73R"/>
              <w:rPr>
                <w:rtl/>
              </w:rPr>
            </w:pPr>
          </w:p>
        </w:tc>
        <w:tc>
          <w:tcPr>
            <w:tcW w:w="758" w:type="dxa"/>
            <w:shd w:val="clear" w:color="auto" w:fill="DFECEF"/>
          </w:tcPr>
          <w:p w:rsidR="006331D4" w:rsidP="006331D4" w14:paraId="67FF7014" w14:textId="5692CF67">
            <w:pPr>
              <w:pStyle w:val="73R"/>
              <w:rPr>
                <w:rtl/>
              </w:rPr>
            </w:pPr>
          </w:p>
        </w:tc>
        <w:tc>
          <w:tcPr>
            <w:tcW w:w="741" w:type="dxa"/>
            <w:shd w:val="clear" w:color="auto" w:fill="DFECEF"/>
          </w:tcPr>
          <w:p w:rsidR="006331D4" w:rsidP="006331D4" w14:paraId="4D7B9CF6" w14:textId="12683A3B">
            <w:pPr>
              <w:pStyle w:val="73R"/>
              <w:rPr>
                <w:rtl/>
              </w:rPr>
            </w:pPr>
          </w:p>
        </w:tc>
        <w:tc>
          <w:tcPr>
            <w:tcW w:w="737" w:type="dxa"/>
            <w:shd w:val="clear" w:color="auto" w:fill="DFECEF"/>
          </w:tcPr>
          <w:p w:rsidR="006331D4" w:rsidP="006331D4" w14:paraId="1A416036" w14:textId="3A079054">
            <w:pPr>
              <w:pStyle w:val="73R"/>
              <w:rPr>
                <w:rtl/>
              </w:rPr>
            </w:pPr>
          </w:p>
        </w:tc>
        <w:tc>
          <w:tcPr>
            <w:tcW w:w="736" w:type="dxa"/>
            <w:shd w:val="clear" w:color="auto" w:fill="DFECEF"/>
          </w:tcPr>
          <w:p w:rsidR="006331D4" w:rsidP="006331D4" w14:paraId="5914BF19" w14:textId="4F38AA07">
            <w:pPr>
              <w:pStyle w:val="73R"/>
              <w:rPr>
                <w:rtl/>
              </w:rPr>
            </w:pPr>
            <w:r w:rsidRPr="00973C85">
              <w:rPr>
                <w:noProof/>
                <w:rtl/>
              </w:rPr>
              <mc:AlternateContent>
                <mc:Choice Requires="wps">
                  <w:drawing>
                    <wp:anchor distT="0" distB="0" distL="114300" distR="114300" simplePos="0" relativeHeight="251688960" behindDoc="0" locked="0" layoutInCell="1" allowOverlap="1">
                      <wp:simplePos x="0" y="0"/>
                      <wp:positionH relativeFrom="column">
                        <wp:posOffset>-2210</wp:posOffset>
                      </wp:positionH>
                      <wp:positionV relativeFrom="paragraph">
                        <wp:posOffset>243205</wp:posOffset>
                      </wp:positionV>
                      <wp:extent cx="2186940" cy="226060"/>
                      <wp:effectExtent l="12700" t="12700" r="10160" b="15240"/>
                      <wp:wrapNone/>
                      <wp:docPr id="60" name="חץ שמאלה 60"/>
                      <wp:cNvGraphicFramePr/>
                      <a:graphic xmlns:a="http://schemas.openxmlformats.org/drawingml/2006/main">
                        <a:graphicData uri="http://schemas.microsoft.com/office/word/2010/wordprocessingShape">
                          <wps:wsp xmlns:wps="http://schemas.microsoft.com/office/word/2010/wordprocessingShape">
                            <wps:cNvSpPr/>
                            <wps:spPr>
                              <a:xfrm>
                                <a:off x="0" y="0"/>
                                <a:ext cx="2186940" cy="22606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0" o:spid="_x0000_s1045" type="#_x0000_t66" style="width:172.2pt;height:17.8pt;margin-top:19.15pt;margin-left:-0.15pt;mso-height-percent:0;mso-height-relative:margin;mso-width-percent:0;mso-width-relative:margin;mso-wrap-distance-bottom:0;mso-wrap-distance-left:9pt;mso-wrap-distance-right:9pt;mso-wrap-distance-top:0;mso-wrap-style:square;position:absolute;visibility:visible;v-text-anchor:middle;z-index:251689984" adj="1116" fillcolor="#67b641" strokecolor="#67b641" strokeweight="2pt"/>
                  </w:pict>
                </mc:Fallback>
              </mc:AlternateContent>
            </w:r>
          </w:p>
        </w:tc>
      </w:tr>
      <w:tr w14:paraId="25531452" w14:textId="77777777" w:rsidTr="00C70C69">
        <w:tblPrEx>
          <w:tblW w:w="7450" w:type="dxa"/>
          <w:tblLook w:val="04A0"/>
        </w:tblPrEx>
        <w:tc>
          <w:tcPr>
            <w:tcW w:w="909" w:type="dxa"/>
            <w:shd w:val="clear" w:color="auto" w:fill="F0F8F9"/>
          </w:tcPr>
          <w:p w:rsidR="006331D4" w:rsidP="006331D4" w14:paraId="2BB80B87" w14:textId="4B7FFF2E">
            <w:pPr>
              <w:pStyle w:val="73R"/>
              <w:rPr>
                <w:rtl/>
              </w:rPr>
            </w:pPr>
            <w:r w:rsidRPr="002222E2">
              <w:rPr>
                <w:rFonts w:hint="cs"/>
                <w:rtl/>
              </w:rPr>
              <w:t>שוק ההפצה הפנסיוני</w:t>
            </w:r>
          </w:p>
        </w:tc>
        <w:tc>
          <w:tcPr>
            <w:tcW w:w="905" w:type="dxa"/>
            <w:shd w:val="clear" w:color="auto" w:fill="F0F8F9"/>
          </w:tcPr>
          <w:p w:rsidR="006331D4" w:rsidP="006331D4" w14:paraId="4E9EF935" w14:textId="0EA8441D">
            <w:pPr>
              <w:pStyle w:val="73R"/>
              <w:rPr>
                <w:rtl/>
              </w:rPr>
            </w:pPr>
            <w:r w:rsidRPr="002222E2">
              <w:rPr>
                <w:rFonts w:hint="cs"/>
                <w:rtl/>
              </w:rPr>
              <w:t>רשות שוק ההון</w:t>
            </w:r>
          </w:p>
        </w:tc>
        <w:tc>
          <w:tcPr>
            <w:tcW w:w="2041" w:type="dxa"/>
            <w:shd w:val="clear" w:color="auto" w:fill="F0F8F9"/>
          </w:tcPr>
          <w:p w:rsidR="006331D4" w:rsidP="006331D4" w14:paraId="43CB44D0" w14:textId="4BB60713">
            <w:pPr>
              <w:pStyle w:val="73R"/>
              <w:rPr>
                <w:rtl/>
              </w:rPr>
            </w:pPr>
            <w:r w:rsidRPr="002222E2">
              <w:rPr>
                <w:rFonts w:hint="cs"/>
                <w:rtl/>
              </w:rPr>
              <w:t>אי-בחינת מבנה הבעלות של סוכנויות הביטוח וההסדר</w:t>
            </w:r>
          </w:p>
        </w:tc>
        <w:tc>
          <w:tcPr>
            <w:tcW w:w="623" w:type="dxa"/>
            <w:shd w:val="clear" w:color="auto" w:fill="F0F8F9"/>
          </w:tcPr>
          <w:p w:rsidR="006331D4" w:rsidP="006331D4" w14:paraId="681BC23E" w14:textId="3119BD78">
            <w:pPr>
              <w:pStyle w:val="73R"/>
              <w:rPr>
                <w:rtl/>
              </w:rPr>
            </w:pPr>
            <w:r w:rsidRPr="00973C85">
              <w:rPr>
                <w:noProof/>
                <w:rtl/>
              </w:rPr>
              <mc:AlternateContent>
                <mc:Choice Requires="wps">
                  <w:drawing>
                    <wp:anchor distT="0" distB="0" distL="114300" distR="114300" simplePos="0" relativeHeight="251691008" behindDoc="0" locked="0" layoutInCell="1" allowOverlap="1">
                      <wp:simplePos x="0" y="0"/>
                      <wp:positionH relativeFrom="column">
                        <wp:posOffset>-476962</wp:posOffset>
                      </wp:positionH>
                      <wp:positionV relativeFrom="paragraph">
                        <wp:posOffset>135458</wp:posOffset>
                      </wp:positionV>
                      <wp:extent cx="792871" cy="226060"/>
                      <wp:effectExtent l="12700" t="12700" r="7620" b="15240"/>
                      <wp:wrapNone/>
                      <wp:docPr id="61" name="חץ שמאלה 61"/>
                      <wp:cNvGraphicFramePr/>
                      <a:graphic xmlns:a="http://schemas.openxmlformats.org/drawingml/2006/main">
                        <a:graphicData uri="http://schemas.microsoft.com/office/word/2010/wordprocessingShape">
                          <wps:wsp xmlns:wps="http://schemas.microsoft.com/office/word/2010/wordprocessingShape">
                            <wps:cNvSpPr/>
                            <wps:spPr>
                              <a:xfrm>
                                <a:off x="0" y="0"/>
                                <a:ext cx="792871" cy="22606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1" o:spid="_x0000_s1046" type="#_x0000_t66" style="width:62.45pt;height:17.8pt;margin-top:10.65pt;margin-left:-37.55pt;mso-height-percent:0;mso-height-relative:margin;mso-width-percent:0;mso-width-relative:margin;mso-wrap-distance-bottom:0;mso-wrap-distance-left:9pt;mso-wrap-distance-right:9pt;mso-wrap-distance-top:0;mso-wrap-style:square;position:absolute;visibility:visible;v-text-anchor:middle;z-index:251692032" adj="3079" fillcolor="#ffc002" strokecolor="#ffc002" strokeweight="2pt"/>
                  </w:pict>
                </mc:Fallback>
              </mc:AlternateContent>
            </w:r>
          </w:p>
        </w:tc>
        <w:tc>
          <w:tcPr>
            <w:tcW w:w="758" w:type="dxa"/>
            <w:shd w:val="clear" w:color="auto" w:fill="F0F8F9"/>
          </w:tcPr>
          <w:p w:rsidR="006331D4" w:rsidP="006331D4" w14:paraId="0BF7A6D5" w14:textId="4ECD3291">
            <w:pPr>
              <w:pStyle w:val="73R"/>
              <w:rPr>
                <w:rtl/>
              </w:rPr>
            </w:pPr>
          </w:p>
        </w:tc>
        <w:tc>
          <w:tcPr>
            <w:tcW w:w="741" w:type="dxa"/>
            <w:shd w:val="clear" w:color="auto" w:fill="F0F8F9"/>
          </w:tcPr>
          <w:p w:rsidR="006331D4" w:rsidP="006331D4" w14:paraId="36C7F8D8" w14:textId="77777777">
            <w:pPr>
              <w:pStyle w:val="73R"/>
              <w:rPr>
                <w:rtl/>
              </w:rPr>
            </w:pPr>
          </w:p>
        </w:tc>
        <w:tc>
          <w:tcPr>
            <w:tcW w:w="737" w:type="dxa"/>
            <w:shd w:val="clear" w:color="auto" w:fill="F0F8F9"/>
          </w:tcPr>
          <w:p w:rsidR="006331D4" w:rsidP="006331D4" w14:paraId="30A24A8A" w14:textId="77777777">
            <w:pPr>
              <w:pStyle w:val="73R"/>
              <w:rPr>
                <w:rtl/>
              </w:rPr>
            </w:pPr>
          </w:p>
        </w:tc>
        <w:tc>
          <w:tcPr>
            <w:tcW w:w="736" w:type="dxa"/>
            <w:shd w:val="clear" w:color="auto" w:fill="F0F8F9"/>
          </w:tcPr>
          <w:p w:rsidR="006331D4" w:rsidP="006331D4" w14:paraId="5D126254" w14:textId="77777777">
            <w:pPr>
              <w:pStyle w:val="73R"/>
              <w:rPr>
                <w:rtl/>
              </w:rPr>
            </w:pPr>
          </w:p>
        </w:tc>
      </w:tr>
      <w:tr w14:paraId="2DB7A46E" w14:textId="77777777" w:rsidTr="00C70C69">
        <w:tblPrEx>
          <w:tblW w:w="7450" w:type="dxa"/>
          <w:tblLook w:val="04A0"/>
        </w:tblPrEx>
        <w:tc>
          <w:tcPr>
            <w:tcW w:w="909" w:type="dxa"/>
            <w:shd w:val="clear" w:color="auto" w:fill="DFECEF"/>
          </w:tcPr>
          <w:p w:rsidR="006331D4" w:rsidRPr="002222E2" w:rsidP="006331D4" w14:paraId="105A468F" w14:textId="16439EA4">
            <w:pPr>
              <w:pStyle w:val="73R"/>
              <w:rPr>
                <w:rtl/>
              </w:rPr>
            </w:pPr>
            <w:r w:rsidRPr="002222E2">
              <w:rPr>
                <w:rFonts w:hint="cs"/>
                <w:rtl/>
              </w:rPr>
              <w:t>שוק ההפצה הפנסיוני</w:t>
            </w:r>
          </w:p>
        </w:tc>
        <w:tc>
          <w:tcPr>
            <w:tcW w:w="905" w:type="dxa"/>
            <w:shd w:val="clear" w:color="auto" w:fill="DFECEF"/>
          </w:tcPr>
          <w:p w:rsidR="006331D4" w:rsidRPr="002222E2" w:rsidP="006331D4" w14:paraId="7251A0F5" w14:textId="6FE5F571">
            <w:pPr>
              <w:pStyle w:val="73R"/>
              <w:rPr>
                <w:rtl/>
              </w:rPr>
            </w:pPr>
            <w:r w:rsidRPr="002222E2">
              <w:rPr>
                <w:rFonts w:hint="cs"/>
                <w:rtl/>
              </w:rPr>
              <w:t>רשות שוק ההון</w:t>
            </w:r>
          </w:p>
        </w:tc>
        <w:tc>
          <w:tcPr>
            <w:tcW w:w="2041" w:type="dxa"/>
            <w:shd w:val="clear" w:color="auto" w:fill="DFECEF"/>
          </w:tcPr>
          <w:p w:rsidR="006331D4" w:rsidRPr="002222E2" w:rsidP="006331D4" w14:paraId="4098BC02" w14:textId="6405F113">
            <w:pPr>
              <w:pStyle w:val="73R"/>
              <w:rPr>
                <w:rtl/>
              </w:rPr>
            </w:pPr>
            <w:r w:rsidRPr="002222E2">
              <w:rPr>
                <w:rFonts w:hint="cs"/>
                <w:rtl/>
              </w:rPr>
              <w:t>אי-הסדרת כללים ברורים למתן תמריצים כלכליים בשיטת התגמול של סוכני הביטוח</w:t>
            </w:r>
          </w:p>
        </w:tc>
        <w:tc>
          <w:tcPr>
            <w:tcW w:w="623" w:type="dxa"/>
            <w:shd w:val="clear" w:color="auto" w:fill="DFECEF"/>
          </w:tcPr>
          <w:p w:rsidR="006331D4" w:rsidRPr="00973C85" w:rsidP="006331D4" w14:paraId="3E716CDF" w14:textId="4762F992">
            <w:pPr>
              <w:pStyle w:val="73R"/>
              <w:rPr>
                <w:noProof/>
                <w:rtl/>
              </w:rPr>
            </w:pPr>
            <w:r w:rsidRPr="00973C85">
              <w:rPr>
                <w:noProof/>
                <w:rtl/>
              </w:rPr>
              <mc:AlternateContent>
                <mc:Choice Requires="wps">
                  <w:drawing>
                    <wp:anchor distT="0" distB="0" distL="114300" distR="114300" simplePos="0" relativeHeight="251695104" behindDoc="0" locked="0" layoutInCell="1" allowOverlap="1">
                      <wp:simplePos x="0" y="0"/>
                      <wp:positionH relativeFrom="column">
                        <wp:posOffset>-4674</wp:posOffset>
                      </wp:positionH>
                      <wp:positionV relativeFrom="paragraph">
                        <wp:posOffset>182219</wp:posOffset>
                      </wp:positionV>
                      <wp:extent cx="312420" cy="226060"/>
                      <wp:effectExtent l="12700" t="12700" r="17780" b="15240"/>
                      <wp:wrapNone/>
                      <wp:docPr id="1451066632" name="חץ שמאלה 1451066632"/>
                      <wp:cNvGraphicFramePr/>
                      <a:graphic xmlns:a="http://schemas.openxmlformats.org/drawingml/2006/main">
                        <a:graphicData uri="http://schemas.microsoft.com/office/word/2010/wordprocessingShape">
                          <wps:wsp xmlns:wps="http://schemas.microsoft.com/office/word/2010/wordprocessingShape">
                            <wps:cNvSpPr/>
                            <wps:spPr>
                              <a:xfrm>
                                <a:off x="0" y="0"/>
                                <a:ext cx="312420" cy="22606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32" o:spid="_x0000_s1047" type="#_x0000_t66" style="width:24.6pt;height:17.8pt;margin-top:14.35pt;margin-left:-0.35pt;mso-height-percent:0;mso-height-relative:margin;mso-width-percent:0;mso-width-relative:margin;mso-wrap-distance-bottom:0;mso-wrap-distance-left:9pt;mso-wrap-distance-right:9pt;mso-wrap-distance-top:0;mso-wrap-style:square;position:absolute;visibility:visible;v-text-anchor:middle;z-index:251696128" adj="7815" fillcolor="#ff0100" strokecolor="#ff0100" strokeweight="2pt"/>
                  </w:pict>
                </mc:Fallback>
              </mc:AlternateContent>
            </w:r>
          </w:p>
        </w:tc>
        <w:tc>
          <w:tcPr>
            <w:tcW w:w="758" w:type="dxa"/>
            <w:shd w:val="clear" w:color="auto" w:fill="DFECEF"/>
          </w:tcPr>
          <w:p w:rsidR="006331D4" w:rsidP="006331D4" w14:paraId="206A802E" w14:textId="77777777">
            <w:pPr>
              <w:pStyle w:val="73R"/>
              <w:rPr>
                <w:rtl/>
              </w:rPr>
            </w:pPr>
          </w:p>
        </w:tc>
        <w:tc>
          <w:tcPr>
            <w:tcW w:w="741" w:type="dxa"/>
            <w:shd w:val="clear" w:color="auto" w:fill="DFECEF"/>
          </w:tcPr>
          <w:p w:rsidR="006331D4" w:rsidP="006331D4" w14:paraId="30C41E08" w14:textId="77777777">
            <w:pPr>
              <w:pStyle w:val="73R"/>
              <w:rPr>
                <w:rtl/>
              </w:rPr>
            </w:pPr>
          </w:p>
        </w:tc>
        <w:tc>
          <w:tcPr>
            <w:tcW w:w="737" w:type="dxa"/>
            <w:shd w:val="clear" w:color="auto" w:fill="DFECEF"/>
          </w:tcPr>
          <w:p w:rsidR="006331D4" w:rsidP="006331D4" w14:paraId="6EC0F105" w14:textId="77777777">
            <w:pPr>
              <w:pStyle w:val="73R"/>
              <w:rPr>
                <w:rtl/>
              </w:rPr>
            </w:pPr>
          </w:p>
        </w:tc>
        <w:tc>
          <w:tcPr>
            <w:tcW w:w="736" w:type="dxa"/>
            <w:shd w:val="clear" w:color="auto" w:fill="DFECEF"/>
          </w:tcPr>
          <w:p w:rsidR="006331D4" w:rsidP="006331D4" w14:paraId="7AEB3E08" w14:textId="77777777">
            <w:pPr>
              <w:pStyle w:val="73R"/>
              <w:rPr>
                <w:rtl/>
              </w:rPr>
            </w:pPr>
          </w:p>
        </w:tc>
      </w:tr>
      <w:tr w14:paraId="017E55C9" w14:textId="77777777" w:rsidTr="00C70C69">
        <w:tblPrEx>
          <w:tblW w:w="7450" w:type="dxa"/>
          <w:tblLook w:val="04A0"/>
        </w:tblPrEx>
        <w:tc>
          <w:tcPr>
            <w:tcW w:w="909" w:type="dxa"/>
            <w:shd w:val="clear" w:color="auto" w:fill="F0F8F9"/>
          </w:tcPr>
          <w:p w:rsidR="006331D4" w:rsidRPr="002222E2" w:rsidP="006331D4" w14:paraId="792BDC9C" w14:textId="544A2545">
            <w:pPr>
              <w:pStyle w:val="73R"/>
              <w:rPr>
                <w:rtl/>
              </w:rPr>
            </w:pPr>
            <w:r w:rsidRPr="002222E2">
              <w:rPr>
                <w:rFonts w:hint="cs"/>
                <w:rtl/>
              </w:rPr>
              <w:t>שוק ההפצה הפנסיוני</w:t>
            </w:r>
          </w:p>
        </w:tc>
        <w:tc>
          <w:tcPr>
            <w:tcW w:w="905" w:type="dxa"/>
            <w:shd w:val="clear" w:color="auto" w:fill="F0F8F9"/>
          </w:tcPr>
          <w:p w:rsidR="006331D4" w:rsidRPr="002222E2" w:rsidP="006331D4" w14:paraId="22BB45E8" w14:textId="2F2398FC">
            <w:pPr>
              <w:pStyle w:val="73R"/>
              <w:rPr>
                <w:rtl/>
              </w:rPr>
            </w:pPr>
            <w:r w:rsidRPr="002222E2">
              <w:rPr>
                <w:rFonts w:hint="cs"/>
                <w:rtl/>
              </w:rPr>
              <w:t>רשות שוק ההון</w:t>
            </w:r>
          </w:p>
        </w:tc>
        <w:tc>
          <w:tcPr>
            <w:tcW w:w="2041" w:type="dxa"/>
            <w:shd w:val="clear" w:color="auto" w:fill="F0F8F9"/>
          </w:tcPr>
          <w:p w:rsidR="006331D4" w:rsidRPr="002222E2" w:rsidP="006331D4" w14:paraId="0575AB3A" w14:textId="3685126E">
            <w:pPr>
              <w:pStyle w:val="73R"/>
              <w:rPr>
                <w:rtl/>
              </w:rPr>
            </w:pPr>
            <w:r w:rsidRPr="002222E2">
              <w:rPr>
                <w:rFonts w:hint="cs"/>
                <w:rtl/>
              </w:rPr>
              <w:t>מסמך</w:t>
            </w:r>
            <w:r w:rsidRPr="002222E2">
              <w:rPr>
                <w:rtl/>
              </w:rPr>
              <w:t xml:space="preserve"> </w:t>
            </w:r>
            <w:r w:rsidRPr="002222E2">
              <w:rPr>
                <w:rFonts w:hint="cs"/>
                <w:rtl/>
              </w:rPr>
              <w:t>ההנמקה</w:t>
            </w:r>
            <w:r w:rsidRPr="002222E2">
              <w:rPr>
                <w:rtl/>
              </w:rPr>
              <w:t xml:space="preserve"> </w:t>
            </w:r>
            <w:r w:rsidRPr="002222E2">
              <w:rPr>
                <w:rFonts w:hint="cs"/>
                <w:rtl/>
              </w:rPr>
              <w:t>אינו</w:t>
            </w:r>
            <w:r w:rsidRPr="002222E2">
              <w:rPr>
                <w:rtl/>
              </w:rPr>
              <w:t xml:space="preserve"> </w:t>
            </w:r>
            <w:r w:rsidRPr="002222E2">
              <w:rPr>
                <w:rFonts w:hint="cs"/>
                <w:rtl/>
              </w:rPr>
              <w:t>מבטיח</w:t>
            </w:r>
            <w:r w:rsidRPr="002222E2">
              <w:rPr>
                <w:rtl/>
              </w:rPr>
              <w:t xml:space="preserve"> </w:t>
            </w:r>
            <w:r w:rsidRPr="002222E2">
              <w:rPr>
                <w:rFonts w:hint="cs"/>
                <w:rtl/>
              </w:rPr>
              <w:t>שהמוצר</w:t>
            </w:r>
            <w:r w:rsidRPr="002222E2">
              <w:rPr>
                <w:rtl/>
              </w:rPr>
              <w:t xml:space="preserve"> </w:t>
            </w:r>
            <w:r w:rsidRPr="002222E2">
              <w:rPr>
                <w:rFonts w:hint="cs"/>
                <w:rtl/>
              </w:rPr>
              <w:t>הפנסיוני</w:t>
            </w:r>
            <w:r w:rsidRPr="002222E2">
              <w:rPr>
                <w:rtl/>
              </w:rPr>
              <w:t xml:space="preserve"> </w:t>
            </w:r>
            <w:r w:rsidRPr="002222E2">
              <w:rPr>
                <w:rFonts w:hint="cs"/>
                <w:rtl/>
              </w:rPr>
              <w:t>הנבחר</w:t>
            </w:r>
            <w:r w:rsidRPr="002222E2">
              <w:rPr>
                <w:rtl/>
              </w:rPr>
              <w:t xml:space="preserve"> </w:t>
            </w:r>
            <w:r w:rsidRPr="002222E2">
              <w:rPr>
                <w:rFonts w:hint="cs"/>
                <w:rtl/>
              </w:rPr>
              <w:t>הוא</w:t>
            </w:r>
            <w:r w:rsidRPr="002222E2">
              <w:rPr>
                <w:rtl/>
              </w:rPr>
              <w:t xml:space="preserve"> </w:t>
            </w:r>
            <w:r w:rsidRPr="002222E2">
              <w:rPr>
                <w:rFonts w:hint="cs"/>
                <w:rtl/>
              </w:rPr>
              <w:t>המתאים</w:t>
            </w:r>
            <w:r w:rsidRPr="002222E2">
              <w:rPr>
                <w:rtl/>
              </w:rPr>
              <w:t xml:space="preserve"> </w:t>
            </w:r>
            <w:r w:rsidRPr="002222E2">
              <w:rPr>
                <w:rFonts w:hint="cs"/>
                <w:rtl/>
              </w:rPr>
              <w:t>ביותר</w:t>
            </w:r>
            <w:r w:rsidRPr="002222E2">
              <w:rPr>
                <w:rtl/>
              </w:rPr>
              <w:t xml:space="preserve"> </w:t>
            </w:r>
            <w:r w:rsidRPr="002222E2">
              <w:rPr>
                <w:rFonts w:hint="cs"/>
                <w:rtl/>
              </w:rPr>
              <w:t>ללקוח</w:t>
            </w:r>
            <w:r w:rsidRPr="002222E2">
              <w:rPr>
                <w:rtl/>
              </w:rPr>
              <w:t xml:space="preserve">, </w:t>
            </w:r>
            <w:r w:rsidRPr="002222E2">
              <w:rPr>
                <w:rFonts w:hint="cs"/>
                <w:rtl/>
              </w:rPr>
              <w:t>ואינו</w:t>
            </w:r>
            <w:r w:rsidRPr="002222E2">
              <w:rPr>
                <w:rtl/>
              </w:rPr>
              <w:t xml:space="preserve"> </w:t>
            </w:r>
            <w:r w:rsidRPr="002222E2">
              <w:rPr>
                <w:rFonts w:hint="cs"/>
                <w:rtl/>
              </w:rPr>
              <w:t>פותר</w:t>
            </w:r>
            <w:r w:rsidRPr="002222E2">
              <w:rPr>
                <w:rtl/>
              </w:rPr>
              <w:t xml:space="preserve"> </w:t>
            </w:r>
            <w:r w:rsidRPr="002222E2">
              <w:rPr>
                <w:rFonts w:hint="cs"/>
                <w:rtl/>
              </w:rPr>
              <w:t>את</w:t>
            </w:r>
            <w:r w:rsidRPr="002222E2">
              <w:rPr>
                <w:rtl/>
              </w:rPr>
              <w:t xml:space="preserve"> </w:t>
            </w:r>
            <w:r w:rsidRPr="002222E2">
              <w:rPr>
                <w:rFonts w:hint="cs"/>
                <w:rtl/>
              </w:rPr>
              <w:t>בעיית</w:t>
            </w:r>
            <w:r w:rsidRPr="002222E2">
              <w:rPr>
                <w:rtl/>
              </w:rPr>
              <w:t xml:space="preserve"> </w:t>
            </w:r>
            <w:r w:rsidRPr="002222E2">
              <w:rPr>
                <w:rFonts w:hint="cs"/>
                <w:rtl/>
              </w:rPr>
              <w:t>ניגוד</w:t>
            </w:r>
            <w:r w:rsidRPr="002222E2">
              <w:rPr>
                <w:rtl/>
              </w:rPr>
              <w:t xml:space="preserve"> </w:t>
            </w:r>
            <w:r w:rsidRPr="002222E2">
              <w:rPr>
                <w:rFonts w:hint="cs"/>
                <w:rtl/>
              </w:rPr>
              <w:t>העניינים</w:t>
            </w:r>
            <w:r w:rsidRPr="002222E2">
              <w:rPr>
                <w:rtl/>
              </w:rPr>
              <w:t xml:space="preserve"> </w:t>
            </w:r>
            <w:r w:rsidRPr="002222E2">
              <w:rPr>
                <w:rFonts w:hint="cs"/>
                <w:rtl/>
              </w:rPr>
              <w:t>המובנה</w:t>
            </w:r>
            <w:r w:rsidRPr="002222E2">
              <w:rPr>
                <w:rtl/>
              </w:rPr>
              <w:t xml:space="preserve"> </w:t>
            </w:r>
            <w:r w:rsidRPr="002222E2">
              <w:rPr>
                <w:rFonts w:hint="cs"/>
                <w:rtl/>
              </w:rPr>
              <w:t>של</w:t>
            </w:r>
            <w:r w:rsidRPr="002222E2">
              <w:rPr>
                <w:rtl/>
              </w:rPr>
              <w:t xml:space="preserve"> </w:t>
            </w:r>
            <w:r w:rsidRPr="002222E2">
              <w:rPr>
                <w:rFonts w:hint="cs"/>
                <w:rtl/>
              </w:rPr>
              <w:t>סוכן</w:t>
            </w:r>
            <w:r w:rsidRPr="002222E2">
              <w:rPr>
                <w:rtl/>
              </w:rPr>
              <w:t xml:space="preserve"> </w:t>
            </w:r>
            <w:r w:rsidRPr="002222E2">
              <w:rPr>
                <w:rFonts w:hint="cs"/>
                <w:rtl/>
              </w:rPr>
              <w:t>הביטוח</w:t>
            </w:r>
          </w:p>
        </w:tc>
        <w:tc>
          <w:tcPr>
            <w:tcW w:w="623" w:type="dxa"/>
            <w:shd w:val="clear" w:color="auto" w:fill="F0F8F9"/>
          </w:tcPr>
          <w:p w:rsidR="006331D4" w:rsidRPr="00973C85" w:rsidP="006331D4" w14:paraId="0E3690A9" w14:textId="4036EBCB">
            <w:pPr>
              <w:pStyle w:val="73R"/>
              <w:rPr>
                <w:noProof/>
                <w:rtl/>
              </w:rPr>
            </w:pPr>
          </w:p>
        </w:tc>
        <w:tc>
          <w:tcPr>
            <w:tcW w:w="758" w:type="dxa"/>
            <w:shd w:val="clear" w:color="auto" w:fill="F0F8F9"/>
          </w:tcPr>
          <w:p w:rsidR="006331D4" w:rsidP="006331D4" w14:paraId="5E586CE6" w14:textId="16009620">
            <w:pPr>
              <w:pStyle w:val="73R"/>
              <w:rPr>
                <w:rtl/>
              </w:rPr>
            </w:pPr>
            <w:r w:rsidRPr="00973C85">
              <w:rPr>
                <w:noProof/>
                <w:rtl/>
              </w:rPr>
              <mc:AlternateContent>
                <mc:Choice Requires="wps">
                  <w:drawing>
                    <wp:anchor distT="0" distB="0" distL="114300" distR="114300" simplePos="0" relativeHeight="251697152" behindDoc="0" locked="0" layoutInCell="1" allowOverlap="1">
                      <wp:simplePos x="0" y="0"/>
                      <wp:positionH relativeFrom="column">
                        <wp:posOffset>-1601</wp:posOffset>
                      </wp:positionH>
                      <wp:positionV relativeFrom="paragraph">
                        <wp:posOffset>319608</wp:posOffset>
                      </wp:positionV>
                      <wp:extent cx="792871" cy="226060"/>
                      <wp:effectExtent l="12700" t="12700" r="7620" b="15240"/>
                      <wp:wrapNone/>
                      <wp:docPr id="63" name="חץ שמאלה 63"/>
                      <wp:cNvGraphicFramePr/>
                      <a:graphic xmlns:a="http://schemas.openxmlformats.org/drawingml/2006/main">
                        <a:graphicData uri="http://schemas.microsoft.com/office/word/2010/wordprocessingShape">
                          <wps:wsp xmlns:wps="http://schemas.microsoft.com/office/word/2010/wordprocessingShape">
                            <wps:cNvSpPr/>
                            <wps:spPr>
                              <a:xfrm>
                                <a:off x="0" y="0"/>
                                <a:ext cx="792871" cy="22606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3" o:spid="_x0000_s1048" type="#_x0000_t66" style="width:62.45pt;height:17.8pt;margin-top:25.15pt;margin-left:-0.15pt;mso-height-percent:0;mso-height-relative:margin;mso-width-percent:0;mso-width-relative:margin;mso-wrap-distance-bottom:0;mso-wrap-distance-left:9pt;mso-wrap-distance-right:9pt;mso-wrap-distance-top:0;mso-wrap-style:square;position:absolute;visibility:visible;v-text-anchor:middle;z-index:251698176" adj="3079" fillcolor="#ffc002" strokecolor="#ffc002" strokeweight="2pt"/>
                  </w:pict>
                </mc:Fallback>
              </mc:AlternateContent>
            </w:r>
          </w:p>
        </w:tc>
        <w:tc>
          <w:tcPr>
            <w:tcW w:w="741" w:type="dxa"/>
            <w:shd w:val="clear" w:color="auto" w:fill="F0F8F9"/>
          </w:tcPr>
          <w:p w:rsidR="006331D4" w:rsidP="006331D4" w14:paraId="015694AA" w14:textId="77777777">
            <w:pPr>
              <w:pStyle w:val="73R"/>
              <w:rPr>
                <w:rtl/>
              </w:rPr>
            </w:pPr>
          </w:p>
        </w:tc>
        <w:tc>
          <w:tcPr>
            <w:tcW w:w="737" w:type="dxa"/>
            <w:shd w:val="clear" w:color="auto" w:fill="F0F8F9"/>
          </w:tcPr>
          <w:p w:rsidR="006331D4" w:rsidP="006331D4" w14:paraId="719200D1" w14:textId="77777777">
            <w:pPr>
              <w:pStyle w:val="73R"/>
              <w:rPr>
                <w:rtl/>
              </w:rPr>
            </w:pPr>
          </w:p>
        </w:tc>
        <w:tc>
          <w:tcPr>
            <w:tcW w:w="736" w:type="dxa"/>
            <w:shd w:val="clear" w:color="auto" w:fill="F0F8F9"/>
          </w:tcPr>
          <w:p w:rsidR="006331D4" w:rsidP="006331D4" w14:paraId="09364193" w14:textId="77777777">
            <w:pPr>
              <w:pStyle w:val="73R"/>
              <w:rPr>
                <w:rtl/>
              </w:rPr>
            </w:pPr>
          </w:p>
        </w:tc>
      </w:tr>
      <w:tr w14:paraId="5C165FCD" w14:textId="77777777" w:rsidTr="00C70C69">
        <w:tblPrEx>
          <w:tblW w:w="7450" w:type="dxa"/>
          <w:tblLook w:val="04A0"/>
        </w:tblPrEx>
        <w:tc>
          <w:tcPr>
            <w:tcW w:w="909" w:type="dxa"/>
            <w:shd w:val="clear" w:color="auto" w:fill="DFECEF"/>
          </w:tcPr>
          <w:p w:rsidR="006331D4" w:rsidRPr="002222E2" w:rsidP="006331D4" w14:paraId="66ADA807" w14:textId="5FCF476F">
            <w:pPr>
              <w:pStyle w:val="73R"/>
              <w:rPr>
                <w:rtl/>
              </w:rPr>
            </w:pPr>
            <w:r w:rsidRPr="002222E2">
              <w:rPr>
                <w:rFonts w:hint="cs"/>
                <w:rtl/>
              </w:rPr>
              <w:t>שוק ההפצה הפנסיוני</w:t>
            </w:r>
          </w:p>
        </w:tc>
        <w:tc>
          <w:tcPr>
            <w:tcW w:w="905" w:type="dxa"/>
            <w:shd w:val="clear" w:color="auto" w:fill="DFECEF"/>
          </w:tcPr>
          <w:p w:rsidR="006331D4" w:rsidRPr="002222E2" w:rsidP="006331D4" w14:paraId="2F141499" w14:textId="651721B4">
            <w:pPr>
              <w:pStyle w:val="73R"/>
              <w:rPr>
                <w:rtl/>
              </w:rPr>
            </w:pPr>
            <w:r w:rsidRPr="002222E2">
              <w:rPr>
                <w:rFonts w:hint="cs"/>
                <w:rtl/>
              </w:rPr>
              <w:t>רשות שוק ההון</w:t>
            </w:r>
          </w:p>
        </w:tc>
        <w:tc>
          <w:tcPr>
            <w:tcW w:w="2041" w:type="dxa"/>
            <w:shd w:val="clear" w:color="auto" w:fill="DFECEF"/>
          </w:tcPr>
          <w:p w:rsidR="006331D4" w:rsidRPr="002222E2" w:rsidP="006331D4" w14:paraId="306700C8" w14:textId="4374F180">
            <w:pPr>
              <w:pStyle w:val="73R"/>
              <w:rPr>
                <w:rtl/>
              </w:rPr>
            </w:pPr>
            <w:r w:rsidRPr="002222E2">
              <w:rPr>
                <w:rFonts w:hint="cs"/>
                <w:rtl/>
              </w:rPr>
              <w:t>היעדר שוק ייעוץ פנסיוני אובייקטיבי</w:t>
            </w:r>
          </w:p>
        </w:tc>
        <w:tc>
          <w:tcPr>
            <w:tcW w:w="623" w:type="dxa"/>
            <w:shd w:val="clear" w:color="auto" w:fill="DFECEF"/>
          </w:tcPr>
          <w:p w:rsidR="006331D4" w:rsidRPr="00973C85" w:rsidP="006331D4" w14:paraId="7A95D244" w14:textId="38A16F29">
            <w:pPr>
              <w:pStyle w:val="73R"/>
              <w:rPr>
                <w:noProof/>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-6503</wp:posOffset>
                      </wp:positionH>
                      <wp:positionV relativeFrom="paragraph">
                        <wp:posOffset>104928</wp:posOffset>
                      </wp:positionV>
                      <wp:extent cx="312420" cy="226060"/>
                      <wp:effectExtent l="12700" t="12700" r="17780" b="15240"/>
                      <wp:wrapNone/>
                      <wp:docPr id="1113575872" name="חץ שמאלה 1113575872"/>
                      <wp:cNvGraphicFramePr/>
                      <a:graphic xmlns:a="http://schemas.openxmlformats.org/drawingml/2006/main">
                        <a:graphicData uri="http://schemas.microsoft.com/office/word/2010/wordprocessingShape">
                          <wps:wsp xmlns:wps="http://schemas.microsoft.com/office/word/2010/wordprocessingShape">
                            <wps:cNvSpPr/>
                            <wps:spPr>
                              <a:xfrm>
                                <a:off x="0" y="0"/>
                                <a:ext cx="312420" cy="22606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72" o:spid="_x0000_s1049" type="#_x0000_t66" style="width:24.6pt;height:17.8pt;margin-top:8.25pt;margin-left:-0.5pt;mso-height-percent:0;mso-height-relative:margin;mso-width-percent:0;mso-width-relative:margin;mso-wrap-distance-bottom:0;mso-wrap-distance-left:9pt;mso-wrap-distance-right:9pt;mso-wrap-distance-top:0;mso-wrap-style:square;position:absolute;visibility:visible;v-text-anchor:middle;z-index:251700224" adj="7815" fillcolor="#ff0100" strokecolor="#ff0100" strokeweight="2pt"/>
                  </w:pict>
                </mc:Fallback>
              </mc:AlternateContent>
            </w:r>
          </w:p>
        </w:tc>
        <w:tc>
          <w:tcPr>
            <w:tcW w:w="758" w:type="dxa"/>
            <w:shd w:val="clear" w:color="auto" w:fill="DFECEF"/>
          </w:tcPr>
          <w:p w:rsidR="006331D4" w:rsidP="006331D4" w14:paraId="60B08432" w14:textId="77777777">
            <w:pPr>
              <w:pStyle w:val="73R"/>
              <w:rPr>
                <w:rtl/>
              </w:rPr>
            </w:pPr>
          </w:p>
        </w:tc>
        <w:tc>
          <w:tcPr>
            <w:tcW w:w="741" w:type="dxa"/>
            <w:shd w:val="clear" w:color="auto" w:fill="DFECEF"/>
          </w:tcPr>
          <w:p w:rsidR="006331D4" w:rsidP="006331D4" w14:paraId="6ECC57FD" w14:textId="77777777">
            <w:pPr>
              <w:pStyle w:val="73R"/>
              <w:rPr>
                <w:rtl/>
              </w:rPr>
            </w:pPr>
          </w:p>
        </w:tc>
        <w:tc>
          <w:tcPr>
            <w:tcW w:w="737" w:type="dxa"/>
            <w:shd w:val="clear" w:color="auto" w:fill="DFECEF"/>
          </w:tcPr>
          <w:p w:rsidR="006331D4" w:rsidP="006331D4" w14:paraId="30587F58" w14:textId="77777777">
            <w:pPr>
              <w:pStyle w:val="73R"/>
              <w:rPr>
                <w:rtl/>
              </w:rPr>
            </w:pPr>
          </w:p>
        </w:tc>
        <w:tc>
          <w:tcPr>
            <w:tcW w:w="736" w:type="dxa"/>
            <w:shd w:val="clear" w:color="auto" w:fill="DFECEF"/>
          </w:tcPr>
          <w:p w:rsidR="006331D4" w:rsidP="006331D4" w14:paraId="4E1A2550" w14:textId="77777777">
            <w:pPr>
              <w:pStyle w:val="73R"/>
              <w:rPr>
                <w:rtl/>
              </w:rPr>
            </w:pPr>
          </w:p>
        </w:tc>
      </w:tr>
      <w:tr w14:paraId="01C16421" w14:textId="77777777" w:rsidTr="00C70C69">
        <w:tblPrEx>
          <w:tblW w:w="7450" w:type="dxa"/>
          <w:tblLook w:val="04A0"/>
        </w:tblPrEx>
        <w:tc>
          <w:tcPr>
            <w:tcW w:w="909" w:type="dxa"/>
            <w:shd w:val="clear" w:color="auto" w:fill="F0F8F9"/>
          </w:tcPr>
          <w:p w:rsidR="006331D4" w:rsidRPr="002222E2" w:rsidP="006331D4" w14:paraId="61663155" w14:textId="786196AF">
            <w:pPr>
              <w:pStyle w:val="73R"/>
              <w:rPr>
                <w:rtl/>
              </w:rPr>
            </w:pPr>
            <w:r w:rsidRPr="002222E2">
              <w:rPr>
                <w:rFonts w:hint="cs"/>
                <w:rtl/>
              </w:rPr>
              <w:t>שוק ההפצה הפנסיוני</w:t>
            </w:r>
          </w:p>
        </w:tc>
        <w:tc>
          <w:tcPr>
            <w:tcW w:w="905" w:type="dxa"/>
            <w:shd w:val="clear" w:color="auto" w:fill="F0F8F9"/>
          </w:tcPr>
          <w:p w:rsidR="006331D4" w:rsidRPr="002222E2" w:rsidP="006331D4" w14:paraId="287F7F5E" w14:textId="52DEB9F3">
            <w:pPr>
              <w:pStyle w:val="73R"/>
              <w:rPr>
                <w:rtl/>
              </w:rPr>
            </w:pPr>
            <w:r w:rsidRPr="002222E2">
              <w:rPr>
                <w:rFonts w:hint="cs"/>
                <w:rtl/>
              </w:rPr>
              <w:t>רשות שוק ההון</w:t>
            </w:r>
          </w:p>
        </w:tc>
        <w:tc>
          <w:tcPr>
            <w:tcW w:w="2041" w:type="dxa"/>
            <w:shd w:val="clear" w:color="auto" w:fill="F0F8F9"/>
          </w:tcPr>
          <w:p w:rsidR="006331D4" w:rsidRPr="002222E2" w:rsidP="006331D4" w14:paraId="3E460BCB" w14:textId="45907B37">
            <w:pPr>
              <w:pStyle w:val="73R"/>
              <w:rPr>
                <w:rtl/>
              </w:rPr>
            </w:pPr>
            <w:r w:rsidRPr="002222E2">
              <w:rPr>
                <w:rFonts w:hint="cs"/>
                <w:rtl/>
              </w:rPr>
              <w:t>אי-בחינת אפקטיביות האכיפה</w:t>
            </w:r>
          </w:p>
        </w:tc>
        <w:tc>
          <w:tcPr>
            <w:tcW w:w="623" w:type="dxa"/>
            <w:shd w:val="clear" w:color="auto" w:fill="F0F8F9"/>
          </w:tcPr>
          <w:p w:rsidR="006331D4" w:rsidRPr="00973C85" w:rsidP="006331D4" w14:paraId="203F5200" w14:textId="1267A5A4">
            <w:pPr>
              <w:pStyle w:val="73R"/>
              <w:rPr>
                <w:noProof/>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-6503</wp:posOffset>
                      </wp:positionH>
                      <wp:positionV relativeFrom="paragraph">
                        <wp:posOffset>86157</wp:posOffset>
                      </wp:positionV>
                      <wp:extent cx="312420" cy="226060"/>
                      <wp:effectExtent l="12700" t="12700" r="17780" b="15240"/>
                      <wp:wrapNone/>
                      <wp:docPr id="1451066633" name="חץ שמאלה 1451066633"/>
                      <wp:cNvGraphicFramePr/>
                      <a:graphic xmlns:a="http://schemas.openxmlformats.org/drawingml/2006/main">
                        <a:graphicData uri="http://schemas.microsoft.com/office/word/2010/wordprocessingShape">
                          <wps:wsp xmlns:wps="http://schemas.microsoft.com/office/word/2010/wordprocessingShape">
                            <wps:cNvSpPr/>
                            <wps:spPr>
                              <a:xfrm>
                                <a:off x="0" y="0"/>
                                <a:ext cx="312420" cy="22606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33" o:spid="_x0000_s1050" type="#_x0000_t66" style="width:24.6pt;height:17.8pt;margin-top:6.8pt;margin-left:-0.5pt;mso-height-percent:0;mso-height-relative:margin;mso-width-percent:0;mso-width-relative:margin;mso-wrap-distance-bottom:0;mso-wrap-distance-left:9pt;mso-wrap-distance-right:9pt;mso-wrap-distance-top:0;mso-wrap-style:square;position:absolute;visibility:visible;v-text-anchor:middle;z-index:251702272" adj="7815" fillcolor="#ff0100" strokecolor="#ff0100" strokeweight="2pt"/>
                  </w:pict>
                </mc:Fallback>
              </mc:AlternateContent>
            </w:r>
          </w:p>
        </w:tc>
        <w:tc>
          <w:tcPr>
            <w:tcW w:w="758" w:type="dxa"/>
            <w:shd w:val="clear" w:color="auto" w:fill="F0F8F9"/>
          </w:tcPr>
          <w:p w:rsidR="006331D4" w:rsidP="006331D4" w14:paraId="38398904" w14:textId="77777777">
            <w:pPr>
              <w:pStyle w:val="73R"/>
              <w:rPr>
                <w:rtl/>
              </w:rPr>
            </w:pPr>
          </w:p>
        </w:tc>
        <w:tc>
          <w:tcPr>
            <w:tcW w:w="741" w:type="dxa"/>
            <w:shd w:val="clear" w:color="auto" w:fill="F0F8F9"/>
          </w:tcPr>
          <w:p w:rsidR="006331D4" w:rsidP="006331D4" w14:paraId="124A2F14" w14:textId="77777777">
            <w:pPr>
              <w:pStyle w:val="73R"/>
              <w:rPr>
                <w:rtl/>
              </w:rPr>
            </w:pPr>
          </w:p>
        </w:tc>
        <w:tc>
          <w:tcPr>
            <w:tcW w:w="737" w:type="dxa"/>
            <w:shd w:val="clear" w:color="auto" w:fill="F0F8F9"/>
          </w:tcPr>
          <w:p w:rsidR="006331D4" w:rsidP="006331D4" w14:paraId="42FCD6D3" w14:textId="77777777">
            <w:pPr>
              <w:pStyle w:val="73R"/>
              <w:rPr>
                <w:rtl/>
              </w:rPr>
            </w:pPr>
          </w:p>
        </w:tc>
        <w:tc>
          <w:tcPr>
            <w:tcW w:w="736" w:type="dxa"/>
            <w:shd w:val="clear" w:color="auto" w:fill="F0F8F9"/>
          </w:tcPr>
          <w:p w:rsidR="006331D4" w:rsidP="006331D4" w14:paraId="78CA3E35" w14:textId="77777777">
            <w:pPr>
              <w:pStyle w:val="73R"/>
              <w:rPr>
                <w:rtl/>
              </w:rPr>
            </w:pPr>
          </w:p>
        </w:tc>
      </w:tr>
    </w:tbl>
    <w:p w:rsidR="00114740" w:rsidRPr="000B31AA" w:rsidP="00534907" w14:paraId="6C1D2402" w14:textId="010B3694">
      <w:pPr>
        <w:widowControl w:val="0"/>
        <w:tabs>
          <w:tab w:val="left" w:pos="9604"/>
        </w:tabs>
        <w:spacing w:before="240" w:line="276" w:lineRule="auto"/>
        <w:rPr>
          <w:rtl/>
        </w:rPr>
      </w:pPr>
    </w:p>
    <w:p w:rsidR="00CB59D3" w:rsidRPr="003A253B" w:rsidP="00114740" w14:paraId="481280D5" w14:textId="77777777">
      <w:pPr>
        <w:pStyle w:val="7317"/>
        <w:rPr>
          <w:rtl/>
        </w:rPr>
      </w:pPr>
    </w:p>
    <w:p w:rsidR="00114740" w:rsidRPr="00827841" w:rsidP="00114740" w14:paraId="6A941B3E" w14:textId="2E65C4D7">
      <w:pPr>
        <w:pStyle w:val="7317"/>
        <w:spacing w:before="360" w:after="360"/>
        <w:rPr>
          <w:rtl/>
        </w:rPr>
        <w:sectPr w:rsidSect="00B9527F">
          <w:footerReference w:type="even" r:id="rId27"/>
          <w:footerReference w:type="default" r:id="rId28"/>
          <w:headerReference w:type="first" r:id="rId29"/>
          <w:footerReference w:type="first" r:id="rId30"/>
          <w:pgSz w:w="11906" w:h="16838" w:code="9"/>
          <w:pgMar w:top="3062" w:right="2268" w:bottom="2552" w:left="2268" w:header="1134" w:footer="1361" w:gutter="0"/>
          <w:pgNumType w:start="1829"/>
          <w:cols w:space="708"/>
          <w:bidi/>
          <w:rtlGutter/>
          <w:docGrid w:linePitch="360"/>
        </w:sectPr>
      </w:pPr>
    </w:p>
    <w:p w:rsidR="00114740" w:rsidP="00CB59D3" w14:paraId="4EE60100" w14:textId="77777777">
      <w:pPr>
        <w:pStyle w:val="73"/>
        <w:pBdr>
          <w:top w:val="double" w:sz="12" w:space="0" w:color="auto"/>
        </w:pBdr>
        <w:rPr>
          <w:rtl/>
        </w:rPr>
      </w:pPr>
      <w:r w:rsidRPr="00EF3061">
        <w:rPr>
          <w:rFonts w:hint="cs"/>
          <w:rtl/>
        </w:rPr>
        <w:t>סיכום</w:t>
      </w:r>
    </w:p>
    <w:p w:rsidR="00114740" w:rsidP="00114740" w14:paraId="68C130EB" w14:textId="788272B2">
      <w:pPr>
        <w:pStyle w:val="7392"/>
      </w:pPr>
      <w:r w:rsidRPr="00E52143">
        <w:rPr>
          <w:rFonts w:hint="eastAsia"/>
          <w:rtl/>
        </w:rPr>
        <w:t>החיסכון</w:t>
      </w:r>
      <w:r w:rsidRPr="00E52143">
        <w:rPr>
          <w:rtl/>
        </w:rPr>
        <w:t xml:space="preserve"> הפנסיוני נועד לשמש מקור הכנסה עיקרי לאחר הפרישה מהעבודה </w:t>
      </w:r>
      <w:r w:rsidRPr="00E52143">
        <w:rPr>
          <w:rFonts w:hint="cs"/>
          <w:rtl/>
        </w:rPr>
        <w:t>ו</w:t>
      </w:r>
      <w:r w:rsidRPr="00E52143">
        <w:rPr>
          <w:rtl/>
        </w:rPr>
        <w:t>לאפשר לחוסך</w:t>
      </w:r>
      <w:r w:rsidRPr="00E52143">
        <w:rPr>
          <w:rFonts w:hint="cs"/>
          <w:rtl/>
        </w:rPr>
        <w:t xml:space="preserve"> להתקיים בכבוד</w:t>
      </w:r>
      <w:r w:rsidRPr="00E52143">
        <w:rPr>
          <w:rtl/>
        </w:rPr>
        <w:t xml:space="preserve"> </w:t>
      </w:r>
      <w:r w:rsidRPr="00E52143">
        <w:rPr>
          <w:rFonts w:hint="cs"/>
          <w:rtl/>
        </w:rPr>
        <w:t>ו</w:t>
      </w:r>
      <w:r w:rsidRPr="00E52143">
        <w:rPr>
          <w:rtl/>
        </w:rPr>
        <w:t xml:space="preserve">לשמר, עד כמה שניתן, את רמת החיים שהיה רגיל אליה </w:t>
      </w:r>
      <w:r w:rsidRPr="00E52143">
        <w:rPr>
          <w:rFonts w:hint="cs"/>
          <w:rtl/>
        </w:rPr>
        <w:t>לפני</w:t>
      </w:r>
      <w:r w:rsidRPr="00E52143">
        <w:rPr>
          <w:rtl/>
        </w:rPr>
        <w:t xml:space="preserve"> הפרישה. </w:t>
      </w:r>
      <w:r w:rsidRPr="00E52143">
        <w:rPr>
          <w:rFonts w:hint="cs"/>
          <w:rtl/>
        </w:rPr>
        <w:t>ל</w:t>
      </w:r>
      <w:r w:rsidRPr="00E52143">
        <w:rPr>
          <w:rtl/>
        </w:rPr>
        <w:t xml:space="preserve">בחירת סוג החיסכון הפנסיוני והתאמתו </w:t>
      </w:r>
      <w:r w:rsidRPr="00E52143">
        <w:rPr>
          <w:rFonts w:hint="eastAsia"/>
          <w:rtl/>
        </w:rPr>
        <w:t>להעדפות</w:t>
      </w:r>
      <w:r w:rsidRPr="00E52143">
        <w:rPr>
          <w:rtl/>
        </w:rPr>
        <w:t xml:space="preserve"> </w:t>
      </w:r>
      <w:r w:rsidRPr="00E52143">
        <w:rPr>
          <w:rFonts w:hint="eastAsia"/>
          <w:rtl/>
        </w:rPr>
        <w:t>ולצרכים</w:t>
      </w:r>
      <w:r w:rsidRPr="00E52143">
        <w:rPr>
          <w:rtl/>
        </w:rPr>
        <w:t xml:space="preserve"> </w:t>
      </w:r>
      <w:r w:rsidRPr="00E52143">
        <w:rPr>
          <w:rFonts w:hint="eastAsia"/>
          <w:rtl/>
        </w:rPr>
        <w:t>האישיים</w:t>
      </w:r>
      <w:r w:rsidRPr="00E52143">
        <w:rPr>
          <w:rtl/>
        </w:rPr>
        <w:t xml:space="preserve"> </w:t>
      </w:r>
      <w:r w:rsidRPr="00E52143">
        <w:rPr>
          <w:rFonts w:hint="eastAsia"/>
          <w:rtl/>
        </w:rPr>
        <w:t>של</w:t>
      </w:r>
      <w:r w:rsidRPr="00E52143">
        <w:rPr>
          <w:rtl/>
        </w:rPr>
        <w:t xml:space="preserve"> </w:t>
      </w:r>
      <w:r w:rsidRPr="00E52143">
        <w:rPr>
          <w:rFonts w:hint="eastAsia"/>
          <w:rtl/>
        </w:rPr>
        <w:t>העמית</w:t>
      </w:r>
      <w:r w:rsidRPr="00E52143">
        <w:rPr>
          <w:rtl/>
        </w:rPr>
        <w:t xml:space="preserve"> </w:t>
      </w:r>
      <w:r w:rsidRPr="00E52143">
        <w:rPr>
          <w:rFonts w:hint="cs"/>
          <w:rtl/>
        </w:rPr>
        <w:t>יש</w:t>
      </w:r>
      <w:r w:rsidRPr="00E52143">
        <w:rPr>
          <w:rtl/>
        </w:rPr>
        <w:t xml:space="preserve"> </w:t>
      </w:r>
      <w:r w:rsidRPr="00E52143">
        <w:rPr>
          <w:rFonts w:hint="eastAsia"/>
          <w:rtl/>
        </w:rPr>
        <w:t>השפעה</w:t>
      </w:r>
      <w:r w:rsidRPr="00E52143">
        <w:rPr>
          <w:rtl/>
        </w:rPr>
        <w:t xml:space="preserve"> </w:t>
      </w:r>
      <w:r w:rsidRPr="00E52143">
        <w:rPr>
          <w:rFonts w:hint="cs"/>
          <w:rtl/>
        </w:rPr>
        <w:t>ניכרת</w:t>
      </w:r>
      <w:r w:rsidRPr="00E52143">
        <w:rPr>
          <w:rtl/>
        </w:rPr>
        <w:t xml:space="preserve"> </w:t>
      </w:r>
      <w:r w:rsidRPr="00E52143">
        <w:rPr>
          <w:rFonts w:hint="eastAsia"/>
          <w:rtl/>
        </w:rPr>
        <w:t>על</w:t>
      </w:r>
      <w:r w:rsidRPr="00E52143">
        <w:rPr>
          <w:rtl/>
        </w:rPr>
        <w:t xml:space="preserve"> </w:t>
      </w:r>
      <w:r w:rsidRPr="00E52143">
        <w:rPr>
          <w:rFonts w:hint="cs"/>
          <w:rtl/>
        </w:rPr>
        <w:t>סכום</w:t>
      </w:r>
      <w:r w:rsidRPr="00E52143">
        <w:rPr>
          <w:rtl/>
        </w:rPr>
        <w:t xml:space="preserve"> </w:t>
      </w:r>
      <w:r w:rsidRPr="00E52143">
        <w:rPr>
          <w:rFonts w:hint="eastAsia"/>
          <w:rtl/>
        </w:rPr>
        <w:t>הקצבה</w:t>
      </w:r>
      <w:r w:rsidRPr="00E52143">
        <w:rPr>
          <w:rtl/>
        </w:rPr>
        <w:t xml:space="preserve"> </w:t>
      </w:r>
      <w:r w:rsidRPr="00E52143">
        <w:rPr>
          <w:rFonts w:hint="cs"/>
          <w:rtl/>
        </w:rPr>
        <w:t>שהוא</w:t>
      </w:r>
      <w:r w:rsidRPr="00E52143">
        <w:rPr>
          <w:rtl/>
        </w:rPr>
        <w:t xml:space="preserve"> </w:t>
      </w:r>
      <w:r w:rsidRPr="00E52143">
        <w:rPr>
          <w:rFonts w:hint="eastAsia"/>
          <w:rtl/>
        </w:rPr>
        <w:t>צפוי</w:t>
      </w:r>
      <w:r w:rsidRPr="00E52143">
        <w:rPr>
          <w:rtl/>
        </w:rPr>
        <w:t xml:space="preserve"> </w:t>
      </w:r>
      <w:r w:rsidRPr="00E52143">
        <w:rPr>
          <w:rFonts w:hint="eastAsia"/>
          <w:rtl/>
        </w:rPr>
        <w:t>לקבל</w:t>
      </w:r>
      <w:r w:rsidRPr="00E52143">
        <w:rPr>
          <w:rtl/>
        </w:rPr>
        <w:t xml:space="preserve">. </w:t>
      </w:r>
      <w:r w:rsidRPr="00E52143">
        <w:rPr>
          <w:rFonts w:hint="eastAsia"/>
          <w:rtl/>
        </w:rPr>
        <w:t>היעדר</w:t>
      </w:r>
      <w:r w:rsidRPr="00E52143">
        <w:rPr>
          <w:rtl/>
        </w:rPr>
        <w:t xml:space="preserve"> </w:t>
      </w:r>
      <w:r w:rsidRPr="00E52143">
        <w:rPr>
          <w:rFonts w:hint="eastAsia"/>
          <w:rtl/>
        </w:rPr>
        <w:t>חיסכון</w:t>
      </w:r>
      <w:r w:rsidRPr="00E52143">
        <w:rPr>
          <w:rtl/>
        </w:rPr>
        <w:t xml:space="preserve"> </w:t>
      </w:r>
      <w:r w:rsidRPr="00E52143">
        <w:rPr>
          <w:rFonts w:hint="eastAsia"/>
          <w:rtl/>
        </w:rPr>
        <w:t>פנסיוני</w:t>
      </w:r>
      <w:r w:rsidRPr="00E52143">
        <w:rPr>
          <w:rtl/>
        </w:rPr>
        <w:t xml:space="preserve"> </w:t>
      </w:r>
      <w:r w:rsidRPr="00E52143">
        <w:rPr>
          <w:rFonts w:hint="eastAsia"/>
          <w:rtl/>
        </w:rPr>
        <w:t>מספק</w:t>
      </w:r>
      <w:r w:rsidRPr="00E52143">
        <w:rPr>
          <w:rtl/>
        </w:rPr>
        <w:t xml:space="preserve"> </w:t>
      </w:r>
      <w:r w:rsidRPr="00E52143">
        <w:rPr>
          <w:rFonts w:hint="eastAsia"/>
          <w:rtl/>
        </w:rPr>
        <w:t>עלול</w:t>
      </w:r>
      <w:r w:rsidRPr="00E52143">
        <w:rPr>
          <w:rtl/>
        </w:rPr>
        <w:t xml:space="preserve"> </w:t>
      </w:r>
      <w:r w:rsidRPr="00E52143">
        <w:rPr>
          <w:rFonts w:hint="eastAsia"/>
          <w:rtl/>
        </w:rPr>
        <w:t>להביא</w:t>
      </w:r>
      <w:r w:rsidRPr="00E52143">
        <w:rPr>
          <w:rtl/>
        </w:rPr>
        <w:t xml:space="preserve"> </w:t>
      </w:r>
      <w:r w:rsidRPr="00E52143">
        <w:rPr>
          <w:rFonts w:hint="eastAsia"/>
          <w:rtl/>
        </w:rPr>
        <w:t>לעוני</w:t>
      </w:r>
      <w:r w:rsidRPr="00E52143">
        <w:rPr>
          <w:rtl/>
        </w:rPr>
        <w:t xml:space="preserve"> </w:t>
      </w:r>
      <w:r w:rsidRPr="00E52143">
        <w:rPr>
          <w:rFonts w:hint="eastAsia"/>
          <w:rtl/>
        </w:rPr>
        <w:t>לאחר</w:t>
      </w:r>
      <w:r w:rsidRPr="00E52143">
        <w:rPr>
          <w:rtl/>
        </w:rPr>
        <w:t xml:space="preserve"> </w:t>
      </w:r>
      <w:r w:rsidRPr="00E52143">
        <w:rPr>
          <w:rFonts w:hint="eastAsia"/>
          <w:rtl/>
        </w:rPr>
        <w:t>גיל</w:t>
      </w:r>
      <w:r w:rsidRPr="00E52143">
        <w:rPr>
          <w:rtl/>
        </w:rPr>
        <w:t xml:space="preserve"> </w:t>
      </w:r>
      <w:r w:rsidRPr="00E52143">
        <w:rPr>
          <w:rFonts w:hint="eastAsia"/>
          <w:rtl/>
        </w:rPr>
        <w:t>הפרישה</w:t>
      </w:r>
      <w:r w:rsidRPr="00E52143">
        <w:rPr>
          <w:rFonts w:hint="cs"/>
          <w:rtl/>
        </w:rPr>
        <w:t>, דבר שיחייב השקעת משאבים ציבוריים לתמיכה בציבור הגמלאים.</w:t>
      </w:r>
      <w:r w:rsidRPr="00E52143">
        <w:rPr>
          <w:rtl/>
        </w:rPr>
        <w:t xml:space="preserve"> </w:t>
      </w:r>
      <w:r w:rsidRPr="00E52143">
        <w:rPr>
          <w:rFonts w:hint="cs"/>
          <w:rtl/>
        </w:rPr>
        <w:t>ה</w:t>
      </w:r>
      <w:r w:rsidRPr="00E52143">
        <w:rPr>
          <w:rFonts w:hint="eastAsia"/>
          <w:rtl/>
        </w:rPr>
        <w:t>ממצאי</w:t>
      </w:r>
      <w:r w:rsidRPr="00E52143">
        <w:rPr>
          <w:rFonts w:hint="cs"/>
          <w:rtl/>
        </w:rPr>
        <w:t>ם ב</w:t>
      </w:r>
      <w:r w:rsidRPr="00E52143">
        <w:rPr>
          <w:rFonts w:hint="eastAsia"/>
          <w:rtl/>
        </w:rPr>
        <w:t>דוח</w:t>
      </w:r>
      <w:r w:rsidRPr="00E52143">
        <w:rPr>
          <w:rtl/>
        </w:rPr>
        <w:t xml:space="preserve"> </w:t>
      </w:r>
      <w:r w:rsidRPr="00E52143">
        <w:rPr>
          <w:rFonts w:hint="eastAsia"/>
          <w:rtl/>
        </w:rPr>
        <w:t>זה</w:t>
      </w:r>
      <w:r w:rsidRPr="00E52143">
        <w:rPr>
          <w:rtl/>
        </w:rPr>
        <w:t xml:space="preserve"> </w:t>
      </w:r>
      <w:r w:rsidRPr="00E52143">
        <w:rPr>
          <w:rFonts w:hint="cs"/>
          <w:rtl/>
        </w:rPr>
        <w:t>מלמדים</w:t>
      </w:r>
      <w:r w:rsidRPr="00E52143">
        <w:rPr>
          <w:rtl/>
        </w:rPr>
        <w:t xml:space="preserve"> </w:t>
      </w:r>
      <w:r w:rsidRPr="00E52143">
        <w:rPr>
          <w:rFonts w:hint="eastAsia"/>
          <w:rtl/>
        </w:rPr>
        <w:t>כי</w:t>
      </w:r>
      <w:r w:rsidRPr="00E52143">
        <w:rPr>
          <w:rtl/>
        </w:rPr>
        <w:t xml:space="preserve"> </w:t>
      </w:r>
      <w:r w:rsidRPr="00E52143">
        <w:rPr>
          <w:rFonts w:hint="eastAsia"/>
          <w:rtl/>
        </w:rPr>
        <w:t>רשות</w:t>
      </w:r>
      <w:r w:rsidRPr="00E52143">
        <w:rPr>
          <w:rtl/>
        </w:rPr>
        <w:t xml:space="preserve"> </w:t>
      </w:r>
      <w:r w:rsidRPr="00E52143">
        <w:rPr>
          <w:rFonts w:hint="eastAsia"/>
          <w:rtl/>
        </w:rPr>
        <w:t>שוק</w:t>
      </w:r>
      <w:r w:rsidRPr="00E52143">
        <w:rPr>
          <w:rtl/>
        </w:rPr>
        <w:t xml:space="preserve"> </w:t>
      </w:r>
      <w:r w:rsidRPr="00E52143">
        <w:rPr>
          <w:rFonts w:hint="eastAsia"/>
          <w:rtl/>
        </w:rPr>
        <w:t>ההון</w:t>
      </w:r>
      <w:r w:rsidRPr="00E52143">
        <w:rPr>
          <w:rtl/>
        </w:rPr>
        <w:t xml:space="preserve"> </w:t>
      </w:r>
      <w:r w:rsidRPr="00E52143">
        <w:rPr>
          <w:rFonts w:hint="eastAsia"/>
          <w:rtl/>
        </w:rPr>
        <w:t>תיקנה</w:t>
      </w:r>
      <w:r w:rsidRPr="00E52143">
        <w:rPr>
          <w:rtl/>
        </w:rPr>
        <w:t xml:space="preserve"> </w:t>
      </w:r>
      <w:r w:rsidRPr="00E52143">
        <w:rPr>
          <w:rFonts w:hint="eastAsia"/>
          <w:rtl/>
        </w:rPr>
        <w:t>חלק</w:t>
      </w:r>
      <w:r w:rsidRPr="00E52143">
        <w:rPr>
          <w:rtl/>
        </w:rPr>
        <w:t xml:space="preserve"> </w:t>
      </w:r>
      <w:r w:rsidRPr="00E52143">
        <w:rPr>
          <w:rFonts w:hint="eastAsia"/>
          <w:rtl/>
        </w:rPr>
        <w:t>מהליקויים</w:t>
      </w:r>
      <w:r w:rsidRPr="00E52143">
        <w:rPr>
          <w:rtl/>
        </w:rPr>
        <w:t xml:space="preserve"> </w:t>
      </w:r>
      <w:r w:rsidRPr="00E52143">
        <w:rPr>
          <w:rFonts w:hint="eastAsia"/>
          <w:rtl/>
        </w:rPr>
        <w:t>שעליהם</w:t>
      </w:r>
      <w:r w:rsidRPr="00E52143">
        <w:rPr>
          <w:rtl/>
        </w:rPr>
        <w:t xml:space="preserve"> </w:t>
      </w:r>
      <w:r w:rsidRPr="00E52143">
        <w:rPr>
          <w:rFonts w:hint="eastAsia"/>
          <w:rtl/>
        </w:rPr>
        <w:t>הצביע</w:t>
      </w:r>
      <w:r w:rsidRPr="00E52143">
        <w:rPr>
          <w:rtl/>
        </w:rPr>
        <w:t xml:space="preserve"> </w:t>
      </w:r>
      <w:r w:rsidRPr="00E52143">
        <w:rPr>
          <w:rFonts w:hint="eastAsia"/>
          <w:rtl/>
        </w:rPr>
        <w:t>הדוח</w:t>
      </w:r>
      <w:r w:rsidRPr="00E52143">
        <w:rPr>
          <w:rtl/>
        </w:rPr>
        <w:t xml:space="preserve"> </w:t>
      </w:r>
      <w:r w:rsidRPr="00E52143">
        <w:rPr>
          <w:rFonts w:hint="eastAsia"/>
          <w:rtl/>
        </w:rPr>
        <w:t>הקודם</w:t>
      </w:r>
      <w:r w:rsidRPr="00E52143">
        <w:rPr>
          <w:rtl/>
        </w:rPr>
        <w:t xml:space="preserve">, </w:t>
      </w:r>
      <w:r w:rsidRPr="00E52143">
        <w:rPr>
          <w:rFonts w:hint="eastAsia"/>
          <w:rtl/>
        </w:rPr>
        <w:t>בעיקר</w:t>
      </w:r>
      <w:r w:rsidRPr="00E52143">
        <w:rPr>
          <w:rtl/>
        </w:rPr>
        <w:t xml:space="preserve"> </w:t>
      </w:r>
      <w:r w:rsidRPr="00E52143">
        <w:rPr>
          <w:rFonts w:hint="eastAsia"/>
          <w:rtl/>
        </w:rPr>
        <w:t>בתחום</w:t>
      </w:r>
      <w:r w:rsidRPr="00E52143">
        <w:rPr>
          <w:rtl/>
        </w:rPr>
        <w:t xml:space="preserve"> </w:t>
      </w:r>
      <w:r w:rsidRPr="00E52143">
        <w:rPr>
          <w:rFonts w:hint="eastAsia"/>
          <w:rtl/>
        </w:rPr>
        <w:t>קופות</w:t>
      </w:r>
      <w:r w:rsidRPr="00E52143">
        <w:rPr>
          <w:rtl/>
        </w:rPr>
        <w:t xml:space="preserve"> </w:t>
      </w:r>
      <w:r w:rsidRPr="00E52143">
        <w:rPr>
          <w:rFonts w:hint="eastAsia"/>
          <w:rtl/>
        </w:rPr>
        <w:t>ברירת</w:t>
      </w:r>
      <w:r w:rsidRPr="00E52143">
        <w:rPr>
          <w:rtl/>
        </w:rPr>
        <w:t xml:space="preserve"> </w:t>
      </w:r>
      <w:r w:rsidRPr="00E52143">
        <w:rPr>
          <w:rFonts w:hint="cs"/>
          <w:rtl/>
        </w:rPr>
        <w:t>ה</w:t>
      </w:r>
      <w:r w:rsidRPr="00E52143">
        <w:rPr>
          <w:rFonts w:hint="eastAsia"/>
          <w:rtl/>
        </w:rPr>
        <w:t>מחדל</w:t>
      </w:r>
      <w:r w:rsidRPr="00E52143">
        <w:rPr>
          <w:rtl/>
        </w:rPr>
        <w:t xml:space="preserve"> </w:t>
      </w:r>
      <w:r w:rsidRPr="00E52143">
        <w:rPr>
          <w:rFonts w:hint="eastAsia"/>
          <w:rtl/>
        </w:rPr>
        <w:t>ודמי</w:t>
      </w:r>
      <w:r w:rsidRPr="00E52143">
        <w:rPr>
          <w:rtl/>
        </w:rPr>
        <w:t xml:space="preserve"> </w:t>
      </w:r>
      <w:r w:rsidRPr="00E52143">
        <w:rPr>
          <w:rFonts w:hint="eastAsia"/>
          <w:rtl/>
        </w:rPr>
        <w:t>הניהול</w:t>
      </w:r>
      <w:r w:rsidRPr="00E52143">
        <w:rPr>
          <w:rtl/>
        </w:rPr>
        <w:t xml:space="preserve"> </w:t>
      </w:r>
      <w:r w:rsidRPr="00E52143">
        <w:rPr>
          <w:rFonts w:hint="eastAsia"/>
          <w:rtl/>
        </w:rPr>
        <w:t>שמשלמים</w:t>
      </w:r>
      <w:r w:rsidRPr="00E52143">
        <w:rPr>
          <w:rtl/>
        </w:rPr>
        <w:t xml:space="preserve"> </w:t>
      </w:r>
      <w:r w:rsidRPr="00E52143">
        <w:rPr>
          <w:rFonts w:hint="eastAsia"/>
          <w:rtl/>
        </w:rPr>
        <w:t>פנסיונרים</w:t>
      </w:r>
      <w:r w:rsidRPr="00E52143">
        <w:rPr>
          <w:rFonts w:hint="cs"/>
          <w:rtl/>
        </w:rPr>
        <w:t xml:space="preserve"> </w:t>
      </w:r>
      <w:r w:rsidRPr="00E52143">
        <w:rPr>
          <w:rFonts w:hint="eastAsia"/>
          <w:rtl/>
        </w:rPr>
        <w:t>שפרשו</w:t>
      </w:r>
      <w:r w:rsidRPr="00E52143">
        <w:rPr>
          <w:rtl/>
        </w:rPr>
        <w:t xml:space="preserve"> </w:t>
      </w:r>
      <w:r w:rsidRPr="00E52143">
        <w:rPr>
          <w:rFonts w:hint="eastAsia"/>
          <w:rtl/>
        </w:rPr>
        <w:t>החל</w:t>
      </w:r>
      <w:r w:rsidRPr="00E52143">
        <w:rPr>
          <w:rtl/>
        </w:rPr>
        <w:t xml:space="preserve"> </w:t>
      </w:r>
      <w:r w:rsidRPr="00E52143">
        <w:rPr>
          <w:rFonts w:hint="eastAsia"/>
          <w:rtl/>
        </w:rPr>
        <w:t>מפברואר</w:t>
      </w:r>
      <w:r w:rsidRPr="00E52143">
        <w:rPr>
          <w:rtl/>
        </w:rPr>
        <w:t xml:space="preserve"> 2022. </w:t>
      </w:r>
      <w:r w:rsidRPr="00E52143">
        <w:rPr>
          <w:rFonts w:hint="cs"/>
          <w:rtl/>
        </w:rPr>
        <w:t>ואולם היא</w:t>
      </w:r>
      <w:r w:rsidRPr="00E52143">
        <w:rPr>
          <w:rtl/>
        </w:rPr>
        <w:t xml:space="preserve"> </w:t>
      </w:r>
      <w:r w:rsidRPr="00E52143">
        <w:rPr>
          <w:rFonts w:hint="cs"/>
          <w:rtl/>
        </w:rPr>
        <w:t xml:space="preserve">לא </w:t>
      </w:r>
      <w:r w:rsidRPr="00E52143">
        <w:rPr>
          <w:rtl/>
        </w:rPr>
        <w:t xml:space="preserve">תיקנה את הליקויים בתחום שוק ההפצה הפנסיוני, </w:t>
      </w:r>
      <w:r w:rsidRPr="00E52143">
        <w:rPr>
          <w:rFonts w:hint="cs"/>
          <w:rtl/>
        </w:rPr>
        <w:t>המתבטאים</w:t>
      </w:r>
      <w:r w:rsidRPr="00E52143">
        <w:rPr>
          <w:rtl/>
        </w:rPr>
        <w:t xml:space="preserve"> </w:t>
      </w:r>
      <w:r w:rsidRPr="00E52143">
        <w:rPr>
          <w:rFonts w:hint="cs"/>
          <w:rtl/>
        </w:rPr>
        <w:t>ב</w:t>
      </w:r>
      <w:r w:rsidRPr="00E52143">
        <w:rPr>
          <w:rtl/>
        </w:rPr>
        <w:t xml:space="preserve">ניגודי </w:t>
      </w:r>
      <w:r w:rsidRPr="00E52143">
        <w:rPr>
          <w:rFonts w:hint="cs"/>
          <w:rtl/>
        </w:rPr>
        <w:t>ה</w:t>
      </w:r>
      <w:r w:rsidRPr="00E52143">
        <w:rPr>
          <w:rtl/>
        </w:rPr>
        <w:t>עניינים</w:t>
      </w:r>
      <w:r w:rsidRPr="00E52143">
        <w:rPr>
          <w:rFonts w:hint="cs"/>
          <w:rtl/>
        </w:rPr>
        <w:t xml:space="preserve"> </w:t>
      </w:r>
      <w:r w:rsidRPr="00E52143">
        <w:rPr>
          <w:rFonts w:hint="eastAsia"/>
          <w:rtl/>
        </w:rPr>
        <w:t>המובנים</w:t>
      </w:r>
      <w:r w:rsidRPr="00E52143">
        <w:rPr>
          <w:rtl/>
        </w:rPr>
        <w:t xml:space="preserve"> בפעילותם של סוכני ביטוח פנסיוניים ובהיעדר שוק ייעוץ פנסיוני אובייקטיבי. על רשות שוק ההון לטפל </w:t>
      </w:r>
      <w:r w:rsidRPr="00E52143">
        <w:rPr>
          <w:rFonts w:hint="cs"/>
          <w:rtl/>
        </w:rPr>
        <w:t>בליקויים</w:t>
      </w:r>
      <w:r w:rsidRPr="00E52143">
        <w:rPr>
          <w:rtl/>
        </w:rPr>
        <w:t xml:space="preserve"> בשוק ההפצה הפנסיוני ולפעול לפיתוחו ולשכלולו של שוק ייעוץ פנסיוני אובייקטיבי</w:t>
      </w:r>
      <w:r w:rsidRPr="00E52143">
        <w:rPr>
          <w:rFonts w:hint="cs"/>
          <w:rtl/>
        </w:rPr>
        <w:t xml:space="preserve"> ומתקדם</w:t>
      </w:r>
      <w:r w:rsidRPr="00E52143">
        <w:rPr>
          <w:rtl/>
        </w:rPr>
        <w:t xml:space="preserve">, לטובת ציבור החוסכים </w:t>
      </w:r>
      <w:r w:rsidRPr="00E52143">
        <w:rPr>
          <w:rtl/>
        </w:rPr>
        <w:t>לפנסי</w:t>
      </w:r>
      <w:r w:rsidRPr="00E52143">
        <w:rPr>
          <w:rFonts w:hint="cs"/>
          <w:rtl/>
        </w:rPr>
        <w:t>י</w:t>
      </w:r>
      <w:r w:rsidRPr="00E52143">
        <w:rPr>
          <w:rtl/>
        </w:rPr>
        <w:t>ה</w:t>
      </w:r>
      <w:r w:rsidRPr="00E52143">
        <w:rPr>
          <w:rtl/>
        </w:rPr>
        <w:t>.</w:t>
      </w:r>
    </w:p>
    <w:p w:rsidR="006F48D2" w:rsidP="00114740" w14:paraId="3F771990" w14:textId="571C8FBD">
      <w:pPr>
        <w:pStyle w:val="7392"/>
      </w:pPr>
    </w:p>
    <w:sectPr w:rsidSect="00F35B8C">
      <w:headerReference w:type="even" r:id="rId31"/>
      <w:footerReference w:type="even"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E2CB6" w14:paraId="35A8BB2F" w14:textId="77777777">
      <w:pPr>
        <w:spacing w:line="240" w:lineRule="auto"/>
      </w:pPr>
      <w:r>
        <w:separator/>
      </w:r>
    </w:p>
    <w:p w:rsidR="005E2CB6" w14:paraId="2521C830" w14:textId="77777777"/>
    <w:p w:rsidR="005E2CB6" w14:paraId="1C09ADF6" w14:textId="77777777"/>
    <w:p w:rsidR="005E2CB6" w14:paraId="3A6365A6" w14:textId="77777777"/>
  </w:endnote>
  <w:endnote w:type="continuationSeparator" w:id="1">
    <w:p w:rsidR="005E2CB6" w14:paraId="23C7F598" w14:textId="77777777">
      <w:pPr>
        <w:spacing w:line="240" w:lineRule="auto"/>
      </w:pPr>
      <w:r>
        <w:continuationSeparator/>
      </w:r>
    </w:p>
    <w:p w:rsidR="005E2CB6" w14:paraId="49258177" w14:textId="77777777"/>
    <w:p w:rsidR="005E2CB6" w14:paraId="3EE48361" w14:textId="77777777"/>
    <w:p w:rsidR="005E2CB6" w14:paraId="5F90EF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Miriam">
    <w:panose1 w:val="020B0502050101010101"/>
    <w:charset w:val="B1"/>
    <w:family w:val="swiss"/>
    <w:pitch w:val="variable"/>
    <w:sig w:usb0="00000803" w:usb1="00000000" w:usb2="00000000" w:usb3="00000000" w:csb0="00000021" w:csb1="00000000"/>
  </w:font>
  <w:font w:name="1">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6C5" w14:paraId="715D4E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P="009A1489" w14:paraId="50B7355D"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114740" w:rsidRPr="006668CA" w:rsidP="006668CA" w14:paraId="1F871498" w14:textId="77777777">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6C5" w14:paraId="21182D0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P="00337C4E" w14:paraId="75102E2B" w14:textId="77777777">
    <w:pPr>
      <w:pStyle w:val="Footer"/>
      <w:spacing w:after="120" w:line="312" w:lineRule="auto"/>
      <w:ind w:left="-510"/>
      <w:jc w:val="left"/>
      <w:rPr>
        <w:rFonts w:ascii="Tahoma" w:hAnsi="Tahoma" w:cs="Tahoma"/>
        <w:sz w:val="18"/>
        <w:szCs w:val="18"/>
        <w:rtl/>
      </w:rPr>
    </w:pPr>
  </w:p>
  <w:p w:rsidR="00114740" w:rsidP="00024391" w14:paraId="08C80BF4"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114740" w:rsidRPr="00F94EB4" w:rsidP="00337C4E" w14:paraId="7D7F4B81"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P="00024391" w14:paraId="3B7DB955"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114740" w:rsidP="00851F62" w14:paraId="613BD1A3"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RPr="00D15500" w:rsidP="00D15500" w14:paraId="2FBF1E25"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3F8" w:rsidP="00EF63F8" w14:paraId="75C8103E" w14:textId="465CA7CF">
    <w:pPr>
      <w:pStyle w:val="Footer"/>
      <w:spacing w:after="120" w:line="312" w:lineRule="auto"/>
      <w:ind w:left="-510"/>
      <w:jc w:val="left"/>
      <w:rPr>
        <w:rFonts w:ascii="Tahoma" w:hAnsi="Tahoma" w:cs="Tahoma"/>
        <w:sz w:val="18"/>
        <w:szCs w:val="18"/>
        <w:rtl/>
      </w:rPr>
    </w:pPr>
  </w:p>
  <w:p w:rsidR="00EF63F8" w:rsidP="00EF63F8" w14:paraId="172407FF" w14:textId="230D9A6B">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EF63F8" w:rsidP="00EF63F8" w14:paraId="71472E75" w14:textId="05A33730">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2CB6" w:rsidP="00E7235E" w14:paraId="738F4438" w14:textId="77777777">
      <w:pPr>
        <w:spacing w:line="240" w:lineRule="auto"/>
      </w:pPr>
      <w:r>
        <w:separator/>
      </w:r>
    </w:p>
  </w:footnote>
  <w:footnote w:type="continuationSeparator" w:id="1">
    <w:p w:rsidR="005E2CB6" w:rsidP="00C23CC9" w14:paraId="5C77F8B5" w14:textId="77777777">
      <w:pPr>
        <w:spacing w:line="240" w:lineRule="auto"/>
      </w:pPr>
      <w:r>
        <w:continuationSeparator/>
      </w:r>
    </w:p>
    <w:p w:rsidR="005E2CB6" w14:paraId="018D1C9D" w14:textId="77777777"/>
    <w:p w:rsidR="005E2CB6" w14:paraId="1D8F52E2" w14:textId="77777777"/>
    <w:p w:rsidR="005E2CB6" w14:paraId="1E6B6326" w14:textId="77777777"/>
  </w:footnote>
  <w:footnote w:id="2">
    <w:p w:rsidR="00162B1A" w:rsidRPr="00411396" w:rsidP="00162B1A" w14:paraId="17798DB9" w14:textId="77777777">
      <w:pPr>
        <w:pStyle w:val="733"/>
      </w:pPr>
      <w:r w:rsidRPr="00411396">
        <w:rPr>
          <w:rStyle w:val="FootnoteReference0"/>
          <w:vertAlign w:val="baseline"/>
        </w:rPr>
        <w:footnoteRef/>
      </w:r>
      <w:r w:rsidRPr="00411396">
        <w:rPr>
          <w:rtl/>
        </w:rPr>
        <w:t xml:space="preserve"> </w:t>
      </w:r>
      <w:r w:rsidRPr="00411396">
        <w:rPr>
          <w:rtl/>
        </w:rPr>
        <w:tab/>
        <w:t xml:space="preserve">מבקר המדינה, דוח ביקורת מיוחד בנושא </w:t>
      </w:r>
      <w:r w:rsidRPr="00411396">
        <w:rPr>
          <w:b/>
          <w:bCs/>
          <w:rtl/>
        </w:rPr>
        <w:t>הסדרי הפנסיה במדינה</w:t>
      </w:r>
      <w:r w:rsidRPr="00411396">
        <w:rPr>
          <w:rtl/>
        </w:rPr>
        <w:t xml:space="preserve"> (2016).</w:t>
      </w:r>
    </w:p>
  </w:footnote>
  <w:footnote w:id="3">
    <w:p w:rsidR="00162B1A" w:rsidRPr="00411396" w:rsidP="00162B1A" w14:paraId="2D3EC381" w14:textId="77777777">
      <w:pPr>
        <w:pStyle w:val="733"/>
      </w:pPr>
      <w:r w:rsidRPr="00411396">
        <w:rPr>
          <w:rStyle w:val="FootnoteReference0"/>
          <w:vertAlign w:val="baseline"/>
        </w:rPr>
        <w:footnoteRef/>
      </w:r>
      <w:r w:rsidRPr="00411396">
        <w:rPr>
          <w:rtl/>
        </w:rPr>
        <w:t xml:space="preserve"> </w:t>
      </w:r>
      <w:r w:rsidRPr="00411396">
        <w:rPr>
          <w:rtl/>
        </w:rPr>
        <w:tab/>
        <w:t xml:space="preserve">סוכנויות גדולות המתמחות בניהול הסדרים פנסיוניים מורכבים למפעלים, ובכלל זה בייעוץ למעסיקים ולעובדי המפעלים, בליווי הלקוח במשך חייו </w:t>
      </w:r>
      <w:r w:rsidRPr="00411396">
        <w:rPr>
          <w:rtl/>
        </w:rPr>
        <w:t>הביטוחיים</w:t>
      </w:r>
      <w:r w:rsidRPr="00411396">
        <w:rPr>
          <w:rtl/>
        </w:rPr>
        <w:t>, בגבייה של הכספים בכל חודש ובפיצול הכספים בין היצרנים והמוצרים השונים.</w:t>
      </w:r>
    </w:p>
  </w:footnote>
  <w:footnote w:id="4">
    <w:p w:rsidR="00162B1A" w:rsidRPr="00411396" w:rsidP="00162B1A" w14:paraId="5BDF08C6" w14:textId="77777777">
      <w:pPr>
        <w:pStyle w:val="733"/>
        <w:rPr>
          <w:rtl/>
        </w:rPr>
      </w:pPr>
      <w:r w:rsidRPr="00411396">
        <w:rPr>
          <w:rStyle w:val="FootnoteReference0"/>
          <w:vertAlign w:val="baseline"/>
        </w:rPr>
        <w:footnoteRef/>
      </w:r>
      <w:r w:rsidRPr="00411396">
        <w:rPr>
          <w:rtl/>
        </w:rPr>
        <w:t xml:space="preserve"> </w:t>
      </w:r>
      <w:r w:rsidRPr="00411396">
        <w:rPr>
          <w:rtl/>
        </w:rPr>
        <w:tab/>
        <w:t>לרבות סוכני ביטוח פנסיוניים, משווקים פנסיוניים ויועצים פנסיוניים.</w:t>
      </w:r>
    </w:p>
  </w:footnote>
  <w:footnote w:id="5">
    <w:p w:rsidR="00162B1A" w:rsidRPr="00411396" w:rsidP="00162B1A" w14:paraId="166076C3" w14:textId="77777777">
      <w:pPr>
        <w:pStyle w:val="733"/>
      </w:pPr>
      <w:r w:rsidRPr="00411396">
        <w:rPr>
          <w:rStyle w:val="FootnoteReference0"/>
          <w:vertAlign w:val="baseline"/>
        </w:rPr>
        <w:footnoteRef/>
      </w:r>
      <w:r w:rsidRPr="00411396">
        <w:rPr>
          <w:rtl/>
        </w:rPr>
        <w:t xml:space="preserve"> </w:t>
      </w:r>
      <w:r w:rsidRPr="00411396">
        <w:rPr>
          <w:rtl/>
        </w:rPr>
        <w:tab/>
        <w:t>תקנות הפיקוח על שירותים פיננסיים (קופות גמל) (דמי ניהול) (תיקון), התשפ"ב-2021. התקנות אושרו בינואר 2022 ונכנסו לתוקף לגבי פורשים לגמלאות שהחלו לקבל קצבת זקנה מ-1.2.22 ואילך.</w:t>
      </w:r>
    </w:p>
  </w:footnote>
  <w:footnote w:id="6">
    <w:p w:rsidR="00162B1A" w:rsidRPr="00411396" w:rsidP="00162B1A" w14:paraId="0DB8E0B9" w14:textId="77777777">
      <w:pPr>
        <w:pStyle w:val="733"/>
      </w:pPr>
      <w:r w:rsidRPr="00411396">
        <w:rPr>
          <w:rStyle w:val="FootnoteReference0"/>
          <w:vertAlign w:val="baseline"/>
        </w:rPr>
        <w:footnoteRef/>
      </w:r>
      <w:r w:rsidRPr="00411396">
        <w:rPr>
          <w:rtl/>
        </w:rPr>
        <w:t xml:space="preserve"> </w:t>
      </w:r>
      <w:r w:rsidRPr="00411396">
        <w:rPr>
          <w:rtl/>
        </w:rPr>
        <w:tab/>
        <w:t>על בסיס דמי הניהול הממוצעים מהצבירה לשנת 2020.</w:t>
      </w:r>
    </w:p>
  </w:footnote>
  <w:footnote w:id="7">
    <w:p w:rsidR="00114740" w:rsidRPr="00411396" w:rsidP="00114740" w14:paraId="5149C413" w14:textId="77777777">
      <w:pPr>
        <w:pStyle w:val="733"/>
        <w:rPr>
          <w:rtl/>
        </w:rPr>
      </w:pPr>
      <w:r w:rsidRPr="00411396">
        <w:rPr>
          <w:rStyle w:val="FootnoteReference0"/>
          <w:vertAlign w:val="baseline"/>
        </w:rPr>
        <w:footnoteRef/>
      </w:r>
      <w:r w:rsidRPr="00411396">
        <w:rPr>
          <w:rtl/>
        </w:rPr>
        <w:t xml:space="preserve"> </w:t>
      </w:r>
      <w:r w:rsidRPr="00411396">
        <w:rPr>
          <w:rtl/>
        </w:rPr>
        <w:tab/>
        <w:t>במונח "קרנות ברירת מחדל" נעשה שימוש בדוח הקודם לתיאור קרנות שנבחרו בהליך מכרזי שערכה רשות שוק ההון למתן דמי ניהול מוזלים למצטרפים חדשים. במשך השנים שונה המונח על ידי הרשות ל"קרנות נבחרות", כפי שמפורט בדוח.</w:t>
      </w:r>
    </w:p>
  </w:footnote>
  <w:footnote w:id="8">
    <w:p w:rsidR="00114740" w:rsidRPr="00411396" w:rsidP="00114740" w14:paraId="15F3EDA3" w14:textId="77777777">
      <w:pPr>
        <w:pStyle w:val="733"/>
        <w:rPr>
          <w:rtl/>
        </w:rPr>
      </w:pPr>
      <w:r w:rsidRPr="00411396">
        <w:rPr>
          <w:rStyle w:val="FootnoteReference0"/>
          <w:vertAlign w:val="baseline"/>
        </w:rPr>
        <w:footnoteRef/>
      </w:r>
      <w:r w:rsidRPr="00411396">
        <w:rPr>
          <w:rtl/>
        </w:rPr>
        <w:t xml:space="preserve"> </w:t>
      </w:r>
      <w:r w:rsidRPr="00411396">
        <w:rPr>
          <w:rtl/>
        </w:rPr>
        <w:tab/>
        <w:t xml:space="preserve">מדד </w:t>
      </w:r>
      <w:r w:rsidRPr="00411396">
        <w:rPr>
          <w:rtl/>
        </w:rPr>
        <w:t>האומד</w:t>
      </w:r>
      <w:r w:rsidRPr="00411396">
        <w:rPr>
          <w:rtl/>
        </w:rPr>
        <w:t xml:space="preserve"> את התשואה העודפת של הקופה מעבר לריבית חסרת סיכון. מדד שארפ גבוה מעיד על ביצועים טובים יותר, דהיינו תשואה גבוהה יותר ליחידת סטיית תקן.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P="007255AF" w14:paraId="499DD74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4740" w:rsidP="00F2565F" w14:paraId="47598DB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114740" w:rsidP="007255AF" w14:paraId="519EC97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4740" w:rsidP="007255AF" w14:paraId="53A4FE6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4740" w:rsidP="00A33696" w14:paraId="7BC18E03"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4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11474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114740" w:rsidP="006637B9" w14:paraId="6D517018"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P="001526AC" w14:paraId="6D351E19"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474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114740" w:rsidRPr="00FD02CC" w:rsidP="006E67D8" w14:paraId="68463A4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14740" w:rsidRPr="009B7D1B" w:rsidP="00586851"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411396">
                            <w:rPr>
                              <w:rFonts w:ascii="Tahoma" w:hAnsi="Tahoma" w:cs="Tahoma"/>
                              <w:b/>
                              <w:bCs/>
                              <w:rtl/>
                            </w:rPr>
                            <w:t xml:space="preserve">היבטים </w:t>
                          </w:r>
                          <w:r w:rsidRPr="00411396">
                            <w:rPr>
                              <w:rFonts w:ascii="Tahoma" w:hAnsi="Tahoma" w:cs="Tahoma"/>
                              <w:b/>
                              <w:bCs/>
                              <w:rtl/>
                            </w:rPr>
                            <w:t>בפנסייה</w:t>
                          </w:r>
                          <w:r w:rsidRPr="00411396">
                            <w:rPr>
                              <w:rFonts w:ascii="Tahoma" w:hAnsi="Tahoma" w:cs="Tahoma"/>
                              <w:b/>
                              <w:bCs/>
                              <w:rtl/>
                            </w:rPr>
                            <w:t xml:space="preserve"> הצוברת ובשוק ההפצה הפנסיוני - ביקורת מעקב</w:t>
                          </w:r>
                          <w:r>
                            <w:rPr>
                              <w:rFonts w:ascii="Tahoma" w:hAnsi="Tahoma" w:cs="Tahoma"/>
                              <w:b/>
                              <w:bCs/>
                              <w:rtl/>
                            </w:rPr>
                            <w:tab/>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position:absolute;v-text-anchor:top;z-index:251662336" fillcolor="#00305f" stroked="t" strokecolor="#00305f" strokeweight="0.14pt">
              <v:textbox style="layout-flow:vertical;mso-layout-flow-alt:bottom-to-top" inset="0,0,0,0">
                <w:txbxContent>
                  <w:p w:rsidR="00114740" w:rsidRPr="009B7D1B" w:rsidP="00586851" w14:paraId="6937D09F"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411396">
                      <w:rPr>
                        <w:rFonts w:ascii="Tahoma" w:hAnsi="Tahoma" w:cs="Tahoma"/>
                        <w:b/>
                        <w:bCs/>
                        <w:rtl/>
                      </w:rPr>
                      <w:t xml:space="preserve">היבטים </w:t>
                    </w:r>
                    <w:r w:rsidRPr="00411396">
                      <w:rPr>
                        <w:rFonts w:ascii="Tahoma" w:hAnsi="Tahoma" w:cs="Tahoma"/>
                        <w:b/>
                        <w:bCs/>
                        <w:rtl/>
                      </w:rPr>
                      <w:t>בפנסייה</w:t>
                    </w:r>
                    <w:r w:rsidRPr="00411396">
                      <w:rPr>
                        <w:rFonts w:ascii="Tahoma" w:hAnsi="Tahoma" w:cs="Tahoma"/>
                        <w:b/>
                        <w:bCs/>
                        <w:rtl/>
                      </w:rPr>
                      <w:t xml:space="preserve"> הצוברת ובשוק ההפצה הפנסיוני - ביקורת מעקב</w:t>
                    </w:r>
                    <w:r>
                      <w:rPr>
                        <w:rFonts w:ascii="Tahoma" w:hAnsi="Tahoma" w:cs="Tahoma"/>
                        <w:b/>
                        <w:bCs/>
                        <w:rtl/>
                      </w:rPr>
                      <w:tab/>
                    </w:r>
                  </w:p>
                </w:txbxContent>
              </v:textbox>
              <w10:wrap type="square"/>
            </v:shape>
          </w:pict>
        </mc:Fallback>
      </mc:AlternateContent>
    </w:r>
  </w:p>
  <w:p w:rsidR="00114740" w:rsidP="001526AC" w14:paraId="29D0890A" w14:textId="77777777">
    <w:pPr>
      <w:pStyle w:val="Header"/>
      <w:tabs>
        <w:tab w:val="left" w:pos="493"/>
        <w:tab w:val="center" w:pos="4111"/>
        <w:tab w:val="clear" w:pos="4153"/>
        <w:tab w:val="right" w:pos="7478"/>
        <w:tab w:val="right" w:pos="8222"/>
        <w:tab w:val="clear" w:pos="8306"/>
      </w:tabs>
      <w:jc w:val="left"/>
      <w:rPr>
        <w:rtl/>
      </w:rPr>
    </w:pPr>
  </w:p>
  <w:p w:rsidR="00114740" w:rsidRPr="001526AC" w:rsidP="00005B23" w14:paraId="40260419"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14740" w:rsidRPr="00136A3E" w:rsidP="00B244B0" w14:textId="4E68C95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ED3F50" w:rsidR="00ED3F50">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3" type="#_x0000_t202" style="width:351.16pt;height:23.27pt;margin-top:27.7pt;margin-left:21.41pt;mso-height-percent:0;mso-height-relative:margin;mso-width-percent:0;mso-width-relative:margin;mso-wrap-distance-bottom:3.6pt;mso-wrap-distance-left:9pt;mso-wrap-distance-right:9pt;mso-wrap-distance-top:3.6pt;position:absolute;v-text-anchor:top;z-index:251658240" fillcolor="white" stroked="t" strokecolor="white" strokeweight="0.75pt">
              <v:textbox>
                <w:txbxContent>
                  <w:p w:rsidR="00114740" w:rsidRPr="00136A3E" w:rsidP="00B244B0" w14:paraId="1D4B617E" w14:textId="4E68C95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ED3F50" w:rsidR="00ED3F50">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14:paraId="21A907F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14:paraId="486A3F66"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474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114740" w:rsidRPr="00FD02CC" w:rsidP="006E67D8" w14:paraId="6FE7F0AB"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14740" w:rsidP="00FD02CC" w14:paraId="2F0F0DB0" w14:textId="77777777">
    <w:pPr>
      <w:pStyle w:val="Header"/>
      <w:ind w:firstLine="720"/>
      <w:rPr>
        <w:rtl/>
      </w:rPr>
    </w:pPr>
  </w:p>
  <w:p w:rsidR="00114740" w14:paraId="6F8CE669" w14:textId="77777777">
    <w:pPr>
      <w:pStyle w:val="Header"/>
      <w:rPr>
        <w:rtl/>
      </w:rPr>
    </w:pPr>
  </w:p>
  <w:p w:rsidR="00114740" w14:paraId="0B70434F"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155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1474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411396">
                            <w:rPr>
                              <w:rFonts w:ascii="Tahoma" w:hAnsi="Tahoma" w:eastAsiaTheme="minorHAnsi" w:cs="Tahoma"/>
                              <w:bCs w:val="0"/>
                              <w:color w:val="0D0D0D" w:themeColor="text1" w:themeTint="F2"/>
                              <w:sz w:val="16"/>
                              <w:szCs w:val="16"/>
                              <w:u w:val="none"/>
                              <w:rtl/>
                            </w:rPr>
                            <w:t xml:space="preserve">היבטים </w:t>
                          </w:r>
                          <w:r w:rsidRPr="00411396">
                            <w:rPr>
                              <w:rFonts w:ascii="Tahoma" w:hAnsi="Tahoma" w:eastAsiaTheme="minorHAnsi" w:cs="Tahoma"/>
                              <w:bCs w:val="0"/>
                              <w:color w:val="0D0D0D" w:themeColor="text1" w:themeTint="F2"/>
                              <w:sz w:val="16"/>
                              <w:szCs w:val="16"/>
                              <w:u w:val="none"/>
                              <w:rtl/>
                            </w:rPr>
                            <w:t>בפנסייה</w:t>
                          </w:r>
                          <w:r w:rsidRPr="00411396">
                            <w:rPr>
                              <w:rFonts w:ascii="Tahoma" w:hAnsi="Tahoma" w:eastAsiaTheme="minorHAnsi" w:cs="Tahoma"/>
                              <w:bCs w:val="0"/>
                              <w:color w:val="0D0D0D" w:themeColor="text1" w:themeTint="F2"/>
                              <w:sz w:val="16"/>
                              <w:szCs w:val="16"/>
                              <w:u w:val="none"/>
                              <w:rtl/>
                            </w:rPr>
                            <w:t xml:space="preserve"> הצוברת ובשוק ההפצה הפנסיוני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6" type="#_x0000_t202" style="width:357.2pt;height:22.1pt;margin-top:16.15pt;margin-left:-8.4pt;mso-width-percent:0;mso-width-relative:margin;mso-wrap-distance-bottom:0;mso-wrap-distance-left:9pt;mso-wrap-distance-right:9pt;mso-wrap-distance-top:0;position:absolute;v-text-anchor:top;z-index:251670528" fillcolor="white" stroked="f" strokeweight="0.75pt">
              <v:textbox style="mso-fit-shape-to-text:t">
                <w:txbxContent>
                  <w:p w:rsidR="00114740" w:rsidRPr="003D62C4" w:rsidP="00F559D6" w14:paraId="3008BE6B"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411396">
                      <w:rPr>
                        <w:rFonts w:ascii="Tahoma" w:hAnsi="Tahoma" w:eastAsiaTheme="minorHAnsi" w:cs="Tahoma"/>
                        <w:bCs w:val="0"/>
                        <w:color w:val="0D0D0D" w:themeColor="text1" w:themeTint="F2"/>
                        <w:sz w:val="16"/>
                        <w:szCs w:val="16"/>
                        <w:u w:val="none"/>
                        <w:rtl/>
                      </w:rPr>
                      <w:t xml:space="preserve">היבטים </w:t>
                    </w:r>
                    <w:r w:rsidRPr="00411396">
                      <w:rPr>
                        <w:rFonts w:ascii="Tahoma" w:hAnsi="Tahoma" w:eastAsiaTheme="minorHAnsi" w:cs="Tahoma"/>
                        <w:bCs w:val="0"/>
                        <w:color w:val="0D0D0D" w:themeColor="text1" w:themeTint="F2"/>
                        <w:sz w:val="16"/>
                        <w:szCs w:val="16"/>
                        <w:u w:val="none"/>
                        <w:rtl/>
                      </w:rPr>
                      <w:t>בפנסייה</w:t>
                    </w:r>
                    <w:r w:rsidRPr="00411396">
                      <w:rPr>
                        <w:rFonts w:ascii="Tahoma" w:hAnsi="Tahoma" w:eastAsiaTheme="minorHAnsi" w:cs="Tahoma"/>
                        <w:bCs w:val="0"/>
                        <w:color w:val="0D0D0D" w:themeColor="text1" w:themeTint="F2"/>
                        <w:sz w:val="16"/>
                        <w:szCs w:val="16"/>
                        <w:u w:val="none"/>
                        <w:rtl/>
                      </w:rPr>
                      <w:t xml:space="preserve"> הצוברת ובשוק ההפצה הפנסיוני - ביקורת מעקב</w:t>
                    </w:r>
                  </w:p>
                </w:txbxContent>
              </v:textbox>
              <w10:wrap type="square"/>
            </v:shape>
          </w:pict>
        </mc:Fallback>
      </mc:AlternateContent>
    </w:r>
  </w:p>
  <w:p w:rsidR="00114740" w:rsidP="009620E7" w14:paraId="6CD2D63C"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5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740" w:rsidRPr="00D15500" w:rsidP="005B4811" w14:paraId="713105B4"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81792"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79744"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11474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stroked="f">
              <v:textbox>
                <w:txbxContent>
                  <w:p w:rsidR="00114740" w:rsidRPr="005B4811" w:rsidP="005B4811" w14:paraId="5A7DD0BB"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77696"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11474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78720" stroked="f">
              <v:textbox style="mso-fit-shape-to-text:t">
                <w:txbxContent>
                  <w:p w:rsidR="00114740" w:rsidRPr="005B4811" w:rsidP="005B4811" w14:paraId="27BD892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82816"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451066627"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3F8" w:rsidP="00EF63F8" w14:paraId="7D8B16CA"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7"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F63F8" w:rsidRPr="00FD02CC" w:rsidP="00EF63F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EF63F8" w:rsidRPr="00FD02CC" w:rsidP="00EF63F8" w14:paraId="59978566"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EF63F8" w:rsidP="00EF63F8" w14:paraId="5BF64AC7" w14:textId="77777777">
    <w:pPr>
      <w:pStyle w:val="Header"/>
      <w:ind w:firstLine="720"/>
      <w:rPr>
        <w:rtl/>
      </w:rPr>
    </w:pPr>
  </w:p>
  <w:p w:rsidR="00EF63F8" w:rsidP="00EF63F8" w14:paraId="129F96D4" w14:textId="77777777">
    <w:pPr>
      <w:pStyle w:val="Header"/>
      <w:rPr>
        <w:rtl/>
      </w:rPr>
    </w:pPr>
  </w:p>
  <w:p w:rsidR="00EF63F8" w:rsidP="00EF63F8" w14:paraId="0F69F106"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691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EF63F8" w:rsidRPr="003D62C4" w:rsidP="00EF63F8"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411396">
                            <w:rPr>
                              <w:rFonts w:ascii="Tahoma" w:hAnsi="Tahoma" w:eastAsiaTheme="minorHAnsi" w:cs="Tahoma"/>
                              <w:bCs w:val="0"/>
                              <w:color w:val="0D0D0D" w:themeColor="text1" w:themeTint="F2"/>
                              <w:sz w:val="16"/>
                              <w:szCs w:val="16"/>
                              <w:u w:val="none"/>
                              <w:rtl/>
                            </w:rPr>
                            <w:t xml:space="preserve">היבטים </w:t>
                          </w:r>
                          <w:r w:rsidRPr="00411396">
                            <w:rPr>
                              <w:rFonts w:ascii="Tahoma" w:hAnsi="Tahoma" w:eastAsiaTheme="minorHAnsi" w:cs="Tahoma"/>
                              <w:bCs w:val="0"/>
                              <w:color w:val="0D0D0D" w:themeColor="text1" w:themeTint="F2"/>
                              <w:sz w:val="16"/>
                              <w:szCs w:val="16"/>
                              <w:u w:val="none"/>
                              <w:rtl/>
                            </w:rPr>
                            <w:t>בפנסייה</w:t>
                          </w:r>
                          <w:r w:rsidRPr="00411396">
                            <w:rPr>
                              <w:rFonts w:ascii="Tahoma" w:hAnsi="Tahoma" w:eastAsiaTheme="minorHAnsi" w:cs="Tahoma"/>
                              <w:bCs w:val="0"/>
                              <w:color w:val="0D0D0D" w:themeColor="text1" w:themeTint="F2"/>
                              <w:sz w:val="16"/>
                              <w:szCs w:val="16"/>
                              <w:u w:val="none"/>
                              <w:rtl/>
                            </w:rPr>
                            <w:t xml:space="preserve"> הצוברת ובשוק ההפצה הפנסיוני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61" type="#_x0000_t202" style="width:357.2pt;height:22.1pt;margin-top:16.15pt;margin-left:-8.4pt;mso-width-percent:0;mso-width-relative:margin;mso-wrap-distance-bottom:0;mso-wrap-distance-left:9pt;mso-wrap-distance-right:9pt;mso-wrap-distance-top:0;position:absolute;v-text-anchor:top;z-index:251685888" fillcolor="white" stroked="f" strokeweight="0.75pt">
              <v:textbox style="mso-fit-shape-to-text:t">
                <w:txbxContent>
                  <w:p w:rsidR="00EF63F8" w:rsidRPr="003D62C4" w:rsidP="00EF63F8" w14:paraId="24E58701"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411396">
                      <w:rPr>
                        <w:rFonts w:ascii="Tahoma" w:hAnsi="Tahoma" w:eastAsiaTheme="minorHAnsi" w:cs="Tahoma"/>
                        <w:bCs w:val="0"/>
                        <w:color w:val="0D0D0D" w:themeColor="text1" w:themeTint="F2"/>
                        <w:sz w:val="16"/>
                        <w:szCs w:val="16"/>
                        <w:u w:val="none"/>
                        <w:rtl/>
                      </w:rPr>
                      <w:t xml:space="preserve">היבטים </w:t>
                    </w:r>
                    <w:r w:rsidRPr="00411396">
                      <w:rPr>
                        <w:rFonts w:ascii="Tahoma" w:hAnsi="Tahoma" w:eastAsiaTheme="minorHAnsi" w:cs="Tahoma"/>
                        <w:bCs w:val="0"/>
                        <w:color w:val="0D0D0D" w:themeColor="text1" w:themeTint="F2"/>
                        <w:sz w:val="16"/>
                        <w:szCs w:val="16"/>
                        <w:u w:val="none"/>
                        <w:rtl/>
                      </w:rPr>
                      <w:t>בפנסייה</w:t>
                    </w:r>
                    <w:r w:rsidRPr="00411396">
                      <w:rPr>
                        <w:rFonts w:ascii="Tahoma" w:hAnsi="Tahoma" w:eastAsiaTheme="minorHAnsi" w:cs="Tahoma"/>
                        <w:bCs w:val="0"/>
                        <w:color w:val="0D0D0D" w:themeColor="text1" w:themeTint="F2"/>
                        <w:sz w:val="16"/>
                        <w:szCs w:val="16"/>
                        <w:u w:val="none"/>
                        <w:rtl/>
                      </w:rPr>
                      <w:t xml:space="preserve"> הצוברת ובשוק ההפצה הפנסיוני - ביקורת מעקב</w:t>
                    </w:r>
                  </w:p>
                </w:txbxContent>
              </v:textbox>
              <w10:wrap type="square"/>
            </v:shape>
          </w:pict>
        </mc:Fallback>
      </mc:AlternateContent>
    </w:r>
  </w:p>
  <w:p w:rsidR="00EF63F8" w:rsidP="00EF63F8" w14:paraId="6E503AE2" w14:textId="77777777">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9"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p w:rsidR="008B694B" w:rsidRPr="00EF63F8" w:rsidP="00EF63F8" w14:paraId="4E47EA6D" w14:textId="324E80B4">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abstractNum w:abstractNumId="0">
    <w:nsid w:val="FFFFFF7C"/>
    <w:multiLevelType w:val="singleLevel"/>
    <w:tmpl w:val="25C2F87E"/>
    <w:lvl w:ilvl="0">
      <w:start w:val="1"/>
      <w:numFmt w:val="decimal"/>
      <w:lvlText w:val="%1."/>
      <w:lvlJc w:val="left"/>
      <w:pPr>
        <w:tabs>
          <w:tab w:val="num" w:pos="1492"/>
        </w:tabs>
        <w:ind w:left="1492" w:hanging="360"/>
      </w:pPr>
    </w:lvl>
  </w:abstractNum>
  <w:abstractNum w:abstractNumId="1">
    <w:nsid w:val="FFFFFF7D"/>
    <w:multiLevelType w:val="singleLevel"/>
    <w:tmpl w:val="C53409EC"/>
    <w:lvl w:ilvl="0">
      <w:start w:val="1"/>
      <w:numFmt w:val="decimal"/>
      <w:lvlText w:val="%1."/>
      <w:lvlJc w:val="left"/>
      <w:pPr>
        <w:tabs>
          <w:tab w:val="num" w:pos="1209"/>
        </w:tabs>
        <w:ind w:left="1209" w:hanging="360"/>
      </w:pPr>
    </w:lvl>
  </w:abstractNum>
  <w:abstractNum w:abstractNumId="2">
    <w:nsid w:val="FFFFFF7F"/>
    <w:multiLevelType w:val="singleLevel"/>
    <w:tmpl w:val="080E4DF0"/>
    <w:lvl w:ilvl="0">
      <w:start w:val="1"/>
      <w:numFmt w:val="decimal"/>
      <w:lvlText w:val="%1."/>
      <w:lvlJc w:val="left"/>
      <w:pPr>
        <w:tabs>
          <w:tab w:val="num" w:pos="643"/>
        </w:tabs>
        <w:ind w:left="643" w:hanging="360"/>
      </w:pPr>
    </w:lvl>
  </w:abstractNum>
  <w:abstractNum w:abstractNumId="3">
    <w:nsid w:val="FFFFFF80"/>
    <w:multiLevelType w:val="singleLevel"/>
    <w:tmpl w:val="B8FE8E6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266E72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E8E837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8A8567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7D5A85A8"/>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A76335"/>
    <w:multiLevelType w:val="hybridMultilevel"/>
    <w:tmpl w:val="7AE2D296"/>
    <w:lvl w:ilvl="0">
      <w:start w:val="1"/>
      <w:numFmt w:val="bullet"/>
      <w:lvlText w:val=""/>
      <w:lvlPicBulletId w:val="0"/>
      <w:lvlJc w:val="left"/>
      <w:pPr>
        <w:ind w:left="860" w:hanging="360"/>
      </w:pPr>
      <w:rPr>
        <w:rFonts w:ascii="Symbol" w:hAnsi="Symbol" w:hint="default"/>
        <w:color w:val="auto"/>
        <w:sz w:val="28"/>
        <w:szCs w:val="28"/>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1">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22E55D56"/>
    <w:multiLevelType w:val="hybridMultilevel"/>
    <w:tmpl w:val="D6E23498"/>
    <w:lvl w:ilvl="0">
      <w:start w:val="1"/>
      <w:numFmt w:val="decimal"/>
      <w:pStyle w:val="a35"/>
      <w:suff w:val="nothing"/>
      <w:lvlText w:val="תרשים %1"/>
      <w:lvlJc w:val="left"/>
      <w:pPr>
        <w:ind w:left="1494" w:hanging="360"/>
      </w:pPr>
      <w:rPr>
        <w:rFonts w:ascii="David" w:hAnsi="David" w:cs="David" w:hint="cs"/>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163FF1"/>
    <w:multiLevelType w:val="hybridMultilevel"/>
    <w:tmpl w:val="66A06354"/>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16139F"/>
    <w:multiLevelType w:val="hybridMultilevel"/>
    <w:tmpl w:val="D06C34BA"/>
    <w:lvl w:ilvl="0">
      <w:start w:val="1"/>
      <w:numFmt w:val="bullet"/>
      <w:lvlText w:val=""/>
      <w:lvlPicBulletId w:val="1"/>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59BD63E3"/>
    <w:multiLevelType w:val="hybridMultilevel"/>
    <w:tmpl w:val="DAF45F8C"/>
    <w:lvl w:ilvl="0">
      <w:start w:val="1"/>
      <w:numFmt w:val="decimal"/>
      <w:pStyle w:val="a36"/>
      <w:suff w:val="nothing"/>
      <w:lvlText w:val="לוח %1"/>
      <w:lvlJc w:val="left"/>
      <w:pPr>
        <w:ind w:left="785" w:hanging="360"/>
      </w:pPr>
      <w:rPr>
        <w:rFonts w:hint="default"/>
        <w:b/>
        <w:bCs w:val="0"/>
      </w:rPr>
    </w:lvl>
    <w:lvl w:ilvl="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nsid w:val="63812761"/>
    <w:multiLevelType w:val="hybridMultilevel"/>
    <w:tmpl w:val="077C9FBE"/>
    <w:lvl w:ilvl="0">
      <w:start w:val="1"/>
      <w:numFmt w:val="decimal"/>
      <w:pStyle w:val="a38"/>
      <w:suff w:val="nothing"/>
      <w:lvlText w:val="תמונה %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1"/>
  </w:num>
  <w:num w:numId="2">
    <w:abstractNumId w:val="17"/>
  </w:num>
  <w:num w:numId="3">
    <w:abstractNumId w:val="20"/>
  </w:num>
  <w:num w:numId="4">
    <w:abstractNumId w:val="15"/>
  </w:num>
  <w:num w:numId="5">
    <w:abstractNumId w:val="16"/>
  </w:num>
  <w:num w:numId="6">
    <w:abstractNumId w:val="23"/>
  </w:num>
  <w:num w:numId="7">
    <w:abstractNumId w:val="8"/>
  </w:num>
  <w:num w:numId="8">
    <w:abstractNumId w:val="18"/>
  </w:num>
  <w:num w:numId="9">
    <w:abstractNumId w:val="21"/>
  </w:num>
  <w:num w:numId="10">
    <w:abstractNumId w:val="9"/>
  </w:num>
  <w:num w:numId="11">
    <w:abstractNumId w:val="10"/>
  </w:num>
  <w:num w:numId="12">
    <w:abstractNumId w:val="13"/>
  </w:num>
  <w:num w:numId="13">
    <w:abstractNumId w:val="14"/>
  </w:num>
  <w:num w:numId="14">
    <w:abstractNumId w:val="12"/>
  </w:num>
  <w:num w:numId="15">
    <w:abstractNumId w:val="19"/>
  </w:num>
  <w:num w:numId="16">
    <w:abstractNumId w:val="22"/>
  </w:num>
  <w:num w:numId="17">
    <w:abstractNumId w:val="3"/>
  </w:num>
  <w:num w:numId="18">
    <w:abstractNumId w:val="4"/>
  </w:num>
  <w:num w:numId="19">
    <w:abstractNumId w:val="5"/>
  </w:num>
  <w:num w:numId="20">
    <w:abstractNumId w:val="6"/>
  </w:num>
  <w:num w:numId="21">
    <w:abstractNumId w:val="7"/>
  </w:num>
  <w:num w:numId="22">
    <w:abstractNumId w:val="0"/>
  </w:num>
  <w:num w:numId="23">
    <w:abstractNumId w:val="1"/>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0CF"/>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5F72"/>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740"/>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B1A"/>
    <w:rsid w:val="00162EAF"/>
    <w:rsid w:val="001630E8"/>
    <w:rsid w:val="001637C1"/>
    <w:rsid w:val="001639FB"/>
    <w:rsid w:val="00163D00"/>
    <w:rsid w:val="00163D58"/>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8C5"/>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3AAE"/>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2E2"/>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357"/>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125"/>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802"/>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5B2"/>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27DE5"/>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69BA"/>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674"/>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57A"/>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2BC0"/>
    <w:rsid w:val="00422FC1"/>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330"/>
    <w:rsid w:val="004C1653"/>
    <w:rsid w:val="004C1BDC"/>
    <w:rsid w:val="004C209B"/>
    <w:rsid w:val="004C2149"/>
    <w:rsid w:val="004C2531"/>
    <w:rsid w:val="004C2B02"/>
    <w:rsid w:val="004C3342"/>
    <w:rsid w:val="004C3B1F"/>
    <w:rsid w:val="004C4056"/>
    <w:rsid w:val="004C4396"/>
    <w:rsid w:val="004C4AF0"/>
    <w:rsid w:val="004C4F65"/>
    <w:rsid w:val="004C52B7"/>
    <w:rsid w:val="004C55F7"/>
    <w:rsid w:val="004C58B1"/>
    <w:rsid w:val="004C6628"/>
    <w:rsid w:val="004C7A8F"/>
    <w:rsid w:val="004C7D9F"/>
    <w:rsid w:val="004D16BE"/>
    <w:rsid w:val="004D1728"/>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3D4"/>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AC"/>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15"/>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907"/>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C8E"/>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97DD0"/>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2CB6"/>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72D"/>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41A"/>
    <w:rsid w:val="00632878"/>
    <w:rsid w:val="006329CF"/>
    <w:rsid w:val="00632A7A"/>
    <w:rsid w:val="00632C05"/>
    <w:rsid w:val="006330FA"/>
    <w:rsid w:val="006331D4"/>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AB"/>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4C22"/>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033"/>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8D2"/>
    <w:rsid w:val="006F4A1E"/>
    <w:rsid w:val="006F4F50"/>
    <w:rsid w:val="006F66C9"/>
    <w:rsid w:val="006F713A"/>
    <w:rsid w:val="006F7213"/>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0FE"/>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5881"/>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478"/>
    <w:rsid w:val="00777BAD"/>
    <w:rsid w:val="00777DAD"/>
    <w:rsid w:val="00780097"/>
    <w:rsid w:val="007809A9"/>
    <w:rsid w:val="00780C36"/>
    <w:rsid w:val="00780D40"/>
    <w:rsid w:val="00781125"/>
    <w:rsid w:val="007813F2"/>
    <w:rsid w:val="00781F3B"/>
    <w:rsid w:val="007824AB"/>
    <w:rsid w:val="00783850"/>
    <w:rsid w:val="00783CD9"/>
    <w:rsid w:val="00784D2F"/>
    <w:rsid w:val="00784F53"/>
    <w:rsid w:val="00784FB9"/>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8D9"/>
    <w:rsid w:val="0080798A"/>
    <w:rsid w:val="00807C14"/>
    <w:rsid w:val="0081021F"/>
    <w:rsid w:val="008102AD"/>
    <w:rsid w:val="0081167C"/>
    <w:rsid w:val="00811E96"/>
    <w:rsid w:val="00811EF6"/>
    <w:rsid w:val="0081268F"/>
    <w:rsid w:val="0081297F"/>
    <w:rsid w:val="00813094"/>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3DB"/>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10B"/>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21F"/>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95B"/>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A90"/>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3F5"/>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584"/>
    <w:rsid w:val="009266A4"/>
    <w:rsid w:val="00926AD5"/>
    <w:rsid w:val="00926EC9"/>
    <w:rsid w:val="009272C6"/>
    <w:rsid w:val="009279B7"/>
    <w:rsid w:val="0093051C"/>
    <w:rsid w:val="00930866"/>
    <w:rsid w:val="0093107E"/>
    <w:rsid w:val="009313EE"/>
    <w:rsid w:val="00931958"/>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46A"/>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C85"/>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0B5"/>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7BC"/>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3BFE"/>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2E91"/>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512B"/>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6C02"/>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379F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295"/>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527F"/>
    <w:rsid w:val="00B962AB"/>
    <w:rsid w:val="00B966B6"/>
    <w:rsid w:val="00B96717"/>
    <w:rsid w:val="00B968F5"/>
    <w:rsid w:val="00B96C66"/>
    <w:rsid w:val="00B9761E"/>
    <w:rsid w:val="00B97B6F"/>
    <w:rsid w:val="00BA0040"/>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6FB"/>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AB0"/>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13BA"/>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2C18"/>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C69"/>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59D3"/>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4AA6"/>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6C5"/>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040"/>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470"/>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31A0"/>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6E38"/>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36"/>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0F78"/>
    <w:rsid w:val="00E712A0"/>
    <w:rsid w:val="00E712F8"/>
    <w:rsid w:val="00E71416"/>
    <w:rsid w:val="00E7174D"/>
    <w:rsid w:val="00E7235E"/>
    <w:rsid w:val="00E72B05"/>
    <w:rsid w:val="00E72E0E"/>
    <w:rsid w:val="00E72FE7"/>
    <w:rsid w:val="00E73D0E"/>
    <w:rsid w:val="00E743B1"/>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87A49"/>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3F50"/>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9B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3F8"/>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A9"/>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048"/>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4D"/>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922"/>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6AB"/>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9"/>
    <w:qFormat/>
    <w:rsid w:val="00F41DE0"/>
    <w:pPr>
      <w:keepNext/>
      <w:keepLines/>
      <w:outlineLvl w:val="6"/>
    </w:pPr>
    <w:rPr>
      <w:rFonts w:eastAsiaTheme="majorEastAsia"/>
      <w:bCs/>
      <w:spacing w:val="40"/>
    </w:rPr>
  </w:style>
  <w:style w:type="paragraph" w:styleId="Heading8">
    <w:name w:val="heading 8"/>
    <w:basedOn w:val="Normal"/>
    <w:next w:val="Normal"/>
    <w:link w:val="81"/>
    <w:uiPriority w:val="9"/>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C413BA"/>
    <w:pPr>
      <w:keepNext/>
      <w:keepLines/>
      <w:pageBreakBefore/>
      <w:spacing w:before="360" w:after="240" w:line="440" w:lineRule="exact"/>
      <w:jc w:val="center"/>
    </w:pPr>
    <w:rPr>
      <w:rFonts w:ascii="Tahoma" w:hAnsi="Tahoma" w:cs="Tahoma"/>
      <w:b/>
      <w:bCs/>
      <w:noProof/>
      <w:color w:val="00305F"/>
      <w:sz w:val="40"/>
      <w:szCs w:val="36"/>
    </w:rPr>
  </w:style>
  <w:style w:type="paragraph" w:customStyle="1" w:styleId="73">
    <w:name w:val="73א פעולות ביקורת"/>
    <w:basedOn w:val="216"/>
    <w:qFormat/>
    <w:rsid w:val="00162B1A"/>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9"/>
    <w:rsid w:val="002516DF"/>
    <w:rPr>
      <w:rFonts w:eastAsia="Times New Roman"/>
      <w:bCs/>
      <w:szCs w:val="36"/>
      <w:u w:val="single"/>
    </w:rPr>
  </w:style>
  <w:style w:type="character" w:customStyle="1" w:styleId="27">
    <w:name w:val="כותרת 2 תו"/>
    <w:link w:val="210"/>
    <w:uiPriority w:val="9"/>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9"/>
    <w:rsid w:val="002516DF"/>
    <w:rPr>
      <w:rFonts w:eastAsia="Times New Roman"/>
      <w:bCs/>
      <w:spacing w:val="40"/>
    </w:rPr>
  </w:style>
  <w:style w:type="character" w:customStyle="1" w:styleId="8">
    <w:name w:val="כותרת 8 תו"/>
    <w:link w:val="810"/>
    <w:uiPriority w:val="9"/>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162B1A"/>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162B1A"/>
    <w:rPr>
      <w:rFonts w:ascii="Tahoma" w:hAnsi="Tahoma" w:eastAsiaTheme="minorEastAsia" w:cs="Tahoma"/>
      <w:b w:val="0"/>
      <w:bCs/>
      <w:color w:val="00305F"/>
      <w:sz w:val="31"/>
      <w:szCs w:val="31"/>
    </w:rPr>
  </w:style>
  <w:style w:type="paragraph" w:customStyle="1" w:styleId="7329">
    <w:name w:val="73א כותרת 2"/>
    <w:link w:val="73210"/>
    <w:qFormat/>
    <w:rsid w:val="00503F15"/>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503F15"/>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162B1A"/>
    <w:rPr>
      <w:color w:val="0D0D0D" w:themeColor="text1" w:themeTint="F2"/>
      <w:sz w:val="18"/>
    </w:rPr>
  </w:style>
  <w:style w:type="character" w:customStyle="1" w:styleId="7393">
    <w:name w:val="73א טקסט רץ 9 תו"/>
    <w:basedOn w:val="Char4"/>
    <w:link w:val="7392"/>
    <w:rsid w:val="00162B1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table" w:styleId="ListTable3Accent1">
    <w:name w:val="List Table 3 Accent 1"/>
    <w:basedOn w:val="TableNormal"/>
    <w:uiPriority w:val="48"/>
    <w:rsid w:val="00114740"/>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paragraph" w:customStyle="1" w:styleId="a35">
    <w:name w:val="כותרת תרשים"/>
    <w:basedOn w:val="Normal"/>
    <w:next w:val="Normal"/>
    <w:link w:val="a37"/>
    <w:qFormat/>
    <w:rsid w:val="00114740"/>
    <w:pPr>
      <w:keepNext/>
      <w:keepLines/>
      <w:numPr>
        <w:numId w:val="14"/>
      </w:numPr>
      <w:ind w:left="1352"/>
      <w:jc w:val="center"/>
    </w:pPr>
    <w:rPr>
      <w:bCs/>
    </w:rPr>
  </w:style>
  <w:style w:type="paragraph" w:customStyle="1" w:styleId="a36">
    <w:name w:val="כותרת לוח"/>
    <w:basedOn w:val="Normal"/>
    <w:next w:val="Normal"/>
    <w:link w:val="a39"/>
    <w:qFormat/>
    <w:rsid w:val="00114740"/>
    <w:pPr>
      <w:keepNext/>
      <w:keepLines/>
      <w:numPr>
        <w:numId w:val="15"/>
      </w:numPr>
      <w:jc w:val="center"/>
    </w:pPr>
    <w:rPr>
      <w:bCs/>
    </w:rPr>
  </w:style>
  <w:style w:type="character" w:customStyle="1" w:styleId="a37">
    <w:name w:val="כותרת תרשים תו"/>
    <w:basedOn w:val="DefaultParagraphFont"/>
    <w:link w:val="a35"/>
    <w:rsid w:val="00114740"/>
    <w:rPr>
      <w:bCs/>
    </w:rPr>
  </w:style>
  <w:style w:type="paragraph" w:customStyle="1" w:styleId="a38">
    <w:name w:val="כותרת תמונה"/>
    <w:basedOn w:val="Normal"/>
    <w:next w:val="Normal"/>
    <w:link w:val="a40"/>
    <w:qFormat/>
    <w:rsid w:val="00114740"/>
    <w:pPr>
      <w:keepNext/>
      <w:keepLines/>
      <w:numPr>
        <w:numId w:val="16"/>
      </w:numPr>
      <w:jc w:val="center"/>
    </w:pPr>
    <w:rPr>
      <w:bCs/>
    </w:rPr>
  </w:style>
  <w:style w:type="character" w:customStyle="1" w:styleId="a39">
    <w:name w:val="כותרת לוח תו"/>
    <w:basedOn w:val="DefaultParagraphFont"/>
    <w:link w:val="a36"/>
    <w:rsid w:val="00114740"/>
    <w:rPr>
      <w:bCs/>
    </w:rPr>
  </w:style>
  <w:style w:type="character" w:customStyle="1" w:styleId="a40">
    <w:name w:val="כותרת תמונה תו"/>
    <w:basedOn w:val="DefaultParagraphFont"/>
    <w:link w:val="a38"/>
    <w:rsid w:val="00114740"/>
    <w:rPr>
      <w:bCs/>
    </w:rPr>
  </w:style>
  <w:style w:type="paragraph" w:customStyle="1" w:styleId="header-2">
    <w:name w:val="header-2"/>
    <w:basedOn w:val="P000"/>
    <w:rsid w:val="00114740"/>
    <w:pPr>
      <w:keepNext/>
      <w:keepLines/>
      <w:tabs>
        <w:tab w:val="clear" w:pos="6259"/>
      </w:tabs>
      <w:spacing w:before="240"/>
      <w:jc w:val="center"/>
    </w:pPr>
    <w:rPr>
      <w:rFonts w:cs="Miriam"/>
      <w:szCs w:val="20"/>
    </w:rPr>
  </w:style>
  <w:style w:type="paragraph" w:customStyle="1" w:styleId="711">
    <w:name w:val="71ג מקרא+הערות לתרשים/לוח/תמונה"/>
    <w:basedOn w:val="Normal"/>
    <w:link w:val="71Char"/>
    <w:qFormat/>
    <w:rsid w:val="00114740"/>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114740"/>
    <w:rPr>
      <w:rFonts w:ascii="Tahoma" w:hAnsi="Tahoma" w:cs="Tahoma"/>
      <w:color w:val="0D0D0D" w:themeColor="text1" w:themeTint="F2"/>
      <w:sz w:val="16"/>
      <w:szCs w:val="16"/>
    </w:rPr>
  </w:style>
  <w:style w:type="paragraph" w:customStyle="1" w:styleId="a41">
    <w:name w:val="תאריך הדוח"/>
    <w:qFormat/>
    <w:rsid w:val="00E70F78"/>
    <w:pPr>
      <w:ind w:left="2268"/>
      <w:jc w:val="left"/>
    </w:pPr>
    <w:rPr>
      <w:rFonts w:ascii="Tahoma" w:hAnsi="Tahoma" w:cs="Tahoma"/>
      <w:sz w:val="18"/>
      <w:szCs w:val="18"/>
    </w:rPr>
  </w:style>
  <w:style w:type="paragraph" w:customStyle="1" w:styleId="a42">
    <w:name w:val="כותרת ראשית לדוח"/>
    <w:qFormat/>
    <w:rsid w:val="00D83470"/>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png" /><Relationship Id="rId2" Type="http://schemas.openxmlformats.org/officeDocument/2006/relationships/endnotes" Target="endnotes.xml" /><Relationship Id="rId20" Type="http://schemas.openxmlformats.org/officeDocument/2006/relationships/image" Target="media/image5.png" /><Relationship Id="rId21" Type="http://schemas.openxmlformats.org/officeDocument/2006/relationships/image" Target="media/image6.jpeg" /><Relationship Id="rId22" Type="http://schemas.openxmlformats.org/officeDocument/2006/relationships/image" Target="media/image7.png" /><Relationship Id="rId23" Type="http://schemas.openxmlformats.org/officeDocument/2006/relationships/image" Target="media/image8.png" /><Relationship Id="rId24" Type="http://schemas.openxmlformats.org/officeDocument/2006/relationships/image" Target="media/image9.jpeg" /><Relationship Id="rId25" Type="http://schemas.openxmlformats.org/officeDocument/2006/relationships/image" Target="media/image10.png" /><Relationship Id="rId26" Type="http://schemas.openxmlformats.org/officeDocument/2006/relationships/image" Target="media/image11.png"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6.xml" /><Relationship Id="rId31" Type="http://schemas.openxmlformats.org/officeDocument/2006/relationships/header" Target="header6.xml" /><Relationship Id="rId32" Type="http://schemas.openxmlformats.org/officeDocument/2006/relationships/footer" Target="footer7.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header4.xml.rels><?xml version="1.0" encoding="utf-8" standalone="yes"?><Relationships xmlns="http://schemas.openxmlformats.org/package/2006/relationships"><Relationship Id="rId1" Type="http://schemas.openxmlformats.org/officeDocument/2006/relationships/image" Target="media/image3.png" /></Relationships>
</file>

<file path=word/_rels/header5.xml.rels><?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6.xml.rels><?xml version="1.0" encoding="utf-8" standalone="yes"?><Relationships xmlns="http://schemas.openxmlformats.org/package/2006/relationships"><Relationship Id="rId1" Type="http://schemas.openxmlformats.org/officeDocument/2006/relationships/image" Target="media/image3.png" /></Relationships>
</file>

<file path=word/_rels/numbering.xml.rels><?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media/image1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3822514B-8E67-42B5-9969-4CEF2885A06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