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2BAB72DF">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3059944</wp:posOffset>
                </wp:positionH>
                <wp:positionV relativeFrom="paragraph">
                  <wp:posOffset>262498</wp:posOffset>
                </wp:positionV>
                <wp:extent cx="0" cy="3198851"/>
                <wp:effectExtent l="25400" t="0" r="25400" b="2730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19885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0.95pt,20.65pt" to="240.95pt,272.55pt" strokecolor="white" strokeweight="4pt"/>
            </w:pict>
          </mc:Fallback>
        </mc:AlternateContent>
      </w:r>
      <w:r w:rsidR="00D775E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127362</wp:posOffset>
                </wp:positionH>
                <wp:positionV relativeFrom="paragraph">
                  <wp:posOffset>1934845</wp:posOffset>
                </wp:positionV>
                <wp:extent cx="2811689"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1168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10.05pt,152.35pt" to="231.45pt,152.35pt" strokecolor="white" strokeweight="1.5pt"/>
            </w:pict>
          </mc:Fallback>
        </mc:AlternateContent>
      </w:r>
      <w:r w:rsidRPr="0030415A" w:rsidR="00D36C6B">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-79375</wp:posOffset>
                </wp:positionH>
                <wp:positionV relativeFrom="paragraph">
                  <wp:posOffset>344170</wp:posOffset>
                </wp:positionV>
                <wp:extent cx="4553585" cy="4273550"/>
                <wp:effectExtent l="0" t="0" r="571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358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1C7D48" w14:textId="735D6571">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Pr="007C6E6F" w:rsidR="007C6E6F">
                              <w:rPr>
                                <w:rtl/>
                              </w:rPr>
                              <w:t xml:space="preserve">נובמבר </w:t>
                            </w:r>
                            <w:r w:rsidR="007C6E6F">
                              <w:rPr>
                                <w:rFonts w:hint="cs"/>
                                <w:rtl/>
                              </w:rPr>
                              <w:t xml:space="preserve"> </w:t>
                            </w:r>
                            <w:r>
                              <w:rPr>
                                <w:rFonts w:hint="cs"/>
                                <w:rtl/>
                              </w:rPr>
                              <w:t xml:space="preserve">2022 </w:t>
                            </w:r>
                          </w:p>
                          <w:p w:rsidR="00F73EE0" w:rsidP="0052031E" w14:textId="4F5A48BD">
                            <w:pPr>
                              <w:ind w:left="2268"/>
                              <w:rPr>
                                <w:rtl/>
                              </w:rPr>
                            </w:pPr>
                          </w:p>
                          <w:p w:rsidR="00F01B25" w:rsidP="0052031E" w14:textId="77777777">
                            <w:pPr>
                              <w:ind w:left="2268"/>
                              <w:rPr>
                                <w:rtl/>
                              </w:rPr>
                            </w:pPr>
                          </w:p>
                          <w:p w:rsidR="00F73EE0" w:rsidP="0052031E" w14:textId="77777777">
                            <w:pPr>
                              <w:ind w:left="2268"/>
                              <w:rPr>
                                <w:rtl/>
                              </w:rPr>
                            </w:pPr>
                          </w:p>
                          <w:p w:rsidR="005D0F8C" w:rsidRPr="000A3ED4" w:rsidP="00202249" w14:textId="131A7DB5">
                            <w:pPr>
                              <w:pStyle w:val="-2"/>
                              <w:rPr>
                                <w:rtl/>
                              </w:rPr>
                            </w:pPr>
                            <w:r>
                              <w:rPr>
                                <w:rFonts w:hint="cs"/>
                                <w:rtl/>
                              </w:rPr>
                              <w:t>רשות</w:t>
                            </w:r>
                            <w:r w:rsidR="000A482C">
                              <w:rPr>
                                <w:rFonts w:hint="cs"/>
                                <w:rtl/>
                              </w:rPr>
                              <w:t xml:space="preserve"> </w:t>
                            </w:r>
                            <w:r>
                              <w:rPr>
                                <w:rFonts w:hint="cs"/>
                                <w:rtl/>
                              </w:rPr>
                              <w:t>שדות</w:t>
                            </w:r>
                            <w:r w:rsidR="000A482C">
                              <w:rPr>
                                <w:rFonts w:hint="cs"/>
                                <w:rtl/>
                              </w:rPr>
                              <w:t xml:space="preserve"> </w:t>
                            </w:r>
                            <w:r>
                              <w:rPr>
                                <w:rFonts w:hint="cs"/>
                                <w:rtl/>
                              </w:rPr>
                              <w:t>התעופה</w:t>
                            </w:r>
                            <w:r w:rsidR="00C30482">
                              <w:rPr>
                                <w:rFonts w:hint="cs"/>
                                <w:rtl/>
                              </w:rPr>
                              <w:t xml:space="preserve"> </w:t>
                            </w:r>
                          </w:p>
                          <w:p w:rsidR="00C30482" w:rsidP="00202249" w14:textId="75664B34">
                            <w:pPr>
                              <w:pStyle w:val="a36"/>
                              <w:bidi/>
                              <w:rPr>
                                <w:rtl/>
                              </w:rPr>
                            </w:pPr>
                            <w:r w:rsidRPr="004D60D2">
                              <w:rPr>
                                <w:rtl/>
                              </w:rPr>
                              <w:t>בטיחות התעופה האזרחית</w:t>
                            </w:r>
                          </w:p>
                          <w:p w:rsidR="004D60D2" w:rsidRPr="00202249" w:rsidP="004D60D2" w14:textId="77777777">
                            <w:pPr>
                              <w:pStyle w:val="a36"/>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58.55pt;height:336.5pt;margin-top:27.1pt;margin-left:-6.2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1C7D48" w14:paraId="6680A7A9" w14:textId="735D6571">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Pr="007C6E6F" w:rsidR="007C6E6F">
                        <w:rPr>
                          <w:rtl/>
                        </w:rPr>
                        <w:t xml:space="preserve">נובמבר </w:t>
                      </w:r>
                      <w:r w:rsidR="007C6E6F">
                        <w:rPr>
                          <w:rFonts w:hint="cs"/>
                          <w:rtl/>
                        </w:rPr>
                        <w:t xml:space="preserve"> </w:t>
                      </w:r>
                      <w:r>
                        <w:rPr>
                          <w:rFonts w:hint="cs"/>
                          <w:rtl/>
                        </w:rPr>
                        <w:t xml:space="preserve">2022 </w:t>
                      </w:r>
                    </w:p>
                    <w:p w:rsidR="00F73EE0" w:rsidP="0052031E" w14:paraId="7A4F68DA" w14:textId="4F5A48BD">
                      <w:pPr>
                        <w:ind w:left="2268"/>
                        <w:rPr>
                          <w:rtl/>
                        </w:rPr>
                      </w:pPr>
                    </w:p>
                    <w:p w:rsidR="00F01B25" w:rsidP="0052031E" w14:paraId="55A55087" w14:textId="77777777">
                      <w:pPr>
                        <w:ind w:left="2268"/>
                        <w:rPr>
                          <w:rtl/>
                        </w:rPr>
                      </w:pPr>
                    </w:p>
                    <w:p w:rsidR="00F73EE0" w:rsidP="0052031E" w14:paraId="537675A5" w14:textId="77777777">
                      <w:pPr>
                        <w:ind w:left="2268"/>
                        <w:rPr>
                          <w:rtl/>
                        </w:rPr>
                      </w:pPr>
                    </w:p>
                    <w:p w:rsidR="005D0F8C" w:rsidRPr="000A3ED4" w:rsidP="00202249" w14:paraId="361EED1E" w14:textId="131A7DB5">
                      <w:pPr>
                        <w:pStyle w:val="-2"/>
                        <w:rPr>
                          <w:rtl/>
                        </w:rPr>
                      </w:pPr>
                      <w:r>
                        <w:rPr>
                          <w:rFonts w:hint="cs"/>
                          <w:rtl/>
                        </w:rPr>
                        <w:t>רשות</w:t>
                      </w:r>
                      <w:r w:rsidR="000A482C">
                        <w:rPr>
                          <w:rFonts w:hint="cs"/>
                          <w:rtl/>
                        </w:rPr>
                        <w:t xml:space="preserve"> </w:t>
                      </w:r>
                      <w:r>
                        <w:rPr>
                          <w:rFonts w:hint="cs"/>
                          <w:rtl/>
                        </w:rPr>
                        <w:t>שדות</w:t>
                      </w:r>
                      <w:r w:rsidR="000A482C">
                        <w:rPr>
                          <w:rFonts w:hint="cs"/>
                          <w:rtl/>
                        </w:rPr>
                        <w:t xml:space="preserve"> </w:t>
                      </w:r>
                      <w:r>
                        <w:rPr>
                          <w:rFonts w:hint="cs"/>
                          <w:rtl/>
                        </w:rPr>
                        <w:t>התעופה</w:t>
                      </w:r>
                      <w:r w:rsidR="00C30482">
                        <w:rPr>
                          <w:rFonts w:hint="cs"/>
                          <w:rtl/>
                        </w:rPr>
                        <w:t xml:space="preserve"> </w:t>
                      </w:r>
                    </w:p>
                    <w:p w:rsidR="00C30482" w:rsidP="00202249" w14:paraId="5BE5E625" w14:textId="75664B34">
                      <w:pPr>
                        <w:pStyle w:val="a36"/>
                        <w:bidi/>
                        <w:rPr>
                          <w:rtl/>
                        </w:rPr>
                      </w:pPr>
                      <w:r w:rsidRPr="004D60D2">
                        <w:rPr>
                          <w:rtl/>
                        </w:rPr>
                        <w:t>בטיחות התעופה האזרחית</w:t>
                      </w:r>
                    </w:p>
                    <w:p w:rsidR="004D60D2" w:rsidRPr="00202249" w:rsidP="004D60D2" w14:paraId="7060084B" w14:textId="77777777">
                      <w:pPr>
                        <w:pStyle w:val="a36"/>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-1421995</wp:posOffset>
                </wp:positionH>
                <wp:positionV relativeFrom="paragraph">
                  <wp:posOffset>-1325825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104.4pt;margin-left:-111.9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0F450D">
          <w:headerReference w:type="even" r:id="rId18"/>
          <w:pgSz w:w="11906" w:h="16838" w:code="9"/>
          <w:pgMar w:top="3062" w:right="2268" w:bottom="2552" w:left="2268" w:header="709" w:footer="709" w:gutter="0"/>
          <w:cols w:space="720"/>
          <w:bidi/>
          <w:rtlGutter/>
          <w:docGrid w:linePitch="272"/>
        </w:sectPr>
      </w:pPr>
    </w:p>
    <w:p w:rsidR="00B93C72" w:rsidRPr="001F3363" w:rsidP="0078027B" w14:paraId="4ED3AA37" w14:textId="79EE5D8A">
      <w:pPr>
        <w:pStyle w:val="7329"/>
        <w:bidi/>
        <w:jc w:val="left"/>
        <w:rPr>
          <w:rtl/>
        </w:rPr>
      </w:pP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670684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586851">
        <w:rPr>
          <w:noProof/>
          <w:rtl/>
        </w:rPr>
        <mc:AlternateContent>
          <mc:Choice Requires="wps">
            <w:drawing>
              <wp:anchor distT="0" distB="0" distL="114300" distR="114300" simplePos="0" relativeHeight="251675648"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4D60D2" w:rsidR="004D60D2">
        <w:rPr>
          <w:noProof/>
          <w:rtl/>
        </w:rPr>
        <w:t>בטיחות התעופה האזרחית</w:t>
      </w:r>
    </w:p>
    <w:p w:rsidR="006E4913" w:rsidP="007F4A20" w14:paraId="18BC12B3" w14:textId="0CA3F063">
      <w:pPr>
        <w:pStyle w:val="7392"/>
        <w:spacing w:before="360"/>
        <w:rPr>
          <w:rtl/>
        </w:rPr>
      </w:pPr>
      <w:r w:rsidRPr="003D70EA">
        <w:rPr>
          <w:rtl/>
        </w:rPr>
        <w:t>לענף התעופה בישראל יש חשיבות אסטרטגית רבה בהיבטים הביטחוניים והכלכליים, והוא אמצעי התעבורה העיקרי של נוסעים ממדינת ישראל למדינות ברחבי העולם ושל נוסעים אל מדינת ישראל. בהפעלת כלי טיס, לטעות אנוש או לתקלה טכנית עלולות להיות השלכות חמורות בנוגע לחיי בני אדם על כלי הטיס ועל הקרקע.</w:t>
      </w:r>
      <w:r w:rsidRPr="005B1365">
        <w:rPr>
          <w:rtl/>
        </w:rPr>
        <w:t xml:space="preserve"> </w:t>
      </w:r>
      <w:r w:rsidRPr="003D70EA">
        <w:rPr>
          <w:rtl/>
        </w:rPr>
        <w:t>לפיכך ענף התעופה מתאפיין ברמת אסדרה גבוהה המתבטאת בחוקים ובתקנות שנועדו להסדיר היבטים שונים של הענף.</w:t>
      </w:r>
      <w:r w:rsidRPr="005B1365">
        <w:rPr>
          <w:rtl/>
        </w:rPr>
        <w:t xml:space="preserve"> </w:t>
      </w:r>
      <w:r w:rsidRPr="003D70EA">
        <w:rPr>
          <w:rtl/>
        </w:rPr>
        <w:t>בהתאם לחוק רשות התעופה האזרחית, התשס"ה-2005, רשות התעופה האזרחית (</w:t>
      </w:r>
      <w:r w:rsidRPr="003D70EA">
        <w:rPr>
          <w:rtl/>
        </w:rPr>
        <w:t>רת"א</w:t>
      </w:r>
      <w:r w:rsidRPr="003D70EA">
        <w:rPr>
          <w:rtl/>
        </w:rPr>
        <w:t xml:space="preserve">) היא האחראית </w:t>
      </w:r>
      <w:r w:rsidRPr="003D70EA">
        <w:rPr>
          <w:rtl/>
        </w:rPr>
        <w:t>לאסדרת</w:t>
      </w:r>
      <w:r w:rsidRPr="003D70EA">
        <w:rPr>
          <w:rtl/>
        </w:rPr>
        <w:t xml:space="preserve"> תחום התעופה בישראל הנוגעת בין היתר להליכי רישוי, פיקוח ובקרה של כלי טיס, חברות תעופה, עובדי טיס, מכוני בדק ובתי ספר לטיסה, וכן לשמירה שוטפת על כשירות כלי הטיס ועובדי הטיס</w:t>
      </w:r>
      <w:r>
        <w:rPr>
          <w:rFonts w:hint="cs"/>
          <w:rtl/>
        </w:rPr>
        <w:t>.</w:t>
      </w:r>
    </w:p>
    <w:p w:rsidR="007F4A20" w:rsidP="007F4A20" w14:paraId="0B41EED6" w14:textId="71826AE3">
      <w:pPr>
        <w:pStyle w:val="7392"/>
        <w:spacing w:before="360"/>
        <w:rPr>
          <w:rtl/>
        </w:rPr>
      </w:pPr>
      <w:r w:rsidRPr="003D70EA">
        <w:rPr>
          <w:rtl/>
        </w:rPr>
        <w:t xml:space="preserve">על פי נתוני </w:t>
      </w:r>
      <w:r w:rsidRPr="003D70EA">
        <w:rPr>
          <w:rtl/>
        </w:rPr>
        <w:t>רת"א</w:t>
      </w:r>
      <w:r w:rsidRPr="003D70EA">
        <w:rPr>
          <w:rtl/>
        </w:rPr>
        <w:t>, בשנת 2019, ולפני השפעת הקורונה, התרחשו בעולם 115 תאונות בתחום התעופה האזרחית המסחרית, מספר גבוה מהממוצע החמש-שנתי, שעומד על 90.2 תאונות. סך ההרוגים באותה שנה היה 239 נוסעים ואנשי צוות. מגמה זו של עלייה במספר התאונות ובשיעור התאונות בעולם בתחום התעופה האזרחית המסחרית שברה רצף רב שנים של ירידה מתמשכת בשיעור התאונות העולמי עד 2016</w:t>
      </w:r>
      <w:r w:rsidRPr="001F3363" w:rsidR="0036097F">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7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14"/>
        <w:gridCol w:w="237"/>
        <w:gridCol w:w="1528"/>
        <w:gridCol w:w="237"/>
        <w:gridCol w:w="1696"/>
        <w:gridCol w:w="236"/>
        <w:gridCol w:w="1684"/>
        <w:gridCol w:w="73"/>
      </w:tblGrid>
      <w:tr w14:paraId="58B4726B" w14:textId="77777777" w:rsidTr="006E4913">
        <w:tblPrEx>
          <w:tblW w:w="7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714" w:type="dxa"/>
            <w:tcBorders>
              <w:bottom w:val="single" w:sz="12" w:space="0" w:color="000000"/>
            </w:tcBorders>
            <w:vAlign w:val="bottom"/>
          </w:tcPr>
          <w:p w:rsidR="006E4913" w:rsidRPr="004562F8" w:rsidP="006E4913" w14:paraId="23EB689E" w14:textId="283B7FCC">
            <w:pPr>
              <w:spacing w:after="60" w:line="240" w:lineRule="auto"/>
              <w:rPr>
                <w:b/>
                <w:bCs/>
                <w:spacing w:val="-28"/>
                <w:rtl/>
              </w:rPr>
            </w:pPr>
            <w:r w:rsidRPr="006E4913">
              <w:rPr>
                <w:rFonts w:ascii="Tahoma" w:hAnsi="Tahoma" w:eastAsiaTheme="minorEastAsia" w:cs="Tahoma"/>
                <w:b/>
                <w:bCs/>
                <w:color w:val="0D0D0D" w:themeColor="text1" w:themeTint="F2"/>
                <w:spacing w:val="-10"/>
                <w:sz w:val="36"/>
                <w:szCs w:val="36"/>
                <w:rtl/>
              </w:rPr>
              <w:t>1,159</w:t>
            </w:r>
            <w:r w:rsidRPr="003D70EA">
              <w:rPr>
                <w:rFonts w:ascii="Tahoma" w:hAnsi="Tahoma" w:eastAsiaTheme="minorEastAsia" w:cs="Tahoma"/>
                <w:b/>
                <w:bCs/>
                <w:color w:val="0D0D0D" w:themeColor="text1" w:themeTint="F2"/>
                <w:spacing w:val="-10"/>
                <w:sz w:val="26"/>
                <w:szCs w:val="26"/>
                <w:rtl/>
              </w:rPr>
              <w:t xml:space="preserve"> </w:t>
            </w:r>
            <w:r>
              <w:rPr>
                <w:rFonts w:ascii="Tahoma" w:hAnsi="Tahoma" w:eastAsiaTheme="minorEastAsia" w:cs="Tahoma"/>
                <w:b/>
                <w:bCs/>
                <w:color w:val="0D0D0D" w:themeColor="text1" w:themeTint="F2"/>
                <w:spacing w:val="-10"/>
                <w:sz w:val="26"/>
                <w:szCs w:val="26"/>
                <w:rtl/>
              </w:rPr>
              <w:br/>
            </w:r>
            <w:r w:rsidRPr="003D70EA">
              <w:rPr>
                <w:rFonts w:ascii="Tahoma" w:hAnsi="Tahoma" w:eastAsiaTheme="minorEastAsia" w:cs="Tahoma"/>
                <w:b/>
                <w:bCs/>
                <w:color w:val="0D0D0D" w:themeColor="text1" w:themeTint="F2"/>
                <w:spacing w:val="-10"/>
                <w:sz w:val="26"/>
                <w:szCs w:val="26"/>
                <w:rtl/>
              </w:rPr>
              <w:t>ו-</w:t>
            </w:r>
            <w:r w:rsidRPr="006E4913">
              <w:rPr>
                <w:rFonts w:ascii="Tahoma" w:hAnsi="Tahoma" w:eastAsiaTheme="minorEastAsia" w:cs="Tahoma"/>
                <w:b/>
                <w:bCs/>
                <w:color w:val="0D0D0D" w:themeColor="text1" w:themeTint="F2"/>
                <w:spacing w:val="-10"/>
                <w:sz w:val="36"/>
                <w:szCs w:val="36"/>
                <w:rtl/>
              </w:rPr>
              <w:t>7,831</w:t>
            </w:r>
          </w:p>
        </w:tc>
        <w:tc>
          <w:tcPr>
            <w:tcW w:w="237" w:type="dxa"/>
            <w:vAlign w:val="bottom"/>
          </w:tcPr>
          <w:p w:rsidR="006E4913" w:rsidP="006E4913" w14:paraId="19192EA5" w14:textId="77777777">
            <w:pPr>
              <w:spacing w:before="120" w:after="60" w:line="240" w:lineRule="auto"/>
              <w:rPr>
                <w:rtl/>
              </w:rPr>
            </w:pPr>
          </w:p>
        </w:tc>
        <w:tc>
          <w:tcPr>
            <w:tcW w:w="1528" w:type="dxa"/>
            <w:tcBorders>
              <w:bottom w:val="single" w:sz="12" w:space="0" w:color="000000"/>
            </w:tcBorders>
            <w:vAlign w:val="bottom"/>
          </w:tcPr>
          <w:p w:rsidR="006E4913" w:rsidRPr="005C7ABF" w:rsidP="006E4913" w14:paraId="761F4116" w14:textId="7390AEAB">
            <w:pPr>
              <w:pStyle w:val="2021"/>
              <w:spacing w:before="0" w:after="60"/>
              <w:rPr>
                <w:spacing w:val="-10"/>
                <w:rtl/>
              </w:rPr>
            </w:pPr>
            <w:r w:rsidRPr="006E4913">
              <w:rPr>
                <w:spacing w:val="-10"/>
                <w:rtl/>
              </w:rPr>
              <w:t>59</w:t>
            </w:r>
            <w:r w:rsidRPr="006E4913">
              <w:rPr>
                <w:spacing w:val="-10"/>
                <w:sz w:val="26"/>
                <w:szCs w:val="26"/>
                <w:rtl/>
              </w:rPr>
              <w:t xml:space="preserve"> שדות תעופה - מנחתים</w:t>
            </w:r>
          </w:p>
        </w:tc>
        <w:tc>
          <w:tcPr>
            <w:tcW w:w="237" w:type="dxa"/>
            <w:vAlign w:val="bottom"/>
          </w:tcPr>
          <w:p w:rsidR="006E4913" w:rsidP="006E4913" w14:paraId="2810DE55" w14:textId="77777777">
            <w:pPr>
              <w:spacing w:before="120" w:after="60" w:line="240" w:lineRule="auto"/>
              <w:rPr>
                <w:rtl/>
              </w:rPr>
            </w:pPr>
          </w:p>
        </w:tc>
        <w:tc>
          <w:tcPr>
            <w:tcW w:w="1696" w:type="dxa"/>
            <w:tcBorders>
              <w:bottom w:val="single" w:sz="12" w:space="0" w:color="000000"/>
            </w:tcBorders>
            <w:vAlign w:val="bottom"/>
          </w:tcPr>
          <w:p w:rsidR="006E4913" w:rsidRPr="00340353" w:rsidP="006E4913" w14:paraId="2A2E27BD" w14:textId="365244AB">
            <w:pPr>
              <w:pStyle w:val="2021"/>
              <w:spacing w:before="0" w:after="60"/>
              <w:rPr>
                <w:b w:val="0"/>
                <w:bCs w:val="0"/>
                <w:spacing w:val="-20"/>
                <w:sz w:val="24"/>
                <w:rtl/>
              </w:rPr>
            </w:pPr>
            <w:r>
              <w:rPr>
                <w:rFonts w:hint="cs"/>
                <w:spacing w:val="-10"/>
                <w:rtl/>
              </w:rPr>
              <w:t xml:space="preserve">1,749 </w:t>
            </w:r>
          </w:p>
        </w:tc>
        <w:tc>
          <w:tcPr>
            <w:tcW w:w="236" w:type="dxa"/>
          </w:tcPr>
          <w:p w:rsidR="006E4913" w:rsidP="006E4913" w14:paraId="47B754BA" w14:textId="77777777">
            <w:pPr>
              <w:pStyle w:val="2021"/>
              <w:spacing w:before="0" w:after="60"/>
              <w:rPr>
                <w:spacing w:val="-10"/>
                <w:rtl/>
              </w:rPr>
            </w:pPr>
          </w:p>
        </w:tc>
        <w:tc>
          <w:tcPr>
            <w:tcW w:w="1757" w:type="dxa"/>
            <w:gridSpan w:val="2"/>
            <w:tcBorders>
              <w:bottom w:val="single" w:sz="12" w:space="0" w:color="000000"/>
            </w:tcBorders>
            <w:vAlign w:val="bottom"/>
          </w:tcPr>
          <w:p w:rsidR="006E4913" w:rsidP="006E4913" w14:paraId="5F3A3FF5" w14:textId="380E02A4">
            <w:pPr>
              <w:pStyle w:val="2021"/>
              <w:spacing w:before="0" w:after="60"/>
              <w:rPr>
                <w:spacing w:val="-10"/>
                <w:rtl/>
              </w:rPr>
            </w:pPr>
            <w:r>
              <w:rPr>
                <w:rFonts w:hint="cs"/>
                <w:spacing w:val="-10"/>
                <w:rtl/>
              </w:rPr>
              <w:t xml:space="preserve">18 </w:t>
            </w:r>
          </w:p>
        </w:tc>
      </w:tr>
      <w:tr w14:paraId="6DFAF81C" w14:textId="77777777" w:rsidTr="006E4913">
        <w:tblPrEx>
          <w:tblW w:w="7405" w:type="dxa"/>
          <w:tblLayout w:type="fixed"/>
          <w:tblLook w:val="04A0"/>
        </w:tblPrEx>
        <w:tc>
          <w:tcPr>
            <w:tcW w:w="1714" w:type="dxa"/>
            <w:tcBorders>
              <w:top w:val="single" w:sz="12" w:space="0" w:color="000000"/>
            </w:tcBorders>
          </w:tcPr>
          <w:p w:rsidR="006E4913" w:rsidRPr="00E52143" w:rsidP="006E4913" w14:paraId="1D96599A" w14:textId="56C6DE0C">
            <w:pPr>
              <w:pStyle w:val="732021"/>
              <w:spacing w:before="0"/>
              <w:rPr>
                <w:rtl/>
              </w:rPr>
            </w:pPr>
            <w:r w:rsidRPr="003D70EA">
              <w:rPr>
                <w:rtl/>
              </w:rPr>
              <w:t xml:space="preserve">בשנת 2021 היו בישראל 1,159 כלי טיס בעלי רישוי </w:t>
            </w:r>
            <w:r w:rsidRPr="003D70EA">
              <w:rPr>
                <w:rtl/>
              </w:rPr>
              <w:t>רת"א</w:t>
            </w:r>
            <w:r w:rsidRPr="003D70EA">
              <w:rPr>
                <w:rtl/>
              </w:rPr>
              <w:t xml:space="preserve"> ו-7,831 בעלי רישיונות טיס </w:t>
            </w:r>
            <w:r w:rsidRPr="003D70EA">
              <w:rPr>
                <w:rtl/>
              </w:rPr>
              <w:t>מרת"א</w:t>
            </w:r>
            <w:r w:rsidRPr="003D70EA">
              <w:rPr>
                <w:rtl/>
              </w:rPr>
              <w:t>. גידול של 27% ו-9.3% לעומת שנת 2018 (בהתאמה)</w:t>
            </w:r>
          </w:p>
        </w:tc>
        <w:tc>
          <w:tcPr>
            <w:tcW w:w="237" w:type="dxa"/>
          </w:tcPr>
          <w:p w:rsidR="006E4913" w:rsidRPr="00E52143" w:rsidP="006E4913" w14:paraId="2BF81D8C" w14:textId="77777777">
            <w:pPr>
              <w:pStyle w:val="732021"/>
              <w:spacing w:before="0"/>
              <w:rPr>
                <w:rtl/>
              </w:rPr>
            </w:pPr>
          </w:p>
        </w:tc>
        <w:tc>
          <w:tcPr>
            <w:tcW w:w="1528" w:type="dxa"/>
            <w:tcBorders>
              <w:top w:val="single" w:sz="12" w:space="0" w:color="000000"/>
            </w:tcBorders>
          </w:tcPr>
          <w:p w:rsidR="006E4913" w:rsidRPr="00E52143" w:rsidP="006E4913" w14:paraId="68924AF7" w14:textId="6EBDC5CC">
            <w:pPr>
              <w:pStyle w:val="732021"/>
              <w:spacing w:before="0"/>
              <w:rPr>
                <w:rtl/>
              </w:rPr>
            </w:pPr>
            <w:r w:rsidRPr="003D70EA">
              <w:rPr>
                <w:rtl/>
              </w:rPr>
              <w:t>פעלו בישראל בשנת 2021 מהם 54 מנחתים, זאת לעומת 87 שדות תעופה ומנחתים בעבר מהם 80 מנחתים. חלק ניכר מהמנחתים משרתים מטוסי ריסוס חקלאי ואינם פתוחים לשימוש ציבורי</w:t>
            </w:r>
          </w:p>
        </w:tc>
        <w:tc>
          <w:tcPr>
            <w:tcW w:w="237" w:type="dxa"/>
          </w:tcPr>
          <w:p w:rsidR="006E4913" w:rsidRPr="00E52143" w:rsidP="006E4913" w14:paraId="4F52CE08" w14:textId="77777777">
            <w:pPr>
              <w:pStyle w:val="732021"/>
              <w:spacing w:before="0"/>
              <w:rPr>
                <w:rtl/>
              </w:rPr>
            </w:pPr>
          </w:p>
        </w:tc>
        <w:tc>
          <w:tcPr>
            <w:tcW w:w="1696" w:type="dxa"/>
            <w:tcBorders>
              <w:top w:val="single" w:sz="12" w:space="0" w:color="000000"/>
            </w:tcBorders>
          </w:tcPr>
          <w:p w:rsidR="006E4913" w:rsidRPr="00E52143" w:rsidP="006E4913" w14:paraId="203F9568" w14:textId="51018B90">
            <w:pPr>
              <w:pStyle w:val="732021"/>
              <w:spacing w:before="0"/>
              <w:rPr>
                <w:rtl/>
              </w:rPr>
            </w:pPr>
            <w:r w:rsidRPr="003D70EA">
              <w:rPr>
                <w:rtl/>
              </w:rPr>
              <w:t>אירועי בטיחות בתעופה בישראל שדווחו בשנת 2021, 33 מהם הוגדרו כחמורים. בשנת 2020 - 1,318 אירועים, 21 מהם חמורים; בשנת 2019 - 2,677 אירועים, 39 מהם חמורים</w:t>
            </w:r>
            <w:r>
              <w:rPr>
                <w:vertAlign w:val="superscript"/>
                <w:rtl/>
              </w:rPr>
              <w:footnoteReference w:id="2"/>
            </w:r>
          </w:p>
        </w:tc>
        <w:tc>
          <w:tcPr>
            <w:tcW w:w="236" w:type="dxa"/>
          </w:tcPr>
          <w:p w:rsidR="006E4913" w:rsidRPr="00E52143" w:rsidP="006E4913" w14:paraId="42538096" w14:textId="77777777">
            <w:pPr>
              <w:pStyle w:val="732021"/>
              <w:spacing w:before="0"/>
              <w:rPr>
                <w:rtl/>
              </w:rPr>
            </w:pPr>
          </w:p>
        </w:tc>
        <w:tc>
          <w:tcPr>
            <w:tcW w:w="1757" w:type="dxa"/>
            <w:gridSpan w:val="2"/>
            <w:tcBorders>
              <w:top w:val="single" w:sz="12" w:space="0" w:color="000000"/>
            </w:tcBorders>
          </w:tcPr>
          <w:p w:rsidR="006E4913" w:rsidRPr="00E52143" w:rsidP="006E4913" w14:paraId="1878D11D" w14:textId="70ADEB29">
            <w:pPr>
              <w:pStyle w:val="732021"/>
              <w:spacing w:before="0"/>
              <w:rPr>
                <w:rtl/>
              </w:rPr>
            </w:pPr>
            <w:r w:rsidRPr="003D70EA">
              <w:rPr>
                <w:rtl/>
              </w:rPr>
              <w:t>מספר תאונות התעופה בישראל בשנת 2021, 9 ו-7 מהם בתעופה הכללית והספורטיבית, בהתאמה. בשנת 2020 אירעו 29 תאונות; בשנת 2019 - 39; בשנת 2018 - 54</w:t>
            </w:r>
          </w:p>
        </w:tc>
      </w:tr>
      <w:tr w14:paraId="1BD5A20C" w14:textId="77777777" w:rsidTr="006E4913">
        <w:tblPrEx>
          <w:tblW w:w="7405" w:type="dxa"/>
          <w:tblLayout w:type="fixed"/>
          <w:tblLook w:val="04A0"/>
        </w:tblPrEx>
        <w:trPr>
          <w:gridAfter w:val="1"/>
          <w:wAfter w:w="73" w:type="dxa"/>
        </w:trPr>
        <w:tc>
          <w:tcPr>
            <w:tcW w:w="1714" w:type="dxa"/>
            <w:tcBorders>
              <w:bottom w:val="single" w:sz="12" w:space="0" w:color="000000"/>
            </w:tcBorders>
            <w:vAlign w:val="bottom"/>
          </w:tcPr>
          <w:p w:rsidR="006E4913" w:rsidRPr="00411396" w:rsidP="006E4913" w14:paraId="500D3B50" w14:textId="5E5A30AE">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6</w:t>
            </w:r>
          </w:p>
        </w:tc>
        <w:tc>
          <w:tcPr>
            <w:tcW w:w="237" w:type="dxa"/>
            <w:vAlign w:val="bottom"/>
          </w:tcPr>
          <w:p w:rsidR="006E4913" w:rsidRPr="00E52143" w:rsidP="006E4913"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528" w:type="dxa"/>
            <w:tcBorders>
              <w:bottom w:val="single" w:sz="12" w:space="0" w:color="000000"/>
            </w:tcBorders>
            <w:vAlign w:val="bottom"/>
          </w:tcPr>
          <w:p w:rsidR="006E4913" w:rsidRPr="008D750B" w:rsidP="006E4913" w14:paraId="48896DF7" w14:textId="44B53D40">
            <w:pPr>
              <w:pStyle w:val="2021"/>
              <w:spacing w:before="0" w:after="60"/>
              <w:rPr>
                <w:spacing w:val="-10"/>
                <w:rtl/>
              </w:rPr>
            </w:pPr>
            <w:r w:rsidRPr="006E4913">
              <w:rPr>
                <w:spacing w:val="-10"/>
                <w:rtl/>
              </w:rPr>
              <w:t>25%</w:t>
            </w:r>
            <w:r w:rsidRPr="006E4913">
              <w:rPr>
                <w:rFonts w:hint="cs"/>
                <w:spacing w:val="-10"/>
                <w:rtl/>
              </w:rPr>
              <w:t xml:space="preserve"> </w:t>
            </w:r>
            <w:r w:rsidRPr="006E4913">
              <w:rPr>
                <w:spacing w:val="-10"/>
                <w:rtl/>
              </w:rPr>
              <w:t>-</w:t>
            </w:r>
            <w:r w:rsidRPr="006E4913">
              <w:rPr>
                <w:rFonts w:hint="cs"/>
                <w:spacing w:val="-10"/>
                <w:rtl/>
              </w:rPr>
              <w:t xml:space="preserve"> </w:t>
            </w:r>
            <w:r w:rsidRPr="006E4913">
              <w:rPr>
                <w:spacing w:val="-10"/>
                <w:rtl/>
              </w:rPr>
              <w:t xml:space="preserve">33% </w:t>
            </w:r>
            <w:r w:rsidRPr="006E4913">
              <w:rPr>
                <w:spacing w:val="-10"/>
                <w:sz w:val="26"/>
                <w:szCs w:val="26"/>
                <w:rtl/>
              </w:rPr>
              <w:t>בלבד</w:t>
            </w:r>
          </w:p>
        </w:tc>
        <w:tc>
          <w:tcPr>
            <w:tcW w:w="237" w:type="dxa"/>
            <w:vAlign w:val="bottom"/>
          </w:tcPr>
          <w:p w:rsidR="006E4913" w:rsidP="006E4913" w14:paraId="5B4C8A80" w14:textId="77777777">
            <w:pPr>
              <w:spacing w:after="60" w:line="240" w:lineRule="auto"/>
              <w:jc w:val="left"/>
              <w:rPr>
                <w:rtl/>
              </w:rPr>
            </w:pPr>
          </w:p>
        </w:tc>
        <w:tc>
          <w:tcPr>
            <w:tcW w:w="1696" w:type="dxa"/>
            <w:tcBorders>
              <w:bottom w:val="single" w:sz="12" w:space="0" w:color="000000"/>
            </w:tcBorders>
            <w:vAlign w:val="bottom"/>
          </w:tcPr>
          <w:p w:rsidR="006E4913" w:rsidRPr="0062456C" w:rsidP="006E4913" w14:paraId="226A2E50" w14:textId="386D4CEE">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52</w:t>
            </w:r>
          </w:p>
        </w:tc>
        <w:tc>
          <w:tcPr>
            <w:tcW w:w="236" w:type="dxa"/>
          </w:tcPr>
          <w:p w:rsidR="006E4913" w:rsidP="006E4913"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684" w:type="dxa"/>
            <w:tcBorders>
              <w:bottom w:val="single" w:sz="12" w:space="0" w:color="000000"/>
            </w:tcBorders>
            <w:vAlign w:val="bottom"/>
          </w:tcPr>
          <w:p w:rsidR="006E4913" w:rsidP="006E4913" w14:paraId="5AEEF263" w14:textId="0D55ABDC">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11 </w:t>
            </w:r>
            <w:r w:rsidRPr="006E4913">
              <w:rPr>
                <w:rFonts w:ascii="Tahoma" w:hAnsi="Tahoma" w:eastAsiaTheme="minorEastAsia" w:cs="Tahoma" w:hint="cs"/>
                <w:b/>
                <w:bCs/>
                <w:color w:val="0D0D0D" w:themeColor="text1" w:themeTint="F2"/>
                <w:spacing w:val="-10"/>
                <w:sz w:val="26"/>
                <w:szCs w:val="26"/>
                <w:rtl/>
              </w:rPr>
              <w:t>שנים</w:t>
            </w:r>
          </w:p>
        </w:tc>
      </w:tr>
      <w:tr w14:paraId="54154FA5" w14:textId="77777777" w:rsidTr="006E4913">
        <w:tblPrEx>
          <w:tblW w:w="7405" w:type="dxa"/>
          <w:tblLayout w:type="fixed"/>
          <w:tblLook w:val="04A0"/>
        </w:tblPrEx>
        <w:trPr>
          <w:gridAfter w:val="1"/>
          <w:wAfter w:w="73" w:type="dxa"/>
        </w:trPr>
        <w:tc>
          <w:tcPr>
            <w:tcW w:w="1714" w:type="dxa"/>
            <w:tcBorders>
              <w:top w:val="single" w:sz="12" w:space="0" w:color="000000"/>
            </w:tcBorders>
          </w:tcPr>
          <w:p w:rsidR="006E4913" w:rsidRPr="004562F8" w:rsidP="006E4913" w14:paraId="6DB67748" w14:textId="512970B6">
            <w:pPr>
              <w:pStyle w:val="732021"/>
              <w:spacing w:before="0" w:after="0"/>
              <w:rPr>
                <w:rtl/>
              </w:rPr>
            </w:pPr>
            <w:r w:rsidRPr="003D70EA">
              <w:rPr>
                <w:rtl/>
              </w:rPr>
              <w:t>מספר ההרוגים בתאונות טיס ו-9 פצועים בשנת 2021 בישראל. בשנת 2020 היה מספר ההרוגים והפצועים בתאונות טיס 2 ו-10 בהתאמה; ובשנת 2019 - 2 ו-14 בהתאמה</w:t>
            </w:r>
          </w:p>
        </w:tc>
        <w:tc>
          <w:tcPr>
            <w:tcW w:w="237" w:type="dxa"/>
          </w:tcPr>
          <w:p w:rsidR="006E4913" w:rsidRPr="008D750B" w:rsidP="006E4913" w14:paraId="0C0AE598" w14:textId="77777777">
            <w:pPr>
              <w:pStyle w:val="732021"/>
              <w:spacing w:before="0" w:after="0"/>
              <w:rPr>
                <w:rtl/>
              </w:rPr>
            </w:pPr>
          </w:p>
        </w:tc>
        <w:tc>
          <w:tcPr>
            <w:tcW w:w="1528" w:type="dxa"/>
            <w:tcBorders>
              <w:top w:val="single" w:sz="12" w:space="0" w:color="000000"/>
            </w:tcBorders>
          </w:tcPr>
          <w:p w:rsidR="006E4913" w:rsidRPr="004562F8" w:rsidP="006E4913" w14:paraId="1916A301" w14:textId="3FD4BE52">
            <w:pPr>
              <w:pStyle w:val="732021"/>
              <w:spacing w:before="0" w:after="0"/>
              <w:rPr>
                <w:rtl/>
              </w:rPr>
            </w:pPr>
            <w:r w:rsidRPr="003D70EA">
              <w:rPr>
                <w:rtl/>
              </w:rPr>
              <w:t xml:space="preserve">שיעור ההמלצות של דוחות החוקר הראשי במשרד בתחבורה </w:t>
            </w:r>
            <w:r w:rsidRPr="003D70EA">
              <w:rPr>
                <w:rtl/>
              </w:rPr>
              <w:t>שרת"א</w:t>
            </w:r>
            <w:r w:rsidRPr="003D70EA">
              <w:rPr>
                <w:rtl/>
              </w:rPr>
              <w:t xml:space="preserve"> קיבלה ויישמה במלואן בשנים 2019 - 2021 בשנים 2017 - 2018 - 41% - 50% בהתאמה</w:t>
            </w:r>
          </w:p>
        </w:tc>
        <w:tc>
          <w:tcPr>
            <w:tcW w:w="237" w:type="dxa"/>
          </w:tcPr>
          <w:p w:rsidR="006E4913" w:rsidP="006E4913" w14:paraId="14782C57" w14:textId="77777777">
            <w:pPr>
              <w:pStyle w:val="732021"/>
              <w:spacing w:before="0" w:after="0"/>
              <w:rPr>
                <w:rtl/>
              </w:rPr>
            </w:pPr>
          </w:p>
        </w:tc>
        <w:tc>
          <w:tcPr>
            <w:tcW w:w="1696" w:type="dxa"/>
            <w:tcBorders>
              <w:top w:val="single" w:sz="12" w:space="0" w:color="000000"/>
            </w:tcBorders>
          </w:tcPr>
          <w:p w:rsidR="006E4913" w:rsidRPr="0062456C" w:rsidP="006E4913" w14:paraId="6149CA50" w14:textId="0EF5C2EA">
            <w:pPr>
              <w:pStyle w:val="732021"/>
              <w:spacing w:before="0" w:after="0"/>
              <w:rPr>
                <w:rtl/>
              </w:rPr>
            </w:pPr>
            <w:r w:rsidRPr="003D70EA">
              <w:rPr>
                <w:rtl/>
              </w:rPr>
              <w:t xml:space="preserve">מקומה של מדינת ישראל בדירוג ארגון </w:t>
            </w:r>
            <w:r w:rsidRPr="003D70EA">
              <w:t>ICAO</w:t>
            </w:r>
            <w:r w:rsidRPr="003D70EA">
              <w:rPr>
                <w:rtl/>
              </w:rPr>
              <w:t xml:space="preserve"> הבודק את העמידה בתקני הבטיחות העולמיים ואת האפקטיביות של הגופים הרגולטוריים </w:t>
            </w:r>
            <w:r w:rsidRPr="003D70EA">
              <w:rPr>
                <w:rtl/>
              </w:rPr>
              <w:t>התעופתיים</w:t>
            </w:r>
            <w:r w:rsidRPr="003D70EA">
              <w:rPr>
                <w:rtl/>
              </w:rPr>
              <w:t>, מתוך כ-193 מדינות החברות בארגון</w:t>
            </w:r>
          </w:p>
        </w:tc>
        <w:tc>
          <w:tcPr>
            <w:tcW w:w="236" w:type="dxa"/>
          </w:tcPr>
          <w:p w:rsidR="006E4913" w:rsidRPr="00C92141" w:rsidP="006E4913" w14:paraId="66E34E8E" w14:textId="77777777">
            <w:pPr>
              <w:pStyle w:val="732021"/>
              <w:spacing w:before="0" w:after="0"/>
              <w:rPr>
                <w:rtl/>
              </w:rPr>
            </w:pPr>
          </w:p>
        </w:tc>
        <w:tc>
          <w:tcPr>
            <w:tcW w:w="1684" w:type="dxa"/>
            <w:tcBorders>
              <w:top w:val="single" w:sz="12" w:space="0" w:color="000000"/>
            </w:tcBorders>
          </w:tcPr>
          <w:p w:rsidR="006E4913" w:rsidRPr="00C92141" w:rsidP="006E4913" w14:paraId="39498237" w14:textId="5EF7BD41">
            <w:pPr>
              <w:pStyle w:val="732021"/>
              <w:spacing w:before="0" w:after="0"/>
              <w:rPr>
                <w:rtl/>
              </w:rPr>
            </w:pPr>
            <w:r w:rsidRPr="003D70EA">
              <w:rPr>
                <w:rtl/>
              </w:rPr>
              <w:t xml:space="preserve">חלפו מאז הכרת הממשלה בצורך הלאומי בהקמת שדה תעופה בין-לאומי אזרחי נוסף בישראל כשדה משלים לנתב"ג </w:t>
            </w:r>
            <w:r>
              <w:rPr>
                <w:rtl/>
              </w:rPr>
              <w:br/>
            </w:r>
            <w:r w:rsidRPr="003D70EA">
              <w:rPr>
                <w:rtl/>
              </w:rPr>
              <w:t>(יולי 2011)</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6E4913" w:rsidP="006E4913" w14:paraId="55C46189" w14:textId="161FB3EA">
      <w:pPr>
        <w:pStyle w:val="7317"/>
        <w:rPr>
          <w:rtl/>
        </w:rPr>
      </w:pPr>
      <w:r w:rsidRPr="001F3363">
        <w:rPr>
          <w:noProof/>
        </w:rPr>
        <w:drawing>
          <wp:anchor distT="0" distB="0" distL="114300" distR="114300" simplePos="0" relativeHeight="251682816"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70EA">
        <w:rPr>
          <w:rtl/>
        </w:rPr>
        <w:t>בחודשים מרץ 2021 עד מרץ 2022 בדק משרד מבקר המדינה סוגיות במצב בטיחות התעופה האזרחית, ובכללן ניהול המרחב האווירי, איום הסייבר בתעופה, העמידה בסטנדרטים בין-לאומיים, תשתיות התעופה וחקירה של תאונות טיס ותקריות טיס. הביקורת נעשתה ברשות התעופה האזרחית, ובדיקות השלמה נעשו ברשות שדות התעופה (</w:t>
      </w:r>
      <w:r w:rsidRPr="003D70EA">
        <w:rPr>
          <w:rtl/>
        </w:rPr>
        <w:t>רש"ת</w:t>
      </w:r>
      <w:r w:rsidRPr="003D70EA">
        <w:rPr>
          <w:rtl/>
        </w:rPr>
        <w:t>) ובמשטרת ישראל</w:t>
      </w:r>
      <w:r>
        <w:rPr>
          <w:rFonts w:hint="cs"/>
          <w:rtl/>
        </w:rPr>
        <w:t>.</w:t>
      </w:r>
    </w:p>
    <w:p w:rsidR="006E4913" w:rsidP="006E4913" w14:paraId="2E6C2955" w14:textId="0550DBB6">
      <w:pPr>
        <w:pStyle w:val="7317"/>
        <w:rPr>
          <w:rtl/>
        </w:rPr>
      </w:pPr>
      <w:r>
        <w:rPr>
          <w:rtl/>
        </w:rPr>
        <w:t>הדוח שבנדון הומצא לראש הממשלה ביום 31.7.22 והוטל עליו חיסיון עד לדיון בוועדת המשנה של הוועדה לענייני ביקורת המדינה. מתוקף הסמכות הנתונה למבקר המדינה בסעיף 17(ג) לחוק מבקר המדינה, התשי"ח-1958 [נוסח משולב] ובשים לב לנימוקי הממשלה, ולאחר היוועצות עם הגופים האמונים על אבטחת המידע הביטחוני ו</w:t>
      </w:r>
      <w:r w:rsidR="00782781">
        <w:rPr>
          <w:rFonts w:hint="cs"/>
          <w:rtl/>
        </w:rPr>
        <w:t>בת</w:t>
      </w:r>
      <w:r>
        <w:rPr>
          <w:rtl/>
        </w:rPr>
        <w:t xml:space="preserve">יאום עם יו"ר הכנסת, </w:t>
      </w:r>
      <w:r>
        <w:rPr>
          <w:rtl/>
        </w:rPr>
        <w:t>משלא</w:t>
      </w:r>
      <w:r>
        <w:rPr>
          <w:rtl/>
        </w:rPr>
        <w:t xml:space="preserve"> התכנסה ועדת המשנה האמורה, הוחלט לפרסם דוח זה תוך הטלת חיסיון על חלקים ממנו. חלקים אלה לא יונחו על שולחן הכנסת ולא יפורסמו</w:t>
      </w:r>
      <w:r>
        <w:rPr>
          <w:rFonts w:hint="cs"/>
          <w:rtl/>
        </w:rPr>
        <w:t>.</w:t>
      </w:r>
    </w:p>
    <w:p w:rsidR="00420374" w:rsidP="006E4913" w14:paraId="0AF4CED3" w14:textId="7DBBEA12">
      <w:pPr>
        <w:pStyle w:val="7317"/>
      </w:pPr>
      <w:r>
        <w:rPr>
          <w:rtl/>
        </w:rPr>
        <w:t>ממצאי דוח הביקורת והמלצותיו נכונים למועד המצאתו האמור לעיל</w:t>
      </w:r>
      <w:r>
        <w:rPr>
          <w:rFonts w:hint="cs"/>
          <w:rtl/>
        </w:rPr>
        <w:t>.</w:t>
      </w:r>
      <w:r w:rsidRPr="001F3363">
        <w:rPr>
          <w:rFonts w:hint="cs"/>
          <w:rtl/>
        </w:rPr>
        <w:t xml:space="preserve"> </w:t>
      </w:r>
    </w:p>
    <w:p w:rsidR="002753C7" w:rsidRPr="00662020" w:rsidP="002753C7" w14:paraId="690F076D" w14:textId="788C4A39">
      <w:pPr>
        <w:pStyle w:val="7327"/>
        <w:rPr>
          <w:rtl/>
        </w:rPr>
      </w:pPr>
      <w:r w:rsidRPr="00662020">
        <w:rPr>
          <w:rFonts w:hint="cs"/>
          <w:rtl/>
        </w:rPr>
        <w:t>תמונת המצב העולה מן הביקורת</w:t>
      </w:r>
    </w:p>
    <w:p w:rsidR="002753C7" w:rsidRPr="001F3363" w:rsidP="00420374" w14:paraId="0B2F822B" w14:textId="51AB7F73">
      <w:pPr>
        <w:pStyle w:val="7317"/>
        <w:rPr>
          <w:rtl/>
        </w:rPr>
      </w:pPr>
      <w:r w:rsidRPr="00362C00">
        <w:rPr>
          <w:noProof/>
          <w:rtl/>
        </w:rPr>
        <w:drawing>
          <wp:anchor distT="0" distB="0" distL="114300" distR="114300" simplePos="0" relativeHeight="251696128" behindDoc="0" locked="0" layoutInCell="1" allowOverlap="1">
            <wp:simplePos x="0" y="0"/>
            <wp:positionH relativeFrom="column">
              <wp:posOffset>2655570</wp:posOffset>
            </wp:positionH>
            <wp:positionV relativeFrom="paragraph">
              <wp:posOffset>48394</wp:posOffset>
            </wp:positionV>
            <wp:extent cx="2101215" cy="172085"/>
            <wp:effectExtent l="0" t="0" r="0" b="5715"/>
            <wp:wrapSquare wrapText="bothSides"/>
            <wp:docPr id="205277094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7"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D8446F" w14:paraId="18555822" w14:textId="0A099915">
      <w:pPr>
        <w:pStyle w:val="7392"/>
        <w:spacing w:before="360"/>
        <w:ind w:left="424"/>
        <w:rPr>
          <w:rtl/>
        </w:rPr>
      </w:pPr>
      <w:r w:rsidRPr="00F134B0">
        <w:rPr>
          <w:rFonts w:hint="cs"/>
          <w:b/>
          <w:bCs/>
          <w:noProof/>
          <w:rtl/>
        </w:rPr>
        <w:drawing>
          <wp:anchor distT="0" distB="720090" distL="114300" distR="114300" simplePos="0" relativeHeight="251688960" behindDoc="1" locked="0" layoutInCell="1" allowOverlap="1">
            <wp:simplePos x="0" y="0"/>
            <wp:positionH relativeFrom="column">
              <wp:posOffset>4526280</wp:posOffset>
            </wp:positionH>
            <wp:positionV relativeFrom="paragraph">
              <wp:posOffset>145578</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sidR="006E4913">
        <w:rPr>
          <w:b/>
          <w:bCs/>
          <w:spacing w:val="-4"/>
          <w:rtl/>
        </w:rPr>
        <w:t xml:space="preserve">פיקוח </w:t>
      </w:r>
      <w:r w:rsidRPr="00F134B0" w:rsidR="006E4913">
        <w:rPr>
          <w:b/>
          <w:bCs/>
          <w:spacing w:val="-4"/>
          <w:rtl/>
        </w:rPr>
        <w:t>רת"א</w:t>
      </w:r>
      <w:r w:rsidRPr="00F134B0" w:rsidR="006E4913">
        <w:rPr>
          <w:b/>
          <w:bCs/>
          <w:spacing w:val="-4"/>
          <w:rtl/>
        </w:rPr>
        <w:t xml:space="preserve"> על פעילות התעופה</w:t>
      </w:r>
      <w:r w:rsidRPr="003D70EA" w:rsidR="006E4913">
        <w:rPr>
          <w:spacing w:val="-4"/>
          <w:rtl/>
        </w:rPr>
        <w:t xml:space="preserve"> - ענף התעופה בישראל נמצא בצמיחה ופעילותו הולכת וגדלה. בשנים 2018 - 2021 חל גידול במספר כלי הטיס (1,159 בשנת 2021 לעומת 913 בשנת 2018), במספר בעלי רישיונות הטיס, כולל מתלמדים (7,831 לעומת 7,164), ובמספר חברות התעופה וגופי התעופה (88 לעומת 78). עם זאת, עלה כי מספר פעולות הפיקוח המתוכננות על ידי </w:t>
      </w:r>
      <w:r w:rsidRPr="003D70EA" w:rsidR="006E4913">
        <w:rPr>
          <w:spacing w:val="-4"/>
          <w:rtl/>
        </w:rPr>
        <w:t>רת"א</w:t>
      </w:r>
      <w:r w:rsidRPr="003D70EA" w:rsidR="006E4913">
        <w:rPr>
          <w:spacing w:val="-4"/>
          <w:rtl/>
        </w:rPr>
        <w:t xml:space="preserve"> נמצא בירידה - 899 פעולות פיקוח מתוכננות בשנת 2021 לעומת 1,035 פעולות בשנת 2019. עוד עלה כי בשנים 2019 ו-2021 שיעור הביצוע של סך פעולות הפיקוח המתוכננות היה כ-90% מן המתוכנן, לעומת שנת 2020 שבה שיעור הביצוע היה נמוך והגיע ל-82.7%, עקב מגפת הקורונה. בשנת 2020 הייתה ירידה בפעולות הפיקוח על המובילים האוויריים ועל פיקוחי נתיב (תחום הקשור למובילים), ושיעורן של</w:t>
      </w:r>
      <w:r w:rsidR="00782781">
        <w:rPr>
          <w:rFonts w:hint="cs"/>
          <w:spacing w:val="-4"/>
          <w:rtl/>
        </w:rPr>
        <w:t xml:space="preserve"> </w:t>
      </w:r>
      <w:r w:rsidRPr="003D70EA" w:rsidR="006E4913">
        <w:rPr>
          <w:spacing w:val="-4"/>
          <w:rtl/>
        </w:rPr>
        <w:t>פעולות אלה היה 48.8% ו-26.3% בהתאמה ביחס למתוכנן. בשנת 2021 ניכרת התאוששות, אך עדיין שיעור הביצוע של פעולות הפיקוח ביחס למתוכנן לא חזר לרמה שלפני הקורונה</w:t>
      </w:r>
      <w:r w:rsidRPr="0093709F">
        <w:rPr>
          <w:rtl/>
        </w:rPr>
        <w:t>.</w:t>
      </w:r>
    </w:p>
    <w:p w:rsidR="00420374" w:rsidRPr="0093709F" w:rsidP="00D8446F" w14:paraId="1D22E15A" w14:textId="00C29DDE">
      <w:pPr>
        <w:pStyle w:val="7392"/>
        <w:ind w:left="424"/>
      </w:pPr>
      <w:r w:rsidRPr="00F134B0">
        <w:rPr>
          <w:rFonts w:hint="cs"/>
          <w:b/>
          <w:bCs/>
          <w:noProof/>
          <w:rtl/>
        </w:rPr>
        <w:drawing>
          <wp:anchor distT="0" distB="720090" distL="114300" distR="114300" simplePos="0" relativeHeight="251687936" behindDoc="1" locked="0" layoutInCell="1" allowOverlap="1">
            <wp:simplePos x="0" y="0"/>
            <wp:positionH relativeFrom="column">
              <wp:posOffset>4526280</wp:posOffset>
            </wp:positionH>
            <wp:positionV relativeFrom="paragraph">
              <wp:posOffset>37628</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sidR="006E4913">
        <w:rPr>
          <w:b/>
          <w:bCs/>
          <w:spacing w:val="-4"/>
          <w:rtl/>
        </w:rPr>
        <w:t>ניהול התעבורה במרחב האווירי של ישראל</w:t>
      </w:r>
      <w:r w:rsidRPr="003D70EA" w:rsidR="006E4913">
        <w:rPr>
          <w:spacing w:val="-4"/>
          <w:rtl/>
        </w:rPr>
        <w:t xml:space="preserve"> - המרחב האווירי בישראל בשגרה נחלק לשלושה: מרחב אווירי לשימוש התעופה האזרחית; מרחב אווירי לשימוש התעופה הצבאית שמתאפשר בו שימוש של התעופה האזרחית; ומרחב אווירי לשימוש התעופה הצבאית בלבד. המרחב האווירי לשימוש התעופה האזרחית הוא מצומצם, ורוב המרחב האווירי והבקרה האווירית נשלטים על ידי חיל האוויר. עלה כי הגידול בפעילות התעופה הקלה הפנים-ארצית הפועלת במרחבים שמנהל חיל האוויר, יוצר עומס על ניהול תנועה, דבר העלול לפגוע בבטיחות התעופה הפנים ארצית, אולם חיל האוויר אינו מקבל </w:t>
      </w:r>
      <w:r w:rsidRPr="003D70EA" w:rsidR="006E4913">
        <w:rPr>
          <w:spacing w:val="-4"/>
          <w:rtl/>
        </w:rPr>
        <w:t>מרש"ת</w:t>
      </w:r>
      <w:r w:rsidRPr="003D70EA" w:rsidR="006E4913">
        <w:rPr>
          <w:spacing w:val="-4"/>
          <w:rtl/>
        </w:rPr>
        <w:t xml:space="preserve"> את המעטפת </w:t>
      </w:r>
      <w:r w:rsidRPr="003D70EA" w:rsidR="006E4913">
        <w:rPr>
          <w:spacing w:val="-4"/>
          <w:rtl/>
        </w:rPr>
        <w:t>התעופתית</w:t>
      </w:r>
      <w:r w:rsidRPr="003D70EA" w:rsidR="006E4913">
        <w:rPr>
          <w:spacing w:val="-4"/>
          <w:rtl/>
        </w:rPr>
        <w:t xml:space="preserve"> האזרחית לצרכים אלה, החל בשיקוף תכנון הטיסות וכלה בהצטיידות במערכות </w:t>
      </w:r>
      <w:r w:rsidRPr="003D70EA" w:rsidR="006E4913">
        <w:rPr>
          <w:spacing w:val="-4"/>
          <w:rtl/>
        </w:rPr>
        <w:t xml:space="preserve">תומכות, וכי ההשתתפות התקציבית שחיל האוויר קיבל </w:t>
      </w:r>
      <w:r w:rsidRPr="003D70EA" w:rsidR="006E4913">
        <w:rPr>
          <w:spacing w:val="-4"/>
          <w:rtl/>
        </w:rPr>
        <w:t>מרש"ת</w:t>
      </w:r>
      <w:r w:rsidRPr="003D70EA" w:rsidR="006E4913">
        <w:rPr>
          <w:spacing w:val="-4"/>
          <w:rtl/>
        </w:rPr>
        <w:t xml:space="preserve"> הופסקה על ידי </w:t>
      </w:r>
      <w:r w:rsidRPr="003D70EA" w:rsidR="006E4913">
        <w:rPr>
          <w:spacing w:val="-4"/>
          <w:rtl/>
        </w:rPr>
        <w:t>רש"ת</w:t>
      </w:r>
      <w:r w:rsidRPr="003D70EA" w:rsidR="006E4913">
        <w:rPr>
          <w:spacing w:val="-4"/>
          <w:rtl/>
        </w:rPr>
        <w:t xml:space="preserve"> באופן חד-צדדי</w:t>
      </w:r>
      <w:r w:rsidRPr="0093709F">
        <w:rPr>
          <w:rFonts w:hint="cs"/>
          <w:rtl/>
        </w:rPr>
        <w:t xml:space="preserve">. </w:t>
      </w:r>
    </w:p>
    <w:p w:rsidR="00420374" w:rsidRPr="0093709F" w:rsidP="00D8446F" w14:paraId="5E2BFABB" w14:textId="31FDB9E9">
      <w:pPr>
        <w:pStyle w:val="7392"/>
        <w:ind w:left="424"/>
        <w:rPr>
          <w:rtl/>
        </w:rPr>
      </w:pPr>
      <w:r w:rsidRPr="00F134B0">
        <w:rPr>
          <w:rFonts w:hint="cs"/>
          <w:b/>
          <w:bCs/>
          <w:noProof/>
          <w:rtl/>
        </w:rPr>
        <w:drawing>
          <wp:anchor distT="0" distB="720090" distL="114300" distR="114300" simplePos="0" relativeHeight="251686912" behindDoc="1" locked="0" layoutInCell="1" allowOverlap="1">
            <wp:simplePos x="0" y="0"/>
            <wp:positionH relativeFrom="column">
              <wp:posOffset>4526280</wp:posOffset>
            </wp:positionH>
            <wp:positionV relativeFrom="paragraph">
              <wp:posOffset>37628</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sidR="006E4913">
        <w:rPr>
          <w:b/>
          <w:bCs/>
          <w:spacing w:val="-4"/>
          <w:rtl/>
        </w:rPr>
        <w:t>שימוש בציוד חיל האוויר לניהול התעבורה האווירית האזרחית</w:t>
      </w:r>
      <w:r w:rsidRPr="003D70EA" w:rsidR="006E4913">
        <w:rPr>
          <w:spacing w:val="-4"/>
          <w:rtl/>
        </w:rPr>
        <w:t xml:space="preserve"> - הציוד של חיל האוויר שבו נעשה שימוש לניהול התעבורה האווירית האזרחית לא מקיים את דרישות ארגון </w:t>
      </w:r>
      <w:r w:rsidRPr="003D70EA" w:rsidR="006E4913">
        <w:rPr>
          <w:spacing w:val="-4"/>
        </w:rPr>
        <w:t>ICAO</w:t>
      </w:r>
      <w:r>
        <w:rPr>
          <w:spacing w:val="-4"/>
          <w:vertAlign w:val="superscript"/>
          <w:rtl/>
        </w:rPr>
        <w:footnoteReference w:id="3"/>
      </w:r>
      <w:r w:rsidRPr="0022607D" w:rsidR="006E4913">
        <w:rPr>
          <w:spacing w:val="-4"/>
          <w:vertAlign w:val="superscript"/>
          <w:rtl/>
        </w:rPr>
        <w:t xml:space="preserve"> </w:t>
      </w:r>
      <w:r w:rsidRPr="003D70EA" w:rsidR="006E4913">
        <w:rPr>
          <w:spacing w:val="-4"/>
          <w:rtl/>
        </w:rPr>
        <w:t xml:space="preserve">והדין הישראלי לעניין הביצועים והתחזוקה, </w:t>
      </w:r>
      <w:r w:rsidRPr="003D70EA" w:rsidR="006E4913">
        <w:rPr>
          <w:spacing w:val="-4"/>
          <w:rtl/>
        </w:rPr>
        <w:t>ורת"א</w:t>
      </w:r>
      <w:r w:rsidRPr="003D70EA" w:rsidR="006E4913">
        <w:rPr>
          <w:spacing w:val="-4"/>
          <w:rtl/>
        </w:rPr>
        <w:t xml:space="preserve"> לא יכלה לבצע בו בדיקות אזרחיות משום שהמערכת היא צבאית </w:t>
      </w:r>
      <w:r w:rsidRPr="003D70EA" w:rsidR="006E4913">
        <w:rPr>
          <w:spacing w:val="-4"/>
          <w:rtl/>
        </w:rPr>
        <w:t>ולרש"ת</w:t>
      </w:r>
      <w:r w:rsidRPr="003D70EA" w:rsidR="006E4913">
        <w:rPr>
          <w:spacing w:val="-4"/>
          <w:rtl/>
        </w:rPr>
        <w:t xml:space="preserve"> לא הייתה גישה למידע עליה, ומשום שנוהלי התחזוקה של חיל האוויר אינם עומדים בסטנדרטים אזרחיים כמתחייב מדרישות </w:t>
      </w:r>
      <w:r w:rsidRPr="003D70EA" w:rsidR="006E4913">
        <w:rPr>
          <w:spacing w:val="-4"/>
        </w:rPr>
        <w:t>ICAO</w:t>
      </w:r>
      <w:r w:rsidRPr="0093709F">
        <w:rPr>
          <w:rFonts w:hint="cs"/>
          <w:rtl/>
        </w:rPr>
        <w:t>.</w:t>
      </w:r>
    </w:p>
    <w:p w:rsidR="00420374" w:rsidRPr="0093709F" w:rsidP="00D8446F" w14:paraId="583ECB3F" w14:textId="38FBF764">
      <w:pPr>
        <w:pStyle w:val="7392"/>
        <w:ind w:left="424"/>
      </w:pPr>
      <w:r w:rsidRPr="00F134B0">
        <w:rPr>
          <w:rFonts w:hint="cs"/>
          <w:b/>
          <w:bCs/>
          <w:noProof/>
          <w:rtl/>
        </w:rPr>
        <w:drawing>
          <wp:anchor distT="0" distB="720090" distL="114300" distR="114300" simplePos="0" relativeHeight="251685888" behindDoc="1" locked="0" layoutInCell="1" allowOverlap="1">
            <wp:simplePos x="0" y="0"/>
            <wp:positionH relativeFrom="column">
              <wp:posOffset>4526280</wp:posOffset>
            </wp:positionH>
            <wp:positionV relativeFrom="paragraph">
              <wp:posOffset>37628</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sidR="006E4913">
        <w:rPr>
          <w:b/>
          <w:bCs/>
          <w:spacing w:val="-4"/>
          <w:rtl/>
        </w:rPr>
        <w:t xml:space="preserve">פיקוח </w:t>
      </w:r>
      <w:r w:rsidRPr="00F134B0" w:rsidR="006E4913">
        <w:rPr>
          <w:b/>
          <w:bCs/>
          <w:spacing w:val="-4"/>
          <w:rtl/>
        </w:rPr>
        <w:t>רש"ת</w:t>
      </w:r>
      <w:r w:rsidRPr="00F134B0" w:rsidR="006E4913">
        <w:rPr>
          <w:b/>
          <w:bCs/>
          <w:spacing w:val="-4"/>
          <w:rtl/>
        </w:rPr>
        <w:t xml:space="preserve"> על התעבורה האווירית באמצעות מערכת ה-</w:t>
      </w:r>
      <w:r w:rsidRPr="00F134B0" w:rsidR="006E4913">
        <w:rPr>
          <w:b/>
          <w:bCs/>
          <w:spacing w:val="-4"/>
        </w:rPr>
        <w:t>ARTS</w:t>
      </w:r>
      <w:r w:rsidRPr="003D70EA" w:rsidR="006E4913">
        <w:rPr>
          <w:spacing w:val="-4"/>
          <w:rtl/>
        </w:rPr>
        <w:t xml:space="preserve"> - מערכת ה-</w:t>
      </w:r>
      <w:r w:rsidRPr="003D70EA" w:rsidR="006E4913">
        <w:rPr>
          <w:spacing w:val="-4"/>
        </w:rPr>
        <w:t>ARTS</w:t>
      </w:r>
      <w:r w:rsidRPr="003D70EA" w:rsidR="006E4913">
        <w:rPr>
          <w:spacing w:val="-4"/>
          <w:rtl/>
        </w:rPr>
        <w:t xml:space="preserve"> (</w:t>
      </w:r>
      <w:r w:rsidRPr="003D70EA" w:rsidR="006E4913">
        <w:rPr>
          <w:spacing w:val="-4"/>
        </w:rPr>
        <w:t>Automated Radar Terminal System</w:t>
      </w:r>
      <w:r w:rsidRPr="003D70EA" w:rsidR="006E4913">
        <w:rPr>
          <w:spacing w:val="-4"/>
          <w:rtl/>
        </w:rPr>
        <w:t xml:space="preserve">) היא מערכת ממוחשבת לניהול תעבורה אווירית המאפשרת לפקח הטיסה לעקוב אחר מטוסים. המערכת מאחדת את כל המידע העדכני - האנושי ומהמכ"מים - ליצירת תמונה אווירית מדויקת יותר. עלה כי המערכת הגיעה במהלך השנים למצב שבו אי אפשר לתחזק אותה לאורך זמן בשל עלויות גבוהות והתיישנות רכיביה. נוסף על כך, בגלל התיישנות המערכת אי אפשר לבצע בה שינויים והתאמות לסביבת פיקוח טיסה מתקדמת ומודרנית. מערכת </w:t>
      </w:r>
      <w:r w:rsidRPr="003D70EA" w:rsidR="006E4913">
        <w:rPr>
          <w:spacing w:val="-4"/>
        </w:rPr>
        <w:t>ARTS</w:t>
      </w:r>
      <w:r w:rsidRPr="003D70EA" w:rsidR="006E4913">
        <w:rPr>
          <w:spacing w:val="-4"/>
          <w:rtl/>
        </w:rPr>
        <w:t xml:space="preserve"> המיושנת אינה עומדת בדרישות </w:t>
      </w:r>
      <w:r w:rsidRPr="003D70EA" w:rsidR="006E4913">
        <w:rPr>
          <w:spacing w:val="-4"/>
        </w:rPr>
        <w:t>ICAO</w:t>
      </w:r>
      <w:r w:rsidRPr="003D70EA" w:rsidR="006E4913">
        <w:rPr>
          <w:spacing w:val="-4"/>
          <w:rtl/>
        </w:rPr>
        <w:t xml:space="preserve"> ובתקינה הבין-לאומית</w:t>
      </w:r>
      <w:r w:rsidRPr="0093709F">
        <w:rPr>
          <w:rFonts w:hint="cs"/>
          <w:rtl/>
        </w:rPr>
        <w:t xml:space="preserve">. </w:t>
      </w:r>
    </w:p>
    <w:p w:rsidR="00420374" w:rsidRPr="0093709F" w:rsidP="00D8446F" w14:paraId="7C081EA1" w14:textId="68DBCBBC">
      <w:pPr>
        <w:pStyle w:val="7392"/>
        <w:ind w:left="424"/>
      </w:pPr>
      <w:r w:rsidRPr="00F134B0">
        <w:rPr>
          <w:rFonts w:hint="cs"/>
          <w:b/>
          <w:bCs/>
          <w:noProof/>
          <w:rtl/>
        </w:rPr>
        <w:drawing>
          <wp:anchor distT="0" distB="720090" distL="114300" distR="114300" simplePos="0" relativeHeight="251684864" behindDoc="1" locked="0" layoutInCell="1" allowOverlap="1">
            <wp:simplePos x="0" y="0"/>
            <wp:positionH relativeFrom="column">
              <wp:posOffset>4526280</wp:posOffset>
            </wp:positionH>
            <wp:positionV relativeFrom="paragraph">
              <wp:posOffset>37628</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sidR="006E4913">
        <w:rPr>
          <w:b/>
          <w:bCs/>
          <w:spacing w:val="-4"/>
          <w:rtl/>
        </w:rPr>
        <w:t>גיבוש התמונה האווירית</w:t>
      </w:r>
      <w:r w:rsidRPr="003D70EA" w:rsidR="006E4913">
        <w:rPr>
          <w:spacing w:val="-4"/>
          <w:rtl/>
        </w:rPr>
        <w:t xml:space="preserve"> - יחידות הבקרה של חיל האוויר פועלות בסטנדרטים צבאיים, השונים מאלה של התעופה האזרחית, ולא תמיד עולים בקנה אחד עם הכללים הבין-לאומיים המיועדים לשמירה על בטיחות התעופה האזרחית שמדינת ישראל מחויבת להם. עלה כי במשך חודשיים החל מ-10.8.21 התרחשו 11 תקלות בתמונה האווירית, ובהן מטוס שנעלם מהמסך; נפילות תמונה רגעית או לחמש שניות, ויכולת עקיבה נמוכה לאחר חזרת התמונה; הופעה מאוחרת על הצג של מטוסים הבאים ממערב; אירועים מרובים של מטוסים הממריאים מנתב"ג ועולים לתצוגה מאוחר; ומטוסים ממערב עם עקיבה נמוכה. בתקלות ביחידות אלה יש פגיעה בבטיחות התעופה האזרחית הישראלית והבין-לאומית הפועלת במרחב האווירי של ישראל ופגיעה בניהול היעיל של התנועה האווירית האזרחית</w:t>
      </w:r>
      <w:r w:rsidRPr="0093709F">
        <w:rPr>
          <w:rFonts w:hint="cs"/>
          <w:rtl/>
        </w:rPr>
        <w:t xml:space="preserve">. </w:t>
      </w:r>
    </w:p>
    <w:p w:rsidR="00420374" w:rsidRPr="0093709F" w:rsidP="00D8446F" w14:paraId="5E8BF229" w14:textId="5B396362">
      <w:pPr>
        <w:pStyle w:val="7392"/>
        <w:ind w:left="424"/>
        <w:rPr>
          <w:rtl/>
        </w:rPr>
      </w:pPr>
      <w:r w:rsidRPr="00F134B0">
        <w:rPr>
          <w:rFonts w:hint="cs"/>
          <w:b/>
          <w:bCs/>
          <w:noProof/>
          <w:rtl/>
        </w:rPr>
        <w:drawing>
          <wp:anchor distT="0" distB="720090" distL="114300" distR="114300" simplePos="0" relativeHeight="251689984" behindDoc="1" locked="0" layoutInCell="1" allowOverlap="1">
            <wp:simplePos x="0" y="0"/>
            <wp:positionH relativeFrom="column">
              <wp:posOffset>4526752</wp:posOffset>
            </wp:positionH>
            <wp:positionV relativeFrom="paragraph">
              <wp:posOffset>39370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sidR="006E4913">
        <w:rPr>
          <w:b/>
          <w:bCs/>
          <w:spacing w:val="-4"/>
          <w:rtl/>
        </w:rPr>
        <w:t xml:space="preserve">יחסי הגומלין בין </w:t>
      </w:r>
      <w:r w:rsidRPr="00F134B0" w:rsidR="006E4913">
        <w:rPr>
          <w:b/>
          <w:bCs/>
          <w:spacing w:val="-4"/>
          <w:rtl/>
        </w:rPr>
        <w:t>רש"ת</w:t>
      </w:r>
      <w:r w:rsidRPr="00F134B0" w:rsidR="006E4913">
        <w:rPr>
          <w:b/>
          <w:bCs/>
          <w:spacing w:val="-4"/>
          <w:rtl/>
        </w:rPr>
        <w:t xml:space="preserve"> לחיל האוויר</w:t>
      </w:r>
      <w:r w:rsidRPr="003D70EA" w:rsidR="006E4913">
        <w:rPr>
          <w:spacing w:val="-4"/>
          <w:rtl/>
        </w:rPr>
        <w:t xml:space="preserve"> - עלה כי נושאים קריטיים הנוגעים לניהול התעבורה האווירית, שיש בהם סיכון על בטיחות התעופה האזרחית ועל יעילות ניהול התעבורה האווירית, אשר מחייבים שיתוף פעולה בין </w:t>
      </w:r>
      <w:r w:rsidRPr="003D70EA" w:rsidR="006E4913">
        <w:rPr>
          <w:spacing w:val="-4"/>
          <w:rtl/>
        </w:rPr>
        <w:t>רש"ת</w:t>
      </w:r>
      <w:r w:rsidRPr="003D70EA" w:rsidR="006E4913">
        <w:rPr>
          <w:spacing w:val="-4"/>
          <w:rtl/>
        </w:rPr>
        <w:t xml:space="preserve"> לחיל האוויר, אינם באים על פתרונם עקב מחלוקות בסוגיות שונות: מתן שירותים הדדיים; שיפור איכות התמונה האווירית ואמינותה; ותנאים פיזיים ביחידות הבקרה שיאפשרו להגדיל את כוח האדם במשמרת עקב הגידול בתנועה האווירית במרחב האווירי של ישראל. תוקף הסכם השירותים ההדדיים בין חיל האוויר </w:t>
      </w:r>
      <w:r w:rsidRPr="003D70EA" w:rsidR="006E4913">
        <w:rPr>
          <w:spacing w:val="-4"/>
          <w:rtl/>
        </w:rPr>
        <w:t>לרש"ת</w:t>
      </w:r>
      <w:r w:rsidRPr="003D70EA" w:rsidR="006E4913">
        <w:rPr>
          <w:spacing w:val="-4"/>
          <w:rtl/>
        </w:rPr>
        <w:t xml:space="preserve"> פג ב-31.12.19, ובמועד סיום הביקורת הוא לא חודש</w:t>
      </w:r>
      <w:r w:rsidRPr="0093709F">
        <w:rPr>
          <w:rFonts w:hint="cs"/>
          <w:rtl/>
        </w:rPr>
        <w:t>.</w:t>
      </w:r>
    </w:p>
    <w:p w:rsidR="00420374" w:rsidRPr="006E4913" w:rsidP="006E4913" w14:paraId="39D5E97C" w14:textId="0550E123">
      <w:pPr>
        <w:pStyle w:val="7392"/>
        <w:ind w:left="424"/>
        <w:rPr>
          <w:spacing w:val="-4"/>
        </w:rPr>
      </w:pPr>
      <w:r w:rsidRPr="00F134B0">
        <w:rPr>
          <w:rFonts w:hint="cs"/>
          <w:b/>
          <w:bCs/>
          <w:noProof/>
          <w:rtl/>
        </w:rPr>
        <w:drawing>
          <wp:anchor distT="0" distB="720090" distL="114300" distR="114300" simplePos="0" relativeHeight="251691008" behindDoc="1" locked="0" layoutInCell="1" allowOverlap="1">
            <wp:simplePos x="0" y="0"/>
            <wp:positionH relativeFrom="column">
              <wp:posOffset>4526280</wp:posOffset>
            </wp:positionH>
            <wp:positionV relativeFrom="paragraph">
              <wp:posOffset>39370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2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sidR="006E4913">
        <w:rPr>
          <w:b/>
          <w:bCs/>
          <w:spacing w:val="-4"/>
          <w:rtl/>
        </w:rPr>
        <w:t>חסימות</w:t>
      </w:r>
      <w:r w:rsidRPr="00F134B0" w:rsidR="006E4913">
        <w:rPr>
          <w:rFonts w:hint="cs"/>
          <w:b/>
          <w:bCs/>
          <w:spacing w:val="-4"/>
          <w:rtl/>
        </w:rPr>
        <w:t xml:space="preserve"> אלקטרוניות</w:t>
      </w:r>
      <w:r w:rsidRPr="003D70EA" w:rsidR="006E4913">
        <w:rPr>
          <w:spacing w:val="-4"/>
          <w:rtl/>
        </w:rPr>
        <w:t xml:space="preserve"> - חסימות </w:t>
      </w:r>
      <w:r w:rsidRPr="003D70EA" w:rsidR="006E4913">
        <w:rPr>
          <w:rFonts w:hint="cs"/>
          <w:spacing w:val="-4"/>
          <w:rtl/>
        </w:rPr>
        <w:t>אלקטרוניות</w:t>
      </w:r>
      <w:r w:rsidRPr="003D70EA" w:rsidR="006E4913">
        <w:rPr>
          <w:spacing w:val="-4"/>
          <w:rtl/>
        </w:rPr>
        <w:t xml:space="preserve"> עלולות לפגוע ברמת הבטיחות של מטוסים אזרחיים</w:t>
      </w:r>
      <w:r w:rsidRPr="003D70EA" w:rsidR="006E4913">
        <w:rPr>
          <w:rFonts w:hint="cs"/>
          <w:spacing w:val="-4"/>
          <w:rtl/>
        </w:rPr>
        <w:t>.</w:t>
      </w:r>
      <w:r w:rsidRPr="003D70EA" w:rsidR="006E4913">
        <w:rPr>
          <w:spacing w:val="-4"/>
          <w:rtl/>
        </w:rPr>
        <w:t xml:space="preserve"> עלה כי לעיתים </w:t>
      </w:r>
      <w:r w:rsidRPr="003D70EA" w:rsidR="006E4913">
        <w:rPr>
          <w:spacing w:val="-4"/>
          <w:rtl/>
        </w:rPr>
        <w:t>רש"ת</w:t>
      </w:r>
      <w:r w:rsidRPr="003D70EA" w:rsidR="006E4913">
        <w:rPr>
          <w:spacing w:val="-4"/>
          <w:rtl/>
        </w:rPr>
        <w:t xml:space="preserve"> חווה חסימות</w:t>
      </w:r>
      <w:r w:rsidRPr="003D70EA" w:rsidR="006E4913">
        <w:rPr>
          <w:rFonts w:hint="cs"/>
          <w:spacing w:val="-4"/>
          <w:rtl/>
        </w:rPr>
        <w:t xml:space="preserve"> אלקטרוניות</w:t>
      </w:r>
      <w:r w:rsidRPr="003D70EA" w:rsidR="006E4913">
        <w:rPr>
          <w:spacing w:val="-4"/>
          <w:rtl/>
        </w:rPr>
        <w:t xml:space="preserve"> וכי הכלים אשר בידה אינם יעילים דיים על מנת </w:t>
      </w:r>
      <w:r w:rsidRPr="003D70EA" w:rsidR="006E4913">
        <w:rPr>
          <w:rFonts w:hint="eastAsia"/>
          <w:spacing w:val="-4"/>
          <w:rtl/>
        </w:rPr>
        <w:t>לתת</w:t>
      </w:r>
      <w:r w:rsidRPr="003D70EA" w:rsidR="006E4913">
        <w:rPr>
          <w:spacing w:val="-4"/>
          <w:rtl/>
        </w:rPr>
        <w:t xml:space="preserve"> מענה מיטבי במקרים של חסימות</w:t>
      </w:r>
      <w:r w:rsidRPr="003D70EA" w:rsidR="006E4913">
        <w:rPr>
          <w:rFonts w:hint="cs"/>
          <w:spacing w:val="-4"/>
          <w:rtl/>
        </w:rPr>
        <w:t xml:space="preserve"> כאמור, זאת כדי </w:t>
      </w:r>
      <w:r w:rsidRPr="003D70EA" w:rsidR="006E4913">
        <w:rPr>
          <w:spacing w:val="-4"/>
          <w:rtl/>
        </w:rPr>
        <w:t>ליידע את צוותי הטיסה בחסימות ובפתרונות החלופיים שעליהן לנקוט</w:t>
      </w:r>
      <w:r w:rsidRPr="0093709F">
        <w:rPr>
          <w:rFonts w:hint="cs"/>
          <w:rtl/>
        </w:rPr>
        <w:t xml:space="preserve">. </w:t>
      </w:r>
    </w:p>
    <w:p w:rsidR="00747AE5" w:rsidP="00D8446F" w14:paraId="411748E4" w14:textId="4EC7FB0D">
      <w:pPr>
        <w:pStyle w:val="7392"/>
        <w:ind w:left="424"/>
        <w:rPr>
          <w:noProof/>
        </w:rPr>
      </w:pPr>
      <w:r w:rsidRPr="00F134B0">
        <w:rPr>
          <w:rFonts w:hint="cs"/>
          <w:b/>
          <w:bCs/>
          <w:noProof/>
          <w:rtl/>
        </w:rPr>
        <w:drawing>
          <wp:anchor distT="0" distB="720090" distL="114300" distR="114300" simplePos="0" relativeHeight="251692032" behindDoc="1" locked="0" layoutInCell="1" allowOverlap="1">
            <wp:simplePos x="0" y="0"/>
            <wp:positionH relativeFrom="column">
              <wp:posOffset>4526752</wp:posOffset>
            </wp:positionH>
            <wp:positionV relativeFrom="paragraph">
              <wp:posOffset>39370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sidR="006E4913">
        <w:rPr>
          <w:b/>
          <w:bCs/>
          <w:spacing w:val="-4"/>
          <w:rtl/>
        </w:rPr>
        <w:t>סגירת שדה התעופה הרצלייה ומציאת שדה חלופי</w:t>
      </w:r>
      <w:r w:rsidRPr="003D70EA" w:rsidR="006E4913">
        <w:rPr>
          <w:spacing w:val="-4"/>
          <w:rtl/>
        </w:rPr>
        <w:t xml:space="preserve"> - שדה התעופה הרצלייה הוא שדה פעיל שהוקם עוד לפני קום המדינה. את השדה מפעילה </w:t>
      </w:r>
      <w:r w:rsidRPr="003D70EA" w:rsidR="006E4913">
        <w:rPr>
          <w:spacing w:val="-4"/>
          <w:rtl/>
        </w:rPr>
        <w:t>רש"ת</w:t>
      </w:r>
      <w:r w:rsidRPr="003D70EA" w:rsidR="006E4913">
        <w:rPr>
          <w:spacing w:val="-4"/>
          <w:rtl/>
        </w:rPr>
        <w:t xml:space="preserve"> משנת 1978, והוא משמש כיום שדה התעופה העיקרי בישראל של התעופה הכללית לפעילות בתי ספר לטיסה ושמירת כשירות טייסים. בשנת 2009 קבעה המועצה הארצית את שדה הרצלייה כשדה זמני, זאת על רקע הימצאותו באזור מאוכלס, וממשלת ישראל החליטה לבחון ולקדם זמינות לשדה הרצליה </w:t>
      </w:r>
      <w:r w:rsidRPr="003D70EA" w:rsidR="006E4913">
        <w:rPr>
          <w:spacing w:val="-4"/>
          <w:rtl/>
        </w:rPr>
        <w:t>באיזור</w:t>
      </w:r>
      <w:r w:rsidRPr="003D70EA" w:rsidR="006E4913">
        <w:rPr>
          <w:spacing w:val="-4"/>
          <w:rtl/>
        </w:rPr>
        <w:t xml:space="preserve"> עין שמר. על אף החשיבות הרבה של הקמת שדה תעופה מרכזי לענף התעופה הכללית ואף שסוגיית סגירת שדה הרצלייה עומדת על הפרק עוד משנת 2009 ואף שחלפו 13 שנים מאז החלטת הממשלה משנת 2009, משרד התחבורה </w:t>
      </w:r>
      <w:r w:rsidRPr="003D70EA" w:rsidR="006E4913">
        <w:rPr>
          <w:spacing w:val="-4"/>
          <w:rtl/>
        </w:rPr>
        <w:t>ורש"ת</w:t>
      </w:r>
      <w:r w:rsidRPr="003D70EA" w:rsidR="006E4913">
        <w:rPr>
          <w:spacing w:val="-4"/>
          <w:rtl/>
        </w:rPr>
        <w:t xml:space="preserve"> לא השלימו מציאת תחליף הולם לשדה הרצלייה. זאת ועוד, שדה הרצלייה נמצא על קרקע המוגדרת כקרקע חקלאית, והוא פעל כל השנים ללא הסדרה תכנונית כשדה תעופה. למרות זאת, במשך עשרות שנות פעילותו של השדה לא פעלו משרד התחבורה </w:t>
      </w:r>
      <w:r w:rsidRPr="003D70EA" w:rsidR="006E4913">
        <w:rPr>
          <w:spacing w:val="-4"/>
          <w:rtl/>
        </w:rPr>
        <w:t>ורש"ת</w:t>
      </w:r>
      <w:r w:rsidRPr="003D70EA" w:rsidR="006E4913">
        <w:rPr>
          <w:spacing w:val="-4"/>
          <w:rtl/>
        </w:rPr>
        <w:t xml:space="preserve"> להסדרתו הסטטוטורית והתירו את פעילותו</w:t>
      </w:r>
      <w:r>
        <w:rPr>
          <w:rFonts w:hint="cs"/>
          <w:noProof/>
          <w:rtl/>
        </w:rPr>
        <w:t>.</w:t>
      </w:r>
    </w:p>
    <w:p w:rsidR="00747AE5" w:rsidRPr="00747AE5" w:rsidP="00D8446F" w14:paraId="0BCB2DD1" w14:textId="1D7B4E65">
      <w:pPr>
        <w:pStyle w:val="7392"/>
        <w:ind w:left="424"/>
        <w:rPr>
          <w:spacing w:val="-4"/>
        </w:rPr>
      </w:pPr>
      <w:r w:rsidRPr="00F134B0">
        <w:rPr>
          <w:rFonts w:hint="cs"/>
          <w:b/>
          <w:bCs/>
          <w:noProof/>
          <w:rtl/>
        </w:rPr>
        <w:drawing>
          <wp:anchor distT="0" distB="720090" distL="114300" distR="114300" simplePos="0" relativeHeight="251693056" behindDoc="1" locked="0" layoutInCell="1" allowOverlap="1">
            <wp:simplePos x="0" y="0"/>
            <wp:positionH relativeFrom="column">
              <wp:posOffset>4526752</wp:posOffset>
            </wp:positionH>
            <wp:positionV relativeFrom="paragraph">
              <wp:posOffset>39370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2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sidR="006E4913">
        <w:rPr>
          <w:b/>
          <w:bCs/>
          <w:spacing w:val="-4"/>
          <w:rtl/>
        </w:rPr>
        <w:t>הקמת שדה משלים לנתב"ג</w:t>
      </w:r>
      <w:r w:rsidRPr="003D70EA" w:rsidR="006E4913">
        <w:rPr>
          <w:spacing w:val="-4"/>
          <w:rtl/>
        </w:rPr>
        <w:t xml:space="preserve"> - על אף החלטות ממשלה לקידום שדה תעופה משלים לנתב"ג מיולי 2011 ומאוקטובר 2014 והכרתה בצורך הדחוף בהקמת שדה תעופה בין-לאומי אזרחי נוסף, ולמרות העובדה כי גורמי מקצוע בחנו את הנושא והמליצו בנובמבר 2017 על החלופה העדיפה והישימה, מהבחינה הביטחונית, </w:t>
      </w:r>
      <w:r w:rsidRPr="003D70EA" w:rsidR="006E4913">
        <w:rPr>
          <w:spacing w:val="-4"/>
          <w:rtl/>
        </w:rPr>
        <w:t>התעופתית</w:t>
      </w:r>
      <w:r w:rsidRPr="003D70EA" w:rsidR="006E4913">
        <w:rPr>
          <w:spacing w:val="-4"/>
          <w:rtl/>
        </w:rPr>
        <w:t xml:space="preserve"> והכלכלית, לא התקבלה הכרעה סופית על מיקומו של שדה תעופה נוסף, והנושא נפתח מחדש בהחלטת הממשלה מאוקטובר 2021</w:t>
      </w:r>
      <w:r>
        <w:rPr>
          <w:rFonts w:hint="cs"/>
          <w:spacing w:val="-4"/>
          <w:rtl/>
        </w:rPr>
        <w:t>.</w:t>
      </w:r>
    </w:p>
    <w:p w:rsidR="00F134B0" w:rsidRPr="003D70EA" w:rsidP="00F134B0" w14:paraId="22187483" w14:textId="0B3728DA">
      <w:pPr>
        <w:pStyle w:val="7317"/>
      </w:pPr>
      <w:r w:rsidRPr="00F134B0">
        <w:rPr>
          <w:rFonts w:hint="cs"/>
          <w:b/>
          <w:bCs/>
          <w:noProof/>
          <w:rtl/>
        </w:rPr>
        <w:drawing>
          <wp:anchor distT="0" distB="720090" distL="114300" distR="114300" simplePos="0" relativeHeight="251694080" behindDoc="1" locked="0" layoutInCell="1" allowOverlap="1">
            <wp:simplePos x="0" y="0"/>
            <wp:positionH relativeFrom="column">
              <wp:posOffset>4526752</wp:posOffset>
            </wp:positionH>
            <wp:positionV relativeFrom="paragraph">
              <wp:posOffset>39370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Pr>
          <w:b/>
          <w:bCs/>
          <w:rtl/>
        </w:rPr>
        <w:t>חקירת תאונות טיס ותקריות טיס</w:t>
      </w:r>
      <w:r w:rsidRPr="003D70EA">
        <w:rPr>
          <w:rtl/>
        </w:rPr>
        <w:t xml:space="preserve"> - על פי חוק הטיס, התשע"א-2011 (להלן - חוק הטיס) שר התחבורה ימנה חוקר ראשי במשרד התחבורה שיהיה ממונה על חקירות בטיחותיות. </w:t>
      </w:r>
    </w:p>
    <w:p w:rsidR="00F134B0" w:rsidRPr="003D70EA" w:rsidP="003F32E4" w14:paraId="1F3A7CAA" w14:textId="282B8DC6">
      <w:pPr>
        <w:pStyle w:val="7317"/>
        <w:numPr>
          <w:ilvl w:val="0"/>
          <w:numId w:val="49"/>
        </w:numPr>
      </w:pPr>
      <w:r w:rsidRPr="003D70EA">
        <w:rPr>
          <w:rtl/>
        </w:rPr>
        <w:t xml:space="preserve">עלה כי בשנים 2017 - 2021 היו הבדלים בין נתוני </w:t>
      </w:r>
      <w:r w:rsidRPr="003D70EA">
        <w:rPr>
          <w:rtl/>
        </w:rPr>
        <w:t>רת"א</w:t>
      </w:r>
      <w:r w:rsidRPr="003D70EA">
        <w:rPr>
          <w:rtl/>
        </w:rPr>
        <w:t xml:space="preserve"> לנתוני החוקר הראשי, בעיקר בכל הנוגע לתאונות ולפצועים, וכי נתוני החוקר הראשי היו בדרך כלל גבוהים מנתוני </w:t>
      </w:r>
      <w:r w:rsidRPr="003D70EA">
        <w:rPr>
          <w:rtl/>
        </w:rPr>
        <w:t>רת"א</w:t>
      </w:r>
      <w:r w:rsidRPr="003D70EA">
        <w:rPr>
          <w:rtl/>
        </w:rPr>
        <w:t xml:space="preserve">. בנוגע למספר ההרוגים לא היו הבדלים באותן שנים. נתוני החוקר הראשי בשנים 2017 - 2021 בנוגע לתאונות היו גבוהים מנתוני </w:t>
      </w:r>
      <w:r w:rsidRPr="003D70EA">
        <w:rPr>
          <w:rtl/>
        </w:rPr>
        <w:t>רת"א</w:t>
      </w:r>
      <w:r w:rsidRPr="003D70EA">
        <w:rPr>
          <w:rtl/>
        </w:rPr>
        <w:t xml:space="preserve"> ב-3.6% ועד 54.3%; ובנוגע לפצועים - ב-12.5% ועד 180%. עיקרי ההבדלים היו בשנים שטרום הקורונה, שבהן פעלה התעופה האזרחית ללא מגבלות ובתנאים רגילים. ההבדלים בין הנתונים על מספר התאונות בשנים 2017, 2018 ו-2019, היו 34.6%, 54.3% ו-18.2% בהתאמה; וההבדלים בין הנתונים על מספר הפצועים באותן שלוש שנים היו 14.3%, 162.5% </w:t>
      </w:r>
      <w:r w:rsidR="003F32E4">
        <w:rPr>
          <w:rtl/>
        </w:rPr>
        <w:br/>
      </w:r>
      <w:r w:rsidRPr="003D70EA">
        <w:rPr>
          <w:rtl/>
        </w:rPr>
        <w:t xml:space="preserve">ו-180% בהתאמה. </w:t>
      </w:r>
    </w:p>
    <w:p w:rsidR="00F134B0" w:rsidRPr="003D70EA" w:rsidP="003F32E4" w14:paraId="21CD4CA4" w14:textId="2CF8E500">
      <w:pPr>
        <w:pStyle w:val="7317"/>
        <w:numPr>
          <w:ilvl w:val="0"/>
          <w:numId w:val="49"/>
        </w:numPr>
      </w:pPr>
      <w:r w:rsidRPr="003D70EA">
        <w:rPr>
          <w:rtl/>
        </w:rPr>
        <w:t xml:space="preserve">עלה כי שיעור ההמלצות מדוחות החוקר הראשי שקיבלה ויישמה </w:t>
      </w:r>
      <w:r w:rsidRPr="003D70EA">
        <w:rPr>
          <w:rtl/>
        </w:rPr>
        <w:t>רת"א</w:t>
      </w:r>
      <w:r w:rsidRPr="003D70EA">
        <w:rPr>
          <w:rtl/>
        </w:rPr>
        <w:t xml:space="preserve"> בשנים</w:t>
      </w:r>
      <w:r w:rsidR="003F32E4">
        <w:rPr>
          <w:rtl/>
        </w:rPr>
        <w:br/>
      </w:r>
      <w:r w:rsidRPr="003D70EA">
        <w:rPr>
          <w:rtl/>
        </w:rPr>
        <w:t xml:space="preserve">2017 - 2021 נמוך מ-50%, ובשלוש השנים 2019 - 2021 נע השיעור בין 25% ל-33% בלבד. בשנים 2017 ו-2018 ניתנו למשרד התחבורה שבע וארבע המלצות בהתאמה, אך אף אחת מהן לא התקבלה, וממילא לא יושמה. </w:t>
      </w:r>
    </w:p>
    <w:p w:rsidR="00F134B0" w:rsidP="003F32E4" w14:paraId="49DCE781" w14:textId="77777777">
      <w:pPr>
        <w:pStyle w:val="7317"/>
        <w:numPr>
          <w:ilvl w:val="0"/>
          <w:numId w:val="49"/>
        </w:numPr>
      </w:pPr>
      <w:r w:rsidRPr="003D70EA">
        <w:rPr>
          <w:rtl/>
        </w:rPr>
        <w:t>עלה כי משנת 2017 יש ירידה במספר דוחות החקירה הסופיים מ-28 בשנת 2017 ל-15 בשנת 2021, ירידה של כ-46%. בשנת 2020, עקב משבר הקורונה וירידה בפעילות התעופה האזרחית, יצאו שמונה דוחות סופיים.</w:t>
      </w:r>
    </w:p>
    <w:p w:rsidR="00F134B0" w:rsidRPr="003D70EA" w:rsidP="003F32E4" w14:paraId="5C0202F9" w14:textId="3B073943">
      <w:pPr>
        <w:pStyle w:val="7317"/>
        <w:numPr>
          <w:ilvl w:val="0"/>
          <w:numId w:val="49"/>
        </w:numPr>
      </w:pPr>
      <w:r w:rsidRPr="003D70EA">
        <w:rPr>
          <w:rtl/>
        </w:rPr>
        <w:t xml:space="preserve">עלה כי עד מועד סיום הביקורת, מרץ 2022, לא הוקמה רשות חוקרת עצמאית בהתאם לסטנדרטים הבין-לאומיים שקבע </w:t>
      </w:r>
      <w:r w:rsidRPr="003D70EA">
        <w:t>ICAO</w:t>
      </w:r>
      <w:r w:rsidRPr="003D70EA">
        <w:rPr>
          <w:rtl/>
        </w:rPr>
        <w:t>. הפער מתחדד על רקע הודעת משרד התחבורה ל-</w:t>
      </w:r>
      <w:r w:rsidRPr="003D70EA">
        <w:t>ICAO</w:t>
      </w:r>
      <w:r w:rsidRPr="003D70EA">
        <w:rPr>
          <w:rtl/>
        </w:rPr>
        <w:t xml:space="preserve"> ביוני 2017 כי הנושא של הקמת רשות חוקרת עצמאית יטופל עד 1.3.19. בהערות דוח המבדק האחרון של </w:t>
      </w:r>
      <w:r w:rsidRPr="003D70EA">
        <w:t>ICAO</w:t>
      </w:r>
      <w:r w:rsidRPr="003D70EA">
        <w:rPr>
          <w:rtl/>
        </w:rPr>
        <w:t xml:space="preserve"> בשנת 2016 נכללה המלצה לישראל </w:t>
      </w:r>
      <w:r w:rsidRPr="003D70EA">
        <w:rPr>
          <w:rtl/>
        </w:rPr>
        <w:t>להקים רשות חקירה עצמאית, ובהיעדרה ירד הציון של מדינת ישראל בתחום חקירת תאונות כלי טיס מ-91% ל-63%</w:t>
      </w:r>
      <w:r>
        <w:rPr>
          <w:rFonts w:hint="cs"/>
          <w:rtl/>
        </w:rPr>
        <w:t>.</w:t>
      </w:r>
      <w:r w:rsidRPr="003D70EA">
        <w:rPr>
          <w:rtl/>
        </w:rPr>
        <w:t xml:space="preserve"> </w:t>
      </w:r>
    </w:p>
    <w:p w:rsidR="006E4913" w:rsidP="006E4913" w14:paraId="539C3212" w14:textId="7D4AF863">
      <w:pPr>
        <w:pStyle w:val="7392"/>
        <w:ind w:left="424"/>
        <w:rPr>
          <w:noProof/>
        </w:rPr>
      </w:pPr>
      <w:r w:rsidRPr="00F134B0">
        <w:rPr>
          <w:rFonts w:hint="cs"/>
          <w:b/>
          <w:bCs/>
          <w:noProof/>
          <w:rtl/>
        </w:rPr>
        <w:drawing>
          <wp:anchor distT="0" distB="720090" distL="114300" distR="114300" simplePos="0" relativeHeight="251701248" behindDoc="1" locked="0" layoutInCell="1" allowOverlap="1">
            <wp:simplePos x="0" y="0"/>
            <wp:positionH relativeFrom="column">
              <wp:posOffset>4526752</wp:posOffset>
            </wp:positionH>
            <wp:positionV relativeFrom="paragraph">
              <wp:posOffset>39370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Pr>
          <w:b/>
          <w:bCs/>
          <w:spacing w:val="-4"/>
          <w:rtl/>
        </w:rPr>
        <w:t>פיקוח סייבר על המובילים האוויריים</w:t>
      </w:r>
      <w:r w:rsidRPr="003D70EA">
        <w:rPr>
          <w:spacing w:val="-4"/>
          <w:rtl/>
        </w:rPr>
        <w:t xml:space="preserve"> - עלה כי המובילים האוויריים</w:t>
      </w:r>
      <w:r>
        <w:rPr>
          <w:spacing w:val="-4"/>
          <w:vertAlign w:val="superscript"/>
          <w:rtl/>
        </w:rPr>
        <w:footnoteReference w:id="4"/>
      </w:r>
      <w:r w:rsidRPr="003D70EA">
        <w:rPr>
          <w:spacing w:val="-4"/>
          <w:rtl/>
        </w:rPr>
        <w:t xml:space="preserve"> לא הוגדרו כתשתית מדינה קריטית (</w:t>
      </w:r>
      <w:r w:rsidRPr="003D70EA">
        <w:rPr>
          <w:spacing w:val="-4"/>
          <w:rtl/>
        </w:rPr>
        <w:t>תמ"ק</w:t>
      </w:r>
      <w:r w:rsidRPr="003D70EA">
        <w:rPr>
          <w:spacing w:val="-4"/>
          <w:rtl/>
        </w:rPr>
        <w:t xml:space="preserve">), ומשכך הם לא תחת הנחייתו המקצועית של מערך הסייבר בכל הנוגע לפעולות לאבטחת מידע. היכולת של </w:t>
      </w:r>
      <w:r w:rsidRPr="003D70EA">
        <w:rPr>
          <w:spacing w:val="-4"/>
          <w:rtl/>
        </w:rPr>
        <w:t>רת"א</w:t>
      </w:r>
      <w:r w:rsidRPr="003D70EA">
        <w:rPr>
          <w:spacing w:val="-4"/>
          <w:rtl/>
        </w:rPr>
        <w:t xml:space="preserve"> לפקח על המובילים האוויריים, מכוני הבדק ותעשיות הייצור מוגבלת בשל היעדר חקיקה מסמיכה מתאימה, שתאפשר לה לפקח באופן אפקטיבי על תחום התעופה האזרחית בכל הנוגע להגנת סייבר</w:t>
      </w:r>
      <w:r w:rsidRPr="003D70EA">
        <w:rPr>
          <w:rFonts w:hint="cs"/>
          <w:spacing w:val="-4"/>
          <w:rtl/>
        </w:rPr>
        <w:t>.</w:t>
      </w:r>
      <w:r w:rsidRPr="003D70EA">
        <w:rPr>
          <w:spacing w:val="-4"/>
          <w:rtl/>
        </w:rPr>
        <w:t xml:space="preserve"> כמו כן, במועד סיום הביקורת </w:t>
      </w:r>
      <w:r w:rsidRPr="003D70EA">
        <w:rPr>
          <w:rFonts w:hint="eastAsia"/>
          <w:spacing w:val="-4"/>
          <w:rtl/>
        </w:rPr>
        <w:t>עלו</w:t>
      </w:r>
      <w:r w:rsidRPr="003D70EA">
        <w:rPr>
          <w:spacing w:val="-4"/>
          <w:rtl/>
        </w:rPr>
        <w:t xml:space="preserve"> </w:t>
      </w:r>
      <w:r w:rsidRPr="003D70EA">
        <w:rPr>
          <w:spacing w:val="-4"/>
          <w:rtl/>
        </w:rPr>
        <w:t>ברת"א</w:t>
      </w:r>
      <w:r w:rsidRPr="003D70EA">
        <w:rPr>
          <w:spacing w:val="-4"/>
          <w:rtl/>
        </w:rPr>
        <w:t xml:space="preserve"> </w:t>
      </w:r>
      <w:r w:rsidRPr="003D70EA">
        <w:rPr>
          <w:rFonts w:hint="eastAsia"/>
          <w:spacing w:val="-4"/>
          <w:rtl/>
        </w:rPr>
        <w:t>פערים</w:t>
      </w:r>
      <w:r w:rsidRPr="003D70EA">
        <w:rPr>
          <w:spacing w:val="-4"/>
          <w:rtl/>
        </w:rPr>
        <w:t xml:space="preserve"> בהיבטי כוח האדם והתקציב הדרושים לצורך פיקוח בתחום הסייבר</w:t>
      </w:r>
      <w:r>
        <w:rPr>
          <w:rFonts w:hint="cs"/>
          <w:noProof/>
          <w:rtl/>
        </w:rPr>
        <w:t>.</w:t>
      </w:r>
    </w:p>
    <w:p w:rsidR="00747AE5" w:rsidP="00D8446F" w14:paraId="64F860ED" w14:textId="55393953">
      <w:pPr>
        <w:pStyle w:val="7392"/>
        <w:ind w:left="424"/>
        <w:rPr>
          <w:noProof/>
          <w:rtl/>
        </w:rPr>
      </w:pPr>
      <w:r w:rsidRPr="00F134B0">
        <w:rPr>
          <w:rStyle w:val="7371"/>
          <w:rFonts w:hint="cs"/>
          <w:noProof/>
          <w:rtl/>
        </w:rPr>
        <w:drawing>
          <wp:anchor distT="0" distB="0" distL="114300" distR="114300" simplePos="0" relativeHeight="251681792" behindDoc="0" locked="0" layoutInCell="1" allowOverlap="1">
            <wp:simplePos x="0" y="0"/>
            <wp:positionH relativeFrom="column">
              <wp:posOffset>2423160</wp:posOffset>
            </wp:positionH>
            <wp:positionV relativeFrom="paragraph">
              <wp:posOffset>2071649</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F134B0" w:rsidR="00D8446F">
        <w:rPr>
          <w:rFonts w:hint="cs"/>
          <w:b/>
          <w:bCs/>
          <w:noProof/>
          <w:rtl/>
        </w:rPr>
        <w:drawing>
          <wp:anchor distT="0" distB="720090" distL="114300" distR="114300" simplePos="0" relativeHeight="251695104" behindDoc="1" locked="0" layoutInCell="1" allowOverlap="1">
            <wp:simplePos x="0" y="0"/>
            <wp:positionH relativeFrom="column">
              <wp:posOffset>4526752</wp:posOffset>
            </wp:positionH>
            <wp:positionV relativeFrom="paragraph">
              <wp:posOffset>39370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4B0" w:rsidR="006E4913">
        <w:rPr>
          <w:b/>
          <w:bCs/>
          <w:spacing w:val="-4"/>
          <w:rtl/>
        </w:rPr>
        <w:t xml:space="preserve">היערכות לאסון תעופתי </w:t>
      </w:r>
      <w:r w:rsidRPr="003D70EA" w:rsidR="006E4913">
        <w:rPr>
          <w:spacing w:val="-4"/>
          <w:rtl/>
        </w:rPr>
        <w:t>- עלה כי עד מועד סיום הביקורת, מרץ 2022, לא גובשו הוראות להפעלה משולבת, כאמור בפקודת המשטרה, המסדירות את הטיפול באירוע חירום אזרחי ואת התיאומים הנדרשים בין המשטרה לגופי ההצלה שיפעלו בשטח, וכי בהיעדר ההוראות להפעלה משולבת, לא נכתבו הוראות מקצועיות על ידי כל אחד מגופי ההצלה. כמו כן עלה כי תחום החיפוש וההצלה, במקרה של תאונה שאינה בתחום שדה תעופה, אינו מוסדר במלואו, והתוצאה של אי-ההסדרה היא שמערך החיפוש והצלה, הפועל באמצעות הארגונים השונים, פועל על פי נוהג ולא במסגרת מוסדרת ומוסכמת מראש באופן מלא, ובלי חלוקת תפקידים וסמכויות בין הגורמים המעורבים. על כן ניהול אירוע חיפוש והצלה משתנה ממקרה למקרה ומושפע מהחלטות אד-הוק ואלתורים שעלולים להוביל לתוצאה שאינה אופטימלית. עוד עלה כי לא נערכים תרגילים המדמים אסון תעופה המוני מחוץ לשדה התעופה ובשטח עירוני ולא נבחנה יכולת הגופים המעורבים לטפל באירוע מסוג זה</w:t>
      </w:r>
      <w:r>
        <w:rPr>
          <w:rFonts w:hint="cs"/>
          <w:noProof/>
          <w:rtl/>
        </w:rPr>
        <w:t>.</w:t>
      </w:r>
    </w:p>
    <w:p w:rsidR="00420374" w:rsidRPr="00747AE5" w:rsidP="00420374" w14:paraId="5E6B04AD" w14:textId="1C3C6D49">
      <w:pPr>
        <w:pStyle w:val="7392"/>
        <w:spacing w:before="360"/>
        <w:rPr>
          <w:rtl/>
        </w:rPr>
      </w:pPr>
      <w:r w:rsidRPr="00F134B0">
        <w:rPr>
          <w:rStyle w:val="7371"/>
          <w:rtl/>
        </w:rPr>
        <w:t>עליית הדירוג של ישראל</w:t>
      </w:r>
      <w:r w:rsidRPr="00D51CAB">
        <w:rPr>
          <w:rtl/>
        </w:rPr>
        <w:t xml:space="preserve"> - </w:t>
      </w:r>
      <w:r w:rsidRPr="00D51CAB">
        <w:rPr>
          <w:rtl/>
        </w:rPr>
        <w:t>רת"א</w:t>
      </w:r>
      <w:r w:rsidRPr="00D51CAB">
        <w:rPr>
          <w:rtl/>
        </w:rPr>
        <w:t xml:space="preserve"> נקטה פעולות שהביאו לשיפור הציון של ישראל במבדק של </w:t>
      </w:r>
      <w:r w:rsidRPr="00D51CAB">
        <w:t>ICAO</w:t>
      </w:r>
      <w:r w:rsidRPr="00D51CAB">
        <w:rPr>
          <w:rtl/>
        </w:rPr>
        <w:t xml:space="preserve"> בשנת 2014 והעלו את דירוגה הכללי של ישראל ביחס למדינות העולם ממקום 105 למקום 21. עם זאת, עלה כי בעקבות מבדק נוסף של </w:t>
      </w:r>
      <w:r w:rsidRPr="00D51CAB">
        <w:t>ICAO</w:t>
      </w:r>
      <w:r w:rsidRPr="00D51CAB">
        <w:rPr>
          <w:rtl/>
        </w:rPr>
        <w:t xml:space="preserve"> בישראל בשנת 2016, בתחום חקירות תאונות כלי טיס, פחת הציון הכולל של ישראל ודירוגה ירד ממקום 21 למקום ה-39. נכון ליוני 2022 הדירוג הכללי של ישראל ירד למקום 52</w:t>
      </w:r>
      <w:r w:rsidRPr="00747AE5">
        <w:rPr>
          <w:rtl/>
        </w:rPr>
        <w:t>.</w:t>
      </w:r>
    </w:p>
    <w:p w:rsidR="00F134B0" w14:paraId="3688BCDA" w14:textId="77777777">
      <w:pPr>
        <w:bidi w:val="0"/>
        <w:spacing w:after="200" w:line="276" w:lineRule="auto"/>
        <w:rPr>
          <w:rFonts w:ascii="Tahoma" w:hAnsi="Tahoma" w:eastAsiaTheme="minorEastAsia" w:cs="Tahoma"/>
          <w:bCs/>
          <w:color w:val="00305F"/>
          <w:sz w:val="31"/>
          <w:szCs w:val="31"/>
          <w:rtl/>
        </w:rPr>
      </w:pPr>
      <w:r>
        <w:rPr>
          <w:rtl/>
        </w:rPr>
        <w:br w:type="page"/>
      </w:r>
    </w:p>
    <w:p w:rsidR="002753C7" w:rsidRPr="00662020" w:rsidP="003827EF" w14:paraId="7C748CCB" w14:textId="41CB7D0A">
      <w:pPr>
        <w:pStyle w:val="7327"/>
        <w:spacing w:before="480" w:after="240"/>
        <w:rPr>
          <w:rtl/>
        </w:rPr>
      </w:pPr>
      <w:r w:rsidRPr="00662020">
        <w:rPr>
          <w:rFonts w:hint="cs"/>
          <w:rtl/>
        </w:rPr>
        <w:t>עיקרי המלצות הביקורת</w:t>
      </w:r>
    </w:p>
    <w:p w:rsidR="0093709F" w:rsidP="00583ABB" w14:paraId="0466320B" w14:textId="5B69422B">
      <w:pPr>
        <w:pStyle w:val="7317"/>
        <w:ind w:left="566"/>
      </w:pPr>
      <w:r w:rsidRPr="00B02658">
        <w:rPr>
          <w:rFonts w:hint="cs"/>
          <w:b/>
          <w:bCs/>
          <w:noProof/>
          <w:rtl/>
        </w:rPr>
        <w:drawing>
          <wp:anchor distT="0" distB="1440180" distL="107950" distR="114300" simplePos="0" relativeHeight="251697152" behindDoc="1" locked="0" layoutInCell="1" allowOverlap="1">
            <wp:simplePos x="0" y="0"/>
            <wp:positionH relativeFrom="column">
              <wp:posOffset>4503420</wp:posOffset>
            </wp:positionH>
            <wp:positionV relativeFrom="paragraph">
              <wp:posOffset>40511</wp:posOffset>
            </wp:positionV>
            <wp:extent cx="144000" cy="162000"/>
            <wp:effectExtent l="0" t="0" r="0" b="3175"/>
            <wp:wrapTight wrapText="bothSides">
              <wp:wrapPolygon>
                <wp:start x="1912" y="0"/>
                <wp:lineTo x="0" y="1694"/>
                <wp:lineTo x="0" y="20329"/>
                <wp:lineTo x="19115" y="20329"/>
                <wp:lineTo x="19115" y="0"/>
                <wp:lineTo x="1912" y="0"/>
              </wp:wrapPolygon>
            </wp:wrapTight>
            <wp:docPr id="14510666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51CAB" w:rsidR="00F134B0">
        <w:rPr>
          <w:rtl/>
        </w:rPr>
        <w:t xml:space="preserve">מומלץ למשרד התחבורה, </w:t>
      </w:r>
      <w:r w:rsidRPr="00D51CAB" w:rsidR="00F134B0">
        <w:rPr>
          <w:rtl/>
        </w:rPr>
        <w:t>לרת"א</w:t>
      </w:r>
      <w:r w:rsidRPr="00D51CAB" w:rsidR="00F134B0">
        <w:rPr>
          <w:rtl/>
        </w:rPr>
        <w:t xml:space="preserve"> ולמשרד הביטחון, לנוכח ההתרחבות המתמשכת של פעילות התעופה האזרחית, לבחון מפעם לפעם לעומק את הקצאת המרחב האווירי לשימושים השונים מתוך התחשבות במכלול האינטרסים - הביטחוניים, בטיחות התעופה האזרחית וניהול התעבורה האווירית, הכלכליים, ויחסי החוץ של ישראל</w:t>
      </w:r>
      <w:r w:rsidRPr="008E57FE" w:rsidR="005D0F8C">
        <w:rPr>
          <w:rFonts w:hint="cs"/>
          <w:rtl/>
        </w:rPr>
        <w:t xml:space="preserve">. </w:t>
      </w:r>
    </w:p>
    <w:p w:rsidR="005D0F8C" w:rsidRPr="008E57FE" w:rsidP="00583ABB" w14:paraId="6C626C68" w14:textId="4B4029EE">
      <w:pPr>
        <w:pStyle w:val="7317"/>
        <w:ind w:left="566"/>
      </w:pPr>
      <w:r w:rsidRPr="00B02658">
        <w:rPr>
          <w:rFonts w:hint="cs"/>
          <w:b/>
          <w:bCs/>
          <w:noProof/>
          <w:rtl/>
        </w:rPr>
        <w:drawing>
          <wp:anchor distT="0" distB="1440180" distL="107950" distR="114300" simplePos="0" relativeHeight="251698176" behindDoc="1" locked="0" layoutInCell="1" allowOverlap="1">
            <wp:simplePos x="0" y="0"/>
            <wp:positionH relativeFrom="column">
              <wp:posOffset>4504055</wp:posOffset>
            </wp:positionH>
            <wp:positionV relativeFrom="paragraph">
              <wp:posOffset>6350</wp:posOffset>
            </wp:positionV>
            <wp:extent cx="144000" cy="162000"/>
            <wp:effectExtent l="0" t="0" r="0" b="3175"/>
            <wp:wrapTight wrapText="bothSides">
              <wp:wrapPolygon>
                <wp:start x="1912" y="0"/>
                <wp:lineTo x="0" y="1694"/>
                <wp:lineTo x="0" y="20329"/>
                <wp:lineTo x="19115" y="20329"/>
                <wp:lineTo x="19115" y="0"/>
                <wp:lineTo x="1912" y="0"/>
              </wp:wrapPolygon>
            </wp:wrapTight>
            <wp:docPr id="14510666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51CAB" w:rsidR="00F134B0">
        <w:rPr>
          <w:rtl/>
        </w:rPr>
        <w:t xml:space="preserve">מומלץ כי </w:t>
      </w:r>
      <w:r w:rsidRPr="00D51CAB" w:rsidR="00F134B0">
        <w:rPr>
          <w:rtl/>
        </w:rPr>
        <w:t>רש"ת</w:t>
      </w:r>
      <w:r w:rsidRPr="00D51CAB" w:rsidR="00F134B0">
        <w:rPr>
          <w:rtl/>
        </w:rPr>
        <w:t xml:space="preserve">, </w:t>
      </w:r>
      <w:r w:rsidRPr="00D51CAB" w:rsidR="00F134B0">
        <w:rPr>
          <w:rtl/>
        </w:rPr>
        <w:t>רת"א</w:t>
      </w:r>
      <w:r w:rsidRPr="00D51CAB" w:rsidR="00F134B0">
        <w:rPr>
          <w:rtl/>
        </w:rPr>
        <w:t xml:space="preserve"> וחיל האוויר לא יסתפקו בהסדרת פטור למתקני העזר לטיסה המיושנים, אלא גם יפעלו לכך שכלל המתקנים שבהם עושה </w:t>
      </w:r>
      <w:r w:rsidRPr="00D51CAB" w:rsidR="00F134B0">
        <w:rPr>
          <w:rtl/>
        </w:rPr>
        <w:t>רש"ת</w:t>
      </w:r>
      <w:r w:rsidRPr="00D51CAB" w:rsidR="00F134B0">
        <w:rPr>
          <w:rtl/>
        </w:rPr>
        <w:t xml:space="preserve"> שימוש לניהול התעבורה האווירית יעמדו בתקן הבין-לאומי, ובכללם המכ"מים ומערכת עיבוד מידע של חיל האוויר, וכן מערכת ה-</w:t>
      </w:r>
      <w:r w:rsidRPr="00D51CAB" w:rsidR="00F134B0">
        <w:t>ARTS</w:t>
      </w:r>
      <w:r w:rsidRPr="00D51CAB" w:rsidR="00F134B0">
        <w:rPr>
          <w:rtl/>
        </w:rPr>
        <w:t xml:space="preserve"> של </w:t>
      </w:r>
      <w:r w:rsidRPr="00D51CAB" w:rsidR="00F134B0">
        <w:rPr>
          <w:rtl/>
        </w:rPr>
        <w:t>רש"ת</w:t>
      </w:r>
      <w:r w:rsidRPr="00D51CAB" w:rsidR="00F134B0">
        <w:rPr>
          <w:rtl/>
        </w:rPr>
        <w:t xml:space="preserve">, כדי לשפר את רמת בטיחות התעופה בפועל. על </w:t>
      </w:r>
      <w:r w:rsidRPr="00D51CAB" w:rsidR="00F134B0">
        <w:rPr>
          <w:rtl/>
        </w:rPr>
        <w:t>רש"ת</w:t>
      </w:r>
      <w:r w:rsidRPr="00D51CAB" w:rsidR="00F134B0">
        <w:rPr>
          <w:rtl/>
        </w:rPr>
        <w:t xml:space="preserve"> לחדד את נהליה ואת דרכי הפעולה שלה להתמודדות עם חסימות</w:t>
      </w:r>
      <w:r w:rsidRPr="00D51CAB" w:rsidR="00F134B0">
        <w:rPr>
          <w:rFonts w:hint="cs"/>
          <w:rtl/>
        </w:rPr>
        <w:t xml:space="preserve"> אלקטרוניות</w:t>
      </w:r>
      <w:r w:rsidRPr="00D51CAB" w:rsidR="00F134B0">
        <w:rPr>
          <w:rtl/>
        </w:rPr>
        <w:t xml:space="preserve">, ולהמשיך לבחון, באישור </w:t>
      </w:r>
      <w:r w:rsidRPr="00D51CAB" w:rsidR="00F134B0">
        <w:rPr>
          <w:rtl/>
        </w:rPr>
        <w:t>רת"א</w:t>
      </w:r>
      <w:r w:rsidRPr="00D51CAB" w:rsidR="00F134B0">
        <w:rPr>
          <w:rtl/>
        </w:rPr>
        <w:t xml:space="preserve"> ובשיתופה, דרכים וטכנולוגיות חדשות להתמודדות, וליידע את חברות התעופה בפעולות שיינקטו לטיפול בחסימות.</w:t>
      </w:r>
      <w:r w:rsidRPr="00D51CAB" w:rsidR="00F134B0">
        <w:t xml:space="preserve"> </w:t>
      </w:r>
      <w:r w:rsidRPr="00D51CAB" w:rsidR="00F134B0">
        <w:rPr>
          <w:rtl/>
        </w:rPr>
        <w:t xml:space="preserve">עוד מומלץ כי חיל האוויר </w:t>
      </w:r>
      <w:r w:rsidRPr="00D51CAB" w:rsidR="00F134B0">
        <w:rPr>
          <w:rtl/>
        </w:rPr>
        <w:t>ורש"ת</w:t>
      </w:r>
      <w:r w:rsidRPr="00D51CAB" w:rsidR="00F134B0">
        <w:rPr>
          <w:rtl/>
        </w:rPr>
        <w:t xml:space="preserve"> יגבירו את שיתוף הפעולה ביניהם בנושא חסימות </w:t>
      </w:r>
      <w:r w:rsidRPr="00D51CAB" w:rsidR="00F134B0">
        <w:rPr>
          <w:rFonts w:hint="eastAsia"/>
          <w:rtl/>
        </w:rPr>
        <w:t>אלקטרוניות</w:t>
      </w:r>
      <w:r w:rsidRPr="008E57FE">
        <w:rPr>
          <w:rtl/>
        </w:rPr>
        <w:t xml:space="preserve">. </w:t>
      </w:r>
    </w:p>
    <w:p w:rsidR="005D0F8C" w:rsidP="00583ABB" w14:paraId="16E5BFEE" w14:textId="20902A12">
      <w:pPr>
        <w:pStyle w:val="7317"/>
        <w:ind w:left="566"/>
        <w:rPr>
          <w:rtl/>
        </w:rPr>
      </w:pPr>
      <w:r w:rsidRPr="00B02658">
        <w:rPr>
          <w:rFonts w:hint="cs"/>
          <w:b/>
          <w:bCs/>
          <w:noProof/>
          <w:rtl/>
        </w:rPr>
        <w:drawing>
          <wp:anchor distT="0" distB="1440180" distL="107950" distR="114300" simplePos="0" relativeHeight="251699200" behindDoc="1" locked="0" layoutInCell="1" allowOverlap="1">
            <wp:simplePos x="0" y="0"/>
            <wp:positionH relativeFrom="column">
              <wp:posOffset>4503420</wp:posOffset>
            </wp:positionH>
            <wp:positionV relativeFrom="paragraph">
              <wp:posOffset>10795</wp:posOffset>
            </wp:positionV>
            <wp:extent cx="143510" cy="161925"/>
            <wp:effectExtent l="0" t="0" r="0" b="3175"/>
            <wp:wrapTight wrapText="bothSides">
              <wp:wrapPolygon>
                <wp:start x="1912" y="0"/>
                <wp:lineTo x="0" y="1694"/>
                <wp:lineTo x="0" y="20329"/>
                <wp:lineTo x="19115" y="20329"/>
                <wp:lineTo x="19115" y="0"/>
                <wp:lineTo x="1912" y="0"/>
              </wp:wrapPolygon>
            </wp:wrapTight>
            <wp:docPr id="145106663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D51CAB" w:rsidR="00F134B0">
        <w:rPr>
          <w:rtl/>
        </w:rPr>
        <w:t xml:space="preserve">מומלץ </w:t>
      </w:r>
      <w:r w:rsidRPr="00D51CAB" w:rsidR="00F134B0">
        <w:rPr>
          <w:rtl/>
        </w:rPr>
        <w:t>לרש"ת</w:t>
      </w:r>
      <w:r w:rsidRPr="00D51CAB" w:rsidR="00F134B0">
        <w:rPr>
          <w:rtl/>
        </w:rPr>
        <w:t xml:space="preserve"> ולחיל האוויר לבחון לעומק את רמת שיתוף הפעולה ביניהם בכל הקשור לניהול התעבורה האווירית האזרחית, ואת הסיבות והגורמים - האנושיים והטכנולוגיים - לריבוי התקלות, לשקול שדרוגים ועדכונים של המערכות להגברת אמינותן, לבצע תחקירים ולהפיק לקחים בכל מקרה של תקלה, ליצור נוהלי עבודה משותפים </w:t>
      </w:r>
      <w:r w:rsidRPr="00D51CAB" w:rsidR="00F134B0">
        <w:rPr>
          <w:rtl/>
        </w:rPr>
        <w:t>לרש"ת</w:t>
      </w:r>
      <w:r w:rsidRPr="00D51CAB" w:rsidR="00F134B0">
        <w:rPr>
          <w:rtl/>
        </w:rPr>
        <w:t xml:space="preserve"> וחיל האוויר ולבנות מערכת תיאום הדדית, כל זאת כדי לשפר את ההתנהלות ביחידות הבקרה, למנוע סיכונים מיותרים ולשפר את בטיחות התעופה האזרחית על פי הסטנדרטים המקובלים בעולם</w:t>
      </w:r>
      <w:r w:rsidRPr="008E57FE">
        <w:rPr>
          <w:rFonts w:hint="cs"/>
          <w:rtl/>
        </w:rPr>
        <w:t>.</w:t>
      </w:r>
    </w:p>
    <w:p w:rsidR="00706096" w:rsidP="00583ABB" w14:paraId="3F6A2BE4" w14:textId="40C5FF91">
      <w:pPr>
        <w:pStyle w:val="7317"/>
        <w:ind w:left="566"/>
        <w:rPr>
          <w:rtl/>
        </w:rPr>
      </w:pPr>
      <w:r w:rsidRPr="00B02658">
        <w:rPr>
          <w:rFonts w:hint="cs"/>
          <w:b/>
          <w:bCs/>
          <w:noProof/>
          <w:rtl/>
        </w:rPr>
        <w:drawing>
          <wp:anchor distT="0" distB="1440180" distL="107950" distR="114300" simplePos="0" relativeHeight="251700224" behindDoc="1" locked="0" layoutInCell="1" allowOverlap="1">
            <wp:simplePos x="0" y="0"/>
            <wp:positionH relativeFrom="column">
              <wp:posOffset>4503420</wp:posOffset>
            </wp:positionH>
            <wp:positionV relativeFrom="paragraph">
              <wp:posOffset>10666</wp:posOffset>
            </wp:positionV>
            <wp:extent cx="143510" cy="161925"/>
            <wp:effectExtent l="0" t="0" r="0" b="3175"/>
            <wp:wrapTight wrapText="bothSides">
              <wp:wrapPolygon>
                <wp:start x="1912" y="0"/>
                <wp:lineTo x="0" y="1694"/>
                <wp:lineTo x="0" y="20329"/>
                <wp:lineTo x="19115" y="20329"/>
                <wp:lineTo x="19115" y="0"/>
                <wp:lineTo x="1912" y="0"/>
              </wp:wrapPolygon>
            </wp:wrapTight>
            <wp:docPr id="145106663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D51CAB" w:rsidR="00F134B0">
        <w:rPr>
          <w:rtl/>
        </w:rPr>
        <w:t>מומלץ למשרד התחבורה להשלים הקמת רשות חקירה עצמאית בהתאם לסטנדרטים הקבועים ולמקובל בעולם, ובהתאם להודעתו ל-</w:t>
      </w:r>
      <w:r w:rsidRPr="00D51CAB" w:rsidR="00F134B0">
        <w:t>ICAO</w:t>
      </w:r>
      <w:r w:rsidRPr="00D51CAB" w:rsidR="00F134B0">
        <w:rPr>
          <w:rtl/>
        </w:rPr>
        <w:t xml:space="preserve"> ביוני 2017. מומלץ </w:t>
      </w:r>
      <w:r w:rsidRPr="00D51CAB" w:rsidR="00F134B0">
        <w:rPr>
          <w:rtl/>
        </w:rPr>
        <w:t>לרת"א</w:t>
      </w:r>
      <w:r w:rsidRPr="00D51CAB" w:rsidR="00F134B0">
        <w:rPr>
          <w:rtl/>
        </w:rPr>
        <w:t xml:space="preserve"> לפעול למימוש מלוא תוכנית העבודה של הפיקוח, ובפרט לגבי המובילים האוויריים ופיקוח הנתיב.</w:t>
      </w:r>
      <w:r w:rsidRPr="00D51CAB" w:rsidR="00F134B0">
        <w:t xml:space="preserve"> </w:t>
      </w:r>
      <w:r w:rsidRPr="00D51CAB" w:rsidR="00F134B0">
        <w:rPr>
          <w:rtl/>
        </w:rPr>
        <w:t xml:space="preserve">מומלץ </w:t>
      </w:r>
      <w:r w:rsidRPr="00D51CAB" w:rsidR="00F134B0">
        <w:rPr>
          <w:rtl/>
        </w:rPr>
        <w:t>לרת"א</w:t>
      </w:r>
      <w:r w:rsidRPr="00D51CAB" w:rsidR="00F134B0">
        <w:rPr>
          <w:rtl/>
        </w:rPr>
        <w:t>, למשרד התחבורה ולמערך הסייבר הלאומי לפעול מול משרד האוצר ונציבות שירות המדינה לצורך בחינת האפשרות להקצאת משאבים ולגיוס כוח אדם מתאים לבניית יכולות למימוש המדיניות וההמלצות לשיפור הגנת הסייבר בתחום התעופה</w:t>
      </w:r>
      <w:r w:rsidRPr="008E57FE">
        <w:rPr>
          <w:rFonts w:hint="cs"/>
          <w:rtl/>
        </w:rPr>
        <w:t>.</w:t>
      </w:r>
    </w:p>
    <w:p w:rsidR="00F134B0" w14:paraId="06EA2C6E" w14:textId="298F9C22">
      <w:pPr>
        <w:bidi w:val="0"/>
        <w:spacing w:after="200" w:line="276" w:lineRule="auto"/>
        <w:rPr>
          <w:rFonts w:ascii="Tahoma" w:hAnsi="Tahoma" w:cs="Tahoma"/>
          <w:color w:val="0D0D0D" w:themeColor="text1" w:themeTint="F2"/>
          <w:sz w:val="18"/>
          <w:szCs w:val="18"/>
          <w:rtl/>
        </w:rPr>
      </w:pPr>
      <w:r>
        <w:rPr>
          <w:rtl/>
        </w:rPr>
        <w:br w:type="page"/>
      </w:r>
    </w:p>
    <w:p w:rsidR="005D0F8C" w:rsidP="00706096" w14:paraId="24125138" w14:textId="57EDB0AA">
      <w:pPr>
        <w:tabs>
          <w:tab w:val="right" w:pos="7370"/>
        </w:tabs>
        <w:bidi w:val="0"/>
        <w:spacing w:after="200" w:line="276" w:lineRule="auto"/>
        <w:rPr>
          <w:rtl/>
        </w:rPr>
      </w:pPr>
      <w:r w:rsidRPr="00D527BD">
        <w:rPr>
          <w:noProof/>
          <w:szCs w:val="20"/>
          <w:rtl/>
        </w:rPr>
        <w:drawing>
          <wp:anchor distT="0" distB="0" distL="114300" distR="114300" simplePos="0" relativeHeight="251678720" behindDoc="0" locked="0" layoutInCell="1" allowOverlap="1">
            <wp:simplePos x="0" y="0"/>
            <wp:positionH relativeFrom="column">
              <wp:posOffset>-71917</wp:posOffset>
            </wp:positionH>
            <wp:positionV relativeFrom="paragraph">
              <wp:posOffset>180099</wp:posOffset>
            </wp:positionV>
            <wp:extent cx="4728807" cy="60737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5845" cy="610848"/>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121642</wp:posOffset>
                </wp:positionH>
                <wp:positionV relativeFrom="paragraph">
                  <wp:posOffset>273542</wp:posOffset>
                </wp:positionV>
                <wp:extent cx="4436745" cy="320374"/>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20374"/>
                        </a:xfrm>
                        <a:prstGeom prst="rect">
                          <a:avLst/>
                        </a:prstGeom>
                        <a:solidFill>
                          <a:srgbClr val="F05260"/>
                        </a:solidFill>
                        <a:ln w="9525">
                          <a:noFill/>
                          <a:miter lim="800000"/>
                          <a:headEnd/>
                          <a:tailEnd/>
                        </a:ln>
                      </wps:spPr>
                      <wps:txbx>
                        <w:txbxContent>
                          <w:p w:rsidR="005D0F8C" w:rsidRPr="005C7ABF" w:rsidP="00662020" w14:textId="365A3903">
                            <w:pPr>
                              <w:spacing w:line="240" w:lineRule="auto"/>
                              <w:ind w:right="113"/>
                              <w:suppressOverlap/>
                              <w:jc w:val="left"/>
                              <w:rPr>
                                <w:rFonts w:ascii="Tahoma" w:hAnsi="Tahoma" w:cs="Tahoma"/>
                                <w:b/>
                                <w:bCs/>
                                <w:color w:val="FFFFFF" w:themeColor="background1"/>
                                <w:spacing w:val="-4"/>
                                <w:sz w:val="22"/>
                                <w:szCs w:val="22"/>
                              </w:rPr>
                            </w:pPr>
                            <w:r w:rsidRPr="00F134B0">
                              <w:rPr>
                                <w:rFonts w:ascii="Tahoma" w:hAnsi="Tahoma" w:cs="Tahoma"/>
                                <w:b/>
                                <w:bCs/>
                                <w:color w:val="FFFFFF" w:themeColor="background1"/>
                                <w:spacing w:val="-4"/>
                                <w:sz w:val="22"/>
                                <w:szCs w:val="22"/>
                                <w:rtl/>
                              </w:rPr>
                              <w:t>מספר הדיווחים על אירועי בטיחות בתעופה בישראל</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25.25pt;margin-top:21.55pt;margin-left:9.6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365A3903">
                      <w:pPr>
                        <w:spacing w:line="240" w:lineRule="auto"/>
                        <w:ind w:right="113"/>
                        <w:suppressOverlap/>
                        <w:jc w:val="left"/>
                        <w:rPr>
                          <w:rFonts w:ascii="Tahoma" w:hAnsi="Tahoma" w:cs="Tahoma"/>
                          <w:b/>
                          <w:bCs/>
                          <w:color w:val="FFFFFF" w:themeColor="background1"/>
                          <w:spacing w:val="-4"/>
                          <w:sz w:val="22"/>
                          <w:szCs w:val="22"/>
                        </w:rPr>
                      </w:pPr>
                      <w:r w:rsidRPr="00F134B0">
                        <w:rPr>
                          <w:rFonts w:ascii="Tahoma" w:hAnsi="Tahoma" w:cs="Tahoma"/>
                          <w:b/>
                          <w:bCs/>
                          <w:color w:val="FFFFFF" w:themeColor="background1"/>
                          <w:spacing w:val="-4"/>
                          <w:sz w:val="22"/>
                          <w:szCs w:val="22"/>
                          <w:rtl/>
                        </w:rPr>
                        <w:t>מספר הדיווחים על אירועי בטיחות בתעופה בישראל</w:t>
                      </w:r>
                    </w:p>
                  </w:txbxContent>
                </v:textbox>
              </v:shape>
            </w:pict>
          </mc:Fallback>
        </mc:AlternateContent>
      </w:r>
    </w:p>
    <w:p w:rsidR="005D0F8C" w:rsidP="005D0F8C" w14:paraId="6DC28C4F" w14:textId="6DF09389">
      <w:pPr>
        <w:pStyle w:val="7317"/>
        <w:rPr>
          <w:rtl/>
        </w:rPr>
      </w:pPr>
      <w:r>
        <w:rPr>
          <w:rtl/>
        </w:rPr>
        <w:t xml:space="preserve"> </w:t>
      </w:r>
    </w:p>
    <w:p w:rsidR="005D0F8C" w:rsidP="005D0F8C" w14:paraId="5B8DB107" w14:textId="4158D5B9">
      <w:pPr>
        <w:pStyle w:val="7317"/>
        <w:rPr>
          <w:rtl/>
        </w:rPr>
      </w:pPr>
      <w:r>
        <w:rPr>
          <w:noProof/>
          <w:rtl/>
          <w:lang w:val="he-IL"/>
        </w:rPr>
        <w:drawing>
          <wp:anchor distT="0" distB="0" distL="114300" distR="114300" simplePos="0" relativeHeight="251683840" behindDoc="0" locked="0" layoutInCell="1" allowOverlap="1">
            <wp:simplePos x="0" y="0"/>
            <wp:positionH relativeFrom="column">
              <wp:posOffset>68580</wp:posOffset>
            </wp:positionH>
            <wp:positionV relativeFrom="paragraph">
              <wp:posOffset>241935</wp:posOffset>
            </wp:positionV>
            <wp:extent cx="4554855" cy="3456305"/>
            <wp:effectExtent l="0" t="0" r="0" b="0"/>
            <wp:wrapTopAndBottom/>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תמונה 22"/>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554855" cy="3456305"/>
                    </a:xfrm>
                    <a:prstGeom prst="rect">
                      <a:avLst/>
                    </a:prstGeom>
                  </pic:spPr>
                </pic:pic>
              </a:graphicData>
            </a:graphic>
            <wp14:sizeRelH relativeFrom="page">
              <wp14:pctWidth>0</wp14:pctWidth>
            </wp14:sizeRelH>
            <wp14:sizeRelV relativeFrom="page">
              <wp14:pctHeight>0</wp14:pctHeight>
            </wp14:sizeRelV>
          </wp:anchor>
        </w:drawing>
      </w:r>
    </w:p>
    <w:p w:rsidR="00747AE5" w:rsidRPr="004874D8" w:rsidP="00747AE5" w14:paraId="543E59F4" w14:textId="0015DF40">
      <w:pPr>
        <w:pStyle w:val="711"/>
        <w:spacing w:before="240" w:after="0"/>
        <w:rPr>
          <w:rtl/>
        </w:rPr>
      </w:pPr>
      <w:r w:rsidRPr="00121169">
        <w:rPr>
          <w:rtl/>
        </w:rPr>
        <w:t xml:space="preserve">על פי נתוני </w:t>
      </w:r>
      <w:r w:rsidR="00F134B0">
        <w:rPr>
          <w:rFonts w:hint="cs"/>
          <w:rtl/>
        </w:rPr>
        <w:t>רת״א</w:t>
      </w:r>
      <w:r w:rsidRPr="00121169">
        <w:rPr>
          <w:rtl/>
        </w:rPr>
        <w:t xml:space="preserve">, בעיבוד משרד מבקר המדינה. </w:t>
      </w:r>
    </w:p>
    <w:p w:rsidR="00F134B0" w14:paraId="470EDF5F"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94075A" w:rsidP="0094075A" w14:paraId="5EB06404" w14:textId="14ACDFB5">
      <w:pPr>
        <w:pStyle w:val="73"/>
        <w:rPr>
          <w:rtl/>
        </w:rPr>
      </w:pPr>
      <w:r w:rsidRPr="00EF3061">
        <w:rPr>
          <w:rFonts w:hint="cs"/>
          <w:rtl/>
        </w:rPr>
        <w:t>סיכום</w:t>
      </w:r>
    </w:p>
    <w:p w:rsidR="00F134B0" w:rsidRPr="00D51CAB" w:rsidP="00F134B0" w14:paraId="41FBA279" w14:textId="77777777">
      <w:pPr>
        <w:pStyle w:val="7392"/>
        <w:rPr>
          <w:rtl/>
        </w:rPr>
      </w:pPr>
      <w:r w:rsidRPr="00D51CAB">
        <w:rPr>
          <w:rtl/>
        </w:rPr>
        <w:t xml:space="preserve">ממצאי הביקורת מעלים כי נושאים שונים הנוגעים לבטיחות התעופה לא הוסדרו או שהם אינם ברמת הבטיחות המיטבית. מהממצאים עולה שניהול התעבורה האווירית בשיתוף חיל האוויר במרחב האווירי הצפוף של ישראל נעשה בציוד מיושן שאינו מותאם לטכנולוגיות מתקדמות, וכן במתקני עזר לטיסה שאינם עומדים בתקן הבין-לאומי ובדרישות החוק הישראלי, היוצרים תקלות בתמונה האווירית ופוגעים בבטיחות התעבורה האווירית וביעילות ניהולה; במשך שנים לא ניתן מענה למיזמי תשתית החיוניים הן להתפתחות התעופה והן לבטיחות, כגון שדה משלים לנתב"ג ושדה חלופי לתעופה הכללית; שיעור ההמלצות של החוקר הראשי במשרד התחבורה המתקבלות ומיושמות על ידי </w:t>
      </w:r>
      <w:r w:rsidRPr="00D51CAB">
        <w:rPr>
          <w:rtl/>
        </w:rPr>
        <w:t>רת"א</w:t>
      </w:r>
      <w:r w:rsidRPr="00D51CAB">
        <w:rPr>
          <w:rtl/>
        </w:rPr>
        <w:t xml:space="preserve">, נע בשנים 2019 - 2021 בין 25% ל-33%, והדבר פוגע בתכלית החקירה, שהיא הפקת לקחים ומניעת תאונות ותקריות בעתיד; אין </w:t>
      </w:r>
      <w:r w:rsidRPr="00D51CAB">
        <w:rPr>
          <w:rtl/>
        </w:rPr>
        <w:t>ברת"א</w:t>
      </w:r>
      <w:r w:rsidRPr="00D51CAB">
        <w:rPr>
          <w:rtl/>
        </w:rPr>
        <w:t xml:space="preserve"> היכולות לשפר את מצב האסדרה בתחום הסייבר בתעופה ולקיים פיקוח אפקטיבי על גופי התעופה, בהעדר חקיקה מסמיכה, ואמצעים של כוח אדם ותקציב; בתחומי התעופה הללו - רישוי חברות, הפעלה כללית של מטוסים ומסוקים, רישוי עובדי טיס ומכוני הבדק - התקינה בישראל אינה עומדת בסטנדרטים הבין-לאומיים, ומתוך 1,827 הסטנדרטים של </w:t>
      </w:r>
      <w:r w:rsidRPr="00D51CAB">
        <w:t>ICAO</w:t>
      </w:r>
      <w:r w:rsidRPr="00D51CAB">
        <w:rPr>
          <w:rtl/>
        </w:rPr>
        <w:t xml:space="preserve"> בתחומים אלה, 670 (37%) מיושמים חלקית, דבר העלול לפגוע בדירוג הבטיחות של ישראל ביחס למדינות העולם.</w:t>
      </w:r>
    </w:p>
    <w:p w:rsidR="0094075A" w:rsidP="00F134B0" w14:paraId="2FF9CB90" w14:textId="79D7171F">
      <w:pPr>
        <w:pStyle w:val="7392"/>
        <w:rPr>
          <w:rtl/>
        </w:rPr>
      </w:pPr>
      <w:r w:rsidRPr="00D51CAB">
        <w:rPr>
          <w:rtl/>
        </w:rPr>
        <w:t xml:space="preserve">מומלץ כי </w:t>
      </w:r>
      <w:r w:rsidRPr="00D51CAB">
        <w:rPr>
          <w:rtl/>
        </w:rPr>
        <w:t>רת"א</w:t>
      </w:r>
      <w:r w:rsidRPr="00D51CAB">
        <w:rPr>
          <w:rtl/>
        </w:rPr>
        <w:t xml:space="preserve">, משרד התחבורה, </w:t>
      </w:r>
      <w:r w:rsidRPr="00D51CAB">
        <w:rPr>
          <w:rtl/>
        </w:rPr>
        <w:t>רש"ת</w:t>
      </w:r>
      <w:r w:rsidRPr="00D51CAB">
        <w:rPr>
          <w:rtl/>
        </w:rPr>
        <w:t xml:space="preserve"> וחיל האוויר יפעלו לתיקון הליקויים שהועלו בדוח זה ולבחינת יישום ההמלצות המפורטות בו, ובין היתר עליהם לטפל בנושא המרחב האווירי וניהול התעבורה האווירית; ליישב את חילוקי הדעות בין </w:t>
      </w:r>
      <w:r w:rsidRPr="00D51CAB">
        <w:rPr>
          <w:rtl/>
        </w:rPr>
        <w:t>רש"ת</w:t>
      </w:r>
      <w:r w:rsidRPr="00D51CAB">
        <w:rPr>
          <w:rtl/>
        </w:rPr>
        <w:t xml:space="preserve"> לחיל האוויר בנושא זה; לקדם שימוש במתקני עזר לטיסה העומדים בסטנדרט הבין-לאומי; לפעול לפיתוח תשתיות תעופה, כל זאת כדי לשפר את הבטיחות בתעופה ולאפשר את ניהול התעופה ביעילות</w:t>
      </w:r>
      <w:r w:rsidRPr="006615C6">
        <w:rPr>
          <w:rFonts w:hint="cs"/>
          <w:rtl/>
        </w:rPr>
        <w:t xml:space="preserve">. </w:t>
      </w:r>
    </w:p>
    <w:sectPr w:rsidSect="00D418E2">
      <w:headerReference w:type="even" r:id="rId28"/>
      <w:footerReference w:type="even" r:id="rId29"/>
      <w:pgSz w:w="11906" w:h="16838" w:code="9"/>
      <w:pgMar w:top="3062" w:right="2268" w:bottom="2552" w:left="2268" w:header="1134" w:footer="1361" w:gutter="0"/>
      <w:pgNumType w:start="195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36B30" w14:paraId="54490F84" w14:textId="77777777">
      <w:pPr>
        <w:spacing w:line="240" w:lineRule="auto"/>
      </w:pPr>
      <w:r>
        <w:separator/>
      </w:r>
    </w:p>
    <w:p w:rsidR="00D36B30" w14:paraId="11E50E20" w14:textId="77777777"/>
    <w:p w:rsidR="00D36B30" w14:paraId="1B5BACEE" w14:textId="77777777"/>
    <w:p w:rsidR="00D36B30" w14:paraId="2705EEFE" w14:textId="77777777"/>
  </w:endnote>
  <w:endnote w:type="continuationSeparator" w:id="1">
    <w:p w:rsidR="00D36B30" w14:paraId="20AD1597" w14:textId="77777777">
      <w:pPr>
        <w:spacing w:line="240" w:lineRule="auto"/>
      </w:pPr>
      <w:r>
        <w:continuationSeparator/>
      </w:r>
    </w:p>
    <w:p w:rsidR="00D36B30" w14:paraId="2B220644" w14:textId="77777777"/>
    <w:p w:rsidR="00D36B30" w14:paraId="53573252" w14:textId="77777777"/>
    <w:p w:rsidR="00D36B30" w14:paraId="533268E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6682" w14:paraId="610CAC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18E2" w:rsidP="00D418E2" w14:paraId="31544CA8"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1957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73EE0" w:rsidRPr="00D418E2" w:rsidP="00D418E2" w14:paraId="0C89F632" w14:textId="3FBAB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6682" w14:paraId="5A0CBBE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5472" w:rsidP="00005472" w14:paraId="582D62AA" w14:textId="77777777">
    <w:pPr>
      <w:pStyle w:val="Footer"/>
      <w:spacing w:after="120" w:line="312" w:lineRule="auto"/>
      <w:ind w:left="-510"/>
      <w:jc w:val="left"/>
      <w:rPr>
        <w:rFonts w:ascii="Tahoma" w:hAnsi="Tahoma" w:cs="Tahoma"/>
        <w:sz w:val="18"/>
        <w:szCs w:val="18"/>
        <w:rtl/>
      </w:rPr>
    </w:pPr>
  </w:p>
  <w:p w:rsidR="00005472" w:rsidP="00005472" w14:paraId="602EFD08"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1738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005472" w:rsidP="00005472"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36B30" w:rsidP="00E7235E" w14:paraId="52C6F6E4" w14:textId="77777777">
      <w:pPr>
        <w:spacing w:line="240" w:lineRule="auto"/>
      </w:pPr>
      <w:r>
        <w:separator/>
      </w:r>
    </w:p>
  </w:footnote>
  <w:footnote w:type="continuationSeparator" w:id="1">
    <w:p w:rsidR="00D36B30" w:rsidP="00C23CC9" w14:paraId="60D3555D" w14:textId="77777777">
      <w:pPr>
        <w:spacing w:line="240" w:lineRule="auto"/>
      </w:pPr>
      <w:r>
        <w:continuationSeparator/>
      </w:r>
    </w:p>
    <w:p w:rsidR="00D36B30" w14:paraId="267EA83A" w14:textId="77777777"/>
    <w:p w:rsidR="00D36B30" w14:paraId="640891EF" w14:textId="77777777"/>
    <w:p w:rsidR="00D36B30" w14:paraId="37D36800" w14:textId="77777777"/>
  </w:footnote>
  <w:footnote w:id="2">
    <w:p w:rsidR="006E4913" w:rsidRPr="0022607D" w:rsidP="00354D7C" w14:paraId="4353F000" w14:textId="77777777">
      <w:pPr>
        <w:pStyle w:val="733"/>
      </w:pPr>
      <w:r w:rsidRPr="0022607D">
        <w:rPr>
          <w:rStyle w:val="FootnoteReference0"/>
          <w:vertAlign w:val="baseline"/>
        </w:rPr>
        <w:footnoteRef/>
      </w:r>
      <w:r w:rsidRPr="0022607D">
        <w:rPr>
          <w:rtl/>
        </w:rPr>
        <w:t xml:space="preserve"> </w:t>
      </w:r>
      <w:r w:rsidRPr="0022607D">
        <w:rPr>
          <w:rtl/>
        </w:rPr>
        <w:tab/>
        <w:t>בשנים 2020 ו-2021 ענף התעופה היה בפעילות נמוכה עקב הקורונה, ובהתאם מספר הדיווחים ירד.</w:t>
      </w:r>
    </w:p>
  </w:footnote>
  <w:footnote w:id="3">
    <w:p w:rsidR="006E4913" w:rsidRPr="00683400" w:rsidP="00354D7C" w14:paraId="6DD1F97B" w14:textId="77777777">
      <w:pPr>
        <w:pStyle w:val="733"/>
        <w:rPr>
          <w:rtl/>
        </w:rPr>
      </w:pPr>
      <w:r w:rsidRPr="00683400">
        <w:rPr>
          <w:rStyle w:val="FootnoteReference0"/>
          <w:vertAlign w:val="baseline"/>
        </w:rPr>
        <w:footnoteRef/>
      </w:r>
      <w:r w:rsidRPr="00683400">
        <w:rPr>
          <w:rtl/>
        </w:rPr>
        <w:t xml:space="preserve"> </w:t>
      </w:r>
      <w:r w:rsidRPr="00683400">
        <w:rPr>
          <w:rtl/>
        </w:rPr>
        <w:tab/>
      </w:r>
      <w:r w:rsidRPr="00683400">
        <w:t>International Civil Aviation Organization</w:t>
      </w:r>
      <w:r w:rsidRPr="00683400">
        <w:rPr>
          <w:rtl/>
        </w:rPr>
        <w:t xml:space="preserve"> - הגוף הבין-לאומי הפועל להבטחת אחידות בתקנות, בכללים ובסטנדרטים בין המדינות של התעופה האזרחית.</w:t>
      </w:r>
    </w:p>
  </w:footnote>
  <w:footnote w:id="4">
    <w:p w:rsidR="006E4913" w:rsidRPr="0022607D" w:rsidP="00354D7C" w14:paraId="4027E33A" w14:textId="77777777">
      <w:pPr>
        <w:pStyle w:val="733"/>
        <w:rPr>
          <w:rtl/>
        </w:rPr>
      </w:pPr>
      <w:r w:rsidRPr="0022607D">
        <w:rPr>
          <w:rStyle w:val="FootnoteReference0"/>
          <w:vertAlign w:val="baseline"/>
        </w:rPr>
        <w:footnoteRef/>
      </w:r>
      <w:r w:rsidRPr="0022607D">
        <w:rPr>
          <w:rtl/>
        </w:rPr>
        <w:t xml:space="preserve"> </w:t>
      </w:r>
      <w:r w:rsidRPr="0022607D">
        <w:rPr>
          <w:rtl/>
        </w:rPr>
        <w:tab/>
        <w:t>חברות העוסקות בהפעלה מסחרית של כלי טיס גדולים, לפי פרק 13 של תקנות הטיס (הפעלת כלי טיס וכללי טיסה), התשמ"ב-1981.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1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4D60D2" w14:textId="5BE11A8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4D60D2" w:rsidR="004D60D2">
                            <w:rPr>
                              <w:rFonts w:ascii="Tahoma" w:hAnsi="Tahoma" w:cs="Tahoma"/>
                              <w:b/>
                              <w:bCs/>
                              <w:rtl/>
                            </w:rPr>
                            <w:t>בטיחות התעופה האזרחית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4D60D2" w14:paraId="77809697" w14:textId="5BE11A8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4D60D2" w:rsidR="004D60D2">
                      <w:rPr>
                        <w:rFonts w:ascii="Tahoma" w:hAnsi="Tahoma" w:cs="Tahoma"/>
                        <w:b/>
                        <w:bCs/>
                        <w:rtl/>
                      </w:rPr>
                      <w:t>בטיחות התעופה האזרחית</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2629B409">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7C6E6F" w:rsidR="007C6E6F">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2629B409">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7C6E6F" w:rsidR="007C6E6F">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45106663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12B96226">
                          <w:pPr>
                            <w:pStyle w:val="Heading1"/>
                            <w:spacing w:line="269" w:lineRule="auto"/>
                            <w:jc w:val="left"/>
                            <w:rPr>
                              <w:rFonts w:ascii="Tahoma" w:hAnsi="Tahoma" w:eastAsiaTheme="minorHAnsi" w:cs="Tahoma"/>
                              <w:bCs w:val="0"/>
                              <w:color w:val="0D0D0D" w:themeColor="text1" w:themeTint="F2"/>
                              <w:sz w:val="16"/>
                              <w:szCs w:val="16"/>
                              <w:u w:val="none"/>
                            </w:rPr>
                          </w:pPr>
                          <w:r w:rsidRPr="004D60D2">
                            <w:rPr>
                              <w:rFonts w:ascii="Tahoma" w:hAnsi="Tahoma" w:eastAsiaTheme="minorHAnsi" w:cs="Tahoma"/>
                              <w:bCs w:val="0"/>
                              <w:color w:val="0D0D0D" w:themeColor="text1" w:themeTint="F2"/>
                              <w:sz w:val="16"/>
                              <w:szCs w:val="16"/>
                              <w:u w:val="none"/>
                              <w:rtl/>
                            </w:rPr>
                            <w:t>בטיחות התעופה האזרחית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12B96226">
                    <w:pPr>
                      <w:pStyle w:val="Heading1"/>
                      <w:spacing w:line="269" w:lineRule="auto"/>
                      <w:jc w:val="left"/>
                      <w:rPr>
                        <w:rFonts w:ascii="Tahoma" w:hAnsi="Tahoma" w:eastAsiaTheme="minorHAnsi" w:cs="Tahoma"/>
                        <w:bCs w:val="0"/>
                        <w:color w:val="0D0D0D" w:themeColor="text1" w:themeTint="F2"/>
                        <w:sz w:val="16"/>
                        <w:szCs w:val="16"/>
                        <w:u w:val="none"/>
                      </w:rPr>
                    </w:pPr>
                    <w:r w:rsidRPr="004D60D2">
                      <w:rPr>
                        <w:rFonts w:ascii="Tahoma" w:hAnsi="Tahoma" w:eastAsiaTheme="minorHAnsi" w:cs="Tahoma"/>
                        <w:bCs w:val="0"/>
                        <w:color w:val="0D0D0D" w:themeColor="text1" w:themeTint="F2"/>
                        <w:sz w:val="16"/>
                        <w:szCs w:val="16"/>
                        <w:u w:val="none"/>
                        <w:rtl/>
                      </w:rPr>
                      <w:t>בטיחות התעופה האזרחית</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5106663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5472" w:rsidP="00005472" w14:paraId="7FF8BDBD" w14:textId="77777777">
    <w:pPr>
      <w:pStyle w:val="Header"/>
      <w:rPr>
        <w:rtl/>
      </w:rPr>
    </w:pPr>
    <w:r>
      <w:rPr>
        <w:noProof/>
        <w:rtl/>
        <w:lang w:val="he-IL"/>
      </w:rPr>
      <mc:AlternateContent>
        <mc:Choice Requires="wps">
          <w:drawing>
            <wp:anchor distT="0" distB="0" distL="114300" distR="114300" simplePos="0" relativeHeight="25168179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52770967"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005472" w:rsidRPr="00FD02CC" w:rsidP="00005472"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3664" filled="f" strokecolor="#a5a5a5" strokeweight="0.25pt">
              <v:stroke dashstyle="longDash"/>
              <v:textbox>
                <w:txbxContent>
                  <w:p w:rsidR="00005472" w:rsidRPr="00FD02CC" w:rsidP="00005472" w14:paraId="37A5C8A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005472" w:rsidP="00005472" w14:paraId="0493E9E2" w14:textId="77777777">
    <w:pPr>
      <w:pStyle w:val="Header"/>
      <w:ind w:firstLine="720"/>
      <w:rPr>
        <w:rtl/>
      </w:rPr>
    </w:pPr>
  </w:p>
  <w:p w:rsidR="00005472" w:rsidP="00005472" w14:paraId="39803E12" w14:textId="77777777">
    <w:pPr>
      <w:pStyle w:val="Header"/>
      <w:rPr>
        <w:rtl/>
      </w:rPr>
    </w:pPr>
  </w:p>
  <w:p w:rsidR="00005472" w:rsidP="00005472" w14:paraId="07DA1082"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simplePos x="0" y="0"/>
              <wp:positionH relativeFrom="column">
                <wp:posOffset>-106680</wp:posOffset>
              </wp:positionH>
              <wp:positionV relativeFrom="paragraph">
                <wp:posOffset>205105</wp:posOffset>
              </wp:positionV>
              <wp:extent cx="4536440" cy="237600"/>
              <wp:effectExtent l="0" t="0" r="0" b="3810"/>
              <wp:wrapSquare wrapText="bothSides"/>
              <wp:docPr id="205277096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37600"/>
                      </a:xfrm>
                      <a:prstGeom prst="rect">
                        <a:avLst/>
                      </a:prstGeom>
                      <a:solidFill>
                        <a:srgbClr val="FFFFFF"/>
                      </a:solidFill>
                      <a:ln w="9525">
                        <a:noFill/>
                        <a:miter lim="800000"/>
                        <a:headEnd/>
                        <a:tailEnd/>
                      </a:ln>
                    </wps:spPr>
                    <wps:txbx>
                      <w:txbxContent>
                        <w:p w:rsidR="00005472" w:rsidRPr="003D62C4" w:rsidP="00005472" w14:textId="5F516C18">
                          <w:pPr>
                            <w:pStyle w:val="Heading1"/>
                            <w:spacing w:line="269" w:lineRule="auto"/>
                            <w:jc w:val="left"/>
                            <w:rPr>
                              <w:rFonts w:ascii="Tahoma" w:hAnsi="Tahoma" w:eastAsiaTheme="minorHAnsi" w:cs="Tahoma"/>
                              <w:bCs w:val="0"/>
                              <w:color w:val="0D0D0D" w:themeColor="text1" w:themeTint="F2"/>
                              <w:sz w:val="16"/>
                              <w:szCs w:val="16"/>
                              <w:u w:val="none"/>
                            </w:rPr>
                          </w:pPr>
                          <w:r w:rsidRPr="004D60D2">
                            <w:rPr>
                              <w:rFonts w:ascii="Tahoma" w:hAnsi="Tahoma" w:eastAsiaTheme="minorHAnsi" w:cs="Tahoma"/>
                              <w:bCs w:val="0"/>
                              <w:color w:val="0D0D0D" w:themeColor="text1" w:themeTint="F2"/>
                              <w:sz w:val="16"/>
                              <w:szCs w:val="16"/>
                              <w:u w:val="none"/>
                              <w:rtl/>
                            </w:rPr>
                            <w:t>בטיחות התעופה האזרחית</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9" type="#_x0000_t202" style="width:357.2pt;height:18.7pt;margin-top:16.15pt;margin-left:-8.4pt;mso-height-percent:0;mso-height-relative:margin;mso-width-percent:0;mso-width-relative:margin;mso-wrap-distance-bottom:0;mso-wrap-distance-left:9pt;mso-wrap-distance-right:9pt;mso-wrap-distance-top:0;mso-wrap-style:square;position:absolute;visibility:visible;v-text-anchor:top;z-index:251680768" stroked="f">
              <v:textbox>
                <w:txbxContent>
                  <w:p w:rsidR="00005472" w:rsidRPr="003D62C4" w:rsidP="00005472" w14:paraId="6E103CC8" w14:textId="5F516C18">
                    <w:pPr>
                      <w:pStyle w:val="Heading1"/>
                      <w:spacing w:line="269" w:lineRule="auto"/>
                      <w:jc w:val="left"/>
                      <w:rPr>
                        <w:rFonts w:ascii="Tahoma" w:hAnsi="Tahoma" w:eastAsiaTheme="minorHAnsi" w:cs="Tahoma"/>
                        <w:bCs w:val="0"/>
                        <w:color w:val="0D0D0D" w:themeColor="text1" w:themeTint="F2"/>
                        <w:sz w:val="16"/>
                        <w:szCs w:val="16"/>
                        <w:u w:val="none"/>
                      </w:rPr>
                    </w:pPr>
                    <w:r w:rsidRPr="004D60D2">
                      <w:rPr>
                        <w:rFonts w:ascii="Tahoma" w:hAnsi="Tahoma" w:eastAsiaTheme="minorHAnsi" w:cs="Tahoma"/>
                        <w:bCs w:val="0"/>
                        <w:color w:val="0D0D0D" w:themeColor="text1" w:themeTint="F2"/>
                        <w:sz w:val="16"/>
                        <w:szCs w:val="16"/>
                        <w:u w:val="none"/>
                        <w:rtl/>
                      </w:rPr>
                      <w:t>בטיחות התעופה האזרחית</w:t>
                    </w:r>
                  </w:p>
                </w:txbxContent>
              </v:textbox>
              <w10:wrap type="square"/>
            </v:shape>
          </w:pict>
        </mc:Fallback>
      </mc:AlternateContent>
    </w:r>
  </w:p>
  <w:p w:rsidR="008B694B" w:rsidRPr="00005472" w:rsidP="00005472" w14:paraId="4E47EA6D" w14:textId="698B4DAD">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097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0"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052770969"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78720" from="-109.7pt,27.8pt" to="367.9pt,27.8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E32B826"/>
    <w:lvl w:ilvl="0">
      <w:start w:val="1"/>
      <w:numFmt w:val="decimal"/>
      <w:lvlText w:val="%1."/>
      <w:lvlJc w:val="left"/>
      <w:pPr>
        <w:tabs>
          <w:tab w:val="num" w:pos="1492"/>
        </w:tabs>
        <w:ind w:left="1492" w:hanging="360"/>
      </w:pPr>
    </w:lvl>
  </w:abstractNum>
  <w:abstractNum w:abstractNumId="1">
    <w:nsid w:val="FFFFFF7D"/>
    <w:multiLevelType w:val="singleLevel"/>
    <w:tmpl w:val="1C182B06"/>
    <w:lvl w:ilvl="0">
      <w:start w:val="1"/>
      <w:numFmt w:val="decimal"/>
      <w:lvlText w:val="%1."/>
      <w:lvlJc w:val="left"/>
      <w:pPr>
        <w:tabs>
          <w:tab w:val="num" w:pos="1209"/>
        </w:tabs>
        <w:ind w:left="1209" w:hanging="360"/>
      </w:pPr>
    </w:lvl>
  </w:abstractNum>
  <w:abstractNum w:abstractNumId="2">
    <w:nsid w:val="FFFFFF7F"/>
    <w:multiLevelType w:val="singleLevel"/>
    <w:tmpl w:val="D10C3136"/>
    <w:lvl w:ilvl="0">
      <w:start w:val="1"/>
      <w:numFmt w:val="decimal"/>
      <w:lvlText w:val="%1."/>
      <w:lvlJc w:val="left"/>
      <w:pPr>
        <w:tabs>
          <w:tab w:val="num" w:pos="643"/>
        </w:tabs>
        <w:ind w:left="643" w:hanging="360"/>
      </w:pPr>
    </w:lvl>
  </w:abstractNum>
  <w:abstractNum w:abstractNumId="3">
    <w:nsid w:val="FFFFFF80"/>
    <w:multiLevelType w:val="singleLevel"/>
    <w:tmpl w:val="714CD02A"/>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7CFEA3B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914A21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A83CB0A4"/>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048A88A0"/>
    <w:lvl w:ilvl="0">
      <w:start w:val="1"/>
      <w:numFmt w:val="bullet"/>
      <w:lvlText w:val=""/>
      <w:lvlJc w:val="left"/>
      <w:pPr>
        <w:tabs>
          <w:tab w:val="num" w:pos="360"/>
        </w:tabs>
        <w:ind w:left="360" w:hanging="360"/>
      </w:pPr>
      <w:rPr>
        <w:rFonts w:ascii="Symbol" w:hAnsi="Symbol" w:hint="default"/>
      </w:rPr>
    </w:lvl>
  </w:abstractNum>
  <w:abstractNum w:abstractNumId="8">
    <w:nsid w:val="01D027E2"/>
    <w:multiLevelType w:val="hybridMultilevel"/>
    <w:tmpl w:val="59EABBE8"/>
    <w:lvl w:ilvl="0">
      <w:start w:val="1"/>
      <w:numFmt w:val="decimal"/>
      <w:lvlText w:val="%1."/>
      <w:lvlJc w:val="left"/>
      <w:pPr>
        <w:ind w:left="360" w:hanging="360"/>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61A3671"/>
    <w:multiLevelType w:val="hybridMultilevel"/>
    <w:tmpl w:val="06FAEAAE"/>
    <w:lvl w:ilvl="0">
      <w:start w:val="1"/>
      <w:numFmt w:val="hebrew1"/>
      <w:lvlText w:val="%1."/>
      <w:lvlJc w:val="left"/>
      <w:pPr>
        <w:ind w:left="720" w:hanging="360"/>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AD113A5"/>
    <w:multiLevelType w:val="hybridMultilevel"/>
    <w:tmpl w:val="44B2C58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E65565"/>
    <w:multiLevelType w:val="hybridMultilevel"/>
    <w:tmpl w:val="0BF282F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341725"/>
    <w:multiLevelType w:val="hybridMultilevel"/>
    <w:tmpl w:val="4614CB6A"/>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9075EB4"/>
    <w:multiLevelType w:val="hybridMultilevel"/>
    <w:tmpl w:val="BDA4EC4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EA5262"/>
    <w:multiLevelType w:val="multilevel"/>
    <w:tmpl w:val="CDB65BBA"/>
    <w:styleLink w:val="CurrentList2"/>
    <w:lvl w:ilvl="0">
      <w:start w:val="1"/>
      <w:numFmt w:val="hebrew1"/>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6">
    <w:nsid w:val="1A39201E"/>
    <w:multiLevelType w:val="hybridMultilevel"/>
    <w:tmpl w:val="B46E652A"/>
    <w:lvl w:ilvl="0">
      <w:start w:val="1"/>
      <w:numFmt w:val="decimal"/>
      <w:lvlText w:val="%1."/>
      <w:lvlJc w:val="left"/>
      <w:pPr>
        <w:ind w:left="357" w:hanging="357"/>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AE02A50"/>
    <w:multiLevelType w:val="hybridMultilevel"/>
    <w:tmpl w:val="235CE4E6"/>
    <w:lvl w:ilvl="0">
      <w:start w:val="1"/>
      <w:numFmt w:val="hebrew1"/>
      <w:lvlText w:val="%1."/>
      <w:lvlJc w:val="left"/>
      <w:pPr>
        <w:ind w:left="720" w:hanging="360"/>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2249095E"/>
    <w:multiLevelType w:val="hybridMultilevel"/>
    <w:tmpl w:val="10CCD380"/>
    <w:lvl w:ilvl="0">
      <w:start w:val="6"/>
      <w:numFmt w:val="decimal"/>
      <w:lvlText w:val="%1."/>
      <w:lvlJc w:val="left"/>
      <w:pPr>
        <w:ind w:left="360" w:hanging="360"/>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51E2AFA"/>
    <w:multiLevelType w:val="hybridMultilevel"/>
    <w:tmpl w:val="B9C41F5A"/>
    <w:lvl w:ilvl="0">
      <w:start w:val="1"/>
      <w:numFmt w:val="decimal"/>
      <w:lvlText w:val="%1."/>
      <w:lvlJc w:val="left"/>
      <w:pPr>
        <w:ind w:left="360" w:hanging="360"/>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70A5894"/>
    <w:multiLevelType w:val="hybridMultilevel"/>
    <w:tmpl w:val="1E949896"/>
    <w:lvl w:ilvl="0">
      <w:start w:val="1"/>
      <w:numFmt w:val="hebrew1"/>
      <w:lvlText w:val="%1."/>
      <w:lvlJc w:val="left"/>
      <w:pPr>
        <w:ind w:left="720" w:hanging="360"/>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3">
    <w:nsid w:val="36562EED"/>
    <w:multiLevelType w:val="hybridMultilevel"/>
    <w:tmpl w:val="FA72A354"/>
    <w:lvl w:ilvl="0">
      <w:start w:val="1"/>
      <w:numFmt w:val="decimal"/>
      <w:lvlText w:val="%1."/>
      <w:lvlJc w:val="left"/>
      <w:pPr>
        <w:ind w:left="360" w:hanging="360"/>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015F5E"/>
    <w:multiLevelType w:val="hybridMultilevel"/>
    <w:tmpl w:val="8200BED8"/>
    <w:lvl w:ilvl="0">
      <w:start w:val="1"/>
      <w:numFmt w:val="decimal"/>
      <w:lvlText w:val="%1."/>
      <w:lvlJc w:val="left"/>
      <w:pPr>
        <w:ind w:left="360" w:hanging="360"/>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nsid w:val="3D732830"/>
    <w:multiLevelType w:val="hybridMultilevel"/>
    <w:tmpl w:val="EB48ACF0"/>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DFA6BE6"/>
    <w:multiLevelType w:val="multilevel"/>
    <w:tmpl w:val="CDB65BBA"/>
    <w:styleLink w:val="CurrentList3"/>
    <w:lvl w:ilvl="0">
      <w:start w:val="1"/>
      <w:numFmt w:val="hebrew1"/>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9">
    <w:nsid w:val="3E0B7EF5"/>
    <w:multiLevelType w:val="hybridMultilevel"/>
    <w:tmpl w:val="DF36C058"/>
    <w:lvl w:ilvl="0">
      <w:start w:val="1"/>
      <w:numFmt w:val="bullet"/>
      <w:lvlText w:val=""/>
      <w:lvlJc w:val="left"/>
      <w:pPr>
        <w:ind w:left="1117" w:hanging="360"/>
      </w:pPr>
      <w:rPr>
        <w:rFonts w:ascii="Symbol" w:hAnsi="Symbol" w:hint="default"/>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0">
    <w:nsid w:val="3EAE6AD8"/>
    <w:multiLevelType w:val="hybridMultilevel"/>
    <w:tmpl w:val="7A2430C2"/>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FA9688B"/>
    <w:multiLevelType w:val="hybridMultilevel"/>
    <w:tmpl w:val="7A5212CA"/>
    <w:lvl w:ilvl="0">
      <w:start w:val="1"/>
      <w:numFmt w:val="decimal"/>
      <w:lvlText w:val="%1."/>
      <w:lvlJc w:val="left"/>
      <w:pPr>
        <w:ind w:left="357" w:hanging="357"/>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0814FF8"/>
    <w:multiLevelType w:val="hybridMultilevel"/>
    <w:tmpl w:val="A9A6D4D2"/>
    <w:lvl w:ilvl="0">
      <w:start w:val="1"/>
      <w:numFmt w:val="bullet"/>
      <w:lvlText w:val="o"/>
      <w:lvlJc w:val="left"/>
      <w:pPr>
        <w:ind w:left="1117" w:hanging="360"/>
      </w:pPr>
      <w:rPr>
        <w:rFonts w:ascii="Courier New" w:hAnsi="Courier New" w:hint="default"/>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3">
    <w:nsid w:val="40A838AD"/>
    <w:multiLevelType w:val="hybridMultilevel"/>
    <w:tmpl w:val="43FC6F0C"/>
    <w:lvl w:ilvl="0">
      <w:start w:val="1"/>
      <w:numFmt w:val="decimal"/>
      <w:lvlText w:val="%1."/>
      <w:lvlJc w:val="left"/>
      <w:pPr>
        <w:ind w:left="360" w:hanging="360"/>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5">
    <w:nsid w:val="47D736D4"/>
    <w:multiLevelType w:val="hybridMultilevel"/>
    <w:tmpl w:val="9B268804"/>
    <w:lvl w:ilvl="0">
      <w:start w:val="1"/>
      <w:numFmt w:val="hebrew1"/>
      <w:lvlText w:val="%1."/>
      <w:lvlJc w:val="left"/>
      <w:pPr>
        <w:ind w:left="720" w:hanging="360"/>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87E3DBE"/>
    <w:multiLevelType w:val="hybridMultilevel"/>
    <w:tmpl w:val="E5AA3C8A"/>
    <w:lvl w:ilvl="0">
      <w:start w:val="1"/>
      <w:numFmt w:val="decimal"/>
      <w:lvlText w:val="%1."/>
      <w:lvlJc w:val="left"/>
      <w:pPr>
        <w:ind w:left="357" w:hanging="357"/>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E926EC8"/>
    <w:multiLevelType w:val="hybridMultilevel"/>
    <w:tmpl w:val="BFD27092"/>
    <w:lvl w:ilvl="0">
      <w:start w:val="1"/>
      <w:numFmt w:val="bullet"/>
      <w:lvlText w:val=""/>
      <w:lvlJc w:val="left"/>
      <w:pPr>
        <w:ind w:left="763" w:hanging="360"/>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8">
    <w:nsid w:val="5A3B45FE"/>
    <w:multiLevelType w:val="hybridMultilevel"/>
    <w:tmpl w:val="1C80D998"/>
    <w:lvl w:ilvl="0">
      <w:start w:val="1"/>
      <w:numFmt w:val="bullet"/>
      <w:lvlText w:val=""/>
      <w:lvlJc w:val="left"/>
      <w:pPr>
        <w:ind w:left="703" w:hanging="346"/>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0">
    <w:nsid w:val="5C64411C"/>
    <w:multiLevelType w:val="multilevel"/>
    <w:tmpl w:val="CDB65BBA"/>
    <w:styleLink w:val="CurrentList1"/>
    <w:lvl w:ilvl="0">
      <w:start w:val="1"/>
      <w:numFmt w:val="hebrew1"/>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2">
    <w:nsid w:val="62DB4660"/>
    <w:multiLevelType w:val="hybridMultilevel"/>
    <w:tmpl w:val="9EE4FAF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55120AC"/>
    <w:multiLevelType w:val="hybridMultilevel"/>
    <w:tmpl w:val="CE1A487A"/>
    <w:lvl w:ilvl="0">
      <w:start w:val="1"/>
      <w:numFmt w:val="bullet"/>
      <w:lvlText w:val=""/>
      <w:lvlJc w:val="left"/>
      <w:pPr>
        <w:ind w:left="743" w:hanging="340"/>
      </w:pPr>
      <w:rPr>
        <w:rFonts w:ascii="Symbol" w:hAnsi="Symbol" w:hint="default"/>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4">
    <w:nsid w:val="65CF15C5"/>
    <w:multiLevelType w:val="hybridMultilevel"/>
    <w:tmpl w:val="996AF4F4"/>
    <w:lvl w:ilvl="0">
      <w:start w:val="1"/>
      <w:numFmt w:val="decimal"/>
      <w:lvlText w:val="%1."/>
      <w:lvlJc w:val="left"/>
      <w:pPr>
        <w:ind w:left="357" w:hanging="357"/>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AA05544"/>
    <w:multiLevelType w:val="hybridMultilevel"/>
    <w:tmpl w:val="B9BAC78A"/>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7281467"/>
    <w:multiLevelType w:val="hybridMultilevel"/>
    <w:tmpl w:val="8E2CC020"/>
    <w:lvl w:ilvl="0">
      <w:start w:val="1"/>
      <w:numFmt w:val="hebrew1"/>
      <w:lvlText w:val="%1."/>
      <w:lvlJc w:val="left"/>
      <w:pPr>
        <w:ind w:left="720" w:hanging="360"/>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D0F04E0"/>
    <w:multiLevelType w:val="hybridMultilevel"/>
    <w:tmpl w:val="76FE906E"/>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8"/>
  </w:num>
  <w:num w:numId="2">
    <w:abstractNumId w:val="26"/>
  </w:num>
  <w:num w:numId="3">
    <w:abstractNumId w:val="39"/>
  </w:num>
  <w:num w:numId="4">
    <w:abstractNumId w:val="22"/>
  </w:num>
  <w:num w:numId="5">
    <w:abstractNumId w:val="25"/>
  </w:num>
  <w:num w:numId="6">
    <w:abstractNumId w:val="48"/>
  </w:num>
  <w:num w:numId="7">
    <w:abstractNumId w:val="34"/>
  </w:num>
  <w:num w:numId="8">
    <w:abstractNumId w:val="41"/>
  </w:num>
  <w:num w:numId="9">
    <w:abstractNumId w:val="12"/>
  </w:num>
  <w:num w:numId="10">
    <w:abstractNumId w:val="32"/>
  </w:num>
  <w:num w:numId="11">
    <w:abstractNumId w:val="30"/>
  </w:num>
  <w:num w:numId="12">
    <w:abstractNumId w:val="40"/>
  </w:num>
  <w:num w:numId="13">
    <w:abstractNumId w:val="15"/>
  </w:num>
  <w:num w:numId="14">
    <w:abstractNumId w:val="28"/>
  </w:num>
  <w:num w:numId="15">
    <w:abstractNumId w:val="47"/>
  </w:num>
  <w:num w:numId="16">
    <w:abstractNumId w:val="13"/>
  </w:num>
  <w:num w:numId="17">
    <w:abstractNumId w:val="14"/>
  </w:num>
  <w:num w:numId="18">
    <w:abstractNumId w:val="27"/>
  </w:num>
  <w:num w:numId="19">
    <w:abstractNumId w:val="45"/>
  </w:num>
  <w:num w:numId="20">
    <w:abstractNumId w:val="10"/>
  </w:num>
  <w:num w:numId="21">
    <w:abstractNumId w:val="46"/>
  </w:num>
  <w:num w:numId="22">
    <w:abstractNumId w:val="42"/>
  </w:num>
  <w:num w:numId="23">
    <w:abstractNumId w:val="17"/>
  </w:num>
  <w:num w:numId="24">
    <w:abstractNumId w:val="11"/>
  </w:num>
  <w:num w:numId="25">
    <w:abstractNumId w:val="35"/>
  </w:num>
  <w:num w:numId="26">
    <w:abstractNumId w:val="21"/>
  </w:num>
  <w:num w:numId="27">
    <w:abstractNumId w:val="9"/>
  </w:num>
  <w:num w:numId="28">
    <w:abstractNumId w:val="31"/>
  </w:num>
  <w:num w:numId="29">
    <w:abstractNumId w:val="16"/>
  </w:num>
  <w:num w:numId="30">
    <w:abstractNumId w:val="44"/>
  </w:num>
  <w:num w:numId="31">
    <w:abstractNumId w:val="36"/>
  </w:num>
  <w:num w:numId="32">
    <w:abstractNumId w:val="23"/>
  </w:num>
  <w:num w:numId="33">
    <w:abstractNumId w:val="24"/>
  </w:num>
  <w:num w:numId="34">
    <w:abstractNumId w:val="8"/>
  </w:num>
  <w:num w:numId="35">
    <w:abstractNumId w:val="33"/>
  </w:num>
  <w:num w:numId="36">
    <w:abstractNumId w:val="20"/>
  </w:num>
  <w:num w:numId="37">
    <w:abstractNumId w:val="19"/>
  </w:num>
  <w:num w:numId="38">
    <w:abstractNumId w:val="3"/>
  </w:num>
  <w:num w:numId="39">
    <w:abstractNumId w:val="4"/>
  </w:num>
  <w:num w:numId="40">
    <w:abstractNumId w:val="5"/>
  </w:num>
  <w:num w:numId="41">
    <w:abstractNumId w:val="6"/>
  </w:num>
  <w:num w:numId="42">
    <w:abstractNumId w:val="7"/>
  </w:num>
  <w:num w:numId="43">
    <w:abstractNumId w:val="0"/>
  </w:num>
  <w:num w:numId="44">
    <w:abstractNumId w:val="1"/>
  </w:num>
  <w:num w:numId="45">
    <w:abstractNumId w:val="2"/>
  </w:num>
  <w:num w:numId="46">
    <w:abstractNumId w:val="29"/>
  </w:num>
  <w:num w:numId="47">
    <w:abstractNumId w:val="43"/>
  </w:num>
  <w:num w:numId="48">
    <w:abstractNumId w:val="37"/>
  </w:num>
  <w:num w:numId="49">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9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72"/>
    <w:rsid w:val="000054B7"/>
    <w:rsid w:val="00005638"/>
    <w:rsid w:val="00005B23"/>
    <w:rsid w:val="00005EE0"/>
    <w:rsid w:val="00006B59"/>
    <w:rsid w:val="00006C34"/>
    <w:rsid w:val="000071AD"/>
    <w:rsid w:val="000100D8"/>
    <w:rsid w:val="0001014C"/>
    <w:rsid w:val="000107D8"/>
    <w:rsid w:val="000117A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7DD"/>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AC6"/>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4FC2"/>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800"/>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82C"/>
    <w:rsid w:val="000A5140"/>
    <w:rsid w:val="000A567C"/>
    <w:rsid w:val="000A5B75"/>
    <w:rsid w:val="000A65A9"/>
    <w:rsid w:val="000A69A7"/>
    <w:rsid w:val="000A6D5B"/>
    <w:rsid w:val="000A7523"/>
    <w:rsid w:val="000B03E7"/>
    <w:rsid w:val="000B0915"/>
    <w:rsid w:val="000B0929"/>
    <w:rsid w:val="000B0AB9"/>
    <w:rsid w:val="000B1102"/>
    <w:rsid w:val="000B153C"/>
    <w:rsid w:val="000B1600"/>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0D"/>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169"/>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C7D48"/>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D7C42"/>
    <w:rsid w:val="001E0306"/>
    <w:rsid w:val="001E048C"/>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6B"/>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249"/>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07D"/>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DB0"/>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4A3A"/>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997"/>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CBC"/>
    <w:rsid w:val="00327D99"/>
    <w:rsid w:val="003303FB"/>
    <w:rsid w:val="0033086E"/>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4D7C"/>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7EF"/>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7AA"/>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19B"/>
    <w:rsid w:val="003C67F0"/>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0EA"/>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2E4"/>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A54"/>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7E"/>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C24"/>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1DE"/>
    <w:rsid w:val="0047228C"/>
    <w:rsid w:val="00472B97"/>
    <w:rsid w:val="00472C98"/>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4D8"/>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33E"/>
    <w:rsid w:val="004C056A"/>
    <w:rsid w:val="004C09C8"/>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0873"/>
    <w:rsid w:val="004D16BE"/>
    <w:rsid w:val="004D181E"/>
    <w:rsid w:val="004D1983"/>
    <w:rsid w:val="004D1BC8"/>
    <w:rsid w:val="004D1D1F"/>
    <w:rsid w:val="004D2576"/>
    <w:rsid w:val="004D2869"/>
    <w:rsid w:val="004D2D0A"/>
    <w:rsid w:val="004D3387"/>
    <w:rsid w:val="004D38B0"/>
    <w:rsid w:val="004D3AAD"/>
    <w:rsid w:val="004D3B2F"/>
    <w:rsid w:val="004D4C8A"/>
    <w:rsid w:val="004D562B"/>
    <w:rsid w:val="004D581B"/>
    <w:rsid w:val="004D5AD1"/>
    <w:rsid w:val="004D60D2"/>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147"/>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CC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1A4E"/>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307"/>
    <w:rsid w:val="005565B2"/>
    <w:rsid w:val="00556E6F"/>
    <w:rsid w:val="00556F6F"/>
    <w:rsid w:val="00557296"/>
    <w:rsid w:val="00557A6C"/>
    <w:rsid w:val="005608B2"/>
    <w:rsid w:val="0056099A"/>
    <w:rsid w:val="00560A43"/>
    <w:rsid w:val="00560FD3"/>
    <w:rsid w:val="00561000"/>
    <w:rsid w:val="00561471"/>
    <w:rsid w:val="0056270E"/>
    <w:rsid w:val="00562D71"/>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0962"/>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ABB"/>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7EA"/>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365"/>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88D"/>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C90"/>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CB6"/>
    <w:rsid w:val="00616E27"/>
    <w:rsid w:val="00617088"/>
    <w:rsid w:val="00617831"/>
    <w:rsid w:val="0061794C"/>
    <w:rsid w:val="0062007E"/>
    <w:rsid w:val="00620205"/>
    <w:rsid w:val="006202CC"/>
    <w:rsid w:val="0062030A"/>
    <w:rsid w:val="00620470"/>
    <w:rsid w:val="00620736"/>
    <w:rsid w:val="00620BD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1DE"/>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00"/>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C74DA"/>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900"/>
    <w:rsid w:val="006E3C03"/>
    <w:rsid w:val="006E4010"/>
    <w:rsid w:val="006E42E4"/>
    <w:rsid w:val="006E45B0"/>
    <w:rsid w:val="006E4684"/>
    <w:rsid w:val="006E4913"/>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3B6"/>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2AB"/>
    <w:rsid w:val="007467DE"/>
    <w:rsid w:val="0074683C"/>
    <w:rsid w:val="00746F21"/>
    <w:rsid w:val="00746F99"/>
    <w:rsid w:val="0074714A"/>
    <w:rsid w:val="007474F0"/>
    <w:rsid w:val="00747AC3"/>
    <w:rsid w:val="00747AE5"/>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1DD"/>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27B"/>
    <w:rsid w:val="007809A9"/>
    <w:rsid w:val="00780AAC"/>
    <w:rsid w:val="00780C36"/>
    <w:rsid w:val="00780D40"/>
    <w:rsid w:val="00781125"/>
    <w:rsid w:val="00781F3B"/>
    <w:rsid w:val="007824AB"/>
    <w:rsid w:val="00782781"/>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5BE"/>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6E6F"/>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643"/>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07CC3"/>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26F"/>
    <w:rsid w:val="008245D8"/>
    <w:rsid w:val="008246BA"/>
    <w:rsid w:val="00824762"/>
    <w:rsid w:val="00824AA0"/>
    <w:rsid w:val="00824B1A"/>
    <w:rsid w:val="00825A14"/>
    <w:rsid w:val="00825A1B"/>
    <w:rsid w:val="00825AAA"/>
    <w:rsid w:val="008303D0"/>
    <w:rsid w:val="00830B48"/>
    <w:rsid w:val="0083121F"/>
    <w:rsid w:val="00831971"/>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69B"/>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4757"/>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4F02"/>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04C"/>
    <w:rsid w:val="008F2E02"/>
    <w:rsid w:val="008F3327"/>
    <w:rsid w:val="008F3549"/>
    <w:rsid w:val="008F3F92"/>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1D7"/>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C"/>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0CDB"/>
    <w:rsid w:val="00921847"/>
    <w:rsid w:val="00921EDE"/>
    <w:rsid w:val="0092228B"/>
    <w:rsid w:val="0092279A"/>
    <w:rsid w:val="00922D87"/>
    <w:rsid w:val="00923216"/>
    <w:rsid w:val="009234D0"/>
    <w:rsid w:val="00923A33"/>
    <w:rsid w:val="00923DB7"/>
    <w:rsid w:val="00924528"/>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75A"/>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50B9"/>
    <w:rsid w:val="009462A7"/>
    <w:rsid w:val="0094633E"/>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4C1"/>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92B"/>
    <w:rsid w:val="00991B19"/>
    <w:rsid w:val="00991F23"/>
    <w:rsid w:val="00992605"/>
    <w:rsid w:val="00992CD6"/>
    <w:rsid w:val="0099339C"/>
    <w:rsid w:val="00993599"/>
    <w:rsid w:val="00994CCA"/>
    <w:rsid w:val="00996FFF"/>
    <w:rsid w:val="009974A8"/>
    <w:rsid w:val="009975C9"/>
    <w:rsid w:val="009A0A09"/>
    <w:rsid w:val="009A0A9F"/>
    <w:rsid w:val="009A1489"/>
    <w:rsid w:val="009A2118"/>
    <w:rsid w:val="009A2286"/>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90"/>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E13"/>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074AA"/>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0E8"/>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29F"/>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5A3D"/>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893"/>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0CCA"/>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65C"/>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28EA"/>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9C7"/>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97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97B95"/>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6F83"/>
    <w:rsid w:val="00BC717C"/>
    <w:rsid w:val="00BC75B3"/>
    <w:rsid w:val="00BC7B04"/>
    <w:rsid w:val="00BC7E15"/>
    <w:rsid w:val="00BC7E36"/>
    <w:rsid w:val="00BD020B"/>
    <w:rsid w:val="00BD024E"/>
    <w:rsid w:val="00BD08DF"/>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7C2"/>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3C53"/>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3E7"/>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4B22"/>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11C"/>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2E50"/>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B1D"/>
    <w:rsid w:val="00D05E0E"/>
    <w:rsid w:val="00D06218"/>
    <w:rsid w:val="00D06B40"/>
    <w:rsid w:val="00D077BB"/>
    <w:rsid w:val="00D104AC"/>
    <w:rsid w:val="00D104D2"/>
    <w:rsid w:val="00D10566"/>
    <w:rsid w:val="00D10643"/>
    <w:rsid w:val="00D10F3E"/>
    <w:rsid w:val="00D112CB"/>
    <w:rsid w:val="00D1155E"/>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B47"/>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43B"/>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6B30"/>
    <w:rsid w:val="00D36C6B"/>
    <w:rsid w:val="00D37121"/>
    <w:rsid w:val="00D3746F"/>
    <w:rsid w:val="00D376AA"/>
    <w:rsid w:val="00D40043"/>
    <w:rsid w:val="00D40A47"/>
    <w:rsid w:val="00D41051"/>
    <w:rsid w:val="00D410F8"/>
    <w:rsid w:val="00D417AE"/>
    <w:rsid w:val="00D418E2"/>
    <w:rsid w:val="00D419F5"/>
    <w:rsid w:val="00D41B6F"/>
    <w:rsid w:val="00D41D33"/>
    <w:rsid w:val="00D446AE"/>
    <w:rsid w:val="00D457ED"/>
    <w:rsid w:val="00D468B0"/>
    <w:rsid w:val="00D46AEF"/>
    <w:rsid w:val="00D46D32"/>
    <w:rsid w:val="00D46EB7"/>
    <w:rsid w:val="00D46FA2"/>
    <w:rsid w:val="00D476EB"/>
    <w:rsid w:val="00D478AA"/>
    <w:rsid w:val="00D47F55"/>
    <w:rsid w:val="00D50562"/>
    <w:rsid w:val="00D50FBA"/>
    <w:rsid w:val="00D51372"/>
    <w:rsid w:val="00D5162F"/>
    <w:rsid w:val="00D51AD6"/>
    <w:rsid w:val="00D51C50"/>
    <w:rsid w:val="00D51CAB"/>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5E6"/>
    <w:rsid w:val="00D779F7"/>
    <w:rsid w:val="00D80754"/>
    <w:rsid w:val="00D81F77"/>
    <w:rsid w:val="00D82F54"/>
    <w:rsid w:val="00D83026"/>
    <w:rsid w:val="00D83045"/>
    <w:rsid w:val="00D8314F"/>
    <w:rsid w:val="00D83354"/>
    <w:rsid w:val="00D83B9A"/>
    <w:rsid w:val="00D8446F"/>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DE7"/>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29C"/>
    <w:rsid w:val="00DC345A"/>
    <w:rsid w:val="00DC389B"/>
    <w:rsid w:val="00DC3904"/>
    <w:rsid w:val="00DC394C"/>
    <w:rsid w:val="00DC42A4"/>
    <w:rsid w:val="00DC42EA"/>
    <w:rsid w:val="00DC4933"/>
    <w:rsid w:val="00DC4ED6"/>
    <w:rsid w:val="00DC558C"/>
    <w:rsid w:val="00DC5ACF"/>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3F3D"/>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CF"/>
    <w:rsid w:val="00E051FB"/>
    <w:rsid w:val="00E056B0"/>
    <w:rsid w:val="00E05984"/>
    <w:rsid w:val="00E05C27"/>
    <w:rsid w:val="00E063DE"/>
    <w:rsid w:val="00E06682"/>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0386"/>
    <w:rsid w:val="00E6042E"/>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7AD"/>
    <w:rsid w:val="00E67A24"/>
    <w:rsid w:val="00E67C62"/>
    <w:rsid w:val="00E67D62"/>
    <w:rsid w:val="00E67E2D"/>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1FCF"/>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6E3"/>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84A"/>
    <w:rsid w:val="00EE0BC0"/>
    <w:rsid w:val="00EE0E63"/>
    <w:rsid w:val="00EE11C7"/>
    <w:rsid w:val="00EE123E"/>
    <w:rsid w:val="00EE1558"/>
    <w:rsid w:val="00EE2295"/>
    <w:rsid w:val="00EE298D"/>
    <w:rsid w:val="00EE2B19"/>
    <w:rsid w:val="00EE2B5D"/>
    <w:rsid w:val="00EE2BB3"/>
    <w:rsid w:val="00EE3291"/>
    <w:rsid w:val="00EE343A"/>
    <w:rsid w:val="00EE37A3"/>
    <w:rsid w:val="00EE3AF7"/>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4FD"/>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34B0"/>
    <w:rsid w:val="00F145D4"/>
    <w:rsid w:val="00F14AEC"/>
    <w:rsid w:val="00F14ED0"/>
    <w:rsid w:val="00F15ED6"/>
    <w:rsid w:val="00F15F5B"/>
    <w:rsid w:val="00F16210"/>
    <w:rsid w:val="00F164D5"/>
    <w:rsid w:val="00F1792F"/>
    <w:rsid w:val="00F17A56"/>
    <w:rsid w:val="00F20151"/>
    <w:rsid w:val="00F20474"/>
    <w:rsid w:val="00F205E2"/>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1FFA"/>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063"/>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10C"/>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088F"/>
    <w:rsid w:val="00FC2479"/>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3D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076"/>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FCF"/>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D50562"/>
    <w:pPr>
      <w:keepNext/>
      <w:keepLines/>
      <w:pageBreakBefore/>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EB1FCF"/>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662020"/>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662020"/>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0" w:right="22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7"/>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8"/>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9"/>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EB1FCF"/>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EB1FCF"/>
    <w:rPr>
      <w:rFonts w:ascii="Tahoma" w:hAnsi="Tahoma" w:eastAsiaTheme="minorEastAsia" w:cs="Tahoma"/>
      <w:b w:val="0"/>
      <w:bCs/>
      <w:color w:val="00305F"/>
      <w:sz w:val="31"/>
      <w:szCs w:val="31"/>
    </w:rPr>
  </w:style>
  <w:style w:type="paragraph" w:customStyle="1" w:styleId="7329">
    <w:name w:val="73א כותרת 2"/>
    <w:link w:val="73210"/>
    <w:qFormat/>
    <w:rsid w:val="00D50562"/>
    <w:pPr>
      <w:keepNext/>
      <w:keepLines/>
      <w:spacing w:before="360" w:after="240" w:line="240" w:lineRule="atLeast"/>
      <w:jc w:val="right"/>
      <w:outlineLvl w:val="1"/>
    </w:pPr>
    <w:rPr>
      <w:rFonts w:ascii="Tahoma" w:hAnsi="Tahoma" w:cs="Tahoma"/>
      <w:b/>
      <w:bCs/>
      <w:color w:val="00305F"/>
      <w:sz w:val="40"/>
      <w:szCs w:val="34"/>
    </w:rPr>
  </w:style>
  <w:style w:type="character" w:customStyle="1" w:styleId="73210">
    <w:name w:val="73א כותרת 2 תו"/>
    <w:basedOn w:val="DefaultParagraphFont"/>
    <w:link w:val="7329"/>
    <w:rsid w:val="00D50562"/>
    <w:rPr>
      <w:rFonts w:ascii="Tahoma" w:hAnsi="Tahoma" w:cs="Tahoma"/>
      <w:b/>
      <w:bCs/>
      <w:color w:val="00305F"/>
      <w:sz w:val="40"/>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link w:val="127"/>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EB1FCF"/>
    <w:rPr>
      <w:color w:val="0D0D0D" w:themeColor="text1" w:themeTint="F2"/>
      <w:sz w:val="18"/>
    </w:rPr>
  </w:style>
  <w:style w:type="character" w:customStyle="1" w:styleId="7393">
    <w:name w:val="73א טקסט רץ 9 תו"/>
    <w:basedOn w:val="Char4"/>
    <w:link w:val="7392"/>
    <w:rsid w:val="00EB1FCF"/>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711">
    <w:name w:val="71ג מקרא+הערות לתרשים/לוח/תמונה"/>
    <w:basedOn w:val="Normal"/>
    <w:link w:val="71Char"/>
    <w:qFormat/>
    <w:rsid w:val="00747AE5"/>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747AE5"/>
    <w:rPr>
      <w:rFonts w:ascii="Tahoma" w:hAnsi="Tahoma" w:cs="Tahoma"/>
      <w:color w:val="0D0D0D" w:themeColor="text1" w:themeTint="F2"/>
      <w:sz w:val="16"/>
      <w:szCs w:val="16"/>
    </w:rPr>
  </w:style>
  <w:style w:type="paragraph" w:customStyle="1" w:styleId="a35">
    <w:name w:val="תאריך הדוח"/>
    <w:qFormat/>
    <w:rsid w:val="001C7D48"/>
    <w:pPr>
      <w:ind w:left="2268"/>
      <w:jc w:val="left"/>
    </w:pPr>
    <w:rPr>
      <w:rFonts w:ascii="Tahoma" w:hAnsi="Tahoma" w:cs="Tahoma"/>
      <w:sz w:val="18"/>
      <w:szCs w:val="18"/>
    </w:rPr>
  </w:style>
  <w:style w:type="paragraph" w:customStyle="1" w:styleId="a36">
    <w:name w:val="כותרת ראשית לדוח"/>
    <w:qFormat/>
    <w:rsid w:val="00202249"/>
    <w:pPr>
      <w:spacing w:before="360" w:line="600" w:lineRule="exact"/>
      <w:ind w:left="2268"/>
      <w:jc w:val="left"/>
    </w:pPr>
    <w:rPr>
      <w:rFonts w:ascii="Tahoma" w:hAnsi="Tahoma" w:cs="Tahoma"/>
      <w:b/>
      <w:bCs/>
      <w:sz w:val="44"/>
      <w:szCs w:val="44"/>
    </w:rPr>
  </w:style>
  <w:style w:type="numbering" w:customStyle="1" w:styleId="CurrentList1">
    <w:name w:val="Current List1"/>
    <w:uiPriority w:val="99"/>
    <w:rsid w:val="00354D7C"/>
    <w:pPr>
      <w:numPr>
        <w:numId w:val="12"/>
      </w:numPr>
    </w:pPr>
  </w:style>
  <w:style w:type="numbering" w:customStyle="1" w:styleId="CurrentList2">
    <w:name w:val="Current List2"/>
    <w:uiPriority w:val="99"/>
    <w:rsid w:val="00354D7C"/>
    <w:pPr>
      <w:numPr>
        <w:numId w:val="13"/>
      </w:numPr>
    </w:pPr>
  </w:style>
  <w:style w:type="numbering" w:customStyle="1" w:styleId="CurrentList3">
    <w:name w:val="Current List3"/>
    <w:uiPriority w:val="99"/>
    <w:rsid w:val="00354D7C"/>
    <w:pPr>
      <w:numPr>
        <w:numId w:val="14"/>
      </w:numPr>
    </w:pPr>
  </w:style>
  <w:style w:type="character" w:customStyle="1" w:styleId="127">
    <w:name w:val="סגנון1 תו"/>
    <w:basedOn w:val="DefaultParagraphFont"/>
    <w:link w:val="125"/>
    <w:rsid w:val="00354D7C"/>
    <w:rPr>
      <w:b/>
      <w:bCs/>
      <w: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5F705BD5-ADEA-4517-81BB-95DDE926794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