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3360" behindDoc="0" locked="0" layoutInCell="1" allowOverlap="1">
                <wp:simplePos x="0" y="0"/>
                <wp:positionH relativeFrom="column">
                  <wp:posOffset>-307134</wp:posOffset>
                </wp:positionH>
                <wp:positionV relativeFrom="paragraph">
                  <wp:posOffset>-2140860</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2pt;mso-height-percent:0;mso-height-relative:margin;mso-width-percent:0;mso-width-relative:margin;mso-wrap-distance-bottom:0;mso-wrap-distance-left:9pt;mso-wrap-distance-right:9pt;mso-wrap-distance-top:0;mso-wrap-style:square;position:absolute;visibility:visible;v-text-anchor:middle;z-index:251664384"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5702E5BE">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79744" behindDoc="0" locked="0" layoutInCell="1" allowOverlap="1">
                <wp:simplePos x="0" y="0"/>
                <wp:positionH relativeFrom="column">
                  <wp:posOffset>1849755</wp:posOffset>
                </wp:positionH>
                <wp:positionV relativeFrom="paragraph">
                  <wp:posOffset>2924370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8" style="flip:x y;mso-height-percent:0;mso-height-relative:margin;mso-width-percent:0;mso-width-relative:margin;mso-wrap-distance-bottom:0;mso-wrap-distance-left:9pt;mso-wrap-distance-right:9pt;mso-wrap-distance-top:0;mso-wrap-style:square;position:absolute;visibility:visible;z-index:251680768" from="145.65pt,230.25pt" to="387.75pt,230.25pt" strokecolor="white" strokeweight="1.5pt">
                <v:stroke endcap="round"/>
              </v:line>
            </w:pict>
          </mc:Fallback>
        </mc:AlternateContent>
      </w:r>
      <w:r>
        <w:rPr>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1586327</wp:posOffset>
                </wp:positionH>
                <wp:positionV relativeFrom="paragraph">
                  <wp:posOffset>1020543</wp:posOffset>
                </wp:positionV>
                <wp:extent cx="18779" cy="4343400"/>
                <wp:effectExtent l="25400" t="25400" r="32385" b="2540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18779" cy="43434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8480" from="124.9pt,80.35pt" to="126.4pt,422.35pt" strokecolor="white" strokeweight="4pt">
                <v:stroke endcap="round"/>
              </v:line>
            </w:pict>
          </mc:Fallback>
        </mc:AlternateContent>
      </w:r>
      <w:r w:rsidRPr="00E539EA">
        <w:rPr>
          <w:noProof/>
          <w:sz w:val="17"/>
          <w:szCs w:val="18"/>
        </w:rPr>
        <mc:AlternateContent>
          <mc:Choice Requires="wps">
            <w:drawing>
              <wp:anchor distT="0" distB="0" distL="114300" distR="114300" simplePos="0" relativeHeight="251672576" behindDoc="0" locked="0" layoutInCell="1" allowOverlap="1">
                <wp:simplePos x="0" y="0"/>
                <wp:positionH relativeFrom="column">
                  <wp:posOffset>1767840</wp:posOffset>
                </wp:positionH>
                <wp:positionV relativeFrom="paragraph">
                  <wp:posOffset>2954020</wp:posOffset>
                </wp:positionV>
                <wp:extent cx="3455035"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55035" cy="2560320"/>
                        </a:xfrm>
                        <a:prstGeom prst="rect">
                          <a:avLst/>
                        </a:prstGeom>
                        <a:noFill/>
                        <a:ln w="9525">
                          <a:noFill/>
                          <a:miter lim="800000"/>
                          <a:headEnd/>
                          <a:tailEnd/>
                        </a:ln>
                      </wps:spPr>
                      <wps:txbx>
                        <w:txbxContent>
                          <w:p w:rsidR="00355057" w:rsidRPr="00133E28" w:rsidP="006B6A43" w14:textId="0B57AFEB">
                            <w:pPr>
                              <w:bidi w:val="0"/>
                              <w:spacing w:line="276" w:lineRule="auto"/>
                              <w:rPr>
                                <w:rFonts w:ascii="Tahoma" w:hAnsi="Tahoma" w:cs="Tahoma"/>
                                <w:b/>
                                <w:bCs/>
                                <w:color w:val="FFFFFF" w:themeColor="background1"/>
                                <w:spacing w:val="6"/>
                                <w:sz w:val="40"/>
                                <w:szCs w:val="40"/>
                              </w:rPr>
                            </w:pPr>
                            <w:r w:rsidRPr="003C0FEB">
                              <w:rPr>
                                <w:rFonts w:ascii="Tahoma" w:hAnsi="Tahoma" w:cs="Tahoma"/>
                                <w:b/>
                                <w:bCs/>
                                <w:color w:val="FFFFFF" w:themeColor="background1"/>
                                <w:spacing w:val="6"/>
                                <w:sz w:val="40"/>
                                <w:szCs w:val="40"/>
                              </w:rPr>
                              <w:t>Aspects of Cumulative Pensions and the Pension Distribution Market – Follow-</w:t>
                            </w:r>
                            <w:r w:rsidR="006A30A9">
                              <w:rPr>
                                <w:rFonts w:ascii="Tahoma" w:hAnsi="Tahoma" w:cs="Tahoma"/>
                                <w:b/>
                                <w:bCs/>
                                <w:color w:val="FFFFFF" w:themeColor="background1"/>
                                <w:spacing w:val="6"/>
                                <w:sz w:val="40"/>
                                <w:szCs w:val="40"/>
                              </w:rPr>
                              <w:t>u</w:t>
                            </w:r>
                            <w:r w:rsidRPr="003C0FEB">
                              <w:rPr>
                                <w:rFonts w:ascii="Tahoma" w:hAnsi="Tahoma" w:cs="Tahoma"/>
                                <w:b/>
                                <w:bCs/>
                                <w:color w:val="FFFFFF" w:themeColor="background1"/>
                                <w:spacing w:val="6"/>
                                <w:sz w:val="40"/>
                                <w:szCs w:val="40"/>
                              </w:rPr>
                              <w:t>p Audit</w:t>
                            </w:r>
                            <w:r w:rsidR="00C50F58">
                              <w:rPr>
                                <w:rFonts w:ascii="Tahoma" w:hAnsi="Tahoma" w:cs="Tahoma"/>
                                <w:b/>
                                <w:bCs/>
                                <w:color w:val="FFFFFF" w:themeColor="background1"/>
                                <w:spacing w:val="6"/>
                                <w:sz w:val="40"/>
                                <w:szCs w:val="40"/>
                              </w:rPr>
                              <w:t xml:space="preserve"> </w:t>
                            </w:r>
                          </w:p>
                          <w:p w:rsidR="00355057" w:rsidRPr="00950E0A" w:rsidP="00355057" w14:textId="77777777">
                            <w:pPr>
                              <w:bidi w:val="0"/>
                              <w:spacing w:after="0" w:line="240" w:lineRule="auto"/>
                              <w:rPr>
                                <w:rFonts w:asciiTheme="majorBidi" w:hAnsiTheme="majorBidi" w:cstheme="majorBidi"/>
                                <w:b/>
                                <w:bCs/>
                                <w:sz w:val="28"/>
                                <w:szCs w:val="28"/>
                                <w:rtl/>
                              </w:rPr>
                            </w:pP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72.05pt;height:201.6pt;margin-top:232.6pt;margin-left:139.2pt;mso-height-percent:0;mso-height-relative:margin;mso-width-percent:0;mso-width-relative:margin;mso-wrap-distance-bottom:0;mso-wrap-distance-left:9pt;mso-wrap-distance-right:9pt;mso-wrap-distance-top:0;mso-wrap-style:square;position:absolute;visibility:visible;v-text-anchor:top;z-index:251673600" filled="f" stroked="f">
                <v:textbox>
                  <w:txbxContent>
                    <w:p w:rsidR="00355057" w:rsidRPr="00133E28" w:rsidP="006B6A43" w14:paraId="6B027A3C" w14:textId="0B57AFEB">
                      <w:pPr>
                        <w:bidi w:val="0"/>
                        <w:spacing w:line="276" w:lineRule="auto"/>
                        <w:rPr>
                          <w:rFonts w:ascii="Tahoma" w:hAnsi="Tahoma" w:cs="Tahoma"/>
                          <w:b/>
                          <w:bCs/>
                          <w:color w:val="FFFFFF" w:themeColor="background1"/>
                          <w:spacing w:val="6"/>
                          <w:sz w:val="40"/>
                          <w:szCs w:val="40"/>
                        </w:rPr>
                      </w:pPr>
                      <w:r w:rsidRPr="003C0FEB">
                        <w:rPr>
                          <w:rFonts w:ascii="Tahoma" w:hAnsi="Tahoma" w:cs="Tahoma"/>
                          <w:b/>
                          <w:bCs/>
                          <w:color w:val="FFFFFF" w:themeColor="background1"/>
                          <w:spacing w:val="6"/>
                          <w:sz w:val="40"/>
                          <w:szCs w:val="40"/>
                        </w:rPr>
                        <w:t>Aspects of Cumulative Pensions and the Pension Distribution Market – Follow-</w:t>
                      </w:r>
                      <w:r w:rsidR="006A30A9">
                        <w:rPr>
                          <w:rFonts w:ascii="Tahoma" w:hAnsi="Tahoma" w:cs="Tahoma"/>
                          <w:b/>
                          <w:bCs/>
                          <w:color w:val="FFFFFF" w:themeColor="background1"/>
                          <w:spacing w:val="6"/>
                          <w:sz w:val="40"/>
                          <w:szCs w:val="40"/>
                        </w:rPr>
                        <w:t>u</w:t>
                      </w:r>
                      <w:r w:rsidRPr="003C0FEB">
                        <w:rPr>
                          <w:rFonts w:ascii="Tahoma" w:hAnsi="Tahoma" w:cs="Tahoma"/>
                          <w:b/>
                          <w:bCs/>
                          <w:color w:val="FFFFFF" w:themeColor="background1"/>
                          <w:spacing w:val="6"/>
                          <w:sz w:val="40"/>
                          <w:szCs w:val="40"/>
                        </w:rPr>
                        <w:t>p Audit</w:t>
                      </w:r>
                      <w:r w:rsidR="00C50F58">
                        <w:rPr>
                          <w:rFonts w:ascii="Tahoma" w:hAnsi="Tahoma" w:cs="Tahoma"/>
                          <w:b/>
                          <w:bCs/>
                          <w:color w:val="FFFFFF" w:themeColor="background1"/>
                          <w:spacing w:val="6"/>
                          <w:sz w:val="40"/>
                          <w:szCs w:val="40"/>
                        </w:rPr>
                        <w:t xml:space="preserve"> </w:t>
                      </w:r>
                    </w:p>
                    <w:p w:rsidR="00355057" w:rsidRPr="00950E0A" w:rsidP="00355057" w14:paraId="59184F06" w14:textId="77777777">
                      <w:pPr>
                        <w:bidi w:val="0"/>
                        <w:spacing w:after="0" w:line="240" w:lineRule="auto"/>
                        <w:rPr>
                          <w:rFonts w:asciiTheme="majorBidi" w:hAnsiTheme="majorBidi" w:cstheme="majorBidi"/>
                          <w:b/>
                          <w:bCs/>
                          <w:sz w:val="28"/>
                          <w:szCs w:val="28"/>
                          <w:rtl/>
                        </w:rPr>
                      </w:pP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Pr>
          <w:noProof/>
          <w:sz w:val="17"/>
          <w:szCs w:val="18"/>
        </w:rPr>
        <mc:AlternateContent>
          <mc:Choice Requires="wps">
            <w:drawing>
              <wp:anchor distT="0" distB="0" distL="114300" distR="114300" simplePos="0" relativeHeight="251670528" behindDoc="0" locked="0" layoutInCell="1" allowOverlap="1">
                <wp:simplePos x="0" y="0"/>
                <wp:positionH relativeFrom="column">
                  <wp:posOffset>1771943</wp:posOffset>
                </wp:positionH>
                <wp:positionV relativeFrom="paragraph">
                  <wp:posOffset>2308127</wp:posOffset>
                </wp:positionV>
                <wp:extent cx="3226435" cy="562708"/>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562708"/>
                        </a:xfrm>
                        <a:prstGeom prst="rect">
                          <a:avLst/>
                        </a:prstGeom>
                        <a:noFill/>
                        <a:ln w="9525">
                          <a:noFill/>
                          <a:miter lim="800000"/>
                          <a:headEnd/>
                          <a:tailEnd/>
                        </a:ln>
                      </wps:spPr>
                      <wps:txbx>
                        <w:txbxContent>
                          <w:p w:rsidR="00E16003" w:rsidRPr="00A71400" w:rsidP="004736B8" w14:textId="24BAE3FE">
                            <w:pPr>
                              <w:bidi w:val="0"/>
                              <w:spacing w:line="276" w:lineRule="auto"/>
                              <w:rPr>
                                <w:rFonts w:ascii="Tahoma" w:hAnsi="Tahoma" w:cs="Tahoma"/>
                                <w:color w:val="FFFFFF" w:themeColor="background1"/>
                                <w:spacing w:val="6"/>
                                <w:sz w:val="28"/>
                                <w:szCs w:val="28"/>
                                <w:rtl/>
                                <w:lang w:val="en"/>
                              </w:rPr>
                            </w:pPr>
                            <w:r w:rsidRPr="00A71400">
                              <w:rPr>
                                <w:rFonts w:ascii="Tahoma" w:hAnsi="Tahoma" w:cs="Tahoma"/>
                                <w:color w:val="FFFFFF" w:themeColor="background1"/>
                                <w:sz w:val="28"/>
                                <w:szCs w:val="28"/>
                                <w:lang w:val="en"/>
                              </w:rPr>
                              <w:t>Capital Market, Insurance, and Savings Authority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54.05pt;height:44.3pt;margin-top:181.75pt;margin-left:139.5pt;mso-height-percent:0;mso-height-relative:margin;mso-width-percent:0;mso-width-relative:margin;mso-wrap-distance-bottom:0;mso-wrap-distance-left:9pt;mso-wrap-distance-right:9pt;mso-wrap-distance-top:0;mso-wrap-style:square;position:absolute;visibility:visible;v-text-anchor:top;z-index:251671552" filled="f" stroked="f">
                <v:textbox>
                  <w:txbxContent>
                    <w:p w:rsidR="00E16003" w:rsidRPr="00A71400" w:rsidP="004736B8" w14:paraId="5EE59732" w14:textId="24BAE3FE">
                      <w:pPr>
                        <w:bidi w:val="0"/>
                        <w:spacing w:line="276" w:lineRule="auto"/>
                        <w:rPr>
                          <w:rFonts w:ascii="Tahoma" w:hAnsi="Tahoma" w:cs="Tahoma"/>
                          <w:color w:val="FFFFFF" w:themeColor="background1"/>
                          <w:spacing w:val="6"/>
                          <w:sz w:val="28"/>
                          <w:szCs w:val="28"/>
                          <w:rtl/>
                          <w:lang w:val="en"/>
                        </w:rPr>
                      </w:pPr>
                      <w:r w:rsidRPr="00A71400">
                        <w:rPr>
                          <w:rFonts w:ascii="Tahoma" w:hAnsi="Tahoma" w:cs="Tahoma"/>
                          <w:color w:val="FFFFFF" w:themeColor="background1"/>
                          <w:sz w:val="28"/>
                          <w:szCs w:val="28"/>
                          <w:lang w:val="en"/>
                        </w:rPr>
                        <w:t>Capital Market, Insurance, and Savings Authority</w:t>
                      </w:r>
                    </w:p>
                  </w:txbxContent>
                </v:textbox>
              </v:shape>
            </w:pict>
          </mc:Fallback>
        </mc:AlternateContent>
      </w:r>
      <w:r w:rsidRPr="00E539EA" w:rsidR="00C50F58">
        <w:rPr>
          <w:noProof/>
          <w:sz w:val="17"/>
          <w:szCs w:val="18"/>
        </w:rPr>
        <mc:AlternateContent>
          <mc:Choice Requires="wps">
            <w:drawing>
              <wp:anchor distT="0" distB="0" distL="114300" distR="114300" simplePos="0" relativeHeight="251674624" behindDoc="0" locked="0" layoutInCell="1" allowOverlap="1">
                <wp:simplePos x="0" y="0"/>
                <wp:positionH relativeFrom="column">
                  <wp:posOffset>1775460</wp:posOffset>
                </wp:positionH>
                <wp:positionV relativeFrom="paragraph">
                  <wp:posOffset>1379855</wp:posOffset>
                </wp:positionV>
                <wp:extent cx="3727450" cy="434340"/>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27450" cy="434340"/>
                        </a:xfrm>
                        <a:prstGeom prst="rect">
                          <a:avLst/>
                        </a:prstGeom>
                        <a:noFill/>
                        <a:ln w="9525">
                          <a:noFill/>
                          <a:miter lim="800000"/>
                          <a:headEnd/>
                          <a:tailEnd/>
                        </a:ln>
                      </wps:spPr>
                      <wps:txbx>
                        <w:txbxContent>
                          <w:p w:rsidR="00C50F58" w:rsidRPr="00CE2FA5" w:rsidP="00C50F58" w14:textId="77777777">
                            <w:pPr>
                              <w:bidi w:val="0"/>
                              <w:rPr>
                                <w:rFonts w:ascii="Tahoma" w:hAnsi="Tahoma" w:cs="Tahoma"/>
                                <w:color w:val="FFFFFF" w:themeColor="background1"/>
                                <w:spacing w:val="6"/>
                                <w:sz w:val="17"/>
                                <w:szCs w:val="17"/>
                              </w:rPr>
                            </w:pPr>
                            <w:r w:rsidRPr="00355F67">
                              <w:rPr>
                                <w:rFonts w:ascii="Tahoma" w:hAnsi="Tahoma" w:cs="Tahoma"/>
                                <w:color w:val="FFFFFF" w:themeColor="background1"/>
                                <w:spacing w:val="6"/>
                                <w:sz w:val="17"/>
                                <w:szCs w:val="17"/>
                              </w:rPr>
                              <w:t xml:space="preserve">Report of the State Comptroller of Israel | </w:t>
                            </w:r>
                            <w:r>
                              <w:rPr>
                                <w:rFonts w:ascii="Tahoma" w:hAnsi="Tahoma" w:cs="Tahoma"/>
                                <w:color w:val="FFFFFF" w:themeColor="background1"/>
                                <w:spacing w:val="6"/>
                                <w:sz w:val="17"/>
                                <w:szCs w:val="17"/>
                              </w:rPr>
                              <w:br/>
                              <w:t xml:space="preserve">November </w:t>
                            </w:r>
                            <w:r w:rsidRPr="00355F67">
                              <w:rPr>
                                <w:rFonts w:ascii="Tahoma" w:hAnsi="Tahoma" w:cs="Tahoma"/>
                                <w:color w:val="FFFFFF" w:themeColor="background1"/>
                                <w:spacing w:val="6"/>
                                <w:sz w:val="17"/>
                                <w:szCs w:val="17"/>
                              </w:rPr>
                              <w:t>2022</w:t>
                            </w:r>
                          </w:p>
                          <w:p w:rsidR="00E16003" w:rsidRPr="00CE2FA5" w:rsidP="00133E28" w14:textId="4573C4F9">
                            <w:pPr>
                              <w:bidi w:val="0"/>
                              <w:rPr>
                                <w:rFonts w:ascii="Tahoma" w:hAnsi="Tahoma" w:cs="Tahoma"/>
                                <w:color w:val="FFFFFF" w:themeColor="background1"/>
                                <w:spacing w:val="6"/>
                                <w:sz w:val="17"/>
                                <w:szCs w:val="17"/>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93.5pt;height:34.2pt;margin-top:108.65pt;margin-left:139.8pt;mso-height-percent:0;mso-height-relative:margin;mso-width-percent:0;mso-width-relative:margin;mso-wrap-distance-bottom:0;mso-wrap-distance-left:9pt;mso-wrap-distance-right:9pt;mso-wrap-distance-top:0;mso-wrap-style:square;position:absolute;visibility:visible;v-text-anchor:top;z-index:251675648" filled="f" stroked="f">
                <v:textbox>
                  <w:txbxContent>
                    <w:p w:rsidR="00C50F58" w:rsidRPr="00CE2FA5" w:rsidP="00C50F58" w14:paraId="05586A70" w14:textId="77777777">
                      <w:pPr>
                        <w:bidi w:val="0"/>
                        <w:rPr>
                          <w:rFonts w:ascii="Tahoma" w:hAnsi="Tahoma" w:cs="Tahoma"/>
                          <w:color w:val="FFFFFF" w:themeColor="background1"/>
                          <w:spacing w:val="6"/>
                          <w:sz w:val="17"/>
                          <w:szCs w:val="17"/>
                        </w:rPr>
                      </w:pPr>
                      <w:r w:rsidRPr="00355F67">
                        <w:rPr>
                          <w:rFonts w:ascii="Tahoma" w:hAnsi="Tahoma" w:cs="Tahoma"/>
                          <w:color w:val="FFFFFF" w:themeColor="background1"/>
                          <w:spacing w:val="6"/>
                          <w:sz w:val="17"/>
                          <w:szCs w:val="17"/>
                        </w:rPr>
                        <w:t xml:space="preserve">Report of the State Comptroller of Israel | </w:t>
                      </w:r>
                      <w:r>
                        <w:rPr>
                          <w:rFonts w:ascii="Tahoma" w:hAnsi="Tahoma" w:cs="Tahoma"/>
                          <w:color w:val="FFFFFF" w:themeColor="background1"/>
                          <w:spacing w:val="6"/>
                          <w:sz w:val="17"/>
                          <w:szCs w:val="17"/>
                        </w:rPr>
                        <w:br/>
                        <w:t xml:space="preserve">November </w:t>
                      </w:r>
                      <w:r w:rsidRPr="00355F67">
                        <w:rPr>
                          <w:rFonts w:ascii="Tahoma" w:hAnsi="Tahoma" w:cs="Tahoma"/>
                          <w:color w:val="FFFFFF" w:themeColor="background1"/>
                          <w:spacing w:val="6"/>
                          <w:sz w:val="17"/>
                          <w:szCs w:val="17"/>
                        </w:rPr>
                        <w:t>2022</w:t>
                      </w:r>
                    </w:p>
                    <w:p w:rsidR="00E16003" w:rsidRPr="00CE2FA5" w:rsidP="00133E28" w14:paraId="5156A4BB" w14:textId="4573C4F9">
                      <w:pPr>
                        <w:bidi w:val="0"/>
                        <w:rPr>
                          <w:rFonts w:ascii="Tahoma" w:hAnsi="Tahoma" w:cs="Tahoma"/>
                          <w:color w:val="FFFFFF" w:themeColor="background1"/>
                          <w:spacing w:val="6"/>
                          <w:sz w:val="17"/>
                          <w:szCs w:val="17"/>
                        </w:rPr>
                      </w:pPr>
                    </w:p>
                  </w:txbxContent>
                </v:textbox>
              </v:shape>
            </w:pict>
          </mc:Fallback>
        </mc:AlternateContent>
      </w:r>
      <w:r w:rsidR="00B650F8">
        <w:rPr>
          <w:noProof/>
          <w:sz w:val="22"/>
          <w:szCs w:val="22"/>
          <w:rtl/>
          <w:lang w:val="he-IL"/>
        </w:rPr>
        <w:drawing>
          <wp:anchor distT="0" distB="0" distL="114300" distR="114300" simplePos="0" relativeHeight="251669504"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6432"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6A30A9" w14:paraId="647EBF7B" w14:textId="4D096341">
      <w:pPr>
        <w:pStyle w:val="7120"/>
        <w:bidi w:val="0"/>
        <w:spacing w:before="0" w:after="3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81792" behindDoc="0" locked="0" layoutInCell="1" allowOverlap="1">
                <wp:simplePos x="0" y="0"/>
                <wp:positionH relativeFrom="column">
                  <wp:posOffset>5070035</wp:posOffset>
                </wp:positionH>
                <wp:positionV relativeFrom="paragraph">
                  <wp:posOffset>140872</wp:posOffset>
                </wp:positionV>
                <wp:extent cx="192405" cy="6141183"/>
                <wp:effectExtent l="0" t="0" r="0" b="5715"/>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14118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83.55pt;margin-top:11.1pt;margin-left:399.2pt;mso-height-percent:0;mso-height-relative:margin;mso-width-percent:0;mso-width-relative:margin;mso-wrap-distance-bottom:0;mso-wrap-distance-left:9pt;mso-wrap-distance-right:9pt;mso-wrap-distance-top:0;mso-wrap-style:square;position:absolute;visibility:visible;v-text-anchor:middle;z-index:251682816" fillcolor="#00305f" stroked="f" strokeweight="1.5pt">
                <v:stroke endcap="round"/>
              </v:rect>
            </w:pict>
          </mc:Fallback>
        </mc:AlternateContent>
      </w:r>
      <w:r w:rsidRPr="003C0FEB" w:rsidR="003C0FEB">
        <w:rPr>
          <w:rFonts w:eastAsiaTheme="majorEastAsia"/>
          <w:noProof/>
          <w:sz w:val="34"/>
        </w:rPr>
        <w:t xml:space="preserve">Aspects of Cumulative Pensions and the Pension Distribution Market – </w:t>
      </w:r>
      <w:r w:rsidR="003C0FEB">
        <w:rPr>
          <w:rFonts w:eastAsiaTheme="majorEastAsia"/>
          <w:noProof/>
          <w:sz w:val="34"/>
          <w:rtl/>
        </w:rPr>
        <w:br/>
      </w:r>
      <w:r w:rsidRPr="003C0FEB" w:rsidR="003C0FEB">
        <w:rPr>
          <w:rFonts w:eastAsiaTheme="majorEastAsia"/>
          <w:noProof/>
          <w:sz w:val="34"/>
        </w:rPr>
        <w:t>Follow-</w:t>
      </w:r>
      <w:r w:rsidR="006A30A9">
        <w:rPr>
          <w:rFonts w:eastAsiaTheme="majorEastAsia"/>
          <w:noProof/>
          <w:sz w:val="34"/>
        </w:rPr>
        <w:t>u</w:t>
      </w:r>
      <w:r w:rsidRPr="003C0FEB" w:rsidR="003C0FEB">
        <w:rPr>
          <w:rFonts w:eastAsiaTheme="majorEastAsia"/>
          <w:noProof/>
          <w:sz w:val="34"/>
        </w:rPr>
        <w:t>p Audit</w:t>
      </w:r>
      <w:r w:rsidR="00C50F58">
        <w:rPr>
          <w:rFonts w:eastAsiaTheme="majorEastAsia"/>
          <w:noProof/>
          <w:sz w:val="34"/>
        </w:rPr>
        <w:t xml:space="preserve"> </w:t>
      </w:r>
    </w:p>
    <w:p w:rsidR="00605DF2" w:rsidP="00424CEB" w14:paraId="55A1FDE5" w14:textId="335E4CD7">
      <w:pPr>
        <w:bidi w:val="0"/>
        <w:spacing w:before="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CD6F09" w:rsidRPr="00986B6A" w:rsidP="006A30A9" w14:paraId="3AF38481" w14:textId="77777777">
      <w:pPr>
        <w:pStyle w:val="719"/>
        <w:bidi w:val="0"/>
        <w:spacing w:before="180" w:after="360"/>
      </w:pPr>
      <w:r w:rsidRPr="00986B6A">
        <w:t xml:space="preserve">Savings for retirement age consists of three layers: the first layer is the old-age pension; the second layer, usually the primary source of income after retirement from work, is the pension savings accumulated by the employee throughout his years of work; and the third layer is the private savings of households. The new pension funds are included in the second layer of pension savings – as Defined Contribution (DC) pension plans. In the DC method, the benefit is determined according to the accumulation of the employee's and the employer's provisions to the fund, plus the return earned by the fund, net of the management fees, and based on assumptions regarding life expectancy. In this method, the return risks are entirely borne by the employee. </w:t>
      </w:r>
    </w:p>
    <w:p w:rsidR="00CD6F09" w:rsidRPr="00986B6A" w:rsidP="00CD6F09" w14:paraId="2B2F0A34" w14:textId="77777777">
      <w:pPr>
        <w:pStyle w:val="719"/>
        <w:bidi w:val="0"/>
        <w:spacing w:after="360"/>
      </w:pP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1E9E868F">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1474"/>
        <w:gridCol w:w="134"/>
        <w:gridCol w:w="1474"/>
        <w:gridCol w:w="134"/>
        <w:gridCol w:w="1701"/>
        <w:gridCol w:w="134"/>
        <w:gridCol w:w="1474"/>
      </w:tblGrid>
      <w:tr w14:paraId="5198069E" w14:textId="77777777" w:rsidTr="00CD6F0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Ex>
        <w:tc>
          <w:tcPr>
            <w:tcW w:w="1474" w:type="dxa"/>
            <w:tcBorders>
              <w:bottom w:val="single" w:sz="8" w:space="0" w:color="auto"/>
            </w:tcBorders>
            <w:vAlign w:val="bottom"/>
          </w:tcPr>
          <w:p w:rsidR="00CD6F09" w:rsidRPr="000C6595" w:rsidP="00CD6F09" w14:paraId="1FB37F5E" w14:textId="6C2EEDC9">
            <w:pPr>
              <w:bidi w:val="0"/>
              <w:spacing w:before="120" w:after="60" w:line="240" w:lineRule="auto"/>
              <w:rPr>
                <w:rFonts w:ascii="Tahoma" w:hAnsi="Tahoma" w:cs="Tahoma"/>
                <w:b/>
                <w:bCs/>
                <w:color w:val="0D0D0D" w:themeColor="text1" w:themeTint="F2"/>
                <w:sz w:val="24"/>
                <w:szCs w:val="24"/>
                <w:rtl/>
              </w:rPr>
            </w:pPr>
            <w:r w:rsidRPr="00986B6A">
              <w:rPr>
                <w:rFonts w:ascii="Tahoma" w:hAnsi="Tahoma" w:cs="Tahoma"/>
                <w:b/>
                <w:bCs/>
                <w:color w:val="0D0D0D" w:themeColor="text1" w:themeTint="F2"/>
                <w:sz w:val="26"/>
                <w:szCs w:val="26"/>
              </w:rPr>
              <w:t>NIS</w:t>
            </w:r>
            <w:r w:rsidRPr="00986B6A">
              <w:rPr>
                <w:rFonts w:ascii="Tahoma" w:hAnsi="Tahoma" w:cs="Tahoma"/>
                <w:b/>
                <w:bCs/>
                <w:color w:val="0D0D0D" w:themeColor="text1" w:themeTint="F2"/>
                <w:sz w:val="36"/>
                <w:szCs w:val="36"/>
              </w:rPr>
              <w:t xml:space="preserve"> 464.7 </w:t>
            </w:r>
            <w:r w:rsidRPr="00986B6A">
              <w:rPr>
                <w:rFonts w:ascii="Tahoma" w:hAnsi="Tahoma" w:cs="Tahoma"/>
                <w:b/>
                <w:bCs/>
                <w:color w:val="0D0D0D" w:themeColor="text1" w:themeTint="F2"/>
                <w:sz w:val="26"/>
                <w:szCs w:val="26"/>
              </w:rPr>
              <w:t>billion</w:t>
            </w:r>
          </w:p>
        </w:tc>
        <w:tc>
          <w:tcPr>
            <w:tcW w:w="134" w:type="dxa"/>
          </w:tcPr>
          <w:p w:rsidR="00CD6F09" w:rsidRPr="00EB7D7A" w:rsidP="00CD6F09" w14:paraId="4429F28B" w14:textId="77777777">
            <w:pPr>
              <w:bidi w:val="0"/>
              <w:spacing w:before="120" w:after="60" w:line="240" w:lineRule="auto"/>
              <w:rPr>
                <w:rFonts w:ascii="Tahoma" w:hAnsi="Tahoma" w:cs="Tahoma"/>
                <w:b/>
                <w:bCs/>
                <w:color w:val="0D0D0D" w:themeColor="text1" w:themeTint="F2"/>
                <w:spacing w:val="-10"/>
              </w:rPr>
            </w:pPr>
          </w:p>
        </w:tc>
        <w:tc>
          <w:tcPr>
            <w:tcW w:w="1474" w:type="dxa"/>
            <w:tcBorders>
              <w:bottom w:val="single" w:sz="8" w:space="0" w:color="auto"/>
            </w:tcBorders>
            <w:vAlign w:val="bottom"/>
          </w:tcPr>
          <w:p w:rsidR="00CD6F09" w:rsidRPr="00273409" w:rsidP="00CD6F09" w14:paraId="018C23DE" w14:textId="4490297A">
            <w:pPr>
              <w:bidi w:val="0"/>
              <w:spacing w:after="60" w:line="240" w:lineRule="auto"/>
              <w:rPr>
                <w:rFonts w:ascii="Tahoma" w:hAnsi="Tahoma" w:cs="Tahoma"/>
                <w:b/>
                <w:bCs/>
                <w:color w:val="0D0D0D" w:themeColor="text1" w:themeTint="F2"/>
                <w:sz w:val="36"/>
                <w:szCs w:val="36"/>
                <w:rtl/>
              </w:rPr>
            </w:pPr>
            <w:r w:rsidRPr="00986B6A">
              <w:rPr>
                <w:rFonts w:ascii="Tahoma" w:hAnsi="Tahoma" w:cs="Tahoma"/>
                <w:b/>
                <w:bCs/>
                <w:color w:val="0D0D0D" w:themeColor="text1" w:themeTint="F2"/>
                <w:sz w:val="26"/>
                <w:szCs w:val="26"/>
              </w:rPr>
              <w:t xml:space="preserve">NIS </w:t>
            </w:r>
            <w:r w:rsidRPr="00986B6A">
              <w:rPr>
                <w:rFonts w:ascii="Tahoma" w:hAnsi="Tahoma" w:cs="Tahoma"/>
                <w:b/>
                <w:bCs/>
                <w:color w:val="0D0D0D" w:themeColor="text1" w:themeTint="F2"/>
                <w:sz w:val="36"/>
                <w:szCs w:val="36"/>
              </w:rPr>
              <w:t xml:space="preserve">44.9 </w:t>
            </w:r>
            <w:r w:rsidRPr="00986B6A">
              <w:rPr>
                <w:rFonts w:ascii="Tahoma" w:hAnsi="Tahoma" w:cs="Tahoma"/>
                <w:b/>
                <w:bCs/>
                <w:color w:val="0D0D0D" w:themeColor="text1" w:themeTint="F2"/>
                <w:sz w:val="26"/>
                <w:szCs w:val="26"/>
              </w:rPr>
              <w:t>billion</w:t>
            </w:r>
          </w:p>
        </w:tc>
        <w:tc>
          <w:tcPr>
            <w:tcW w:w="134" w:type="dxa"/>
          </w:tcPr>
          <w:p w:rsidR="00CD6F09" w:rsidRPr="00273409" w:rsidP="00CD6F09" w14:paraId="78489ABE" w14:textId="77777777">
            <w:pPr>
              <w:bidi w:val="0"/>
              <w:spacing w:before="120" w:after="60" w:line="240" w:lineRule="auto"/>
              <w:rPr>
                <w:rFonts w:ascii="Tahoma" w:hAnsi="Tahoma" w:cs="Tahoma"/>
                <w:b/>
                <w:bCs/>
                <w:color w:val="0D0D0D" w:themeColor="text1" w:themeTint="F2"/>
              </w:rPr>
            </w:pPr>
          </w:p>
        </w:tc>
        <w:tc>
          <w:tcPr>
            <w:tcW w:w="1701" w:type="dxa"/>
            <w:tcBorders>
              <w:bottom w:val="single" w:sz="8" w:space="0" w:color="000000"/>
            </w:tcBorders>
            <w:vAlign w:val="bottom"/>
          </w:tcPr>
          <w:p w:rsidR="00CD6F09" w:rsidRPr="00CD6EED" w:rsidP="00CD6F09" w14:paraId="1465537A" w14:textId="701CD378">
            <w:pPr>
              <w:bidi w:val="0"/>
              <w:spacing w:before="120" w:after="60" w:line="240" w:lineRule="auto"/>
              <w:rPr>
                <w:rFonts w:ascii="Tahoma" w:hAnsi="Tahoma" w:cs="Tahoma"/>
                <w:b/>
                <w:bCs/>
                <w:color w:val="0D0D0D" w:themeColor="text1" w:themeTint="F2"/>
                <w:sz w:val="36"/>
                <w:szCs w:val="36"/>
              </w:rPr>
            </w:pPr>
            <w:r w:rsidRPr="00986B6A">
              <w:rPr>
                <w:rFonts w:ascii="Tahoma" w:hAnsi="Tahoma" w:cs="Tahoma"/>
                <w:b/>
                <w:bCs/>
                <w:color w:val="0D0D0D" w:themeColor="text1" w:themeTint="F2"/>
                <w:sz w:val="36"/>
                <w:szCs w:val="36"/>
                <w:rtl/>
              </w:rPr>
              <w:t>1.95%</w:t>
            </w:r>
          </w:p>
        </w:tc>
        <w:tc>
          <w:tcPr>
            <w:tcW w:w="134" w:type="dxa"/>
          </w:tcPr>
          <w:p w:rsidR="00CD6F09" w:rsidRPr="00CD6EED" w:rsidP="00CD6F09" w14:paraId="0E403648" w14:textId="77777777">
            <w:pPr>
              <w:bidi w:val="0"/>
              <w:spacing w:before="120" w:after="60" w:line="240" w:lineRule="auto"/>
              <w:rPr>
                <w:rFonts w:ascii="Tahoma" w:hAnsi="Tahoma" w:cs="Tahoma"/>
                <w:b/>
                <w:bCs/>
                <w:color w:val="0D0D0D" w:themeColor="text1" w:themeTint="F2"/>
                <w:sz w:val="36"/>
                <w:szCs w:val="36"/>
              </w:rPr>
            </w:pPr>
          </w:p>
        </w:tc>
        <w:tc>
          <w:tcPr>
            <w:tcW w:w="1474" w:type="dxa"/>
            <w:tcBorders>
              <w:bottom w:val="single" w:sz="8" w:space="0" w:color="auto"/>
            </w:tcBorders>
            <w:vAlign w:val="bottom"/>
          </w:tcPr>
          <w:p w:rsidR="00CD6F09" w:rsidRPr="00273409" w:rsidP="00CD6F09" w14:paraId="506F1C28" w14:textId="45F28DA7">
            <w:pPr>
              <w:bidi w:val="0"/>
              <w:spacing w:after="60" w:line="240" w:lineRule="auto"/>
              <w:rPr>
                <w:rFonts w:ascii="Tahoma" w:hAnsi="Tahoma" w:cs="Tahoma"/>
                <w:b/>
                <w:bCs/>
                <w:color w:val="0D0D0D" w:themeColor="text1" w:themeTint="F2"/>
                <w:sz w:val="36"/>
                <w:szCs w:val="36"/>
              </w:rPr>
            </w:pPr>
            <w:r w:rsidRPr="00986B6A">
              <w:rPr>
                <w:rFonts w:ascii="Tahoma" w:hAnsi="Tahoma" w:cs="Tahoma"/>
                <w:b/>
                <w:bCs/>
                <w:color w:val="0D0D0D" w:themeColor="text1" w:themeTint="F2"/>
                <w:sz w:val="36"/>
                <w:szCs w:val="36"/>
                <w:rtl/>
              </w:rPr>
              <w:t>0.19%</w:t>
            </w:r>
          </w:p>
        </w:tc>
      </w:tr>
      <w:tr w14:paraId="633F9A1A" w14:textId="77777777" w:rsidTr="00CD6F09">
        <w:tblPrEx>
          <w:tblW w:w="0" w:type="auto"/>
          <w:tblLayout w:type="fixed"/>
          <w:tblCellMar>
            <w:left w:w="57" w:type="dxa"/>
            <w:right w:w="57" w:type="dxa"/>
          </w:tblCellMar>
          <w:tblLook w:val="04A0"/>
        </w:tblPrEx>
        <w:tc>
          <w:tcPr>
            <w:tcW w:w="1474" w:type="dxa"/>
            <w:tcBorders>
              <w:top w:val="single" w:sz="8" w:space="0" w:color="auto"/>
            </w:tcBorders>
          </w:tcPr>
          <w:p w:rsidR="00CD6F09" w:rsidRPr="00041AEB" w:rsidP="00DA00A2" w14:paraId="5042BE4E" w14:textId="009CEDF0">
            <w:pPr>
              <w:pStyle w:val="2021"/>
              <w:bidi w:val="0"/>
            </w:pPr>
            <w:r w:rsidRPr="00986B6A">
              <w:t>the balance of assets of the new pension funds by December 31, 2020 – an increase of about 15% compared to 2019</w:t>
            </w:r>
          </w:p>
        </w:tc>
        <w:tc>
          <w:tcPr>
            <w:tcW w:w="134" w:type="dxa"/>
          </w:tcPr>
          <w:p w:rsidR="00CD6F09" w:rsidRPr="00041AEB" w:rsidP="00DA00A2" w14:paraId="2B8B872F" w14:textId="77777777">
            <w:pPr>
              <w:pStyle w:val="2021"/>
              <w:bidi w:val="0"/>
              <w:rPr>
                <w:rtl/>
              </w:rPr>
            </w:pPr>
          </w:p>
        </w:tc>
        <w:tc>
          <w:tcPr>
            <w:tcW w:w="1474" w:type="dxa"/>
            <w:tcBorders>
              <w:top w:val="single" w:sz="8" w:space="0" w:color="auto"/>
            </w:tcBorders>
          </w:tcPr>
          <w:p w:rsidR="00CD6F09" w:rsidRPr="00A0699D" w:rsidP="00DA00A2" w14:paraId="22CDEF8A" w14:textId="5FF40EC6">
            <w:pPr>
              <w:pStyle w:val="2021"/>
              <w:bidi w:val="0"/>
              <w:rPr>
                <w:rtl/>
              </w:rPr>
            </w:pPr>
            <w:r w:rsidRPr="00986B6A">
              <w:t>deposits to the new pension funds in 2020 – a 5% increase compared to 2019</w:t>
            </w:r>
          </w:p>
        </w:tc>
        <w:tc>
          <w:tcPr>
            <w:tcW w:w="134" w:type="dxa"/>
          </w:tcPr>
          <w:p w:rsidR="00CD6F09" w:rsidRPr="00041AEB" w:rsidP="00DA00A2" w14:paraId="516B5653" w14:textId="77777777">
            <w:pPr>
              <w:pStyle w:val="2021"/>
              <w:bidi w:val="0"/>
              <w:rPr>
                <w:rtl/>
              </w:rPr>
            </w:pPr>
          </w:p>
        </w:tc>
        <w:tc>
          <w:tcPr>
            <w:tcW w:w="1701" w:type="dxa"/>
            <w:tcBorders>
              <w:top w:val="single" w:sz="8" w:space="0" w:color="000000"/>
            </w:tcBorders>
          </w:tcPr>
          <w:p w:rsidR="00CD6F09" w:rsidRPr="00041AEB" w:rsidP="00DA00A2" w14:paraId="1DDB9C26" w14:textId="4014B8ED">
            <w:pPr>
              <w:pStyle w:val="2021"/>
              <w:bidi w:val="0"/>
            </w:pPr>
            <w:r w:rsidRPr="00986B6A">
              <w:t>management fees average rate from the deposits of all members in the new and comprehensive pension funds in 2020, compared to 2.85% in 2016</w:t>
            </w:r>
          </w:p>
        </w:tc>
        <w:tc>
          <w:tcPr>
            <w:tcW w:w="134" w:type="dxa"/>
          </w:tcPr>
          <w:p w:rsidR="00CD6F09" w:rsidRPr="00041AEB" w:rsidP="00DA00A2" w14:paraId="0D022A29" w14:textId="77777777">
            <w:pPr>
              <w:pStyle w:val="2021"/>
              <w:bidi w:val="0"/>
            </w:pPr>
          </w:p>
        </w:tc>
        <w:tc>
          <w:tcPr>
            <w:tcW w:w="1474" w:type="dxa"/>
            <w:tcBorders>
              <w:top w:val="single" w:sz="8" w:space="0" w:color="auto"/>
            </w:tcBorders>
          </w:tcPr>
          <w:p w:rsidR="00CD6F09" w:rsidRPr="0015187B" w:rsidP="00DA00A2" w14:paraId="27181DE5" w14:textId="0F4AF73D">
            <w:pPr>
              <w:pStyle w:val="2021"/>
              <w:bidi w:val="0"/>
              <w:rPr>
                <w:rtl/>
              </w:rPr>
            </w:pPr>
            <w:r w:rsidRPr="00986B6A">
              <w:t>management fees average rate from the assets of all members in the new and comprehensive pension funds in 2020, compared to 0.26% in 2016</w:t>
            </w:r>
          </w:p>
        </w:tc>
      </w:tr>
      <w:tr w14:paraId="69DAE9C2" w14:textId="77777777" w:rsidTr="00CD6F09">
        <w:tblPrEx>
          <w:tblW w:w="0" w:type="auto"/>
          <w:tblLayout w:type="fixed"/>
          <w:tblCellMar>
            <w:left w:w="57" w:type="dxa"/>
            <w:right w:w="57" w:type="dxa"/>
          </w:tblCellMar>
          <w:tblLook w:val="04A0"/>
        </w:tblPrEx>
        <w:tc>
          <w:tcPr>
            <w:tcW w:w="1474" w:type="dxa"/>
            <w:tcBorders>
              <w:bottom w:val="single" w:sz="8" w:space="0" w:color="auto"/>
            </w:tcBorders>
            <w:vAlign w:val="bottom"/>
          </w:tcPr>
          <w:p w:rsidR="00CD6F09" w:rsidRPr="00273409" w:rsidP="00CD6F09" w14:paraId="0A63A02B" w14:textId="2EE656EF">
            <w:pPr>
              <w:bidi w:val="0"/>
              <w:spacing w:after="60" w:line="240" w:lineRule="auto"/>
              <w:rPr>
                <w:rFonts w:ascii="Tahoma" w:hAnsi="Tahoma" w:cs="Tahoma"/>
                <w:b/>
                <w:bCs/>
                <w:color w:val="0D0D0D" w:themeColor="text1" w:themeTint="F2"/>
                <w:sz w:val="36"/>
                <w:szCs w:val="36"/>
              </w:rPr>
            </w:pPr>
            <w:r w:rsidRPr="00986B6A">
              <w:rPr>
                <w:rFonts w:ascii="Tahoma" w:hAnsi="Tahoma" w:cs="Tahoma"/>
                <w:b/>
                <w:bCs/>
                <w:color w:val="0D0D0D" w:themeColor="text1" w:themeTint="F2"/>
                <w:sz w:val="36"/>
                <w:szCs w:val="36"/>
                <w:rtl/>
              </w:rPr>
              <w:t>56%</w:t>
            </w:r>
          </w:p>
        </w:tc>
        <w:tc>
          <w:tcPr>
            <w:tcW w:w="134" w:type="dxa"/>
            <w:tcBorders>
              <w:bottom w:val="single" w:sz="8" w:space="0" w:color="FFFFFF"/>
            </w:tcBorders>
            <w:vAlign w:val="bottom"/>
          </w:tcPr>
          <w:p w:rsidR="00CD6F09" w:rsidRPr="00273409" w:rsidP="00CD6F09" w14:paraId="2B044DDD" w14:textId="77777777">
            <w:pPr>
              <w:bidi w:val="0"/>
              <w:spacing w:after="60" w:line="240" w:lineRule="auto"/>
              <w:rPr>
                <w:rFonts w:ascii="Tahoma" w:hAnsi="Tahoma" w:cs="Tahoma"/>
                <w:b/>
                <w:bCs/>
                <w:color w:val="0D0D0D" w:themeColor="text1" w:themeTint="F2"/>
                <w:sz w:val="36"/>
                <w:szCs w:val="36"/>
              </w:rPr>
            </w:pPr>
          </w:p>
        </w:tc>
        <w:tc>
          <w:tcPr>
            <w:tcW w:w="1474" w:type="dxa"/>
            <w:tcBorders>
              <w:bottom w:val="single" w:sz="8" w:space="0" w:color="auto"/>
            </w:tcBorders>
            <w:vAlign w:val="bottom"/>
          </w:tcPr>
          <w:p w:rsidR="00CD6F09" w:rsidRPr="00ED07DF" w:rsidP="00CD6F09" w14:paraId="5F2BF29F" w14:textId="3FAC9054">
            <w:pPr>
              <w:bidi w:val="0"/>
              <w:spacing w:after="60" w:line="240" w:lineRule="auto"/>
              <w:rPr>
                <w:rFonts w:ascii="Tahoma" w:hAnsi="Tahoma" w:cs="Tahoma"/>
                <w:b/>
                <w:bCs/>
                <w:color w:val="0D0D0D" w:themeColor="text1" w:themeTint="F2"/>
                <w:sz w:val="36"/>
                <w:szCs w:val="36"/>
              </w:rPr>
            </w:pPr>
            <w:r w:rsidRPr="00986B6A">
              <w:rPr>
                <w:rFonts w:ascii="Tahoma" w:hAnsi="Tahoma" w:cs="Tahoma"/>
                <w:b/>
                <w:bCs/>
                <w:color w:val="0D0D0D" w:themeColor="text1" w:themeTint="F2"/>
                <w:sz w:val="36"/>
                <w:szCs w:val="36"/>
                <w:rtl/>
              </w:rPr>
              <w:t>93%</w:t>
            </w:r>
          </w:p>
        </w:tc>
        <w:tc>
          <w:tcPr>
            <w:tcW w:w="134" w:type="dxa"/>
            <w:tcBorders>
              <w:bottom w:val="single" w:sz="8" w:space="0" w:color="FFFFFF"/>
            </w:tcBorders>
            <w:vAlign w:val="bottom"/>
          </w:tcPr>
          <w:p w:rsidR="00CD6F09" w:rsidRPr="00273409" w:rsidP="00CD6F09" w14:paraId="3407A7B6" w14:textId="77777777">
            <w:pPr>
              <w:bidi w:val="0"/>
              <w:spacing w:after="60" w:line="240" w:lineRule="auto"/>
              <w:rPr>
                <w:rFonts w:ascii="Tahoma" w:hAnsi="Tahoma" w:cs="Tahoma"/>
                <w:b/>
                <w:bCs/>
                <w:color w:val="0D0D0D" w:themeColor="text1" w:themeTint="F2"/>
                <w:sz w:val="36"/>
                <w:szCs w:val="36"/>
              </w:rPr>
            </w:pPr>
          </w:p>
        </w:tc>
        <w:tc>
          <w:tcPr>
            <w:tcW w:w="1701" w:type="dxa"/>
            <w:tcBorders>
              <w:bottom w:val="single" w:sz="8" w:space="0" w:color="000000"/>
            </w:tcBorders>
            <w:vAlign w:val="bottom"/>
          </w:tcPr>
          <w:p w:rsidR="00CD6F09" w:rsidRPr="00CD6EED" w:rsidP="00CD6F09" w14:paraId="24B9C4D0" w14:textId="0B611BCA">
            <w:pPr>
              <w:bidi w:val="0"/>
              <w:spacing w:after="60" w:line="240" w:lineRule="auto"/>
              <w:rPr>
                <w:rFonts w:ascii="Tahoma" w:hAnsi="Tahoma" w:cs="Tahoma"/>
                <w:b/>
                <w:bCs/>
                <w:color w:val="0D0D0D" w:themeColor="text1" w:themeTint="F2"/>
                <w:sz w:val="24"/>
                <w:szCs w:val="24"/>
              </w:rPr>
            </w:pPr>
            <w:r w:rsidRPr="00986B6A">
              <w:rPr>
                <w:rFonts w:ascii="Tahoma" w:hAnsi="Tahoma" w:cs="Tahoma"/>
                <w:b/>
                <w:bCs/>
                <w:color w:val="0D0D0D" w:themeColor="text1" w:themeTint="F2"/>
                <w:sz w:val="36"/>
                <w:szCs w:val="36"/>
              </w:rPr>
              <w:t>41.5%</w:t>
            </w:r>
            <m:oMath>
              <m:r>
                <m:rPr>
                  <m:sty m:val="b"/>
                </m:rPr>
                <w:rPr>
                  <w:rFonts w:ascii="Cambria Math" w:hAnsi="Cambria Math" w:cs="Tahoma"/>
                  <w:color w:val="0D0D0D" w:themeColor="text1" w:themeTint="F2"/>
                  <w:sz w:val="36"/>
                  <w:szCs w:val="36"/>
                </w:rPr>
                <m:t>-</m:t>
              </m:r>
            </m:oMath>
            <w:r w:rsidRPr="00986B6A">
              <w:rPr>
                <w:rFonts w:ascii="Tahoma" w:hAnsi="Tahoma" w:cs="Tahoma"/>
                <w:b/>
                <w:bCs/>
                <w:color w:val="0D0D0D" w:themeColor="text1" w:themeTint="F2"/>
                <w:sz w:val="36"/>
                <w:szCs w:val="36"/>
              </w:rPr>
              <w:t>43.2%</w:t>
            </w:r>
          </w:p>
        </w:tc>
        <w:tc>
          <w:tcPr>
            <w:tcW w:w="134" w:type="dxa"/>
            <w:vAlign w:val="bottom"/>
          </w:tcPr>
          <w:p w:rsidR="00CD6F09" w:rsidRPr="00CD6EED" w:rsidP="00CD6F09" w14:paraId="05C03549" w14:textId="77777777">
            <w:pPr>
              <w:bidi w:val="0"/>
              <w:spacing w:after="60" w:line="240" w:lineRule="auto"/>
              <w:rPr>
                <w:rFonts w:ascii="Tahoma" w:hAnsi="Tahoma" w:cs="Tahoma"/>
                <w:b/>
                <w:bCs/>
                <w:color w:val="0D0D0D" w:themeColor="text1" w:themeTint="F2"/>
                <w:sz w:val="24"/>
                <w:szCs w:val="24"/>
              </w:rPr>
            </w:pPr>
          </w:p>
        </w:tc>
        <w:tc>
          <w:tcPr>
            <w:tcW w:w="1474" w:type="dxa"/>
            <w:tcBorders>
              <w:bottom w:val="single" w:sz="8" w:space="0" w:color="auto"/>
            </w:tcBorders>
            <w:vAlign w:val="bottom"/>
          </w:tcPr>
          <w:p w:rsidR="00CD6F09" w:rsidRPr="00273409" w:rsidP="00CD6F09" w14:paraId="39C8DD34" w14:textId="223F7825">
            <w:pPr>
              <w:bidi w:val="0"/>
              <w:spacing w:after="60" w:line="240" w:lineRule="auto"/>
              <w:ind w:right="23"/>
              <w:rPr>
                <w:rFonts w:ascii="Tahoma" w:hAnsi="Tahoma" w:cs="Tahoma"/>
                <w:b/>
                <w:bCs/>
                <w:color w:val="0D0D0D" w:themeColor="text1" w:themeTint="F2"/>
                <w:sz w:val="36"/>
                <w:szCs w:val="36"/>
              </w:rPr>
            </w:pPr>
            <w:r w:rsidRPr="00986B6A">
              <w:rPr>
                <w:rFonts w:ascii="Tahoma" w:hAnsi="Tahoma" w:cs="Tahoma"/>
                <w:b/>
                <w:bCs/>
                <w:color w:val="0D0D0D" w:themeColor="text1" w:themeTint="F2"/>
                <w:sz w:val="36"/>
                <w:szCs w:val="36"/>
                <w:rtl/>
              </w:rPr>
              <w:t>479</w:t>
            </w:r>
          </w:p>
        </w:tc>
      </w:tr>
      <w:tr w14:paraId="7FB01C39" w14:textId="77777777" w:rsidTr="00CD6F09">
        <w:tblPrEx>
          <w:tblW w:w="0" w:type="auto"/>
          <w:tblLayout w:type="fixed"/>
          <w:tblCellMar>
            <w:left w:w="57" w:type="dxa"/>
            <w:right w:w="57" w:type="dxa"/>
          </w:tblCellMar>
          <w:tblLook w:val="04A0"/>
        </w:tblPrEx>
        <w:tc>
          <w:tcPr>
            <w:tcW w:w="1474" w:type="dxa"/>
            <w:tcBorders>
              <w:top w:val="single" w:sz="8" w:space="0" w:color="000000"/>
            </w:tcBorders>
          </w:tcPr>
          <w:p w:rsidR="00CD6F09" w:rsidRPr="00DA00A2" w:rsidP="00DA00A2" w14:paraId="0E469777" w14:textId="52911509">
            <w:pPr>
              <w:pStyle w:val="2021"/>
              <w:bidi w:val="0"/>
              <w:rPr>
                <w:rtl/>
              </w:rPr>
            </w:pPr>
            <w:r w:rsidRPr="00DA00A2">
              <w:t>the rate of inactive savers who paid the maximum management fees in 2021, compared to 90% in 2015</w:t>
            </w:r>
          </w:p>
        </w:tc>
        <w:tc>
          <w:tcPr>
            <w:tcW w:w="134" w:type="dxa"/>
            <w:tcBorders>
              <w:top w:val="single" w:sz="8" w:space="0" w:color="FFFFFF"/>
            </w:tcBorders>
          </w:tcPr>
          <w:p w:rsidR="00CD6F09" w:rsidRPr="00DA00A2" w:rsidP="00DA00A2" w14:paraId="452D577E" w14:textId="77777777">
            <w:pPr>
              <w:pStyle w:val="2021"/>
              <w:bidi w:val="0"/>
              <w:rPr>
                <w:rtl/>
              </w:rPr>
            </w:pPr>
          </w:p>
        </w:tc>
        <w:tc>
          <w:tcPr>
            <w:tcW w:w="1474" w:type="dxa"/>
            <w:tcBorders>
              <w:top w:val="single" w:sz="8" w:space="0" w:color="000000"/>
            </w:tcBorders>
          </w:tcPr>
          <w:p w:rsidR="00CD6F09" w:rsidRPr="00DA00A2" w:rsidP="00DA00A2" w14:paraId="77825D81" w14:textId="26B1A249">
            <w:pPr>
              <w:pStyle w:val="2021"/>
              <w:bidi w:val="0"/>
              <w:rPr>
                <w:rtl/>
              </w:rPr>
            </w:pPr>
            <w:r w:rsidRPr="00DA00A2">
              <w:t>the rate of pensioners who are recipients of an allowance who paid the maximum management fees in the five largest new pension funds in 2021, compared to 100% in 2015</w:t>
            </w:r>
          </w:p>
        </w:tc>
        <w:tc>
          <w:tcPr>
            <w:tcW w:w="134" w:type="dxa"/>
            <w:tcBorders>
              <w:top w:val="single" w:sz="8" w:space="0" w:color="FFFFFF"/>
              <w:bottom w:val="single" w:sz="8" w:space="0" w:color="FFFFFF"/>
            </w:tcBorders>
          </w:tcPr>
          <w:p w:rsidR="00CD6F09" w:rsidRPr="00DA00A2" w:rsidP="00DA00A2" w14:paraId="5F4A0ACF" w14:textId="77777777">
            <w:pPr>
              <w:pStyle w:val="2021"/>
              <w:bidi w:val="0"/>
              <w:rPr>
                <w:rtl/>
              </w:rPr>
            </w:pPr>
          </w:p>
        </w:tc>
        <w:tc>
          <w:tcPr>
            <w:tcW w:w="1701" w:type="dxa"/>
            <w:tcBorders>
              <w:top w:val="single" w:sz="8" w:space="0" w:color="000000"/>
            </w:tcBorders>
          </w:tcPr>
          <w:p w:rsidR="00CD6F09" w:rsidRPr="00DA00A2" w:rsidP="00DA00A2" w14:paraId="368D853C" w14:textId="5B2CB8DD">
            <w:pPr>
              <w:pStyle w:val="2021"/>
              <w:bidi w:val="0"/>
            </w:pPr>
            <w:r w:rsidRPr="00DA00A2">
              <w:t>the cumulative return of the default funds, compared to an average return of 35.56% for all new pension funds in 2019–2021</w:t>
            </w:r>
          </w:p>
        </w:tc>
        <w:tc>
          <w:tcPr>
            <w:tcW w:w="134" w:type="dxa"/>
          </w:tcPr>
          <w:p w:rsidR="00CD6F09" w:rsidRPr="00DA00A2" w:rsidP="00DA00A2" w14:paraId="6E3D270F" w14:textId="77777777">
            <w:pPr>
              <w:pStyle w:val="2021"/>
              <w:bidi w:val="0"/>
            </w:pPr>
          </w:p>
        </w:tc>
        <w:tc>
          <w:tcPr>
            <w:tcW w:w="1474" w:type="dxa"/>
            <w:tcBorders>
              <w:top w:val="single" w:sz="8" w:space="0" w:color="auto"/>
            </w:tcBorders>
          </w:tcPr>
          <w:p w:rsidR="00CD6F09" w:rsidRPr="00DA00A2" w:rsidP="00DA00A2" w14:paraId="3B10699A" w14:textId="337A1FE8">
            <w:pPr>
              <w:pStyle w:val="2021"/>
              <w:bidi w:val="0"/>
              <w:rPr>
                <w:rtl/>
              </w:rPr>
            </w:pPr>
            <w:r w:rsidRPr="00DA00A2">
              <w:t>the number of pension consultation license holders in 2020 – compared to 922 in 2015 – a decrease of about 48%</w:t>
            </w:r>
          </w:p>
        </w:tc>
      </w:tr>
    </w:tbl>
    <w:p w:rsidR="001E44CF" w:rsidP="009661D6" w14:paraId="5BE35871" w14:textId="1E8E1EAD">
      <w:pPr>
        <w:bidi w:val="0"/>
        <w:spacing w:before="120" w:after="180" w:line="240" w:lineRule="atLeast"/>
        <w:rPr>
          <w:rFonts w:ascii="Tahoma" w:hAnsi="Tahoma" w:cs="Tahoma"/>
          <w:b/>
          <w:bCs/>
          <w:color w:val="00305F"/>
          <w:sz w:val="32"/>
          <w:szCs w:val="32"/>
        </w:rPr>
      </w:pPr>
      <w:bookmarkStart w:id="6" w:name="_Hlk62029958"/>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33F70BC5">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A71400">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A73A45" w:rsidRPr="00CD6F09" w:rsidP="00CD6F09" w14:paraId="602B8997" w14:textId="378672CF">
      <w:pPr>
        <w:pStyle w:val="7191"/>
        <w:bidi w:val="0"/>
        <w:ind w:left="397"/>
        <w:rPr>
          <w:rStyle w:val="7190"/>
        </w:rPr>
      </w:pPr>
      <w:r w:rsidRPr="00CD6F09">
        <w:rPr>
          <w:rStyle w:val="7190"/>
          <w:noProof/>
        </w:rPr>
        <w:drawing>
          <wp:anchor distT="0" distB="0" distL="114300" distR="114300" simplePos="0" relativeHeight="251677696" behindDoc="1" locked="0" layoutInCell="1" allowOverlap="1">
            <wp:simplePos x="0" y="0"/>
            <wp:positionH relativeFrom="margin">
              <wp:posOffset>-15240</wp:posOffset>
            </wp:positionH>
            <wp:positionV relativeFrom="margin">
              <wp:posOffset>5386070</wp:posOffset>
            </wp:positionV>
            <wp:extent cx="161925" cy="161925"/>
            <wp:effectExtent l="0" t="0" r="3175" b="3175"/>
            <wp:wrapTight wrapText="bothSides">
              <wp:wrapPolygon>
                <wp:start x="0" y="0"/>
                <wp:lineTo x="0" y="16941"/>
                <wp:lineTo x="11859" y="20329"/>
                <wp:lineTo x="20329" y="20329"/>
                <wp:lineTo x="20329" y="11859"/>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6F09">
        <w:rPr>
          <w:rStyle w:val="7190"/>
        </w:rPr>
        <w:t>In 2016, the State Comptroller's Office published a special audit report regarding the pension arrangements in the country</w:t>
      </w:r>
      <w:r>
        <w:rPr>
          <w:rStyle w:val="7190"/>
          <w:vertAlign w:val="superscript"/>
        </w:rPr>
        <w:footnoteReference w:id="2"/>
      </w:r>
      <w:r w:rsidRPr="00CD6F09">
        <w:rPr>
          <w:rStyle w:val="7190"/>
        </w:rPr>
        <w:t xml:space="preserve"> (Previous Audit Report). From January to March 2022, the State Comptroller's Office examined the Capital Market, Insurance, and Savings Authority (Capital Market Authority) actions to rectify the deficiencies noted in the Previous Audit Report in the cumulative pension and the pension distribution market. The follow-up audit was conducted at the Capital Market Authority. Completion examinations were carried out in the following government ministries and companies: the Ministry of Economy and Industry, the Ministry of Energy, the Ministry of Education, </w:t>
      </w:r>
      <w:r w:rsidRPr="00CD6F09">
        <w:rPr>
          <w:rStyle w:val="7190"/>
        </w:rPr>
        <w:t xml:space="preserve">the Ministry of Justice, the Ministry of Public Security, the Ministry of Interior, the Ministry of Communications, the Civil Service Commission, Haifa Port Company Ltd. (Haifa Port), Israel Electric Company Ltd. (the Electric Company), Ashdod Port Company Ltd. (Ashdod Port), Israel Railways Company Ltd. (Israel Railways) and </w:t>
      </w:r>
      <w:r w:rsidRPr="00CD6F09">
        <w:rPr>
          <w:rStyle w:val="7190"/>
        </w:rPr>
        <w:t>Netivei</w:t>
      </w:r>
      <w:r w:rsidRPr="00CD6F09">
        <w:rPr>
          <w:rStyle w:val="7190"/>
        </w:rPr>
        <w:t xml:space="preserve"> Israel – National Transport Infrastructure Company Ltd. (</w:t>
      </w:r>
      <w:r w:rsidRPr="00CD6F09">
        <w:rPr>
          <w:rStyle w:val="7190"/>
        </w:rPr>
        <w:t>Netivei</w:t>
      </w:r>
      <w:r w:rsidRPr="00CD6F09">
        <w:rPr>
          <w:rStyle w:val="7190"/>
        </w:rPr>
        <w:t xml:space="preserve"> Israel)</w:t>
      </w:r>
      <w:r w:rsidRPr="00CD6F09">
        <w:rPr>
          <w:rStyle w:val="7190"/>
        </w:rPr>
        <w:t>.</w:t>
      </w:r>
    </w:p>
    <w:p w:rsidR="000A1D75" w:rsidP="00B56681" w14:paraId="44F553C6" w14:textId="7CB8EAAE">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29D9A022">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A71400">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45D83CF5">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6672"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RPr="00E161D3" w:rsidP="00706A5D" w14:paraId="6867AAEC" w14:textId="43E48C54">
      <w:pPr>
        <w:pStyle w:val="7191"/>
        <w:bidi w:val="0"/>
        <w:spacing w:before="240"/>
      </w:pPr>
      <w:r w:rsidRPr="00C50F58">
        <w:rPr>
          <w:rFonts w:hint="cs"/>
          <w:bCs/>
          <w:noProof/>
          <w:rtl/>
        </w:rPr>
        <w:drawing>
          <wp:anchor distT="0" distB="3600450" distL="114300" distR="114300" simplePos="0" relativeHeight="251678720" behindDoc="0" locked="0" layoutInCell="1" allowOverlap="1">
            <wp:simplePos x="0" y="0"/>
            <wp:positionH relativeFrom="column">
              <wp:posOffset>16407</wp:posOffset>
            </wp:positionH>
            <wp:positionV relativeFrom="paragraph">
              <wp:posOffset>73025</wp:posOffset>
            </wp:positionV>
            <wp:extent cx="161925" cy="161925"/>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6B6A" w:rsidR="00CD6F09">
        <w:rPr>
          <w:b/>
          <w:noProof/>
        </w:rPr>
        <w:t xml:space="preserve">The </w:t>
      </w:r>
      <w:r w:rsidR="00A71400">
        <w:rPr>
          <w:b/>
          <w:noProof/>
        </w:rPr>
        <w:t>R</w:t>
      </w:r>
      <w:r w:rsidRPr="00986B6A" w:rsidR="00CD6F09">
        <w:rPr>
          <w:b/>
          <w:noProof/>
        </w:rPr>
        <w:t xml:space="preserve">ate of </w:t>
      </w:r>
      <w:r w:rsidR="00A71400">
        <w:rPr>
          <w:b/>
          <w:noProof/>
        </w:rPr>
        <w:t>M</w:t>
      </w:r>
      <w:r w:rsidRPr="00986B6A" w:rsidR="00CD6F09">
        <w:rPr>
          <w:b/>
          <w:noProof/>
        </w:rPr>
        <w:t xml:space="preserve">anagement </w:t>
      </w:r>
      <w:r w:rsidR="00A71400">
        <w:rPr>
          <w:b/>
          <w:noProof/>
        </w:rPr>
        <w:t>F</w:t>
      </w:r>
      <w:r w:rsidRPr="00986B6A" w:rsidR="00CD6F09">
        <w:rPr>
          <w:b/>
          <w:noProof/>
        </w:rPr>
        <w:t xml:space="preserve">ees of </w:t>
      </w:r>
      <w:r w:rsidR="00A71400">
        <w:rPr>
          <w:b/>
          <w:noProof/>
        </w:rPr>
        <w:t>I</w:t>
      </w:r>
      <w:r w:rsidRPr="00986B6A" w:rsidR="00CD6F09">
        <w:rPr>
          <w:b/>
          <w:noProof/>
        </w:rPr>
        <w:t xml:space="preserve">nactive </w:t>
      </w:r>
      <w:r w:rsidR="00A71400">
        <w:rPr>
          <w:b/>
          <w:noProof/>
        </w:rPr>
        <w:t>S</w:t>
      </w:r>
      <w:r w:rsidRPr="00986B6A" w:rsidR="00CD6F09">
        <w:rPr>
          <w:b/>
          <w:noProof/>
        </w:rPr>
        <w:t>avers</w:t>
      </w:r>
      <w:r w:rsidRPr="00986B6A" w:rsidR="00CD6F09">
        <w:rPr>
          <w:bCs/>
          <w:noProof/>
        </w:rPr>
        <w:t xml:space="preserve"> – the Previous Audit raised that about 90% of inactive savers in the five largest new pension funds paid the maximum management fees. The follow-up audit raised that the deficiency was partially rectified. In 2021, about 67% of inactive savers in the five largest new pension funds paid the maximum management fees, but the rate of inactive savers who paid the maximum management fees in the market as a whole in 2021 was about 56%</w:t>
      </w:r>
      <w:r w:rsidRPr="00E161D3">
        <w:t>.</w:t>
      </w:r>
    </w:p>
    <w:p w:rsidR="001B5E86" w:rsidP="00B56681" w14:paraId="21FB8B77" w14:textId="55998172">
      <w:pPr>
        <w:pStyle w:val="7191"/>
        <w:bidi w:val="0"/>
      </w:pPr>
      <w:r w:rsidRPr="00C50F58">
        <w:rPr>
          <w:rFonts w:hint="cs"/>
          <w:bCs/>
          <w:noProof/>
          <w:rtl/>
        </w:rPr>
        <w:drawing>
          <wp:anchor distT="0" distB="3600450" distL="114300" distR="114300" simplePos="0" relativeHeight="251660288" behindDoc="0" locked="0" layoutInCell="1" allowOverlap="1">
            <wp:simplePos x="0" y="0"/>
            <wp:positionH relativeFrom="column">
              <wp:posOffset>17042</wp:posOffset>
            </wp:positionH>
            <wp:positionV relativeFrom="paragraph">
              <wp:posOffset>35560</wp:posOffset>
            </wp:positionV>
            <wp:extent cx="161925" cy="161925"/>
            <wp:effectExtent l="0" t="0" r="3175" b="3175"/>
            <wp:wrapSquare wrapText="bothSides"/>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6B6A" w:rsidR="00CD6F09">
        <w:rPr>
          <w:b/>
          <w:noProof/>
        </w:rPr>
        <w:t xml:space="preserve">The </w:t>
      </w:r>
      <w:r w:rsidR="00A71400">
        <w:rPr>
          <w:b/>
          <w:noProof/>
        </w:rPr>
        <w:t>0</w:t>
      </w:r>
      <w:r w:rsidRPr="00986B6A" w:rsidR="00CD6F09">
        <w:rPr>
          <w:b/>
          <w:noProof/>
        </w:rPr>
        <w:t xml:space="preserve">wnership </w:t>
      </w:r>
      <w:r w:rsidR="00A71400">
        <w:rPr>
          <w:b/>
          <w:noProof/>
        </w:rPr>
        <w:t>S</w:t>
      </w:r>
      <w:r w:rsidRPr="00986B6A" w:rsidR="00CD6F09">
        <w:rPr>
          <w:b/>
          <w:noProof/>
        </w:rPr>
        <w:t xml:space="preserve">tructure in the </w:t>
      </w:r>
      <w:r w:rsidR="00A71400">
        <w:rPr>
          <w:b/>
          <w:noProof/>
        </w:rPr>
        <w:t>P</w:t>
      </w:r>
      <w:r w:rsidRPr="00986B6A" w:rsidR="00CD6F09">
        <w:rPr>
          <w:b/>
          <w:noProof/>
        </w:rPr>
        <w:t xml:space="preserve">ension </w:t>
      </w:r>
      <w:r w:rsidR="00A71400">
        <w:rPr>
          <w:b/>
          <w:noProof/>
        </w:rPr>
        <w:t>D</w:t>
      </w:r>
      <w:r w:rsidRPr="00986B6A" w:rsidR="00CD6F09">
        <w:rPr>
          <w:b/>
          <w:noProof/>
        </w:rPr>
        <w:t xml:space="preserve">istribution </w:t>
      </w:r>
      <w:r w:rsidR="00A71400">
        <w:rPr>
          <w:b/>
          <w:noProof/>
        </w:rPr>
        <w:t>M</w:t>
      </w:r>
      <w:r w:rsidRPr="00986B6A" w:rsidR="00CD6F09">
        <w:rPr>
          <w:b/>
          <w:noProof/>
        </w:rPr>
        <w:t>arket</w:t>
      </w:r>
      <w:r w:rsidRPr="00986B6A" w:rsidR="00CD6F09">
        <w:rPr>
          <w:bCs/>
          <w:noProof/>
        </w:rPr>
        <w:t xml:space="preserve"> – by the Previous Audit, the Capital Market Authority did not examine the ownership structure of the insurance and arrangement agencies</w:t>
      </w:r>
      <w:r>
        <w:rPr>
          <w:bCs/>
          <w:noProof/>
          <w:vertAlign w:val="superscript"/>
        </w:rPr>
        <w:footnoteReference w:id="3"/>
      </w:r>
      <w:r w:rsidRPr="00986B6A" w:rsidR="00CD6F09">
        <w:rPr>
          <w:bCs/>
          <w:noProof/>
        </w:rPr>
        <w:t xml:space="preserve"> and did not set provisions limiting the distribution of the parent company's products through agencies owned by institutional entities. By the follow-up audit, the deficiency was rectified to a small extent – the Capital Market Authority did examine the ownership structure of the insurance and arrangement agencies but did not set provisions limiting the distribution of the parent company's products through agencies owned by institutional entities</w:t>
      </w:r>
      <w:r>
        <w:t>.</w:t>
      </w:r>
    </w:p>
    <w:p w:rsidR="006D5526" w:rsidP="001B5E86" w14:paraId="60372BE9" w14:textId="56979852">
      <w:pPr>
        <w:pStyle w:val="7191"/>
        <w:bidi w:val="0"/>
        <w:spacing w:before="240"/>
      </w:pPr>
      <w:r w:rsidRPr="00C50F58">
        <w:rPr>
          <w:rFonts w:hint="cs"/>
          <w:bCs/>
          <w:noProof/>
          <w:rtl/>
        </w:rPr>
        <w:drawing>
          <wp:anchor distT="0" distB="3600450" distL="114300" distR="114300" simplePos="0" relativeHeight="251688960" behindDoc="0" locked="0" layoutInCell="1" allowOverlap="1">
            <wp:simplePos x="0" y="0"/>
            <wp:positionH relativeFrom="column">
              <wp:posOffset>16407</wp:posOffset>
            </wp:positionH>
            <wp:positionV relativeFrom="paragraph">
              <wp:posOffset>73025</wp:posOffset>
            </wp:positionV>
            <wp:extent cx="161925" cy="161925"/>
            <wp:effectExtent l="0" t="0" r="3175" b="3175"/>
            <wp:wrapSquare wrapText="bothSides"/>
            <wp:docPr id="1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6B6A" w:rsidR="00CD6F09">
        <w:rPr>
          <w:b/>
          <w:noProof/>
        </w:rPr>
        <w:t xml:space="preserve">The </w:t>
      </w:r>
      <w:r w:rsidR="00A71400">
        <w:rPr>
          <w:b/>
          <w:noProof/>
        </w:rPr>
        <w:t>A</w:t>
      </w:r>
      <w:r w:rsidRPr="00986B6A" w:rsidR="00CD6F09">
        <w:rPr>
          <w:b/>
          <w:noProof/>
        </w:rPr>
        <w:t xml:space="preserve">gents' </w:t>
      </w:r>
      <w:r w:rsidR="00A71400">
        <w:rPr>
          <w:b/>
          <w:noProof/>
        </w:rPr>
        <w:t>C</w:t>
      </w:r>
      <w:r w:rsidRPr="00986B6A" w:rsidR="00CD6F09">
        <w:rPr>
          <w:b/>
          <w:noProof/>
        </w:rPr>
        <w:t xml:space="preserve">ompensation </w:t>
      </w:r>
      <w:r w:rsidR="00A71400">
        <w:rPr>
          <w:b/>
          <w:noProof/>
        </w:rPr>
        <w:t>M</w:t>
      </w:r>
      <w:r w:rsidRPr="00986B6A" w:rsidR="00CD6F09">
        <w:rPr>
          <w:b/>
          <w:noProof/>
        </w:rPr>
        <w:t>odel</w:t>
      </w:r>
      <w:r w:rsidRPr="00986B6A" w:rsidR="00CD6F09">
        <w:rPr>
          <w:bCs/>
          <w:noProof/>
        </w:rPr>
        <w:t xml:space="preserve"> – by the Previous Audit, the Capital Market Authority did not set clear rules to provide economic incentives in the insurance agents' compensation method to minimize the influence of extraneous considerations regarding the distribution of the client pension savings. The follow-up audit raised that the deficiency was not rectified and that the rules above had not been set</w:t>
      </w:r>
      <w:r w:rsidRPr="00E161D3">
        <w:t>.</w:t>
      </w:r>
      <w:r w:rsidR="00770D17">
        <w:t xml:space="preserve"> </w:t>
      </w:r>
    </w:p>
    <w:p w:rsidR="00770D17" w:rsidRPr="007E0204" w:rsidP="00303F69" w14:paraId="5AE8DA88" w14:textId="5AB73516">
      <w:pPr>
        <w:pStyle w:val="7191"/>
        <w:bidi w:val="0"/>
        <w:ind w:left="426"/>
        <w:rPr>
          <w:rtl/>
        </w:rPr>
      </w:pPr>
      <w:r w:rsidRPr="00C50F58">
        <w:rPr>
          <w:rFonts w:hint="cs"/>
          <w:bCs/>
          <w:noProof/>
          <w:rtl/>
        </w:rPr>
        <w:drawing>
          <wp:anchor distT="0" distB="7200900" distL="114300" distR="114300" simplePos="0" relativeHeight="251661312" behindDoc="0" locked="0" layoutInCell="1" allowOverlap="1">
            <wp:simplePos x="0" y="0"/>
            <wp:positionH relativeFrom="column">
              <wp:posOffset>-12912</wp:posOffset>
            </wp:positionH>
            <wp:positionV relativeFrom="paragraph">
              <wp:posOffset>18415</wp:posOffset>
            </wp:positionV>
            <wp:extent cx="162000" cy="162000"/>
            <wp:effectExtent l="0" t="0" r="3175" b="3175"/>
            <wp:wrapSquare wrapText="bothSides"/>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6B6A" w:rsidR="00CD6F09">
        <w:rPr>
          <w:b/>
          <w:noProof/>
        </w:rPr>
        <w:t xml:space="preserve">The </w:t>
      </w:r>
      <w:r w:rsidR="00A71400">
        <w:rPr>
          <w:b/>
          <w:noProof/>
        </w:rPr>
        <w:t>R</w:t>
      </w:r>
      <w:r w:rsidRPr="00986B6A" w:rsidR="00CD6F09">
        <w:rPr>
          <w:b/>
          <w:noProof/>
        </w:rPr>
        <w:t xml:space="preserve">easoning </w:t>
      </w:r>
      <w:r w:rsidR="00A71400">
        <w:rPr>
          <w:b/>
          <w:noProof/>
        </w:rPr>
        <w:t>D</w:t>
      </w:r>
      <w:r w:rsidRPr="00986B6A" w:rsidR="00CD6F09">
        <w:rPr>
          <w:b/>
          <w:noProof/>
        </w:rPr>
        <w:t>ocument</w:t>
      </w:r>
      <w:r w:rsidRPr="00986B6A" w:rsidR="00CD6F09">
        <w:rPr>
          <w:bCs/>
          <w:noProof/>
        </w:rPr>
        <w:t xml:space="preserve"> – section 14 of the Control of Financial Services (Pension Consulting, Marketing, and Clearing System) Law, 2005 (Pension Consulting and Marketing Law), requires the license holder to provide the client when recommending savings, a written document detailing the recommendation reasons regarding the profitability of the client's or their relative's savings using a pension product (the Reasoning Document). In the Previous Audit, the State Comptroller's Office found that </w:t>
      </w:r>
      <w:r w:rsidRPr="00986B6A" w:rsidR="00CD6F09">
        <w:rPr>
          <w:bCs/>
          <w:noProof/>
        </w:rPr>
        <w:t xml:space="preserve">the use of the Reasoning Document as a </w:t>
      </w:r>
      <w:r w:rsidR="006A30A9">
        <w:rPr>
          <w:bCs/>
          <w:noProof/>
        </w:rPr>
        <w:t>main</w:t>
      </w:r>
      <w:r w:rsidRPr="00986B6A" w:rsidR="00CD6F09">
        <w:rPr>
          <w:bCs/>
          <w:noProof/>
        </w:rPr>
        <w:t xml:space="preserve"> working tool by the license holder created the appearance of concern for the client's best interests but, in practice, did not guarantee that the selected pension product was indeed the most appropriate product for the client, and therefore does not solve the inherent conflict of interest of the insurance agent. The follow-up audit found that the deficiency was slightly rectified – the Capital Market Authority changed the Reasoning Document and expanded the due diligence regarding the considerations that guided the license holder in the recommendation, but this does not solve the inherent conflict of interest of the insurance agent</w:t>
      </w:r>
      <w:r w:rsidRPr="007E0204">
        <w:t xml:space="preserve">. </w:t>
      </w:r>
    </w:p>
    <w:p w:rsidR="00770D17" w:rsidP="00B56681" w14:paraId="65C73F0E" w14:textId="0831F44D">
      <w:pPr>
        <w:pStyle w:val="7191"/>
        <w:bidi w:val="0"/>
        <w:rPr>
          <w:rtl/>
        </w:rPr>
      </w:pPr>
      <w:r w:rsidRPr="001B5E86">
        <w:rPr>
          <w:rStyle w:val="7195Char"/>
          <w:rFonts w:hint="cs"/>
          <w:b/>
          <w:bCs w:val="0"/>
          <w:szCs w:val="18"/>
          <w:rtl/>
          <w:lang w:val="en-US"/>
        </w:rPr>
        <w:drawing>
          <wp:anchor distT="0" distB="3600450" distL="114300" distR="114300" simplePos="0" relativeHeight="251662336" behindDoc="0" locked="0" layoutInCell="1" allowOverlap="1">
            <wp:simplePos x="0" y="0"/>
            <wp:positionH relativeFrom="column">
              <wp:posOffset>-11007</wp:posOffset>
            </wp:positionH>
            <wp:positionV relativeFrom="paragraph">
              <wp:posOffset>29210</wp:posOffset>
            </wp:positionV>
            <wp:extent cx="161925" cy="161925"/>
            <wp:effectExtent l="0" t="0" r="3175" b="3175"/>
            <wp:wrapSquare wrapText="bothSides"/>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6B6A" w:rsidR="00CD6F09">
        <w:rPr>
          <w:b/>
          <w:noProof/>
        </w:rPr>
        <w:t xml:space="preserve">The </w:t>
      </w:r>
      <w:r w:rsidR="00A71400">
        <w:rPr>
          <w:b/>
          <w:noProof/>
        </w:rPr>
        <w:t>P</w:t>
      </w:r>
      <w:r w:rsidRPr="00986B6A" w:rsidR="00CD6F09">
        <w:rPr>
          <w:b/>
          <w:noProof/>
        </w:rPr>
        <w:t xml:space="preserve">ension </w:t>
      </w:r>
      <w:r w:rsidR="00A71400">
        <w:rPr>
          <w:b/>
          <w:noProof/>
        </w:rPr>
        <w:t>C</w:t>
      </w:r>
      <w:r w:rsidRPr="00986B6A" w:rsidR="00CD6F09">
        <w:rPr>
          <w:b/>
          <w:noProof/>
        </w:rPr>
        <w:t xml:space="preserve">onsulting </w:t>
      </w:r>
      <w:r w:rsidR="00A71400">
        <w:rPr>
          <w:b/>
          <w:noProof/>
        </w:rPr>
        <w:t>M</w:t>
      </w:r>
      <w:r w:rsidRPr="00986B6A" w:rsidR="00CD6F09">
        <w:rPr>
          <w:b/>
          <w:noProof/>
        </w:rPr>
        <w:t>arket</w:t>
      </w:r>
      <w:r w:rsidRPr="00986B6A" w:rsidR="00CD6F09">
        <w:rPr>
          <w:bCs/>
          <w:noProof/>
        </w:rPr>
        <w:t xml:space="preserve"> – by the Previous Audit, the pension consultation licensees rate among all consultation and brokerage licensees services related to insurance products and pension savings</w:t>
      </w:r>
      <w:r>
        <w:rPr>
          <w:bCs/>
          <w:noProof/>
          <w:vertAlign w:val="superscript"/>
        </w:rPr>
        <w:footnoteReference w:id="4"/>
      </w:r>
      <w:r w:rsidRPr="00986B6A" w:rsidR="00CD6F09">
        <w:rPr>
          <w:bCs/>
          <w:noProof/>
        </w:rPr>
        <w:t xml:space="preserve"> was only about 9% in 2014. Concerning most of the population, there is a lack of objective pension consulting to consider the insured needs. The follow-up audit raised that the deficiency was not rectified: the number of pension consultation licensees decreased from 922 in 2015 to 479 in 2020 (a decrease of about 48%). Furthermore, there has been a decrease in the rate of pension consultation licensees out of all individual license holders in the pension distribution market – from 8.2% in 2015 to 4% in 2020</w:t>
      </w:r>
      <w:r w:rsidRPr="00DB7611" w:rsidR="00DB7611">
        <w:rPr>
          <w:rFonts w:eastAsia="Times New Roman" w:hint="cs"/>
          <w:rtl/>
          <w:lang w:eastAsia="he-IL"/>
        </w:rPr>
        <w:t>.</w:t>
      </w:r>
      <w:r w:rsidRPr="00B56681">
        <w:t xml:space="preserve"> </w:t>
      </w:r>
    </w:p>
    <w:p w:rsidR="00DB7611" w:rsidRPr="00E161D3" w:rsidP="00DB7611" w14:paraId="3632C828" w14:textId="11D598DB">
      <w:pPr>
        <w:pStyle w:val="7191"/>
        <w:bidi w:val="0"/>
      </w:pPr>
      <w:r w:rsidRPr="001B5E86">
        <w:rPr>
          <w:rFonts w:hint="cs"/>
          <w:b/>
          <w:noProof/>
          <w:rtl/>
        </w:rPr>
        <w:drawing>
          <wp:anchor distT="1800225" distB="4320540" distL="114300" distR="114300" simplePos="0" relativeHeight="251687936" behindDoc="0" locked="0" layoutInCell="1" allowOverlap="1">
            <wp:simplePos x="0" y="0"/>
            <wp:positionH relativeFrom="column">
              <wp:posOffset>-12912</wp:posOffset>
            </wp:positionH>
            <wp:positionV relativeFrom="paragraph">
              <wp:posOffset>31115</wp:posOffset>
            </wp:positionV>
            <wp:extent cx="162000" cy="162000"/>
            <wp:effectExtent l="0" t="0" r="3175" b="3175"/>
            <wp:wrapSquare wrapText="bothSides"/>
            <wp:docPr id="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6B6A" w:rsidR="00CD6F09">
        <w:rPr>
          <w:b/>
          <w:noProof/>
        </w:rPr>
        <w:t xml:space="preserve">The </w:t>
      </w:r>
      <w:r w:rsidR="00A71400">
        <w:rPr>
          <w:b/>
          <w:noProof/>
        </w:rPr>
        <w:t>E</w:t>
      </w:r>
      <w:r w:rsidRPr="00986B6A" w:rsidR="00CD6F09">
        <w:rPr>
          <w:b/>
          <w:noProof/>
        </w:rPr>
        <w:t xml:space="preserve">ffectiveness of </w:t>
      </w:r>
      <w:r w:rsidR="00A71400">
        <w:rPr>
          <w:b/>
          <w:noProof/>
        </w:rPr>
        <w:t>E</w:t>
      </w:r>
      <w:r w:rsidRPr="00986B6A" w:rsidR="00CD6F09">
        <w:rPr>
          <w:b/>
          <w:noProof/>
        </w:rPr>
        <w:t>nforcement</w:t>
      </w:r>
      <w:r w:rsidRPr="00986B6A" w:rsidR="00CD6F09">
        <w:rPr>
          <w:bCs/>
          <w:noProof/>
        </w:rPr>
        <w:t xml:space="preserve"> – by the Previous Audit, no strategic examination work on the effectiveness of the enforcement of the provisions of the Pension Consulting and Marketing Law</w:t>
      </w:r>
      <w:r w:rsidR="006A30A9">
        <w:rPr>
          <w:bCs/>
          <w:noProof/>
        </w:rPr>
        <w:t xml:space="preserve"> </w:t>
      </w:r>
      <w:r w:rsidRPr="006A30A9" w:rsidR="006A30A9">
        <w:rPr>
          <w:bCs/>
          <w:noProof/>
        </w:rPr>
        <w:t>was conducted</w:t>
      </w:r>
      <w:r w:rsidRPr="00986B6A" w:rsidR="00CD6F09">
        <w:rPr>
          <w:bCs/>
          <w:noProof/>
        </w:rPr>
        <w:t xml:space="preserve"> by the Capital Market Authority. By the follow-up audit, the deficiency was not rectified – the Authority did not carry out any strategic work to examine the effectiveness of the enforcement it performs, except for examinations of a few appeals it received from the public</w:t>
      </w:r>
      <w:r w:rsidRPr="00E161D3">
        <w:t>.</w:t>
      </w:r>
    </w:p>
    <w:p w:rsidR="00DB7611" w:rsidP="00DB7611" w14:paraId="55356BD7" w14:textId="55F3D4B0">
      <w:pPr>
        <w:pStyle w:val="7191"/>
        <w:bidi w:val="0"/>
      </w:pPr>
      <w:r w:rsidRPr="001B5E86">
        <w:rPr>
          <w:rFonts w:hint="cs"/>
          <w:b/>
          <w:noProof/>
          <w:rtl/>
        </w:rPr>
        <w:drawing>
          <wp:anchor distT="0" distB="3600450" distL="114300" distR="114300" simplePos="0" relativeHeight="251686912" behindDoc="0" locked="0" layoutInCell="1" allowOverlap="1">
            <wp:simplePos x="0" y="0"/>
            <wp:positionH relativeFrom="column">
              <wp:posOffset>-12277</wp:posOffset>
            </wp:positionH>
            <wp:positionV relativeFrom="paragraph">
              <wp:posOffset>33655</wp:posOffset>
            </wp:positionV>
            <wp:extent cx="161925" cy="161925"/>
            <wp:effectExtent l="0" t="0" r="3175" b="3175"/>
            <wp:wrapSquare wrapText="bothSides"/>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6B6A" w:rsidR="00CD6F09">
        <w:rPr>
          <w:b/>
          <w:noProof/>
        </w:rPr>
        <w:t xml:space="preserve">Frequency of </w:t>
      </w:r>
      <w:r w:rsidR="00A71400">
        <w:rPr>
          <w:b/>
          <w:noProof/>
        </w:rPr>
        <w:t>P</w:t>
      </w:r>
      <w:r w:rsidRPr="00986B6A" w:rsidR="00CD6F09">
        <w:rPr>
          <w:b/>
          <w:noProof/>
        </w:rPr>
        <w:t xml:space="preserve">ension </w:t>
      </w:r>
      <w:r w:rsidR="00A71400">
        <w:rPr>
          <w:b/>
          <w:noProof/>
        </w:rPr>
        <w:t>C</w:t>
      </w:r>
      <w:r w:rsidRPr="00986B6A" w:rsidR="00CD6F09">
        <w:rPr>
          <w:b/>
          <w:noProof/>
        </w:rPr>
        <w:t xml:space="preserve">onsulting or </w:t>
      </w:r>
      <w:r w:rsidR="00A71400">
        <w:rPr>
          <w:b/>
          <w:noProof/>
        </w:rPr>
        <w:t>M</w:t>
      </w:r>
      <w:r w:rsidRPr="00986B6A" w:rsidR="00CD6F09">
        <w:rPr>
          <w:b/>
          <w:noProof/>
        </w:rPr>
        <w:t xml:space="preserve">arketing </w:t>
      </w:r>
      <w:r w:rsidR="006A30A9">
        <w:rPr>
          <w:b/>
          <w:noProof/>
        </w:rPr>
        <w:t>D</w:t>
      </w:r>
      <w:r w:rsidRPr="00986B6A" w:rsidR="00CD6F09">
        <w:rPr>
          <w:b/>
          <w:noProof/>
        </w:rPr>
        <w:t xml:space="preserve">uring an </w:t>
      </w:r>
      <w:r w:rsidR="00A71400">
        <w:rPr>
          <w:b/>
          <w:noProof/>
        </w:rPr>
        <w:t>E</w:t>
      </w:r>
      <w:r w:rsidRPr="00986B6A" w:rsidR="00CD6F09">
        <w:rPr>
          <w:b/>
          <w:noProof/>
        </w:rPr>
        <w:t xml:space="preserve">mployee's </w:t>
      </w:r>
      <w:r w:rsidR="00A71400">
        <w:rPr>
          <w:b/>
          <w:noProof/>
        </w:rPr>
        <w:t>L</w:t>
      </w:r>
      <w:r w:rsidRPr="00986B6A" w:rsidR="00CD6F09">
        <w:rPr>
          <w:b/>
          <w:noProof/>
        </w:rPr>
        <w:t>ife</w:t>
      </w:r>
      <w:r w:rsidRPr="00986B6A" w:rsidR="00CD6F09">
        <w:rPr>
          <w:bCs/>
          <w:noProof/>
        </w:rPr>
        <w:t xml:space="preserve"> – in all the audited entities in the follow-up audit (except for Israel Railways), including government ministries, the Electric Company, Haifa Port, Ashdod Port, and Netivei Israel, the employees do not receive pension consultation during their employment period, when there may be changes in their personal or marital status. In some organizations, employees are referred to a pension insurance agent or a pension marketer, which may cause a possible bias in the insurance products that employees receive</w:t>
      </w:r>
      <w:r>
        <w:t xml:space="preserve">. </w:t>
      </w:r>
    </w:p>
    <w:p w:rsidR="003E0EAA" w:rsidRPr="008874F2" w:rsidP="003E0EAA" w14:paraId="13335FCD" w14:textId="3C836A42">
      <w:pPr>
        <w:pStyle w:val="719"/>
        <w:bidi w:val="0"/>
        <w:rPr>
          <w:rtl/>
        </w:rPr>
      </w:pPr>
      <w:r>
        <w:rPr>
          <w:noProof/>
          <w:sz w:val="19"/>
          <w:szCs w:val="19"/>
        </w:rPr>
        <w:drawing>
          <wp:anchor distT="0" distB="0" distL="114300" distR="114300" simplePos="0" relativeHeight="251683840"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3E0EAA" w:rsidP="00706A5D" w14:paraId="34EEF4F2" w14:textId="6372A7EB">
      <w:pPr>
        <w:pStyle w:val="7191"/>
        <w:bidi w:val="0"/>
        <w:spacing w:before="360"/>
        <w:rPr>
          <w:rtl/>
        </w:rPr>
      </w:pPr>
      <w:r w:rsidRPr="00986B6A">
        <w:rPr>
          <w:b/>
          <w:noProof/>
        </w:rPr>
        <w:t xml:space="preserve">The </w:t>
      </w:r>
      <w:r w:rsidR="00A71400">
        <w:rPr>
          <w:b/>
          <w:noProof/>
        </w:rPr>
        <w:t>M</w:t>
      </w:r>
      <w:r w:rsidRPr="00986B6A">
        <w:rPr>
          <w:b/>
          <w:noProof/>
        </w:rPr>
        <w:t xml:space="preserve">anagement </w:t>
      </w:r>
      <w:r w:rsidR="00A71400">
        <w:rPr>
          <w:b/>
          <w:noProof/>
        </w:rPr>
        <w:t>F</w:t>
      </w:r>
      <w:r w:rsidRPr="00986B6A">
        <w:rPr>
          <w:b/>
          <w:noProof/>
        </w:rPr>
        <w:t xml:space="preserve">ee </w:t>
      </w:r>
      <w:r w:rsidR="00A71400">
        <w:rPr>
          <w:b/>
          <w:noProof/>
        </w:rPr>
        <w:t>R</w:t>
      </w:r>
      <w:r w:rsidRPr="00986B6A">
        <w:rPr>
          <w:b/>
          <w:noProof/>
        </w:rPr>
        <w:t xml:space="preserve">ate for </w:t>
      </w:r>
      <w:r w:rsidR="00A71400">
        <w:rPr>
          <w:b/>
          <w:noProof/>
        </w:rPr>
        <w:t>P</w:t>
      </w:r>
      <w:r w:rsidRPr="00986B6A">
        <w:rPr>
          <w:b/>
          <w:noProof/>
        </w:rPr>
        <w:t>ensioners</w:t>
      </w:r>
      <w:r w:rsidRPr="00986B6A">
        <w:rPr>
          <w:bCs/>
          <w:noProof/>
        </w:rPr>
        <w:t xml:space="preserve"> – the Previous Audit raised that in 2015 all pensioners in the five largest new pension funds paid the maximum management fee rate set by law. The follow-up audit raised that regarding retirees who retired as of February 2022, the deficiency was fully rectified, but no solution was found regarding members who retired before that date. In January 2022, the Knesset Finance Committee </w:t>
      </w:r>
      <w:r w:rsidRPr="00986B6A">
        <w:rPr>
          <w:bCs/>
          <w:noProof/>
        </w:rPr>
        <w:t>approved the amendment</w:t>
      </w:r>
      <w:r>
        <w:rPr>
          <w:bCs/>
          <w:noProof/>
          <w:vertAlign w:val="superscript"/>
        </w:rPr>
        <w:footnoteReference w:id="5"/>
      </w:r>
      <w:r w:rsidRPr="00986B6A">
        <w:rPr>
          <w:bCs/>
          <w:noProof/>
        </w:rPr>
        <w:t xml:space="preserve"> to the Control of Financial Services Regulations (Provident Funds) (Management Fees), 2012. In the said amendment, which was initiated by the Capital Market, Insurance and Savings Authority Commissioner in cooperation with the Minister of Finance, a lower cap for management fees was set for pensioners at 0.3% (instead of 0.5% in a new comprehensive pension fund and 0.6% in a new general pension fund) compared to the cap set in the Regulations. The follow-up audit further raised that in 2021, before the said amendment, about 93% of the pensioners receiving the allowance in the five large new pension funds still paid the maximum management fees, and that the percentage of those paying the maximum management fees among retirees has decreased in recent years from 100% in 2017 to 68% in 2021. The excess payment of pensioners receiving allowances who paid the maximum management fees in 2021, compared to the average rate of management fees paid by all members that year, was about NIS 59</w:t>
      </w:r>
      <m:oMath>
        <m:r>
          <m:rPr>
            <m:sty m:val="p"/>
          </m:rPr>
          <w:rPr>
            <w:rFonts w:ascii="Cambria Math" w:hAnsi="Cambria Math"/>
            <w:noProof/>
          </w:rPr>
          <m:t>-</m:t>
        </m:r>
      </m:oMath>
      <w:r w:rsidRPr="00986B6A">
        <w:rPr>
          <w:bCs/>
          <w:noProof/>
        </w:rPr>
        <w:t>87 million</w:t>
      </w:r>
      <w:r w:rsidRPr="00114818">
        <w:t>.</w:t>
      </w:r>
    </w:p>
    <w:p w:rsidR="00424CEB" w:rsidP="00223498" w14:paraId="2FB08D23" w14:textId="1257D6B1">
      <w:pPr>
        <w:pStyle w:val="7191"/>
        <w:bidi w:val="0"/>
      </w:pPr>
      <w:r w:rsidRPr="00986B6A">
        <w:rPr>
          <w:b/>
          <w:noProof/>
        </w:rPr>
        <w:t xml:space="preserve">Choice of </w:t>
      </w:r>
      <w:r w:rsidR="00A71400">
        <w:rPr>
          <w:b/>
          <w:noProof/>
        </w:rPr>
        <w:t>S</w:t>
      </w:r>
      <w:r w:rsidRPr="00986B6A">
        <w:rPr>
          <w:b/>
          <w:noProof/>
        </w:rPr>
        <w:t xml:space="preserve">elected </w:t>
      </w:r>
      <w:r w:rsidR="00A71400">
        <w:rPr>
          <w:b/>
          <w:noProof/>
        </w:rPr>
        <w:t>F</w:t>
      </w:r>
      <w:r w:rsidRPr="00986B6A">
        <w:rPr>
          <w:b/>
          <w:noProof/>
        </w:rPr>
        <w:t>unds by the Capital Market Authority</w:t>
      </w:r>
      <w:r w:rsidRPr="00986B6A">
        <w:rPr>
          <w:bCs/>
          <w:noProof/>
        </w:rPr>
        <w:t xml:space="preserve"> – in the Previous Report, the State Comptroller's Office recommended that the Capital Market Authority reconsider, as part of the arrangement's impact on the pension market, the need for additional criteria for selecting the default funds</w:t>
      </w:r>
      <w:r>
        <w:rPr>
          <w:bCs/>
          <w:noProof/>
          <w:vertAlign w:val="superscript"/>
        </w:rPr>
        <w:footnoteReference w:id="6"/>
      </w:r>
      <w:r w:rsidRPr="00986B6A">
        <w:rPr>
          <w:bCs/>
          <w:noProof/>
        </w:rPr>
        <w:t>, other than the rate of management fees, such as product quality and the adjusted yield. The follow-up audit raised that the deficiency was fully rectified and that in the framework of the second and third procedures for determining selected funds, published in August 2018 and August 2021, respectively, the Capital Market Authority considered adding criteria for choosing a selected fund, apart from the proposed management fee rate, and decided it was best to leave the management fee criteria as the only criteria in the selection process. This is because the management fee criterion is the only objective criterion on which this procedure can be based</w:t>
      </w:r>
      <w:r w:rsidR="00211189">
        <w:t>.</w:t>
      </w:r>
      <w:r w:rsidRPr="001E7EAA">
        <w:t xml:space="preserve"> </w:t>
      </w:r>
    </w:p>
    <w:p w:rsidR="00424CEB" w:rsidP="00424CEB" w14:paraId="23233861" w14:textId="6C4EC6BB">
      <w:pPr>
        <w:pStyle w:val="7191"/>
        <w:bidi w:val="0"/>
      </w:pPr>
      <w:r w:rsidRPr="00986B6A">
        <w:rPr>
          <w:b/>
          <w:noProof/>
        </w:rPr>
        <w:t xml:space="preserve">Selection of a </w:t>
      </w:r>
      <w:r w:rsidR="00A71400">
        <w:rPr>
          <w:b/>
          <w:noProof/>
        </w:rPr>
        <w:t>D</w:t>
      </w:r>
      <w:r w:rsidRPr="00986B6A">
        <w:rPr>
          <w:b/>
          <w:noProof/>
        </w:rPr>
        <w:t xml:space="preserve">efault </w:t>
      </w:r>
      <w:r w:rsidR="00A71400">
        <w:rPr>
          <w:b/>
          <w:noProof/>
        </w:rPr>
        <w:t>F</w:t>
      </w:r>
      <w:r w:rsidRPr="00986B6A">
        <w:rPr>
          <w:b/>
          <w:noProof/>
        </w:rPr>
        <w:t xml:space="preserve">und by an </w:t>
      </w:r>
      <w:r w:rsidR="00A71400">
        <w:rPr>
          <w:b/>
          <w:noProof/>
        </w:rPr>
        <w:t>E</w:t>
      </w:r>
      <w:r w:rsidRPr="00986B6A">
        <w:rPr>
          <w:b/>
          <w:noProof/>
        </w:rPr>
        <w:t xml:space="preserve">mployer or an </w:t>
      </w:r>
      <w:r w:rsidR="00A71400">
        <w:rPr>
          <w:b/>
          <w:noProof/>
        </w:rPr>
        <w:t>E</w:t>
      </w:r>
      <w:r w:rsidRPr="00986B6A">
        <w:rPr>
          <w:b/>
          <w:noProof/>
        </w:rPr>
        <w:t xml:space="preserve">mployee </w:t>
      </w:r>
      <w:r w:rsidR="00A71400">
        <w:rPr>
          <w:b/>
          <w:noProof/>
        </w:rPr>
        <w:t>O</w:t>
      </w:r>
      <w:r w:rsidRPr="00986B6A">
        <w:rPr>
          <w:b/>
          <w:noProof/>
        </w:rPr>
        <w:t>rganization</w:t>
      </w:r>
      <w:r w:rsidRPr="00986B6A">
        <w:rPr>
          <w:bCs/>
          <w:noProof/>
        </w:rPr>
        <w:t xml:space="preserve"> – the Previous Audit raised, regarding the competitive procedure to select a default fund by an employer or an employee organization, that the Capital Market Authority did not adjust the yield criteria to the risk level of the investment portfolio, which may result in an inadequate comparison between the funds in the competitive process. The follow-up audit raised that the deficiency was rectified to a large extent, and that as part of the third procedure, the Capital Market Authority decided that in a competitive procedure that includes a criterion of the provident fund's yield, it would be possible to add the criterion of the "Sharpe risk-free interest rate index"</w:t>
      </w:r>
      <w:r>
        <w:rPr>
          <w:bCs/>
          <w:noProof/>
          <w:vertAlign w:val="superscript"/>
        </w:rPr>
        <w:footnoteReference w:id="7"/>
      </w:r>
      <w:r w:rsidRPr="00986B6A">
        <w:rPr>
          <w:bCs/>
          <w:noProof/>
        </w:rPr>
        <w:t>, which expresses the risk of the investment portfolio, however the Authority did not mandate the addition of this criteria</w:t>
      </w:r>
      <w:r w:rsidRPr="00424CEB">
        <w:t>.</w:t>
      </w:r>
      <w:r w:rsidRPr="00424CEB">
        <w:rPr>
          <w:rtl/>
        </w:rPr>
        <w:t xml:space="preserve"> </w:t>
      </w:r>
    </w:p>
    <w:p w:rsidR="00CD6F09" w:rsidRPr="00424CEB" w:rsidP="00CD6F09" w14:paraId="1C93CC5B" w14:textId="50EA6E3B">
      <w:pPr>
        <w:pStyle w:val="7191"/>
        <w:bidi w:val="0"/>
        <w:rPr>
          <w:rtl/>
        </w:rPr>
      </w:pPr>
      <w:r w:rsidRPr="00AE0FAB">
        <w:rPr>
          <w:b/>
          <w:noProof/>
        </w:rPr>
        <w:t xml:space="preserve">The </w:t>
      </w:r>
      <w:r w:rsidR="00A71400">
        <w:rPr>
          <w:b/>
          <w:noProof/>
        </w:rPr>
        <w:t>A</w:t>
      </w:r>
      <w:r w:rsidRPr="00AE0FAB">
        <w:rPr>
          <w:b/>
          <w:noProof/>
        </w:rPr>
        <w:t xml:space="preserve">ctuarial </w:t>
      </w:r>
      <w:r w:rsidR="00A71400">
        <w:rPr>
          <w:b/>
          <w:noProof/>
        </w:rPr>
        <w:t>D</w:t>
      </w:r>
      <w:r w:rsidRPr="00AE0FAB">
        <w:rPr>
          <w:b/>
          <w:noProof/>
        </w:rPr>
        <w:t xml:space="preserve">eficit in the </w:t>
      </w:r>
      <w:r w:rsidR="00A71400">
        <w:rPr>
          <w:b/>
          <w:noProof/>
        </w:rPr>
        <w:t>N</w:t>
      </w:r>
      <w:r w:rsidRPr="00AE0FAB">
        <w:rPr>
          <w:b/>
          <w:noProof/>
        </w:rPr>
        <w:t xml:space="preserve">ew </w:t>
      </w:r>
      <w:r w:rsidR="00A71400">
        <w:rPr>
          <w:b/>
          <w:noProof/>
        </w:rPr>
        <w:t>P</w:t>
      </w:r>
      <w:r w:rsidRPr="00AE0FAB">
        <w:rPr>
          <w:b/>
          <w:noProof/>
        </w:rPr>
        <w:t xml:space="preserve">ension </w:t>
      </w:r>
      <w:r w:rsidR="00A71400">
        <w:rPr>
          <w:b/>
          <w:noProof/>
        </w:rPr>
        <w:t>F</w:t>
      </w:r>
      <w:r w:rsidRPr="00AE0FAB">
        <w:rPr>
          <w:b/>
          <w:noProof/>
        </w:rPr>
        <w:t xml:space="preserve">unds </w:t>
      </w:r>
      <w:r w:rsidR="006A30A9">
        <w:rPr>
          <w:b/>
          <w:noProof/>
        </w:rPr>
        <w:t>C</w:t>
      </w:r>
      <w:r w:rsidRPr="00AE0FAB">
        <w:rPr>
          <w:b/>
          <w:noProof/>
        </w:rPr>
        <w:t xml:space="preserve">reated by </w:t>
      </w:r>
      <w:r w:rsidR="00A71400">
        <w:rPr>
          <w:b/>
          <w:noProof/>
        </w:rPr>
        <w:t>R</w:t>
      </w:r>
      <w:r w:rsidRPr="00AE0FAB">
        <w:rPr>
          <w:b/>
          <w:noProof/>
        </w:rPr>
        <w:t xml:space="preserve">ecipients of </w:t>
      </w:r>
      <w:r w:rsidR="00A71400">
        <w:rPr>
          <w:b/>
          <w:noProof/>
        </w:rPr>
        <w:t>D</w:t>
      </w:r>
      <w:r w:rsidRPr="00AE0FAB">
        <w:rPr>
          <w:b/>
          <w:noProof/>
        </w:rPr>
        <w:t xml:space="preserve">isability </w:t>
      </w:r>
      <w:r w:rsidR="00A71400">
        <w:rPr>
          <w:b/>
          <w:noProof/>
        </w:rPr>
        <w:t>A</w:t>
      </w:r>
      <w:r w:rsidRPr="00AE0FAB">
        <w:rPr>
          <w:b/>
          <w:noProof/>
        </w:rPr>
        <w:t xml:space="preserve">llowance and </w:t>
      </w:r>
      <w:r w:rsidR="00A71400">
        <w:rPr>
          <w:b/>
          <w:noProof/>
        </w:rPr>
        <w:t>S</w:t>
      </w:r>
      <w:r w:rsidRPr="00AE0FAB">
        <w:rPr>
          <w:b/>
          <w:noProof/>
        </w:rPr>
        <w:t xml:space="preserve">urvivors' </w:t>
      </w:r>
      <w:r w:rsidR="00A71400">
        <w:rPr>
          <w:b/>
          <w:noProof/>
        </w:rPr>
        <w:t>P</w:t>
      </w:r>
      <w:r w:rsidRPr="00AE0FAB">
        <w:rPr>
          <w:b/>
          <w:noProof/>
        </w:rPr>
        <w:t>ension</w:t>
      </w:r>
      <w:r w:rsidRPr="00986B6A">
        <w:rPr>
          <w:bCs/>
          <w:noProof/>
        </w:rPr>
        <w:t xml:space="preserve"> – the Previous Audit raised that disability allowance and survivors' pension recipients created an actuarial deficit, which causes subsidizing between them and the other members of the fund. The follow-up audit raised that the deficiency was fully rectified – the Capital Market Authority settled the cross-subsidy problem between all members through a mechanism that transfers the risk to the pensioner himself and not to all fund members</w:t>
      </w:r>
      <w:r w:rsidRPr="00424CEB">
        <w:t>.</w:t>
      </w:r>
      <w:r w:rsidRPr="00424CEB">
        <w:rPr>
          <w:rtl/>
        </w:rPr>
        <w:t xml:space="preserve"> </w:t>
      </w:r>
    </w:p>
    <w:p w:rsidR="004516D9" w:rsidP="004516D9" w14:paraId="3B611378" w14:textId="77777777">
      <w:pPr>
        <w:pStyle w:val="7191"/>
        <w:bidi w:val="0"/>
        <w:spacing w:after="0"/>
      </w:pPr>
    </w:p>
    <w:p w:rsidR="007E0204" w:rsidP="007E0204" w14:paraId="45D89D2D" w14:textId="7777777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3FF5BB8A">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A71400">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381B4EC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203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812" w:rsidR="00AE0FAB">
        <w:rPr>
          <w:spacing w:val="-2"/>
          <w:sz w:val="18"/>
          <w:szCs w:val="18"/>
        </w:rPr>
        <w:t>It is recommended that the Capital Market Authority continue to monitor the composition of the balances of the inactive savers who pay the maximum management fees and examine how to reduce the balance</w:t>
      </w:r>
      <w:r w:rsidRPr="00C50F58">
        <w:rPr>
          <w:rFonts w:hint="cs"/>
          <w:spacing w:val="-2"/>
          <w:sz w:val="18"/>
          <w:szCs w:val="18"/>
        </w:rPr>
        <w:t xml:space="preserve">. </w:t>
      </w:r>
    </w:p>
    <w:p w:rsidR="007E0204" w:rsidRPr="00C50F58" w:rsidP="00682C3F" w14:paraId="1C0FBD87" w14:textId="45B75DD8">
      <w:pPr>
        <w:pStyle w:val="ListParagraph"/>
        <w:numPr>
          <w:ilvl w:val="0"/>
          <w:numId w:val="0"/>
        </w:numPr>
        <w:bidi w:val="0"/>
        <w:spacing w:after="180" w:line="260" w:lineRule="exact"/>
        <w:ind w:left="397"/>
        <w:rPr>
          <w:spacing w:val="-2"/>
          <w:sz w:val="18"/>
          <w:szCs w:val="18"/>
          <w:rtl/>
        </w:rPr>
      </w:pPr>
      <w:r w:rsidRPr="00C50F58">
        <w:rPr>
          <w:noProof/>
          <w:spacing w:val="-2"/>
          <w:sz w:val="18"/>
          <w:szCs w:val="18"/>
        </w:rPr>
        <w:drawing>
          <wp:anchor distT="0" distB="3600450" distL="114300" distR="114300" simplePos="0" relativeHeight="25169305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812" w:rsidR="00AE0FAB">
        <w:rPr>
          <w:spacing w:val="-2"/>
          <w:sz w:val="18"/>
          <w:szCs w:val="18"/>
        </w:rPr>
        <w:t>It is recommended that the Capital Market Authority establish clear rules for providing economic incentives in the compensation method of the insurance agents to minimize the influence of extraneous considerations regarding the distribution of pension savings to the client</w:t>
      </w:r>
      <w:r w:rsidRPr="00C50F58">
        <w:rPr>
          <w:rFonts w:hint="cs"/>
          <w:spacing w:val="-2"/>
          <w:sz w:val="18"/>
          <w:szCs w:val="18"/>
        </w:rPr>
        <w:t>.</w:t>
      </w:r>
    </w:p>
    <w:p w:rsidR="007E0204" w:rsidRPr="004B3772" w:rsidP="00682C3F" w14:paraId="22E69B91" w14:textId="40928751">
      <w:pPr>
        <w:pStyle w:val="ListParagraph"/>
        <w:numPr>
          <w:ilvl w:val="0"/>
          <w:numId w:val="0"/>
        </w:numPr>
        <w:bidi w:val="0"/>
        <w:spacing w:after="180" w:line="260" w:lineRule="exact"/>
        <w:ind w:left="397"/>
        <w:rPr>
          <w:spacing w:val="-2"/>
          <w:sz w:val="18"/>
          <w:szCs w:val="18"/>
          <w:rtl/>
        </w:rPr>
      </w:pPr>
      <w:r w:rsidRPr="00C50F58">
        <w:rPr>
          <w:noProof/>
          <w:spacing w:val="-2"/>
          <w:sz w:val="18"/>
          <w:szCs w:val="18"/>
        </w:rPr>
        <w:drawing>
          <wp:anchor distT="0" distB="3600450" distL="114300" distR="114300" simplePos="0" relativeHeight="25169408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50" name="תמונה 33"/>
            <wp:cNvGraphicFramePr/>
            <a:graphic xmlns:a="http://schemas.openxmlformats.org/drawingml/2006/main">
              <a:graphicData uri="http://schemas.openxmlformats.org/drawingml/2006/picture">
                <pic:pic xmlns:pic="http://schemas.openxmlformats.org/drawingml/2006/picture">
                  <pic:nvPicPr>
                    <pic:cNvPr id="50"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812" w:rsidR="00AE0FAB">
        <w:rPr>
          <w:spacing w:val="-2"/>
          <w:sz w:val="18"/>
          <w:szCs w:val="18"/>
        </w:rPr>
        <w:t>It is recommended that the Capital Market Authority examine the Reasoning Document and adapt it to the changing needs and technological developments in recent years. It is also recommended that the Authority consider additional ways and tools to handle conflicts of interest in the activities of insurance agents to minimize the influence of irrelevant and non-professional considerations on the activities of insurance agents vis-à-vis clients</w:t>
      </w:r>
      <w:r w:rsidRPr="004B3772">
        <w:rPr>
          <w:rFonts w:hint="cs"/>
          <w:spacing w:val="-2"/>
          <w:sz w:val="18"/>
          <w:szCs w:val="18"/>
        </w:rPr>
        <w:t xml:space="preserve">. </w:t>
      </w:r>
    </w:p>
    <w:p w:rsidR="007E0204" w:rsidRPr="00C50F58" w:rsidP="00682C3F" w14:paraId="03EAD402" w14:textId="6AA85DB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510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51" name="תמונה 33"/>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812" w:rsidR="00AE0FAB">
        <w:rPr>
          <w:spacing w:val="-2"/>
          <w:sz w:val="18"/>
          <w:szCs w:val="18"/>
        </w:rPr>
        <w:t>It is recommended that the Capital Market Authority develop and optimize the pension consulting market, promote regulation to enable the provision of pension consulting in a digital, advanced, and convenient manner, and examine the pricing model for pension consulting with an overall view of the profitability for all players in the market</w:t>
      </w:r>
      <w:r w:rsidRPr="00C50F58">
        <w:rPr>
          <w:rFonts w:hint="cs"/>
          <w:spacing w:val="-2"/>
          <w:sz w:val="18"/>
          <w:szCs w:val="18"/>
        </w:rPr>
        <w:t xml:space="preserve">. </w:t>
      </w:r>
    </w:p>
    <w:p w:rsidR="007E0204" w:rsidP="00C50F58" w14:paraId="62D40B65" w14:textId="7F836F53">
      <w:pPr>
        <w:pStyle w:val="ListParagraph"/>
        <w:numPr>
          <w:ilvl w:val="0"/>
          <w:numId w:val="0"/>
        </w:numPr>
        <w:bidi w:val="0"/>
        <w:spacing w:after="180" w:line="260" w:lineRule="exact"/>
        <w:ind w:left="397"/>
        <w:rPr>
          <w:sz w:val="18"/>
          <w:szCs w:val="18"/>
        </w:rPr>
      </w:pPr>
      <w:r w:rsidRPr="00C50F58">
        <w:rPr>
          <w:noProof/>
          <w:spacing w:val="-2"/>
          <w:sz w:val="18"/>
          <w:szCs w:val="18"/>
        </w:rPr>
        <w:drawing>
          <wp:anchor distT="0" distB="3600450" distL="114300" distR="114300" simplePos="0" relativeHeight="25169612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52" name="תמונה 33"/>
            <wp:cNvGraphicFramePr/>
            <a:graphic xmlns:a="http://schemas.openxmlformats.org/drawingml/2006/main">
              <a:graphicData uri="http://schemas.openxmlformats.org/drawingml/2006/picture">
                <pic:pic xmlns:pic="http://schemas.openxmlformats.org/drawingml/2006/picture">
                  <pic:nvPicPr>
                    <pic:cNvPr id="52"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812" w:rsidR="00AE0FAB">
        <w:rPr>
          <w:spacing w:val="-2"/>
          <w:sz w:val="18"/>
          <w:szCs w:val="18"/>
        </w:rPr>
        <w:t>It is recommended that the Capital Market Authority examine ways to increase the frequency of pension consulting provided to employees, particularly at critical points in time, such as when starting work, when there are changes in the employee's personal or marital status, and when he retires. This is to ensure the adaptation of the pension insurance to the employee's needs and rights. In addition, it is recommended that the Civil Service Commission and the directors general of the various entities formulate a procedure for referring employees to pension consulting periodically</w:t>
      </w:r>
      <w:r w:rsidRPr="00C142FF">
        <w:rPr>
          <w:rFonts w:hint="cs"/>
          <w:sz w:val="18"/>
          <w:szCs w:val="18"/>
        </w:rPr>
        <w:t>.</w:t>
      </w:r>
    </w:p>
    <w:p w:rsidR="00A7096E" w:rsidP="00A7096E" w14:paraId="3B79EF9F" w14:textId="77777777">
      <w:pPr>
        <w:pStyle w:val="ListParagraph"/>
        <w:numPr>
          <w:ilvl w:val="0"/>
          <w:numId w:val="0"/>
        </w:numPr>
        <w:bidi w:val="0"/>
        <w:spacing w:after="180" w:line="260" w:lineRule="exact"/>
        <w:ind w:left="397"/>
        <w:rPr>
          <w:sz w:val="18"/>
          <w:szCs w:val="18"/>
          <w:rtl/>
        </w:rPr>
      </w:pPr>
      <w:r>
        <w:rPr>
          <w:sz w:val="18"/>
          <w:szCs w:val="18"/>
        </w:rPr>
        <w:br w:type="page"/>
      </w:r>
    </w:p>
    <w:p w:rsidR="001003DA" w:rsidP="001003DA" w14:paraId="0A3A0E0F" w14:textId="77777777">
      <w:pPr>
        <w:pStyle w:val="ListParagraph"/>
        <w:numPr>
          <w:ilvl w:val="0"/>
          <w:numId w:val="0"/>
        </w:numPr>
        <w:bidi w:val="0"/>
        <w:spacing w:after="180" w:line="260" w:lineRule="exact"/>
        <w:ind w:left="397"/>
        <w:rPr>
          <w:sz w:val="18"/>
          <w:szCs w:val="18"/>
        </w:rPr>
      </w:pPr>
    </w:p>
    <w:p w:rsidR="001003DA" w:rsidRPr="004C3206" w:rsidP="001003DA" w14:paraId="703A07F3" w14:textId="582BB299">
      <w:pPr>
        <w:bidi w:val="0"/>
        <w:spacing w:before="120" w:line="240" w:lineRule="auto"/>
        <w:ind w:left="28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99200" behindDoc="1" locked="0" layoutInCell="1" allowOverlap="1">
            <wp:simplePos x="0" y="0"/>
            <wp:positionH relativeFrom="column">
              <wp:posOffset>8890</wp:posOffset>
            </wp:positionH>
            <wp:positionV relativeFrom="paragraph">
              <wp:posOffset>-98425</wp:posOffset>
            </wp:positionV>
            <wp:extent cx="4708539" cy="637525"/>
            <wp:effectExtent l="0" t="0" r="0" b="0"/>
            <wp:wrapNone/>
            <wp:docPr id="3" name="Picture 3" descr="תמונה שמכילה צילום מסך, אדום, מלב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תמונה שמכילה צילום מסך, אדום, מלבן&#10;&#10;התיאור נוצר באופן אוטומטי"/>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8539" cy="637525"/>
                    </a:xfrm>
                    <a:prstGeom prst="rect">
                      <a:avLst/>
                    </a:prstGeom>
                  </pic:spPr>
                </pic:pic>
              </a:graphicData>
            </a:graphic>
            <wp14:sizeRelH relativeFrom="margin">
              <wp14:pctWidth>0</wp14:pctWidth>
            </wp14:sizeRelH>
            <wp14:sizeRelV relativeFrom="margin">
              <wp14:pctHeight>0</wp14:pctHeight>
            </wp14:sizeRelV>
          </wp:anchor>
        </w:drawing>
      </w:r>
      <w:r w:rsidRPr="00505342">
        <w:rPr>
          <w:rFonts w:ascii="Tahoma" w:hAnsi="Tahoma" w:cs="Tahoma"/>
          <w:b/>
          <w:bCs/>
          <w:color w:val="FFFFFF" w:themeColor="background1"/>
          <w:sz w:val="22"/>
          <w:szCs w:val="22"/>
        </w:rPr>
        <w:t xml:space="preserve">Extent of </w:t>
      </w:r>
      <w:r w:rsidR="00A71400">
        <w:rPr>
          <w:rFonts w:ascii="Tahoma" w:hAnsi="Tahoma" w:cs="Tahoma"/>
          <w:b/>
          <w:bCs/>
          <w:color w:val="FFFFFF" w:themeColor="background1"/>
          <w:sz w:val="22"/>
          <w:szCs w:val="22"/>
        </w:rPr>
        <w:t>R</w:t>
      </w:r>
      <w:r w:rsidRPr="00505342">
        <w:rPr>
          <w:rFonts w:ascii="Tahoma" w:hAnsi="Tahoma" w:cs="Tahoma"/>
          <w:b/>
          <w:bCs/>
          <w:color w:val="FFFFFF" w:themeColor="background1"/>
          <w:sz w:val="22"/>
          <w:szCs w:val="22"/>
        </w:rPr>
        <w:t xml:space="preserve">ectification of the </w:t>
      </w:r>
      <w:r w:rsidR="00A71400">
        <w:rPr>
          <w:rFonts w:ascii="Tahoma" w:hAnsi="Tahoma" w:cs="Tahoma"/>
          <w:b/>
          <w:bCs/>
          <w:color w:val="FFFFFF" w:themeColor="background1"/>
          <w:sz w:val="22"/>
          <w:szCs w:val="22"/>
        </w:rPr>
        <w:t>M</w:t>
      </w:r>
      <w:r w:rsidRPr="00505342">
        <w:rPr>
          <w:rFonts w:ascii="Tahoma" w:hAnsi="Tahoma" w:cs="Tahoma"/>
          <w:b/>
          <w:bCs/>
          <w:color w:val="FFFFFF" w:themeColor="background1"/>
          <w:sz w:val="22"/>
          <w:szCs w:val="22"/>
        </w:rPr>
        <w:t xml:space="preserve">ain </w:t>
      </w:r>
      <w:r w:rsidR="00A71400">
        <w:rPr>
          <w:rFonts w:ascii="Tahoma" w:hAnsi="Tahoma" w:cs="Tahoma"/>
          <w:b/>
          <w:bCs/>
          <w:color w:val="FFFFFF" w:themeColor="background1"/>
          <w:sz w:val="22"/>
          <w:szCs w:val="22"/>
        </w:rPr>
        <w:t>D</w:t>
      </w:r>
      <w:r w:rsidRPr="00505342">
        <w:rPr>
          <w:rFonts w:ascii="Tahoma" w:hAnsi="Tahoma" w:cs="Tahoma"/>
          <w:b/>
          <w:bCs/>
          <w:color w:val="FFFFFF" w:themeColor="background1"/>
          <w:sz w:val="22"/>
          <w:szCs w:val="22"/>
        </w:rPr>
        <w:t xml:space="preserve">eficiencies </w:t>
      </w:r>
      <w:r w:rsidR="006A30A9">
        <w:rPr>
          <w:rFonts w:ascii="Tahoma" w:hAnsi="Tahoma" w:cs="Tahoma"/>
          <w:b/>
          <w:bCs/>
          <w:color w:val="FFFFFF" w:themeColor="background1"/>
          <w:sz w:val="22"/>
          <w:szCs w:val="22"/>
        </w:rPr>
        <w:t>N</w:t>
      </w:r>
      <w:r w:rsidR="004F523F">
        <w:rPr>
          <w:rFonts w:ascii="Tahoma" w:hAnsi="Tahoma" w:cs="Tahoma"/>
          <w:b/>
          <w:bCs/>
          <w:color w:val="FFFFFF" w:themeColor="background1"/>
          <w:sz w:val="22"/>
          <w:szCs w:val="22"/>
        </w:rPr>
        <w:t>oted</w:t>
      </w:r>
      <w:r w:rsidRPr="00505342">
        <w:rPr>
          <w:rFonts w:ascii="Tahoma" w:hAnsi="Tahoma" w:cs="Tahoma"/>
          <w:b/>
          <w:bCs/>
          <w:color w:val="FFFFFF" w:themeColor="background1"/>
          <w:sz w:val="22"/>
          <w:szCs w:val="22"/>
        </w:rPr>
        <w:t xml:space="preserve"> in the </w:t>
      </w:r>
      <w:r w:rsidRPr="00505342">
        <w:rPr>
          <w:rFonts w:ascii="Tahoma" w:hAnsi="Tahoma" w:cs="Tahoma" w:hint="cs"/>
          <w:b/>
          <w:bCs/>
          <w:color w:val="FFFFFF" w:themeColor="background1"/>
          <w:sz w:val="22"/>
          <w:szCs w:val="22"/>
        </w:rPr>
        <w:t>P</w:t>
      </w:r>
      <w:r w:rsidRPr="00505342">
        <w:rPr>
          <w:rFonts w:ascii="Tahoma" w:hAnsi="Tahoma" w:cs="Tahoma"/>
          <w:b/>
          <w:bCs/>
          <w:color w:val="FFFFFF" w:themeColor="background1"/>
          <w:sz w:val="22"/>
          <w:szCs w:val="22"/>
        </w:rPr>
        <w:t xml:space="preserve">revious </w:t>
      </w:r>
      <w:r w:rsidRPr="00505342">
        <w:rPr>
          <w:rFonts w:ascii="Tahoma" w:hAnsi="Tahoma" w:cs="Tahoma" w:hint="cs"/>
          <w:b/>
          <w:bCs/>
          <w:color w:val="FFFFFF" w:themeColor="background1"/>
          <w:sz w:val="22"/>
          <w:szCs w:val="22"/>
        </w:rPr>
        <w:t>Audit</w:t>
      </w:r>
    </w:p>
    <w:p w:rsidR="001003DA" w:rsidP="001003DA" w14:paraId="7D4FDF73" w14:textId="77777777">
      <w:pPr>
        <w:spacing w:before="480" w:after="0" w:line="100" w:lineRule="exact"/>
        <w:ind w:left="1361" w:right="57"/>
        <w:jc w:val="right"/>
        <w:rPr>
          <w:rFonts w:ascii="Tahoma" w:hAnsi="Tahoma" w:cs="Tahoma"/>
          <w:b/>
          <w:bCs/>
          <w:noProof/>
          <w:color w:val="FFFFFF" w:themeColor="background1"/>
          <w:sz w:val="22"/>
          <w:szCs w:val="22"/>
        </w:rPr>
      </w:pPr>
    </w:p>
    <w:tbl>
      <w:tblPr>
        <w:tblStyle w:val="TableGrid"/>
        <w:bidiVisual/>
        <w:tblW w:w="7360" w:type="dxa"/>
        <w:tblBorders>
          <w:top w:val="none" w:sz="0" w:space="0" w:color="auto"/>
          <w:bottom w:val="none" w:sz="0" w:space="0" w:color="auto"/>
          <w:insideH w:val="none" w:sz="0" w:space="0" w:color="auto"/>
        </w:tblBorders>
        <w:tblLayout w:type="fixed"/>
        <w:tblLook w:val="04A0"/>
      </w:tblPr>
      <w:tblGrid>
        <w:gridCol w:w="841"/>
        <w:gridCol w:w="992"/>
        <w:gridCol w:w="709"/>
        <w:gridCol w:w="851"/>
        <w:gridCol w:w="708"/>
        <w:gridCol w:w="1276"/>
        <w:gridCol w:w="851"/>
        <w:gridCol w:w="1132"/>
      </w:tblGrid>
      <w:tr w14:paraId="000546D9" w14:textId="77777777" w:rsidTr="001003DA">
        <w:tblPrEx>
          <w:tblW w:w="7360" w:type="dxa"/>
          <w:tblBorders>
            <w:top w:val="none" w:sz="0" w:space="0" w:color="auto"/>
            <w:bottom w:val="none" w:sz="0" w:space="0" w:color="auto"/>
            <w:insideH w:val="none" w:sz="0" w:space="0" w:color="auto"/>
          </w:tblBorders>
          <w:tblLayout w:type="fixed"/>
          <w:tblLook w:val="04A0"/>
        </w:tblPrEx>
        <w:trPr>
          <w:tblHeader/>
        </w:trPr>
        <w:tc>
          <w:tcPr>
            <w:tcW w:w="4101" w:type="dxa"/>
            <w:gridSpan w:val="5"/>
            <w:shd w:val="clear" w:color="auto" w:fill="C8DCE4"/>
          </w:tcPr>
          <w:p w:rsidR="001003DA" w:rsidRPr="00683FF1" w:rsidP="00E572AD" w14:paraId="7C3C2773" w14:textId="7EBEE5E5">
            <w:pPr>
              <w:bidi w:val="0"/>
              <w:spacing w:before="120" w:line="240" w:lineRule="auto"/>
              <w:jc w:val="center"/>
              <w:rPr>
                <w:rFonts w:ascii="Tahoma" w:hAnsi="Tahoma" w:cs="Tahoma"/>
                <w:b/>
                <w:bCs/>
                <w:noProof/>
                <w:color w:val="FFFFFF" w:themeColor="background1"/>
                <w:sz w:val="14"/>
                <w:szCs w:val="14"/>
                <w:rtl/>
              </w:rPr>
            </w:pPr>
            <w:r w:rsidRPr="00BE70FE">
              <w:rPr>
                <w:rFonts w:ascii="Tahoma" w:hAnsi="Tahoma" w:cs="Tahoma"/>
                <w:b/>
                <w:bCs/>
                <w:sz w:val="14"/>
                <w:szCs w:val="14"/>
              </w:rPr>
              <w:t xml:space="preserve">The </w:t>
            </w:r>
            <w:r w:rsidR="004F523F">
              <w:rPr>
                <w:rFonts w:ascii="Tahoma" w:hAnsi="Tahoma" w:cs="Tahoma"/>
                <w:b/>
                <w:bCs/>
                <w:sz w:val="14"/>
                <w:szCs w:val="14"/>
              </w:rPr>
              <w:t>E</w:t>
            </w:r>
            <w:r w:rsidRPr="00BE70FE">
              <w:rPr>
                <w:rFonts w:ascii="Tahoma" w:hAnsi="Tahoma" w:cs="Tahoma"/>
                <w:b/>
                <w:bCs/>
                <w:sz w:val="14"/>
                <w:szCs w:val="14"/>
              </w:rPr>
              <w:t xml:space="preserve">xtent of </w:t>
            </w:r>
            <w:r w:rsidR="004F523F">
              <w:rPr>
                <w:rFonts w:ascii="Tahoma" w:hAnsi="Tahoma" w:cs="Tahoma"/>
                <w:b/>
                <w:bCs/>
                <w:sz w:val="14"/>
                <w:szCs w:val="14"/>
              </w:rPr>
              <w:t>R</w:t>
            </w:r>
            <w:r w:rsidRPr="00BE70FE">
              <w:rPr>
                <w:rFonts w:ascii="Tahoma" w:hAnsi="Tahoma" w:cs="Tahoma"/>
                <w:b/>
                <w:bCs/>
                <w:sz w:val="14"/>
                <w:szCs w:val="14"/>
              </w:rPr>
              <w:t xml:space="preserve">ectification of the </w:t>
            </w:r>
            <w:r w:rsidR="004F523F">
              <w:rPr>
                <w:rFonts w:ascii="Tahoma" w:hAnsi="Tahoma" w:cs="Tahoma"/>
                <w:b/>
                <w:bCs/>
                <w:sz w:val="14"/>
                <w:szCs w:val="14"/>
              </w:rPr>
              <w:t>D</w:t>
            </w:r>
            <w:r w:rsidRPr="00BE70FE">
              <w:rPr>
                <w:rFonts w:ascii="Tahoma" w:hAnsi="Tahoma" w:cs="Tahoma"/>
                <w:b/>
                <w:bCs/>
                <w:sz w:val="14"/>
                <w:szCs w:val="14"/>
              </w:rPr>
              <w:t xml:space="preserve">eficiency </w:t>
            </w:r>
            <w:r w:rsidR="006A30A9">
              <w:rPr>
                <w:rFonts w:ascii="Tahoma" w:hAnsi="Tahoma" w:cs="Tahoma"/>
                <w:b/>
                <w:bCs/>
                <w:sz w:val="14"/>
                <w:szCs w:val="14"/>
              </w:rPr>
              <w:t>N</w:t>
            </w:r>
            <w:r w:rsidRPr="00BE70FE">
              <w:rPr>
                <w:rFonts w:ascii="Tahoma" w:hAnsi="Tahoma" w:cs="Tahoma"/>
                <w:b/>
                <w:bCs/>
                <w:sz w:val="14"/>
                <w:szCs w:val="14"/>
              </w:rPr>
              <w:t xml:space="preserve">oted in the </w:t>
            </w:r>
            <w:r w:rsidR="004F523F">
              <w:rPr>
                <w:rFonts w:ascii="Tahoma" w:hAnsi="Tahoma" w:cs="Tahoma"/>
                <w:b/>
                <w:bCs/>
                <w:sz w:val="14"/>
                <w:szCs w:val="14"/>
              </w:rPr>
              <w:t>F</w:t>
            </w:r>
            <w:r w:rsidRPr="00BE70FE">
              <w:rPr>
                <w:rFonts w:ascii="Tahoma" w:hAnsi="Tahoma" w:cs="Tahoma"/>
                <w:b/>
                <w:bCs/>
                <w:sz w:val="14"/>
                <w:szCs w:val="14"/>
              </w:rPr>
              <w:t xml:space="preserve">ollow-up </w:t>
            </w:r>
            <w:r w:rsidR="004F523F">
              <w:rPr>
                <w:rFonts w:ascii="Tahoma" w:hAnsi="Tahoma" w:cs="Tahoma"/>
                <w:b/>
                <w:bCs/>
                <w:sz w:val="14"/>
                <w:szCs w:val="14"/>
              </w:rPr>
              <w:t>A</w:t>
            </w:r>
            <w:r w:rsidRPr="00BE70FE">
              <w:rPr>
                <w:rFonts w:ascii="Tahoma" w:hAnsi="Tahoma" w:cs="Tahoma"/>
                <w:b/>
                <w:bCs/>
                <w:sz w:val="14"/>
                <w:szCs w:val="14"/>
              </w:rPr>
              <w:t>udit</w:t>
            </w:r>
          </w:p>
        </w:tc>
        <w:tc>
          <w:tcPr>
            <w:tcW w:w="1276" w:type="dxa"/>
            <w:shd w:val="clear" w:color="auto" w:fill="C8DCE4"/>
            <w:vAlign w:val="bottom"/>
          </w:tcPr>
          <w:p w:rsidR="001003DA" w:rsidRPr="00760971" w:rsidP="00E572AD" w14:paraId="2AC25D8A" w14:textId="77777777">
            <w:pPr>
              <w:bidi w:val="0"/>
              <w:spacing w:before="120" w:line="240" w:lineRule="auto"/>
              <w:jc w:val="center"/>
              <w:rPr>
                <w:rFonts w:ascii="Tahoma" w:hAnsi="Tahoma" w:cs="Tahoma"/>
                <w:b/>
                <w:bCs/>
                <w:noProof/>
                <w:color w:val="FFFFFF" w:themeColor="background1"/>
                <w:sz w:val="14"/>
                <w:szCs w:val="14"/>
                <w:rtl/>
                <w:lang w:val="en"/>
              </w:rPr>
            </w:pPr>
          </w:p>
        </w:tc>
        <w:tc>
          <w:tcPr>
            <w:tcW w:w="851" w:type="dxa"/>
            <w:shd w:val="clear" w:color="auto" w:fill="C8DCE4"/>
          </w:tcPr>
          <w:p w:rsidR="001003DA" w:rsidRPr="00760971" w:rsidP="00E572AD" w14:paraId="7D8B4D39" w14:textId="77777777">
            <w:pPr>
              <w:bidi w:val="0"/>
              <w:spacing w:before="120" w:line="240" w:lineRule="auto"/>
              <w:jc w:val="center"/>
              <w:rPr>
                <w:rFonts w:ascii="Tahoma" w:hAnsi="Tahoma" w:cs="Tahoma"/>
                <w:b/>
                <w:bCs/>
                <w:noProof/>
                <w:color w:val="FFFFFF" w:themeColor="background1"/>
                <w:sz w:val="14"/>
                <w:szCs w:val="14"/>
                <w:rtl/>
                <w:lang w:val="en"/>
              </w:rPr>
            </w:pPr>
          </w:p>
        </w:tc>
        <w:tc>
          <w:tcPr>
            <w:tcW w:w="1132" w:type="dxa"/>
            <w:shd w:val="clear" w:color="auto" w:fill="C8DCE4"/>
            <w:vAlign w:val="bottom"/>
          </w:tcPr>
          <w:p w:rsidR="001003DA" w:rsidRPr="00760971" w:rsidP="00E572AD" w14:paraId="641E7898" w14:textId="77777777">
            <w:pPr>
              <w:bidi w:val="0"/>
              <w:spacing w:before="120" w:line="240" w:lineRule="auto"/>
              <w:jc w:val="center"/>
              <w:rPr>
                <w:rFonts w:ascii="Tahoma" w:hAnsi="Tahoma" w:cs="Tahoma"/>
                <w:b/>
                <w:bCs/>
                <w:noProof/>
                <w:color w:val="FFFFFF" w:themeColor="background1"/>
                <w:sz w:val="14"/>
                <w:szCs w:val="14"/>
                <w:rtl/>
                <w:lang w:val="en"/>
              </w:rPr>
            </w:pPr>
          </w:p>
        </w:tc>
      </w:tr>
      <w:tr w14:paraId="186AED0E" w14:textId="77777777" w:rsidTr="006A30A9">
        <w:tblPrEx>
          <w:tblW w:w="7360" w:type="dxa"/>
          <w:tblLayout w:type="fixed"/>
          <w:tblLook w:val="04A0"/>
        </w:tblPrEx>
        <w:trPr>
          <w:trHeight w:val="397"/>
          <w:tblHeader/>
        </w:trPr>
        <w:tc>
          <w:tcPr>
            <w:tcW w:w="841" w:type="dxa"/>
            <w:shd w:val="clear" w:color="auto" w:fill="90CD4F"/>
            <w:vAlign w:val="bottom"/>
          </w:tcPr>
          <w:p w:rsidR="006A30A9" w:rsidRPr="00825187" w:rsidP="006A30A9" w14:paraId="657BAE53" w14:textId="77777777">
            <w:pPr>
              <w:bidi w:val="0"/>
              <w:spacing w:before="120" w:line="240" w:lineRule="auto"/>
              <w:jc w:val="center"/>
              <w:rPr>
                <w:rFonts w:ascii="Tahoma" w:hAnsi="Tahoma" w:cs="Tahoma"/>
                <w:b/>
                <w:bCs/>
                <w:noProof/>
                <w:color w:val="FFFFFF" w:themeColor="background1"/>
                <w:spacing w:val="-12"/>
                <w:w w:val="95"/>
                <w:sz w:val="14"/>
                <w:szCs w:val="14"/>
                <w:rtl/>
                <w:lang w:val="en"/>
              </w:rPr>
            </w:pPr>
            <w:r w:rsidRPr="00825187">
              <w:rPr>
                <w:rFonts w:ascii="Tahoma" w:hAnsi="Tahoma" w:cs="Tahoma"/>
                <w:b/>
                <w:bCs/>
                <w:spacing w:val="-12"/>
                <w:w w:val="93"/>
                <w:sz w:val="14"/>
                <w:szCs w:val="14"/>
              </w:rPr>
              <w:t>Completely</w:t>
            </w:r>
            <w:r w:rsidRPr="00825187">
              <w:rPr>
                <w:rFonts w:ascii="Tahoma" w:hAnsi="Tahoma" w:cs="Tahoma"/>
                <w:b/>
                <w:bCs/>
                <w:spacing w:val="-12"/>
                <w:w w:val="95"/>
                <w:sz w:val="14"/>
                <w:szCs w:val="14"/>
              </w:rPr>
              <w:t xml:space="preserve"> Rectified</w:t>
            </w:r>
          </w:p>
        </w:tc>
        <w:tc>
          <w:tcPr>
            <w:tcW w:w="992" w:type="dxa"/>
            <w:shd w:val="clear" w:color="auto" w:fill="CDE8AA"/>
            <w:vAlign w:val="bottom"/>
          </w:tcPr>
          <w:p w:rsidR="006A30A9" w:rsidRPr="00825187" w:rsidP="006A30A9" w14:paraId="54DB8889" w14:textId="77777777">
            <w:pPr>
              <w:bidi w:val="0"/>
              <w:spacing w:before="120" w:line="240" w:lineRule="auto"/>
              <w:jc w:val="center"/>
              <w:rPr>
                <w:rFonts w:ascii="Tahoma" w:hAnsi="Tahoma" w:cs="Tahoma"/>
                <w:b/>
                <w:bCs/>
                <w:spacing w:val="-12"/>
                <w:w w:val="95"/>
                <w:sz w:val="14"/>
                <w:szCs w:val="14"/>
              </w:rPr>
            </w:pPr>
            <w:r w:rsidRPr="00825187">
              <w:rPr>
                <w:rFonts w:ascii="Tahoma" w:hAnsi="Tahoma" w:cs="Tahoma"/>
                <w:b/>
                <w:bCs/>
                <w:spacing w:val="-12"/>
                <w:w w:val="95"/>
                <w:sz w:val="14"/>
                <w:szCs w:val="14"/>
              </w:rPr>
              <w:t>Considerably Rectified</w:t>
            </w:r>
          </w:p>
        </w:tc>
        <w:tc>
          <w:tcPr>
            <w:tcW w:w="709" w:type="dxa"/>
            <w:shd w:val="clear" w:color="auto" w:fill="FFFF00"/>
            <w:vAlign w:val="bottom"/>
          </w:tcPr>
          <w:p w:rsidR="006A30A9" w:rsidRPr="00825187" w:rsidP="006A30A9" w14:paraId="0511C411" w14:textId="77777777">
            <w:pPr>
              <w:bidi w:val="0"/>
              <w:spacing w:before="120" w:line="240" w:lineRule="auto"/>
              <w:jc w:val="center"/>
              <w:rPr>
                <w:rFonts w:ascii="Tahoma" w:hAnsi="Tahoma" w:cs="Tahoma"/>
                <w:b/>
                <w:bCs/>
                <w:noProof/>
                <w:color w:val="FFFFFF" w:themeColor="background1"/>
                <w:spacing w:val="-12"/>
                <w:w w:val="95"/>
                <w:sz w:val="14"/>
                <w:szCs w:val="14"/>
                <w:rtl/>
              </w:rPr>
            </w:pPr>
            <w:r w:rsidRPr="00825187">
              <w:rPr>
                <w:rFonts w:ascii="Tahoma" w:hAnsi="Tahoma" w:cs="Tahoma"/>
                <w:b/>
                <w:bCs/>
                <w:spacing w:val="-12"/>
                <w:w w:val="95"/>
                <w:sz w:val="14"/>
                <w:szCs w:val="14"/>
              </w:rPr>
              <w:t>Partially Rectified</w:t>
            </w:r>
          </w:p>
        </w:tc>
        <w:tc>
          <w:tcPr>
            <w:tcW w:w="851" w:type="dxa"/>
            <w:shd w:val="clear" w:color="auto" w:fill="FFC002"/>
            <w:vAlign w:val="bottom"/>
          </w:tcPr>
          <w:p w:rsidR="006A30A9" w:rsidRPr="00825187" w:rsidP="006A30A9" w14:paraId="159B80EB" w14:textId="77777777">
            <w:pPr>
              <w:bidi w:val="0"/>
              <w:spacing w:before="120" w:line="240" w:lineRule="auto"/>
              <w:jc w:val="center"/>
              <w:rPr>
                <w:rFonts w:ascii="Tahoma" w:hAnsi="Tahoma" w:cs="Tahoma"/>
                <w:b/>
                <w:bCs/>
                <w:noProof/>
                <w:color w:val="FFFFFF" w:themeColor="background1"/>
                <w:spacing w:val="-12"/>
                <w:w w:val="95"/>
                <w:sz w:val="14"/>
                <w:szCs w:val="14"/>
                <w:rtl/>
                <w:lang w:val="en"/>
              </w:rPr>
            </w:pPr>
            <w:r w:rsidRPr="00825187">
              <w:rPr>
                <w:rFonts w:ascii="Tahoma" w:hAnsi="Tahoma" w:cs="Tahoma"/>
                <w:b/>
                <w:bCs/>
                <w:spacing w:val="-12"/>
                <w:w w:val="95"/>
                <w:sz w:val="14"/>
                <w:szCs w:val="14"/>
              </w:rPr>
              <w:t>Slightly Rectified</w:t>
            </w:r>
          </w:p>
        </w:tc>
        <w:tc>
          <w:tcPr>
            <w:tcW w:w="708" w:type="dxa"/>
            <w:shd w:val="clear" w:color="auto" w:fill="FF0100"/>
            <w:vAlign w:val="bottom"/>
          </w:tcPr>
          <w:p w:rsidR="006A30A9" w:rsidRPr="00825187" w:rsidP="006A30A9" w14:paraId="09AD6874" w14:textId="77777777">
            <w:pPr>
              <w:bidi w:val="0"/>
              <w:spacing w:before="120" w:line="240" w:lineRule="auto"/>
              <w:jc w:val="center"/>
              <w:rPr>
                <w:rFonts w:ascii="Tahoma" w:hAnsi="Tahoma" w:cs="Tahoma"/>
                <w:b/>
                <w:bCs/>
                <w:noProof/>
                <w:color w:val="FFFFFF" w:themeColor="background1"/>
                <w:spacing w:val="-12"/>
                <w:w w:val="95"/>
                <w:sz w:val="14"/>
                <w:szCs w:val="14"/>
                <w:rtl/>
                <w:lang w:val="en"/>
              </w:rPr>
            </w:pPr>
            <w:r w:rsidRPr="00825187">
              <w:rPr>
                <w:rFonts w:ascii="Tahoma" w:hAnsi="Tahoma" w:cs="Tahoma"/>
                <w:b/>
                <w:bCs/>
                <w:spacing w:val="-12"/>
                <w:w w:val="95"/>
                <w:sz w:val="14"/>
                <w:szCs w:val="14"/>
              </w:rPr>
              <w:t>Not Rectified</w:t>
            </w:r>
          </w:p>
        </w:tc>
        <w:tc>
          <w:tcPr>
            <w:tcW w:w="1276" w:type="dxa"/>
            <w:shd w:val="clear" w:color="auto" w:fill="C8DCE4"/>
            <w:vAlign w:val="bottom"/>
          </w:tcPr>
          <w:p w:rsidR="006A30A9" w:rsidRPr="003E79AE" w:rsidP="006A30A9" w14:paraId="5C8CDCA4" w14:textId="2D2ABE81">
            <w:pPr>
              <w:bidi w:val="0"/>
              <w:spacing w:before="120" w:line="240" w:lineRule="auto"/>
              <w:rPr>
                <w:rFonts w:ascii="Tahoma" w:hAnsi="Tahoma" w:cs="Tahoma"/>
                <w:b/>
                <w:bCs/>
                <w:sz w:val="14"/>
                <w:szCs w:val="14"/>
                <w:rtl/>
              </w:rPr>
            </w:pPr>
            <w:r w:rsidRPr="00BE70FE">
              <w:rPr>
                <w:rFonts w:ascii="Tahoma" w:hAnsi="Tahoma" w:cs="Tahoma"/>
                <w:b/>
                <w:bCs/>
                <w:sz w:val="14"/>
                <w:szCs w:val="14"/>
              </w:rPr>
              <w:t>The Deficiency noted in the Previous Audit Report</w:t>
            </w:r>
          </w:p>
        </w:tc>
        <w:tc>
          <w:tcPr>
            <w:tcW w:w="851" w:type="dxa"/>
            <w:shd w:val="clear" w:color="auto" w:fill="C8DCE4"/>
            <w:vAlign w:val="bottom"/>
          </w:tcPr>
          <w:p w:rsidR="006A30A9" w:rsidRPr="003E79AE" w:rsidP="006A30A9" w14:paraId="22F969C1" w14:textId="6A5B5E44">
            <w:pPr>
              <w:bidi w:val="0"/>
              <w:spacing w:before="120" w:line="240" w:lineRule="auto"/>
              <w:rPr>
                <w:rFonts w:ascii="Tahoma" w:hAnsi="Tahoma" w:cs="Tahoma"/>
                <w:b/>
                <w:bCs/>
                <w:sz w:val="14"/>
                <w:szCs w:val="14"/>
              </w:rPr>
            </w:pPr>
            <w:r w:rsidRPr="00A67FF4">
              <w:rPr>
                <w:rFonts w:ascii="Tahoma" w:hAnsi="Tahoma" w:cs="Tahoma"/>
                <w:b/>
                <w:bCs/>
                <w:sz w:val="14"/>
                <w:szCs w:val="14"/>
              </w:rPr>
              <w:t>The Audit Chapter</w:t>
            </w:r>
          </w:p>
        </w:tc>
        <w:tc>
          <w:tcPr>
            <w:tcW w:w="1132" w:type="dxa"/>
            <w:shd w:val="clear" w:color="auto" w:fill="C8DCE4"/>
            <w:vAlign w:val="bottom"/>
          </w:tcPr>
          <w:p w:rsidR="006A30A9" w:rsidRPr="003E79AE" w:rsidP="006A30A9" w14:paraId="555AD359" w14:textId="77D122A3">
            <w:pPr>
              <w:bidi w:val="0"/>
              <w:spacing w:before="120" w:line="240" w:lineRule="auto"/>
              <w:rPr>
                <w:rFonts w:ascii="Tahoma" w:hAnsi="Tahoma" w:cs="Tahoma"/>
                <w:b/>
                <w:bCs/>
                <w:sz w:val="14"/>
                <w:szCs w:val="14"/>
                <w:rtl/>
              </w:rPr>
            </w:pPr>
            <w:r w:rsidRPr="00A67FF4">
              <w:rPr>
                <w:rFonts w:ascii="Tahoma" w:hAnsi="Tahoma" w:cs="Tahoma"/>
                <w:b/>
                <w:bCs/>
                <w:sz w:val="14"/>
                <w:szCs w:val="14"/>
              </w:rPr>
              <w:t>The Audit Chapter</w:t>
            </w:r>
          </w:p>
        </w:tc>
      </w:tr>
      <w:tr w14:paraId="3FD26B22" w14:textId="77777777" w:rsidTr="001003DA">
        <w:tblPrEx>
          <w:tblW w:w="7360" w:type="dxa"/>
          <w:tblLayout w:type="fixed"/>
          <w:tblLook w:val="04A0"/>
        </w:tblPrEx>
        <w:tc>
          <w:tcPr>
            <w:tcW w:w="841" w:type="dxa"/>
            <w:shd w:val="clear" w:color="auto" w:fill="DFECEF"/>
          </w:tcPr>
          <w:p w:rsidR="001003DA" w:rsidRPr="00760971" w:rsidP="001003DA" w14:paraId="5914DEE4" w14:textId="61FDAAC9">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DFECEF"/>
          </w:tcPr>
          <w:p w:rsidR="001003DA" w:rsidRPr="00760971" w:rsidP="001003DA" w14:paraId="10B7C27F" w14:textId="43B819F2">
            <w:pPr>
              <w:bidi w:val="0"/>
              <w:spacing w:before="120" w:line="240" w:lineRule="auto"/>
              <w:rPr>
                <w:rFonts w:ascii="Tahoma" w:hAnsi="Tahoma" w:cs="Tahoma"/>
                <w:b/>
                <w:bCs/>
                <w:noProof/>
                <w:color w:val="FFFFFF" w:themeColor="background1"/>
                <w:sz w:val="14"/>
                <w:szCs w:val="14"/>
                <w:rtl/>
                <w:lang w:val="en"/>
              </w:rPr>
            </w:pPr>
          </w:p>
        </w:tc>
        <w:tc>
          <w:tcPr>
            <w:tcW w:w="709" w:type="dxa"/>
            <w:shd w:val="clear" w:color="auto" w:fill="DFECEF"/>
          </w:tcPr>
          <w:p w:rsidR="001003DA" w:rsidRPr="00760971" w:rsidP="001003DA" w14:paraId="74AD4AAA" w14:textId="04758D9A">
            <w:pPr>
              <w:bidi w:val="0"/>
              <w:spacing w:before="120" w:line="240" w:lineRule="auto"/>
              <w:rPr>
                <w:rFonts w:ascii="Tahoma" w:hAnsi="Tahoma" w:cs="Tahoma"/>
                <w:b/>
                <w:bCs/>
                <w:noProof/>
                <w:color w:val="FFFFFF" w:themeColor="background1"/>
                <w:sz w:val="14"/>
                <w:szCs w:val="14"/>
                <w:rtl/>
                <w:lang w:val="en"/>
              </w:rPr>
            </w:pPr>
          </w:p>
        </w:tc>
        <w:tc>
          <w:tcPr>
            <w:tcW w:w="851" w:type="dxa"/>
            <w:shd w:val="clear" w:color="auto" w:fill="DFECEF"/>
            <w:vAlign w:val="bottom"/>
          </w:tcPr>
          <w:p w:rsidR="001003DA" w:rsidRPr="00760971" w:rsidP="001003DA" w14:paraId="3716555E" w14:textId="46D82C35">
            <w:pPr>
              <w:bidi w:val="0"/>
              <w:spacing w:before="120" w:line="240" w:lineRule="auto"/>
              <w:rPr>
                <w:rFonts w:ascii="Tahoma" w:hAnsi="Tahoma" w:cs="Tahoma"/>
                <w:b/>
                <w:bCs/>
                <w:noProof/>
                <w:color w:val="FFFFFF" w:themeColor="background1"/>
                <w:sz w:val="14"/>
                <w:szCs w:val="14"/>
                <w:rtl/>
                <w:lang w:val="en"/>
              </w:rPr>
            </w:pPr>
          </w:p>
        </w:tc>
        <w:tc>
          <w:tcPr>
            <w:tcW w:w="708" w:type="dxa"/>
            <w:shd w:val="clear" w:color="auto" w:fill="DFECEF"/>
          </w:tcPr>
          <w:p w:rsidR="001003DA" w:rsidRPr="00760971" w:rsidP="001003DA" w14:paraId="6ED5C97E" w14:textId="36E2DCAE">
            <w:pPr>
              <w:bidi w:val="0"/>
              <w:spacing w:before="120" w:line="240" w:lineRule="auto"/>
              <w:rPr>
                <w:rFonts w:ascii="Tahoma" w:hAnsi="Tahoma" w:cs="Tahoma"/>
                <w:b/>
                <w:bCs/>
                <w:noProof/>
                <w:color w:val="FFFFFF" w:themeColor="background1"/>
                <w:sz w:val="14"/>
                <w:szCs w:val="14"/>
                <w:rtl/>
                <w:lang w:val="en"/>
              </w:rPr>
            </w:pPr>
            <w:r w:rsidRPr="00C0561C">
              <w:rPr>
                <w:noProof/>
                <w:rtl/>
              </w:rPr>
              <mc:AlternateContent>
                <mc:Choice Requires="wps">
                  <w:drawing>
                    <wp:anchor distT="0" distB="0" distL="114300" distR="114300" simplePos="0" relativeHeight="251704320" behindDoc="0" locked="0" layoutInCell="1" allowOverlap="1">
                      <wp:simplePos x="0" y="0"/>
                      <wp:positionH relativeFrom="column">
                        <wp:posOffset>-53340</wp:posOffset>
                      </wp:positionH>
                      <wp:positionV relativeFrom="paragraph">
                        <wp:posOffset>255270</wp:posOffset>
                      </wp:positionV>
                      <wp:extent cx="1397000" cy="191135"/>
                      <wp:effectExtent l="12700" t="12700" r="12700" b="12065"/>
                      <wp:wrapNone/>
                      <wp:docPr id="831043878" name="חץ שמאלה 831043878"/>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1397000" cy="19113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831043878" o:spid="_x0000_s1035" type="#_x0000_t66" style="width:110pt;height:15.05pt;margin-top:20.1pt;margin-left:-4.2pt;mso-height-percent:0;mso-height-relative:margin;mso-width-percent:0;mso-width-relative:margin;mso-wrap-distance-bottom:0;mso-wrap-distance-left:9pt;mso-wrap-distance-right:9pt;mso-wrap-distance-top:0;mso-wrap-style:square;position:absolute;rotation:180;visibility:visible;v-text-anchor:middle;z-index:251705344" adj="1478" fillcolor="yellow" strokecolor="yellow" strokeweight="2pt"/>
                  </w:pict>
                </mc:Fallback>
              </mc:AlternateContent>
            </w:r>
          </w:p>
        </w:tc>
        <w:tc>
          <w:tcPr>
            <w:tcW w:w="1276" w:type="dxa"/>
            <w:shd w:val="clear" w:color="auto" w:fill="DFECEF"/>
          </w:tcPr>
          <w:p w:rsidR="001003DA" w:rsidRPr="004B3772" w:rsidP="001003DA" w14:paraId="1A9FD884" w14:textId="7C86708F">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Most inactive savers paid the maximum management fees</w:t>
            </w:r>
            <w:r w:rsidRPr="006A30A9" w:rsidR="006A30A9">
              <w:rPr>
                <w:rFonts w:ascii="Tahoma" w:hAnsi="Tahoma" w:cs="Tahoma"/>
                <w:noProof/>
                <w:color w:val="000000" w:themeColor="text1"/>
                <w:sz w:val="14"/>
                <w:szCs w:val="14"/>
                <w:lang w:val="en"/>
              </w:rPr>
              <w:t>.</w:t>
            </w:r>
          </w:p>
        </w:tc>
        <w:tc>
          <w:tcPr>
            <w:tcW w:w="851" w:type="dxa"/>
            <w:shd w:val="clear" w:color="auto" w:fill="DFECEF"/>
          </w:tcPr>
          <w:p w:rsidR="001003DA" w:rsidRPr="00C50F58" w:rsidP="001003DA" w14:paraId="01420F9B" w14:textId="011A80A4">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DFECEF"/>
          </w:tcPr>
          <w:p w:rsidR="001003DA" w:rsidRPr="00760971" w:rsidP="001003DA" w14:paraId="5E5D6401" w14:textId="3C0FE332">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Cumulative pension</w:t>
            </w:r>
          </w:p>
        </w:tc>
      </w:tr>
      <w:tr w14:paraId="7F4C129B" w14:textId="77777777" w:rsidTr="001003DA">
        <w:tblPrEx>
          <w:tblW w:w="7360" w:type="dxa"/>
          <w:tblLayout w:type="fixed"/>
          <w:tblLook w:val="04A0"/>
        </w:tblPrEx>
        <w:tc>
          <w:tcPr>
            <w:tcW w:w="841" w:type="dxa"/>
            <w:shd w:val="clear" w:color="auto" w:fill="F0F8F9"/>
          </w:tcPr>
          <w:p w:rsidR="001003DA" w:rsidRPr="00760971" w:rsidP="001003DA" w14:paraId="0664C475" w14:textId="77777777">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F0F8F9"/>
          </w:tcPr>
          <w:p w:rsidR="001003DA" w:rsidRPr="00760971" w:rsidP="001003DA" w14:paraId="62D16C75" w14:textId="727D864E">
            <w:pPr>
              <w:bidi w:val="0"/>
              <w:spacing w:before="120" w:line="240" w:lineRule="auto"/>
              <w:rPr>
                <w:rFonts w:ascii="Tahoma" w:hAnsi="Tahoma" w:cs="Tahoma"/>
                <w:b/>
                <w:bCs/>
                <w:noProof/>
                <w:color w:val="FFFFFF" w:themeColor="background1"/>
                <w:sz w:val="14"/>
                <w:szCs w:val="14"/>
                <w:rtl/>
                <w:lang w:val="en"/>
              </w:rPr>
            </w:pPr>
          </w:p>
        </w:tc>
        <w:tc>
          <w:tcPr>
            <w:tcW w:w="709" w:type="dxa"/>
            <w:shd w:val="clear" w:color="auto" w:fill="F0F8F9"/>
          </w:tcPr>
          <w:p w:rsidR="001003DA" w:rsidRPr="00760971" w:rsidP="001003DA" w14:paraId="173AA7F0" w14:textId="5CFA440F">
            <w:pPr>
              <w:bidi w:val="0"/>
              <w:spacing w:before="120" w:line="240" w:lineRule="auto"/>
              <w:rPr>
                <w:rFonts w:ascii="Tahoma" w:hAnsi="Tahoma" w:cs="Tahoma"/>
                <w:b/>
                <w:bCs/>
                <w:noProof/>
                <w:color w:val="FFFFFF" w:themeColor="background1"/>
                <w:sz w:val="14"/>
                <w:szCs w:val="14"/>
                <w:rtl/>
                <w:lang w:val="en"/>
              </w:rPr>
            </w:pPr>
            <w:r w:rsidRPr="00C0561C">
              <w:rPr>
                <w:noProof/>
                <w:rtl/>
              </w:rPr>
              <mc:AlternateContent>
                <mc:Choice Requires="wps">
                  <w:drawing>
                    <wp:anchor distT="0" distB="0" distL="114300" distR="114300" simplePos="0" relativeHeight="251706368" behindDoc="0" locked="0" layoutInCell="1" allowOverlap="1">
                      <wp:simplePos x="0" y="0"/>
                      <wp:positionH relativeFrom="column">
                        <wp:posOffset>-1043305</wp:posOffset>
                      </wp:positionH>
                      <wp:positionV relativeFrom="paragraph">
                        <wp:posOffset>298450</wp:posOffset>
                      </wp:positionV>
                      <wp:extent cx="2029460" cy="191135"/>
                      <wp:effectExtent l="12700" t="12700" r="15240" b="12065"/>
                      <wp:wrapNone/>
                      <wp:docPr id="78442956" name="חץ שמאלה 78442956"/>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029460" cy="191135"/>
                              </a:xfrm>
                              <a:prstGeom prst="leftArrow">
                                <a:avLst/>
                              </a:prstGeom>
                              <a:solidFill>
                                <a:srgbClr val="CDE8AA"/>
                              </a:solidFill>
                              <a:ln w="25400">
                                <a:solidFill>
                                  <a:srgbClr val="CDE8A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8442956" o:spid="_x0000_s1036" type="#_x0000_t66" style="width:159.8pt;height:15.05pt;margin-top:23.5pt;margin-left:-82.15pt;mso-height-percent:0;mso-height-relative:margin;mso-width-percent:0;mso-width-relative:margin;mso-wrap-distance-bottom:0;mso-wrap-distance-left:9pt;mso-wrap-distance-right:9pt;mso-wrap-distance-top:0;mso-wrap-style:square;position:absolute;rotation:180;visibility:visible;v-text-anchor:middle;z-index:251707392" adj="1017" fillcolor="#cde8aa" strokecolor="#cde8aa" strokeweight="2pt"/>
                  </w:pict>
                </mc:Fallback>
              </mc:AlternateContent>
            </w:r>
          </w:p>
        </w:tc>
        <w:tc>
          <w:tcPr>
            <w:tcW w:w="851" w:type="dxa"/>
            <w:shd w:val="clear" w:color="auto" w:fill="F0F8F9"/>
          </w:tcPr>
          <w:p w:rsidR="001003DA" w:rsidRPr="00760971" w:rsidP="001003DA" w14:paraId="40495716" w14:textId="77777777">
            <w:pPr>
              <w:bidi w:val="0"/>
              <w:spacing w:before="120" w:line="240" w:lineRule="auto"/>
              <w:rPr>
                <w:rFonts w:ascii="Tahoma" w:hAnsi="Tahoma" w:cs="Tahoma"/>
                <w:b/>
                <w:bCs/>
                <w:noProof/>
                <w:color w:val="FFFFFF" w:themeColor="background1"/>
                <w:sz w:val="14"/>
                <w:szCs w:val="14"/>
                <w:rtl/>
                <w:lang w:val="en"/>
              </w:rPr>
            </w:pPr>
          </w:p>
        </w:tc>
        <w:tc>
          <w:tcPr>
            <w:tcW w:w="708" w:type="dxa"/>
            <w:shd w:val="clear" w:color="auto" w:fill="F0F8F9"/>
          </w:tcPr>
          <w:p w:rsidR="001003DA" w:rsidRPr="00760971" w:rsidP="001003DA" w14:paraId="589EC9F9" w14:textId="24D365EF">
            <w:pPr>
              <w:bidi w:val="0"/>
              <w:spacing w:before="120" w:line="240" w:lineRule="auto"/>
              <w:rPr>
                <w:rFonts w:ascii="Tahoma" w:hAnsi="Tahoma" w:cs="Tahoma"/>
                <w:b/>
                <w:bCs/>
                <w:noProof/>
                <w:color w:val="FFFFFF" w:themeColor="background1"/>
                <w:sz w:val="14"/>
                <w:szCs w:val="14"/>
                <w:rtl/>
                <w:lang w:val="en"/>
              </w:rPr>
            </w:pPr>
          </w:p>
        </w:tc>
        <w:tc>
          <w:tcPr>
            <w:tcW w:w="1276" w:type="dxa"/>
            <w:shd w:val="clear" w:color="auto" w:fill="F0F8F9"/>
          </w:tcPr>
          <w:p w:rsidR="001003DA" w:rsidRPr="00760971" w:rsidP="001003DA" w14:paraId="5EB72D45" w14:textId="366FFDA0">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All pensioners paid the maximum management fees set in by law</w:t>
            </w:r>
            <w:r w:rsidRPr="006A30A9" w:rsidR="006A30A9">
              <w:rPr>
                <w:rFonts w:ascii="Tahoma" w:hAnsi="Tahoma" w:cs="Tahoma"/>
                <w:noProof/>
                <w:color w:val="000000" w:themeColor="text1"/>
                <w:sz w:val="14"/>
                <w:szCs w:val="14"/>
                <w:lang w:val="en"/>
              </w:rPr>
              <w:t>.</w:t>
            </w:r>
          </w:p>
        </w:tc>
        <w:tc>
          <w:tcPr>
            <w:tcW w:w="851" w:type="dxa"/>
            <w:shd w:val="clear" w:color="auto" w:fill="F0F8F9"/>
          </w:tcPr>
          <w:p w:rsidR="001003DA" w:rsidRPr="00C50F58" w:rsidP="001003DA" w14:paraId="3450ABC6" w14:textId="6D10A5AA">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F0F8F9"/>
          </w:tcPr>
          <w:p w:rsidR="001003DA" w:rsidRPr="00760971" w:rsidP="001003DA" w14:paraId="15DAA080" w14:textId="332FF1F7">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Cumulative pension</w:t>
            </w:r>
          </w:p>
        </w:tc>
      </w:tr>
      <w:tr w14:paraId="4B410D49" w14:textId="77777777" w:rsidTr="001003DA">
        <w:tblPrEx>
          <w:tblW w:w="7360" w:type="dxa"/>
          <w:tblLayout w:type="fixed"/>
          <w:tblLook w:val="04A0"/>
        </w:tblPrEx>
        <w:tc>
          <w:tcPr>
            <w:tcW w:w="841" w:type="dxa"/>
            <w:shd w:val="clear" w:color="auto" w:fill="DFECEF"/>
          </w:tcPr>
          <w:p w:rsidR="001003DA" w:rsidRPr="00760971" w:rsidP="001003DA" w14:paraId="2472C8C9" w14:textId="77777777">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DFECEF"/>
          </w:tcPr>
          <w:p w:rsidR="001003DA" w:rsidRPr="00760971" w:rsidP="001003DA" w14:paraId="628D7FE3" w14:textId="35945DC0">
            <w:pPr>
              <w:bidi w:val="0"/>
              <w:spacing w:before="120" w:line="240" w:lineRule="auto"/>
              <w:rPr>
                <w:rFonts w:ascii="Tahoma" w:hAnsi="Tahoma" w:cs="Tahoma"/>
                <w:b/>
                <w:bCs/>
                <w:noProof/>
                <w:color w:val="FFFFFF" w:themeColor="background1"/>
                <w:sz w:val="14"/>
                <w:szCs w:val="14"/>
                <w:rtl/>
                <w:lang w:val="en"/>
              </w:rPr>
            </w:pPr>
            <w:r w:rsidRPr="00C0561C">
              <w:rPr>
                <w:noProof/>
                <w:rtl/>
              </w:rPr>
              <mc:AlternateContent>
                <mc:Choice Requires="wps">
                  <w:drawing>
                    <wp:anchor distT="0" distB="0" distL="114300" distR="114300" simplePos="0" relativeHeight="251702272" behindDoc="0" locked="0" layoutInCell="1" allowOverlap="1">
                      <wp:simplePos x="0" y="0"/>
                      <wp:positionH relativeFrom="column">
                        <wp:posOffset>-1492885</wp:posOffset>
                      </wp:positionH>
                      <wp:positionV relativeFrom="paragraph">
                        <wp:posOffset>294641</wp:posOffset>
                      </wp:positionV>
                      <wp:extent cx="2562860" cy="191135"/>
                      <wp:effectExtent l="12700" t="12700" r="15240" b="12065"/>
                      <wp:wrapNone/>
                      <wp:docPr id="17" name="חץ שמאלה 17"/>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562860" cy="191135"/>
                              </a:xfrm>
                              <a:prstGeom prst="leftArrow">
                                <a:avLst/>
                              </a:prstGeom>
                              <a:solidFill>
                                <a:srgbClr val="90CD4F"/>
                              </a:solidFill>
                              <a:ln w="25400">
                                <a:solidFill>
                                  <a:srgbClr val="90CD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 o:spid="_x0000_s1037" type="#_x0000_t66" style="width:201.8pt;height:15.05pt;margin-top:23.2pt;margin-left:-117.55pt;mso-height-percent:0;mso-height-relative:margin;mso-width-percent:0;mso-width-relative:margin;mso-wrap-distance-bottom:0;mso-wrap-distance-left:9pt;mso-wrap-distance-right:9pt;mso-wrap-distance-top:0;mso-wrap-style:square;position:absolute;rotation:180;visibility:visible;v-text-anchor:middle;z-index:251703296" adj="805" fillcolor="#90cd4f" strokecolor="#90cd4f" strokeweight="2pt"/>
                  </w:pict>
                </mc:Fallback>
              </mc:AlternateContent>
            </w:r>
          </w:p>
        </w:tc>
        <w:tc>
          <w:tcPr>
            <w:tcW w:w="709" w:type="dxa"/>
            <w:shd w:val="clear" w:color="auto" w:fill="DFECEF"/>
          </w:tcPr>
          <w:p w:rsidR="001003DA" w:rsidRPr="00760971" w:rsidP="001003DA" w14:paraId="6970227F" w14:textId="35EF12E1">
            <w:pPr>
              <w:bidi w:val="0"/>
              <w:spacing w:before="120" w:line="240" w:lineRule="auto"/>
              <w:rPr>
                <w:rFonts w:ascii="Tahoma" w:hAnsi="Tahoma" w:cs="Tahoma"/>
                <w:b/>
                <w:bCs/>
                <w:noProof/>
                <w:color w:val="FFFFFF" w:themeColor="background1"/>
                <w:sz w:val="14"/>
                <w:szCs w:val="14"/>
                <w:rtl/>
                <w:lang w:val="en"/>
              </w:rPr>
            </w:pPr>
          </w:p>
        </w:tc>
        <w:tc>
          <w:tcPr>
            <w:tcW w:w="851" w:type="dxa"/>
            <w:shd w:val="clear" w:color="auto" w:fill="DFECEF"/>
          </w:tcPr>
          <w:p w:rsidR="001003DA" w:rsidRPr="00760971" w:rsidP="001003DA" w14:paraId="0DE845B8" w14:textId="0811E32C">
            <w:pPr>
              <w:bidi w:val="0"/>
              <w:spacing w:before="120" w:line="240" w:lineRule="auto"/>
              <w:rPr>
                <w:rFonts w:ascii="Tahoma" w:hAnsi="Tahoma" w:cs="Tahoma"/>
                <w:b/>
                <w:bCs/>
                <w:noProof/>
                <w:color w:val="FFFFFF" w:themeColor="background1"/>
                <w:sz w:val="14"/>
                <w:szCs w:val="14"/>
                <w:rtl/>
                <w:lang w:val="en"/>
              </w:rPr>
            </w:pPr>
          </w:p>
        </w:tc>
        <w:tc>
          <w:tcPr>
            <w:tcW w:w="708" w:type="dxa"/>
            <w:shd w:val="clear" w:color="auto" w:fill="DFECEF"/>
          </w:tcPr>
          <w:p w:rsidR="001003DA" w:rsidRPr="00760971" w:rsidP="001003DA" w14:paraId="22C766AF" w14:textId="77777777">
            <w:pPr>
              <w:bidi w:val="0"/>
              <w:spacing w:before="120" w:line="240" w:lineRule="auto"/>
              <w:rPr>
                <w:rFonts w:ascii="Tahoma" w:hAnsi="Tahoma" w:cs="Tahoma"/>
                <w:b/>
                <w:bCs/>
                <w:noProof/>
                <w:color w:val="FFFFFF" w:themeColor="background1"/>
                <w:sz w:val="14"/>
                <w:szCs w:val="14"/>
                <w:rtl/>
                <w:lang w:val="en"/>
              </w:rPr>
            </w:pPr>
          </w:p>
        </w:tc>
        <w:tc>
          <w:tcPr>
            <w:tcW w:w="1276" w:type="dxa"/>
            <w:shd w:val="clear" w:color="auto" w:fill="DFECEF"/>
          </w:tcPr>
          <w:p w:rsidR="001003DA" w:rsidRPr="00A11E5A" w:rsidP="001003DA" w14:paraId="56BAFBF3" w14:textId="0161A597">
            <w:pPr>
              <w:bidi w:val="0"/>
              <w:spacing w:before="120" w:line="240" w:lineRule="auto"/>
              <w:rPr>
                <w:rFonts w:ascii="Tahoma" w:hAnsi="Tahoma" w:cs="Tahoma"/>
                <w:b/>
                <w:bCs/>
                <w:noProof/>
                <w:color w:val="FFFFFF" w:themeColor="background1"/>
                <w:spacing w:val="-6"/>
                <w:sz w:val="14"/>
                <w:szCs w:val="14"/>
                <w:rtl/>
                <w:lang w:val="en"/>
              </w:rPr>
            </w:pPr>
            <w:r w:rsidRPr="00BE70FE">
              <w:rPr>
                <w:rFonts w:ascii="Tahoma" w:hAnsi="Tahoma" w:cs="Tahoma"/>
                <w:sz w:val="14"/>
                <w:szCs w:val="14"/>
              </w:rPr>
              <w:t>Examining the use of a single criterion of management fees in determining a default fund</w:t>
            </w:r>
            <w:r w:rsidRPr="006A30A9" w:rsidR="006A30A9">
              <w:rPr>
                <w:rFonts w:ascii="Tahoma" w:hAnsi="Tahoma" w:cs="Tahoma"/>
                <w:noProof/>
                <w:color w:val="000000" w:themeColor="text1"/>
                <w:sz w:val="14"/>
                <w:szCs w:val="14"/>
                <w:lang w:val="en"/>
              </w:rPr>
              <w:t>.</w:t>
            </w:r>
          </w:p>
        </w:tc>
        <w:tc>
          <w:tcPr>
            <w:tcW w:w="851" w:type="dxa"/>
            <w:shd w:val="clear" w:color="auto" w:fill="DFECEF"/>
          </w:tcPr>
          <w:p w:rsidR="001003DA" w:rsidRPr="00C50F58" w:rsidP="001003DA" w14:paraId="5E6071D7" w14:textId="322A11F7">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DFECEF"/>
          </w:tcPr>
          <w:p w:rsidR="001003DA" w:rsidRPr="00760971" w:rsidP="001003DA" w14:paraId="34FC39C5" w14:textId="43B9C196">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Cumulative pension</w:t>
            </w:r>
          </w:p>
        </w:tc>
      </w:tr>
      <w:tr w14:paraId="18EA2A4C" w14:textId="77777777" w:rsidTr="001003DA">
        <w:tblPrEx>
          <w:tblW w:w="7360" w:type="dxa"/>
          <w:tblLayout w:type="fixed"/>
          <w:tblLook w:val="04A0"/>
        </w:tblPrEx>
        <w:tc>
          <w:tcPr>
            <w:tcW w:w="841" w:type="dxa"/>
            <w:shd w:val="clear" w:color="auto" w:fill="F0F8F9"/>
          </w:tcPr>
          <w:p w:rsidR="001003DA" w:rsidRPr="00760971" w:rsidP="001003DA" w14:paraId="19A797BE" w14:textId="77777777">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F0F8F9"/>
          </w:tcPr>
          <w:p w:rsidR="001003DA" w:rsidRPr="00760971" w:rsidP="001003DA" w14:paraId="4D750EEB" w14:textId="17DD54D0">
            <w:pPr>
              <w:bidi w:val="0"/>
              <w:spacing w:before="120" w:line="240" w:lineRule="auto"/>
              <w:rPr>
                <w:rFonts w:ascii="Tahoma" w:hAnsi="Tahoma" w:cs="Tahoma"/>
                <w:b/>
                <w:bCs/>
                <w:noProof/>
                <w:color w:val="FFFFFF" w:themeColor="background1"/>
                <w:sz w:val="14"/>
                <w:szCs w:val="14"/>
                <w:rtl/>
                <w:lang w:val="en"/>
              </w:rPr>
            </w:pPr>
            <w:r w:rsidRPr="00C0561C">
              <w:rPr>
                <w:noProof/>
                <w:rtl/>
              </w:rPr>
              <mc:AlternateContent>
                <mc:Choice Requires="wps">
                  <w:drawing>
                    <wp:anchor distT="0" distB="0" distL="114300" distR="114300" simplePos="0" relativeHeight="251708416" behindDoc="0" locked="0" layoutInCell="1" allowOverlap="1">
                      <wp:simplePos x="0" y="0"/>
                      <wp:positionH relativeFrom="column">
                        <wp:posOffset>-1493520</wp:posOffset>
                      </wp:positionH>
                      <wp:positionV relativeFrom="paragraph">
                        <wp:posOffset>539115</wp:posOffset>
                      </wp:positionV>
                      <wp:extent cx="2029460" cy="191135"/>
                      <wp:effectExtent l="12700" t="12700" r="15240" b="12065"/>
                      <wp:wrapNone/>
                      <wp:docPr id="854737430" name="חץ שמאלה 854737430"/>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029460" cy="191135"/>
                              </a:xfrm>
                              <a:prstGeom prst="leftArrow">
                                <a:avLst/>
                              </a:prstGeom>
                              <a:solidFill>
                                <a:srgbClr val="CDE8AA"/>
                              </a:solidFill>
                              <a:ln w="25400">
                                <a:solidFill>
                                  <a:srgbClr val="CDE8A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54737430" o:spid="_x0000_s1038" type="#_x0000_t66" style="width:159.8pt;height:15.05pt;margin-top:42.45pt;margin-left:-117.6pt;mso-height-percent:0;mso-height-relative:margin;mso-width-percent:0;mso-width-relative:margin;mso-wrap-distance-bottom:0;mso-wrap-distance-left:9pt;mso-wrap-distance-right:9pt;mso-wrap-distance-top:0;mso-wrap-style:square;position:absolute;rotation:180;visibility:visible;v-text-anchor:middle;z-index:251709440" adj="1017" fillcolor="#cde8aa" strokecolor="#cde8aa" strokeweight="2pt"/>
                  </w:pict>
                </mc:Fallback>
              </mc:AlternateContent>
            </w:r>
          </w:p>
        </w:tc>
        <w:tc>
          <w:tcPr>
            <w:tcW w:w="709" w:type="dxa"/>
            <w:shd w:val="clear" w:color="auto" w:fill="F0F8F9"/>
          </w:tcPr>
          <w:p w:rsidR="001003DA" w:rsidRPr="00760971" w:rsidP="001003DA" w14:paraId="1ECA1E5F" w14:textId="6412D610">
            <w:pPr>
              <w:bidi w:val="0"/>
              <w:spacing w:before="120" w:line="240" w:lineRule="auto"/>
              <w:rPr>
                <w:rFonts w:ascii="Tahoma" w:hAnsi="Tahoma" w:cs="Tahoma"/>
                <w:b/>
                <w:bCs/>
                <w:noProof/>
                <w:color w:val="FFFFFF" w:themeColor="background1"/>
                <w:sz w:val="14"/>
                <w:szCs w:val="14"/>
                <w:rtl/>
                <w:lang w:val="en"/>
              </w:rPr>
            </w:pPr>
          </w:p>
        </w:tc>
        <w:tc>
          <w:tcPr>
            <w:tcW w:w="851" w:type="dxa"/>
            <w:shd w:val="clear" w:color="auto" w:fill="F0F8F9"/>
          </w:tcPr>
          <w:p w:rsidR="001003DA" w:rsidRPr="00760971" w:rsidP="001003DA" w14:paraId="4AFBE38D" w14:textId="77647F78">
            <w:pPr>
              <w:bidi w:val="0"/>
              <w:spacing w:before="120" w:line="240" w:lineRule="auto"/>
              <w:rPr>
                <w:rFonts w:ascii="Tahoma" w:hAnsi="Tahoma" w:cs="Tahoma"/>
                <w:b/>
                <w:bCs/>
                <w:noProof/>
                <w:color w:val="FFFFFF" w:themeColor="background1"/>
                <w:sz w:val="14"/>
                <w:szCs w:val="14"/>
                <w:rtl/>
                <w:lang w:val="en"/>
              </w:rPr>
            </w:pPr>
          </w:p>
        </w:tc>
        <w:tc>
          <w:tcPr>
            <w:tcW w:w="708" w:type="dxa"/>
            <w:shd w:val="clear" w:color="auto" w:fill="F0F8F9"/>
          </w:tcPr>
          <w:p w:rsidR="001003DA" w:rsidRPr="00760971" w:rsidP="001003DA" w14:paraId="3C55652D" w14:textId="77777777">
            <w:pPr>
              <w:bidi w:val="0"/>
              <w:spacing w:before="120" w:line="240" w:lineRule="auto"/>
              <w:rPr>
                <w:rFonts w:ascii="Tahoma" w:hAnsi="Tahoma" w:cs="Tahoma"/>
                <w:b/>
                <w:bCs/>
                <w:noProof/>
                <w:color w:val="FFFFFF" w:themeColor="background1"/>
                <w:sz w:val="14"/>
                <w:szCs w:val="14"/>
                <w:rtl/>
                <w:lang w:val="en"/>
              </w:rPr>
            </w:pPr>
          </w:p>
        </w:tc>
        <w:tc>
          <w:tcPr>
            <w:tcW w:w="1276" w:type="dxa"/>
            <w:shd w:val="clear" w:color="auto" w:fill="F0F8F9"/>
          </w:tcPr>
          <w:p w:rsidR="001003DA" w:rsidRPr="00CD1567" w:rsidP="001003DA" w14:paraId="331737BB" w14:textId="1A1A49C1">
            <w:pPr>
              <w:bidi w:val="0"/>
              <w:spacing w:before="120" w:line="240" w:lineRule="auto"/>
              <w:rPr>
                <w:rFonts w:ascii="Tahoma" w:hAnsi="Tahoma" w:cs="Tahoma"/>
                <w:noProof/>
                <w:spacing w:val="-6"/>
                <w:sz w:val="14"/>
                <w:szCs w:val="14"/>
                <w:rtl/>
                <w:lang w:val="en"/>
              </w:rPr>
            </w:pPr>
            <w:r w:rsidRPr="00BE70FE">
              <w:rPr>
                <w:rFonts w:ascii="Tahoma" w:hAnsi="Tahoma" w:cs="Tahoma"/>
                <w:sz w:val="14"/>
                <w:szCs w:val="14"/>
              </w:rPr>
              <w:t>Failure to adjust the yield criterion in the competitive process to select a default fund by an employer or employee organization to the risk level of the portfolio</w:t>
            </w:r>
            <w:r w:rsidRPr="006A30A9" w:rsidR="006A30A9">
              <w:rPr>
                <w:rFonts w:ascii="Tahoma" w:hAnsi="Tahoma" w:cs="Tahoma"/>
                <w:noProof/>
                <w:color w:val="000000" w:themeColor="text1"/>
                <w:sz w:val="14"/>
                <w:szCs w:val="14"/>
                <w:lang w:val="en"/>
              </w:rPr>
              <w:t>.</w:t>
            </w:r>
          </w:p>
        </w:tc>
        <w:tc>
          <w:tcPr>
            <w:tcW w:w="851" w:type="dxa"/>
            <w:shd w:val="clear" w:color="auto" w:fill="F0F8F9"/>
          </w:tcPr>
          <w:p w:rsidR="001003DA" w:rsidRPr="00C50F58" w:rsidP="001003DA" w14:paraId="1CC1C63F" w14:textId="008058CC">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F0F8F9"/>
          </w:tcPr>
          <w:p w:rsidR="001003DA" w:rsidRPr="00760971" w:rsidP="001003DA" w14:paraId="50DF1309" w14:textId="0640AA18">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Cumulative pension</w:t>
            </w:r>
          </w:p>
        </w:tc>
      </w:tr>
      <w:tr w14:paraId="6363C4A6" w14:textId="77777777" w:rsidTr="001003DA">
        <w:tblPrEx>
          <w:tblW w:w="7360" w:type="dxa"/>
          <w:tblLayout w:type="fixed"/>
          <w:tblLook w:val="04A0"/>
        </w:tblPrEx>
        <w:tc>
          <w:tcPr>
            <w:tcW w:w="841" w:type="dxa"/>
            <w:shd w:val="clear" w:color="auto" w:fill="DFECEF"/>
          </w:tcPr>
          <w:p w:rsidR="001003DA" w:rsidRPr="00760971" w:rsidP="001003DA" w14:paraId="6A6559E8" w14:textId="77777777">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DFECEF"/>
          </w:tcPr>
          <w:p w:rsidR="001003DA" w:rsidRPr="00760971" w:rsidP="001003DA" w14:paraId="4D37113E" w14:textId="77777777">
            <w:pPr>
              <w:bidi w:val="0"/>
              <w:spacing w:before="120" w:line="240" w:lineRule="auto"/>
              <w:rPr>
                <w:rFonts w:ascii="Tahoma" w:hAnsi="Tahoma" w:cs="Tahoma"/>
                <w:b/>
                <w:bCs/>
                <w:noProof/>
                <w:color w:val="FFFFFF" w:themeColor="background1"/>
                <w:sz w:val="14"/>
                <w:szCs w:val="14"/>
                <w:rtl/>
                <w:lang w:val="en"/>
              </w:rPr>
            </w:pPr>
          </w:p>
        </w:tc>
        <w:tc>
          <w:tcPr>
            <w:tcW w:w="709" w:type="dxa"/>
            <w:shd w:val="clear" w:color="auto" w:fill="DFECEF"/>
          </w:tcPr>
          <w:p w:rsidR="001003DA" w:rsidRPr="00760971" w:rsidP="001003DA" w14:paraId="549D49F2" w14:textId="41AB16AE">
            <w:pPr>
              <w:bidi w:val="0"/>
              <w:spacing w:before="120" w:line="240" w:lineRule="auto"/>
              <w:rPr>
                <w:rFonts w:ascii="Tahoma" w:hAnsi="Tahoma" w:cs="Tahoma"/>
                <w:b/>
                <w:bCs/>
                <w:noProof/>
                <w:color w:val="FFFFFF" w:themeColor="background1"/>
                <w:sz w:val="14"/>
                <w:szCs w:val="14"/>
                <w:rtl/>
                <w:lang w:val="en"/>
              </w:rPr>
            </w:pPr>
            <w:r w:rsidRPr="00C0561C">
              <w:rPr>
                <w:noProof/>
                <w:rtl/>
              </w:rPr>
              <mc:AlternateContent>
                <mc:Choice Requires="wps">
                  <w:drawing>
                    <wp:anchor distT="0" distB="0" distL="114300" distR="114300" simplePos="0" relativeHeight="251710464" behindDoc="0" locked="0" layoutInCell="1" allowOverlap="1">
                      <wp:simplePos x="0" y="0"/>
                      <wp:positionH relativeFrom="column">
                        <wp:posOffset>-1042670</wp:posOffset>
                      </wp:positionH>
                      <wp:positionV relativeFrom="paragraph">
                        <wp:posOffset>585470</wp:posOffset>
                      </wp:positionV>
                      <wp:extent cx="2562860" cy="191135"/>
                      <wp:effectExtent l="12700" t="12700" r="15240" b="12065"/>
                      <wp:wrapNone/>
                      <wp:docPr id="172244072" name="חץ שמאלה 172244072"/>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562860" cy="191135"/>
                              </a:xfrm>
                              <a:prstGeom prst="leftArrow">
                                <a:avLst/>
                              </a:prstGeom>
                              <a:solidFill>
                                <a:srgbClr val="90CD4F"/>
                              </a:solidFill>
                              <a:ln w="25400">
                                <a:solidFill>
                                  <a:srgbClr val="90CD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2244072" o:spid="_x0000_s1039" type="#_x0000_t66" style="width:201.8pt;height:15.05pt;margin-top:46.1pt;margin-left:-82.1pt;mso-height-percent:0;mso-height-relative:margin;mso-width-percent:0;mso-width-relative:margin;mso-wrap-distance-bottom:0;mso-wrap-distance-left:9pt;mso-wrap-distance-right:9pt;mso-wrap-distance-top:0;mso-wrap-style:square;position:absolute;rotation:180;visibility:visible;v-text-anchor:middle;z-index:251711488" adj="805" fillcolor="#90cd4f" strokecolor="#90cd4f" strokeweight="2pt"/>
                  </w:pict>
                </mc:Fallback>
              </mc:AlternateContent>
            </w:r>
          </w:p>
        </w:tc>
        <w:tc>
          <w:tcPr>
            <w:tcW w:w="851" w:type="dxa"/>
            <w:shd w:val="clear" w:color="auto" w:fill="DFECEF"/>
          </w:tcPr>
          <w:p w:rsidR="001003DA" w:rsidRPr="00760971" w:rsidP="001003DA" w14:paraId="312A9B43" w14:textId="77777777">
            <w:pPr>
              <w:bidi w:val="0"/>
              <w:spacing w:before="120" w:line="240" w:lineRule="auto"/>
              <w:rPr>
                <w:rFonts w:ascii="Tahoma" w:hAnsi="Tahoma" w:cs="Tahoma"/>
                <w:b/>
                <w:bCs/>
                <w:noProof/>
                <w:color w:val="FFFFFF" w:themeColor="background1"/>
                <w:sz w:val="14"/>
                <w:szCs w:val="14"/>
                <w:rtl/>
                <w:lang w:val="en"/>
              </w:rPr>
            </w:pPr>
          </w:p>
        </w:tc>
        <w:tc>
          <w:tcPr>
            <w:tcW w:w="708" w:type="dxa"/>
            <w:shd w:val="clear" w:color="auto" w:fill="DFECEF"/>
          </w:tcPr>
          <w:p w:rsidR="001003DA" w:rsidP="001003DA" w14:paraId="4A9324B8" w14:textId="789ED8B1">
            <w:pPr>
              <w:bidi w:val="0"/>
              <w:spacing w:before="120" w:line="240" w:lineRule="auto"/>
              <w:rPr>
                <w:rFonts w:ascii="Tahoma" w:hAnsi="Tahoma" w:cs="Tahoma"/>
                <w:b/>
                <w:bCs/>
                <w:noProof/>
                <w:color w:val="FFFFFF" w:themeColor="background1"/>
                <w:sz w:val="14"/>
                <w:szCs w:val="14"/>
                <w:lang w:val="en"/>
              </w:rPr>
            </w:pPr>
          </w:p>
          <w:p w:rsidR="001003DA" w:rsidRPr="00760971" w:rsidP="001003DA" w14:paraId="09F47659" w14:textId="77777777">
            <w:pPr>
              <w:bidi w:val="0"/>
              <w:spacing w:before="120" w:line="240" w:lineRule="auto"/>
              <w:rPr>
                <w:rFonts w:ascii="Tahoma" w:hAnsi="Tahoma" w:cs="Tahoma"/>
                <w:b/>
                <w:bCs/>
                <w:noProof/>
                <w:color w:val="FFFFFF" w:themeColor="background1"/>
                <w:sz w:val="14"/>
                <w:szCs w:val="14"/>
                <w:rtl/>
                <w:lang w:val="en"/>
              </w:rPr>
            </w:pPr>
          </w:p>
        </w:tc>
        <w:tc>
          <w:tcPr>
            <w:tcW w:w="1276" w:type="dxa"/>
            <w:shd w:val="clear" w:color="auto" w:fill="DFECEF"/>
          </w:tcPr>
          <w:p w:rsidR="001003DA" w:rsidRPr="00846205" w:rsidP="001003DA" w14:paraId="026CDD19" w14:textId="7D8C37EB">
            <w:pPr>
              <w:bidi w:val="0"/>
              <w:spacing w:before="120" w:line="240" w:lineRule="auto"/>
              <w:rPr>
                <w:rFonts w:ascii="Tahoma" w:hAnsi="Tahoma" w:cs="Tahoma"/>
                <w:b/>
                <w:bCs/>
                <w:noProof/>
                <w:color w:val="FFFFFF" w:themeColor="background1"/>
                <w:spacing w:val="2"/>
                <w:sz w:val="14"/>
                <w:szCs w:val="14"/>
                <w:rtl/>
              </w:rPr>
            </w:pPr>
            <w:r w:rsidRPr="00BE70FE">
              <w:rPr>
                <w:rFonts w:ascii="Tahoma" w:hAnsi="Tahoma" w:cs="Tahoma"/>
                <w:sz w:val="14"/>
                <w:szCs w:val="14"/>
              </w:rPr>
              <w:t>Recipients of disability allowance and survivor's pension create an actuarial deficit causing subsidization between them and the other members of the fund</w:t>
            </w:r>
            <w:r w:rsidRPr="006A30A9" w:rsidR="006A30A9">
              <w:rPr>
                <w:rFonts w:ascii="Tahoma" w:hAnsi="Tahoma" w:cs="Tahoma"/>
                <w:noProof/>
                <w:color w:val="000000" w:themeColor="text1"/>
                <w:sz w:val="14"/>
                <w:szCs w:val="14"/>
                <w:lang w:val="en"/>
              </w:rPr>
              <w:t>.</w:t>
            </w:r>
          </w:p>
        </w:tc>
        <w:tc>
          <w:tcPr>
            <w:tcW w:w="851" w:type="dxa"/>
            <w:shd w:val="clear" w:color="auto" w:fill="DFECEF"/>
          </w:tcPr>
          <w:p w:rsidR="001003DA" w:rsidRPr="00C50F58" w:rsidP="001003DA" w14:paraId="256AB45E" w14:textId="339A17E2">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DFECEF"/>
          </w:tcPr>
          <w:p w:rsidR="001003DA" w:rsidRPr="00760971" w:rsidP="001003DA" w14:paraId="09963B0B" w14:textId="5A5B25A2">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Cumulative pension</w:t>
            </w:r>
          </w:p>
        </w:tc>
      </w:tr>
      <w:tr w14:paraId="35C9F957" w14:textId="77777777" w:rsidTr="001003DA">
        <w:tblPrEx>
          <w:tblW w:w="7360" w:type="dxa"/>
          <w:tblLayout w:type="fixed"/>
          <w:tblLook w:val="04A0"/>
        </w:tblPrEx>
        <w:tc>
          <w:tcPr>
            <w:tcW w:w="841" w:type="dxa"/>
            <w:shd w:val="clear" w:color="auto" w:fill="F0F8F9"/>
          </w:tcPr>
          <w:p w:rsidR="001003DA" w:rsidRPr="00760971" w:rsidP="001003DA" w14:paraId="057C023A" w14:textId="77777777">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F0F8F9"/>
          </w:tcPr>
          <w:p w:rsidR="001003DA" w:rsidRPr="00760971" w:rsidP="001003DA" w14:paraId="016E3075" w14:textId="77777777">
            <w:pPr>
              <w:bidi w:val="0"/>
              <w:spacing w:before="120" w:line="240" w:lineRule="auto"/>
              <w:rPr>
                <w:rFonts w:ascii="Tahoma" w:hAnsi="Tahoma" w:cs="Tahoma"/>
                <w:b/>
                <w:bCs/>
                <w:noProof/>
                <w:color w:val="FFFFFF" w:themeColor="background1"/>
                <w:sz w:val="14"/>
                <w:szCs w:val="14"/>
                <w:rtl/>
                <w:lang w:val="en"/>
              </w:rPr>
            </w:pPr>
          </w:p>
        </w:tc>
        <w:tc>
          <w:tcPr>
            <w:tcW w:w="709" w:type="dxa"/>
            <w:shd w:val="clear" w:color="auto" w:fill="F0F8F9"/>
          </w:tcPr>
          <w:p w:rsidR="001003DA" w:rsidRPr="00760971" w:rsidP="001003DA" w14:paraId="7B45B39E" w14:textId="290B15F4">
            <w:pPr>
              <w:bidi w:val="0"/>
              <w:spacing w:before="120" w:line="240" w:lineRule="auto"/>
              <w:rPr>
                <w:rFonts w:ascii="Tahoma" w:hAnsi="Tahoma" w:cs="Tahoma"/>
                <w:b/>
                <w:bCs/>
                <w:noProof/>
                <w:color w:val="FFFFFF" w:themeColor="background1"/>
                <w:sz w:val="14"/>
                <w:szCs w:val="14"/>
                <w:rtl/>
                <w:lang w:val="en"/>
              </w:rPr>
            </w:pPr>
            <w:r w:rsidRPr="00C0561C">
              <w:rPr>
                <w:noProof/>
                <w:rtl/>
              </w:rPr>
              <mc:AlternateContent>
                <mc:Choice Requires="wps">
                  <w:drawing>
                    <wp:anchor distT="0" distB="0" distL="114300" distR="114300" simplePos="0" relativeHeight="251700224" behindDoc="0" locked="0" layoutInCell="1" allowOverlap="1">
                      <wp:simplePos x="0" y="0"/>
                      <wp:positionH relativeFrom="column">
                        <wp:posOffset>-1042670</wp:posOffset>
                      </wp:positionH>
                      <wp:positionV relativeFrom="paragraph">
                        <wp:posOffset>288925</wp:posOffset>
                      </wp:positionV>
                      <wp:extent cx="962660" cy="191282"/>
                      <wp:effectExtent l="12700" t="12700" r="15240" b="12065"/>
                      <wp:wrapNone/>
                      <wp:docPr id="45" name="חץ שמאלה 45"/>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962660" cy="191282"/>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5" o:spid="_x0000_s1040" type="#_x0000_t66" style="width:75.8pt;height:15.05pt;margin-top:22.75pt;margin-left:-82.1pt;mso-height-percent:0;mso-height-relative:margin;mso-width-percent:0;mso-width-relative:margin;mso-wrap-distance-bottom:0;mso-wrap-distance-left:9pt;mso-wrap-distance-right:9pt;mso-wrap-distance-top:0;mso-wrap-style:square;position:absolute;rotation:180;visibility:visible;v-text-anchor:middle;z-index:251701248" adj="2146" fillcolor="#ffc002" strokecolor="#ffc002" strokeweight="2pt"/>
                  </w:pict>
                </mc:Fallback>
              </mc:AlternateContent>
            </w:r>
          </w:p>
        </w:tc>
        <w:tc>
          <w:tcPr>
            <w:tcW w:w="851" w:type="dxa"/>
            <w:shd w:val="clear" w:color="auto" w:fill="F0F8F9"/>
          </w:tcPr>
          <w:p w:rsidR="001003DA" w:rsidRPr="00760971" w:rsidP="001003DA" w14:paraId="3C08C0AA" w14:textId="24EA442E">
            <w:pPr>
              <w:bidi w:val="0"/>
              <w:spacing w:before="120" w:line="240" w:lineRule="auto"/>
              <w:rPr>
                <w:rFonts w:ascii="Tahoma" w:hAnsi="Tahoma" w:cs="Tahoma"/>
                <w:b/>
                <w:bCs/>
                <w:noProof/>
                <w:color w:val="FFFFFF" w:themeColor="background1"/>
                <w:sz w:val="14"/>
                <w:szCs w:val="14"/>
                <w:rtl/>
                <w:lang w:val="en"/>
              </w:rPr>
            </w:pPr>
          </w:p>
        </w:tc>
        <w:tc>
          <w:tcPr>
            <w:tcW w:w="708" w:type="dxa"/>
            <w:shd w:val="clear" w:color="auto" w:fill="F0F8F9"/>
          </w:tcPr>
          <w:p w:rsidR="001003DA" w:rsidRPr="00760971" w:rsidP="001003DA" w14:paraId="36D42056" w14:textId="74EAD635">
            <w:pPr>
              <w:bidi w:val="0"/>
              <w:spacing w:before="120" w:line="240" w:lineRule="auto"/>
              <w:rPr>
                <w:rFonts w:ascii="Tahoma" w:hAnsi="Tahoma" w:cs="Tahoma"/>
                <w:b/>
                <w:bCs/>
                <w:noProof/>
                <w:color w:val="FFFFFF" w:themeColor="background1"/>
                <w:sz w:val="14"/>
                <w:szCs w:val="14"/>
                <w:rtl/>
                <w:lang w:val="en"/>
              </w:rPr>
            </w:pPr>
          </w:p>
        </w:tc>
        <w:tc>
          <w:tcPr>
            <w:tcW w:w="1276" w:type="dxa"/>
            <w:shd w:val="clear" w:color="auto" w:fill="F0F8F9"/>
          </w:tcPr>
          <w:p w:rsidR="001003DA" w:rsidRPr="00760971" w:rsidP="001003DA" w14:paraId="02E95046" w14:textId="074A30AB">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Failure to examine the ownership structure of insurance and arrangement agencies</w:t>
            </w:r>
            <w:r w:rsidRPr="006A30A9" w:rsidR="006A30A9">
              <w:rPr>
                <w:rFonts w:ascii="Tahoma" w:hAnsi="Tahoma" w:cs="Tahoma"/>
                <w:noProof/>
                <w:color w:val="000000" w:themeColor="text1"/>
                <w:sz w:val="14"/>
                <w:szCs w:val="14"/>
                <w:lang w:val="en"/>
              </w:rPr>
              <w:t>.</w:t>
            </w:r>
          </w:p>
        </w:tc>
        <w:tc>
          <w:tcPr>
            <w:tcW w:w="851" w:type="dxa"/>
            <w:shd w:val="clear" w:color="auto" w:fill="F0F8F9"/>
          </w:tcPr>
          <w:p w:rsidR="001003DA" w:rsidRPr="00C50F58" w:rsidP="001003DA" w14:paraId="4BB9366A" w14:textId="57A9D77C">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F0F8F9"/>
          </w:tcPr>
          <w:p w:rsidR="001003DA" w:rsidRPr="00760971" w:rsidP="001003DA" w14:paraId="1B696810" w14:textId="52A974EF">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The Pension Distribution Market</w:t>
            </w:r>
          </w:p>
        </w:tc>
      </w:tr>
      <w:tr w14:paraId="2E24ED53" w14:textId="77777777" w:rsidTr="001003DA">
        <w:tblPrEx>
          <w:tblW w:w="7360" w:type="dxa"/>
          <w:tblLayout w:type="fixed"/>
          <w:tblLook w:val="04A0"/>
        </w:tblPrEx>
        <w:tc>
          <w:tcPr>
            <w:tcW w:w="841" w:type="dxa"/>
            <w:shd w:val="clear" w:color="auto" w:fill="DFECEF"/>
          </w:tcPr>
          <w:p w:rsidR="001003DA" w:rsidRPr="00760971" w:rsidP="001003DA" w14:paraId="206F5C0B" w14:textId="77777777">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DFECEF"/>
          </w:tcPr>
          <w:p w:rsidR="001003DA" w:rsidRPr="00760971" w:rsidP="001003DA" w14:paraId="6B2AD8E0" w14:textId="77777777">
            <w:pPr>
              <w:bidi w:val="0"/>
              <w:spacing w:before="120" w:line="240" w:lineRule="auto"/>
              <w:rPr>
                <w:rFonts w:ascii="Tahoma" w:hAnsi="Tahoma" w:cs="Tahoma"/>
                <w:b/>
                <w:bCs/>
                <w:noProof/>
                <w:color w:val="FFFFFF" w:themeColor="background1"/>
                <w:sz w:val="14"/>
                <w:szCs w:val="14"/>
                <w:rtl/>
                <w:lang w:val="en"/>
              </w:rPr>
            </w:pPr>
          </w:p>
        </w:tc>
        <w:tc>
          <w:tcPr>
            <w:tcW w:w="709" w:type="dxa"/>
            <w:shd w:val="clear" w:color="auto" w:fill="DFECEF"/>
          </w:tcPr>
          <w:p w:rsidR="001003DA" w:rsidRPr="00760971" w:rsidP="001003DA" w14:paraId="65CF0322" w14:textId="2955F288">
            <w:pPr>
              <w:bidi w:val="0"/>
              <w:spacing w:before="120" w:line="240" w:lineRule="auto"/>
              <w:rPr>
                <w:rFonts w:ascii="Tahoma" w:hAnsi="Tahoma" w:cs="Tahoma"/>
                <w:b/>
                <w:bCs/>
                <w:noProof/>
                <w:color w:val="FFFFFF" w:themeColor="background1"/>
                <w:sz w:val="14"/>
                <w:szCs w:val="14"/>
                <w:rtl/>
                <w:lang w:val="en"/>
              </w:rPr>
            </w:pPr>
          </w:p>
        </w:tc>
        <w:tc>
          <w:tcPr>
            <w:tcW w:w="851" w:type="dxa"/>
            <w:shd w:val="clear" w:color="auto" w:fill="DFECEF"/>
          </w:tcPr>
          <w:p w:rsidR="001003DA" w:rsidRPr="00760971" w:rsidP="001003DA" w14:paraId="51B80FA2" w14:textId="261F8C19">
            <w:pPr>
              <w:bidi w:val="0"/>
              <w:spacing w:before="120" w:line="240" w:lineRule="auto"/>
              <w:rPr>
                <w:rFonts w:ascii="Tahoma" w:hAnsi="Tahoma" w:cs="Tahoma"/>
                <w:b/>
                <w:bCs/>
                <w:noProof/>
                <w:color w:val="FFFFFF" w:themeColor="background1"/>
                <w:sz w:val="14"/>
                <w:szCs w:val="14"/>
                <w:rtl/>
                <w:lang w:val="en"/>
              </w:rPr>
            </w:pPr>
          </w:p>
        </w:tc>
        <w:tc>
          <w:tcPr>
            <w:tcW w:w="708" w:type="dxa"/>
            <w:shd w:val="clear" w:color="auto" w:fill="DFECEF"/>
          </w:tcPr>
          <w:p w:rsidR="001003DA" w:rsidRPr="00760971" w:rsidP="001003DA" w14:paraId="1D3CA35A" w14:textId="5E91CE85">
            <w:pPr>
              <w:bidi w:val="0"/>
              <w:spacing w:before="120" w:line="240" w:lineRule="auto"/>
              <w:rPr>
                <w:rFonts w:ascii="Tahoma" w:hAnsi="Tahoma" w:cs="Tahoma"/>
                <w:b/>
                <w:bCs/>
                <w:noProof/>
                <w:color w:val="FFFFFF" w:themeColor="background1"/>
                <w:sz w:val="14"/>
                <w:szCs w:val="14"/>
                <w:rtl/>
                <w:lang w:val="en"/>
              </w:rPr>
            </w:pPr>
            <w:r w:rsidRPr="00C0561C">
              <w:rPr>
                <w:noProof/>
                <w:rtl/>
              </w:rPr>
              <mc:AlternateContent>
                <mc:Choice Requires="wps">
                  <w:drawing>
                    <wp:anchor distT="0" distB="0" distL="114300" distR="114300" simplePos="0" relativeHeight="251712512" behindDoc="0" locked="0" layoutInCell="1" allowOverlap="1">
                      <wp:simplePos x="0" y="0"/>
                      <wp:positionH relativeFrom="column">
                        <wp:posOffset>-45085</wp:posOffset>
                      </wp:positionH>
                      <wp:positionV relativeFrom="paragraph">
                        <wp:posOffset>521334</wp:posOffset>
                      </wp:positionV>
                      <wp:extent cx="414020" cy="191135"/>
                      <wp:effectExtent l="12700" t="12700" r="17780" b="12065"/>
                      <wp:wrapNone/>
                      <wp:docPr id="1038398146" name="חץ שמאלה 1038398146"/>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414020" cy="191135"/>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38398146" o:spid="_x0000_s1041" type="#_x0000_t66" style="width:32.6pt;height:15.05pt;margin-top:41.05pt;margin-left:-3.55pt;mso-height-percent:0;mso-height-relative:margin;mso-width-percent:0;mso-width-relative:margin;mso-wrap-distance-bottom:0;mso-wrap-distance-left:9pt;mso-wrap-distance-right:9pt;mso-wrap-distance-top:0;mso-wrap-style:square;position:absolute;rotation:180;visibility:visible;v-text-anchor:middle;z-index:251713536" adj="4986" fillcolor="#ff0100" strokecolor="#ff0100" strokeweight="2pt"/>
                  </w:pict>
                </mc:Fallback>
              </mc:AlternateContent>
            </w:r>
          </w:p>
        </w:tc>
        <w:tc>
          <w:tcPr>
            <w:tcW w:w="1276" w:type="dxa"/>
            <w:shd w:val="clear" w:color="auto" w:fill="DFECEF"/>
          </w:tcPr>
          <w:p w:rsidR="001003DA" w:rsidRPr="00760971" w:rsidP="001003DA" w14:paraId="3A5383F2" w14:textId="4439B669">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Failure to regulate clear rules for providing economic incentives in the insurance agents' compensation method</w:t>
            </w:r>
            <w:r w:rsidRPr="006A30A9" w:rsidR="006A30A9">
              <w:rPr>
                <w:rFonts w:ascii="Tahoma" w:hAnsi="Tahoma" w:cs="Tahoma"/>
                <w:noProof/>
                <w:color w:val="000000" w:themeColor="text1"/>
                <w:sz w:val="14"/>
                <w:szCs w:val="14"/>
                <w:lang w:val="en"/>
              </w:rPr>
              <w:t>.</w:t>
            </w:r>
          </w:p>
        </w:tc>
        <w:tc>
          <w:tcPr>
            <w:tcW w:w="851" w:type="dxa"/>
            <w:shd w:val="clear" w:color="auto" w:fill="DFECEF"/>
          </w:tcPr>
          <w:p w:rsidR="001003DA" w:rsidRPr="00C50F58" w:rsidP="001003DA" w14:paraId="30F9A2FF" w14:textId="41BA92DC">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DFECEF"/>
          </w:tcPr>
          <w:p w:rsidR="001003DA" w:rsidRPr="00760971" w:rsidP="001003DA" w14:paraId="73EEE06F" w14:textId="469CF4F1">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The Pension Distribution Market</w:t>
            </w:r>
          </w:p>
        </w:tc>
      </w:tr>
      <w:tr w14:paraId="24205423" w14:textId="77777777" w:rsidTr="001003DA">
        <w:tblPrEx>
          <w:tblW w:w="7360" w:type="dxa"/>
          <w:tblLayout w:type="fixed"/>
          <w:tblLook w:val="04A0"/>
        </w:tblPrEx>
        <w:tc>
          <w:tcPr>
            <w:tcW w:w="841" w:type="dxa"/>
            <w:shd w:val="clear" w:color="auto" w:fill="F0F8F9"/>
          </w:tcPr>
          <w:p w:rsidR="001003DA" w:rsidRPr="00760971" w:rsidP="001003DA" w14:paraId="59B14B50" w14:textId="77777777">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F0F8F9"/>
          </w:tcPr>
          <w:p w:rsidR="001003DA" w:rsidRPr="00760971" w:rsidP="001003DA" w14:paraId="01A324D1" w14:textId="6EE1C95A">
            <w:pPr>
              <w:bidi w:val="0"/>
              <w:spacing w:before="120" w:line="240" w:lineRule="auto"/>
              <w:rPr>
                <w:rFonts w:ascii="Tahoma" w:hAnsi="Tahoma" w:cs="Tahoma"/>
                <w:b/>
                <w:bCs/>
                <w:noProof/>
                <w:color w:val="FFFFFF" w:themeColor="background1"/>
                <w:sz w:val="14"/>
                <w:szCs w:val="14"/>
                <w:rtl/>
                <w:lang w:val="en"/>
              </w:rPr>
            </w:pPr>
          </w:p>
        </w:tc>
        <w:tc>
          <w:tcPr>
            <w:tcW w:w="709" w:type="dxa"/>
            <w:shd w:val="clear" w:color="auto" w:fill="F0F8F9"/>
          </w:tcPr>
          <w:p w:rsidR="001003DA" w:rsidRPr="00760971" w:rsidP="001003DA" w14:paraId="6AC816DA" w14:textId="4A953965">
            <w:pPr>
              <w:bidi w:val="0"/>
              <w:spacing w:before="120" w:line="240" w:lineRule="auto"/>
              <w:rPr>
                <w:rFonts w:ascii="Tahoma" w:hAnsi="Tahoma" w:cs="Tahoma"/>
                <w:b/>
                <w:bCs/>
                <w:noProof/>
                <w:color w:val="FFFFFF" w:themeColor="background1"/>
                <w:sz w:val="14"/>
                <w:szCs w:val="14"/>
                <w:rtl/>
                <w:lang w:val="en"/>
              </w:rPr>
            </w:pPr>
          </w:p>
        </w:tc>
        <w:tc>
          <w:tcPr>
            <w:tcW w:w="851" w:type="dxa"/>
            <w:shd w:val="clear" w:color="auto" w:fill="F0F8F9"/>
          </w:tcPr>
          <w:p w:rsidR="001003DA" w:rsidRPr="00760971" w:rsidP="001003DA" w14:paraId="19219A7E" w14:textId="13244C7D">
            <w:pPr>
              <w:bidi w:val="0"/>
              <w:spacing w:before="120" w:line="240" w:lineRule="auto"/>
              <w:rPr>
                <w:rFonts w:ascii="Tahoma" w:hAnsi="Tahoma" w:cs="Tahoma"/>
                <w:b/>
                <w:bCs/>
                <w:noProof/>
                <w:color w:val="FFFFFF" w:themeColor="background1"/>
                <w:sz w:val="14"/>
                <w:szCs w:val="14"/>
                <w:rtl/>
                <w:lang w:val="en"/>
              </w:rPr>
            </w:pPr>
            <w:r w:rsidRPr="00C0561C">
              <w:rPr>
                <w:noProof/>
                <w:rtl/>
              </w:rPr>
              <mc:AlternateContent>
                <mc:Choice Requires="wps">
                  <w:drawing>
                    <wp:anchor distT="0" distB="0" distL="114300" distR="114300" simplePos="0" relativeHeight="251714560" behindDoc="0" locked="0" layoutInCell="1" allowOverlap="1">
                      <wp:simplePos x="0" y="0"/>
                      <wp:positionH relativeFrom="column">
                        <wp:posOffset>-502920</wp:posOffset>
                      </wp:positionH>
                      <wp:positionV relativeFrom="paragraph">
                        <wp:posOffset>622935</wp:posOffset>
                      </wp:positionV>
                      <wp:extent cx="962660" cy="191282"/>
                      <wp:effectExtent l="12700" t="12700" r="15240" b="12065"/>
                      <wp:wrapNone/>
                      <wp:docPr id="1677302272" name="חץ שמאלה 1677302272"/>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962660" cy="191282"/>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77302272" o:spid="_x0000_s1042" type="#_x0000_t66" style="width:75.8pt;height:15.05pt;margin-top:49.05pt;margin-left:-39.6pt;mso-height-percent:0;mso-height-relative:margin;mso-width-percent:0;mso-width-relative:margin;mso-wrap-distance-bottom:0;mso-wrap-distance-left:9pt;mso-wrap-distance-right:9pt;mso-wrap-distance-top:0;mso-wrap-style:square;position:absolute;rotation:180;visibility:visible;v-text-anchor:middle;z-index:251715584" adj="2146" fillcolor="#ffc002" strokecolor="#ffc002" strokeweight="2pt"/>
                  </w:pict>
                </mc:Fallback>
              </mc:AlternateContent>
            </w:r>
          </w:p>
        </w:tc>
        <w:tc>
          <w:tcPr>
            <w:tcW w:w="708" w:type="dxa"/>
            <w:shd w:val="clear" w:color="auto" w:fill="F0F8F9"/>
          </w:tcPr>
          <w:p w:rsidR="001003DA" w:rsidRPr="00760971" w:rsidP="001003DA" w14:paraId="39308501" w14:textId="2C59FBF9">
            <w:pPr>
              <w:bidi w:val="0"/>
              <w:spacing w:before="120" w:line="240" w:lineRule="auto"/>
              <w:rPr>
                <w:rFonts w:ascii="Tahoma" w:hAnsi="Tahoma" w:cs="Tahoma"/>
                <w:b/>
                <w:bCs/>
                <w:noProof/>
                <w:color w:val="FFFFFF" w:themeColor="background1"/>
                <w:sz w:val="14"/>
                <w:szCs w:val="14"/>
                <w:rtl/>
                <w:lang w:val="en"/>
              </w:rPr>
            </w:pPr>
          </w:p>
        </w:tc>
        <w:tc>
          <w:tcPr>
            <w:tcW w:w="1276" w:type="dxa"/>
            <w:shd w:val="clear" w:color="auto" w:fill="F0F8F9"/>
          </w:tcPr>
          <w:p w:rsidR="001003DA" w:rsidRPr="001003DA" w:rsidP="001003DA" w14:paraId="4D489567" w14:textId="7517AD03">
            <w:pPr>
              <w:bidi w:val="0"/>
              <w:spacing w:before="120" w:line="240" w:lineRule="auto"/>
              <w:rPr>
                <w:rFonts w:ascii="Tahoma" w:hAnsi="Tahoma" w:cs="Tahoma"/>
                <w:sz w:val="14"/>
                <w:szCs w:val="14"/>
                <w:rtl/>
              </w:rPr>
            </w:pPr>
            <w:r w:rsidRPr="00BE70FE">
              <w:rPr>
                <w:rFonts w:ascii="Tahoma" w:hAnsi="Tahoma" w:cs="Tahoma"/>
                <w:sz w:val="14"/>
                <w:szCs w:val="14"/>
              </w:rPr>
              <w:t>The Reasoning Document does not guarantee that the chosen pension product is best suited to the customer and does not solve the problem of conflict of interest of the insurance agent</w:t>
            </w:r>
            <w:r w:rsidRPr="006A30A9" w:rsidR="006A30A9">
              <w:rPr>
                <w:rFonts w:ascii="Tahoma" w:hAnsi="Tahoma" w:cs="Tahoma"/>
                <w:noProof/>
                <w:color w:val="000000" w:themeColor="text1"/>
                <w:sz w:val="14"/>
                <w:szCs w:val="14"/>
                <w:lang w:val="en"/>
              </w:rPr>
              <w:t>.</w:t>
            </w:r>
          </w:p>
        </w:tc>
        <w:tc>
          <w:tcPr>
            <w:tcW w:w="851" w:type="dxa"/>
            <w:shd w:val="clear" w:color="auto" w:fill="F0F8F9"/>
          </w:tcPr>
          <w:p w:rsidR="001003DA" w:rsidRPr="00C50F58" w:rsidP="001003DA" w14:paraId="749879C4" w14:textId="0FC25204">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F0F8F9"/>
          </w:tcPr>
          <w:p w:rsidR="001003DA" w:rsidRPr="00760971" w:rsidP="001003DA" w14:paraId="18843CE1" w14:textId="1E22DAAD">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The Pension Distribution Market</w:t>
            </w:r>
          </w:p>
        </w:tc>
      </w:tr>
      <w:tr w14:paraId="0BAF01C9" w14:textId="77777777" w:rsidTr="001003DA">
        <w:tblPrEx>
          <w:tblW w:w="7360" w:type="dxa"/>
          <w:tblLayout w:type="fixed"/>
          <w:tblLook w:val="04A0"/>
        </w:tblPrEx>
        <w:tc>
          <w:tcPr>
            <w:tcW w:w="841" w:type="dxa"/>
            <w:shd w:val="clear" w:color="auto" w:fill="DFECEF"/>
          </w:tcPr>
          <w:p w:rsidR="001003DA" w:rsidRPr="00760971" w:rsidP="001003DA" w14:paraId="074898BC" w14:textId="77777777">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DFECEF"/>
          </w:tcPr>
          <w:p w:rsidR="001003DA" w:rsidRPr="00760971" w:rsidP="001003DA" w14:paraId="07182BDB" w14:textId="332B0512">
            <w:pPr>
              <w:bidi w:val="0"/>
              <w:spacing w:before="120" w:line="240" w:lineRule="auto"/>
              <w:rPr>
                <w:rFonts w:ascii="Tahoma" w:hAnsi="Tahoma" w:cs="Tahoma"/>
                <w:b/>
                <w:bCs/>
                <w:noProof/>
                <w:color w:val="FFFFFF" w:themeColor="background1"/>
                <w:sz w:val="14"/>
                <w:szCs w:val="14"/>
                <w:rtl/>
                <w:lang w:val="en"/>
              </w:rPr>
            </w:pPr>
          </w:p>
        </w:tc>
        <w:tc>
          <w:tcPr>
            <w:tcW w:w="709" w:type="dxa"/>
            <w:shd w:val="clear" w:color="auto" w:fill="DFECEF"/>
          </w:tcPr>
          <w:p w:rsidR="001003DA" w:rsidRPr="00760971" w:rsidP="001003DA" w14:paraId="455735F1" w14:textId="77777777">
            <w:pPr>
              <w:bidi w:val="0"/>
              <w:spacing w:before="120" w:line="240" w:lineRule="auto"/>
              <w:rPr>
                <w:rFonts w:ascii="Tahoma" w:hAnsi="Tahoma" w:cs="Tahoma"/>
                <w:b/>
                <w:bCs/>
                <w:noProof/>
                <w:color w:val="FFFFFF" w:themeColor="background1"/>
                <w:sz w:val="14"/>
                <w:szCs w:val="14"/>
                <w:rtl/>
                <w:lang w:val="en"/>
              </w:rPr>
            </w:pPr>
          </w:p>
        </w:tc>
        <w:tc>
          <w:tcPr>
            <w:tcW w:w="851" w:type="dxa"/>
            <w:shd w:val="clear" w:color="auto" w:fill="DFECEF"/>
          </w:tcPr>
          <w:p w:rsidR="001003DA" w:rsidRPr="00760971" w:rsidP="001003DA" w14:paraId="3DBD4008" w14:textId="72970065">
            <w:pPr>
              <w:bidi w:val="0"/>
              <w:spacing w:before="120" w:line="240" w:lineRule="auto"/>
              <w:rPr>
                <w:rFonts w:ascii="Tahoma" w:hAnsi="Tahoma" w:cs="Tahoma"/>
                <w:b/>
                <w:bCs/>
                <w:noProof/>
                <w:color w:val="FFFFFF" w:themeColor="background1"/>
                <w:sz w:val="14"/>
                <w:szCs w:val="14"/>
                <w:rtl/>
                <w:lang w:val="en"/>
              </w:rPr>
            </w:pPr>
          </w:p>
        </w:tc>
        <w:tc>
          <w:tcPr>
            <w:tcW w:w="708" w:type="dxa"/>
            <w:shd w:val="clear" w:color="auto" w:fill="DFECEF"/>
          </w:tcPr>
          <w:p w:rsidR="001003DA" w:rsidRPr="00760971" w:rsidP="001003DA" w14:paraId="204E58D0" w14:textId="452964A4">
            <w:pPr>
              <w:bidi w:val="0"/>
              <w:spacing w:before="120" w:line="240" w:lineRule="auto"/>
              <w:rPr>
                <w:rFonts w:ascii="Tahoma" w:hAnsi="Tahoma" w:cs="Tahoma"/>
                <w:b/>
                <w:bCs/>
                <w:noProof/>
                <w:color w:val="FFFFFF" w:themeColor="background1"/>
                <w:sz w:val="14"/>
                <w:szCs w:val="14"/>
                <w:rtl/>
                <w:lang w:val="en"/>
              </w:rPr>
            </w:pPr>
            <w:r w:rsidRPr="00C0561C">
              <w:rPr>
                <w:noProof/>
                <w:rtl/>
              </w:rPr>
              <mc:AlternateContent>
                <mc:Choice Requires="wps">
                  <w:drawing>
                    <wp:anchor distT="0" distB="0" distL="114300" distR="114300" simplePos="0" relativeHeight="251718656" behindDoc="0" locked="0" layoutInCell="1" allowOverlap="1">
                      <wp:simplePos x="0" y="0"/>
                      <wp:positionH relativeFrom="column">
                        <wp:posOffset>-45720</wp:posOffset>
                      </wp:positionH>
                      <wp:positionV relativeFrom="paragraph">
                        <wp:posOffset>262255</wp:posOffset>
                      </wp:positionV>
                      <wp:extent cx="414020" cy="191135"/>
                      <wp:effectExtent l="12700" t="12700" r="17780" b="12065"/>
                      <wp:wrapNone/>
                      <wp:docPr id="795480651" name="חץ שמאלה 795480651"/>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414020" cy="191135"/>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95480651" o:spid="_x0000_s1043" type="#_x0000_t66" style="width:32.6pt;height:15.05pt;margin-top:20.65pt;margin-left:-3.6pt;mso-height-percent:0;mso-height-relative:margin;mso-width-percent:0;mso-width-relative:margin;mso-wrap-distance-bottom:0;mso-wrap-distance-left:9pt;mso-wrap-distance-right:9pt;mso-wrap-distance-top:0;mso-wrap-style:square;position:absolute;rotation:180;visibility:visible;v-text-anchor:middle;z-index:251719680" adj="4986" fillcolor="#ff0100" strokecolor="#ff0100" strokeweight="2pt"/>
                  </w:pict>
                </mc:Fallback>
              </mc:AlternateContent>
            </w:r>
          </w:p>
        </w:tc>
        <w:tc>
          <w:tcPr>
            <w:tcW w:w="1276" w:type="dxa"/>
            <w:shd w:val="clear" w:color="auto" w:fill="DFECEF"/>
          </w:tcPr>
          <w:p w:rsidR="001003DA" w:rsidRPr="00C97642" w:rsidP="001003DA" w14:paraId="78B1D83C" w14:textId="50D544A7">
            <w:pPr>
              <w:bidi w:val="0"/>
              <w:spacing w:before="140" w:after="140" w:line="240" w:lineRule="auto"/>
              <w:rPr>
                <w:rFonts w:ascii="Tahoma" w:hAnsi="Tahoma" w:cs="Tahoma"/>
                <w:b/>
                <w:bCs/>
                <w:noProof/>
                <w:color w:val="FFFFFF" w:themeColor="background1"/>
                <w:spacing w:val="2"/>
                <w:sz w:val="14"/>
                <w:szCs w:val="14"/>
                <w:rtl/>
                <w:lang w:val="en"/>
              </w:rPr>
            </w:pPr>
            <w:r w:rsidRPr="00BE70FE">
              <w:rPr>
                <w:rFonts w:ascii="Tahoma" w:hAnsi="Tahoma" w:cs="Tahoma"/>
                <w:sz w:val="14"/>
                <w:szCs w:val="14"/>
              </w:rPr>
              <w:t>The absence of an objective pension consultation market</w:t>
            </w:r>
            <w:r w:rsidR="007704A0">
              <w:rPr>
                <w:rFonts w:ascii="Tahoma" w:hAnsi="Tahoma" w:cs="Tahoma"/>
                <w:sz w:val="14"/>
                <w:szCs w:val="14"/>
              </w:rPr>
              <w:t>.</w:t>
            </w:r>
          </w:p>
        </w:tc>
        <w:tc>
          <w:tcPr>
            <w:tcW w:w="851" w:type="dxa"/>
            <w:shd w:val="clear" w:color="auto" w:fill="DFECEF"/>
          </w:tcPr>
          <w:p w:rsidR="001003DA" w:rsidRPr="00C50F58" w:rsidP="001003DA" w14:paraId="59C16A3C" w14:textId="6B050A2B">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DFECEF"/>
          </w:tcPr>
          <w:p w:rsidR="001003DA" w:rsidRPr="00760971" w:rsidP="001003DA" w14:paraId="6C156420" w14:textId="3E810834">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The Pension Distribution Market</w:t>
            </w:r>
          </w:p>
        </w:tc>
      </w:tr>
      <w:tr w14:paraId="2FEB826F" w14:textId="77777777" w:rsidTr="001003DA">
        <w:tblPrEx>
          <w:tblW w:w="7360" w:type="dxa"/>
          <w:tblLayout w:type="fixed"/>
          <w:tblLook w:val="04A0"/>
        </w:tblPrEx>
        <w:tc>
          <w:tcPr>
            <w:tcW w:w="841" w:type="dxa"/>
            <w:shd w:val="clear" w:color="auto" w:fill="F0F8F9"/>
          </w:tcPr>
          <w:p w:rsidR="001003DA" w:rsidRPr="00760971" w:rsidP="001003DA" w14:paraId="53E42DB2" w14:textId="77777777">
            <w:pPr>
              <w:bidi w:val="0"/>
              <w:spacing w:before="120" w:line="240" w:lineRule="auto"/>
              <w:rPr>
                <w:rFonts w:ascii="Tahoma" w:hAnsi="Tahoma" w:cs="Tahoma"/>
                <w:b/>
                <w:bCs/>
                <w:noProof/>
                <w:color w:val="FFFFFF" w:themeColor="background1"/>
                <w:sz w:val="14"/>
                <w:szCs w:val="14"/>
                <w:rtl/>
                <w:lang w:val="en"/>
              </w:rPr>
            </w:pPr>
          </w:p>
        </w:tc>
        <w:tc>
          <w:tcPr>
            <w:tcW w:w="992" w:type="dxa"/>
            <w:shd w:val="clear" w:color="auto" w:fill="F0F8F9"/>
          </w:tcPr>
          <w:p w:rsidR="001003DA" w:rsidRPr="00760971" w:rsidP="001003DA" w14:paraId="73B9EFE9" w14:textId="0325903F">
            <w:pPr>
              <w:bidi w:val="0"/>
              <w:spacing w:before="120" w:line="240" w:lineRule="auto"/>
              <w:rPr>
                <w:rFonts w:ascii="Tahoma" w:hAnsi="Tahoma" w:cs="Tahoma"/>
                <w:b/>
                <w:bCs/>
                <w:noProof/>
                <w:color w:val="FFFFFF" w:themeColor="background1"/>
                <w:sz w:val="14"/>
                <w:szCs w:val="14"/>
                <w:rtl/>
                <w:lang w:val="en"/>
              </w:rPr>
            </w:pPr>
          </w:p>
        </w:tc>
        <w:tc>
          <w:tcPr>
            <w:tcW w:w="709" w:type="dxa"/>
            <w:shd w:val="clear" w:color="auto" w:fill="F0F8F9"/>
          </w:tcPr>
          <w:p w:rsidR="001003DA" w:rsidRPr="00760971" w:rsidP="001003DA" w14:paraId="3F35AD37" w14:textId="77777777">
            <w:pPr>
              <w:bidi w:val="0"/>
              <w:spacing w:before="120" w:line="240" w:lineRule="auto"/>
              <w:rPr>
                <w:rFonts w:ascii="Tahoma" w:hAnsi="Tahoma" w:cs="Tahoma"/>
                <w:b/>
                <w:bCs/>
                <w:noProof/>
                <w:color w:val="FFFFFF" w:themeColor="background1"/>
                <w:sz w:val="14"/>
                <w:szCs w:val="14"/>
                <w:rtl/>
                <w:lang w:val="en"/>
              </w:rPr>
            </w:pPr>
          </w:p>
        </w:tc>
        <w:tc>
          <w:tcPr>
            <w:tcW w:w="851" w:type="dxa"/>
            <w:shd w:val="clear" w:color="auto" w:fill="F0F8F9"/>
          </w:tcPr>
          <w:p w:rsidR="001003DA" w:rsidRPr="00760971" w:rsidP="001003DA" w14:paraId="0942DC4B" w14:textId="4B48C08D">
            <w:pPr>
              <w:bidi w:val="0"/>
              <w:spacing w:before="120" w:line="240" w:lineRule="auto"/>
              <w:rPr>
                <w:rFonts w:ascii="Tahoma" w:hAnsi="Tahoma" w:cs="Tahoma"/>
                <w:b/>
                <w:bCs/>
                <w:noProof/>
                <w:color w:val="FFFFFF" w:themeColor="background1"/>
                <w:sz w:val="14"/>
                <w:szCs w:val="14"/>
                <w:rtl/>
                <w:lang w:val="en"/>
              </w:rPr>
            </w:pPr>
          </w:p>
        </w:tc>
        <w:tc>
          <w:tcPr>
            <w:tcW w:w="708" w:type="dxa"/>
            <w:shd w:val="clear" w:color="auto" w:fill="F0F8F9"/>
          </w:tcPr>
          <w:p w:rsidR="001003DA" w:rsidP="001003DA" w14:paraId="6509DD65" w14:textId="5F1509E4">
            <w:pPr>
              <w:bidi w:val="0"/>
              <w:spacing w:before="120" w:line="240" w:lineRule="auto"/>
              <w:rPr>
                <w:rFonts w:ascii="Tahoma" w:hAnsi="Tahoma" w:cs="Tahoma"/>
                <w:b/>
                <w:bCs/>
                <w:noProof/>
                <w:color w:val="FFFFFF" w:themeColor="background1"/>
                <w:sz w:val="14"/>
                <w:szCs w:val="14"/>
                <w:lang w:val="en"/>
              </w:rPr>
            </w:pPr>
            <w:r w:rsidRPr="00C0561C">
              <w:rPr>
                <w:noProof/>
                <w:rtl/>
              </w:rPr>
              <mc:AlternateContent>
                <mc:Choice Requires="wps">
                  <w:drawing>
                    <wp:anchor distT="0" distB="0" distL="114300" distR="114300" simplePos="0" relativeHeight="251716608" behindDoc="0" locked="0" layoutInCell="1" allowOverlap="1">
                      <wp:simplePos x="0" y="0"/>
                      <wp:positionH relativeFrom="column">
                        <wp:posOffset>-45720</wp:posOffset>
                      </wp:positionH>
                      <wp:positionV relativeFrom="paragraph">
                        <wp:posOffset>175895</wp:posOffset>
                      </wp:positionV>
                      <wp:extent cx="414020" cy="191135"/>
                      <wp:effectExtent l="12700" t="12700" r="17780" b="12065"/>
                      <wp:wrapNone/>
                      <wp:docPr id="1928508057" name="חץ שמאלה 1928508057"/>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414020" cy="191135"/>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28508057" o:spid="_x0000_s1044" type="#_x0000_t66" style="width:32.6pt;height:15.05pt;margin-top:13.85pt;margin-left:-3.6pt;mso-height-percent:0;mso-height-relative:margin;mso-width-percent:0;mso-width-relative:margin;mso-wrap-distance-bottom:0;mso-wrap-distance-left:9pt;mso-wrap-distance-right:9pt;mso-wrap-distance-top:0;mso-wrap-style:square;position:absolute;rotation:180;visibility:visible;v-text-anchor:middle;z-index:251717632" adj="4986" fillcolor="#ff0100" strokecolor="#ff0100" strokeweight="2pt"/>
                  </w:pict>
                </mc:Fallback>
              </mc:AlternateContent>
            </w:r>
          </w:p>
          <w:p w:rsidR="001003DA" w:rsidRPr="00760971" w:rsidP="001003DA" w14:paraId="467F55B7" w14:textId="7A31CF8A">
            <w:pPr>
              <w:bidi w:val="0"/>
              <w:spacing w:before="120" w:line="240" w:lineRule="auto"/>
              <w:rPr>
                <w:rFonts w:ascii="Tahoma" w:hAnsi="Tahoma" w:cs="Tahoma"/>
                <w:b/>
                <w:bCs/>
                <w:noProof/>
                <w:color w:val="FFFFFF" w:themeColor="background1"/>
                <w:sz w:val="14"/>
                <w:szCs w:val="14"/>
                <w:rtl/>
                <w:lang w:val="en"/>
              </w:rPr>
            </w:pPr>
          </w:p>
        </w:tc>
        <w:tc>
          <w:tcPr>
            <w:tcW w:w="1276" w:type="dxa"/>
            <w:shd w:val="clear" w:color="auto" w:fill="F0F8F9"/>
          </w:tcPr>
          <w:p w:rsidR="001003DA" w:rsidRPr="00804534" w:rsidP="001003DA" w14:paraId="1E082825" w14:textId="6AC171F9">
            <w:pPr>
              <w:bidi w:val="0"/>
              <w:spacing w:before="140" w:after="140" w:line="240" w:lineRule="auto"/>
              <w:rPr>
                <w:rFonts w:ascii="Tahoma" w:hAnsi="Tahoma" w:cs="Tahoma"/>
                <w:b/>
                <w:bCs/>
                <w:noProof/>
                <w:color w:val="FFFFFF" w:themeColor="background1"/>
                <w:spacing w:val="-8"/>
                <w:sz w:val="14"/>
                <w:szCs w:val="14"/>
                <w:rtl/>
                <w:lang w:val="en"/>
              </w:rPr>
            </w:pPr>
            <w:r w:rsidRPr="00BE70FE">
              <w:rPr>
                <w:rFonts w:ascii="Tahoma" w:hAnsi="Tahoma" w:cs="Tahoma"/>
                <w:sz w:val="14"/>
                <w:szCs w:val="14"/>
              </w:rPr>
              <w:t>Failure to examine the effectiveness of the enforcement</w:t>
            </w:r>
            <w:r w:rsidRPr="006A30A9" w:rsidR="006A30A9">
              <w:rPr>
                <w:rFonts w:ascii="Tahoma" w:hAnsi="Tahoma" w:cs="Tahoma"/>
                <w:noProof/>
                <w:color w:val="000000" w:themeColor="text1"/>
                <w:sz w:val="14"/>
                <w:szCs w:val="14"/>
                <w:lang w:val="en"/>
              </w:rPr>
              <w:t>.</w:t>
            </w:r>
            <w:r w:rsidRPr="00BE70FE">
              <w:rPr>
                <w:rFonts w:ascii="Tahoma" w:hAnsi="Tahoma" w:cs="Tahoma"/>
                <w:sz w:val="14"/>
                <w:szCs w:val="14"/>
              </w:rPr>
              <w:t xml:space="preserve"> </w:t>
            </w:r>
          </w:p>
        </w:tc>
        <w:tc>
          <w:tcPr>
            <w:tcW w:w="851" w:type="dxa"/>
            <w:shd w:val="clear" w:color="auto" w:fill="F0F8F9"/>
          </w:tcPr>
          <w:p w:rsidR="001003DA" w:rsidRPr="00C50F58" w:rsidP="001003DA" w14:paraId="39F8E50A" w14:textId="055FC52F">
            <w:pPr>
              <w:bidi w:val="0"/>
              <w:spacing w:before="120" w:line="240" w:lineRule="auto"/>
              <w:rPr>
                <w:rFonts w:ascii="Tahoma" w:hAnsi="Tahoma" w:cs="Tahoma"/>
                <w:sz w:val="14"/>
                <w:szCs w:val="14"/>
              </w:rPr>
            </w:pPr>
            <w:r w:rsidRPr="00BE70FE">
              <w:rPr>
                <w:rFonts w:ascii="Tahoma" w:hAnsi="Tahoma" w:cs="Tahoma"/>
                <w:sz w:val="14"/>
                <w:szCs w:val="14"/>
              </w:rPr>
              <w:t>The Capital Market Authority</w:t>
            </w:r>
          </w:p>
        </w:tc>
        <w:tc>
          <w:tcPr>
            <w:tcW w:w="1132" w:type="dxa"/>
            <w:shd w:val="clear" w:color="auto" w:fill="F0F8F9"/>
          </w:tcPr>
          <w:p w:rsidR="001003DA" w:rsidRPr="00760971" w:rsidP="001003DA" w14:paraId="1C77830E" w14:textId="501AF4E6">
            <w:pPr>
              <w:bidi w:val="0"/>
              <w:spacing w:before="120" w:line="240" w:lineRule="auto"/>
              <w:rPr>
                <w:rFonts w:ascii="Tahoma" w:hAnsi="Tahoma" w:cs="Tahoma"/>
                <w:b/>
                <w:bCs/>
                <w:noProof/>
                <w:color w:val="FFFFFF" w:themeColor="background1"/>
                <w:sz w:val="14"/>
                <w:szCs w:val="14"/>
                <w:rtl/>
                <w:lang w:val="en"/>
              </w:rPr>
            </w:pPr>
            <w:r w:rsidRPr="00BE70FE">
              <w:rPr>
                <w:rFonts w:ascii="Tahoma" w:hAnsi="Tahoma" w:cs="Tahoma"/>
                <w:sz w:val="14"/>
                <w:szCs w:val="14"/>
              </w:rPr>
              <w:t>The Pension Distribution Market</w:t>
            </w:r>
          </w:p>
        </w:tc>
      </w:tr>
    </w:tbl>
    <w:p w:rsidR="001003DA" w:rsidP="001003DA" w14:paraId="13CA9038" w14:textId="77777777">
      <w:pPr>
        <w:bidi w:val="0"/>
        <w:spacing w:after="0" w:line="200" w:lineRule="exact"/>
      </w:pPr>
    </w:p>
    <w:p w:rsidR="001003DA" w:rsidP="001003DA" w14:paraId="5D0B7801" w14:textId="77777777">
      <w:pPr>
        <w:bidi w:val="0"/>
      </w:pPr>
      <w:r>
        <w:br w:type="page"/>
      </w:r>
    </w:p>
    <w:p w:rsidR="00496CBE" w:rsidP="004B3772" w14:paraId="5C46C175" w14:textId="452FDA13">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C64FB4" w:rsidP="00EA3DAD" w14:paraId="7B09B54F" w14:textId="5DA8B679">
      <w:pPr>
        <w:pStyle w:val="running-text"/>
        <w:spacing w:after="180" w:line="260" w:lineRule="exact"/>
        <w:ind w:right="0"/>
        <w:rPr>
          <w:color w:val="0D0D0D" w:themeColor="text1" w:themeTint="F2"/>
          <w:sz w:val="18"/>
        </w:rPr>
      </w:pPr>
      <w:r w:rsidRPr="004B3812">
        <w:rPr>
          <w:color w:val="0D0D0D" w:themeColor="text1" w:themeTint="F2"/>
          <w:sz w:val="18"/>
        </w:rPr>
        <w:t xml:space="preserve">Pension savings are intended to serve as a </w:t>
      </w:r>
      <w:r w:rsidR="006A30A9">
        <w:rPr>
          <w:color w:val="0D0D0D" w:themeColor="text1" w:themeTint="F2"/>
          <w:sz w:val="18"/>
        </w:rPr>
        <w:t>main</w:t>
      </w:r>
      <w:r w:rsidRPr="004B3812">
        <w:rPr>
          <w:color w:val="0D0D0D" w:themeColor="text1" w:themeTint="F2"/>
          <w:sz w:val="18"/>
        </w:rPr>
        <w:t xml:space="preserve"> source of income after retirement from work and to enable the saver to live with dignity and maintain, to the extent possible, the standard of living he was used to before retirement. Choosing the type of pension savings and matching it to the member's preferences and personal needs considerably affects the pension he is expected to receive. The lack of adequate pension savings may lead to poverty after retirement, requiring public resources to support the pensioners. The findings in this report indicate that the Capital Market Authority rectified some of the deficiencies noted in the Previous Audit Report, mainly in the default funds and the management fees paid by retirees who retired as of February 2022. However, it did not rectify the deficiencies in the pension distribution market, manifested in the inherent conflicts of interest in the activities of pension insurance agents and the absence of an objective pension consulting market. The Capital Market Authority should address deficiencies in the pension distribution market, develop, and improve an objective and advanced pension consulting market to benefit public retirement savings</w:t>
      </w:r>
      <w:r w:rsidRPr="006B0BF7" w:rsidR="008A1C40">
        <w:rPr>
          <w:color w:val="0D0D0D" w:themeColor="text1" w:themeTint="F2"/>
          <w:sz w:val="18"/>
        </w:rPr>
        <w:t>.</w:t>
      </w:r>
    </w:p>
    <w:p w:rsidR="00AE0FAB" w14:paraId="3DB30B57" w14:textId="18C6CC7E">
      <w:pPr>
        <w:bidi w:val="0"/>
        <w:rPr>
          <w:rFonts w:ascii="Tahoma" w:hAnsi="Tahoma" w:cs="Tahoma"/>
          <w:color w:val="0D0D0D" w:themeColor="text1" w:themeTint="F2"/>
          <w:sz w:val="18"/>
          <w:szCs w:val="18"/>
        </w:rPr>
      </w:pPr>
      <w:r>
        <w:rPr>
          <w:color w:val="0D0D0D" w:themeColor="text1" w:themeTint="F2"/>
          <w:sz w:val="18"/>
        </w:rPr>
        <w:br w:type="page"/>
      </w:r>
    </w:p>
    <w:p w:rsidR="00AE0FAB" w:rsidP="00EA3DAD" w14:paraId="1D9FC6FB" w14:textId="082BFA7E">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97152" behindDoc="0" locked="0" layoutInCell="1" allowOverlap="1">
                <wp:simplePos x="0" y="0"/>
                <wp:positionH relativeFrom="column">
                  <wp:posOffset>-274320</wp:posOffset>
                </wp:positionH>
                <wp:positionV relativeFrom="paragraph">
                  <wp:posOffset>-831215</wp:posOffset>
                </wp:positionV>
                <wp:extent cx="6179820" cy="708660"/>
                <wp:effectExtent l="12700" t="12700" r="17780" b="15240"/>
                <wp:wrapNone/>
                <wp:docPr id="1576365939"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79820" cy="7086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5" style="width:486.6pt;height:55.8pt;margin-top:-65.45pt;margin-left:-21.6pt;mso-wrap-distance-bottom:0;mso-wrap-distance-left:9pt;mso-wrap-distance-right:9pt;mso-wrap-distance-top:0;mso-wrap-style:square;position:absolute;visibility:visible;v-text-anchor:middle;z-index:251698176" fillcolor="white" strokecolor="white" strokeweight="1.5pt">
                <v:stroke endcap="round"/>
              </v:rect>
            </w:pict>
          </mc:Fallback>
        </mc:AlternateContent>
      </w: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9984"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46" style="width:486.65pt;height:67.5pt;margin-top:516.2pt;margin-left:-44.3pt;mso-wrap-distance-bottom:0;mso-wrap-distance-left:9pt;mso-wrap-distance-right:9pt;mso-wrap-distance-top:0;mso-wrap-style:square;position:absolute;visibility:visible;v-text-anchor:middle;z-index:251691008"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4864"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47" style="width:111.75pt;height:41.15pt;margin-top:570.1pt;margin-left:-56.5pt;mso-wrap-distance-bottom:0;mso-wrap-distance-left:9pt;mso-wrap-distance-right:9pt;mso-wrap-distance-top:0;mso-wrap-style:square;position:absolute;visibility:visible;v-text-anchor:middle;z-index:251685888" fillcolor="white" strokecolor="white" strokeweight="1.5pt">
                <v:stroke endcap="round"/>
              </v:rect>
            </w:pict>
          </mc:Fallback>
        </mc:AlternateContent>
      </w:r>
    </w:p>
    <w:sectPr w:rsidSect="004A33EE">
      <w:headerReference w:type="even" r:id="rId24"/>
      <w:headerReference w:type="default" r:id="rId25"/>
      <w:headerReference w:type="first" r:id="rId26"/>
      <w:pgSz w:w="11906" w:h="16838" w:code="9"/>
      <w:pgMar w:top="2892" w:right="2268" w:bottom="2438" w:left="2268" w:header="1871" w:footer="1928" w:gutter="0"/>
      <w:pgNumType w:start="23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E6F16" w14:paraId="24B37179" w14:textId="77777777">
      <w:pPr>
        <w:spacing w:after="0" w:line="240" w:lineRule="auto"/>
      </w:pPr>
      <w:r>
        <w:separator/>
      </w:r>
    </w:p>
  </w:endnote>
  <w:endnote w:type="continuationSeparator" w:id="1">
    <w:p w:rsidR="005E6F16" w14:paraId="28BA4E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E6F16" w:rsidP="00BD3044" w14:paraId="5B59D8ED" w14:textId="77777777">
      <w:pPr>
        <w:spacing w:after="0" w:line="240" w:lineRule="auto"/>
        <w:jc w:val="right"/>
      </w:pPr>
      <w:r>
        <w:separator/>
      </w:r>
    </w:p>
  </w:footnote>
  <w:footnote w:type="continuationSeparator" w:id="1">
    <w:p w:rsidR="005E6F16" w14:paraId="63927BD1" w14:textId="77777777">
      <w:pPr>
        <w:spacing w:after="0" w:line="240" w:lineRule="auto"/>
      </w:pPr>
      <w:r>
        <w:continuationSeparator/>
      </w:r>
    </w:p>
  </w:footnote>
  <w:footnote w:id="2">
    <w:p w:rsidR="00CD6F09" w:rsidRPr="004E22F6" w:rsidP="00CD6F09" w14:paraId="68238757" w14:textId="38307F0A">
      <w:pPr>
        <w:pStyle w:val="730"/>
        <w:bidi w:val="0"/>
      </w:pPr>
      <w:r w:rsidRPr="00CD6F09">
        <w:rPr>
          <w:rStyle w:val="FootnoteReference1"/>
          <w:vertAlign w:val="baseline"/>
        </w:rPr>
        <w:footnoteRef/>
      </w:r>
      <w:r>
        <w:rPr>
          <w:rtl/>
        </w:rPr>
        <w:tab/>
      </w:r>
      <w:r>
        <w:t>T</w:t>
      </w:r>
      <w:r w:rsidRPr="00CD6F09">
        <w:rPr>
          <w:rStyle w:val="FootnoteReference1"/>
          <w:vertAlign w:val="baseline"/>
        </w:rPr>
        <w:t>he State Comptroller,</w:t>
      </w:r>
      <w:r w:rsidRPr="004E22F6">
        <w:t xml:space="preserve"> Special Audit Report on the </w:t>
      </w:r>
      <w:r w:rsidRPr="004E22F6">
        <w:rPr>
          <w:b/>
          <w:bCs/>
        </w:rPr>
        <w:t>Pension Arrangements in the Country</w:t>
      </w:r>
      <w:r w:rsidRPr="004E22F6">
        <w:t xml:space="preserve"> (2016).</w:t>
      </w:r>
    </w:p>
  </w:footnote>
  <w:footnote w:id="3">
    <w:p w:rsidR="00CD6F09" w:rsidRPr="001E7BFB" w:rsidP="00802A41" w14:paraId="574EA757" w14:textId="77496F76">
      <w:pPr>
        <w:pStyle w:val="730"/>
        <w:bidi w:val="0"/>
      </w:pPr>
      <w:r w:rsidRPr="00802A41">
        <w:rPr>
          <w:rStyle w:val="FootnoteReference1"/>
          <w:vertAlign w:val="baseline"/>
        </w:rPr>
        <w:footnoteRef/>
      </w:r>
      <w:r w:rsidR="00802A41">
        <w:tab/>
        <w:t>L</w:t>
      </w:r>
      <w:r w:rsidRPr="00802A41">
        <w:rPr>
          <w:rStyle w:val="FootnoteReference1"/>
          <w:vertAlign w:val="baseline"/>
        </w:rPr>
        <w:t>arge agencies that specialize in managing complex pension arrangements for enterprises, including consulting for the employers and enterprise employees, accompanying the clients throughout their insurance life, collecting the funds each month and distributing the funds between the various companies and products.</w:t>
      </w:r>
    </w:p>
  </w:footnote>
  <w:footnote w:id="4">
    <w:p w:rsidR="00CD6F09" w:rsidRPr="0048083A" w:rsidP="00802A41" w14:paraId="4E4D207D" w14:textId="299915DE">
      <w:pPr>
        <w:pStyle w:val="730"/>
        <w:bidi w:val="0"/>
      </w:pPr>
      <w:r w:rsidRPr="00802A41">
        <w:rPr>
          <w:rStyle w:val="FootnoteReference1"/>
          <w:vertAlign w:val="baseline"/>
        </w:rPr>
        <w:footnoteRef/>
      </w:r>
      <w:r w:rsidR="00802A41">
        <w:tab/>
        <w:t>I</w:t>
      </w:r>
      <w:r w:rsidRPr="00802A41">
        <w:rPr>
          <w:rStyle w:val="FootnoteReference1"/>
          <w:vertAlign w:val="baseline"/>
        </w:rPr>
        <w:t>ncluding pension insurance agents, pension marketers and pension consultants</w:t>
      </w:r>
      <w:r w:rsidRPr="0048083A">
        <w:t>.</w:t>
      </w:r>
    </w:p>
  </w:footnote>
  <w:footnote w:id="5">
    <w:p w:rsidR="00CD6F09" w:rsidRPr="00802A41" w:rsidP="00802A41" w14:paraId="269349C8" w14:textId="593A61C7">
      <w:pPr>
        <w:pStyle w:val="730"/>
        <w:bidi w:val="0"/>
        <w:rPr>
          <w:rStyle w:val="FootnoteReference1"/>
          <w:vertAlign w:val="baseline"/>
        </w:rPr>
      </w:pPr>
      <w:r w:rsidRPr="00802A41">
        <w:rPr>
          <w:rStyle w:val="FootnoteReference1"/>
          <w:vertAlign w:val="baseline"/>
        </w:rPr>
        <w:footnoteRef/>
      </w:r>
      <w:r w:rsidR="00802A41">
        <w:tab/>
        <w:t>T</w:t>
      </w:r>
      <w:r w:rsidRPr="00802A41">
        <w:rPr>
          <w:rStyle w:val="FootnoteReference1"/>
          <w:vertAlign w:val="baseline"/>
        </w:rPr>
        <w:t>he Control of Financial Services Regulations (Provident Funds) (Management Fees) (Amendment), 2021. The regulations were approved in January 2022 and entered into force with respect to retirees who began to receive an old-age pension from February 1, 2022 onwards.</w:t>
      </w:r>
    </w:p>
  </w:footnote>
  <w:footnote w:id="6">
    <w:p w:rsidR="00CD6F09" w:rsidRPr="00802A41" w:rsidP="00802A41" w14:paraId="32DA4890" w14:textId="2FC60335">
      <w:pPr>
        <w:pStyle w:val="730"/>
        <w:bidi w:val="0"/>
        <w:rPr>
          <w:rStyle w:val="FootnoteReference1"/>
          <w:vertAlign w:val="baseline"/>
        </w:rPr>
      </w:pPr>
      <w:r w:rsidRPr="00802A41">
        <w:rPr>
          <w:rStyle w:val="FootnoteReference1"/>
          <w:vertAlign w:val="baseline"/>
        </w:rPr>
        <w:footnoteRef/>
      </w:r>
      <w:r w:rsidR="00802A41">
        <w:tab/>
        <w:t>T</w:t>
      </w:r>
      <w:r w:rsidRPr="00802A41">
        <w:rPr>
          <w:rStyle w:val="FootnoteReference1"/>
          <w:vertAlign w:val="baseline"/>
        </w:rPr>
        <w:t>he term "default funds" was used in the Previous Report to describe funds selected in a tender process conducted by the Capital Market Authority to provide discounted management fees to new entrants. Over the years, the Authority changed the term to "selected funds", as detailed in the report.</w:t>
      </w:r>
    </w:p>
  </w:footnote>
  <w:footnote w:id="7">
    <w:p w:rsidR="00CD6F09" w:rsidRPr="00714993" w:rsidP="00802A41" w14:paraId="5A91ECC5" w14:textId="5A75E204">
      <w:pPr>
        <w:pStyle w:val="730"/>
        <w:bidi w:val="0"/>
      </w:pPr>
      <w:r w:rsidRPr="00802A41">
        <w:rPr>
          <w:rStyle w:val="FootnoteReference1"/>
          <w:vertAlign w:val="baseline"/>
        </w:rPr>
        <w:footnoteRef/>
      </w:r>
      <w:r w:rsidR="00802A41">
        <w:tab/>
        <w:t>A</w:t>
      </w:r>
      <w:r w:rsidRPr="00802A41">
        <w:rPr>
          <w:rStyle w:val="FootnoteReference1"/>
          <w:vertAlign w:val="baseline"/>
        </w:rPr>
        <w:t>n index estimating the fund's excess return beyond the risk-free interest rate. A high Sharpe Index indicates better performance, i.e. a higher return per standard deviation 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10CA" w:rsidRPr="007C10CA" w:rsidP="00086BC2" w14:paraId="3F4CF5A8" w14:textId="62242E51">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219710</wp:posOffset>
              </wp:positionH>
              <wp:positionV relativeFrom="paragraph">
                <wp:posOffset>175895</wp:posOffset>
              </wp:positionV>
              <wp:extent cx="45364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24790"/>
                      </a:xfrm>
                      <a:prstGeom prst="rect">
                        <a:avLst/>
                      </a:prstGeom>
                      <a:solidFill>
                        <a:srgbClr val="FFFFFF"/>
                      </a:solidFill>
                      <a:ln w="9525">
                        <a:noFill/>
                        <a:miter lim="800000"/>
                        <a:headEnd/>
                        <a:tailEnd/>
                      </a:ln>
                    </wps:spPr>
                    <wps:txbx>
                      <w:txbxContent>
                        <w:p w:rsidR="00086BC2" w:rsidRPr="00FC4CA4" w:rsidP="00086BC2" w14:textId="790E310C">
                          <w:pPr>
                            <w:bidi w:val="0"/>
                            <w:spacing w:after="0" w:line="240" w:lineRule="auto"/>
                            <w:rPr>
                              <w:rFonts w:ascii="Tahoma" w:hAnsi="Tahoma" w:cs="Tahoma"/>
                              <w:color w:val="0D0D0D" w:themeColor="text1" w:themeTint="F2"/>
                              <w:sz w:val="16"/>
                              <w:szCs w:val="16"/>
                              <w:lang w:val="en"/>
                            </w:rPr>
                          </w:pPr>
                          <w:r w:rsidRPr="003C0FEB">
                            <w:rPr>
                              <w:rFonts w:ascii="Tahoma" w:hAnsi="Tahoma" w:cs="Tahoma"/>
                              <w:color w:val="0D0D0D" w:themeColor="text1" w:themeTint="F2"/>
                              <w:sz w:val="16"/>
                              <w:szCs w:val="16"/>
                              <w:lang w:val="en"/>
                            </w:rPr>
                            <w:t>Aspects of Cumulative Pensions and the Pension Distribution Market – Follow-</w:t>
                          </w:r>
                          <w:r w:rsidR="006A30A9">
                            <w:rPr>
                              <w:rFonts w:ascii="Tahoma" w:hAnsi="Tahoma" w:cs="Tahoma"/>
                              <w:color w:val="0D0D0D" w:themeColor="text1" w:themeTint="F2"/>
                              <w:sz w:val="16"/>
                              <w:szCs w:val="16"/>
                              <w:lang w:val="en"/>
                            </w:rPr>
                            <w:t>u</w:t>
                          </w:r>
                          <w:r w:rsidRPr="003C0FEB">
                            <w:rPr>
                              <w:rFonts w:ascii="Tahoma" w:hAnsi="Tahoma" w:cs="Tahoma"/>
                              <w:color w:val="0D0D0D" w:themeColor="text1" w:themeTint="F2"/>
                              <w:sz w:val="16"/>
                              <w:szCs w:val="16"/>
                              <w:lang w:val="en"/>
                            </w:rPr>
                            <w:t>p Audit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57.2pt;height:17.7pt;margin-top:13.85pt;margin-left:17.3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790E310C">
                    <w:pPr>
                      <w:bidi w:val="0"/>
                      <w:spacing w:after="0" w:line="240" w:lineRule="auto"/>
                      <w:rPr>
                        <w:rFonts w:ascii="Tahoma" w:hAnsi="Tahoma" w:cs="Tahoma"/>
                        <w:color w:val="0D0D0D" w:themeColor="text1" w:themeTint="F2"/>
                        <w:sz w:val="16"/>
                        <w:szCs w:val="16"/>
                        <w:lang w:val="en"/>
                      </w:rPr>
                    </w:pPr>
                    <w:r w:rsidRPr="003C0FEB">
                      <w:rPr>
                        <w:rFonts w:ascii="Tahoma" w:hAnsi="Tahoma" w:cs="Tahoma"/>
                        <w:color w:val="0D0D0D" w:themeColor="text1" w:themeTint="F2"/>
                        <w:sz w:val="16"/>
                        <w:szCs w:val="16"/>
                        <w:lang w:val="en"/>
                      </w:rPr>
                      <w:t>Aspects of Cumulative Pensions and the Pension Distribution Market – Follow-</w:t>
                    </w:r>
                    <w:r w:rsidR="006A30A9">
                      <w:rPr>
                        <w:rFonts w:ascii="Tahoma" w:hAnsi="Tahoma" w:cs="Tahoma"/>
                        <w:color w:val="0D0D0D" w:themeColor="text1" w:themeTint="F2"/>
                        <w:sz w:val="16"/>
                        <w:szCs w:val="16"/>
                        <w:lang w:val="en"/>
                      </w:rPr>
                      <w:t>u</w:t>
                    </w:r>
                    <w:r w:rsidRPr="003C0FEB">
                      <w:rPr>
                        <w:rFonts w:ascii="Tahoma" w:hAnsi="Tahoma" w:cs="Tahoma"/>
                        <w:color w:val="0D0D0D" w:themeColor="text1" w:themeTint="F2"/>
                        <w:sz w:val="16"/>
                        <w:szCs w:val="16"/>
                        <w:lang w:val="en"/>
                      </w:rPr>
                      <w:t>p Audit</w:t>
                    </w:r>
                  </w:p>
                </w:txbxContent>
              </v:textbox>
              <w10:wrap type="square"/>
            </v:shape>
          </w:pict>
        </mc:Fallback>
      </mc:AlternateContent>
    </w:r>
    <w:r w:rsidRPr="007C10CA">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6E4A6AC7">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2866" w:rsidRPr="00D05191" w:rsidP="005411EA" w14:paraId="50443D29" w14:textId="13BD07B6">
    <w:pPr>
      <w:pStyle w:val="Header"/>
      <w:bidi w:val="0"/>
      <w:spacing w:before="240" w:after="180"/>
      <w:ind w:right="567"/>
      <w:jc w:val="right"/>
      <w:rPr>
        <w:rFonts w:ascii="Tahoma" w:hAnsi="Tahoma" w:eastAsiaTheme="majorEastAsia" w:cs="Tahoma"/>
        <w:noProof/>
        <w:color w:val="231F20"/>
        <w:sz w:val="16"/>
        <w:szCs w:val="16"/>
      </w:rPr>
    </w:pP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555EDA" w:rsidP="00C50F58" w14:textId="3869100C">
                          <w:pPr>
                            <w:pStyle w:val="7120"/>
                            <w:bidi w:val="0"/>
                            <w:spacing w:before="0" w:after="0"/>
                            <w:ind w:left="284" w:right="-142"/>
                            <w:rPr>
                              <w:color w:val="FFFFFF" w:themeColor="background1"/>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C0FEB" w:rsidR="003C0FEB">
                            <w:rPr>
                              <w:rFonts w:eastAsiaTheme="minorEastAsia"/>
                              <w:color w:val="FFFFFF" w:themeColor="background1"/>
                              <w:spacing w:val="-2"/>
                              <w:w w:val="90"/>
                              <w:sz w:val="20"/>
                              <w:szCs w:val="20"/>
                            </w:rPr>
                            <w:t>Aspects of Cumulative Pensions and the Pension Distribution Market – Follow-</w:t>
                          </w:r>
                          <w:r w:rsidR="006A30A9">
                            <w:rPr>
                              <w:rFonts w:eastAsiaTheme="minorEastAsia"/>
                              <w:color w:val="FFFFFF" w:themeColor="background1"/>
                              <w:spacing w:val="-2"/>
                              <w:w w:val="90"/>
                              <w:sz w:val="20"/>
                              <w:szCs w:val="20"/>
                            </w:rPr>
                            <w:t>u</w:t>
                          </w:r>
                          <w:r w:rsidRPr="003C0FEB" w:rsidR="003C0FEB">
                            <w:rPr>
                              <w:rFonts w:eastAsiaTheme="minorEastAsia"/>
                              <w:color w:val="FFFFFF" w:themeColor="background1"/>
                              <w:spacing w:val="-2"/>
                              <w:w w:val="90"/>
                              <w:sz w:val="20"/>
                              <w:szCs w:val="20"/>
                            </w:rPr>
                            <w:t>p Audit</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555EDA" w:rsidP="00C50F58" w14:paraId="542790B6" w14:textId="3869100C">
                    <w:pPr>
                      <w:pStyle w:val="7120"/>
                      <w:bidi w:val="0"/>
                      <w:spacing w:before="0" w:after="0"/>
                      <w:ind w:left="284" w:right="-142"/>
                      <w:rPr>
                        <w:color w:val="FFFFFF" w:themeColor="background1"/>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C0FEB" w:rsidR="003C0FEB">
                      <w:rPr>
                        <w:rFonts w:eastAsiaTheme="minorEastAsia"/>
                        <w:color w:val="FFFFFF" w:themeColor="background1"/>
                        <w:spacing w:val="-2"/>
                        <w:w w:val="90"/>
                        <w:sz w:val="20"/>
                        <w:szCs w:val="20"/>
                      </w:rPr>
                      <w:t>Aspects of Cumulative Pensions and the Pension Distribution Market – Follow-</w:t>
                    </w:r>
                    <w:r w:rsidR="006A30A9">
                      <w:rPr>
                        <w:rFonts w:eastAsiaTheme="minorEastAsia"/>
                        <w:color w:val="FFFFFF" w:themeColor="background1"/>
                        <w:spacing w:val="-2"/>
                        <w:w w:val="90"/>
                        <w:sz w:val="20"/>
                        <w:szCs w:val="20"/>
                      </w:rPr>
                      <w:t>u</w:t>
                    </w:r>
                    <w:r w:rsidRPr="003C0FEB" w:rsidR="003C0FEB">
                      <w:rPr>
                        <w:rFonts w:eastAsiaTheme="minorEastAsia"/>
                        <w:color w:val="FFFFFF" w:themeColor="background1"/>
                        <w:spacing w:val="-2"/>
                        <w:w w:val="90"/>
                        <w:sz w:val="20"/>
                        <w:szCs w:val="20"/>
                      </w:rPr>
                      <w:t>p Audit</w:t>
                    </w:r>
                  </w:p>
                </w:txbxContent>
              </v:textbox>
            </v:shape>
          </w:pict>
        </mc:Fallback>
      </mc:AlternateContent>
    </w:r>
    <w:r w:rsidRPr="00C86180" w:rsidR="00463924">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5037992</wp:posOffset>
              </wp:positionH>
              <wp:positionV relativeFrom="paragraph">
                <wp:posOffset>-1181051</wp:posOffset>
              </wp:positionV>
              <wp:extent cx="299085" cy="8229160"/>
              <wp:effectExtent l="0" t="0" r="5715" b="635"/>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22916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47.95pt;margin-top:-93pt;margin-left:396.7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434D30" w:rsidR="00C50F58">
      <w:rPr>
        <w:rFonts w:ascii="Tahoma" w:hAnsi="Tahoma" w:eastAsiaTheme="majorEastAsia" w:cs="Tahoma"/>
        <w:noProof/>
        <w:color w:val="0D0D0D" w:themeColor="text1" w:themeTint="F2"/>
        <w:sz w:val="15"/>
        <w:szCs w:val="15"/>
      </w:rPr>
      <w:t>Report of the State Comptroller of Israel | November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58.45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7">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4">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5">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1"/>
  </w:num>
  <w:num w:numId="2">
    <w:abstractNumId w:val="17"/>
  </w:num>
  <w:num w:numId="3">
    <w:abstractNumId w:val="7"/>
  </w:num>
  <w:num w:numId="4">
    <w:abstractNumId w:val="6"/>
  </w:num>
  <w:num w:numId="5">
    <w:abstractNumId w:val="5"/>
  </w:num>
  <w:num w:numId="6">
    <w:abstractNumId w:val="1"/>
  </w:num>
  <w:num w:numId="7">
    <w:abstractNumId w:val="2"/>
  </w:num>
  <w:num w:numId="8">
    <w:abstractNumId w:val="19"/>
  </w:num>
  <w:num w:numId="9">
    <w:abstractNumId w:val="9"/>
  </w:num>
  <w:num w:numId="10">
    <w:abstractNumId w:val="7"/>
  </w:num>
  <w:num w:numId="11">
    <w:abstractNumId w:val="12"/>
  </w:num>
  <w:num w:numId="12">
    <w:abstractNumId w:val="4"/>
  </w:num>
  <w:num w:numId="13">
    <w:abstractNumId w:val="13"/>
  </w:num>
  <w:num w:numId="14">
    <w:abstractNumId w:val="7"/>
  </w:num>
  <w:num w:numId="15">
    <w:abstractNumId w:val="10"/>
  </w:num>
  <w:num w:numId="16">
    <w:abstractNumId w:val="14"/>
  </w:num>
  <w:num w:numId="17">
    <w:abstractNumId w:val="7"/>
  </w:num>
  <w:num w:numId="18">
    <w:abstractNumId w:val="16"/>
  </w:num>
  <w:num w:numId="19">
    <w:abstractNumId w:val="7"/>
  </w:num>
  <w:num w:numId="20">
    <w:abstractNumId w:val="3"/>
  </w:num>
  <w:num w:numId="21">
    <w:abstractNumId w:val="15"/>
  </w:num>
  <w:num w:numId="22">
    <w:abstractNumId w:val="18"/>
  </w:num>
  <w:num w:numId="23">
    <w:abstractNumId w:val="7"/>
  </w:num>
  <w:num w:numId="24">
    <w:abstractNumId w:val="7"/>
  </w:num>
  <w:num w:numId="25">
    <w:abstractNumId w:val="0"/>
  </w:num>
  <w:num w:numId="26">
    <w:abstractNumId w:val="8"/>
  </w:num>
  <w:num w:numId="27">
    <w:abstractNumId w:val="7"/>
  </w:num>
  <w:num w:numId="28">
    <w:abstractNumId w:val="7"/>
  </w:num>
  <w:num w:numId="2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2E14"/>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38DB"/>
    <w:rsid w:val="000C4DEF"/>
    <w:rsid w:val="000C5425"/>
    <w:rsid w:val="000C57FF"/>
    <w:rsid w:val="000C6595"/>
    <w:rsid w:val="000C6708"/>
    <w:rsid w:val="000C7018"/>
    <w:rsid w:val="000D1157"/>
    <w:rsid w:val="000D18BB"/>
    <w:rsid w:val="000D2DD0"/>
    <w:rsid w:val="000D3360"/>
    <w:rsid w:val="000D3584"/>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3DA"/>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E25"/>
    <w:rsid w:val="00194FE0"/>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9CD"/>
    <w:rsid w:val="001C3D63"/>
    <w:rsid w:val="001C3F29"/>
    <w:rsid w:val="001C4789"/>
    <w:rsid w:val="001C4FC8"/>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E7BFB"/>
    <w:rsid w:val="001E7EAA"/>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49D"/>
    <w:rsid w:val="002A0F5E"/>
    <w:rsid w:val="002A11BD"/>
    <w:rsid w:val="002A122A"/>
    <w:rsid w:val="002A38DF"/>
    <w:rsid w:val="002A4062"/>
    <w:rsid w:val="002A4C50"/>
    <w:rsid w:val="002A51A3"/>
    <w:rsid w:val="002A6B27"/>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504AD"/>
    <w:rsid w:val="00350894"/>
    <w:rsid w:val="00350FCA"/>
    <w:rsid w:val="00351463"/>
    <w:rsid w:val="00352F48"/>
    <w:rsid w:val="00353326"/>
    <w:rsid w:val="0035361A"/>
    <w:rsid w:val="00353BAA"/>
    <w:rsid w:val="003541A3"/>
    <w:rsid w:val="0035442A"/>
    <w:rsid w:val="00354900"/>
    <w:rsid w:val="00355057"/>
    <w:rsid w:val="00355F67"/>
    <w:rsid w:val="003572C8"/>
    <w:rsid w:val="00357D06"/>
    <w:rsid w:val="003609E2"/>
    <w:rsid w:val="00361B78"/>
    <w:rsid w:val="00361CD3"/>
    <w:rsid w:val="00362B2C"/>
    <w:rsid w:val="0036393B"/>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0FEB"/>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3F7C"/>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1864"/>
    <w:rsid w:val="00431E6E"/>
    <w:rsid w:val="00432DBC"/>
    <w:rsid w:val="004334FD"/>
    <w:rsid w:val="004335F4"/>
    <w:rsid w:val="00434573"/>
    <w:rsid w:val="00434710"/>
    <w:rsid w:val="00434979"/>
    <w:rsid w:val="00434D30"/>
    <w:rsid w:val="004359AD"/>
    <w:rsid w:val="00436B3D"/>
    <w:rsid w:val="00436DAE"/>
    <w:rsid w:val="00437A8F"/>
    <w:rsid w:val="00437CA8"/>
    <w:rsid w:val="00440360"/>
    <w:rsid w:val="00440A9C"/>
    <w:rsid w:val="00441319"/>
    <w:rsid w:val="00441A9F"/>
    <w:rsid w:val="00442153"/>
    <w:rsid w:val="00442D2E"/>
    <w:rsid w:val="00442E1F"/>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430"/>
    <w:rsid w:val="0045656B"/>
    <w:rsid w:val="0045684E"/>
    <w:rsid w:val="00456CEF"/>
    <w:rsid w:val="00457C4A"/>
    <w:rsid w:val="00460732"/>
    <w:rsid w:val="0046099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83A"/>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3EE"/>
    <w:rsid w:val="004A36ED"/>
    <w:rsid w:val="004A4AA6"/>
    <w:rsid w:val="004A4B65"/>
    <w:rsid w:val="004A5646"/>
    <w:rsid w:val="004A6733"/>
    <w:rsid w:val="004A7324"/>
    <w:rsid w:val="004A7AFD"/>
    <w:rsid w:val="004B02B5"/>
    <w:rsid w:val="004B1AC6"/>
    <w:rsid w:val="004B2AE7"/>
    <w:rsid w:val="004B2F00"/>
    <w:rsid w:val="004B3772"/>
    <w:rsid w:val="004B3812"/>
    <w:rsid w:val="004B4F74"/>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22F6"/>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3F"/>
    <w:rsid w:val="004F52F1"/>
    <w:rsid w:val="004F58FF"/>
    <w:rsid w:val="004F5A33"/>
    <w:rsid w:val="004F6702"/>
    <w:rsid w:val="005000F1"/>
    <w:rsid w:val="00500381"/>
    <w:rsid w:val="00501EBE"/>
    <w:rsid w:val="00503016"/>
    <w:rsid w:val="00503346"/>
    <w:rsid w:val="00503914"/>
    <w:rsid w:val="00505054"/>
    <w:rsid w:val="00505342"/>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5208"/>
    <w:rsid w:val="00536356"/>
    <w:rsid w:val="00536463"/>
    <w:rsid w:val="0053710C"/>
    <w:rsid w:val="005377A6"/>
    <w:rsid w:val="00540FE0"/>
    <w:rsid w:val="005411EA"/>
    <w:rsid w:val="0054263B"/>
    <w:rsid w:val="0054264F"/>
    <w:rsid w:val="00542942"/>
    <w:rsid w:val="00542ACA"/>
    <w:rsid w:val="005437E8"/>
    <w:rsid w:val="005438E7"/>
    <w:rsid w:val="00543BD2"/>
    <w:rsid w:val="00543F87"/>
    <w:rsid w:val="00544C20"/>
    <w:rsid w:val="00544E40"/>
    <w:rsid w:val="00545D3C"/>
    <w:rsid w:val="00545FBB"/>
    <w:rsid w:val="005476ED"/>
    <w:rsid w:val="00551A41"/>
    <w:rsid w:val="00552038"/>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546D"/>
    <w:rsid w:val="0058562D"/>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6F16"/>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3FF1"/>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30A9"/>
    <w:rsid w:val="006A534E"/>
    <w:rsid w:val="006A639B"/>
    <w:rsid w:val="006A7554"/>
    <w:rsid w:val="006A77B5"/>
    <w:rsid w:val="006B0BF7"/>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BFE"/>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AAD"/>
    <w:rsid w:val="0071362B"/>
    <w:rsid w:val="00714130"/>
    <w:rsid w:val="0071436C"/>
    <w:rsid w:val="00714993"/>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4A0"/>
    <w:rsid w:val="0077052B"/>
    <w:rsid w:val="00770607"/>
    <w:rsid w:val="00770C49"/>
    <w:rsid w:val="00770D17"/>
    <w:rsid w:val="00770FE5"/>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2A41"/>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187"/>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5CCF"/>
    <w:rsid w:val="00865D67"/>
    <w:rsid w:val="00865F8B"/>
    <w:rsid w:val="00866E36"/>
    <w:rsid w:val="008672D0"/>
    <w:rsid w:val="00870102"/>
    <w:rsid w:val="0087179D"/>
    <w:rsid w:val="008723A0"/>
    <w:rsid w:val="00874CE4"/>
    <w:rsid w:val="00875335"/>
    <w:rsid w:val="0087623D"/>
    <w:rsid w:val="008769A8"/>
    <w:rsid w:val="008809B1"/>
    <w:rsid w:val="00881ACD"/>
    <w:rsid w:val="00882BBF"/>
    <w:rsid w:val="00882DEC"/>
    <w:rsid w:val="00884819"/>
    <w:rsid w:val="00884846"/>
    <w:rsid w:val="008854C1"/>
    <w:rsid w:val="00885759"/>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2D49"/>
    <w:rsid w:val="009243D2"/>
    <w:rsid w:val="0092481E"/>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132E"/>
    <w:rsid w:val="009822AB"/>
    <w:rsid w:val="00982A00"/>
    <w:rsid w:val="00983048"/>
    <w:rsid w:val="0098318A"/>
    <w:rsid w:val="0098335A"/>
    <w:rsid w:val="00983B82"/>
    <w:rsid w:val="00986127"/>
    <w:rsid w:val="009864F0"/>
    <w:rsid w:val="00986603"/>
    <w:rsid w:val="00986B6A"/>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C95"/>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6F15"/>
    <w:rsid w:val="00A371B5"/>
    <w:rsid w:val="00A40BC1"/>
    <w:rsid w:val="00A41377"/>
    <w:rsid w:val="00A413BE"/>
    <w:rsid w:val="00A428DD"/>
    <w:rsid w:val="00A43126"/>
    <w:rsid w:val="00A439BC"/>
    <w:rsid w:val="00A4464E"/>
    <w:rsid w:val="00A44AA1"/>
    <w:rsid w:val="00A44DE9"/>
    <w:rsid w:val="00A460E1"/>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67FF4"/>
    <w:rsid w:val="00A7096E"/>
    <w:rsid w:val="00A71215"/>
    <w:rsid w:val="00A71400"/>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4FCA"/>
    <w:rsid w:val="00AD57B5"/>
    <w:rsid w:val="00AD6429"/>
    <w:rsid w:val="00AD6A86"/>
    <w:rsid w:val="00AD7241"/>
    <w:rsid w:val="00AE0583"/>
    <w:rsid w:val="00AE0FAB"/>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115"/>
    <w:rsid w:val="00B914C7"/>
    <w:rsid w:val="00B9160E"/>
    <w:rsid w:val="00B9248D"/>
    <w:rsid w:val="00B92AC7"/>
    <w:rsid w:val="00B947EE"/>
    <w:rsid w:val="00B95615"/>
    <w:rsid w:val="00B96064"/>
    <w:rsid w:val="00B96F64"/>
    <w:rsid w:val="00B972EE"/>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E70FE"/>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2FF"/>
    <w:rsid w:val="00C1490B"/>
    <w:rsid w:val="00C15051"/>
    <w:rsid w:val="00C15108"/>
    <w:rsid w:val="00C15687"/>
    <w:rsid w:val="00C15B25"/>
    <w:rsid w:val="00C162F8"/>
    <w:rsid w:val="00C17387"/>
    <w:rsid w:val="00C176C8"/>
    <w:rsid w:val="00C20217"/>
    <w:rsid w:val="00C20745"/>
    <w:rsid w:val="00C21781"/>
    <w:rsid w:val="00C22A7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6EED"/>
    <w:rsid w:val="00CD6F09"/>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A2"/>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5506"/>
    <w:rsid w:val="00DD5D7C"/>
    <w:rsid w:val="00DD733B"/>
    <w:rsid w:val="00DD7E98"/>
    <w:rsid w:val="00DD7F36"/>
    <w:rsid w:val="00DD7F4E"/>
    <w:rsid w:val="00DE0589"/>
    <w:rsid w:val="00DE1685"/>
    <w:rsid w:val="00DE1AE0"/>
    <w:rsid w:val="00DE1C0C"/>
    <w:rsid w:val="00DE1F98"/>
    <w:rsid w:val="00DE3984"/>
    <w:rsid w:val="00DE3B4A"/>
    <w:rsid w:val="00DE3C4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1D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F2"/>
    <w:rsid w:val="00E54EB6"/>
    <w:rsid w:val="00E5529E"/>
    <w:rsid w:val="00E56791"/>
    <w:rsid w:val="00E56EA4"/>
    <w:rsid w:val="00E57291"/>
    <w:rsid w:val="00E572AD"/>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AB1"/>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A52F64"/>
    <w:pPr>
      <w:keepLines w:val="0"/>
      <w:spacing w:after="60" w:line="220" w:lineRule="exact"/>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A52F64"/>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0">
    <w:name w:val="73א הערות שוליים"/>
    <w:basedOn w:val="FootnoteText"/>
    <w:link w:val="731"/>
    <w:qFormat/>
    <w:rsid w:val="00CD6F09"/>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CD6F09"/>
    <w:rPr>
      <w:rFonts w:ascii="Tahoma" w:hAnsi="Tahoma" w:eastAsiaTheme="minorHAnsi" w:cs="Tahoma"/>
      <w:color w:val="0D0D0D" w:themeColor="text1" w:themeTint="F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7.xml"/><Relationship Id="rId8" Type="http://schemas.openxmlformats.org/officeDocument/2006/relationships/footer" Target="footer2.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6.xml"/><Relationship Id="rId7" Type="http://schemas.openxmlformats.org/officeDocument/2006/relationships/footer" Target="footer1.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6" Type="http://schemas.openxmlformats.org/officeDocument/2006/relationships/customXml" Target="../customXml/item1.xml"/><Relationship Id="rId32" Type="http://schemas.openxmlformats.org/officeDocument/2006/relationships/customXml" Target="../customXml/item4.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3.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30"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3.jpeg" /></Relationships>
</file>

<file path=word/_rels/header6.xml.rels><?xml version="1.0" encoding="utf-8" standalone="yes"?><Relationships xmlns="http://schemas.openxmlformats.org/package/2006/relationships"><Relationship Id="rId1" Type="http://schemas.openxmlformats.org/officeDocument/2006/relationships/image" Target="media/image14.jpeg" /></Relationships>
</file>

<file path=word/_rels/numbering.xml.rels><?xml version="1.0" encoding="utf-8" standalone="yes"?><Relationships xmlns="http://schemas.openxmlformats.org/package/2006/relationships"><Relationship Id="rId1" Type="http://schemas.openxmlformats.org/officeDocument/2006/relationships/image" Target="media/image15.png" /></Relationships>
</file>

<file path=word/theme/_rels/theme1.xml.rels><?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4F3A73B7-228F-4F56-8EB3-9AD4DA707764}"/>
</file>

<file path=customXml/itemProps3.xml><?xml version="1.0" encoding="utf-8"?>
<ds:datastoreItem xmlns:ds="http://schemas.openxmlformats.org/officeDocument/2006/customXml" ds:itemID="{F96285D6-6FEE-4C43-8FE1-11058CB4D5E3}"/>
</file>

<file path=customXml/itemProps4.xml><?xml version="1.0" encoding="utf-8"?>
<ds:datastoreItem xmlns:ds="http://schemas.openxmlformats.org/officeDocument/2006/customXml" ds:itemID="{36C62BA4-3912-401F-83DA-47E2B27B218F}"/>
</file>

<file path=docProps/app.xml><?xml version="1.0" encoding="utf-8"?>
<Properties xmlns="http://schemas.openxmlformats.org/officeDocument/2006/extended-properties" xmlns:vt="http://schemas.openxmlformats.org/officeDocument/2006/docPropsVTypes">
  <Template>Normal.dotm</Template>
  <TotalTime>5</TotalTime>
  <Pages>12</Pages>
  <Words>2746</Words>
  <Characters>13730</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of Cumulative Pensions and the Pension Distribution Market – Follow-up Audit</dc:title>
  <cp:lastModifiedBy>סטודיו אי.אר.</cp:lastModifiedBy>
  <cp:revision>5</cp:revision>
  <cp:lastPrinted>2023-06-27T08:59:00Z</cp:lastPrinted>
  <dcterms:created xsi:type="dcterms:W3CDTF">2023-06-27T08:59:00Z</dcterms:created>
  <dcterms:modified xsi:type="dcterms:W3CDTF">2023-07-09T06:39:00Z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