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rPr>
          <w:rFonts w:ascii="Times New Roman" w:hAnsi="Times New Roman" w:cs="David"/>
          <w:b w:val="0"/>
          <w:bCs w:val="0"/>
          <w:color w:val="auto"/>
          <w:sz w:val="32"/>
          <w:szCs w:val="32"/>
        </w:rPr>
        <w:id w:val="-758902378"/>
        <w:docPartObj>
          <w:docPartGallery w:val="Cover Pages"/>
          <w:docPartUnique/>
        </w:docPartObj>
      </w:sdtPr>
      <w:sdtEndPr>
        <w:rPr>
          <w:sz w:val="22"/>
          <w:szCs w:val="22"/>
        </w:rPr>
      </w:sdtEndPr>
      <w:sdtContent>
        <w:p w:rsidR="009E10F4" w:rsidRPr="003C0C22" w:rsidP="00D963D2" w14:paraId="03E16566" w14:textId="13163D0B">
          <w:pPr>
            <w:pStyle w:val="7125"/>
            <w:bidi w:val="0"/>
            <w:spacing w:before="0" w:after="0"/>
            <w:ind w:right="2778"/>
            <w:jc w:val="center"/>
            <w:rPr>
              <w:sz w:val="32"/>
              <w:szCs w:val="32"/>
              <w:rtl/>
            </w:rPr>
          </w:pPr>
          <w:r w:rsidRPr="003C0C22">
            <w:rPr>
              <w:sz w:val="32"/>
              <w:szCs w:val="32"/>
            </w:rPr>
            <w:t>State Comptroller Report</w:t>
          </w:r>
        </w:p>
        <w:p w:rsidR="009E10F4" w:rsidRPr="00D959A7" w:rsidP="006229F2" w14:paraId="78FB9D1E" w14:textId="2468D4F3">
          <w:pPr>
            <w:pStyle w:val="7125"/>
            <w:bidi w:val="0"/>
            <w:spacing w:before="80" w:after="0"/>
            <w:ind w:left="1" w:right="2551" w:hanging="1"/>
            <w:jc w:val="center"/>
            <w:rPr>
              <w:spacing w:val="214"/>
              <w:sz w:val="30"/>
              <w:szCs w:val="30"/>
              <w:rtl/>
            </w:rPr>
          </w:pPr>
          <w:r w:rsidRPr="00D959A7">
            <w:rPr>
              <w:spacing w:val="214"/>
              <w:sz w:val="30"/>
              <w:szCs w:val="30"/>
            </w:rPr>
            <w:t>Ma</w:t>
          </w:r>
          <w:r w:rsidRPr="00D959A7" w:rsidR="00490589">
            <w:rPr>
              <w:spacing w:val="214"/>
              <w:sz w:val="30"/>
              <w:szCs w:val="30"/>
            </w:rPr>
            <w:t>y</w:t>
          </w:r>
          <w:r w:rsidRPr="00D959A7">
            <w:rPr>
              <w:spacing w:val="214"/>
              <w:sz w:val="30"/>
              <w:szCs w:val="30"/>
            </w:rPr>
            <w:t xml:space="preserve"> </w:t>
          </w:r>
          <w:r w:rsidRPr="00D959A7">
            <w:rPr>
              <w:rFonts w:hint="cs"/>
              <w:spacing w:val="214"/>
              <w:sz w:val="30"/>
              <w:szCs w:val="30"/>
              <w:rtl/>
            </w:rPr>
            <w:t>2022</w:t>
          </w:r>
        </w:p>
        <w:p w:rsidR="009E10F4" w:rsidRPr="00810FB6" w:rsidP="006229F2" w14:paraId="67C78866" w14:textId="5730937B">
          <w:pPr>
            <w:pStyle w:val="7125"/>
            <w:bidi w:val="0"/>
            <w:spacing w:before="180" w:after="0"/>
            <w:ind w:left="114" w:right="2692" w:hanging="1"/>
            <w:jc w:val="center"/>
            <w:rPr>
              <w:b w:val="0"/>
              <w:bCs w:val="0"/>
              <w:spacing w:val="160"/>
              <w:sz w:val="38"/>
              <w:szCs w:val="38"/>
            </w:rPr>
          </w:pPr>
          <w:r w:rsidRPr="00810FB6">
            <w:rPr>
              <w:rFonts w:hint="cs"/>
              <w:b w:val="0"/>
              <w:bCs w:val="0"/>
              <w:noProof/>
              <w:spacing w:val="160"/>
              <w:sz w:val="38"/>
              <w:szCs w:val="38"/>
              <w:rtl/>
            </w:rPr>
            <mc:AlternateContent>
              <mc:Choice Requires="wps">
                <w:drawing>
                  <wp:anchor distT="0" distB="0" distL="114300" distR="114300" simplePos="0" relativeHeight="251684864" behindDoc="0" locked="0" layoutInCell="1" allowOverlap="1">
                    <wp:simplePos x="0" y="0"/>
                    <wp:positionH relativeFrom="column">
                      <wp:posOffset>185420</wp:posOffset>
                    </wp:positionH>
                    <wp:positionV relativeFrom="paragraph">
                      <wp:posOffset>40217</wp:posOffset>
                    </wp:positionV>
                    <wp:extent cx="2552488" cy="0"/>
                    <wp:effectExtent l="0" t="0" r="13335" b="12700"/>
                    <wp:wrapNone/>
                    <wp:docPr id="5"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55248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85888" from="14.6pt,3.15pt" to="215.6pt,3.15pt" strokecolor="#00305f" strokeweight="1pt"/>
                </w:pict>
              </mc:Fallback>
            </mc:AlternateContent>
          </w:r>
          <w:r w:rsidRPr="00810FB6">
            <w:rPr>
              <w:b w:val="0"/>
              <w:bCs w:val="0"/>
              <w:spacing w:val="160"/>
              <w:sz w:val="38"/>
              <w:szCs w:val="38"/>
            </w:rPr>
            <w:t>Abstracts</w:t>
          </w:r>
        </w:p>
        <w:p w:rsidR="00D963D2" w:rsidP="00D963D2" w14:paraId="5E1893C3" w14:textId="77777777">
          <w:pPr>
            <w:pStyle w:val="7125"/>
            <w:bidi w:val="0"/>
            <w:spacing w:before="120" w:after="0"/>
            <w:ind w:right="2778" w:hanging="1"/>
            <w:jc w:val="center"/>
            <w:rPr>
              <w:b w:val="0"/>
              <w:bCs w:val="0"/>
              <w:spacing w:val="148"/>
              <w:sz w:val="36"/>
              <w:szCs w:val="36"/>
              <w:rtl/>
            </w:rPr>
          </w:pPr>
        </w:p>
        <w:p w:rsidR="009E10F4" w14:paraId="3B2E64CF" w14:textId="20AC7AA3">
          <w:pPr>
            <w:bidi w:val="0"/>
            <w:spacing w:after="200" w:line="276" w:lineRule="auto"/>
            <w:rPr>
              <w:rFonts w:ascii="Tahoma" w:hAnsi="Tahoma" w:cs="Tahoma"/>
              <w:sz w:val="22"/>
              <w:szCs w:val="22"/>
            </w:rPr>
          </w:pPr>
          <w:r>
            <w:rPr>
              <w:b/>
              <w:bCs/>
              <w:noProof/>
              <w:sz w:val="22"/>
              <w:szCs w:val="22"/>
              <w:rtl/>
              <w:lang w:val="he-IL"/>
            </w:rPr>
            <mc:AlternateContent>
              <mc:Choice Requires="wps">
                <w:drawing>
                  <wp:anchor distT="0" distB="0" distL="114300" distR="114300" simplePos="0" relativeHeight="251699200" behindDoc="0" locked="0" layoutInCell="1" allowOverlap="1">
                    <wp:simplePos x="0" y="0"/>
                    <wp:positionH relativeFrom="column">
                      <wp:posOffset>4329755</wp:posOffset>
                    </wp:positionH>
                    <wp:positionV relativeFrom="paragraph">
                      <wp:posOffset>5762758</wp:posOffset>
                    </wp:positionV>
                    <wp:extent cx="1063256" cy="616688"/>
                    <wp:effectExtent l="12700" t="12700" r="16510" b="18415"/>
                    <wp:wrapNone/>
                    <wp:docPr id="4"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1063256" cy="6166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 o:spid="_x0000_s1027" style="width:83.7pt;height:48.55pt;margin-top:453.75pt;margin-left:340.95pt;mso-wrap-distance-bottom:0;mso-wrap-distance-left:9pt;mso-wrap-distance-right:9pt;mso-wrap-distance-top:0;mso-wrap-style:square;position:absolute;visibility:visible;v-text-anchor:middle;z-index:251700224"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686912" behindDoc="0" locked="0" layoutInCell="1" allowOverlap="1">
                    <wp:simplePos x="0" y="0"/>
                    <wp:positionH relativeFrom="column">
                      <wp:posOffset>4290060</wp:posOffset>
                    </wp:positionH>
                    <wp:positionV relativeFrom="paragraph">
                      <wp:posOffset>5814241</wp:posOffset>
                    </wp:positionV>
                    <wp:extent cx="1454331" cy="923109"/>
                    <wp:effectExtent l="12700" t="12700" r="19050" b="17145"/>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5" o:spid="_x0000_s1028" style="width:114.5pt;height:72.7pt;margin-top:457.8pt;margin-left:337.8pt;mso-wrap-distance-bottom:0;mso-wrap-distance-left:9pt;mso-wrap-distance-right:9pt;mso-wrap-distance-top:0;mso-wrap-style:square;position:absolute;visibility:visible;v-text-anchor:middle;z-index:251687936" fillcolor="white" strokecolor="white" strokeweight="2pt"/>
                </w:pict>
              </mc:Fallback>
            </mc:AlternateContent>
          </w:r>
          <w:r w:rsidR="001A1E88">
            <w:rPr>
              <w:b/>
              <w:bCs/>
              <w:sz w:val="22"/>
              <w:szCs w:val="22"/>
              <w:rtl/>
            </w:rPr>
            <w:br w:type="page"/>
          </w:r>
          <w:r w:rsidR="00F06766">
            <w:rPr>
              <w:b/>
              <w:bCs/>
              <w:noProof/>
              <w:sz w:val="22"/>
              <w:szCs w:val="22"/>
              <w:rtl/>
              <w:lang w:val="he-IL"/>
            </w:rPr>
            <mc:AlternateContent>
              <mc:Choice Requires="wps">
                <w:drawing>
                  <wp:anchor distT="0" distB="0" distL="114300" distR="114300" simplePos="0" relativeHeight="251707392" behindDoc="0" locked="0" layoutInCell="1" allowOverlap="1">
                    <wp:simplePos x="0" y="0"/>
                    <wp:positionH relativeFrom="column">
                      <wp:posOffset>3942806</wp:posOffset>
                    </wp:positionH>
                    <wp:positionV relativeFrom="paragraph">
                      <wp:posOffset>7197181</wp:posOffset>
                    </wp:positionV>
                    <wp:extent cx="1454331" cy="735058"/>
                    <wp:effectExtent l="12700" t="12700" r="19050" b="14605"/>
                    <wp:wrapNone/>
                    <wp:docPr id="48" name="מלבן 48"/>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48" o:spid="_x0000_s1029" style="width:114.5pt;height:57.9pt;margin-top:566.7pt;margin-left:310.45pt;mso-height-percent:0;mso-height-relative:margin;mso-wrap-distance-bottom:0;mso-wrap-distance-left:9pt;mso-wrap-distance-right:9pt;mso-wrap-distance-top:0;mso-wrap-style:square;position:absolute;visibility:visible;v-text-anchor:middle;z-index:251708416"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688960" behindDoc="0" locked="0" layoutInCell="1" allowOverlap="1">
                    <wp:simplePos x="0" y="0"/>
                    <wp:positionH relativeFrom="column">
                      <wp:posOffset>-879566</wp:posOffset>
                    </wp:positionH>
                    <wp:positionV relativeFrom="paragraph">
                      <wp:posOffset>7005683</wp:posOffset>
                    </wp:positionV>
                    <wp:extent cx="1454331" cy="923109"/>
                    <wp:effectExtent l="12700" t="12700" r="19050" b="17145"/>
                    <wp:wrapNone/>
                    <wp:docPr id="23"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3" o:spid="_x0000_s1030" style="width:114.5pt;height:72.7pt;margin-top:551.65pt;margin-left:-69.25pt;mso-wrap-distance-bottom:0;mso-wrap-distance-left:9pt;mso-wrap-distance-right:9pt;mso-wrap-distance-top:0;mso-wrap-style:square;position:absolute;visibility:visible;v-text-anchor:middle;z-index:251689984" fillcolor="white" strokecolor="white" strokeweight="2pt"/>
                </w:pict>
              </mc:Fallback>
            </mc:AlternateContent>
          </w:r>
          <w:r>
            <w:rPr>
              <w:rFonts w:ascii="Tahoma" w:hAnsi="Tahoma" w:cs="Tahoma"/>
              <w:sz w:val="22"/>
              <w:szCs w:val="22"/>
            </w:rPr>
            <w:br w:type="page"/>
          </w:r>
        </w:p>
        <w:p w:rsidR="001A1E88" w14:paraId="14BE303F" w14:textId="7563654C">
          <w:pPr>
            <w:bidi w:val="0"/>
            <w:spacing w:after="200" w:line="276" w:lineRule="auto"/>
            <w:rPr>
              <w:rFonts w:ascii="Tahoma" w:hAnsi="Tahoma" w:cs="Tahoma"/>
              <w:sz w:val="22"/>
              <w:szCs w:val="22"/>
              <w:rtl/>
            </w:rPr>
          </w:pPr>
          <w:r>
            <w:rPr>
              <w:noProof/>
              <w:color w:val="002060"/>
              <w:sz w:val="18"/>
              <w:szCs w:val="18"/>
            </w:rPr>
            <w:drawing>
              <wp:anchor distT="0" distB="0" distL="114300" distR="114300" simplePos="0" relativeHeight="251661312" behindDoc="0" locked="0" layoutInCell="1" allowOverlap="1">
                <wp:simplePos x="0" y="0"/>
                <wp:positionH relativeFrom="column">
                  <wp:posOffset>2117090</wp:posOffset>
                </wp:positionH>
                <wp:positionV relativeFrom="paragraph">
                  <wp:posOffset>191135</wp:posOffset>
                </wp:positionV>
                <wp:extent cx="431800" cy="518795"/>
                <wp:effectExtent l="0" t="0" r="0" b="1905"/>
                <wp:wrapNone/>
                <wp:docPr id="611"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Picture 576" descr="תמונה שמכילה טקסט&#10;&#10;התיאור נוצר באופן אוטומטי"/>
                        <pic:cNvPicPr/>
                      </pic:nvPicPr>
                      <pic:blipFill>
                        <a:blip xmlns:r="http://schemas.openxmlformats.org/officeDocument/2006/relationships" r:embed="rId10"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sdtContent>
    </w:sdt>
    <w:p w:rsidR="000615B4" w:rsidP="000615B4" w14:paraId="14B4D122" w14:textId="609C96E7">
      <w:pPr>
        <w:pStyle w:val="12021"/>
        <w:spacing w:before="480"/>
        <w:rPr>
          <w:sz w:val="52"/>
          <w:szCs w:val="52"/>
          <w:rtl/>
        </w:rPr>
      </w:pPr>
    </w:p>
    <w:p w:rsidR="000615B4" w:rsidRPr="007A76A0" w:rsidP="000615B4" w14:paraId="77C7B959" w14:textId="5223D6EC">
      <w:pPr>
        <w:pStyle w:val="12021"/>
        <w:bidi w:val="0"/>
        <w:spacing w:before="480"/>
        <w:rPr>
          <w:sz w:val="24"/>
          <w:szCs w:val="24"/>
          <w:rtl/>
        </w:rPr>
      </w:pPr>
      <w:r w:rsidRPr="00C85089">
        <w:rPr>
          <w:sz w:val="24"/>
          <w:szCs w:val="24"/>
        </w:rPr>
        <w:t>State of Israel</w:t>
      </w:r>
    </w:p>
    <w:p w:rsidR="000615B4" w:rsidP="000615B4" w14:paraId="441E8DC8" w14:textId="1B8AFCE2">
      <w:pPr>
        <w:pStyle w:val="12021"/>
        <w:spacing w:before="480"/>
        <w:rPr>
          <w:sz w:val="52"/>
          <w:szCs w:val="52"/>
        </w:rPr>
      </w:pPr>
    </w:p>
    <w:p w:rsidR="00402757" w:rsidP="000615B4" w14:paraId="10B47431" w14:textId="38091580">
      <w:pPr>
        <w:pStyle w:val="12021"/>
        <w:spacing w:before="480"/>
        <w:rPr>
          <w:sz w:val="52"/>
          <w:szCs w:val="52"/>
          <w:rtl/>
        </w:rPr>
      </w:pPr>
    </w:p>
    <w:p w:rsidR="001A1E88" w:rsidRPr="00810FB6" w:rsidP="001A1E88" w14:paraId="6641FAF6" w14:textId="43F8F174">
      <w:pPr>
        <w:pStyle w:val="12021"/>
        <w:bidi w:val="0"/>
        <w:spacing w:after="0" w:line="700" w:lineRule="exact"/>
        <w:rPr>
          <w:noProof/>
          <w:sz w:val="48"/>
          <w:szCs w:val="48"/>
          <w:rtl/>
        </w:rPr>
      </w:pPr>
      <w:r w:rsidRPr="00810FB6">
        <w:rPr>
          <w:sz w:val="48"/>
          <w:szCs w:val="48"/>
        </w:rPr>
        <w:t>State Comptroller</w:t>
      </w:r>
      <w:r w:rsidRPr="00810FB6">
        <w:rPr>
          <w:rFonts w:hint="cs"/>
          <w:sz w:val="48"/>
          <w:szCs w:val="48"/>
          <w:rtl/>
        </w:rPr>
        <w:t xml:space="preserve"> </w:t>
      </w:r>
      <w:r w:rsidRPr="00810FB6" w:rsidR="00141BD3">
        <w:rPr>
          <w:sz w:val="48"/>
          <w:szCs w:val="48"/>
        </w:rPr>
        <w:t>Report</w:t>
      </w:r>
    </w:p>
    <w:p w:rsidR="001A1E88" w:rsidRPr="00D959A7" w:rsidP="00300822" w14:paraId="00B7CF9C" w14:textId="096A94E7">
      <w:pPr>
        <w:pStyle w:val="12021"/>
        <w:bidi w:val="0"/>
        <w:spacing w:before="0" w:line="700" w:lineRule="exact"/>
        <w:ind w:left="283"/>
        <w:rPr>
          <w:noProof/>
          <w:spacing w:val="300"/>
          <w:sz w:val="36"/>
          <w:szCs w:val="36"/>
        </w:rPr>
      </w:pPr>
      <w:r w:rsidRPr="00D959A7">
        <w:rPr>
          <w:noProof/>
          <w:spacing w:val="300"/>
          <w:sz w:val="36"/>
          <w:szCs w:val="36"/>
          <w14:textOutline w14:w="9525" w14:cap="rnd">
            <w14:noFill/>
            <w14:prstDash w14:val="solid"/>
            <w14:bevel/>
          </w14:textOutline>
        </w:rPr>
        <mc:AlternateContent>
          <mc:Choice Requires="wps">
            <w:drawing>
              <wp:anchor distT="0" distB="0" distL="114300" distR="114300" simplePos="0" relativeHeight="251682816" behindDoc="0" locked="0" layoutInCell="1" allowOverlap="1">
                <wp:simplePos x="0" y="0"/>
                <wp:positionH relativeFrom="column">
                  <wp:posOffset>424620</wp:posOffset>
                </wp:positionH>
                <wp:positionV relativeFrom="paragraph">
                  <wp:posOffset>534755</wp:posOffset>
                </wp:positionV>
                <wp:extent cx="3828230" cy="0"/>
                <wp:effectExtent l="0" t="12700" r="20320" b="12700"/>
                <wp:wrapNone/>
                <wp:docPr id="2123057087"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82823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1" style="mso-height-percent:0;mso-height-relative:margin;mso-width-percent:0;mso-width-relative:margin;mso-wrap-distance-bottom:0;mso-wrap-distance-left:9pt;mso-wrap-distance-right:9pt;mso-wrap-distance-top:0;mso-wrap-style:square;position:absolute;visibility:visible;z-index:251683840" from="33.45pt,42.1pt" to="334.9pt,42.1pt" strokecolor="#00305f" strokeweight="1.5pt"/>
            </w:pict>
          </mc:Fallback>
        </mc:AlternateContent>
      </w:r>
      <w:r w:rsidRPr="00D959A7">
        <w:rPr>
          <w:noProof/>
          <w:spacing w:val="300"/>
          <w:sz w:val="36"/>
          <w:szCs w:val="36"/>
        </w:rPr>
        <w:t>Ma</w:t>
      </w:r>
      <w:r w:rsidRPr="00D959A7" w:rsidR="00490589">
        <w:rPr>
          <w:noProof/>
          <w:spacing w:val="300"/>
          <w:sz w:val="36"/>
          <w:szCs w:val="36"/>
        </w:rPr>
        <w:t>y</w:t>
      </w:r>
      <w:r w:rsidRPr="00D959A7">
        <w:rPr>
          <w:noProof/>
          <w:spacing w:val="300"/>
          <w:sz w:val="36"/>
          <w:szCs w:val="36"/>
        </w:rPr>
        <w:t xml:space="preserve"> 2022</w:t>
      </w:r>
    </w:p>
    <w:p w:rsidR="00697F31" w:rsidRPr="00522B96" w:rsidP="006229F2" w14:paraId="0C52A523" w14:textId="5A0820F4">
      <w:pPr>
        <w:pStyle w:val="12021"/>
        <w:bidi w:val="0"/>
        <w:spacing w:before="240" w:line="700" w:lineRule="exact"/>
        <w:ind w:left="170"/>
        <w:rPr>
          <w:b w:val="0"/>
          <w:bCs w:val="0"/>
          <w:spacing w:val="214"/>
          <w:sz w:val="48"/>
          <w:szCs w:val="48"/>
        </w:rPr>
      </w:pPr>
      <w:r w:rsidRPr="00522B96">
        <w:rPr>
          <w:b w:val="0"/>
          <w:bCs w:val="0"/>
          <w:spacing w:val="214"/>
          <w:sz w:val="48"/>
          <w:szCs w:val="48"/>
        </w:rPr>
        <w:t>Abstracts</w:t>
      </w:r>
    </w:p>
    <w:p w:rsidR="000615B4" w:rsidP="00697F31" w14:paraId="4A8FB872" w14:textId="5995F852">
      <w:pPr>
        <w:spacing w:line="240" w:lineRule="atLeast"/>
        <w:rPr>
          <w:rFonts w:ascii="Tahoma" w:hAnsi="Tahoma" w:cs="Tahoma"/>
          <w:sz w:val="22"/>
          <w:szCs w:val="22"/>
          <w:rtl/>
        </w:rPr>
      </w:pPr>
    </w:p>
    <w:p w:rsidR="000615B4" w:rsidP="000615B4" w14:paraId="06A3C1A3" w14:textId="77777777">
      <w:pPr>
        <w:spacing w:line="240" w:lineRule="atLeast"/>
        <w:rPr>
          <w:rFonts w:ascii="Tahoma" w:hAnsi="Tahoma" w:cs="Tahoma"/>
          <w:sz w:val="22"/>
          <w:szCs w:val="22"/>
          <w:rtl/>
        </w:rPr>
      </w:pPr>
    </w:p>
    <w:p w:rsidR="000615B4" w:rsidP="000615B4" w14:paraId="534843FC" w14:textId="0C553859">
      <w:pPr>
        <w:spacing w:line="240" w:lineRule="atLeast"/>
        <w:rPr>
          <w:rFonts w:ascii="Tahoma" w:hAnsi="Tahoma" w:cs="Tahoma"/>
          <w:sz w:val="22"/>
          <w:szCs w:val="22"/>
        </w:rPr>
      </w:pPr>
    </w:p>
    <w:p w:rsidR="000615B4" w:rsidP="000615B4" w14:paraId="3A4268AA" w14:textId="5E7407D8">
      <w:pPr>
        <w:spacing w:line="240" w:lineRule="atLeast"/>
        <w:rPr>
          <w:rFonts w:ascii="Tahoma" w:hAnsi="Tahoma" w:cs="Tahoma"/>
          <w:sz w:val="22"/>
          <w:szCs w:val="22"/>
        </w:rPr>
      </w:pPr>
    </w:p>
    <w:p w:rsidR="009E10F4" w:rsidP="000615B4" w14:paraId="245DD48B" w14:textId="3EAFA1A0">
      <w:pPr>
        <w:spacing w:line="240" w:lineRule="atLeast"/>
        <w:rPr>
          <w:rFonts w:ascii="Tahoma" w:hAnsi="Tahoma" w:cs="Tahoma"/>
          <w:sz w:val="22"/>
          <w:szCs w:val="22"/>
        </w:rPr>
      </w:pPr>
    </w:p>
    <w:p w:rsidR="009E10F4" w:rsidP="000615B4" w14:paraId="72D85BC0" w14:textId="0B0CDC41">
      <w:pPr>
        <w:spacing w:line="240" w:lineRule="atLeast"/>
        <w:rPr>
          <w:rFonts w:ascii="Tahoma" w:hAnsi="Tahoma" w:cs="Tahoma"/>
          <w:sz w:val="22"/>
          <w:szCs w:val="22"/>
        </w:rPr>
      </w:pPr>
    </w:p>
    <w:p w:rsidR="009E10F4" w:rsidP="000615B4" w14:paraId="78570A36" w14:textId="3E2FA570">
      <w:pPr>
        <w:spacing w:line="240" w:lineRule="atLeast"/>
        <w:rPr>
          <w:rFonts w:ascii="Tahoma" w:hAnsi="Tahoma" w:cs="Tahoma"/>
          <w:sz w:val="22"/>
          <w:szCs w:val="22"/>
        </w:rPr>
      </w:pPr>
    </w:p>
    <w:p w:rsidR="009E10F4" w:rsidP="000615B4" w14:paraId="44EAA236" w14:textId="03B74CAA">
      <w:pPr>
        <w:spacing w:line="240" w:lineRule="atLeast"/>
        <w:rPr>
          <w:rFonts w:ascii="Tahoma" w:hAnsi="Tahoma" w:cs="Tahoma"/>
          <w:sz w:val="22"/>
          <w:szCs w:val="22"/>
          <w:rtl/>
        </w:rPr>
      </w:pPr>
    </w:p>
    <w:p w:rsidR="000615B4" w:rsidP="000615B4" w14:paraId="20B60917" w14:textId="779051DA">
      <w:pPr>
        <w:spacing w:line="240" w:lineRule="atLeast"/>
        <w:rPr>
          <w:rFonts w:ascii="Tahoma" w:hAnsi="Tahoma" w:cs="Tahoma"/>
          <w:sz w:val="22"/>
          <w:szCs w:val="22"/>
        </w:rPr>
      </w:pPr>
    </w:p>
    <w:p w:rsidR="00C158FE" w:rsidRPr="00C158FE" w:rsidP="000615B4" w14:paraId="76A115FF" w14:textId="67FAEB1E">
      <w:pPr>
        <w:spacing w:line="240" w:lineRule="atLeast"/>
        <w:rPr>
          <w:rFonts w:ascii="Tahoma" w:hAnsi="Tahoma" w:cs="Tahoma"/>
          <w:sz w:val="22"/>
          <w:szCs w:val="22"/>
        </w:rPr>
      </w:pPr>
      <w:r>
        <w:rPr>
          <w:rFonts w:ascii="Tahoma" w:hAnsi="Tahoma" w:cs="Tahoma"/>
          <w:noProof/>
          <w:sz w:val="22"/>
          <w:szCs w:val="22"/>
          <w:rtl/>
          <w:lang w:val="he-IL"/>
        </w:rPr>
        <mc:AlternateContent>
          <mc:Choice Requires="wps">
            <w:drawing>
              <wp:anchor distT="0" distB="0" distL="114300" distR="114300" simplePos="0" relativeHeight="251672576" behindDoc="0" locked="0" layoutInCell="1" allowOverlap="1">
                <wp:simplePos x="0" y="0"/>
                <wp:positionH relativeFrom="column">
                  <wp:posOffset>-736600</wp:posOffset>
                </wp:positionH>
                <wp:positionV relativeFrom="paragraph">
                  <wp:posOffset>788307</wp:posOffset>
                </wp:positionV>
                <wp:extent cx="1048043" cy="703384"/>
                <wp:effectExtent l="12700" t="12700" r="19050" b="8255"/>
                <wp:wrapNone/>
                <wp:docPr id="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48043" cy="7033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82.5pt;height:55.4pt;margin-top:62.05pt;margin-left:-58pt;mso-wrap-distance-bottom:0;mso-wrap-distance-left:9pt;mso-wrap-distance-right:9pt;mso-wrap-distance-top:0;mso-wrap-style:square;position:absolute;visibility:visible;v-text-anchor:middle;z-index:251673600" fillcolor="white" strokecolor="white" strokeweight="2pt"/>
            </w:pict>
          </mc:Fallback>
        </mc:AlternateContent>
      </w:r>
    </w:p>
    <w:p w:rsidR="00402757" w:rsidP="000615B4" w14:paraId="036CFED0" w14:textId="05841745">
      <w:pPr>
        <w:spacing w:line="240" w:lineRule="atLeast"/>
        <w:rPr>
          <w:rFonts w:ascii="Tahoma" w:hAnsi="Tahoma" w:cs="Tahoma"/>
          <w:sz w:val="22"/>
          <w:szCs w:val="22"/>
        </w:rPr>
      </w:pPr>
      <w:r>
        <w:rPr>
          <w:rFonts w:ascii="Tahoma" w:hAnsi="Tahoma" w:cs="Tahoma"/>
          <w:noProof/>
          <w:sz w:val="22"/>
          <w:szCs w:val="22"/>
          <w:rtl/>
          <w:lang w:val="he-IL"/>
        </w:rPr>
        <w:drawing>
          <wp:anchor distT="0" distB="0" distL="114300" distR="114300" simplePos="0" relativeHeight="251660288" behindDoc="0" locked="0" layoutInCell="1" allowOverlap="1">
            <wp:simplePos x="0" y="0"/>
            <wp:positionH relativeFrom="column">
              <wp:posOffset>1781175</wp:posOffset>
            </wp:positionH>
            <wp:positionV relativeFrom="paragraph">
              <wp:posOffset>167005</wp:posOffset>
            </wp:positionV>
            <wp:extent cx="1010285" cy="707390"/>
            <wp:effectExtent l="0" t="0" r="0" b="0"/>
            <wp:wrapSquare wrapText="bothSides"/>
            <wp:docPr id="6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402757" w:rsidP="000615B4" w14:paraId="25127AC0" w14:textId="16BD09F4">
      <w:pPr>
        <w:spacing w:line="240" w:lineRule="atLeast"/>
        <w:rPr>
          <w:rFonts w:ascii="Tahoma" w:hAnsi="Tahoma" w:cs="Tahoma"/>
          <w:sz w:val="22"/>
          <w:szCs w:val="22"/>
          <w:rtl/>
        </w:rPr>
      </w:pPr>
    </w:p>
    <w:p w:rsidR="000615B4" w:rsidP="000615B4" w14:paraId="02878E34" w14:textId="2876A559">
      <w:pPr>
        <w:spacing w:line="240" w:lineRule="atLeast"/>
        <w:rPr>
          <w:rFonts w:ascii="Tahoma" w:hAnsi="Tahoma" w:cs="Tahoma"/>
          <w:sz w:val="22"/>
          <w:szCs w:val="22"/>
          <w:rtl/>
        </w:rPr>
      </w:pPr>
    </w:p>
    <w:p w:rsidR="000615B4" w:rsidP="000615B4" w14:paraId="25670203" w14:textId="4F045FC6">
      <w:pPr>
        <w:spacing w:line="240" w:lineRule="atLeast"/>
        <w:rPr>
          <w:rFonts w:ascii="Tahoma" w:hAnsi="Tahoma" w:cs="Tahoma"/>
          <w:sz w:val="22"/>
          <w:szCs w:val="22"/>
          <w:rtl/>
        </w:rPr>
      </w:pPr>
    </w:p>
    <w:p w:rsidR="000615B4" w:rsidP="000615B4" w14:paraId="7BC4EB81" w14:textId="03F94948">
      <w:pPr>
        <w:spacing w:line="240" w:lineRule="atLeast"/>
        <w:jc w:val="center"/>
        <w:rPr>
          <w:rFonts w:ascii="Tahoma" w:hAnsi="Tahoma" w:cs="Tahoma"/>
          <w:sz w:val="24"/>
          <w:rtl/>
        </w:rPr>
      </w:pPr>
    </w:p>
    <w:p w:rsidR="000615B4" w:rsidP="000615B4" w14:paraId="4C8BB078" w14:textId="7EF6FA18">
      <w:pPr>
        <w:bidi w:val="0"/>
        <w:spacing w:line="240" w:lineRule="atLeast"/>
        <w:jc w:val="center"/>
        <w:rPr>
          <w:rFonts w:ascii="Tahoma" w:hAnsi="Tahoma" w:cs="Tahoma"/>
          <w:sz w:val="24"/>
        </w:rPr>
      </w:pPr>
    </w:p>
    <w:p w:rsidR="009E10F4" w:rsidRPr="00112923" w:rsidP="009E10F4" w14:paraId="3D93FAA1" w14:textId="36E730F4">
      <w:pPr>
        <w:bidi w:val="0"/>
        <w:spacing w:line="240" w:lineRule="atLeast"/>
        <w:jc w:val="center"/>
        <w:rPr>
          <w:rFonts w:ascii="Tahoma" w:hAnsi="Tahoma" w:cs="Tahoma"/>
          <w:sz w:val="24"/>
          <w:rtl/>
        </w:rPr>
      </w:pPr>
      <w:r>
        <w:rPr>
          <w:b/>
          <w:bCs/>
          <w:noProof/>
          <w:sz w:val="22"/>
          <w:szCs w:val="22"/>
          <w:rtl/>
          <w:lang w:val="he-IL"/>
        </w:rPr>
        <mc:AlternateContent>
          <mc:Choice Requires="wps">
            <w:drawing>
              <wp:anchor distT="0" distB="0" distL="114300" distR="114300" simplePos="0" relativeHeight="251705344" behindDoc="0" locked="0" layoutInCell="1" allowOverlap="1">
                <wp:simplePos x="0" y="0"/>
                <wp:positionH relativeFrom="column">
                  <wp:posOffset>-783771</wp:posOffset>
                </wp:positionH>
                <wp:positionV relativeFrom="paragraph">
                  <wp:posOffset>576036</wp:posOffset>
                </wp:positionV>
                <wp:extent cx="1454331" cy="735058"/>
                <wp:effectExtent l="12700" t="12700" r="19050" b="14605"/>
                <wp:wrapNone/>
                <wp:docPr id="47" name="מלבן 47"/>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47" o:spid="_x0000_s1033" style="width:114.5pt;height:57.9pt;margin-top:45.35pt;margin-left:-61.7pt;mso-height-percent:0;mso-height-relative:margin;mso-wrap-distance-bottom:0;mso-wrap-distance-left:9pt;mso-wrap-distance-right:9pt;mso-wrap-distance-top:0;mso-wrap-style:square;position:absolute;visibility:visible;v-text-anchor:middle;z-index:251706368" fillcolor="white" strokecolor="white" strokeweight="2pt"/>
            </w:pict>
          </mc:Fallback>
        </mc:AlternateContent>
      </w:r>
      <w:r w:rsidR="00522B96">
        <w:rPr>
          <w:b/>
          <w:bCs/>
          <w:noProof/>
          <w:sz w:val="22"/>
          <w:szCs w:val="22"/>
          <w:rtl/>
          <w:lang w:val="he-IL"/>
        </w:rPr>
        <mc:AlternateContent>
          <mc:Choice Requires="wps">
            <w:drawing>
              <wp:anchor distT="0" distB="0" distL="114300" distR="114300" simplePos="0" relativeHeight="251693056" behindDoc="0" locked="0" layoutInCell="1" allowOverlap="1">
                <wp:simplePos x="0" y="0"/>
                <wp:positionH relativeFrom="column">
                  <wp:posOffset>4210685</wp:posOffset>
                </wp:positionH>
                <wp:positionV relativeFrom="paragraph">
                  <wp:posOffset>533128</wp:posOffset>
                </wp:positionV>
                <wp:extent cx="1454331" cy="923109"/>
                <wp:effectExtent l="12700" t="12700" r="19050" b="17145"/>
                <wp:wrapNone/>
                <wp:docPr id="33" name="מלבן 33"/>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3" o:spid="_x0000_s1034" style="width:114.5pt;height:72.7pt;margin-top:42pt;margin-left:331.55pt;mso-wrap-distance-bottom:0;mso-wrap-distance-left:9pt;mso-wrap-distance-right:9pt;mso-wrap-distance-top:0;mso-wrap-style:square;position:absolute;visibility:visible;v-text-anchor:middle;z-index:251694080" fillcolor="white" strokecolor="white" strokeweight="2pt"/>
            </w:pict>
          </mc:Fallback>
        </mc:AlternateContent>
      </w:r>
      <w:r>
        <w:rPr>
          <w:rFonts w:ascii="Tahoma" w:hAnsi="Tahoma" w:cs="Tahoma"/>
          <w:sz w:val="24"/>
        </w:rPr>
        <w:t>Office of the State Comptroller</w:t>
      </w:r>
      <w:r>
        <w:rPr>
          <w:rFonts w:ascii="Tahoma" w:hAnsi="Tahoma" w:cs="Tahoma" w:hint="cs"/>
          <w:sz w:val="24"/>
          <w:rtl/>
        </w:rPr>
        <w:t xml:space="preserve"> | </w:t>
      </w:r>
      <w:r>
        <w:rPr>
          <w:rFonts w:ascii="Tahoma" w:hAnsi="Tahoma" w:cs="Tahoma" w:hint="cs"/>
          <w:sz w:val="24"/>
        </w:rPr>
        <w:t>J</w:t>
      </w:r>
      <w:r>
        <w:rPr>
          <w:rFonts w:ascii="Tahoma" w:hAnsi="Tahoma" w:cs="Tahoma"/>
          <w:sz w:val="24"/>
        </w:rPr>
        <w:t>erusalem</w:t>
      </w:r>
    </w:p>
    <w:p w:rsidR="00C32B66" w:rsidRPr="00976119" w:rsidP="009E10F4" w14:paraId="1E0A7CF6" w14:textId="3D920AB6">
      <w:pPr>
        <w:bidi w:val="0"/>
        <w:spacing w:line="240" w:lineRule="atLeast"/>
        <w:jc w:val="center"/>
        <w:rPr>
          <w:b/>
          <w:bCs/>
          <w:spacing w:val="140"/>
          <w:sz w:val="50"/>
          <w:szCs w:val="50"/>
          <w:rtl/>
        </w:rPr>
      </w:pPr>
    </w:p>
    <w:p w:rsidR="00035688" w:rsidP="00BA14FE" w14:paraId="54C6801D" w14:textId="16D66B76">
      <w:pPr>
        <w:spacing w:line="240" w:lineRule="atLeast"/>
        <w:rPr>
          <w:rFonts w:ascii="Tahoma" w:hAnsi="Tahoma" w:cs="Tahoma"/>
          <w:sz w:val="22"/>
          <w:szCs w:val="22"/>
          <w:rtl/>
        </w:rPr>
      </w:pPr>
    </w:p>
    <w:p w:rsidR="009C0D3F" w:rsidP="00BA14FE" w14:paraId="056AC312" w14:textId="1CB5857C">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62336" behindDoc="0" locked="0" layoutInCell="1" allowOverlap="1">
                <wp:simplePos x="0" y="0"/>
                <wp:positionH relativeFrom="column">
                  <wp:posOffset>-1387475</wp:posOffset>
                </wp:positionH>
                <wp:positionV relativeFrom="paragraph">
                  <wp:posOffset>286113</wp:posOffset>
                </wp:positionV>
                <wp:extent cx="7705725" cy="886938"/>
                <wp:effectExtent l="0" t="0" r="3175" b="2540"/>
                <wp:wrapNone/>
                <wp:docPr id="62"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8869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5" style="width:606.75pt;height:69.85pt;margin-top:22.55pt;margin-left:-109.2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p>
    <w:p w:rsidR="009C0D3F" w:rsidP="00BA14FE" w14:paraId="4B149749" w14:textId="7B64CAA9">
      <w:pPr>
        <w:spacing w:line="240" w:lineRule="atLeast"/>
        <w:rPr>
          <w:rFonts w:ascii="Tahoma" w:hAnsi="Tahoma" w:cs="Tahoma"/>
          <w:sz w:val="22"/>
          <w:szCs w:val="22"/>
          <w:rtl/>
        </w:rPr>
      </w:pPr>
    </w:p>
    <w:p w:rsidR="009C0D3F" w:rsidP="00BA14FE" w14:paraId="4A9449C4" w14:textId="45FF89BA">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58240" behindDoc="0" locked="0" layoutInCell="1" allowOverlap="1">
                <wp:simplePos x="0" y="0"/>
                <wp:positionH relativeFrom="column">
                  <wp:posOffset>-1477010</wp:posOffset>
                </wp:positionH>
                <wp:positionV relativeFrom="paragraph">
                  <wp:posOffset>239304</wp:posOffset>
                </wp:positionV>
                <wp:extent cx="7705725" cy="1009650"/>
                <wp:effectExtent l="0" t="0" r="9525"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6" style="width:606.75pt;height:79.5pt;margin-top:18.85pt;margin-left:-116.3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2pt"/>
            </w:pict>
          </mc:Fallback>
        </mc:AlternateContent>
      </w:r>
    </w:p>
    <w:p w:rsidR="009C0D3F" w:rsidP="00BA14FE" w14:paraId="3D7DFA0C" w14:textId="77777777">
      <w:pPr>
        <w:spacing w:line="240" w:lineRule="atLeast"/>
        <w:rPr>
          <w:rFonts w:ascii="Tahoma" w:hAnsi="Tahoma" w:cs="Tahoma"/>
          <w:sz w:val="22"/>
          <w:szCs w:val="22"/>
          <w:rtl/>
        </w:rPr>
      </w:pPr>
    </w:p>
    <w:p w:rsidR="009C0D3F" w:rsidP="00BA14FE" w14:paraId="6B694F7D" w14:textId="2EA7DFBB">
      <w:pPr>
        <w:spacing w:line="240" w:lineRule="atLeast"/>
        <w:rPr>
          <w:rFonts w:ascii="Tahoma" w:hAnsi="Tahoma" w:cs="Tahoma"/>
          <w:sz w:val="22"/>
          <w:szCs w:val="22"/>
          <w:rtl/>
        </w:rPr>
      </w:pPr>
    </w:p>
    <w:p w:rsidR="009C0D3F" w:rsidP="00BA14FE" w14:paraId="31CB4AA5" w14:textId="77777777">
      <w:pPr>
        <w:spacing w:line="240" w:lineRule="atLeast"/>
        <w:rPr>
          <w:rFonts w:ascii="Tahoma" w:hAnsi="Tahoma" w:cs="Tahoma"/>
          <w:sz w:val="22"/>
          <w:szCs w:val="22"/>
          <w:rtl/>
        </w:rPr>
      </w:pPr>
    </w:p>
    <w:p w:rsidR="009C0D3F" w:rsidP="00BA14FE" w14:paraId="6E587D0B" w14:textId="77777777">
      <w:pPr>
        <w:spacing w:line="240" w:lineRule="atLeast"/>
        <w:rPr>
          <w:rFonts w:ascii="Tahoma" w:hAnsi="Tahoma" w:cs="Tahoma"/>
          <w:sz w:val="22"/>
          <w:szCs w:val="22"/>
          <w:rtl/>
        </w:rPr>
      </w:pPr>
    </w:p>
    <w:p w:rsidR="009C0D3F" w:rsidP="00BA14FE" w14:paraId="551BDCBA" w14:textId="3C19A639">
      <w:pPr>
        <w:spacing w:line="240" w:lineRule="atLeast"/>
        <w:rPr>
          <w:rFonts w:ascii="Tahoma" w:hAnsi="Tahoma" w:cs="Tahoma"/>
          <w:sz w:val="22"/>
          <w:szCs w:val="22"/>
          <w:rtl/>
        </w:rPr>
      </w:pPr>
    </w:p>
    <w:p w:rsidR="009C0D3F" w:rsidP="00BA14FE" w14:paraId="0DDD10FB" w14:textId="77777777">
      <w:pPr>
        <w:spacing w:line="240" w:lineRule="atLeast"/>
        <w:rPr>
          <w:rFonts w:ascii="Tahoma" w:hAnsi="Tahoma" w:cs="Tahoma"/>
          <w:sz w:val="22"/>
          <w:szCs w:val="22"/>
          <w:rtl/>
        </w:rPr>
      </w:pPr>
    </w:p>
    <w:p w:rsidR="009C0D3F" w:rsidP="00BA14FE" w14:paraId="7E860458" w14:textId="77777777">
      <w:pPr>
        <w:spacing w:line="240" w:lineRule="atLeast"/>
        <w:rPr>
          <w:rFonts w:ascii="Tahoma" w:hAnsi="Tahoma" w:cs="Tahoma"/>
          <w:sz w:val="22"/>
          <w:szCs w:val="22"/>
          <w:rtl/>
        </w:rPr>
      </w:pPr>
    </w:p>
    <w:p w:rsidR="009C0D3F" w:rsidP="00BA14FE" w14:paraId="19D00A26" w14:textId="77777777">
      <w:pPr>
        <w:spacing w:line="240" w:lineRule="atLeast"/>
        <w:rPr>
          <w:rFonts w:ascii="Tahoma" w:hAnsi="Tahoma" w:cs="Tahoma"/>
          <w:sz w:val="22"/>
          <w:szCs w:val="22"/>
          <w:rtl/>
        </w:rPr>
      </w:pPr>
    </w:p>
    <w:p w:rsidR="009C0D3F" w:rsidP="00BA14FE" w14:paraId="004706C2" w14:textId="1E87BD9F">
      <w:pPr>
        <w:spacing w:line="240" w:lineRule="atLeast"/>
        <w:rPr>
          <w:rFonts w:ascii="Tahoma" w:hAnsi="Tahoma" w:cs="Tahoma"/>
          <w:sz w:val="22"/>
          <w:szCs w:val="22"/>
          <w:rtl/>
        </w:rPr>
      </w:pPr>
    </w:p>
    <w:p w:rsidR="009C0D3F" w:rsidP="00BA14FE" w14:paraId="4FCD524B" w14:textId="77777777">
      <w:pPr>
        <w:spacing w:line="240" w:lineRule="atLeast"/>
        <w:rPr>
          <w:rFonts w:ascii="Tahoma" w:hAnsi="Tahoma" w:cs="Tahoma"/>
          <w:sz w:val="22"/>
          <w:szCs w:val="22"/>
          <w:rtl/>
        </w:rPr>
      </w:pPr>
    </w:p>
    <w:p w:rsidR="009C0D3F" w:rsidP="00BA14FE" w14:paraId="735E4AA0" w14:textId="5D0DFD2A">
      <w:pPr>
        <w:spacing w:line="240" w:lineRule="atLeast"/>
        <w:rPr>
          <w:rFonts w:ascii="Tahoma" w:hAnsi="Tahoma" w:cs="Tahoma"/>
          <w:sz w:val="22"/>
          <w:szCs w:val="22"/>
          <w:rtl/>
        </w:rPr>
      </w:pPr>
    </w:p>
    <w:p w:rsidR="009C0D3F" w:rsidP="00BA14FE" w14:paraId="220D50AA" w14:textId="1CD5D6F1">
      <w:pPr>
        <w:spacing w:line="240" w:lineRule="atLeast"/>
        <w:rPr>
          <w:rFonts w:ascii="Tahoma" w:hAnsi="Tahoma" w:cs="Tahoma"/>
          <w:sz w:val="22"/>
          <w:szCs w:val="22"/>
        </w:rPr>
      </w:pPr>
    </w:p>
    <w:p w:rsidR="00C158FE" w:rsidP="00BA14FE" w14:paraId="52A3A667" w14:textId="6B33A8DD">
      <w:pPr>
        <w:spacing w:line="240" w:lineRule="atLeast"/>
        <w:rPr>
          <w:rFonts w:ascii="Tahoma" w:hAnsi="Tahoma" w:cs="Tahoma"/>
          <w:sz w:val="22"/>
          <w:szCs w:val="22"/>
        </w:rPr>
      </w:pPr>
    </w:p>
    <w:p w:rsidR="00C158FE" w:rsidP="00BA14FE" w14:paraId="37E21242" w14:textId="77777777">
      <w:pPr>
        <w:spacing w:line="240" w:lineRule="atLeast"/>
        <w:rPr>
          <w:rFonts w:ascii="Tahoma" w:hAnsi="Tahoma" w:cs="Tahoma"/>
          <w:sz w:val="22"/>
          <w:szCs w:val="22"/>
          <w:rtl/>
        </w:rPr>
      </w:pPr>
    </w:p>
    <w:p w:rsidR="009C0D3F" w:rsidP="00BA14FE" w14:paraId="6493080B" w14:textId="36D51C69">
      <w:pPr>
        <w:spacing w:line="240" w:lineRule="atLeast"/>
        <w:rPr>
          <w:rFonts w:ascii="Tahoma" w:hAnsi="Tahoma" w:cs="Tahoma"/>
          <w:sz w:val="22"/>
          <w:szCs w:val="22"/>
          <w:rtl/>
        </w:rPr>
      </w:pPr>
    </w:p>
    <w:p w:rsidR="009C0D3F" w:rsidP="00BA14FE" w14:paraId="14A3F766" w14:textId="38552405">
      <w:pPr>
        <w:spacing w:line="240" w:lineRule="atLeast"/>
        <w:rPr>
          <w:rFonts w:ascii="Tahoma" w:hAnsi="Tahoma" w:cs="Tahoma"/>
          <w:sz w:val="22"/>
          <w:szCs w:val="22"/>
          <w:rtl/>
        </w:rPr>
      </w:pPr>
    </w:p>
    <w:p w:rsidR="009C0D3F" w:rsidP="00BA14FE" w14:paraId="260836E0" w14:textId="5D9050F3">
      <w:pPr>
        <w:spacing w:line="240" w:lineRule="atLeast"/>
        <w:rPr>
          <w:rFonts w:ascii="Tahoma" w:hAnsi="Tahoma" w:cs="Tahoma"/>
          <w:sz w:val="22"/>
          <w:szCs w:val="22"/>
          <w:rtl/>
        </w:rPr>
      </w:pPr>
    </w:p>
    <w:p w:rsidR="009C0D3F" w:rsidP="00BA14FE" w14:paraId="11198336" w14:textId="4A3A0719">
      <w:pPr>
        <w:spacing w:line="240" w:lineRule="atLeast"/>
        <w:rPr>
          <w:rFonts w:ascii="Tahoma" w:hAnsi="Tahoma" w:cs="Tahoma"/>
          <w:sz w:val="22"/>
          <w:szCs w:val="22"/>
        </w:rPr>
      </w:pPr>
    </w:p>
    <w:p w:rsidR="004961C5" w:rsidP="00BA14FE" w14:paraId="2F2F1850" w14:textId="3CC47175">
      <w:pPr>
        <w:spacing w:line="240" w:lineRule="atLeast"/>
        <w:rPr>
          <w:rFonts w:ascii="Tahoma" w:hAnsi="Tahoma" w:cs="Tahoma"/>
          <w:sz w:val="22"/>
          <w:szCs w:val="22"/>
        </w:rPr>
      </w:pPr>
    </w:p>
    <w:p w:rsidR="004961C5" w:rsidP="00BA14FE" w14:paraId="5741586A"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77777777">
      <w:pPr>
        <w:spacing w:line="240" w:lineRule="atLeast"/>
        <w:rPr>
          <w:rFonts w:ascii="Tahoma" w:hAnsi="Tahoma" w:cs="Tahoma"/>
          <w:sz w:val="22"/>
          <w:szCs w:val="22"/>
          <w:rtl/>
        </w:rPr>
      </w:pPr>
    </w:p>
    <w:p w:rsidR="009C0D3F" w:rsidP="00BA14FE" w14:paraId="6303BB99" w14:textId="5454D4DF">
      <w:pPr>
        <w:spacing w:line="240" w:lineRule="atLeast"/>
        <w:rPr>
          <w:rFonts w:ascii="Tahoma" w:hAnsi="Tahoma" w:cs="Tahoma"/>
          <w:sz w:val="22"/>
          <w:szCs w:val="22"/>
          <w:rtl/>
        </w:rPr>
      </w:pPr>
    </w:p>
    <w:p w:rsidR="00275375" w14:paraId="0FD2778B" w14:textId="63B49901">
      <w:pPr>
        <w:bidi w:val="0"/>
        <w:spacing w:after="200" w:line="276" w:lineRule="auto"/>
        <w:rPr>
          <w:rFonts w:ascii="Tahoma" w:hAnsi="Tahoma" w:cs="Tahoma"/>
          <w:sz w:val="24"/>
        </w:rPr>
      </w:pPr>
    </w:p>
    <w:p w:rsidR="00977579" w:rsidP="00977579" w14:paraId="10EB9738" w14:textId="604F850B">
      <w:pPr>
        <w:pStyle w:val="7190"/>
        <w:jc w:val="center"/>
        <w:rPr>
          <w:rtl/>
        </w:rPr>
      </w:pPr>
    </w:p>
    <w:p w:rsidR="009F3FCB" w:rsidRPr="00064016" w:rsidP="009F3FCB" w14:paraId="67DBE061" w14:textId="1BF2D24D">
      <w:pPr>
        <w:pStyle w:val="7190"/>
        <w:spacing w:after="120"/>
        <w:jc w:val="center"/>
      </w:pPr>
      <w:r>
        <w:t xml:space="preserve">Catalogue Number </w:t>
      </w:r>
      <w:r w:rsidR="00C46C4D">
        <w:t>2022-A-</w:t>
      </w:r>
      <w:r w:rsidR="00490589">
        <w:t>00</w:t>
      </w:r>
      <w:r w:rsidR="00300822">
        <w:t>2</w:t>
      </w:r>
      <w:r w:rsidRPr="00064016">
        <w:rPr>
          <w:rtl/>
        </w:rPr>
        <w:t xml:space="preserve"> </w:t>
      </w:r>
    </w:p>
    <w:p w:rsidR="009F3FCB" w:rsidRPr="00064016" w:rsidP="009F3FCB" w14:paraId="793BE398" w14:textId="17E068A5">
      <w:pPr>
        <w:pStyle w:val="7190"/>
        <w:jc w:val="center"/>
        <w:rPr>
          <w:rtl/>
        </w:rPr>
      </w:pPr>
      <w:r w:rsidRPr="00064016">
        <w:t xml:space="preserve">ISSN </w:t>
      </w:r>
      <w:r w:rsidRPr="00300822" w:rsidR="00300822">
        <w:t>0334-9713</w:t>
      </w:r>
    </w:p>
    <w:p w:rsidR="009F3FCB" w:rsidRPr="00064016" w:rsidP="009F3FCB" w14:paraId="08120021" w14:textId="13046AE6">
      <w:pPr>
        <w:pStyle w:val="7190"/>
        <w:jc w:val="center"/>
        <w:rPr>
          <w:rtl/>
        </w:rPr>
      </w:pPr>
      <w:hyperlink r:id="rId12" w:history="1">
        <w:r w:rsidRPr="00064016">
          <w:t>www.mevaker.gov.il</w:t>
        </w:r>
      </w:hyperlink>
    </w:p>
    <w:p w:rsidR="009F3FCB" w:rsidP="009F3FCB" w14:paraId="359BA2FE" w14:textId="28462362">
      <w:pPr>
        <w:pStyle w:val="7190"/>
        <w:jc w:val="center"/>
        <w:rPr>
          <w:rtl/>
        </w:rPr>
      </w:pPr>
      <w:r>
        <w:rPr>
          <w:noProof/>
          <w:sz w:val="22"/>
          <w:szCs w:val="22"/>
          <w:rtl/>
          <w:lang w:val="he-IL"/>
        </w:rPr>
        <mc:AlternateContent>
          <mc:Choice Requires="wps">
            <w:drawing>
              <wp:anchor distT="0" distB="0" distL="114300" distR="114300" simplePos="0" relativeHeight="251674624" behindDoc="0" locked="0" layoutInCell="1" allowOverlap="1">
                <wp:simplePos x="0" y="0"/>
                <wp:positionH relativeFrom="column">
                  <wp:posOffset>4278630</wp:posOffset>
                </wp:positionH>
                <wp:positionV relativeFrom="paragraph">
                  <wp:posOffset>564955</wp:posOffset>
                </wp:positionV>
                <wp:extent cx="1047750" cy="702945"/>
                <wp:effectExtent l="12700" t="12700" r="19050" b="8255"/>
                <wp:wrapNone/>
                <wp:docPr id="3"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7029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7" style="width:82.5pt;height:55.35pt;margin-top:44.5pt;margin-left:336.9pt;mso-wrap-distance-bottom:0;mso-wrap-distance-left:9pt;mso-wrap-distance-right:9pt;mso-wrap-distance-top:0;mso-wrap-style:square;position:absolute;visibility:visible;v-text-anchor:middle;z-index:251675648" fillcolor="white" strokecolor="white" strokeweight="2pt"/>
            </w:pict>
          </mc:Fallback>
        </mc:AlternateContent>
      </w:r>
    </w:p>
    <w:p w:rsidR="009F3FCB" w:rsidP="009F3FCB" w14:paraId="07B15CE0" w14:textId="3C1D4748">
      <w:pPr>
        <w:pStyle w:val="7190"/>
        <w:jc w:val="center"/>
      </w:pPr>
      <w:r>
        <w:t>Graphic Design: ER Design Team</w:t>
      </w:r>
    </w:p>
    <w:p w:rsidR="00D12792" w:rsidRPr="00EA22FE" w:rsidP="00D12792" w14:paraId="4BD3E2A6" w14:textId="4A44681A">
      <w:pPr>
        <w:tabs>
          <w:tab w:val="right" w:pos="7370"/>
        </w:tabs>
        <w:bidi w:val="0"/>
        <w:spacing w:after="200" w:line="276" w:lineRule="auto"/>
        <w:rPr>
          <w:rtl/>
        </w:rPr>
        <w:sectPr w:rsidSect="007824E3">
          <w:footerReference w:type="even" r:id="rId13"/>
          <w:footerReference w:type="default" r:id="rId14"/>
          <w:headerReference w:type="first" r:id="rId15"/>
          <w:footerReference w:type="first" r:id="rId16"/>
          <w:pgSz w:w="11906" w:h="16838" w:code="9"/>
          <w:pgMar w:top="3062" w:right="2268" w:bottom="2552" w:left="2268" w:header="1134" w:footer="1361" w:gutter="0"/>
          <w:cols w:space="708"/>
          <w:titlePg/>
          <w:bidi/>
          <w:rtlGutter/>
          <w:docGrid w:linePitch="360"/>
        </w:sectPr>
      </w:pPr>
      <w:r>
        <w:rPr>
          <w:b/>
          <w:bCs/>
          <w:noProof/>
          <w:sz w:val="22"/>
          <w:szCs w:val="22"/>
          <w:rtl/>
          <w:lang w:val="he-IL"/>
        </w:rPr>
        <mc:AlternateContent>
          <mc:Choice Requires="wps">
            <w:drawing>
              <wp:anchor distT="0" distB="0" distL="114300" distR="114300" simplePos="0" relativeHeight="251691008" behindDoc="0" locked="0" layoutInCell="1" allowOverlap="1">
                <wp:simplePos x="0" y="0"/>
                <wp:positionH relativeFrom="column">
                  <wp:posOffset>-788307</wp:posOffset>
                </wp:positionH>
                <wp:positionV relativeFrom="paragraph">
                  <wp:posOffset>300355</wp:posOffset>
                </wp:positionV>
                <wp:extent cx="1454331" cy="923109"/>
                <wp:effectExtent l="12700" t="12700" r="19050" b="17145"/>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1" o:spid="_x0000_s1038" style="width:114.5pt;height:72.7pt;margin-top:23.65pt;margin-left:-62.05pt;mso-wrap-distance-bottom:0;mso-wrap-distance-left:9pt;mso-wrap-distance-right:9pt;mso-wrap-distance-top:0;mso-wrap-style:square;position:absolute;visibility:visible;v-text-anchor:middle;z-index:251692032" fillcolor="white" strokecolor="white" strokeweight="2pt"/>
            </w:pict>
          </mc:Fallback>
        </mc:AlternateContent>
      </w:r>
      <w:r w:rsidR="005D2577">
        <w:rPr>
          <w:b/>
          <w:bCs/>
          <w:noProof/>
          <w:spacing w:val="86"/>
          <w:rtl/>
          <w:lang w:val="he-IL"/>
        </w:rPr>
        <mc:AlternateContent>
          <mc:Choice Requires="wps">
            <w:drawing>
              <wp:anchor distT="0" distB="0" distL="114300" distR="114300" simplePos="0" relativeHeight="251664384" behindDoc="0" locked="0" layoutInCell="1" allowOverlap="1">
                <wp:simplePos x="0" y="0"/>
                <wp:positionH relativeFrom="column">
                  <wp:posOffset>-789744</wp:posOffset>
                </wp:positionH>
                <wp:positionV relativeFrom="paragraph">
                  <wp:posOffset>6041195</wp:posOffset>
                </wp:positionV>
                <wp:extent cx="3528647" cy="504092"/>
                <wp:effectExtent l="0" t="0" r="2540" b="4445"/>
                <wp:wrapNone/>
                <wp:docPr id="589"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528647" cy="5040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39" style="width:277.85pt;height:39.7pt;margin-top:475.7pt;margin-left:-62.2pt;mso-height-percent:0;mso-height-relative:margin;mso-width-percent:0;mso-width-relative:margin;mso-wrap-distance-bottom:0;mso-wrap-distance-left:9pt;mso-wrap-distance-right:9pt;mso-wrap-distance-top:0;mso-wrap-style:square;position:absolute;visibility:visible;v-text-anchor:middle;z-index:251665408" fillcolor="white" stroked="f" strokeweight="2pt"/>
            </w:pict>
          </mc:Fallback>
        </mc:AlternateContent>
      </w:r>
      <w:r w:rsidR="00D80478">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4415188</wp:posOffset>
                </wp:positionH>
                <wp:positionV relativeFrom="paragraph">
                  <wp:posOffset>527484</wp:posOffset>
                </wp:positionV>
                <wp:extent cx="1227221" cy="697832"/>
                <wp:effectExtent l="12700" t="12700" r="17780" b="13970"/>
                <wp:wrapNone/>
                <wp:docPr id="27" name="מלבן 27"/>
                <wp:cNvGraphicFramePr/>
                <a:graphic xmlns:a="http://schemas.openxmlformats.org/drawingml/2006/main">
                  <a:graphicData uri="http://schemas.microsoft.com/office/word/2010/wordprocessingShape">
                    <wps:wsp xmlns:wps="http://schemas.microsoft.com/office/word/2010/wordprocessingShape">
                      <wps:cNvSpPr/>
                      <wps:spPr>
                        <a:xfrm>
                          <a:off x="0" y="0"/>
                          <a:ext cx="1227221" cy="6978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7" o:spid="_x0000_s1040" style="width:96.65pt;height:54.95pt;margin-top:41.55pt;margin-left:347.65pt;mso-wrap-distance-bottom:0;mso-wrap-distance-left:9pt;mso-wrap-distance-right:9pt;mso-wrap-distance-top:0;mso-wrap-style:square;position:absolute;visibility:visible;v-text-anchor:middle;z-index:251671552" fillcolor="white" strokecolor="white"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4358852</wp:posOffset>
                </wp:positionH>
                <wp:positionV relativeFrom="paragraph">
                  <wp:posOffset>3497369</wp:posOffset>
                </wp:positionV>
                <wp:extent cx="931333" cy="306917"/>
                <wp:effectExtent l="0" t="0" r="0" b="0"/>
                <wp:wrapNone/>
                <wp:docPr id="212305706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931333" cy="3069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41" style="width:73.35pt;height:24.15pt;margin-top:275.4pt;margin-left:343.2pt;flip:y;mso-height-percent:0;mso-height-relative:margin;mso-width-percent:0;mso-width-relative:margin;mso-wrap-distance-bottom:0;mso-wrap-distance-left:9pt;mso-wrap-distance-right:9pt;mso-wrap-distance-top:0;mso-wrap-style:square;position:absolute;visibility:visible;v-text-anchor:middle;z-index:251667456" fillcolor="white" stroked="f" strokeweight="2pt"/>
            </w:pict>
          </mc:Fallback>
        </mc:AlternateContent>
      </w:r>
      <w:r w:rsidRPr="00777BE8">
        <w:rPr>
          <w:rtl/>
        </w:rPr>
        <w:br w:type="page"/>
      </w:r>
    </w:p>
    <w:p w:rsidR="00D12792" w:rsidRPr="00C04B74" w:rsidP="00D12792" w14:paraId="4B572C5B" w14:textId="1430B645">
      <w:pPr>
        <w:pStyle w:val="71316"/>
        <w:bidi w:val="0"/>
        <w:rPr>
          <w:sz w:val="36"/>
          <w:szCs w:val="36"/>
          <w:rtl/>
        </w:rPr>
      </w:pPr>
      <w:r>
        <w:rPr>
          <w:sz w:val="36"/>
          <w:szCs w:val="36"/>
        </w:rPr>
        <w:t>Table of contents</w:t>
      </w:r>
    </w:p>
    <w:p w:rsidR="00D12792" w:rsidP="00141BD3" w14:paraId="3A90F0CE" w14:textId="725D9064">
      <w:pPr>
        <w:pStyle w:val="71316"/>
        <w:bidi w:val="0"/>
        <w:rPr>
          <w:b w:val="0"/>
          <w:bCs w:val="0"/>
          <w:rtl/>
        </w:rPr>
      </w:pPr>
      <w:r>
        <w:rPr>
          <w:b w:val="0"/>
          <w:bCs w:val="0"/>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3858260</wp:posOffset>
                </wp:positionH>
                <wp:positionV relativeFrom="paragraph">
                  <wp:posOffset>6541770</wp:posOffset>
                </wp:positionV>
                <wp:extent cx="1454331" cy="735058"/>
                <wp:effectExtent l="12700" t="12700" r="19050" b="14605"/>
                <wp:wrapNone/>
                <wp:docPr id="34" name="מלבן 34"/>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34" o:spid="_x0000_s1042" style="width:114.5pt;height:57.9pt;margin-top:515.1pt;margin-left:303.8pt;mso-height-percent:0;mso-height-relative:margin;mso-wrap-distance-bottom:0;mso-wrap-distance-left:9pt;mso-wrap-distance-right:9pt;mso-wrap-distance-top:0;mso-wrap-style:square;position:absolute;visibility:visible;v-text-anchor:middle;z-index:251696128" fillcolor="white" strokecolor="white" strokeweight="2pt"/>
            </w:pict>
          </mc:Fallback>
        </mc:AlternateContent>
      </w:r>
      <w:r w:rsidRPr="00B535DF">
        <w:rPr>
          <w:rFonts w:hint="cs"/>
          <w:b w:val="0"/>
          <w:bCs w:val="0"/>
          <w:noProof/>
          <w:spacing w:val="86"/>
          <w:rtl/>
          <w:lang w:val="he-IL"/>
        </w:rPr>
        <mc:AlternateContent>
          <mc:Choice Requires="wps">
            <w:drawing>
              <wp:anchor distT="0" distB="0" distL="114300" distR="114300" simplePos="0" relativeHeight="251668480" behindDoc="0" locked="0" layoutInCell="1" allowOverlap="1">
                <wp:simplePos x="0" y="0"/>
                <wp:positionH relativeFrom="column">
                  <wp:posOffset>-4412</wp:posOffset>
                </wp:positionH>
                <wp:positionV relativeFrom="paragraph">
                  <wp:posOffset>33989</wp:posOffset>
                </wp:positionV>
                <wp:extent cx="2037348" cy="0"/>
                <wp:effectExtent l="0" t="0" r="7620" b="12700"/>
                <wp:wrapNone/>
                <wp:docPr id="13"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203734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43" style="flip:x;mso-height-percent:0;mso-height-relative:margin;mso-width-percent:0;mso-width-relative:margin;mso-wrap-distance-bottom:0;mso-wrap-distance-left:9pt;mso-wrap-distance-right:9pt;mso-wrap-distance-top:0;mso-wrap-style:square;position:absolute;visibility:visible;z-index:251669504" from="-0.35pt,2.7pt" to="160.05pt,2.7pt" strokecolor="#00305f" strokeweight="1pt"/>
            </w:pict>
          </mc:Fallback>
        </mc:AlternateContent>
      </w:r>
      <w:r>
        <w:rPr>
          <w:b w:val="0"/>
          <w:bCs w:val="0"/>
        </w:rPr>
        <w:t>Abstr</w:t>
      </w:r>
      <w:r w:rsidR="00BC7301">
        <w:rPr>
          <w:b w:val="0"/>
          <w:bCs w:val="0"/>
        </w:rPr>
        <w:t>acts</w:t>
      </w:r>
      <w:r w:rsidR="00C158FE">
        <w:rPr>
          <w:noProof/>
          <w:sz w:val="22"/>
          <w:szCs w:val="22"/>
          <w:rtl/>
          <w:lang w:val="he-IL"/>
        </w:rPr>
        <mc:AlternateContent>
          <mc:Choice Requires="wps">
            <w:drawing>
              <wp:anchor distT="0" distB="0" distL="114300" distR="114300" simplePos="0" relativeHeight="251680768" behindDoc="0" locked="0" layoutInCell="1" allowOverlap="1">
                <wp:simplePos x="0" y="0"/>
                <wp:positionH relativeFrom="column">
                  <wp:posOffset>4513971</wp:posOffset>
                </wp:positionH>
                <wp:positionV relativeFrom="paragraph">
                  <wp:posOffset>6246739</wp:posOffset>
                </wp:positionV>
                <wp:extent cx="794825" cy="478302"/>
                <wp:effectExtent l="12700" t="12700" r="18415" b="17145"/>
                <wp:wrapNone/>
                <wp:docPr id="30" name="מלבן 30"/>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0" o:spid="_x0000_s1044" style="width:62.6pt;height:37.65pt;margin-top:491.85pt;margin-left:355.45pt;mso-wrap-distance-bottom:0;mso-wrap-distance-left:9pt;mso-wrap-distance-right:9pt;mso-wrap-distance-top:0;mso-wrap-style:square;position:absolute;visibility:visible;v-text-anchor:middle;z-index:251681792" fillcolor="white" strokecolor="white" strokeweight="2pt"/>
            </w:pict>
          </mc:Fallback>
        </mc:AlternateContent>
      </w:r>
      <w:r w:rsidR="00C158FE">
        <w:rPr>
          <w:noProof/>
          <w:sz w:val="22"/>
          <w:szCs w:val="22"/>
          <w:rtl/>
          <w:lang w:val="he-IL"/>
        </w:rPr>
        <mc:AlternateContent>
          <mc:Choice Requires="wps">
            <w:drawing>
              <wp:anchor distT="0" distB="0" distL="114300" distR="114300" simplePos="0" relativeHeight="251676672" behindDoc="0" locked="0" layoutInCell="1" allowOverlap="1">
                <wp:simplePos x="0" y="0"/>
                <wp:positionH relativeFrom="column">
                  <wp:posOffset>4798305</wp:posOffset>
                </wp:positionH>
                <wp:positionV relativeFrom="paragraph">
                  <wp:posOffset>5438384</wp:posOffset>
                </wp:positionV>
                <wp:extent cx="794825" cy="478302"/>
                <wp:effectExtent l="12700" t="12700" r="18415" b="17145"/>
                <wp:wrapNone/>
                <wp:docPr id="8" name="מלבן 8"/>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8" o:spid="_x0000_s1045" style="width:62.6pt;height:37.65pt;margin-top:428.2pt;margin-left:377.8pt;mso-wrap-distance-bottom:0;mso-wrap-distance-left:9pt;mso-wrap-distance-right:9pt;mso-wrap-distance-top:0;mso-wrap-style:square;position:absolute;visibility:visible;v-text-anchor:middle;z-index:251677696" fillcolor="white" strokecolor="white" strokeweight="2pt"/>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
        <w:gridCol w:w="567"/>
        <w:gridCol w:w="5818"/>
      </w:tblGrid>
      <w:tr w14:paraId="7EC36455" w14:textId="77777777" w:rsidTr="00BC730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85" w:type="dxa"/>
          </w:tcPr>
          <w:p w:rsidR="00BC7301" w:rsidP="009D3941" w14:paraId="7482A052" w14:textId="5A5949D2">
            <w:pPr>
              <w:pStyle w:val="7190"/>
              <w:bidi w:val="0"/>
              <w:spacing w:before="240" w:after="100"/>
              <w:rPr>
                <w:rFonts w:ascii="Arial" w:hAnsi="Arial"/>
                <w:color w:val="000000"/>
                <w:sz w:val="24"/>
                <w:rtl/>
              </w:rPr>
            </w:pPr>
            <w:r>
              <w:rPr>
                <w:rFonts w:ascii="Arial" w:hAnsi="Arial" w:hint="cs"/>
                <w:color w:val="000000"/>
                <w:sz w:val="24"/>
                <w:rtl/>
              </w:rPr>
              <w:t>9</w:t>
            </w:r>
          </w:p>
        </w:tc>
        <w:tc>
          <w:tcPr>
            <w:tcW w:w="567" w:type="dxa"/>
          </w:tcPr>
          <w:p w:rsidR="00BC7301" w:rsidRPr="00C237BB" w:rsidP="009D3941" w14:paraId="09EC328E" w14:textId="089B313B">
            <w:pPr>
              <w:pStyle w:val="7190"/>
              <w:bidi w:val="0"/>
              <w:spacing w:before="240" w:after="100"/>
              <w:rPr>
                <w:b/>
                <w:bCs/>
                <w:color w:val="00305F"/>
                <w:sz w:val="22"/>
                <w:szCs w:val="22"/>
                <w:rtl/>
              </w:rPr>
            </w:pPr>
          </w:p>
        </w:tc>
        <w:tc>
          <w:tcPr>
            <w:tcW w:w="5818" w:type="dxa"/>
          </w:tcPr>
          <w:p w:rsidR="00BC7301" w:rsidRPr="00C237BB" w:rsidP="009D3941" w14:paraId="6572CF92" w14:textId="0C03520E">
            <w:pPr>
              <w:pStyle w:val="7190"/>
              <w:bidi w:val="0"/>
              <w:spacing w:before="240" w:after="100"/>
              <w:jc w:val="both"/>
              <w:rPr>
                <w:b/>
                <w:bCs/>
                <w:rtl/>
              </w:rPr>
            </w:pPr>
            <w:r>
              <w:rPr>
                <w:b/>
                <w:bCs/>
                <w:color w:val="00305F"/>
                <w:sz w:val="22"/>
                <w:szCs w:val="22"/>
              </w:rPr>
              <w:t>Foreword</w:t>
            </w:r>
          </w:p>
        </w:tc>
      </w:tr>
      <w:tr w14:paraId="2FDC804B" w14:textId="77777777" w:rsidTr="00BC7301">
        <w:tblPrEx>
          <w:tblW w:w="0" w:type="auto"/>
          <w:tblLook w:val="04A0"/>
        </w:tblPrEx>
        <w:tc>
          <w:tcPr>
            <w:tcW w:w="985" w:type="dxa"/>
          </w:tcPr>
          <w:p w:rsidR="00BC7301" w:rsidP="00141BD3" w14:paraId="5E1EA89D" w14:textId="77777777">
            <w:pPr>
              <w:pStyle w:val="7190"/>
              <w:bidi w:val="0"/>
              <w:spacing w:before="0" w:after="0"/>
            </w:pPr>
          </w:p>
        </w:tc>
        <w:tc>
          <w:tcPr>
            <w:tcW w:w="567" w:type="dxa"/>
          </w:tcPr>
          <w:p w:rsidR="00BC7301" w:rsidP="00141BD3" w14:paraId="55E74A49" w14:textId="09F38414">
            <w:pPr>
              <w:pStyle w:val="7190"/>
              <w:bidi w:val="0"/>
              <w:spacing w:before="0" w:after="0"/>
            </w:pPr>
          </w:p>
        </w:tc>
        <w:tc>
          <w:tcPr>
            <w:tcW w:w="5818" w:type="dxa"/>
          </w:tcPr>
          <w:p w:rsidR="00BC7301" w:rsidP="00141BD3" w14:paraId="2FF85983" w14:textId="12655E82">
            <w:pPr>
              <w:pStyle w:val="7190"/>
              <w:bidi w:val="0"/>
              <w:spacing w:before="0" w:after="0"/>
              <w:jc w:val="both"/>
            </w:pPr>
          </w:p>
        </w:tc>
      </w:tr>
      <w:tr w14:paraId="2427439D" w14:textId="77777777" w:rsidTr="009A728D">
        <w:tblPrEx>
          <w:tblW w:w="0" w:type="auto"/>
          <w:tblLook w:val="04A0"/>
        </w:tblPrEx>
        <w:tc>
          <w:tcPr>
            <w:tcW w:w="7370" w:type="dxa"/>
            <w:gridSpan w:val="3"/>
          </w:tcPr>
          <w:p w:rsidR="00141BD3" w:rsidRPr="00141BD3" w:rsidP="009D3941" w14:paraId="39328E8B" w14:textId="3BDC80D7">
            <w:pPr>
              <w:pStyle w:val="7190"/>
              <w:bidi w:val="0"/>
              <w:spacing w:after="120"/>
              <w:jc w:val="both"/>
              <w:rPr>
                <w:color w:val="00305F"/>
                <w:sz w:val="24"/>
                <w:szCs w:val="24"/>
              </w:rPr>
            </w:pPr>
            <w:r w:rsidRPr="00244C6D">
              <w:rPr>
                <w:color w:val="00305F"/>
                <w:sz w:val="24"/>
                <w:szCs w:val="24"/>
              </w:rPr>
              <w:t xml:space="preserve">Chapter One | </w:t>
            </w:r>
            <w:r w:rsidRPr="00D959A7" w:rsidR="00D959A7">
              <w:rPr>
                <w:b/>
                <w:bCs/>
                <w:color w:val="00305F"/>
                <w:sz w:val="24"/>
                <w:szCs w:val="24"/>
              </w:rPr>
              <w:t>Systemic</w:t>
            </w:r>
            <w:r w:rsidR="00D959A7">
              <w:rPr>
                <w:rFonts w:hint="cs"/>
                <w:b/>
                <w:bCs/>
                <w:color w:val="00305F"/>
                <w:sz w:val="24"/>
                <w:szCs w:val="24"/>
                <w:rtl/>
              </w:rPr>
              <w:t xml:space="preserve"> </w:t>
            </w:r>
            <w:r w:rsidRPr="00D20A48">
              <w:rPr>
                <w:b/>
                <w:bCs/>
                <w:color w:val="00305F"/>
                <w:sz w:val="24"/>
                <w:szCs w:val="24"/>
              </w:rPr>
              <w:t>Topics</w:t>
            </w:r>
          </w:p>
        </w:tc>
      </w:tr>
      <w:tr w14:paraId="6D9E0FCF" w14:textId="77777777" w:rsidTr="00BC7301">
        <w:tblPrEx>
          <w:tblW w:w="0" w:type="auto"/>
          <w:tblLook w:val="04A0"/>
        </w:tblPrEx>
        <w:tc>
          <w:tcPr>
            <w:tcW w:w="985" w:type="dxa"/>
          </w:tcPr>
          <w:p w:rsidR="00141BD3" w:rsidRPr="00141BD3" w:rsidP="00141BD3" w14:paraId="520874BC" w14:textId="50104152">
            <w:pPr>
              <w:pStyle w:val="7190"/>
              <w:bidi w:val="0"/>
              <w:spacing w:before="100" w:after="100"/>
              <w:rPr>
                <w:rFonts w:ascii="Arial" w:hAnsi="Arial"/>
                <w:color w:val="000000"/>
                <w:rtl/>
              </w:rPr>
            </w:pPr>
            <w:r>
              <w:rPr>
                <w:rFonts w:ascii="Arial" w:hAnsi="Arial" w:hint="cs"/>
                <w:color w:val="000000"/>
                <w:rtl/>
              </w:rPr>
              <w:t>19</w:t>
            </w:r>
          </w:p>
        </w:tc>
        <w:tc>
          <w:tcPr>
            <w:tcW w:w="567" w:type="dxa"/>
          </w:tcPr>
          <w:p w:rsidR="00141BD3" w:rsidRPr="00141BD3" w:rsidP="00141BD3" w14:paraId="217C385B" w14:textId="64B6353A">
            <w:pPr>
              <w:pStyle w:val="7190"/>
              <w:bidi w:val="0"/>
              <w:spacing w:before="100" w:after="100"/>
              <w:rPr>
                <w:rFonts w:ascii="Arial" w:hAnsi="Arial"/>
                <w:color w:val="000000"/>
                <w:rtl/>
              </w:rPr>
            </w:pPr>
          </w:p>
        </w:tc>
        <w:tc>
          <w:tcPr>
            <w:tcW w:w="5818" w:type="dxa"/>
          </w:tcPr>
          <w:p w:rsidR="00141BD3" w:rsidRPr="00D20A48" w:rsidP="00141BD3" w14:paraId="13B617CA" w14:textId="18F7A1CF">
            <w:pPr>
              <w:pStyle w:val="7190"/>
              <w:bidi w:val="0"/>
              <w:spacing w:before="100" w:after="100"/>
              <w:rPr>
                <w:color w:val="000000"/>
                <w:rtl/>
              </w:rPr>
            </w:pPr>
            <w:r w:rsidRPr="00D20A48">
              <w:rPr>
                <w:color w:val="000000"/>
              </w:rPr>
              <w:t>Anti-Money Laundering Regime in Israel</w:t>
            </w:r>
          </w:p>
        </w:tc>
      </w:tr>
      <w:tr w14:paraId="4396816F" w14:textId="77777777" w:rsidTr="00BC7301">
        <w:tblPrEx>
          <w:tblW w:w="0" w:type="auto"/>
          <w:tblLook w:val="04A0"/>
        </w:tblPrEx>
        <w:tc>
          <w:tcPr>
            <w:tcW w:w="985" w:type="dxa"/>
          </w:tcPr>
          <w:p w:rsidR="00141BD3" w:rsidRPr="00141BD3" w:rsidP="00141BD3" w14:paraId="4568CCC1" w14:textId="4907EE7C">
            <w:pPr>
              <w:pStyle w:val="7190"/>
              <w:bidi w:val="0"/>
              <w:spacing w:before="100" w:after="100"/>
              <w:rPr>
                <w:rFonts w:ascii="Arial" w:hAnsi="Arial"/>
                <w:color w:val="000000"/>
                <w:rtl/>
              </w:rPr>
            </w:pPr>
            <w:r>
              <w:rPr>
                <w:rFonts w:ascii="Arial" w:hAnsi="Arial"/>
                <w:color w:val="000000"/>
              </w:rPr>
              <w:t>37</w:t>
            </w:r>
          </w:p>
        </w:tc>
        <w:tc>
          <w:tcPr>
            <w:tcW w:w="567" w:type="dxa"/>
          </w:tcPr>
          <w:p w:rsidR="00141BD3" w:rsidRPr="00141BD3" w:rsidP="00141BD3" w14:paraId="282223BB" w14:textId="3D24DE7E">
            <w:pPr>
              <w:pStyle w:val="7190"/>
              <w:bidi w:val="0"/>
              <w:spacing w:before="100" w:after="100"/>
              <w:rPr>
                <w:rFonts w:ascii="Arial" w:hAnsi="Arial"/>
                <w:color w:val="000000"/>
                <w:rtl/>
              </w:rPr>
            </w:pPr>
          </w:p>
        </w:tc>
        <w:tc>
          <w:tcPr>
            <w:tcW w:w="5818" w:type="dxa"/>
          </w:tcPr>
          <w:p w:rsidR="00141BD3" w:rsidRPr="00141BD3" w:rsidP="00141BD3" w14:paraId="63D15868" w14:textId="357D572D">
            <w:pPr>
              <w:pStyle w:val="7190"/>
              <w:bidi w:val="0"/>
              <w:spacing w:before="100" w:after="100"/>
              <w:rPr>
                <w:color w:val="000000"/>
              </w:rPr>
            </w:pPr>
            <w:r w:rsidRPr="004B4F65">
              <w:rPr>
                <w:color w:val="000000"/>
              </w:rPr>
              <w:t>Supervision over Purity of Elections in the 24th Knesset Elections</w:t>
            </w:r>
          </w:p>
        </w:tc>
      </w:tr>
      <w:tr w14:paraId="31B14B3E" w14:textId="77777777" w:rsidTr="00BC7301">
        <w:tblPrEx>
          <w:tblW w:w="0" w:type="auto"/>
          <w:tblLook w:val="04A0"/>
        </w:tblPrEx>
        <w:tc>
          <w:tcPr>
            <w:tcW w:w="985" w:type="dxa"/>
          </w:tcPr>
          <w:p w:rsidR="004B4F65" w:rsidRPr="00141BD3" w:rsidP="004B4F65" w14:paraId="3CF0914A" w14:textId="639F181F">
            <w:pPr>
              <w:pStyle w:val="7190"/>
              <w:bidi w:val="0"/>
              <w:spacing w:before="100" w:after="100"/>
              <w:rPr>
                <w:rFonts w:ascii="Arial" w:hAnsi="Arial"/>
                <w:color w:val="000000"/>
                <w:rtl/>
              </w:rPr>
            </w:pPr>
            <w:r>
              <w:rPr>
                <w:rFonts w:ascii="Arial" w:hAnsi="Arial"/>
                <w:color w:val="000000"/>
              </w:rPr>
              <w:t>47</w:t>
            </w:r>
          </w:p>
        </w:tc>
        <w:tc>
          <w:tcPr>
            <w:tcW w:w="567" w:type="dxa"/>
          </w:tcPr>
          <w:p w:rsidR="004B4F65" w:rsidRPr="00141BD3" w:rsidP="004B4F65" w14:paraId="5BEA90CF" w14:textId="4A785B3E">
            <w:pPr>
              <w:pStyle w:val="7190"/>
              <w:bidi w:val="0"/>
              <w:spacing w:before="100" w:after="100"/>
              <w:rPr>
                <w:rFonts w:ascii="Arial" w:hAnsi="Arial"/>
                <w:color w:val="000000"/>
                <w:rtl/>
              </w:rPr>
            </w:pPr>
          </w:p>
        </w:tc>
        <w:tc>
          <w:tcPr>
            <w:tcW w:w="5818" w:type="dxa"/>
          </w:tcPr>
          <w:p w:rsidR="004B4F65" w:rsidRPr="001875BC" w:rsidP="004B4F65" w14:paraId="7FF0472D" w14:textId="1573B948">
            <w:pPr>
              <w:pStyle w:val="7190"/>
              <w:bidi w:val="0"/>
              <w:spacing w:before="100" w:after="100"/>
              <w:rPr>
                <w:rFonts w:ascii="Arial" w:hAnsi="Arial"/>
                <w:color w:val="000000"/>
                <w:rtl/>
              </w:rPr>
            </w:pPr>
            <w:r w:rsidRPr="004B4F65">
              <w:rPr>
                <w:color w:val="0D0D0D"/>
              </w:rPr>
              <w:t>Care and Education of Toddlers in Daycare Centers and Nurseries</w:t>
            </w:r>
          </w:p>
        </w:tc>
      </w:tr>
      <w:tr w14:paraId="1CEFC554" w14:textId="77777777" w:rsidTr="00BC7301">
        <w:tblPrEx>
          <w:tblW w:w="0" w:type="auto"/>
          <w:tblLook w:val="04A0"/>
        </w:tblPrEx>
        <w:tc>
          <w:tcPr>
            <w:tcW w:w="985" w:type="dxa"/>
          </w:tcPr>
          <w:p w:rsidR="004B4F65" w:rsidRPr="00141BD3" w:rsidP="004B4F65" w14:paraId="44752BEB" w14:textId="1BE68366">
            <w:pPr>
              <w:pStyle w:val="7190"/>
              <w:bidi w:val="0"/>
              <w:spacing w:before="100" w:after="100"/>
              <w:rPr>
                <w:rFonts w:ascii="Arial" w:hAnsi="Arial"/>
                <w:color w:val="000000"/>
                <w:rtl/>
              </w:rPr>
            </w:pPr>
            <w:r>
              <w:rPr>
                <w:rFonts w:ascii="Arial" w:hAnsi="Arial" w:hint="cs"/>
                <w:color w:val="000000"/>
                <w:sz w:val="24"/>
                <w:rtl/>
              </w:rPr>
              <w:t>61</w:t>
            </w:r>
          </w:p>
        </w:tc>
        <w:tc>
          <w:tcPr>
            <w:tcW w:w="567" w:type="dxa"/>
          </w:tcPr>
          <w:p w:rsidR="004B4F65" w:rsidRPr="00141BD3" w:rsidP="004B4F65" w14:paraId="5E229FB9" w14:textId="77777777">
            <w:pPr>
              <w:pStyle w:val="7190"/>
              <w:bidi w:val="0"/>
              <w:spacing w:before="100" w:after="100"/>
              <w:rPr>
                <w:rFonts w:ascii="Arial" w:hAnsi="Arial"/>
                <w:color w:val="000000"/>
                <w:rtl/>
              </w:rPr>
            </w:pPr>
          </w:p>
        </w:tc>
        <w:tc>
          <w:tcPr>
            <w:tcW w:w="5818" w:type="dxa"/>
          </w:tcPr>
          <w:p w:rsidR="004B4F65" w:rsidRPr="00141BD3" w:rsidP="004B4F65" w14:paraId="715675BD" w14:textId="3D03197E">
            <w:pPr>
              <w:pStyle w:val="7190"/>
              <w:bidi w:val="0"/>
              <w:spacing w:before="100" w:after="100"/>
              <w:rPr>
                <w:color w:val="000000"/>
              </w:rPr>
            </w:pPr>
            <w:r w:rsidRPr="004B4F65">
              <w:rPr>
                <w:color w:val="0D0D0D"/>
              </w:rPr>
              <w:t>Implementation of Reforms and Reduction of Gaps in Early Childhood Education – Follow-Up Audit</w:t>
            </w:r>
          </w:p>
        </w:tc>
      </w:tr>
      <w:tr w14:paraId="5DE74BD1" w14:textId="77777777" w:rsidTr="00BC7301">
        <w:tblPrEx>
          <w:tblW w:w="0" w:type="auto"/>
          <w:tblLook w:val="04A0"/>
        </w:tblPrEx>
        <w:tc>
          <w:tcPr>
            <w:tcW w:w="985" w:type="dxa"/>
          </w:tcPr>
          <w:p w:rsidR="004B4F65" w:rsidRPr="00141BD3" w:rsidP="004B4F65" w14:paraId="3571F01F" w14:textId="435F9906">
            <w:pPr>
              <w:pStyle w:val="7190"/>
              <w:bidi w:val="0"/>
              <w:spacing w:before="100" w:after="100"/>
              <w:rPr>
                <w:rFonts w:ascii="Arial" w:hAnsi="Arial"/>
                <w:color w:val="000000"/>
                <w:rtl/>
              </w:rPr>
            </w:pPr>
            <w:r>
              <w:rPr>
                <w:rFonts w:ascii="Arial" w:hAnsi="Arial" w:hint="cs"/>
                <w:color w:val="000000"/>
                <w:rtl/>
              </w:rPr>
              <w:t>77</w:t>
            </w:r>
          </w:p>
        </w:tc>
        <w:tc>
          <w:tcPr>
            <w:tcW w:w="567" w:type="dxa"/>
          </w:tcPr>
          <w:p w:rsidR="004B4F65" w:rsidRPr="00141BD3" w:rsidP="004B4F65" w14:paraId="6F15AF79" w14:textId="77777777">
            <w:pPr>
              <w:pStyle w:val="7190"/>
              <w:bidi w:val="0"/>
              <w:spacing w:before="100" w:after="100"/>
              <w:rPr>
                <w:rFonts w:ascii="Arial" w:hAnsi="Arial"/>
                <w:color w:val="000000"/>
                <w:rtl/>
              </w:rPr>
            </w:pPr>
          </w:p>
        </w:tc>
        <w:tc>
          <w:tcPr>
            <w:tcW w:w="5818" w:type="dxa"/>
          </w:tcPr>
          <w:p w:rsidR="004B4F65" w:rsidRPr="00141BD3" w:rsidP="004B4F65" w14:paraId="2DF9A979" w14:textId="30432D1D">
            <w:pPr>
              <w:pStyle w:val="7190"/>
              <w:bidi w:val="0"/>
              <w:spacing w:before="100" w:after="100"/>
              <w:rPr>
                <w:color w:val="000000"/>
              </w:rPr>
            </w:pPr>
            <w:r w:rsidRPr="006D68E4">
              <w:rPr>
                <w:color w:val="0D0D0D"/>
              </w:rPr>
              <w:t>The Law Enforcement System's Treatment of Cyber</w:t>
            </w:r>
            <w:r w:rsidR="00300822">
              <w:rPr>
                <w:color w:val="0D0D0D"/>
              </w:rPr>
              <w:t>c</w:t>
            </w:r>
            <w:r w:rsidRPr="006D68E4">
              <w:rPr>
                <w:color w:val="0D0D0D"/>
              </w:rPr>
              <w:t>rime</w:t>
            </w:r>
          </w:p>
        </w:tc>
      </w:tr>
      <w:tr w14:paraId="187AC12E" w14:textId="77777777" w:rsidTr="00BC7301">
        <w:tblPrEx>
          <w:tblW w:w="0" w:type="auto"/>
          <w:tblLook w:val="04A0"/>
        </w:tblPrEx>
        <w:tc>
          <w:tcPr>
            <w:tcW w:w="985" w:type="dxa"/>
          </w:tcPr>
          <w:p w:rsidR="000971EF" w:rsidRPr="000971EF" w:rsidP="00141BD3" w14:paraId="299371F7" w14:textId="1FDE4030">
            <w:pPr>
              <w:pStyle w:val="7190"/>
              <w:bidi w:val="0"/>
              <w:spacing w:before="100" w:after="100"/>
              <w:rPr>
                <w:rFonts w:ascii="Arial" w:hAnsi="Arial"/>
                <w:color w:val="000000"/>
                <w:rtl/>
              </w:rPr>
            </w:pPr>
            <w:r>
              <w:rPr>
                <w:rFonts w:ascii="Arial" w:hAnsi="Arial" w:hint="cs"/>
                <w:color w:val="000000"/>
                <w:rtl/>
              </w:rPr>
              <w:t>87</w:t>
            </w:r>
          </w:p>
        </w:tc>
        <w:tc>
          <w:tcPr>
            <w:tcW w:w="567" w:type="dxa"/>
          </w:tcPr>
          <w:p w:rsidR="000971EF" w:rsidRPr="000971EF" w:rsidP="00141BD3" w14:paraId="1887EACC" w14:textId="77777777">
            <w:pPr>
              <w:pStyle w:val="7190"/>
              <w:bidi w:val="0"/>
              <w:spacing w:before="100" w:after="100"/>
              <w:rPr>
                <w:rFonts w:ascii="Arial" w:hAnsi="Arial"/>
                <w:color w:val="000000"/>
                <w:rtl/>
              </w:rPr>
            </w:pPr>
          </w:p>
        </w:tc>
        <w:tc>
          <w:tcPr>
            <w:tcW w:w="5818" w:type="dxa"/>
          </w:tcPr>
          <w:p w:rsidR="000971EF" w:rsidRPr="000971EF" w:rsidP="00141BD3" w14:paraId="31475453" w14:textId="426EB49F">
            <w:pPr>
              <w:pStyle w:val="7190"/>
              <w:bidi w:val="0"/>
              <w:spacing w:before="100" w:after="100"/>
              <w:rPr>
                <w:color w:val="0D0D0D"/>
              </w:rPr>
            </w:pPr>
            <w:r w:rsidRPr="0022348A">
              <w:rPr>
                <w:color w:val="0D0D0D"/>
              </w:rPr>
              <w:t>Embezzlement Prevention in Government Ministries and Government Companies</w:t>
            </w:r>
          </w:p>
        </w:tc>
      </w:tr>
      <w:tr w14:paraId="41C0D9ED" w14:textId="77777777" w:rsidTr="00BC7301">
        <w:tblPrEx>
          <w:tblW w:w="0" w:type="auto"/>
          <w:tblLook w:val="04A0"/>
        </w:tblPrEx>
        <w:tc>
          <w:tcPr>
            <w:tcW w:w="985" w:type="dxa"/>
          </w:tcPr>
          <w:p w:rsidR="00141BD3" w:rsidRPr="00141BD3" w:rsidP="00141BD3" w14:paraId="0D5467FF" w14:textId="5BE45982">
            <w:pPr>
              <w:pStyle w:val="7190"/>
              <w:bidi w:val="0"/>
              <w:spacing w:before="100" w:after="100"/>
              <w:rPr>
                <w:rFonts w:ascii="Arial" w:hAnsi="Arial"/>
                <w:color w:val="000000"/>
                <w:rtl/>
              </w:rPr>
            </w:pPr>
            <w:r>
              <w:rPr>
                <w:rFonts w:ascii="Arial" w:hAnsi="Arial" w:hint="cs"/>
                <w:color w:val="000000"/>
                <w:rtl/>
              </w:rPr>
              <w:t>99</w:t>
            </w:r>
          </w:p>
        </w:tc>
        <w:tc>
          <w:tcPr>
            <w:tcW w:w="567" w:type="dxa"/>
          </w:tcPr>
          <w:p w:rsidR="00141BD3" w:rsidRPr="00141BD3" w:rsidP="00141BD3" w14:paraId="7A2657A8" w14:textId="77777777">
            <w:pPr>
              <w:pStyle w:val="7190"/>
              <w:bidi w:val="0"/>
              <w:spacing w:before="100" w:after="100"/>
              <w:rPr>
                <w:rFonts w:ascii="Arial" w:hAnsi="Arial"/>
                <w:color w:val="000000"/>
                <w:rtl/>
              </w:rPr>
            </w:pPr>
          </w:p>
        </w:tc>
        <w:tc>
          <w:tcPr>
            <w:tcW w:w="5818" w:type="dxa"/>
          </w:tcPr>
          <w:p w:rsidR="00141BD3" w:rsidRPr="00141BD3" w:rsidP="00141BD3" w14:paraId="2BFDC6D0" w14:textId="26624D2A">
            <w:pPr>
              <w:pStyle w:val="7190"/>
              <w:bidi w:val="0"/>
              <w:spacing w:before="100" w:after="100"/>
              <w:rPr>
                <w:color w:val="000000"/>
              </w:rPr>
            </w:pPr>
            <w:r w:rsidRPr="0022348A">
              <w:rPr>
                <w:color w:val="0D0D0D"/>
              </w:rPr>
              <w:t xml:space="preserve">Preventing Embezzlements and Frauds at the Israel Land Authority  </w:t>
            </w:r>
          </w:p>
        </w:tc>
      </w:tr>
      <w:tr w14:paraId="61D081CA" w14:textId="77777777" w:rsidTr="00BC7301">
        <w:tblPrEx>
          <w:tblW w:w="0" w:type="auto"/>
          <w:tblLook w:val="04A0"/>
        </w:tblPrEx>
        <w:tc>
          <w:tcPr>
            <w:tcW w:w="985" w:type="dxa"/>
          </w:tcPr>
          <w:p w:rsidR="004B4F65" w:rsidP="00141BD3" w14:paraId="2E371D97" w14:textId="245F2CBD">
            <w:pPr>
              <w:pStyle w:val="7190"/>
              <w:bidi w:val="0"/>
              <w:spacing w:before="100" w:after="100"/>
              <w:rPr>
                <w:rFonts w:ascii="Arial" w:hAnsi="Arial"/>
                <w:color w:val="000000"/>
              </w:rPr>
            </w:pPr>
            <w:r>
              <w:rPr>
                <w:rFonts w:ascii="Arial" w:hAnsi="Arial" w:hint="cs"/>
                <w:color w:val="000000"/>
                <w:rtl/>
              </w:rPr>
              <w:t>109</w:t>
            </w:r>
          </w:p>
        </w:tc>
        <w:tc>
          <w:tcPr>
            <w:tcW w:w="567" w:type="dxa"/>
          </w:tcPr>
          <w:p w:rsidR="004B4F65" w:rsidRPr="00141BD3" w:rsidP="00141BD3" w14:paraId="1376E98C" w14:textId="77777777">
            <w:pPr>
              <w:pStyle w:val="7190"/>
              <w:bidi w:val="0"/>
              <w:spacing w:before="100" w:after="100"/>
              <w:rPr>
                <w:rFonts w:ascii="Arial" w:hAnsi="Arial"/>
                <w:color w:val="000000"/>
                <w:rtl/>
              </w:rPr>
            </w:pPr>
          </w:p>
        </w:tc>
        <w:tc>
          <w:tcPr>
            <w:tcW w:w="5818" w:type="dxa"/>
          </w:tcPr>
          <w:p w:rsidR="004B4F65" w:rsidRPr="001875BC" w:rsidP="00141BD3" w14:paraId="53EA6278" w14:textId="4F6A4570">
            <w:pPr>
              <w:pStyle w:val="7190"/>
              <w:bidi w:val="0"/>
              <w:spacing w:before="100" w:after="100"/>
              <w:rPr>
                <w:color w:val="0D0D0D"/>
                <w:rtl/>
              </w:rPr>
            </w:pPr>
            <w:r w:rsidRPr="0022348A">
              <w:rPr>
                <w:color w:val="0D0D0D"/>
              </w:rPr>
              <w:t>Closing Criminal Files by the Israel Police and the Office of the State Attorney</w:t>
            </w:r>
          </w:p>
        </w:tc>
      </w:tr>
      <w:tr w14:paraId="39D88DC3" w14:textId="77777777" w:rsidTr="00BC7301">
        <w:tblPrEx>
          <w:tblW w:w="0" w:type="auto"/>
          <w:tblLook w:val="04A0"/>
        </w:tblPrEx>
        <w:tc>
          <w:tcPr>
            <w:tcW w:w="985" w:type="dxa"/>
          </w:tcPr>
          <w:p w:rsidR="00141BD3" w:rsidRPr="00141BD3" w:rsidP="00141BD3" w14:paraId="6B8B6D54" w14:textId="77777777">
            <w:pPr>
              <w:pStyle w:val="7190"/>
              <w:bidi w:val="0"/>
              <w:spacing w:before="0" w:after="0"/>
              <w:rPr>
                <w:rFonts w:ascii="Arial" w:hAnsi="Arial"/>
                <w:color w:val="000000"/>
                <w:rtl/>
              </w:rPr>
            </w:pPr>
          </w:p>
        </w:tc>
        <w:tc>
          <w:tcPr>
            <w:tcW w:w="567" w:type="dxa"/>
          </w:tcPr>
          <w:p w:rsidR="00141BD3" w:rsidRPr="00141BD3" w:rsidP="00141BD3" w14:paraId="5EEE133E" w14:textId="77777777">
            <w:pPr>
              <w:pStyle w:val="7190"/>
              <w:bidi w:val="0"/>
              <w:spacing w:before="0" w:after="0"/>
              <w:rPr>
                <w:rFonts w:ascii="Arial" w:hAnsi="Arial"/>
                <w:color w:val="000000"/>
                <w:rtl/>
              </w:rPr>
            </w:pPr>
          </w:p>
        </w:tc>
        <w:tc>
          <w:tcPr>
            <w:tcW w:w="5818" w:type="dxa"/>
          </w:tcPr>
          <w:p w:rsidR="00141BD3" w:rsidRPr="00141BD3" w:rsidP="00141BD3" w14:paraId="6E6528BB" w14:textId="77777777">
            <w:pPr>
              <w:pStyle w:val="7190"/>
              <w:bidi w:val="0"/>
              <w:spacing w:before="0" w:after="0"/>
              <w:rPr>
                <w:color w:val="000000"/>
              </w:rPr>
            </w:pPr>
          </w:p>
        </w:tc>
      </w:tr>
      <w:tr w14:paraId="68694D73" w14:textId="77777777" w:rsidTr="0069415D">
        <w:tblPrEx>
          <w:tblW w:w="0" w:type="auto"/>
          <w:tblLook w:val="04A0"/>
        </w:tblPrEx>
        <w:trPr>
          <w:trHeight w:val="289"/>
        </w:trPr>
        <w:tc>
          <w:tcPr>
            <w:tcW w:w="7370" w:type="dxa"/>
            <w:gridSpan w:val="3"/>
          </w:tcPr>
          <w:p w:rsidR="00141BD3" w:rsidRPr="00141BD3" w:rsidP="00BC7301" w14:paraId="738C4602" w14:textId="0FC268C0">
            <w:pPr>
              <w:pStyle w:val="7190"/>
              <w:bidi w:val="0"/>
              <w:spacing w:after="120"/>
              <w:jc w:val="both"/>
              <w:rPr>
                <w:rFonts w:ascii="Arial" w:hAnsi="Arial"/>
                <w:color w:val="000000"/>
                <w:sz w:val="30"/>
                <w:szCs w:val="30"/>
                <w:rtl/>
              </w:rPr>
            </w:pPr>
            <w:r w:rsidRPr="003C3E61">
              <w:rPr>
                <w:color w:val="00305F"/>
                <w:sz w:val="24"/>
                <w:szCs w:val="24"/>
              </w:rPr>
              <w:t>Chapter Two</w:t>
            </w:r>
            <w:r w:rsidRPr="003C3E61">
              <w:rPr>
                <w:b/>
                <w:bCs/>
                <w:color w:val="00305F"/>
                <w:sz w:val="24"/>
                <w:szCs w:val="24"/>
              </w:rPr>
              <w:t xml:space="preserve"> | </w:t>
            </w:r>
            <w:r w:rsidRPr="0022348A">
              <w:rPr>
                <w:b/>
                <w:bCs/>
                <w:color w:val="00305F"/>
                <w:sz w:val="24"/>
                <w:szCs w:val="24"/>
              </w:rPr>
              <w:t xml:space="preserve">Government </w:t>
            </w:r>
            <w:r>
              <w:rPr>
                <w:b/>
                <w:bCs/>
                <w:color w:val="00305F"/>
                <w:sz w:val="24"/>
                <w:szCs w:val="24"/>
              </w:rPr>
              <w:t>Ministries</w:t>
            </w:r>
          </w:p>
        </w:tc>
      </w:tr>
      <w:tr w14:paraId="6A74AAC5" w14:textId="77777777" w:rsidTr="00BC7301">
        <w:tblPrEx>
          <w:tblW w:w="0" w:type="auto"/>
          <w:tblLook w:val="04A0"/>
        </w:tblPrEx>
        <w:tc>
          <w:tcPr>
            <w:tcW w:w="985" w:type="dxa"/>
          </w:tcPr>
          <w:p w:rsidR="00141BD3" w:rsidRPr="00141BD3" w:rsidP="0022348A" w14:paraId="6D36C5A3" w14:textId="59C37F6A">
            <w:pPr>
              <w:pStyle w:val="7190"/>
              <w:bidi w:val="0"/>
              <w:spacing w:before="240" w:after="0"/>
              <w:rPr>
                <w:rFonts w:ascii="Arial" w:hAnsi="Arial"/>
                <w:color w:val="000000"/>
                <w:rtl/>
              </w:rPr>
            </w:pPr>
          </w:p>
        </w:tc>
        <w:tc>
          <w:tcPr>
            <w:tcW w:w="567" w:type="dxa"/>
            <w:vAlign w:val="bottom"/>
          </w:tcPr>
          <w:p w:rsidR="00141BD3" w:rsidRPr="00141BD3" w:rsidP="0022348A" w14:paraId="70F625CB" w14:textId="762BF16F">
            <w:pPr>
              <w:pStyle w:val="7190"/>
              <w:bidi w:val="0"/>
              <w:spacing w:before="240" w:after="0"/>
              <w:rPr>
                <w:rFonts w:ascii="Arial" w:hAnsi="Arial"/>
                <w:color w:val="000000"/>
                <w:rtl/>
              </w:rPr>
            </w:pPr>
          </w:p>
        </w:tc>
        <w:tc>
          <w:tcPr>
            <w:tcW w:w="5818" w:type="dxa"/>
          </w:tcPr>
          <w:p w:rsidR="00141BD3" w:rsidRPr="001875BC" w:rsidP="0022348A" w14:paraId="697E7DA0" w14:textId="0D05BBD4">
            <w:pPr>
              <w:pStyle w:val="7190"/>
              <w:bidi w:val="0"/>
              <w:spacing w:before="240" w:after="0"/>
              <w:rPr>
                <w:color w:val="000000"/>
                <w:rtl/>
              </w:rPr>
            </w:pPr>
            <w:r w:rsidRPr="0022348A">
              <w:rPr>
                <w:b/>
                <w:bCs/>
                <w:color w:val="00305F"/>
                <w:sz w:val="22"/>
                <w:szCs w:val="22"/>
              </w:rPr>
              <w:t xml:space="preserve">Prime Minister's Office </w:t>
            </w:r>
            <w:r w:rsidR="00300822">
              <w:rPr>
                <w:b/>
                <w:bCs/>
                <w:color w:val="00305F"/>
                <w:sz w:val="22"/>
                <w:szCs w:val="22"/>
              </w:rPr>
              <w:t>–</w:t>
            </w:r>
            <w:r w:rsidRPr="0022348A">
              <w:rPr>
                <w:b/>
                <w:bCs/>
                <w:color w:val="00305F"/>
                <w:sz w:val="22"/>
                <w:szCs w:val="22"/>
              </w:rPr>
              <w:t xml:space="preserve"> Civil Service Commission</w:t>
            </w:r>
          </w:p>
        </w:tc>
      </w:tr>
      <w:tr w14:paraId="48E6AEED" w14:textId="77777777" w:rsidTr="00BC7301">
        <w:tblPrEx>
          <w:tblW w:w="0" w:type="auto"/>
          <w:tblLook w:val="04A0"/>
        </w:tblPrEx>
        <w:tc>
          <w:tcPr>
            <w:tcW w:w="985" w:type="dxa"/>
          </w:tcPr>
          <w:p w:rsidR="00141BD3" w:rsidRPr="00141BD3" w:rsidP="00141BD3" w14:paraId="309A1D84" w14:textId="337330CA">
            <w:pPr>
              <w:pStyle w:val="7190"/>
              <w:bidi w:val="0"/>
              <w:spacing w:before="100" w:after="100"/>
              <w:rPr>
                <w:rFonts w:ascii="Arial" w:hAnsi="Arial"/>
                <w:color w:val="000000"/>
                <w:rtl/>
              </w:rPr>
            </w:pPr>
            <w:r>
              <w:rPr>
                <w:rFonts w:ascii="Arial" w:hAnsi="Arial" w:hint="cs"/>
                <w:color w:val="000000"/>
                <w:rtl/>
              </w:rPr>
              <w:t>123</w:t>
            </w:r>
          </w:p>
        </w:tc>
        <w:tc>
          <w:tcPr>
            <w:tcW w:w="567" w:type="dxa"/>
          </w:tcPr>
          <w:p w:rsidR="00141BD3" w:rsidRPr="00141BD3" w:rsidP="00141BD3" w14:paraId="6CC15DD2" w14:textId="69490037">
            <w:pPr>
              <w:pStyle w:val="7190"/>
              <w:bidi w:val="0"/>
              <w:spacing w:before="100" w:after="100"/>
              <w:rPr>
                <w:rFonts w:ascii="Arial" w:hAnsi="Arial"/>
                <w:color w:val="000000"/>
                <w:rtl/>
              </w:rPr>
            </w:pPr>
          </w:p>
        </w:tc>
        <w:tc>
          <w:tcPr>
            <w:tcW w:w="5818" w:type="dxa"/>
            <w:vAlign w:val="center"/>
          </w:tcPr>
          <w:p w:rsidR="00141BD3" w:rsidRPr="001875BC" w:rsidP="00141BD3" w14:paraId="18C828AD" w14:textId="0E814C76">
            <w:pPr>
              <w:pStyle w:val="7190"/>
              <w:bidi w:val="0"/>
              <w:spacing w:before="100" w:after="100"/>
              <w:rPr>
                <w:color w:val="000000"/>
                <w:spacing w:val="-4"/>
                <w:rtl/>
              </w:rPr>
            </w:pPr>
            <w:r w:rsidRPr="0022348A">
              <w:rPr>
                <w:color w:val="0D0D0D"/>
                <w:spacing w:val="-4"/>
              </w:rPr>
              <w:t xml:space="preserve">Handling Disciplinary Offences </w:t>
            </w:r>
            <w:r w:rsidRPr="0022348A">
              <w:rPr>
                <w:color w:val="0D0D0D"/>
                <w:spacing w:val="-4"/>
              </w:rPr>
              <w:t>In</w:t>
            </w:r>
            <w:r w:rsidRPr="0022348A">
              <w:rPr>
                <w:color w:val="0D0D0D"/>
                <w:spacing w:val="-4"/>
              </w:rPr>
              <w:t xml:space="preserve"> The Civil Service – Extended Follow-Up</w:t>
            </w:r>
          </w:p>
        </w:tc>
      </w:tr>
      <w:tr w14:paraId="53344EAB" w14:textId="77777777" w:rsidTr="00142F9A">
        <w:tblPrEx>
          <w:tblW w:w="0" w:type="auto"/>
          <w:tblLook w:val="04A0"/>
        </w:tblPrEx>
        <w:tc>
          <w:tcPr>
            <w:tcW w:w="985" w:type="dxa"/>
          </w:tcPr>
          <w:p w:rsidR="0022348A" w:rsidP="0022348A" w14:paraId="4A58F39B" w14:textId="77777777">
            <w:pPr>
              <w:pStyle w:val="7190"/>
              <w:bidi w:val="0"/>
              <w:spacing w:before="240" w:after="80"/>
              <w:rPr>
                <w:rFonts w:ascii="Arial" w:hAnsi="Arial"/>
                <w:color w:val="000000"/>
              </w:rPr>
            </w:pPr>
          </w:p>
        </w:tc>
        <w:tc>
          <w:tcPr>
            <w:tcW w:w="567" w:type="dxa"/>
            <w:vAlign w:val="bottom"/>
          </w:tcPr>
          <w:p w:rsidR="0022348A" w:rsidRPr="00141BD3" w:rsidP="0022348A" w14:paraId="51864B69" w14:textId="77777777">
            <w:pPr>
              <w:pStyle w:val="7190"/>
              <w:bidi w:val="0"/>
              <w:spacing w:before="240" w:after="80"/>
              <w:rPr>
                <w:rFonts w:ascii="Arial" w:hAnsi="Arial"/>
                <w:color w:val="000000"/>
                <w:rtl/>
              </w:rPr>
            </w:pPr>
          </w:p>
        </w:tc>
        <w:tc>
          <w:tcPr>
            <w:tcW w:w="5818" w:type="dxa"/>
          </w:tcPr>
          <w:p w:rsidR="0022348A" w:rsidRPr="0022348A" w:rsidP="0022348A" w14:paraId="2807EDA3" w14:textId="1D48D261">
            <w:pPr>
              <w:pStyle w:val="7190"/>
              <w:bidi w:val="0"/>
              <w:spacing w:before="240" w:after="80"/>
              <w:rPr>
                <w:color w:val="0D0D0D"/>
                <w:spacing w:val="-4"/>
              </w:rPr>
            </w:pPr>
            <w:r w:rsidRPr="008F7778">
              <w:rPr>
                <w:b/>
                <w:bCs/>
                <w:color w:val="00305F"/>
                <w:sz w:val="22"/>
                <w:szCs w:val="22"/>
              </w:rPr>
              <w:t>Ministry of Finance</w:t>
            </w:r>
          </w:p>
        </w:tc>
      </w:tr>
      <w:tr w14:paraId="77B92E84" w14:textId="77777777" w:rsidTr="00BC7301">
        <w:tblPrEx>
          <w:tblW w:w="0" w:type="auto"/>
          <w:tblLook w:val="04A0"/>
        </w:tblPrEx>
        <w:tc>
          <w:tcPr>
            <w:tcW w:w="985" w:type="dxa"/>
          </w:tcPr>
          <w:p w:rsidR="0022348A" w:rsidP="00D35B2D" w14:paraId="18BAE8C4" w14:textId="0FD12A83">
            <w:pPr>
              <w:pStyle w:val="7190"/>
              <w:bidi w:val="0"/>
              <w:spacing w:before="100" w:after="720"/>
              <w:rPr>
                <w:rFonts w:ascii="Arial" w:hAnsi="Arial"/>
                <w:color w:val="000000"/>
              </w:rPr>
            </w:pPr>
            <w:r>
              <w:rPr>
                <w:rFonts w:ascii="Arial" w:hAnsi="Arial" w:hint="cs"/>
                <w:color w:val="000000"/>
                <w:rtl/>
              </w:rPr>
              <w:t>139</w:t>
            </w:r>
          </w:p>
        </w:tc>
        <w:tc>
          <w:tcPr>
            <w:tcW w:w="567" w:type="dxa"/>
          </w:tcPr>
          <w:p w:rsidR="0022348A" w:rsidRPr="00141BD3" w:rsidP="00D35B2D" w14:paraId="5580573B" w14:textId="77777777">
            <w:pPr>
              <w:pStyle w:val="7190"/>
              <w:bidi w:val="0"/>
              <w:spacing w:before="100" w:after="720"/>
              <w:rPr>
                <w:rFonts w:ascii="Arial" w:hAnsi="Arial"/>
                <w:color w:val="000000"/>
                <w:rtl/>
              </w:rPr>
            </w:pPr>
          </w:p>
        </w:tc>
        <w:tc>
          <w:tcPr>
            <w:tcW w:w="5818" w:type="dxa"/>
            <w:vAlign w:val="center"/>
          </w:tcPr>
          <w:p w:rsidR="0022348A" w:rsidRPr="0022348A" w:rsidP="00D35B2D" w14:paraId="379F5CD5" w14:textId="325A7072">
            <w:pPr>
              <w:pStyle w:val="7190"/>
              <w:bidi w:val="0"/>
              <w:spacing w:before="100" w:after="720"/>
              <w:rPr>
                <w:color w:val="0D0D0D"/>
                <w:spacing w:val="-4"/>
              </w:rPr>
            </w:pPr>
            <w:r w:rsidRPr="008F7778">
              <w:rPr>
                <w:color w:val="0D0D0D"/>
                <w:spacing w:val="-4"/>
              </w:rPr>
              <w:t>The State of Israel's Financial Statements as of 31.12.2020 – Accounts Receivable</w:t>
            </w:r>
          </w:p>
        </w:tc>
      </w:tr>
      <w:tr w14:paraId="55189E97" w14:textId="77777777" w:rsidTr="002F40EA">
        <w:tblPrEx>
          <w:tblW w:w="0" w:type="auto"/>
          <w:tblLook w:val="04A0"/>
        </w:tblPrEx>
        <w:tc>
          <w:tcPr>
            <w:tcW w:w="985" w:type="dxa"/>
          </w:tcPr>
          <w:p w:rsidR="0022348A" w:rsidP="00D35B2D" w14:paraId="23A8CB8D" w14:textId="77777777">
            <w:pPr>
              <w:pStyle w:val="7190"/>
              <w:bidi w:val="0"/>
              <w:spacing w:before="0" w:after="100"/>
              <w:rPr>
                <w:rFonts w:ascii="Arial" w:hAnsi="Arial"/>
                <w:color w:val="000000"/>
              </w:rPr>
            </w:pPr>
          </w:p>
        </w:tc>
        <w:tc>
          <w:tcPr>
            <w:tcW w:w="567" w:type="dxa"/>
            <w:vAlign w:val="bottom"/>
          </w:tcPr>
          <w:p w:rsidR="0022348A" w:rsidRPr="00141BD3" w:rsidP="00D35B2D" w14:paraId="1D959B1E" w14:textId="77777777">
            <w:pPr>
              <w:pStyle w:val="7190"/>
              <w:bidi w:val="0"/>
              <w:spacing w:before="0" w:after="100"/>
              <w:rPr>
                <w:rFonts w:ascii="Arial" w:hAnsi="Arial"/>
                <w:color w:val="000000"/>
                <w:rtl/>
              </w:rPr>
            </w:pPr>
          </w:p>
        </w:tc>
        <w:tc>
          <w:tcPr>
            <w:tcW w:w="5818" w:type="dxa"/>
          </w:tcPr>
          <w:p w:rsidR="0022348A" w:rsidRPr="0022348A" w:rsidP="00D35B2D" w14:paraId="0F6C9EE6" w14:textId="28F63372">
            <w:pPr>
              <w:pStyle w:val="7190"/>
              <w:bidi w:val="0"/>
              <w:spacing w:before="0" w:after="80"/>
              <w:rPr>
                <w:color w:val="0D0D0D"/>
                <w:spacing w:val="-4"/>
              </w:rPr>
            </w:pPr>
            <w:r w:rsidRPr="00D35B2D">
              <w:rPr>
                <w:b/>
                <w:bCs/>
                <w:color w:val="00305F"/>
                <w:sz w:val="22"/>
                <w:szCs w:val="22"/>
              </w:rPr>
              <w:t>Ministry of Health</w:t>
            </w:r>
          </w:p>
        </w:tc>
      </w:tr>
      <w:tr w14:paraId="67E2D1A0" w14:textId="77777777" w:rsidTr="00BC7301">
        <w:tblPrEx>
          <w:tblW w:w="0" w:type="auto"/>
          <w:tblLook w:val="04A0"/>
        </w:tblPrEx>
        <w:tc>
          <w:tcPr>
            <w:tcW w:w="985" w:type="dxa"/>
          </w:tcPr>
          <w:p w:rsidR="0022348A" w:rsidP="0022348A" w14:paraId="6748E24B" w14:textId="5E4C41D1">
            <w:pPr>
              <w:pStyle w:val="7190"/>
              <w:bidi w:val="0"/>
              <w:spacing w:before="100" w:after="100"/>
              <w:rPr>
                <w:rFonts w:ascii="Arial" w:hAnsi="Arial"/>
                <w:color w:val="000000"/>
              </w:rPr>
            </w:pPr>
            <w:r>
              <w:rPr>
                <w:rFonts w:ascii="Arial" w:hAnsi="Arial" w:hint="cs"/>
                <w:color w:val="000000"/>
                <w:rtl/>
              </w:rPr>
              <w:t>151</w:t>
            </w:r>
          </w:p>
        </w:tc>
        <w:tc>
          <w:tcPr>
            <w:tcW w:w="567" w:type="dxa"/>
          </w:tcPr>
          <w:p w:rsidR="0022348A" w:rsidRPr="00141BD3" w:rsidP="0022348A" w14:paraId="721E5054" w14:textId="77777777">
            <w:pPr>
              <w:pStyle w:val="7190"/>
              <w:bidi w:val="0"/>
              <w:spacing w:before="100" w:after="100"/>
              <w:rPr>
                <w:rFonts w:ascii="Arial" w:hAnsi="Arial"/>
                <w:color w:val="000000"/>
                <w:rtl/>
              </w:rPr>
            </w:pPr>
          </w:p>
        </w:tc>
        <w:tc>
          <w:tcPr>
            <w:tcW w:w="5818" w:type="dxa"/>
            <w:vAlign w:val="center"/>
          </w:tcPr>
          <w:p w:rsidR="0022348A" w:rsidRPr="0022348A" w:rsidP="0022348A" w14:paraId="0FFC94BD" w14:textId="7F13EECD">
            <w:pPr>
              <w:pStyle w:val="7190"/>
              <w:bidi w:val="0"/>
              <w:spacing w:before="100" w:after="100"/>
              <w:rPr>
                <w:color w:val="0D0D0D"/>
                <w:spacing w:val="-4"/>
              </w:rPr>
            </w:pPr>
            <w:r w:rsidRPr="00D35B2D">
              <w:rPr>
                <w:color w:val="0D0D0D"/>
                <w:spacing w:val="-4"/>
              </w:rPr>
              <w:t>Expansion of the Health Services Basket – The Addition of Medications and Technologies</w:t>
            </w:r>
          </w:p>
        </w:tc>
      </w:tr>
      <w:tr w14:paraId="64838B2B" w14:textId="77777777" w:rsidTr="00BC7301">
        <w:tblPrEx>
          <w:tblW w:w="0" w:type="auto"/>
          <w:tblLook w:val="04A0"/>
        </w:tblPrEx>
        <w:tc>
          <w:tcPr>
            <w:tcW w:w="985" w:type="dxa"/>
          </w:tcPr>
          <w:p w:rsidR="0022348A" w:rsidP="00141BD3" w14:paraId="0390E575" w14:textId="3E495450">
            <w:pPr>
              <w:pStyle w:val="7190"/>
              <w:bidi w:val="0"/>
              <w:spacing w:before="100" w:after="100"/>
              <w:rPr>
                <w:rFonts w:ascii="Arial" w:hAnsi="Arial"/>
                <w:color w:val="000000"/>
              </w:rPr>
            </w:pPr>
            <w:r>
              <w:rPr>
                <w:rFonts w:ascii="Arial" w:hAnsi="Arial" w:hint="cs"/>
                <w:color w:val="000000"/>
                <w:rtl/>
              </w:rPr>
              <w:t>161</w:t>
            </w:r>
          </w:p>
        </w:tc>
        <w:tc>
          <w:tcPr>
            <w:tcW w:w="567" w:type="dxa"/>
          </w:tcPr>
          <w:p w:rsidR="0022348A" w:rsidRPr="00141BD3" w:rsidP="00141BD3" w14:paraId="68BF766B" w14:textId="77777777">
            <w:pPr>
              <w:pStyle w:val="7190"/>
              <w:bidi w:val="0"/>
              <w:spacing w:before="100" w:after="100"/>
              <w:rPr>
                <w:rFonts w:ascii="Arial" w:hAnsi="Arial"/>
                <w:color w:val="000000"/>
                <w:rtl/>
              </w:rPr>
            </w:pPr>
          </w:p>
        </w:tc>
        <w:tc>
          <w:tcPr>
            <w:tcW w:w="5818" w:type="dxa"/>
            <w:vAlign w:val="center"/>
          </w:tcPr>
          <w:p w:rsidR="0022348A" w:rsidRPr="0022348A" w:rsidP="00141BD3" w14:paraId="142EDA90" w14:textId="52A04B03">
            <w:pPr>
              <w:pStyle w:val="7190"/>
              <w:bidi w:val="0"/>
              <w:spacing w:before="100" w:after="100"/>
              <w:rPr>
                <w:color w:val="0D0D0D"/>
                <w:spacing w:val="-4"/>
              </w:rPr>
            </w:pPr>
            <w:r>
              <w:rPr>
                <w:color w:val="0D0D0D"/>
                <w:spacing w:val="-4"/>
              </w:rPr>
              <w:t xml:space="preserve">Cyber Protection of </w:t>
            </w:r>
            <w:r w:rsidRPr="002A3F0E" w:rsidR="001875BC">
              <w:rPr>
                <w:color w:val="0D0D0D"/>
                <w:spacing w:val="-4"/>
              </w:rPr>
              <w:t>Medical Devices and the Security of the Information Stored Therein</w:t>
            </w:r>
          </w:p>
        </w:tc>
      </w:tr>
      <w:tr w14:paraId="25AE3039" w14:textId="77777777" w:rsidTr="00EF09D3">
        <w:tblPrEx>
          <w:tblW w:w="0" w:type="auto"/>
          <w:tblLook w:val="04A0"/>
        </w:tblPrEx>
        <w:tc>
          <w:tcPr>
            <w:tcW w:w="985" w:type="dxa"/>
          </w:tcPr>
          <w:p w:rsidR="0022348A" w:rsidP="0022348A" w14:paraId="257EEE0E" w14:textId="77777777">
            <w:pPr>
              <w:pStyle w:val="7190"/>
              <w:bidi w:val="0"/>
              <w:spacing w:before="240" w:after="80"/>
              <w:rPr>
                <w:rFonts w:ascii="Arial" w:hAnsi="Arial"/>
                <w:color w:val="000000"/>
              </w:rPr>
            </w:pPr>
          </w:p>
        </w:tc>
        <w:tc>
          <w:tcPr>
            <w:tcW w:w="567" w:type="dxa"/>
          </w:tcPr>
          <w:p w:rsidR="0022348A" w:rsidRPr="00141BD3" w:rsidP="0022348A" w14:paraId="117F451D" w14:textId="77777777">
            <w:pPr>
              <w:pStyle w:val="7190"/>
              <w:bidi w:val="0"/>
              <w:spacing w:before="240" w:after="80"/>
              <w:rPr>
                <w:rFonts w:ascii="Arial" w:hAnsi="Arial"/>
                <w:color w:val="000000"/>
                <w:rtl/>
              </w:rPr>
            </w:pPr>
          </w:p>
        </w:tc>
        <w:tc>
          <w:tcPr>
            <w:tcW w:w="5818" w:type="dxa"/>
          </w:tcPr>
          <w:p w:rsidR="0022348A" w:rsidRPr="0022348A" w:rsidP="0022348A" w14:paraId="5A8B1B96" w14:textId="72838771">
            <w:pPr>
              <w:pStyle w:val="7190"/>
              <w:bidi w:val="0"/>
              <w:spacing w:before="240" w:after="80"/>
              <w:rPr>
                <w:color w:val="0D0D0D"/>
                <w:spacing w:val="-4"/>
              </w:rPr>
            </w:pPr>
            <w:r w:rsidRPr="00D35B2D">
              <w:rPr>
                <w:b/>
                <w:bCs/>
                <w:color w:val="00305F"/>
                <w:sz w:val="22"/>
                <w:szCs w:val="22"/>
              </w:rPr>
              <w:t xml:space="preserve">Ministry </w:t>
            </w:r>
            <w:r w:rsidR="00D959A7">
              <w:rPr>
                <w:b/>
                <w:bCs/>
                <w:color w:val="00305F"/>
                <w:sz w:val="22"/>
                <w:szCs w:val="22"/>
              </w:rPr>
              <w:t>o</w:t>
            </w:r>
            <w:r w:rsidRPr="00D35B2D">
              <w:rPr>
                <w:b/>
                <w:bCs/>
                <w:color w:val="00305F"/>
                <w:sz w:val="22"/>
                <w:szCs w:val="22"/>
              </w:rPr>
              <w:t>f Foreign Affairs</w:t>
            </w:r>
          </w:p>
        </w:tc>
      </w:tr>
      <w:tr w14:paraId="74E70D8F" w14:textId="77777777" w:rsidTr="00BC7301">
        <w:tblPrEx>
          <w:tblW w:w="0" w:type="auto"/>
          <w:tblLook w:val="04A0"/>
        </w:tblPrEx>
        <w:tc>
          <w:tcPr>
            <w:tcW w:w="985" w:type="dxa"/>
          </w:tcPr>
          <w:p w:rsidR="0022348A" w:rsidP="0022348A" w14:paraId="267CAF4F" w14:textId="0C73DC50">
            <w:pPr>
              <w:pStyle w:val="7190"/>
              <w:bidi w:val="0"/>
              <w:spacing w:before="100" w:after="100"/>
              <w:rPr>
                <w:rFonts w:ascii="Arial" w:hAnsi="Arial"/>
                <w:color w:val="000000"/>
              </w:rPr>
            </w:pPr>
            <w:r>
              <w:rPr>
                <w:rFonts w:ascii="Arial" w:hAnsi="Arial" w:hint="cs"/>
                <w:color w:val="000000"/>
                <w:rtl/>
              </w:rPr>
              <w:t>175</w:t>
            </w:r>
          </w:p>
        </w:tc>
        <w:tc>
          <w:tcPr>
            <w:tcW w:w="567" w:type="dxa"/>
          </w:tcPr>
          <w:p w:rsidR="0022348A" w:rsidRPr="00141BD3" w:rsidP="0022348A" w14:paraId="185E30CF" w14:textId="77777777">
            <w:pPr>
              <w:pStyle w:val="7190"/>
              <w:bidi w:val="0"/>
              <w:spacing w:before="100" w:after="100"/>
              <w:rPr>
                <w:rFonts w:ascii="Arial" w:hAnsi="Arial"/>
                <w:color w:val="000000"/>
                <w:rtl/>
              </w:rPr>
            </w:pPr>
          </w:p>
        </w:tc>
        <w:tc>
          <w:tcPr>
            <w:tcW w:w="5818" w:type="dxa"/>
            <w:vAlign w:val="center"/>
          </w:tcPr>
          <w:p w:rsidR="0022348A" w:rsidRPr="0022348A" w:rsidP="0022348A" w14:paraId="70833722" w14:textId="649B1B3F">
            <w:pPr>
              <w:pStyle w:val="7190"/>
              <w:bidi w:val="0"/>
              <w:spacing w:before="100" w:after="100"/>
              <w:rPr>
                <w:color w:val="0D0D0D"/>
                <w:spacing w:val="-4"/>
              </w:rPr>
            </w:pPr>
            <w:r w:rsidRPr="00D35B2D">
              <w:rPr>
                <w:color w:val="0D0D0D"/>
                <w:spacing w:val="-4"/>
              </w:rPr>
              <w:t>Planning and Management of Human Resources at the Ministry of Foreign Affairs – Follow-Up Audit</w:t>
            </w:r>
          </w:p>
        </w:tc>
      </w:tr>
      <w:tr w14:paraId="71E8D433" w14:textId="77777777" w:rsidTr="00BC7301">
        <w:tblPrEx>
          <w:tblW w:w="0" w:type="auto"/>
          <w:tblLook w:val="04A0"/>
        </w:tblPrEx>
        <w:tc>
          <w:tcPr>
            <w:tcW w:w="985" w:type="dxa"/>
          </w:tcPr>
          <w:p w:rsidR="0022348A" w:rsidP="0022348A" w14:paraId="5F000AAD" w14:textId="34132B7A">
            <w:pPr>
              <w:pStyle w:val="7190"/>
              <w:bidi w:val="0"/>
              <w:spacing w:before="100" w:after="100"/>
              <w:rPr>
                <w:rFonts w:ascii="Arial" w:hAnsi="Arial"/>
                <w:color w:val="000000"/>
              </w:rPr>
            </w:pPr>
            <w:r>
              <w:rPr>
                <w:rFonts w:ascii="Arial" w:hAnsi="Arial" w:hint="cs"/>
                <w:color w:val="000000"/>
                <w:rtl/>
              </w:rPr>
              <w:t>189</w:t>
            </w:r>
          </w:p>
        </w:tc>
        <w:tc>
          <w:tcPr>
            <w:tcW w:w="567" w:type="dxa"/>
          </w:tcPr>
          <w:p w:rsidR="0022348A" w:rsidRPr="00141BD3" w:rsidP="0022348A" w14:paraId="1FA68610" w14:textId="77777777">
            <w:pPr>
              <w:pStyle w:val="7190"/>
              <w:bidi w:val="0"/>
              <w:spacing w:before="100" w:after="100"/>
              <w:rPr>
                <w:rFonts w:ascii="Arial" w:hAnsi="Arial"/>
                <w:color w:val="000000"/>
                <w:rtl/>
              </w:rPr>
            </w:pPr>
          </w:p>
        </w:tc>
        <w:tc>
          <w:tcPr>
            <w:tcW w:w="5818" w:type="dxa"/>
            <w:vAlign w:val="center"/>
          </w:tcPr>
          <w:p w:rsidR="0022348A" w:rsidRPr="0022348A" w:rsidP="0022348A" w14:paraId="5271C6EA" w14:textId="2EFECAAC">
            <w:pPr>
              <w:pStyle w:val="7190"/>
              <w:bidi w:val="0"/>
              <w:spacing w:before="100" w:after="100"/>
              <w:rPr>
                <w:color w:val="0D0D0D"/>
                <w:spacing w:val="-4"/>
              </w:rPr>
            </w:pPr>
            <w:r w:rsidRPr="00D35B2D">
              <w:rPr>
                <w:color w:val="0D0D0D"/>
                <w:spacing w:val="-4"/>
              </w:rPr>
              <w:t>Employment of Local Workers in Israeli Diplomatic Missions Abroad – Follow-Up Audit</w:t>
            </w:r>
          </w:p>
        </w:tc>
      </w:tr>
      <w:tr w14:paraId="16611E31" w14:textId="77777777" w:rsidTr="00C32F01">
        <w:tblPrEx>
          <w:tblW w:w="0" w:type="auto"/>
          <w:tblLook w:val="04A0"/>
        </w:tblPrEx>
        <w:tc>
          <w:tcPr>
            <w:tcW w:w="985" w:type="dxa"/>
          </w:tcPr>
          <w:p w:rsidR="008F7778" w:rsidP="008F7778" w14:paraId="03BDBCE9" w14:textId="77777777">
            <w:pPr>
              <w:pStyle w:val="7190"/>
              <w:bidi w:val="0"/>
              <w:spacing w:before="240" w:after="80"/>
              <w:rPr>
                <w:rFonts w:ascii="Arial" w:hAnsi="Arial"/>
                <w:color w:val="000000"/>
              </w:rPr>
            </w:pPr>
          </w:p>
        </w:tc>
        <w:tc>
          <w:tcPr>
            <w:tcW w:w="567" w:type="dxa"/>
          </w:tcPr>
          <w:p w:rsidR="008F7778" w:rsidRPr="00141BD3" w:rsidP="008F7778" w14:paraId="2104DB10" w14:textId="77777777">
            <w:pPr>
              <w:pStyle w:val="7190"/>
              <w:bidi w:val="0"/>
              <w:spacing w:before="240" w:after="80"/>
              <w:rPr>
                <w:rFonts w:ascii="Arial" w:hAnsi="Arial"/>
                <w:color w:val="000000"/>
                <w:rtl/>
              </w:rPr>
            </w:pPr>
          </w:p>
        </w:tc>
        <w:tc>
          <w:tcPr>
            <w:tcW w:w="5818" w:type="dxa"/>
          </w:tcPr>
          <w:p w:rsidR="008F7778" w:rsidRPr="00D35B2D" w:rsidP="008F7778" w14:paraId="5254B2ED" w14:textId="21E75E42">
            <w:pPr>
              <w:pStyle w:val="7190"/>
              <w:bidi w:val="0"/>
              <w:spacing w:before="240" w:after="80"/>
              <w:rPr>
                <w:color w:val="0D0D0D"/>
                <w:spacing w:val="-4"/>
                <w:rtl/>
              </w:rPr>
            </w:pPr>
            <w:r w:rsidRPr="00D35B2D">
              <w:rPr>
                <w:b/>
                <w:bCs/>
                <w:color w:val="00305F"/>
                <w:sz w:val="22"/>
                <w:szCs w:val="22"/>
              </w:rPr>
              <w:t>Ministry of Agriculture and Rural Development</w:t>
            </w:r>
          </w:p>
        </w:tc>
      </w:tr>
      <w:tr w14:paraId="1657363B" w14:textId="77777777" w:rsidTr="00BC7301">
        <w:tblPrEx>
          <w:tblW w:w="0" w:type="auto"/>
          <w:tblLook w:val="04A0"/>
        </w:tblPrEx>
        <w:tc>
          <w:tcPr>
            <w:tcW w:w="985" w:type="dxa"/>
          </w:tcPr>
          <w:p w:rsidR="008F7778" w:rsidP="008F7778" w14:paraId="26D00D74" w14:textId="335C54E4">
            <w:pPr>
              <w:pStyle w:val="7190"/>
              <w:bidi w:val="0"/>
              <w:spacing w:before="100" w:after="100"/>
              <w:rPr>
                <w:rFonts w:ascii="Arial" w:hAnsi="Arial"/>
                <w:color w:val="000000"/>
              </w:rPr>
            </w:pPr>
            <w:r>
              <w:rPr>
                <w:rFonts w:ascii="Arial" w:hAnsi="Arial" w:hint="cs"/>
                <w:color w:val="000000"/>
                <w:rtl/>
              </w:rPr>
              <w:t>201</w:t>
            </w:r>
          </w:p>
        </w:tc>
        <w:tc>
          <w:tcPr>
            <w:tcW w:w="567" w:type="dxa"/>
          </w:tcPr>
          <w:p w:rsidR="008F7778" w:rsidRPr="00141BD3" w:rsidP="008F7778" w14:paraId="16A0D1D7" w14:textId="77777777">
            <w:pPr>
              <w:pStyle w:val="7190"/>
              <w:bidi w:val="0"/>
              <w:spacing w:before="100" w:after="100"/>
              <w:rPr>
                <w:rFonts w:ascii="Arial" w:hAnsi="Arial"/>
                <w:color w:val="000000"/>
                <w:rtl/>
              </w:rPr>
            </w:pPr>
          </w:p>
        </w:tc>
        <w:tc>
          <w:tcPr>
            <w:tcW w:w="5818" w:type="dxa"/>
            <w:vAlign w:val="center"/>
          </w:tcPr>
          <w:p w:rsidR="008F7778" w:rsidRPr="001875BC" w:rsidP="008F7778" w14:paraId="329EEF83" w14:textId="4271B68D">
            <w:pPr>
              <w:pStyle w:val="7190"/>
              <w:bidi w:val="0"/>
              <w:spacing w:before="100" w:after="100"/>
              <w:rPr>
                <w:color w:val="0D0D0D"/>
                <w:spacing w:val="-4"/>
                <w:rtl/>
              </w:rPr>
            </w:pPr>
            <w:r w:rsidRPr="00D35B2D">
              <w:rPr>
                <w:color w:val="0D0D0D"/>
                <w:spacing w:val="-4"/>
              </w:rPr>
              <w:t>Egg Production in Israel – Implementation of the Laying Hen Coops Reform</w:t>
            </w:r>
          </w:p>
        </w:tc>
      </w:tr>
      <w:tr w14:paraId="75F9DC50" w14:textId="77777777" w:rsidTr="00E8428B">
        <w:tblPrEx>
          <w:tblW w:w="0" w:type="auto"/>
          <w:tblLook w:val="04A0"/>
        </w:tblPrEx>
        <w:tc>
          <w:tcPr>
            <w:tcW w:w="985" w:type="dxa"/>
          </w:tcPr>
          <w:p w:rsidR="008F7778" w:rsidP="008F7778" w14:paraId="2AC82D68" w14:textId="77777777">
            <w:pPr>
              <w:pStyle w:val="7190"/>
              <w:bidi w:val="0"/>
              <w:spacing w:before="240" w:after="80"/>
              <w:rPr>
                <w:rFonts w:ascii="Arial" w:hAnsi="Arial"/>
                <w:color w:val="000000"/>
              </w:rPr>
            </w:pPr>
          </w:p>
        </w:tc>
        <w:tc>
          <w:tcPr>
            <w:tcW w:w="567" w:type="dxa"/>
          </w:tcPr>
          <w:p w:rsidR="008F7778" w:rsidRPr="00141BD3" w:rsidP="008F7778" w14:paraId="5C82BC8E" w14:textId="77777777">
            <w:pPr>
              <w:pStyle w:val="7190"/>
              <w:bidi w:val="0"/>
              <w:spacing w:before="240" w:after="80"/>
              <w:rPr>
                <w:rFonts w:ascii="Arial" w:hAnsi="Arial"/>
                <w:color w:val="000000"/>
                <w:rtl/>
              </w:rPr>
            </w:pPr>
          </w:p>
        </w:tc>
        <w:tc>
          <w:tcPr>
            <w:tcW w:w="5818" w:type="dxa"/>
          </w:tcPr>
          <w:p w:rsidR="008F7778" w:rsidP="008F7778" w14:paraId="1E888242" w14:textId="37A60DA3">
            <w:pPr>
              <w:pStyle w:val="7190"/>
              <w:bidi w:val="0"/>
              <w:spacing w:before="240" w:after="80"/>
              <w:rPr>
                <w:color w:val="0D0D0D"/>
                <w:spacing w:val="-4"/>
                <w:rtl/>
              </w:rPr>
            </w:pPr>
            <w:r w:rsidRPr="00D35B2D">
              <w:rPr>
                <w:b/>
                <w:bCs/>
                <w:color w:val="00305F"/>
                <w:sz w:val="22"/>
                <w:szCs w:val="22"/>
              </w:rPr>
              <w:t>Ministry of Education</w:t>
            </w:r>
          </w:p>
        </w:tc>
      </w:tr>
      <w:tr w14:paraId="6C6E60CB" w14:textId="77777777" w:rsidTr="00BC7301">
        <w:tblPrEx>
          <w:tblW w:w="0" w:type="auto"/>
          <w:tblLook w:val="04A0"/>
        </w:tblPrEx>
        <w:tc>
          <w:tcPr>
            <w:tcW w:w="985" w:type="dxa"/>
          </w:tcPr>
          <w:p w:rsidR="008F7778" w:rsidP="008F7778" w14:paraId="0D85EE10" w14:textId="54193065">
            <w:pPr>
              <w:pStyle w:val="7190"/>
              <w:bidi w:val="0"/>
              <w:spacing w:before="100" w:after="100"/>
              <w:rPr>
                <w:rFonts w:ascii="Arial" w:hAnsi="Arial"/>
                <w:color w:val="000000"/>
              </w:rPr>
            </w:pPr>
            <w:r>
              <w:rPr>
                <w:rFonts w:ascii="Arial" w:hAnsi="Arial" w:hint="cs"/>
                <w:color w:val="000000"/>
                <w:rtl/>
              </w:rPr>
              <w:t>217</w:t>
            </w:r>
          </w:p>
        </w:tc>
        <w:tc>
          <w:tcPr>
            <w:tcW w:w="567" w:type="dxa"/>
          </w:tcPr>
          <w:p w:rsidR="008F7778" w:rsidRPr="00141BD3" w:rsidP="008F7778" w14:paraId="660A9F2C" w14:textId="77777777">
            <w:pPr>
              <w:pStyle w:val="7190"/>
              <w:bidi w:val="0"/>
              <w:spacing w:before="100" w:after="100"/>
              <w:rPr>
                <w:rFonts w:ascii="Arial" w:hAnsi="Arial"/>
                <w:color w:val="000000"/>
                <w:rtl/>
              </w:rPr>
            </w:pPr>
          </w:p>
        </w:tc>
        <w:tc>
          <w:tcPr>
            <w:tcW w:w="5818" w:type="dxa"/>
            <w:vAlign w:val="center"/>
          </w:tcPr>
          <w:p w:rsidR="008F7778" w:rsidRPr="001875BC" w:rsidP="008F7778" w14:paraId="40894023" w14:textId="64A6DF47">
            <w:pPr>
              <w:pStyle w:val="7190"/>
              <w:bidi w:val="0"/>
              <w:spacing w:before="100" w:after="100"/>
              <w:rPr>
                <w:color w:val="0D0D0D"/>
                <w:spacing w:val="-4"/>
                <w:rtl/>
              </w:rPr>
            </w:pPr>
            <w:r w:rsidRPr="00D35B2D">
              <w:rPr>
                <w:color w:val="0D0D0D"/>
                <w:spacing w:val="-4"/>
              </w:rPr>
              <w:t>Development of Educational Institutions – New Construction and Expansion of Existing Structures</w:t>
            </w:r>
          </w:p>
        </w:tc>
      </w:tr>
      <w:tr w14:paraId="0DE84738" w14:textId="77777777" w:rsidTr="00121165">
        <w:tblPrEx>
          <w:tblW w:w="0" w:type="auto"/>
          <w:tblLook w:val="04A0"/>
        </w:tblPrEx>
        <w:tc>
          <w:tcPr>
            <w:tcW w:w="985" w:type="dxa"/>
          </w:tcPr>
          <w:p w:rsidR="008F7778" w:rsidP="008F7778" w14:paraId="61844308" w14:textId="77777777">
            <w:pPr>
              <w:pStyle w:val="7190"/>
              <w:bidi w:val="0"/>
              <w:spacing w:before="240" w:after="80"/>
              <w:rPr>
                <w:rFonts w:ascii="Arial" w:hAnsi="Arial"/>
                <w:color w:val="000000"/>
              </w:rPr>
            </w:pPr>
          </w:p>
        </w:tc>
        <w:tc>
          <w:tcPr>
            <w:tcW w:w="567" w:type="dxa"/>
          </w:tcPr>
          <w:p w:rsidR="008F7778" w:rsidRPr="00141BD3" w:rsidP="008F7778" w14:paraId="2A0C6A57" w14:textId="77777777">
            <w:pPr>
              <w:pStyle w:val="7190"/>
              <w:bidi w:val="0"/>
              <w:spacing w:before="240" w:after="80"/>
              <w:rPr>
                <w:rFonts w:ascii="Arial" w:hAnsi="Arial"/>
                <w:color w:val="000000"/>
                <w:rtl/>
              </w:rPr>
            </w:pPr>
          </w:p>
        </w:tc>
        <w:tc>
          <w:tcPr>
            <w:tcW w:w="5818" w:type="dxa"/>
          </w:tcPr>
          <w:p w:rsidR="008F7778" w:rsidRPr="00D35B2D" w:rsidP="008F7778" w14:paraId="39585CAE" w14:textId="0071E0DA">
            <w:pPr>
              <w:pStyle w:val="7190"/>
              <w:bidi w:val="0"/>
              <w:spacing w:before="240" w:after="80"/>
              <w:rPr>
                <w:color w:val="0D0D0D"/>
                <w:spacing w:val="-4"/>
                <w:rtl/>
              </w:rPr>
            </w:pPr>
            <w:r w:rsidRPr="00D35B2D">
              <w:rPr>
                <w:b/>
                <w:bCs/>
                <w:color w:val="00305F"/>
                <w:sz w:val="22"/>
                <w:szCs w:val="22"/>
              </w:rPr>
              <w:t>Ministry of Economy and Industry</w:t>
            </w:r>
            <w:r>
              <w:rPr>
                <w:b/>
                <w:bCs/>
                <w:color w:val="00305F"/>
                <w:sz w:val="22"/>
                <w:szCs w:val="22"/>
              </w:rPr>
              <w:t xml:space="preserve"> </w:t>
            </w:r>
            <w:r w:rsidRPr="00D35B2D">
              <w:rPr>
                <w:b/>
                <w:bCs/>
                <w:color w:val="00305F"/>
                <w:sz w:val="22"/>
                <w:szCs w:val="22"/>
              </w:rPr>
              <w:t xml:space="preserve">– </w:t>
            </w:r>
            <w:r>
              <w:rPr>
                <w:b/>
                <w:bCs/>
                <w:color w:val="00305F"/>
                <w:sz w:val="22"/>
                <w:szCs w:val="22"/>
              </w:rPr>
              <w:t xml:space="preserve">the </w:t>
            </w:r>
            <w:r w:rsidRPr="00D35B2D">
              <w:rPr>
                <w:b/>
                <w:bCs/>
                <w:color w:val="00305F"/>
                <w:sz w:val="22"/>
                <w:szCs w:val="22"/>
              </w:rPr>
              <w:t xml:space="preserve">Labor Branch  </w:t>
            </w:r>
          </w:p>
        </w:tc>
      </w:tr>
      <w:tr w14:paraId="2D7103A4" w14:textId="77777777" w:rsidTr="00BC7301">
        <w:tblPrEx>
          <w:tblW w:w="0" w:type="auto"/>
          <w:tblLook w:val="04A0"/>
        </w:tblPrEx>
        <w:tc>
          <w:tcPr>
            <w:tcW w:w="985" w:type="dxa"/>
          </w:tcPr>
          <w:p w:rsidR="008F7778" w:rsidP="008F7778" w14:paraId="2300F82D" w14:textId="44A06F50">
            <w:pPr>
              <w:pStyle w:val="7190"/>
              <w:bidi w:val="0"/>
              <w:spacing w:before="100" w:after="100"/>
              <w:rPr>
                <w:rFonts w:ascii="Arial" w:hAnsi="Arial"/>
                <w:color w:val="000000"/>
              </w:rPr>
            </w:pPr>
            <w:r>
              <w:rPr>
                <w:rFonts w:ascii="Arial" w:hAnsi="Arial" w:hint="cs"/>
                <w:color w:val="000000"/>
                <w:rtl/>
              </w:rPr>
              <w:t>229</w:t>
            </w:r>
          </w:p>
        </w:tc>
        <w:tc>
          <w:tcPr>
            <w:tcW w:w="567" w:type="dxa"/>
          </w:tcPr>
          <w:p w:rsidR="008F7778" w:rsidRPr="00141BD3" w:rsidP="008F7778" w14:paraId="773D9F1A" w14:textId="77777777">
            <w:pPr>
              <w:pStyle w:val="7190"/>
              <w:bidi w:val="0"/>
              <w:spacing w:before="100" w:after="100"/>
              <w:rPr>
                <w:rFonts w:ascii="Arial" w:hAnsi="Arial"/>
                <w:color w:val="000000"/>
                <w:rtl/>
              </w:rPr>
            </w:pPr>
          </w:p>
        </w:tc>
        <w:tc>
          <w:tcPr>
            <w:tcW w:w="5818" w:type="dxa"/>
            <w:vAlign w:val="center"/>
          </w:tcPr>
          <w:p w:rsidR="008F7778" w:rsidRPr="00D35B2D" w:rsidP="008F7778" w14:paraId="120D9099" w14:textId="7BF4BDE8">
            <w:pPr>
              <w:pStyle w:val="7190"/>
              <w:bidi w:val="0"/>
              <w:spacing w:before="100" w:after="100"/>
              <w:rPr>
                <w:color w:val="0D0D0D"/>
                <w:spacing w:val="-4"/>
                <w:rtl/>
              </w:rPr>
            </w:pPr>
            <w:r w:rsidRPr="00D35B2D">
              <w:rPr>
                <w:color w:val="0D0D0D"/>
                <w:spacing w:val="-4"/>
              </w:rPr>
              <w:t>Employee Safety in the Construction Industry</w:t>
            </w:r>
          </w:p>
        </w:tc>
      </w:tr>
      <w:tr w14:paraId="27B6C875" w14:textId="77777777" w:rsidTr="005C701B">
        <w:tblPrEx>
          <w:tblW w:w="0" w:type="auto"/>
          <w:tblLook w:val="04A0"/>
        </w:tblPrEx>
        <w:tc>
          <w:tcPr>
            <w:tcW w:w="985" w:type="dxa"/>
          </w:tcPr>
          <w:p w:rsidR="008F7778" w:rsidP="008F7778" w14:paraId="63A57E0C" w14:textId="77777777">
            <w:pPr>
              <w:pStyle w:val="7190"/>
              <w:bidi w:val="0"/>
              <w:spacing w:before="240" w:after="80"/>
              <w:rPr>
                <w:rFonts w:ascii="Arial" w:hAnsi="Arial"/>
                <w:color w:val="000000"/>
              </w:rPr>
            </w:pPr>
          </w:p>
        </w:tc>
        <w:tc>
          <w:tcPr>
            <w:tcW w:w="567" w:type="dxa"/>
          </w:tcPr>
          <w:p w:rsidR="008F7778" w:rsidRPr="00141BD3" w:rsidP="008F7778" w14:paraId="5EE17989" w14:textId="77777777">
            <w:pPr>
              <w:pStyle w:val="7190"/>
              <w:bidi w:val="0"/>
              <w:spacing w:before="240" w:after="80"/>
              <w:rPr>
                <w:rFonts w:ascii="Arial" w:hAnsi="Arial"/>
                <w:color w:val="000000"/>
                <w:rtl/>
              </w:rPr>
            </w:pPr>
          </w:p>
        </w:tc>
        <w:tc>
          <w:tcPr>
            <w:tcW w:w="5818" w:type="dxa"/>
          </w:tcPr>
          <w:p w:rsidR="008F7778" w:rsidP="008F7778" w14:paraId="0B005B2F" w14:textId="7213AF06">
            <w:pPr>
              <w:pStyle w:val="7190"/>
              <w:bidi w:val="0"/>
              <w:spacing w:before="240" w:after="80"/>
              <w:rPr>
                <w:color w:val="0D0D0D"/>
                <w:spacing w:val="-4"/>
                <w:rtl/>
              </w:rPr>
            </w:pPr>
            <w:r w:rsidRPr="00D35B2D">
              <w:rPr>
                <w:b/>
                <w:bCs/>
                <w:color w:val="00305F"/>
                <w:sz w:val="22"/>
                <w:szCs w:val="22"/>
              </w:rPr>
              <w:t>Ministry of Public Security – Israel Prison Service</w:t>
            </w:r>
          </w:p>
        </w:tc>
      </w:tr>
      <w:tr w14:paraId="06ACA4B9" w14:textId="77777777" w:rsidTr="00BC7301">
        <w:tblPrEx>
          <w:tblW w:w="0" w:type="auto"/>
          <w:tblLook w:val="04A0"/>
        </w:tblPrEx>
        <w:tc>
          <w:tcPr>
            <w:tcW w:w="985" w:type="dxa"/>
          </w:tcPr>
          <w:p w:rsidR="008F7778" w:rsidP="008F7778" w14:paraId="2A34F4B1" w14:textId="6C0E2BB6">
            <w:pPr>
              <w:pStyle w:val="7190"/>
              <w:bidi w:val="0"/>
              <w:spacing w:before="100" w:after="100"/>
              <w:rPr>
                <w:rFonts w:ascii="Arial" w:hAnsi="Arial"/>
                <w:color w:val="000000"/>
              </w:rPr>
            </w:pPr>
            <w:r>
              <w:rPr>
                <w:rFonts w:ascii="Arial" w:hAnsi="Arial" w:hint="cs"/>
                <w:color w:val="000000"/>
                <w:rtl/>
              </w:rPr>
              <w:t>239</w:t>
            </w:r>
          </w:p>
        </w:tc>
        <w:tc>
          <w:tcPr>
            <w:tcW w:w="567" w:type="dxa"/>
          </w:tcPr>
          <w:p w:rsidR="008F7778" w:rsidRPr="00141BD3" w:rsidP="008F7778" w14:paraId="4C9BE904" w14:textId="77777777">
            <w:pPr>
              <w:pStyle w:val="7190"/>
              <w:bidi w:val="0"/>
              <w:spacing w:before="100" w:after="100"/>
              <w:rPr>
                <w:rFonts w:ascii="Arial" w:hAnsi="Arial"/>
                <w:color w:val="000000"/>
                <w:rtl/>
              </w:rPr>
            </w:pPr>
          </w:p>
        </w:tc>
        <w:tc>
          <w:tcPr>
            <w:tcW w:w="5818" w:type="dxa"/>
            <w:vAlign w:val="center"/>
          </w:tcPr>
          <w:p w:rsidR="008F7778" w:rsidRPr="001875BC" w:rsidP="008F7778" w14:paraId="14471992" w14:textId="78594BDE">
            <w:pPr>
              <w:pStyle w:val="7190"/>
              <w:bidi w:val="0"/>
              <w:spacing w:before="100" w:after="100"/>
              <w:rPr>
                <w:color w:val="0D0D0D"/>
                <w:spacing w:val="-4"/>
                <w:rtl/>
              </w:rPr>
            </w:pPr>
            <w:r w:rsidRPr="00D35B2D">
              <w:rPr>
                <w:color w:val="0D0D0D"/>
                <w:spacing w:val="-4"/>
              </w:rPr>
              <w:t>The Medical Array for Treating Prisoners in Israel Prison Service – Follow-Up Audit</w:t>
            </w:r>
          </w:p>
        </w:tc>
      </w:tr>
      <w:tr w14:paraId="35C8F7D9" w14:textId="77777777" w:rsidTr="001D75E0">
        <w:tblPrEx>
          <w:tblW w:w="0" w:type="auto"/>
          <w:tblLook w:val="04A0"/>
        </w:tblPrEx>
        <w:tc>
          <w:tcPr>
            <w:tcW w:w="985" w:type="dxa"/>
          </w:tcPr>
          <w:p w:rsidR="008F7778" w:rsidP="008F7778" w14:paraId="283806E7" w14:textId="77777777">
            <w:pPr>
              <w:pStyle w:val="7190"/>
              <w:bidi w:val="0"/>
              <w:spacing w:before="240" w:after="80"/>
              <w:rPr>
                <w:rFonts w:ascii="Arial" w:hAnsi="Arial"/>
                <w:color w:val="000000"/>
              </w:rPr>
            </w:pPr>
          </w:p>
        </w:tc>
        <w:tc>
          <w:tcPr>
            <w:tcW w:w="567" w:type="dxa"/>
          </w:tcPr>
          <w:p w:rsidR="008F7778" w:rsidRPr="00141BD3" w:rsidP="008F7778" w14:paraId="086DA084" w14:textId="77777777">
            <w:pPr>
              <w:pStyle w:val="7190"/>
              <w:bidi w:val="0"/>
              <w:spacing w:before="240" w:after="80"/>
              <w:rPr>
                <w:rFonts w:ascii="Arial" w:hAnsi="Arial"/>
                <w:color w:val="000000"/>
                <w:rtl/>
              </w:rPr>
            </w:pPr>
          </w:p>
        </w:tc>
        <w:tc>
          <w:tcPr>
            <w:tcW w:w="5818" w:type="dxa"/>
          </w:tcPr>
          <w:p w:rsidR="008F7778" w:rsidP="008F7778" w14:paraId="70B39E33" w14:textId="08C32AC5">
            <w:pPr>
              <w:pStyle w:val="7190"/>
              <w:bidi w:val="0"/>
              <w:spacing w:before="240" w:after="80"/>
              <w:rPr>
                <w:color w:val="0D0D0D"/>
                <w:spacing w:val="-4"/>
                <w:rtl/>
              </w:rPr>
            </w:pPr>
            <w:r w:rsidRPr="00D35B2D">
              <w:rPr>
                <w:b/>
                <w:bCs/>
                <w:color w:val="00305F"/>
                <w:sz w:val="22"/>
                <w:szCs w:val="22"/>
              </w:rPr>
              <w:t>Ministry of Environmental protection</w:t>
            </w:r>
          </w:p>
        </w:tc>
      </w:tr>
      <w:tr w14:paraId="26A55D53" w14:textId="77777777" w:rsidTr="00BC7301">
        <w:tblPrEx>
          <w:tblW w:w="0" w:type="auto"/>
          <w:tblLook w:val="04A0"/>
        </w:tblPrEx>
        <w:tc>
          <w:tcPr>
            <w:tcW w:w="985" w:type="dxa"/>
          </w:tcPr>
          <w:p w:rsidR="008F7778" w:rsidP="008F7778" w14:paraId="79D91A44" w14:textId="3DC60947">
            <w:pPr>
              <w:pStyle w:val="7190"/>
              <w:bidi w:val="0"/>
              <w:spacing w:before="100" w:after="100"/>
              <w:rPr>
                <w:rFonts w:ascii="Arial" w:hAnsi="Arial"/>
                <w:color w:val="000000"/>
              </w:rPr>
            </w:pPr>
            <w:r>
              <w:rPr>
                <w:rFonts w:ascii="Arial" w:hAnsi="Arial" w:hint="cs"/>
                <w:color w:val="000000"/>
                <w:rtl/>
              </w:rPr>
              <w:t>249</w:t>
            </w:r>
          </w:p>
        </w:tc>
        <w:tc>
          <w:tcPr>
            <w:tcW w:w="567" w:type="dxa"/>
          </w:tcPr>
          <w:p w:rsidR="008F7778" w:rsidRPr="00141BD3" w:rsidP="008F7778" w14:paraId="18D1AC20" w14:textId="77777777">
            <w:pPr>
              <w:pStyle w:val="7190"/>
              <w:bidi w:val="0"/>
              <w:spacing w:before="100" w:after="100"/>
              <w:rPr>
                <w:rFonts w:ascii="Arial" w:hAnsi="Arial"/>
                <w:color w:val="000000"/>
                <w:rtl/>
              </w:rPr>
            </w:pPr>
          </w:p>
        </w:tc>
        <w:tc>
          <w:tcPr>
            <w:tcW w:w="5818" w:type="dxa"/>
            <w:vAlign w:val="center"/>
          </w:tcPr>
          <w:p w:rsidR="008F7778" w:rsidP="008F7778" w14:paraId="3EC50032" w14:textId="35DF9375">
            <w:pPr>
              <w:pStyle w:val="7190"/>
              <w:bidi w:val="0"/>
              <w:spacing w:before="100" w:after="100"/>
              <w:rPr>
                <w:color w:val="0D0D0D"/>
                <w:spacing w:val="-4"/>
                <w:rtl/>
              </w:rPr>
            </w:pPr>
            <w:r w:rsidRPr="00D35B2D">
              <w:rPr>
                <w:color w:val="0D0D0D"/>
                <w:spacing w:val="-4"/>
              </w:rPr>
              <w:t>Prevention of Damage from Invasive Species and Preserving Biodiversity</w:t>
            </w:r>
          </w:p>
        </w:tc>
      </w:tr>
      <w:tr w14:paraId="234CECFC" w14:textId="77777777" w:rsidTr="00BC7301">
        <w:tblPrEx>
          <w:tblW w:w="0" w:type="auto"/>
          <w:tblLook w:val="04A0"/>
        </w:tblPrEx>
        <w:tc>
          <w:tcPr>
            <w:tcW w:w="985" w:type="dxa"/>
          </w:tcPr>
          <w:p w:rsidR="008F7778" w:rsidP="008F7778" w14:paraId="6045AD2D" w14:textId="0B2CF67A">
            <w:pPr>
              <w:pStyle w:val="7190"/>
              <w:bidi w:val="0"/>
              <w:spacing w:before="100" w:after="100"/>
              <w:rPr>
                <w:rFonts w:ascii="Arial" w:hAnsi="Arial"/>
                <w:color w:val="000000"/>
              </w:rPr>
            </w:pPr>
            <w:r>
              <w:rPr>
                <w:rFonts w:ascii="Arial" w:hAnsi="Arial" w:hint="cs"/>
                <w:color w:val="000000"/>
                <w:rtl/>
              </w:rPr>
              <w:t>261</w:t>
            </w:r>
          </w:p>
        </w:tc>
        <w:tc>
          <w:tcPr>
            <w:tcW w:w="567" w:type="dxa"/>
          </w:tcPr>
          <w:p w:rsidR="008F7778" w:rsidRPr="00141BD3" w:rsidP="008F7778" w14:paraId="6C119287" w14:textId="77777777">
            <w:pPr>
              <w:pStyle w:val="7190"/>
              <w:bidi w:val="0"/>
              <w:spacing w:before="100" w:after="100"/>
              <w:rPr>
                <w:rFonts w:ascii="Arial" w:hAnsi="Arial"/>
                <w:color w:val="000000"/>
                <w:rtl/>
              </w:rPr>
            </w:pPr>
          </w:p>
        </w:tc>
        <w:tc>
          <w:tcPr>
            <w:tcW w:w="5818" w:type="dxa"/>
            <w:vAlign w:val="center"/>
          </w:tcPr>
          <w:p w:rsidR="008F7778" w:rsidRPr="001875BC" w:rsidP="008F7778" w14:paraId="792F368E" w14:textId="7627A291">
            <w:pPr>
              <w:pStyle w:val="7190"/>
              <w:bidi w:val="0"/>
              <w:spacing w:before="100" w:after="100"/>
              <w:rPr>
                <w:color w:val="0D0D0D"/>
                <w:spacing w:val="-4"/>
                <w:rtl/>
              </w:rPr>
            </w:pPr>
            <w:r w:rsidRPr="00D35B2D">
              <w:rPr>
                <w:color w:val="0D0D0D"/>
                <w:spacing w:val="-4"/>
              </w:rPr>
              <w:t>The Maintenance of Cleanliness Fund – Financial Aspects</w:t>
            </w:r>
          </w:p>
        </w:tc>
      </w:tr>
      <w:tr w14:paraId="3973E672" w14:textId="77777777" w:rsidTr="00BC7301">
        <w:tblPrEx>
          <w:tblW w:w="0" w:type="auto"/>
          <w:tblLook w:val="04A0"/>
        </w:tblPrEx>
        <w:tc>
          <w:tcPr>
            <w:tcW w:w="985" w:type="dxa"/>
          </w:tcPr>
          <w:p w:rsidR="008F7778" w:rsidP="00D35B2D" w14:paraId="02F7EEF7" w14:textId="77777777">
            <w:pPr>
              <w:pStyle w:val="7190"/>
              <w:bidi w:val="0"/>
              <w:spacing w:before="0" w:after="120"/>
              <w:rPr>
                <w:rFonts w:ascii="Arial" w:hAnsi="Arial"/>
                <w:color w:val="000000"/>
              </w:rPr>
            </w:pPr>
          </w:p>
        </w:tc>
        <w:tc>
          <w:tcPr>
            <w:tcW w:w="567" w:type="dxa"/>
          </w:tcPr>
          <w:p w:rsidR="008F7778" w:rsidRPr="00141BD3" w:rsidP="00D35B2D" w14:paraId="7C973632" w14:textId="2D413B64">
            <w:pPr>
              <w:pStyle w:val="7190"/>
              <w:bidi w:val="0"/>
              <w:spacing w:before="0" w:after="120"/>
              <w:rPr>
                <w:rFonts w:ascii="Arial" w:hAnsi="Arial"/>
                <w:color w:val="000000"/>
                <w:rtl/>
              </w:rPr>
            </w:pPr>
            <w:r>
              <w:rPr>
                <w:b/>
                <w:bCs/>
                <w:noProof/>
                <w:sz w:val="22"/>
                <w:szCs w:val="22"/>
                <w:rtl/>
                <w:lang w:val="he-IL"/>
              </w:rPr>
              <mc:AlternateContent>
                <mc:Choice Requires="wps">
                  <w:drawing>
                    <wp:anchor distT="0" distB="0" distL="114300" distR="114300" simplePos="0" relativeHeight="251701248" behindDoc="0" locked="0" layoutInCell="1" allowOverlap="1">
                      <wp:simplePos x="0" y="0"/>
                      <wp:positionH relativeFrom="column">
                        <wp:posOffset>55608</wp:posOffset>
                      </wp:positionH>
                      <wp:positionV relativeFrom="paragraph">
                        <wp:posOffset>572045</wp:posOffset>
                      </wp:positionV>
                      <wp:extent cx="1454150" cy="734695"/>
                      <wp:effectExtent l="12700" t="12700" r="19050" b="14605"/>
                      <wp:wrapNone/>
                      <wp:docPr id="6" name="מלבן 6"/>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7346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6" o:spid="_x0000_s1046" style="width:114.5pt;height:57.85pt;margin-top:45.05pt;margin-left:4.4pt;mso-height-percent:0;mso-height-relative:margin;mso-width-percent:0;mso-width-relative:margin;mso-wrap-distance-bottom:0;mso-wrap-distance-left:9pt;mso-wrap-distance-right:9pt;mso-wrap-distance-top:0;mso-wrap-style:square;position:absolute;visibility:visible;v-text-anchor:middle;z-index:251702272" fillcolor="white" strokecolor="white" strokeweight="2pt"/>
                  </w:pict>
                </mc:Fallback>
              </mc:AlternateContent>
            </w:r>
          </w:p>
        </w:tc>
        <w:tc>
          <w:tcPr>
            <w:tcW w:w="5818" w:type="dxa"/>
            <w:vAlign w:val="center"/>
          </w:tcPr>
          <w:p w:rsidR="008F7778" w:rsidP="00D35B2D" w14:paraId="50070C69" w14:textId="77777777">
            <w:pPr>
              <w:pStyle w:val="7190"/>
              <w:bidi w:val="0"/>
              <w:spacing w:before="0" w:after="120"/>
              <w:rPr>
                <w:color w:val="0D0D0D"/>
                <w:spacing w:val="-4"/>
                <w:rtl/>
              </w:rPr>
            </w:pPr>
          </w:p>
        </w:tc>
      </w:tr>
      <w:tr w14:paraId="529A9C36" w14:textId="77777777" w:rsidTr="00EF4817">
        <w:tblPrEx>
          <w:tblW w:w="0" w:type="auto"/>
          <w:tblLook w:val="04A0"/>
        </w:tblPrEx>
        <w:tc>
          <w:tcPr>
            <w:tcW w:w="7370" w:type="dxa"/>
            <w:gridSpan w:val="3"/>
          </w:tcPr>
          <w:p w:rsidR="008F7778" w:rsidRPr="001875BC" w:rsidP="008F7778" w14:paraId="54D1864C" w14:textId="3DDE4420">
            <w:pPr>
              <w:pStyle w:val="7190"/>
              <w:bidi w:val="0"/>
              <w:spacing w:before="100" w:after="100" w:line="276" w:lineRule="auto"/>
              <w:rPr>
                <w:color w:val="000000"/>
                <w:rtl/>
              </w:rPr>
            </w:pPr>
            <w:r w:rsidRPr="00E36AE1">
              <w:rPr>
                <w:color w:val="00305F"/>
                <w:sz w:val="24"/>
                <w:szCs w:val="24"/>
              </w:rPr>
              <w:t>Chapter Three</w:t>
            </w:r>
            <w:r>
              <w:rPr>
                <w:color w:val="00305F"/>
                <w:sz w:val="24"/>
                <w:szCs w:val="24"/>
              </w:rPr>
              <w:t xml:space="preserve"> | </w:t>
            </w:r>
            <w:r w:rsidRPr="001954F2">
              <w:rPr>
                <w:b/>
                <w:bCs/>
                <w:color w:val="00305F"/>
                <w:sz w:val="24"/>
                <w:szCs w:val="24"/>
              </w:rPr>
              <w:t xml:space="preserve">State </w:t>
            </w:r>
            <w:r w:rsidR="00300822">
              <w:rPr>
                <w:b/>
                <w:bCs/>
                <w:color w:val="00305F"/>
                <w:sz w:val="24"/>
                <w:szCs w:val="24"/>
              </w:rPr>
              <w:t>I</w:t>
            </w:r>
            <w:r w:rsidRPr="001954F2">
              <w:rPr>
                <w:b/>
                <w:bCs/>
                <w:color w:val="00305F"/>
                <w:sz w:val="24"/>
                <w:szCs w:val="24"/>
              </w:rPr>
              <w:t xml:space="preserve">nstitutions, </w:t>
            </w:r>
            <w:r w:rsidR="00300822">
              <w:rPr>
                <w:b/>
                <w:bCs/>
                <w:color w:val="00305F"/>
                <w:sz w:val="24"/>
                <w:szCs w:val="24"/>
              </w:rPr>
              <w:t>G</w:t>
            </w:r>
            <w:r w:rsidRPr="001954F2">
              <w:rPr>
                <w:b/>
                <w:bCs/>
                <w:color w:val="00305F"/>
                <w:sz w:val="24"/>
                <w:szCs w:val="24"/>
              </w:rPr>
              <w:t xml:space="preserve">overnment </w:t>
            </w:r>
            <w:r w:rsidR="00300822">
              <w:rPr>
                <w:b/>
                <w:bCs/>
                <w:color w:val="00305F"/>
                <w:sz w:val="24"/>
                <w:szCs w:val="24"/>
              </w:rPr>
              <w:t>C</w:t>
            </w:r>
            <w:r w:rsidRPr="001954F2">
              <w:rPr>
                <w:b/>
                <w:bCs/>
                <w:color w:val="00305F"/>
                <w:sz w:val="24"/>
                <w:szCs w:val="24"/>
              </w:rPr>
              <w:t xml:space="preserve">ompanies and </w:t>
            </w:r>
            <w:r w:rsidR="00300822">
              <w:rPr>
                <w:b/>
                <w:bCs/>
                <w:color w:val="00305F"/>
                <w:sz w:val="24"/>
                <w:szCs w:val="24"/>
              </w:rPr>
              <w:t>C</w:t>
            </w:r>
            <w:r w:rsidRPr="001954F2">
              <w:rPr>
                <w:b/>
                <w:bCs/>
                <w:color w:val="00305F"/>
                <w:sz w:val="24"/>
                <w:szCs w:val="24"/>
              </w:rPr>
              <w:t>orporations</w:t>
            </w:r>
          </w:p>
        </w:tc>
      </w:tr>
      <w:tr w14:paraId="795A1844" w14:textId="77777777" w:rsidTr="00BC7301">
        <w:tblPrEx>
          <w:tblW w:w="0" w:type="auto"/>
          <w:tblLook w:val="04A0"/>
        </w:tblPrEx>
        <w:tc>
          <w:tcPr>
            <w:tcW w:w="985" w:type="dxa"/>
          </w:tcPr>
          <w:p w:rsidR="001875BC" w:rsidRPr="004675B0" w:rsidP="001875BC" w14:paraId="2C2BBB24" w14:textId="77777777">
            <w:pPr>
              <w:pStyle w:val="7190"/>
              <w:bidi w:val="0"/>
              <w:spacing w:before="240" w:after="0"/>
              <w:rPr>
                <w:rFonts w:ascii="Arial" w:hAnsi="Arial"/>
                <w:color w:val="000000"/>
                <w:sz w:val="22"/>
                <w:szCs w:val="22"/>
                <w:rtl/>
              </w:rPr>
            </w:pPr>
          </w:p>
        </w:tc>
        <w:tc>
          <w:tcPr>
            <w:tcW w:w="567" w:type="dxa"/>
          </w:tcPr>
          <w:p w:rsidR="001875BC" w:rsidRPr="004675B0" w:rsidP="001875BC" w14:paraId="24B71F9C" w14:textId="77777777">
            <w:pPr>
              <w:pStyle w:val="7190"/>
              <w:bidi w:val="0"/>
              <w:spacing w:before="240" w:after="0"/>
              <w:rPr>
                <w:rFonts w:ascii="Arial" w:hAnsi="Arial"/>
                <w:color w:val="000000"/>
                <w:sz w:val="22"/>
                <w:szCs w:val="22"/>
                <w:rtl/>
              </w:rPr>
            </w:pPr>
          </w:p>
        </w:tc>
        <w:tc>
          <w:tcPr>
            <w:tcW w:w="5818" w:type="dxa"/>
          </w:tcPr>
          <w:p w:rsidR="001875BC" w:rsidRPr="004675B0" w:rsidP="001875BC" w14:paraId="20445ABF" w14:textId="25F1B543">
            <w:pPr>
              <w:pStyle w:val="7190"/>
              <w:bidi w:val="0"/>
              <w:spacing w:before="240" w:after="0"/>
              <w:rPr>
                <w:color w:val="000000"/>
                <w:sz w:val="22"/>
                <w:szCs w:val="22"/>
              </w:rPr>
            </w:pPr>
            <w:r w:rsidRPr="001954F2">
              <w:rPr>
                <w:b/>
                <w:bCs/>
                <w:color w:val="00305F"/>
                <w:sz w:val="22"/>
                <w:szCs w:val="22"/>
              </w:rPr>
              <w:t>Council for Higher Education</w:t>
            </w:r>
          </w:p>
        </w:tc>
      </w:tr>
      <w:tr w14:paraId="2294FC9A" w14:textId="77777777" w:rsidTr="00BC7301">
        <w:tblPrEx>
          <w:tblW w:w="0" w:type="auto"/>
          <w:tblLook w:val="04A0"/>
        </w:tblPrEx>
        <w:tc>
          <w:tcPr>
            <w:tcW w:w="985" w:type="dxa"/>
          </w:tcPr>
          <w:p w:rsidR="001875BC" w:rsidP="001875BC" w14:paraId="4FE78095" w14:textId="11DB556D">
            <w:pPr>
              <w:pStyle w:val="7190"/>
              <w:bidi w:val="0"/>
              <w:spacing w:before="100" w:after="100"/>
              <w:rPr>
                <w:rFonts w:ascii="Arial" w:hAnsi="Arial"/>
                <w:color w:val="000000"/>
                <w:sz w:val="24"/>
                <w:rtl/>
              </w:rPr>
            </w:pPr>
            <w:r>
              <w:rPr>
                <w:rFonts w:ascii="Arial" w:hAnsi="Arial" w:hint="cs"/>
                <w:color w:val="000000"/>
                <w:sz w:val="24"/>
                <w:rtl/>
              </w:rPr>
              <w:t>271</w:t>
            </w:r>
          </w:p>
        </w:tc>
        <w:tc>
          <w:tcPr>
            <w:tcW w:w="567" w:type="dxa"/>
          </w:tcPr>
          <w:p w:rsidR="001875BC" w:rsidRPr="00CD238C" w:rsidP="001875BC" w14:paraId="7F3CC292" w14:textId="77777777">
            <w:pPr>
              <w:pStyle w:val="7190"/>
              <w:bidi w:val="0"/>
              <w:spacing w:before="100" w:after="100"/>
              <w:rPr>
                <w:rFonts w:ascii="Arial" w:hAnsi="Arial"/>
                <w:color w:val="000000"/>
                <w:sz w:val="24"/>
                <w:rtl/>
              </w:rPr>
            </w:pPr>
          </w:p>
        </w:tc>
        <w:tc>
          <w:tcPr>
            <w:tcW w:w="5818" w:type="dxa"/>
          </w:tcPr>
          <w:p w:rsidR="001875BC" w:rsidRPr="00D85F90" w:rsidP="001875BC" w14:paraId="59015133" w14:textId="4668260D">
            <w:pPr>
              <w:pStyle w:val="7190"/>
              <w:bidi w:val="0"/>
              <w:spacing w:before="100" w:after="100"/>
              <w:rPr>
                <w:color w:val="000000"/>
              </w:rPr>
            </w:pPr>
            <w:r w:rsidRPr="001954F2">
              <w:rPr>
                <w:color w:val="0D0D0D"/>
              </w:rPr>
              <w:t>Financial Aspects of Higher Education Institutions' Activity</w:t>
            </w:r>
          </w:p>
        </w:tc>
      </w:tr>
      <w:tr w14:paraId="25DCC776" w14:textId="77777777" w:rsidTr="00BC7301">
        <w:tblPrEx>
          <w:tblW w:w="0" w:type="auto"/>
          <w:tblLook w:val="04A0"/>
        </w:tblPrEx>
        <w:tc>
          <w:tcPr>
            <w:tcW w:w="985" w:type="dxa"/>
          </w:tcPr>
          <w:p w:rsidR="001875BC" w:rsidRPr="004675B0" w:rsidP="001875BC" w14:paraId="48AB6913" w14:textId="77777777">
            <w:pPr>
              <w:pStyle w:val="7190"/>
              <w:bidi w:val="0"/>
              <w:spacing w:before="240" w:after="0"/>
              <w:rPr>
                <w:rFonts w:ascii="Arial" w:hAnsi="Arial"/>
                <w:color w:val="000000"/>
                <w:sz w:val="22"/>
                <w:szCs w:val="22"/>
                <w:rtl/>
              </w:rPr>
            </w:pPr>
          </w:p>
        </w:tc>
        <w:tc>
          <w:tcPr>
            <w:tcW w:w="567" w:type="dxa"/>
          </w:tcPr>
          <w:p w:rsidR="001875BC" w:rsidRPr="004675B0" w:rsidP="001875BC" w14:paraId="72EAE287" w14:textId="77777777">
            <w:pPr>
              <w:pStyle w:val="7190"/>
              <w:bidi w:val="0"/>
              <w:spacing w:before="240" w:after="0"/>
              <w:rPr>
                <w:rFonts w:ascii="Arial" w:hAnsi="Arial"/>
                <w:color w:val="000000"/>
                <w:sz w:val="22"/>
                <w:szCs w:val="22"/>
                <w:rtl/>
              </w:rPr>
            </w:pPr>
          </w:p>
        </w:tc>
        <w:tc>
          <w:tcPr>
            <w:tcW w:w="5818" w:type="dxa"/>
          </w:tcPr>
          <w:p w:rsidR="001875BC" w:rsidRPr="004675B0" w:rsidP="001875BC" w14:paraId="38015313" w14:textId="4A51EA53">
            <w:pPr>
              <w:pStyle w:val="7190"/>
              <w:bidi w:val="0"/>
              <w:spacing w:before="240" w:after="0"/>
              <w:rPr>
                <w:color w:val="000000"/>
                <w:sz w:val="22"/>
                <w:szCs w:val="22"/>
              </w:rPr>
            </w:pPr>
            <w:r w:rsidRPr="001954F2">
              <w:rPr>
                <w:b/>
                <w:bCs/>
                <w:color w:val="00305F"/>
                <w:sz w:val="22"/>
                <w:szCs w:val="22"/>
              </w:rPr>
              <w:t>National Insurance Institute</w:t>
            </w:r>
          </w:p>
        </w:tc>
      </w:tr>
      <w:tr w14:paraId="5E549A7F" w14:textId="77777777" w:rsidTr="00BC7301">
        <w:tblPrEx>
          <w:tblW w:w="0" w:type="auto"/>
          <w:tblLook w:val="04A0"/>
        </w:tblPrEx>
        <w:tc>
          <w:tcPr>
            <w:tcW w:w="985" w:type="dxa"/>
          </w:tcPr>
          <w:p w:rsidR="001875BC" w:rsidP="001875BC" w14:paraId="7AB03EC7" w14:textId="611596C3">
            <w:pPr>
              <w:pStyle w:val="7190"/>
              <w:bidi w:val="0"/>
              <w:spacing w:before="100" w:after="100"/>
              <w:rPr>
                <w:rFonts w:ascii="Arial" w:hAnsi="Arial"/>
                <w:color w:val="000000"/>
                <w:sz w:val="24"/>
                <w:rtl/>
              </w:rPr>
            </w:pPr>
            <w:r>
              <w:rPr>
                <w:rFonts w:ascii="Arial" w:hAnsi="Arial" w:hint="cs"/>
                <w:color w:val="000000"/>
                <w:sz w:val="24"/>
                <w:rtl/>
              </w:rPr>
              <w:t>283</w:t>
            </w:r>
          </w:p>
        </w:tc>
        <w:tc>
          <w:tcPr>
            <w:tcW w:w="567" w:type="dxa"/>
          </w:tcPr>
          <w:p w:rsidR="001875BC" w:rsidRPr="00CD238C" w:rsidP="001875BC" w14:paraId="56654CBB" w14:textId="77777777">
            <w:pPr>
              <w:pStyle w:val="7190"/>
              <w:bidi w:val="0"/>
              <w:spacing w:before="100" w:after="100"/>
              <w:rPr>
                <w:rFonts w:ascii="Arial" w:hAnsi="Arial"/>
                <w:color w:val="000000"/>
                <w:sz w:val="24"/>
                <w:rtl/>
              </w:rPr>
            </w:pPr>
          </w:p>
        </w:tc>
        <w:tc>
          <w:tcPr>
            <w:tcW w:w="5818" w:type="dxa"/>
          </w:tcPr>
          <w:p w:rsidR="001875BC" w:rsidRPr="00D85F90" w:rsidP="001875BC" w14:paraId="073D8644" w14:textId="300A6CF4">
            <w:pPr>
              <w:pStyle w:val="7190"/>
              <w:bidi w:val="0"/>
              <w:spacing w:before="100" w:after="100"/>
              <w:rPr>
                <w:color w:val="000000"/>
              </w:rPr>
            </w:pPr>
            <w:r w:rsidRPr="001954F2">
              <w:rPr>
                <w:color w:val="0D0D0D"/>
              </w:rPr>
              <w:t xml:space="preserve">State Treatment of Elderly </w:t>
            </w:r>
            <w:r w:rsidR="001D331F">
              <w:rPr>
                <w:color w:val="0D0D0D"/>
              </w:rPr>
              <w:t>R</w:t>
            </w:r>
            <w:r w:rsidRPr="001954F2">
              <w:rPr>
                <w:color w:val="0D0D0D"/>
              </w:rPr>
              <w:t>equiring Nursing Care while Living at Home – Follow-Up Audit</w:t>
            </w:r>
          </w:p>
        </w:tc>
      </w:tr>
      <w:tr w14:paraId="36AD8A36" w14:textId="77777777" w:rsidTr="00BC7301">
        <w:tblPrEx>
          <w:tblW w:w="0" w:type="auto"/>
          <w:tblLook w:val="04A0"/>
        </w:tblPrEx>
        <w:tc>
          <w:tcPr>
            <w:tcW w:w="985" w:type="dxa"/>
          </w:tcPr>
          <w:p w:rsidR="001875BC" w:rsidRPr="004675B0" w:rsidP="001875BC" w14:paraId="6EB7D206" w14:textId="77777777">
            <w:pPr>
              <w:pStyle w:val="7190"/>
              <w:bidi w:val="0"/>
              <w:spacing w:before="240" w:after="0"/>
              <w:rPr>
                <w:rFonts w:ascii="Arial" w:hAnsi="Arial"/>
                <w:color w:val="000000"/>
                <w:sz w:val="22"/>
                <w:szCs w:val="22"/>
                <w:rtl/>
              </w:rPr>
            </w:pPr>
          </w:p>
        </w:tc>
        <w:tc>
          <w:tcPr>
            <w:tcW w:w="567" w:type="dxa"/>
          </w:tcPr>
          <w:p w:rsidR="001875BC" w:rsidRPr="004675B0" w:rsidP="001875BC" w14:paraId="1D0132DB" w14:textId="77777777">
            <w:pPr>
              <w:pStyle w:val="7190"/>
              <w:bidi w:val="0"/>
              <w:spacing w:before="240" w:after="0"/>
              <w:rPr>
                <w:rFonts w:ascii="Arial" w:hAnsi="Arial"/>
                <w:color w:val="000000"/>
                <w:sz w:val="22"/>
                <w:szCs w:val="22"/>
                <w:rtl/>
              </w:rPr>
            </w:pPr>
          </w:p>
        </w:tc>
        <w:tc>
          <w:tcPr>
            <w:tcW w:w="5818" w:type="dxa"/>
          </w:tcPr>
          <w:p w:rsidR="001875BC" w:rsidRPr="004675B0" w:rsidP="001875BC" w14:paraId="5208CD01" w14:textId="3D6134C3">
            <w:pPr>
              <w:pStyle w:val="7190"/>
              <w:bidi w:val="0"/>
              <w:spacing w:before="240" w:after="0"/>
              <w:rPr>
                <w:color w:val="000000"/>
                <w:sz w:val="22"/>
                <w:szCs w:val="22"/>
              </w:rPr>
            </w:pPr>
            <w:r w:rsidRPr="001954F2">
              <w:rPr>
                <w:b/>
                <w:bCs/>
                <w:color w:val="00305F"/>
                <w:sz w:val="22"/>
                <w:szCs w:val="22"/>
              </w:rPr>
              <w:t>Amidar</w:t>
            </w:r>
            <w:r w:rsidRPr="001954F2">
              <w:rPr>
                <w:b/>
                <w:bCs/>
                <w:color w:val="00305F"/>
                <w:sz w:val="22"/>
                <w:szCs w:val="22"/>
              </w:rPr>
              <w:t>, The Israeli National Public Housing Company Ltd.</w:t>
            </w:r>
          </w:p>
        </w:tc>
      </w:tr>
      <w:tr w14:paraId="10D726EB" w14:textId="77777777" w:rsidTr="00BC7301">
        <w:tblPrEx>
          <w:tblW w:w="0" w:type="auto"/>
          <w:tblLook w:val="04A0"/>
        </w:tblPrEx>
        <w:tc>
          <w:tcPr>
            <w:tcW w:w="985" w:type="dxa"/>
          </w:tcPr>
          <w:p w:rsidR="001875BC" w:rsidP="001875BC" w14:paraId="3A9C1435" w14:textId="06296566">
            <w:pPr>
              <w:pStyle w:val="7190"/>
              <w:bidi w:val="0"/>
              <w:spacing w:before="100" w:after="100"/>
              <w:rPr>
                <w:rFonts w:ascii="Arial" w:hAnsi="Arial"/>
                <w:color w:val="000000"/>
                <w:sz w:val="24"/>
                <w:rtl/>
              </w:rPr>
            </w:pPr>
            <w:r>
              <w:rPr>
                <w:rFonts w:ascii="Arial" w:hAnsi="Arial" w:hint="cs"/>
                <w:color w:val="000000"/>
                <w:sz w:val="24"/>
                <w:rtl/>
              </w:rPr>
              <w:t>295</w:t>
            </w:r>
          </w:p>
        </w:tc>
        <w:tc>
          <w:tcPr>
            <w:tcW w:w="567" w:type="dxa"/>
          </w:tcPr>
          <w:p w:rsidR="001875BC" w:rsidRPr="00CD238C" w:rsidP="001875BC" w14:paraId="10BFFFE3" w14:textId="77777777">
            <w:pPr>
              <w:pStyle w:val="7190"/>
              <w:bidi w:val="0"/>
              <w:spacing w:before="100" w:after="100"/>
              <w:rPr>
                <w:rFonts w:ascii="Arial" w:hAnsi="Arial"/>
                <w:color w:val="000000"/>
                <w:sz w:val="24"/>
                <w:rtl/>
              </w:rPr>
            </w:pPr>
          </w:p>
        </w:tc>
        <w:tc>
          <w:tcPr>
            <w:tcW w:w="5818" w:type="dxa"/>
          </w:tcPr>
          <w:p w:rsidR="001875BC" w:rsidRPr="00D85F90" w:rsidP="001875BC" w14:paraId="30C857A5" w14:textId="2A6F4DB6">
            <w:pPr>
              <w:pStyle w:val="7190"/>
              <w:bidi w:val="0"/>
              <w:spacing w:before="100" w:after="100"/>
              <w:rPr>
                <w:color w:val="000000"/>
              </w:rPr>
            </w:pPr>
            <w:r w:rsidRPr="001954F2">
              <w:rPr>
                <w:color w:val="0D0D0D"/>
              </w:rPr>
              <w:t xml:space="preserve">Maintenance of Apartments Belonging to </w:t>
            </w:r>
            <w:r w:rsidRPr="001954F2">
              <w:rPr>
                <w:color w:val="0D0D0D"/>
              </w:rPr>
              <w:t>Amidar</w:t>
            </w:r>
            <w:r w:rsidR="00D959A7">
              <w:rPr>
                <w:color w:val="0D0D0D"/>
              </w:rPr>
              <w:t>,</w:t>
            </w:r>
            <w:r w:rsidRPr="001954F2">
              <w:rPr>
                <w:color w:val="0D0D0D"/>
              </w:rPr>
              <w:t xml:space="preserve"> the Israeli National Public Housing Company Ltd.</w:t>
            </w:r>
          </w:p>
        </w:tc>
      </w:tr>
      <w:tr w14:paraId="2DF2A314" w14:textId="77777777" w:rsidTr="00BC7301">
        <w:tblPrEx>
          <w:tblW w:w="0" w:type="auto"/>
          <w:tblLook w:val="04A0"/>
        </w:tblPrEx>
        <w:tc>
          <w:tcPr>
            <w:tcW w:w="985" w:type="dxa"/>
          </w:tcPr>
          <w:p w:rsidR="001875BC" w:rsidP="001875BC" w14:paraId="09505FD8" w14:textId="77777777">
            <w:pPr>
              <w:pStyle w:val="7190"/>
              <w:bidi w:val="0"/>
              <w:spacing w:before="0" w:after="0"/>
              <w:rPr>
                <w:rFonts w:ascii="Arial" w:hAnsi="Arial"/>
                <w:color w:val="000000"/>
                <w:sz w:val="24"/>
                <w:rtl/>
              </w:rPr>
            </w:pPr>
          </w:p>
        </w:tc>
        <w:tc>
          <w:tcPr>
            <w:tcW w:w="567" w:type="dxa"/>
          </w:tcPr>
          <w:p w:rsidR="001875BC" w:rsidRPr="00CD238C" w:rsidP="001875BC" w14:paraId="6B79A80D" w14:textId="77777777">
            <w:pPr>
              <w:pStyle w:val="7190"/>
              <w:bidi w:val="0"/>
              <w:spacing w:before="0" w:after="0"/>
              <w:rPr>
                <w:rFonts w:ascii="Arial" w:hAnsi="Arial"/>
                <w:color w:val="000000"/>
                <w:sz w:val="24"/>
                <w:rtl/>
              </w:rPr>
            </w:pPr>
          </w:p>
        </w:tc>
        <w:tc>
          <w:tcPr>
            <w:tcW w:w="5818" w:type="dxa"/>
          </w:tcPr>
          <w:p w:rsidR="001875BC" w:rsidRPr="00D85F90" w:rsidP="001875BC" w14:paraId="3530D89C" w14:textId="7C38ADD2">
            <w:pPr>
              <w:pStyle w:val="7190"/>
              <w:bidi w:val="0"/>
              <w:spacing w:before="0" w:after="0"/>
              <w:rPr>
                <w:color w:val="000000"/>
              </w:rPr>
            </w:pPr>
          </w:p>
        </w:tc>
      </w:tr>
      <w:tr w14:paraId="776428AB" w14:textId="77777777" w:rsidTr="001E5452">
        <w:tblPrEx>
          <w:tblW w:w="0" w:type="auto"/>
          <w:tblLook w:val="04A0"/>
        </w:tblPrEx>
        <w:tc>
          <w:tcPr>
            <w:tcW w:w="985" w:type="dxa"/>
          </w:tcPr>
          <w:p w:rsidR="001875BC" w:rsidP="001875BC" w14:paraId="2DDBE9F4" w14:textId="77777777">
            <w:pPr>
              <w:pStyle w:val="7190"/>
              <w:bidi w:val="0"/>
              <w:spacing w:after="120"/>
              <w:rPr>
                <w:color w:val="00305F"/>
                <w:sz w:val="22"/>
                <w:szCs w:val="22"/>
                <w:rtl/>
              </w:rPr>
            </w:pPr>
          </w:p>
        </w:tc>
        <w:tc>
          <w:tcPr>
            <w:tcW w:w="567" w:type="dxa"/>
          </w:tcPr>
          <w:p w:rsidR="001875BC" w:rsidP="001875BC" w14:paraId="68AB141F" w14:textId="77777777">
            <w:pPr>
              <w:pStyle w:val="7190"/>
              <w:bidi w:val="0"/>
              <w:spacing w:after="120"/>
              <w:rPr>
                <w:color w:val="00305F"/>
                <w:sz w:val="22"/>
                <w:szCs w:val="22"/>
                <w:rtl/>
              </w:rPr>
            </w:pPr>
          </w:p>
        </w:tc>
        <w:tc>
          <w:tcPr>
            <w:tcW w:w="5818" w:type="dxa"/>
          </w:tcPr>
          <w:p w:rsidR="001875BC" w:rsidRPr="00B20BCC" w:rsidP="001875BC" w14:paraId="062FEB57" w14:textId="4B47531E">
            <w:pPr>
              <w:pStyle w:val="7190"/>
              <w:bidi w:val="0"/>
              <w:spacing w:after="120"/>
              <w:jc w:val="both"/>
              <w:rPr>
                <w:color w:val="00305F"/>
                <w:sz w:val="22"/>
                <w:szCs w:val="22"/>
              </w:rPr>
            </w:pPr>
            <w:r w:rsidRPr="003C3E61">
              <w:rPr>
                <w:color w:val="00305F"/>
                <w:sz w:val="24"/>
                <w:szCs w:val="24"/>
              </w:rPr>
              <w:t>Chapter Four |</w:t>
            </w:r>
            <w:r w:rsidRPr="003C3E61">
              <w:rPr>
                <w:b/>
                <w:bCs/>
                <w:color w:val="00305F"/>
                <w:sz w:val="24"/>
                <w:szCs w:val="24"/>
              </w:rPr>
              <w:t xml:space="preserve"> </w:t>
            </w:r>
            <w:r>
              <w:rPr>
                <w:b/>
                <w:bCs/>
                <w:color w:val="00305F"/>
                <w:sz w:val="24"/>
                <w:szCs w:val="24"/>
              </w:rPr>
              <w:t>Defen</w:t>
            </w:r>
            <w:r w:rsidR="001D331F">
              <w:rPr>
                <w:b/>
                <w:bCs/>
                <w:color w:val="00305F"/>
                <w:sz w:val="24"/>
                <w:szCs w:val="24"/>
              </w:rPr>
              <w:t>s</w:t>
            </w:r>
            <w:r>
              <w:rPr>
                <w:b/>
                <w:bCs/>
                <w:color w:val="00305F"/>
                <w:sz w:val="24"/>
                <w:szCs w:val="24"/>
              </w:rPr>
              <w:t>e</w:t>
            </w:r>
            <w:r w:rsidRPr="001954F2">
              <w:rPr>
                <w:b/>
                <w:bCs/>
                <w:color w:val="00305F"/>
                <w:sz w:val="24"/>
                <w:szCs w:val="24"/>
              </w:rPr>
              <w:t xml:space="preserve"> system</w:t>
            </w:r>
          </w:p>
        </w:tc>
      </w:tr>
      <w:tr w14:paraId="3D1F73FA" w14:textId="77777777" w:rsidTr="001E5452">
        <w:tblPrEx>
          <w:tblW w:w="0" w:type="auto"/>
          <w:tblLook w:val="04A0"/>
        </w:tblPrEx>
        <w:tc>
          <w:tcPr>
            <w:tcW w:w="985" w:type="dxa"/>
          </w:tcPr>
          <w:p w:rsidR="001875BC" w:rsidP="001875BC" w14:paraId="5EA3E922" w14:textId="4B2E7103">
            <w:pPr>
              <w:pStyle w:val="7190"/>
              <w:bidi w:val="0"/>
              <w:spacing w:before="100" w:after="100"/>
              <w:rPr>
                <w:rFonts w:ascii="Arial" w:hAnsi="Arial"/>
                <w:color w:val="000000"/>
                <w:sz w:val="24"/>
                <w:rtl/>
              </w:rPr>
            </w:pPr>
          </w:p>
        </w:tc>
        <w:tc>
          <w:tcPr>
            <w:tcW w:w="567" w:type="dxa"/>
          </w:tcPr>
          <w:p w:rsidR="001875BC" w:rsidRPr="00CD238C" w:rsidP="001875BC" w14:paraId="51339EFB" w14:textId="77777777">
            <w:pPr>
              <w:pStyle w:val="7190"/>
              <w:bidi w:val="0"/>
              <w:spacing w:before="100" w:after="100"/>
              <w:rPr>
                <w:rFonts w:ascii="Arial" w:hAnsi="Arial"/>
                <w:color w:val="000000"/>
                <w:sz w:val="24"/>
                <w:rtl/>
              </w:rPr>
            </w:pPr>
          </w:p>
        </w:tc>
        <w:tc>
          <w:tcPr>
            <w:tcW w:w="5818" w:type="dxa"/>
          </w:tcPr>
          <w:p w:rsidR="001875BC" w:rsidRPr="00D80478" w:rsidP="001875BC" w14:paraId="4466F706" w14:textId="280471B3">
            <w:pPr>
              <w:pStyle w:val="7190"/>
              <w:bidi w:val="0"/>
              <w:spacing w:before="100" w:after="100"/>
              <w:rPr>
                <w:color w:val="000000"/>
                <w:rtl/>
              </w:rPr>
            </w:pPr>
            <w:r w:rsidRPr="001954F2">
              <w:rPr>
                <w:b/>
                <w:bCs/>
                <w:color w:val="00305F"/>
                <w:sz w:val="22"/>
                <w:szCs w:val="22"/>
              </w:rPr>
              <w:t xml:space="preserve">Interdisciplinary </w:t>
            </w:r>
            <w:r>
              <w:rPr>
                <w:b/>
                <w:bCs/>
                <w:color w:val="00305F"/>
                <w:sz w:val="22"/>
                <w:szCs w:val="22"/>
              </w:rPr>
              <w:t>Audit</w:t>
            </w:r>
          </w:p>
        </w:tc>
      </w:tr>
      <w:tr w14:paraId="1D9A8C0B" w14:textId="77777777" w:rsidTr="001E5452">
        <w:tblPrEx>
          <w:tblW w:w="0" w:type="auto"/>
          <w:tblLook w:val="04A0"/>
        </w:tblPrEx>
        <w:tc>
          <w:tcPr>
            <w:tcW w:w="985" w:type="dxa"/>
          </w:tcPr>
          <w:p w:rsidR="001875BC" w:rsidP="001875BC" w14:paraId="7AB10CA4" w14:textId="1D942D47">
            <w:pPr>
              <w:pStyle w:val="7190"/>
              <w:bidi w:val="0"/>
              <w:spacing w:before="100" w:after="100"/>
              <w:rPr>
                <w:rFonts w:ascii="Arial" w:hAnsi="Arial"/>
                <w:color w:val="000000"/>
                <w:sz w:val="24"/>
                <w:rtl/>
              </w:rPr>
            </w:pPr>
            <w:r>
              <w:rPr>
                <w:rFonts w:ascii="Arial" w:hAnsi="Arial" w:hint="cs"/>
                <w:color w:val="000000"/>
                <w:sz w:val="24"/>
                <w:rtl/>
              </w:rPr>
              <w:t>307</w:t>
            </w:r>
          </w:p>
        </w:tc>
        <w:tc>
          <w:tcPr>
            <w:tcW w:w="567" w:type="dxa"/>
          </w:tcPr>
          <w:p w:rsidR="001875BC" w:rsidRPr="00CD238C" w:rsidP="001875BC" w14:paraId="753EF313" w14:textId="77777777">
            <w:pPr>
              <w:pStyle w:val="7190"/>
              <w:bidi w:val="0"/>
              <w:spacing w:before="100" w:after="100"/>
              <w:rPr>
                <w:rFonts w:ascii="Arial" w:hAnsi="Arial"/>
                <w:color w:val="000000"/>
                <w:sz w:val="24"/>
                <w:rtl/>
              </w:rPr>
            </w:pPr>
          </w:p>
        </w:tc>
        <w:tc>
          <w:tcPr>
            <w:tcW w:w="5818" w:type="dxa"/>
          </w:tcPr>
          <w:p w:rsidR="001875BC" w:rsidRPr="00D80478" w:rsidP="001875BC" w14:paraId="0B0017B7" w14:textId="2CD256CD">
            <w:pPr>
              <w:pStyle w:val="7190"/>
              <w:bidi w:val="0"/>
              <w:spacing w:before="100" w:after="100"/>
              <w:rPr>
                <w:color w:val="000000"/>
              </w:rPr>
            </w:pPr>
            <w:r w:rsidRPr="000A0F64">
              <w:rPr>
                <w:color w:val="0D0D0D"/>
                <w:spacing w:val="-4"/>
              </w:rPr>
              <w:t xml:space="preserve">Security Components in Front Line </w:t>
            </w:r>
            <w:r w:rsidR="0057233D">
              <w:rPr>
                <w:color w:val="0D0D0D"/>
                <w:spacing w:val="-4"/>
              </w:rPr>
              <w:t>C</w:t>
            </w:r>
            <w:r w:rsidRPr="001D331F" w:rsidR="001D331F">
              <w:rPr>
                <w:color w:val="0D0D0D"/>
                <w:spacing w:val="-4"/>
              </w:rPr>
              <w:t xml:space="preserve">ommunities </w:t>
            </w:r>
            <w:r w:rsidRPr="000A0F64">
              <w:rPr>
                <w:color w:val="0D0D0D"/>
                <w:spacing w:val="-4"/>
              </w:rPr>
              <w:t>in the Regional Commands – Follow-up Audit</w:t>
            </w:r>
          </w:p>
        </w:tc>
      </w:tr>
      <w:tr w14:paraId="40EFAED9" w14:textId="77777777" w:rsidTr="001E5452">
        <w:tblPrEx>
          <w:tblW w:w="0" w:type="auto"/>
          <w:tblLook w:val="04A0"/>
        </w:tblPrEx>
        <w:tc>
          <w:tcPr>
            <w:tcW w:w="985" w:type="dxa"/>
          </w:tcPr>
          <w:p w:rsidR="001875BC" w:rsidP="001875BC" w14:paraId="5F0F5C9B" w14:textId="2A78BCD8">
            <w:pPr>
              <w:pStyle w:val="7190"/>
              <w:bidi w:val="0"/>
              <w:spacing w:before="100" w:after="100"/>
              <w:rPr>
                <w:rFonts w:ascii="Arial" w:hAnsi="Arial"/>
                <w:color w:val="000000"/>
                <w:sz w:val="24"/>
                <w:rtl/>
              </w:rPr>
            </w:pPr>
            <w:r>
              <w:rPr>
                <w:rFonts w:ascii="Arial" w:hAnsi="Arial" w:hint="cs"/>
                <w:color w:val="000000"/>
                <w:sz w:val="24"/>
                <w:rtl/>
              </w:rPr>
              <w:t>321</w:t>
            </w:r>
          </w:p>
        </w:tc>
        <w:tc>
          <w:tcPr>
            <w:tcW w:w="567" w:type="dxa"/>
          </w:tcPr>
          <w:p w:rsidR="001875BC" w:rsidRPr="00CD238C" w:rsidP="001875BC" w14:paraId="6B608C96" w14:textId="77777777">
            <w:pPr>
              <w:pStyle w:val="7190"/>
              <w:bidi w:val="0"/>
              <w:spacing w:before="100" w:after="100"/>
              <w:rPr>
                <w:rFonts w:ascii="Arial" w:hAnsi="Arial"/>
                <w:color w:val="000000"/>
                <w:sz w:val="24"/>
                <w:rtl/>
              </w:rPr>
            </w:pPr>
          </w:p>
        </w:tc>
        <w:tc>
          <w:tcPr>
            <w:tcW w:w="5818" w:type="dxa"/>
          </w:tcPr>
          <w:p w:rsidR="001875BC" w:rsidRPr="007C5BC2" w:rsidP="001875BC" w14:paraId="71FE3978" w14:textId="711144C5">
            <w:pPr>
              <w:pStyle w:val="7190"/>
              <w:bidi w:val="0"/>
              <w:spacing w:before="100" w:after="100"/>
              <w:rPr>
                <w:color w:val="0D0D0D"/>
              </w:rPr>
            </w:pPr>
            <w:bookmarkStart w:id="0" w:name="_Hlk117682454"/>
            <w:r w:rsidRPr="000A0F64">
              <w:rPr>
                <w:color w:val="0D0D0D"/>
                <w:spacing w:val="-4"/>
              </w:rPr>
              <w:t>Samaria and Judea District of the Israel Police – Follow-up Audit</w:t>
            </w:r>
            <w:bookmarkEnd w:id="0"/>
          </w:p>
        </w:tc>
      </w:tr>
      <w:tr w14:paraId="00DD5A49" w14:textId="77777777" w:rsidTr="001E5452">
        <w:tblPrEx>
          <w:tblW w:w="0" w:type="auto"/>
          <w:tblLook w:val="04A0"/>
        </w:tblPrEx>
        <w:tc>
          <w:tcPr>
            <w:tcW w:w="985" w:type="dxa"/>
          </w:tcPr>
          <w:p w:rsidR="001875BC" w:rsidP="001875BC" w14:paraId="7A454C7C" w14:textId="6E4BA9CC">
            <w:pPr>
              <w:pStyle w:val="7190"/>
              <w:bidi w:val="0"/>
              <w:spacing w:before="240" w:after="80"/>
              <w:rPr>
                <w:rFonts w:ascii="Arial" w:hAnsi="Arial"/>
                <w:color w:val="000000"/>
                <w:sz w:val="24"/>
                <w:rtl/>
              </w:rPr>
            </w:pPr>
          </w:p>
        </w:tc>
        <w:tc>
          <w:tcPr>
            <w:tcW w:w="567" w:type="dxa"/>
          </w:tcPr>
          <w:p w:rsidR="001875BC" w:rsidRPr="00CD238C" w:rsidP="001875BC" w14:paraId="4F943D63" w14:textId="77777777">
            <w:pPr>
              <w:pStyle w:val="7190"/>
              <w:bidi w:val="0"/>
              <w:spacing w:before="240" w:after="80"/>
              <w:rPr>
                <w:rFonts w:ascii="Arial" w:hAnsi="Arial"/>
                <w:color w:val="000000"/>
                <w:sz w:val="24"/>
                <w:rtl/>
              </w:rPr>
            </w:pPr>
          </w:p>
        </w:tc>
        <w:tc>
          <w:tcPr>
            <w:tcW w:w="5818" w:type="dxa"/>
          </w:tcPr>
          <w:p w:rsidR="001875BC" w:rsidRPr="008B1F0F" w:rsidP="001875BC" w14:paraId="0503E10D" w14:textId="4B5000CB">
            <w:pPr>
              <w:pStyle w:val="7190"/>
              <w:bidi w:val="0"/>
              <w:spacing w:before="240" w:after="80"/>
              <w:rPr>
                <w:rFonts w:ascii="Arial" w:hAnsi="Arial"/>
                <w:color w:val="000000"/>
                <w:sz w:val="24"/>
                <w:rtl/>
              </w:rPr>
            </w:pPr>
            <w:r w:rsidRPr="001954F2">
              <w:rPr>
                <w:b/>
                <w:bCs/>
                <w:color w:val="00305F"/>
                <w:sz w:val="22"/>
                <w:szCs w:val="22"/>
              </w:rPr>
              <w:t xml:space="preserve">The </w:t>
            </w:r>
            <w:r w:rsidR="001D331F">
              <w:rPr>
                <w:b/>
                <w:bCs/>
                <w:color w:val="00305F"/>
                <w:sz w:val="22"/>
                <w:szCs w:val="22"/>
              </w:rPr>
              <w:t>G</w:t>
            </w:r>
            <w:r w:rsidRPr="001954F2">
              <w:rPr>
                <w:b/>
                <w:bCs/>
                <w:color w:val="00305F"/>
                <w:sz w:val="22"/>
                <w:szCs w:val="22"/>
              </w:rPr>
              <w:t xml:space="preserve">overnment </w:t>
            </w:r>
            <w:r w:rsidR="001D331F">
              <w:rPr>
                <w:b/>
                <w:bCs/>
                <w:color w:val="00305F"/>
                <w:sz w:val="22"/>
                <w:szCs w:val="22"/>
              </w:rPr>
              <w:t>D</w:t>
            </w:r>
            <w:r w:rsidRPr="001954F2">
              <w:rPr>
                <w:b/>
                <w:bCs/>
                <w:color w:val="00305F"/>
                <w:sz w:val="22"/>
                <w:szCs w:val="22"/>
              </w:rPr>
              <w:t xml:space="preserve">efense </w:t>
            </w:r>
            <w:r w:rsidR="001D331F">
              <w:rPr>
                <w:b/>
                <w:bCs/>
                <w:color w:val="00305F"/>
                <w:sz w:val="22"/>
                <w:szCs w:val="22"/>
              </w:rPr>
              <w:t>I</w:t>
            </w:r>
            <w:r w:rsidRPr="001954F2">
              <w:rPr>
                <w:b/>
                <w:bCs/>
                <w:color w:val="00305F"/>
                <w:sz w:val="22"/>
                <w:szCs w:val="22"/>
              </w:rPr>
              <w:t>ndustries</w:t>
            </w:r>
          </w:p>
        </w:tc>
      </w:tr>
      <w:tr w14:paraId="0BC3BD81" w14:textId="77777777" w:rsidTr="001E5452">
        <w:tblPrEx>
          <w:tblW w:w="0" w:type="auto"/>
          <w:tblLook w:val="04A0"/>
        </w:tblPrEx>
        <w:tc>
          <w:tcPr>
            <w:tcW w:w="985" w:type="dxa"/>
          </w:tcPr>
          <w:p w:rsidR="001875BC" w:rsidP="001875BC" w14:paraId="03BE5133" w14:textId="72A760A0">
            <w:pPr>
              <w:pStyle w:val="7190"/>
              <w:bidi w:val="0"/>
              <w:spacing w:before="100" w:after="100"/>
              <w:rPr>
                <w:rFonts w:ascii="Arial" w:hAnsi="Arial"/>
                <w:color w:val="000000"/>
                <w:sz w:val="24"/>
                <w:rtl/>
              </w:rPr>
            </w:pPr>
            <w:r>
              <w:rPr>
                <w:rFonts w:ascii="Arial" w:hAnsi="Arial" w:hint="cs"/>
                <w:color w:val="000000"/>
                <w:sz w:val="24"/>
                <w:rtl/>
              </w:rPr>
              <w:t>331</w:t>
            </w:r>
          </w:p>
        </w:tc>
        <w:tc>
          <w:tcPr>
            <w:tcW w:w="567" w:type="dxa"/>
          </w:tcPr>
          <w:p w:rsidR="001875BC" w:rsidRPr="00CD238C" w:rsidP="001875BC" w14:paraId="373DBE43" w14:textId="77777777">
            <w:pPr>
              <w:pStyle w:val="7190"/>
              <w:bidi w:val="0"/>
              <w:spacing w:before="100" w:after="100"/>
              <w:rPr>
                <w:rFonts w:ascii="Arial" w:hAnsi="Arial"/>
                <w:color w:val="000000"/>
                <w:sz w:val="24"/>
                <w:rtl/>
              </w:rPr>
            </w:pPr>
          </w:p>
        </w:tc>
        <w:tc>
          <w:tcPr>
            <w:tcW w:w="5818" w:type="dxa"/>
          </w:tcPr>
          <w:p w:rsidR="001875BC" w:rsidRPr="00A40327" w:rsidP="001875BC" w14:paraId="56B8D4AC" w14:textId="3A815293">
            <w:pPr>
              <w:pStyle w:val="7190"/>
              <w:bidi w:val="0"/>
              <w:spacing w:before="100" w:after="100"/>
              <w:rPr>
                <w:color w:val="000000"/>
                <w:lang w:val="en"/>
              </w:rPr>
            </w:pPr>
            <w:bookmarkStart w:id="1" w:name="_Hlk117608352"/>
            <w:r w:rsidRPr="000A0F64">
              <w:rPr>
                <w:color w:val="0D0D0D"/>
                <w:spacing w:val="-4"/>
              </w:rPr>
              <w:t>Aspects of the Relationships between Israel Aerospace Industries Ltd. and the Ministry of Defense with an Emphasis on Development Projects</w:t>
            </w:r>
            <w:bookmarkEnd w:id="1"/>
          </w:p>
        </w:tc>
      </w:tr>
    </w:tbl>
    <w:p w:rsidR="009C0D3F" w:rsidRPr="009C0D3F" w:rsidP="00064016" w14:paraId="0AF20478" w14:textId="24AE18CF">
      <w:pPr>
        <w:pStyle w:val="7190"/>
        <w:jc w:val="center"/>
        <w:rPr>
          <w:sz w:val="24"/>
          <w:rtl/>
        </w:rPr>
        <w:sectPr w:rsidSect="007824E3">
          <w:headerReference w:type="even" r:id="rId17"/>
          <w:headerReference w:type="default" r:id="rId18"/>
          <w:footerReference w:type="default" r:id="rId19"/>
          <w:headerReference w:type="first" r:id="rId20"/>
          <w:pgSz w:w="11906" w:h="16838" w:code="9"/>
          <w:pgMar w:top="3062" w:right="2268" w:bottom="2552" w:left="2268" w:header="1134" w:footer="1361" w:gutter="0"/>
          <w:cols w:space="720"/>
          <w:titlePg/>
          <w:bidi/>
          <w:rtlGutter/>
          <w:docGrid w:linePitch="272"/>
        </w:sectPr>
      </w:pPr>
      <w:r>
        <w:rPr>
          <w:b/>
          <w:bCs/>
          <w:noProof/>
          <w:sz w:val="22"/>
          <w:szCs w:val="22"/>
          <w:rtl/>
          <w:lang w:val="he-IL"/>
        </w:rPr>
        <mc:AlternateContent>
          <mc:Choice Requires="wps">
            <w:drawing>
              <wp:anchor distT="0" distB="0" distL="114300" distR="114300" simplePos="0" relativeHeight="251703296" behindDoc="0" locked="0" layoutInCell="1" allowOverlap="1">
                <wp:simplePos x="0" y="0"/>
                <wp:positionH relativeFrom="column">
                  <wp:posOffset>-602434</wp:posOffset>
                </wp:positionH>
                <wp:positionV relativeFrom="paragraph">
                  <wp:posOffset>1611811</wp:posOffset>
                </wp:positionV>
                <wp:extent cx="1454331" cy="735058"/>
                <wp:effectExtent l="12700" t="12700" r="19050" b="14605"/>
                <wp:wrapNone/>
                <wp:docPr id="24" name="מלבן 24"/>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4" o:spid="_x0000_s1047" style="width:114.5pt;height:57.9pt;margin-top:126.9pt;margin-left:-47.45pt;mso-height-percent:0;mso-height-relative:margin;mso-wrap-distance-bottom:0;mso-wrap-distance-left:9pt;mso-wrap-distance-right:9pt;mso-wrap-distance-top:0;mso-wrap-style:square;position:absolute;visibility:visible;v-text-anchor:middle;z-index:251704320" fillcolor="white" strokecolor="white" strokeweight="2pt"/>
            </w:pict>
          </mc:Fallback>
        </mc:AlternateContent>
      </w:r>
      <w:r w:rsidR="00522B96">
        <w:rPr>
          <w:b/>
          <w:bCs/>
          <w:noProof/>
          <w:sz w:val="22"/>
          <w:szCs w:val="22"/>
          <w:rtl/>
          <w:lang w:val="he-IL"/>
        </w:rPr>
        <mc:AlternateContent>
          <mc:Choice Requires="wps">
            <w:drawing>
              <wp:anchor distT="0" distB="0" distL="114300" distR="114300" simplePos="0" relativeHeight="251697152" behindDoc="0" locked="0" layoutInCell="1" allowOverlap="1">
                <wp:simplePos x="0" y="0"/>
                <wp:positionH relativeFrom="column">
                  <wp:posOffset>-704669</wp:posOffset>
                </wp:positionH>
                <wp:positionV relativeFrom="paragraph">
                  <wp:posOffset>195127</wp:posOffset>
                </wp:positionV>
                <wp:extent cx="1454331" cy="501106"/>
                <wp:effectExtent l="12700" t="12700" r="19050" b="6985"/>
                <wp:wrapNone/>
                <wp:docPr id="35" name="מלבן 35"/>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5011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35" o:spid="_x0000_s1048" style="width:114.5pt;height:39.45pt;margin-top:15.35pt;margin-left:-55.5pt;mso-height-percent:0;mso-height-relative:margin;mso-wrap-distance-bottom:0;mso-wrap-distance-left:9pt;mso-wrap-distance-right:9pt;mso-wrap-distance-top:0;mso-wrap-style:square;position:absolute;visibility:visible;v-text-anchor:middle;z-index:251698176" fillcolor="white" strokecolor="white" strokeweight="2pt"/>
            </w:pict>
          </mc:Fallback>
        </mc:AlternateContent>
      </w:r>
      <w:r w:rsidR="00C158FE">
        <w:rPr>
          <w:noProof/>
          <w:sz w:val="22"/>
          <w:szCs w:val="22"/>
          <w:rtl/>
          <w:lang w:val="he-IL"/>
        </w:rPr>
        <mc:AlternateContent>
          <mc:Choice Requires="wps">
            <w:drawing>
              <wp:anchor distT="0" distB="0" distL="114300" distR="114300" simplePos="0" relativeHeight="251678720" behindDoc="0" locked="0" layoutInCell="1" allowOverlap="1">
                <wp:simplePos x="0" y="0"/>
                <wp:positionH relativeFrom="column">
                  <wp:posOffset>-545758</wp:posOffset>
                </wp:positionH>
                <wp:positionV relativeFrom="paragraph">
                  <wp:posOffset>4127500</wp:posOffset>
                </wp:positionV>
                <wp:extent cx="794825" cy="478302"/>
                <wp:effectExtent l="12700" t="12700" r="18415" b="17145"/>
                <wp:wrapNone/>
                <wp:docPr id="9" name="מלבן 9"/>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9" o:spid="_x0000_s1049" style="width:62.6pt;height:37.65pt;margin-top:325pt;margin-left:-42.95pt;mso-wrap-distance-bottom:0;mso-wrap-distance-left:9pt;mso-wrap-distance-right:9pt;mso-wrap-distance-top:0;mso-wrap-style:square;position:absolute;visibility:visible;v-text-anchor:middle;z-index:251679744" fillcolor="white" strokecolor="white" strokeweight="2pt"/>
            </w:pict>
          </mc:Fallback>
        </mc:AlternateContent>
      </w:r>
    </w:p>
    <w:p w:rsidR="00F611CF" w:rsidRPr="006C067D" w:rsidP="00F611CF" w14:paraId="0214656F" w14:textId="2ED0E929">
      <w:pPr>
        <w:rPr>
          <w:rFonts w:ascii="Arial" w:hAnsi="Arial"/>
          <w:szCs w:val="22"/>
          <w:rtl/>
        </w:rPr>
      </w:pPr>
      <w:r>
        <w:rPr>
          <w:b/>
          <w:bCs/>
          <w:noProof/>
          <w:sz w:val="22"/>
          <w:szCs w:val="22"/>
          <w:rtl/>
          <w:lang w:val="he-IL"/>
        </w:rPr>
        <mc:AlternateContent>
          <mc:Choice Requires="wps">
            <w:drawing>
              <wp:anchor distT="0" distB="0" distL="114300" distR="114300" simplePos="0" relativeHeight="251709440" behindDoc="0" locked="0" layoutInCell="1" allowOverlap="1">
                <wp:simplePos x="0" y="0"/>
                <wp:positionH relativeFrom="column">
                  <wp:posOffset>-251824</wp:posOffset>
                </wp:positionH>
                <wp:positionV relativeFrom="paragraph">
                  <wp:posOffset>-796834</wp:posOffset>
                </wp:positionV>
                <wp:extent cx="6477907" cy="735058"/>
                <wp:effectExtent l="12700" t="12700" r="12065" b="14605"/>
                <wp:wrapNone/>
                <wp:docPr id="49" name="מלבן 49"/>
                <wp:cNvGraphicFramePr/>
                <a:graphic xmlns:a="http://schemas.openxmlformats.org/drawingml/2006/main">
                  <a:graphicData uri="http://schemas.microsoft.com/office/word/2010/wordprocessingShape">
                    <wps:wsp xmlns:wps="http://schemas.microsoft.com/office/word/2010/wordprocessingShape">
                      <wps:cNvSpPr/>
                      <wps:spPr>
                        <a:xfrm>
                          <a:off x="0" y="0"/>
                          <a:ext cx="6477907"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49" o:spid="_x0000_s1050" style="width:510.05pt;height:57.9pt;margin-top:-62.75pt;margin-left:-19.85pt;mso-height-percent:0;mso-height-relative:margin;mso-width-percent:0;mso-width-relative:margin;mso-wrap-distance-bottom:0;mso-wrap-distance-left:9pt;mso-wrap-distance-right:9pt;mso-wrap-distance-top:0;mso-wrap-style:square;position:absolute;visibility:visible;v-text-anchor:middle;z-index:251710464" fillcolor="white" strokecolor="white" strokeweight="2pt"/>
            </w:pict>
          </mc:Fallback>
        </mc:AlternateContent>
      </w:r>
    </w:p>
    <w:p w:rsidR="007824E3" w14:paraId="43AB4305" w14:textId="1F8D8DDB">
      <w:pPr>
        <w:bidi w:val="0"/>
        <w:spacing w:after="200" w:line="276" w:lineRule="auto"/>
        <w:rPr>
          <w:rFonts w:ascii="Tahoma" w:hAnsi="Tahoma" w:eastAsiaTheme="majorEastAsia" w:cs="Tahoma"/>
          <w:b/>
          <w:bCs/>
          <w:color w:val="00305F"/>
          <w:sz w:val="34"/>
          <w:szCs w:val="34"/>
        </w:rPr>
      </w:pPr>
      <w:r>
        <w:rPr>
          <w:b/>
          <w:bCs/>
          <w:noProof/>
          <w:sz w:val="22"/>
          <w:szCs w:val="22"/>
          <w:rtl/>
          <w:lang w:val="he-IL"/>
        </w:rPr>
        <mc:AlternateContent>
          <mc:Choice Requires="wps">
            <w:drawing>
              <wp:anchor distT="0" distB="0" distL="114300" distR="114300" simplePos="0" relativeHeight="251711488" behindDoc="0" locked="0" layoutInCell="1" allowOverlap="1">
                <wp:simplePos x="0" y="0"/>
                <wp:positionH relativeFrom="column">
                  <wp:posOffset>-708660</wp:posOffset>
                </wp:positionH>
                <wp:positionV relativeFrom="paragraph">
                  <wp:posOffset>6936286</wp:posOffset>
                </wp:positionV>
                <wp:extent cx="1454331" cy="735058"/>
                <wp:effectExtent l="12700" t="12700" r="19050" b="14605"/>
                <wp:wrapNone/>
                <wp:docPr id="50" name="מלבן 50"/>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50" o:spid="_x0000_s1051" style="width:114.5pt;height:57.9pt;margin-top:546.15pt;margin-left:-55.8pt;mso-height-percent:0;mso-height-relative:margin;mso-wrap-distance-bottom:0;mso-wrap-distance-left:9pt;mso-wrap-distance-right:9pt;mso-wrap-distance-top:0;mso-wrap-style:square;position:absolute;visibility:visible;v-text-anchor:middle;z-index:251712512" fillcolor="white" strokecolor="white" strokeweight="2pt"/>
            </w:pict>
          </mc:Fallback>
        </mc:AlternateContent>
      </w:r>
      <w:r>
        <w:rPr>
          <w:rFonts w:ascii="Tahoma" w:hAnsi="Tahoma"/>
        </w:rPr>
        <w:br w:type="page"/>
      </w:r>
    </w:p>
    <w:p w:rsidR="000E6A95" w:rsidRPr="001D6DD6" w:rsidP="000E6A95" w14:paraId="7A9DB702" w14:textId="7059E4CB">
      <w:pPr>
        <w:pStyle w:val="KOT1N"/>
        <w:spacing w:after="360"/>
        <w:jc w:val="left"/>
        <w:rPr>
          <w:rFonts w:ascii="Tahoma" w:hAnsi="Tahoma"/>
          <w:rtl/>
        </w:rPr>
      </w:pPr>
      <w:r w:rsidRPr="001D6DD6">
        <w:rPr>
          <w:rFonts w:ascii="Tahoma" w:hAnsi="Tahoma"/>
        </w:rPr>
        <w:t>Foreword</w:t>
      </w:r>
    </w:p>
    <w:p w:rsidR="00FE0852" w:rsidRPr="00C6221F" w:rsidP="00FE0852" w14:paraId="27C2F06C" w14:textId="77777777">
      <w:pPr>
        <w:bidi w:val="0"/>
        <w:spacing w:before="48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The State Comptroller's Annual Audit Report for 2022 has been submitted to the Knesset, and it is published to the public under the State Comptroller's Law, 1958 [Consolidated Version]. The report contains 26 chapters dealing with audit in government ministries, State institutions, the Defense </w:t>
      </w:r>
      <w:r>
        <w:rPr>
          <w:rFonts w:ascii="Tahoma" w:hAnsi="Tahoma" w:cs="Tahoma"/>
          <w:color w:val="0D0D0D" w:themeColor="text1" w:themeTint="F2"/>
          <w:spacing w:val="2"/>
          <w:sz w:val="18"/>
          <w:szCs w:val="18"/>
        </w:rPr>
        <w:t>System</w:t>
      </w:r>
      <w:r w:rsidRPr="00C6221F">
        <w:rPr>
          <w:rFonts w:ascii="Tahoma" w:hAnsi="Tahoma" w:cs="Tahoma"/>
          <w:color w:val="0D0D0D" w:themeColor="text1" w:themeTint="F2"/>
          <w:spacing w:val="2"/>
          <w:sz w:val="18"/>
          <w:szCs w:val="18"/>
        </w:rPr>
        <w:t>, and government companies and corporations. The chapters in the report raise to the public agenda significant audit findings concerning all areas of life, including the welfare of the individual, sustainability, information systems and cyber protection, national defense, children and youth, administration, organization, supervision, and enforcement.</w:t>
      </w:r>
      <w:r w:rsidRPr="00C6221F">
        <w:rPr>
          <w:rFonts w:ascii="Tahoma" w:hAnsi="Tahoma" w:cs="Tahoma" w:hint="cs"/>
          <w:color w:val="0D0D0D" w:themeColor="text1" w:themeTint="F2"/>
          <w:spacing w:val="2"/>
          <w:sz w:val="18"/>
          <w:szCs w:val="18"/>
          <w:rtl/>
        </w:rPr>
        <w:t xml:space="preserve"> </w:t>
      </w:r>
    </w:p>
    <w:p w:rsidR="00FE0852" w:rsidRPr="00C6221F" w:rsidP="00FE0852" w14:paraId="7C8E27B0" w14:textId="77777777">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By the State Comptroller and Ombudsman's vision, we are acting to characterize the State audit as motivati</w:t>
      </w:r>
      <w:r>
        <w:rPr>
          <w:rFonts w:ascii="Tahoma" w:hAnsi="Tahoma" w:cs="Tahoma"/>
          <w:color w:val="0D0D0D" w:themeColor="text1" w:themeTint="F2"/>
          <w:spacing w:val="2"/>
          <w:sz w:val="18"/>
          <w:szCs w:val="18"/>
        </w:rPr>
        <w:t>ve</w:t>
      </w:r>
      <w:r w:rsidRPr="00C6221F">
        <w:rPr>
          <w:rFonts w:ascii="Tahoma" w:hAnsi="Tahoma" w:cs="Tahoma"/>
          <w:color w:val="0D0D0D" w:themeColor="text1" w:themeTint="F2"/>
          <w:spacing w:val="2"/>
          <w:sz w:val="18"/>
          <w:szCs w:val="18"/>
        </w:rPr>
        <w:t>, innovative, relevant, and effective. The audit deals with the core areas of the audited bodies and focuses both on matters of a social nature and service to the citizen and the substantive risks influencing their activity. This</w:t>
      </w:r>
      <w:r>
        <w:rPr>
          <w:rFonts w:ascii="Tahoma" w:hAnsi="Tahoma" w:cs="Tahoma"/>
          <w:color w:val="0D0D0D" w:themeColor="text1" w:themeTint="F2"/>
          <w:spacing w:val="2"/>
          <w:sz w:val="18"/>
          <w:szCs w:val="18"/>
        </w:rPr>
        <w:t>,</w:t>
      </w:r>
      <w:r w:rsidRPr="00C6221F">
        <w:rPr>
          <w:rFonts w:ascii="Tahoma" w:hAnsi="Tahoma" w:cs="Tahoma"/>
          <w:color w:val="0D0D0D" w:themeColor="text1" w:themeTint="F2"/>
          <w:spacing w:val="2"/>
          <w:sz w:val="18"/>
          <w:szCs w:val="18"/>
        </w:rPr>
        <w:t xml:space="preserve"> alongside issues concerning good governance and incorruptibility.</w:t>
      </w:r>
      <w:r w:rsidRPr="00C6221F">
        <w:rPr>
          <w:rFonts w:ascii="Tahoma" w:hAnsi="Tahoma" w:cs="Tahoma"/>
          <w:color w:val="0D0D0D" w:themeColor="text1" w:themeTint="F2"/>
          <w:spacing w:val="2"/>
          <w:sz w:val="18"/>
          <w:szCs w:val="18"/>
          <w:rtl/>
        </w:rPr>
        <w:t xml:space="preserve"> </w:t>
      </w:r>
    </w:p>
    <w:p w:rsidR="00FE0852" w:rsidRPr="00C6221F" w:rsidP="00FE0852" w14:paraId="74957D93" w14:textId="77777777">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Following </w:t>
      </w:r>
      <w:r w:rsidRPr="00C6221F">
        <w:rPr>
          <w:rFonts w:ascii="Tahoma" w:hAnsi="Tahoma" w:cs="Tahoma"/>
          <w:color w:val="0D0D0D" w:themeColor="text1" w:themeTint="F2"/>
          <w:spacing w:val="2"/>
          <w:sz w:val="18"/>
          <w:szCs w:val="18"/>
        </w:rPr>
        <w:t>are</w:t>
      </w:r>
      <w:r w:rsidRPr="00C6221F">
        <w:rPr>
          <w:rFonts w:ascii="Tahoma" w:hAnsi="Tahoma" w:cs="Tahoma"/>
          <w:color w:val="0D0D0D" w:themeColor="text1" w:themeTint="F2"/>
          <w:spacing w:val="2"/>
          <w:sz w:val="18"/>
          <w:szCs w:val="18"/>
        </w:rPr>
        <w:t xml:space="preserve"> some of the chapters contained in this report:</w:t>
      </w:r>
    </w:p>
    <w:p w:rsidR="00FE0852" w:rsidRPr="00C6221F" w:rsidP="00FE0852" w14:paraId="25FF6D4F" w14:textId="17B2BFA0">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The audit regarding </w:t>
      </w:r>
      <w:r w:rsidRPr="00083595">
        <w:rPr>
          <w:rFonts w:ascii="Tahoma" w:hAnsi="Tahoma" w:cs="Tahoma"/>
          <w:b/>
          <w:bCs/>
          <w:color w:val="0D0D0D" w:themeColor="text1" w:themeTint="F2"/>
          <w:spacing w:val="2"/>
          <w:sz w:val="18"/>
          <w:szCs w:val="18"/>
        </w:rPr>
        <w:t>The State of Israel's Financial Statements as of 31.12.2020 – Accounts Receivable</w:t>
      </w:r>
      <w:r w:rsidRPr="00C6221F">
        <w:rPr>
          <w:rFonts w:ascii="Tahoma" w:hAnsi="Tahoma" w:cs="Tahoma"/>
          <w:color w:val="0D0D0D" w:themeColor="text1" w:themeTint="F2"/>
          <w:spacing w:val="2"/>
          <w:sz w:val="18"/>
          <w:szCs w:val="18"/>
        </w:rPr>
        <w:t xml:space="preserve"> indicates that the Debtors and Debt Balances section has been on an upward trend during recent years </w:t>
      </w:r>
      <m:oMath>
        <m:r>
          <w:rPr>
            <w:rFonts w:ascii="Cambria Math" w:hAnsi="Cambria Math" w:cs="Tahoma"/>
            <w:color w:val="0D0D0D" w:themeColor="text1" w:themeTint="F2"/>
            <w:spacing w:val="2"/>
            <w:sz w:val="18"/>
            <w:szCs w:val="18"/>
          </w:rPr>
          <m:t>-</m:t>
        </m:r>
      </m:oMath>
      <w:r w:rsidRPr="00C6221F">
        <w:rPr>
          <w:rFonts w:ascii="Tahoma" w:hAnsi="Tahoma" w:cs="Tahoma"/>
          <w:color w:val="0D0D0D" w:themeColor="text1" w:themeTint="F2"/>
          <w:spacing w:val="2"/>
          <w:sz w:val="18"/>
          <w:szCs w:val="18"/>
        </w:rPr>
        <w:t xml:space="preserve"> from approx. NIS 49 billion in 2015 to approx. NIS 69 billion in 2020 (less the provision for doubtful debts). The audit raised that a large part of the work of the government ministries in the matter is carried out manually, not by automated processes. This makes it challenging to control debt management and prevent arrears and leads to obsolete debts; the covid-19 pandemic had an extensive impact on the Financial Reports for 2020: the State revenue in 2020 decreased by approx. NIS 17 billion compared to 2019, and the annual accounting deficit increased to approx. NIS 236 billion; there is no uniformity in the accounting records of debts which the government ministries transfer to the handling of the Centre for the collection of Fines, Fees, and </w:t>
      </w:r>
      <w:r w:rsidR="001D331F">
        <w:rPr>
          <w:rFonts w:ascii="Tahoma" w:hAnsi="Tahoma" w:cs="Tahoma"/>
          <w:color w:val="0D0D0D" w:themeColor="text1" w:themeTint="F2"/>
          <w:spacing w:val="2"/>
          <w:sz w:val="18"/>
          <w:szCs w:val="18"/>
        </w:rPr>
        <w:t>E</w:t>
      </w:r>
      <w:r w:rsidRPr="00C6221F">
        <w:rPr>
          <w:rFonts w:ascii="Tahoma" w:hAnsi="Tahoma" w:cs="Tahoma"/>
          <w:color w:val="0D0D0D" w:themeColor="text1" w:themeTint="F2"/>
          <w:spacing w:val="2"/>
          <w:sz w:val="18"/>
          <w:szCs w:val="18"/>
        </w:rPr>
        <w:t>xpenses (the Fines Collection Centre). Some ministries leave the debt record in their books even after being transferred for handling to the Fines Collection Center. This can create duplicity of the debt balances in the State's Consolidated Financial Reports. The Accountant General's Department must complete the implementation of the transverse collection system to achieve a reliable and available situation report concerning the debtors and collection figures’ status. Furthermore, it should improve the collection process of the ministries’ debts by using the Enforcement and Collection Agency and collect all the debts. Managing the balance of debts and collecting them is important for preserving the State's assets and exercising its full rights.</w:t>
      </w:r>
    </w:p>
    <w:p w:rsidR="00FE0852" w:rsidRPr="00C6221F" w:rsidP="00FE0852" w14:paraId="531141BF" w14:textId="3F6E11BA">
      <w:pPr>
        <w:pStyle w:val="7190"/>
        <w:bidi w:val="0"/>
        <w:spacing w:before="100" w:after="100"/>
        <w:rPr>
          <w:spacing w:val="2"/>
          <w:rtl/>
        </w:rPr>
      </w:pPr>
      <w:bookmarkStart w:id="2" w:name="_Hlk100571979"/>
      <w:r w:rsidRPr="00C6221F">
        <w:rPr>
          <w:spacing w:val="2"/>
        </w:rPr>
        <w:t xml:space="preserve">The audit on </w:t>
      </w:r>
      <w:r w:rsidRPr="00BC0E6B">
        <w:rPr>
          <w:b/>
          <w:bCs/>
          <w:color w:val="000000"/>
        </w:rPr>
        <w:t>Supervision over Purity of Elections in the 24th Knesset Elections</w:t>
      </w:r>
      <w:r>
        <w:rPr>
          <w:color w:val="000000"/>
        </w:rPr>
        <w:t xml:space="preserve"> </w:t>
      </w:r>
      <w:r w:rsidRPr="00C6221F">
        <w:rPr>
          <w:spacing w:val="2"/>
        </w:rPr>
        <w:t xml:space="preserve">raised that the cost of operating a supervisory system was NIS 51 million, and the number of </w:t>
      </w:r>
      <w:r w:rsidRPr="00C6221F">
        <w:rPr>
          <w:spacing w:val="2"/>
        </w:rPr>
        <w:t xml:space="preserve">election purity inspectors has increased fourfold between the 22nd and the 24th Knesset election campaign; the administrative headquarters did not promote regulation in legislation regarding the supervisory system and cameras placing at the ballot committees; in the 24th Knesset elections, unauthorized parties used the cameras in the voting station rooms. Deficiencies were also raised in the operation of the supervisory system: 18% of all the ballot committees, which were defined as "sensitive voting stations," operated without an inspector on Election Day for the 24th Knesset; 34% of the inspectors were unable to use the particular application for reporting suspicions of a violation of the purity of elections; due to missing information in the computerized systems of the Central Elections Committee (in approx. 40% of the reports), it </w:t>
      </w:r>
      <w:r>
        <w:rPr>
          <w:spacing w:val="2"/>
        </w:rPr>
        <w:t xml:space="preserve">is </w:t>
      </w:r>
      <w:r w:rsidRPr="00C6221F">
        <w:rPr>
          <w:spacing w:val="2"/>
        </w:rPr>
        <w:t>impossible to determine to what extent the Committee's treatment of the suspicions of a violation of the purity of elections was exhaustive, and if all the cases requiring in-depth examinations were indeed examined.</w:t>
      </w:r>
      <w:bookmarkEnd w:id="2"/>
      <w:r w:rsidRPr="00C6221F">
        <w:rPr>
          <w:spacing w:val="2"/>
        </w:rPr>
        <w:t xml:space="preserve"> For future decisions making concerning the necessity to set up a supervisory system for purity of elections, and if so, what is its appropriate scale </w:t>
      </w:r>
      <m:oMath>
        <m:r>
          <w:rPr>
            <w:rFonts w:ascii="Cambria Math" w:hAnsi="Cambria Math"/>
            <w:spacing w:val="2"/>
          </w:rPr>
          <m:t>-</m:t>
        </m:r>
      </m:oMath>
      <w:r w:rsidRPr="00C6221F">
        <w:rPr>
          <w:spacing w:val="2"/>
        </w:rPr>
        <w:t xml:space="preserve"> the Elections Committee should conduct a comprehensive examination regarding the effectiveness of the systems that operated in the 22nd, 23rd, and 24th Knesset elections, and examine their benefit versus their costs.</w:t>
      </w:r>
      <w:r w:rsidRPr="00C6221F">
        <w:rPr>
          <w:spacing w:val="2"/>
          <w:rtl/>
        </w:rPr>
        <w:t xml:space="preserve"> </w:t>
      </w:r>
    </w:p>
    <w:p w:rsidR="00FE0852" w:rsidRPr="00C6221F" w:rsidP="00FE0852" w14:paraId="58141241" w14:textId="40877C26">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The audit on </w:t>
      </w:r>
      <w:r w:rsidRPr="001B055C">
        <w:rPr>
          <w:rFonts w:ascii="Tahoma" w:hAnsi="Tahoma" w:cs="Tahoma"/>
          <w:b/>
          <w:bCs/>
          <w:color w:val="0D0D0D" w:themeColor="text1" w:themeTint="F2"/>
          <w:spacing w:val="2"/>
          <w:sz w:val="18"/>
          <w:szCs w:val="18"/>
        </w:rPr>
        <w:t>Anti-Money Laundering Regime in Israel</w:t>
      </w:r>
      <w:r w:rsidRPr="00C6221F">
        <w:rPr>
          <w:rFonts w:ascii="Tahoma" w:hAnsi="Tahoma" w:cs="Tahoma"/>
          <w:color w:val="0D0D0D" w:themeColor="text1" w:themeTint="F2"/>
          <w:spacing w:val="2"/>
          <w:sz w:val="18"/>
          <w:szCs w:val="18"/>
        </w:rPr>
        <w:t xml:space="preserve"> indicated that the payment of hundreds of billions of NIS every year to the government sector is not regulated in the money laundering prohibition regime. It was further raised that the transverse statistical information is the only information that the Israel Money Laundering and Terror Financing Prohibition Authority presently send</w:t>
      </w:r>
      <w:r>
        <w:rPr>
          <w:rFonts w:ascii="Tahoma" w:hAnsi="Tahoma" w:cs="Tahoma"/>
          <w:color w:val="0D0D0D" w:themeColor="text1" w:themeTint="F2"/>
          <w:spacing w:val="2"/>
          <w:sz w:val="18"/>
          <w:szCs w:val="18"/>
        </w:rPr>
        <w:t>s</w:t>
      </w:r>
      <w:r w:rsidRPr="00C6221F">
        <w:rPr>
          <w:rFonts w:ascii="Tahoma" w:hAnsi="Tahoma" w:cs="Tahoma"/>
          <w:color w:val="0D0D0D" w:themeColor="text1" w:themeTint="F2"/>
          <w:spacing w:val="2"/>
          <w:sz w:val="18"/>
          <w:szCs w:val="18"/>
        </w:rPr>
        <w:t xml:space="preserve"> to the regulators for audit; in recent years, it was sent to 50% of the regulators and not every year. Arguments were raised that there is a financial exclusion in the banking system, not just partial, of the activity of financial service providers, Fintech companies, and companies trading in cryptocurrency. This exclusion, if it is applied, is liable to cause sectors performing the financial activity in cryptocurrency and Fintech companies to transfer their activity outside Israel's borders, with everything this implies, or to perform unreported action which will increase the scales of money laundering and the black market in Israel. It was further raised that alongside the activity which the State and the financial bodies must adopt to preserve the strength and efficiency of the prohibition on money laundering regime, for compliance with international standards, it is also recommended that the regime be examined frequently from the viewpoint of the various types of clients and optimize and streamline the regime in the spirit of past Government decisions about smart regulation, Government actions from 2021 to Facilitate the Regulation and the Principles of Regulation Law. It is recommended that all the relevant bodies </w:t>
      </w:r>
      <w:r w:rsidR="001D331F">
        <w:rPr>
          <w:rFonts w:ascii="Tahoma" w:hAnsi="Tahoma" w:cs="Tahoma"/>
          <w:color w:val="0D0D0D" w:themeColor="text1" w:themeTint="F2"/>
          <w:spacing w:val="2"/>
          <w:sz w:val="18"/>
          <w:szCs w:val="18"/>
        </w:rPr>
        <w:t>–</w:t>
      </w:r>
      <w:r w:rsidRPr="00C6221F">
        <w:rPr>
          <w:rFonts w:ascii="Tahoma" w:hAnsi="Tahoma" w:cs="Tahoma"/>
          <w:color w:val="0D0D0D" w:themeColor="text1" w:themeTint="F2"/>
          <w:spacing w:val="2"/>
          <w:sz w:val="18"/>
          <w:szCs w:val="18"/>
        </w:rPr>
        <w:t xml:space="preserve"> each one in its jurisdiction and conjunction between them </w:t>
      </w:r>
      <m:oMath>
        <m:r>
          <w:rPr>
            <w:rFonts w:ascii="Cambria Math" w:hAnsi="Cambria Math" w:cs="Tahoma"/>
            <w:color w:val="0D0D0D" w:themeColor="text1" w:themeTint="F2"/>
            <w:spacing w:val="2"/>
            <w:sz w:val="18"/>
            <w:szCs w:val="18"/>
          </w:rPr>
          <m:t>-</m:t>
        </m:r>
      </m:oMath>
      <w:r w:rsidRPr="00C6221F">
        <w:rPr>
          <w:rFonts w:ascii="Tahoma" w:hAnsi="Tahoma" w:cs="Tahoma"/>
          <w:color w:val="0D0D0D" w:themeColor="text1" w:themeTint="F2"/>
          <w:spacing w:val="2"/>
          <w:sz w:val="18"/>
          <w:szCs w:val="18"/>
        </w:rPr>
        <w:t xml:space="preserve"> establish adequate conditions for the development of the digital (cryptographic) currency, whose global scale of activity has been estimated at USD 2.5 to 3 trillion and other innovative financial fields, and active supervision over the financial service providers in relatively high-risk areas. It is also recommended to promote the regulation of obligations, rules, and supervisory mechanisms, </w:t>
      </w:r>
      <w:r w:rsidRPr="00C6221F">
        <w:rPr>
          <w:rFonts w:ascii="Tahoma" w:hAnsi="Tahoma" w:cs="Tahoma"/>
          <w:color w:val="0D0D0D" w:themeColor="text1" w:themeTint="F2"/>
          <w:spacing w:val="2"/>
          <w:sz w:val="18"/>
          <w:szCs w:val="18"/>
        </w:rPr>
        <w:t>by a risk-based approach so that payments to the public sector will not serve as a channel for money laundering.</w:t>
      </w:r>
      <w:r w:rsidRPr="00C6221F">
        <w:rPr>
          <w:rFonts w:ascii="Tahoma" w:hAnsi="Tahoma" w:cs="Tahoma" w:hint="eastAsia"/>
          <w:color w:val="0D0D0D" w:themeColor="text1" w:themeTint="F2"/>
          <w:spacing w:val="2"/>
          <w:sz w:val="18"/>
          <w:szCs w:val="18"/>
          <w:rtl/>
        </w:rPr>
        <w:t xml:space="preserve"> </w:t>
      </w:r>
    </w:p>
    <w:p w:rsidR="00FE0852" w:rsidRPr="00C6221F" w:rsidP="00FE0852" w14:paraId="150D2799" w14:textId="77777777">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830,000 adults in Israel have a record in the Criminal Register on account of a criminal file opened against them. The decision by the enforcement and prosecution authorities on the ground for closing a criminal file is liable to reduce the possibilities of making a living and besmirch a person's reputation. Our office has </w:t>
      </w:r>
      <w:r w:rsidRPr="006E11DA">
        <w:rPr>
          <w:rFonts w:ascii="Tahoma" w:hAnsi="Tahoma" w:cs="Tahoma"/>
          <w:color w:val="0D0D0D" w:themeColor="text1" w:themeTint="F2"/>
          <w:spacing w:val="2"/>
          <w:sz w:val="18"/>
          <w:szCs w:val="18"/>
        </w:rPr>
        <w:t>examined</w:t>
      </w:r>
      <w:r w:rsidRPr="001B055C">
        <w:rPr>
          <w:rFonts w:ascii="Tahoma" w:hAnsi="Tahoma" w:cs="Tahoma"/>
          <w:b/>
          <w:bCs/>
          <w:color w:val="0D0D0D" w:themeColor="text1" w:themeTint="F2"/>
          <w:spacing w:val="2"/>
          <w:sz w:val="18"/>
          <w:szCs w:val="18"/>
        </w:rPr>
        <w:t xml:space="preserve"> Closing Criminal Files by the Israel Police and the Office of the State Attorney </w:t>
      </w:r>
      <w:r w:rsidRPr="00C6221F">
        <w:rPr>
          <w:rFonts w:ascii="Tahoma" w:hAnsi="Tahoma" w:cs="Tahoma"/>
          <w:color w:val="0D0D0D" w:themeColor="text1" w:themeTint="F2"/>
          <w:spacing w:val="2"/>
          <w:sz w:val="18"/>
          <w:szCs w:val="18"/>
        </w:rPr>
        <w:t xml:space="preserve">and raised findings necessitating an examination by the enforcement and prosecution authorities regarding the extent use of the various grounds for closing. Thus, for example, some 55,000 files of suspects were closed by the Police and the State Attorney's Office in 2020 on the ground of "lack of evidence". The examination above should also be performed given the update to the State Attorney's 2018 Directive, which was designed, among other things, to reduce the number of files closed on the ground of "lack of evidence.” Paying attention to the presumption of innocence granted to suspects whose files were closed and sealing off the possibility of prosecuting those who the complainants claim to have harmed them, it is recommended that the enforcement and prosecution authorities address barriers in the realization of the suspects and </w:t>
      </w:r>
      <w:r w:rsidRPr="00C6221F">
        <w:rPr>
          <w:rFonts w:ascii="Tahoma" w:hAnsi="Tahoma" w:cs="Tahoma"/>
          <w:color w:val="0D0D0D" w:themeColor="text1" w:themeTint="F2"/>
          <w:spacing w:val="2"/>
          <w:sz w:val="18"/>
          <w:szCs w:val="18"/>
        </w:rPr>
        <w:t>complainants</w:t>
      </w:r>
      <w:r w:rsidRPr="00C6221F">
        <w:rPr>
          <w:rFonts w:ascii="Tahoma" w:hAnsi="Tahoma" w:cs="Tahoma"/>
          <w:color w:val="0D0D0D" w:themeColor="text1" w:themeTint="F2"/>
          <w:spacing w:val="2"/>
          <w:sz w:val="18"/>
          <w:szCs w:val="18"/>
        </w:rPr>
        <w:t xml:space="preserve"> rights to appeal the decision. Moreover, it is recommended to appoint one redirector factor to whom the complainants or suspects can submit appeals and reservations online.</w:t>
      </w:r>
    </w:p>
    <w:p w:rsidR="00FE0852" w:rsidP="00FE0852" w14:paraId="34B4E635" w14:textId="77777777">
      <w:pPr>
        <w:bidi w:val="0"/>
        <w:spacing w:before="120" w:line="300" w:lineRule="auto"/>
        <w:rPr>
          <w:color w:val="0D0D0D"/>
        </w:rPr>
      </w:pPr>
      <w:r w:rsidRPr="00C6221F">
        <w:rPr>
          <w:rFonts w:ascii="Tahoma" w:hAnsi="Tahoma" w:cs="Tahoma"/>
          <w:color w:val="0D0D0D" w:themeColor="text1" w:themeTint="F2"/>
          <w:spacing w:val="2"/>
          <w:sz w:val="18"/>
          <w:szCs w:val="18"/>
        </w:rPr>
        <w:t xml:space="preserve">Our office examined the </w:t>
      </w:r>
      <w:r w:rsidRPr="006E11DA">
        <w:rPr>
          <w:rFonts w:ascii="Tahoma" w:hAnsi="Tahoma" w:cs="Tahoma"/>
          <w:b/>
          <w:bCs/>
          <w:color w:val="0D0D0D" w:themeColor="text1" w:themeTint="F2"/>
          <w:spacing w:val="2"/>
          <w:sz w:val="18"/>
          <w:szCs w:val="18"/>
        </w:rPr>
        <w:t>Embezzlement Prevention in Government Ministries and Government Companies</w:t>
      </w:r>
      <w:r w:rsidRPr="00C6221F">
        <w:rPr>
          <w:rFonts w:ascii="Tahoma" w:hAnsi="Tahoma" w:cs="Tahoma"/>
          <w:color w:val="0D0D0D" w:themeColor="text1" w:themeTint="F2"/>
          <w:spacing w:val="2"/>
          <w:sz w:val="18"/>
          <w:szCs w:val="18"/>
        </w:rPr>
        <w:t xml:space="preserve"> for the first time. The scale of the financial activity of government ministries and government companies, the nature of these bodies, their complexity, and their large number of employees – all expose them to the danger of embezzlement. The estimated annual damage in Israel due to embezzlement totals NIS 6–9 billion. The findings of this audit indicate deficiencies in the risks management system for preventing embezzlement and in the information systems. Likewise, deficiencies were raised regarding examining the implementation of operational controls in the following fields: human resources and salary, procurement and inventory, debt collection, and payment methods. It was also raised that 82% of the government ministries and companies (on average) do not use innovative technologies to </w:t>
      </w:r>
      <w:r>
        <w:rPr>
          <w:rFonts w:ascii="Tahoma" w:hAnsi="Tahoma" w:cs="Tahoma"/>
          <w:color w:val="0D0D0D" w:themeColor="text1" w:themeTint="F2"/>
          <w:spacing w:val="2"/>
          <w:sz w:val="18"/>
          <w:szCs w:val="18"/>
        </w:rPr>
        <w:t>cope</w:t>
      </w:r>
      <w:r w:rsidRPr="00C6221F">
        <w:rPr>
          <w:rFonts w:ascii="Tahoma" w:hAnsi="Tahoma" w:cs="Tahoma"/>
          <w:color w:val="0D0D0D" w:themeColor="text1" w:themeTint="F2"/>
          <w:spacing w:val="2"/>
          <w:sz w:val="18"/>
          <w:szCs w:val="18"/>
        </w:rPr>
        <w:t xml:space="preserve"> with embezzlement. To prevent embezzlement, a comprehensive and complex proceeding is required containing the establishment of proper organizational culture, raising awareness of the subject among the organization's employees, early identification of the risks and weak points in the organization's systems, formulating an orderly program for the prevention of embezzlement and the assimilation of unique controls and systems to reduce the risks. This proce</w:t>
      </w:r>
      <w:r>
        <w:rPr>
          <w:rFonts w:ascii="Tahoma" w:hAnsi="Tahoma" w:cs="Tahoma"/>
          <w:color w:val="0D0D0D" w:themeColor="text1" w:themeTint="F2"/>
          <w:spacing w:val="2"/>
          <w:sz w:val="18"/>
          <w:szCs w:val="18"/>
        </w:rPr>
        <w:t>dure</w:t>
      </w:r>
      <w:r w:rsidRPr="00C6221F">
        <w:rPr>
          <w:rFonts w:ascii="Tahoma" w:hAnsi="Tahoma" w:cs="Tahoma"/>
          <w:color w:val="0D0D0D" w:themeColor="text1" w:themeTint="F2"/>
          <w:spacing w:val="2"/>
          <w:sz w:val="18"/>
          <w:szCs w:val="18"/>
        </w:rPr>
        <w:t xml:space="preserve"> is part of the acceptable norms for organization-wide risks management developed during recent decades. The government ministries and government companies, the Accountant General's Department, and the Government Companies Authority must consider the conclusions and recommendations raised in this report, learn lessons from the deficiencies noted in the report, and rectify them. </w:t>
      </w:r>
      <w:r w:rsidRPr="00C6221F">
        <w:rPr>
          <w:rFonts w:ascii="Tahoma" w:hAnsi="Tahoma" w:cs="Tahoma"/>
          <w:b/>
          <w:bCs/>
          <w:color w:val="0D0D0D" w:themeColor="text1" w:themeTint="F2"/>
          <w:spacing w:val="2"/>
          <w:sz w:val="18"/>
          <w:szCs w:val="18"/>
        </w:rPr>
        <w:t xml:space="preserve">It should be noted that the Report also contains </w:t>
      </w:r>
      <w:r w:rsidRPr="00C6221F">
        <w:rPr>
          <w:rFonts w:ascii="Tahoma" w:hAnsi="Tahoma" w:cs="Tahoma"/>
          <w:b/>
          <w:bCs/>
          <w:color w:val="0D0D0D" w:themeColor="text1" w:themeTint="F2"/>
          <w:spacing w:val="2"/>
          <w:sz w:val="18"/>
          <w:szCs w:val="18"/>
        </w:rPr>
        <w:t xml:space="preserve">focused audit on </w:t>
      </w:r>
      <w:r w:rsidRPr="00E24042">
        <w:rPr>
          <w:rFonts w:ascii="Tahoma" w:hAnsi="Tahoma" w:cs="Tahoma"/>
          <w:b/>
          <w:bCs/>
          <w:color w:val="0D0D0D" w:themeColor="text1" w:themeTint="F2"/>
          <w:spacing w:val="2"/>
          <w:sz w:val="18"/>
          <w:szCs w:val="18"/>
        </w:rPr>
        <w:t>Preventing Embezzlements and Frauds at the Israel Land Authority.</w:t>
      </w:r>
      <w:r w:rsidRPr="0022348A">
        <w:rPr>
          <w:color w:val="0D0D0D"/>
        </w:rPr>
        <w:t xml:space="preserve"> </w:t>
      </w:r>
    </w:p>
    <w:p w:rsidR="00FE0852" w:rsidRPr="00C6221F" w:rsidP="00FE0852" w14:paraId="1AF05FFD" w14:textId="620231E2">
      <w:pPr>
        <w:pStyle w:val="7190"/>
        <w:bidi w:val="0"/>
        <w:spacing w:before="100" w:after="100"/>
        <w:rPr>
          <w:spacing w:val="2"/>
          <w:rtl/>
        </w:rPr>
      </w:pPr>
      <w:r w:rsidRPr="00C6221F">
        <w:rPr>
          <w:spacing w:val="2"/>
        </w:rPr>
        <w:t xml:space="preserve">In 2021 there were approx. 286,700 toddlers aged from birth to three years in Israel. Studies show that investing in the care and education of toddlers saves investing public funds in the long term. It leads to a relatively greater yield, particularly for toddlers from families in a low socio-economic situation. The audit on </w:t>
      </w:r>
      <w:r w:rsidRPr="00833AAE">
        <w:rPr>
          <w:b/>
          <w:bCs/>
          <w:color w:val="0D0D0D"/>
        </w:rPr>
        <w:t xml:space="preserve">Care and Education of Toddlers in Daycare Centers and Nurseries </w:t>
      </w:r>
      <w:r w:rsidRPr="00C6221F">
        <w:rPr>
          <w:spacing w:val="2"/>
        </w:rPr>
        <w:t>showed that even though the education of toddlers is a decisive stage in the creation of equality of opportunities, in practice, the dispersion and subsidy mechanism of the frameworks, where the price is controlled, and there is the possibility of subsidizing the fees (</w:t>
      </w:r>
      <w:r w:rsidRPr="00C6221F">
        <w:rPr>
          <w:spacing w:val="2"/>
        </w:rPr>
        <w:t>Semel</w:t>
      </w:r>
      <w:r w:rsidRPr="00C6221F">
        <w:rPr>
          <w:spacing w:val="2"/>
        </w:rPr>
        <w:t xml:space="preserve">), </w:t>
      </w:r>
      <w:r w:rsidRPr="001D331F" w:rsidR="001D331F">
        <w:rPr>
          <w:spacing w:val="2"/>
        </w:rPr>
        <w:t xml:space="preserve">results in </w:t>
      </w:r>
      <w:r w:rsidRPr="00C6221F">
        <w:rPr>
          <w:spacing w:val="2"/>
        </w:rPr>
        <w:t xml:space="preserve">many families in a low socio-economic situation without the chance of benefitting from such a framework; on the other hand, many </w:t>
      </w:r>
      <w:r w:rsidRPr="00C6221F">
        <w:rPr>
          <w:spacing w:val="2"/>
        </w:rPr>
        <w:t>Semel</w:t>
      </w:r>
      <w:r w:rsidRPr="00C6221F">
        <w:rPr>
          <w:spacing w:val="2"/>
        </w:rPr>
        <w:t xml:space="preserve"> daycare centers serve population with high socio-economic situation, which receives a bonus in the form of a controlled price, which is lower than the market price for daycare centers in its place of residence. It was also found that in </w:t>
      </w:r>
      <w:r w:rsidRPr="00C6221F">
        <w:rPr>
          <w:spacing w:val="2"/>
        </w:rPr>
        <w:t>Semel</w:t>
      </w:r>
      <w:r w:rsidRPr="00C6221F">
        <w:rPr>
          <w:spacing w:val="2"/>
        </w:rPr>
        <w:t xml:space="preserve"> frameworks, where approx. 150,000 toddlers attend, there is a frequent change of staff, the starting salary of the teachers-assistants during 2019 was the minimum wage </w:t>
      </w:r>
      <m:oMath>
        <m:r>
          <w:rPr>
            <w:rFonts w:ascii="Cambria Math" w:hAnsi="Cambria Math"/>
            <w:spacing w:val="2"/>
          </w:rPr>
          <m:t>-</m:t>
        </m:r>
      </m:oMath>
      <w:r w:rsidRPr="00C6221F">
        <w:rPr>
          <w:spacing w:val="2"/>
        </w:rPr>
        <w:t xml:space="preserve"> NIS 5,300 a month, they were inadequately trained, and the established committee to improve the quality of these frameworks did not complete its work. It was further found that a heavy bureaucratic load was imposed upon the parents of toddlers in all the proceedings for applications for a </w:t>
      </w:r>
      <w:r w:rsidRPr="00C6221F">
        <w:rPr>
          <w:spacing w:val="2"/>
        </w:rPr>
        <w:t>fees</w:t>
      </w:r>
      <w:r w:rsidRPr="00C6221F">
        <w:rPr>
          <w:spacing w:val="2"/>
        </w:rPr>
        <w:t xml:space="preserve"> subsidy in these frameworks. Thus, for approx. 80% of the applications for fees subsidy in the </w:t>
      </w:r>
      <w:r w:rsidRPr="00C6221F">
        <w:rPr>
          <w:spacing w:val="2"/>
        </w:rPr>
        <w:t>Semel</w:t>
      </w:r>
      <w:r w:rsidRPr="00C6221F">
        <w:rPr>
          <w:spacing w:val="2"/>
        </w:rPr>
        <w:t xml:space="preserve"> frameworks, the parents were required to provide five or more documents, and for approx. 3,600 toddlers, the parents were required to submit 25 documents and more. It is recommended that the Day Care Center Department, in conjunction with the Ministry of Finance, examine the subsidy model against the background of the impact of the new Supervision Law on the daycare center market to allow more families in a low socio-economic situation to provide for their children with high-quality education-care from birth to three years. It is further recommended that the Ministry of Education, whose under its supervision, the daycare centers are due to move (under a Government Decision from January 2022), examine methods of incentivizing daycare centers in towns and neighborhoods in the low socio-economic clusters, and support them so that they can comply with the conditions of the new Supervision Law </w:t>
      </w:r>
      <m:oMath>
        <m:r>
          <w:rPr>
            <w:rFonts w:ascii="Cambria Math" w:hAnsi="Cambria Math"/>
            <w:spacing w:val="2"/>
          </w:rPr>
          <m:t>-</m:t>
        </m:r>
      </m:oMath>
      <w:r w:rsidRPr="00C6221F">
        <w:rPr>
          <w:spacing w:val="2"/>
        </w:rPr>
        <w:t xml:space="preserve"> which will apply to them the supervision and enforcement arising from it </w:t>
      </w:r>
      <m:oMath>
        <m:r>
          <w:rPr>
            <w:rFonts w:ascii="Cambria Math" w:hAnsi="Cambria Math"/>
            <w:spacing w:val="2"/>
          </w:rPr>
          <m:t>-</m:t>
        </m:r>
      </m:oMath>
      <w:r w:rsidRPr="00C6221F">
        <w:rPr>
          <w:spacing w:val="2"/>
        </w:rPr>
        <w:t xml:space="preserve"> and provide higher quality education-care for the toddlers requiring it. Finally, the Ministry of Education, as well as all the other bodies involved </w:t>
      </w:r>
      <m:oMath>
        <m:r>
          <w:rPr>
            <w:rFonts w:ascii="Cambria Math" w:hAnsi="Cambria Math"/>
            <w:spacing w:val="2"/>
          </w:rPr>
          <m:t>-</m:t>
        </m:r>
      </m:oMath>
      <w:r w:rsidRPr="00C6221F">
        <w:rPr>
          <w:spacing w:val="2"/>
        </w:rPr>
        <w:t xml:space="preserve"> the Labor Branch, the Early Childhood Council, and the Ministry of Finance </w:t>
      </w:r>
      <m:oMath>
        <m:r>
          <w:rPr>
            <w:rFonts w:ascii="Cambria Math" w:hAnsi="Cambria Math"/>
            <w:spacing w:val="2"/>
          </w:rPr>
          <m:t>-</m:t>
        </m:r>
      </m:oMath>
      <w:r w:rsidRPr="00C6221F">
        <w:rPr>
          <w:spacing w:val="2"/>
        </w:rPr>
        <w:t xml:space="preserve"> should implement the strategic change due to the implementation of the new Supervision Law and its Regulations and the transfer of the main activity of the Day Care Centers Department to the Ministry of Education; a change designed to allow the required leap in the quality of education-care provided for toddlers, and in particular for those in a low socio-economic situation.</w:t>
      </w:r>
    </w:p>
    <w:p w:rsidR="00FE0852" w:rsidRPr="00C6221F" w:rsidP="00FE0852" w14:paraId="129F337F" w14:textId="2F6DE31E">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One of the primary missions of the Ministry of Education is budgeting the development and building of schools using the local authorities. The Ministry budgets the construction of new educational institutions, renews existing ones, and participates in financing portable </w:t>
      </w:r>
      <w:r w:rsidRPr="00C6221F">
        <w:rPr>
          <w:rFonts w:ascii="Tahoma" w:hAnsi="Tahoma" w:cs="Tahoma"/>
          <w:color w:val="0D0D0D" w:themeColor="text1" w:themeTint="F2"/>
          <w:spacing w:val="2"/>
          <w:sz w:val="18"/>
          <w:szCs w:val="18"/>
        </w:rPr>
        <w:t xml:space="preserve">structures and rented buildings for educational institutions when necessary. The audit on </w:t>
      </w:r>
      <w:r w:rsidRPr="00833AAE">
        <w:rPr>
          <w:rFonts w:ascii="Tahoma" w:hAnsi="Tahoma" w:cs="Tahoma"/>
          <w:b/>
          <w:bCs/>
          <w:color w:val="0D0D0D" w:themeColor="text1" w:themeTint="F2"/>
          <w:spacing w:val="2"/>
          <w:sz w:val="18"/>
          <w:szCs w:val="18"/>
        </w:rPr>
        <w:t>Development of Educational Institutions – New Construction and Expansion of Existing Structures</w:t>
      </w:r>
      <w:r w:rsidRPr="00C6221F">
        <w:rPr>
          <w:rFonts w:ascii="Tahoma" w:hAnsi="Tahoma" w:cs="Tahoma"/>
          <w:color w:val="0D0D0D" w:themeColor="text1" w:themeTint="F2"/>
          <w:spacing w:val="2"/>
          <w:sz w:val="18"/>
          <w:szCs w:val="18"/>
        </w:rPr>
        <w:t xml:space="preserve"> raised that at the end of 2020, there was a shortage of more than 10,200 classrooms in schools and kindergartens </w:t>
      </w:r>
      <m:oMath>
        <m:r>
          <w:rPr>
            <w:rFonts w:ascii="Cambria Math" w:hAnsi="Cambria Math" w:cs="Tahoma"/>
            <w:color w:val="0D0D0D" w:themeColor="text1" w:themeTint="F2"/>
            <w:spacing w:val="2"/>
            <w:sz w:val="18"/>
            <w:szCs w:val="18"/>
          </w:rPr>
          <m:t>-</m:t>
        </m:r>
      </m:oMath>
      <w:r w:rsidRPr="00C6221F">
        <w:rPr>
          <w:rFonts w:ascii="Tahoma" w:hAnsi="Tahoma" w:cs="Tahoma"/>
          <w:color w:val="0D0D0D" w:themeColor="text1" w:themeTint="F2"/>
          <w:spacing w:val="2"/>
          <w:sz w:val="18"/>
          <w:szCs w:val="18"/>
        </w:rPr>
        <w:t xml:space="preserve"> an increase in comparison to 2017, when </w:t>
      </w:r>
      <w:r w:rsidRPr="001D331F" w:rsidR="001D331F">
        <w:rPr>
          <w:rFonts w:ascii="Tahoma" w:hAnsi="Tahoma" w:cs="Tahoma"/>
          <w:color w:val="0D0D0D" w:themeColor="text1" w:themeTint="F2"/>
          <w:spacing w:val="2"/>
          <w:sz w:val="18"/>
          <w:szCs w:val="18"/>
        </w:rPr>
        <w:t xml:space="preserve">the shortage was </w:t>
      </w:r>
      <w:r w:rsidRPr="00C6221F">
        <w:rPr>
          <w:rFonts w:ascii="Tahoma" w:hAnsi="Tahoma" w:cs="Tahoma"/>
          <w:color w:val="0D0D0D" w:themeColor="text1" w:themeTint="F2"/>
          <w:spacing w:val="2"/>
          <w:sz w:val="18"/>
          <w:szCs w:val="18"/>
        </w:rPr>
        <w:t xml:space="preserve">nearly 7,500 classrooms. This audit exposes a unique aspect concerning the social discrepancies in Israel: the differences between the local authorities in the high socio-economic clusters and the local authorities in the low socio-economic clusters, to the detriment of the latter, are expressed in a variety of aspects concerning the building of classrooms </w:t>
      </w:r>
      <m:oMath>
        <m:r>
          <w:rPr>
            <w:rFonts w:ascii="Cambria Math" w:hAnsi="Cambria Math" w:cs="Tahoma"/>
            <w:color w:val="0D0D0D" w:themeColor="text1" w:themeTint="F2"/>
            <w:spacing w:val="2"/>
            <w:sz w:val="18"/>
            <w:szCs w:val="18"/>
          </w:rPr>
          <m:t>-</m:t>
        </m:r>
      </m:oMath>
      <w:r w:rsidRPr="00C6221F">
        <w:rPr>
          <w:rFonts w:ascii="Tahoma" w:hAnsi="Tahoma" w:cs="Tahoma"/>
          <w:color w:val="0D0D0D" w:themeColor="text1" w:themeTint="F2"/>
          <w:spacing w:val="2"/>
          <w:sz w:val="18"/>
          <w:szCs w:val="18"/>
        </w:rPr>
        <w:t xml:space="preserve"> in the scale of the shortage of classrooms, the average number of children in the classroom, the rate of exploitation of the budget allotted for the building of classrooms and the construction of innovative study spaces. On the other hand, the bulk of the budget for constructing classrooms in portable structures (85%) is designed for local authorities in relatively low clusters (1</w:t>
      </w:r>
      <m:oMath>
        <m:r>
          <w:rPr>
            <w:rFonts w:ascii="Cambria Math" w:hAnsi="Cambria Math" w:cs="Tahoma"/>
            <w:color w:val="0D0D0D" w:themeColor="text1" w:themeTint="F2"/>
            <w:spacing w:val="2"/>
            <w:sz w:val="18"/>
            <w:szCs w:val="18"/>
          </w:rPr>
          <m:t>-</m:t>
        </m:r>
      </m:oMath>
      <w:r w:rsidRPr="00C6221F">
        <w:rPr>
          <w:rFonts w:ascii="Tahoma" w:hAnsi="Tahoma" w:cs="Tahoma"/>
          <w:color w:val="0D0D0D" w:themeColor="text1" w:themeTint="F2"/>
          <w:spacing w:val="2"/>
          <w:sz w:val="18"/>
          <w:szCs w:val="18"/>
        </w:rPr>
        <w:t xml:space="preserve">6). </w:t>
      </w:r>
      <w:r w:rsidRPr="00C6221F">
        <w:rPr>
          <w:rFonts w:ascii="Tahoma" w:hAnsi="Tahoma" w:cs="Tahoma" w:hint="cs"/>
          <w:color w:val="0D0D0D" w:themeColor="text1" w:themeTint="F2"/>
          <w:spacing w:val="2"/>
          <w:sz w:val="18"/>
          <w:szCs w:val="18"/>
        </w:rPr>
        <w:t>T</w:t>
      </w:r>
      <w:r w:rsidRPr="00C6221F">
        <w:rPr>
          <w:rFonts w:ascii="Tahoma" w:hAnsi="Tahoma" w:cs="Tahoma"/>
          <w:color w:val="0D0D0D" w:themeColor="text1" w:themeTint="F2"/>
          <w:spacing w:val="2"/>
          <w:sz w:val="18"/>
          <w:szCs w:val="18"/>
        </w:rPr>
        <w:t xml:space="preserve">he main reason for the discrepancies is that the local authorities belonging to the low clusters find it challenging to realize the budgetary authorizations from the Ministry of Education to build classrooms. The outcome is that a local authority from a high socio-economic cluster can offer the pupil, beyond the uniform and binding specification, better physical </w:t>
      </w:r>
      <w:r w:rsidRPr="00C6221F">
        <w:rPr>
          <w:rFonts w:ascii="Tahoma" w:hAnsi="Tahoma" w:cs="Tahoma"/>
          <w:color w:val="0D0D0D" w:themeColor="text1" w:themeTint="F2"/>
          <w:spacing w:val="2"/>
          <w:sz w:val="18"/>
          <w:szCs w:val="18"/>
        </w:rPr>
        <w:t>infrastructures</w:t>
      </w:r>
      <w:r w:rsidRPr="00C6221F">
        <w:rPr>
          <w:rFonts w:ascii="Tahoma" w:hAnsi="Tahoma" w:cs="Tahoma"/>
          <w:color w:val="0D0D0D" w:themeColor="text1" w:themeTint="F2"/>
          <w:spacing w:val="2"/>
          <w:sz w:val="18"/>
          <w:szCs w:val="18"/>
        </w:rPr>
        <w:t xml:space="preserve"> and study environment: an institution built at a higher standard, more spacious and equipped and in a cultivated environment </w:t>
      </w:r>
      <m:oMath>
        <m:r>
          <w:rPr>
            <w:rFonts w:ascii="Cambria Math" w:hAnsi="Cambria Math" w:cs="Tahoma"/>
            <w:color w:val="0D0D0D" w:themeColor="text1" w:themeTint="F2"/>
            <w:spacing w:val="2"/>
            <w:sz w:val="18"/>
            <w:szCs w:val="18"/>
          </w:rPr>
          <m:t>-</m:t>
        </m:r>
      </m:oMath>
      <w:r w:rsidRPr="00C6221F">
        <w:rPr>
          <w:rFonts w:ascii="Tahoma" w:hAnsi="Tahoma" w:cs="Tahoma"/>
          <w:color w:val="0D0D0D" w:themeColor="text1" w:themeTint="F2"/>
          <w:spacing w:val="2"/>
          <w:sz w:val="18"/>
          <w:szCs w:val="18"/>
        </w:rPr>
        <w:t xml:space="preserve"> resources which a local authority from a low socio-economic cluster cannot offer its pupils. The State Comptroller's Office recommends that the Ministry of Education formulate a policy for reducing the shortage of classrooms over several years until its conclusion, including the provision of permanent solutions instead of portable classrooms. It is further recommended that the Ministry consider the local authorities’ difficulty in the low socio-economic clusters in realizing the budgetary authorizations for the building of classrooms. </w:t>
      </w:r>
      <w:r w:rsidRPr="00C6221F">
        <w:rPr>
          <w:rFonts w:ascii="Tahoma" w:hAnsi="Tahoma" w:cs="Tahoma"/>
          <w:color w:val="0D0D0D" w:themeColor="text1" w:themeTint="F2"/>
          <w:spacing w:val="2"/>
          <w:sz w:val="18"/>
          <w:szCs w:val="18"/>
        </w:rPr>
        <w:t>Thus</w:t>
      </w:r>
      <w:r w:rsidRPr="00C6221F">
        <w:rPr>
          <w:rFonts w:ascii="Tahoma" w:hAnsi="Tahoma" w:cs="Tahoma"/>
          <w:color w:val="0D0D0D" w:themeColor="text1" w:themeTint="F2"/>
          <w:spacing w:val="2"/>
          <w:sz w:val="18"/>
          <w:szCs w:val="18"/>
        </w:rPr>
        <w:t xml:space="preserve"> the Ministry will increase the chances of the pupils in these local authorities </w:t>
      </w:r>
      <w:r w:rsidR="001D331F">
        <w:rPr>
          <w:rFonts w:ascii="Tahoma" w:hAnsi="Tahoma" w:cs="Tahoma"/>
          <w:color w:val="0D0D0D" w:themeColor="text1" w:themeTint="F2"/>
          <w:spacing w:val="2"/>
          <w:sz w:val="18"/>
          <w:szCs w:val="18"/>
        </w:rPr>
        <w:t xml:space="preserve">to </w:t>
      </w:r>
      <w:r w:rsidRPr="00C6221F">
        <w:rPr>
          <w:rFonts w:ascii="Tahoma" w:hAnsi="Tahoma" w:cs="Tahoma"/>
          <w:color w:val="0D0D0D" w:themeColor="text1" w:themeTint="F2"/>
          <w:spacing w:val="2"/>
          <w:sz w:val="18"/>
          <w:szCs w:val="18"/>
        </w:rPr>
        <w:t>start at an equal point to the pupils in the other local authorities and will ensure them an equal opportunity. The State Comptroller's Office further recommends to the Ministry of Education to examine the implementation of the government decisions concerning the reduction of crowdedness in the classrooms during the past 13 years: to analyze the requirements according to the stages of education, the socio-economic affinity of the local authority and the sector to which the school belongs; to formulate a yearly plan of action for the implementation of the government Decisions, and prioritize budgeting for the building of the new classrooms in the local authorities where the average crowdedness in the classrooms under their responsibility is higher.</w:t>
      </w:r>
    </w:p>
    <w:p w:rsidR="00FE0852" w:rsidRPr="00C6221F" w:rsidP="00FE0852" w14:paraId="008746AA" w14:textId="77777777">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Eggs are a source of animal protein in the human diet, and the average annual consumption per person in Israel totals 250 eggs. The egg-laying industry in Israel is planned, and it is only possible to produce and market eggs by the quota allotted to the poultry farmer. In 2007 and 2010, the government </w:t>
      </w:r>
      <w:r w:rsidRPr="00C6221F">
        <w:rPr>
          <w:rFonts w:ascii="Tahoma" w:hAnsi="Tahoma" w:cs="Tahoma"/>
          <w:color w:val="0D0D0D" w:themeColor="text1" w:themeTint="F2"/>
          <w:spacing w:val="2"/>
          <w:sz w:val="18"/>
          <w:szCs w:val="18"/>
        </w:rPr>
        <w:t>made a decision</w:t>
      </w:r>
      <w:r w:rsidRPr="00C6221F">
        <w:rPr>
          <w:rFonts w:ascii="Tahoma" w:hAnsi="Tahoma" w:cs="Tahoma"/>
          <w:color w:val="0D0D0D" w:themeColor="text1" w:themeTint="F2"/>
          <w:spacing w:val="2"/>
          <w:sz w:val="18"/>
          <w:szCs w:val="18"/>
        </w:rPr>
        <w:t xml:space="preserve"> concerning the chicken coops, whereby assistance in the form of grants would be given to poultry farmers to make capital investments in the eggs industry, to remove the chicken coops from the town centers. In August 2021, the government made another Decision, whereby the quotas regime in the </w:t>
      </w:r>
      <w:r w:rsidRPr="00C6221F">
        <w:rPr>
          <w:rFonts w:ascii="Tahoma" w:hAnsi="Tahoma" w:cs="Tahoma"/>
          <w:color w:val="0D0D0D" w:themeColor="text1" w:themeTint="F2"/>
          <w:spacing w:val="2"/>
          <w:sz w:val="18"/>
          <w:szCs w:val="18"/>
        </w:rPr>
        <w:t xml:space="preserve">egg-laying industry would be abolished, but this decision has not yet been implemented. The audit on </w:t>
      </w:r>
      <w:r w:rsidRPr="00691680">
        <w:rPr>
          <w:rFonts w:ascii="Tahoma" w:hAnsi="Tahoma" w:cs="Tahoma"/>
          <w:b/>
          <w:bCs/>
          <w:color w:val="0D0D0D" w:themeColor="text1" w:themeTint="F2"/>
          <w:spacing w:val="2"/>
          <w:sz w:val="18"/>
          <w:szCs w:val="18"/>
        </w:rPr>
        <w:t>Egg Production in Israel – Implementation of the Laying Hen Coops Reform</w:t>
      </w:r>
      <w:r w:rsidRPr="00C6221F">
        <w:rPr>
          <w:rFonts w:ascii="Tahoma" w:hAnsi="Tahoma" w:cs="Tahoma"/>
          <w:color w:val="0D0D0D" w:themeColor="text1" w:themeTint="F2"/>
          <w:spacing w:val="2"/>
          <w:sz w:val="18"/>
          <w:szCs w:val="18"/>
        </w:rPr>
        <w:t xml:space="preserve"> raised that 71% of the chicken coops in Israel </w:t>
      </w:r>
      <w:r>
        <w:rPr>
          <w:rFonts w:ascii="Tahoma" w:hAnsi="Tahoma" w:cs="Tahoma"/>
          <w:color w:val="0D0D0D" w:themeColor="text1" w:themeTint="F2"/>
          <w:spacing w:val="2"/>
          <w:sz w:val="18"/>
          <w:szCs w:val="18"/>
        </w:rPr>
        <w:t xml:space="preserve">that </w:t>
      </w:r>
      <w:r w:rsidRPr="00C6221F">
        <w:rPr>
          <w:rFonts w:ascii="Tahoma" w:hAnsi="Tahoma" w:cs="Tahoma"/>
          <w:color w:val="0D0D0D" w:themeColor="text1" w:themeTint="F2"/>
          <w:spacing w:val="2"/>
          <w:sz w:val="18"/>
          <w:szCs w:val="18"/>
        </w:rPr>
        <w:t xml:space="preserve">were built during the Fifties and Sixties of the 20th century, </w:t>
      </w:r>
      <w:r>
        <w:rPr>
          <w:rFonts w:ascii="Tahoma" w:hAnsi="Tahoma" w:cs="Tahoma"/>
          <w:color w:val="0D0D0D" w:themeColor="text1" w:themeTint="F2"/>
          <w:spacing w:val="2"/>
          <w:sz w:val="18"/>
          <w:szCs w:val="18"/>
        </w:rPr>
        <w:t>do not</w:t>
      </w:r>
      <w:r w:rsidRPr="00C6221F">
        <w:rPr>
          <w:rFonts w:ascii="Tahoma" w:hAnsi="Tahoma" w:cs="Tahoma"/>
          <w:color w:val="0D0D0D" w:themeColor="text1" w:themeTint="F2"/>
          <w:spacing w:val="2"/>
          <w:sz w:val="18"/>
          <w:szCs w:val="18"/>
        </w:rPr>
        <w:t xml:space="preserve"> comply with the binding standards prescribed in the statutory provisions from licensing, planning and construction, and public health. </w:t>
      </w:r>
      <w:r>
        <w:rPr>
          <w:rFonts w:ascii="Tahoma" w:hAnsi="Tahoma" w:cs="Tahoma"/>
          <w:color w:val="0D0D0D" w:themeColor="text1" w:themeTint="F2"/>
          <w:spacing w:val="2"/>
          <w:sz w:val="18"/>
          <w:szCs w:val="18"/>
        </w:rPr>
        <w:t>Moreover, t</w:t>
      </w:r>
      <w:r w:rsidRPr="00C6221F">
        <w:rPr>
          <w:rFonts w:ascii="Tahoma" w:hAnsi="Tahoma" w:cs="Tahoma"/>
          <w:color w:val="0D0D0D" w:themeColor="text1" w:themeTint="F2"/>
          <w:spacing w:val="2"/>
          <w:sz w:val="18"/>
          <w:szCs w:val="18"/>
        </w:rPr>
        <w:t xml:space="preserve">hey do not comply with the acceptable requirements in the developed countries concerning the welfare of laying hens. 76% of all the laying hens are housed in cages where the space per laying hen is only approx. 400 sq. cm, compared to the enriched cages in Europe, where the space is 750 sq. cm. Many chicken coops </w:t>
      </w:r>
      <w:r w:rsidRPr="00C6221F">
        <w:rPr>
          <w:rFonts w:ascii="Tahoma" w:hAnsi="Tahoma" w:cs="Tahoma"/>
          <w:color w:val="0D0D0D" w:themeColor="text1" w:themeTint="F2"/>
          <w:spacing w:val="2"/>
          <w:sz w:val="18"/>
          <w:szCs w:val="18"/>
        </w:rPr>
        <w:t>are located in</w:t>
      </w:r>
      <w:r w:rsidRPr="00C6221F">
        <w:rPr>
          <w:rFonts w:ascii="Tahoma" w:hAnsi="Tahoma" w:cs="Tahoma"/>
          <w:color w:val="0D0D0D" w:themeColor="text1" w:themeTint="F2"/>
          <w:spacing w:val="2"/>
          <w:sz w:val="18"/>
          <w:szCs w:val="18"/>
        </w:rPr>
        <w:t xml:space="preserve"> town centers and create an environmental hazard affecting the possibilities of development of the towns and their residents' quality of life. In the northern chicken coops, which are more crowded than the chicken coops in the other parts of the country, the rate of morbidity in </w:t>
      </w:r>
      <w:r w:rsidRPr="00C6221F">
        <w:rPr>
          <w:rFonts w:ascii="Tahoma" w:hAnsi="Tahoma" w:cs="Tahoma"/>
          <w:color w:val="0D0D0D" w:themeColor="text1" w:themeTint="F2"/>
          <w:spacing w:val="2"/>
          <w:sz w:val="18"/>
          <w:szCs w:val="18"/>
        </w:rPr>
        <w:t>the majority of</w:t>
      </w:r>
      <w:r w:rsidRPr="00C6221F">
        <w:rPr>
          <w:rFonts w:ascii="Tahoma" w:hAnsi="Tahoma" w:cs="Tahoma"/>
          <w:color w:val="0D0D0D" w:themeColor="text1" w:themeTint="F2"/>
          <w:spacing w:val="2"/>
          <w:sz w:val="18"/>
          <w:szCs w:val="18"/>
        </w:rPr>
        <w:t xml:space="preserve"> the most common bird diseases in Israel is considerably more significant than the rate of morbidity in those in other parts of the country. The outbreak of Bird Flu at the end of 2021 illustrates the inability to effectively isolate the outbreak’s focus and prevent the spread of Bird Flu among the chicken coops. This and more, due to the quotas policy prevalent in the industry, the price per egg in Israel is one of the highest in the world, even though the government controls the prices. Thus, for example, the average price of a tray of 12 medium eggs in Israel is NIS 12.96, compared to NIS 9.17 in the OECD countries (not including Israel) and NIS 7.52 in the United States. The Israeli consumer bears the high price burden. The Ministry of Agriculture, in conjunction with the Ministry of Finance, should remove the barriers to the advancement of the reform, including the budgetary, planning, and normative aspects. Since a considerable part of the old chicken coops </w:t>
      </w:r>
      <w:r w:rsidRPr="00C6221F">
        <w:rPr>
          <w:rFonts w:ascii="Tahoma" w:hAnsi="Tahoma" w:cs="Tahoma"/>
          <w:color w:val="0D0D0D" w:themeColor="text1" w:themeTint="F2"/>
          <w:spacing w:val="2"/>
          <w:sz w:val="18"/>
          <w:szCs w:val="18"/>
        </w:rPr>
        <w:t>are located in</w:t>
      </w:r>
      <w:r w:rsidRPr="00C6221F">
        <w:rPr>
          <w:rFonts w:ascii="Tahoma" w:hAnsi="Tahoma" w:cs="Tahoma"/>
          <w:color w:val="0D0D0D" w:themeColor="text1" w:themeTint="F2"/>
          <w:spacing w:val="2"/>
          <w:sz w:val="18"/>
          <w:szCs w:val="18"/>
        </w:rPr>
        <w:t xml:space="preserve"> the north of the country (71% of the chicken coops in Israel and 65% of all the poultry farmers are located in the northern towns), they should also consider the employment aspects of the adoption of the reform and work diligently on the provision of suitable solutions to these issues.</w:t>
      </w:r>
    </w:p>
    <w:p w:rsidR="00FE0852" w:rsidRPr="00C6221F" w:rsidP="00FE0852" w14:paraId="60AE8BB9" w14:textId="77777777">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The </w:t>
      </w:r>
      <w:r w:rsidRPr="00C6221F">
        <w:rPr>
          <w:rFonts w:ascii="Tahoma" w:hAnsi="Tahoma" w:cs="Tahoma"/>
          <w:color w:val="0D0D0D" w:themeColor="text1" w:themeTint="F2"/>
          <w:spacing w:val="2"/>
          <w:sz w:val="18"/>
          <w:szCs w:val="18"/>
        </w:rPr>
        <w:t>Health</w:t>
      </w:r>
      <w:r w:rsidRPr="00C6221F">
        <w:rPr>
          <w:rFonts w:ascii="Tahoma" w:hAnsi="Tahoma" w:cs="Tahoma"/>
          <w:color w:val="0D0D0D" w:themeColor="text1" w:themeTint="F2"/>
          <w:spacing w:val="2"/>
          <w:sz w:val="18"/>
          <w:szCs w:val="18"/>
        </w:rPr>
        <w:t xml:space="preserve"> care Basket expansion allows advanced medicines and technologies to be added using public funding. Prioritization of the requests is a moral decision accompanied by deliberations because every request is essential; still, it is impossible to include all the desired medicines and technologies in the </w:t>
      </w:r>
      <w:r w:rsidRPr="00C6221F">
        <w:rPr>
          <w:rFonts w:ascii="Tahoma" w:hAnsi="Tahoma" w:cs="Tahoma"/>
          <w:color w:val="0D0D0D" w:themeColor="text1" w:themeTint="F2"/>
          <w:spacing w:val="2"/>
          <w:sz w:val="18"/>
          <w:szCs w:val="18"/>
        </w:rPr>
        <w:t>Health</w:t>
      </w:r>
      <w:r w:rsidRPr="00C6221F">
        <w:rPr>
          <w:rFonts w:ascii="Tahoma" w:hAnsi="Tahoma" w:cs="Tahoma"/>
          <w:color w:val="0D0D0D" w:themeColor="text1" w:themeTint="F2"/>
          <w:spacing w:val="2"/>
          <w:sz w:val="18"/>
          <w:szCs w:val="18"/>
        </w:rPr>
        <w:t xml:space="preserve"> care Basket due to budgetary constraints. Giv</w:t>
      </w:r>
      <w:r>
        <w:rPr>
          <w:rFonts w:ascii="Tahoma" w:hAnsi="Tahoma" w:cs="Tahoma"/>
          <w:color w:val="0D0D0D" w:themeColor="text1" w:themeTint="F2"/>
          <w:spacing w:val="2"/>
          <w:sz w:val="18"/>
          <w:szCs w:val="18"/>
        </w:rPr>
        <w:t xml:space="preserve">en the findings of the audit on the </w:t>
      </w:r>
      <w:r w:rsidRPr="00096EE4">
        <w:rPr>
          <w:rFonts w:ascii="Tahoma" w:hAnsi="Tahoma" w:cs="Tahoma"/>
          <w:b/>
          <w:bCs/>
          <w:color w:val="0D0D0D" w:themeColor="text1" w:themeTint="F2"/>
          <w:spacing w:val="2"/>
          <w:sz w:val="18"/>
          <w:szCs w:val="18"/>
        </w:rPr>
        <w:t>Expansion of the Health Services Basket – The Addition of Medications and Technologies</w:t>
      </w:r>
      <w:r w:rsidRPr="00C6221F">
        <w:rPr>
          <w:rFonts w:ascii="Tahoma" w:hAnsi="Tahoma" w:cs="Tahoma"/>
          <w:color w:val="0D0D0D" w:themeColor="text1" w:themeTint="F2"/>
          <w:spacing w:val="2"/>
          <w:sz w:val="18"/>
          <w:szCs w:val="18"/>
        </w:rPr>
        <w:t>, it is recommended to amend and improve the process for expansion of the Basket, which will lead to better exploitation of its budget to which the public is entitled. Given the findings of this report and because the Basket Committee has been operating for more than 20 years without the supervision reports on its activity being completed, it is essential that the Health Council and the Ministries of Health and Finance examine all the Committee's activity, to improve its functioning and to enable patients to get the most out of the health services included in the Basket.</w:t>
      </w:r>
    </w:p>
    <w:p w:rsidR="00FE0852" w:rsidRPr="00C6221F" w:rsidP="00FE0852" w14:paraId="2333193E" w14:textId="77777777">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The audit on</w:t>
      </w:r>
      <w:r>
        <w:rPr>
          <w:rFonts w:ascii="Tahoma" w:hAnsi="Tahoma" w:cs="Tahoma"/>
          <w:color w:val="0D0D0D" w:themeColor="text1" w:themeTint="F2"/>
          <w:spacing w:val="2"/>
          <w:sz w:val="18"/>
          <w:szCs w:val="18"/>
        </w:rPr>
        <w:t xml:space="preserve"> the</w:t>
      </w:r>
      <w:r w:rsidRPr="00C6221F">
        <w:rPr>
          <w:rFonts w:ascii="Tahoma" w:hAnsi="Tahoma" w:cs="Tahoma"/>
          <w:color w:val="0D0D0D" w:themeColor="text1" w:themeTint="F2"/>
          <w:spacing w:val="2"/>
          <w:sz w:val="18"/>
          <w:szCs w:val="18"/>
        </w:rPr>
        <w:t xml:space="preserve"> </w:t>
      </w:r>
      <w:r w:rsidRPr="00096EE4">
        <w:rPr>
          <w:rFonts w:ascii="Tahoma" w:hAnsi="Tahoma" w:cs="Tahoma"/>
          <w:b/>
          <w:bCs/>
          <w:color w:val="0D0D0D" w:themeColor="text1" w:themeTint="F2"/>
          <w:spacing w:val="2"/>
          <w:sz w:val="18"/>
          <w:szCs w:val="18"/>
        </w:rPr>
        <w:t xml:space="preserve">Maintenance of Apartments Belonging to </w:t>
      </w:r>
      <w:r w:rsidRPr="00096EE4">
        <w:rPr>
          <w:rFonts w:ascii="Tahoma" w:hAnsi="Tahoma" w:cs="Tahoma"/>
          <w:b/>
          <w:bCs/>
          <w:color w:val="0D0D0D" w:themeColor="text1" w:themeTint="F2"/>
          <w:spacing w:val="2"/>
          <w:sz w:val="18"/>
          <w:szCs w:val="18"/>
        </w:rPr>
        <w:t>Amidar</w:t>
      </w:r>
      <w:r w:rsidRPr="00096EE4">
        <w:rPr>
          <w:rFonts w:ascii="Tahoma" w:hAnsi="Tahoma" w:cs="Tahoma"/>
          <w:b/>
          <w:bCs/>
          <w:color w:val="0D0D0D" w:themeColor="text1" w:themeTint="F2"/>
          <w:spacing w:val="2"/>
          <w:sz w:val="18"/>
          <w:szCs w:val="18"/>
        </w:rPr>
        <w:t xml:space="preserve"> – the Israeli National Public Housing Company Ltd.</w:t>
      </w:r>
      <w:r>
        <w:rPr>
          <w:rFonts w:ascii="Tahoma" w:hAnsi="Tahoma" w:cs="Tahoma"/>
          <w:color w:val="0D0D0D" w:themeColor="text1" w:themeTint="F2"/>
          <w:spacing w:val="2"/>
          <w:sz w:val="18"/>
          <w:szCs w:val="18"/>
        </w:rPr>
        <w:t xml:space="preserve"> </w:t>
      </w:r>
      <w:r w:rsidRPr="00C6221F">
        <w:rPr>
          <w:rFonts w:ascii="Tahoma" w:hAnsi="Tahoma" w:cs="Tahoma"/>
          <w:color w:val="0D0D0D" w:themeColor="text1" w:themeTint="F2"/>
          <w:spacing w:val="2"/>
          <w:sz w:val="18"/>
          <w:szCs w:val="18"/>
        </w:rPr>
        <w:t xml:space="preserve">indicated that </w:t>
      </w:r>
      <w:r w:rsidRPr="00C6221F">
        <w:rPr>
          <w:rFonts w:ascii="Tahoma" w:hAnsi="Tahoma" w:cs="Tahoma"/>
          <w:color w:val="0D0D0D" w:themeColor="text1" w:themeTint="F2"/>
          <w:spacing w:val="2"/>
          <w:sz w:val="18"/>
          <w:szCs w:val="18"/>
        </w:rPr>
        <w:t>Amidar</w:t>
      </w:r>
      <w:r w:rsidRPr="00C6221F">
        <w:rPr>
          <w:rFonts w:ascii="Tahoma" w:hAnsi="Tahoma" w:cs="Tahoma"/>
          <w:color w:val="0D0D0D" w:themeColor="text1" w:themeTint="F2"/>
          <w:spacing w:val="2"/>
          <w:sz w:val="18"/>
          <w:szCs w:val="18"/>
        </w:rPr>
        <w:t xml:space="preserve"> manages most of the public housing apartments (approx. 38,000 out of approx. 50,000). Approx. 75% of them were built more than 40 years ago, and their tenants are among Israel's low socio-economic level population. </w:t>
      </w:r>
      <w:r w:rsidRPr="00C6221F">
        <w:rPr>
          <w:rFonts w:ascii="Tahoma" w:hAnsi="Tahoma" w:cs="Tahoma"/>
          <w:color w:val="0D0D0D" w:themeColor="text1" w:themeTint="F2"/>
          <w:spacing w:val="2"/>
          <w:sz w:val="18"/>
          <w:szCs w:val="18"/>
        </w:rPr>
        <w:t>Amidar's</w:t>
      </w:r>
      <w:r w:rsidRPr="00C6221F">
        <w:rPr>
          <w:rFonts w:ascii="Tahoma" w:hAnsi="Tahoma" w:cs="Tahoma"/>
          <w:color w:val="0D0D0D" w:themeColor="text1" w:themeTint="F2"/>
          <w:spacing w:val="2"/>
          <w:sz w:val="18"/>
          <w:szCs w:val="18"/>
        </w:rPr>
        <w:t xml:space="preserve"> management agreement with the Ministry of Construction and Housing regulates the management of the apartments, including the company's liability for their maintenance, to ensure the fulfillment of the eligible tenant's rights and obligations under the Tenant’s Rights in Public Housing Law, 1998, and the Regulations thereunder. Within its maintenance activities of the apartments, </w:t>
      </w:r>
      <w:r w:rsidRPr="00C6221F">
        <w:rPr>
          <w:rFonts w:ascii="Tahoma" w:hAnsi="Tahoma" w:cs="Tahoma"/>
          <w:color w:val="0D0D0D" w:themeColor="text1" w:themeTint="F2"/>
          <w:spacing w:val="2"/>
          <w:sz w:val="18"/>
          <w:szCs w:val="18"/>
        </w:rPr>
        <w:t>Amidar</w:t>
      </w:r>
      <w:r w:rsidRPr="00C6221F">
        <w:rPr>
          <w:rFonts w:ascii="Tahoma" w:hAnsi="Tahoma" w:cs="Tahoma"/>
          <w:color w:val="0D0D0D" w:themeColor="text1" w:themeTint="F2"/>
          <w:spacing w:val="2"/>
          <w:sz w:val="18"/>
          <w:szCs w:val="18"/>
        </w:rPr>
        <w:t xml:space="preserve"> performs, using external contractors, ongoing maintenance works, thorough renovation, and refurbishments before occupation. The present audit in 2018</w:t>
      </w:r>
      <m:oMath>
        <m:r>
          <w:rPr>
            <w:rFonts w:ascii="Cambria Math" w:hAnsi="Cambria Math" w:cs="Tahoma"/>
            <w:color w:val="0D0D0D" w:themeColor="text1" w:themeTint="F2"/>
            <w:spacing w:val="2"/>
            <w:sz w:val="18"/>
            <w:szCs w:val="18"/>
          </w:rPr>
          <m:t>-</m:t>
        </m:r>
      </m:oMath>
      <w:r w:rsidRPr="00C6221F">
        <w:rPr>
          <w:rFonts w:ascii="Tahoma" w:hAnsi="Tahoma" w:cs="Tahoma"/>
          <w:color w:val="0D0D0D" w:themeColor="text1" w:themeTint="F2"/>
          <w:spacing w:val="2"/>
          <w:sz w:val="18"/>
          <w:szCs w:val="18"/>
        </w:rPr>
        <w:t xml:space="preserve">2020 raised that Amidar had performed several activities, including maintenance works and repairs of defects in approx. 27,600 apartments and the renovation of approx. 6,800 apartments, but its activities require improvement. The Ministry of Construction and Housing and </w:t>
      </w:r>
      <w:r w:rsidRPr="00C6221F">
        <w:rPr>
          <w:rFonts w:ascii="Tahoma" w:hAnsi="Tahoma" w:cs="Tahoma"/>
          <w:color w:val="0D0D0D" w:themeColor="text1" w:themeTint="F2"/>
          <w:spacing w:val="2"/>
          <w:sz w:val="18"/>
          <w:szCs w:val="18"/>
        </w:rPr>
        <w:t>Amidar</w:t>
      </w:r>
      <w:r w:rsidRPr="00C6221F">
        <w:rPr>
          <w:rFonts w:ascii="Tahoma" w:hAnsi="Tahoma" w:cs="Tahoma"/>
          <w:color w:val="0D0D0D" w:themeColor="text1" w:themeTint="F2"/>
          <w:spacing w:val="2"/>
          <w:sz w:val="18"/>
          <w:szCs w:val="18"/>
        </w:rPr>
        <w:t xml:space="preserve"> must rectify the deficiencies to ensure a proper standard of public housing apartments.</w:t>
      </w:r>
    </w:p>
    <w:p w:rsidR="00FE0852" w:rsidRPr="004A19AF" w:rsidP="00FE0852" w14:paraId="7A5C2714" w14:textId="12BB8716">
      <w:pPr>
        <w:bidi w:val="0"/>
        <w:spacing w:before="120" w:line="300" w:lineRule="auto"/>
        <w:rPr>
          <w:rFonts w:ascii="Tahoma" w:hAnsi="Tahoma" w:cs="Tahoma"/>
          <w:color w:val="0D0D0D" w:themeColor="text1" w:themeTint="F2"/>
          <w:spacing w:val="2"/>
          <w:sz w:val="18"/>
          <w:szCs w:val="18"/>
        </w:rPr>
      </w:pPr>
      <w:r w:rsidRPr="00C6221F">
        <w:rPr>
          <w:rFonts w:ascii="Tahoma" w:hAnsi="Tahoma" w:cs="Tahoma"/>
          <w:color w:val="0D0D0D" w:themeColor="text1" w:themeTint="F2"/>
          <w:spacing w:val="2"/>
          <w:sz w:val="18"/>
          <w:szCs w:val="18"/>
        </w:rPr>
        <w:t xml:space="preserve">A follow-up </w:t>
      </w:r>
      <w:r>
        <w:rPr>
          <w:rFonts w:ascii="Tahoma" w:hAnsi="Tahoma" w:cs="Tahoma"/>
          <w:color w:val="0D0D0D" w:themeColor="text1" w:themeTint="F2"/>
          <w:spacing w:val="2"/>
          <w:sz w:val="18"/>
          <w:szCs w:val="18"/>
        </w:rPr>
        <w:t>over the</w:t>
      </w:r>
      <w:r w:rsidRPr="00C6221F">
        <w:rPr>
          <w:rFonts w:ascii="Tahoma" w:hAnsi="Tahoma" w:cs="Tahoma"/>
          <w:color w:val="0D0D0D" w:themeColor="text1" w:themeTint="F2"/>
          <w:spacing w:val="2"/>
          <w:sz w:val="18"/>
          <w:szCs w:val="18"/>
        </w:rPr>
        <w:t xml:space="preserve"> </w:t>
      </w:r>
      <w:r>
        <w:rPr>
          <w:rFonts w:ascii="Tahoma" w:hAnsi="Tahoma" w:cs="Tahoma"/>
          <w:color w:val="0D0D0D" w:themeColor="text1" w:themeTint="F2"/>
          <w:spacing w:val="2"/>
          <w:sz w:val="18"/>
          <w:szCs w:val="18"/>
        </w:rPr>
        <w:t xml:space="preserve">rectification of </w:t>
      </w:r>
      <w:r w:rsidRPr="00C6221F">
        <w:rPr>
          <w:rFonts w:ascii="Tahoma" w:hAnsi="Tahoma" w:cs="Tahoma"/>
          <w:color w:val="0D0D0D" w:themeColor="text1" w:themeTint="F2"/>
          <w:spacing w:val="2"/>
          <w:sz w:val="18"/>
          <w:szCs w:val="18"/>
        </w:rPr>
        <w:t>the defi</w:t>
      </w:r>
      <w:r>
        <w:rPr>
          <w:rFonts w:ascii="Tahoma" w:hAnsi="Tahoma" w:cs="Tahoma"/>
          <w:color w:val="0D0D0D" w:themeColor="text1" w:themeTint="F2"/>
          <w:spacing w:val="2"/>
          <w:sz w:val="18"/>
          <w:szCs w:val="18"/>
        </w:rPr>
        <w:t xml:space="preserve">ciencies raised in the previous audit </w:t>
      </w:r>
      <w:r w:rsidRPr="00C6221F">
        <w:rPr>
          <w:rFonts w:ascii="Tahoma" w:hAnsi="Tahoma" w:cs="Tahoma"/>
          <w:color w:val="0D0D0D" w:themeColor="text1" w:themeTint="F2"/>
          <w:spacing w:val="2"/>
          <w:sz w:val="18"/>
          <w:szCs w:val="18"/>
        </w:rPr>
        <w:t xml:space="preserve">reports is an essential tool to ascertain that the audited bodies have rectified what is necessary. Accordingly, we have acted to expand the follow-up audits’ scale and improve their manner of performance. Findings from eight follow up audits are included in this report: </w:t>
      </w:r>
      <w:r w:rsidRPr="00500D31">
        <w:rPr>
          <w:rFonts w:ascii="Tahoma" w:hAnsi="Tahoma" w:cs="Tahoma"/>
          <w:b/>
          <w:bCs/>
          <w:color w:val="0D0D0D" w:themeColor="text1" w:themeTint="F2"/>
          <w:spacing w:val="2"/>
          <w:sz w:val="18"/>
          <w:szCs w:val="18"/>
        </w:rPr>
        <w:t>Planning and Management of Human Resources at the Ministry of Foreign Affairs; Employment of Local Workers in Israeli Diplomatic Missions Abroad</w:t>
      </w:r>
      <w:r>
        <w:rPr>
          <w:rFonts w:ascii="Tahoma" w:hAnsi="Tahoma" w:cs="Tahoma"/>
          <w:b/>
          <w:bCs/>
          <w:color w:val="0D0D0D" w:themeColor="text1" w:themeTint="F2"/>
          <w:spacing w:val="2"/>
          <w:sz w:val="18"/>
          <w:szCs w:val="18"/>
        </w:rPr>
        <w:t>;</w:t>
      </w:r>
      <w:r w:rsidRPr="00500D31">
        <w:rPr>
          <w:rFonts w:ascii="Tahoma" w:hAnsi="Tahoma" w:cs="Tahoma"/>
          <w:b/>
          <w:bCs/>
          <w:color w:val="0D0D0D" w:themeColor="text1" w:themeTint="F2"/>
          <w:spacing w:val="2"/>
          <w:sz w:val="18"/>
          <w:szCs w:val="18"/>
        </w:rPr>
        <w:t xml:space="preserve"> Handling Disciplinary Offences </w:t>
      </w:r>
      <w:r w:rsidR="00816788">
        <w:rPr>
          <w:rFonts w:ascii="Tahoma" w:hAnsi="Tahoma" w:cs="Tahoma"/>
          <w:b/>
          <w:bCs/>
          <w:color w:val="0D0D0D" w:themeColor="text1" w:themeTint="F2"/>
          <w:spacing w:val="2"/>
          <w:sz w:val="18"/>
          <w:szCs w:val="18"/>
        </w:rPr>
        <w:t>i</w:t>
      </w:r>
      <w:r w:rsidRPr="00500D31">
        <w:rPr>
          <w:rFonts w:ascii="Tahoma" w:hAnsi="Tahoma" w:cs="Tahoma"/>
          <w:b/>
          <w:bCs/>
          <w:color w:val="0D0D0D" w:themeColor="text1" w:themeTint="F2"/>
          <w:spacing w:val="2"/>
          <w:sz w:val="18"/>
          <w:szCs w:val="18"/>
        </w:rPr>
        <w:t>n The Civil Service</w:t>
      </w:r>
      <w:r w:rsidRPr="00C6221F">
        <w:rPr>
          <w:rFonts w:ascii="Tahoma" w:hAnsi="Tahoma" w:cs="Tahoma"/>
          <w:b/>
          <w:bCs/>
          <w:color w:val="0D0D0D" w:themeColor="text1" w:themeTint="F2"/>
          <w:spacing w:val="2"/>
          <w:sz w:val="18"/>
          <w:szCs w:val="18"/>
        </w:rPr>
        <w:t xml:space="preserve">; the </w:t>
      </w:r>
      <w:r w:rsidRPr="00F65041">
        <w:rPr>
          <w:rFonts w:ascii="Tahoma" w:hAnsi="Tahoma" w:cs="Tahoma"/>
          <w:b/>
          <w:bCs/>
          <w:color w:val="0D0D0D" w:themeColor="text1" w:themeTint="F2"/>
          <w:spacing w:val="2"/>
          <w:sz w:val="18"/>
          <w:szCs w:val="18"/>
        </w:rPr>
        <w:t>Samaria and Judea District of the Israel Police</w:t>
      </w:r>
      <w:r w:rsidRPr="00C6221F">
        <w:rPr>
          <w:rFonts w:ascii="Tahoma" w:hAnsi="Tahoma" w:cs="Tahoma"/>
          <w:b/>
          <w:bCs/>
          <w:color w:val="0D0D0D" w:themeColor="text1" w:themeTint="F2"/>
          <w:spacing w:val="2"/>
          <w:sz w:val="18"/>
          <w:szCs w:val="18"/>
        </w:rPr>
        <w:t xml:space="preserve">; </w:t>
      </w:r>
      <w:r w:rsidRPr="00F65041">
        <w:rPr>
          <w:rFonts w:ascii="Tahoma" w:hAnsi="Tahoma" w:cs="Tahoma"/>
          <w:b/>
          <w:bCs/>
          <w:color w:val="0D0D0D" w:themeColor="text1" w:themeTint="F2"/>
          <w:spacing w:val="2"/>
          <w:sz w:val="18"/>
          <w:szCs w:val="18"/>
        </w:rPr>
        <w:t>Implementation of Reforms and Reduction of Gaps in Early Childhood Education</w:t>
      </w:r>
      <w:r w:rsidRPr="00C6221F">
        <w:rPr>
          <w:rFonts w:ascii="Tahoma" w:hAnsi="Tahoma" w:cs="Tahoma"/>
          <w:b/>
          <w:bCs/>
          <w:color w:val="0D0D0D" w:themeColor="text1" w:themeTint="F2"/>
          <w:spacing w:val="2"/>
          <w:sz w:val="18"/>
          <w:szCs w:val="18"/>
        </w:rPr>
        <w:t xml:space="preserve">; </w:t>
      </w:r>
      <w:r w:rsidRPr="00F65041">
        <w:rPr>
          <w:rFonts w:ascii="Tahoma" w:hAnsi="Tahoma" w:cs="Tahoma"/>
          <w:b/>
          <w:bCs/>
          <w:color w:val="0D0D0D" w:themeColor="text1" w:themeTint="F2"/>
          <w:spacing w:val="2"/>
          <w:sz w:val="18"/>
          <w:szCs w:val="18"/>
        </w:rPr>
        <w:t>The Medical Array for Treating Prisoners in Israel Prison Service</w:t>
      </w:r>
      <w:r w:rsidRPr="00C6221F">
        <w:rPr>
          <w:rFonts w:ascii="Tahoma" w:hAnsi="Tahoma" w:cs="Tahoma"/>
          <w:b/>
          <w:bCs/>
          <w:color w:val="0D0D0D" w:themeColor="text1" w:themeTint="F2"/>
          <w:spacing w:val="2"/>
          <w:sz w:val="18"/>
          <w:szCs w:val="18"/>
        </w:rPr>
        <w:t xml:space="preserve">; </w:t>
      </w:r>
      <w:r w:rsidRPr="00F65041">
        <w:rPr>
          <w:rFonts w:ascii="Tahoma" w:hAnsi="Tahoma" w:cs="Tahoma"/>
          <w:b/>
          <w:bCs/>
          <w:color w:val="0D0D0D" w:themeColor="text1" w:themeTint="F2"/>
          <w:spacing w:val="2"/>
          <w:sz w:val="18"/>
          <w:szCs w:val="18"/>
        </w:rPr>
        <w:t>State Treatment of Elderly requiring Nursing Care while Living at Home</w:t>
      </w:r>
      <w:r w:rsidRPr="00C6221F">
        <w:rPr>
          <w:rFonts w:ascii="Tahoma" w:hAnsi="Tahoma" w:cs="Tahoma"/>
          <w:b/>
          <w:bCs/>
          <w:color w:val="0D0D0D" w:themeColor="text1" w:themeTint="F2"/>
          <w:spacing w:val="2"/>
          <w:sz w:val="18"/>
          <w:szCs w:val="18"/>
        </w:rPr>
        <w:t xml:space="preserve">; </w:t>
      </w:r>
      <w:r w:rsidRPr="004A19AF">
        <w:rPr>
          <w:rFonts w:ascii="Tahoma" w:hAnsi="Tahoma" w:cs="Tahoma"/>
          <w:b/>
          <w:bCs/>
          <w:color w:val="0D0D0D" w:themeColor="text1" w:themeTint="F2"/>
          <w:spacing w:val="2"/>
          <w:sz w:val="18"/>
          <w:szCs w:val="18"/>
        </w:rPr>
        <w:t xml:space="preserve">Security Components in Front Line </w:t>
      </w:r>
      <w:r w:rsidR="0057233D">
        <w:rPr>
          <w:rFonts w:ascii="Tahoma" w:hAnsi="Tahoma" w:cs="Tahoma"/>
          <w:b/>
          <w:bCs/>
          <w:color w:val="0D0D0D" w:themeColor="text1" w:themeTint="F2"/>
          <w:spacing w:val="2"/>
          <w:sz w:val="18"/>
          <w:szCs w:val="18"/>
        </w:rPr>
        <w:t>C</w:t>
      </w:r>
      <w:r w:rsidRPr="00816788" w:rsidR="00816788">
        <w:rPr>
          <w:rFonts w:ascii="Tahoma" w:hAnsi="Tahoma" w:cs="Tahoma"/>
          <w:b/>
          <w:bCs/>
          <w:color w:val="0D0D0D" w:themeColor="text1" w:themeTint="F2"/>
          <w:spacing w:val="2"/>
          <w:sz w:val="18"/>
          <w:szCs w:val="18"/>
        </w:rPr>
        <w:t>ommunities</w:t>
      </w:r>
      <w:r w:rsidRPr="004A19AF" w:rsidR="00816788">
        <w:rPr>
          <w:rFonts w:ascii="Tahoma" w:hAnsi="Tahoma" w:cs="Tahoma"/>
          <w:b/>
          <w:bCs/>
          <w:color w:val="0D0D0D" w:themeColor="text1" w:themeTint="F2"/>
          <w:spacing w:val="2"/>
          <w:sz w:val="18"/>
          <w:szCs w:val="18"/>
        </w:rPr>
        <w:t xml:space="preserve"> </w:t>
      </w:r>
      <w:r w:rsidRPr="004A19AF">
        <w:rPr>
          <w:rFonts w:ascii="Tahoma" w:hAnsi="Tahoma" w:cs="Tahoma"/>
          <w:b/>
          <w:bCs/>
          <w:color w:val="0D0D0D" w:themeColor="text1" w:themeTint="F2"/>
          <w:spacing w:val="2"/>
          <w:sz w:val="18"/>
          <w:szCs w:val="18"/>
        </w:rPr>
        <w:t>in the Regional Commands</w:t>
      </w:r>
      <w:r w:rsidRPr="00C6221F">
        <w:rPr>
          <w:rFonts w:ascii="Tahoma" w:hAnsi="Tahoma" w:cs="Tahoma"/>
          <w:b/>
          <w:bCs/>
          <w:color w:val="0D0D0D" w:themeColor="text1" w:themeTint="F2"/>
          <w:spacing w:val="2"/>
          <w:sz w:val="18"/>
          <w:szCs w:val="18"/>
        </w:rPr>
        <w:t>.</w:t>
      </w:r>
    </w:p>
    <w:p w:rsidR="00FE0852" w:rsidRPr="00C6221F" w:rsidP="00FE0852" w14:paraId="3C541603" w14:textId="77777777">
      <w:pPr>
        <w:bidi w:val="0"/>
        <w:spacing w:before="120" w:line="30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The report is comprehensive and encompasses many varied subjects, and this introduction deals only with some of the chapters </w:t>
      </w:r>
      <w:r>
        <w:rPr>
          <w:rFonts w:ascii="Tahoma" w:hAnsi="Tahoma" w:cs="Tahoma"/>
          <w:color w:val="0D0D0D" w:themeColor="text1" w:themeTint="F2"/>
          <w:spacing w:val="2"/>
          <w:sz w:val="18"/>
          <w:szCs w:val="18"/>
        </w:rPr>
        <w:t>included</w:t>
      </w:r>
      <w:r w:rsidRPr="00C6221F">
        <w:rPr>
          <w:rFonts w:ascii="Tahoma" w:hAnsi="Tahoma" w:cs="Tahoma"/>
          <w:color w:val="0D0D0D" w:themeColor="text1" w:themeTint="F2"/>
          <w:spacing w:val="2"/>
          <w:sz w:val="18"/>
          <w:szCs w:val="18"/>
        </w:rPr>
        <w:t xml:space="preserve"> in it. Every single one of the chapters in the report opens before the public, including decision-makers, a window into the activity of the audited bodies. </w:t>
      </w:r>
      <w:r w:rsidRPr="00C6221F">
        <w:rPr>
          <w:rFonts w:ascii="Tahoma" w:hAnsi="Tahoma" w:cs="Tahoma"/>
          <w:color w:val="0D0D0D" w:themeColor="text1" w:themeTint="F2"/>
          <w:spacing w:val="2"/>
          <w:sz w:val="18"/>
          <w:szCs w:val="18"/>
        </w:rPr>
        <w:t>Thus</w:t>
      </w:r>
      <w:r w:rsidRPr="00C6221F">
        <w:rPr>
          <w:rFonts w:ascii="Tahoma" w:hAnsi="Tahoma" w:cs="Tahoma"/>
          <w:color w:val="0D0D0D" w:themeColor="text1" w:themeTint="F2"/>
          <w:spacing w:val="2"/>
          <w:sz w:val="18"/>
          <w:szCs w:val="18"/>
        </w:rPr>
        <w:t xml:space="preserve"> it assists all of us in ensuring the propriety of the public service in the State of Israel and provides a considerable contribution to increasing the efficiency, economy, and incorruptibility of the audited bodies and preserving the rules of good governance.</w:t>
      </w:r>
      <w:r w:rsidRPr="00C6221F">
        <w:rPr>
          <w:rFonts w:ascii="Tahoma" w:hAnsi="Tahoma" w:cs="Tahoma" w:hint="cs"/>
          <w:color w:val="0D0D0D" w:themeColor="text1" w:themeTint="F2"/>
          <w:spacing w:val="2"/>
          <w:sz w:val="18"/>
          <w:szCs w:val="18"/>
          <w:rtl/>
        </w:rPr>
        <w:t xml:space="preserve"> </w:t>
      </w:r>
    </w:p>
    <w:p w:rsidR="00FE0852" w:rsidP="00FE0852" w14:paraId="743CF54F" w14:textId="77777777">
      <w:pPr>
        <w:bidi w:val="0"/>
        <w:spacing w:before="120" w:line="300" w:lineRule="auto"/>
        <w:rPr>
          <w:rFonts w:ascii="Tahoma" w:hAnsi="Tahoma" w:cs="Tahoma"/>
          <w:b/>
          <w:bCs/>
          <w:color w:val="0D0D0D" w:themeColor="text1" w:themeTint="F2"/>
          <w:spacing w:val="2"/>
          <w:sz w:val="18"/>
          <w:szCs w:val="18"/>
          <w:rtl/>
        </w:rPr>
      </w:pPr>
      <w:r w:rsidRPr="00C6221F">
        <w:rPr>
          <w:rFonts w:ascii="Tahoma" w:hAnsi="Tahoma" w:cs="Tahoma"/>
          <w:b/>
          <w:bCs/>
          <w:color w:val="0D0D0D" w:themeColor="text1" w:themeTint="F2"/>
          <w:spacing w:val="2"/>
          <w:sz w:val="18"/>
          <w:szCs w:val="18"/>
        </w:rPr>
        <w:t xml:space="preserve">The preparation of the Report necessitated great effort on the part of the employees of the State Comptroller's Office, who toiled on its preparation professionally, thoroughly, </w:t>
      </w:r>
      <w:r w:rsidRPr="00C6221F">
        <w:rPr>
          <w:rFonts w:ascii="Tahoma" w:hAnsi="Tahoma" w:cs="Tahoma"/>
          <w:b/>
          <w:bCs/>
          <w:color w:val="0D0D0D" w:themeColor="text1" w:themeTint="F2"/>
          <w:spacing w:val="2"/>
          <w:sz w:val="18"/>
          <w:szCs w:val="18"/>
        </w:rPr>
        <w:t>fairly</w:t>
      </w:r>
      <w:r w:rsidRPr="00C6221F">
        <w:rPr>
          <w:rFonts w:ascii="Tahoma" w:hAnsi="Tahoma" w:cs="Tahoma"/>
          <w:b/>
          <w:bCs/>
          <w:color w:val="0D0D0D" w:themeColor="text1" w:themeTint="F2"/>
          <w:spacing w:val="2"/>
          <w:sz w:val="18"/>
          <w:szCs w:val="18"/>
        </w:rPr>
        <w:t xml:space="preserve"> and pedantic, and who carry out their public function out of a feeling of actual vocation. My thanks go out to them.</w:t>
      </w:r>
    </w:p>
    <w:p w:rsidR="00FE0852" w:rsidRPr="0032676C" w:rsidP="00FE0852" w14:paraId="3E131C5F" w14:textId="498514DE">
      <w:pPr>
        <w:bidi w:val="0"/>
        <w:spacing w:before="120" w:line="300" w:lineRule="auto"/>
        <w:rPr>
          <w:rFonts w:ascii="Tahoma" w:eastAsia="Times New Roman" w:hAnsi="Tahoma" w:cs="Tahoma"/>
          <w:color w:val="000000" w:themeColor="text1"/>
          <w:sz w:val="18"/>
          <w:szCs w:val="18"/>
        </w:rPr>
      </w:pPr>
      <w:r w:rsidRPr="00C6221F">
        <w:rPr>
          <w:rFonts w:ascii="Tahoma" w:hAnsi="Tahoma" w:cs="Tahoma"/>
          <w:color w:val="0D0D0D" w:themeColor="text1" w:themeTint="F2"/>
          <w:spacing w:val="2"/>
          <w:sz w:val="18"/>
          <w:szCs w:val="18"/>
        </w:rPr>
        <w:t xml:space="preserve">The audited bodies </w:t>
      </w:r>
      <w:r w:rsidRPr="00816788" w:rsidR="00816788">
        <w:rPr>
          <w:rFonts w:ascii="Tahoma" w:hAnsi="Tahoma" w:cs="Tahoma"/>
          <w:color w:val="0D0D0D" w:themeColor="text1" w:themeTint="F2"/>
          <w:spacing w:val="2"/>
          <w:sz w:val="18"/>
          <w:szCs w:val="18"/>
        </w:rPr>
        <w:t>should</w:t>
      </w:r>
      <w:r w:rsidRPr="00C6221F" w:rsidR="00816788">
        <w:rPr>
          <w:rFonts w:ascii="Tahoma" w:hAnsi="Tahoma" w:cs="Tahoma"/>
          <w:color w:val="0D0D0D" w:themeColor="text1" w:themeTint="F2"/>
          <w:spacing w:val="2"/>
          <w:sz w:val="18"/>
          <w:szCs w:val="18"/>
        </w:rPr>
        <w:t xml:space="preserve"> </w:t>
      </w:r>
      <w:r w:rsidRPr="00C6221F">
        <w:rPr>
          <w:rFonts w:ascii="Tahoma" w:hAnsi="Tahoma" w:cs="Tahoma"/>
          <w:color w:val="0D0D0D" w:themeColor="text1" w:themeTint="F2"/>
          <w:spacing w:val="2"/>
          <w:sz w:val="18"/>
          <w:szCs w:val="18"/>
        </w:rPr>
        <w:t>act speedily and effectively to rectify the deficiencies raised in this report to promote the public service in Israel and improve the quality of life of the residents of Israel</w:t>
      </w:r>
      <w:r w:rsidRPr="0032676C">
        <w:rPr>
          <w:rFonts w:ascii="Tahoma" w:eastAsia="Times New Roman" w:hAnsi="Tahoma" w:cs="Tahoma"/>
          <w:color w:val="000000" w:themeColor="text1"/>
          <w:sz w:val="18"/>
          <w:szCs w:val="18"/>
        </w:rPr>
        <w:t>.</w:t>
      </w:r>
    </w:p>
    <w:p w:rsidR="002907DE" w:rsidP="002907DE" w14:paraId="46CC087B" w14:textId="77777777">
      <w:pPr>
        <w:tabs>
          <w:tab w:val="left" w:pos="424"/>
        </w:tabs>
        <w:bidi w:val="0"/>
        <w:spacing w:after="180" w:line="260" w:lineRule="exact"/>
        <w:rPr>
          <w:rFonts w:eastAsia="Times New Roman" w:cs="Times New Roman"/>
          <w:b/>
          <w:bCs/>
          <w:color w:val="000000" w:themeColor="text1"/>
          <w:sz w:val="24"/>
        </w:rPr>
      </w:pPr>
    </w:p>
    <w:p w:rsidR="002907DE" w:rsidP="002907DE" w14:paraId="1C6E3BC4" w14:textId="77777777">
      <w:pPr>
        <w:tabs>
          <w:tab w:val="left" w:pos="424"/>
        </w:tabs>
        <w:bidi w:val="0"/>
        <w:spacing w:after="180" w:line="260" w:lineRule="exact"/>
        <w:rPr>
          <w:rFonts w:eastAsia="Times New Roman" w:cs="Times New Roman"/>
          <w:b/>
          <w:bCs/>
          <w:color w:val="000000" w:themeColor="text1"/>
          <w:sz w:val="24"/>
        </w:rPr>
      </w:pPr>
    </w:p>
    <w:p w:rsidR="002907DE" w:rsidP="002907DE" w14:paraId="4BF782F4" w14:textId="77777777">
      <w:pPr>
        <w:tabs>
          <w:tab w:val="left" w:pos="424"/>
        </w:tabs>
        <w:bidi w:val="0"/>
        <w:spacing w:after="180" w:line="260" w:lineRule="exact"/>
        <w:rPr>
          <w:rFonts w:eastAsia="Times New Roman" w:cs="Times New Roman"/>
          <w:b/>
          <w:bCs/>
          <w:color w:val="000000" w:themeColor="text1"/>
          <w:sz w:val="24"/>
        </w:rPr>
      </w:pPr>
    </w:p>
    <w:p w:rsidR="002907DE" w:rsidP="002907DE" w14:paraId="71679FAE" w14:textId="77777777">
      <w:pPr>
        <w:tabs>
          <w:tab w:val="left" w:pos="424"/>
        </w:tabs>
        <w:bidi w:val="0"/>
        <w:spacing w:after="180" w:line="260" w:lineRule="exact"/>
        <w:rPr>
          <w:rFonts w:ascii="Tahoma" w:hAnsi="Tahoma" w:cs="Tahoma"/>
          <w:color w:val="0D0D0D" w:themeColor="text1" w:themeTint="F2"/>
          <w:sz w:val="18"/>
          <w:szCs w:val="18"/>
        </w:rPr>
      </w:pPr>
    </w:p>
    <w:p w:rsidR="002907DE" w:rsidRPr="00D70CA7" w:rsidP="002907DE" w14:paraId="2F65DCA2" w14:textId="77777777">
      <w:pPr>
        <w:widowControl w:val="0"/>
        <w:bidi w:val="0"/>
        <w:spacing w:line="240" w:lineRule="atLeast"/>
        <w:ind w:left="2268"/>
        <w:jc w:val="center"/>
        <w:rPr>
          <w:rFonts w:ascii="Tahoma" w:hAnsi="Tahoma" w:cs="Tahoma"/>
          <w:b/>
          <w:bCs/>
          <w:sz w:val="18"/>
          <w:szCs w:val="18"/>
          <w:rtl/>
          <w:lang w:eastAsia="he-IL"/>
        </w:rPr>
      </w:pPr>
      <w:r>
        <w:rPr>
          <w:rFonts w:ascii="Tahoma" w:hAnsi="Tahoma" w:cs="Tahoma"/>
          <w:b/>
          <w:bCs/>
          <w:noProof/>
          <w:sz w:val="18"/>
          <w:szCs w:val="18"/>
          <w:rtl/>
        </w:rPr>
        <w:drawing>
          <wp:inline distT="0" distB="0" distL="0" distR="0">
            <wp:extent cx="1854382" cy="636579"/>
            <wp:effectExtent l="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חתימת המבקר - אנגלית.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69208" cy="641668"/>
                    </a:xfrm>
                    <a:prstGeom prst="rect">
                      <a:avLst/>
                    </a:prstGeom>
                  </pic:spPr>
                </pic:pic>
              </a:graphicData>
            </a:graphic>
          </wp:inline>
        </w:drawing>
      </w:r>
    </w:p>
    <w:p w:rsidR="002907DE" w:rsidRPr="005E062A" w:rsidP="002907DE" w14:paraId="71CE0798" w14:textId="77777777">
      <w:pPr>
        <w:widowControl w:val="0"/>
        <w:bidi w:val="0"/>
        <w:spacing w:line="280" w:lineRule="exact"/>
        <w:ind w:left="2268"/>
        <w:jc w:val="center"/>
        <w:rPr>
          <w:rFonts w:ascii="Tahoma" w:hAnsi="Tahoma" w:cs="Tahoma"/>
          <w:b/>
          <w:bCs/>
          <w:szCs w:val="20"/>
          <w:rtl/>
          <w:lang w:eastAsia="he-IL"/>
        </w:rPr>
      </w:pPr>
      <w:r w:rsidRPr="005E062A">
        <w:rPr>
          <w:rFonts w:ascii="Tahoma" w:hAnsi="Tahoma" w:cs="Tahoma"/>
          <w:b/>
          <w:bCs/>
          <w:szCs w:val="20"/>
          <w:lang w:eastAsia="he-IL"/>
        </w:rPr>
        <w:t>Matanyahu</w:t>
      </w:r>
      <w:r w:rsidRPr="005E062A">
        <w:rPr>
          <w:rFonts w:ascii="Tahoma" w:hAnsi="Tahoma" w:cs="Tahoma"/>
          <w:b/>
          <w:bCs/>
          <w:szCs w:val="20"/>
          <w:lang w:eastAsia="he-IL"/>
        </w:rPr>
        <w:t xml:space="preserve"> </w:t>
      </w:r>
      <w:r w:rsidRPr="005E062A">
        <w:rPr>
          <w:rFonts w:ascii="Tahoma" w:hAnsi="Tahoma" w:cs="Tahoma"/>
          <w:b/>
          <w:bCs/>
          <w:szCs w:val="20"/>
          <w:lang w:eastAsia="he-IL"/>
        </w:rPr>
        <w:t>Englman</w:t>
      </w:r>
    </w:p>
    <w:p w:rsidR="002907DE" w:rsidP="002907DE" w14:paraId="08063CC5" w14:textId="77777777">
      <w:pPr>
        <w:widowControl w:val="0"/>
        <w:bidi w:val="0"/>
        <w:spacing w:line="280" w:lineRule="exact"/>
        <w:ind w:left="2268"/>
        <w:jc w:val="center"/>
        <w:rPr>
          <w:rFonts w:ascii="Tahoma" w:hAnsi="Tahoma" w:cs="Tahoma"/>
          <w:szCs w:val="20"/>
          <w:rtl/>
          <w:lang w:eastAsia="he-IL"/>
        </w:rPr>
      </w:pPr>
      <w:r w:rsidRPr="005E062A">
        <w:rPr>
          <w:rFonts w:ascii="Tahoma" w:hAnsi="Tahoma" w:cs="Tahoma"/>
          <w:szCs w:val="20"/>
          <w:lang w:eastAsia="he-IL"/>
        </w:rPr>
        <w:t>State Comptroller</w:t>
      </w:r>
      <w:r>
        <w:rPr>
          <w:rFonts w:ascii="Tahoma" w:hAnsi="Tahoma" w:cs="Tahoma"/>
          <w:szCs w:val="20"/>
          <w:lang w:eastAsia="he-IL"/>
        </w:rPr>
        <w:t xml:space="preserve"> and</w:t>
      </w:r>
      <w:r w:rsidRPr="005E062A">
        <w:rPr>
          <w:rFonts w:ascii="Tahoma" w:hAnsi="Tahoma" w:cs="Tahoma"/>
          <w:szCs w:val="20"/>
          <w:lang w:eastAsia="he-IL"/>
        </w:rPr>
        <w:br/>
        <w:t>Ombudsman</w:t>
      </w:r>
      <w:r w:rsidRPr="00EE1DF0">
        <w:rPr>
          <w:rFonts w:ascii="Tahoma" w:hAnsi="Tahoma" w:cs="Tahoma"/>
          <w:spacing w:val="2"/>
          <w:szCs w:val="20"/>
          <w:lang w:eastAsia="he-IL"/>
        </w:rPr>
        <w:t xml:space="preserve"> </w:t>
      </w:r>
      <w:r w:rsidRPr="00C6221F">
        <w:rPr>
          <w:rFonts w:ascii="Tahoma" w:hAnsi="Tahoma" w:cs="Tahoma"/>
          <w:spacing w:val="2"/>
          <w:szCs w:val="20"/>
          <w:lang w:eastAsia="he-IL"/>
        </w:rPr>
        <w:t>of</w:t>
      </w:r>
      <w:r>
        <w:rPr>
          <w:rFonts w:ascii="Tahoma" w:hAnsi="Tahoma" w:cs="Tahoma"/>
          <w:szCs w:val="20"/>
          <w:lang w:eastAsia="he-IL"/>
        </w:rPr>
        <w:t xml:space="preserve"> </w:t>
      </w:r>
      <w:r w:rsidRPr="00C6221F">
        <w:rPr>
          <w:rFonts w:ascii="Tahoma" w:hAnsi="Tahoma" w:cs="Tahoma"/>
          <w:spacing w:val="2"/>
          <w:szCs w:val="20"/>
          <w:lang w:eastAsia="he-IL"/>
        </w:rPr>
        <w:t>Israel</w:t>
      </w:r>
    </w:p>
    <w:p w:rsidR="002907DE" w:rsidRPr="005E062A" w:rsidP="002907DE" w14:paraId="7256106E" w14:textId="77777777">
      <w:pPr>
        <w:widowControl w:val="0"/>
        <w:bidi w:val="0"/>
        <w:spacing w:line="280" w:lineRule="exact"/>
        <w:ind w:left="2268"/>
        <w:jc w:val="center"/>
        <w:rPr>
          <w:rFonts w:ascii="Tahoma" w:hAnsi="Tahoma" w:cs="Tahoma"/>
          <w:szCs w:val="20"/>
          <w:rtl/>
          <w:lang w:eastAsia="he-IL"/>
        </w:rPr>
      </w:pPr>
    </w:p>
    <w:p w:rsidR="002907DE" w:rsidP="002907DE" w14:paraId="6AC13502" w14:textId="77777777">
      <w:pPr>
        <w:tabs>
          <w:tab w:val="left" w:pos="1050"/>
        </w:tabs>
        <w:bidi w:val="0"/>
        <w:spacing w:line="280" w:lineRule="exact"/>
        <w:rPr>
          <w:rFonts w:ascii="Tahoma" w:hAnsi="Tahoma" w:cs="Tahoma"/>
          <w:szCs w:val="20"/>
        </w:rPr>
      </w:pPr>
    </w:p>
    <w:p w:rsidR="002907DE" w:rsidRPr="00C6221F" w:rsidP="002907DE" w14:paraId="111B810B" w14:textId="77777777">
      <w:pPr>
        <w:bidi w:val="0"/>
        <w:spacing w:before="120" w:line="24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Jerusalem, May 2022</w:t>
      </w:r>
    </w:p>
    <w:p w:rsidR="00697F31" w:rsidP="00697F31" w14:paraId="14A3D4BA" w14:textId="77777777">
      <w:pPr>
        <w:tabs>
          <w:tab w:val="left" w:pos="1050"/>
        </w:tabs>
        <w:bidi w:val="0"/>
        <w:spacing w:line="280" w:lineRule="exact"/>
        <w:rPr>
          <w:rFonts w:ascii="Tahoma" w:hAnsi="Tahoma" w:cs="Tahoma"/>
          <w:szCs w:val="20"/>
        </w:rPr>
      </w:pPr>
    </w:p>
    <w:p w:rsidR="00697F31" w:rsidRPr="006C067D" w:rsidP="00697F31" w14:paraId="6C2497F1" w14:textId="77777777">
      <w:pPr>
        <w:tabs>
          <w:tab w:val="right" w:pos="12"/>
          <w:tab w:val="right" w:pos="156"/>
        </w:tabs>
        <w:spacing w:line="360" w:lineRule="auto"/>
        <w:rPr>
          <w:b/>
          <w:bCs/>
          <w:sz w:val="2"/>
          <w:szCs w:val="2"/>
          <w:u w:val="single"/>
          <w:rtl/>
        </w:rPr>
      </w:pPr>
    </w:p>
    <w:p w:rsidR="00697F31" w:rsidRPr="006C067D" w:rsidP="00697F31" w14:paraId="52E5F77A" w14:textId="77777777">
      <w:pPr>
        <w:tabs>
          <w:tab w:val="right" w:pos="12"/>
          <w:tab w:val="right" w:pos="156"/>
        </w:tabs>
        <w:ind w:hanging="129"/>
        <w:rPr>
          <w:b/>
          <w:bCs/>
          <w:sz w:val="2"/>
          <w:szCs w:val="2"/>
          <w:rtl/>
        </w:rPr>
      </w:pPr>
    </w:p>
    <w:p w:rsidR="00697F31" w:rsidRPr="006C067D" w:rsidP="00697F31" w14:paraId="5B53F822" w14:textId="77777777">
      <w:pPr>
        <w:tabs>
          <w:tab w:val="left" w:pos="1683"/>
        </w:tabs>
        <w:rPr>
          <w:sz w:val="2"/>
          <w:szCs w:val="2"/>
          <w:rtl/>
        </w:rPr>
      </w:pPr>
      <w:r w:rsidRPr="006C067D">
        <w:rPr>
          <w:sz w:val="24"/>
          <w:rtl/>
        </w:rPr>
        <w:tab/>
      </w:r>
    </w:p>
    <w:p w:rsidR="00B20B13" w:rsidRPr="006C067D" w:rsidP="00B20B13" w14:paraId="494BF6CF" w14:textId="63375E95">
      <w:pPr>
        <w:tabs>
          <w:tab w:val="right" w:pos="12"/>
          <w:tab w:val="right" w:pos="156"/>
        </w:tabs>
        <w:spacing w:line="360" w:lineRule="auto"/>
        <w:rPr>
          <w:b/>
          <w:bCs/>
          <w:sz w:val="2"/>
          <w:szCs w:val="2"/>
          <w:u w:val="single"/>
          <w:rtl/>
        </w:rPr>
      </w:pPr>
    </w:p>
    <w:p w:rsidR="00B20B13" w:rsidRPr="006C067D" w:rsidP="00B20B13" w14:paraId="598EC18E" w14:textId="493375B3">
      <w:pPr>
        <w:tabs>
          <w:tab w:val="right" w:pos="12"/>
          <w:tab w:val="right" w:pos="156"/>
        </w:tabs>
        <w:ind w:hanging="129"/>
        <w:rPr>
          <w:b/>
          <w:bCs/>
          <w:sz w:val="2"/>
          <w:szCs w:val="2"/>
          <w:rtl/>
        </w:rPr>
      </w:pPr>
    </w:p>
    <w:p w:rsidR="00F96F26" w:rsidRPr="002907DE" w:rsidP="002907DE" w14:paraId="3CC61AEA" w14:textId="19105A31">
      <w:pPr>
        <w:tabs>
          <w:tab w:val="left" w:pos="1683"/>
        </w:tabs>
        <w:rPr>
          <w:sz w:val="2"/>
          <w:szCs w:val="2"/>
          <w:rtl/>
        </w:rPr>
        <w:sectPr w:rsidSect="007824E3">
          <w:headerReference w:type="even" r:id="rId22"/>
          <w:headerReference w:type="default" r:id="rId23"/>
          <w:footerReference w:type="even" r:id="rId24"/>
          <w:footerReference w:type="default" r:id="rId25"/>
          <w:headerReference w:type="first" r:id="rId26"/>
          <w:footerReference w:type="first" r:id="rId27"/>
          <w:pgSz w:w="11906" w:h="16838" w:code="9"/>
          <w:pgMar w:top="3062" w:right="2268" w:bottom="2552" w:left="2268" w:header="1134" w:footer="1361" w:gutter="0"/>
          <w:cols w:space="708"/>
          <w:docGrid w:linePitch="360"/>
        </w:sectPr>
      </w:pPr>
    </w:p>
    <w:p w:rsidR="00BD786C" w:rsidP="00AE6749" w14:paraId="3AF7E4DA" w14:textId="2EE8E7C7">
      <w:pPr>
        <w:bidi w:val="0"/>
        <w:spacing w:after="200" w:line="276" w:lineRule="auto"/>
        <w:rPr>
          <w:rFonts w:ascii="Tahoma" w:eastAsia="Times New Roman" w:hAnsi="Tahoma" w:cs="Tahoma"/>
          <w:b/>
          <w:bCs/>
          <w:color w:val="00305F"/>
          <w:sz w:val="32"/>
          <w:szCs w:val="32"/>
        </w:rPr>
      </w:pPr>
    </w:p>
    <w:sectPr w:rsidSect="00A8428C">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55470" w14:paraId="726FFE9A" w14:textId="77777777">
      <w:pPr>
        <w:spacing w:line="240" w:lineRule="auto"/>
      </w:pPr>
      <w:r>
        <w:separator/>
      </w:r>
    </w:p>
    <w:p w:rsidR="00F55470" w14:paraId="4D874C83" w14:textId="77777777"/>
  </w:endnote>
  <w:endnote w:type="continuationSeparator" w:id="1">
    <w:p w:rsidR="00F55470" w14:paraId="3CF5FA7B" w14:textId="77777777">
      <w:pPr>
        <w:spacing w:line="240" w:lineRule="auto"/>
      </w:pPr>
      <w:r>
        <w:continuationSeparator/>
      </w:r>
    </w:p>
    <w:p w:rsidR="00F55470" w14:paraId="439713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792" w:rsidP="00A0272B" w14:paraId="7CF2D899" w14:textId="77777777">
    <w:pPr>
      <w:pStyle w:val="Footer"/>
      <w:spacing w:after="120" w:line="312" w:lineRule="auto"/>
      <w:ind w:right="-567"/>
      <w:jc w:val="right"/>
      <w:rPr>
        <w:rFonts w:ascii="Tahoma" w:hAnsi="Tahoma" w:cs="Tahoma"/>
        <w:sz w:val="18"/>
        <w:szCs w:val="18"/>
        <w:rtl/>
      </w:rPr>
    </w:pPr>
  </w:p>
  <w:p w:rsidR="00D12792" w:rsidP="00C00262" w14:paraId="0B6C571A"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12792" w:rsidRPr="00A0272B" w:rsidP="00A0272B" w14:paraId="56563B1D" w14:textId="77777777">
    <w:pPr>
      <w:pStyle w:val="Footer"/>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792" w:rsidP="00A0272B" w14:paraId="775442AC" w14:textId="77777777">
    <w:pPr>
      <w:pStyle w:val="Footer"/>
      <w:spacing w:after="120" w:line="312" w:lineRule="auto"/>
      <w:ind w:right="-567"/>
      <w:jc w:val="right"/>
      <w:rPr>
        <w:rFonts w:ascii="Tahoma" w:hAnsi="Tahoma" w:cs="Tahoma"/>
        <w:sz w:val="18"/>
        <w:szCs w:val="18"/>
        <w:rtl/>
      </w:rPr>
    </w:pPr>
  </w:p>
  <w:p w:rsidR="00D12792" w:rsidP="00C00262" w14:paraId="768EB2AC"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5</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D12792" w:rsidRPr="00A0272B" w:rsidP="00A0272B" w14:paraId="5B6969CB" w14:textId="77777777">
    <w:pPr>
      <w:pStyle w:val="Footer"/>
      <w:rPr>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46C" w:rsidP="00E0446C" w14:paraId="2E0A8F5F" w14:textId="73A2F3A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00C158FE">
      <w:rPr>
        <w:rFonts w:ascii="Tahoma" w:hAnsi="Tahoma" w:cs="Tahoma"/>
        <w:sz w:val="18"/>
        <w:szCs w:val="18"/>
      </w:rPr>
      <w:t>5</w:t>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12792" w:rsidRPr="00870DCF" w:rsidP="00870DCF" w14:paraId="12C827B4" w14:textId="78BBA170">
    <w:pPr>
      <w:pStyle w:val="Footer"/>
      <w:spacing w:after="120" w:line="312" w:lineRule="auto"/>
      <w:ind w:right="-737"/>
      <w:jc w:val="right"/>
      <w:rPr>
        <w:rFonts w:ascii="Tahoma" w:hAnsi="Tahoma" w:cs="Tahom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46C" w:rsidP="00E0446C" w14:paraId="18E72760" w14:textId="0148C0A0">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158FE">
      <w:rPr>
        <w:rFonts w:ascii="Tahoma" w:hAnsi="Tahoma" w:cs="Tahoma"/>
        <w:sz w:val="18"/>
        <w:szCs w:val="18"/>
      </w:rPr>
      <w:t>6</w:t>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337C4E" w14:paraId="56186361" w14:textId="163BA40A">
    <w:pPr>
      <w:pStyle w:val="Footer"/>
      <w:spacing w:after="120" w:line="312" w:lineRule="auto"/>
      <w:ind w:left="-510"/>
      <w:jc w:val="left"/>
      <w:rPr>
        <w:rFonts w:ascii="Tahoma" w:hAnsi="Tahoma" w:cs="Tahoma"/>
        <w:sz w:val="18"/>
        <w:szCs w:val="18"/>
        <w:rtl/>
      </w:rPr>
    </w:pPr>
  </w:p>
  <w:p w:rsidR="00DA4697" w:rsidP="00B07B37" w14:paraId="55F954A2" w14:textId="019C4EBD">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6205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F94EB4" w:rsidP="00337C4E" w14:paraId="4ACFF620" w14:textId="7AC89577">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2427C4" w14:paraId="2C2A80D5" w14:textId="31CE7D53">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sidR="002427C4">
      <w:rPr>
        <w:rFonts w:ascii="Tahoma" w:hAnsi="Tahoma" w:cs="Tahoma"/>
        <w:sz w:val="18"/>
        <w:szCs w:val="18"/>
      </w:rPr>
      <w:t xml:space="preserve"> </w:t>
    </w:r>
    <w:r w:rsidR="002427C4">
      <w:rPr>
        <w:noProof/>
      </w:rPr>
      <w:t xml:space="preserve"> </w:t>
    </w:r>
    <w:r w:rsidRPr="005B086D">
      <w:rPr>
        <w:noProof/>
      </w:rPr>
      <w:t xml:space="preserve"> </w:t>
    </w:r>
    <w:r w:rsidRPr="00F94EB4" w:rsidR="002427C4">
      <w:rPr>
        <w:rFonts w:ascii="Tahoma" w:hAnsi="Tahoma" w:cs="Tahoma"/>
        <w:sz w:val="18"/>
        <w:szCs w:val="18"/>
        <w:rtl/>
      </w:rPr>
      <w:fldChar w:fldCharType="begin"/>
    </w:r>
    <w:r w:rsidRPr="00F94EB4" w:rsidR="002427C4">
      <w:rPr>
        <w:rFonts w:ascii="Tahoma" w:hAnsi="Tahoma" w:cs="Tahoma"/>
        <w:sz w:val="18"/>
        <w:szCs w:val="18"/>
        <w:rtl/>
      </w:rPr>
      <w:instrText xml:space="preserve"> </w:instrText>
    </w:r>
    <w:r w:rsidRPr="00F94EB4" w:rsidR="002427C4">
      <w:rPr>
        <w:rFonts w:ascii="Tahoma" w:hAnsi="Tahoma" w:cs="Tahoma"/>
        <w:sz w:val="18"/>
        <w:szCs w:val="18"/>
      </w:rPr>
      <w:instrText xml:space="preserve">PAGE </w:instrText>
    </w:r>
    <w:r w:rsidRPr="00F94EB4" w:rsidR="002427C4">
      <w:rPr>
        <w:rFonts w:ascii="Tahoma" w:hAnsi="Tahoma" w:cs="Tahoma"/>
        <w:sz w:val="18"/>
        <w:szCs w:val="18"/>
        <w:rtl/>
      </w:rPr>
      <w:instrText xml:space="preserve"> \* </w:instrText>
    </w:r>
    <w:r w:rsidRPr="00F94EB4" w:rsidR="002427C4">
      <w:rPr>
        <w:rFonts w:ascii="Tahoma" w:hAnsi="Tahoma" w:cs="Tahoma"/>
        <w:sz w:val="18"/>
        <w:szCs w:val="18"/>
      </w:rPr>
      <w:instrText>MERGEFORMAT</w:instrText>
    </w:r>
    <w:r w:rsidRPr="00F94EB4" w:rsidR="002427C4">
      <w:rPr>
        <w:rFonts w:ascii="Tahoma" w:hAnsi="Tahoma" w:cs="Tahoma"/>
        <w:sz w:val="18"/>
        <w:szCs w:val="18"/>
        <w:rtl/>
      </w:rPr>
      <w:instrText xml:space="preserve"> </w:instrText>
    </w:r>
    <w:r w:rsidRPr="00F94EB4" w:rsidR="002427C4">
      <w:rPr>
        <w:rFonts w:ascii="Tahoma" w:hAnsi="Tahoma" w:cs="Tahoma"/>
        <w:sz w:val="18"/>
        <w:szCs w:val="18"/>
        <w:rtl/>
      </w:rPr>
      <w:fldChar w:fldCharType="separate"/>
    </w:r>
    <w:r w:rsidR="002427C4">
      <w:rPr>
        <w:rFonts w:ascii="Tahoma" w:hAnsi="Tahoma" w:cs="Tahoma"/>
        <w:sz w:val="18"/>
        <w:szCs w:val="18"/>
        <w:rtl/>
      </w:rPr>
      <w:t>3</w:t>
    </w:r>
    <w:r w:rsidRPr="00F94EB4" w:rsidR="002427C4">
      <w:rPr>
        <w:rFonts w:ascii="Tahoma" w:hAnsi="Tahoma" w:cs="Tahoma"/>
        <w:sz w:val="18"/>
        <w:szCs w:val="18"/>
        <w:rtl/>
      </w:rPr>
      <w:fldChar w:fldCharType="end"/>
    </w:r>
    <w:r w:rsidRPr="00F94EB4">
      <w:rPr>
        <w:rFonts w:ascii="Tahoma" w:hAnsi="Tahoma" w:cs="Tahoma"/>
        <w:sz w:val="18"/>
        <w:szCs w:val="18"/>
      </w:rPr>
      <w:t xml:space="preserve"> </w:t>
    </w:r>
    <w:r w:rsidR="002427C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A4697" w:rsidP="005B086D" w14:paraId="12CBD4D4" w14:textId="61FA3D4C">
    <w:pPr>
      <w:pStyle w:val="Footer"/>
      <w:spacing w:after="120" w:line="312" w:lineRule="auto"/>
      <w:ind w:right="-567"/>
      <w:jc w:val="right"/>
      <w:rPr>
        <w:rFonts w:ascii="Tahoma" w:hAnsi="Tahoma" w:cs="Tahoma"/>
        <w:sz w:val="18"/>
        <w:szCs w:val="18"/>
        <w:rt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D15500" w14:paraId="3078F9E1" w14:textId="77777777">
    <w:pPr>
      <w:pStyle w:val="Footer"/>
      <w:spacing w:after="120" w:line="312" w:lineRule="auto"/>
      <w:jc w:val="right"/>
      <w:rPr>
        <w:rFonts w:ascii="Tahoma" w:hAnsi="Tahoma" w:cs="Tahoma"/>
        <w:color w:val="002060"/>
        <w:sz w:val="18"/>
        <w:szCs w:val="18"/>
      </w:rPr>
    </w:pPr>
    <w:bookmarkStart w:id="3" w:name="tempMark"/>
    <w:bookmarkEnd w:id="3"/>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5470" w:rsidP="00DC2873" w14:paraId="07C715EF" w14:textId="77777777">
      <w:pPr>
        <w:spacing w:line="240" w:lineRule="auto"/>
        <w:jc w:val="right"/>
      </w:pPr>
      <w:r>
        <w:separator/>
      </w:r>
    </w:p>
  </w:footnote>
  <w:footnote w:type="continuationSeparator" w:id="1">
    <w:p w:rsidR="00F55470" w:rsidP="00C23CC9" w14:paraId="6E6EC02C" w14:textId="77777777">
      <w:pPr>
        <w:spacing w:line="240" w:lineRule="auto"/>
      </w:pPr>
      <w:r>
        <w:continuationSeparator/>
      </w:r>
    </w:p>
    <w:p w:rsidR="00F55470" w14:paraId="29CF39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792" w:rsidRPr="00D15500" w:rsidP="005B4811" w14:paraId="55D4C8FD" w14:textId="7B0CF846">
    <w:pPr>
      <w:pStyle w:val="Header"/>
      <w:tabs>
        <w:tab w:val="center" w:pos="457"/>
        <w:tab w:val="clear" w:pos="4153"/>
        <w:tab w:val="clear" w:pos="8306"/>
      </w:tabs>
      <w:spacing w:line="312" w:lineRule="auto"/>
      <w:jc w:val="left"/>
      <w:rPr>
        <w:rFonts w:ascii="Tahoma" w:hAnsi="Tahoma" w:cs="Tahoma"/>
        <w:color w:val="002060"/>
        <w:sz w:val="18"/>
        <w:szCs w:val="18"/>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255AF" w14:paraId="5CDEE855" w14:textId="6E6B100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75648"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9808"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F2565F" w14:paraId="5465C61E" w14:textId="1F98A94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33696" w14:paraId="0929BB0C" w14:textId="1934D3DE">
    <w:pPr>
      <w:pStyle w:val="Header"/>
      <w:tabs>
        <w:tab w:val="left" w:pos="493"/>
        <w:tab w:val="clear" w:pos="4153"/>
        <w:tab w:val="left" w:pos="5150"/>
        <w:tab w:val="clear" w:pos="8306"/>
      </w:tabs>
      <w:rPr>
        <w:rtl/>
      </w:rPr>
    </w:pPr>
    <w:r w:rsidRPr="006637B9">
      <w:rPr>
        <w:rFonts w:ascii="Tahoma" w:hAnsi="Tahoma" w:cs="Tahoma"/>
        <w:noProof/>
        <w:color w:val="002060"/>
        <w:sz w:val="18"/>
        <w:szCs w:val="18"/>
      </w:rPr>
      <mc:AlternateContent>
        <mc:Choice Requires="wps">
          <w:drawing>
            <wp:anchor distT="0" distB="0" distL="114300" distR="114300" simplePos="0" relativeHeight="251658240" behindDoc="0" locked="0" layoutInCell="1" allowOverlap="1">
              <wp:simplePos x="0" y="0"/>
              <wp:positionH relativeFrom="column">
                <wp:posOffset>236583</wp:posOffset>
              </wp:positionH>
              <wp:positionV relativeFrom="paragraph">
                <wp:posOffset>66675</wp:posOffset>
              </wp:positionV>
              <wp:extent cx="3281680" cy="280670"/>
              <wp:effectExtent l="0" t="0" r="0" b="4445"/>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81680" cy="280670"/>
                      </a:xfrm>
                      <a:prstGeom prst="rect">
                        <a:avLst/>
                      </a:prstGeom>
                      <a:solidFill>
                        <a:srgbClr val="FFFFFF"/>
                      </a:solidFill>
                      <a:ln w="9525">
                        <a:noFill/>
                        <a:miter lim="800000"/>
                        <a:headEnd/>
                        <a:tailEnd/>
                      </a:ln>
                    </wps:spPr>
                    <wps:txbx>
                      <w:txbxContent>
                        <w:p w:rsidR="00DA4697" w:rsidRPr="0012741E" w:rsidP="006637B9" w14:textId="1B1914BF">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7824E3" w:rsidR="007824E3">
                            <w:rPr>
                              <w:rFonts w:ascii="Tahoma" w:hAnsi="Tahoma" w:cs="Tahoma"/>
                              <w:color w:val="0D0D0D" w:themeColor="text1" w:themeTint="F2"/>
                              <w:sz w:val="15"/>
                              <w:szCs w:val="15"/>
                            </w:rPr>
                            <w:t>Table of contents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50" type="#_x0000_t202" style="width:258.4pt;height:22.1pt;margin-top:5.25pt;margin-left:18.65pt;mso-width-percent:0;mso-width-relative:margin;mso-wrap-distance-bottom:0;mso-wrap-distance-left:9pt;mso-wrap-distance-right:9pt;mso-wrap-distance-top:0;mso-wrap-style:square;position:absolute;visibility:visible;v-text-anchor:top;z-index:251659264" stroked="f">
              <v:textbox style="mso-fit-shape-to-text:t">
                <w:txbxContent>
                  <w:p w:rsidR="00DA4697" w:rsidRPr="0012741E" w:rsidP="006637B9" w14:paraId="7647DFBB" w14:textId="1B1914BF">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7824E3" w:rsidR="007824E3">
                      <w:rPr>
                        <w:rFonts w:ascii="Tahoma" w:hAnsi="Tahoma" w:cs="Tahoma"/>
                        <w:color w:val="0D0D0D" w:themeColor="text1" w:themeTint="F2"/>
                        <w:sz w:val="15"/>
                        <w:szCs w:val="15"/>
                      </w:rPr>
                      <w:t>Table of contents</w:t>
                    </w:r>
                  </w:p>
                </w:txbxContent>
              </v:textbox>
              <w10:wrap type="square"/>
            </v:shape>
          </w:pict>
        </mc:Fallback>
      </mc:AlternateContent>
    </w:r>
    <w:r w:rsidR="00DA079E">
      <w:rPr>
        <w:noProof/>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1" style="flip:x;mso-height-percent:0;mso-height-relative:margin;mso-width-percent:0;mso-width-relative:margin;mso-wrap-distance-bottom:0;mso-wrap-distance-left:9pt;mso-wrap-distance-right:9pt;mso-wrap-distance-top:0;mso-wrap-style:square;position:absolute;visibility:visible;z-index:251667456" from="-4.8pt,30.05pt" to="486.2pt,30.05pt" strokecolor="#0d0d0d" strokeweight="0.25pt"/>
          </w:pict>
        </mc:Fallback>
      </mc:AlternateContent>
    </w:r>
    <w:r w:rsidR="00DA079E">
      <w:rPr>
        <w:rFonts w:ascii="Tahoma" w:hAnsi="Tahoma" w:cs="Tahoma"/>
        <w:noProof/>
        <w:color w:val="002060"/>
        <w:sz w:val="18"/>
        <w:szCs w:val="18"/>
      </w:rPr>
      <w:drawing>
        <wp:anchor distT="0" distB="0" distL="114300" distR="114300" simplePos="0" relativeHeight="251677696"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Pr>
      <w:tab/>
    </w: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4E3" w:rsidP="007824E3" w14:paraId="4202EEF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715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3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7824E3" w:rsidRPr="00DE3ECA" w:rsidP="007824E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8304" filled="f" strokecolor="#a5a5a5" strokeweight="0.25pt">
              <v:stroke dashstyle="longDash"/>
              <v:textbox>
                <w:txbxContent>
                  <w:p w:rsidR="007824E3" w:rsidRPr="00DE3ECA" w:rsidP="007824E3" w14:paraId="6FE2AD2A"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7824E3" w:rsidP="007824E3" w14:paraId="059598B4" w14:textId="77777777">
    <w:pPr>
      <w:pStyle w:val="Header"/>
      <w:tabs>
        <w:tab w:val="left" w:pos="493"/>
        <w:tab w:val="center" w:pos="4111"/>
        <w:tab w:val="clear" w:pos="4153"/>
        <w:tab w:val="right" w:pos="7478"/>
        <w:tab w:val="right" w:pos="8222"/>
        <w:tab w:val="clear" w:pos="8306"/>
      </w:tabs>
      <w:jc w:val="left"/>
      <w:rPr>
        <w:rtl/>
      </w:rPr>
    </w:pPr>
  </w:p>
  <w:p w:rsidR="007824E3" w:rsidP="007824E3" w14:paraId="570FDC40" w14:textId="77777777">
    <w:pPr>
      <w:pStyle w:val="Header"/>
      <w:tabs>
        <w:tab w:val="left" w:pos="493"/>
        <w:tab w:val="center" w:pos="4111"/>
        <w:tab w:val="clear" w:pos="4153"/>
        <w:tab w:val="right" w:pos="7478"/>
        <w:tab w:val="right" w:pos="8222"/>
        <w:tab w:val="clear" w:pos="8306"/>
      </w:tabs>
      <w:jc w:val="left"/>
      <w:rPr>
        <w:rtl/>
      </w:rPr>
    </w:pPr>
  </w:p>
  <w:p w:rsidR="007824E3" w:rsidRPr="001526AC" w:rsidP="007824E3" w14:paraId="16815932" w14:textId="77777777">
    <w:pPr>
      <w:pStyle w:val="Header"/>
      <w:tabs>
        <w:tab w:val="left" w:pos="493"/>
        <w:tab w:val="center" w:pos="4111"/>
        <w:tab w:val="clear" w:pos="4153"/>
        <w:tab w:val="right" w:pos="7478"/>
        <w:tab w:val="right" w:pos="8222"/>
        <w:tab w:val="clear" w:pos="8306"/>
      </w:tabs>
      <w:jc w:val="left"/>
      <w:rPr>
        <w:rtl/>
      </w:rPr>
    </w:pPr>
    <w:r w:rsidRPr="00BE3B4B">
      <w:rPr>
        <w:noProof/>
        <w:rtl/>
      </w:rPr>
      <mc:AlternateContent>
        <mc:Choice Requires="wps">
          <w:drawing>
            <wp:anchor distT="45720" distB="45720" distL="114300" distR="114300" simplePos="0" relativeHeight="251699200" behindDoc="0" locked="0" layoutInCell="1" allowOverlap="1">
              <wp:simplePos x="0" y="0"/>
              <wp:positionH relativeFrom="column">
                <wp:posOffset>-829544</wp:posOffset>
              </wp:positionH>
              <wp:positionV relativeFrom="paragraph">
                <wp:posOffset>221615</wp:posOffset>
              </wp:positionV>
              <wp:extent cx="5257800" cy="259080"/>
              <wp:effectExtent l="0" t="0" r="12700" b="7620"/>
              <wp:wrapNone/>
              <wp:docPr id="3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259080"/>
                      </a:xfrm>
                      <a:prstGeom prst="rect">
                        <a:avLst/>
                      </a:prstGeom>
                      <a:solidFill>
                        <a:srgbClr val="FFFFFF"/>
                      </a:solidFill>
                      <a:ln w="9525">
                        <a:solidFill>
                          <a:schemeClr val="bg1"/>
                        </a:solidFill>
                        <a:miter lim="800000"/>
                        <a:headEnd/>
                        <a:tailEnd/>
                      </a:ln>
                    </wps:spPr>
                    <wps:txbx>
                      <w:txbxContent>
                        <w:p w:rsidR="007824E3" w:rsidRPr="00A90FFF" w:rsidP="007824E3" w14:textId="77777777">
                          <w:pPr>
                            <w:bidi w:val="0"/>
                            <w:jc w:val="right"/>
                            <w:rPr>
                              <w:rFonts w:ascii="Tahoma" w:hAnsi="Tahoma" w:eastAsiaTheme="majorEastAsia" w:cs="Tahoma"/>
                              <w:noProof/>
                              <w:color w:val="0D0D0D" w:themeColor="text1" w:themeTint="F2"/>
                              <w:sz w:val="16"/>
                              <w:szCs w:val="16"/>
                              <w:rtl/>
                            </w:rPr>
                          </w:pPr>
                          <w:r w:rsidRPr="00A90FFF">
                            <w:rPr>
                              <w:rFonts w:ascii="Tahoma" w:hAnsi="Tahoma" w:eastAsiaTheme="majorEastAsia" w:cs="Tahoma"/>
                              <w:noProof/>
                              <w:color w:val="0D0D0D" w:themeColor="text1" w:themeTint="F2"/>
                              <w:sz w:val="16"/>
                              <w:szCs w:val="16"/>
                            </w:rPr>
                            <w:t xml:space="preserve">Report of the State Comptroller </w:t>
                          </w:r>
                          <w:r>
                            <w:rPr>
                              <w:rFonts w:ascii="Tahoma" w:hAnsi="Tahoma" w:eastAsiaTheme="majorEastAsia" w:cs="Tahoma"/>
                              <w:noProof/>
                              <w:color w:val="0D0D0D" w:themeColor="text1" w:themeTint="F2"/>
                              <w:sz w:val="16"/>
                              <w:szCs w:val="16"/>
                            </w:rPr>
                            <w:t>of Israel</w:t>
                          </w:r>
                          <w:r w:rsidRPr="00A90FFF">
                            <w:rPr>
                              <w:rFonts w:ascii="Tahoma" w:hAnsi="Tahoma" w:eastAsiaTheme="majorEastAsia" w:cs="Tahoma"/>
                              <w:noProof/>
                              <w:color w:val="0D0D0D" w:themeColor="text1" w:themeTint="F2"/>
                              <w:sz w:val="16"/>
                              <w:szCs w:val="16"/>
                            </w:rPr>
                            <w:t xml:space="preserve"> | Ma</w:t>
                          </w:r>
                          <w:r>
                            <w:rPr>
                              <w:rFonts w:ascii="Tahoma" w:hAnsi="Tahoma" w:eastAsiaTheme="majorEastAsia" w:cs="Tahoma"/>
                              <w:noProof/>
                              <w:color w:val="0D0D0D" w:themeColor="text1" w:themeTint="F2"/>
                              <w:sz w:val="16"/>
                              <w:szCs w:val="16"/>
                            </w:rPr>
                            <w:t>y</w:t>
                          </w:r>
                          <w:r w:rsidRPr="00A90FFF">
                            <w:rPr>
                              <w:rFonts w:ascii="Tahoma" w:hAnsi="Tahoma" w:eastAsiaTheme="majorEastAsia" w:cs="Tahoma"/>
                              <w:noProof/>
                              <w:color w:val="0D0D0D" w:themeColor="text1" w:themeTint="F2"/>
                              <w:sz w:val="16"/>
                              <w:szCs w:val="16"/>
                            </w:rPr>
                            <w:t xml:space="preserve"> 2022</w:t>
                          </w:r>
                        </w:p>
                        <w:p w:rsidR="007824E3" w:rsidRPr="00A4133B" w:rsidP="007824E3" w14:textId="77777777">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414pt;height:20.4pt;margin-top:17.45pt;margin-left:-65.3pt;mso-height-percent:0;mso-height-relative:margin;mso-width-percent:0;mso-width-relative:margin;mso-wrap-distance-bottom:3.6pt;mso-wrap-distance-left:9pt;mso-wrap-distance-right:9pt;mso-wrap-distance-top:3.6pt;mso-wrap-style:square;position:absolute;visibility:visible;v-text-anchor:top;z-index:251700224" strokecolor="white">
              <v:textbox>
                <w:txbxContent>
                  <w:p w:rsidR="007824E3" w:rsidRPr="00A90FFF" w:rsidP="007824E3" w14:paraId="661A1194" w14:textId="77777777">
                    <w:pPr>
                      <w:bidi w:val="0"/>
                      <w:jc w:val="right"/>
                      <w:rPr>
                        <w:rFonts w:ascii="Tahoma" w:hAnsi="Tahoma" w:eastAsiaTheme="majorEastAsia" w:cs="Tahoma"/>
                        <w:noProof/>
                        <w:color w:val="0D0D0D" w:themeColor="text1" w:themeTint="F2"/>
                        <w:sz w:val="16"/>
                        <w:szCs w:val="16"/>
                        <w:rtl/>
                      </w:rPr>
                    </w:pPr>
                    <w:r w:rsidRPr="00A90FFF">
                      <w:rPr>
                        <w:rFonts w:ascii="Tahoma" w:hAnsi="Tahoma" w:eastAsiaTheme="majorEastAsia" w:cs="Tahoma"/>
                        <w:noProof/>
                        <w:color w:val="0D0D0D" w:themeColor="text1" w:themeTint="F2"/>
                        <w:sz w:val="16"/>
                        <w:szCs w:val="16"/>
                      </w:rPr>
                      <w:t xml:space="preserve">Report of the State Comptroller </w:t>
                    </w:r>
                    <w:r>
                      <w:rPr>
                        <w:rFonts w:ascii="Tahoma" w:hAnsi="Tahoma" w:eastAsiaTheme="majorEastAsia" w:cs="Tahoma"/>
                        <w:noProof/>
                        <w:color w:val="0D0D0D" w:themeColor="text1" w:themeTint="F2"/>
                        <w:sz w:val="16"/>
                        <w:szCs w:val="16"/>
                      </w:rPr>
                      <w:t>of Israel</w:t>
                    </w:r>
                    <w:r w:rsidRPr="00A90FFF">
                      <w:rPr>
                        <w:rFonts w:ascii="Tahoma" w:hAnsi="Tahoma" w:eastAsiaTheme="majorEastAsia" w:cs="Tahoma"/>
                        <w:noProof/>
                        <w:color w:val="0D0D0D" w:themeColor="text1" w:themeTint="F2"/>
                        <w:sz w:val="16"/>
                        <w:szCs w:val="16"/>
                      </w:rPr>
                      <w:t xml:space="preserve"> | Ma</w:t>
                    </w:r>
                    <w:r>
                      <w:rPr>
                        <w:rFonts w:ascii="Tahoma" w:hAnsi="Tahoma" w:eastAsiaTheme="majorEastAsia" w:cs="Tahoma"/>
                        <w:noProof/>
                        <w:color w:val="0D0D0D" w:themeColor="text1" w:themeTint="F2"/>
                        <w:sz w:val="16"/>
                        <w:szCs w:val="16"/>
                      </w:rPr>
                      <w:t>y</w:t>
                    </w:r>
                    <w:r w:rsidRPr="00A90FFF">
                      <w:rPr>
                        <w:rFonts w:ascii="Tahoma" w:hAnsi="Tahoma" w:eastAsiaTheme="majorEastAsia" w:cs="Tahoma"/>
                        <w:noProof/>
                        <w:color w:val="0D0D0D" w:themeColor="text1" w:themeTint="F2"/>
                        <w:sz w:val="16"/>
                        <w:szCs w:val="16"/>
                      </w:rPr>
                      <w:t xml:space="preserve"> 2022</w:t>
                    </w:r>
                  </w:p>
                  <w:p w:rsidR="007824E3" w:rsidRPr="00A4133B" w:rsidP="007824E3" w14:paraId="11213535" w14:textId="77777777">
                    <w:pPr>
                      <w:bidi w:val="0"/>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02272" behindDoc="0" locked="0" layoutInCell="1" allowOverlap="1">
          <wp:simplePos x="0" y="0"/>
          <wp:positionH relativeFrom="column">
            <wp:posOffset>4415289</wp:posOffset>
          </wp:positionH>
          <wp:positionV relativeFrom="paragraph">
            <wp:posOffset>217805</wp:posOffset>
          </wp:positionV>
          <wp:extent cx="343535" cy="240030"/>
          <wp:effectExtent l="0" t="0" r="0" b="1270"/>
          <wp:wrapSquare wrapText="bothSides"/>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E3B4B">
      <w:rPr>
        <w:noProof/>
        <w:szCs w:val="20"/>
        <w:rtl/>
      </w:rPr>
      <w:drawing>
        <wp:anchor distT="0" distB="0" distL="114300" distR="114300" simplePos="0" relativeHeight="251701248" behindDoc="0" locked="0" layoutInCell="1" allowOverlap="1">
          <wp:simplePos x="0" y="0"/>
          <wp:positionH relativeFrom="column">
            <wp:posOffset>8819515</wp:posOffset>
          </wp:positionH>
          <wp:positionV relativeFrom="paragraph">
            <wp:posOffset>248285</wp:posOffset>
          </wp:positionV>
          <wp:extent cx="343535" cy="240030"/>
          <wp:effectExtent l="0" t="0" r="0" b="1270"/>
          <wp:wrapSquare wrapText="bothSides"/>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5104"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39"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96128" from="-229.2pt,38.7pt" to="370.85pt,38.7pt" strokecolor="#0d0d0d" strokeweight="0.25pt"/>
          </w:pict>
        </mc:Fallback>
      </mc:AlternateContent>
    </w:r>
  </w:p>
  <w:p w:rsidR="00DA4697" w:rsidRPr="007824E3" w:rsidP="007824E3" w14:paraId="7C0E7E90" w14:textId="753E3E23">
    <w:pPr>
      <w:pStyle w:val="Header"/>
      <w:rPr>
        <w:szCs w:val="20"/>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A3A" w:rsidP="00A63A3A" w14:paraId="3011010F" w14:textId="0BD51AD2">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2"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63A3A" w:rsidRPr="00DE3ECA" w:rsidP="00A63A3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A63A3A" w:rsidRPr="00DE3ECA" w:rsidP="00A63A3A" w14:paraId="6281FE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A63A3A" w:rsidP="00A63A3A" w14:paraId="17626F3F" w14:textId="0FDC222B">
    <w:pPr>
      <w:pStyle w:val="Header"/>
      <w:tabs>
        <w:tab w:val="left" w:pos="493"/>
        <w:tab w:val="center" w:pos="4111"/>
        <w:tab w:val="clear" w:pos="4153"/>
        <w:tab w:val="right" w:pos="7478"/>
        <w:tab w:val="right" w:pos="8222"/>
        <w:tab w:val="clear" w:pos="8306"/>
      </w:tabs>
      <w:jc w:val="left"/>
      <w:rPr>
        <w:rtl/>
      </w:rPr>
    </w:pPr>
  </w:p>
  <w:p w:rsidR="00A63A3A" w:rsidP="00A63A3A" w14:paraId="365292B6" w14:textId="7894F2B4">
    <w:pPr>
      <w:pStyle w:val="Header"/>
      <w:tabs>
        <w:tab w:val="left" w:pos="493"/>
        <w:tab w:val="center" w:pos="4111"/>
        <w:tab w:val="clear" w:pos="4153"/>
        <w:tab w:val="right" w:pos="7478"/>
        <w:tab w:val="right" w:pos="8222"/>
        <w:tab w:val="clear" w:pos="8306"/>
      </w:tabs>
      <w:jc w:val="left"/>
    </w:pPr>
  </w:p>
  <w:p w:rsidR="00A63A3A" w:rsidP="00A63A3A" w14:paraId="08A56AD5" w14:textId="71260E3B">
    <w:pPr>
      <w:pStyle w:val="Header"/>
      <w:tabs>
        <w:tab w:val="left" w:pos="493"/>
        <w:tab w:val="center" w:pos="4111"/>
        <w:tab w:val="clear" w:pos="4153"/>
        <w:tab w:val="right" w:pos="7478"/>
        <w:tab w:val="right" w:pos="8222"/>
        <w:tab w:val="clear" w:pos="8306"/>
      </w:tabs>
      <w:jc w:val="left"/>
      <w:rPr>
        <w:rtl/>
      </w:rPr>
    </w:pPr>
    <w:r w:rsidRPr="00A63A3A">
      <w:rPr>
        <w:noProof/>
        <w:rtl/>
      </w:rPr>
      <mc:AlternateContent>
        <mc:Choice Requires="wps">
          <w:drawing>
            <wp:anchor distT="45720" distB="45720" distL="114300" distR="114300" simplePos="0" relativeHeight="251682816" behindDoc="0" locked="0" layoutInCell="1" allowOverlap="1">
              <wp:simplePos x="0" y="0"/>
              <wp:positionH relativeFrom="column">
                <wp:posOffset>-581660</wp:posOffset>
              </wp:positionH>
              <wp:positionV relativeFrom="paragraph">
                <wp:posOffset>169496</wp:posOffset>
              </wp:positionV>
              <wp:extent cx="5258301" cy="259080"/>
              <wp:effectExtent l="0" t="0" r="12700" b="7620"/>
              <wp:wrapNone/>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8301" cy="259080"/>
                      </a:xfrm>
                      <a:prstGeom prst="rect">
                        <a:avLst/>
                      </a:prstGeom>
                      <a:solidFill>
                        <a:srgbClr val="FFFFFF"/>
                      </a:solidFill>
                      <a:ln w="9525">
                        <a:solidFill>
                          <a:schemeClr val="bg1"/>
                        </a:solidFill>
                        <a:miter lim="800000"/>
                        <a:headEnd/>
                        <a:tailEnd/>
                      </a:ln>
                    </wps:spPr>
                    <wps:txbx>
                      <w:txbxContent>
                        <w:p w:rsidR="00A63A3A" w:rsidRPr="00F01BFA" w:rsidP="00A63A3A" w14:textId="296D61E5">
                          <w:pPr>
                            <w:bidi w:val="0"/>
                            <w:jc w:val="right"/>
                            <w:rPr>
                              <w:color w:val="0D0D0D" w:themeColor="text1" w:themeTint="F2"/>
                              <w:sz w:val="16"/>
                              <w:szCs w:val="16"/>
                            </w:rPr>
                          </w:pPr>
                          <w:r w:rsidRPr="0012741E">
                            <w:rPr>
                              <w:rFonts w:ascii="Tahoma" w:hAnsi="Tahoma" w:eastAsiaTheme="majorEastAsia" w:cs="Tahoma"/>
                              <w:noProof/>
                              <w:color w:val="0D0D0D" w:themeColor="text1" w:themeTint="F2"/>
                              <w:sz w:val="15"/>
                              <w:szCs w:val="15"/>
                            </w:rPr>
                            <w:t>Report of the State Comptroller of Israel | Ma</w:t>
                          </w:r>
                          <w:r w:rsidR="002907DE">
                            <w:rPr>
                              <w:rFonts w:ascii="Tahoma" w:hAnsi="Tahoma" w:eastAsiaTheme="majorEastAsia" w:cs="Tahoma"/>
                              <w:noProof/>
                              <w:color w:val="0D0D0D" w:themeColor="text1" w:themeTint="F2"/>
                              <w:sz w:val="15"/>
                              <w:szCs w:val="15"/>
                            </w:rPr>
                            <w:t>y</w:t>
                          </w:r>
                          <w:r w:rsidRPr="0012741E">
                            <w:rPr>
                              <w:rFonts w:ascii="Tahoma" w:hAnsi="Tahoma" w:eastAsiaTheme="majorEastAsia" w:cs="Tahoma"/>
                              <w:noProof/>
                              <w:color w:val="0D0D0D" w:themeColor="text1" w:themeTint="F2"/>
                              <w:sz w:val="15"/>
                              <w:szCs w:val="15"/>
                            </w:rPr>
                            <w:t xml:space="preserve"> 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6" type="#_x0000_t202" style="width:414.05pt;height:20.4pt;margin-top:13.35pt;margin-left:-45.8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A63A3A" w:rsidRPr="00F01BFA" w:rsidP="00A63A3A" w14:paraId="7CCEAB29" w14:textId="296D61E5">
                    <w:pPr>
                      <w:bidi w:val="0"/>
                      <w:jc w:val="right"/>
                      <w:rPr>
                        <w:color w:val="0D0D0D" w:themeColor="text1" w:themeTint="F2"/>
                        <w:sz w:val="16"/>
                        <w:szCs w:val="16"/>
                      </w:rPr>
                    </w:pPr>
                    <w:r w:rsidRPr="0012741E">
                      <w:rPr>
                        <w:rFonts w:ascii="Tahoma" w:hAnsi="Tahoma" w:eastAsiaTheme="majorEastAsia" w:cs="Tahoma"/>
                        <w:noProof/>
                        <w:color w:val="0D0D0D" w:themeColor="text1" w:themeTint="F2"/>
                        <w:sz w:val="15"/>
                        <w:szCs w:val="15"/>
                      </w:rPr>
                      <w:t>Report of the State Comptroller of Israel | Ma</w:t>
                    </w:r>
                    <w:r w:rsidR="002907DE">
                      <w:rPr>
                        <w:rFonts w:ascii="Tahoma" w:hAnsi="Tahoma" w:eastAsiaTheme="majorEastAsia" w:cs="Tahoma"/>
                        <w:noProof/>
                        <w:color w:val="0D0D0D" w:themeColor="text1" w:themeTint="F2"/>
                        <w:sz w:val="15"/>
                        <w:szCs w:val="15"/>
                      </w:rPr>
                      <w:t>y</w:t>
                    </w:r>
                    <w:r w:rsidRPr="0012741E">
                      <w:rPr>
                        <w:rFonts w:ascii="Tahoma" w:hAnsi="Tahoma" w:eastAsiaTheme="majorEastAsia" w:cs="Tahoma"/>
                        <w:noProof/>
                        <w:color w:val="0D0D0D" w:themeColor="text1" w:themeTint="F2"/>
                        <w:sz w:val="15"/>
                        <w:szCs w:val="15"/>
                      </w:rPr>
                      <w:t xml:space="preserve"> 2022</w:t>
                    </w:r>
                  </w:p>
                </w:txbxContent>
              </v:textbox>
            </v:shape>
          </w:pict>
        </mc:Fallback>
      </mc:AlternateContent>
    </w:r>
  </w:p>
  <w:p w:rsidR="00A76E5A" w:rsidRPr="00A63A3A" w:rsidP="00A63A3A" w14:paraId="767AEAC6" w14:textId="0BE5276C">
    <w:pPr>
      <w:pStyle w:val="Header"/>
    </w:pPr>
    <w:r>
      <w:rPr>
        <w:rFonts w:ascii="Tahoma" w:hAnsi="Tahoma" w:cs="Tahoma"/>
        <w:noProof/>
        <w:sz w:val="22"/>
        <w:szCs w:val="22"/>
        <w:rtl/>
        <w:lang w:val="he-IL"/>
      </w:rPr>
      <w:drawing>
        <wp:anchor distT="0" distB="0" distL="114300" distR="114300" simplePos="0" relativeHeight="251685888" behindDoc="0" locked="0" layoutInCell="1" allowOverlap="1">
          <wp:simplePos x="0" y="0"/>
          <wp:positionH relativeFrom="column">
            <wp:posOffset>4623435</wp:posOffset>
          </wp:positionH>
          <wp:positionV relativeFrom="paragraph">
            <wp:posOffset>18366</wp:posOffset>
          </wp:positionV>
          <wp:extent cx="343535" cy="240030"/>
          <wp:effectExtent l="0" t="0" r="0" b="127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A63A3A">
      <w:rPr>
        <w:noProof/>
        <w:rtl/>
      </w:rPr>
      <mc:AlternateContent>
        <mc:Choice Requires="wps">
          <w:drawing>
            <wp:anchor distT="0" distB="0" distL="114300" distR="114300" simplePos="0" relativeHeight="251680768" behindDoc="0" locked="0" layoutInCell="1" allowOverlap="1">
              <wp:simplePos x="0" y="0"/>
              <wp:positionH relativeFrom="column">
                <wp:posOffset>-5214386</wp:posOffset>
              </wp:positionH>
              <wp:positionV relativeFrom="paragraph">
                <wp:posOffset>295910</wp:posOffset>
              </wp:positionV>
              <wp:extent cx="10142989" cy="0"/>
              <wp:effectExtent l="0" t="0" r="17145" b="12700"/>
              <wp:wrapNone/>
              <wp:docPr id="16"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2989"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7" style="flip:x;mso-height-percent:0;mso-height-relative:margin;mso-width-percent:0;mso-width-relative:margin;mso-wrap-distance-bottom:0;mso-wrap-distance-left:9pt;mso-wrap-distance-right:9pt;mso-wrap-distance-top:0;mso-wrap-style:square;position:absolute;visibility:visible;z-index:251681792" from="-410.6pt,23.3pt" to="388.05pt,23.3pt" strokecolor="#0d0d0d" strokeweight="0.25pt"/>
          </w:pict>
        </mc:Fallback>
      </mc:AlternateContent>
    </w:r>
    <w:r w:rsidRPr="00A63A3A">
      <w:rPr>
        <w:noProof/>
        <w:szCs w:val="20"/>
        <w:rtl/>
      </w:rPr>
      <w:drawing>
        <wp:anchor distT="0" distB="0" distL="114300" distR="114300" simplePos="0" relativeHeight="251684864" behindDoc="0" locked="0" layoutInCell="1" allowOverlap="1">
          <wp:simplePos x="0" y="0"/>
          <wp:positionH relativeFrom="column">
            <wp:posOffset>7509510</wp:posOffset>
          </wp:positionH>
          <wp:positionV relativeFrom="paragraph">
            <wp:posOffset>176530</wp:posOffset>
          </wp:positionV>
          <wp:extent cx="343535" cy="240030"/>
          <wp:effectExtent l="0" t="0" r="0" b="762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4E3" w:rsidP="007255AF" w14:paraId="52B9C41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707392"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42"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7824E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8064" filled="f" strokecolor="#a5a5a5" strokeweight="0.25pt">
              <v:stroke dashstyle="longDash"/>
              <v:textbox>
                <w:txbxContent>
                  <w:p w:rsidR="007824E3" w:rsidRPr="00DE3ECA" w:rsidP="00E82EA3" w14:paraId="7A27461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7824E3" w:rsidP="00F2565F" w14:paraId="3BA5B75F"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7824E3" w:rsidP="007255AF" w14:paraId="5F7896B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7824E3" w:rsidP="007255AF" w14:paraId="303BF20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7824E3" w:rsidP="00A33696" w14:paraId="06C1E6AB" w14:textId="77777777">
    <w:pPr>
      <w:pStyle w:val="Header"/>
      <w:tabs>
        <w:tab w:val="left" w:pos="493"/>
        <w:tab w:val="clear" w:pos="4153"/>
        <w:tab w:val="left" w:pos="5150"/>
        <w:tab w:val="clear" w:pos="8306"/>
      </w:tabs>
      <w:rPr>
        <w:rtl/>
      </w:rPr>
    </w:pPr>
    <w:r w:rsidRPr="006637B9">
      <w:rPr>
        <w:rFonts w:ascii="Tahoma" w:hAnsi="Tahoma" w:cs="Tahoma"/>
        <w:noProof/>
        <w:color w:val="002060"/>
        <w:sz w:val="18"/>
        <w:szCs w:val="18"/>
      </w:rPr>
      <mc:AlternateContent>
        <mc:Choice Requires="wps">
          <w:drawing>
            <wp:anchor distT="0" distB="0" distL="114300" distR="114300" simplePos="0" relativeHeight="251703296" behindDoc="0" locked="0" layoutInCell="1" allowOverlap="1">
              <wp:simplePos x="0" y="0"/>
              <wp:positionH relativeFrom="column">
                <wp:posOffset>236583</wp:posOffset>
              </wp:positionH>
              <wp:positionV relativeFrom="paragraph">
                <wp:posOffset>66675</wp:posOffset>
              </wp:positionV>
              <wp:extent cx="3281680" cy="280670"/>
              <wp:effectExtent l="0" t="0" r="0" b="4445"/>
              <wp:wrapSquare wrapText="bothSides"/>
              <wp:docPr id="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81680" cy="280670"/>
                      </a:xfrm>
                      <a:prstGeom prst="rect">
                        <a:avLst/>
                      </a:prstGeom>
                      <a:solidFill>
                        <a:srgbClr val="FFFFFF"/>
                      </a:solidFill>
                      <a:ln w="9525">
                        <a:noFill/>
                        <a:miter lim="800000"/>
                        <a:headEnd/>
                        <a:tailEnd/>
                      </a:ln>
                    </wps:spPr>
                    <wps:txbx>
                      <w:txbxContent>
                        <w:p w:rsidR="007824E3" w:rsidRPr="0012741E" w:rsidP="007824E3" w14:textId="4AB78372">
                          <w:pPr>
                            <w:bidi w:val="0"/>
                            <w:jc w:val="left"/>
                            <w:rPr>
                              <w:sz w:val="15"/>
                              <w:szCs w:val="15"/>
                            </w:rPr>
                          </w:pPr>
                          <w:r>
                            <w:rPr>
                              <w:rFonts w:ascii="Tahoma" w:hAnsi="Tahoma" w:cs="Tahoma"/>
                              <w:color w:val="0D0D0D" w:themeColor="text1" w:themeTint="F2"/>
                              <w:sz w:val="15"/>
                              <w:szCs w:val="15"/>
                            </w:rPr>
                            <w:t>Foreword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258.4pt;height:22.1pt;margin-top:5.25pt;margin-left:18.65pt;mso-width-percent:0;mso-width-relative:margin;mso-wrap-distance-bottom:0;mso-wrap-distance-left:9pt;mso-wrap-distance-right:9pt;mso-wrap-distance-top:0;mso-wrap-style:square;position:absolute;visibility:visible;v-text-anchor:top;z-index:251704320" stroked="f">
              <v:textbox style="mso-fit-shape-to-text:t">
                <w:txbxContent>
                  <w:p w:rsidR="007824E3" w:rsidRPr="0012741E" w:rsidP="007824E3" w14:paraId="1F1C56B1" w14:textId="4AB78372">
                    <w:pPr>
                      <w:bidi w:val="0"/>
                      <w:jc w:val="left"/>
                      <w:rPr>
                        <w:sz w:val="15"/>
                        <w:szCs w:val="15"/>
                      </w:rPr>
                    </w:pPr>
                    <w:r>
                      <w:rPr>
                        <w:rFonts w:ascii="Tahoma" w:hAnsi="Tahoma" w:cs="Tahoma"/>
                        <w:color w:val="0D0D0D" w:themeColor="text1" w:themeTint="F2"/>
                        <w:sz w:val="15"/>
                        <w:szCs w:val="15"/>
                      </w:rPr>
                      <w:t>Foreword</w:t>
                    </w:r>
                  </w:p>
                </w:txbxContent>
              </v:textbox>
              <w10:wrap type="square"/>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45"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60" style="flip:x;mso-height-percent:0;mso-height-relative:margin;mso-width-percent:0;mso-width-relative:margin;mso-wrap-distance-bottom:0;mso-wrap-distance-left:9pt;mso-wrap-distance-right:9pt;mso-wrap-distance-top:0;mso-wrap-style:square;position:absolute;visibility:visible;z-index:251706368"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709440"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B4B" w:rsidP="001526AC" w14:paraId="27EB38BB"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05277098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E3B4B"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BE3B4B" w:rsidRPr="00DE3ECA" w:rsidP="006E67D8" w14:paraId="3346CE3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E3B4B" w:rsidP="001526AC" w14:paraId="05EC28DE" w14:textId="77777777">
    <w:pPr>
      <w:pStyle w:val="Header"/>
      <w:tabs>
        <w:tab w:val="left" w:pos="493"/>
        <w:tab w:val="center" w:pos="4111"/>
        <w:tab w:val="clear" w:pos="4153"/>
        <w:tab w:val="right" w:pos="7478"/>
        <w:tab w:val="right" w:pos="8222"/>
        <w:tab w:val="clear" w:pos="8306"/>
      </w:tabs>
      <w:jc w:val="left"/>
      <w:rPr>
        <w:rtl/>
      </w:rPr>
    </w:pPr>
  </w:p>
  <w:p w:rsidR="00BE3B4B" w:rsidP="00005B23" w14:paraId="4FE87256" w14:textId="002E8DC7">
    <w:pPr>
      <w:pStyle w:val="Header"/>
      <w:tabs>
        <w:tab w:val="left" w:pos="493"/>
        <w:tab w:val="center" w:pos="4111"/>
        <w:tab w:val="clear" w:pos="4153"/>
        <w:tab w:val="right" w:pos="7478"/>
        <w:tab w:val="right" w:pos="8222"/>
        <w:tab w:val="clear" w:pos="8306"/>
      </w:tabs>
      <w:jc w:val="left"/>
      <w:rPr>
        <w:rtl/>
      </w:rPr>
    </w:pPr>
  </w:p>
  <w:p w:rsidR="00BE3B4B" w:rsidRPr="001526AC" w:rsidP="00005B23" w14:paraId="23773518" w14:textId="23183E45">
    <w:pPr>
      <w:pStyle w:val="Header"/>
      <w:tabs>
        <w:tab w:val="left" w:pos="493"/>
        <w:tab w:val="center" w:pos="4111"/>
        <w:tab w:val="clear" w:pos="4153"/>
        <w:tab w:val="right" w:pos="7478"/>
        <w:tab w:val="right" w:pos="8222"/>
        <w:tab w:val="clear" w:pos="8306"/>
      </w:tabs>
      <w:jc w:val="left"/>
      <w:rPr>
        <w:rtl/>
      </w:rPr>
    </w:pPr>
    <w:r w:rsidRPr="00BE3B4B">
      <w:rPr>
        <w:noProof/>
        <w:rtl/>
      </w:rPr>
      <mc:AlternateContent>
        <mc:Choice Requires="wps">
          <w:drawing>
            <wp:anchor distT="45720" distB="45720" distL="114300" distR="114300" simplePos="0" relativeHeight="251691008" behindDoc="0" locked="0" layoutInCell="1" allowOverlap="1">
              <wp:simplePos x="0" y="0"/>
              <wp:positionH relativeFrom="column">
                <wp:posOffset>-829544</wp:posOffset>
              </wp:positionH>
              <wp:positionV relativeFrom="paragraph">
                <wp:posOffset>221615</wp:posOffset>
              </wp:positionV>
              <wp:extent cx="5257800" cy="259080"/>
              <wp:effectExtent l="0" t="0" r="12700" b="7620"/>
              <wp:wrapNone/>
              <wp:docPr id="2052770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259080"/>
                      </a:xfrm>
                      <a:prstGeom prst="rect">
                        <a:avLst/>
                      </a:prstGeom>
                      <a:solidFill>
                        <a:srgbClr val="FFFFFF"/>
                      </a:solidFill>
                      <a:ln w="9525">
                        <a:solidFill>
                          <a:schemeClr val="bg1"/>
                        </a:solidFill>
                        <a:miter lim="800000"/>
                        <a:headEnd/>
                        <a:tailEnd/>
                      </a:ln>
                    </wps:spPr>
                    <wps:txbx>
                      <w:txbxContent>
                        <w:p w:rsidR="00697F31" w:rsidRPr="00A90FFF" w:rsidP="00697F31" w14:textId="7A909A55">
                          <w:pPr>
                            <w:bidi w:val="0"/>
                            <w:jc w:val="right"/>
                            <w:rPr>
                              <w:rFonts w:ascii="Tahoma" w:hAnsi="Tahoma" w:eastAsiaTheme="majorEastAsia" w:cs="Tahoma"/>
                              <w:noProof/>
                              <w:color w:val="0D0D0D" w:themeColor="text1" w:themeTint="F2"/>
                              <w:sz w:val="16"/>
                              <w:szCs w:val="16"/>
                              <w:rtl/>
                            </w:rPr>
                          </w:pPr>
                          <w:r w:rsidRPr="00A90FFF">
                            <w:rPr>
                              <w:rFonts w:ascii="Tahoma" w:hAnsi="Tahoma" w:eastAsiaTheme="majorEastAsia" w:cs="Tahoma"/>
                              <w:noProof/>
                              <w:color w:val="0D0D0D" w:themeColor="text1" w:themeTint="F2"/>
                              <w:sz w:val="16"/>
                              <w:szCs w:val="16"/>
                            </w:rPr>
                            <w:t xml:space="preserve">Report of the State Comptroller </w:t>
                          </w:r>
                          <w:r>
                            <w:rPr>
                              <w:rFonts w:ascii="Tahoma" w:hAnsi="Tahoma" w:eastAsiaTheme="majorEastAsia" w:cs="Tahoma"/>
                              <w:noProof/>
                              <w:color w:val="0D0D0D" w:themeColor="text1" w:themeTint="F2"/>
                              <w:sz w:val="16"/>
                              <w:szCs w:val="16"/>
                            </w:rPr>
                            <w:t>of Israel</w:t>
                          </w:r>
                          <w:r w:rsidRPr="00A90FFF">
                            <w:rPr>
                              <w:rFonts w:ascii="Tahoma" w:hAnsi="Tahoma" w:eastAsiaTheme="majorEastAsia" w:cs="Tahoma"/>
                              <w:noProof/>
                              <w:color w:val="0D0D0D" w:themeColor="text1" w:themeTint="F2"/>
                              <w:sz w:val="16"/>
                              <w:szCs w:val="16"/>
                            </w:rPr>
                            <w:t xml:space="preserve"> | Ma</w:t>
                          </w:r>
                          <w:r w:rsidR="002907DE">
                            <w:rPr>
                              <w:rFonts w:ascii="Tahoma" w:hAnsi="Tahoma" w:eastAsiaTheme="majorEastAsia" w:cs="Tahoma"/>
                              <w:noProof/>
                              <w:color w:val="0D0D0D" w:themeColor="text1" w:themeTint="F2"/>
                              <w:sz w:val="16"/>
                              <w:szCs w:val="16"/>
                            </w:rPr>
                            <w:t>y</w:t>
                          </w:r>
                          <w:r w:rsidRPr="00A90FFF">
                            <w:rPr>
                              <w:rFonts w:ascii="Tahoma" w:hAnsi="Tahoma" w:eastAsiaTheme="majorEastAsia" w:cs="Tahoma"/>
                              <w:noProof/>
                              <w:color w:val="0D0D0D" w:themeColor="text1" w:themeTint="F2"/>
                              <w:sz w:val="16"/>
                              <w:szCs w:val="16"/>
                            </w:rPr>
                            <w:t xml:space="preserve"> 2022</w:t>
                          </w:r>
                        </w:p>
                        <w:p w:rsidR="00BE3B4B" w:rsidRPr="00A4133B" w:rsidP="00BE3B4B" w14:textId="6F873C31">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414pt;height:20.4pt;margin-top:17.45pt;margin-left:-65.3pt;mso-height-percent:0;mso-height-relative:margin;mso-width-percent:0;mso-width-relative:margin;mso-wrap-distance-bottom:3.6pt;mso-wrap-distance-left:9pt;mso-wrap-distance-right:9pt;mso-wrap-distance-top:3.6pt;mso-wrap-style:square;position:absolute;visibility:visible;v-text-anchor:top;z-index:251692032" strokecolor="white">
              <v:textbox>
                <w:txbxContent>
                  <w:p w:rsidR="00697F31" w:rsidRPr="00A90FFF" w:rsidP="00697F31" w14:paraId="321D0549" w14:textId="7A909A55">
                    <w:pPr>
                      <w:bidi w:val="0"/>
                      <w:jc w:val="right"/>
                      <w:rPr>
                        <w:rFonts w:ascii="Tahoma" w:hAnsi="Tahoma" w:eastAsiaTheme="majorEastAsia" w:cs="Tahoma"/>
                        <w:noProof/>
                        <w:color w:val="0D0D0D" w:themeColor="text1" w:themeTint="F2"/>
                        <w:sz w:val="16"/>
                        <w:szCs w:val="16"/>
                        <w:rtl/>
                      </w:rPr>
                    </w:pPr>
                    <w:r w:rsidRPr="00A90FFF">
                      <w:rPr>
                        <w:rFonts w:ascii="Tahoma" w:hAnsi="Tahoma" w:eastAsiaTheme="majorEastAsia" w:cs="Tahoma"/>
                        <w:noProof/>
                        <w:color w:val="0D0D0D" w:themeColor="text1" w:themeTint="F2"/>
                        <w:sz w:val="16"/>
                        <w:szCs w:val="16"/>
                      </w:rPr>
                      <w:t xml:space="preserve">Report of the State Comptroller </w:t>
                    </w:r>
                    <w:r>
                      <w:rPr>
                        <w:rFonts w:ascii="Tahoma" w:hAnsi="Tahoma" w:eastAsiaTheme="majorEastAsia" w:cs="Tahoma"/>
                        <w:noProof/>
                        <w:color w:val="0D0D0D" w:themeColor="text1" w:themeTint="F2"/>
                        <w:sz w:val="16"/>
                        <w:szCs w:val="16"/>
                      </w:rPr>
                      <w:t>of Israel</w:t>
                    </w:r>
                    <w:r w:rsidRPr="00A90FFF">
                      <w:rPr>
                        <w:rFonts w:ascii="Tahoma" w:hAnsi="Tahoma" w:eastAsiaTheme="majorEastAsia" w:cs="Tahoma"/>
                        <w:noProof/>
                        <w:color w:val="0D0D0D" w:themeColor="text1" w:themeTint="F2"/>
                        <w:sz w:val="16"/>
                        <w:szCs w:val="16"/>
                      </w:rPr>
                      <w:t xml:space="preserve"> | Ma</w:t>
                    </w:r>
                    <w:r w:rsidR="002907DE">
                      <w:rPr>
                        <w:rFonts w:ascii="Tahoma" w:hAnsi="Tahoma" w:eastAsiaTheme="majorEastAsia" w:cs="Tahoma"/>
                        <w:noProof/>
                        <w:color w:val="0D0D0D" w:themeColor="text1" w:themeTint="F2"/>
                        <w:sz w:val="16"/>
                        <w:szCs w:val="16"/>
                      </w:rPr>
                      <w:t>y</w:t>
                    </w:r>
                    <w:r w:rsidRPr="00A90FFF">
                      <w:rPr>
                        <w:rFonts w:ascii="Tahoma" w:hAnsi="Tahoma" w:eastAsiaTheme="majorEastAsia" w:cs="Tahoma"/>
                        <w:noProof/>
                        <w:color w:val="0D0D0D" w:themeColor="text1" w:themeTint="F2"/>
                        <w:sz w:val="16"/>
                        <w:szCs w:val="16"/>
                      </w:rPr>
                      <w:t xml:space="preserve"> 2022</w:t>
                    </w:r>
                  </w:p>
                  <w:p w:rsidR="00BE3B4B" w:rsidRPr="00A4133B" w:rsidP="00BE3B4B" w14:paraId="49DA2D2E" w14:textId="6F873C31">
                    <w:pPr>
                      <w:bidi w:val="0"/>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4080" behindDoc="0" locked="0" layoutInCell="1" allowOverlap="1">
          <wp:simplePos x="0" y="0"/>
          <wp:positionH relativeFrom="column">
            <wp:posOffset>4415289</wp:posOffset>
          </wp:positionH>
          <wp:positionV relativeFrom="paragraph">
            <wp:posOffset>217805</wp:posOffset>
          </wp:positionV>
          <wp:extent cx="343535" cy="240030"/>
          <wp:effectExtent l="0" t="0" r="0" b="1270"/>
          <wp:wrapSquare wrapText="bothSides"/>
          <wp:docPr id="2052770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E3B4B">
      <w:rPr>
        <w:noProof/>
        <w:szCs w:val="20"/>
        <w:rtl/>
      </w:rPr>
      <w:drawing>
        <wp:anchor distT="0" distB="0" distL="114300" distR="114300" simplePos="0" relativeHeight="251693056" behindDoc="0" locked="0" layoutInCell="1" allowOverlap="1">
          <wp:simplePos x="0" y="0"/>
          <wp:positionH relativeFrom="column">
            <wp:posOffset>8819515</wp:posOffset>
          </wp:positionH>
          <wp:positionV relativeFrom="paragraph">
            <wp:posOffset>248285</wp:posOffset>
          </wp:positionV>
          <wp:extent cx="343535" cy="240030"/>
          <wp:effectExtent l="0" t="0" r="0" b="1270"/>
          <wp:wrapSquare wrapText="bothSides"/>
          <wp:docPr id="2052770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052770991"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87936" from="-229.2pt,38.7pt" to="370.85pt,38.7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527709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7"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DA4697"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64"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DA4697"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DA4697"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65"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DA4697"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052770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8"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3BE4C2F9" w14:textId="673D4A5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19050">
                        <a:solidFill>
                          <a:schemeClr val="bg1">
                            <a:lumMod val="65000"/>
                          </a:schemeClr>
                        </a:solidFill>
                        <a:prstDash val="lgDash"/>
                      </a:ln>
                    </wps:spPr>
                    <wps:txbx>
                      <w:txbxContent>
                        <w:p w:rsidR="00DA4697" w:rsidRPr="00DE3ECA" w:rsidP="001C5C9D" w14:textId="7889A2CF">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6" type="#_x0000_t202" style="width:510.2pt;height:708.65pt;margin-top:-81.15pt;margin-left:-7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1.5pt">
              <v:stroke dashstyle="longDash"/>
              <v:textbox>
                <w:txbxContent>
                  <w:p w:rsidR="00DA4697" w:rsidRPr="00DE3ECA" w:rsidP="001C5C9D" w14:paraId="41E6941D" w14:textId="7889A2CF">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C5C9D" w14:paraId="52188F3E" w14:textId="6AFEEEA3">
    <w:pPr>
      <w:pStyle w:val="Header"/>
      <w:tabs>
        <w:tab w:val="clear" w:pos="4153"/>
        <w:tab w:val="left" w:pos="4530"/>
        <w:tab w:val="clear" w:pos="8306"/>
      </w:tabs>
      <w:jc w:val="left"/>
      <w:rPr>
        <w:rtl/>
      </w:rPr>
    </w:pPr>
    <w:r>
      <w:rPr>
        <w:rtl/>
      </w:rPr>
      <w:tab/>
    </w:r>
  </w:p>
  <w:p w:rsidR="00DA4697" w:rsidP="001C5C9D" w14:paraId="0DBAA24E" w14:textId="77777777">
    <w:pPr>
      <w:pStyle w:val="Header"/>
      <w:tabs>
        <w:tab w:val="center" w:pos="3685"/>
        <w:tab w:val="clear" w:pos="4153"/>
        <w:tab w:val="clear" w:pos="8306"/>
      </w:tabs>
      <w:jc w:val="left"/>
    </w:pPr>
    <w:r w:rsidRPr="00DA4512">
      <w:rPr>
        <w:noProof/>
        <w:rtl/>
      </w:rPr>
      <mc:AlternateContent>
        <mc:Choice Requires="wps">
          <w:drawing>
            <wp:anchor distT="45720" distB="45720" distL="114300" distR="114300" simplePos="0" relativeHeight="251670528"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4D562B" w:rsidP="00DA4512"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DA4697" w:rsidRPr="004D562B" w:rsidP="00DA4512" w14:paraId="5B61FBF3"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72576"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0527709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gradFill rotWithShape="1">
                          <a:gsLst>
                            <a:gs pos="0">
                              <a:schemeClr val="tx1"/>
                            </a:gs>
                            <a:gs pos="74000">
                              <a:schemeClr val="accent1">
                                <a:lumMod val="45000"/>
                                <a:lumOff val="55000"/>
                              </a:schemeClr>
                            </a:gs>
                            <a:gs pos="73000">
                              <a:srgbClr val="0D0D0D"/>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68" style="flip:x;mso-height-percent:0;mso-height-relative:margin;mso-width-percent:0;mso-width-relative:margin;mso-wrap-distance-bottom:0;mso-wrap-distance-left:9pt;mso-wrap-distance-right:9pt;mso-wrap-distance-top:0;mso-wrap-style:square;position:absolute;visibility:visible;z-index:251669504" from="-4.4pt,50.4pt" to="524.85pt,50.4pt" strokeweight="0.25pt"/>
          </w:pict>
        </mc:Fallback>
      </mc:AlternateContent>
    </w:r>
  </w:p>
  <w:p w:rsidR="00DA4697" w:rsidRPr="001526AC" w:rsidP="001C5C9D" w14:paraId="133C0DA0" w14:textId="2B0F86FF">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8AB3182"/>
    <w:multiLevelType w:val="hybridMultilevel"/>
    <w:tmpl w:val="236674F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1286EA9"/>
    <w:multiLevelType w:val="hybridMultilevel"/>
    <w:tmpl w:val="A79EF7A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701D68"/>
    <w:multiLevelType w:val="hybridMultilevel"/>
    <w:tmpl w:val="BD04B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1F60817"/>
    <w:multiLevelType w:val="hybridMultilevel"/>
    <w:tmpl w:val="19343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9E552A"/>
    <w:multiLevelType w:val="hybridMultilevel"/>
    <w:tmpl w:val="E2B4A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4FD1CEF"/>
    <w:multiLevelType w:val="hybridMultilevel"/>
    <w:tmpl w:val="E4A2CB6A"/>
    <w:lvl w:ilvl="0">
      <w:start w:val="1"/>
      <w:numFmt w:val="decimal"/>
      <w:lvlText w:val="%1."/>
      <w:lvlJc w:val="left"/>
      <w:pPr>
        <w:ind w:left="360"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67BA1BB6"/>
    <w:multiLevelType w:val="hybridMultilevel"/>
    <w:tmpl w:val="85F0C9C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5005DF"/>
    <w:multiLevelType w:val="hybridMultilevel"/>
    <w:tmpl w:val="2F54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6EE93AB4"/>
    <w:multiLevelType w:val="hybridMultilevel"/>
    <w:tmpl w:val="4572B96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777D407F"/>
    <w:multiLevelType w:val="hybridMultilevel"/>
    <w:tmpl w:val="31B68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570223"/>
    <w:multiLevelType w:val="hybridMultilevel"/>
    <w:tmpl w:val="5502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3"/>
  </w:num>
  <w:num w:numId="3">
    <w:abstractNumId w:val="19"/>
  </w:num>
  <w:num w:numId="4">
    <w:abstractNumId w:val="15"/>
  </w:num>
  <w:num w:numId="5">
    <w:abstractNumId w:val="10"/>
  </w:num>
  <w:num w:numId="6">
    <w:abstractNumId w:val="12"/>
  </w:num>
  <w:num w:numId="7">
    <w:abstractNumId w:val="24"/>
  </w:num>
  <w:num w:numId="8">
    <w:abstractNumId w:val="0"/>
  </w:num>
  <w:num w:numId="9">
    <w:abstractNumId w:val="14"/>
  </w:num>
  <w:num w:numId="10">
    <w:abstractNumId w:val="3"/>
  </w:num>
  <w:num w:numId="11">
    <w:abstractNumId w:val="16"/>
  </w:num>
  <w:num w:numId="12">
    <w:abstractNumId w:val="2"/>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1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0"/>
  </w:num>
  <w:num w:numId="29">
    <w:abstractNumId w:val="5"/>
  </w:num>
  <w:num w:numId="30">
    <w:abstractNumId w:val="22"/>
  </w:num>
  <w:num w:numId="31">
    <w:abstractNumId w:val="23"/>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1"/>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0C40"/>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55F0"/>
    <w:rsid w:val="000157CF"/>
    <w:rsid w:val="00015A22"/>
    <w:rsid w:val="000168DE"/>
    <w:rsid w:val="0001735B"/>
    <w:rsid w:val="00017851"/>
    <w:rsid w:val="000206F1"/>
    <w:rsid w:val="00021298"/>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B0F"/>
    <w:rsid w:val="00036EB8"/>
    <w:rsid w:val="00037DEE"/>
    <w:rsid w:val="000406C4"/>
    <w:rsid w:val="00040918"/>
    <w:rsid w:val="00040C4D"/>
    <w:rsid w:val="000413AB"/>
    <w:rsid w:val="000419ED"/>
    <w:rsid w:val="00042688"/>
    <w:rsid w:val="00042837"/>
    <w:rsid w:val="0004293F"/>
    <w:rsid w:val="00042BB1"/>
    <w:rsid w:val="00043204"/>
    <w:rsid w:val="000436EC"/>
    <w:rsid w:val="00043931"/>
    <w:rsid w:val="00043CC0"/>
    <w:rsid w:val="000448BE"/>
    <w:rsid w:val="00045038"/>
    <w:rsid w:val="00045492"/>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0441"/>
    <w:rsid w:val="000615B4"/>
    <w:rsid w:val="00061760"/>
    <w:rsid w:val="0006189A"/>
    <w:rsid w:val="000618D0"/>
    <w:rsid w:val="00061D7A"/>
    <w:rsid w:val="00063297"/>
    <w:rsid w:val="00063A11"/>
    <w:rsid w:val="00064016"/>
    <w:rsid w:val="0006411D"/>
    <w:rsid w:val="0006445C"/>
    <w:rsid w:val="0006456C"/>
    <w:rsid w:val="00064637"/>
    <w:rsid w:val="00066628"/>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494"/>
    <w:rsid w:val="00081D0E"/>
    <w:rsid w:val="000824F8"/>
    <w:rsid w:val="0008345D"/>
    <w:rsid w:val="00083595"/>
    <w:rsid w:val="00083692"/>
    <w:rsid w:val="00083FD0"/>
    <w:rsid w:val="00084E3A"/>
    <w:rsid w:val="00085086"/>
    <w:rsid w:val="00085A22"/>
    <w:rsid w:val="00085B99"/>
    <w:rsid w:val="00086221"/>
    <w:rsid w:val="0008669B"/>
    <w:rsid w:val="00086738"/>
    <w:rsid w:val="00086BCD"/>
    <w:rsid w:val="00090633"/>
    <w:rsid w:val="000907D0"/>
    <w:rsid w:val="00091811"/>
    <w:rsid w:val="00091A72"/>
    <w:rsid w:val="00093E30"/>
    <w:rsid w:val="0009432F"/>
    <w:rsid w:val="00094D5D"/>
    <w:rsid w:val="00094F15"/>
    <w:rsid w:val="0009524E"/>
    <w:rsid w:val="0009559D"/>
    <w:rsid w:val="0009573B"/>
    <w:rsid w:val="00096CF4"/>
    <w:rsid w:val="00096EE4"/>
    <w:rsid w:val="00096EEC"/>
    <w:rsid w:val="000971EF"/>
    <w:rsid w:val="00097CDE"/>
    <w:rsid w:val="000A00AE"/>
    <w:rsid w:val="000A01F2"/>
    <w:rsid w:val="000A0884"/>
    <w:rsid w:val="000A0915"/>
    <w:rsid w:val="000A0F64"/>
    <w:rsid w:val="000A134E"/>
    <w:rsid w:val="000A15B1"/>
    <w:rsid w:val="000A1610"/>
    <w:rsid w:val="000A1B28"/>
    <w:rsid w:val="000A26F1"/>
    <w:rsid w:val="000A2BD8"/>
    <w:rsid w:val="000A3690"/>
    <w:rsid w:val="000A43A6"/>
    <w:rsid w:val="000A4686"/>
    <w:rsid w:val="000A5140"/>
    <w:rsid w:val="000A567C"/>
    <w:rsid w:val="000A5B75"/>
    <w:rsid w:val="000A65A9"/>
    <w:rsid w:val="000A69A7"/>
    <w:rsid w:val="000A7D65"/>
    <w:rsid w:val="000B1102"/>
    <w:rsid w:val="000B153C"/>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C20"/>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E013E"/>
    <w:rsid w:val="000E0BA2"/>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95"/>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3B0"/>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074D"/>
    <w:rsid w:val="0011146E"/>
    <w:rsid w:val="00111AD4"/>
    <w:rsid w:val="00111CA0"/>
    <w:rsid w:val="00111F8A"/>
    <w:rsid w:val="00112134"/>
    <w:rsid w:val="00112923"/>
    <w:rsid w:val="00112E28"/>
    <w:rsid w:val="00113AD4"/>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2741E"/>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3"/>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47ED0"/>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8E3"/>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01B"/>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1F81"/>
    <w:rsid w:val="0017200D"/>
    <w:rsid w:val="0017265F"/>
    <w:rsid w:val="001730B0"/>
    <w:rsid w:val="00173FDD"/>
    <w:rsid w:val="0017466B"/>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604"/>
    <w:rsid w:val="001839FA"/>
    <w:rsid w:val="00183DDC"/>
    <w:rsid w:val="001850C6"/>
    <w:rsid w:val="0018586A"/>
    <w:rsid w:val="001858E5"/>
    <w:rsid w:val="00185B85"/>
    <w:rsid w:val="0018758B"/>
    <w:rsid w:val="001875BC"/>
    <w:rsid w:val="001875D3"/>
    <w:rsid w:val="001900F7"/>
    <w:rsid w:val="0019015A"/>
    <w:rsid w:val="00190396"/>
    <w:rsid w:val="00190F93"/>
    <w:rsid w:val="0019167B"/>
    <w:rsid w:val="00191FF6"/>
    <w:rsid w:val="00192E51"/>
    <w:rsid w:val="00192F16"/>
    <w:rsid w:val="00193071"/>
    <w:rsid w:val="00193101"/>
    <w:rsid w:val="0019399F"/>
    <w:rsid w:val="00194286"/>
    <w:rsid w:val="001954F2"/>
    <w:rsid w:val="00195BC7"/>
    <w:rsid w:val="00195EBA"/>
    <w:rsid w:val="001960B4"/>
    <w:rsid w:val="0019758B"/>
    <w:rsid w:val="00197B6F"/>
    <w:rsid w:val="00197B8A"/>
    <w:rsid w:val="001A0CA6"/>
    <w:rsid w:val="001A166A"/>
    <w:rsid w:val="001A1E88"/>
    <w:rsid w:val="001A2081"/>
    <w:rsid w:val="001A2A50"/>
    <w:rsid w:val="001A2F88"/>
    <w:rsid w:val="001A325B"/>
    <w:rsid w:val="001A38A7"/>
    <w:rsid w:val="001A3974"/>
    <w:rsid w:val="001A40B6"/>
    <w:rsid w:val="001A4E80"/>
    <w:rsid w:val="001A5D04"/>
    <w:rsid w:val="001A613C"/>
    <w:rsid w:val="001A6276"/>
    <w:rsid w:val="001A72F6"/>
    <w:rsid w:val="001A7D06"/>
    <w:rsid w:val="001B055C"/>
    <w:rsid w:val="001B1655"/>
    <w:rsid w:val="001B17FB"/>
    <w:rsid w:val="001B2821"/>
    <w:rsid w:val="001B285C"/>
    <w:rsid w:val="001B2ACB"/>
    <w:rsid w:val="001B2C49"/>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31F"/>
    <w:rsid w:val="001D3679"/>
    <w:rsid w:val="001D3CC2"/>
    <w:rsid w:val="001D461F"/>
    <w:rsid w:val="001D46D3"/>
    <w:rsid w:val="001D49E8"/>
    <w:rsid w:val="001D6714"/>
    <w:rsid w:val="001D6DD6"/>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081"/>
    <w:rsid w:val="00205724"/>
    <w:rsid w:val="002064F7"/>
    <w:rsid w:val="00206509"/>
    <w:rsid w:val="00206BDB"/>
    <w:rsid w:val="0021058F"/>
    <w:rsid w:val="0021135F"/>
    <w:rsid w:val="0021150C"/>
    <w:rsid w:val="002120DB"/>
    <w:rsid w:val="002127FD"/>
    <w:rsid w:val="00212904"/>
    <w:rsid w:val="00212B04"/>
    <w:rsid w:val="00212EEA"/>
    <w:rsid w:val="002130B4"/>
    <w:rsid w:val="00213826"/>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348A"/>
    <w:rsid w:val="00224723"/>
    <w:rsid w:val="002248C1"/>
    <w:rsid w:val="00224C04"/>
    <w:rsid w:val="002251A4"/>
    <w:rsid w:val="00225489"/>
    <w:rsid w:val="00225718"/>
    <w:rsid w:val="00225CAE"/>
    <w:rsid w:val="0022705A"/>
    <w:rsid w:val="00227CD0"/>
    <w:rsid w:val="00227E88"/>
    <w:rsid w:val="0023004B"/>
    <w:rsid w:val="002301B6"/>
    <w:rsid w:val="00230B94"/>
    <w:rsid w:val="00231C3C"/>
    <w:rsid w:val="00231DC5"/>
    <w:rsid w:val="00232836"/>
    <w:rsid w:val="002338F8"/>
    <w:rsid w:val="00234167"/>
    <w:rsid w:val="0023448C"/>
    <w:rsid w:val="00234AB5"/>
    <w:rsid w:val="00234F9B"/>
    <w:rsid w:val="0023589B"/>
    <w:rsid w:val="00235AEE"/>
    <w:rsid w:val="00235D75"/>
    <w:rsid w:val="002366CE"/>
    <w:rsid w:val="002375D3"/>
    <w:rsid w:val="0024001A"/>
    <w:rsid w:val="00240887"/>
    <w:rsid w:val="002419F2"/>
    <w:rsid w:val="002427C4"/>
    <w:rsid w:val="00243E20"/>
    <w:rsid w:val="00244096"/>
    <w:rsid w:val="0024417D"/>
    <w:rsid w:val="00244C55"/>
    <w:rsid w:val="00244C6D"/>
    <w:rsid w:val="00244C99"/>
    <w:rsid w:val="00245470"/>
    <w:rsid w:val="00246CD7"/>
    <w:rsid w:val="00247C83"/>
    <w:rsid w:val="00250370"/>
    <w:rsid w:val="0025068A"/>
    <w:rsid w:val="00250751"/>
    <w:rsid w:val="002516DF"/>
    <w:rsid w:val="00251B50"/>
    <w:rsid w:val="00254CF4"/>
    <w:rsid w:val="00255715"/>
    <w:rsid w:val="00255877"/>
    <w:rsid w:val="0025701A"/>
    <w:rsid w:val="002575ED"/>
    <w:rsid w:val="002576EB"/>
    <w:rsid w:val="002578A9"/>
    <w:rsid w:val="00260BF5"/>
    <w:rsid w:val="00260D04"/>
    <w:rsid w:val="0026130F"/>
    <w:rsid w:val="00261C84"/>
    <w:rsid w:val="00262A9E"/>
    <w:rsid w:val="002634F4"/>
    <w:rsid w:val="00263521"/>
    <w:rsid w:val="00263A1E"/>
    <w:rsid w:val="00263DB7"/>
    <w:rsid w:val="00265428"/>
    <w:rsid w:val="002654D1"/>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81A"/>
    <w:rsid w:val="00282C5A"/>
    <w:rsid w:val="00283FFC"/>
    <w:rsid w:val="002841CB"/>
    <w:rsid w:val="00284ABA"/>
    <w:rsid w:val="00284B06"/>
    <w:rsid w:val="00285362"/>
    <w:rsid w:val="00285EC0"/>
    <w:rsid w:val="0028686C"/>
    <w:rsid w:val="0028694C"/>
    <w:rsid w:val="002869E1"/>
    <w:rsid w:val="00286A23"/>
    <w:rsid w:val="00286C34"/>
    <w:rsid w:val="002907DE"/>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3F0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6F7"/>
    <w:rsid w:val="002C58AD"/>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6EA6"/>
    <w:rsid w:val="002D79C7"/>
    <w:rsid w:val="002E0151"/>
    <w:rsid w:val="002E01CC"/>
    <w:rsid w:val="002E0A57"/>
    <w:rsid w:val="002E188D"/>
    <w:rsid w:val="002E1E1F"/>
    <w:rsid w:val="002E24BB"/>
    <w:rsid w:val="002E2DB0"/>
    <w:rsid w:val="002E3AA6"/>
    <w:rsid w:val="002E424B"/>
    <w:rsid w:val="002E4818"/>
    <w:rsid w:val="002E498B"/>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822"/>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07EC9"/>
    <w:rsid w:val="003108E3"/>
    <w:rsid w:val="00311190"/>
    <w:rsid w:val="0031135A"/>
    <w:rsid w:val="00313D58"/>
    <w:rsid w:val="00313EEC"/>
    <w:rsid w:val="00315624"/>
    <w:rsid w:val="00315BD6"/>
    <w:rsid w:val="00315D7F"/>
    <w:rsid w:val="00315FF2"/>
    <w:rsid w:val="00316385"/>
    <w:rsid w:val="00316C57"/>
    <w:rsid w:val="00316F0F"/>
    <w:rsid w:val="003177E2"/>
    <w:rsid w:val="00320B6A"/>
    <w:rsid w:val="0032289E"/>
    <w:rsid w:val="00322998"/>
    <w:rsid w:val="00322A81"/>
    <w:rsid w:val="00323027"/>
    <w:rsid w:val="0032331E"/>
    <w:rsid w:val="003233BC"/>
    <w:rsid w:val="00324236"/>
    <w:rsid w:val="00324BC1"/>
    <w:rsid w:val="00324C2A"/>
    <w:rsid w:val="00324F0D"/>
    <w:rsid w:val="003257C6"/>
    <w:rsid w:val="00325F44"/>
    <w:rsid w:val="0032676C"/>
    <w:rsid w:val="00326ABF"/>
    <w:rsid w:val="00326C7C"/>
    <w:rsid w:val="00326EF0"/>
    <w:rsid w:val="00326F6A"/>
    <w:rsid w:val="003271AB"/>
    <w:rsid w:val="00327593"/>
    <w:rsid w:val="0032765C"/>
    <w:rsid w:val="00327D99"/>
    <w:rsid w:val="003318C2"/>
    <w:rsid w:val="00331924"/>
    <w:rsid w:val="00332663"/>
    <w:rsid w:val="00332F33"/>
    <w:rsid w:val="00333BC5"/>
    <w:rsid w:val="003343B9"/>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3E9"/>
    <w:rsid w:val="0035448A"/>
    <w:rsid w:val="00355453"/>
    <w:rsid w:val="003556E1"/>
    <w:rsid w:val="003559A1"/>
    <w:rsid w:val="00355B59"/>
    <w:rsid w:val="00356540"/>
    <w:rsid w:val="00356926"/>
    <w:rsid w:val="00356C79"/>
    <w:rsid w:val="00356CD5"/>
    <w:rsid w:val="00357420"/>
    <w:rsid w:val="00357544"/>
    <w:rsid w:val="00360285"/>
    <w:rsid w:val="003606C0"/>
    <w:rsid w:val="003608B0"/>
    <w:rsid w:val="00361812"/>
    <w:rsid w:val="00363344"/>
    <w:rsid w:val="003633E1"/>
    <w:rsid w:val="00363FE3"/>
    <w:rsid w:val="003640C2"/>
    <w:rsid w:val="00364581"/>
    <w:rsid w:val="003651FF"/>
    <w:rsid w:val="003655C7"/>
    <w:rsid w:val="0036568B"/>
    <w:rsid w:val="00365C9E"/>
    <w:rsid w:val="00365D63"/>
    <w:rsid w:val="00365DC9"/>
    <w:rsid w:val="00365DE2"/>
    <w:rsid w:val="0036639F"/>
    <w:rsid w:val="003668A5"/>
    <w:rsid w:val="003675CC"/>
    <w:rsid w:val="003679C6"/>
    <w:rsid w:val="00370E4A"/>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755"/>
    <w:rsid w:val="003839AA"/>
    <w:rsid w:val="003843E4"/>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0C22"/>
    <w:rsid w:val="003C2534"/>
    <w:rsid w:val="003C26AC"/>
    <w:rsid w:val="003C2A0B"/>
    <w:rsid w:val="003C2EC6"/>
    <w:rsid w:val="003C32FE"/>
    <w:rsid w:val="003C3358"/>
    <w:rsid w:val="003C3511"/>
    <w:rsid w:val="003C3E61"/>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EDD"/>
    <w:rsid w:val="003D6FE1"/>
    <w:rsid w:val="003D7383"/>
    <w:rsid w:val="003D7489"/>
    <w:rsid w:val="003D7A6A"/>
    <w:rsid w:val="003E000E"/>
    <w:rsid w:val="003E009E"/>
    <w:rsid w:val="003E0ABC"/>
    <w:rsid w:val="003E20EB"/>
    <w:rsid w:val="003E2333"/>
    <w:rsid w:val="003E248F"/>
    <w:rsid w:val="003E26E6"/>
    <w:rsid w:val="003E2F13"/>
    <w:rsid w:val="003E31EE"/>
    <w:rsid w:val="003E351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A87"/>
    <w:rsid w:val="003F48CD"/>
    <w:rsid w:val="003F59C0"/>
    <w:rsid w:val="003F5B6A"/>
    <w:rsid w:val="003F6A36"/>
    <w:rsid w:val="003F6CB2"/>
    <w:rsid w:val="003F6D65"/>
    <w:rsid w:val="003F782E"/>
    <w:rsid w:val="003F7B2B"/>
    <w:rsid w:val="004002DD"/>
    <w:rsid w:val="00400D5E"/>
    <w:rsid w:val="00401ED1"/>
    <w:rsid w:val="00402757"/>
    <w:rsid w:val="004029F9"/>
    <w:rsid w:val="00402DAE"/>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C95"/>
    <w:rsid w:val="00425E72"/>
    <w:rsid w:val="00425E85"/>
    <w:rsid w:val="0042649D"/>
    <w:rsid w:val="00426862"/>
    <w:rsid w:val="00426CE7"/>
    <w:rsid w:val="00426D50"/>
    <w:rsid w:val="00427402"/>
    <w:rsid w:val="004276E0"/>
    <w:rsid w:val="00427A72"/>
    <w:rsid w:val="00427D9F"/>
    <w:rsid w:val="00430277"/>
    <w:rsid w:val="00431AA5"/>
    <w:rsid w:val="00431C39"/>
    <w:rsid w:val="00432A56"/>
    <w:rsid w:val="00433DC5"/>
    <w:rsid w:val="00434C19"/>
    <w:rsid w:val="00435E10"/>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B28"/>
    <w:rsid w:val="004675B0"/>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58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1C5"/>
    <w:rsid w:val="004965B9"/>
    <w:rsid w:val="00497103"/>
    <w:rsid w:val="0049732E"/>
    <w:rsid w:val="004976B0"/>
    <w:rsid w:val="00497953"/>
    <w:rsid w:val="00497FC7"/>
    <w:rsid w:val="00497FC9"/>
    <w:rsid w:val="004A0385"/>
    <w:rsid w:val="004A07F3"/>
    <w:rsid w:val="004A0E02"/>
    <w:rsid w:val="004A0E75"/>
    <w:rsid w:val="004A144B"/>
    <w:rsid w:val="004A19AF"/>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F65"/>
    <w:rsid w:val="004B5F7A"/>
    <w:rsid w:val="004B6164"/>
    <w:rsid w:val="004B63AE"/>
    <w:rsid w:val="004B7C1A"/>
    <w:rsid w:val="004C056A"/>
    <w:rsid w:val="004C0FFF"/>
    <w:rsid w:val="004C116D"/>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18E"/>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0D31"/>
    <w:rsid w:val="005011A2"/>
    <w:rsid w:val="005019DF"/>
    <w:rsid w:val="00501D89"/>
    <w:rsid w:val="0050204B"/>
    <w:rsid w:val="0050240C"/>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6EB"/>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B96"/>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28F3"/>
    <w:rsid w:val="00533572"/>
    <w:rsid w:val="00534021"/>
    <w:rsid w:val="005342AA"/>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4A17"/>
    <w:rsid w:val="0054509A"/>
    <w:rsid w:val="00545927"/>
    <w:rsid w:val="00546559"/>
    <w:rsid w:val="005474F6"/>
    <w:rsid w:val="00547C0F"/>
    <w:rsid w:val="005500D2"/>
    <w:rsid w:val="00550BA0"/>
    <w:rsid w:val="00550E94"/>
    <w:rsid w:val="00551035"/>
    <w:rsid w:val="00551B42"/>
    <w:rsid w:val="00551DB7"/>
    <w:rsid w:val="00553469"/>
    <w:rsid w:val="00554AAD"/>
    <w:rsid w:val="005554C5"/>
    <w:rsid w:val="005556CA"/>
    <w:rsid w:val="005559D1"/>
    <w:rsid w:val="00555CE4"/>
    <w:rsid w:val="00555D63"/>
    <w:rsid w:val="00555E7D"/>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33D"/>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B01"/>
    <w:rsid w:val="005C2D2D"/>
    <w:rsid w:val="005C438E"/>
    <w:rsid w:val="005C43F3"/>
    <w:rsid w:val="005C552D"/>
    <w:rsid w:val="005C55B2"/>
    <w:rsid w:val="005C5648"/>
    <w:rsid w:val="005C608E"/>
    <w:rsid w:val="005C62D9"/>
    <w:rsid w:val="005C6ED8"/>
    <w:rsid w:val="005C7994"/>
    <w:rsid w:val="005C7A15"/>
    <w:rsid w:val="005D00DB"/>
    <w:rsid w:val="005D07D2"/>
    <w:rsid w:val="005D0F46"/>
    <w:rsid w:val="005D14F8"/>
    <w:rsid w:val="005D1BB8"/>
    <w:rsid w:val="005D2577"/>
    <w:rsid w:val="005D25B7"/>
    <w:rsid w:val="005D293C"/>
    <w:rsid w:val="005D30B8"/>
    <w:rsid w:val="005D360E"/>
    <w:rsid w:val="005D48FE"/>
    <w:rsid w:val="005D4DA2"/>
    <w:rsid w:val="005D5DA2"/>
    <w:rsid w:val="005D5EAC"/>
    <w:rsid w:val="005D66B0"/>
    <w:rsid w:val="005D6BA1"/>
    <w:rsid w:val="005D6C63"/>
    <w:rsid w:val="005D6E99"/>
    <w:rsid w:val="005D7598"/>
    <w:rsid w:val="005E009F"/>
    <w:rsid w:val="005E062A"/>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19"/>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9B1"/>
    <w:rsid w:val="006229F2"/>
    <w:rsid w:val="006241BE"/>
    <w:rsid w:val="00625009"/>
    <w:rsid w:val="00625759"/>
    <w:rsid w:val="00625B32"/>
    <w:rsid w:val="00625B8F"/>
    <w:rsid w:val="006278CC"/>
    <w:rsid w:val="00630332"/>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250F"/>
    <w:rsid w:val="006834E5"/>
    <w:rsid w:val="00683815"/>
    <w:rsid w:val="00683A28"/>
    <w:rsid w:val="00684856"/>
    <w:rsid w:val="00684959"/>
    <w:rsid w:val="00684DEA"/>
    <w:rsid w:val="006854F2"/>
    <w:rsid w:val="0068565C"/>
    <w:rsid w:val="0068620A"/>
    <w:rsid w:val="006862BE"/>
    <w:rsid w:val="00686E12"/>
    <w:rsid w:val="00690E56"/>
    <w:rsid w:val="00691680"/>
    <w:rsid w:val="00691B4D"/>
    <w:rsid w:val="0069249C"/>
    <w:rsid w:val="00692613"/>
    <w:rsid w:val="0069335D"/>
    <w:rsid w:val="00694C3C"/>
    <w:rsid w:val="00697E8B"/>
    <w:rsid w:val="00697F31"/>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7DE"/>
    <w:rsid w:val="006B18F5"/>
    <w:rsid w:val="006B1A63"/>
    <w:rsid w:val="006B2A03"/>
    <w:rsid w:val="006B2ABD"/>
    <w:rsid w:val="006B2E94"/>
    <w:rsid w:val="006B3858"/>
    <w:rsid w:val="006B5363"/>
    <w:rsid w:val="006B56D9"/>
    <w:rsid w:val="006B657B"/>
    <w:rsid w:val="006B709C"/>
    <w:rsid w:val="006B7850"/>
    <w:rsid w:val="006C01B3"/>
    <w:rsid w:val="006C0671"/>
    <w:rsid w:val="006C067D"/>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5FAE"/>
    <w:rsid w:val="006C6452"/>
    <w:rsid w:val="006C7199"/>
    <w:rsid w:val="006C7422"/>
    <w:rsid w:val="006D0087"/>
    <w:rsid w:val="006D04D2"/>
    <w:rsid w:val="006D167F"/>
    <w:rsid w:val="006D176D"/>
    <w:rsid w:val="006D280F"/>
    <w:rsid w:val="006D383A"/>
    <w:rsid w:val="006D4161"/>
    <w:rsid w:val="006D476A"/>
    <w:rsid w:val="006D5CCE"/>
    <w:rsid w:val="006D60EF"/>
    <w:rsid w:val="006D6131"/>
    <w:rsid w:val="006D66B2"/>
    <w:rsid w:val="006D68E4"/>
    <w:rsid w:val="006D6CC0"/>
    <w:rsid w:val="006D6DC4"/>
    <w:rsid w:val="006D76F3"/>
    <w:rsid w:val="006D786C"/>
    <w:rsid w:val="006D795F"/>
    <w:rsid w:val="006D79E4"/>
    <w:rsid w:val="006D7BA7"/>
    <w:rsid w:val="006E07AA"/>
    <w:rsid w:val="006E11DA"/>
    <w:rsid w:val="006E123A"/>
    <w:rsid w:val="006E1791"/>
    <w:rsid w:val="006E24C0"/>
    <w:rsid w:val="006E2C4B"/>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674"/>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24DB"/>
    <w:rsid w:val="007526C7"/>
    <w:rsid w:val="00753115"/>
    <w:rsid w:val="007536B9"/>
    <w:rsid w:val="00753941"/>
    <w:rsid w:val="00753A65"/>
    <w:rsid w:val="00753ADE"/>
    <w:rsid w:val="007547F1"/>
    <w:rsid w:val="00754B71"/>
    <w:rsid w:val="007551D8"/>
    <w:rsid w:val="0075625B"/>
    <w:rsid w:val="00756E3A"/>
    <w:rsid w:val="00756E55"/>
    <w:rsid w:val="0075719C"/>
    <w:rsid w:val="00757B56"/>
    <w:rsid w:val="00760B67"/>
    <w:rsid w:val="00760F3C"/>
    <w:rsid w:val="00761CE2"/>
    <w:rsid w:val="00761E1F"/>
    <w:rsid w:val="00761E43"/>
    <w:rsid w:val="0076282F"/>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BE8"/>
    <w:rsid w:val="00777DAD"/>
    <w:rsid w:val="00780097"/>
    <w:rsid w:val="007809A9"/>
    <w:rsid w:val="00780D40"/>
    <w:rsid w:val="00781125"/>
    <w:rsid w:val="00781F3B"/>
    <w:rsid w:val="007824AB"/>
    <w:rsid w:val="007824E3"/>
    <w:rsid w:val="00783850"/>
    <w:rsid w:val="00784ACA"/>
    <w:rsid w:val="00784D2F"/>
    <w:rsid w:val="00784F53"/>
    <w:rsid w:val="00786364"/>
    <w:rsid w:val="00787591"/>
    <w:rsid w:val="007877E8"/>
    <w:rsid w:val="00787AC0"/>
    <w:rsid w:val="00787EAD"/>
    <w:rsid w:val="0079068D"/>
    <w:rsid w:val="00790BF1"/>
    <w:rsid w:val="00791581"/>
    <w:rsid w:val="00792B80"/>
    <w:rsid w:val="007937F8"/>
    <w:rsid w:val="007938BB"/>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6A0"/>
    <w:rsid w:val="007A7E74"/>
    <w:rsid w:val="007A7F2A"/>
    <w:rsid w:val="007B0184"/>
    <w:rsid w:val="007B06A5"/>
    <w:rsid w:val="007B0A01"/>
    <w:rsid w:val="007B0C46"/>
    <w:rsid w:val="007B112B"/>
    <w:rsid w:val="007B1D44"/>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BC2"/>
    <w:rsid w:val="007C5CAC"/>
    <w:rsid w:val="007C76F8"/>
    <w:rsid w:val="007C7734"/>
    <w:rsid w:val="007D01B9"/>
    <w:rsid w:val="007D0632"/>
    <w:rsid w:val="007D0E2D"/>
    <w:rsid w:val="007D15AE"/>
    <w:rsid w:val="007D16B5"/>
    <w:rsid w:val="007D1D12"/>
    <w:rsid w:val="007D1D95"/>
    <w:rsid w:val="007D337B"/>
    <w:rsid w:val="007D4382"/>
    <w:rsid w:val="007D49A1"/>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50F"/>
    <w:rsid w:val="007E7D7C"/>
    <w:rsid w:val="007F02E3"/>
    <w:rsid w:val="007F1517"/>
    <w:rsid w:val="007F1621"/>
    <w:rsid w:val="007F16B7"/>
    <w:rsid w:val="007F1D4F"/>
    <w:rsid w:val="007F313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B0D"/>
    <w:rsid w:val="00806D63"/>
    <w:rsid w:val="00807409"/>
    <w:rsid w:val="0080798A"/>
    <w:rsid w:val="008102AD"/>
    <w:rsid w:val="00810FB6"/>
    <w:rsid w:val="0081167C"/>
    <w:rsid w:val="00811E96"/>
    <w:rsid w:val="00811EF6"/>
    <w:rsid w:val="0081268F"/>
    <w:rsid w:val="0081297F"/>
    <w:rsid w:val="008148B4"/>
    <w:rsid w:val="0081495F"/>
    <w:rsid w:val="00815EB6"/>
    <w:rsid w:val="0081653B"/>
    <w:rsid w:val="008166A5"/>
    <w:rsid w:val="00816788"/>
    <w:rsid w:val="008168F8"/>
    <w:rsid w:val="00820393"/>
    <w:rsid w:val="008203CF"/>
    <w:rsid w:val="00820603"/>
    <w:rsid w:val="0082350D"/>
    <w:rsid w:val="00823E80"/>
    <w:rsid w:val="00824AA0"/>
    <w:rsid w:val="00825A1B"/>
    <w:rsid w:val="00825AAA"/>
    <w:rsid w:val="0082763E"/>
    <w:rsid w:val="0083171F"/>
    <w:rsid w:val="00831AF4"/>
    <w:rsid w:val="00831C86"/>
    <w:rsid w:val="00831FC6"/>
    <w:rsid w:val="008327D7"/>
    <w:rsid w:val="00832A1F"/>
    <w:rsid w:val="00833AAE"/>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898"/>
    <w:rsid w:val="00862BAF"/>
    <w:rsid w:val="00863B4F"/>
    <w:rsid w:val="00864147"/>
    <w:rsid w:val="008642D0"/>
    <w:rsid w:val="0086437F"/>
    <w:rsid w:val="0086613E"/>
    <w:rsid w:val="008676E6"/>
    <w:rsid w:val="00867ECB"/>
    <w:rsid w:val="00867FC5"/>
    <w:rsid w:val="00870DCF"/>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606"/>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4B7"/>
    <w:rsid w:val="008A6E78"/>
    <w:rsid w:val="008A774D"/>
    <w:rsid w:val="008A78F7"/>
    <w:rsid w:val="008B0887"/>
    <w:rsid w:val="008B1542"/>
    <w:rsid w:val="008B17A0"/>
    <w:rsid w:val="008B1BDB"/>
    <w:rsid w:val="008B1F0F"/>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1B15"/>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7ED"/>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6832"/>
    <w:rsid w:val="008F6845"/>
    <w:rsid w:val="008F71B1"/>
    <w:rsid w:val="008F71BC"/>
    <w:rsid w:val="008F7246"/>
    <w:rsid w:val="008F7778"/>
    <w:rsid w:val="008F7DE6"/>
    <w:rsid w:val="009015B2"/>
    <w:rsid w:val="00901881"/>
    <w:rsid w:val="009022AF"/>
    <w:rsid w:val="009037F5"/>
    <w:rsid w:val="009040D4"/>
    <w:rsid w:val="00904723"/>
    <w:rsid w:val="0090565B"/>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17"/>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36A3"/>
    <w:rsid w:val="00933910"/>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BE0"/>
    <w:rsid w:val="00971EFA"/>
    <w:rsid w:val="0097253D"/>
    <w:rsid w:val="009725A2"/>
    <w:rsid w:val="00972CE5"/>
    <w:rsid w:val="00972D69"/>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5B0"/>
    <w:rsid w:val="00977C6D"/>
    <w:rsid w:val="00977F17"/>
    <w:rsid w:val="00980499"/>
    <w:rsid w:val="00981469"/>
    <w:rsid w:val="00981AF3"/>
    <w:rsid w:val="00982497"/>
    <w:rsid w:val="00982C61"/>
    <w:rsid w:val="00982CD1"/>
    <w:rsid w:val="00982EEF"/>
    <w:rsid w:val="0098342A"/>
    <w:rsid w:val="00983AE1"/>
    <w:rsid w:val="00983E85"/>
    <w:rsid w:val="009848B7"/>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74A8"/>
    <w:rsid w:val="009975C9"/>
    <w:rsid w:val="009A0A09"/>
    <w:rsid w:val="009A1489"/>
    <w:rsid w:val="009A245B"/>
    <w:rsid w:val="009A2516"/>
    <w:rsid w:val="009A2FAA"/>
    <w:rsid w:val="009A349F"/>
    <w:rsid w:val="009A3852"/>
    <w:rsid w:val="009A444E"/>
    <w:rsid w:val="009A4788"/>
    <w:rsid w:val="009A4A6E"/>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3941"/>
    <w:rsid w:val="009D55EE"/>
    <w:rsid w:val="009D5970"/>
    <w:rsid w:val="009D5C32"/>
    <w:rsid w:val="009D73F5"/>
    <w:rsid w:val="009D740A"/>
    <w:rsid w:val="009D7D93"/>
    <w:rsid w:val="009E040E"/>
    <w:rsid w:val="009E10F4"/>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1F49"/>
    <w:rsid w:val="009F3218"/>
    <w:rsid w:val="009F394C"/>
    <w:rsid w:val="009F3A44"/>
    <w:rsid w:val="009F3FCB"/>
    <w:rsid w:val="009F4F93"/>
    <w:rsid w:val="009F556C"/>
    <w:rsid w:val="009F711E"/>
    <w:rsid w:val="009F7F2B"/>
    <w:rsid w:val="00A0001D"/>
    <w:rsid w:val="00A01037"/>
    <w:rsid w:val="00A0119C"/>
    <w:rsid w:val="00A017D4"/>
    <w:rsid w:val="00A01C9C"/>
    <w:rsid w:val="00A01F05"/>
    <w:rsid w:val="00A0272B"/>
    <w:rsid w:val="00A0287D"/>
    <w:rsid w:val="00A03332"/>
    <w:rsid w:val="00A0369C"/>
    <w:rsid w:val="00A03771"/>
    <w:rsid w:val="00A04024"/>
    <w:rsid w:val="00A04595"/>
    <w:rsid w:val="00A0541B"/>
    <w:rsid w:val="00A06208"/>
    <w:rsid w:val="00A0628B"/>
    <w:rsid w:val="00A068D9"/>
    <w:rsid w:val="00A06EAB"/>
    <w:rsid w:val="00A06EB9"/>
    <w:rsid w:val="00A1016F"/>
    <w:rsid w:val="00A10443"/>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3CD2"/>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3BA"/>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327"/>
    <w:rsid w:val="00A408EB"/>
    <w:rsid w:val="00A4133B"/>
    <w:rsid w:val="00A4189A"/>
    <w:rsid w:val="00A41A4E"/>
    <w:rsid w:val="00A42346"/>
    <w:rsid w:val="00A42565"/>
    <w:rsid w:val="00A42621"/>
    <w:rsid w:val="00A436D2"/>
    <w:rsid w:val="00A43752"/>
    <w:rsid w:val="00A4391C"/>
    <w:rsid w:val="00A441F1"/>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B8A"/>
    <w:rsid w:val="00A62DEF"/>
    <w:rsid w:val="00A637C6"/>
    <w:rsid w:val="00A63824"/>
    <w:rsid w:val="00A63A3A"/>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4DF1"/>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428C"/>
    <w:rsid w:val="00A84364"/>
    <w:rsid w:val="00A84806"/>
    <w:rsid w:val="00A84CD0"/>
    <w:rsid w:val="00A858E9"/>
    <w:rsid w:val="00A85E5B"/>
    <w:rsid w:val="00A85E73"/>
    <w:rsid w:val="00A86ED1"/>
    <w:rsid w:val="00A86F9B"/>
    <w:rsid w:val="00A90FFF"/>
    <w:rsid w:val="00A915F4"/>
    <w:rsid w:val="00A91687"/>
    <w:rsid w:val="00A917A9"/>
    <w:rsid w:val="00A91C36"/>
    <w:rsid w:val="00A91D41"/>
    <w:rsid w:val="00A93F51"/>
    <w:rsid w:val="00A96010"/>
    <w:rsid w:val="00A9684D"/>
    <w:rsid w:val="00A97402"/>
    <w:rsid w:val="00A97873"/>
    <w:rsid w:val="00AA0B30"/>
    <w:rsid w:val="00AA0EFF"/>
    <w:rsid w:val="00AA1E18"/>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103E"/>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BFD"/>
    <w:rsid w:val="00AE3DF4"/>
    <w:rsid w:val="00AE41D4"/>
    <w:rsid w:val="00AE4788"/>
    <w:rsid w:val="00AE4BEA"/>
    <w:rsid w:val="00AE4C6D"/>
    <w:rsid w:val="00AE50A3"/>
    <w:rsid w:val="00AE54FF"/>
    <w:rsid w:val="00AE563F"/>
    <w:rsid w:val="00AE6595"/>
    <w:rsid w:val="00AE6749"/>
    <w:rsid w:val="00AE6B0B"/>
    <w:rsid w:val="00AE71A8"/>
    <w:rsid w:val="00AE74AF"/>
    <w:rsid w:val="00AE74B3"/>
    <w:rsid w:val="00AE7530"/>
    <w:rsid w:val="00AE7678"/>
    <w:rsid w:val="00AF0329"/>
    <w:rsid w:val="00AF0774"/>
    <w:rsid w:val="00AF11B5"/>
    <w:rsid w:val="00AF1D47"/>
    <w:rsid w:val="00AF1F48"/>
    <w:rsid w:val="00AF2612"/>
    <w:rsid w:val="00AF3889"/>
    <w:rsid w:val="00AF39DC"/>
    <w:rsid w:val="00AF3BD3"/>
    <w:rsid w:val="00AF3F13"/>
    <w:rsid w:val="00AF3FE3"/>
    <w:rsid w:val="00AF4A53"/>
    <w:rsid w:val="00AF4F33"/>
    <w:rsid w:val="00AF52DC"/>
    <w:rsid w:val="00AF6305"/>
    <w:rsid w:val="00AF6A68"/>
    <w:rsid w:val="00AF72F9"/>
    <w:rsid w:val="00AF7ED1"/>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07B37"/>
    <w:rsid w:val="00B1077D"/>
    <w:rsid w:val="00B10841"/>
    <w:rsid w:val="00B10B1F"/>
    <w:rsid w:val="00B11176"/>
    <w:rsid w:val="00B1173B"/>
    <w:rsid w:val="00B123B7"/>
    <w:rsid w:val="00B13CB1"/>
    <w:rsid w:val="00B14BEA"/>
    <w:rsid w:val="00B15975"/>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D88"/>
    <w:rsid w:val="00B35546"/>
    <w:rsid w:val="00B3556A"/>
    <w:rsid w:val="00B35594"/>
    <w:rsid w:val="00B3580D"/>
    <w:rsid w:val="00B36B6D"/>
    <w:rsid w:val="00B3756E"/>
    <w:rsid w:val="00B3781E"/>
    <w:rsid w:val="00B401AE"/>
    <w:rsid w:val="00B402BB"/>
    <w:rsid w:val="00B4069E"/>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0E6B"/>
    <w:rsid w:val="00BC107E"/>
    <w:rsid w:val="00BC1C7C"/>
    <w:rsid w:val="00BC205F"/>
    <w:rsid w:val="00BC3D44"/>
    <w:rsid w:val="00BC4213"/>
    <w:rsid w:val="00BC4C7F"/>
    <w:rsid w:val="00BC5C80"/>
    <w:rsid w:val="00BC5D5B"/>
    <w:rsid w:val="00BC5F08"/>
    <w:rsid w:val="00BC6161"/>
    <w:rsid w:val="00BC65A4"/>
    <w:rsid w:val="00BC65B2"/>
    <w:rsid w:val="00BC7301"/>
    <w:rsid w:val="00BC75B3"/>
    <w:rsid w:val="00BC7E15"/>
    <w:rsid w:val="00BC7E36"/>
    <w:rsid w:val="00BD020B"/>
    <w:rsid w:val="00BD09B1"/>
    <w:rsid w:val="00BD0FE8"/>
    <w:rsid w:val="00BD16D6"/>
    <w:rsid w:val="00BD1B72"/>
    <w:rsid w:val="00BD31B3"/>
    <w:rsid w:val="00BD3BB5"/>
    <w:rsid w:val="00BD41C0"/>
    <w:rsid w:val="00BD485C"/>
    <w:rsid w:val="00BD4AA0"/>
    <w:rsid w:val="00BD521B"/>
    <w:rsid w:val="00BD59C0"/>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3B4B"/>
    <w:rsid w:val="00BE400A"/>
    <w:rsid w:val="00BE458A"/>
    <w:rsid w:val="00BE4BE8"/>
    <w:rsid w:val="00BE4DBA"/>
    <w:rsid w:val="00BE4E51"/>
    <w:rsid w:val="00BE5D07"/>
    <w:rsid w:val="00BE61FC"/>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262"/>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8FE"/>
    <w:rsid w:val="00C15A04"/>
    <w:rsid w:val="00C1656A"/>
    <w:rsid w:val="00C16815"/>
    <w:rsid w:val="00C17D4D"/>
    <w:rsid w:val="00C205F8"/>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6C4D"/>
    <w:rsid w:val="00C47D44"/>
    <w:rsid w:val="00C50B1E"/>
    <w:rsid w:val="00C51C72"/>
    <w:rsid w:val="00C51CB1"/>
    <w:rsid w:val="00C521B4"/>
    <w:rsid w:val="00C52914"/>
    <w:rsid w:val="00C532A5"/>
    <w:rsid w:val="00C544CC"/>
    <w:rsid w:val="00C546E7"/>
    <w:rsid w:val="00C55114"/>
    <w:rsid w:val="00C56262"/>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39FD"/>
    <w:rsid w:val="00C74181"/>
    <w:rsid w:val="00C74636"/>
    <w:rsid w:val="00C74AF1"/>
    <w:rsid w:val="00C752C9"/>
    <w:rsid w:val="00C759F1"/>
    <w:rsid w:val="00C7613A"/>
    <w:rsid w:val="00C761B9"/>
    <w:rsid w:val="00C77315"/>
    <w:rsid w:val="00C7751B"/>
    <w:rsid w:val="00C77AEB"/>
    <w:rsid w:val="00C77C98"/>
    <w:rsid w:val="00C80069"/>
    <w:rsid w:val="00C805DA"/>
    <w:rsid w:val="00C8096C"/>
    <w:rsid w:val="00C80A78"/>
    <w:rsid w:val="00C80F33"/>
    <w:rsid w:val="00C80FD0"/>
    <w:rsid w:val="00C8100B"/>
    <w:rsid w:val="00C816BC"/>
    <w:rsid w:val="00C825DD"/>
    <w:rsid w:val="00C82BAA"/>
    <w:rsid w:val="00C82DDB"/>
    <w:rsid w:val="00C85089"/>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4FD"/>
    <w:rsid w:val="00C959C2"/>
    <w:rsid w:val="00C95BC5"/>
    <w:rsid w:val="00C95DEA"/>
    <w:rsid w:val="00C95FCA"/>
    <w:rsid w:val="00C974ED"/>
    <w:rsid w:val="00C976AC"/>
    <w:rsid w:val="00C97A8D"/>
    <w:rsid w:val="00CA0083"/>
    <w:rsid w:val="00CA04C0"/>
    <w:rsid w:val="00CA0837"/>
    <w:rsid w:val="00CA0BD9"/>
    <w:rsid w:val="00CA4064"/>
    <w:rsid w:val="00CA41D2"/>
    <w:rsid w:val="00CA4753"/>
    <w:rsid w:val="00CA4C00"/>
    <w:rsid w:val="00CA4D91"/>
    <w:rsid w:val="00CA4F20"/>
    <w:rsid w:val="00CA5908"/>
    <w:rsid w:val="00CA5D21"/>
    <w:rsid w:val="00CA6512"/>
    <w:rsid w:val="00CA7A61"/>
    <w:rsid w:val="00CB0C16"/>
    <w:rsid w:val="00CB1327"/>
    <w:rsid w:val="00CB149F"/>
    <w:rsid w:val="00CB1EAE"/>
    <w:rsid w:val="00CB1F5B"/>
    <w:rsid w:val="00CB2147"/>
    <w:rsid w:val="00CB30F5"/>
    <w:rsid w:val="00CB3133"/>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238C"/>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1C6E"/>
    <w:rsid w:val="00D12792"/>
    <w:rsid w:val="00D12AD5"/>
    <w:rsid w:val="00D138B4"/>
    <w:rsid w:val="00D13D12"/>
    <w:rsid w:val="00D140C2"/>
    <w:rsid w:val="00D149DF"/>
    <w:rsid w:val="00D14E88"/>
    <w:rsid w:val="00D152AA"/>
    <w:rsid w:val="00D15500"/>
    <w:rsid w:val="00D15C15"/>
    <w:rsid w:val="00D15E24"/>
    <w:rsid w:val="00D16725"/>
    <w:rsid w:val="00D16D23"/>
    <w:rsid w:val="00D17643"/>
    <w:rsid w:val="00D17911"/>
    <w:rsid w:val="00D17FB4"/>
    <w:rsid w:val="00D20188"/>
    <w:rsid w:val="00D201E3"/>
    <w:rsid w:val="00D2027A"/>
    <w:rsid w:val="00D20A48"/>
    <w:rsid w:val="00D20B23"/>
    <w:rsid w:val="00D20C94"/>
    <w:rsid w:val="00D218EF"/>
    <w:rsid w:val="00D22433"/>
    <w:rsid w:val="00D22748"/>
    <w:rsid w:val="00D22E55"/>
    <w:rsid w:val="00D232AE"/>
    <w:rsid w:val="00D233E0"/>
    <w:rsid w:val="00D2347F"/>
    <w:rsid w:val="00D23626"/>
    <w:rsid w:val="00D25371"/>
    <w:rsid w:val="00D26918"/>
    <w:rsid w:val="00D27734"/>
    <w:rsid w:val="00D27BED"/>
    <w:rsid w:val="00D3089C"/>
    <w:rsid w:val="00D3182A"/>
    <w:rsid w:val="00D32136"/>
    <w:rsid w:val="00D3222B"/>
    <w:rsid w:val="00D3227D"/>
    <w:rsid w:val="00D330D8"/>
    <w:rsid w:val="00D33197"/>
    <w:rsid w:val="00D33567"/>
    <w:rsid w:val="00D33EEE"/>
    <w:rsid w:val="00D341A7"/>
    <w:rsid w:val="00D34B4B"/>
    <w:rsid w:val="00D35236"/>
    <w:rsid w:val="00D35305"/>
    <w:rsid w:val="00D3579C"/>
    <w:rsid w:val="00D35B2D"/>
    <w:rsid w:val="00D37121"/>
    <w:rsid w:val="00D376AA"/>
    <w:rsid w:val="00D40043"/>
    <w:rsid w:val="00D40A47"/>
    <w:rsid w:val="00D41051"/>
    <w:rsid w:val="00D410F8"/>
    <w:rsid w:val="00D417AE"/>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7D8"/>
    <w:rsid w:val="00D70CA7"/>
    <w:rsid w:val="00D721EC"/>
    <w:rsid w:val="00D726CE"/>
    <w:rsid w:val="00D73677"/>
    <w:rsid w:val="00D73943"/>
    <w:rsid w:val="00D74912"/>
    <w:rsid w:val="00D74A6E"/>
    <w:rsid w:val="00D752E2"/>
    <w:rsid w:val="00D75805"/>
    <w:rsid w:val="00D75B50"/>
    <w:rsid w:val="00D75BE2"/>
    <w:rsid w:val="00D76480"/>
    <w:rsid w:val="00D778DB"/>
    <w:rsid w:val="00D779F7"/>
    <w:rsid w:val="00D80478"/>
    <w:rsid w:val="00D80557"/>
    <w:rsid w:val="00D80754"/>
    <w:rsid w:val="00D81F77"/>
    <w:rsid w:val="00D82F54"/>
    <w:rsid w:val="00D83026"/>
    <w:rsid w:val="00D83045"/>
    <w:rsid w:val="00D83354"/>
    <w:rsid w:val="00D844D3"/>
    <w:rsid w:val="00D857E6"/>
    <w:rsid w:val="00D85885"/>
    <w:rsid w:val="00D85F90"/>
    <w:rsid w:val="00D8653A"/>
    <w:rsid w:val="00D871CE"/>
    <w:rsid w:val="00D87542"/>
    <w:rsid w:val="00D87D77"/>
    <w:rsid w:val="00D87DD8"/>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9A7"/>
    <w:rsid w:val="00D95B44"/>
    <w:rsid w:val="00D95C20"/>
    <w:rsid w:val="00D961B5"/>
    <w:rsid w:val="00D961C7"/>
    <w:rsid w:val="00D963D2"/>
    <w:rsid w:val="00D96BFE"/>
    <w:rsid w:val="00D96F7E"/>
    <w:rsid w:val="00D9778A"/>
    <w:rsid w:val="00D97B59"/>
    <w:rsid w:val="00D97C16"/>
    <w:rsid w:val="00D97D49"/>
    <w:rsid w:val="00DA025F"/>
    <w:rsid w:val="00DA0755"/>
    <w:rsid w:val="00DA079E"/>
    <w:rsid w:val="00DA08A5"/>
    <w:rsid w:val="00DA23AB"/>
    <w:rsid w:val="00DA2B4B"/>
    <w:rsid w:val="00DA4512"/>
    <w:rsid w:val="00DA4697"/>
    <w:rsid w:val="00DA4D03"/>
    <w:rsid w:val="00DA4EAF"/>
    <w:rsid w:val="00DA5A16"/>
    <w:rsid w:val="00DA6949"/>
    <w:rsid w:val="00DA799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00F"/>
    <w:rsid w:val="00DC0464"/>
    <w:rsid w:val="00DC0787"/>
    <w:rsid w:val="00DC0F18"/>
    <w:rsid w:val="00DC1303"/>
    <w:rsid w:val="00DC1403"/>
    <w:rsid w:val="00DC2873"/>
    <w:rsid w:val="00DC389B"/>
    <w:rsid w:val="00DC394C"/>
    <w:rsid w:val="00DC42A4"/>
    <w:rsid w:val="00DC42EA"/>
    <w:rsid w:val="00DC4933"/>
    <w:rsid w:val="00DC558C"/>
    <w:rsid w:val="00DC5ED6"/>
    <w:rsid w:val="00DC635D"/>
    <w:rsid w:val="00DC6513"/>
    <w:rsid w:val="00DC693E"/>
    <w:rsid w:val="00DC7C31"/>
    <w:rsid w:val="00DD0C3F"/>
    <w:rsid w:val="00DD1F41"/>
    <w:rsid w:val="00DD26CC"/>
    <w:rsid w:val="00DD3543"/>
    <w:rsid w:val="00DD3766"/>
    <w:rsid w:val="00DD380F"/>
    <w:rsid w:val="00DD3D20"/>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0CBD"/>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46C"/>
    <w:rsid w:val="00E049A5"/>
    <w:rsid w:val="00E051FB"/>
    <w:rsid w:val="00E056B0"/>
    <w:rsid w:val="00E05984"/>
    <w:rsid w:val="00E05C27"/>
    <w:rsid w:val="00E063DE"/>
    <w:rsid w:val="00E0671B"/>
    <w:rsid w:val="00E07453"/>
    <w:rsid w:val="00E075B4"/>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4F98"/>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042"/>
    <w:rsid w:val="00E24570"/>
    <w:rsid w:val="00E2459F"/>
    <w:rsid w:val="00E24B98"/>
    <w:rsid w:val="00E2527D"/>
    <w:rsid w:val="00E262A9"/>
    <w:rsid w:val="00E2688C"/>
    <w:rsid w:val="00E2693C"/>
    <w:rsid w:val="00E2710F"/>
    <w:rsid w:val="00E27916"/>
    <w:rsid w:val="00E3047D"/>
    <w:rsid w:val="00E3066D"/>
    <w:rsid w:val="00E30AF9"/>
    <w:rsid w:val="00E31F86"/>
    <w:rsid w:val="00E31FB7"/>
    <w:rsid w:val="00E32363"/>
    <w:rsid w:val="00E32488"/>
    <w:rsid w:val="00E327E4"/>
    <w:rsid w:val="00E32E77"/>
    <w:rsid w:val="00E3388D"/>
    <w:rsid w:val="00E34A76"/>
    <w:rsid w:val="00E34C86"/>
    <w:rsid w:val="00E34DB8"/>
    <w:rsid w:val="00E35369"/>
    <w:rsid w:val="00E35682"/>
    <w:rsid w:val="00E35930"/>
    <w:rsid w:val="00E35DF9"/>
    <w:rsid w:val="00E3649B"/>
    <w:rsid w:val="00E36AE1"/>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8E5"/>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A39"/>
    <w:rsid w:val="00E75234"/>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3E7A"/>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35F"/>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5433"/>
    <w:rsid w:val="00ED6D2B"/>
    <w:rsid w:val="00ED78DB"/>
    <w:rsid w:val="00ED7DE0"/>
    <w:rsid w:val="00EE02DA"/>
    <w:rsid w:val="00EE0BC0"/>
    <w:rsid w:val="00EE11C7"/>
    <w:rsid w:val="00EE123E"/>
    <w:rsid w:val="00EE1DF0"/>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8F2"/>
    <w:rsid w:val="00EF4B52"/>
    <w:rsid w:val="00EF5517"/>
    <w:rsid w:val="00EF5CDA"/>
    <w:rsid w:val="00EF70BA"/>
    <w:rsid w:val="00F002A4"/>
    <w:rsid w:val="00F0031B"/>
    <w:rsid w:val="00F005E5"/>
    <w:rsid w:val="00F00B12"/>
    <w:rsid w:val="00F00B5D"/>
    <w:rsid w:val="00F00CF5"/>
    <w:rsid w:val="00F013CB"/>
    <w:rsid w:val="00F018BF"/>
    <w:rsid w:val="00F01B1E"/>
    <w:rsid w:val="00F01BFA"/>
    <w:rsid w:val="00F02214"/>
    <w:rsid w:val="00F02230"/>
    <w:rsid w:val="00F0267C"/>
    <w:rsid w:val="00F02FF5"/>
    <w:rsid w:val="00F03379"/>
    <w:rsid w:val="00F0345E"/>
    <w:rsid w:val="00F03FC4"/>
    <w:rsid w:val="00F04BF2"/>
    <w:rsid w:val="00F05790"/>
    <w:rsid w:val="00F05CF9"/>
    <w:rsid w:val="00F06766"/>
    <w:rsid w:val="00F06960"/>
    <w:rsid w:val="00F06967"/>
    <w:rsid w:val="00F07E52"/>
    <w:rsid w:val="00F106E4"/>
    <w:rsid w:val="00F10ECA"/>
    <w:rsid w:val="00F115D6"/>
    <w:rsid w:val="00F1171C"/>
    <w:rsid w:val="00F119FB"/>
    <w:rsid w:val="00F11BF6"/>
    <w:rsid w:val="00F11F70"/>
    <w:rsid w:val="00F12333"/>
    <w:rsid w:val="00F1255D"/>
    <w:rsid w:val="00F12F5F"/>
    <w:rsid w:val="00F145D4"/>
    <w:rsid w:val="00F14AEC"/>
    <w:rsid w:val="00F14ED0"/>
    <w:rsid w:val="00F14EDC"/>
    <w:rsid w:val="00F15BB3"/>
    <w:rsid w:val="00F15F5B"/>
    <w:rsid w:val="00F16210"/>
    <w:rsid w:val="00F164D5"/>
    <w:rsid w:val="00F16B80"/>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C41"/>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23A"/>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BDD"/>
    <w:rsid w:val="00F54DAB"/>
    <w:rsid w:val="00F55470"/>
    <w:rsid w:val="00F56161"/>
    <w:rsid w:val="00F561CC"/>
    <w:rsid w:val="00F563CD"/>
    <w:rsid w:val="00F56862"/>
    <w:rsid w:val="00F56FE5"/>
    <w:rsid w:val="00F575AF"/>
    <w:rsid w:val="00F57925"/>
    <w:rsid w:val="00F57A83"/>
    <w:rsid w:val="00F604F4"/>
    <w:rsid w:val="00F60AFA"/>
    <w:rsid w:val="00F611CF"/>
    <w:rsid w:val="00F62588"/>
    <w:rsid w:val="00F627EB"/>
    <w:rsid w:val="00F629BF"/>
    <w:rsid w:val="00F633D8"/>
    <w:rsid w:val="00F6431B"/>
    <w:rsid w:val="00F64B3B"/>
    <w:rsid w:val="00F64BF7"/>
    <w:rsid w:val="00F64C76"/>
    <w:rsid w:val="00F64CCC"/>
    <w:rsid w:val="00F64ED6"/>
    <w:rsid w:val="00F65041"/>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646"/>
    <w:rsid w:val="00F9082B"/>
    <w:rsid w:val="00F9142D"/>
    <w:rsid w:val="00F915A4"/>
    <w:rsid w:val="00F91E42"/>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1BFB"/>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5FE1"/>
    <w:rsid w:val="00FD620D"/>
    <w:rsid w:val="00FD64B8"/>
    <w:rsid w:val="00FD667B"/>
    <w:rsid w:val="00FD7165"/>
    <w:rsid w:val="00FE013B"/>
    <w:rsid w:val="00FE0207"/>
    <w:rsid w:val="00FE0852"/>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976B93"/>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semiHidden/>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semiHidden/>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65F1B"/>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3">
    <w:name w:val="71ג מקרא+הערות לתרשים/לוח/תמונה Char"/>
    <w:basedOn w:val="71Char2"/>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8" Type="http://schemas.openxmlformats.org/officeDocument/2006/relationships/customXml" Target="../customXml/item3.xml"/><Relationship Id="rId21"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s://edit.mevaker.gov.il/" TargetMode="External"/><Relationship Id="rId17" Type="http://schemas.openxmlformats.org/officeDocument/2006/relationships/header" Target="header2.xml"/><Relationship Id="rId25" Type="http://schemas.openxmlformats.org/officeDocument/2006/relationships/footer" Target="footer6.xml"/><Relationship Id="rId7" Type="http://schemas.openxmlformats.org/officeDocument/2006/relationships/customXml" Target="../customXml/item2.xml"/><Relationship Id="rId16" Type="http://schemas.openxmlformats.org/officeDocument/2006/relationships/footer" Target="footer3.xml"/><Relationship Id="rId2" Type="http://schemas.openxmlformats.org/officeDocument/2006/relationships/endnotes" Target="endnotes.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5.xml"/><Relationship Id="rId6" Type="http://schemas.openxmlformats.org/officeDocument/2006/relationships/customXml" Target="../customXml/item1.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8.xml"/><Relationship Id="rId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styles" Target="styl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numbering" Target="numbering.xml"/><Relationship Id="rId4" Type="http://schemas.openxmlformats.org/officeDocument/2006/relationships/webSettings" Target="webSettings.xml"/><Relationship Id="rId9" Type="http://schemas.openxmlformats.org/officeDocument/2006/relationships/customXml" Target="../customXml/item4.xml"/></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header7.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jpeg" /></Relationships>
</file>

<file path=word/_rels/header8.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F315B-2258-4D55-BE4F-1CDD553AE2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331791E-FA10-478E-8374-4B6261675515}">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B1C09908-45BB-4F80-9C72-445125C0436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