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0304A1" w:rsidRPr="0047129E" w:rsidP="0092199D" w14:paraId="1190B6AB" w14:textId="1F146247">
      <w:pPr>
        <w:pStyle w:val="7125"/>
        <w:spacing w:before="0" w:after="0"/>
        <w:ind w:left="4082"/>
        <w:rPr>
          <w:spacing w:val="16"/>
          <w:sz w:val="33"/>
          <w:szCs w:val="33"/>
          <w:rtl/>
        </w:rPr>
      </w:pPr>
      <w:r w:rsidRPr="0047129E">
        <w:rPr>
          <w:rFonts w:hint="cs"/>
          <w:spacing w:val="16"/>
          <w:sz w:val="33"/>
          <w:szCs w:val="33"/>
          <w:rtl/>
        </w:rPr>
        <w:t xml:space="preserve">דוח </w:t>
      </w:r>
      <w:r w:rsidRPr="0047129E">
        <w:rPr>
          <w:rFonts w:hint="cs"/>
          <w:spacing w:val="16"/>
          <w:sz w:val="33"/>
          <w:szCs w:val="33"/>
          <w:rtl/>
        </w:rPr>
        <w:t>מבקר המדינה</w:t>
      </w:r>
    </w:p>
    <w:p w:rsidR="0047129E" w:rsidRPr="00136CC3" w:rsidP="001309F2" w14:paraId="1B1FA9EF" w14:textId="2ED2DD49">
      <w:pPr>
        <w:pStyle w:val="7125"/>
        <w:spacing w:before="0" w:after="0"/>
        <w:ind w:left="4083" w:hanging="1"/>
        <w:rPr>
          <w:b w:val="0"/>
          <w:bCs w:val="0"/>
          <w:spacing w:val="14"/>
          <w:sz w:val="28"/>
          <w:rtl/>
        </w:rPr>
      </w:pPr>
      <w:r w:rsidRPr="00136CC3">
        <w:rPr>
          <w:rFonts w:hint="cs"/>
          <w:b w:val="0"/>
          <w:bCs w:val="0"/>
          <w:spacing w:val="14"/>
          <w:sz w:val="26"/>
          <w:szCs w:val="26"/>
          <w:rtl/>
        </w:rPr>
        <w:t>אייר</w:t>
      </w:r>
      <w:r w:rsidRPr="00136CC3">
        <w:rPr>
          <w:rFonts w:hint="cs"/>
          <w:b w:val="0"/>
          <w:bCs w:val="0"/>
          <w:spacing w:val="14"/>
          <w:sz w:val="26"/>
          <w:szCs w:val="26"/>
          <w:rtl/>
        </w:rPr>
        <w:t xml:space="preserve"> </w:t>
      </w:r>
      <w:r w:rsidRPr="00136CC3">
        <w:rPr>
          <w:rFonts w:hint="cs"/>
          <w:b w:val="0"/>
          <w:bCs w:val="0"/>
          <w:spacing w:val="14"/>
          <w:sz w:val="26"/>
          <w:szCs w:val="26"/>
          <w:rtl/>
        </w:rPr>
        <w:t>התשע״ב</w:t>
      </w:r>
      <w:r w:rsidRPr="00136CC3">
        <w:rPr>
          <w:rFonts w:hint="cs"/>
          <w:b w:val="0"/>
          <w:bCs w:val="0"/>
          <w:spacing w:val="14"/>
          <w:sz w:val="26"/>
          <w:szCs w:val="26"/>
          <w:rtl/>
        </w:rPr>
        <w:t xml:space="preserve"> | </w:t>
      </w:r>
      <w:r w:rsidRPr="00136CC3">
        <w:rPr>
          <w:rFonts w:hint="cs"/>
          <w:b w:val="0"/>
          <w:bCs w:val="0"/>
          <w:spacing w:val="14"/>
          <w:sz w:val="26"/>
          <w:szCs w:val="26"/>
          <w:rtl/>
        </w:rPr>
        <w:t>מאי</w:t>
      </w:r>
      <w:r w:rsidRPr="00136CC3">
        <w:rPr>
          <w:rFonts w:hint="cs"/>
          <w:b w:val="0"/>
          <w:bCs w:val="0"/>
          <w:spacing w:val="14"/>
          <w:sz w:val="26"/>
          <w:szCs w:val="26"/>
          <w:rtl/>
        </w:rPr>
        <w:t xml:space="preserve"> 2022</w:t>
      </w:r>
    </w:p>
    <w:p w:rsidR="000304A1" w:rsidRPr="0047129E" w:rsidP="0047129E" w14:paraId="38B37098" w14:textId="4048CFD1">
      <w:pPr>
        <w:pStyle w:val="7125"/>
        <w:spacing w:before="120" w:after="0"/>
        <w:ind w:left="4083" w:hanging="1"/>
        <w:rPr>
          <w:spacing w:val="194"/>
          <w:rtl/>
        </w:rPr>
      </w:pPr>
      <w:r w:rsidRPr="0047129E">
        <w:rPr>
          <w:rFonts w:hint="cs"/>
          <w:b w:val="0"/>
          <w:bCs w:val="0"/>
          <w:noProof/>
          <w:spacing w:val="194"/>
          <w:sz w:val="28"/>
          <w:rtl/>
          <w:lang w:val="he-IL"/>
        </w:rPr>
        <mc:AlternateContent>
          <mc:Choice Requires="wps">
            <w:drawing>
              <wp:anchor distT="0" distB="0" distL="114300" distR="114300" simplePos="0" relativeHeight="251679744" behindDoc="0" locked="0" layoutInCell="1" allowOverlap="1">
                <wp:simplePos x="0" y="0"/>
                <wp:positionH relativeFrom="column">
                  <wp:posOffset>141585</wp:posOffset>
                </wp:positionH>
                <wp:positionV relativeFrom="paragraph">
                  <wp:posOffset>45606</wp:posOffset>
                </wp:positionV>
                <wp:extent cx="2015728" cy="0"/>
                <wp:effectExtent l="0" t="0" r="16510" b="12700"/>
                <wp:wrapNone/>
                <wp:docPr id="20"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015728"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80768" from="11.15pt,3.6pt" to="169.85pt,3.6pt" strokecolor="#00305f" strokeweight="1pt"/>
            </w:pict>
          </mc:Fallback>
        </mc:AlternateContent>
      </w:r>
      <w:r w:rsidRPr="0047129E">
        <w:rPr>
          <w:rFonts w:hint="cs"/>
          <w:b w:val="0"/>
          <w:bCs w:val="0"/>
          <w:spacing w:val="194"/>
          <w:sz w:val="28"/>
          <w:rtl/>
        </w:rPr>
        <w:t>כרך ראשון</w:t>
      </w:r>
    </w:p>
    <w:p w:rsidR="00E82EA3" w:rsidRPr="00A76A67" w:rsidP="000304A1" w14:paraId="74C4190E" w14:textId="214D9756">
      <w:pPr>
        <w:pStyle w:val="7125"/>
        <w:spacing w:before="120" w:after="0"/>
        <w:ind w:left="4536" w:right="142" w:hanging="1"/>
        <w:rPr>
          <w:spacing w:val="274"/>
        </w:rPr>
      </w:pPr>
      <w:r w:rsidRPr="00A76A67">
        <w:rPr>
          <w:spacing w:val="274"/>
          <w:rtl/>
        </w:rPr>
        <w:br w:type="page"/>
      </w:r>
    </w:p>
    <w:p w:rsidR="0019167B" w14:paraId="0C3CB364" w14:textId="46DA4CA9">
      <w:pPr>
        <w:bidi w:val="0"/>
        <w:spacing w:after="200" w:line="276" w:lineRule="auto"/>
        <w:rPr>
          <w:rFonts w:ascii="Tahoma" w:hAnsi="Tahoma" w:cs="Tahoma"/>
          <w:color w:val="00305F"/>
          <w:spacing w:val="86"/>
          <w:sz w:val="40"/>
          <w:szCs w:val="34"/>
          <w:rtl/>
        </w:rPr>
      </w:pPr>
      <w:r>
        <w:rPr>
          <w:b/>
          <w:bCs/>
          <w:noProof/>
          <w:spacing w:val="86"/>
          <w:rtl/>
          <w:lang w:val="he-IL"/>
        </w:rPr>
        <mc:AlternateContent>
          <mc:Choice Requires="wps">
            <w:drawing>
              <wp:anchor distT="0" distB="0" distL="114300" distR="114300" simplePos="0" relativeHeight="251677696" behindDoc="0" locked="0" layoutInCell="1" allowOverlap="1">
                <wp:simplePos x="0" y="0"/>
                <wp:positionH relativeFrom="column">
                  <wp:posOffset>2508997</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228.65pt;height:70.5pt;margin-top:547.8pt;margin-left:197.55pt;mso-height-percent:0;mso-height-relative:margin;mso-width-percent:0;mso-width-relative:margin;mso-wrap-distance-bottom:0;mso-wrap-distance-left:9pt;mso-wrap-distance-right:9pt;mso-wrap-distance-top:0;mso-wrap-style:square;position:absolute;visibility:visible;v-text-anchor:middle;z-index:251678720" fillcolor="white" stroked="f" strokeweight="2pt"/>
            </w:pict>
          </mc:Fallback>
        </mc:AlternateContent>
      </w:r>
      <w:r>
        <w:rPr>
          <w:b/>
          <w:bCs/>
          <w:noProof/>
          <w:spacing w:val="86"/>
          <w:rtl/>
          <w:lang w:val="he-IL"/>
        </w:rPr>
        <mc:AlternateContent>
          <mc:Choice Requires="wps">
            <w:drawing>
              <wp:anchor distT="0" distB="0" distL="114300" distR="114300" simplePos="0" relativeHeight="251660288" behindDoc="0" locked="0" layoutInCell="1" allowOverlap="1">
                <wp:simplePos x="0" y="0"/>
                <wp:positionH relativeFrom="column">
                  <wp:posOffset>-2498053</wp:posOffset>
                </wp:positionH>
                <wp:positionV relativeFrom="paragraph">
                  <wp:posOffset>-793488</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8" style="width:583.75pt;height:70.5pt;margin-top:-62.5pt;margin-left:-196.7pt;mso-height-percent:0;mso-height-relative:margin;mso-wrap-distance-bottom:0;mso-wrap-distance-left:9pt;mso-wrap-distance-right:9pt;mso-wrap-distance-top:0;mso-wrap-style:square;position:absolute;visibility:visible;v-text-anchor:middle;z-index:251661312" fillcolor="white" stroked="f" strokeweight="2pt"/>
            </w:pict>
          </mc:Fallback>
        </mc:AlternateContent>
      </w:r>
      <w:r>
        <w:rPr>
          <w:b/>
          <w:bCs/>
          <w:spacing w:val="86"/>
          <w:rtl/>
        </w:rPr>
        <w:br w:type="page"/>
      </w:r>
    </w:p>
    <w:p w:rsidR="00E82EA3" w:rsidP="00B535DF" w14:paraId="1F4B8C82" w14:textId="77777777">
      <w:pPr>
        <w:pStyle w:val="7125"/>
        <w:spacing w:before="120"/>
        <w:ind w:hanging="1"/>
        <w:jc w:val="right"/>
        <w:rPr>
          <w:b w:val="0"/>
          <w:bCs w:val="0"/>
          <w:spacing w:val="86"/>
          <w:rtl/>
        </w:rPr>
        <w:sectPr w:rsidSect="00A76A67">
          <w:headerReference w:type="even" r:id="rId10"/>
          <w:headerReference w:type="default" r:id="rId11"/>
          <w:footerReference w:type="even" r:id="rId12"/>
          <w:headerReference w:type="first" r:id="rId13"/>
          <w:footnotePr>
            <w:numRestart w:val="eachSect"/>
          </w:footnotePr>
          <w:pgSz w:w="11906" w:h="16838" w:code="9"/>
          <w:pgMar w:top="3062" w:right="2268" w:bottom="2552" w:left="2126" w:header="1134" w:footer="1361" w:gutter="0"/>
          <w:cols w:space="720"/>
          <w:titlePg/>
          <w:bidi/>
          <w:rtlGutter/>
          <w:docGrid w:linePitch="272"/>
        </w:sectPr>
      </w:pPr>
    </w:p>
    <w:p w:rsidR="00E82EA3" w:rsidP="00B535DF" w14:paraId="2691CAFE" w14:textId="0ACFAF9E">
      <w:pPr>
        <w:pStyle w:val="7125"/>
        <w:spacing w:before="120"/>
        <w:ind w:hanging="1"/>
        <w:jc w:val="right"/>
        <w:rPr>
          <w:b w:val="0"/>
          <w:bCs w:val="0"/>
          <w:spacing w:val="86"/>
        </w:rPr>
      </w:pPr>
      <w:r>
        <w:rPr>
          <w:noProof/>
          <w:color w:val="002060"/>
          <w:sz w:val="18"/>
          <w:szCs w:val="18"/>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xmlns:r="http://schemas.openxmlformats.org/officeDocument/2006/relationships" r:embed="rId14"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A76E5A" w:rsidP="00B535DF" w14:paraId="789EDB20" w14:textId="34601368">
      <w:pPr>
        <w:pStyle w:val="7125"/>
        <w:spacing w:before="120"/>
        <w:ind w:hanging="1"/>
        <w:jc w:val="right"/>
        <w:rPr>
          <w:b w:val="0"/>
          <w:bCs w:val="0"/>
          <w:spacing w:val="86"/>
          <w:rtl/>
        </w:rPr>
      </w:pPr>
    </w:p>
    <w:p w:rsidR="000F0FAA" w:rsidP="000F0FAA" w14:paraId="6107C4ED" w14:textId="5453D83C">
      <w:pPr>
        <w:pStyle w:val="12021"/>
        <w:spacing w:before="480"/>
        <w:rPr>
          <w:sz w:val="52"/>
          <w:szCs w:val="52"/>
          <w:rtl/>
        </w:rPr>
      </w:pPr>
    </w:p>
    <w:p w:rsidR="005414ED" w:rsidP="000F0FAA" w14:paraId="2F9B558E" w14:textId="77777777">
      <w:pPr>
        <w:pStyle w:val="12021"/>
        <w:spacing w:before="480"/>
        <w:rPr>
          <w:sz w:val="52"/>
          <w:szCs w:val="52"/>
          <w:rtl/>
        </w:rPr>
      </w:pPr>
    </w:p>
    <w:p w:rsidR="009C0D3F" w:rsidRPr="003D3B44" w:rsidP="003D3B44" w14:paraId="4B149749" w14:textId="17F7CDBA">
      <w:pPr>
        <w:pStyle w:val="12021"/>
        <w:spacing w:before="480"/>
        <w:rPr>
          <w:sz w:val="52"/>
          <w:szCs w:val="52"/>
          <w:rtl/>
        </w:rPr>
      </w:pPr>
      <w:r w:rsidRPr="003D3B44">
        <w:rPr>
          <w:rFonts w:hint="cs"/>
          <w:sz w:val="52"/>
          <w:szCs w:val="52"/>
          <w:rtl/>
        </w:rPr>
        <w:t xml:space="preserve">דוח </w:t>
      </w:r>
      <w:r w:rsidRPr="003D3B44" w:rsidR="00C32B66">
        <w:rPr>
          <w:rFonts w:hint="cs"/>
          <w:sz w:val="52"/>
          <w:szCs w:val="52"/>
          <w:rtl/>
        </w:rPr>
        <w:t>מבקר המדינה</w:t>
      </w:r>
    </w:p>
    <w:p w:rsidR="0047129E" w:rsidRPr="00136CC3" w:rsidP="001309F2" w14:paraId="65B2D633" w14:textId="3648E57D">
      <w:pPr>
        <w:pStyle w:val="7125"/>
        <w:spacing w:before="0"/>
        <w:ind w:left="1" w:hanging="1"/>
        <w:jc w:val="center"/>
        <w:rPr>
          <w:b w:val="0"/>
          <w:bCs w:val="0"/>
          <w:spacing w:val="50"/>
          <w:sz w:val="32"/>
          <w:szCs w:val="32"/>
          <w:rtl/>
        </w:rPr>
      </w:pPr>
      <w:r w:rsidRPr="00136CC3">
        <w:rPr>
          <w:rFonts w:hint="cs"/>
          <w:b w:val="0"/>
          <w:bCs w:val="0"/>
          <w:noProof/>
          <w:spacing w:val="50"/>
          <w:sz w:val="60"/>
          <w:szCs w:val="60"/>
          <w:rtl/>
          <w:lang w:val="he-IL"/>
        </w:rPr>
        <mc:AlternateContent>
          <mc:Choice Requires="wps">
            <w:drawing>
              <wp:anchor distT="0" distB="0" distL="114300" distR="114300" simplePos="0" relativeHeight="251681792" behindDoc="0" locked="0" layoutInCell="1" allowOverlap="1">
                <wp:simplePos x="0" y="0"/>
                <wp:positionH relativeFrom="column">
                  <wp:posOffset>870585</wp:posOffset>
                </wp:positionH>
                <wp:positionV relativeFrom="paragraph">
                  <wp:posOffset>409247</wp:posOffset>
                </wp:positionV>
                <wp:extent cx="2934970" cy="0"/>
                <wp:effectExtent l="12700" t="12700" r="11430" b="12700"/>
                <wp:wrapNone/>
                <wp:docPr id="23"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3497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9" style="flip:x;mso-width-percent:0;mso-width-relative:margin;mso-wrap-distance-bottom:0;mso-wrap-distance-left:9pt;mso-wrap-distance-right:9pt;mso-wrap-distance-top:0;mso-wrap-style:square;position:absolute;visibility:visible;z-index:251682816" from="68.55pt,32.2pt" to="299.65pt,32.2pt" strokecolor="#00305f" strokeweight="1.5pt"/>
            </w:pict>
          </mc:Fallback>
        </mc:AlternateContent>
      </w:r>
      <w:r w:rsidRPr="00136CC3" w:rsidR="00136CC3">
        <w:rPr>
          <w:rFonts w:hint="cs"/>
          <w:b w:val="0"/>
          <w:bCs w:val="0"/>
          <w:spacing w:val="50"/>
          <w:sz w:val="32"/>
          <w:szCs w:val="32"/>
          <w:rtl/>
        </w:rPr>
        <w:t>אייר</w:t>
      </w:r>
      <w:r w:rsidRPr="00136CC3">
        <w:rPr>
          <w:rFonts w:hint="cs"/>
          <w:b w:val="0"/>
          <w:bCs w:val="0"/>
          <w:spacing w:val="50"/>
          <w:sz w:val="32"/>
          <w:szCs w:val="32"/>
          <w:rtl/>
        </w:rPr>
        <w:t xml:space="preserve"> </w:t>
      </w:r>
      <w:r w:rsidRPr="00136CC3">
        <w:rPr>
          <w:rFonts w:hint="cs"/>
          <w:b w:val="0"/>
          <w:bCs w:val="0"/>
          <w:spacing w:val="50"/>
          <w:sz w:val="32"/>
          <w:szCs w:val="32"/>
          <w:rtl/>
        </w:rPr>
        <w:t>התשע״ב</w:t>
      </w:r>
      <w:r w:rsidRPr="00136CC3">
        <w:rPr>
          <w:rFonts w:hint="cs"/>
          <w:b w:val="0"/>
          <w:bCs w:val="0"/>
          <w:spacing w:val="50"/>
          <w:sz w:val="32"/>
          <w:szCs w:val="32"/>
          <w:rtl/>
        </w:rPr>
        <w:t xml:space="preserve"> | </w:t>
      </w:r>
      <w:r w:rsidRPr="00136CC3" w:rsidR="00136CC3">
        <w:rPr>
          <w:rFonts w:hint="cs"/>
          <w:b w:val="0"/>
          <w:bCs w:val="0"/>
          <w:spacing w:val="50"/>
          <w:sz w:val="32"/>
          <w:szCs w:val="32"/>
          <w:rtl/>
        </w:rPr>
        <w:t>מאי</w:t>
      </w:r>
      <w:r w:rsidRPr="00136CC3">
        <w:rPr>
          <w:rFonts w:hint="cs"/>
          <w:b w:val="0"/>
          <w:bCs w:val="0"/>
          <w:spacing w:val="50"/>
          <w:sz w:val="32"/>
          <w:szCs w:val="32"/>
          <w:rtl/>
        </w:rPr>
        <w:t xml:space="preserve"> 2022</w:t>
      </w:r>
    </w:p>
    <w:p w:rsidR="003D3B44" w:rsidRPr="003D3B44" w:rsidP="00074CE4" w14:paraId="1073F646" w14:textId="70C93B5D">
      <w:pPr>
        <w:pStyle w:val="7125"/>
        <w:ind w:left="284" w:hanging="1"/>
        <w:jc w:val="center"/>
        <w:rPr>
          <w:b w:val="0"/>
          <w:bCs w:val="0"/>
          <w:spacing w:val="332"/>
          <w:sz w:val="42"/>
          <w:szCs w:val="42"/>
          <w:rtl/>
        </w:rPr>
      </w:pPr>
      <w:r w:rsidRPr="003D3B44">
        <w:rPr>
          <w:rFonts w:hint="cs"/>
          <w:b w:val="0"/>
          <w:bCs w:val="0"/>
          <w:spacing w:val="332"/>
          <w:sz w:val="42"/>
          <w:szCs w:val="42"/>
          <w:rtl/>
        </w:rPr>
        <w:t>כרך ראשון</w:t>
      </w:r>
    </w:p>
    <w:p w:rsidR="005414ED" w:rsidP="00BA14FE" w14:paraId="500A1AEF" w14:textId="77777777">
      <w:pPr>
        <w:spacing w:line="240" w:lineRule="atLeast"/>
        <w:rPr>
          <w:rFonts w:ascii="Tahoma" w:hAnsi="Tahoma" w:cs="Tahoma"/>
          <w:sz w:val="22"/>
          <w:szCs w:val="22"/>
          <w:rtl/>
        </w:rPr>
      </w:pPr>
    </w:p>
    <w:p w:rsidR="009C0D3F" w:rsidP="00BA14FE" w14:paraId="4A9449C4" w14:textId="50389F28">
      <w:pPr>
        <w:spacing w:line="240" w:lineRule="atLeast"/>
        <w:rPr>
          <w:rFonts w:ascii="Tahoma" w:hAnsi="Tahoma" w:cs="Tahoma"/>
          <w:sz w:val="22"/>
          <w:szCs w:val="22"/>
          <w:rtl/>
        </w:rPr>
      </w:pPr>
    </w:p>
    <w:p w:rsidR="009C0D3F" w:rsidP="00BA14FE" w14:paraId="3D7DFA0C" w14:textId="143F3E76">
      <w:pPr>
        <w:spacing w:line="240" w:lineRule="atLeast"/>
        <w:rPr>
          <w:rFonts w:ascii="Tahoma" w:hAnsi="Tahoma" w:cs="Tahoma"/>
          <w:sz w:val="22"/>
          <w:szCs w:val="22"/>
          <w:rtl/>
        </w:rPr>
      </w:pPr>
    </w:p>
    <w:p w:rsidR="009C0D3F" w:rsidP="00BA14FE" w14:paraId="7E860458" w14:textId="3FFB0405">
      <w:pPr>
        <w:spacing w:line="240" w:lineRule="atLeast"/>
        <w:rPr>
          <w:rFonts w:ascii="Tahoma" w:hAnsi="Tahoma" w:cs="Tahoma"/>
          <w:sz w:val="22"/>
          <w:szCs w:val="22"/>
          <w:rtl/>
        </w:rPr>
      </w:pPr>
    </w:p>
    <w:p w:rsidR="000F1AFB" w:rsidP="00BA14FE" w14:paraId="54FBE4CD" w14:textId="2750E2DF">
      <w:pPr>
        <w:spacing w:line="240" w:lineRule="atLeast"/>
        <w:rPr>
          <w:rFonts w:ascii="Tahoma" w:hAnsi="Tahoma" w:cs="Tahoma"/>
          <w:sz w:val="22"/>
          <w:szCs w:val="22"/>
          <w:rtl/>
        </w:rPr>
      </w:pPr>
    </w:p>
    <w:p w:rsidR="001309F2" w:rsidP="00BA14FE" w14:paraId="1C4099CE" w14:textId="77777777">
      <w:pPr>
        <w:spacing w:line="240" w:lineRule="atLeast"/>
        <w:rPr>
          <w:rFonts w:ascii="Tahoma" w:hAnsi="Tahoma" w:cs="Tahoma"/>
          <w:sz w:val="22"/>
          <w:szCs w:val="22"/>
          <w:rtl/>
        </w:rPr>
      </w:pPr>
    </w:p>
    <w:p w:rsidR="000F1AFB" w:rsidP="00BA14FE" w14:paraId="3EB2DCBC" w14:textId="635AB096">
      <w:pPr>
        <w:spacing w:line="240" w:lineRule="atLeast"/>
        <w:rPr>
          <w:rFonts w:ascii="Tahoma" w:hAnsi="Tahoma" w:cs="Tahoma"/>
          <w:sz w:val="22"/>
          <w:szCs w:val="22"/>
          <w:rtl/>
        </w:rPr>
      </w:pPr>
    </w:p>
    <w:p w:rsidR="000F1AFB" w:rsidP="00BA14FE" w14:paraId="7AA6BB29" w14:textId="70A054B5">
      <w:pPr>
        <w:spacing w:line="240" w:lineRule="atLeast"/>
        <w:rPr>
          <w:rFonts w:ascii="Tahoma" w:hAnsi="Tahoma" w:cs="Tahoma"/>
          <w:sz w:val="22"/>
          <w:szCs w:val="22"/>
          <w:rtl/>
        </w:rPr>
      </w:pPr>
    </w:p>
    <w:p w:rsidR="005414ED" w:rsidP="00BA14FE" w14:paraId="51DE8C47" w14:textId="61B8689E">
      <w:pPr>
        <w:spacing w:line="240" w:lineRule="atLeast"/>
        <w:rPr>
          <w:rFonts w:ascii="Tahoma" w:hAnsi="Tahoma" w:cs="Tahoma"/>
          <w:sz w:val="22"/>
          <w:szCs w:val="22"/>
          <w:rtl/>
        </w:rPr>
      </w:pPr>
    </w:p>
    <w:p w:rsidR="005414ED" w:rsidP="00BA14FE" w14:paraId="7A9253A8" w14:textId="5AA04133">
      <w:pPr>
        <w:spacing w:line="240" w:lineRule="atLeast"/>
        <w:rPr>
          <w:rFonts w:ascii="Tahoma" w:hAnsi="Tahoma" w:cs="Tahoma"/>
          <w:sz w:val="22"/>
          <w:szCs w:val="22"/>
          <w:rtl/>
        </w:rPr>
      </w:pPr>
    </w:p>
    <w:p w:rsidR="00A76A67" w:rsidP="00BA14FE" w14:paraId="509D967C" w14:textId="16F433A6">
      <w:pPr>
        <w:spacing w:line="240" w:lineRule="atLeast"/>
        <w:rPr>
          <w:rFonts w:ascii="Tahoma" w:hAnsi="Tahoma" w:cs="Tahoma"/>
          <w:sz w:val="22"/>
          <w:szCs w:val="22"/>
          <w:rtl/>
        </w:rPr>
      </w:pPr>
    </w:p>
    <w:p w:rsidR="00496A6C" w:rsidP="00BA14FE" w14:paraId="316E189C" w14:textId="67B2F714">
      <w:pPr>
        <w:spacing w:line="240" w:lineRule="atLeast"/>
        <w:rPr>
          <w:rFonts w:ascii="Tahoma" w:hAnsi="Tahoma" w:cs="Tahoma"/>
          <w:sz w:val="22"/>
          <w:szCs w:val="22"/>
          <w:rtl/>
        </w:rPr>
      </w:pPr>
    </w:p>
    <w:p w:rsidR="00496A6C" w:rsidP="00BA14FE" w14:paraId="57BDB55F" w14:textId="77777777">
      <w:pPr>
        <w:spacing w:line="240" w:lineRule="atLeast"/>
        <w:rPr>
          <w:rFonts w:ascii="Tahoma" w:hAnsi="Tahoma" w:cs="Tahoma"/>
          <w:sz w:val="22"/>
          <w:szCs w:val="22"/>
          <w:rtl/>
        </w:rPr>
      </w:pPr>
    </w:p>
    <w:p w:rsidR="009C0D3F" w:rsidP="00BA14FE" w14:paraId="4FCD524B" w14:textId="60FFEA80">
      <w:pPr>
        <w:spacing w:line="240" w:lineRule="atLeast"/>
        <w:rPr>
          <w:rFonts w:ascii="Tahoma" w:hAnsi="Tahoma" w:cs="Tahoma"/>
          <w:sz w:val="22"/>
          <w:szCs w:val="22"/>
          <w:rtl/>
        </w:rPr>
      </w:pPr>
    </w:p>
    <w:p w:rsidR="009C0D3F" w:rsidP="00BA14FE" w14:paraId="735E4AA0" w14:textId="654F6AFB">
      <w:pPr>
        <w:spacing w:line="240" w:lineRule="atLeast"/>
        <w:rPr>
          <w:rFonts w:ascii="Tahoma" w:hAnsi="Tahoma" w:cs="Tahoma"/>
          <w:sz w:val="22"/>
          <w:szCs w:val="22"/>
          <w:rtl/>
        </w:rPr>
      </w:pPr>
    </w:p>
    <w:p w:rsidR="009C0D3F" w:rsidP="00BA14FE" w14:paraId="220D50AA" w14:textId="3E9BAD46">
      <w:pPr>
        <w:spacing w:line="240" w:lineRule="atLeast"/>
        <w:rPr>
          <w:rFonts w:ascii="Tahoma" w:hAnsi="Tahoma" w:cs="Tahoma"/>
          <w:sz w:val="22"/>
          <w:szCs w:val="22"/>
          <w:rtl/>
        </w:rPr>
      </w:pPr>
    </w:p>
    <w:p w:rsidR="009C0D3F" w:rsidP="00BA14FE" w14:paraId="14A3F766" w14:textId="452FC34A">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59264"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P="00BA14FE" w14:paraId="260836E0" w14:textId="25800577">
      <w:pPr>
        <w:spacing w:line="240" w:lineRule="atLeast"/>
        <w:rPr>
          <w:rFonts w:ascii="Tahoma" w:hAnsi="Tahoma" w:cs="Tahoma"/>
          <w:sz w:val="22"/>
          <w:szCs w:val="22"/>
          <w:rtl/>
        </w:rPr>
      </w:pPr>
    </w:p>
    <w:p w:rsidR="009C0D3F" w:rsidP="00BA14FE" w14:paraId="11198336"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423AEFBF">
      <w:pPr>
        <w:spacing w:line="240" w:lineRule="atLeast"/>
        <w:rPr>
          <w:rFonts w:ascii="Tahoma" w:hAnsi="Tahoma" w:cs="Tahoma"/>
          <w:sz w:val="22"/>
          <w:szCs w:val="22"/>
          <w:rtl/>
        </w:rPr>
      </w:pPr>
    </w:p>
    <w:p w:rsidR="009C0D3F" w:rsidP="00BA14FE" w14:paraId="6303BB99" w14:textId="77777777">
      <w:pPr>
        <w:spacing w:line="240" w:lineRule="atLeast"/>
        <w:rPr>
          <w:rFonts w:ascii="Tahoma" w:hAnsi="Tahoma" w:cs="Tahoma"/>
          <w:sz w:val="22"/>
          <w:szCs w:val="22"/>
          <w:rtl/>
        </w:rPr>
      </w:pPr>
    </w:p>
    <w:p w:rsidR="00977579" w:rsidRPr="00112923" w:rsidP="00112923" w14:paraId="721366B6" w14:textId="15089780">
      <w:pPr>
        <w:spacing w:line="240" w:lineRule="atLeast"/>
        <w:jc w:val="center"/>
        <w:rPr>
          <w:rFonts w:ascii="Tahoma" w:hAnsi="Tahoma" w:cs="Tahoma"/>
          <w:sz w:val="24"/>
          <w:rtl/>
        </w:rPr>
      </w:pPr>
      <w:r>
        <w:rPr>
          <w:rFonts w:ascii="Tahoma" w:hAnsi="Tahoma" w:cs="Tahoma" w:hint="cs"/>
          <w:sz w:val="24"/>
          <w:rtl/>
        </w:rPr>
        <w:t xml:space="preserve">משרד מבקר המדינה ונציב תלונות הציבור | </w:t>
      </w:r>
      <w:r w:rsidRPr="009C0D3F" w:rsidR="009C0D3F">
        <w:rPr>
          <w:rFonts w:ascii="Tahoma" w:hAnsi="Tahoma" w:cs="Tahoma" w:hint="cs"/>
          <w:sz w:val="24"/>
          <w:rtl/>
        </w:rPr>
        <w:t>ירושלים</w:t>
      </w:r>
      <w:r w:rsidR="00D6278C">
        <w:rPr>
          <w:rFonts w:ascii="Tahoma" w:hAnsi="Tahoma" w:cs="Tahoma"/>
          <w:sz w:val="24"/>
        </w:rPr>
        <w:t xml:space="preserve"> </w:t>
      </w:r>
    </w:p>
    <w:p w:rsidR="00112923" w:rsidP="00977579" w14:paraId="57967539" w14:textId="77777777">
      <w:pPr>
        <w:pStyle w:val="7190"/>
        <w:jc w:val="center"/>
        <w:rPr>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977579" w:rsidP="00977579" w14:paraId="6E269C4C" w14:textId="0C00A03C">
      <w:pPr>
        <w:pStyle w:val="7190"/>
        <w:jc w:val="center"/>
        <w:rPr>
          <w:rtl/>
        </w:rPr>
      </w:pPr>
    </w:p>
    <w:p w:rsidR="00977579" w:rsidP="00977579" w14:paraId="72E5F3ED" w14:textId="4010413A">
      <w:pPr>
        <w:pStyle w:val="7190"/>
        <w:jc w:val="center"/>
        <w:rPr>
          <w:rtl/>
        </w:rPr>
      </w:pPr>
    </w:p>
    <w:p w:rsidR="00977579" w:rsidP="00977579" w14:paraId="7848AF06" w14:textId="1287F91D">
      <w:pPr>
        <w:pStyle w:val="7190"/>
        <w:jc w:val="center"/>
        <w:rPr>
          <w:rtl/>
        </w:rPr>
      </w:pPr>
    </w:p>
    <w:p w:rsidR="00977579" w:rsidP="00977579" w14:paraId="28239249" w14:textId="4D992115">
      <w:pPr>
        <w:pStyle w:val="7190"/>
        <w:jc w:val="center"/>
        <w:rPr>
          <w:rtl/>
        </w:rPr>
      </w:pPr>
    </w:p>
    <w:p w:rsidR="00977579" w:rsidP="00977579" w14:paraId="2BD7E89C" w14:textId="452E1B23">
      <w:pPr>
        <w:pStyle w:val="7190"/>
        <w:jc w:val="center"/>
        <w:rPr>
          <w:rtl/>
        </w:rPr>
      </w:pPr>
    </w:p>
    <w:p w:rsidR="00977579" w:rsidP="00977579" w14:paraId="3FAA902E" w14:textId="7005D448">
      <w:pPr>
        <w:pStyle w:val="7190"/>
        <w:jc w:val="center"/>
        <w:rPr>
          <w:rtl/>
        </w:rPr>
      </w:pPr>
    </w:p>
    <w:p w:rsidR="00977579" w:rsidP="00977579" w14:paraId="38B1896A" w14:textId="1F76384F">
      <w:pPr>
        <w:pStyle w:val="7190"/>
        <w:jc w:val="center"/>
        <w:rPr>
          <w:rtl/>
        </w:rPr>
      </w:pPr>
    </w:p>
    <w:p w:rsidR="00977579" w:rsidP="00977579" w14:paraId="01A36B8C" w14:textId="50F5C785">
      <w:pPr>
        <w:pStyle w:val="7190"/>
        <w:jc w:val="center"/>
        <w:rPr>
          <w:rtl/>
        </w:rPr>
      </w:pPr>
    </w:p>
    <w:p w:rsidR="00977579" w:rsidP="00977579" w14:paraId="3A77EDEA" w14:textId="366F9679">
      <w:pPr>
        <w:pStyle w:val="7190"/>
        <w:jc w:val="center"/>
        <w:rPr>
          <w:rtl/>
        </w:rPr>
      </w:pPr>
    </w:p>
    <w:p w:rsidR="00977579" w:rsidP="00977579" w14:paraId="5F1CDA5D" w14:textId="2C9215FB">
      <w:pPr>
        <w:pStyle w:val="7190"/>
        <w:jc w:val="center"/>
        <w:rPr>
          <w:rtl/>
        </w:rPr>
      </w:pPr>
    </w:p>
    <w:p w:rsidR="000F1AFB" w:rsidP="00977579" w14:paraId="0910B21A" w14:textId="6FD33B51">
      <w:pPr>
        <w:pStyle w:val="7190"/>
        <w:jc w:val="center"/>
        <w:rPr>
          <w:rtl/>
        </w:rPr>
      </w:pPr>
    </w:p>
    <w:p w:rsidR="000F1AFB" w:rsidP="00977579" w14:paraId="011544FB" w14:textId="42603B0F">
      <w:pPr>
        <w:pStyle w:val="7190"/>
        <w:jc w:val="center"/>
        <w:rPr>
          <w:rtl/>
        </w:rPr>
      </w:pPr>
    </w:p>
    <w:p w:rsidR="000F1AFB" w:rsidP="00977579" w14:paraId="3A6AB924" w14:textId="1CCAEB5C">
      <w:pPr>
        <w:pStyle w:val="7190"/>
        <w:jc w:val="center"/>
        <w:rPr>
          <w:rtl/>
        </w:rPr>
      </w:pPr>
    </w:p>
    <w:p w:rsidR="00977579" w:rsidP="00977579" w14:paraId="0ED334DA" w14:textId="77777777">
      <w:pPr>
        <w:pStyle w:val="7190"/>
        <w:jc w:val="center"/>
        <w:rPr>
          <w:rtl/>
        </w:rPr>
      </w:pPr>
    </w:p>
    <w:p w:rsidR="00977579" w:rsidP="00977579" w14:paraId="14128F0E" w14:textId="0E1563F2">
      <w:pPr>
        <w:pStyle w:val="7190"/>
        <w:jc w:val="center"/>
        <w:rPr>
          <w:rtl/>
        </w:rPr>
      </w:pPr>
    </w:p>
    <w:p w:rsidR="00977579" w:rsidP="00977579" w14:paraId="4B4B6DD3" w14:textId="3CB2F28D">
      <w:pPr>
        <w:pStyle w:val="7190"/>
        <w:jc w:val="center"/>
        <w:rPr>
          <w:rtl/>
        </w:rPr>
      </w:pPr>
    </w:p>
    <w:p w:rsidR="00977579" w:rsidP="00977579" w14:paraId="374143FF" w14:textId="4FA7E829">
      <w:pPr>
        <w:pStyle w:val="7190"/>
        <w:jc w:val="center"/>
        <w:rPr>
          <w:rtl/>
        </w:rPr>
      </w:pPr>
    </w:p>
    <w:p w:rsidR="00977579" w:rsidP="00977579" w14:paraId="1B0BEFAC" w14:textId="70A506A1">
      <w:pPr>
        <w:pStyle w:val="7190"/>
        <w:jc w:val="center"/>
        <w:rPr>
          <w:rtl/>
        </w:rPr>
      </w:pPr>
    </w:p>
    <w:p w:rsidR="00064016" w:rsidP="00064016" w14:paraId="62C72E9D" w14:textId="0F640E52">
      <w:pPr>
        <w:pStyle w:val="7190"/>
        <w:spacing w:after="120"/>
        <w:jc w:val="center"/>
        <w:rPr>
          <w:rtl/>
        </w:rPr>
      </w:pPr>
    </w:p>
    <w:p w:rsidR="00064016" w:rsidP="00064016" w14:paraId="4DCD00B7" w14:textId="2640AF55">
      <w:pPr>
        <w:pStyle w:val="7190"/>
        <w:spacing w:after="120"/>
        <w:jc w:val="center"/>
        <w:rPr>
          <w:rtl/>
        </w:rPr>
      </w:pPr>
    </w:p>
    <w:p w:rsidR="00064016" w:rsidRPr="00064016" w:rsidP="00064016" w14:paraId="132AAB22" w14:textId="16722810">
      <w:pPr>
        <w:pStyle w:val="7190"/>
        <w:spacing w:after="120"/>
        <w:jc w:val="center"/>
      </w:pPr>
      <w:r w:rsidRPr="00064016">
        <w:rPr>
          <w:rtl/>
        </w:rPr>
        <w:t xml:space="preserve">מס' קטלוגי </w:t>
      </w:r>
      <w:r w:rsidR="00BE3F2A">
        <w:t>A</w:t>
      </w:r>
      <w:r w:rsidR="00D6278C">
        <w:t>-</w:t>
      </w:r>
      <w:r w:rsidR="005777F4">
        <w:t>002</w:t>
      </w:r>
      <w:r w:rsidRPr="00064016">
        <w:rPr>
          <w:rtl/>
        </w:rPr>
        <w:t>-</w:t>
      </w:r>
      <w:r w:rsidR="00D6278C">
        <w:t>2022</w:t>
      </w:r>
    </w:p>
    <w:p w:rsidR="00064016" w:rsidRPr="00064016" w:rsidP="00064016" w14:paraId="66F3EDD3" w14:textId="41DFA9B4">
      <w:pPr>
        <w:pStyle w:val="7190"/>
        <w:jc w:val="center"/>
        <w:rPr>
          <w:rtl/>
        </w:rPr>
      </w:pPr>
      <w:r w:rsidRPr="00064016">
        <w:t xml:space="preserve">ISSN </w:t>
      </w:r>
      <w:r w:rsidR="005777F4">
        <w:t>0334</w:t>
      </w:r>
      <w:r w:rsidRPr="00064016">
        <w:t>-</w:t>
      </w:r>
      <w:r w:rsidR="005777F4">
        <w:t>9713</w:t>
      </w:r>
    </w:p>
    <w:p w:rsidR="00064016" w:rsidP="00064016" w14:paraId="52E2FCF4" w14:textId="77777777">
      <w:pPr>
        <w:pStyle w:val="7190"/>
        <w:spacing w:after="0"/>
        <w:jc w:val="center"/>
      </w:pPr>
      <w:r>
        <w:rPr>
          <w:rtl/>
        </w:rPr>
        <w:t xml:space="preserve">דוח זה מובא גם באתר האינטרנט של </w:t>
      </w:r>
      <w:r>
        <w:br/>
      </w:r>
      <w:r>
        <w:rPr>
          <w:rtl/>
        </w:rPr>
        <w:t>משרד מבקר המדינה</w:t>
      </w:r>
    </w:p>
    <w:p w:rsidR="00064016" w:rsidRPr="00064016" w:rsidP="00064016" w14:paraId="690EF9D9" w14:textId="44B52660">
      <w:pPr>
        <w:pStyle w:val="7190"/>
        <w:jc w:val="center"/>
        <w:rPr>
          <w:rtl/>
        </w:rPr>
      </w:pPr>
      <w:hyperlink r:id="rId16" w:history="1">
        <w:r w:rsidRPr="00064016">
          <w:t>www.mevaker.gov.il</w:t>
        </w:r>
      </w:hyperlink>
    </w:p>
    <w:p w:rsidR="00064016" w:rsidP="00064016" w14:paraId="62D700AA" w14:textId="3A3498A0">
      <w:pPr>
        <w:pStyle w:val="7190"/>
        <w:jc w:val="center"/>
        <w:rPr>
          <w:rtl/>
        </w:rPr>
      </w:pPr>
    </w:p>
    <w:p w:rsidR="009C0D3F" w:rsidP="00064016" w14:paraId="3AEEC7F7" w14:textId="77777777">
      <w:pPr>
        <w:pStyle w:val="7190"/>
        <w:jc w:val="center"/>
        <w:rPr>
          <w:rtl/>
        </w:rPr>
      </w:pPr>
      <w:r>
        <w:rPr>
          <w:rFonts w:hint="cs"/>
          <w:rtl/>
        </w:rPr>
        <w:t xml:space="preserve">עיצוב גרפי: </w:t>
      </w:r>
      <w:r w:rsidR="00DB5E51">
        <w:rPr>
          <w:rFonts w:hint="cs"/>
          <w:rtl/>
        </w:rPr>
        <w:t xml:space="preserve">צוות </w:t>
      </w:r>
      <w:r w:rsidR="00DB5E51">
        <w:rPr>
          <w:rFonts w:hint="cs"/>
          <w:rtl/>
        </w:rPr>
        <w:t>אי.אר</w:t>
      </w:r>
      <w:r w:rsidR="00DB5E51">
        <w:rPr>
          <w:rFonts w:hint="cs"/>
          <w:rtl/>
        </w:rPr>
        <w:t xml:space="preserve"> </w:t>
      </w:r>
      <w:r w:rsidR="00DB5E51">
        <w:rPr>
          <w:rFonts w:hint="cs"/>
          <w:rtl/>
        </w:rPr>
        <w:t>דיזיין</w:t>
      </w:r>
      <w:r w:rsidR="00DB5E51">
        <w:rPr>
          <w:rFonts w:hint="cs"/>
          <w:rtl/>
        </w:rPr>
        <w:t xml:space="preserve"> בע״מ</w:t>
      </w:r>
    </w:p>
    <w:p w:rsidR="00421B27" w:rsidRPr="009C0D3F" w:rsidP="00064016" w14:paraId="4570961E" w14:textId="7CE366E1">
      <w:pPr>
        <w:pStyle w:val="7190"/>
        <w:jc w:val="center"/>
        <w:rPr>
          <w:sz w:val="24"/>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AA5AC3" w:rsidRPr="00C04B74" w:rsidP="00AA5AC3" w14:paraId="1F6B6266" w14:textId="77777777">
      <w:pPr>
        <w:pStyle w:val="71316"/>
        <w:rPr>
          <w:sz w:val="36"/>
          <w:szCs w:val="36"/>
          <w:rtl/>
        </w:rPr>
      </w:pPr>
      <w:r w:rsidRPr="00107944">
        <w:rPr>
          <w:rFonts w:hint="cs"/>
          <w:b w:val="0"/>
          <w:bCs w:val="0"/>
          <w:noProof/>
          <w:spacing w:val="112"/>
          <w:rtl/>
          <w:lang w:val="he-IL"/>
        </w:rPr>
        <mc:AlternateContent>
          <mc:Choice Requires="wps">
            <w:drawing>
              <wp:anchor distT="0" distB="0" distL="114300" distR="114300" simplePos="0" relativeHeight="251685888" behindDoc="0" locked="0" layoutInCell="1" allowOverlap="1">
                <wp:simplePos x="0" y="0"/>
                <wp:positionH relativeFrom="column">
                  <wp:posOffset>3116580</wp:posOffset>
                </wp:positionH>
                <wp:positionV relativeFrom="paragraph">
                  <wp:posOffset>489322</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0" style="flip:x;mso-width-percent:0;mso-width-relative:margin;mso-wrap-distance-bottom:0;mso-wrap-distance-left:9pt;mso-wrap-distance-right:9pt;mso-wrap-distance-top:0;mso-wrap-style:square;position:absolute;visibility:visible;z-index:251686912" from="245.4pt,38.55pt" to="366pt,38.55pt" strokecolor="#00305f" strokeweight="1pt"/>
            </w:pict>
          </mc:Fallback>
        </mc:AlternateContent>
      </w:r>
      <w:r w:rsidRPr="00C04B74">
        <w:rPr>
          <w:rFonts w:hint="cs"/>
          <w:sz w:val="36"/>
          <w:szCs w:val="36"/>
          <w:rtl/>
        </w:rPr>
        <w:t>תוכן העניינים</w:t>
      </w:r>
    </w:p>
    <w:p w:rsidR="00AA5AC3" w:rsidRPr="009758C5" w:rsidP="00AA5AC3" w14:paraId="75AA99AD" w14:textId="77777777">
      <w:pPr>
        <w:pStyle w:val="71316"/>
        <w:spacing w:before="240" w:after="240"/>
        <w:rPr>
          <w:b w:val="0"/>
          <w:bCs w:val="0"/>
          <w:spacing w:val="11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9"/>
        <w:gridCol w:w="1121"/>
      </w:tblGrid>
      <w:tr w14:paraId="64B994C5" w14:textId="77777777" w:rsidTr="00B6233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9" w:type="dxa"/>
          </w:tcPr>
          <w:p w:rsidR="00AA5AC3" w:rsidRPr="00F52403" w:rsidP="00B6233D" w14:paraId="2CD66BA6" w14:textId="77777777">
            <w:pPr>
              <w:pStyle w:val="71316"/>
              <w:spacing w:before="240" w:after="480"/>
              <w:rPr>
                <w:b w:val="0"/>
                <w:bCs w:val="0"/>
                <w:spacing w:val="112"/>
                <w:rtl/>
              </w:rPr>
            </w:pPr>
            <w:r w:rsidRPr="00107944">
              <w:rPr>
                <w:rFonts w:hint="cs"/>
                <w:b w:val="0"/>
                <w:bCs w:val="0"/>
                <w:spacing w:val="112"/>
                <w:rtl/>
              </w:rPr>
              <w:t>כרך ראשון</w:t>
            </w:r>
          </w:p>
        </w:tc>
        <w:tc>
          <w:tcPr>
            <w:tcW w:w="1121" w:type="dxa"/>
          </w:tcPr>
          <w:p w:rsidR="00AA5AC3" w:rsidP="00B6233D" w14:paraId="38EC8510" w14:textId="77777777">
            <w:pPr>
              <w:widowControl w:val="0"/>
              <w:spacing w:before="100" w:after="480" w:line="260" w:lineRule="exact"/>
              <w:rPr>
                <w:rFonts w:ascii="Arial" w:hAnsi="Arial" w:cs="Tahoma"/>
                <w:color w:val="000000"/>
                <w:sz w:val="24"/>
                <w:szCs w:val="18"/>
                <w:rtl/>
              </w:rPr>
            </w:pPr>
          </w:p>
        </w:tc>
      </w:tr>
      <w:tr w14:paraId="09D9C205" w14:textId="77777777" w:rsidTr="00B6233D">
        <w:tblPrEx>
          <w:tblW w:w="0" w:type="auto"/>
          <w:tblLook w:val="04A0"/>
        </w:tblPrEx>
        <w:tc>
          <w:tcPr>
            <w:tcW w:w="6239" w:type="dxa"/>
          </w:tcPr>
          <w:p w:rsidR="00AA5AC3" w:rsidRPr="00C237BB" w:rsidP="00B6233D" w14:paraId="3E8D413A" w14:textId="77777777">
            <w:pPr>
              <w:pStyle w:val="7190"/>
              <w:spacing w:after="100"/>
              <w:rPr>
                <w:b/>
                <w:bCs/>
                <w:rtl/>
              </w:rPr>
            </w:pPr>
            <w:r w:rsidRPr="00C237BB">
              <w:rPr>
                <w:rFonts w:hint="cs"/>
                <w:b/>
                <w:bCs/>
                <w:color w:val="00305F"/>
                <w:sz w:val="22"/>
                <w:szCs w:val="22"/>
                <w:rtl/>
              </w:rPr>
              <w:t>פתח דבר</w:t>
            </w:r>
          </w:p>
        </w:tc>
        <w:tc>
          <w:tcPr>
            <w:tcW w:w="1121" w:type="dxa"/>
          </w:tcPr>
          <w:p w:rsidR="00AA5AC3" w:rsidRPr="003A4571" w:rsidP="00B6233D" w14:paraId="4C0C2AFB" w14:textId="77777777">
            <w:pPr>
              <w:widowControl w:val="0"/>
              <w:spacing w:after="100" w:line="260" w:lineRule="exact"/>
              <w:rPr>
                <w:rFonts w:ascii="Arial" w:hAnsi="Arial" w:cs="Tahoma"/>
                <w:color w:val="000000"/>
                <w:sz w:val="24"/>
                <w:szCs w:val="18"/>
                <w:rtl/>
              </w:rPr>
            </w:pPr>
            <w:r>
              <w:rPr>
                <w:rFonts w:ascii="Arial" w:hAnsi="Arial" w:cs="Tahoma" w:hint="cs"/>
                <w:color w:val="000000"/>
                <w:sz w:val="24"/>
                <w:szCs w:val="18"/>
                <w:rtl/>
              </w:rPr>
              <w:t>9</w:t>
            </w:r>
          </w:p>
        </w:tc>
      </w:tr>
      <w:tr w14:paraId="73B2210C" w14:textId="77777777" w:rsidTr="00B6233D">
        <w:tblPrEx>
          <w:tblW w:w="0" w:type="auto"/>
          <w:tblLook w:val="04A0"/>
        </w:tblPrEx>
        <w:tc>
          <w:tcPr>
            <w:tcW w:w="6239" w:type="dxa"/>
          </w:tcPr>
          <w:p w:rsidR="00AA5AC3" w:rsidRPr="00C237BB" w:rsidP="00B6233D" w14:paraId="01F4DD56" w14:textId="77777777">
            <w:pPr>
              <w:pStyle w:val="7190"/>
              <w:spacing w:before="100" w:after="100"/>
              <w:rPr>
                <w:b/>
                <w:bCs/>
                <w:rtl/>
              </w:rPr>
            </w:pPr>
            <w:r w:rsidRPr="00C237BB">
              <w:rPr>
                <w:rFonts w:hint="eastAsia"/>
                <w:b/>
                <w:bCs/>
                <w:color w:val="00305F"/>
                <w:sz w:val="22"/>
                <w:szCs w:val="22"/>
                <w:rtl/>
                <w:lang w:bidi="ar-SA"/>
              </w:rPr>
              <w:t>المقدمة</w:t>
            </w:r>
          </w:p>
        </w:tc>
        <w:tc>
          <w:tcPr>
            <w:tcW w:w="1121" w:type="dxa"/>
          </w:tcPr>
          <w:p w:rsidR="00AA5AC3" w:rsidRPr="003A4571" w:rsidP="00B6233D" w14:paraId="29DBE377" w14:textId="77777777">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15</w:t>
            </w:r>
          </w:p>
        </w:tc>
      </w:tr>
      <w:tr w14:paraId="60B9C88A" w14:textId="77777777" w:rsidTr="00B6233D">
        <w:tblPrEx>
          <w:tblW w:w="0" w:type="auto"/>
          <w:tblLook w:val="04A0"/>
        </w:tblPrEx>
        <w:tc>
          <w:tcPr>
            <w:tcW w:w="6239" w:type="dxa"/>
          </w:tcPr>
          <w:p w:rsidR="00AA5AC3" w:rsidRPr="00C237BB" w:rsidP="00B6233D" w14:paraId="13AAD1E2" w14:textId="77777777">
            <w:pPr>
              <w:pStyle w:val="7190"/>
              <w:spacing w:before="100" w:after="100"/>
              <w:rPr>
                <w:b/>
                <w:bCs/>
                <w:color w:val="00305F"/>
                <w:sz w:val="22"/>
                <w:szCs w:val="22"/>
                <w:lang w:bidi="ar-SA"/>
              </w:rPr>
            </w:pPr>
            <w:r w:rsidRPr="00C237BB">
              <w:rPr>
                <w:b/>
                <w:bCs/>
                <w:color w:val="00305F"/>
                <w:sz w:val="22"/>
                <w:szCs w:val="22"/>
                <w:lang w:bidi="ar-SA"/>
              </w:rPr>
              <w:t>Foreword</w:t>
            </w:r>
          </w:p>
        </w:tc>
        <w:tc>
          <w:tcPr>
            <w:tcW w:w="1121" w:type="dxa"/>
          </w:tcPr>
          <w:p w:rsidR="00AA5AC3" w:rsidP="00B6233D" w14:paraId="1B427CC8" w14:textId="3948F860">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433</w:t>
            </w:r>
          </w:p>
        </w:tc>
      </w:tr>
      <w:tr w14:paraId="7FF700AB" w14:textId="77777777" w:rsidTr="00B6233D">
        <w:tblPrEx>
          <w:tblW w:w="0" w:type="auto"/>
          <w:tblLook w:val="04A0"/>
        </w:tblPrEx>
        <w:tc>
          <w:tcPr>
            <w:tcW w:w="6239" w:type="dxa"/>
          </w:tcPr>
          <w:p w:rsidR="00AA5AC3" w:rsidP="00B6233D" w14:paraId="524F45B3" w14:textId="77777777">
            <w:pPr>
              <w:pStyle w:val="7190"/>
              <w:spacing w:after="120"/>
            </w:pPr>
          </w:p>
        </w:tc>
        <w:tc>
          <w:tcPr>
            <w:tcW w:w="1121" w:type="dxa"/>
          </w:tcPr>
          <w:p w:rsidR="00AA5AC3" w:rsidP="00B6233D" w14:paraId="4631CFA0" w14:textId="77777777">
            <w:pPr>
              <w:pStyle w:val="71316"/>
              <w:spacing w:before="120" w:after="120" w:line="260" w:lineRule="exact"/>
              <w:rPr>
                <w:b w:val="0"/>
                <w:bCs w:val="0"/>
                <w:rtl/>
              </w:rPr>
            </w:pPr>
          </w:p>
        </w:tc>
      </w:tr>
      <w:tr w14:paraId="051BA125"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92"/>
        </w:trPr>
        <w:tc>
          <w:tcPr>
            <w:tcW w:w="7360" w:type="dxa"/>
            <w:gridSpan w:val="2"/>
            <w:tcBorders>
              <w:top w:val="nil"/>
              <w:left w:val="nil"/>
              <w:bottom w:val="nil"/>
              <w:right w:val="nil"/>
            </w:tcBorders>
          </w:tcPr>
          <w:p w:rsidR="00AA5AC3" w:rsidRPr="00D20731" w:rsidP="00B6233D" w14:paraId="41E18E44" w14:textId="77777777">
            <w:pPr>
              <w:pStyle w:val="7190"/>
              <w:spacing w:before="100" w:after="240"/>
              <w:rPr>
                <w:rFonts w:eastAsia="Times New Roman"/>
                <w:color w:val="00305F"/>
                <w:sz w:val="26"/>
                <w:szCs w:val="26"/>
                <w:rtl/>
              </w:rPr>
            </w:pPr>
            <w:r w:rsidRPr="00D20731">
              <w:rPr>
                <w:rFonts w:hint="cs"/>
                <w:color w:val="00305F"/>
                <w:sz w:val="26"/>
                <w:szCs w:val="26"/>
                <w:rtl/>
              </w:rPr>
              <w:t xml:space="preserve">פרק ראשון | </w:t>
            </w:r>
            <w:r>
              <w:rPr>
                <w:rFonts w:hint="cs"/>
                <w:b/>
                <w:bCs/>
                <w:color w:val="00305F"/>
                <w:sz w:val="26"/>
                <w:szCs w:val="26"/>
                <w:rtl/>
              </w:rPr>
              <w:t>נושאים מערכתיים</w:t>
            </w:r>
          </w:p>
        </w:tc>
      </w:tr>
      <w:tr w14:paraId="761777EF"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9" w:type="dxa"/>
            <w:tcBorders>
              <w:top w:val="nil"/>
              <w:left w:val="nil"/>
              <w:bottom w:val="nil"/>
              <w:right w:val="nil"/>
            </w:tcBorders>
          </w:tcPr>
          <w:p w:rsidR="00AA5AC3" w:rsidRPr="00136CC3" w:rsidP="00B6233D" w14:paraId="1001C523" w14:textId="77777777">
            <w:pPr>
              <w:spacing w:before="80" w:after="80" w:line="260" w:lineRule="exact"/>
              <w:rPr>
                <w:rFonts w:ascii="Arial" w:hAnsi="Arial" w:cs="Tahoma"/>
                <w:color w:val="000000"/>
                <w:sz w:val="24"/>
                <w:szCs w:val="18"/>
                <w:rtl/>
              </w:rPr>
            </w:pPr>
            <w:r w:rsidRPr="004353A2">
              <w:rPr>
                <w:rFonts w:ascii="Arial" w:hAnsi="Arial" w:cs="Tahoma" w:hint="cs"/>
                <w:color w:val="000000"/>
                <w:sz w:val="24"/>
                <w:szCs w:val="18"/>
                <w:rtl/>
              </w:rPr>
              <w:t>משטר איסור הלבנת הון בישראל</w:t>
            </w:r>
          </w:p>
        </w:tc>
        <w:tc>
          <w:tcPr>
            <w:tcW w:w="1121" w:type="dxa"/>
            <w:tcBorders>
              <w:top w:val="nil"/>
              <w:left w:val="nil"/>
              <w:bottom w:val="nil"/>
              <w:right w:val="nil"/>
            </w:tcBorders>
          </w:tcPr>
          <w:p w:rsidR="00AA5AC3" w:rsidRPr="00136CC3" w:rsidP="00B6233D" w14:paraId="2EF48823" w14:textId="77777777">
            <w:pPr>
              <w:pStyle w:val="7190"/>
              <w:widowControl w:val="0"/>
              <w:spacing w:before="80" w:after="80"/>
              <w:rPr>
                <w:rFonts w:ascii="Arial" w:hAnsi="Arial"/>
                <w:color w:val="000000"/>
                <w:sz w:val="24"/>
                <w:rtl/>
              </w:rPr>
            </w:pPr>
            <w:r>
              <w:rPr>
                <w:rFonts w:ascii="Arial" w:hAnsi="Arial" w:hint="cs"/>
                <w:color w:val="000000"/>
                <w:sz w:val="24"/>
                <w:rtl/>
              </w:rPr>
              <w:t>25</w:t>
            </w:r>
          </w:p>
        </w:tc>
      </w:tr>
      <w:tr w14:paraId="22D68701"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136CC3" w:rsidP="00B6233D" w14:paraId="7D610820" w14:textId="77777777">
            <w:pPr>
              <w:spacing w:before="80" w:after="80" w:line="260" w:lineRule="exact"/>
              <w:rPr>
                <w:rFonts w:ascii="Arial" w:hAnsi="Arial" w:cs="Tahoma"/>
                <w:color w:val="000000"/>
                <w:sz w:val="24"/>
                <w:szCs w:val="18"/>
                <w:rtl/>
              </w:rPr>
            </w:pPr>
            <w:r w:rsidRPr="004353A2">
              <w:rPr>
                <w:rFonts w:ascii="Arial" w:hAnsi="Arial" w:cs="Tahoma" w:hint="cs"/>
                <w:color w:val="000000"/>
                <w:sz w:val="24"/>
                <w:szCs w:val="18"/>
                <w:rtl/>
              </w:rPr>
              <w:t>הפיקוח על טוהר הבחירות לכנסת ה-24</w:t>
            </w:r>
          </w:p>
        </w:tc>
        <w:tc>
          <w:tcPr>
            <w:tcW w:w="1121" w:type="dxa"/>
            <w:tcBorders>
              <w:top w:val="nil"/>
              <w:left w:val="nil"/>
              <w:bottom w:val="nil"/>
              <w:right w:val="nil"/>
            </w:tcBorders>
          </w:tcPr>
          <w:p w:rsidR="00AA5AC3" w:rsidRPr="00DB7CD9" w:rsidP="00B6233D" w14:paraId="0E81C105" w14:textId="77777777">
            <w:pPr>
              <w:widowControl w:val="0"/>
              <w:spacing w:before="80" w:after="80" w:line="240" w:lineRule="auto"/>
              <w:rPr>
                <w:rFonts w:ascii="Arial" w:hAnsi="Arial" w:cs="Tahoma"/>
                <w:color w:val="000000"/>
                <w:sz w:val="24"/>
                <w:szCs w:val="18"/>
                <w:rtl/>
              </w:rPr>
            </w:pPr>
            <w:r>
              <w:rPr>
                <w:rFonts w:ascii="Arial" w:hAnsi="Arial" w:cs="Tahoma" w:hint="cs"/>
                <w:color w:val="000000"/>
                <w:sz w:val="24"/>
                <w:szCs w:val="18"/>
                <w:rtl/>
              </w:rPr>
              <w:t>169</w:t>
            </w:r>
          </w:p>
        </w:tc>
      </w:tr>
      <w:tr w14:paraId="7DF2CBEB"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136CC3" w:rsidP="00B6233D" w14:paraId="1B05EEF5" w14:textId="77777777">
            <w:pPr>
              <w:spacing w:before="80" w:after="80" w:line="260" w:lineRule="exact"/>
              <w:rPr>
                <w:rFonts w:ascii="Arial" w:hAnsi="Arial" w:cs="Tahoma"/>
                <w:color w:val="000000"/>
                <w:sz w:val="24"/>
                <w:szCs w:val="18"/>
                <w:rtl/>
              </w:rPr>
            </w:pPr>
            <w:r w:rsidRPr="004353A2">
              <w:rPr>
                <w:rFonts w:ascii="Arial" w:hAnsi="Arial" w:cs="Tahoma"/>
                <w:color w:val="000000"/>
                <w:sz w:val="24"/>
                <w:szCs w:val="18"/>
                <w:rtl/>
              </w:rPr>
              <w:t>הטיפול בפעוטות וחינוכם במעונות יום ובמשפחתונים</w:t>
            </w:r>
          </w:p>
        </w:tc>
        <w:tc>
          <w:tcPr>
            <w:tcW w:w="1121" w:type="dxa"/>
            <w:tcBorders>
              <w:top w:val="nil"/>
              <w:left w:val="nil"/>
              <w:bottom w:val="nil"/>
              <w:right w:val="nil"/>
            </w:tcBorders>
          </w:tcPr>
          <w:p w:rsidR="00AA5AC3" w:rsidRPr="004F53C8" w:rsidP="00B6233D" w14:paraId="4DACEC51" w14:textId="1EAFE50C">
            <w:pPr>
              <w:pStyle w:val="71316"/>
              <w:spacing w:before="80" w:after="80" w:line="240" w:lineRule="auto"/>
              <w:rPr>
                <w:b w:val="0"/>
                <w:bCs w:val="0"/>
                <w:rtl/>
              </w:rPr>
            </w:pPr>
            <w:r>
              <w:rPr>
                <w:rFonts w:ascii="Arial" w:hAnsi="Arial" w:hint="cs"/>
                <w:b w:val="0"/>
                <w:bCs w:val="0"/>
                <w:color w:val="000000"/>
                <w:sz w:val="24"/>
                <w:szCs w:val="18"/>
                <w:rtl/>
              </w:rPr>
              <w:t>231</w:t>
            </w:r>
          </w:p>
        </w:tc>
      </w:tr>
      <w:tr w14:paraId="04F0DC4B"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136CC3" w:rsidP="00B6233D" w14:paraId="6685F72C" w14:textId="77777777">
            <w:pPr>
              <w:spacing w:before="80" w:after="80" w:line="260" w:lineRule="exact"/>
              <w:rPr>
                <w:rFonts w:ascii="Arial" w:hAnsi="Arial" w:cs="Tahoma"/>
                <w:color w:val="000000"/>
                <w:sz w:val="24"/>
                <w:szCs w:val="18"/>
                <w:rtl/>
              </w:rPr>
            </w:pPr>
            <w:r w:rsidRPr="004353A2">
              <w:rPr>
                <w:rFonts w:ascii="Arial" w:hAnsi="Arial" w:cs="Tahoma"/>
                <w:color w:val="000000"/>
                <w:sz w:val="24"/>
                <w:szCs w:val="18"/>
                <w:rtl/>
              </w:rPr>
              <w:t>י</w:t>
            </w:r>
            <w:r w:rsidRPr="004353A2">
              <w:rPr>
                <w:rFonts w:ascii="Arial" w:hAnsi="Arial" w:cs="Tahoma" w:hint="cs"/>
                <w:color w:val="000000"/>
                <w:sz w:val="24"/>
                <w:szCs w:val="18"/>
                <w:rtl/>
              </w:rPr>
              <w:t>י</w:t>
            </w:r>
            <w:r w:rsidRPr="004353A2">
              <w:rPr>
                <w:rFonts w:ascii="Arial" w:hAnsi="Arial" w:cs="Tahoma"/>
                <w:color w:val="000000"/>
                <w:sz w:val="24"/>
                <w:szCs w:val="18"/>
                <w:rtl/>
              </w:rPr>
              <w:t xml:space="preserve">שום רפורמות וצמצום פערים בחינוך לגיל הרך - </w:t>
            </w:r>
            <w:r w:rsidRPr="004353A2">
              <w:rPr>
                <w:rFonts w:ascii="Arial" w:hAnsi="Arial" w:cs="Tahoma" w:hint="cs"/>
                <w:color w:val="000000"/>
                <w:sz w:val="24"/>
                <w:szCs w:val="18"/>
                <w:rtl/>
              </w:rPr>
              <w:t xml:space="preserve">ביקורת </w:t>
            </w:r>
            <w:r w:rsidRPr="004353A2">
              <w:rPr>
                <w:rFonts w:ascii="Arial" w:hAnsi="Arial" w:cs="Tahoma"/>
                <w:color w:val="000000"/>
                <w:sz w:val="24"/>
                <w:szCs w:val="18"/>
                <w:rtl/>
              </w:rPr>
              <w:t>מעקב</w:t>
            </w:r>
          </w:p>
        </w:tc>
        <w:tc>
          <w:tcPr>
            <w:tcW w:w="1121" w:type="dxa"/>
            <w:tcBorders>
              <w:top w:val="nil"/>
              <w:left w:val="nil"/>
              <w:bottom w:val="nil"/>
              <w:right w:val="nil"/>
            </w:tcBorders>
          </w:tcPr>
          <w:p w:rsidR="00AA5AC3" w:rsidRPr="00777BE8" w:rsidP="00B6233D" w14:paraId="3C68361D" w14:textId="5C87ECC1">
            <w:pPr>
              <w:pStyle w:val="71316"/>
              <w:spacing w:before="80" w:after="80" w:line="240" w:lineRule="auto"/>
              <w:rPr>
                <w:b w:val="0"/>
                <w:bCs w:val="0"/>
                <w:rtl/>
              </w:rPr>
            </w:pPr>
            <w:r>
              <w:rPr>
                <w:rFonts w:ascii="Arial" w:hAnsi="Arial" w:hint="cs"/>
                <w:b w:val="0"/>
                <w:bCs w:val="0"/>
                <w:color w:val="000000"/>
                <w:sz w:val="24"/>
                <w:szCs w:val="18"/>
                <w:rtl/>
              </w:rPr>
              <w:t>337</w:t>
            </w:r>
          </w:p>
        </w:tc>
      </w:tr>
      <w:tr w14:paraId="561ACCDD"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7360" w:type="dxa"/>
            <w:gridSpan w:val="2"/>
            <w:tcBorders>
              <w:top w:val="nil"/>
              <w:left w:val="nil"/>
              <w:bottom w:val="nil"/>
              <w:right w:val="nil"/>
            </w:tcBorders>
          </w:tcPr>
          <w:p w:rsidR="00AA5AC3" w:rsidRPr="00D20731" w:rsidP="00B6233D" w14:paraId="273FCFFC" w14:textId="77777777">
            <w:pPr>
              <w:pStyle w:val="71316"/>
              <w:spacing w:before="840" w:after="480" w:line="240" w:lineRule="auto"/>
              <w:rPr>
                <w:b w:val="0"/>
                <w:bCs w:val="0"/>
                <w:sz w:val="26"/>
                <w:szCs w:val="26"/>
                <w:rtl/>
              </w:rPr>
            </w:pPr>
            <w:r w:rsidRPr="00443B39">
              <w:rPr>
                <w:rFonts w:hint="cs"/>
                <w:b w:val="0"/>
                <w:bCs w:val="0"/>
                <w:spacing w:val="100"/>
                <w:rtl/>
              </w:rPr>
              <w:t>כרך שני</w:t>
            </w:r>
            <w:r w:rsidRPr="008D4A5C">
              <w:rPr>
                <w:rFonts w:hint="cs"/>
                <w:spacing w:val="100"/>
                <w:rtl/>
              </w:rPr>
              <w:t xml:space="preserve"> </w:t>
            </w:r>
          </w:p>
        </w:tc>
      </w:tr>
      <w:tr w14:paraId="4216EC01"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905578" w:rsidP="00B6233D" w14:paraId="5D321DB7" w14:textId="281DE9CD">
            <w:pPr>
              <w:spacing w:before="100" w:after="240" w:line="260" w:lineRule="exact"/>
              <w:rPr>
                <w:rFonts w:ascii="Arial" w:hAnsi="Arial" w:cs="Tahoma"/>
                <w:color w:val="000000"/>
                <w:szCs w:val="20"/>
                <w:rtl/>
              </w:rPr>
            </w:pPr>
            <w:r w:rsidRPr="00905578">
              <w:rPr>
                <w:rFonts w:ascii="Tahoma" w:hAnsi="Tahoma" w:cs="Tahoma" w:hint="cs"/>
                <w:color w:val="00305F"/>
                <w:szCs w:val="20"/>
                <w:rtl/>
              </w:rPr>
              <w:t>פרק ראשון |</w:t>
            </w:r>
            <w:r w:rsidRPr="00905578">
              <w:rPr>
                <w:rFonts w:hint="cs"/>
                <w:color w:val="00305F"/>
                <w:szCs w:val="20"/>
                <w:rtl/>
              </w:rPr>
              <w:t xml:space="preserve"> </w:t>
            </w:r>
            <w:r w:rsidRPr="00905578">
              <w:rPr>
                <w:rFonts w:ascii="Tahoma" w:hAnsi="Tahoma" w:cs="Tahoma" w:hint="cs"/>
                <w:b/>
                <w:bCs/>
                <w:color w:val="00305F"/>
                <w:szCs w:val="20"/>
                <w:rtl/>
              </w:rPr>
              <w:t>נושאים מערכתיים</w:t>
            </w:r>
            <w:r w:rsidRPr="00905578" w:rsidR="00384847">
              <w:rPr>
                <w:rFonts w:ascii="Tahoma" w:hAnsi="Tahoma" w:cs="Tahoma" w:hint="cs"/>
                <w:b/>
                <w:bCs/>
                <w:color w:val="00305F"/>
                <w:szCs w:val="20"/>
                <w:rtl/>
              </w:rPr>
              <w:t xml:space="preserve"> - המשך</w:t>
            </w:r>
          </w:p>
        </w:tc>
        <w:tc>
          <w:tcPr>
            <w:tcW w:w="1121" w:type="dxa"/>
            <w:tcBorders>
              <w:top w:val="nil"/>
              <w:left w:val="nil"/>
              <w:bottom w:val="nil"/>
              <w:right w:val="nil"/>
            </w:tcBorders>
          </w:tcPr>
          <w:p w:rsidR="00AA5AC3" w:rsidRPr="00136CC3" w:rsidP="00B6233D" w14:paraId="66AAD0BE" w14:textId="77777777">
            <w:pPr>
              <w:pStyle w:val="71316"/>
              <w:spacing w:before="100" w:after="100" w:line="240" w:lineRule="auto"/>
              <w:rPr>
                <w:rFonts w:ascii="Arial" w:hAnsi="Arial"/>
                <w:b w:val="0"/>
                <w:bCs w:val="0"/>
                <w:color w:val="000000"/>
                <w:sz w:val="24"/>
                <w:szCs w:val="18"/>
                <w:rtl/>
              </w:rPr>
            </w:pPr>
          </w:p>
        </w:tc>
      </w:tr>
      <w:tr w14:paraId="6C618AA7"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4353A2" w:rsidP="00B6233D" w14:paraId="0468BA2F" w14:textId="77777777">
            <w:pPr>
              <w:spacing w:before="80" w:after="80" w:line="260" w:lineRule="exact"/>
              <w:rPr>
                <w:rFonts w:ascii="Arial" w:hAnsi="Arial" w:cs="Tahoma"/>
                <w:color w:val="000000"/>
                <w:sz w:val="24"/>
                <w:szCs w:val="18"/>
                <w:rtl/>
              </w:rPr>
            </w:pPr>
            <w:r w:rsidRPr="004353A2">
              <w:rPr>
                <w:rFonts w:ascii="Arial" w:hAnsi="Arial" w:cs="Tahoma"/>
                <w:color w:val="000000"/>
                <w:sz w:val="24"/>
                <w:szCs w:val="18"/>
                <w:rtl/>
              </w:rPr>
              <w:t xml:space="preserve">טיפול </w:t>
            </w:r>
            <w:r w:rsidRPr="004353A2">
              <w:rPr>
                <w:rFonts w:ascii="Arial" w:hAnsi="Arial" w:cs="Tahoma" w:hint="cs"/>
                <w:color w:val="000000"/>
                <w:sz w:val="24"/>
                <w:szCs w:val="18"/>
                <w:rtl/>
              </w:rPr>
              <w:t>מערכת אכיפת החוק בעבריינות במרחב המקוון</w:t>
            </w:r>
          </w:p>
        </w:tc>
        <w:tc>
          <w:tcPr>
            <w:tcW w:w="1121" w:type="dxa"/>
            <w:tcBorders>
              <w:top w:val="nil"/>
              <w:left w:val="nil"/>
              <w:bottom w:val="nil"/>
              <w:right w:val="nil"/>
            </w:tcBorders>
          </w:tcPr>
          <w:p w:rsidR="00AA5AC3" w:rsidP="00B6233D" w14:paraId="40BB4C0E" w14:textId="5355F40A">
            <w:pPr>
              <w:pStyle w:val="71316"/>
              <w:spacing w:before="80" w:after="80" w:line="240" w:lineRule="auto"/>
              <w:rPr>
                <w:rFonts w:ascii="Arial" w:hAnsi="Arial"/>
                <w:b w:val="0"/>
                <w:bCs w:val="0"/>
                <w:color w:val="000000"/>
                <w:sz w:val="24"/>
                <w:szCs w:val="18"/>
                <w:rtl/>
              </w:rPr>
            </w:pPr>
            <w:r>
              <w:rPr>
                <w:rFonts w:ascii="Arial" w:hAnsi="Arial" w:hint="cs"/>
                <w:b w:val="0"/>
                <w:bCs w:val="0"/>
                <w:color w:val="000000"/>
                <w:sz w:val="24"/>
                <w:szCs w:val="18"/>
                <w:rtl/>
              </w:rPr>
              <w:t>453</w:t>
            </w:r>
          </w:p>
        </w:tc>
      </w:tr>
      <w:tr w14:paraId="591A329E"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136CC3" w:rsidP="00B6233D" w14:paraId="75111323" w14:textId="77777777">
            <w:pPr>
              <w:spacing w:before="80" w:after="80" w:line="260" w:lineRule="exact"/>
              <w:rPr>
                <w:rFonts w:ascii="Arial" w:hAnsi="Arial" w:cs="Tahoma"/>
                <w:color w:val="000000"/>
                <w:sz w:val="24"/>
                <w:szCs w:val="18"/>
                <w:rtl/>
              </w:rPr>
            </w:pPr>
            <w:r w:rsidRPr="004353A2">
              <w:rPr>
                <w:rFonts w:ascii="Arial" w:hAnsi="Arial" w:cs="Tahoma"/>
                <w:color w:val="000000"/>
                <w:sz w:val="24"/>
                <w:szCs w:val="18"/>
                <w:rtl/>
              </w:rPr>
              <w:t>מניעת מעילות במשרדי ממשלה ובחברות ממשלתיות</w:t>
            </w:r>
          </w:p>
        </w:tc>
        <w:tc>
          <w:tcPr>
            <w:tcW w:w="1121" w:type="dxa"/>
            <w:tcBorders>
              <w:top w:val="nil"/>
              <w:left w:val="nil"/>
              <w:bottom w:val="nil"/>
              <w:right w:val="nil"/>
            </w:tcBorders>
          </w:tcPr>
          <w:p w:rsidR="00AA5AC3" w:rsidRPr="00136CC3" w:rsidP="00B6233D" w14:paraId="2B182A44" w14:textId="36D13897">
            <w:pPr>
              <w:pStyle w:val="71316"/>
              <w:spacing w:before="80" w:after="80" w:line="240" w:lineRule="auto"/>
              <w:rPr>
                <w:rFonts w:ascii="Arial" w:hAnsi="Arial"/>
                <w:b w:val="0"/>
                <w:bCs w:val="0"/>
                <w:color w:val="000000"/>
                <w:sz w:val="24"/>
                <w:szCs w:val="18"/>
                <w:rtl/>
              </w:rPr>
            </w:pPr>
            <w:r>
              <w:rPr>
                <w:rFonts w:ascii="Arial" w:hAnsi="Arial" w:hint="cs"/>
                <w:b w:val="0"/>
                <w:bCs w:val="0"/>
                <w:color w:val="000000"/>
                <w:sz w:val="24"/>
                <w:szCs w:val="18"/>
                <w:rtl/>
              </w:rPr>
              <w:t>573</w:t>
            </w:r>
          </w:p>
        </w:tc>
      </w:tr>
      <w:tr w14:paraId="44E9EC28"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136CC3" w:rsidP="00B6233D" w14:paraId="5D14AEEA" w14:textId="77777777">
            <w:pPr>
              <w:spacing w:before="80" w:after="80" w:line="260" w:lineRule="exact"/>
              <w:rPr>
                <w:rFonts w:ascii="Arial" w:hAnsi="Arial" w:cs="Tahoma"/>
                <w:b/>
                <w:bCs/>
                <w:color w:val="000000"/>
                <w:sz w:val="24"/>
                <w:szCs w:val="18"/>
                <w:rtl/>
              </w:rPr>
            </w:pPr>
            <w:r>
              <w:rPr>
                <w:rFonts w:ascii="Arial" w:hAnsi="Arial" w:cs="Tahoma" w:hint="cs"/>
                <w:color w:val="000000"/>
                <w:sz w:val="24"/>
                <w:szCs w:val="18"/>
                <w:rtl/>
              </w:rPr>
              <w:t xml:space="preserve">         </w:t>
            </w:r>
            <w:r w:rsidRPr="00975705">
              <w:rPr>
                <w:rFonts w:ascii="Arial" w:hAnsi="Arial" w:cs="Tahoma"/>
                <w:color w:val="000000"/>
                <w:sz w:val="24"/>
                <w:szCs w:val="18"/>
                <w:rtl/>
              </w:rPr>
              <w:t>מניעת מעילות והונאות ברשות מקרקעי ישראל</w:t>
            </w:r>
          </w:p>
        </w:tc>
        <w:tc>
          <w:tcPr>
            <w:tcW w:w="1121" w:type="dxa"/>
            <w:tcBorders>
              <w:top w:val="nil"/>
              <w:left w:val="nil"/>
              <w:bottom w:val="nil"/>
              <w:right w:val="nil"/>
            </w:tcBorders>
          </w:tcPr>
          <w:p w:rsidR="00AA5AC3" w:rsidP="00B6233D" w14:paraId="7D8726D6" w14:textId="31E1DDB9">
            <w:pPr>
              <w:pStyle w:val="71316"/>
              <w:spacing w:before="80" w:after="80" w:line="240" w:lineRule="auto"/>
              <w:rPr>
                <w:rFonts w:ascii="Arial" w:hAnsi="Arial"/>
                <w:b w:val="0"/>
                <w:bCs w:val="0"/>
                <w:color w:val="000000"/>
                <w:sz w:val="24"/>
                <w:szCs w:val="18"/>
                <w:rtl/>
              </w:rPr>
            </w:pPr>
            <w:r>
              <w:rPr>
                <w:rFonts w:ascii="Arial" w:hAnsi="Arial" w:hint="cs"/>
                <w:b w:val="0"/>
                <w:bCs w:val="0"/>
                <w:color w:val="000000"/>
                <w:sz w:val="24"/>
                <w:szCs w:val="18"/>
                <w:rtl/>
              </w:rPr>
              <w:t>715</w:t>
            </w:r>
          </w:p>
        </w:tc>
      </w:tr>
      <w:tr w14:paraId="484D9029"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136CC3" w:rsidP="00B6233D" w14:paraId="5D15A3A7" w14:textId="77777777">
            <w:pPr>
              <w:spacing w:before="80" w:after="80" w:line="260" w:lineRule="exact"/>
              <w:rPr>
                <w:rFonts w:ascii="Arial" w:hAnsi="Arial" w:cs="Tahoma"/>
                <w:color w:val="000000"/>
                <w:sz w:val="24"/>
                <w:szCs w:val="18"/>
                <w:rtl/>
              </w:rPr>
            </w:pPr>
            <w:r w:rsidRPr="004353A2">
              <w:rPr>
                <w:rFonts w:ascii="Arial" w:hAnsi="Arial" w:cs="Tahoma"/>
                <w:color w:val="000000"/>
                <w:sz w:val="24"/>
                <w:szCs w:val="18"/>
                <w:rtl/>
              </w:rPr>
              <w:t>טיפול המשטרה והפרקליטות בסגירת תיקים פליליים</w:t>
            </w:r>
          </w:p>
        </w:tc>
        <w:tc>
          <w:tcPr>
            <w:tcW w:w="1121" w:type="dxa"/>
            <w:tcBorders>
              <w:top w:val="nil"/>
              <w:left w:val="nil"/>
              <w:bottom w:val="nil"/>
              <w:right w:val="nil"/>
            </w:tcBorders>
          </w:tcPr>
          <w:p w:rsidR="00AA5AC3" w:rsidP="00B6233D" w14:paraId="223437CE" w14:textId="4E63F3FB">
            <w:pPr>
              <w:pStyle w:val="71316"/>
              <w:spacing w:before="80" w:after="80" w:line="240" w:lineRule="auto"/>
              <w:rPr>
                <w:rFonts w:ascii="Arial" w:hAnsi="Arial"/>
                <w:b w:val="0"/>
                <w:bCs w:val="0"/>
                <w:color w:val="000000"/>
                <w:sz w:val="24"/>
                <w:szCs w:val="18"/>
                <w:rtl/>
              </w:rPr>
            </w:pPr>
            <w:r>
              <w:rPr>
                <w:rFonts w:ascii="Arial" w:hAnsi="Arial" w:hint="cs"/>
                <w:b w:val="0"/>
                <w:bCs w:val="0"/>
                <w:color w:val="000000"/>
                <w:sz w:val="24"/>
                <w:szCs w:val="18"/>
                <w:rtl/>
              </w:rPr>
              <w:t>765</w:t>
            </w:r>
          </w:p>
        </w:tc>
      </w:tr>
      <w:tr w14:paraId="39304888"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7360" w:type="dxa"/>
            <w:gridSpan w:val="2"/>
            <w:tcBorders>
              <w:top w:val="nil"/>
              <w:left w:val="nil"/>
              <w:bottom w:val="nil"/>
              <w:right w:val="nil"/>
            </w:tcBorders>
          </w:tcPr>
          <w:p w:rsidR="00AA5AC3" w:rsidRPr="00D20731" w:rsidP="00B6233D" w14:paraId="62A042D1" w14:textId="77777777">
            <w:pPr>
              <w:pStyle w:val="7190"/>
              <w:spacing w:after="480"/>
              <w:rPr>
                <w:b/>
                <w:bCs/>
                <w:sz w:val="26"/>
                <w:szCs w:val="26"/>
                <w:rtl/>
              </w:rPr>
            </w:pPr>
            <w:r w:rsidRPr="008D1894">
              <w:rPr>
                <w:rFonts w:eastAsia="Times New Roman" w:hint="cs"/>
                <w:color w:val="00305F"/>
                <w:spacing w:val="100"/>
                <w:sz w:val="32"/>
                <w:szCs w:val="32"/>
                <w:rtl/>
              </w:rPr>
              <w:t xml:space="preserve">כרך </w:t>
            </w:r>
            <w:r>
              <w:rPr>
                <w:rFonts w:eastAsia="Times New Roman" w:hint="cs"/>
                <w:color w:val="00305F"/>
                <w:spacing w:val="100"/>
                <w:sz w:val="32"/>
                <w:szCs w:val="32"/>
                <w:rtl/>
              </w:rPr>
              <w:t>שלישי</w:t>
            </w:r>
          </w:p>
        </w:tc>
      </w:tr>
      <w:tr w14:paraId="295FD509"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7360" w:type="dxa"/>
            <w:gridSpan w:val="2"/>
            <w:tcBorders>
              <w:top w:val="nil"/>
              <w:left w:val="nil"/>
              <w:bottom w:val="nil"/>
              <w:right w:val="nil"/>
            </w:tcBorders>
          </w:tcPr>
          <w:p w:rsidR="00AA5AC3" w:rsidRPr="00D20731" w:rsidP="00B6233D" w14:paraId="0C5B65DF" w14:textId="77777777">
            <w:pPr>
              <w:pStyle w:val="71316"/>
              <w:spacing w:before="100" w:after="200" w:line="240" w:lineRule="auto"/>
              <w:rPr>
                <w:rFonts w:ascii="Arial" w:hAnsi="Arial"/>
                <w:b w:val="0"/>
                <w:bCs w:val="0"/>
                <w:color w:val="000000"/>
                <w:sz w:val="26"/>
                <w:szCs w:val="26"/>
                <w:rtl/>
              </w:rPr>
            </w:pPr>
            <w:r w:rsidRPr="00D20731">
              <w:rPr>
                <w:rFonts w:hint="cs"/>
                <w:b w:val="0"/>
                <w:bCs w:val="0"/>
                <w:sz w:val="26"/>
                <w:szCs w:val="26"/>
                <w:rtl/>
              </w:rPr>
              <w:t>פרק שני |</w:t>
            </w:r>
            <w:r w:rsidRPr="00D20731">
              <w:rPr>
                <w:rFonts w:hint="cs"/>
                <w:sz w:val="26"/>
                <w:szCs w:val="26"/>
                <w:rtl/>
              </w:rPr>
              <w:t xml:space="preserve"> </w:t>
            </w:r>
            <w:r>
              <w:rPr>
                <w:rFonts w:hint="cs"/>
                <w:sz w:val="26"/>
                <w:szCs w:val="26"/>
                <w:rtl/>
              </w:rPr>
              <w:t>משרדי ממשלה</w:t>
            </w:r>
          </w:p>
        </w:tc>
      </w:tr>
      <w:tr w14:paraId="533C200C"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8D4A5C" w:rsidP="00B6233D" w14:paraId="5C7C7683" w14:textId="240BA244">
            <w:pPr>
              <w:pStyle w:val="7190"/>
              <w:spacing w:before="240" w:after="80"/>
              <w:rPr>
                <w:rFonts w:ascii="Arial" w:hAnsi="Arial"/>
                <w:color w:val="000000"/>
                <w:rtl/>
              </w:rPr>
            </w:pPr>
            <w:r w:rsidRPr="006C36E2">
              <w:rPr>
                <w:rFonts w:hint="cs"/>
                <w:b/>
                <w:bCs/>
                <w:color w:val="00305F"/>
                <w:sz w:val="20"/>
                <w:szCs w:val="20"/>
                <w:rtl/>
              </w:rPr>
              <w:t xml:space="preserve">משרד ראש הממשלה </w:t>
            </w:r>
            <w:r w:rsidR="00380305">
              <w:rPr>
                <w:rFonts w:hint="cs"/>
                <w:b/>
                <w:bCs/>
                <w:color w:val="00305F"/>
                <w:sz w:val="20"/>
                <w:szCs w:val="20"/>
                <w:rtl/>
              </w:rPr>
              <w:t>-</w:t>
            </w:r>
            <w:r w:rsidRPr="006C36E2">
              <w:rPr>
                <w:rFonts w:hint="cs"/>
                <w:b/>
                <w:bCs/>
                <w:color w:val="00305F"/>
                <w:sz w:val="20"/>
                <w:szCs w:val="20"/>
                <w:rtl/>
              </w:rPr>
              <w:t xml:space="preserve"> נציבות שירות המדינה</w:t>
            </w:r>
          </w:p>
        </w:tc>
        <w:tc>
          <w:tcPr>
            <w:tcW w:w="1121" w:type="dxa"/>
            <w:tcBorders>
              <w:top w:val="nil"/>
              <w:left w:val="nil"/>
              <w:bottom w:val="nil"/>
              <w:right w:val="nil"/>
            </w:tcBorders>
          </w:tcPr>
          <w:p w:rsidR="00AA5AC3" w:rsidP="00B6233D" w14:paraId="2DDB5AEE" w14:textId="77777777">
            <w:pPr>
              <w:pStyle w:val="71316"/>
              <w:spacing w:before="240" w:after="80" w:line="240" w:lineRule="auto"/>
              <w:rPr>
                <w:rFonts w:ascii="Arial" w:hAnsi="Arial"/>
                <w:b w:val="0"/>
                <w:bCs w:val="0"/>
                <w:color w:val="000000"/>
                <w:sz w:val="18"/>
                <w:szCs w:val="18"/>
                <w:rtl/>
              </w:rPr>
            </w:pPr>
          </w:p>
        </w:tc>
      </w:tr>
      <w:tr w14:paraId="0AB466E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A103B8" w:rsidP="00B6233D" w14:paraId="44A6400E" w14:textId="77777777">
            <w:pPr>
              <w:tabs>
                <w:tab w:val="right" w:pos="12"/>
                <w:tab w:val="right" w:pos="156"/>
              </w:tabs>
              <w:spacing w:before="80" w:after="80"/>
              <w:rPr>
                <w:b/>
                <w:bCs/>
                <w:color w:val="00305F"/>
                <w:szCs w:val="20"/>
                <w:rtl/>
              </w:rPr>
            </w:pPr>
            <w:r w:rsidRPr="004353A2">
              <w:rPr>
                <w:rFonts w:ascii="Arial" w:hAnsi="Arial" w:cs="Tahoma"/>
                <w:color w:val="000000"/>
                <w:sz w:val="18"/>
                <w:szCs w:val="18"/>
                <w:rtl/>
              </w:rPr>
              <w:t xml:space="preserve">הטיפול בעבירות משמעת בשירות המדינה - </w:t>
            </w:r>
            <w:r w:rsidRPr="004353A2">
              <w:rPr>
                <w:rFonts w:ascii="Arial" w:hAnsi="Arial" w:cs="Tahoma" w:hint="cs"/>
                <w:color w:val="000000"/>
                <w:sz w:val="18"/>
                <w:szCs w:val="18"/>
                <w:rtl/>
              </w:rPr>
              <w:t xml:space="preserve">ביקורת </w:t>
            </w:r>
            <w:r w:rsidRPr="004353A2">
              <w:rPr>
                <w:rFonts w:ascii="Arial" w:hAnsi="Arial" w:cs="Tahoma"/>
                <w:color w:val="000000"/>
                <w:sz w:val="18"/>
                <w:szCs w:val="18"/>
                <w:rtl/>
              </w:rPr>
              <w:t>מעקב מורחב</w:t>
            </w:r>
            <w:r w:rsidRPr="004353A2">
              <w:rPr>
                <w:rFonts w:ascii="Arial" w:hAnsi="Arial" w:cs="Tahoma" w:hint="cs"/>
                <w:color w:val="000000"/>
                <w:sz w:val="18"/>
                <w:szCs w:val="18"/>
                <w:rtl/>
              </w:rPr>
              <w:t>ת</w:t>
            </w:r>
          </w:p>
        </w:tc>
        <w:tc>
          <w:tcPr>
            <w:tcW w:w="1121" w:type="dxa"/>
            <w:tcBorders>
              <w:top w:val="nil"/>
              <w:left w:val="nil"/>
              <w:bottom w:val="nil"/>
              <w:right w:val="nil"/>
            </w:tcBorders>
          </w:tcPr>
          <w:p w:rsidR="00AA5AC3" w:rsidP="00B6233D" w14:paraId="38F42ECE" w14:textId="434B690E">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857</w:t>
            </w:r>
          </w:p>
        </w:tc>
      </w:tr>
      <w:tr w14:paraId="7FC0F7E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A103B8" w:rsidP="00B6233D" w14:paraId="45DBC1F8" w14:textId="77777777">
            <w:pPr>
              <w:spacing w:before="240" w:after="80"/>
              <w:rPr>
                <w:b/>
                <w:bCs/>
                <w:color w:val="00305F"/>
                <w:szCs w:val="20"/>
                <w:rtl/>
              </w:rPr>
            </w:pPr>
            <w:r w:rsidRPr="004353A2">
              <w:rPr>
                <w:rFonts w:ascii="Tahoma" w:hAnsi="Tahoma" w:cs="Tahoma" w:hint="cs"/>
                <w:b/>
                <w:bCs/>
                <w:color w:val="00305F"/>
                <w:szCs w:val="20"/>
                <w:rtl/>
              </w:rPr>
              <w:t>משרד האוצר</w:t>
            </w:r>
          </w:p>
        </w:tc>
        <w:tc>
          <w:tcPr>
            <w:tcW w:w="1121" w:type="dxa"/>
            <w:tcBorders>
              <w:top w:val="nil"/>
              <w:left w:val="nil"/>
              <w:bottom w:val="nil"/>
              <w:right w:val="nil"/>
            </w:tcBorders>
          </w:tcPr>
          <w:p w:rsidR="00AA5AC3" w:rsidP="00B6233D" w14:paraId="1AAD2714" w14:textId="77777777">
            <w:pPr>
              <w:pStyle w:val="71316"/>
              <w:spacing w:before="240" w:after="80" w:line="240" w:lineRule="auto"/>
              <w:rPr>
                <w:rFonts w:ascii="Arial" w:hAnsi="Arial"/>
                <w:b w:val="0"/>
                <w:bCs w:val="0"/>
                <w:color w:val="000000"/>
                <w:sz w:val="18"/>
                <w:szCs w:val="18"/>
                <w:rtl/>
              </w:rPr>
            </w:pPr>
          </w:p>
        </w:tc>
      </w:tr>
      <w:tr w14:paraId="2CD436F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6C36E2" w:rsidP="00B6233D" w14:paraId="28F2C690" w14:textId="77777777">
            <w:pPr>
              <w:tabs>
                <w:tab w:val="right" w:pos="12"/>
                <w:tab w:val="right" w:pos="156"/>
              </w:tabs>
              <w:spacing w:before="80" w:after="80"/>
              <w:rPr>
                <w:b/>
                <w:bCs/>
                <w:color w:val="00305F"/>
                <w:szCs w:val="20"/>
                <w:rtl/>
              </w:rPr>
            </w:pPr>
            <w:r w:rsidRPr="004353A2">
              <w:rPr>
                <w:rFonts w:ascii="Arial" w:hAnsi="Arial" w:cs="Tahoma"/>
                <w:color w:val="000000"/>
                <w:sz w:val="18"/>
                <w:szCs w:val="18"/>
                <w:rtl/>
              </w:rPr>
              <w:t>הדוחות הכספיים של מדינת ישראל ליום 31.12.2020 - חייבים ויתרות חובה</w:t>
            </w:r>
          </w:p>
        </w:tc>
        <w:tc>
          <w:tcPr>
            <w:tcW w:w="1121" w:type="dxa"/>
            <w:tcBorders>
              <w:top w:val="nil"/>
              <w:left w:val="nil"/>
              <w:bottom w:val="nil"/>
              <w:right w:val="nil"/>
            </w:tcBorders>
          </w:tcPr>
          <w:p w:rsidR="00AA5AC3" w:rsidP="00B6233D" w14:paraId="04B848F9" w14:textId="1F93A8FC">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957</w:t>
            </w:r>
          </w:p>
        </w:tc>
      </w:tr>
      <w:tr w14:paraId="4773DD1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6C36E2" w:rsidP="00B6233D" w14:paraId="644CCE7C" w14:textId="77777777">
            <w:pPr>
              <w:spacing w:before="240" w:after="80"/>
              <w:rPr>
                <w:b/>
                <w:bCs/>
                <w:color w:val="00305F"/>
                <w:szCs w:val="20"/>
                <w:rtl/>
              </w:rPr>
            </w:pPr>
            <w:r w:rsidRPr="004353A2">
              <w:rPr>
                <w:rFonts w:ascii="Tahoma" w:hAnsi="Tahoma" w:cs="Tahoma" w:hint="cs"/>
                <w:b/>
                <w:bCs/>
                <w:color w:val="00305F"/>
                <w:szCs w:val="20"/>
                <w:rtl/>
              </w:rPr>
              <w:t>משרד הבריאות</w:t>
            </w:r>
          </w:p>
        </w:tc>
        <w:tc>
          <w:tcPr>
            <w:tcW w:w="1121" w:type="dxa"/>
            <w:tcBorders>
              <w:top w:val="nil"/>
              <w:left w:val="nil"/>
              <w:bottom w:val="nil"/>
              <w:right w:val="nil"/>
            </w:tcBorders>
          </w:tcPr>
          <w:p w:rsidR="00AA5AC3" w:rsidP="00B6233D" w14:paraId="719A4C73" w14:textId="77777777">
            <w:pPr>
              <w:pStyle w:val="71316"/>
              <w:spacing w:before="240" w:after="80" w:line="240" w:lineRule="auto"/>
              <w:rPr>
                <w:rFonts w:ascii="Arial" w:hAnsi="Arial"/>
                <w:b w:val="0"/>
                <w:bCs w:val="0"/>
                <w:color w:val="000000"/>
                <w:sz w:val="18"/>
                <w:szCs w:val="18"/>
                <w:rtl/>
              </w:rPr>
            </w:pPr>
          </w:p>
        </w:tc>
      </w:tr>
      <w:tr w14:paraId="5299432E"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8D1894" w:rsidP="00B6233D" w14:paraId="42F50123" w14:textId="77777777">
            <w:pPr>
              <w:tabs>
                <w:tab w:val="right" w:pos="12"/>
                <w:tab w:val="right" w:pos="156"/>
              </w:tabs>
              <w:spacing w:before="80" w:after="80"/>
              <w:rPr>
                <w:b/>
                <w:bCs/>
                <w:color w:val="00305F"/>
                <w:szCs w:val="20"/>
                <w:rtl/>
              </w:rPr>
            </w:pPr>
            <w:r w:rsidRPr="004353A2">
              <w:rPr>
                <w:rFonts w:ascii="Arial" w:hAnsi="Arial" w:cs="Tahoma"/>
                <w:color w:val="000000"/>
                <w:sz w:val="18"/>
                <w:szCs w:val="18"/>
                <w:rtl/>
              </w:rPr>
              <w:t>הרחבת סל שירותי הבריאות - תוספת תרופות וטכנולוגיות</w:t>
            </w:r>
          </w:p>
        </w:tc>
        <w:tc>
          <w:tcPr>
            <w:tcW w:w="1121" w:type="dxa"/>
            <w:tcBorders>
              <w:top w:val="nil"/>
              <w:left w:val="nil"/>
              <w:bottom w:val="nil"/>
              <w:right w:val="nil"/>
            </w:tcBorders>
          </w:tcPr>
          <w:p w:rsidR="00AA5AC3" w:rsidP="00B6233D" w14:paraId="4C397062" w14:textId="03F18586">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1055</w:t>
            </w:r>
          </w:p>
        </w:tc>
      </w:tr>
      <w:tr w14:paraId="78EF5D2A"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6C36E2" w:rsidP="00B6233D" w14:paraId="5CB324E9" w14:textId="77777777">
            <w:pPr>
              <w:tabs>
                <w:tab w:val="right" w:pos="12"/>
                <w:tab w:val="right" w:pos="156"/>
              </w:tabs>
              <w:spacing w:before="80" w:after="80"/>
              <w:rPr>
                <w:b/>
                <w:bCs/>
                <w:color w:val="00305F"/>
                <w:szCs w:val="20"/>
                <w:rtl/>
              </w:rPr>
            </w:pPr>
            <w:r w:rsidRPr="004353A2">
              <w:rPr>
                <w:rFonts w:ascii="Arial" w:hAnsi="Arial" w:cs="Tahoma"/>
                <w:color w:val="000000"/>
                <w:sz w:val="18"/>
                <w:szCs w:val="18"/>
                <w:rtl/>
              </w:rPr>
              <w:t>הגנת סייבר על מכשירים רפואיים ואבטחת המידע הנאגר בהם</w:t>
            </w:r>
          </w:p>
        </w:tc>
        <w:tc>
          <w:tcPr>
            <w:tcW w:w="1121" w:type="dxa"/>
            <w:tcBorders>
              <w:top w:val="nil"/>
              <w:left w:val="nil"/>
              <w:bottom w:val="nil"/>
              <w:right w:val="nil"/>
            </w:tcBorders>
          </w:tcPr>
          <w:p w:rsidR="00AA5AC3" w:rsidP="00B6233D" w14:paraId="5F9BD962" w14:textId="54B9E407">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1131</w:t>
            </w:r>
          </w:p>
        </w:tc>
      </w:tr>
      <w:tr w14:paraId="1FB6E83C"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6C36E2" w:rsidP="00B6233D" w14:paraId="11D608ED" w14:textId="77777777">
            <w:pPr>
              <w:spacing w:before="240" w:after="80"/>
              <w:rPr>
                <w:b/>
                <w:bCs/>
                <w:color w:val="00305F"/>
                <w:szCs w:val="20"/>
                <w:rtl/>
              </w:rPr>
            </w:pPr>
            <w:r w:rsidRPr="004353A2">
              <w:rPr>
                <w:rFonts w:ascii="Tahoma" w:hAnsi="Tahoma" w:cs="Tahoma" w:hint="cs"/>
                <w:b/>
                <w:bCs/>
                <w:color w:val="00305F"/>
                <w:szCs w:val="20"/>
                <w:rtl/>
              </w:rPr>
              <w:t>משרד החוץ</w:t>
            </w:r>
          </w:p>
        </w:tc>
        <w:tc>
          <w:tcPr>
            <w:tcW w:w="1121" w:type="dxa"/>
            <w:tcBorders>
              <w:top w:val="nil"/>
              <w:left w:val="nil"/>
              <w:bottom w:val="nil"/>
              <w:right w:val="nil"/>
            </w:tcBorders>
          </w:tcPr>
          <w:p w:rsidR="00AA5AC3" w:rsidP="00B6233D" w14:paraId="5B211887" w14:textId="3914DD81">
            <w:pPr>
              <w:pStyle w:val="71316"/>
              <w:spacing w:before="240" w:after="80" w:line="240" w:lineRule="auto"/>
              <w:rPr>
                <w:rFonts w:ascii="Arial" w:hAnsi="Arial"/>
                <w:b w:val="0"/>
                <w:bCs w:val="0"/>
                <w:color w:val="000000"/>
                <w:sz w:val="18"/>
                <w:szCs w:val="18"/>
                <w:rtl/>
              </w:rPr>
            </w:pPr>
          </w:p>
        </w:tc>
      </w:tr>
      <w:tr w14:paraId="6EE42605"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6C36E2" w:rsidP="00B6233D" w14:paraId="46F7FC92" w14:textId="77777777">
            <w:pPr>
              <w:tabs>
                <w:tab w:val="right" w:pos="12"/>
                <w:tab w:val="right" w:pos="156"/>
              </w:tabs>
              <w:spacing w:before="80" w:after="80"/>
              <w:rPr>
                <w:b/>
                <w:bCs/>
                <w:color w:val="00305F"/>
                <w:szCs w:val="20"/>
                <w:rtl/>
              </w:rPr>
            </w:pPr>
            <w:r w:rsidRPr="004353A2">
              <w:rPr>
                <w:rFonts w:ascii="Arial" w:hAnsi="Arial" w:cs="Tahoma"/>
                <w:color w:val="000000"/>
                <w:sz w:val="18"/>
                <w:szCs w:val="18"/>
                <w:rtl/>
              </w:rPr>
              <w:t>התכנון והניהול של משאבי האנוש במשרד החוץ -</w:t>
            </w:r>
            <w:r w:rsidRPr="004353A2">
              <w:rPr>
                <w:rFonts w:ascii="Arial" w:hAnsi="Arial" w:cs="Tahoma" w:hint="cs"/>
                <w:color w:val="000000"/>
                <w:sz w:val="18"/>
                <w:szCs w:val="18"/>
                <w:rtl/>
              </w:rPr>
              <w:t xml:space="preserve"> ביקורת</w:t>
            </w:r>
            <w:r w:rsidRPr="004353A2">
              <w:rPr>
                <w:rFonts w:ascii="Arial" w:hAnsi="Arial" w:cs="Tahoma"/>
                <w:color w:val="000000"/>
                <w:sz w:val="18"/>
                <w:szCs w:val="18"/>
                <w:rtl/>
              </w:rPr>
              <w:t xml:space="preserve"> מעקב</w:t>
            </w:r>
          </w:p>
        </w:tc>
        <w:tc>
          <w:tcPr>
            <w:tcW w:w="1121" w:type="dxa"/>
            <w:tcBorders>
              <w:top w:val="nil"/>
              <w:left w:val="nil"/>
              <w:bottom w:val="nil"/>
              <w:right w:val="nil"/>
            </w:tcBorders>
          </w:tcPr>
          <w:p w:rsidR="00AA5AC3" w:rsidP="00B6233D" w14:paraId="32A13E6A" w14:textId="6EC240E2">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1239</w:t>
            </w:r>
          </w:p>
        </w:tc>
      </w:tr>
      <w:tr w14:paraId="5124A2B1"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8D1894" w:rsidP="00B6233D" w14:paraId="419392E4" w14:textId="77777777">
            <w:pPr>
              <w:tabs>
                <w:tab w:val="right" w:pos="12"/>
                <w:tab w:val="right" w:pos="156"/>
              </w:tabs>
              <w:spacing w:before="80" w:after="80"/>
              <w:rPr>
                <w:b/>
                <w:bCs/>
                <w:color w:val="00305F"/>
                <w:szCs w:val="20"/>
                <w:rtl/>
              </w:rPr>
            </w:pPr>
            <w:r w:rsidRPr="004353A2">
              <w:rPr>
                <w:rFonts w:ascii="Arial" w:hAnsi="Arial" w:cs="Tahoma"/>
                <w:color w:val="000000"/>
                <w:sz w:val="18"/>
                <w:szCs w:val="18"/>
                <w:rtl/>
              </w:rPr>
              <w:t>העסקת עובדים מקומיים בנציגויות ישראל בחו"ל -</w:t>
            </w:r>
            <w:r w:rsidRPr="004353A2">
              <w:rPr>
                <w:rFonts w:ascii="Arial" w:hAnsi="Arial" w:cs="Tahoma" w:hint="cs"/>
                <w:color w:val="000000"/>
                <w:sz w:val="18"/>
                <w:szCs w:val="18"/>
                <w:rtl/>
              </w:rPr>
              <w:t xml:space="preserve"> ביקורת</w:t>
            </w:r>
            <w:r w:rsidRPr="004353A2">
              <w:rPr>
                <w:rFonts w:ascii="Arial" w:hAnsi="Arial" w:cs="Tahoma"/>
                <w:color w:val="000000"/>
                <w:sz w:val="18"/>
                <w:szCs w:val="18"/>
                <w:rtl/>
              </w:rPr>
              <w:t xml:space="preserve"> מעקב</w:t>
            </w:r>
          </w:p>
        </w:tc>
        <w:tc>
          <w:tcPr>
            <w:tcW w:w="1121" w:type="dxa"/>
            <w:tcBorders>
              <w:top w:val="nil"/>
              <w:left w:val="nil"/>
              <w:bottom w:val="nil"/>
              <w:right w:val="nil"/>
            </w:tcBorders>
          </w:tcPr>
          <w:p w:rsidR="00AA5AC3" w:rsidP="00B6233D" w14:paraId="5576FF15" w14:textId="3971E87C">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1295</w:t>
            </w:r>
          </w:p>
        </w:tc>
      </w:tr>
      <w:tr w14:paraId="1D9F188E"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4353A2" w:rsidP="00B6233D" w14:paraId="058246E2" w14:textId="77777777">
            <w:pPr>
              <w:tabs>
                <w:tab w:val="right" w:pos="12"/>
                <w:tab w:val="right" w:pos="156"/>
              </w:tabs>
              <w:spacing w:before="720" w:after="480"/>
              <w:rPr>
                <w:rFonts w:ascii="Arial" w:hAnsi="Arial" w:cs="Tahoma"/>
                <w:color w:val="000000"/>
                <w:sz w:val="18"/>
                <w:szCs w:val="18"/>
                <w:rtl/>
              </w:rPr>
            </w:pPr>
            <w:r w:rsidRPr="008D1894">
              <w:rPr>
                <w:rFonts w:ascii="Tahoma" w:eastAsia="Times New Roman" w:hAnsi="Tahoma" w:cs="Tahoma" w:hint="cs"/>
                <w:color w:val="00305F"/>
                <w:spacing w:val="100"/>
                <w:sz w:val="32"/>
                <w:szCs w:val="32"/>
                <w:rtl/>
              </w:rPr>
              <w:t xml:space="preserve">כרך </w:t>
            </w:r>
            <w:r>
              <w:rPr>
                <w:rFonts w:ascii="Tahoma" w:eastAsia="Times New Roman" w:hAnsi="Tahoma" w:cs="Tahoma" w:hint="cs"/>
                <w:color w:val="00305F"/>
                <w:spacing w:val="100"/>
                <w:sz w:val="32"/>
                <w:szCs w:val="32"/>
                <w:rtl/>
              </w:rPr>
              <w:t>רביעי</w:t>
            </w:r>
          </w:p>
        </w:tc>
        <w:tc>
          <w:tcPr>
            <w:tcW w:w="1121" w:type="dxa"/>
            <w:tcBorders>
              <w:top w:val="nil"/>
              <w:left w:val="nil"/>
              <w:bottom w:val="nil"/>
              <w:right w:val="nil"/>
            </w:tcBorders>
          </w:tcPr>
          <w:p w:rsidR="00AA5AC3" w:rsidP="00B6233D" w14:paraId="71E5F2C3" w14:textId="77777777">
            <w:pPr>
              <w:pStyle w:val="71316"/>
              <w:spacing w:before="720" w:after="480" w:line="240" w:lineRule="auto"/>
              <w:rPr>
                <w:rFonts w:ascii="Arial" w:hAnsi="Arial"/>
                <w:b w:val="0"/>
                <w:bCs w:val="0"/>
                <w:color w:val="000000"/>
                <w:sz w:val="18"/>
                <w:szCs w:val="18"/>
                <w:rtl/>
              </w:rPr>
            </w:pPr>
          </w:p>
        </w:tc>
      </w:tr>
      <w:tr w14:paraId="44451078"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905578" w:rsidP="00B6233D" w14:paraId="7B7DC0D8" w14:textId="6CFA0C04">
            <w:pPr>
              <w:tabs>
                <w:tab w:val="right" w:pos="12"/>
                <w:tab w:val="right" w:pos="156"/>
              </w:tabs>
              <w:spacing w:before="100" w:after="200"/>
              <w:rPr>
                <w:rFonts w:ascii="Tahoma" w:hAnsi="Tahoma" w:cs="Tahoma"/>
                <w:b/>
                <w:bCs/>
                <w:color w:val="00305F"/>
                <w:szCs w:val="20"/>
                <w:rtl/>
              </w:rPr>
            </w:pPr>
            <w:r w:rsidRPr="00905578">
              <w:rPr>
                <w:rFonts w:ascii="Tahoma" w:eastAsia="Times New Roman" w:hAnsi="Tahoma" w:cs="Tahoma" w:hint="cs"/>
                <w:color w:val="00305F"/>
                <w:szCs w:val="20"/>
                <w:rtl/>
              </w:rPr>
              <w:t xml:space="preserve">פרק שני | </w:t>
            </w:r>
            <w:r w:rsidRPr="00905578">
              <w:rPr>
                <w:rFonts w:ascii="Tahoma" w:eastAsia="Times New Roman" w:hAnsi="Tahoma" w:cs="Tahoma" w:hint="cs"/>
                <w:b/>
                <w:bCs/>
                <w:color w:val="00305F"/>
                <w:szCs w:val="20"/>
                <w:rtl/>
              </w:rPr>
              <w:t>משרדי ממשלה</w:t>
            </w:r>
            <w:r w:rsidRPr="00905578" w:rsidR="00384847">
              <w:rPr>
                <w:rFonts w:ascii="Tahoma" w:hAnsi="Tahoma" w:cs="Tahoma" w:hint="cs"/>
                <w:b/>
                <w:bCs/>
                <w:color w:val="00305F"/>
                <w:szCs w:val="20"/>
                <w:rtl/>
              </w:rPr>
              <w:t xml:space="preserve"> - המשך</w:t>
            </w:r>
          </w:p>
        </w:tc>
        <w:tc>
          <w:tcPr>
            <w:tcW w:w="1121" w:type="dxa"/>
            <w:tcBorders>
              <w:top w:val="nil"/>
              <w:left w:val="nil"/>
              <w:bottom w:val="nil"/>
              <w:right w:val="nil"/>
            </w:tcBorders>
          </w:tcPr>
          <w:p w:rsidR="00AA5AC3" w:rsidP="00B6233D" w14:paraId="225C26B1" w14:textId="77777777">
            <w:pPr>
              <w:pStyle w:val="71316"/>
              <w:spacing w:before="100" w:after="100" w:line="240" w:lineRule="auto"/>
              <w:rPr>
                <w:rFonts w:ascii="Arial" w:hAnsi="Arial"/>
                <w:b w:val="0"/>
                <w:bCs w:val="0"/>
                <w:color w:val="000000"/>
                <w:sz w:val="18"/>
                <w:szCs w:val="18"/>
                <w:rtl/>
              </w:rPr>
            </w:pPr>
          </w:p>
        </w:tc>
      </w:tr>
      <w:tr w14:paraId="55333202"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4353A2" w:rsidP="00B6233D" w14:paraId="28959FF7" w14:textId="77777777">
            <w:pPr>
              <w:tabs>
                <w:tab w:val="right" w:pos="12"/>
                <w:tab w:val="right" w:pos="156"/>
              </w:tabs>
              <w:spacing w:before="240" w:after="80"/>
              <w:rPr>
                <w:rFonts w:ascii="Tahoma" w:hAnsi="Tahoma" w:cs="Tahoma"/>
                <w:b/>
                <w:bCs/>
                <w:color w:val="00305F"/>
                <w:szCs w:val="20"/>
                <w:rtl/>
              </w:rPr>
            </w:pPr>
            <w:r w:rsidRPr="004353A2">
              <w:rPr>
                <w:rFonts w:ascii="Tahoma" w:hAnsi="Tahoma" w:cs="Tahoma" w:hint="cs"/>
                <w:b/>
                <w:bCs/>
                <w:color w:val="00305F"/>
                <w:szCs w:val="20"/>
                <w:rtl/>
              </w:rPr>
              <w:t>משרד החקלאות ופיתוח הכפר</w:t>
            </w:r>
          </w:p>
        </w:tc>
        <w:tc>
          <w:tcPr>
            <w:tcW w:w="1121" w:type="dxa"/>
            <w:tcBorders>
              <w:top w:val="nil"/>
              <w:left w:val="nil"/>
              <w:bottom w:val="nil"/>
              <w:right w:val="nil"/>
            </w:tcBorders>
          </w:tcPr>
          <w:p w:rsidR="00AA5AC3" w:rsidP="00B6233D" w14:paraId="0F268E71" w14:textId="77777777">
            <w:pPr>
              <w:pStyle w:val="71316"/>
              <w:spacing w:before="240" w:after="80" w:line="240" w:lineRule="auto"/>
              <w:rPr>
                <w:rFonts w:ascii="Arial" w:hAnsi="Arial"/>
                <w:b w:val="0"/>
                <w:bCs w:val="0"/>
                <w:color w:val="000000"/>
                <w:sz w:val="18"/>
                <w:szCs w:val="18"/>
                <w:rtl/>
              </w:rPr>
            </w:pPr>
          </w:p>
        </w:tc>
      </w:tr>
      <w:tr w14:paraId="50AC8C98"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4353A2" w:rsidP="00B6233D" w14:paraId="28124FF8" w14:textId="77777777">
            <w:pPr>
              <w:tabs>
                <w:tab w:val="right" w:pos="12"/>
                <w:tab w:val="right" w:pos="156"/>
              </w:tabs>
              <w:spacing w:before="80" w:after="80"/>
              <w:rPr>
                <w:rFonts w:ascii="Tahoma" w:hAnsi="Tahoma" w:cs="Tahoma"/>
                <w:b/>
                <w:bCs/>
                <w:color w:val="00305F"/>
                <w:szCs w:val="20"/>
                <w:rtl/>
              </w:rPr>
            </w:pPr>
            <w:r w:rsidRPr="004353A2">
              <w:rPr>
                <w:rFonts w:ascii="Arial" w:hAnsi="Arial" w:cs="Tahoma"/>
                <w:color w:val="000000"/>
                <w:sz w:val="18"/>
                <w:szCs w:val="18"/>
                <w:rtl/>
              </w:rPr>
              <w:t>ייצור ביצים בישראל</w:t>
            </w:r>
            <w:r w:rsidRPr="004353A2">
              <w:rPr>
                <w:rFonts w:ascii="Arial" w:hAnsi="Arial" w:cs="Tahoma" w:hint="cs"/>
                <w:color w:val="000000"/>
                <w:sz w:val="18"/>
                <w:szCs w:val="18"/>
                <w:rtl/>
              </w:rPr>
              <w:t xml:space="preserve"> -</w:t>
            </w:r>
            <w:r w:rsidRPr="004353A2">
              <w:rPr>
                <w:rFonts w:ascii="Arial" w:hAnsi="Arial" w:cs="Tahoma"/>
                <w:color w:val="000000"/>
                <w:sz w:val="18"/>
                <w:szCs w:val="18"/>
                <w:rtl/>
              </w:rPr>
              <w:t xml:space="preserve"> יישום הרפורמה בלולי הטלה</w:t>
            </w:r>
          </w:p>
        </w:tc>
        <w:tc>
          <w:tcPr>
            <w:tcW w:w="1121" w:type="dxa"/>
            <w:tcBorders>
              <w:top w:val="nil"/>
              <w:left w:val="nil"/>
              <w:bottom w:val="nil"/>
              <w:right w:val="nil"/>
            </w:tcBorders>
          </w:tcPr>
          <w:p w:rsidR="00AA5AC3" w:rsidP="00B6233D" w14:paraId="61929D61" w14:textId="47360487">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1357</w:t>
            </w:r>
          </w:p>
        </w:tc>
      </w:tr>
      <w:tr w14:paraId="39D6EFFE"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4353A2" w:rsidP="00B6233D" w14:paraId="069A94D0" w14:textId="77777777">
            <w:pPr>
              <w:tabs>
                <w:tab w:val="right" w:pos="12"/>
                <w:tab w:val="right" w:pos="156"/>
              </w:tabs>
              <w:spacing w:before="240" w:after="80"/>
              <w:rPr>
                <w:rFonts w:ascii="Tahoma" w:hAnsi="Tahoma" w:cs="Tahoma"/>
                <w:b/>
                <w:bCs/>
                <w:color w:val="00305F"/>
                <w:szCs w:val="20"/>
                <w:rtl/>
              </w:rPr>
            </w:pPr>
            <w:r w:rsidRPr="004353A2">
              <w:rPr>
                <w:rFonts w:ascii="Tahoma" w:hAnsi="Tahoma" w:cs="Tahoma" w:hint="cs"/>
                <w:b/>
                <w:bCs/>
                <w:color w:val="00305F"/>
                <w:szCs w:val="20"/>
                <w:rtl/>
              </w:rPr>
              <w:t>משרד החינוך</w:t>
            </w:r>
          </w:p>
        </w:tc>
        <w:tc>
          <w:tcPr>
            <w:tcW w:w="1121" w:type="dxa"/>
            <w:tcBorders>
              <w:top w:val="nil"/>
              <w:left w:val="nil"/>
              <w:bottom w:val="nil"/>
              <w:right w:val="nil"/>
            </w:tcBorders>
          </w:tcPr>
          <w:p w:rsidR="00AA5AC3" w:rsidP="00B6233D" w14:paraId="734BB11F" w14:textId="77777777">
            <w:pPr>
              <w:pStyle w:val="71316"/>
              <w:spacing w:before="240" w:after="80" w:line="240" w:lineRule="auto"/>
              <w:rPr>
                <w:rFonts w:ascii="Arial" w:hAnsi="Arial"/>
                <w:b w:val="0"/>
                <w:bCs w:val="0"/>
                <w:color w:val="000000"/>
                <w:sz w:val="18"/>
                <w:szCs w:val="18"/>
                <w:rtl/>
              </w:rPr>
            </w:pPr>
          </w:p>
        </w:tc>
      </w:tr>
      <w:tr w14:paraId="40986D04"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4353A2" w:rsidP="00B6233D" w14:paraId="05C1B553" w14:textId="1A437906">
            <w:pPr>
              <w:tabs>
                <w:tab w:val="right" w:pos="12"/>
                <w:tab w:val="right" w:pos="156"/>
              </w:tabs>
              <w:spacing w:before="80" w:after="80"/>
              <w:rPr>
                <w:rFonts w:ascii="Tahoma" w:hAnsi="Tahoma" w:cs="Tahoma"/>
                <w:b/>
                <w:bCs/>
                <w:color w:val="00305F"/>
                <w:szCs w:val="20"/>
                <w:rtl/>
              </w:rPr>
            </w:pPr>
            <w:r w:rsidRPr="004353A2">
              <w:rPr>
                <w:rFonts w:ascii="Arial" w:hAnsi="Arial" w:cs="Tahoma" w:hint="cs"/>
                <w:color w:val="000000"/>
                <w:sz w:val="18"/>
                <w:szCs w:val="18"/>
                <w:rtl/>
              </w:rPr>
              <w:t>פ</w:t>
            </w:r>
            <w:r w:rsidRPr="004353A2">
              <w:rPr>
                <w:rFonts w:ascii="Arial" w:hAnsi="Arial" w:cs="Tahoma"/>
                <w:color w:val="000000"/>
                <w:sz w:val="18"/>
                <w:szCs w:val="18"/>
                <w:rtl/>
              </w:rPr>
              <w:t xml:space="preserve">יתוח מוסדות חינוך </w:t>
            </w:r>
            <w:r w:rsidR="00380305">
              <w:rPr>
                <w:rFonts w:ascii="Arial" w:hAnsi="Arial" w:cs="Tahoma" w:hint="cs"/>
                <w:color w:val="000000"/>
                <w:sz w:val="18"/>
                <w:szCs w:val="18"/>
                <w:rtl/>
              </w:rPr>
              <w:t>-</w:t>
            </w:r>
            <w:r w:rsidRPr="004353A2">
              <w:rPr>
                <w:rFonts w:ascii="Arial" w:hAnsi="Arial" w:cs="Tahoma"/>
                <w:color w:val="000000"/>
                <w:sz w:val="18"/>
                <w:szCs w:val="18"/>
                <w:rtl/>
              </w:rPr>
              <w:t xml:space="preserve"> בנייה חדשה והרחבת מבנים קיימים</w:t>
            </w:r>
          </w:p>
        </w:tc>
        <w:tc>
          <w:tcPr>
            <w:tcW w:w="1121" w:type="dxa"/>
            <w:tcBorders>
              <w:top w:val="nil"/>
              <w:left w:val="nil"/>
              <w:bottom w:val="nil"/>
              <w:right w:val="nil"/>
            </w:tcBorders>
          </w:tcPr>
          <w:p w:rsidR="00AA5AC3" w:rsidP="00B6233D" w14:paraId="7355E0A7" w14:textId="0F10A520">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1477</w:t>
            </w:r>
          </w:p>
        </w:tc>
      </w:tr>
      <w:tr w14:paraId="640A9079"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4353A2" w:rsidP="00B6233D" w14:paraId="329B0028" w14:textId="77777777">
            <w:pPr>
              <w:tabs>
                <w:tab w:val="right" w:pos="12"/>
                <w:tab w:val="right" w:pos="156"/>
              </w:tabs>
              <w:spacing w:before="240" w:after="80"/>
              <w:rPr>
                <w:rFonts w:ascii="Arial" w:hAnsi="Arial" w:cs="Tahoma"/>
                <w:color w:val="000000"/>
                <w:sz w:val="18"/>
                <w:szCs w:val="18"/>
                <w:rtl/>
              </w:rPr>
            </w:pPr>
            <w:r w:rsidRPr="004353A2">
              <w:rPr>
                <w:rFonts w:ascii="Tahoma" w:hAnsi="Tahoma" w:cs="Tahoma" w:hint="cs"/>
                <w:b/>
                <w:bCs/>
                <w:color w:val="00305F"/>
                <w:szCs w:val="20"/>
                <w:rtl/>
              </w:rPr>
              <w:t>משרד הכלכלה והתעשייה - זרוע העבודה</w:t>
            </w:r>
          </w:p>
        </w:tc>
        <w:tc>
          <w:tcPr>
            <w:tcW w:w="1121" w:type="dxa"/>
            <w:tcBorders>
              <w:top w:val="nil"/>
              <w:left w:val="nil"/>
              <w:bottom w:val="nil"/>
              <w:right w:val="nil"/>
            </w:tcBorders>
          </w:tcPr>
          <w:p w:rsidR="00AA5AC3" w:rsidP="00B6233D" w14:paraId="7F61BFDD" w14:textId="77777777">
            <w:pPr>
              <w:pStyle w:val="71316"/>
              <w:spacing w:before="200" w:after="80" w:line="240" w:lineRule="auto"/>
              <w:rPr>
                <w:rFonts w:ascii="Arial" w:hAnsi="Arial"/>
                <w:b w:val="0"/>
                <w:bCs w:val="0"/>
                <w:color w:val="000000"/>
                <w:sz w:val="18"/>
                <w:szCs w:val="18"/>
                <w:rtl/>
              </w:rPr>
            </w:pPr>
          </w:p>
        </w:tc>
      </w:tr>
      <w:tr w14:paraId="17777D7D"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4353A2" w:rsidP="00B6233D" w14:paraId="0455504C" w14:textId="77777777">
            <w:pPr>
              <w:tabs>
                <w:tab w:val="right" w:pos="12"/>
                <w:tab w:val="right" w:pos="156"/>
              </w:tabs>
              <w:spacing w:before="80" w:after="80"/>
              <w:rPr>
                <w:rFonts w:ascii="Arial" w:hAnsi="Arial" w:cs="Tahoma"/>
                <w:color w:val="000000"/>
                <w:sz w:val="18"/>
                <w:szCs w:val="18"/>
                <w:rtl/>
              </w:rPr>
            </w:pPr>
            <w:r w:rsidRPr="004353A2">
              <w:rPr>
                <w:rFonts w:ascii="Arial" w:hAnsi="Arial" w:cs="Tahoma"/>
                <w:color w:val="000000"/>
                <w:sz w:val="18"/>
                <w:szCs w:val="18"/>
                <w:rtl/>
              </w:rPr>
              <w:t>בטיחות העובדים בענף הבנייה</w:t>
            </w:r>
          </w:p>
        </w:tc>
        <w:tc>
          <w:tcPr>
            <w:tcW w:w="1121" w:type="dxa"/>
            <w:tcBorders>
              <w:top w:val="nil"/>
              <w:left w:val="nil"/>
              <w:bottom w:val="nil"/>
              <w:right w:val="nil"/>
            </w:tcBorders>
          </w:tcPr>
          <w:p w:rsidR="00AA5AC3" w:rsidP="00B6233D" w14:paraId="57F61B05" w14:textId="7548738A">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1565</w:t>
            </w:r>
          </w:p>
        </w:tc>
      </w:tr>
      <w:tr w14:paraId="4C9C9F40"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4353A2" w:rsidP="00B6233D" w14:paraId="5E15E2C0" w14:textId="77777777">
            <w:pPr>
              <w:spacing w:before="240" w:after="80"/>
              <w:rPr>
                <w:rFonts w:ascii="Arial" w:hAnsi="Arial" w:cs="Tahoma"/>
                <w:color w:val="000000"/>
                <w:sz w:val="18"/>
                <w:szCs w:val="18"/>
                <w:rtl/>
              </w:rPr>
            </w:pPr>
            <w:r w:rsidRPr="004353A2">
              <w:rPr>
                <w:rFonts w:ascii="Tahoma" w:hAnsi="Tahoma" w:cs="Tahoma" w:hint="cs"/>
                <w:b/>
                <w:bCs/>
                <w:color w:val="00305F"/>
                <w:szCs w:val="20"/>
                <w:rtl/>
              </w:rPr>
              <w:t xml:space="preserve">המשרד לביטחון </w:t>
            </w:r>
            <w:r>
              <w:rPr>
                <w:rFonts w:ascii="Tahoma" w:hAnsi="Tahoma" w:cs="Tahoma" w:hint="cs"/>
                <w:b/>
                <w:bCs/>
                <w:color w:val="00305F"/>
                <w:szCs w:val="20"/>
                <w:rtl/>
              </w:rPr>
              <w:t>ה</w:t>
            </w:r>
            <w:r w:rsidRPr="004353A2">
              <w:rPr>
                <w:rFonts w:ascii="Tahoma" w:hAnsi="Tahoma" w:cs="Tahoma" w:hint="cs"/>
                <w:b/>
                <w:bCs/>
                <w:color w:val="00305F"/>
                <w:szCs w:val="20"/>
                <w:rtl/>
              </w:rPr>
              <w:t>פנים</w:t>
            </w:r>
            <w:r>
              <w:rPr>
                <w:rFonts w:ascii="Tahoma" w:hAnsi="Tahoma" w:cs="Tahoma" w:hint="cs"/>
                <w:b/>
                <w:bCs/>
                <w:color w:val="00305F"/>
                <w:szCs w:val="20"/>
                <w:rtl/>
              </w:rPr>
              <w:t xml:space="preserve"> - </w:t>
            </w:r>
            <w:r w:rsidRPr="004353A2">
              <w:rPr>
                <w:rFonts w:ascii="Tahoma" w:hAnsi="Tahoma" w:cs="Tahoma" w:hint="cs"/>
                <w:b/>
                <w:bCs/>
                <w:color w:val="00305F"/>
                <w:szCs w:val="20"/>
                <w:rtl/>
              </w:rPr>
              <w:t>שירות בתי הסוהר</w:t>
            </w:r>
          </w:p>
        </w:tc>
        <w:tc>
          <w:tcPr>
            <w:tcW w:w="1121" w:type="dxa"/>
            <w:tcBorders>
              <w:top w:val="nil"/>
              <w:left w:val="nil"/>
              <w:bottom w:val="nil"/>
              <w:right w:val="nil"/>
            </w:tcBorders>
          </w:tcPr>
          <w:p w:rsidR="00AA5AC3" w:rsidP="00B6233D" w14:paraId="08A8BE63" w14:textId="77777777">
            <w:pPr>
              <w:pStyle w:val="71316"/>
              <w:spacing w:before="300" w:after="80" w:line="240" w:lineRule="auto"/>
              <w:rPr>
                <w:rFonts w:ascii="Arial" w:hAnsi="Arial"/>
                <w:b w:val="0"/>
                <w:bCs w:val="0"/>
                <w:color w:val="000000"/>
                <w:sz w:val="18"/>
                <w:szCs w:val="18"/>
                <w:rtl/>
              </w:rPr>
            </w:pPr>
          </w:p>
        </w:tc>
      </w:tr>
      <w:tr w14:paraId="63556B97"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8D1894" w:rsidP="00B6233D" w14:paraId="2F963870" w14:textId="77777777">
            <w:pPr>
              <w:tabs>
                <w:tab w:val="right" w:pos="12"/>
                <w:tab w:val="right" w:pos="156"/>
              </w:tabs>
              <w:spacing w:before="80" w:after="80"/>
              <w:rPr>
                <w:rFonts w:ascii="Arial" w:hAnsi="Arial" w:cs="Tahoma"/>
                <w:color w:val="000000"/>
                <w:sz w:val="18"/>
                <w:szCs w:val="18"/>
                <w:rtl/>
              </w:rPr>
            </w:pPr>
            <w:r w:rsidRPr="004353A2">
              <w:rPr>
                <w:rFonts w:ascii="Arial" w:hAnsi="Arial" w:cs="Tahoma"/>
                <w:color w:val="000000"/>
                <w:sz w:val="18"/>
                <w:szCs w:val="18"/>
                <w:rtl/>
              </w:rPr>
              <w:t>המערך הרפואי לטיפול בכלואים בשירות בתי הסוהר - ביקורת מעקב</w:t>
            </w:r>
          </w:p>
        </w:tc>
        <w:tc>
          <w:tcPr>
            <w:tcW w:w="1121" w:type="dxa"/>
            <w:tcBorders>
              <w:top w:val="nil"/>
              <w:left w:val="nil"/>
              <w:bottom w:val="nil"/>
              <w:right w:val="nil"/>
            </w:tcBorders>
          </w:tcPr>
          <w:p w:rsidR="00AA5AC3" w:rsidP="00B6233D" w14:paraId="30FFE087" w14:textId="6945B6CA">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1621</w:t>
            </w:r>
          </w:p>
        </w:tc>
      </w:tr>
      <w:tr w14:paraId="5F783ADF"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4353A2" w:rsidP="00B6233D" w14:paraId="5F0D63CF" w14:textId="77777777">
            <w:pPr>
              <w:spacing w:before="240" w:after="80"/>
              <w:ind w:left="438" w:hanging="438"/>
              <w:rPr>
                <w:rFonts w:ascii="Arial" w:hAnsi="Arial" w:cs="Tahoma"/>
                <w:color w:val="000000"/>
                <w:sz w:val="18"/>
                <w:szCs w:val="18"/>
                <w:rtl/>
              </w:rPr>
            </w:pPr>
            <w:r w:rsidRPr="004353A2">
              <w:rPr>
                <w:rFonts w:ascii="Tahoma" w:hAnsi="Tahoma" w:cs="Tahoma" w:hint="cs"/>
                <w:b/>
                <w:bCs/>
                <w:color w:val="00305F"/>
                <w:szCs w:val="20"/>
                <w:rtl/>
              </w:rPr>
              <w:t>המשרד להגנת הסביבה</w:t>
            </w:r>
          </w:p>
        </w:tc>
        <w:tc>
          <w:tcPr>
            <w:tcW w:w="1121" w:type="dxa"/>
            <w:tcBorders>
              <w:top w:val="nil"/>
              <w:left w:val="nil"/>
              <w:bottom w:val="nil"/>
              <w:right w:val="nil"/>
            </w:tcBorders>
          </w:tcPr>
          <w:p w:rsidR="00AA5AC3" w:rsidP="00B6233D" w14:paraId="1FBAE1E1" w14:textId="77777777">
            <w:pPr>
              <w:pStyle w:val="71316"/>
              <w:spacing w:before="300" w:after="80" w:line="240" w:lineRule="auto"/>
              <w:rPr>
                <w:rFonts w:ascii="Arial" w:hAnsi="Arial"/>
                <w:b w:val="0"/>
                <w:bCs w:val="0"/>
                <w:color w:val="000000"/>
                <w:sz w:val="18"/>
                <w:szCs w:val="18"/>
                <w:rtl/>
              </w:rPr>
            </w:pPr>
          </w:p>
        </w:tc>
      </w:tr>
      <w:tr w14:paraId="017FFF2B"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6C36E2" w:rsidP="00B6233D" w14:paraId="22775774" w14:textId="77777777">
            <w:pPr>
              <w:spacing w:before="80" w:after="80"/>
              <w:rPr>
                <w:b/>
                <w:bCs/>
                <w:color w:val="00305F"/>
                <w:szCs w:val="20"/>
                <w:rtl/>
              </w:rPr>
            </w:pPr>
            <w:r w:rsidRPr="004353A2">
              <w:rPr>
                <w:rFonts w:ascii="Arial" w:hAnsi="Arial" w:cs="Tahoma"/>
                <w:color w:val="000000"/>
                <w:sz w:val="18"/>
                <w:szCs w:val="18"/>
                <w:rtl/>
              </w:rPr>
              <w:t>מניעת נזקי מינים פולשים ושמירה על המגוון הביולוגי</w:t>
            </w:r>
          </w:p>
        </w:tc>
        <w:tc>
          <w:tcPr>
            <w:tcW w:w="1121" w:type="dxa"/>
            <w:tcBorders>
              <w:top w:val="nil"/>
              <w:left w:val="nil"/>
              <w:bottom w:val="nil"/>
              <w:right w:val="nil"/>
            </w:tcBorders>
          </w:tcPr>
          <w:p w:rsidR="00AA5AC3" w:rsidP="00B6233D" w14:paraId="5762B9D5" w14:textId="47ED36F9">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1677</w:t>
            </w:r>
          </w:p>
        </w:tc>
      </w:tr>
      <w:tr w14:paraId="0EFD9795"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4353A2" w:rsidP="00B6233D" w14:paraId="266CBF7B" w14:textId="77777777">
            <w:pPr>
              <w:tabs>
                <w:tab w:val="right" w:pos="12"/>
                <w:tab w:val="right" w:pos="156"/>
              </w:tabs>
              <w:spacing w:before="80" w:after="80"/>
              <w:rPr>
                <w:rFonts w:ascii="Arial" w:hAnsi="Arial" w:cs="Tahoma"/>
                <w:color w:val="000000"/>
                <w:sz w:val="18"/>
                <w:szCs w:val="18"/>
                <w:rtl/>
              </w:rPr>
            </w:pPr>
            <w:r w:rsidRPr="004353A2">
              <w:rPr>
                <w:rFonts w:ascii="Arial" w:hAnsi="Arial" w:cs="Tahoma"/>
                <w:color w:val="000000"/>
                <w:sz w:val="18"/>
                <w:szCs w:val="18"/>
                <w:rtl/>
              </w:rPr>
              <w:t xml:space="preserve">הקרן לשמירת הניקיון - </w:t>
            </w:r>
            <w:r w:rsidRPr="004353A2">
              <w:rPr>
                <w:rFonts w:ascii="Arial" w:hAnsi="Arial" w:cs="Tahoma" w:hint="cs"/>
                <w:color w:val="000000"/>
                <w:sz w:val="18"/>
                <w:szCs w:val="18"/>
                <w:rtl/>
              </w:rPr>
              <w:t>היבטים כספיים</w:t>
            </w:r>
          </w:p>
        </w:tc>
        <w:tc>
          <w:tcPr>
            <w:tcW w:w="1121" w:type="dxa"/>
            <w:tcBorders>
              <w:top w:val="nil"/>
              <w:left w:val="nil"/>
              <w:bottom w:val="nil"/>
              <w:right w:val="nil"/>
            </w:tcBorders>
          </w:tcPr>
          <w:p w:rsidR="00AA5AC3" w:rsidP="00B6233D" w14:paraId="34FAA7A1" w14:textId="467CE616">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1859</w:t>
            </w:r>
          </w:p>
        </w:tc>
      </w:tr>
      <w:tr w14:paraId="503D78E4" w14:textId="77777777" w:rsidTr="00B6233D">
        <w:tblPrEx>
          <w:tblW w:w="0" w:type="auto"/>
          <w:tblLook w:val="04A0"/>
        </w:tblPrEx>
        <w:trPr>
          <w:trHeight w:val="292"/>
        </w:trPr>
        <w:tc>
          <w:tcPr>
            <w:tcW w:w="7360" w:type="dxa"/>
            <w:gridSpan w:val="2"/>
          </w:tcPr>
          <w:p w:rsidR="00AA5AC3" w:rsidRPr="00D20731" w:rsidP="00B6233D" w14:paraId="31ACE0EC" w14:textId="77777777">
            <w:pPr>
              <w:pStyle w:val="7190"/>
              <w:spacing w:before="720" w:after="480" w:line="276" w:lineRule="auto"/>
              <w:rPr>
                <w:color w:val="00305F"/>
                <w:sz w:val="26"/>
                <w:szCs w:val="26"/>
                <w:rtl/>
              </w:rPr>
            </w:pPr>
            <w:r w:rsidRPr="008D4A5C">
              <w:rPr>
                <w:rFonts w:eastAsia="Times New Roman" w:hint="cs"/>
                <w:color w:val="00305F"/>
                <w:spacing w:val="100"/>
                <w:sz w:val="32"/>
                <w:szCs w:val="32"/>
                <w:rtl/>
              </w:rPr>
              <w:t xml:space="preserve">כרך </w:t>
            </w:r>
            <w:r>
              <w:rPr>
                <w:rFonts w:eastAsia="Times New Roman" w:hint="cs"/>
                <w:color w:val="00305F"/>
                <w:spacing w:val="100"/>
                <w:sz w:val="32"/>
                <w:szCs w:val="32"/>
                <w:rtl/>
              </w:rPr>
              <w:t>חמישי</w:t>
            </w:r>
          </w:p>
        </w:tc>
      </w:tr>
      <w:tr w14:paraId="5F22B41A" w14:textId="77777777" w:rsidTr="00B6233D">
        <w:tblPrEx>
          <w:tblW w:w="0" w:type="auto"/>
          <w:tblLook w:val="04A0"/>
        </w:tblPrEx>
        <w:trPr>
          <w:trHeight w:val="292"/>
        </w:trPr>
        <w:tc>
          <w:tcPr>
            <w:tcW w:w="7360" w:type="dxa"/>
            <w:gridSpan w:val="2"/>
          </w:tcPr>
          <w:p w:rsidR="00AA5AC3" w:rsidRPr="00D20731" w:rsidP="00B6233D" w14:paraId="61539908" w14:textId="77777777">
            <w:pPr>
              <w:pStyle w:val="7190"/>
              <w:spacing w:after="200" w:line="276" w:lineRule="auto"/>
              <w:rPr>
                <w:rFonts w:eastAsia="Times New Roman"/>
                <w:color w:val="00305F"/>
                <w:sz w:val="26"/>
                <w:szCs w:val="26"/>
                <w:rtl/>
              </w:rPr>
            </w:pPr>
            <w:r w:rsidRPr="00D20731">
              <w:rPr>
                <w:rFonts w:hint="cs"/>
                <w:color w:val="00305F"/>
                <w:sz w:val="26"/>
                <w:szCs w:val="26"/>
                <w:rtl/>
              </w:rPr>
              <w:t xml:space="preserve">פרק שלישי | </w:t>
            </w:r>
            <w:r>
              <w:rPr>
                <w:rFonts w:hint="cs"/>
                <w:b/>
                <w:bCs/>
                <w:color w:val="00305F"/>
                <w:sz w:val="26"/>
                <w:szCs w:val="26"/>
                <w:rtl/>
              </w:rPr>
              <w:t>מוסדות המדינה, חברות ממשלתיות ותאגידים</w:t>
            </w:r>
          </w:p>
        </w:tc>
      </w:tr>
      <w:tr w14:paraId="2CAD5E03" w14:textId="77777777" w:rsidTr="00B6233D">
        <w:tblPrEx>
          <w:tblW w:w="0" w:type="auto"/>
          <w:tblLook w:val="04A0"/>
        </w:tblPrEx>
        <w:tc>
          <w:tcPr>
            <w:tcW w:w="6239" w:type="dxa"/>
          </w:tcPr>
          <w:p w:rsidR="00AA5AC3" w:rsidRPr="00D20731" w:rsidP="00B6233D" w14:paraId="51642E5F" w14:textId="77777777">
            <w:pPr>
              <w:tabs>
                <w:tab w:val="right" w:pos="12"/>
                <w:tab w:val="right" w:pos="156"/>
              </w:tabs>
              <w:spacing w:before="240" w:after="80"/>
              <w:outlineLvl w:val="0"/>
              <w:rPr>
                <w:rFonts w:ascii="Tahoma" w:hAnsi="Tahoma" w:cs="Tahoma"/>
                <w:b/>
                <w:bCs/>
                <w:color w:val="00305F"/>
                <w:szCs w:val="20"/>
                <w:rtl/>
              </w:rPr>
            </w:pPr>
            <w:r>
              <w:rPr>
                <w:rFonts w:ascii="Tahoma" w:hAnsi="Tahoma" w:cs="Tahoma" w:hint="cs"/>
                <w:b/>
                <w:bCs/>
                <w:color w:val="00305F"/>
                <w:szCs w:val="20"/>
                <w:rtl/>
              </w:rPr>
              <w:t>המועצה להשכלה גבוהה</w:t>
            </w:r>
          </w:p>
        </w:tc>
        <w:tc>
          <w:tcPr>
            <w:tcW w:w="1121" w:type="dxa"/>
          </w:tcPr>
          <w:p w:rsidR="00AA5AC3" w:rsidRPr="00D20731" w:rsidP="00B6233D" w14:paraId="0B53E60E" w14:textId="77777777">
            <w:pPr>
              <w:pStyle w:val="7190"/>
              <w:spacing w:before="240" w:after="80"/>
              <w:rPr>
                <w:b/>
                <w:bCs/>
                <w:color w:val="00305F"/>
                <w:sz w:val="20"/>
                <w:szCs w:val="20"/>
                <w:rtl/>
              </w:rPr>
            </w:pPr>
          </w:p>
        </w:tc>
      </w:tr>
      <w:tr w14:paraId="20B6E9BE" w14:textId="77777777" w:rsidTr="00B6233D">
        <w:tblPrEx>
          <w:tblW w:w="0" w:type="auto"/>
          <w:tblLook w:val="04A0"/>
        </w:tblPrEx>
        <w:trPr>
          <w:trHeight w:val="340"/>
        </w:trPr>
        <w:tc>
          <w:tcPr>
            <w:tcW w:w="6239" w:type="dxa"/>
          </w:tcPr>
          <w:p w:rsidR="00AA5AC3" w:rsidRPr="00B231A2" w:rsidP="00B6233D" w14:paraId="11FC520A" w14:textId="77777777">
            <w:pPr>
              <w:tabs>
                <w:tab w:val="right" w:pos="12"/>
                <w:tab w:val="right" w:pos="156"/>
              </w:tabs>
              <w:spacing w:before="80" w:after="80"/>
              <w:rPr>
                <w:rFonts w:ascii="Arial" w:hAnsi="Arial" w:cs="Tahoma"/>
                <w:color w:val="000000"/>
                <w:sz w:val="18"/>
                <w:szCs w:val="18"/>
                <w:rtl/>
              </w:rPr>
            </w:pPr>
            <w:r w:rsidRPr="004353A2">
              <w:rPr>
                <w:rFonts w:ascii="Arial" w:hAnsi="Arial" w:cs="Tahoma" w:hint="cs"/>
                <w:color w:val="000000"/>
                <w:sz w:val="18"/>
                <w:szCs w:val="18"/>
                <w:rtl/>
              </w:rPr>
              <w:t>היבטים כספיים בפעילות המוסדות להשכלה גבוהה</w:t>
            </w:r>
          </w:p>
        </w:tc>
        <w:tc>
          <w:tcPr>
            <w:tcW w:w="1121" w:type="dxa"/>
          </w:tcPr>
          <w:p w:rsidR="00AA5AC3" w:rsidRPr="008D4A5C" w:rsidP="00B6233D" w14:paraId="17E3FEE9" w14:textId="45DB69A4">
            <w:pPr>
              <w:widowControl w:val="0"/>
              <w:spacing w:before="80" w:after="80" w:line="240" w:lineRule="auto"/>
              <w:rPr>
                <w:rFonts w:ascii="Arial" w:hAnsi="Arial" w:cs="Tahoma"/>
                <w:color w:val="000000"/>
                <w:sz w:val="18"/>
                <w:szCs w:val="18"/>
                <w:rtl/>
              </w:rPr>
            </w:pPr>
            <w:r>
              <w:rPr>
                <w:rFonts w:ascii="Arial" w:hAnsi="Arial" w:cs="Tahoma" w:hint="cs"/>
                <w:color w:val="000000"/>
                <w:sz w:val="18"/>
                <w:szCs w:val="18"/>
                <w:rtl/>
              </w:rPr>
              <w:t>1923</w:t>
            </w:r>
          </w:p>
        </w:tc>
      </w:tr>
      <w:tr w14:paraId="4CE0676A" w14:textId="77777777" w:rsidTr="00B6233D">
        <w:tblPrEx>
          <w:tblW w:w="0" w:type="auto"/>
          <w:tblLook w:val="04A0"/>
        </w:tblPrEx>
        <w:trPr>
          <w:trHeight w:val="289"/>
        </w:trPr>
        <w:tc>
          <w:tcPr>
            <w:tcW w:w="6239" w:type="dxa"/>
          </w:tcPr>
          <w:p w:rsidR="00AA5AC3" w:rsidRPr="00D20731" w:rsidP="00B6233D" w14:paraId="2431E13C" w14:textId="77777777">
            <w:pPr>
              <w:tabs>
                <w:tab w:val="right" w:pos="12"/>
                <w:tab w:val="right" w:pos="156"/>
              </w:tabs>
              <w:spacing w:before="240" w:after="80"/>
              <w:outlineLvl w:val="0"/>
              <w:rPr>
                <w:rFonts w:ascii="Tahoma" w:hAnsi="Tahoma" w:cs="Tahoma"/>
                <w:b/>
                <w:bCs/>
                <w:color w:val="00305F"/>
                <w:szCs w:val="20"/>
              </w:rPr>
            </w:pPr>
            <w:r>
              <w:rPr>
                <w:rFonts w:ascii="Tahoma" w:hAnsi="Tahoma" w:cs="Tahoma" w:hint="cs"/>
                <w:b/>
                <w:bCs/>
                <w:color w:val="00305F"/>
                <w:szCs w:val="20"/>
                <w:rtl/>
              </w:rPr>
              <w:t>המוסד לביטוח לאומי</w:t>
            </w:r>
            <w:r w:rsidRPr="00D20731">
              <w:rPr>
                <w:rFonts w:ascii="Tahoma" w:hAnsi="Tahoma" w:cs="Tahoma" w:hint="cs"/>
                <w:b/>
                <w:bCs/>
                <w:color w:val="00305F"/>
                <w:szCs w:val="20"/>
                <w:rtl/>
              </w:rPr>
              <w:t xml:space="preserve"> </w:t>
            </w:r>
          </w:p>
        </w:tc>
        <w:tc>
          <w:tcPr>
            <w:tcW w:w="1121" w:type="dxa"/>
          </w:tcPr>
          <w:p w:rsidR="00AA5AC3" w:rsidRPr="00D20731" w:rsidP="00B6233D" w14:paraId="289A9204" w14:textId="77777777">
            <w:pPr>
              <w:widowControl w:val="0"/>
              <w:spacing w:before="240" w:after="80" w:line="240" w:lineRule="auto"/>
              <w:rPr>
                <w:rFonts w:ascii="Arial" w:hAnsi="Arial" w:cs="Tahoma"/>
                <w:color w:val="000000"/>
                <w:szCs w:val="20"/>
                <w:rtl/>
              </w:rPr>
            </w:pPr>
          </w:p>
        </w:tc>
      </w:tr>
      <w:tr w14:paraId="3E37CADC" w14:textId="77777777" w:rsidTr="00B6233D">
        <w:tblPrEx>
          <w:tblW w:w="0" w:type="auto"/>
          <w:tblLook w:val="04A0"/>
        </w:tblPrEx>
        <w:trPr>
          <w:trHeight w:val="340"/>
        </w:trPr>
        <w:tc>
          <w:tcPr>
            <w:tcW w:w="6239" w:type="dxa"/>
          </w:tcPr>
          <w:p w:rsidR="00AA5AC3" w:rsidRPr="00B231A2" w:rsidP="00B6233D" w14:paraId="57EC1DAE" w14:textId="77777777">
            <w:pPr>
              <w:tabs>
                <w:tab w:val="right" w:pos="12"/>
                <w:tab w:val="right" w:pos="156"/>
              </w:tabs>
              <w:spacing w:before="80" w:after="80"/>
              <w:rPr>
                <w:rFonts w:ascii="Arial" w:hAnsi="Arial" w:cs="Tahoma"/>
                <w:color w:val="000000"/>
                <w:sz w:val="18"/>
                <w:szCs w:val="18"/>
                <w:rtl/>
              </w:rPr>
            </w:pPr>
            <w:r w:rsidRPr="004353A2">
              <w:rPr>
                <w:rFonts w:ascii="Arial" w:hAnsi="Arial" w:cs="Tahoma"/>
                <w:color w:val="000000"/>
                <w:sz w:val="18"/>
                <w:szCs w:val="18"/>
                <w:rtl/>
              </w:rPr>
              <w:t xml:space="preserve">טיפול המדינה בקשישים סיעודיים השוהים בביתם - </w:t>
            </w:r>
            <w:r w:rsidRPr="004353A2">
              <w:rPr>
                <w:rFonts w:ascii="Arial" w:hAnsi="Arial" w:cs="Tahoma" w:hint="cs"/>
                <w:color w:val="000000"/>
                <w:sz w:val="18"/>
                <w:szCs w:val="18"/>
                <w:rtl/>
              </w:rPr>
              <w:t xml:space="preserve">ביקורת </w:t>
            </w:r>
            <w:r w:rsidRPr="004353A2">
              <w:rPr>
                <w:rFonts w:ascii="Arial" w:hAnsi="Arial" w:cs="Tahoma"/>
                <w:color w:val="000000"/>
                <w:sz w:val="18"/>
                <w:szCs w:val="18"/>
                <w:rtl/>
              </w:rPr>
              <w:t>מעקב</w:t>
            </w:r>
          </w:p>
        </w:tc>
        <w:tc>
          <w:tcPr>
            <w:tcW w:w="1121" w:type="dxa"/>
          </w:tcPr>
          <w:p w:rsidR="00AA5AC3" w:rsidRPr="008D4A5C" w:rsidP="00B6233D" w14:paraId="183B83B1" w14:textId="7B3683CC">
            <w:pPr>
              <w:pStyle w:val="71316"/>
              <w:spacing w:before="80" w:after="80" w:line="240" w:lineRule="auto"/>
              <w:rPr>
                <w:b w:val="0"/>
                <w:bCs w:val="0"/>
                <w:sz w:val="18"/>
                <w:szCs w:val="18"/>
                <w:rtl/>
              </w:rPr>
            </w:pPr>
            <w:r>
              <w:rPr>
                <w:rFonts w:ascii="Arial" w:hAnsi="Arial" w:hint="cs"/>
                <w:b w:val="0"/>
                <w:bCs w:val="0"/>
                <w:color w:val="000000"/>
                <w:sz w:val="18"/>
                <w:szCs w:val="18"/>
                <w:rtl/>
              </w:rPr>
              <w:t>1999</w:t>
            </w:r>
          </w:p>
        </w:tc>
      </w:tr>
      <w:tr w14:paraId="0BD8079F" w14:textId="77777777" w:rsidTr="00B6233D">
        <w:tblPrEx>
          <w:tblW w:w="0" w:type="auto"/>
          <w:tblLook w:val="04A0"/>
        </w:tblPrEx>
        <w:trPr>
          <w:trHeight w:val="289"/>
        </w:trPr>
        <w:tc>
          <w:tcPr>
            <w:tcW w:w="6239" w:type="dxa"/>
          </w:tcPr>
          <w:p w:rsidR="00AA5AC3" w:rsidRPr="00B231A2" w:rsidP="00B6233D" w14:paraId="7D6E1E2E" w14:textId="77777777">
            <w:pPr>
              <w:tabs>
                <w:tab w:val="right" w:pos="12"/>
                <w:tab w:val="right" w:pos="156"/>
              </w:tabs>
              <w:spacing w:before="240" w:after="80"/>
              <w:rPr>
                <w:rFonts w:ascii="Tahoma" w:hAnsi="Tahoma" w:cs="Tahoma"/>
                <w:b/>
                <w:bCs/>
                <w:color w:val="00305F"/>
                <w:szCs w:val="20"/>
                <w:rtl/>
              </w:rPr>
            </w:pPr>
            <w:r w:rsidRPr="000049CF">
              <w:rPr>
                <w:rFonts w:ascii="Tahoma" w:hAnsi="Tahoma" w:cs="Tahoma"/>
                <w:b/>
                <w:bCs/>
                <w:color w:val="00305F"/>
                <w:szCs w:val="20"/>
                <w:rtl/>
              </w:rPr>
              <w:t>עמידר</w:t>
            </w:r>
            <w:r w:rsidRPr="000049CF">
              <w:rPr>
                <w:rFonts w:ascii="Tahoma" w:hAnsi="Tahoma" w:cs="Tahoma" w:hint="cs"/>
                <w:b/>
                <w:bCs/>
                <w:color w:val="00305F"/>
                <w:szCs w:val="20"/>
                <w:rtl/>
              </w:rPr>
              <w:t>,</w:t>
            </w:r>
            <w:r w:rsidRPr="000049CF">
              <w:rPr>
                <w:rFonts w:ascii="Tahoma" w:hAnsi="Tahoma" w:cs="Tahoma"/>
                <w:b/>
                <w:bCs/>
                <w:color w:val="00305F"/>
                <w:szCs w:val="20"/>
                <w:rtl/>
              </w:rPr>
              <w:t xml:space="preserve"> החברה הלאומית לשיכון בישראל בע"</w:t>
            </w:r>
            <w:r w:rsidRPr="000049CF">
              <w:rPr>
                <w:rFonts w:ascii="Tahoma" w:hAnsi="Tahoma" w:cs="Tahoma" w:hint="cs"/>
                <w:b/>
                <w:bCs/>
                <w:color w:val="00305F"/>
                <w:szCs w:val="20"/>
                <w:rtl/>
              </w:rPr>
              <w:t>מ</w:t>
            </w:r>
          </w:p>
        </w:tc>
        <w:tc>
          <w:tcPr>
            <w:tcW w:w="1121" w:type="dxa"/>
          </w:tcPr>
          <w:p w:rsidR="00AA5AC3" w:rsidRPr="00D20731" w:rsidP="00B6233D" w14:paraId="0488B6C3" w14:textId="77777777">
            <w:pPr>
              <w:pStyle w:val="71316"/>
              <w:spacing w:before="240" w:after="80" w:line="240" w:lineRule="auto"/>
              <w:rPr>
                <w:b w:val="0"/>
                <w:bCs w:val="0"/>
                <w:sz w:val="20"/>
                <w:szCs w:val="20"/>
                <w:rtl/>
              </w:rPr>
            </w:pPr>
          </w:p>
        </w:tc>
      </w:tr>
      <w:tr w14:paraId="2F7C6FF5" w14:textId="77777777" w:rsidTr="00B6233D">
        <w:tblPrEx>
          <w:tblW w:w="0" w:type="auto"/>
          <w:tblLook w:val="04A0"/>
        </w:tblPrEx>
        <w:trPr>
          <w:trHeight w:val="340"/>
        </w:trPr>
        <w:tc>
          <w:tcPr>
            <w:tcW w:w="6239" w:type="dxa"/>
          </w:tcPr>
          <w:p w:rsidR="00AA5AC3" w:rsidRPr="00B231A2" w:rsidP="00B6233D" w14:paraId="79A91BC0" w14:textId="77777777">
            <w:pPr>
              <w:tabs>
                <w:tab w:val="right" w:pos="12"/>
                <w:tab w:val="right" w:pos="156"/>
              </w:tabs>
              <w:spacing w:before="80" w:after="600"/>
              <w:rPr>
                <w:rFonts w:ascii="Arial" w:hAnsi="Arial" w:cs="Tahoma"/>
                <w:color w:val="000000"/>
                <w:sz w:val="18"/>
                <w:szCs w:val="18"/>
                <w:rtl/>
              </w:rPr>
            </w:pPr>
            <w:r w:rsidRPr="004353A2">
              <w:rPr>
                <w:rFonts w:ascii="Arial" w:hAnsi="Arial" w:cs="Tahoma" w:hint="cs"/>
                <w:color w:val="000000"/>
                <w:sz w:val="18"/>
                <w:szCs w:val="18"/>
                <w:rtl/>
              </w:rPr>
              <w:t>תחזוקת דירות עמידר, החברה הלאומית לשיכון בישראל בע"מ</w:t>
            </w:r>
            <w:r w:rsidRPr="004353A2">
              <w:rPr>
                <w:rFonts w:ascii="Arial" w:hAnsi="Arial" w:cs="Tahoma"/>
                <w:color w:val="000000"/>
                <w:sz w:val="18"/>
                <w:szCs w:val="18"/>
                <w:rtl/>
              </w:rPr>
              <w:t xml:space="preserve"> </w:t>
            </w:r>
          </w:p>
        </w:tc>
        <w:tc>
          <w:tcPr>
            <w:tcW w:w="1121" w:type="dxa"/>
          </w:tcPr>
          <w:p w:rsidR="00AA5AC3" w:rsidRPr="008D4A5C" w:rsidP="00B6233D" w14:paraId="679A8F68" w14:textId="254CFBBA">
            <w:pPr>
              <w:pStyle w:val="71316"/>
              <w:spacing w:before="80" w:after="600" w:line="240" w:lineRule="auto"/>
              <w:rPr>
                <w:b w:val="0"/>
                <w:bCs w:val="0"/>
                <w:sz w:val="18"/>
                <w:szCs w:val="18"/>
                <w:rtl/>
              </w:rPr>
            </w:pPr>
            <w:r>
              <w:rPr>
                <w:rFonts w:ascii="Arial" w:hAnsi="Arial" w:hint="cs"/>
                <w:b w:val="0"/>
                <w:bCs w:val="0"/>
                <w:color w:val="000000"/>
                <w:sz w:val="18"/>
                <w:szCs w:val="18"/>
                <w:rtl/>
              </w:rPr>
              <w:t>2043</w:t>
            </w:r>
          </w:p>
        </w:tc>
      </w:tr>
      <w:tr w14:paraId="4FE3FF40" w14:textId="77777777" w:rsidTr="00B6233D">
        <w:tblPrEx>
          <w:tblW w:w="0" w:type="auto"/>
          <w:tblLook w:val="04A0"/>
        </w:tblPrEx>
        <w:trPr>
          <w:trHeight w:val="340"/>
        </w:trPr>
        <w:tc>
          <w:tcPr>
            <w:tcW w:w="7360" w:type="dxa"/>
            <w:gridSpan w:val="2"/>
          </w:tcPr>
          <w:p w:rsidR="00AA5AC3" w:rsidP="00B6233D" w14:paraId="53DFE86A" w14:textId="77777777">
            <w:pPr>
              <w:pStyle w:val="71316"/>
              <w:spacing w:before="120" w:after="200" w:line="240" w:lineRule="auto"/>
              <w:rPr>
                <w:rFonts w:ascii="Arial" w:hAnsi="Arial"/>
                <w:b w:val="0"/>
                <w:bCs w:val="0"/>
                <w:color w:val="000000"/>
                <w:sz w:val="18"/>
                <w:szCs w:val="18"/>
                <w:rtl/>
              </w:rPr>
            </w:pPr>
            <w:r w:rsidRPr="001309F2">
              <w:rPr>
                <w:rFonts w:hint="cs"/>
                <w:b w:val="0"/>
                <w:bCs w:val="0"/>
                <w:sz w:val="26"/>
                <w:szCs w:val="26"/>
                <w:rtl/>
              </w:rPr>
              <w:t xml:space="preserve">פרק </w:t>
            </w:r>
            <w:r>
              <w:rPr>
                <w:rFonts w:hint="cs"/>
                <w:b w:val="0"/>
                <w:bCs w:val="0"/>
                <w:sz w:val="26"/>
                <w:szCs w:val="26"/>
                <w:rtl/>
              </w:rPr>
              <w:t>רביעי</w:t>
            </w:r>
            <w:r w:rsidRPr="001309F2">
              <w:rPr>
                <w:rFonts w:hint="cs"/>
                <w:b w:val="0"/>
                <w:bCs w:val="0"/>
                <w:sz w:val="26"/>
                <w:szCs w:val="26"/>
                <w:rtl/>
              </w:rPr>
              <w:t xml:space="preserve"> |</w:t>
            </w:r>
            <w:r w:rsidRPr="00D20731">
              <w:rPr>
                <w:rFonts w:hint="cs"/>
                <w:sz w:val="26"/>
                <w:szCs w:val="26"/>
                <w:rtl/>
              </w:rPr>
              <w:t xml:space="preserve"> </w:t>
            </w:r>
            <w:r>
              <w:rPr>
                <w:rFonts w:hint="cs"/>
                <w:sz w:val="26"/>
                <w:szCs w:val="26"/>
                <w:rtl/>
              </w:rPr>
              <w:t>מערכת הביטחון</w:t>
            </w:r>
          </w:p>
        </w:tc>
      </w:tr>
      <w:tr w14:paraId="6A1C8B9F" w14:textId="77777777" w:rsidTr="00B6233D">
        <w:tblPrEx>
          <w:tblW w:w="0" w:type="auto"/>
          <w:tblLook w:val="04A0"/>
        </w:tblPrEx>
        <w:trPr>
          <w:trHeight w:val="340"/>
        </w:trPr>
        <w:tc>
          <w:tcPr>
            <w:tcW w:w="6239" w:type="dxa"/>
          </w:tcPr>
          <w:p w:rsidR="00AA5AC3" w:rsidRPr="00B231A2" w:rsidP="00B6233D" w14:paraId="78C424CB" w14:textId="77777777">
            <w:pPr>
              <w:tabs>
                <w:tab w:val="right" w:pos="12"/>
                <w:tab w:val="right" w:pos="156"/>
              </w:tabs>
              <w:spacing w:before="240" w:after="80"/>
              <w:outlineLvl w:val="0"/>
              <w:rPr>
                <w:rFonts w:ascii="Tahoma" w:hAnsi="Tahoma" w:cs="Tahoma"/>
                <w:b/>
                <w:bCs/>
                <w:color w:val="00305F"/>
                <w:szCs w:val="20"/>
                <w:rtl/>
              </w:rPr>
            </w:pPr>
            <w:r w:rsidRPr="000049CF">
              <w:rPr>
                <w:rFonts w:ascii="Tahoma" w:hAnsi="Tahoma" w:cs="Tahoma"/>
                <w:b/>
                <w:bCs/>
                <w:color w:val="00305F"/>
                <w:szCs w:val="20"/>
                <w:rtl/>
              </w:rPr>
              <w:t>ביקורת בין-תחומית</w:t>
            </w:r>
          </w:p>
        </w:tc>
        <w:tc>
          <w:tcPr>
            <w:tcW w:w="1121" w:type="dxa"/>
          </w:tcPr>
          <w:p w:rsidR="00AA5AC3" w:rsidRPr="001309F2" w:rsidP="00B6233D" w14:paraId="17C48B31" w14:textId="77777777">
            <w:pPr>
              <w:pStyle w:val="71316"/>
              <w:spacing w:before="240" w:after="80" w:line="240" w:lineRule="auto"/>
              <w:rPr>
                <w:rFonts w:ascii="Arial" w:hAnsi="Arial"/>
                <w:b w:val="0"/>
                <w:bCs w:val="0"/>
                <w:color w:val="000000"/>
                <w:sz w:val="18"/>
                <w:szCs w:val="18"/>
                <w:rtl/>
              </w:rPr>
            </w:pPr>
          </w:p>
        </w:tc>
      </w:tr>
      <w:tr w14:paraId="3CA60AA3" w14:textId="77777777" w:rsidTr="00B6233D">
        <w:tblPrEx>
          <w:tblW w:w="0" w:type="auto"/>
          <w:tblLook w:val="04A0"/>
        </w:tblPrEx>
        <w:trPr>
          <w:trHeight w:val="340"/>
        </w:trPr>
        <w:tc>
          <w:tcPr>
            <w:tcW w:w="6239" w:type="dxa"/>
          </w:tcPr>
          <w:p w:rsidR="00AA5AC3" w:rsidRPr="00B231A2" w:rsidP="00B6233D" w14:paraId="64255523" w14:textId="20CA3E00">
            <w:pPr>
              <w:tabs>
                <w:tab w:val="right" w:pos="12"/>
                <w:tab w:val="right" w:pos="156"/>
              </w:tabs>
              <w:spacing w:before="80" w:after="80"/>
              <w:rPr>
                <w:rFonts w:ascii="Arial" w:hAnsi="Arial" w:cs="Tahoma"/>
                <w:color w:val="000000"/>
                <w:sz w:val="18"/>
                <w:szCs w:val="18"/>
                <w:rtl/>
              </w:rPr>
            </w:pPr>
            <w:r w:rsidRPr="004353A2">
              <w:rPr>
                <w:rFonts w:ascii="Arial" w:hAnsi="Arial" w:cs="Tahoma"/>
                <w:color w:val="000000"/>
                <w:sz w:val="18"/>
                <w:szCs w:val="18"/>
                <w:rtl/>
              </w:rPr>
              <w:t>מרכיבי ביטחון ביישובי העימות ובפיקודים המרחביים</w:t>
            </w:r>
            <w:r w:rsidR="003C3E25">
              <w:rPr>
                <w:rFonts w:ascii="Arial" w:hAnsi="Arial" w:cs="Tahoma" w:hint="cs"/>
                <w:color w:val="000000"/>
                <w:sz w:val="18"/>
                <w:szCs w:val="18"/>
                <w:rtl/>
              </w:rPr>
              <w:t xml:space="preserve"> </w:t>
            </w:r>
            <w:r w:rsidRPr="004353A2">
              <w:rPr>
                <w:rFonts w:ascii="Arial" w:hAnsi="Arial" w:cs="Tahoma"/>
                <w:color w:val="000000"/>
                <w:sz w:val="18"/>
                <w:szCs w:val="18"/>
                <w:rtl/>
              </w:rPr>
              <w:t>-</w:t>
            </w:r>
            <w:r w:rsidRPr="004353A2">
              <w:rPr>
                <w:rFonts w:ascii="Arial" w:hAnsi="Arial" w:cs="Tahoma" w:hint="cs"/>
                <w:color w:val="000000"/>
                <w:sz w:val="18"/>
                <w:szCs w:val="18"/>
                <w:rtl/>
              </w:rPr>
              <w:t xml:space="preserve"> ביקורת</w:t>
            </w:r>
            <w:r w:rsidRPr="004353A2">
              <w:rPr>
                <w:rFonts w:ascii="Arial" w:hAnsi="Arial" w:cs="Tahoma"/>
                <w:color w:val="000000"/>
                <w:sz w:val="18"/>
                <w:szCs w:val="18"/>
                <w:rtl/>
              </w:rPr>
              <w:t xml:space="preserve"> מעקב</w:t>
            </w:r>
          </w:p>
        </w:tc>
        <w:tc>
          <w:tcPr>
            <w:tcW w:w="1121" w:type="dxa"/>
          </w:tcPr>
          <w:p w:rsidR="00AA5AC3" w:rsidRPr="001309F2" w:rsidP="00B6233D" w14:paraId="073FFBA8" w14:textId="7E30631B">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2103</w:t>
            </w:r>
          </w:p>
        </w:tc>
      </w:tr>
      <w:tr w14:paraId="4B4EBBF6" w14:textId="77777777" w:rsidTr="00B6233D">
        <w:tblPrEx>
          <w:tblW w:w="0" w:type="auto"/>
          <w:tblLook w:val="04A0"/>
        </w:tblPrEx>
        <w:trPr>
          <w:trHeight w:val="340"/>
        </w:trPr>
        <w:tc>
          <w:tcPr>
            <w:tcW w:w="6239" w:type="dxa"/>
          </w:tcPr>
          <w:p w:rsidR="00AA5AC3" w:rsidRPr="00B231A2" w:rsidP="00B6233D" w14:paraId="48F2E84E" w14:textId="77777777">
            <w:pPr>
              <w:tabs>
                <w:tab w:val="right" w:pos="12"/>
                <w:tab w:val="right" w:pos="156"/>
              </w:tabs>
              <w:spacing w:before="80" w:after="80"/>
              <w:rPr>
                <w:rFonts w:ascii="Arial" w:hAnsi="Arial" w:cs="Tahoma"/>
                <w:color w:val="000000"/>
                <w:sz w:val="18"/>
                <w:szCs w:val="18"/>
                <w:rtl/>
              </w:rPr>
            </w:pPr>
            <w:r w:rsidRPr="000049CF">
              <w:rPr>
                <w:rFonts w:ascii="Arial" w:hAnsi="Arial" w:cs="Tahoma"/>
                <w:color w:val="000000"/>
                <w:sz w:val="18"/>
                <w:szCs w:val="18"/>
                <w:rtl/>
              </w:rPr>
              <w:t>מחוז שומרון ויהודה (ש"י) של משטרת ישראל - ביקורת מעקב</w:t>
            </w:r>
          </w:p>
        </w:tc>
        <w:tc>
          <w:tcPr>
            <w:tcW w:w="1121" w:type="dxa"/>
          </w:tcPr>
          <w:p w:rsidR="00AA5AC3" w:rsidRPr="001309F2" w:rsidP="00B6233D" w14:paraId="29C6D10D" w14:textId="32C3C6BD">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2151</w:t>
            </w:r>
          </w:p>
        </w:tc>
      </w:tr>
      <w:tr w14:paraId="6AE961E6" w14:textId="77777777" w:rsidTr="00B6233D">
        <w:tblPrEx>
          <w:tblW w:w="0" w:type="auto"/>
          <w:tblLook w:val="04A0"/>
        </w:tblPrEx>
        <w:trPr>
          <w:trHeight w:val="340"/>
        </w:trPr>
        <w:tc>
          <w:tcPr>
            <w:tcW w:w="6239" w:type="dxa"/>
          </w:tcPr>
          <w:p w:rsidR="00AA5AC3" w:rsidRPr="00B231A2" w:rsidP="00B6233D" w14:paraId="268D96D9" w14:textId="77777777">
            <w:pPr>
              <w:tabs>
                <w:tab w:val="right" w:pos="12"/>
                <w:tab w:val="right" w:pos="156"/>
              </w:tabs>
              <w:spacing w:before="240" w:after="80"/>
              <w:rPr>
                <w:rFonts w:ascii="Tahoma" w:hAnsi="Tahoma" w:cs="Tahoma"/>
                <w:b/>
                <w:bCs/>
                <w:color w:val="00305F"/>
                <w:szCs w:val="20"/>
                <w:rtl/>
              </w:rPr>
            </w:pPr>
            <w:r w:rsidRPr="000049CF">
              <w:rPr>
                <w:rFonts w:ascii="Tahoma" w:hAnsi="Tahoma" w:cs="Tahoma" w:hint="cs"/>
                <w:b/>
                <w:bCs/>
                <w:color w:val="00305F"/>
                <w:szCs w:val="20"/>
                <w:rtl/>
              </w:rPr>
              <w:t>התעשיות הביטחוניות הממשלתיות</w:t>
            </w:r>
          </w:p>
        </w:tc>
        <w:tc>
          <w:tcPr>
            <w:tcW w:w="1121" w:type="dxa"/>
          </w:tcPr>
          <w:p w:rsidR="00AA5AC3" w:rsidRPr="001309F2" w:rsidP="00B6233D" w14:paraId="20E0CB71" w14:textId="77777777">
            <w:pPr>
              <w:pStyle w:val="71316"/>
              <w:spacing w:before="240" w:after="80" w:line="240" w:lineRule="auto"/>
              <w:rPr>
                <w:rFonts w:ascii="Arial" w:hAnsi="Arial"/>
                <w:b w:val="0"/>
                <w:bCs w:val="0"/>
                <w:color w:val="000000"/>
                <w:sz w:val="18"/>
                <w:szCs w:val="18"/>
                <w:rtl/>
              </w:rPr>
            </w:pPr>
          </w:p>
        </w:tc>
      </w:tr>
      <w:tr w14:paraId="7AE4DDA5" w14:textId="77777777" w:rsidTr="00B6233D">
        <w:tblPrEx>
          <w:tblW w:w="0" w:type="auto"/>
          <w:tblLook w:val="04A0"/>
        </w:tblPrEx>
        <w:trPr>
          <w:trHeight w:val="340"/>
        </w:trPr>
        <w:tc>
          <w:tcPr>
            <w:tcW w:w="6239" w:type="dxa"/>
          </w:tcPr>
          <w:p w:rsidR="00AA5AC3" w:rsidRPr="000049CF" w:rsidP="00B6233D" w14:paraId="165DA912" w14:textId="09B93C1A">
            <w:pPr>
              <w:spacing w:before="80" w:after="80"/>
              <w:rPr>
                <w:rFonts w:ascii="Arial" w:hAnsi="Arial" w:cs="Tahoma"/>
                <w:color w:val="000000"/>
                <w:sz w:val="18"/>
                <w:szCs w:val="18"/>
              </w:rPr>
            </w:pPr>
            <w:r w:rsidRPr="000049CF">
              <w:rPr>
                <w:rFonts w:ascii="Arial" w:hAnsi="Arial" w:cs="Tahoma"/>
                <w:color w:val="000000"/>
                <w:sz w:val="18"/>
                <w:szCs w:val="18"/>
                <w:rtl/>
              </w:rPr>
              <w:t xml:space="preserve">היבטים בקשרי הגומלין בין התעשייה האווירית לישראל בע"מ למשרד הביטחון בדגש על </w:t>
            </w:r>
            <w:r w:rsidRPr="000049CF">
              <w:rPr>
                <w:rFonts w:ascii="Arial" w:hAnsi="Arial" w:cs="Tahoma"/>
                <w:color w:val="000000"/>
                <w:sz w:val="18"/>
                <w:szCs w:val="18"/>
                <w:rtl/>
              </w:rPr>
              <w:t>פרויקטי</w:t>
            </w:r>
            <w:r w:rsidRPr="000049CF">
              <w:rPr>
                <w:rFonts w:ascii="Arial" w:hAnsi="Arial" w:cs="Tahoma"/>
                <w:color w:val="000000"/>
                <w:sz w:val="18"/>
                <w:szCs w:val="18"/>
                <w:rtl/>
              </w:rPr>
              <w:t xml:space="preserve"> </w:t>
            </w:r>
            <w:r w:rsidR="003C3E25">
              <w:rPr>
                <w:rFonts w:ascii="Arial" w:hAnsi="Arial" w:cs="Tahoma" w:hint="cs"/>
                <w:color w:val="000000"/>
                <w:sz w:val="18"/>
                <w:szCs w:val="18"/>
                <w:rtl/>
              </w:rPr>
              <w:t>ה</w:t>
            </w:r>
            <w:r w:rsidRPr="000049CF">
              <w:rPr>
                <w:rFonts w:ascii="Arial" w:hAnsi="Arial" w:cs="Tahoma"/>
                <w:color w:val="000000"/>
                <w:sz w:val="18"/>
                <w:szCs w:val="18"/>
                <w:rtl/>
              </w:rPr>
              <w:t>פיתוח</w:t>
            </w:r>
          </w:p>
          <w:p w:rsidR="00AA5AC3" w:rsidRPr="00B231A2" w:rsidP="00B6233D" w14:paraId="222BDC66" w14:textId="77777777">
            <w:pPr>
              <w:tabs>
                <w:tab w:val="right" w:pos="12"/>
                <w:tab w:val="right" w:pos="156"/>
              </w:tabs>
              <w:spacing w:before="80" w:after="80"/>
              <w:rPr>
                <w:rFonts w:ascii="Tahoma" w:hAnsi="Tahoma" w:cs="Tahoma"/>
                <w:b/>
                <w:bCs/>
                <w:color w:val="00305F"/>
                <w:szCs w:val="20"/>
                <w:rtl/>
              </w:rPr>
            </w:pPr>
          </w:p>
        </w:tc>
        <w:tc>
          <w:tcPr>
            <w:tcW w:w="1121" w:type="dxa"/>
          </w:tcPr>
          <w:p w:rsidR="00AA5AC3" w:rsidP="00B6233D" w14:paraId="07B30C20" w14:textId="0B104495">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2187</w:t>
            </w:r>
          </w:p>
        </w:tc>
      </w:tr>
    </w:tbl>
    <w:p w:rsidR="005A6171" w:rsidP="00047E7B" w14:paraId="1B82F7F4" w14:textId="77777777">
      <w:pPr>
        <w:pStyle w:val="71316"/>
        <w:rPr>
          <w:rtl/>
        </w:rPr>
        <w:sectPr w:rsidSect="00336631">
          <w:headerReference w:type="even" r:id="rId17"/>
          <w:headerReference w:type="default" r:id="rId18"/>
          <w:footnotePr>
            <w:numRestart w:val="eachSect"/>
          </w:footnotePr>
          <w:type w:val="continuous"/>
          <w:pgSz w:w="11906" w:h="16838" w:code="9"/>
          <w:pgMar w:top="3062" w:right="2268" w:bottom="2552" w:left="2268" w:header="1134" w:footer="1304" w:gutter="0"/>
          <w:pgNumType w:start="5"/>
          <w:cols w:space="708"/>
          <w:bidi/>
          <w:rtlGutter/>
          <w:docGrid w:linePitch="360"/>
        </w:sectPr>
      </w:pPr>
    </w:p>
    <w:p w:rsidR="00047E7B" w:rsidP="00047E7B" w14:paraId="7990FA4C" w14:textId="6202DD8F">
      <w:pPr>
        <w:pStyle w:val="71316"/>
        <w:rPr>
          <w:rtl/>
        </w:rPr>
      </w:pPr>
      <w:r>
        <w:rPr>
          <w:rFonts w:hint="cs"/>
          <w:rtl/>
        </w:rPr>
        <w:t>פתח דבר</w:t>
      </w:r>
    </w:p>
    <w:p w:rsidR="00047E7B" w:rsidP="00276563" w14:paraId="01E0F452" w14:textId="77777777">
      <w:pPr>
        <w:pStyle w:val="7190"/>
        <w:rPr>
          <w:rtl/>
        </w:rPr>
      </w:pPr>
    </w:p>
    <w:p w:rsidR="00A66B9D" w:rsidRPr="00E82B9E" w:rsidP="00A66B9D" w14:paraId="70FA07B4" w14:textId="77777777">
      <w:pPr>
        <w:pStyle w:val="7190"/>
        <w:rPr>
          <w:rtl/>
        </w:rPr>
      </w:pPr>
      <w:r w:rsidRPr="00E82B9E">
        <w:rPr>
          <w:rFonts w:hint="cs"/>
          <w:rtl/>
        </w:rPr>
        <w:t xml:space="preserve">דוח הביקורת השנתי של מבקר המדינה לשנת 2022 מונח על שולחן הכנסת ומתפרסם לציבור על פי חוק מבקר המדינה, התשי"ח-1958 [נוסח משולב]. הדוח כולל 26 פרקים העוסקים בביקורת במשרדי ממשלה, במוסדות מדינה, במערכת הביטחון ובחברות ממשלתיות ובתאגידים. פרקי הדוח מעלים על סדר היום הציבורי ממצאי ביקורת חשובים הנוגעים לכלל תחומי החיים ובכללם: רווחת הפרט, קיימות, מערכות מידע והגנת סייבר, ביטחון לאומי, ילדים ונוער, </w:t>
      </w:r>
      <w:r w:rsidRPr="00E82B9E">
        <w:rPr>
          <w:rFonts w:hint="cs"/>
          <w:rtl/>
        </w:rPr>
        <w:t>מינהל</w:t>
      </w:r>
      <w:r w:rsidRPr="00E82B9E">
        <w:rPr>
          <w:rFonts w:hint="cs"/>
          <w:rtl/>
        </w:rPr>
        <w:t xml:space="preserve"> וארגון ופיקוח ואכיפה. </w:t>
      </w:r>
    </w:p>
    <w:p w:rsidR="00A66B9D" w:rsidRPr="00E82B9E" w:rsidP="00A66B9D" w14:paraId="4306657F" w14:textId="77777777">
      <w:pPr>
        <w:pStyle w:val="7190"/>
        <w:rPr>
          <w:rtl/>
        </w:rPr>
      </w:pPr>
      <w:r w:rsidRPr="00E82B9E">
        <w:rPr>
          <w:rtl/>
        </w:rPr>
        <w:t>בהתאם לחזו</w:t>
      </w:r>
      <w:r w:rsidRPr="00E82B9E">
        <w:rPr>
          <w:rFonts w:hint="cs"/>
          <w:rtl/>
        </w:rPr>
        <w:t>ן מבקר המדינה ונציב תלונות הציבור</w:t>
      </w:r>
      <w:r w:rsidRPr="00E82B9E">
        <w:rPr>
          <w:rtl/>
        </w:rPr>
        <w:t xml:space="preserve">, </w:t>
      </w:r>
      <w:r w:rsidRPr="00E82B9E">
        <w:rPr>
          <w:rFonts w:hint="cs"/>
          <w:rtl/>
        </w:rPr>
        <w:t>אנו פועלים</w:t>
      </w:r>
      <w:r w:rsidRPr="00E82B9E">
        <w:rPr>
          <w:rtl/>
        </w:rPr>
        <w:t xml:space="preserve"> למצֵב את ביקורת המדינה כביקורת </w:t>
      </w:r>
      <w:r w:rsidRPr="00E82B9E">
        <w:rPr>
          <w:rFonts w:hint="cs"/>
          <w:rtl/>
        </w:rPr>
        <w:t>המניעה לפעולה, ביקורת חדשנית</w:t>
      </w:r>
      <w:r w:rsidRPr="00E82B9E">
        <w:rPr>
          <w:rtl/>
        </w:rPr>
        <w:t>, רלוונטית ואפקטיבית, העוסקת בתחומי הליבה של הגוף המבוקר</w:t>
      </w:r>
      <w:r w:rsidRPr="00E82B9E">
        <w:rPr>
          <w:rFonts w:hint="cs"/>
          <w:rtl/>
        </w:rPr>
        <w:t xml:space="preserve"> ומ</w:t>
      </w:r>
      <w:r w:rsidRPr="00E82B9E">
        <w:rPr>
          <w:rtl/>
        </w:rPr>
        <w:t>תמקדת הן בנושאי</w:t>
      </w:r>
      <w:r w:rsidRPr="00E82B9E">
        <w:rPr>
          <w:rFonts w:hint="cs"/>
          <w:rtl/>
        </w:rPr>
        <w:t>ם</w:t>
      </w:r>
      <w:r w:rsidRPr="00E82B9E">
        <w:rPr>
          <w:rtl/>
        </w:rPr>
        <w:t xml:space="preserve"> בעלי אופי חברתי </w:t>
      </w:r>
      <w:r w:rsidRPr="00E82B9E">
        <w:rPr>
          <w:rFonts w:hint="cs"/>
          <w:rtl/>
        </w:rPr>
        <w:t>וב</w:t>
      </w:r>
      <w:r w:rsidRPr="00E82B9E">
        <w:rPr>
          <w:rtl/>
        </w:rPr>
        <w:t xml:space="preserve">שירות לאזרח והן בסיכונים המהותיים המשפיעים על פעילות המבוקרים. זאת לצד נושאים הנוגעים </w:t>
      </w:r>
      <w:r w:rsidRPr="00E82B9E">
        <w:rPr>
          <w:rtl/>
        </w:rPr>
        <w:t>למינהל</w:t>
      </w:r>
      <w:r w:rsidRPr="00E82B9E">
        <w:rPr>
          <w:rtl/>
        </w:rPr>
        <w:t xml:space="preserve"> תקין ולטוהר המידות. </w:t>
      </w:r>
    </w:p>
    <w:p w:rsidR="00A66B9D" w:rsidRPr="00E82B9E" w:rsidP="00A66B9D" w14:paraId="6770A28F" w14:textId="77777777">
      <w:pPr>
        <w:pStyle w:val="7190"/>
        <w:rPr>
          <w:rtl/>
        </w:rPr>
      </w:pPr>
      <w:r w:rsidRPr="00E82B9E">
        <w:rPr>
          <w:rFonts w:hint="cs"/>
          <w:rtl/>
        </w:rPr>
        <w:t>להלן סקירה של חלק מהפרקים הכלולים בדוח זה:</w:t>
      </w:r>
    </w:p>
    <w:p w:rsidR="00A66B9D" w:rsidRPr="00E82B9E" w:rsidP="00A66B9D" w14:paraId="67193797" w14:textId="5419E6BC">
      <w:pPr>
        <w:pStyle w:val="7190"/>
        <w:rPr>
          <w:rtl/>
        </w:rPr>
      </w:pPr>
      <w:r w:rsidRPr="00E82B9E">
        <w:rPr>
          <w:rFonts w:hint="cs"/>
          <w:rtl/>
        </w:rPr>
        <w:t>הפרק העוסק ב</w:t>
      </w:r>
      <w:r w:rsidRPr="00E82B9E">
        <w:rPr>
          <w:rFonts w:hint="cs"/>
          <w:b/>
          <w:bCs/>
          <w:rtl/>
        </w:rPr>
        <w:t>דוחות הכספיים של מדינת ישראל ליום 31.12.2020 - חייבים ויתרות</w:t>
      </w:r>
      <w:r w:rsidRPr="00E82B9E">
        <w:rPr>
          <w:rFonts w:hint="cs"/>
          <w:rtl/>
        </w:rPr>
        <w:t xml:space="preserve"> </w:t>
      </w:r>
      <w:r w:rsidRPr="00A66B9D">
        <w:rPr>
          <w:rFonts w:hint="cs"/>
          <w:b/>
          <w:bCs/>
          <w:rtl/>
        </w:rPr>
        <w:t>חובה</w:t>
      </w:r>
      <w:r w:rsidRPr="00E82B9E">
        <w:rPr>
          <w:rtl/>
        </w:rPr>
        <w:t xml:space="preserve"> </w:t>
      </w:r>
      <w:r w:rsidRPr="00E82B9E">
        <w:rPr>
          <w:rFonts w:hint="cs"/>
          <w:rtl/>
        </w:rPr>
        <w:t>מצביע על כך ש</w:t>
      </w:r>
      <w:r w:rsidRPr="00E82B9E">
        <w:rPr>
          <w:rtl/>
        </w:rPr>
        <w:t xml:space="preserve">סעיף חייבים ויתרות חובה נמצא במגמת עלייה בשנים האחרונות - </w:t>
      </w:r>
      <w:r w:rsidR="00582865">
        <w:rPr>
          <w:rtl/>
        </w:rPr>
        <w:br/>
      </w:r>
      <w:r w:rsidRPr="00E82B9E">
        <w:rPr>
          <w:rtl/>
        </w:rPr>
        <w:t xml:space="preserve">מכ-49 מיליארד ש"ח בשנת 2015 לכ-69 מיליארד ש"ח בשנת 2020 (בניכוי הפרשה לחובות מסופקים). בביקורת עלה כי </w:t>
      </w:r>
      <w:r w:rsidRPr="00E82B9E">
        <w:rPr>
          <w:rFonts w:hint="cs"/>
          <w:rtl/>
        </w:rPr>
        <w:t xml:space="preserve">חלק גדול מעבודת </w:t>
      </w:r>
      <w:r w:rsidRPr="00E82B9E">
        <w:rPr>
          <w:rtl/>
        </w:rPr>
        <w:t xml:space="preserve">משרדי הממשלה </w:t>
      </w:r>
      <w:r w:rsidRPr="00E82B9E">
        <w:rPr>
          <w:rFonts w:hint="cs"/>
          <w:rtl/>
        </w:rPr>
        <w:t xml:space="preserve">בנושא </w:t>
      </w:r>
      <w:r w:rsidRPr="00E82B9E">
        <w:rPr>
          <w:rtl/>
        </w:rPr>
        <w:t>מתבצעת ידנית, ולא בתהליכים אוטומטיים</w:t>
      </w:r>
      <w:r w:rsidRPr="00E82B9E">
        <w:rPr>
          <w:rFonts w:hint="cs"/>
          <w:rtl/>
        </w:rPr>
        <w:t>.</w:t>
      </w:r>
      <w:r w:rsidRPr="00E82B9E">
        <w:rPr>
          <w:rtl/>
        </w:rPr>
        <w:t xml:space="preserve"> דבר </w:t>
      </w:r>
      <w:r w:rsidRPr="00E82B9E">
        <w:rPr>
          <w:rFonts w:hint="cs"/>
          <w:rtl/>
        </w:rPr>
        <w:t xml:space="preserve">זה </w:t>
      </w:r>
      <w:r w:rsidRPr="00E82B9E">
        <w:rPr>
          <w:rtl/>
        </w:rPr>
        <w:t>מקשה לשלוט בניהול החוב ולמנוע פיגורים ומביא להתיישנות חובות</w:t>
      </w:r>
      <w:r w:rsidRPr="00E82B9E">
        <w:rPr>
          <w:rFonts w:hint="cs"/>
          <w:rtl/>
        </w:rPr>
        <w:t xml:space="preserve">; </w:t>
      </w:r>
      <w:r w:rsidRPr="00E82B9E">
        <w:rPr>
          <w:rtl/>
        </w:rPr>
        <w:t>למשבר הקורונה הייתה השפעה נרחבת על הדוחות הכספיים לשנת 2020</w:t>
      </w:r>
      <w:r w:rsidRPr="00E82B9E">
        <w:rPr>
          <w:rFonts w:hint="cs"/>
          <w:rtl/>
        </w:rPr>
        <w:t xml:space="preserve">: </w:t>
      </w:r>
      <w:r w:rsidRPr="00E82B9E">
        <w:rPr>
          <w:rtl/>
        </w:rPr>
        <w:t>הכנסות המדינה בשנת 2020 פחתו בכ-17 מיליארד ש"ח לעומת שנת 2019, ו</w:t>
      </w:r>
      <w:r w:rsidRPr="00E82B9E">
        <w:rPr>
          <w:rFonts w:hint="cs"/>
          <w:rtl/>
        </w:rPr>
        <w:t>ה</w:t>
      </w:r>
      <w:r w:rsidRPr="00E82B9E">
        <w:rPr>
          <w:rtl/>
        </w:rPr>
        <w:t>גירעון החשבונאי השנתי</w:t>
      </w:r>
      <w:r w:rsidRPr="00E82B9E">
        <w:rPr>
          <w:rFonts w:hint="cs"/>
          <w:rtl/>
        </w:rPr>
        <w:t xml:space="preserve"> גדל </w:t>
      </w:r>
      <w:r w:rsidRPr="00E82B9E">
        <w:rPr>
          <w:rtl/>
        </w:rPr>
        <w:t>לכ-236 מיליארד ש"ח</w:t>
      </w:r>
      <w:r w:rsidRPr="00E82B9E">
        <w:rPr>
          <w:rFonts w:hint="cs"/>
          <w:rtl/>
        </w:rPr>
        <w:t>;</w:t>
      </w:r>
      <w:r w:rsidRPr="00E82B9E">
        <w:rPr>
          <w:rtl/>
        </w:rPr>
        <w:t xml:space="preserve"> אין אחידות ברישום החשבונאי </w:t>
      </w:r>
      <w:r w:rsidRPr="00E82B9E">
        <w:rPr>
          <w:rFonts w:hint="cs"/>
          <w:rtl/>
        </w:rPr>
        <w:t xml:space="preserve">של </w:t>
      </w:r>
      <w:r w:rsidRPr="00E82B9E">
        <w:rPr>
          <w:rtl/>
        </w:rPr>
        <w:t xml:space="preserve">חובות </w:t>
      </w:r>
      <w:r w:rsidRPr="00E82B9E">
        <w:rPr>
          <w:rFonts w:hint="cs"/>
          <w:rtl/>
        </w:rPr>
        <w:t>ש</w:t>
      </w:r>
      <w:r w:rsidRPr="00E82B9E">
        <w:rPr>
          <w:rtl/>
        </w:rPr>
        <w:t xml:space="preserve">משרדי הממשלה </w:t>
      </w:r>
      <w:r w:rsidRPr="00E82B9E">
        <w:rPr>
          <w:rFonts w:hint="cs"/>
          <w:rtl/>
        </w:rPr>
        <w:t xml:space="preserve">מעבירים </w:t>
      </w:r>
      <w:r w:rsidRPr="00E82B9E">
        <w:rPr>
          <w:rtl/>
        </w:rPr>
        <w:t xml:space="preserve">לטיפולו של המרכז לגביית קנסות, אגרות והוצאות </w:t>
      </w:r>
      <w:r w:rsidRPr="00E82B9E">
        <w:rPr>
          <w:rFonts w:hint="cs"/>
          <w:rtl/>
        </w:rPr>
        <w:t>(</w:t>
      </w:r>
      <w:r w:rsidRPr="00E82B9E">
        <w:rPr>
          <w:rtl/>
        </w:rPr>
        <w:t>המג"ק</w:t>
      </w:r>
      <w:r w:rsidRPr="00E82B9E">
        <w:rPr>
          <w:rFonts w:hint="cs"/>
          <w:rtl/>
        </w:rPr>
        <w:t xml:space="preserve">). </w:t>
      </w:r>
      <w:r w:rsidRPr="00E82B9E">
        <w:rPr>
          <w:rtl/>
        </w:rPr>
        <w:t xml:space="preserve">יש משרדים שמשאירים את </w:t>
      </w:r>
      <w:r w:rsidRPr="00E82B9E">
        <w:rPr>
          <w:rFonts w:hint="cs"/>
          <w:rtl/>
        </w:rPr>
        <w:t xml:space="preserve">רישום </w:t>
      </w:r>
      <w:r w:rsidRPr="00E82B9E">
        <w:rPr>
          <w:rtl/>
        </w:rPr>
        <w:t xml:space="preserve">החוב בספריהם אף לאחר העברתו לטיפולו של </w:t>
      </w:r>
      <w:r w:rsidRPr="00E82B9E">
        <w:rPr>
          <w:rtl/>
        </w:rPr>
        <w:t>המג"ק</w:t>
      </w:r>
      <w:r w:rsidRPr="00E82B9E">
        <w:rPr>
          <w:rtl/>
        </w:rPr>
        <w:t xml:space="preserve">, </w:t>
      </w:r>
      <w:r w:rsidRPr="00E82B9E">
        <w:rPr>
          <w:rFonts w:hint="cs"/>
          <w:rtl/>
        </w:rPr>
        <w:t>וה</w:t>
      </w:r>
      <w:r w:rsidRPr="00E82B9E">
        <w:rPr>
          <w:rtl/>
        </w:rPr>
        <w:t xml:space="preserve">דבר יכול ליצור כפילות של יתרות החוב בדוחות הכספיים המאוחדים של המדינה. על אגף </w:t>
      </w:r>
      <w:r w:rsidRPr="00E82B9E">
        <w:rPr>
          <w:rtl/>
        </w:rPr>
        <w:t>החשכ"ל</w:t>
      </w:r>
      <w:r w:rsidRPr="00E82B9E">
        <w:rPr>
          <w:rtl/>
        </w:rPr>
        <w:t xml:space="preserve"> להשלים את יישום מערכת הגבייה הרוחבית, כדי שזו תאפשר קבלת תמונת מצב מהימנה וזמינה בנוגע למצבת החייבים ולנתוני הגבייה. כמו כן, עליו לפעול לשיפור תהליך הגבייה של ה</w:t>
      </w:r>
      <w:r w:rsidRPr="00E82B9E">
        <w:rPr>
          <w:rFonts w:hint="cs"/>
          <w:rtl/>
        </w:rPr>
        <w:t>חובות ל</w:t>
      </w:r>
      <w:r w:rsidRPr="00E82B9E">
        <w:rPr>
          <w:rtl/>
        </w:rPr>
        <w:t>משרדים באמצעות רשות האכיפה והגבייה ולגביית כלל החובות. ניהול יתרת החובות וגבייתם חשובים לצורך שמירה על נכסי המדינה ומיצוי מלוא זכויותיה.</w:t>
      </w:r>
    </w:p>
    <w:p w:rsidR="00A66B9D" w:rsidRPr="00E82B9E" w:rsidP="00A66B9D" w14:paraId="4D768E6C" w14:textId="7EB8E2DF">
      <w:pPr>
        <w:pStyle w:val="7190"/>
        <w:rPr>
          <w:rtl/>
        </w:rPr>
      </w:pPr>
      <w:r w:rsidRPr="00E82B9E">
        <w:rPr>
          <w:rFonts w:hint="cs"/>
          <w:rtl/>
        </w:rPr>
        <w:t xml:space="preserve">דוח זה כולל </w:t>
      </w:r>
      <w:r w:rsidRPr="00E82B9E">
        <w:rPr>
          <w:rtl/>
        </w:rPr>
        <w:t xml:space="preserve">ביקורת </w:t>
      </w:r>
      <w:r w:rsidRPr="00E82B9E">
        <w:rPr>
          <w:rFonts w:hint="cs"/>
          <w:rtl/>
        </w:rPr>
        <w:t xml:space="preserve">בנושא </w:t>
      </w:r>
      <w:r w:rsidRPr="00E82B9E">
        <w:rPr>
          <w:b/>
          <w:bCs/>
          <w:rtl/>
        </w:rPr>
        <w:t>הפיקוח על טוהר הבחירות לכנסת ה-24</w:t>
      </w:r>
      <w:r w:rsidRPr="00E82B9E">
        <w:rPr>
          <w:rFonts w:hint="cs"/>
          <w:rtl/>
        </w:rPr>
        <w:t xml:space="preserve">. הועלה כי </w:t>
      </w:r>
      <w:r w:rsidRPr="00E82B9E">
        <w:rPr>
          <w:rtl/>
        </w:rPr>
        <w:t xml:space="preserve">עלות הפעלת מערך הפיקוח </w:t>
      </w:r>
      <w:r w:rsidRPr="00E82B9E">
        <w:rPr>
          <w:rFonts w:hint="cs"/>
          <w:rtl/>
        </w:rPr>
        <w:t>עמדה על 51 מיליון ש"ח, ו</w:t>
      </w:r>
      <w:r w:rsidRPr="00E82B9E">
        <w:rPr>
          <w:rtl/>
        </w:rPr>
        <w:t xml:space="preserve">מספר המפקחים על טוהר הבחירות </w:t>
      </w:r>
      <w:r w:rsidRPr="00E82B9E">
        <w:rPr>
          <w:rFonts w:hint="cs"/>
          <w:rtl/>
        </w:rPr>
        <w:t xml:space="preserve">גדל </w:t>
      </w:r>
      <w:r w:rsidRPr="00E82B9E">
        <w:rPr>
          <w:rtl/>
        </w:rPr>
        <w:t>בין מערכות הבחירות לכנסת ה-22 ולכנסת ה-24</w:t>
      </w:r>
      <w:r w:rsidRPr="00E82B9E">
        <w:rPr>
          <w:rFonts w:hint="cs"/>
          <w:rtl/>
        </w:rPr>
        <w:t xml:space="preserve"> פי ארבעה; </w:t>
      </w:r>
      <w:r w:rsidRPr="00E82B9E">
        <w:rPr>
          <w:rtl/>
        </w:rPr>
        <w:t xml:space="preserve">המטה </w:t>
      </w:r>
      <w:r w:rsidRPr="00E82B9E">
        <w:rPr>
          <w:rtl/>
        </w:rPr>
        <w:t>המינהלי</w:t>
      </w:r>
      <w:r w:rsidRPr="00E82B9E">
        <w:rPr>
          <w:rtl/>
        </w:rPr>
        <w:t xml:space="preserve"> לא החל לקדם הסדרה בחקיקה בכל הקשור למערך הפיקוח ולהצבת מצלמות בוועדות הקלפי; בבחירות לכנסת ה-24 </w:t>
      </w:r>
      <w:r w:rsidRPr="00E05A14" w:rsidR="00E05A14">
        <w:rPr>
          <w:rtl/>
        </w:rPr>
        <w:t>נעשה שימוש במצלמות בחדרי הקלפי על ידי גורמים שלא הוסמכו לכך לפני יום הבחירות</w:t>
      </w:r>
      <w:r w:rsidRPr="00E82B9E">
        <w:rPr>
          <w:rtl/>
        </w:rPr>
        <w:t>. הועלו ליקויים גם בהפעלת מערך הפיקוח:</w:t>
      </w:r>
      <w:r w:rsidRPr="00E82B9E">
        <w:rPr>
          <w:rFonts w:hint="cs"/>
          <w:rtl/>
        </w:rPr>
        <w:t xml:space="preserve"> 18% </w:t>
      </w:r>
      <w:r w:rsidRPr="00E82B9E">
        <w:rPr>
          <w:rtl/>
        </w:rPr>
        <w:t>מכלל ועדות הקלפי שהוגדרו "קלפיות רגישות" פעלו ללא מפקח ביום הבחירות לכנסת ה-24</w:t>
      </w:r>
      <w:r w:rsidRPr="00E82B9E">
        <w:rPr>
          <w:rFonts w:hint="cs"/>
          <w:rtl/>
        </w:rPr>
        <w:t>;</w:t>
      </w:r>
      <w:r w:rsidRPr="00E82B9E">
        <w:rPr>
          <w:rtl/>
        </w:rPr>
        <w:t xml:space="preserve"> 34% מהמפקחים לא הצליחו </w:t>
      </w:r>
      <w:r w:rsidRPr="00E82B9E">
        <w:rPr>
          <w:rFonts w:hint="cs"/>
          <w:rtl/>
        </w:rPr>
        <w:t>להשתמש</w:t>
      </w:r>
      <w:r w:rsidRPr="00E82B9E">
        <w:rPr>
          <w:rtl/>
        </w:rPr>
        <w:t xml:space="preserve"> באפליקציה ייעודית </w:t>
      </w:r>
      <w:r w:rsidRPr="00E82B9E">
        <w:rPr>
          <w:rFonts w:hint="cs"/>
          <w:rtl/>
        </w:rPr>
        <w:t>ל</w:t>
      </w:r>
      <w:r w:rsidRPr="00E82B9E">
        <w:rPr>
          <w:rtl/>
        </w:rPr>
        <w:t>דיווח על חשדות לפגיעה בטוהר הבחירות; בשל המידע החסר במערכות הממוחשבות של ועדת הבחירות המרכזית (</w:t>
      </w:r>
      <w:r w:rsidRPr="00E82B9E">
        <w:rPr>
          <w:rFonts w:hint="cs"/>
          <w:rtl/>
        </w:rPr>
        <w:t>ב</w:t>
      </w:r>
      <w:r w:rsidRPr="00E82B9E">
        <w:rPr>
          <w:rtl/>
        </w:rPr>
        <w:t xml:space="preserve">כ-40% מהדיווחים) </w:t>
      </w:r>
      <w:r w:rsidRPr="00E82B9E">
        <w:rPr>
          <w:rFonts w:hint="cs"/>
          <w:rtl/>
        </w:rPr>
        <w:t xml:space="preserve">המערכות אינן </w:t>
      </w:r>
      <w:r w:rsidRPr="00E82B9E">
        <w:rPr>
          <w:rFonts w:hint="cs"/>
          <w:rtl/>
        </w:rPr>
        <w:t>מ</w:t>
      </w:r>
      <w:r w:rsidRPr="00E82B9E">
        <w:rPr>
          <w:rtl/>
        </w:rPr>
        <w:t>אפשרות לדעת באיזו מידה הטיפול של הוועדה בחשדות לפגיעה בטוהר הבחירות היה ממצה</w:t>
      </w:r>
      <w:r w:rsidRPr="00E82B9E">
        <w:rPr>
          <w:rFonts w:hint="cs"/>
          <w:rtl/>
        </w:rPr>
        <w:t>,</w:t>
      </w:r>
      <w:r w:rsidRPr="00E82B9E">
        <w:rPr>
          <w:rtl/>
        </w:rPr>
        <w:t xml:space="preserve"> ואם אומנם כל המקרים הטעונים בדיקות עומק נבדקו כנדרש. לצורך קבלת החלטות בעתיד בנוגע לשאלה אם נדרש להקים מערך פיקוח על טוהר הבחירות, ואם כן, מה היק</w:t>
      </w:r>
      <w:r w:rsidRPr="00E82B9E">
        <w:rPr>
          <w:rFonts w:hint="cs"/>
          <w:rtl/>
        </w:rPr>
        <w:t>פו</w:t>
      </w:r>
      <w:r w:rsidRPr="00E82B9E">
        <w:rPr>
          <w:rtl/>
        </w:rPr>
        <w:t xml:space="preserve"> הראוי - ראוי </w:t>
      </w:r>
      <w:r w:rsidRPr="00E82B9E">
        <w:rPr>
          <w:rFonts w:hint="cs"/>
          <w:rtl/>
        </w:rPr>
        <w:t xml:space="preserve">כי ועדת הבחירות תקיים </w:t>
      </w:r>
      <w:r w:rsidRPr="00E82B9E">
        <w:rPr>
          <w:rtl/>
        </w:rPr>
        <w:t xml:space="preserve">בדיקה מקיפה </w:t>
      </w:r>
      <w:r w:rsidRPr="00E82B9E">
        <w:rPr>
          <w:rFonts w:hint="cs"/>
          <w:rtl/>
        </w:rPr>
        <w:t>בדבר</w:t>
      </w:r>
      <w:r w:rsidRPr="00E82B9E">
        <w:rPr>
          <w:rtl/>
        </w:rPr>
        <w:t xml:space="preserve"> אפקטיביות המערכים שפעלו בבחירות לכנסת ה-22, ה-23 וה-24, </w:t>
      </w:r>
      <w:r w:rsidRPr="00E82B9E">
        <w:rPr>
          <w:rFonts w:hint="cs"/>
          <w:rtl/>
        </w:rPr>
        <w:t xml:space="preserve">ותבחן את התועלת שבהם מול </w:t>
      </w:r>
      <w:r w:rsidRPr="00E82B9E">
        <w:rPr>
          <w:rtl/>
        </w:rPr>
        <w:t xml:space="preserve">עלויותיהם. </w:t>
      </w:r>
    </w:p>
    <w:p w:rsidR="00A66B9D" w:rsidRPr="00E82B9E" w:rsidP="00A66B9D" w14:paraId="584294A8" w14:textId="77777777">
      <w:pPr>
        <w:pStyle w:val="7190"/>
        <w:rPr>
          <w:rtl/>
        </w:rPr>
      </w:pPr>
      <w:r w:rsidRPr="00E82B9E">
        <w:rPr>
          <w:rFonts w:hint="cs"/>
          <w:rtl/>
        </w:rPr>
        <w:t xml:space="preserve">הביקורת בנושא </w:t>
      </w:r>
      <w:r w:rsidRPr="00E82B9E">
        <w:rPr>
          <w:b/>
          <w:bCs/>
          <w:rtl/>
        </w:rPr>
        <w:t>משטר איסור הלבנת הון</w:t>
      </w:r>
      <w:r w:rsidRPr="00E82B9E">
        <w:rPr>
          <w:rtl/>
        </w:rPr>
        <w:t xml:space="preserve"> </w:t>
      </w:r>
      <w:r w:rsidRPr="00E82B9E">
        <w:rPr>
          <w:b/>
          <w:bCs/>
          <w:rtl/>
        </w:rPr>
        <w:t>בישראל</w:t>
      </w:r>
      <w:r w:rsidRPr="00E82B9E">
        <w:rPr>
          <w:rFonts w:hint="cs"/>
          <w:rtl/>
        </w:rPr>
        <w:t xml:space="preserve"> הצביעה על כך שתשלומם של מאות מיליארדי ש"ח המשולמים בשנה למגזר הממשלתי, אינו מוסדר במשטר הלבנת הון. עוד נמצא כי </w:t>
      </w:r>
      <w:r w:rsidRPr="00E82B9E">
        <w:rPr>
          <w:rtl/>
        </w:rPr>
        <w:t>אף שהמידע הסטטיסטי</w:t>
      </w:r>
      <w:r w:rsidRPr="00E82B9E">
        <w:rPr>
          <w:rFonts w:hint="cs"/>
          <w:rtl/>
        </w:rPr>
        <w:t xml:space="preserve"> הרוחבי</w:t>
      </w:r>
      <w:r w:rsidRPr="00E82B9E">
        <w:rPr>
          <w:rtl/>
        </w:rPr>
        <w:t xml:space="preserve"> הוא המידע היחיד ש</w:t>
      </w:r>
      <w:r w:rsidRPr="00E82B9E">
        <w:rPr>
          <w:rFonts w:hint="cs"/>
          <w:rtl/>
        </w:rPr>
        <w:t>הרשות לאיסור הלבנת הון</w:t>
      </w:r>
      <w:r w:rsidRPr="00E82B9E">
        <w:rPr>
          <w:rtl/>
        </w:rPr>
        <w:t xml:space="preserve"> מעבירה כיום לרגולטורים </w:t>
      </w:r>
      <w:r w:rsidRPr="00E82B9E">
        <w:rPr>
          <w:rFonts w:hint="cs"/>
          <w:rtl/>
        </w:rPr>
        <w:t xml:space="preserve">במישרין </w:t>
      </w:r>
      <w:r w:rsidRPr="00E82B9E">
        <w:rPr>
          <w:rtl/>
        </w:rPr>
        <w:t>לצורך ביקורת, הוא הועבר</w:t>
      </w:r>
      <w:r w:rsidRPr="00E82B9E">
        <w:rPr>
          <w:rFonts w:hint="cs"/>
          <w:rtl/>
        </w:rPr>
        <w:t xml:space="preserve"> בשנים האחרונות</w:t>
      </w:r>
      <w:r w:rsidRPr="00E82B9E">
        <w:rPr>
          <w:rtl/>
        </w:rPr>
        <w:t xml:space="preserve"> ל-50% מהרגולטורים ולא בכל שנה.</w:t>
      </w:r>
      <w:r w:rsidRPr="00E82B9E">
        <w:rPr>
          <w:rFonts w:hint="cs"/>
          <w:rtl/>
        </w:rPr>
        <w:t xml:space="preserve"> עולות טענות כי קיימת במערכת הבנקאית הדרה פיננסית, ולו חלקית, של פעילות של נותני שירותים פיננסיים, של חברות </w:t>
      </w:r>
      <w:r w:rsidRPr="00E82B9E">
        <w:rPr>
          <w:rFonts w:hint="cs"/>
          <w:rtl/>
        </w:rPr>
        <w:t>פינטק</w:t>
      </w:r>
      <w:r w:rsidRPr="00E82B9E">
        <w:rPr>
          <w:rFonts w:hint="cs"/>
          <w:rtl/>
        </w:rPr>
        <w:t xml:space="preserve"> ושל חברות למסחר במטבעות </w:t>
      </w:r>
      <w:r w:rsidRPr="00E82B9E">
        <w:rPr>
          <w:rFonts w:hint="cs"/>
          <w:rtl/>
        </w:rPr>
        <w:t>קריפטוגרפיים</w:t>
      </w:r>
      <w:r w:rsidRPr="00E82B9E">
        <w:rPr>
          <w:rFonts w:hint="cs"/>
          <w:rtl/>
        </w:rPr>
        <w:t xml:space="preserve">. הדרה זו, אם היא אכן ננקטת, עלולה לגרום למגזרים המבצעים פעילות פיננסית במטבעות </w:t>
      </w:r>
      <w:r w:rsidRPr="00E82B9E">
        <w:rPr>
          <w:rFonts w:hint="cs"/>
          <w:rtl/>
        </w:rPr>
        <w:t>קריפטוגרפיים</w:t>
      </w:r>
      <w:r w:rsidRPr="00E82B9E">
        <w:rPr>
          <w:rFonts w:hint="cs"/>
          <w:rtl/>
        </w:rPr>
        <w:t xml:space="preserve"> ולחברות </w:t>
      </w:r>
      <w:r w:rsidRPr="00E82B9E">
        <w:rPr>
          <w:rFonts w:hint="cs"/>
          <w:rtl/>
        </w:rPr>
        <w:t>פינטק</w:t>
      </w:r>
      <w:r w:rsidRPr="00E82B9E">
        <w:rPr>
          <w:rFonts w:hint="cs"/>
          <w:rtl/>
        </w:rPr>
        <w:t xml:space="preserve"> להעביר את פעילותם אל מחוץ לגבולות ישראל, על כל המשתמע מכך, או לבצע פעילות לא מדווחת באופן שיגדיל את היקפי הלבנת ההון וההון השחור בישראל. עוד הועלה כי לצד הפעולה שעל המדינה והגופים הפיננסיים לנקוט לשמירה על איתנות משטר איסור הלבנת הון </w:t>
      </w:r>
      <w:r w:rsidRPr="00E82B9E">
        <w:rPr>
          <w:rFonts w:hint="cs"/>
          <w:rtl/>
        </w:rPr>
        <w:t>ומועילותו</w:t>
      </w:r>
      <w:r w:rsidRPr="00E82B9E">
        <w:rPr>
          <w:rFonts w:hint="cs"/>
          <w:rtl/>
        </w:rPr>
        <w:t>, לצורך עמידה בסטנדרטים הבין-לאומיים, מומלץ גם כי יבחנו תדיר את המשטר מנקודת מבטם של הלקוחות לסוגיהם ויפעלו לטיוב המשטר וייעולו ברוח החלטות הממשלה בעבר בעניין רגולציה חכמה, פעולות הממשלה משנת 2021 להקלת הרגולציה וחוק עקרונות האסדרה. מומלץ כי כלל הגורמים הרלוונטיים - כל אחד בתחום סמכותו ובתיאום ביניהם - ייתנו דגש מיוחד ליצירת תנאים הולמים להתפתחות תחום המטבעות הדיגיטליים (</w:t>
      </w:r>
      <w:r w:rsidRPr="00E82B9E">
        <w:rPr>
          <w:rFonts w:hint="cs"/>
          <w:rtl/>
        </w:rPr>
        <w:t>קריפטוגרפיים</w:t>
      </w:r>
      <w:r w:rsidRPr="00E82B9E">
        <w:rPr>
          <w:rFonts w:hint="cs"/>
          <w:rtl/>
        </w:rPr>
        <w:t xml:space="preserve">), שהיקף הפעילות העולמי בהם נאמד ב-2.5 עד 3 טריליון דולר, ותחומים פיננסיים חדשניים נוספים, ולפיקוח אפקטיבי על תחום נותני שירותים פיננסיים באזורים שבסיכון גבוה יחסית. </w:t>
      </w:r>
      <w:r w:rsidRPr="00E82B9E">
        <w:rPr>
          <w:rtl/>
        </w:rPr>
        <w:t xml:space="preserve">מוצע גם כי תקודם </w:t>
      </w:r>
      <w:r w:rsidRPr="00E82B9E">
        <w:rPr>
          <w:rFonts w:hint="cs"/>
          <w:rtl/>
        </w:rPr>
        <w:t>א</w:t>
      </w:r>
      <w:r w:rsidRPr="00E82B9E">
        <w:rPr>
          <w:rtl/>
        </w:rPr>
        <w:t>סדרה של חובות, כללים ומנגנוני פיקוח, בגישה מבוססת סיכון</w:t>
      </w:r>
      <w:r w:rsidRPr="00E82B9E">
        <w:rPr>
          <w:rFonts w:hint="cs"/>
          <w:rtl/>
        </w:rPr>
        <w:t>,</w:t>
      </w:r>
      <w:r w:rsidRPr="00E82B9E">
        <w:rPr>
          <w:rtl/>
        </w:rPr>
        <w:t xml:space="preserve"> </w:t>
      </w:r>
      <w:r w:rsidRPr="00E82B9E">
        <w:rPr>
          <w:rFonts w:hint="cs"/>
          <w:rtl/>
        </w:rPr>
        <w:t xml:space="preserve">כדי </w:t>
      </w:r>
      <w:r w:rsidRPr="00E82B9E">
        <w:rPr>
          <w:rtl/>
        </w:rPr>
        <w:t>שתשלומים למגזר ה</w:t>
      </w:r>
      <w:r w:rsidRPr="00E82B9E">
        <w:rPr>
          <w:rFonts w:hint="cs"/>
          <w:rtl/>
        </w:rPr>
        <w:t>ציבורי</w:t>
      </w:r>
      <w:r w:rsidRPr="00E82B9E">
        <w:rPr>
          <w:rtl/>
        </w:rPr>
        <w:t xml:space="preserve"> לא ישמשו אפיק </w:t>
      </w:r>
      <w:r w:rsidRPr="00E82B9E">
        <w:rPr>
          <w:rFonts w:hint="cs"/>
          <w:rtl/>
        </w:rPr>
        <w:t>להלבנת הון.</w:t>
      </w:r>
      <w:r w:rsidRPr="00E82B9E">
        <w:rPr>
          <w:rFonts w:hint="eastAsia"/>
          <w:rtl/>
        </w:rPr>
        <w:t xml:space="preserve"> </w:t>
      </w:r>
    </w:p>
    <w:p w:rsidR="00A66B9D" w:rsidRPr="00E82B9E" w:rsidP="00A66B9D" w14:paraId="0D4DDF8E" w14:textId="102C93DD">
      <w:pPr>
        <w:pStyle w:val="7190"/>
        <w:rPr>
          <w:rtl/>
        </w:rPr>
      </w:pPr>
      <w:r w:rsidRPr="00E82B9E">
        <w:rPr>
          <w:rFonts w:hint="cs"/>
          <w:rtl/>
        </w:rPr>
        <w:t>ל-830,000 בגירים בישראל יש רישום במרשם המשטרתי בגלל תיק פלילי שנפתח להם. ה</w:t>
      </w:r>
      <w:r w:rsidRPr="00E82B9E">
        <w:rPr>
          <w:rtl/>
        </w:rPr>
        <w:t xml:space="preserve">החלטה של </w:t>
      </w:r>
      <w:r w:rsidRPr="00E82B9E">
        <w:rPr>
          <w:rFonts w:hint="cs"/>
          <w:rtl/>
        </w:rPr>
        <w:t>רשויות האכיפה והתביעה</w:t>
      </w:r>
      <w:r w:rsidRPr="00E82B9E">
        <w:rPr>
          <w:rtl/>
        </w:rPr>
        <w:t xml:space="preserve"> על </w:t>
      </w:r>
      <w:r w:rsidRPr="00E82B9E">
        <w:rPr>
          <w:rFonts w:hint="cs"/>
          <w:rtl/>
        </w:rPr>
        <w:t>עילת הסגירה</w:t>
      </w:r>
      <w:r w:rsidRPr="00E82B9E">
        <w:rPr>
          <w:rtl/>
        </w:rPr>
        <w:t xml:space="preserve"> של תיק פלילי </w:t>
      </w:r>
      <w:r w:rsidRPr="00E82B9E">
        <w:rPr>
          <w:rFonts w:hint="cs"/>
          <w:rtl/>
        </w:rPr>
        <w:t>עלולה לצמצם את אפשרויות הפרנסה של האדם ולהכתים את שמו הטוב</w:t>
      </w:r>
      <w:r w:rsidRPr="00E82B9E">
        <w:rPr>
          <w:rtl/>
        </w:rPr>
        <w:t xml:space="preserve">. </w:t>
      </w:r>
      <w:r w:rsidRPr="00E82B9E">
        <w:rPr>
          <w:rFonts w:hint="cs"/>
          <w:rtl/>
        </w:rPr>
        <w:t xml:space="preserve">משרדנו בדק את נושא </w:t>
      </w:r>
      <w:r w:rsidRPr="00E82B9E">
        <w:rPr>
          <w:b/>
          <w:bCs/>
          <w:rtl/>
        </w:rPr>
        <w:t>טיפול המשטרה והפרקליטות</w:t>
      </w:r>
      <w:r w:rsidRPr="00E82B9E">
        <w:rPr>
          <w:rtl/>
        </w:rPr>
        <w:t xml:space="preserve"> </w:t>
      </w:r>
      <w:r w:rsidRPr="00A66B9D">
        <w:rPr>
          <w:b/>
          <w:bCs/>
          <w:rtl/>
        </w:rPr>
        <w:t>בסגירת תיקים פליליים</w:t>
      </w:r>
      <w:r w:rsidRPr="00E82B9E">
        <w:rPr>
          <w:rFonts w:hint="cs"/>
          <w:rtl/>
        </w:rPr>
        <w:t xml:space="preserve"> והעלה</w:t>
      </w:r>
      <w:r w:rsidRPr="00E82B9E">
        <w:rPr>
          <w:rtl/>
        </w:rPr>
        <w:t xml:space="preserve"> ממצאים המצריכים בחינה של רשויות האכיפה והתביעה </w:t>
      </w:r>
      <w:r w:rsidRPr="00E82B9E">
        <w:rPr>
          <w:rFonts w:hint="cs"/>
          <w:rtl/>
        </w:rPr>
        <w:t xml:space="preserve">בדבר </w:t>
      </w:r>
      <w:r w:rsidRPr="00E82B9E">
        <w:rPr>
          <w:rtl/>
        </w:rPr>
        <w:t xml:space="preserve">מידת השימוש בעילות </w:t>
      </w:r>
      <w:r w:rsidRPr="00E82B9E">
        <w:rPr>
          <w:rFonts w:hint="cs"/>
          <w:rtl/>
        </w:rPr>
        <w:t>ה</w:t>
      </w:r>
      <w:r w:rsidRPr="00E82B9E">
        <w:rPr>
          <w:rtl/>
        </w:rPr>
        <w:t>סגירה השונות</w:t>
      </w:r>
      <w:r w:rsidRPr="00E82B9E">
        <w:rPr>
          <w:rFonts w:hint="cs"/>
          <w:rtl/>
        </w:rPr>
        <w:t>. כך למשל, מספר תיקי החשודים</w:t>
      </w:r>
      <w:r w:rsidRPr="00E82B9E">
        <w:rPr>
          <w:rtl/>
        </w:rPr>
        <w:t xml:space="preserve"> שסגרו המשטרה והפרקליטות בשנת 2020 בעילת "חוסר ראיות</w:t>
      </w:r>
      <w:r w:rsidRPr="00E82B9E">
        <w:rPr>
          <w:rFonts w:hint="cs"/>
          <w:rtl/>
        </w:rPr>
        <w:t>" עמד על כ-55,000</w:t>
      </w:r>
      <w:r w:rsidRPr="00E82B9E">
        <w:rPr>
          <w:rtl/>
        </w:rPr>
        <w:t xml:space="preserve">. </w:t>
      </w:r>
      <w:r w:rsidRPr="00E82B9E">
        <w:rPr>
          <w:rFonts w:hint="cs"/>
          <w:rtl/>
        </w:rPr>
        <w:t>ה</w:t>
      </w:r>
      <w:r w:rsidRPr="00E82B9E">
        <w:rPr>
          <w:rtl/>
        </w:rPr>
        <w:t xml:space="preserve">בחינה </w:t>
      </w:r>
      <w:r w:rsidRPr="00E82B9E">
        <w:rPr>
          <w:rFonts w:hint="cs"/>
          <w:rtl/>
        </w:rPr>
        <w:t xml:space="preserve">האמורה </w:t>
      </w:r>
      <w:r w:rsidRPr="00E82B9E">
        <w:rPr>
          <w:rtl/>
        </w:rPr>
        <w:t xml:space="preserve">ראוי </w:t>
      </w:r>
      <w:r w:rsidRPr="00E82B9E">
        <w:rPr>
          <w:rFonts w:hint="cs"/>
          <w:rtl/>
        </w:rPr>
        <w:t>ש</w:t>
      </w:r>
      <w:r w:rsidRPr="00E82B9E">
        <w:rPr>
          <w:rtl/>
        </w:rPr>
        <w:t>ת</w:t>
      </w:r>
      <w:r w:rsidRPr="00E82B9E">
        <w:rPr>
          <w:rFonts w:hint="cs"/>
          <w:rtl/>
        </w:rPr>
        <w:t>י</w:t>
      </w:r>
      <w:r w:rsidRPr="00E82B9E">
        <w:rPr>
          <w:rtl/>
        </w:rPr>
        <w:t xml:space="preserve">עשה גם לאור </w:t>
      </w:r>
      <w:r w:rsidRPr="00E82B9E">
        <w:rPr>
          <w:rFonts w:hint="cs"/>
          <w:rtl/>
        </w:rPr>
        <w:t>ה</w:t>
      </w:r>
      <w:r w:rsidRPr="00E82B9E">
        <w:rPr>
          <w:rtl/>
        </w:rPr>
        <w:t>עדכון של הנחי</w:t>
      </w:r>
      <w:r w:rsidRPr="00E82B9E">
        <w:rPr>
          <w:rFonts w:hint="cs"/>
          <w:rtl/>
        </w:rPr>
        <w:t>י</w:t>
      </w:r>
      <w:r w:rsidRPr="00E82B9E">
        <w:rPr>
          <w:rtl/>
        </w:rPr>
        <w:t>ת פרקליט</w:t>
      </w:r>
      <w:r w:rsidRPr="00E82B9E">
        <w:rPr>
          <w:rFonts w:hint="cs"/>
          <w:rtl/>
        </w:rPr>
        <w:t xml:space="preserve"> המדינה</w:t>
      </w:r>
      <w:r w:rsidRPr="00E82B9E">
        <w:rPr>
          <w:rtl/>
        </w:rPr>
        <w:t xml:space="preserve"> משנת 2018 שנועד</w:t>
      </w:r>
      <w:r w:rsidRPr="00E82B9E">
        <w:rPr>
          <w:rFonts w:hint="cs"/>
          <w:rtl/>
        </w:rPr>
        <w:t>,</w:t>
      </w:r>
      <w:r w:rsidRPr="00E82B9E">
        <w:rPr>
          <w:rtl/>
        </w:rPr>
        <w:t xml:space="preserve"> בין היתר</w:t>
      </w:r>
      <w:r w:rsidRPr="00E82B9E">
        <w:rPr>
          <w:rFonts w:hint="cs"/>
          <w:rtl/>
        </w:rPr>
        <w:t>,</w:t>
      </w:r>
      <w:r w:rsidRPr="00E82B9E">
        <w:rPr>
          <w:rtl/>
        </w:rPr>
        <w:t xml:space="preserve"> להביא לצמצום מספר התיקים שנסגרים בעילה של "חוסר ראיות". בשים לב לחזקת החפות העומדת לחשודים שהוחלט לסגור את תיק החקירה נגדם, ולסתימת הגולל על האפשרות להעמיד לדין את מי שהמתלוננים טוענים כי פגע בהם, </w:t>
      </w:r>
      <w:r w:rsidRPr="00E82B9E">
        <w:rPr>
          <w:rFonts w:hint="cs"/>
          <w:rtl/>
        </w:rPr>
        <w:t>מומלץ</w:t>
      </w:r>
      <w:r w:rsidRPr="00E82B9E">
        <w:rPr>
          <w:rtl/>
        </w:rPr>
        <w:t xml:space="preserve"> כי רשויות האכיפה והתביעה יפעלו לתיקון </w:t>
      </w:r>
      <w:r w:rsidRPr="00E82B9E">
        <w:rPr>
          <w:rFonts w:hint="cs"/>
          <w:rtl/>
        </w:rPr>
        <w:t xml:space="preserve">ליקויים </w:t>
      </w:r>
      <w:r w:rsidRPr="00E82B9E">
        <w:rPr>
          <w:rtl/>
        </w:rPr>
        <w:t>המצביעים על חסמים במיצוי זכותם של חשודים ומתלוננים לערור על ההחלטה. כמו כן מוצע למנות גורם מנתב אחד שאליו יוכלו לפנות המתלוננים או החשודים לשם הגשת עררים והשגות, גם באופן מקוון.</w:t>
      </w:r>
    </w:p>
    <w:p w:rsidR="00A66B9D" w:rsidRPr="001F32EE" w:rsidP="00A66B9D" w14:paraId="7F85FAFC" w14:textId="518D03F8">
      <w:pPr>
        <w:pStyle w:val="7190"/>
        <w:rPr>
          <w:bCs/>
          <w:rtl/>
        </w:rPr>
      </w:pPr>
      <w:r>
        <w:rPr>
          <w:rFonts w:hint="cs"/>
          <w:rtl/>
        </w:rPr>
        <w:t xml:space="preserve">משרדנו בדק, בפעם הראשונה, את נושא </w:t>
      </w:r>
      <w:r w:rsidRPr="00E01F7D">
        <w:rPr>
          <w:rFonts w:hint="cs"/>
          <w:bCs/>
          <w:rtl/>
        </w:rPr>
        <w:t>מניעת מעילות במשרדי ממשלה ובחברות ממשלתיות</w:t>
      </w:r>
      <w:r>
        <w:rPr>
          <w:rFonts w:hint="cs"/>
          <w:bCs/>
          <w:rtl/>
        </w:rPr>
        <w:t>.</w:t>
      </w:r>
      <w:r w:rsidRPr="00E01F7D">
        <w:rPr>
          <w:rFonts w:hint="cs"/>
          <w:rtl/>
        </w:rPr>
        <w:t xml:space="preserve"> היקף הפעילות הכספית של משרדי הממשלה והחברות הממשלתיות, אופיים של גופים אלה, מורכבותם ומספר העובדים הגדול בהם - כל אלה חושפים אותם ל</w:t>
      </w:r>
      <w:r>
        <w:rPr>
          <w:rFonts w:hint="cs"/>
          <w:rtl/>
        </w:rPr>
        <w:t xml:space="preserve">סכנת </w:t>
      </w:r>
      <w:r w:rsidRPr="00E01F7D">
        <w:rPr>
          <w:rFonts w:hint="cs"/>
          <w:rtl/>
        </w:rPr>
        <w:t>מעילות. הנזק השנתי המוערך בישראל עקב מעילות</w:t>
      </w:r>
      <w:r>
        <w:rPr>
          <w:rFonts w:hint="cs"/>
          <w:rtl/>
        </w:rPr>
        <w:t xml:space="preserve"> עומד על 6 - 9 מיליארד ש"ח. </w:t>
      </w:r>
      <w:r w:rsidRPr="00E01F7D">
        <w:rPr>
          <w:rFonts w:hint="cs"/>
          <w:rtl/>
        </w:rPr>
        <w:t xml:space="preserve">ממצאי ביקורת זו </w:t>
      </w:r>
      <w:r w:rsidRPr="00E01F7D">
        <w:rPr>
          <w:rFonts w:hint="cs"/>
          <w:rtl/>
        </w:rPr>
        <w:t xml:space="preserve">מצביעים על ליקויים בתחום מערך ניהול הסיכונים למניעת מעילות ובתחום מערכות המידע. כמו כן עולים ליקויים בנוגע לבחינת יישום בקרות תפעוליות בתחומים </w:t>
      </w:r>
      <w:r>
        <w:rPr>
          <w:rFonts w:hint="cs"/>
          <w:rtl/>
        </w:rPr>
        <w:t>האלה</w:t>
      </w:r>
      <w:r w:rsidRPr="00E01F7D">
        <w:rPr>
          <w:rFonts w:hint="cs"/>
          <w:rtl/>
        </w:rPr>
        <w:t>: משאבי אנוש ושכר, רכש ומלאי, גבייה ואמצעי תשלום</w:t>
      </w:r>
      <w:r>
        <w:rPr>
          <w:rFonts w:hint="cs"/>
          <w:rtl/>
        </w:rPr>
        <w:t xml:space="preserve">. הועלה כי 82% </w:t>
      </w:r>
      <w:r w:rsidRPr="00E01F7D">
        <w:rPr>
          <w:rFonts w:hint="cs"/>
          <w:rtl/>
        </w:rPr>
        <w:t>ממשרדי הממשלה והחברות הממשלתיות (בממוצע) אינם משתמשים בטכנולוגיות חדשניות להתמודדות עם מעילות</w:t>
      </w:r>
      <w:r>
        <w:rPr>
          <w:rFonts w:hint="cs"/>
          <w:rtl/>
        </w:rPr>
        <w:t>.</w:t>
      </w:r>
      <w:r w:rsidRPr="00E01F7D">
        <w:rPr>
          <w:rFonts w:hint="cs"/>
          <w:rtl/>
        </w:rPr>
        <w:t xml:space="preserve"> כדי למנוע מעילות דרוש הליך מקיף ומורכב הכולל ביסוס תרבות ארגונית נאותה, הגברת המודעות לנושא בקרב עובדי הארגון, זיהוי מוקדם של הסיכונים ונקודות החולשה במערכות הארגון, בניית תוכנית מוסדרת למניעת מעילות והטמעת בקרות ומערכות ייעודיות להפחתת הסיכונים. הליך זה הוא חלק מנורמות מקובלות לניהול סיכונים כלל-ארגוני אשר התפתחו בעשורים האחרונים. על משרדי הממשלה והחברות הממשלתיות וכן על </w:t>
      </w:r>
      <w:r w:rsidRPr="00E01F7D">
        <w:rPr>
          <w:rFonts w:hint="cs"/>
          <w:rtl/>
        </w:rPr>
        <w:t>החשכ"ל</w:t>
      </w:r>
      <w:r w:rsidRPr="00E01F7D">
        <w:rPr>
          <w:rFonts w:hint="cs"/>
          <w:rtl/>
        </w:rPr>
        <w:t xml:space="preserve"> ורשות החברות הממשלתיות לתת את דעתם על המסקנות וההמלצות שהועלו בדוח זה, להפיק לקחים מהליקויים שצוינו בדוח ולפעול לתיקונם.</w:t>
      </w:r>
      <w:r>
        <w:rPr>
          <w:rFonts w:hint="cs"/>
          <w:rtl/>
        </w:rPr>
        <w:t xml:space="preserve"> </w:t>
      </w:r>
      <w:r w:rsidRPr="001F32EE">
        <w:rPr>
          <w:rFonts w:hint="cs"/>
          <w:bCs/>
          <w:rtl/>
        </w:rPr>
        <w:t xml:space="preserve">יצוין כי </w:t>
      </w:r>
      <w:r>
        <w:rPr>
          <w:rFonts w:hint="cs"/>
          <w:bCs/>
          <w:rtl/>
        </w:rPr>
        <w:t xml:space="preserve">הדוח כולל גם </w:t>
      </w:r>
      <w:r w:rsidRPr="001F32EE">
        <w:rPr>
          <w:rFonts w:hint="cs"/>
          <w:bCs/>
          <w:rtl/>
        </w:rPr>
        <w:t>ביקורת</w:t>
      </w:r>
      <w:r>
        <w:rPr>
          <w:rFonts w:hint="cs"/>
          <w:bCs/>
          <w:rtl/>
        </w:rPr>
        <w:t xml:space="preserve"> ממוקדת</w:t>
      </w:r>
      <w:r w:rsidRPr="001F32EE">
        <w:rPr>
          <w:rFonts w:hint="cs"/>
          <w:bCs/>
          <w:rtl/>
        </w:rPr>
        <w:t xml:space="preserve"> </w:t>
      </w:r>
      <w:r>
        <w:rPr>
          <w:rFonts w:hint="cs"/>
          <w:bCs/>
          <w:rtl/>
        </w:rPr>
        <w:t>בנושא מניעת מעילות</w:t>
      </w:r>
      <w:r w:rsidRPr="001F32EE">
        <w:rPr>
          <w:rFonts w:hint="cs"/>
          <w:bCs/>
          <w:rtl/>
        </w:rPr>
        <w:t xml:space="preserve"> </w:t>
      </w:r>
      <w:r w:rsidR="006C5EEB">
        <w:rPr>
          <w:rFonts w:hint="cs"/>
          <w:bCs/>
          <w:rtl/>
        </w:rPr>
        <w:t>ברשות</w:t>
      </w:r>
      <w:r w:rsidRPr="001F32EE">
        <w:rPr>
          <w:rFonts w:hint="cs"/>
          <w:bCs/>
          <w:rtl/>
        </w:rPr>
        <w:t xml:space="preserve"> מקרקעי ישראל.</w:t>
      </w:r>
    </w:p>
    <w:p w:rsidR="00A66B9D" w:rsidRPr="00655407" w:rsidP="00A66B9D" w14:paraId="51FAA2C9" w14:textId="77777777">
      <w:pPr>
        <w:pStyle w:val="7190"/>
        <w:rPr>
          <w:rtl/>
        </w:rPr>
      </w:pPr>
      <w:r w:rsidRPr="00655407">
        <w:rPr>
          <w:rtl/>
        </w:rPr>
        <w:t xml:space="preserve">בשנת 2021 חיו </w:t>
      </w:r>
      <w:r>
        <w:rPr>
          <w:rFonts w:hint="cs"/>
          <w:rtl/>
        </w:rPr>
        <w:t xml:space="preserve">בישראל </w:t>
      </w:r>
      <w:r w:rsidRPr="00655407">
        <w:rPr>
          <w:rtl/>
        </w:rPr>
        <w:t>כ-286,700 פעוטות בגילי לידה עד שלוש</w:t>
      </w:r>
      <w:r>
        <w:rPr>
          <w:rFonts w:hint="cs"/>
          <w:rtl/>
        </w:rPr>
        <w:t xml:space="preserve">. </w:t>
      </w:r>
      <w:r w:rsidRPr="00655407">
        <w:rPr>
          <w:rtl/>
        </w:rPr>
        <w:t xml:space="preserve">מחקרים מראים כי השקעה </w:t>
      </w:r>
      <w:r>
        <w:rPr>
          <w:rFonts w:hint="cs"/>
          <w:rtl/>
        </w:rPr>
        <w:t xml:space="preserve">בטיפול </w:t>
      </w:r>
      <w:r w:rsidRPr="00655407">
        <w:rPr>
          <w:rtl/>
        </w:rPr>
        <w:t>ב</w:t>
      </w:r>
      <w:r>
        <w:rPr>
          <w:rFonts w:hint="cs"/>
          <w:rtl/>
        </w:rPr>
        <w:t>בני ה</w:t>
      </w:r>
      <w:r w:rsidRPr="00655407">
        <w:rPr>
          <w:rtl/>
        </w:rPr>
        <w:t xml:space="preserve">גיל הרך </w:t>
      </w:r>
      <w:r>
        <w:rPr>
          <w:rFonts w:hint="cs"/>
          <w:rtl/>
        </w:rPr>
        <w:t xml:space="preserve">ובחינוכם </w:t>
      </w:r>
      <w:r w:rsidRPr="00655407">
        <w:rPr>
          <w:rtl/>
        </w:rPr>
        <w:t>יש בה כדי לחסוך השקעת כספים ציבוריים בטווח הרחוק</w:t>
      </w:r>
      <w:r>
        <w:rPr>
          <w:rFonts w:hint="cs"/>
          <w:rtl/>
        </w:rPr>
        <w:t>,</w:t>
      </w:r>
      <w:r w:rsidRPr="00655407">
        <w:rPr>
          <w:rtl/>
        </w:rPr>
        <w:t xml:space="preserve"> והיא מביאה תשואה גבוהה יחסית, במיוחד עבור פעוטות ממשפחות במצב חברתי-כלכלי נמוך. </w:t>
      </w:r>
      <w:r>
        <w:rPr>
          <w:rFonts w:hint="cs"/>
          <w:rtl/>
        </w:rPr>
        <w:t xml:space="preserve">הביקורת בנושא </w:t>
      </w:r>
      <w:r w:rsidRPr="00655407">
        <w:rPr>
          <w:bCs/>
          <w:rtl/>
        </w:rPr>
        <w:t>הטיפול בפעוטות וחינוכם במעונות יום ובמשפחתונים</w:t>
      </w:r>
      <w:r>
        <w:rPr>
          <w:rFonts w:hint="cs"/>
          <w:rtl/>
        </w:rPr>
        <w:t xml:space="preserve"> העלתה </w:t>
      </w:r>
      <w:r w:rsidRPr="00655407">
        <w:rPr>
          <w:rtl/>
        </w:rPr>
        <w:t>כי אף שחינוך לפעוטות הוא שלב מכריע ביצירת שוויון הזדמנויות, בפועל הפריסה ומנגנון הסבסוד של מסגרות הסמל</w:t>
      </w:r>
      <w:r>
        <w:rPr>
          <w:rFonts w:hint="cs"/>
          <w:rtl/>
        </w:rPr>
        <w:t>,</w:t>
      </w:r>
      <w:r w:rsidRPr="00655407">
        <w:rPr>
          <w:rtl/>
        </w:rPr>
        <w:t xml:space="preserve"> שבה</w:t>
      </w:r>
      <w:r>
        <w:rPr>
          <w:rFonts w:hint="cs"/>
          <w:rtl/>
        </w:rPr>
        <w:t>ן</w:t>
      </w:r>
      <w:r w:rsidRPr="00655407">
        <w:rPr>
          <w:rtl/>
        </w:rPr>
        <w:t xml:space="preserve"> המחיר מפוקח ויש אפשרות לסבסוד שכר הלימוד</w:t>
      </w:r>
      <w:r>
        <w:rPr>
          <w:rFonts w:hint="cs"/>
          <w:rtl/>
        </w:rPr>
        <w:t>,</w:t>
      </w:r>
      <w:r w:rsidRPr="00655407">
        <w:rPr>
          <w:rtl/>
        </w:rPr>
        <w:t xml:space="preserve"> משאירים משפחות רבות במצב חברתי-כלכלי נמוך ללא אפשרות ליהנות ממסגרת </w:t>
      </w:r>
      <w:r>
        <w:rPr>
          <w:rFonts w:hint="cs"/>
          <w:rtl/>
        </w:rPr>
        <w:t>כזאת</w:t>
      </w:r>
      <w:r w:rsidRPr="00655407">
        <w:rPr>
          <w:rtl/>
        </w:rPr>
        <w:t>; מאידך גיסא, מעונות סמל רבים משרתים אוכלוסייה חזקה מ</w:t>
      </w:r>
      <w:r>
        <w:rPr>
          <w:rFonts w:hint="cs"/>
          <w:rtl/>
        </w:rPr>
        <w:t>ה</w:t>
      </w:r>
      <w:r w:rsidRPr="00655407">
        <w:rPr>
          <w:rtl/>
        </w:rPr>
        <w:t xml:space="preserve">בחינה </w:t>
      </w:r>
      <w:r>
        <w:rPr>
          <w:rFonts w:hint="cs"/>
          <w:rtl/>
        </w:rPr>
        <w:t>ה</w:t>
      </w:r>
      <w:r w:rsidRPr="00655407">
        <w:rPr>
          <w:rtl/>
        </w:rPr>
        <w:t xml:space="preserve">חברתית-כלכלית, </w:t>
      </w:r>
      <w:r>
        <w:rPr>
          <w:rFonts w:hint="cs"/>
          <w:rtl/>
        </w:rPr>
        <w:t xml:space="preserve">המקבלת </w:t>
      </w:r>
      <w:r w:rsidRPr="00655407">
        <w:rPr>
          <w:rtl/>
        </w:rPr>
        <w:t xml:space="preserve">למעשה הטבה בדמות מחיר מפוקח, שככלל נמוך ממחיר השוק של מעונות באזור מגוריה. </w:t>
      </w:r>
      <w:r>
        <w:rPr>
          <w:rFonts w:hint="cs"/>
          <w:rtl/>
        </w:rPr>
        <w:t xml:space="preserve">עוד נמצא כי </w:t>
      </w:r>
      <w:r w:rsidRPr="00E01F7D">
        <w:rPr>
          <w:rtl/>
        </w:rPr>
        <w:t>במסגרות בעלות סמל, שבהן שוהים כ-150,000 פעוטות, תחלופת הצוותים תדירה, השכר ההתחלתי של המחנכות-מטפלות בשנת 2019 היה בפועל שכר מינימום - 5,300 ש"ח לחודש, הכשרתן חסרה, והוועדה שקמה במטרה לשפר את איכות המסגרות לא השלימה את עבודתה. עוד נמצא כי מוטל נטל בירוקרטי כבד על כתפי ההורים לפעוטות בכל הנוגע להליכי הבקשות לסבסוד שכר הלימוד במסגרות אלו</w:t>
      </w:r>
      <w:r>
        <w:rPr>
          <w:rFonts w:hint="cs"/>
          <w:rtl/>
        </w:rPr>
        <w:t>.</w:t>
      </w:r>
      <w:r w:rsidRPr="00E01F7D">
        <w:rPr>
          <w:rtl/>
        </w:rPr>
        <w:t xml:space="preserve"> </w:t>
      </w:r>
      <w:r w:rsidRPr="00E01F7D">
        <w:rPr>
          <w:rFonts w:hint="cs"/>
          <w:rtl/>
        </w:rPr>
        <w:t>כך</w:t>
      </w:r>
      <w:r>
        <w:rPr>
          <w:rFonts w:hint="cs"/>
          <w:rtl/>
        </w:rPr>
        <w:t>,</w:t>
      </w:r>
      <w:r w:rsidRPr="00E01F7D">
        <w:rPr>
          <w:rFonts w:hint="cs"/>
          <w:rtl/>
        </w:rPr>
        <w:t xml:space="preserve"> </w:t>
      </w:r>
      <w:r>
        <w:rPr>
          <w:rFonts w:hint="cs"/>
          <w:rtl/>
        </w:rPr>
        <w:t xml:space="preserve">לצורך </w:t>
      </w:r>
      <w:r w:rsidRPr="00E01F7D">
        <w:rPr>
          <w:rFonts w:hint="cs"/>
          <w:rtl/>
        </w:rPr>
        <w:t xml:space="preserve">כ-80% </w:t>
      </w:r>
      <w:r w:rsidRPr="00E01F7D">
        <w:rPr>
          <w:rtl/>
        </w:rPr>
        <w:t>מהבקשות של הורים לסבסוד שכר הלימוד של ילדיהם במסגרות סמל נדרשו ההורים לספק</w:t>
      </w:r>
      <w:r>
        <w:rPr>
          <w:rFonts w:hint="cs"/>
          <w:rtl/>
        </w:rPr>
        <w:t xml:space="preserve"> חמישה מסמכים או יותר, ועבור </w:t>
      </w:r>
      <w:r w:rsidRPr="00E01F7D">
        <w:rPr>
          <w:rtl/>
        </w:rPr>
        <w:t>כ-3,600 פעוטות נדרשו ההורים להגיש 25 מסמכים ומעלה</w:t>
      </w:r>
      <w:r w:rsidRPr="00E01F7D">
        <w:rPr>
          <w:rFonts w:hint="cs"/>
          <w:rtl/>
        </w:rPr>
        <w:t>.</w:t>
      </w:r>
      <w:r w:rsidRPr="00E01F7D">
        <w:rPr>
          <w:rtl/>
        </w:rPr>
        <w:t xml:space="preserve"> </w:t>
      </w:r>
      <w:r w:rsidRPr="00655407">
        <w:rPr>
          <w:rtl/>
        </w:rPr>
        <w:t>מומלץ כי האגף למעונות יום, בשיתוף משרד האוצר, יבחן את מודל הסבסוד על רקע השפעת חוק הפיקוח החדש על שוק המעונות</w:t>
      </w:r>
      <w:r>
        <w:rPr>
          <w:rFonts w:hint="cs"/>
          <w:rtl/>
        </w:rPr>
        <w:t>,</w:t>
      </w:r>
      <w:r w:rsidRPr="00655407">
        <w:rPr>
          <w:rtl/>
        </w:rPr>
        <w:t xml:space="preserve"> כדי לאפשר ליותר משפחות במצב חברתי-כלכלי נמוך להעניק לילדיהן חינוך-טיפול איכותי בגילי אפס עד שלוש. עוד מומלץ כי משרד החינוך, שאליו אמור לעבור תחום מעונות היום (לפי החלטת ממשלה מינואר 2022), יבחן דרכים לתמרץ מעונות ביישובים ושכונות באשכולות חברתיים-כלכליים נמוכים ולתמוך בהם כדי שיוכלו לעמוד בתנאי חוק הפיקוח החדש </w:t>
      </w:r>
      <w:r>
        <w:rPr>
          <w:rFonts w:hint="cs"/>
          <w:rtl/>
        </w:rPr>
        <w:t>- שיחיל עליהם את ה</w:t>
      </w:r>
      <w:r w:rsidRPr="00655407">
        <w:rPr>
          <w:rtl/>
        </w:rPr>
        <w:t xml:space="preserve">פיקוח והאכיפה הנובעים ממנו </w:t>
      </w:r>
      <w:r>
        <w:rPr>
          <w:rFonts w:hint="cs"/>
          <w:rtl/>
        </w:rPr>
        <w:t xml:space="preserve">- </w:t>
      </w:r>
      <w:r w:rsidRPr="00655407">
        <w:rPr>
          <w:rtl/>
        </w:rPr>
        <w:t>ולתת חינוך-טיפול איכותי יותר לפעוטות הזקוקים לכך. לבסוף, מוטל על משרד החינוך</w:t>
      </w:r>
      <w:r>
        <w:rPr>
          <w:rFonts w:hint="cs"/>
          <w:rtl/>
        </w:rPr>
        <w:t>,</w:t>
      </w:r>
      <w:r w:rsidRPr="00655407">
        <w:rPr>
          <w:rtl/>
        </w:rPr>
        <w:t xml:space="preserve"> שאליו עובר תחום זה</w:t>
      </w:r>
      <w:r>
        <w:rPr>
          <w:rFonts w:hint="cs"/>
          <w:rtl/>
        </w:rPr>
        <w:t>,</w:t>
      </w:r>
      <w:r w:rsidRPr="00655407">
        <w:rPr>
          <w:rtl/>
        </w:rPr>
        <w:t xml:space="preserve"> וכן על כלל הגורמים הנוספים המעורבים - זרוע העבודה, המועצה לגיל הרך ומשרד האוצר - לממש את השינוי האסטרטגי שחל עם יישום חוק הפיקוח החדש ותקנותיו והמעבר של עיקר הפעילות של האגף למעונות יום למשרד החינוך</w:t>
      </w:r>
      <w:r>
        <w:rPr>
          <w:rFonts w:hint="cs"/>
          <w:rtl/>
        </w:rPr>
        <w:t>; שינוי שנועד ל</w:t>
      </w:r>
      <w:r w:rsidRPr="00655407">
        <w:rPr>
          <w:rtl/>
        </w:rPr>
        <w:t xml:space="preserve">אפשר </w:t>
      </w:r>
      <w:r>
        <w:rPr>
          <w:rFonts w:hint="cs"/>
          <w:rtl/>
        </w:rPr>
        <w:t xml:space="preserve">את </w:t>
      </w:r>
      <w:r w:rsidRPr="00655407">
        <w:rPr>
          <w:rtl/>
        </w:rPr>
        <w:t>קפיצת המדרגה הנדרשת באיכות החינוך-טיפול הניתן לפעוטות בגילי אפס עד שלוש, ובפרט לפעוטות במצב חברתי-כלכלי נמוך.</w:t>
      </w:r>
    </w:p>
    <w:p w:rsidR="00A66B9D" w:rsidP="00A66B9D" w14:paraId="2241B979" w14:textId="53B87517">
      <w:pPr>
        <w:pStyle w:val="7190"/>
        <w:rPr>
          <w:rtl/>
        </w:rPr>
      </w:pPr>
      <w:r w:rsidRPr="00BC6B18">
        <w:rPr>
          <w:rtl/>
        </w:rPr>
        <w:t>אחת המשימות המרכזיות שמשרד החינוך אחראי להן היא תקצוב הפיתוח והבנייה של בתי הספר מתקציב המדינה באמצעות הרשויות המקומיות</w:t>
      </w:r>
      <w:r>
        <w:rPr>
          <w:rFonts w:hint="cs"/>
          <w:rtl/>
        </w:rPr>
        <w:t xml:space="preserve">. המשרד מתקצב </w:t>
      </w:r>
      <w:r w:rsidRPr="00BC6B18">
        <w:rPr>
          <w:rtl/>
        </w:rPr>
        <w:t xml:space="preserve">בנייה של מוסדות חינוך </w:t>
      </w:r>
      <w:r w:rsidRPr="00BC6B18">
        <w:rPr>
          <w:rtl/>
        </w:rPr>
        <w:t xml:space="preserve">חדשים, חידוש מבנים קיימים והשתתפות במימון מבנים יבילים ומבנים שכורים למוסדות חינוך במקרה הצורך. </w:t>
      </w:r>
      <w:r>
        <w:rPr>
          <w:rFonts w:hint="cs"/>
          <w:rtl/>
          <w:cs/>
        </w:rPr>
        <w:t>ה</w:t>
      </w:r>
      <w:r w:rsidRPr="00A66F56">
        <w:rPr>
          <w:rFonts w:hint="cs"/>
          <w:rtl/>
          <w:cs/>
        </w:rPr>
        <w:t>ביקורת בנושא</w:t>
      </w:r>
      <w:r>
        <w:rPr>
          <w:rFonts w:hint="cs"/>
          <w:bCs/>
          <w:rtl/>
          <w:cs/>
        </w:rPr>
        <w:t xml:space="preserve"> </w:t>
      </w:r>
      <w:r w:rsidRPr="007C36F6">
        <w:rPr>
          <w:bCs/>
          <w:rtl/>
          <w:cs/>
        </w:rPr>
        <w:t>פיתוח מוסדות חינוך - בנייה חדשה והרחבת מבנים קיימים</w:t>
      </w:r>
      <w:r>
        <w:rPr>
          <w:rFonts w:hint="cs"/>
          <w:bCs/>
          <w:rtl/>
          <w:cs/>
        </w:rPr>
        <w:t xml:space="preserve"> </w:t>
      </w:r>
      <w:r w:rsidRPr="002D32DB">
        <w:rPr>
          <w:rFonts w:hint="eastAsia"/>
          <w:rtl/>
        </w:rPr>
        <w:t>העלתה</w:t>
      </w:r>
      <w:r w:rsidRPr="002D32DB">
        <w:rPr>
          <w:rtl/>
        </w:rPr>
        <w:t xml:space="preserve"> </w:t>
      </w:r>
      <w:r w:rsidRPr="002D32DB">
        <w:rPr>
          <w:rFonts w:hint="eastAsia"/>
          <w:rtl/>
        </w:rPr>
        <w:t>כי</w:t>
      </w:r>
      <w:r>
        <w:rPr>
          <w:rFonts w:hint="cs"/>
          <w:bCs/>
          <w:rtl/>
          <w:cs/>
        </w:rPr>
        <w:t xml:space="preserve"> </w:t>
      </w:r>
      <w:r w:rsidRPr="00BC6B18">
        <w:rPr>
          <w:rtl/>
        </w:rPr>
        <w:t xml:space="preserve">בסוף 2020 </w:t>
      </w:r>
      <w:r>
        <w:rPr>
          <w:rFonts w:hint="cs"/>
          <w:rtl/>
        </w:rPr>
        <w:t xml:space="preserve">היה </w:t>
      </w:r>
      <w:r w:rsidRPr="00BC6B18">
        <w:rPr>
          <w:rtl/>
        </w:rPr>
        <w:t xml:space="preserve">מחסור </w:t>
      </w:r>
      <w:r>
        <w:rPr>
          <w:rFonts w:hint="cs"/>
          <w:rtl/>
        </w:rPr>
        <w:t>ש</w:t>
      </w:r>
      <w:r w:rsidRPr="00BC6B18">
        <w:rPr>
          <w:rtl/>
        </w:rPr>
        <w:t xml:space="preserve">ל יותר מ-10,200 כיתות לימוד בבתי ספר ובגני ילדים - גידול לעומת שנת 2017, שבה </w:t>
      </w:r>
      <w:r>
        <w:rPr>
          <w:rFonts w:hint="cs"/>
          <w:rtl/>
        </w:rPr>
        <w:t xml:space="preserve">היה </w:t>
      </w:r>
      <w:r w:rsidRPr="00BC6B18">
        <w:rPr>
          <w:rtl/>
        </w:rPr>
        <w:t xml:space="preserve">המחסור קרוב ל-7,500 כיתות. </w:t>
      </w:r>
      <w:r>
        <w:rPr>
          <w:rFonts w:hint="cs"/>
          <w:rtl/>
        </w:rPr>
        <w:t xml:space="preserve">ביקורת זו </w:t>
      </w:r>
      <w:r w:rsidRPr="00BC6B18">
        <w:rPr>
          <w:rtl/>
        </w:rPr>
        <w:t>חוש</w:t>
      </w:r>
      <w:r>
        <w:rPr>
          <w:rFonts w:hint="cs"/>
          <w:rtl/>
        </w:rPr>
        <w:t>פת</w:t>
      </w:r>
      <w:r w:rsidRPr="00BC6B18">
        <w:rPr>
          <w:rtl/>
        </w:rPr>
        <w:t xml:space="preserve"> פן ייחודי הנוגע לפערים החברתיים בישראל: הפערים בין הרשויות באשכולות החברתיים-כלכליים הגבוהים לבין הרשויות באשכולות החברתיים-כלכליים הנמוכים, לרעת האחרונ</w:t>
      </w:r>
      <w:r>
        <w:rPr>
          <w:rFonts w:hint="cs"/>
          <w:rtl/>
        </w:rPr>
        <w:t>ות</w:t>
      </w:r>
      <w:r w:rsidRPr="00BC6B18">
        <w:rPr>
          <w:rtl/>
        </w:rPr>
        <w:t xml:space="preserve">, באים לידי ביטוי במגוון ההיבטים הנוגעים לבינוי כיתות לימוד - בהיקף המחסור בכיתות לימוד, במספר התלמידים הממוצע בכיתה, בשיעור ניצול התקציב שהוקצה לבינוי כיתות הלימוד וכן בבניית מרחבי למידה חדשניים. מנגד, עיקר התקציב לבינוי כיתות במבנים יבילים (85%) יועד ליישובים באשכולות נמוכים יחסית (1 - 6). הסיבה העיקרית לפערים היא שרשויות מקומיות המשתייכות לאשכולות הנמוכים מתקשות לממש את ההרשאות התקציביות שקיבלו ממשרד החינוך לבניית הכיתות. התוצאה היא שרשות מאשכול חברתי-כלכלי גבוה יכולה להציע לתלמיד, מעבר למפרט האחיד והמחייב, תשתיות פיזיות וסביבת לימודים איכותיות יותר: מוסד הבנוי ברמה גבוהה יותר, מרווח ומצויד יותר והסביבה שבו מטופחת - משאבים שרשות מאשכול חברתי-כלכלי נמוך אינה יכולה להציע לתלמידיה. משרד מבקר המדינה ממליץ למשרד החינוך לגבש מדיניות לצמצום המחסור בכיתות לימוד על פני </w:t>
      </w:r>
      <w:r>
        <w:rPr>
          <w:rFonts w:hint="cs"/>
          <w:rtl/>
        </w:rPr>
        <w:t>כמה</w:t>
      </w:r>
      <w:r w:rsidRPr="00BC6B18">
        <w:rPr>
          <w:rtl/>
        </w:rPr>
        <w:t xml:space="preserve"> שנים עד </w:t>
      </w:r>
      <w:r>
        <w:rPr>
          <w:rFonts w:hint="cs"/>
          <w:rtl/>
        </w:rPr>
        <w:t>לסיומו</w:t>
      </w:r>
      <w:r w:rsidRPr="00BC6B18">
        <w:rPr>
          <w:rtl/>
        </w:rPr>
        <w:t xml:space="preserve">, לרבות מתן פתרונות קבע במקום הכיתות היבילות. עוד מומלץ כי המשרד יביא בחשבון את </w:t>
      </w:r>
      <w:r>
        <w:rPr>
          <w:rFonts w:hint="cs"/>
          <w:rtl/>
        </w:rPr>
        <w:t xml:space="preserve">הקושי </w:t>
      </w:r>
      <w:r w:rsidRPr="00BC6B18">
        <w:rPr>
          <w:rtl/>
        </w:rPr>
        <w:t xml:space="preserve">של הרשויות </w:t>
      </w:r>
      <w:r>
        <w:rPr>
          <w:rFonts w:hint="cs"/>
          <w:rtl/>
        </w:rPr>
        <w:t>באשכולות ה</w:t>
      </w:r>
      <w:r w:rsidRPr="00BC6B18">
        <w:rPr>
          <w:rtl/>
        </w:rPr>
        <w:t>חברתי</w:t>
      </w:r>
      <w:r>
        <w:rPr>
          <w:rFonts w:hint="cs"/>
          <w:rtl/>
        </w:rPr>
        <w:t>ים</w:t>
      </w:r>
      <w:r w:rsidRPr="00BC6B18">
        <w:rPr>
          <w:rtl/>
        </w:rPr>
        <w:t>-כלכלי</w:t>
      </w:r>
      <w:r>
        <w:rPr>
          <w:rFonts w:hint="cs"/>
          <w:rtl/>
        </w:rPr>
        <w:t>ים</w:t>
      </w:r>
      <w:r w:rsidRPr="00BC6B18">
        <w:rPr>
          <w:rtl/>
        </w:rPr>
        <w:t xml:space="preserve"> נמוכ</w:t>
      </w:r>
      <w:r>
        <w:rPr>
          <w:rFonts w:hint="cs"/>
          <w:rtl/>
        </w:rPr>
        <w:t>ים</w:t>
      </w:r>
      <w:r w:rsidRPr="00BC6B18">
        <w:rPr>
          <w:rtl/>
        </w:rPr>
        <w:t xml:space="preserve"> לממש את ההרשאות התקציביות לבינוי כיתות הלימוד. בכך יגביר המשרד את הסיכויים של התלמידים בבתי</w:t>
      </w:r>
      <w:r>
        <w:rPr>
          <w:rFonts w:hint="cs"/>
          <w:rtl/>
        </w:rPr>
        <w:t xml:space="preserve"> </w:t>
      </w:r>
      <w:r w:rsidRPr="00BC6B18">
        <w:rPr>
          <w:rtl/>
        </w:rPr>
        <w:t>הס</w:t>
      </w:r>
      <w:r>
        <w:rPr>
          <w:rFonts w:hint="cs"/>
          <w:rtl/>
        </w:rPr>
        <w:t>פר</w:t>
      </w:r>
      <w:r w:rsidRPr="00BC6B18">
        <w:rPr>
          <w:rtl/>
        </w:rPr>
        <w:t xml:space="preserve"> ברשויות אלה להימצא בעמדת פתיחה שווה לתלמידים בבתי</w:t>
      </w:r>
      <w:r>
        <w:rPr>
          <w:rFonts w:hint="cs"/>
          <w:rtl/>
        </w:rPr>
        <w:t xml:space="preserve"> </w:t>
      </w:r>
      <w:r w:rsidRPr="00BC6B18">
        <w:rPr>
          <w:rtl/>
        </w:rPr>
        <w:t>הס</w:t>
      </w:r>
      <w:r>
        <w:rPr>
          <w:rFonts w:hint="cs"/>
          <w:rtl/>
        </w:rPr>
        <w:t>פר</w:t>
      </w:r>
      <w:r w:rsidRPr="00BC6B18">
        <w:rPr>
          <w:rtl/>
        </w:rPr>
        <w:t xml:space="preserve"> ברשויות אחרות ויבטיח להם הזדמנות שווה. עוד ממליץ משרד מבקר המדינה למשרד החינוך לבחון את האופן שבו יישם ב-13 השנים האחרונות את החלטות הממשלה בנוגע להפחתת הצפיפות בכיתות: לנתח את הצרכים לפי שלבי החינוך, השיוך החברתי-כלכלי של הרשות והמגזר שאליו שייך בית הספר; לגבש תוכנית פעולה רב-שנתית ליישום החלטות הממשלה; ולת</w:t>
      </w:r>
      <w:r>
        <w:rPr>
          <w:rFonts w:hint="cs"/>
          <w:rtl/>
        </w:rPr>
        <w:t>ת עדיפות ל</w:t>
      </w:r>
      <w:r w:rsidRPr="00BC6B18">
        <w:rPr>
          <w:rtl/>
        </w:rPr>
        <w:t>תקצוב בניית כיתות הלימוד החדשות ברשויות המקומיות שהצפיפות הממוצעת בכיתות בבתי</w:t>
      </w:r>
      <w:r>
        <w:rPr>
          <w:rFonts w:hint="cs"/>
          <w:rtl/>
        </w:rPr>
        <w:t xml:space="preserve"> </w:t>
      </w:r>
      <w:r w:rsidRPr="00BC6B18">
        <w:rPr>
          <w:rtl/>
        </w:rPr>
        <w:t>הס</w:t>
      </w:r>
      <w:r>
        <w:rPr>
          <w:rFonts w:hint="cs"/>
          <w:rtl/>
        </w:rPr>
        <w:t>פר</w:t>
      </w:r>
      <w:r w:rsidRPr="00BC6B18">
        <w:rPr>
          <w:rtl/>
        </w:rPr>
        <w:t xml:space="preserve"> שבאחריותן גבוהה יותר</w:t>
      </w:r>
      <w:r>
        <w:rPr>
          <w:rFonts w:hint="cs"/>
          <w:rtl/>
        </w:rPr>
        <w:t>.</w:t>
      </w:r>
    </w:p>
    <w:p w:rsidR="00A66B9D" w:rsidP="00A66B9D" w14:paraId="7CC782DA" w14:textId="6806D92B">
      <w:pPr>
        <w:pStyle w:val="7190"/>
        <w:rPr>
          <w:rtl/>
        </w:rPr>
      </w:pPr>
      <w:r w:rsidRPr="001F32EE">
        <w:rPr>
          <w:rtl/>
        </w:rPr>
        <w:t>ביצי מאכל משמשות מקור לחלבון מן החי בתזונה האנושית</w:t>
      </w:r>
      <w:r>
        <w:rPr>
          <w:rFonts w:hint="cs"/>
          <w:rtl/>
        </w:rPr>
        <w:t>,</w:t>
      </w:r>
      <w:r w:rsidRPr="001F32EE">
        <w:rPr>
          <w:rFonts w:hint="cs"/>
          <w:rtl/>
        </w:rPr>
        <w:t xml:space="preserve"> </w:t>
      </w:r>
      <w:r>
        <w:rPr>
          <w:rFonts w:hint="cs"/>
          <w:rtl/>
        </w:rPr>
        <w:t>והצריכה הממוצעת השנתית לאדם בישראל עומדת על 250 ביצים.</w:t>
      </w:r>
      <w:r w:rsidRPr="001F32EE">
        <w:rPr>
          <w:rtl/>
        </w:rPr>
        <w:t xml:space="preserve"> ענף ההטלה בישראל מתוכנן וניתן לייצר ולשווק ביצים רק בהתאם למכסה שהוקצתה למגדל. </w:t>
      </w:r>
      <w:r w:rsidRPr="00A66F56">
        <w:rPr>
          <w:rtl/>
        </w:rPr>
        <w:t>בשנים 2007 ו-2010 קיבלה הממשלה החלטות</w:t>
      </w:r>
      <w:r>
        <w:rPr>
          <w:rFonts w:hint="cs"/>
          <w:rtl/>
        </w:rPr>
        <w:t xml:space="preserve"> בנוגע ללולי ההטלה</w:t>
      </w:r>
      <w:r w:rsidRPr="00A66F56">
        <w:rPr>
          <w:rtl/>
        </w:rPr>
        <w:t xml:space="preserve">, </w:t>
      </w:r>
      <w:r>
        <w:rPr>
          <w:rFonts w:hint="cs"/>
          <w:rtl/>
        </w:rPr>
        <w:t>ולפיהן</w:t>
      </w:r>
      <w:r w:rsidRPr="00A66F56">
        <w:rPr>
          <w:rtl/>
        </w:rPr>
        <w:t xml:space="preserve"> יינתן סיוע במענקים למגדלים לביצוע השקעות הון בענף ביצי המאכל, במטרה להוציא את לולי ההטלה ממרכזי היישובים. באוגוסט 2021 קיבלה הממשלה החלטה נוספת, </w:t>
      </w:r>
      <w:r>
        <w:rPr>
          <w:rFonts w:hint="cs"/>
          <w:rtl/>
        </w:rPr>
        <w:t xml:space="preserve">ולפיה </w:t>
      </w:r>
      <w:r w:rsidRPr="00A66F56">
        <w:rPr>
          <w:rtl/>
        </w:rPr>
        <w:t>יבוטל משטר המכסות בענף ההטלה, אך החלטה זו טרם יושמה.</w:t>
      </w:r>
      <w:r>
        <w:rPr>
          <w:rFonts w:hint="cs"/>
          <w:bCs/>
          <w:rtl/>
        </w:rPr>
        <w:t xml:space="preserve"> </w:t>
      </w:r>
      <w:r w:rsidRPr="00A66F56">
        <w:rPr>
          <w:rFonts w:hint="cs"/>
          <w:rtl/>
        </w:rPr>
        <w:t>הביקורת בנושא</w:t>
      </w:r>
      <w:r>
        <w:rPr>
          <w:rFonts w:hint="cs"/>
          <w:bCs/>
          <w:rtl/>
        </w:rPr>
        <w:t xml:space="preserve"> </w:t>
      </w:r>
      <w:r w:rsidRPr="00C67C89">
        <w:rPr>
          <w:bCs/>
          <w:rtl/>
        </w:rPr>
        <w:t>ייצור ביצים בישראל - יישום הרפורמה בלולי הטלה</w:t>
      </w:r>
      <w:r>
        <w:rPr>
          <w:rFonts w:hint="cs"/>
          <w:bCs/>
          <w:rtl/>
        </w:rPr>
        <w:t xml:space="preserve"> </w:t>
      </w:r>
      <w:r w:rsidRPr="001236E7" w:rsidR="001236E7">
        <w:rPr>
          <w:rtl/>
        </w:rPr>
        <w:t>העלתה כי 71% מלולי ההטלה בישראל אשר הוקמו בשנות החמישים והשישים של המאה העשרים</w:t>
      </w:r>
      <w:r w:rsidR="00665D54">
        <w:rPr>
          <w:rFonts w:hint="cs"/>
          <w:rtl/>
        </w:rPr>
        <w:t>,</w:t>
      </w:r>
      <w:r w:rsidRPr="001236E7" w:rsidR="001236E7">
        <w:rPr>
          <w:rtl/>
        </w:rPr>
        <w:t xml:space="preserve"> אינם עומדים בתקנים</w:t>
      </w:r>
      <w:r w:rsidR="001236E7">
        <w:rPr>
          <w:rFonts w:hint="cs"/>
          <w:rtl/>
        </w:rPr>
        <w:t xml:space="preserve"> </w:t>
      </w:r>
      <w:r w:rsidRPr="00C67C89">
        <w:rPr>
          <w:rtl/>
        </w:rPr>
        <w:t xml:space="preserve">מחייבים </w:t>
      </w:r>
      <w:r>
        <w:rPr>
          <w:rFonts w:hint="cs"/>
          <w:rtl/>
        </w:rPr>
        <w:t xml:space="preserve">שנקבעו בהוראות הדין </w:t>
      </w:r>
      <w:r w:rsidRPr="00C67C89">
        <w:rPr>
          <w:rtl/>
        </w:rPr>
        <w:t xml:space="preserve">בהיבטי רישוי, תכנון ובנייה ובריאות הציבור, ואינם </w:t>
      </w:r>
      <w:r>
        <w:rPr>
          <w:rFonts w:hint="cs"/>
          <w:rtl/>
        </w:rPr>
        <w:t>עומדים ב</w:t>
      </w:r>
      <w:r w:rsidRPr="00C67C89">
        <w:rPr>
          <w:rtl/>
        </w:rPr>
        <w:t>דרישות המקובלות במדינות המפותחות בנוגע לרווחת המטילות. 76% מכלל המטילות משוכנות בלולי כלובים שבהם המרווח למטילה הוא כ-400 סמ"ר בלבד</w:t>
      </w:r>
      <w:r>
        <w:rPr>
          <w:rFonts w:hint="cs"/>
          <w:sz w:val="19"/>
          <w:szCs w:val="19"/>
          <w:rtl/>
        </w:rPr>
        <w:t>,</w:t>
      </w:r>
      <w:r w:rsidRPr="00DE589A">
        <w:rPr>
          <w:sz w:val="19"/>
          <w:szCs w:val="19"/>
          <w:rtl/>
        </w:rPr>
        <w:t xml:space="preserve"> </w:t>
      </w:r>
      <w:r w:rsidRPr="007C36F6">
        <w:rPr>
          <w:rtl/>
        </w:rPr>
        <w:t>לעומת לולי כלובים מועשרים באירופה, שלגביהם התקן הוא 750 סמ"ר</w:t>
      </w:r>
      <w:r w:rsidRPr="00C67C89">
        <w:rPr>
          <w:rtl/>
        </w:rPr>
        <w:t xml:space="preserve">. רבים מהלולים ממוקמים במרכזי היישובים ויוצרים </w:t>
      </w:r>
      <w:r w:rsidRPr="00665D54" w:rsidR="00665D54">
        <w:rPr>
          <w:rtl/>
        </w:rPr>
        <w:t>מפגעים סביבתיים הפוגעים</w:t>
      </w:r>
      <w:r w:rsidRPr="00C67C89">
        <w:rPr>
          <w:rtl/>
        </w:rPr>
        <w:t xml:space="preserve"> באפשרויות הפיתוח של</w:t>
      </w:r>
      <w:r>
        <w:rPr>
          <w:rFonts w:hint="cs"/>
          <w:rtl/>
        </w:rPr>
        <w:t xml:space="preserve"> </w:t>
      </w:r>
      <w:r w:rsidRPr="00C67C89">
        <w:rPr>
          <w:rtl/>
        </w:rPr>
        <w:t>ה</w:t>
      </w:r>
      <w:r>
        <w:rPr>
          <w:rFonts w:hint="cs"/>
          <w:rtl/>
        </w:rPr>
        <w:t>יישובי</w:t>
      </w:r>
      <w:r w:rsidRPr="00C67C89">
        <w:rPr>
          <w:rtl/>
        </w:rPr>
        <w:t>ם ובאיכות החיים של תושביהם. בלולי הצפון, הצפופים יותר מהלולים ביתר חלקי הארץ, שיעור התחלואה במרבית מחלות העופות הנפוצות בישראל גדול במידה ניכרת משיעור התחלואה בלולים שביתר חלקי הארץ. התפרצות שפעת העופות בשלהי שנת 2021 ממחישה את חוסר היכולת לבודד ביעילות את מוקד ההתפרצות ולמנוע את התפשטות שפעת העופות בין הלולים.</w:t>
      </w:r>
      <w:r>
        <w:rPr>
          <w:rFonts w:hint="cs"/>
          <w:rtl/>
        </w:rPr>
        <w:t xml:space="preserve"> </w:t>
      </w:r>
      <w:r w:rsidRPr="00C67C89">
        <w:rPr>
          <w:rtl/>
        </w:rPr>
        <w:t xml:space="preserve">זאת ועוד, בשל מדיניות המכסות </w:t>
      </w:r>
      <w:r w:rsidRPr="00C67C89">
        <w:rPr>
          <w:rtl/>
        </w:rPr>
        <w:t xml:space="preserve">הנהוגה בענף, מחיר הביצה בארץ הוא מהגבוהים בעולם, אף שהממשלה מפקחת על המחירים. כך למשל, </w:t>
      </w:r>
      <w:r>
        <w:rPr>
          <w:rFonts w:hint="cs"/>
          <w:rtl/>
        </w:rPr>
        <w:t>ה</w:t>
      </w:r>
      <w:r w:rsidRPr="00C67C89">
        <w:rPr>
          <w:rtl/>
        </w:rPr>
        <w:t xml:space="preserve">מחיר </w:t>
      </w:r>
      <w:r>
        <w:rPr>
          <w:rFonts w:hint="cs"/>
          <w:rtl/>
        </w:rPr>
        <w:t>ה</w:t>
      </w:r>
      <w:r w:rsidRPr="00C67C89">
        <w:rPr>
          <w:rtl/>
        </w:rPr>
        <w:t xml:space="preserve">ממוצע </w:t>
      </w:r>
      <w:r>
        <w:rPr>
          <w:rFonts w:hint="cs"/>
          <w:rtl/>
        </w:rPr>
        <w:t>ש</w:t>
      </w:r>
      <w:r w:rsidRPr="00C67C89">
        <w:rPr>
          <w:rtl/>
        </w:rPr>
        <w:t>ל</w:t>
      </w:r>
      <w:r>
        <w:rPr>
          <w:rFonts w:hint="cs"/>
          <w:rtl/>
        </w:rPr>
        <w:t xml:space="preserve"> </w:t>
      </w:r>
      <w:r w:rsidRPr="00C67C89">
        <w:rPr>
          <w:rtl/>
        </w:rPr>
        <w:t>תבנית 12 ביצים בינוניות בישראל הוא 12.96 ש"ח</w:t>
      </w:r>
      <w:r>
        <w:rPr>
          <w:rFonts w:hint="cs"/>
          <w:rtl/>
        </w:rPr>
        <w:t>,</w:t>
      </w:r>
      <w:r w:rsidRPr="00C67C89">
        <w:rPr>
          <w:rtl/>
        </w:rPr>
        <w:t xml:space="preserve"> </w:t>
      </w:r>
      <w:r>
        <w:rPr>
          <w:rFonts w:hint="cs"/>
          <w:rtl/>
        </w:rPr>
        <w:t xml:space="preserve">לעומת </w:t>
      </w:r>
      <w:r w:rsidRPr="00D82018">
        <w:rPr>
          <w:rtl/>
        </w:rPr>
        <w:t xml:space="preserve">9.17 ש"ח </w:t>
      </w:r>
      <w:r w:rsidRPr="00C67C89">
        <w:rPr>
          <w:rtl/>
        </w:rPr>
        <w:t>במדינות ה-</w:t>
      </w:r>
      <w:r w:rsidRPr="00C67C89">
        <w:t>OECD</w:t>
      </w:r>
      <w:r w:rsidRPr="00C67C89">
        <w:rPr>
          <w:rtl/>
        </w:rPr>
        <w:t xml:space="preserve"> (ללא ישראל) ו</w:t>
      </w:r>
      <w:r w:rsidRPr="00D82018">
        <w:rPr>
          <w:rFonts w:hint="cs"/>
          <w:rtl/>
        </w:rPr>
        <w:t xml:space="preserve">-7.52 ש"ח </w:t>
      </w:r>
      <w:r w:rsidRPr="00C67C89">
        <w:rPr>
          <w:rtl/>
        </w:rPr>
        <w:t>בארה"ב. הצרכן הישראלי הוא הנושא בנטל המחיר הגבוה. על משרד החקלאות להמשיך לפעול בשיתוף משרד האוצר להסרת החסמים לקידום הרפורמה ובכלל זה בהיבטים התקציביים, התכנוניים והנורמטיביים. מאחר שחלק לא-מבוטל מלולי ההטלה הישנים נמצאים בצפון הארץ (71% מלולי ההטלה בישראל ו-65% מכלל המגדלים נמצאים ביישובי הצפון), יש לתת את הדעת גם על סוגיות הנוגעות להיבטי התעסוקה של אימוץ הרפורמה ולשקוד על מתן מענים מתאימים על סוגיות אלו.</w:t>
      </w:r>
    </w:p>
    <w:p w:rsidR="00A66B9D" w:rsidRPr="00E01F7D" w:rsidP="00A66B9D" w14:paraId="043885DB" w14:textId="77777777">
      <w:pPr>
        <w:pStyle w:val="7190"/>
        <w:rPr>
          <w:bCs/>
          <w:rtl/>
        </w:rPr>
      </w:pPr>
      <w:r w:rsidRPr="00E01F7D">
        <w:rPr>
          <w:rtl/>
        </w:rPr>
        <w:t xml:space="preserve">הרחבת סל שירותי הבריאות מאפשרת להוסיף לסל במימון ציבורי תרופות וטכנולוגיות מתקדמות. תיעדוף הבקשות </w:t>
      </w:r>
      <w:r>
        <w:rPr>
          <w:rFonts w:hint="cs"/>
          <w:rtl/>
        </w:rPr>
        <w:t xml:space="preserve">הוא </w:t>
      </w:r>
      <w:r w:rsidRPr="00E01F7D">
        <w:rPr>
          <w:rtl/>
        </w:rPr>
        <w:t xml:space="preserve">החלטה ערכית המלווה בהתלבטויות, שכן כל בקשה חשובה, אך בשל אילוצי התקציב לא ניתן לכלול את כל התרופות והטכנולוגיות המבוקשות בסל השירותים. </w:t>
      </w:r>
      <w:r>
        <w:rPr>
          <w:rFonts w:hint="cs"/>
          <w:rtl/>
        </w:rPr>
        <w:t>לאור ממצאי הביקורת בנושא</w:t>
      </w:r>
      <w:r>
        <w:rPr>
          <w:rFonts w:hint="cs"/>
          <w:bCs/>
          <w:rtl/>
        </w:rPr>
        <w:t xml:space="preserve"> </w:t>
      </w:r>
      <w:r w:rsidRPr="00E01F7D">
        <w:rPr>
          <w:bCs/>
          <w:rtl/>
        </w:rPr>
        <w:t>הרחבת סל שירותי הבריאות</w:t>
      </w:r>
      <w:r w:rsidRPr="00E01F7D">
        <w:rPr>
          <w:rtl/>
        </w:rPr>
        <w:t xml:space="preserve"> </w:t>
      </w:r>
      <w:r w:rsidRPr="00E01F7D">
        <w:rPr>
          <w:bCs/>
          <w:rtl/>
        </w:rPr>
        <w:t>-</w:t>
      </w:r>
      <w:r w:rsidRPr="00E01F7D">
        <w:rPr>
          <w:rtl/>
        </w:rPr>
        <w:t xml:space="preserve"> </w:t>
      </w:r>
      <w:r w:rsidRPr="00E01F7D">
        <w:rPr>
          <w:bCs/>
          <w:rtl/>
        </w:rPr>
        <w:t>תוספת תרופות וטכנולוגיות</w:t>
      </w:r>
      <w:r>
        <w:rPr>
          <w:rFonts w:hint="cs"/>
          <w:bCs/>
          <w:rtl/>
        </w:rPr>
        <w:t xml:space="preserve">, </w:t>
      </w:r>
      <w:r w:rsidRPr="00E01F7D">
        <w:rPr>
          <w:rtl/>
        </w:rPr>
        <w:t>מומלץ לבצע בתהליך הרחבת הסל תיקונים ושיפורים, שיביאו למיצוי איכותי יותר של תקציב סל שירותי הבריאות שהציבור זכאי לו. נוכח ממצאי דוח זה ונוכח העובדה שוועדת הסל פועלת זה יותר מ</w:t>
      </w:r>
      <w:r>
        <w:rPr>
          <w:rFonts w:hint="cs"/>
          <w:rtl/>
        </w:rPr>
        <w:t>-20</w:t>
      </w:r>
      <w:r w:rsidRPr="00E01F7D">
        <w:rPr>
          <w:rtl/>
        </w:rPr>
        <w:t xml:space="preserve"> שנה בלי שהושלמו דוחות בקרה על פעילותה, יש משנה חשיבות לכך שמועצת הבריאות ומשרדי הבריאות והאוצר יבחנו את כלל פעילותה של הוועדה, לשם שיפור תפקודה וכדי שהמטופלים יוכלו להפיק את המרב משירותי הבריאות הנכללים בסל</w:t>
      </w:r>
    </w:p>
    <w:p w:rsidR="00A66B9D" w:rsidP="00A66B9D" w14:paraId="033739D0" w14:textId="66CFB7C8">
      <w:pPr>
        <w:pStyle w:val="7190"/>
        <w:rPr>
          <w:rtl/>
        </w:rPr>
      </w:pPr>
      <w:r w:rsidRPr="00BC6B18">
        <w:rPr>
          <w:rFonts w:hint="cs"/>
          <w:rtl/>
        </w:rPr>
        <w:t>הפרק העוסק</w:t>
      </w:r>
      <w:r>
        <w:rPr>
          <w:rFonts w:hint="cs"/>
          <w:bCs/>
          <w:rtl/>
        </w:rPr>
        <w:t xml:space="preserve"> </w:t>
      </w:r>
      <w:r w:rsidRPr="00BC6B18">
        <w:rPr>
          <w:rFonts w:hint="cs"/>
          <w:rtl/>
        </w:rPr>
        <w:t>ב</w:t>
      </w:r>
      <w:r w:rsidRPr="00BC6B18">
        <w:rPr>
          <w:bCs/>
          <w:rtl/>
        </w:rPr>
        <w:t>תחזוקת דירות עמידר - החברה הלאומית לשיכון בישראל בע"מ</w:t>
      </w:r>
      <w:r w:rsidRPr="00BC6B18">
        <w:rPr>
          <w:rtl/>
        </w:rPr>
        <w:t xml:space="preserve"> </w:t>
      </w:r>
      <w:r>
        <w:rPr>
          <w:rFonts w:hint="cs"/>
          <w:rtl/>
        </w:rPr>
        <w:t xml:space="preserve">הצביע על כי </w:t>
      </w:r>
      <w:r w:rsidRPr="00BC6B18">
        <w:rPr>
          <w:rtl/>
        </w:rPr>
        <w:t xml:space="preserve">עמידר מנהלת את מרבית דירות הדיור הציבורי (כ-38,000 מתוך כ-50,000). כ-75% מהן הוקמו לפני </w:t>
      </w:r>
      <w:r>
        <w:rPr>
          <w:rFonts w:hint="cs"/>
          <w:rtl/>
        </w:rPr>
        <w:t>יותר</w:t>
      </w:r>
      <w:r w:rsidRPr="00BC6B18">
        <w:rPr>
          <w:rtl/>
        </w:rPr>
        <w:t xml:space="preserve"> מ-40 שנים, ומתגוררים בהן דיירים הנמנים עם האוכלוסיות ברמה </w:t>
      </w:r>
      <w:r>
        <w:rPr>
          <w:rFonts w:hint="cs"/>
          <w:rtl/>
        </w:rPr>
        <w:t>החברתית-כלכלית</w:t>
      </w:r>
      <w:r w:rsidRPr="00BC6B18">
        <w:rPr>
          <w:rtl/>
        </w:rPr>
        <w:t xml:space="preserve"> הנמוכה בישראל. הסכם הניהול של עמידר עם משרד הבינוי והשיכון מסדיר את אופן ניהול מערך הדירות, ובכלל זה את אחריותה </w:t>
      </w:r>
      <w:r>
        <w:rPr>
          <w:rFonts w:hint="cs"/>
          <w:rtl/>
        </w:rPr>
        <w:t xml:space="preserve">של החברה </w:t>
      </w:r>
      <w:r w:rsidRPr="00BC6B18">
        <w:rPr>
          <w:rtl/>
        </w:rPr>
        <w:t xml:space="preserve">לתחזוקתן </w:t>
      </w:r>
      <w:r>
        <w:rPr>
          <w:rFonts w:hint="cs"/>
          <w:rtl/>
        </w:rPr>
        <w:t xml:space="preserve">כדי </w:t>
      </w:r>
      <w:r w:rsidRPr="00BC6B18">
        <w:rPr>
          <w:rtl/>
        </w:rPr>
        <w:t>להבטיח את קיום זכויותיו וחובותיו של דייר זכאי, לפי חוק זכויות הדייר בדיור הציבורי, התשנ"ח-1998, ותקנותיו.</w:t>
      </w:r>
      <w:r>
        <w:rPr>
          <w:rFonts w:hint="cs"/>
          <w:rtl/>
        </w:rPr>
        <w:t xml:space="preserve"> </w:t>
      </w:r>
      <w:r w:rsidRPr="00BC6B18">
        <w:rPr>
          <w:rtl/>
        </w:rPr>
        <w:t>במסגרת פעולותיה לתחזוקת הדירות מבצעת עמידר, באמצעות קבלנים חיצוניים, עבודות תחזוקה שוטפת, שיפוץ עמוק ושיפוצים לפני אכלוס. ב</w:t>
      </w:r>
      <w:r>
        <w:rPr>
          <w:rFonts w:hint="cs"/>
          <w:rtl/>
        </w:rPr>
        <w:t>ביקורת בנושא</w:t>
      </w:r>
      <w:r w:rsidRPr="00BC6B18">
        <w:rPr>
          <w:rtl/>
        </w:rPr>
        <w:t xml:space="preserve"> זה</w:t>
      </w:r>
      <w:r>
        <w:rPr>
          <w:rFonts w:hint="cs"/>
          <w:rtl/>
        </w:rPr>
        <w:t>,</w:t>
      </w:r>
      <w:r w:rsidRPr="00BC6B18">
        <w:rPr>
          <w:rtl/>
        </w:rPr>
        <w:t xml:space="preserve"> שבח</w:t>
      </w:r>
      <w:r>
        <w:rPr>
          <w:rFonts w:hint="cs"/>
          <w:rtl/>
        </w:rPr>
        <w:t>נה</w:t>
      </w:r>
      <w:r w:rsidRPr="00BC6B18">
        <w:rPr>
          <w:rtl/>
        </w:rPr>
        <w:t xml:space="preserve"> את </w:t>
      </w:r>
      <w:r>
        <w:rPr>
          <w:rFonts w:hint="cs"/>
          <w:rtl/>
        </w:rPr>
        <w:t>ש</w:t>
      </w:r>
      <w:r w:rsidRPr="00BC6B18">
        <w:rPr>
          <w:rtl/>
        </w:rPr>
        <w:t>נעשה בנושא בשנים 2018 - 2020, הועלה כי עמידר ביצעה פעולות רבות שכללו עבודות תחזוקה ותיקון ליקויים בכ-27,600 דירות ושיפוץ של כ-6,800 דירות, אולם טיפולה טעון שיפור.</w:t>
      </w:r>
      <w:r>
        <w:rPr>
          <w:rFonts w:hint="cs"/>
          <w:rtl/>
        </w:rPr>
        <w:t xml:space="preserve"> </w:t>
      </w:r>
      <w:r w:rsidRPr="00BC6B18">
        <w:rPr>
          <w:rtl/>
        </w:rPr>
        <w:t xml:space="preserve">על משרד הבינוי והשיכון ועמידר לפעול לתיקון הליקויים </w:t>
      </w:r>
      <w:r>
        <w:rPr>
          <w:rFonts w:hint="cs"/>
          <w:rtl/>
        </w:rPr>
        <w:t>כדי</w:t>
      </w:r>
      <w:r w:rsidRPr="00BC6B18">
        <w:rPr>
          <w:rtl/>
        </w:rPr>
        <w:t xml:space="preserve"> </w:t>
      </w:r>
      <w:r>
        <w:rPr>
          <w:rFonts w:hint="cs"/>
          <w:rtl/>
        </w:rPr>
        <w:t>להבטיח</w:t>
      </w:r>
      <w:r w:rsidRPr="00BC6B18">
        <w:rPr>
          <w:rtl/>
        </w:rPr>
        <w:t xml:space="preserve"> רמה נאותה של דירות הדיור הציבורי</w:t>
      </w:r>
      <w:r>
        <w:rPr>
          <w:rFonts w:hint="cs"/>
          <w:rtl/>
        </w:rPr>
        <w:t>.</w:t>
      </w:r>
    </w:p>
    <w:p w:rsidR="00A66B9D" w:rsidRPr="00676F46" w:rsidP="00A66B9D" w14:paraId="51F31980" w14:textId="75BBEEA0">
      <w:pPr>
        <w:pStyle w:val="7190"/>
        <w:rPr>
          <w:bCs/>
          <w:rtl/>
        </w:rPr>
      </w:pPr>
      <w:r w:rsidRPr="00F03183">
        <w:rPr>
          <w:rFonts w:hint="cs"/>
          <w:rtl/>
        </w:rPr>
        <w:t>מעקב אחר תיקון ליקויים שהועלו בדוחות קודמים הוא כלי חשוב</w:t>
      </w:r>
      <w:r>
        <w:rPr>
          <w:rFonts w:hint="cs"/>
          <w:rtl/>
        </w:rPr>
        <w:t xml:space="preserve"> שמטרתו</w:t>
      </w:r>
      <w:r w:rsidRPr="00F03183">
        <w:rPr>
          <w:rFonts w:hint="cs"/>
          <w:rtl/>
        </w:rPr>
        <w:t xml:space="preserve"> ל</w:t>
      </w:r>
      <w:r>
        <w:rPr>
          <w:rFonts w:hint="cs"/>
          <w:rtl/>
        </w:rPr>
        <w:t xml:space="preserve">וודא כי הגופים המבוקרים אכן תיקנו את הנדרש. לפיכך פעלנו להרחיב את </w:t>
      </w:r>
      <w:r w:rsidRPr="00F03183">
        <w:rPr>
          <w:rFonts w:hint="cs"/>
          <w:rtl/>
        </w:rPr>
        <w:t>היקף ביקורות המעקב ולשכלל את אופן ביצוען. בדוח זה מובאים ממצאי</w:t>
      </w:r>
      <w:r>
        <w:rPr>
          <w:rFonts w:hint="cs"/>
          <w:rtl/>
        </w:rPr>
        <w:t xml:space="preserve">ם של שמונה ביקורת מעקב: </w:t>
      </w:r>
      <w:r w:rsidRPr="00676F46">
        <w:rPr>
          <w:bCs/>
          <w:sz w:val="24"/>
          <w:rtl/>
        </w:rPr>
        <w:t>התכנון והניהול של משאבי האנוש במשרד החוץ</w:t>
      </w:r>
      <w:r w:rsidRPr="00676F46">
        <w:rPr>
          <w:rFonts w:hint="cs"/>
          <w:bCs/>
          <w:sz w:val="24"/>
          <w:rtl/>
        </w:rPr>
        <w:t xml:space="preserve">; </w:t>
      </w:r>
      <w:r w:rsidRPr="00676F46">
        <w:rPr>
          <w:bCs/>
          <w:sz w:val="24"/>
          <w:rtl/>
        </w:rPr>
        <w:t>העסקת עובדים מקומיים בנציגויות ישראל בחו"ל</w:t>
      </w:r>
      <w:r w:rsidRPr="00676F46">
        <w:rPr>
          <w:rFonts w:hint="cs"/>
          <w:bCs/>
          <w:rtl/>
        </w:rPr>
        <w:t xml:space="preserve">; </w:t>
      </w:r>
      <w:r w:rsidRPr="00676F46">
        <w:rPr>
          <w:bCs/>
          <w:rtl/>
        </w:rPr>
        <w:t>הטיפול בעבירות משמעת בשירות המדינה</w:t>
      </w:r>
      <w:r w:rsidRPr="00676F46">
        <w:rPr>
          <w:rFonts w:hint="cs"/>
          <w:bCs/>
          <w:rtl/>
        </w:rPr>
        <w:t xml:space="preserve">; </w:t>
      </w:r>
      <w:r w:rsidRPr="00676F46">
        <w:rPr>
          <w:bCs/>
          <w:rtl/>
        </w:rPr>
        <w:t>מחוז שומרון ויהודה (ש"י) של משטרת ישראל</w:t>
      </w:r>
      <w:r w:rsidRPr="00676F46">
        <w:rPr>
          <w:rFonts w:hint="cs"/>
          <w:bCs/>
          <w:rtl/>
        </w:rPr>
        <w:t xml:space="preserve">; </w:t>
      </w:r>
      <w:r w:rsidRPr="00676F46">
        <w:rPr>
          <w:bCs/>
          <w:rtl/>
        </w:rPr>
        <w:t>י</w:t>
      </w:r>
      <w:r w:rsidRPr="00676F46">
        <w:rPr>
          <w:rFonts w:hint="cs"/>
          <w:bCs/>
          <w:rtl/>
        </w:rPr>
        <w:t>י</w:t>
      </w:r>
      <w:r w:rsidRPr="00676F46">
        <w:rPr>
          <w:bCs/>
          <w:rtl/>
        </w:rPr>
        <w:t>שום רפורמות וצמצום פערים בחינוך לגיל הרך</w:t>
      </w:r>
      <w:r w:rsidRPr="00676F46">
        <w:rPr>
          <w:rFonts w:hint="cs"/>
          <w:bCs/>
          <w:rtl/>
        </w:rPr>
        <w:t xml:space="preserve">; </w:t>
      </w:r>
      <w:r w:rsidRPr="00676F46">
        <w:rPr>
          <w:rFonts w:ascii="Arial" w:hAnsi="Arial"/>
          <w:bCs/>
          <w:color w:val="000000"/>
          <w:sz w:val="24"/>
          <w:rtl/>
        </w:rPr>
        <w:t>המערך הרפואי לטיפול בכלואים בשירות בתי הסוהר</w:t>
      </w:r>
      <w:r w:rsidRPr="00676F46">
        <w:rPr>
          <w:rFonts w:ascii="Arial" w:hAnsi="Arial" w:hint="cs"/>
          <w:bCs/>
          <w:color w:val="000000"/>
          <w:sz w:val="24"/>
          <w:rtl/>
        </w:rPr>
        <w:t>;</w:t>
      </w:r>
      <w:r w:rsidRPr="00676F46">
        <w:rPr>
          <w:rFonts w:hint="cs"/>
          <w:bCs/>
          <w:rtl/>
        </w:rPr>
        <w:t xml:space="preserve"> </w:t>
      </w:r>
      <w:r w:rsidRPr="00676F46">
        <w:rPr>
          <w:bCs/>
          <w:rtl/>
        </w:rPr>
        <w:t>טיפול המדינה בקשישים סיעודיים השוהים בביתם</w:t>
      </w:r>
      <w:r w:rsidRPr="00676F46">
        <w:rPr>
          <w:rFonts w:hint="cs"/>
          <w:bCs/>
          <w:rtl/>
        </w:rPr>
        <w:t xml:space="preserve">; </w:t>
      </w:r>
      <w:r w:rsidR="001918A6">
        <w:rPr>
          <w:rFonts w:hint="cs"/>
          <w:bCs/>
          <w:rtl/>
        </w:rPr>
        <w:t>מ</w:t>
      </w:r>
      <w:r w:rsidRPr="00676F46">
        <w:rPr>
          <w:bCs/>
          <w:rtl/>
        </w:rPr>
        <w:t>רכיבי ביטחון ביישובי העימות בפיקודים המרחביים</w:t>
      </w:r>
      <w:r w:rsidRPr="00676F46">
        <w:rPr>
          <w:rFonts w:hint="cs"/>
          <w:bCs/>
          <w:rtl/>
        </w:rPr>
        <w:t>.</w:t>
      </w:r>
    </w:p>
    <w:p w:rsidR="00A66B9D" w:rsidP="00A66B9D" w14:paraId="3214C3B0" w14:textId="23E2A09F">
      <w:pPr>
        <w:pStyle w:val="7190"/>
        <w:rPr>
          <w:rtl/>
        </w:rPr>
      </w:pPr>
      <w:r>
        <w:rPr>
          <w:rFonts w:hint="cs"/>
          <w:rtl/>
        </w:rPr>
        <w:t>ה</w:t>
      </w:r>
      <w:r w:rsidRPr="00276AC9">
        <w:rPr>
          <w:rFonts w:hint="cs"/>
          <w:rtl/>
        </w:rPr>
        <w:t xml:space="preserve">דוח </w:t>
      </w:r>
      <w:r>
        <w:rPr>
          <w:rFonts w:hint="cs"/>
          <w:rtl/>
        </w:rPr>
        <w:t xml:space="preserve">הוא </w:t>
      </w:r>
      <w:r w:rsidRPr="00276AC9">
        <w:rPr>
          <w:rFonts w:hint="cs"/>
          <w:rtl/>
        </w:rPr>
        <w:t xml:space="preserve">רחב יריעה </w:t>
      </w:r>
      <w:r>
        <w:rPr>
          <w:rFonts w:hint="cs"/>
          <w:rtl/>
        </w:rPr>
        <w:t>ו</w:t>
      </w:r>
      <w:r w:rsidRPr="00276AC9">
        <w:rPr>
          <w:rFonts w:hint="cs"/>
          <w:rtl/>
        </w:rPr>
        <w:t>מקיף נושאים רבים ומגוונים</w:t>
      </w:r>
      <w:r>
        <w:rPr>
          <w:rFonts w:hint="cs"/>
          <w:rtl/>
        </w:rPr>
        <w:t>,</w:t>
      </w:r>
      <w:r w:rsidRPr="00276AC9">
        <w:rPr>
          <w:rFonts w:hint="cs"/>
          <w:rtl/>
        </w:rPr>
        <w:t xml:space="preserve"> </w:t>
      </w:r>
      <w:r>
        <w:rPr>
          <w:rFonts w:hint="cs"/>
          <w:rtl/>
        </w:rPr>
        <w:t>ו</w:t>
      </w:r>
      <w:r w:rsidRPr="00F03183">
        <w:rPr>
          <w:rFonts w:hint="cs"/>
          <w:rtl/>
        </w:rPr>
        <w:t xml:space="preserve">מבוא זה עוסק רק במקצת הפרקים המופיעים </w:t>
      </w:r>
      <w:r>
        <w:rPr>
          <w:rFonts w:hint="cs"/>
          <w:rtl/>
        </w:rPr>
        <w:t>בו.</w:t>
      </w:r>
      <w:r w:rsidRPr="00F03183">
        <w:rPr>
          <w:rFonts w:hint="cs"/>
          <w:rtl/>
        </w:rPr>
        <w:t xml:space="preserve"> כל אחד ואחד </w:t>
      </w:r>
      <w:r>
        <w:rPr>
          <w:rFonts w:hint="cs"/>
          <w:rtl/>
        </w:rPr>
        <w:t xml:space="preserve">מפרקי </w:t>
      </w:r>
      <w:r w:rsidR="0057515D">
        <w:rPr>
          <w:rFonts w:hint="cs"/>
          <w:rtl/>
        </w:rPr>
        <w:t>ה</w:t>
      </w:r>
      <w:r w:rsidRPr="00F03183">
        <w:rPr>
          <w:rFonts w:hint="cs"/>
          <w:rtl/>
        </w:rPr>
        <w:t>דוח פותח לפני הציבור, ובתוכו מקבלי ההחלטות, צוהר לפעילות הגופים המבוקרים</w:t>
      </w:r>
      <w:r>
        <w:rPr>
          <w:rFonts w:hint="cs"/>
          <w:rtl/>
        </w:rPr>
        <w:t>. בכך הוא</w:t>
      </w:r>
      <w:r w:rsidRPr="00F03183">
        <w:rPr>
          <w:rFonts w:hint="cs"/>
          <w:rtl/>
        </w:rPr>
        <w:t xml:space="preserve"> מסייע בידי כולנו להבטיח את תקינות השירות הציבורי </w:t>
      </w:r>
      <w:r w:rsidRPr="00F03183">
        <w:rPr>
          <w:rFonts w:hint="cs"/>
          <w:rtl/>
        </w:rPr>
        <w:t>במדינת ישראל</w:t>
      </w:r>
      <w:r>
        <w:rPr>
          <w:rFonts w:hint="cs"/>
          <w:rtl/>
        </w:rPr>
        <w:t xml:space="preserve"> </w:t>
      </w:r>
      <w:r w:rsidRPr="00AC3077">
        <w:rPr>
          <w:rFonts w:hint="eastAsia"/>
          <w:rtl/>
        </w:rPr>
        <w:t>ומעלה</w:t>
      </w:r>
      <w:r w:rsidRPr="00AC3077">
        <w:rPr>
          <w:rtl/>
        </w:rPr>
        <w:t xml:space="preserve"> </w:t>
      </w:r>
      <w:r w:rsidRPr="00AC3077">
        <w:rPr>
          <w:rFonts w:hint="eastAsia"/>
          <w:rtl/>
        </w:rPr>
        <w:t>תרומה</w:t>
      </w:r>
      <w:r w:rsidRPr="00AC3077">
        <w:rPr>
          <w:rtl/>
        </w:rPr>
        <w:t xml:space="preserve"> </w:t>
      </w:r>
      <w:r w:rsidRPr="00AC3077">
        <w:rPr>
          <w:rFonts w:hint="eastAsia"/>
          <w:rtl/>
        </w:rPr>
        <w:t>נכבדה</w:t>
      </w:r>
      <w:r w:rsidRPr="00AC3077">
        <w:rPr>
          <w:rtl/>
        </w:rPr>
        <w:t xml:space="preserve"> </w:t>
      </w:r>
      <w:r w:rsidRPr="00AC3077">
        <w:rPr>
          <w:rFonts w:hint="eastAsia"/>
          <w:rtl/>
        </w:rPr>
        <w:t>להגברת</w:t>
      </w:r>
      <w:r w:rsidRPr="00AC3077">
        <w:rPr>
          <w:rtl/>
        </w:rPr>
        <w:t xml:space="preserve"> </w:t>
      </w:r>
      <w:r w:rsidRPr="00AC3077">
        <w:rPr>
          <w:rFonts w:hint="eastAsia"/>
          <w:rtl/>
        </w:rPr>
        <w:t>היעילות</w:t>
      </w:r>
      <w:r w:rsidRPr="00AC3077">
        <w:rPr>
          <w:rtl/>
        </w:rPr>
        <w:t xml:space="preserve">, </w:t>
      </w:r>
      <w:r w:rsidRPr="00AC3077">
        <w:rPr>
          <w:rFonts w:hint="eastAsia"/>
          <w:rtl/>
        </w:rPr>
        <w:t>החיסכון</w:t>
      </w:r>
      <w:r w:rsidRPr="00AC3077">
        <w:rPr>
          <w:rtl/>
        </w:rPr>
        <w:t xml:space="preserve"> </w:t>
      </w:r>
      <w:r w:rsidRPr="00AC3077">
        <w:rPr>
          <w:rFonts w:hint="eastAsia"/>
          <w:rtl/>
        </w:rPr>
        <w:t>וטוהר</w:t>
      </w:r>
      <w:r w:rsidRPr="00AC3077">
        <w:rPr>
          <w:rtl/>
        </w:rPr>
        <w:t xml:space="preserve"> </w:t>
      </w:r>
      <w:r w:rsidRPr="00AC3077">
        <w:rPr>
          <w:rFonts w:hint="eastAsia"/>
          <w:rtl/>
        </w:rPr>
        <w:t>המידות</w:t>
      </w:r>
      <w:r w:rsidRPr="00AC3077">
        <w:rPr>
          <w:rtl/>
        </w:rPr>
        <w:t xml:space="preserve"> </w:t>
      </w:r>
      <w:r w:rsidRPr="00AC3077">
        <w:rPr>
          <w:rFonts w:hint="eastAsia"/>
          <w:rtl/>
        </w:rPr>
        <w:t>בגופים</w:t>
      </w:r>
      <w:r w:rsidRPr="00AC3077">
        <w:rPr>
          <w:rtl/>
        </w:rPr>
        <w:t xml:space="preserve"> </w:t>
      </w:r>
      <w:r w:rsidRPr="00AC3077">
        <w:rPr>
          <w:rFonts w:hint="eastAsia"/>
          <w:rtl/>
        </w:rPr>
        <w:t>המבוקרים</w:t>
      </w:r>
      <w:r w:rsidRPr="00AC3077">
        <w:rPr>
          <w:rtl/>
        </w:rPr>
        <w:t xml:space="preserve"> </w:t>
      </w:r>
      <w:r w:rsidRPr="00AC3077">
        <w:rPr>
          <w:rFonts w:hint="eastAsia"/>
          <w:rtl/>
        </w:rPr>
        <w:t>ולשמירה</w:t>
      </w:r>
      <w:r w:rsidRPr="00AC3077">
        <w:rPr>
          <w:rtl/>
        </w:rPr>
        <w:t xml:space="preserve"> </w:t>
      </w:r>
      <w:r w:rsidRPr="00AC3077">
        <w:rPr>
          <w:rFonts w:hint="eastAsia"/>
          <w:rtl/>
        </w:rPr>
        <w:t>על</w:t>
      </w:r>
      <w:r w:rsidRPr="00AC3077">
        <w:rPr>
          <w:rtl/>
        </w:rPr>
        <w:t xml:space="preserve"> </w:t>
      </w:r>
      <w:r w:rsidRPr="00AC3077">
        <w:rPr>
          <w:rFonts w:hint="eastAsia"/>
          <w:rtl/>
        </w:rPr>
        <w:t>כללי</w:t>
      </w:r>
      <w:r w:rsidRPr="00AC3077">
        <w:rPr>
          <w:rtl/>
        </w:rPr>
        <w:t xml:space="preserve"> </w:t>
      </w:r>
      <w:r w:rsidRPr="00AC3077">
        <w:rPr>
          <w:rFonts w:hint="eastAsia"/>
          <w:rtl/>
        </w:rPr>
        <w:t>המינהל</w:t>
      </w:r>
      <w:r w:rsidRPr="00AC3077">
        <w:rPr>
          <w:rtl/>
        </w:rPr>
        <w:t xml:space="preserve"> </w:t>
      </w:r>
      <w:r w:rsidRPr="00AC3077">
        <w:rPr>
          <w:rFonts w:hint="eastAsia"/>
          <w:rtl/>
        </w:rPr>
        <w:t>התקין</w:t>
      </w:r>
      <w:r w:rsidRPr="00AC3077">
        <w:rPr>
          <w:rtl/>
        </w:rPr>
        <w:t>.</w:t>
      </w:r>
      <w:r w:rsidRPr="00F03183">
        <w:rPr>
          <w:rFonts w:hint="cs"/>
          <w:rtl/>
        </w:rPr>
        <w:t xml:space="preserve"> </w:t>
      </w:r>
    </w:p>
    <w:p w:rsidR="00A66B9D" w:rsidRPr="006805AC" w:rsidP="00A66B9D" w14:paraId="6DB17923" w14:textId="77777777">
      <w:pPr>
        <w:pStyle w:val="7190"/>
        <w:rPr>
          <w:bCs/>
          <w:rtl/>
        </w:rPr>
      </w:pPr>
      <w:r w:rsidRPr="006805AC">
        <w:rPr>
          <w:rFonts w:hint="cs"/>
          <w:bCs/>
          <w:rtl/>
        </w:rPr>
        <w:t>הכנתו של הדוח הצריכה מאמץ רב של עובדי משרד מבקר המדינה</w:t>
      </w:r>
      <w:r>
        <w:rPr>
          <w:rFonts w:hint="cs"/>
          <w:bCs/>
          <w:rtl/>
        </w:rPr>
        <w:t>,</w:t>
      </w:r>
      <w:r w:rsidRPr="006805AC">
        <w:rPr>
          <w:rFonts w:hint="cs"/>
          <w:bCs/>
          <w:rtl/>
        </w:rPr>
        <w:t xml:space="preserve"> אשר עמלו על הכנתו במלוא המקצועיות, היסודיות, ההגינות והקפדנות, ו</w:t>
      </w:r>
      <w:r>
        <w:rPr>
          <w:rFonts w:hint="cs"/>
          <w:bCs/>
          <w:rtl/>
        </w:rPr>
        <w:t xml:space="preserve">אשר </w:t>
      </w:r>
      <w:r w:rsidRPr="006805AC">
        <w:rPr>
          <w:rFonts w:hint="cs"/>
          <w:bCs/>
          <w:rtl/>
        </w:rPr>
        <w:t>ממלאים את תפקידם הציבורי מתוך הרגשת שליחות של ממש. תודתי נתונה להם.</w:t>
      </w:r>
    </w:p>
    <w:p w:rsidR="00A0272B" w:rsidRPr="00720CC7" w:rsidP="00A66B9D" w14:paraId="29357D5A" w14:textId="56366E7F">
      <w:pPr>
        <w:pStyle w:val="7190"/>
        <w:rPr>
          <w:rtl/>
        </w:rPr>
      </w:pPr>
      <w:r w:rsidRPr="001F32EE">
        <w:rPr>
          <w:rFonts w:hint="cs"/>
          <w:rtl/>
        </w:rPr>
        <w:t>חובתם של הגופים המבוקרים היא לפעול בדרך מהירה ויעילה לתיקון הליקויים שהועלו בדוח זה כדי לקדם את השירות הציבורי בישראל ובכך גם לשפר את איכות החיים של תושבי ישראל</w:t>
      </w:r>
      <w:r w:rsidRPr="00720CC7">
        <w:rPr>
          <w:rtl/>
        </w:rPr>
        <w:t>.</w:t>
      </w:r>
    </w:p>
    <w:p w:rsidR="00A0272B" w:rsidP="00A0272B" w14:paraId="0416ABC2" w14:textId="42686706">
      <w:pPr>
        <w:spacing w:line="240" w:lineRule="exact"/>
        <w:rPr>
          <w:rFonts w:ascii="Tahoma" w:eastAsia="Calibri" w:hAnsi="Tahoma" w:cs="Tahoma"/>
          <w:sz w:val="18"/>
          <w:szCs w:val="18"/>
          <w:rtl/>
        </w:rPr>
      </w:pPr>
    </w:p>
    <w:p w:rsidR="00A66B9D" w:rsidP="00A0272B" w14:paraId="3A453163" w14:textId="77777777">
      <w:pPr>
        <w:spacing w:line="240" w:lineRule="exact"/>
        <w:rPr>
          <w:rFonts w:ascii="Tahoma" w:eastAsia="Calibri" w:hAnsi="Tahoma" w:cs="Tahoma"/>
          <w:sz w:val="18"/>
          <w:szCs w:val="18"/>
          <w:rtl/>
        </w:rPr>
      </w:pPr>
    </w:p>
    <w:p w:rsidR="00F31867" w:rsidP="00A0272B" w14:paraId="04D0E244" w14:textId="77777777">
      <w:pPr>
        <w:spacing w:line="240" w:lineRule="exact"/>
        <w:rPr>
          <w:rFonts w:ascii="Tahoma" w:eastAsia="Calibri" w:hAnsi="Tahoma" w:cs="Tahoma"/>
          <w:sz w:val="18"/>
          <w:szCs w:val="18"/>
          <w:rtl/>
        </w:rPr>
      </w:pPr>
    </w:p>
    <w:p w:rsidR="00A0272B" w:rsidRPr="006613B0" w:rsidP="00A0272B" w14:paraId="74C7DE95" w14:textId="77777777">
      <w:pPr>
        <w:spacing w:line="240" w:lineRule="exact"/>
        <w:rPr>
          <w:rFonts w:ascii="Tahoma" w:eastAsia="Calibri" w:hAnsi="Tahoma" w:cs="Tahoma"/>
          <w:sz w:val="18"/>
          <w:szCs w:val="18"/>
          <w:rtl/>
        </w:rPr>
      </w:pPr>
    </w:p>
    <w:p w:rsidR="00A0272B" w:rsidRPr="00D70CA7" w:rsidP="00A0272B" w14:paraId="32B2E14E"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16992"/>
            <wp:effectExtent l="0" t="0" r="2540" b="6985"/>
            <wp:docPr id="29" name="תמונה 29"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חתימת מבקר עברית כחול.jp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inline>
        </w:drawing>
      </w:r>
    </w:p>
    <w:p w:rsidR="00A0272B" w:rsidRPr="001A7FEE" w:rsidP="00A0272B" w14:paraId="137A4BD3" w14:textId="77777777">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A0272B" w:rsidRPr="001A7FEE" w:rsidP="00CA1F53" w14:paraId="55BB9300"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A0272B" w:rsidRPr="001A7FEE" w:rsidP="00CA1F53" w14:paraId="18034D6E"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A33173" w:rsidP="00A0272B" w14:paraId="0B55882C" w14:textId="77777777">
      <w:pPr>
        <w:pStyle w:val="7190"/>
        <w:spacing w:line="360" w:lineRule="auto"/>
        <w:rPr>
          <w:rtl/>
        </w:rPr>
      </w:pPr>
    </w:p>
    <w:p w:rsidR="00A0272B" w:rsidRPr="00720CC7" w:rsidP="00A0272B" w14:paraId="51BE340D" w14:textId="2C974615">
      <w:pPr>
        <w:pStyle w:val="7190"/>
        <w:spacing w:line="360" w:lineRule="auto"/>
      </w:pPr>
      <w:r w:rsidRPr="00720CC7">
        <w:rPr>
          <w:rFonts w:hint="cs"/>
          <w:rtl/>
        </w:rPr>
        <w:t xml:space="preserve">ירושלים, </w:t>
      </w:r>
      <w:r w:rsidR="00A66B9D">
        <w:rPr>
          <w:rFonts w:hint="cs"/>
          <w:rtl/>
        </w:rPr>
        <w:t>אייר</w:t>
      </w:r>
      <w:r w:rsidRPr="00720CC7">
        <w:rPr>
          <w:rFonts w:hint="cs"/>
          <w:rtl/>
        </w:rPr>
        <w:t xml:space="preserve"> </w:t>
      </w:r>
      <w:r w:rsidRPr="00720CC7">
        <w:rPr>
          <w:rFonts w:hint="cs"/>
          <w:rtl/>
        </w:rPr>
        <w:t>התש</w:t>
      </w:r>
      <w:r w:rsidR="00A66B9D">
        <w:rPr>
          <w:rFonts w:hint="cs"/>
          <w:rtl/>
        </w:rPr>
        <w:t>ע</w:t>
      </w:r>
      <w:r w:rsidRPr="00720CC7">
        <w:rPr>
          <w:rFonts w:hint="cs"/>
          <w:rtl/>
        </w:rPr>
        <w:t>"</w:t>
      </w:r>
      <w:r w:rsidR="00BE3F2A">
        <w:rPr>
          <w:rFonts w:hint="cs"/>
          <w:rtl/>
        </w:rPr>
        <w:t>ב</w:t>
      </w:r>
      <w:r w:rsidRPr="00720CC7">
        <w:rPr>
          <w:rFonts w:hint="cs"/>
          <w:rtl/>
        </w:rPr>
        <w:t xml:space="preserve">, </w:t>
      </w:r>
      <w:r w:rsidR="00A66B9D">
        <w:rPr>
          <w:rFonts w:hint="cs"/>
          <w:rtl/>
        </w:rPr>
        <w:t>מאי</w:t>
      </w:r>
      <w:r w:rsidRPr="00720CC7">
        <w:rPr>
          <w:rFonts w:hint="cs"/>
          <w:rtl/>
        </w:rPr>
        <w:t xml:space="preserve"> </w:t>
      </w:r>
      <w:r w:rsidR="00BE3F2A">
        <w:rPr>
          <w:rFonts w:hint="cs"/>
          <w:rtl/>
        </w:rPr>
        <w:t>2022</w:t>
      </w:r>
    </w:p>
    <w:p w:rsidR="00A0272B" w:rsidRPr="00F70ABC" w:rsidP="00A0272B" w14:paraId="08DFAE51" w14:textId="77777777">
      <w:pPr>
        <w:pStyle w:val="running-text"/>
        <w:bidi/>
        <w:ind w:right="0"/>
        <w:rPr>
          <w:sz w:val="18"/>
          <w:rtl/>
        </w:rPr>
      </w:pPr>
    </w:p>
    <w:p w:rsidR="00EA22FE" w14:paraId="6C1E41D5" w14:textId="77777777">
      <w:pPr>
        <w:bidi w:val="0"/>
        <w:spacing w:after="200" w:line="276" w:lineRule="auto"/>
        <w:rPr>
          <w:lang w:bidi="ar-SA"/>
        </w:rPr>
        <w:sectPr w:rsidSect="00E761D3">
          <w:headerReference w:type="even" r:id="rId20"/>
          <w:footerReference w:type="even" r:id="rId21"/>
          <w:footerReference w:type="default" r:id="rId22"/>
          <w:footnotePr>
            <w:numRestart w:val="eachSect"/>
          </w:footnotePr>
          <w:pgSz w:w="11906" w:h="16838" w:code="9"/>
          <w:pgMar w:top="3062" w:right="2268" w:bottom="2552" w:left="2268" w:header="1134" w:footer="1304" w:gutter="0"/>
          <w:pgNumType w:start="9"/>
          <w:cols w:space="708"/>
          <w:bidi/>
          <w:rtlGutter/>
          <w:docGrid w:linePitch="360"/>
        </w:sectPr>
      </w:pPr>
    </w:p>
    <w:p w:rsidR="00112923" w14:paraId="5E6E2DDC" w14:textId="4B3015AE">
      <w:pPr>
        <w:bidi w:val="0"/>
        <w:spacing w:after="200" w:line="276" w:lineRule="auto"/>
        <w:rPr>
          <w:rFonts w:ascii="Arial Bold" w:hAnsi="Arial Bold" w:eastAsiaTheme="majorEastAsia" w:cs="Tahoma"/>
          <w:b/>
          <w:bCs/>
          <w:color w:val="00305F"/>
          <w:sz w:val="34"/>
          <w:szCs w:val="34"/>
          <w:rtl/>
          <w:lang w:bidi="ar-SA"/>
        </w:rPr>
      </w:pPr>
      <w:r>
        <w:rPr>
          <w:b/>
          <w:bCs/>
          <w:noProof/>
          <w:spacing w:val="86"/>
          <w:rtl/>
          <w:lang w:val="he-IL"/>
        </w:rPr>
        <mc:AlternateContent>
          <mc:Choice Requires="wps">
            <w:drawing>
              <wp:anchor distT="0" distB="0" distL="114300" distR="114300" simplePos="0" relativeHeight="251672576" behindDoc="0" locked="0" layoutInCell="1" allowOverlap="1">
                <wp:simplePos x="0" y="0"/>
                <wp:positionH relativeFrom="column">
                  <wp:posOffset>-715107</wp:posOffset>
                </wp:positionH>
                <wp:positionV relativeFrom="paragraph">
                  <wp:posOffset>7315200</wp:posOffset>
                </wp:positionV>
                <wp:extent cx="3528647" cy="504092"/>
                <wp:effectExtent l="0" t="0" r="2540" b="4445"/>
                <wp:wrapNone/>
                <wp:docPr id="590"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528647" cy="5040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31" style="width:277.85pt;height:39.7pt;margin-top:8in;margin-left:-56.3pt;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r>
        <w:rPr>
          <w:rtl/>
          <w:lang w:bidi="ar-SA"/>
        </w:rPr>
        <w:br w:type="page"/>
      </w:r>
    </w:p>
    <w:p w:rsidR="00112923" w:rsidP="009B73B5" w14:paraId="33AA0580" w14:textId="6C0E2CB1">
      <w:pPr>
        <w:pStyle w:val="KOT1N"/>
        <w:bidi/>
        <w:spacing w:after="600"/>
        <w:jc w:val="left"/>
        <w:rPr>
          <w:rtl/>
        </w:rPr>
      </w:pPr>
      <w:r w:rsidRPr="002E1005">
        <w:rPr>
          <w:rFonts w:hint="eastAsia"/>
          <w:rtl/>
          <w:lang w:bidi="ar-SA"/>
        </w:rPr>
        <w:t>المقدمة</w:t>
      </w:r>
    </w:p>
    <w:p w:rsidR="00632342" w:rsidRPr="00B93C61" w:rsidP="00632342" w14:paraId="4EFBF3CD" w14:textId="77777777">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 xml:space="preserve">يُوضَع التقرير السنوي لمراقب الدولة لعام </w:t>
      </w:r>
      <w:r w:rsidRPr="00632342">
        <w:rPr>
          <w:rtl/>
        </w:rPr>
        <w:t>2022</w:t>
      </w:r>
      <w:r w:rsidRPr="00B93C61">
        <w:rPr>
          <w:rFonts w:eastAsia="Calibri" w:asciiTheme="majorBidi" w:hAnsiTheme="majorBidi" w:cstheme="majorBidi"/>
          <w:color w:val="auto"/>
          <w:szCs w:val="24"/>
          <w:rtl/>
          <w:lang w:bidi="ar-SA"/>
        </w:rPr>
        <w:t xml:space="preserve"> على طاولة الكنيست ويُنشَر للجمهور وفق قانون مراقب الدولة، </w:t>
      </w:r>
      <w:r w:rsidRPr="00632342">
        <w:rPr>
          <w:rtl/>
        </w:rPr>
        <w:t>1958</w:t>
      </w:r>
      <w:r w:rsidRPr="00B93C61">
        <w:rPr>
          <w:rFonts w:eastAsia="Calibri" w:asciiTheme="majorBidi" w:hAnsiTheme="majorBidi" w:cstheme="majorBidi"/>
          <w:color w:val="auto"/>
          <w:szCs w:val="24"/>
          <w:rtl/>
          <w:lang w:bidi="ar-SA"/>
        </w:rPr>
        <w:t xml:space="preserve"> [الصيغة المُدمجة]. يتضم</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ن التقرير </w:t>
      </w:r>
      <w:r w:rsidRPr="00632342">
        <w:rPr>
          <w:rtl/>
          <w:lang w:bidi="ar-SA"/>
        </w:rPr>
        <w:t>26</w:t>
      </w:r>
      <w:r w:rsidRPr="00B93C61">
        <w:rPr>
          <w:rFonts w:eastAsia="Calibri" w:asciiTheme="majorBidi" w:hAnsiTheme="majorBidi" w:cstheme="majorBidi"/>
          <w:color w:val="auto"/>
          <w:szCs w:val="24"/>
          <w:rtl/>
          <w:lang w:bidi="ar-SA"/>
        </w:rPr>
        <w:t xml:space="preserve"> فصلًا، ويُعنى بالوزارات، مؤسّسات الدولة، المنظومة الأمنيّة، والشركات والمؤسّسات الحكومي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تطرح فصول التقرير على جدول الأعمال العامّ نتائج نقديّة هامّة تتعل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ق بكاف</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مجالات الحياة، و</w:t>
      </w:r>
      <w:r w:rsidRPr="00B93C61">
        <w:rPr>
          <w:rFonts w:eastAsia="Calibri" w:asciiTheme="majorBidi" w:hAnsiTheme="majorBidi" w:cstheme="majorBidi" w:hint="cs"/>
          <w:color w:val="auto"/>
          <w:szCs w:val="24"/>
          <w:rtl/>
          <w:lang w:bidi="ar-SA"/>
        </w:rPr>
        <w:t xml:space="preserve">من </w:t>
      </w:r>
      <w:r w:rsidRPr="00B93C61">
        <w:rPr>
          <w:rFonts w:eastAsia="Calibri" w:asciiTheme="majorBidi" w:hAnsiTheme="majorBidi" w:cstheme="majorBidi"/>
          <w:color w:val="auto"/>
          <w:szCs w:val="24"/>
          <w:rtl/>
          <w:lang w:bidi="ar-SA"/>
        </w:rPr>
        <w:t>ضمنها: رفاهي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الفرد، الاستدامة، نُظم المعلومات وحماية </w:t>
      </w:r>
      <w:r w:rsidRPr="00B93C61">
        <w:rPr>
          <w:rFonts w:eastAsia="Calibri" w:asciiTheme="majorBidi" w:hAnsiTheme="majorBidi" w:cstheme="majorBidi"/>
          <w:color w:val="auto"/>
          <w:szCs w:val="24"/>
          <w:rtl/>
          <w:lang w:bidi="ar-SA"/>
        </w:rPr>
        <w:t>السايبر</w:t>
      </w:r>
      <w:r w:rsidRPr="00B93C61">
        <w:rPr>
          <w:rFonts w:eastAsia="Calibri" w:asciiTheme="majorBidi" w:hAnsiTheme="majorBidi" w:cstheme="majorBidi"/>
          <w:color w:val="auto"/>
          <w:szCs w:val="24"/>
          <w:rtl/>
          <w:lang w:bidi="ar-SA"/>
        </w:rPr>
        <w:t>، الأمن القوميّ، الأطفال والشبّان، الإدارة والتنظيم والإشراف و</w:t>
      </w:r>
      <w:r w:rsidRPr="00B93C61">
        <w:rPr>
          <w:rFonts w:eastAsia="Calibri" w:asciiTheme="majorBidi" w:hAnsiTheme="majorBidi" w:cstheme="majorBidi" w:hint="cs"/>
          <w:color w:val="auto"/>
          <w:szCs w:val="24"/>
          <w:rtl/>
          <w:lang w:bidi="ar-SA"/>
        </w:rPr>
        <w:t>تنفيذ</w:t>
      </w:r>
      <w:r w:rsidRPr="00B93C61">
        <w:rPr>
          <w:rFonts w:eastAsia="Calibri" w:asciiTheme="majorBidi" w:hAnsiTheme="majorBidi" w:cstheme="majorBidi"/>
          <w:color w:val="auto"/>
          <w:szCs w:val="24"/>
          <w:rtl/>
          <w:lang w:bidi="ar-SA"/>
        </w:rPr>
        <w:t xml:space="preserve"> القانون. </w:t>
      </w:r>
    </w:p>
    <w:p w:rsidR="00632342" w:rsidRPr="00B93C61" w:rsidP="00632342" w14:paraId="32C4EDC5" w14:textId="77777777">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 xml:space="preserve">وفق رؤيا مراقِب الدولة ومفوّض شكاوى الجمهور، فإننا نعمل على موضَعة نشاطات مراقبة الدولة بصفتها مراقبَة تحثّ على العمل، مراقَبة مُبتكَرة، مرتبطة بالواقع، وناجعة، تُعنى بالمجالات الأساسيّة للهيئة الخاضعة </w:t>
      </w:r>
      <w:r w:rsidRPr="00B93C61">
        <w:rPr>
          <w:rFonts w:eastAsia="Calibri" w:asciiTheme="majorBidi" w:hAnsiTheme="majorBidi" w:cstheme="majorBidi" w:hint="cs"/>
          <w:color w:val="auto"/>
          <w:szCs w:val="24"/>
          <w:rtl/>
          <w:lang w:bidi="ar-SA"/>
        </w:rPr>
        <w:t>للرقابة</w:t>
      </w:r>
      <w:r w:rsidRPr="00B93C61">
        <w:rPr>
          <w:rFonts w:eastAsia="Calibri" w:asciiTheme="majorBidi" w:hAnsiTheme="majorBidi" w:cstheme="majorBidi"/>
          <w:color w:val="auto"/>
          <w:szCs w:val="24"/>
          <w:rtl/>
          <w:lang w:bidi="ar-SA"/>
        </w:rPr>
        <w:t xml:space="preserve"> وتركّز على المواضيع ذات الطابع الاجتماعي، على خدمة المواطن، وكذلك على المخاطر الجوهريّة التي تؤثّر </w:t>
      </w:r>
      <w:r w:rsidRPr="00B93C61">
        <w:rPr>
          <w:rFonts w:eastAsia="Calibri" w:asciiTheme="majorBidi" w:hAnsiTheme="majorBidi" w:cstheme="majorBidi" w:hint="cs"/>
          <w:color w:val="auto"/>
          <w:szCs w:val="24"/>
          <w:rtl/>
          <w:lang w:bidi="ar-SA"/>
        </w:rPr>
        <w:t>على</w:t>
      </w:r>
      <w:r w:rsidRPr="00B93C61">
        <w:rPr>
          <w:rFonts w:eastAsia="Calibri" w:asciiTheme="majorBidi" w:hAnsiTheme="majorBidi" w:cstheme="majorBidi"/>
          <w:color w:val="auto"/>
          <w:szCs w:val="24"/>
          <w:rtl/>
          <w:lang w:bidi="ar-SA"/>
        </w:rPr>
        <w:t xml:space="preserve"> نشاط المُراقَبين. كل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ذلك إلى جانب مواضيع تتعل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ق بالإدارة السليمة والنزاهة. </w:t>
      </w:r>
    </w:p>
    <w:p w:rsidR="00632342" w:rsidRPr="00B93C61" w:rsidP="00632342" w14:paraId="47E2606E" w14:textId="77777777">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 xml:space="preserve">إليكم </w:t>
      </w:r>
      <w:r w:rsidRPr="00B93C61">
        <w:rPr>
          <w:rFonts w:eastAsia="Calibri" w:asciiTheme="majorBidi" w:hAnsiTheme="majorBidi" w:cstheme="majorBidi" w:hint="cs"/>
          <w:color w:val="auto"/>
          <w:szCs w:val="24"/>
          <w:rtl/>
          <w:lang w:bidi="ar-SA"/>
        </w:rPr>
        <w:t>ملخّصًا</w:t>
      </w:r>
      <w:r w:rsidRPr="00B93C61">
        <w:rPr>
          <w:rFonts w:eastAsia="Calibri" w:asciiTheme="majorBidi" w:hAnsiTheme="majorBidi" w:cstheme="majorBidi"/>
          <w:color w:val="auto"/>
          <w:szCs w:val="24"/>
          <w:rtl/>
          <w:lang w:bidi="ar-SA"/>
        </w:rPr>
        <w:t xml:space="preserve"> لبعض الفصول التي يتضمّنها هذا التقرير:</w:t>
      </w:r>
    </w:p>
    <w:p w:rsidR="00632342" w:rsidRPr="00B93C61" w:rsidP="00632342" w14:paraId="529A28D6" w14:textId="77777777">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 xml:space="preserve">الفصل الذي يُعنى </w:t>
      </w:r>
      <w:r w:rsidRPr="009B2769">
        <w:rPr>
          <w:rFonts w:eastAsia="Calibri" w:asciiTheme="majorBidi" w:hAnsiTheme="majorBidi" w:cstheme="majorBidi"/>
          <w:b/>
          <w:bCs/>
          <w:color w:val="auto"/>
          <w:szCs w:val="24"/>
          <w:rtl/>
          <w:lang w:bidi="ar-SA"/>
        </w:rPr>
        <w:t>بالتقارير المالي</w:t>
      </w:r>
      <w:r w:rsidRPr="009B2769">
        <w:rPr>
          <w:rFonts w:eastAsia="Calibri" w:asciiTheme="majorBidi" w:hAnsiTheme="majorBidi" w:cstheme="majorBidi" w:hint="cs"/>
          <w:b/>
          <w:bCs/>
          <w:color w:val="auto"/>
          <w:szCs w:val="24"/>
          <w:rtl/>
          <w:lang w:bidi="ar-SA"/>
        </w:rPr>
        <w:t>ّ</w:t>
      </w:r>
      <w:r w:rsidRPr="009B2769">
        <w:rPr>
          <w:rFonts w:eastAsia="Calibri" w:asciiTheme="majorBidi" w:hAnsiTheme="majorBidi" w:cstheme="majorBidi"/>
          <w:b/>
          <w:bCs/>
          <w:color w:val="auto"/>
          <w:szCs w:val="24"/>
          <w:rtl/>
          <w:lang w:bidi="ar-SA"/>
        </w:rPr>
        <w:t xml:space="preserve">ة لدولة إسرائيل ليوم 31 كانون الأول </w:t>
      </w:r>
      <w:r w:rsidRPr="009B2769">
        <w:rPr>
          <w:b/>
          <w:bCs/>
          <w:rtl/>
          <w:lang w:bidi="ar-SA"/>
        </w:rPr>
        <w:t>2020</w:t>
      </w:r>
      <w:r w:rsidRPr="009B2769">
        <w:rPr>
          <w:rFonts w:eastAsia="Calibri" w:asciiTheme="majorBidi" w:hAnsiTheme="majorBidi" w:cstheme="majorBidi"/>
          <w:b/>
          <w:bCs/>
          <w:color w:val="auto"/>
          <w:szCs w:val="24"/>
          <w:rtl/>
          <w:lang w:bidi="ar-SA"/>
        </w:rPr>
        <w:t xml:space="preserve"> - الم</w:t>
      </w:r>
      <w:r w:rsidRPr="009B2769">
        <w:rPr>
          <w:rFonts w:eastAsia="Calibri" w:asciiTheme="majorBidi" w:hAnsiTheme="majorBidi" w:cstheme="majorBidi" w:hint="cs"/>
          <w:b/>
          <w:bCs/>
          <w:color w:val="auto"/>
          <w:szCs w:val="24"/>
          <w:rtl/>
          <w:lang w:bidi="ar-SA"/>
        </w:rPr>
        <w:t>َ</w:t>
      </w:r>
      <w:r w:rsidRPr="009B2769">
        <w:rPr>
          <w:rFonts w:eastAsia="Calibri" w:asciiTheme="majorBidi" w:hAnsiTheme="majorBidi" w:cstheme="majorBidi"/>
          <w:b/>
          <w:bCs/>
          <w:color w:val="auto"/>
          <w:szCs w:val="24"/>
          <w:rtl/>
          <w:lang w:bidi="ar-SA"/>
        </w:rPr>
        <w:t>دين</w:t>
      </w:r>
      <w:r w:rsidRPr="009B2769">
        <w:rPr>
          <w:rFonts w:eastAsia="Calibri" w:asciiTheme="majorBidi" w:hAnsiTheme="majorBidi" w:cstheme="majorBidi" w:hint="cs"/>
          <w:b/>
          <w:bCs/>
          <w:color w:val="auto"/>
          <w:szCs w:val="24"/>
          <w:rtl/>
          <w:lang w:bidi="ar-SA"/>
        </w:rPr>
        <w:t>و</w:t>
      </w:r>
      <w:r w:rsidRPr="009B2769">
        <w:rPr>
          <w:rFonts w:eastAsia="Calibri" w:asciiTheme="majorBidi" w:hAnsiTheme="majorBidi" w:cstheme="majorBidi"/>
          <w:b/>
          <w:bCs/>
          <w:color w:val="auto"/>
          <w:szCs w:val="24"/>
          <w:rtl/>
          <w:lang w:bidi="ar-SA"/>
        </w:rPr>
        <w:t>ن والأرصدة المَدينة</w:t>
      </w:r>
      <w:r w:rsidRPr="00B93C61">
        <w:rPr>
          <w:rFonts w:eastAsia="Calibri" w:asciiTheme="majorBidi" w:hAnsiTheme="majorBidi" w:cstheme="majorBidi"/>
          <w:color w:val="auto"/>
          <w:szCs w:val="24"/>
          <w:rtl/>
          <w:lang w:bidi="ar-SA"/>
        </w:rPr>
        <w:t xml:space="preserve"> يُشير إلى أنّ بند المَدينين والأرصدة المَدينة في تصاعُد في السنوات الأخيرة - من نحو </w:t>
      </w:r>
      <w:r w:rsidRPr="009B2769">
        <w:rPr>
          <w:rtl/>
        </w:rPr>
        <w:t>49</w:t>
      </w:r>
      <w:r w:rsidRPr="00B93C61">
        <w:rPr>
          <w:rFonts w:eastAsia="Calibri" w:asciiTheme="majorBidi" w:hAnsiTheme="majorBidi" w:cstheme="majorBidi"/>
          <w:color w:val="auto"/>
          <w:szCs w:val="24"/>
          <w:rtl/>
          <w:lang w:bidi="ar-SA"/>
        </w:rPr>
        <w:t xml:space="preserve"> مليار شيكل عام </w:t>
      </w:r>
      <w:r w:rsidRPr="00632342">
        <w:rPr>
          <w:rtl/>
          <w:lang w:bidi="ar-SA"/>
        </w:rPr>
        <w:t>2015</w:t>
      </w:r>
      <w:r w:rsidRPr="00B93C61">
        <w:rPr>
          <w:rFonts w:eastAsia="Calibri" w:asciiTheme="majorBidi" w:hAnsiTheme="majorBidi" w:cstheme="majorBidi"/>
          <w:color w:val="auto"/>
          <w:szCs w:val="24"/>
          <w:rtl/>
          <w:lang w:bidi="ar-SA"/>
        </w:rPr>
        <w:t xml:space="preserve"> إلى نحو </w:t>
      </w:r>
      <w:r w:rsidRPr="00632342">
        <w:rPr>
          <w:rtl/>
          <w:lang w:bidi="ar-SA"/>
        </w:rPr>
        <w:t>69</w:t>
      </w:r>
      <w:r w:rsidRPr="00B93C61">
        <w:rPr>
          <w:rFonts w:eastAsia="Calibri" w:asciiTheme="majorBidi" w:hAnsiTheme="majorBidi" w:cstheme="majorBidi"/>
          <w:color w:val="auto"/>
          <w:szCs w:val="24"/>
          <w:rtl/>
          <w:lang w:bidi="ar-SA"/>
        </w:rPr>
        <w:t xml:space="preserve"> مليار شيكل عام </w:t>
      </w:r>
      <w:r w:rsidRPr="00632342">
        <w:rPr>
          <w:rtl/>
          <w:lang w:bidi="ar-SA"/>
        </w:rPr>
        <w:t>2020</w:t>
      </w:r>
      <w:r w:rsidRPr="00B93C61">
        <w:rPr>
          <w:rFonts w:eastAsia="Calibri" w:asciiTheme="majorBidi" w:hAnsiTheme="majorBidi" w:cstheme="majorBidi"/>
          <w:color w:val="auto"/>
          <w:szCs w:val="24"/>
          <w:rtl/>
          <w:lang w:bidi="ar-SA"/>
        </w:rPr>
        <w:t xml:space="preserve"> (بعد</w:t>
      </w:r>
      <w:r w:rsidRPr="00B93C61">
        <w:rPr>
          <w:rFonts w:eastAsia="Calibri" w:asciiTheme="majorBidi" w:hAnsiTheme="majorBidi" w:cstheme="majorBidi" w:hint="cs"/>
          <w:color w:val="auto"/>
          <w:szCs w:val="24"/>
          <w:rtl/>
          <w:lang w:bidi="ar-SA"/>
        </w:rPr>
        <w:t xml:space="preserve"> خصم</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مخصصات</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ال</w:t>
      </w:r>
      <w:r w:rsidRPr="00B93C61">
        <w:rPr>
          <w:rFonts w:eastAsia="Calibri" w:asciiTheme="majorBidi" w:hAnsiTheme="majorBidi" w:cstheme="majorBidi"/>
          <w:color w:val="auto"/>
          <w:szCs w:val="24"/>
          <w:rtl/>
          <w:lang w:bidi="ar-SA"/>
        </w:rPr>
        <w:t>ديون المشكوك في تحصيلها). كما وتبين خلال أعمال الرقابة أنّ قسمًا كبيرًا من أعمال الوزارات في هذا الشأن يتمّ يدويّ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 لا بعملي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ات أوتوماتيكي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يصعّب ذلك على التحكّم بإدارة الدَّين ومنع التأخير في السداد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ويؤد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ي إلى </w:t>
      </w:r>
      <w:r w:rsidRPr="00B93C61">
        <w:rPr>
          <w:rFonts w:eastAsia="Calibri" w:asciiTheme="majorBidi" w:hAnsiTheme="majorBidi" w:cstheme="majorBidi" w:hint="cs"/>
          <w:color w:val="auto"/>
          <w:szCs w:val="24"/>
          <w:rtl/>
          <w:lang w:bidi="ar-SA"/>
        </w:rPr>
        <w:t>تفاقم</w:t>
      </w:r>
      <w:r w:rsidRPr="00B93C61">
        <w:rPr>
          <w:rFonts w:eastAsia="Calibri" w:asciiTheme="majorBidi" w:hAnsiTheme="majorBidi" w:cstheme="majorBidi"/>
          <w:color w:val="auto"/>
          <w:szCs w:val="24"/>
          <w:rtl/>
          <w:lang w:bidi="ar-SA"/>
        </w:rPr>
        <w:t xml:space="preserve"> الديون. وقد كان لأزمة كورونا تأثير كبير على التقارير الماليّة لسنة </w:t>
      </w:r>
      <w:r w:rsidRPr="00632342">
        <w:rPr>
          <w:rtl/>
          <w:lang w:bidi="ar-SA"/>
        </w:rPr>
        <w:t>2020</w:t>
      </w:r>
      <w:r w:rsidRPr="00B93C61">
        <w:rPr>
          <w:rFonts w:eastAsia="Calibri" w:asciiTheme="majorBidi" w:hAnsiTheme="majorBidi" w:cstheme="majorBidi"/>
          <w:color w:val="auto"/>
          <w:szCs w:val="24"/>
          <w:rtl/>
          <w:lang w:bidi="ar-SA"/>
        </w:rPr>
        <w:t xml:space="preserve">: انخفضت مداخيل الدولة عام </w:t>
      </w:r>
      <w:r w:rsidRPr="00632342">
        <w:rPr>
          <w:rtl/>
          <w:lang w:bidi="ar-SA"/>
        </w:rPr>
        <w:t>2020</w:t>
      </w:r>
      <w:r w:rsidRPr="00B93C61">
        <w:rPr>
          <w:rFonts w:eastAsia="Calibri" w:asciiTheme="majorBidi" w:hAnsiTheme="majorBidi" w:cstheme="majorBidi"/>
          <w:color w:val="auto"/>
          <w:szCs w:val="24"/>
          <w:rtl/>
          <w:lang w:bidi="ar-SA"/>
        </w:rPr>
        <w:t xml:space="preserve"> بنحو </w:t>
      </w:r>
      <w:r w:rsidRPr="009B2769">
        <w:rPr>
          <w:rtl/>
        </w:rPr>
        <w:t>17</w:t>
      </w:r>
      <w:r w:rsidRPr="00B93C61">
        <w:rPr>
          <w:rFonts w:eastAsia="Calibri" w:asciiTheme="majorBidi" w:hAnsiTheme="majorBidi" w:cstheme="majorBidi"/>
          <w:color w:val="auto"/>
          <w:szCs w:val="24"/>
          <w:rtl/>
          <w:lang w:bidi="ar-SA"/>
        </w:rPr>
        <w:t xml:space="preserve"> مليار شيكل بالمقارنة مع عام </w:t>
      </w:r>
      <w:r w:rsidRPr="00632342">
        <w:rPr>
          <w:rtl/>
          <w:lang w:bidi="ar-SA"/>
        </w:rPr>
        <w:t>2019</w:t>
      </w:r>
      <w:r w:rsidRPr="00B93C61">
        <w:rPr>
          <w:rFonts w:eastAsia="Calibri" w:asciiTheme="majorBidi" w:hAnsiTheme="majorBidi" w:cstheme="majorBidi"/>
          <w:color w:val="auto"/>
          <w:szCs w:val="24"/>
          <w:rtl/>
          <w:lang w:bidi="ar-SA"/>
        </w:rPr>
        <w:t xml:space="preserve">، وازداد العجز المُحاسَبي إلى نحو </w:t>
      </w:r>
      <w:r w:rsidRPr="009B2769">
        <w:rPr>
          <w:rtl/>
        </w:rPr>
        <w:t>236</w:t>
      </w:r>
      <w:r w:rsidRPr="00B93C61">
        <w:rPr>
          <w:rFonts w:eastAsia="Calibri" w:asciiTheme="majorBidi" w:hAnsiTheme="majorBidi" w:cstheme="majorBidi"/>
          <w:color w:val="auto"/>
          <w:szCs w:val="24"/>
          <w:rtl/>
          <w:lang w:bidi="ar-SA"/>
        </w:rPr>
        <w:t xml:space="preserve"> مليار شيكل؛ لا</w:t>
      </w:r>
      <w:r w:rsidRPr="00B93C61">
        <w:rPr>
          <w:rFonts w:eastAsia="Calibri" w:asciiTheme="majorBidi" w:hAnsiTheme="majorBidi" w:cstheme="majorBidi" w:hint="cs"/>
          <w:color w:val="auto"/>
          <w:szCs w:val="24"/>
          <w:rtl/>
          <w:lang w:bidi="ar-SA"/>
        </w:rPr>
        <w:t xml:space="preserve"> توجد</w:t>
      </w:r>
      <w:r w:rsidRPr="00B93C61">
        <w:rPr>
          <w:rFonts w:eastAsia="Calibri" w:asciiTheme="majorBidi" w:hAnsiTheme="majorBidi" w:cstheme="majorBidi"/>
          <w:color w:val="auto"/>
          <w:szCs w:val="24"/>
          <w:rtl/>
          <w:lang w:bidi="ar-SA"/>
        </w:rPr>
        <w:t xml:space="preserve"> مُطابَقة في التسجيل المحاسَبي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للديون التي تُحيلها الوزارات لعناية مركز جباية الغرامات، الرسوم والنفقات. بعض الوزارات تُبقي تسجيل الدَّين في سجلّاتها حتى بعد إحالته لمعالجة مركز جباية الغرامات، ويمكن أن يؤدي الأمر إلى </w:t>
      </w:r>
      <w:r w:rsidRPr="00B93C61">
        <w:rPr>
          <w:rFonts w:eastAsia="Calibri" w:asciiTheme="majorBidi" w:hAnsiTheme="majorBidi" w:cstheme="majorBidi" w:hint="cs"/>
          <w:color w:val="auto"/>
          <w:szCs w:val="24"/>
          <w:rtl/>
          <w:lang w:bidi="ar-SA"/>
        </w:rPr>
        <w:t xml:space="preserve">ازدواجيّة </w:t>
      </w:r>
      <w:r w:rsidRPr="00B93C61">
        <w:rPr>
          <w:rFonts w:eastAsia="Calibri" w:asciiTheme="majorBidi" w:hAnsiTheme="majorBidi" w:cstheme="majorBidi"/>
          <w:color w:val="auto"/>
          <w:szCs w:val="24"/>
          <w:rtl/>
          <w:lang w:bidi="ar-SA"/>
        </w:rPr>
        <w:t>تسجيل أرصدة الد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ين في التقارير المالي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المُوحَّدة للدولة. على قِسم المحاس</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ب العام أن يكمل تطبيق منظومة الجباية </w:t>
      </w:r>
      <w:r w:rsidRPr="00B93C61">
        <w:rPr>
          <w:rFonts w:eastAsia="Calibri" w:asciiTheme="majorBidi" w:hAnsiTheme="majorBidi" w:cstheme="majorBidi" w:hint="cs"/>
          <w:color w:val="auto"/>
          <w:szCs w:val="24"/>
          <w:rtl/>
          <w:lang w:bidi="ar-SA"/>
        </w:rPr>
        <w:t>الشاملة</w:t>
      </w:r>
      <w:r w:rsidRPr="00B93C61">
        <w:rPr>
          <w:rFonts w:eastAsia="Calibri" w:asciiTheme="majorBidi" w:hAnsiTheme="majorBidi" w:cstheme="majorBidi"/>
          <w:color w:val="auto"/>
          <w:szCs w:val="24"/>
          <w:rtl/>
          <w:lang w:bidi="ar-SA"/>
        </w:rPr>
        <w:t>، ليكون بالإمكان الحصول على صورة واضحة ومُتاحة للوضع القائم بالنسبة لحالة المَدينين ومعطيات الجباية. إضافةً إلى ذلك، عليه العمل على تحسين عمليّة جباية الديون للوزارات عبر سلطة التنفيذ والجباية، وعلى جباية كامل الديون. إدارة الديون وجبايتها أمران هامّان من أجل الحفاظ على ممتلكات الدولة وتحصيل كامل حقوقها.</w:t>
      </w:r>
    </w:p>
    <w:p w:rsidR="00632342" w:rsidRPr="00B93C61" w:rsidP="00632342" w14:paraId="7F1D8184" w14:textId="6C3DD6E0">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يتضم</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ن هذا التقرير </w:t>
      </w:r>
      <w:r w:rsidRPr="00B93C61">
        <w:rPr>
          <w:rFonts w:eastAsia="Calibri" w:asciiTheme="majorBidi" w:hAnsiTheme="majorBidi" w:cstheme="majorBidi" w:hint="cs"/>
          <w:color w:val="auto"/>
          <w:szCs w:val="24"/>
          <w:rtl/>
          <w:lang w:bidi="ar-SA"/>
        </w:rPr>
        <w:t xml:space="preserve">رقابة </w:t>
      </w:r>
      <w:r w:rsidRPr="00B93C61">
        <w:rPr>
          <w:rFonts w:eastAsia="Calibri" w:asciiTheme="majorBidi" w:hAnsiTheme="majorBidi" w:cstheme="majorBidi"/>
          <w:color w:val="auto"/>
          <w:szCs w:val="24"/>
          <w:rtl/>
          <w:lang w:bidi="ar-SA"/>
        </w:rPr>
        <w:t xml:space="preserve">على موضوع </w:t>
      </w:r>
      <w:r w:rsidRPr="009B2769">
        <w:rPr>
          <w:rFonts w:eastAsia="Calibri" w:asciiTheme="majorBidi" w:hAnsiTheme="majorBidi" w:cstheme="majorBidi"/>
          <w:b/>
          <w:bCs/>
          <w:color w:val="auto"/>
          <w:szCs w:val="24"/>
          <w:rtl/>
          <w:lang w:bidi="ar-SA"/>
        </w:rPr>
        <w:t>الإشراف على نزاهة انتخابات الكنيست الـ</w:t>
      </w:r>
      <w:r w:rsidRPr="009B2769">
        <w:rPr>
          <w:b/>
          <w:bCs/>
          <w:rtl/>
          <w:lang w:bidi="ar-SA"/>
        </w:rPr>
        <w:t xml:space="preserve"> 24</w:t>
      </w:r>
      <w:r w:rsidRPr="00632342">
        <w:rPr>
          <w:rtl/>
          <w:lang w:bidi="ar-SA"/>
        </w:rPr>
        <w:t>.</w:t>
      </w:r>
      <w:r w:rsidRPr="00B93C61">
        <w:rPr>
          <w:rFonts w:eastAsia="Calibri" w:asciiTheme="majorBidi" w:hAnsiTheme="majorBidi" w:cstheme="majorBidi"/>
          <w:color w:val="auto"/>
          <w:szCs w:val="24"/>
          <w:rtl/>
          <w:lang w:bidi="ar-SA"/>
        </w:rPr>
        <w:t xml:space="preserve"> تبيّن أن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كلفة تفعيل منظومة الإشراف بلغت </w:t>
      </w:r>
      <w:r w:rsidRPr="009B2769">
        <w:rPr>
          <w:rtl/>
        </w:rPr>
        <w:t>51</w:t>
      </w:r>
      <w:r w:rsidRPr="00B93C61">
        <w:rPr>
          <w:rFonts w:eastAsia="Calibri" w:asciiTheme="majorBidi" w:hAnsiTheme="majorBidi" w:cstheme="majorBidi"/>
          <w:color w:val="auto"/>
          <w:szCs w:val="24"/>
          <w:rtl/>
          <w:lang w:bidi="ar-SA"/>
        </w:rPr>
        <w:t xml:space="preserve"> مليون شيكل، وأنّ عدد المُشرفين على نزاهة الانتخابات ازداد </w:t>
      </w:r>
      <w:r w:rsidRPr="00B93C61">
        <w:rPr>
          <w:rFonts w:eastAsia="Calibri" w:asciiTheme="majorBidi" w:hAnsiTheme="majorBidi" w:cstheme="majorBidi" w:hint="cs"/>
          <w:color w:val="auto"/>
          <w:szCs w:val="24"/>
          <w:rtl/>
          <w:lang w:bidi="ar-SA"/>
        </w:rPr>
        <w:t>ب</w:t>
      </w:r>
      <w:r w:rsidRPr="00B93C61">
        <w:rPr>
          <w:rFonts w:eastAsia="Calibri" w:asciiTheme="majorBidi" w:hAnsiTheme="majorBidi" w:cstheme="majorBidi"/>
          <w:color w:val="auto"/>
          <w:szCs w:val="24"/>
          <w:rtl/>
          <w:lang w:bidi="ar-SA"/>
        </w:rPr>
        <w:t xml:space="preserve">أربعة أضعاف بين انتخابات الكنيست الـ </w:t>
      </w:r>
      <w:r w:rsidRPr="00632342">
        <w:rPr>
          <w:rtl/>
          <w:lang w:bidi="ar-SA"/>
        </w:rPr>
        <w:t>22</w:t>
      </w:r>
      <w:r w:rsidRPr="00B93C61">
        <w:rPr>
          <w:rFonts w:eastAsia="Calibri" w:asciiTheme="majorBidi" w:hAnsiTheme="majorBidi" w:cstheme="majorBidi"/>
          <w:color w:val="auto"/>
          <w:szCs w:val="24"/>
          <w:rtl/>
          <w:lang w:bidi="ar-SA"/>
        </w:rPr>
        <w:t xml:space="preserve"> وانتخابات الكنيست الـ </w:t>
      </w:r>
      <w:r w:rsidRPr="00632342">
        <w:rPr>
          <w:rtl/>
          <w:lang w:bidi="ar-SA"/>
        </w:rPr>
        <w:t>24</w:t>
      </w:r>
      <w:r w:rsidRPr="00B93C61">
        <w:rPr>
          <w:rFonts w:eastAsia="Calibri" w:asciiTheme="majorBidi" w:hAnsiTheme="majorBidi" w:cstheme="majorBidi"/>
          <w:color w:val="auto"/>
          <w:szCs w:val="24"/>
          <w:rtl/>
          <w:lang w:bidi="ar-SA"/>
        </w:rPr>
        <w:t>؛ لم يبدأ الم</w:t>
      </w:r>
      <w:r w:rsidRPr="00B93C61">
        <w:rPr>
          <w:rFonts w:eastAsia="Calibri" w:asciiTheme="majorBidi" w:hAnsiTheme="majorBidi" w:cstheme="majorBidi" w:hint="cs"/>
          <w:color w:val="auto"/>
          <w:szCs w:val="24"/>
          <w:rtl/>
          <w:lang w:bidi="ar-SA"/>
        </w:rPr>
        <w:t>قر</w:t>
      </w:r>
      <w:r w:rsidRPr="00B93C61">
        <w:rPr>
          <w:rFonts w:eastAsia="Calibri" w:asciiTheme="majorBidi" w:hAnsiTheme="majorBidi" w:cstheme="majorBidi"/>
          <w:color w:val="auto"/>
          <w:szCs w:val="24"/>
          <w:rtl/>
          <w:lang w:bidi="ar-SA"/>
        </w:rPr>
        <w:t xml:space="preserve"> الإداري بتنظيم التشريع حول منظومة الإشراف ووضع كاميرات في لجان الصناديق؛ وفي انتخابات الكنيست الـ </w:t>
      </w:r>
      <w:r w:rsidRPr="00632342">
        <w:rPr>
          <w:rtl/>
          <w:lang w:bidi="ar-SA"/>
        </w:rPr>
        <w:t>24</w:t>
      </w:r>
      <w:r w:rsidRPr="00B93C61">
        <w:rPr>
          <w:rFonts w:eastAsia="Calibri" w:asciiTheme="majorBidi" w:hAnsiTheme="majorBidi" w:cstheme="majorBidi"/>
          <w:color w:val="auto"/>
          <w:szCs w:val="24"/>
          <w:rtl/>
          <w:lang w:bidi="ar-SA"/>
        </w:rPr>
        <w:t xml:space="preserve"> استخدمت جهات غير مُخوَّلة كاميرات في غُرف الصناديق. تبيّن أيضًا وجود عُيوب في تفعيل منظومة الإشراف: </w:t>
      </w:r>
      <w:r w:rsidR="009B2769">
        <w:rPr>
          <w:rFonts w:hint="cs"/>
          <w:rtl/>
        </w:rPr>
        <w:t>18%</w:t>
      </w:r>
      <w:r w:rsidRPr="00B93C61">
        <w:rPr>
          <w:rFonts w:eastAsia="Calibri" w:asciiTheme="majorBidi" w:hAnsiTheme="majorBidi" w:cstheme="majorBidi"/>
          <w:color w:val="auto"/>
          <w:szCs w:val="24"/>
          <w:rtl/>
          <w:lang w:bidi="ar-SA"/>
        </w:rPr>
        <w:t xml:space="preserve"> من كامل لجان الصندوق التي عُرّ</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فت على أن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ها "صناديق اقتراع حسّاسة" عملت دون مُشرِف في يوم انتخابات الكنيست الـ 24؛ </w:t>
      </w:r>
      <w:r w:rsidR="009B2769">
        <w:rPr>
          <w:rFonts w:hint="cs"/>
          <w:rtl/>
        </w:rPr>
        <w:t>34%</w:t>
      </w:r>
      <w:r w:rsidRPr="00B93C61">
        <w:rPr>
          <w:rFonts w:eastAsia="Calibri" w:asciiTheme="majorBidi" w:hAnsiTheme="majorBidi" w:cstheme="majorBidi"/>
          <w:color w:val="auto"/>
          <w:szCs w:val="24"/>
          <w:rtl/>
          <w:lang w:bidi="ar-SA"/>
        </w:rPr>
        <w:t xml:space="preserve"> من المُشرِفين لم ينجحوا في استخدام التطبيق الخاصّ للإبلاغ عن شكوك بالمس</w:t>
      </w:r>
      <w:r w:rsidRPr="00B93C61">
        <w:rPr>
          <w:rFonts w:eastAsia="Calibri" w:asciiTheme="majorBidi" w:hAnsiTheme="majorBidi" w:cstheme="majorBidi" w:hint="cs"/>
          <w:color w:val="auto"/>
          <w:szCs w:val="24"/>
          <w:rtl/>
          <w:lang w:bidi="ar-SA"/>
        </w:rPr>
        <w:t>اس</w:t>
      </w:r>
      <w:r w:rsidRPr="00B93C61">
        <w:rPr>
          <w:rFonts w:eastAsia="Calibri" w:asciiTheme="majorBidi" w:hAnsiTheme="majorBidi" w:cstheme="majorBidi"/>
          <w:color w:val="auto"/>
          <w:szCs w:val="24"/>
          <w:rtl/>
          <w:lang w:bidi="ar-SA"/>
        </w:rPr>
        <w:t xml:space="preserve"> في نزاهة الانتخابات؛ بسبب نقص المعلومات في النُّظم المحوسَبة للجنة الانتخابات المركزي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(في نحو </w:t>
      </w:r>
      <w:r w:rsidR="009B2769">
        <w:rPr>
          <w:rFonts w:hint="cs"/>
          <w:rtl/>
        </w:rPr>
        <w:t>40%</w:t>
      </w:r>
      <w:r w:rsidRPr="00B93C61">
        <w:rPr>
          <w:rFonts w:eastAsia="Calibri" w:asciiTheme="majorBidi" w:hAnsiTheme="majorBidi" w:cstheme="majorBidi"/>
          <w:color w:val="auto"/>
          <w:szCs w:val="24"/>
          <w:rtl/>
          <w:lang w:bidi="ar-SA"/>
        </w:rPr>
        <w:t xml:space="preserve"> من التبليغات)، لا تتيح النُّظم معرفة إلى أي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حدّ كانت معال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جة اللجنة للشكوك في نزاهة الانتخابات شاملة</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و</w:t>
      </w:r>
      <w:r w:rsidRPr="00B93C61">
        <w:rPr>
          <w:rFonts w:eastAsia="Calibri" w:asciiTheme="majorBidi" w:hAnsiTheme="majorBidi" w:cstheme="majorBidi" w:hint="cs"/>
          <w:color w:val="auto"/>
          <w:szCs w:val="24"/>
          <w:rtl/>
          <w:lang w:bidi="ar-SA"/>
        </w:rPr>
        <w:t xml:space="preserve">ما </w:t>
      </w:r>
      <w:r w:rsidRPr="00B93C61">
        <w:rPr>
          <w:rFonts w:eastAsia="Calibri" w:asciiTheme="majorBidi" w:hAnsiTheme="majorBidi" w:cstheme="majorBidi"/>
          <w:color w:val="auto"/>
          <w:szCs w:val="24"/>
          <w:rtl/>
          <w:lang w:bidi="ar-SA"/>
        </w:rPr>
        <w:t>إذا كانت كلّ الحالات التي تتطل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ب فحصًا </w:t>
      </w:r>
      <w:r w:rsidRPr="00B93C61">
        <w:rPr>
          <w:rFonts w:eastAsia="Calibri" w:asciiTheme="majorBidi" w:hAnsiTheme="majorBidi" w:cstheme="majorBidi" w:hint="cs"/>
          <w:color w:val="auto"/>
          <w:szCs w:val="24"/>
          <w:rtl/>
          <w:lang w:bidi="ar-SA"/>
        </w:rPr>
        <w:t>معمّقًا</w:t>
      </w:r>
      <w:r w:rsidRPr="00B93C61">
        <w:rPr>
          <w:rFonts w:eastAsia="Calibri" w:asciiTheme="majorBidi" w:hAnsiTheme="majorBidi" w:cstheme="majorBidi"/>
          <w:color w:val="auto"/>
          <w:szCs w:val="24"/>
          <w:rtl/>
          <w:lang w:bidi="ar-SA"/>
        </w:rPr>
        <w:t xml:space="preserve"> قد فُحصت كما ينبغي. بهدف ات</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خاذ القرارات في المستقبل حول الحاجة إلى إنشاء منظومة إشراف على نزاهة الانتخابات، وحول نطاقها المناسب - إذا أُقيمت – يجدر</w:t>
      </w:r>
      <w:r w:rsidRPr="00B93C61">
        <w:rPr>
          <w:rFonts w:eastAsia="Calibri" w:asciiTheme="majorBidi" w:hAnsiTheme="majorBidi" w:cstheme="majorBidi" w:hint="cs"/>
          <w:color w:val="auto"/>
          <w:szCs w:val="24"/>
          <w:rtl/>
          <w:lang w:bidi="ar-SA"/>
        </w:rPr>
        <w:t xml:space="preserve"> على</w:t>
      </w:r>
      <w:r w:rsidRPr="00B93C61">
        <w:rPr>
          <w:rFonts w:eastAsia="Calibri" w:asciiTheme="majorBidi" w:hAnsiTheme="majorBidi" w:cstheme="majorBidi"/>
          <w:color w:val="auto"/>
          <w:szCs w:val="24"/>
          <w:rtl/>
          <w:lang w:bidi="ar-SA"/>
        </w:rPr>
        <w:t xml:space="preserve"> لجنة الانتخابات أن تُجري فحصًا شاملًا لفعالي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المنظومات التي عملت في انتخابات الكنيست الـ </w:t>
      </w:r>
      <w:r w:rsidRPr="00632342">
        <w:rPr>
          <w:rtl/>
          <w:lang w:bidi="ar-SA"/>
        </w:rPr>
        <w:t>22</w:t>
      </w:r>
      <w:r w:rsidRPr="00B93C61">
        <w:rPr>
          <w:rFonts w:eastAsia="Calibri" w:asciiTheme="majorBidi" w:hAnsiTheme="majorBidi" w:cstheme="majorBidi"/>
          <w:color w:val="auto"/>
          <w:szCs w:val="24"/>
          <w:rtl/>
          <w:lang w:bidi="ar-SA"/>
        </w:rPr>
        <w:t xml:space="preserve">، الـ </w:t>
      </w:r>
      <w:r w:rsidRPr="00632342">
        <w:rPr>
          <w:rtl/>
          <w:lang w:bidi="ar-SA"/>
        </w:rPr>
        <w:t>23</w:t>
      </w:r>
      <w:r w:rsidRPr="00B93C61">
        <w:rPr>
          <w:rFonts w:eastAsia="Calibri" w:asciiTheme="majorBidi" w:hAnsiTheme="majorBidi" w:cstheme="majorBidi"/>
          <w:color w:val="auto"/>
          <w:szCs w:val="24"/>
          <w:rtl/>
          <w:lang w:bidi="ar-SA"/>
        </w:rPr>
        <w:t xml:space="preserve">، والـ </w:t>
      </w:r>
      <w:r w:rsidRPr="00632342">
        <w:rPr>
          <w:rtl/>
          <w:lang w:bidi="ar-SA"/>
        </w:rPr>
        <w:t>24</w:t>
      </w:r>
      <w:r w:rsidRPr="00B93C61">
        <w:rPr>
          <w:rFonts w:eastAsia="Calibri" w:asciiTheme="majorBidi" w:hAnsiTheme="majorBidi" w:cstheme="majorBidi"/>
          <w:color w:val="auto"/>
          <w:szCs w:val="24"/>
          <w:rtl/>
          <w:lang w:bidi="ar-SA"/>
        </w:rPr>
        <w:t xml:space="preserve">، وأن تفحص </w:t>
      </w:r>
      <w:r w:rsidRPr="00B93C61">
        <w:rPr>
          <w:rFonts w:eastAsia="Calibri" w:asciiTheme="majorBidi" w:hAnsiTheme="majorBidi" w:cstheme="majorBidi" w:hint="cs"/>
          <w:color w:val="auto"/>
          <w:szCs w:val="24"/>
          <w:rtl/>
          <w:lang w:bidi="ar-SA"/>
        </w:rPr>
        <w:t>الجدوى منها</w:t>
      </w:r>
      <w:r w:rsidRPr="00B93C61">
        <w:rPr>
          <w:rFonts w:eastAsia="Calibri" w:asciiTheme="majorBidi" w:hAnsiTheme="majorBidi" w:cstheme="majorBidi"/>
          <w:color w:val="auto"/>
          <w:szCs w:val="24"/>
          <w:rtl/>
          <w:lang w:bidi="ar-SA"/>
        </w:rPr>
        <w:t xml:space="preserve"> مقابل تكلفتها. </w:t>
      </w:r>
    </w:p>
    <w:p w:rsidR="00632342" w:rsidRPr="00B93C61" w:rsidP="00632342" w14:paraId="29FE94BF" w14:textId="77777777">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 xml:space="preserve">أشارت </w:t>
      </w:r>
      <w:r w:rsidRPr="00B93C61">
        <w:rPr>
          <w:rFonts w:eastAsia="Calibri" w:asciiTheme="majorBidi" w:hAnsiTheme="majorBidi" w:cstheme="majorBidi" w:hint="cs"/>
          <w:color w:val="auto"/>
          <w:szCs w:val="24"/>
          <w:rtl/>
          <w:lang w:bidi="ar-SA"/>
        </w:rPr>
        <w:t xml:space="preserve">الرقابة </w:t>
      </w:r>
      <w:r w:rsidRPr="00B93C61">
        <w:rPr>
          <w:rFonts w:eastAsia="Calibri" w:asciiTheme="majorBidi" w:hAnsiTheme="majorBidi" w:cstheme="majorBidi"/>
          <w:color w:val="auto"/>
          <w:szCs w:val="24"/>
          <w:rtl/>
          <w:lang w:bidi="ar-SA"/>
        </w:rPr>
        <w:t xml:space="preserve">على موضوع </w:t>
      </w:r>
      <w:r w:rsidRPr="00212DCC">
        <w:rPr>
          <w:rFonts w:eastAsia="Calibri" w:asciiTheme="majorBidi" w:hAnsiTheme="majorBidi" w:cstheme="majorBidi"/>
          <w:b/>
          <w:bCs/>
          <w:color w:val="auto"/>
          <w:szCs w:val="24"/>
          <w:rtl/>
          <w:lang w:bidi="ar-SA"/>
        </w:rPr>
        <w:t>أنظمة منع تبييض الأموال في إسرائيل</w:t>
      </w:r>
      <w:r w:rsidRPr="00B93C61">
        <w:rPr>
          <w:rFonts w:eastAsia="Calibri" w:asciiTheme="majorBidi" w:hAnsiTheme="majorBidi" w:cstheme="majorBidi"/>
          <w:color w:val="auto"/>
          <w:szCs w:val="24"/>
          <w:rtl/>
          <w:lang w:bidi="ar-SA"/>
        </w:rPr>
        <w:t xml:space="preserve"> إلى أنّ دفعات بقيمة مئات مليارات </w:t>
      </w:r>
      <w:r w:rsidRPr="00B93C61">
        <w:rPr>
          <w:rFonts w:eastAsia="Calibri" w:asciiTheme="majorBidi" w:hAnsiTheme="majorBidi" w:cstheme="majorBidi"/>
          <w:color w:val="auto"/>
          <w:szCs w:val="24"/>
          <w:rtl/>
          <w:lang w:bidi="ar-SA"/>
        </w:rPr>
        <w:t>الشواقل</w:t>
      </w:r>
      <w:r w:rsidRPr="00B93C61">
        <w:rPr>
          <w:rFonts w:eastAsia="Calibri" w:asciiTheme="majorBidi" w:hAnsiTheme="majorBidi" w:cstheme="majorBidi"/>
          <w:color w:val="auto"/>
          <w:szCs w:val="24"/>
          <w:rtl/>
          <w:lang w:bidi="ar-SA"/>
        </w:rPr>
        <w:t xml:space="preserve"> تُدفَع كلّ سنة للقطاع الحُكومي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غير </w:t>
      </w:r>
      <w:r w:rsidRPr="00B93C61">
        <w:rPr>
          <w:rFonts w:eastAsia="Calibri" w:asciiTheme="majorBidi" w:hAnsiTheme="majorBidi" w:cstheme="majorBidi" w:hint="cs"/>
          <w:color w:val="auto"/>
          <w:szCs w:val="24"/>
          <w:rtl/>
          <w:lang w:bidi="ar-SA"/>
        </w:rPr>
        <w:t>مدرَجة</w:t>
      </w:r>
      <w:r w:rsidRPr="00B93C61">
        <w:rPr>
          <w:rFonts w:eastAsia="Calibri" w:asciiTheme="majorBidi" w:hAnsiTheme="majorBidi" w:cstheme="majorBidi"/>
          <w:color w:val="auto"/>
          <w:szCs w:val="24"/>
          <w:rtl/>
          <w:lang w:bidi="ar-SA"/>
        </w:rPr>
        <w:t xml:space="preserve"> في نظام تبييض الأموال. كما تبيّن أنّ</w:t>
      </w:r>
      <w:r w:rsidRPr="00B93C61">
        <w:rPr>
          <w:rFonts w:eastAsia="Calibri" w:asciiTheme="majorBidi" w:hAnsiTheme="majorBidi" w:cstheme="majorBidi" w:hint="cs"/>
          <w:color w:val="auto"/>
          <w:szCs w:val="24"/>
          <w:rtl/>
          <w:lang w:bidi="ar-SA"/>
        </w:rPr>
        <w:t>ه بالرغم من أن</w:t>
      </w:r>
      <w:r w:rsidRPr="00B93C61">
        <w:rPr>
          <w:rFonts w:eastAsia="Calibri" w:asciiTheme="majorBidi" w:hAnsiTheme="majorBidi" w:cstheme="majorBidi"/>
          <w:color w:val="auto"/>
          <w:szCs w:val="24"/>
          <w:rtl/>
          <w:lang w:bidi="ar-SA"/>
        </w:rPr>
        <w:t xml:space="preserve"> المعلومات الإحصائي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w:t>
      </w:r>
      <w:r w:rsidRPr="00B93C61">
        <w:rPr>
          <w:rFonts w:eastAsia="Calibri" w:asciiTheme="majorBidi" w:hAnsiTheme="majorBidi" w:cstheme="majorBidi" w:hint="cs"/>
          <w:color w:val="auto"/>
          <w:szCs w:val="24"/>
          <w:rtl/>
          <w:lang w:bidi="ar-SA"/>
        </w:rPr>
        <w:t xml:space="preserve">الشاملة </w:t>
      </w:r>
      <w:r w:rsidRPr="00B93C61">
        <w:rPr>
          <w:rFonts w:eastAsia="Calibri" w:asciiTheme="majorBidi" w:hAnsiTheme="majorBidi" w:cstheme="majorBidi"/>
          <w:color w:val="auto"/>
          <w:szCs w:val="24"/>
          <w:rtl/>
          <w:lang w:bidi="ar-SA"/>
        </w:rPr>
        <w:t>هي المعلومات الوحيدة التي تنقلها سلطة منع تبييض الأموال اليوم بشكل مباشر إلى الجهات التنظيمي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بهدف </w:t>
      </w:r>
      <w:r w:rsidRPr="00B93C61">
        <w:rPr>
          <w:rFonts w:eastAsia="Calibri" w:asciiTheme="majorBidi" w:hAnsiTheme="majorBidi" w:cstheme="majorBidi" w:hint="cs"/>
          <w:color w:val="auto"/>
          <w:szCs w:val="24"/>
          <w:rtl/>
          <w:lang w:bidi="ar-SA"/>
        </w:rPr>
        <w:t>الرقابة</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 xml:space="preserve">الَا </w:t>
      </w:r>
      <w:r w:rsidRPr="00B93C61">
        <w:rPr>
          <w:rFonts w:eastAsia="Calibri" w:asciiTheme="majorBidi" w:hAnsiTheme="majorBidi" w:cstheme="majorBidi"/>
          <w:color w:val="auto"/>
          <w:szCs w:val="24"/>
          <w:rtl/>
          <w:lang w:bidi="ar-SA"/>
        </w:rPr>
        <w:t>أن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ها نُق</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لت في السنوات الأخيرة إلى </w:t>
      </w:r>
      <w:r w:rsidRPr="009B2769">
        <w:rPr>
          <w:rtl/>
        </w:rPr>
        <w:t>50%</w:t>
      </w:r>
      <w:r w:rsidRPr="00B93C61">
        <w:rPr>
          <w:rFonts w:eastAsia="Calibri" w:asciiTheme="majorBidi" w:hAnsiTheme="majorBidi" w:cstheme="majorBidi"/>
          <w:color w:val="auto"/>
          <w:szCs w:val="24"/>
          <w:rtl/>
          <w:lang w:bidi="ar-SA"/>
        </w:rPr>
        <w:t xml:space="preserve"> من الجهات التنظيمي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w:t>
      </w:r>
      <w:r w:rsidRPr="00B93C61">
        <w:rPr>
          <w:rFonts w:eastAsia="Calibri" w:asciiTheme="majorBidi" w:hAnsiTheme="majorBidi" w:cstheme="majorBidi" w:hint="cs"/>
          <w:color w:val="auto"/>
          <w:szCs w:val="24"/>
          <w:rtl/>
          <w:lang w:bidi="ar-SA"/>
        </w:rPr>
        <w:t xml:space="preserve">، ولم يتمّ ذلك </w:t>
      </w:r>
      <w:r w:rsidRPr="00B93C61">
        <w:rPr>
          <w:rFonts w:eastAsia="Calibri" w:asciiTheme="majorBidi" w:hAnsiTheme="majorBidi" w:cstheme="majorBidi"/>
          <w:color w:val="auto"/>
          <w:szCs w:val="24"/>
          <w:rtl/>
          <w:lang w:bidi="ar-SA"/>
        </w:rPr>
        <w:t>كل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سنة. </w:t>
      </w:r>
      <w:r w:rsidRPr="00B93C61">
        <w:rPr>
          <w:rFonts w:eastAsia="Calibri" w:asciiTheme="majorBidi" w:hAnsiTheme="majorBidi" w:cstheme="majorBidi" w:hint="cs"/>
          <w:color w:val="auto"/>
          <w:szCs w:val="24"/>
          <w:rtl/>
          <w:lang w:bidi="ar-SA"/>
        </w:rPr>
        <w:t xml:space="preserve">هناك </w:t>
      </w:r>
      <w:r w:rsidRPr="00B93C61">
        <w:rPr>
          <w:rFonts w:eastAsia="Calibri" w:asciiTheme="majorBidi" w:hAnsiTheme="majorBidi" w:cstheme="majorBidi"/>
          <w:color w:val="auto"/>
          <w:szCs w:val="24"/>
          <w:rtl/>
          <w:lang w:bidi="ar-SA"/>
        </w:rPr>
        <w:t>اد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عاءات تُفيد أن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الجهاز المصرفي يُقصي مالي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 ولو بشكل جزئي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أعمال جهات تُقد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م خدمات مالي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وشركات فينتك (التكنولوجيا المالي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وشركات المتاجرة بالعملات المُشفّرة. هذا الإقصاء، إن صحّ، يمكن أن يؤد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ي بالقطاعات التي </w:t>
      </w:r>
      <w:r w:rsidRPr="00B93C61">
        <w:rPr>
          <w:rFonts w:eastAsia="Calibri" w:asciiTheme="majorBidi" w:hAnsiTheme="majorBidi" w:cstheme="majorBidi" w:hint="cs"/>
          <w:color w:val="auto"/>
          <w:szCs w:val="24"/>
          <w:rtl/>
          <w:lang w:bidi="ar-SA"/>
        </w:rPr>
        <w:t>تمارس</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 xml:space="preserve">نشاطًا </w:t>
      </w:r>
      <w:r w:rsidRPr="00B93C61">
        <w:rPr>
          <w:rFonts w:eastAsia="Calibri" w:asciiTheme="majorBidi" w:hAnsiTheme="majorBidi" w:cstheme="majorBidi"/>
          <w:color w:val="auto"/>
          <w:szCs w:val="24"/>
          <w:rtl/>
          <w:lang w:bidi="ar-SA"/>
        </w:rPr>
        <w:t>ماليّ</w:t>
      </w:r>
      <w:r w:rsidRPr="00B93C61">
        <w:rPr>
          <w:rFonts w:eastAsia="Calibri" w:asciiTheme="majorBidi" w:hAnsiTheme="majorBidi" w:cstheme="majorBidi" w:hint="cs"/>
          <w:color w:val="auto"/>
          <w:szCs w:val="24"/>
          <w:rtl/>
          <w:lang w:bidi="ar-SA"/>
        </w:rPr>
        <w:t>ًا</w:t>
      </w:r>
      <w:r w:rsidRPr="00B93C61">
        <w:rPr>
          <w:rFonts w:eastAsia="Calibri" w:asciiTheme="majorBidi" w:hAnsiTheme="majorBidi" w:cstheme="majorBidi"/>
          <w:color w:val="auto"/>
          <w:szCs w:val="24"/>
          <w:rtl/>
          <w:lang w:bidi="ar-SA"/>
        </w:rPr>
        <w:t xml:space="preserve"> بالعملات المشفّرة وشركات التكنولوجيا المالي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إلى نقل نشاطها إلى خارج حدود إسرائيل، بكل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ما في الأمر من معنى، أو إلى </w:t>
      </w:r>
      <w:r w:rsidRPr="00B93C61">
        <w:rPr>
          <w:rFonts w:eastAsia="Calibri" w:asciiTheme="majorBidi" w:hAnsiTheme="majorBidi" w:cstheme="majorBidi" w:hint="cs"/>
          <w:color w:val="auto"/>
          <w:szCs w:val="24"/>
          <w:rtl/>
          <w:lang w:bidi="ar-SA"/>
        </w:rPr>
        <w:t>ممارسة</w:t>
      </w:r>
      <w:r w:rsidRPr="00B93C61">
        <w:rPr>
          <w:rFonts w:eastAsia="Calibri" w:asciiTheme="majorBidi" w:hAnsiTheme="majorBidi" w:cstheme="majorBidi"/>
          <w:color w:val="auto"/>
          <w:szCs w:val="24"/>
          <w:rtl/>
          <w:lang w:bidi="ar-SA"/>
        </w:rPr>
        <w:t xml:space="preserve"> نشاطات غير مُبلّغ عنها تؤدي إلى توسيع نطاق تبييض الأموال ورأس المال الأسود في إسرائيل. كما تبيّن أن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ه إلى جانب </w:t>
      </w:r>
      <w:r w:rsidRPr="00B93C61">
        <w:rPr>
          <w:rFonts w:eastAsia="Calibri" w:asciiTheme="majorBidi" w:hAnsiTheme="majorBidi" w:cstheme="majorBidi" w:hint="cs"/>
          <w:color w:val="auto"/>
          <w:szCs w:val="24"/>
          <w:rtl/>
          <w:lang w:bidi="ar-SA"/>
        </w:rPr>
        <w:t>الإجراءات</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 xml:space="preserve">التي </w:t>
      </w:r>
      <w:r w:rsidRPr="00B93C61">
        <w:rPr>
          <w:rFonts w:eastAsia="Calibri" w:asciiTheme="majorBidi" w:hAnsiTheme="majorBidi" w:cstheme="majorBidi"/>
          <w:color w:val="auto"/>
          <w:szCs w:val="24"/>
          <w:rtl/>
          <w:lang w:bidi="ar-SA"/>
        </w:rPr>
        <w:t>يتوج</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ب على الدولة والهيئات الماليّة </w:t>
      </w:r>
      <w:r w:rsidRPr="00B93C61">
        <w:rPr>
          <w:rFonts w:eastAsia="Calibri" w:asciiTheme="majorBidi" w:hAnsiTheme="majorBidi" w:cstheme="majorBidi" w:hint="cs"/>
          <w:color w:val="auto"/>
          <w:szCs w:val="24"/>
          <w:rtl/>
          <w:lang w:bidi="ar-SA"/>
        </w:rPr>
        <w:t>اتّخاذها</w:t>
      </w:r>
      <w:r w:rsidRPr="00B93C61">
        <w:rPr>
          <w:rFonts w:eastAsia="Calibri" w:asciiTheme="majorBidi" w:hAnsiTheme="majorBidi" w:cstheme="majorBidi"/>
          <w:color w:val="auto"/>
          <w:szCs w:val="24"/>
          <w:rtl/>
          <w:lang w:bidi="ar-SA"/>
        </w:rPr>
        <w:t xml:space="preserve"> للحفاظ على متانة نظام منع تبييض الأموال وتعزيز </w:t>
      </w:r>
      <w:r w:rsidRPr="00B93C61">
        <w:rPr>
          <w:rFonts w:eastAsia="Calibri" w:asciiTheme="majorBidi" w:hAnsiTheme="majorBidi" w:cstheme="majorBidi"/>
          <w:color w:val="auto"/>
          <w:szCs w:val="24"/>
          <w:rtl/>
          <w:lang w:bidi="ar-SA"/>
        </w:rPr>
        <w:t>نجاعته</w:t>
      </w:r>
      <w:r w:rsidRPr="00B93C61">
        <w:rPr>
          <w:rFonts w:eastAsia="Calibri" w:asciiTheme="majorBidi" w:hAnsiTheme="majorBidi" w:cstheme="majorBidi"/>
          <w:color w:val="auto"/>
          <w:szCs w:val="24"/>
          <w:rtl/>
          <w:lang w:bidi="ar-SA"/>
        </w:rPr>
        <w:t>، بما يتلا</w:t>
      </w:r>
      <w:r w:rsidRPr="00B93C61">
        <w:rPr>
          <w:rFonts w:eastAsia="Calibri" w:asciiTheme="majorBidi" w:hAnsiTheme="majorBidi" w:cstheme="majorBidi" w:hint="cs"/>
          <w:color w:val="auto"/>
          <w:szCs w:val="24"/>
          <w:rtl/>
          <w:lang w:bidi="ar-SA"/>
        </w:rPr>
        <w:t>ءَ</w:t>
      </w:r>
      <w:r w:rsidRPr="00B93C61">
        <w:rPr>
          <w:rFonts w:eastAsia="Calibri" w:asciiTheme="majorBidi" w:hAnsiTheme="majorBidi" w:cstheme="majorBidi"/>
          <w:color w:val="auto"/>
          <w:szCs w:val="24"/>
          <w:rtl/>
          <w:lang w:bidi="ar-SA"/>
        </w:rPr>
        <w:t>م مع المقاييس الدولي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يتوج</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ب فحص الأنظمة باستمرار من وجهة نظر الزبائن على أنواعهم والعمل على تحسين الأنظمة </w:t>
      </w:r>
      <w:r w:rsidRPr="00B93C61">
        <w:rPr>
          <w:rFonts w:eastAsia="Calibri" w:asciiTheme="majorBidi" w:hAnsiTheme="majorBidi" w:cstheme="majorBidi"/>
          <w:color w:val="auto"/>
          <w:szCs w:val="24"/>
          <w:rtl/>
          <w:lang w:bidi="ar-SA"/>
        </w:rPr>
        <w:t>وتنجيعها</w:t>
      </w:r>
      <w:r w:rsidRPr="00B93C61">
        <w:rPr>
          <w:rFonts w:eastAsia="Calibri" w:asciiTheme="majorBidi" w:hAnsiTheme="majorBidi" w:cstheme="majorBidi"/>
          <w:color w:val="auto"/>
          <w:szCs w:val="24"/>
          <w:rtl/>
          <w:lang w:bidi="ar-SA"/>
        </w:rPr>
        <w:t xml:space="preserve"> بروح القرارات الحكومي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القديمة بشأن التنظيم الحكيم، نشاطات الحكومة منذ عام </w:t>
      </w:r>
      <w:r w:rsidRPr="009B2769">
        <w:rPr>
          <w:rtl/>
        </w:rPr>
        <w:t>2021</w:t>
      </w:r>
      <w:r w:rsidRPr="00B93C61">
        <w:rPr>
          <w:rFonts w:eastAsia="Calibri" w:asciiTheme="majorBidi" w:hAnsiTheme="majorBidi" w:cstheme="majorBidi"/>
          <w:color w:val="auto"/>
          <w:szCs w:val="24"/>
          <w:rtl/>
          <w:lang w:bidi="ar-SA"/>
        </w:rPr>
        <w:t xml:space="preserve"> لتخفيف أعمال التنظيم، وقانون مبادئ التنظيم. يوصى بأن </w:t>
      </w:r>
      <w:r w:rsidRPr="00B93C61">
        <w:rPr>
          <w:rFonts w:eastAsia="Calibri" w:asciiTheme="majorBidi" w:hAnsiTheme="majorBidi" w:cstheme="majorBidi" w:hint="cs"/>
          <w:color w:val="auto"/>
          <w:szCs w:val="24"/>
          <w:rtl/>
          <w:lang w:bidi="ar-SA"/>
        </w:rPr>
        <w:t xml:space="preserve">تولي </w:t>
      </w:r>
      <w:r w:rsidRPr="00B93C61">
        <w:rPr>
          <w:rFonts w:eastAsia="Calibri" w:asciiTheme="majorBidi" w:hAnsiTheme="majorBidi" w:cstheme="majorBidi"/>
          <w:color w:val="auto"/>
          <w:szCs w:val="24"/>
          <w:rtl/>
          <w:lang w:bidi="ar-SA"/>
        </w:rPr>
        <w:t>الجهات المعنيّة - كلّ واحدة في مجال صلاحي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تها وبالتنسيق بينها - اهتمامًا خاصً</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ا لتوفير الشروط المناسبة لتطوّر مجال العملات الرقمية (المشفّرة)، التي يُقدَّر حجم تداولها العالمي بـ </w:t>
      </w:r>
      <w:r w:rsidRPr="00632342">
        <w:rPr>
          <w:rtl/>
          <w:lang w:bidi="ar-SA"/>
        </w:rPr>
        <w:t>2.5</w:t>
      </w:r>
      <w:r w:rsidRPr="00B93C61">
        <w:rPr>
          <w:rFonts w:eastAsia="Calibri" w:asciiTheme="majorBidi" w:hAnsiTheme="majorBidi" w:cstheme="majorBidi"/>
          <w:color w:val="auto"/>
          <w:szCs w:val="24"/>
          <w:rtl/>
          <w:lang w:bidi="ar-SA"/>
        </w:rPr>
        <w:t xml:space="preserve"> إلى </w:t>
      </w:r>
      <w:r w:rsidRPr="00632342">
        <w:rPr>
          <w:rtl/>
          <w:lang w:bidi="ar-SA"/>
        </w:rPr>
        <w:t>3</w:t>
      </w:r>
      <w:r w:rsidRPr="00B93C61">
        <w:rPr>
          <w:rFonts w:eastAsia="Calibri" w:asciiTheme="majorBidi" w:hAnsiTheme="majorBidi" w:cstheme="majorBidi"/>
          <w:color w:val="auto"/>
          <w:szCs w:val="24"/>
          <w:rtl/>
          <w:lang w:bidi="ar-SA"/>
        </w:rPr>
        <w:t xml:space="preserve"> تريليون دولار، ومجالات ماليّة مبتكرة أخرى، وللرقابة الفعّالة على قطاع مقدّمي الخدمات المالي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في المجالات </w:t>
      </w:r>
      <w:r w:rsidRPr="00B93C61">
        <w:rPr>
          <w:rFonts w:eastAsia="Calibri" w:asciiTheme="majorBidi" w:hAnsiTheme="majorBidi" w:cstheme="majorBidi" w:hint="cs"/>
          <w:color w:val="auto"/>
          <w:szCs w:val="24"/>
          <w:rtl/>
          <w:lang w:bidi="ar-SA"/>
        </w:rPr>
        <w:t xml:space="preserve">عالية </w:t>
      </w:r>
      <w:r w:rsidRPr="00B93C61">
        <w:rPr>
          <w:rFonts w:eastAsia="Calibri" w:asciiTheme="majorBidi" w:hAnsiTheme="majorBidi" w:cstheme="majorBidi"/>
          <w:color w:val="auto"/>
          <w:szCs w:val="24"/>
          <w:rtl/>
          <w:lang w:bidi="ar-SA"/>
        </w:rPr>
        <w:t>المخاطر نسبيًا. يُقترَح أيضًا العمل على تنظيم الديون، القوانين، وآليّات الرقابة، بتوجه</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قائم على حجم المخاطرة، حتى لا تتحو</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ل الدفعات للقطاع العامّ إلى آلي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لتبييض الأموال. </w:t>
      </w:r>
    </w:p>
    <w:p w:rsidR="00632342" w:rsidRPr="00B93C61" w:rsidP="00632342" w14:paraId="269D3D87" w14:textId="77777777">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 xml:space="preserve">لدى </w:t>
      </w:r>
      <w:r w:rsidRPr="00632342">
        <w:rPr>
          <w:rtl/>
          <w:lang w:bidi="ar-SA"/>
        </w:rPr>
        <w:t>830,000</w:t>
      </w:r>
      <w:r w:rsidRPr="00B93C61">
        <w:rPr>
          <w:rFonts w:eastAsia="Calibri" w:asciiTheme="majorBidi" w:hAnsiTheme="majorBidi" w:cstheme="majorBidi"/>
          <w:color w:val="auto"/>
          <w:szCs w:val="24"/>
          <w:rtl/>
          <w:lang w:bidi="ar-SA"/>
        </w:rPr>
        <w:t xml:space="preserve"> شخص </w:t>
      </w:r>
      <w:r w:rsidRPr="00B93C61">
        <w:rPr>
          <w:rFonts w:eastAsia="Calibri" w:asciiTheme="majorBidi" w:hAnsiTheme="majorBidi" w:cstheme="majorBidi" w:hint="cs"/>
          <w:color w:val="auto"/>
          <w:szCs w:val="24"/>
          <w:rtl/>
          <w:lang w:bidi="ar-SA"/>
        </w:rPr>
        <w:t>بالغ</w:t>
      </w:r>
      <w:r w:rsidRPr="00B93C61">
        <w:rPr>
          <w:rFonts w:eastAsia="Calibri" w:asciiTheme="majorBidi" w:hAnsiTheme="majorBidi" w:cstheme="majorBidi"/>
          <w:color w:val="auto"/>
          <w:szCs w:val="24"/>
          <w:rtl/>
          <w:lang w:bidi="ar-SA"/>
        </w:rPr>
        <w:t xml:space="preserve"> في إسرائيل تسجيلات في سجلّات الشرطة بسبب ملفّ جنائي فُتح ضدّهم. إنّ قرار سلطات </w:t>
      </w:r>
      <w:r w:rsidRPr="00B93C61">
        <w:rPr>
          <w:rFonts w:eastAsia="Calibri" w:asciiTheme="majorBidi" w:hAnsiTheme="majorBidi" w:cstheme="majorBidi" w:hint="cs"/>
          <w:color w:val="auto"/>
          <w:szCs w:val="24"/>
          <w:rtl/>
          <w:lang w:bidi="ar-SA"/>
        </w:rPr>
        <w:t xml:space="preserve">تنفيذ </w:t>
      </w:r>
      <w:r w:rsidRPr="00B93C61">
        <w:rPr>
          <w:rFonts w:eastAsia="Calibri" w:asciiTheme="majorBidi" w:hAnsiTheme="majorBidi" w:cstheme="majorBidi"/>
          <w:color w:val="auto"/>
          <w:szCs w:val="24"/>
          <w:rtl/>
          <w:lang w:bidi="ar-SA"/>
        </w:rPr>
        <w:t>القانون والنيابة بشأن أسباب إغلاق ملفّ جنائي يمكن أن يؤد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ي إلى تقليص فرص الشخص لإعالة نفسه وإلى تلطيخ سُمعته الحسنة. فحص</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مكتبنا موضوع </w:t>
      </w:r>
      <w:r w:rsidRPr="00212DCC">
        <w:rPr>
          <w:rFonts w:eastAsia="Calibri" w:asciiTheme="majorBidi" w:hAnsiTheme="majorBidi" w:cstheme="majorBidi"/>
          <w:b/>
          <w:bCs/>
          <w:color w:val="auto"/>
          <w:szCs w:val="24"/>
          <w:rtl/>
          <w:lang w:bidi="ar-SA"/>
        </w:rPr>
        <w:t xml:space="preserve">معالجة الشرطة </w:t>
      </w:r>
      <w:r w:rsidRPr="00212DCC">
        <w:rPr>
          <w:rFonts w:eastAsia="Calibri" w:asciiTheme="majorBidi" w:hAnsiTheme="majorBidi" w:cstheme="majorBidi"/>
          <w:b/>
          <w:bCs/>
          <w:color w:val="auto"/>
          <w:szCs w:val="24"/>
          <w:rtl/>
          <w:lang w:bidi="ar-SA"/>
        </w:rPr>
        <w:t>والنيابة لمسألة إغلاق الملفّات الجنائية</w:t>
      </w:r>
      <w:r w:rsidRPr="00B93C61">
        <w:rPr>
          <w:rFonts w:eastAsia="Calibri" w:asciiTheme="majorBidi" w:hAnsiTheme="majorBidi" w:cstheme="majorBidi"/>
          <w:color w:val="auto"/>
          <w:szCs w:val="24"/>
          <w:rtl/>
          <w:lang w:bidi="ar-SA"/>
        </w:rPr>
        <w:t>، وقَدّم نتائج تتطل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ب فحص سلطات </w:t>
      </w:r>
      <w:r w:rsidRPr="00B93C61">
        <w:rPr>
          <w:rFonts w:eastAsia="Calibri" w:asciiTheme="majorBidi" w:hAnsiTheme="majorBidi" w:cstheme="majorBidi" w:hint="cs"/>
          <w:color w:val="auto"/>
          <w:szCs w:val="24"/>
          <w:rtl/>
          <w:lang w:bidi="ar-SA"/>
        </w:rPr>
        <w:t>تنفيذ</w:t>
      </w:r>
      <w:r w:rsidRPr="00B93C61">
        <w:rPr>
          <w:rFonts w:eastAsia="Calibri" w:asciiTheme="majorBidi" w:hAnsiTheme="majorBidi" w:cstheme="majorBidi"/>
          <w:color w:val="auto"/>
          <w:szCs w:val="24"/>
          <w:rtl/>
          <w:lang w:bidi="ar-SA"/>
        </w:rPr>
        <w:t xml:space="preserve"> القانون والنيابة بشأن مدى استخدام </w:t>
      </w:r>
      <w:r w:rsidRPr="00B93C61">
        <w:rPr>
          <w:rFonts w:eastAsia="Calibri" w:asciiTheme="majorBidi" w:hAnsiTheme="majorBidi" w:cstheme="majorBidi" w:hint="cs"/>
          <w:color w:val="auto"/>
          <w:szCs w:val="24"/>
          <w:rtl/>
          <w:lang w:bidi="ar-SA"/>
        </w:rPr>
        <w:t>أسباب وحيثيّات</w:t>
      </w:r>
      <w:r w:rsidRPr="00B93C61">
        <w:rPr>
          <w:rFonts w:eastAsia="Calibri" w:asciiTheme="majorBidi" w:hAnsiTheme="majorBidi" w:cstheme="majorBidi"/>
          <w:color w:val="auto"/>
          <w:szCs w:val="24"/>
          <w:rtl/>
          <w:lang w:bidi="ar-SA"/>
        </w:rPr>
        <w:t xml:space="preserve"> الإغلاق المختلفة. على سبيل المثال، بلغ عدد ملفّات المشتبَه بهم التي أغلقتها الشرطة والنيابة عام </w:t>
      </w:r>
      <w:r w:rsidRPr="00632342">
        <w:rPr>
          <w:rtl/>
          <w:lang w:bidi="ar-SA"/>
        </w:rPr>
        <w:t>2020</w:t>
      </w:r>
      <w:r w:rsidRPr="00B93C61">
        <w:rPr>
          <w:rFonts w:eastAsia="Calibri" w:asciiTheme="majorBidi" w:hAnsiTheme="majorBidi" w:cstheme="majorBidi"/>
          <w:color w:val="auto"/>
          <w:szCs w:val="24"/>
          <w:rtl/>
          <w:lang w:bidi="ar-SA"/>
        </w:rPr>
        <w:t xml:space="preserve"> بداعي "نقص الأدل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نحو </w:t>
      </w:r>
      <w:r w:rsidRPr="00632342">
        <w:rPr>
          <w:rtl/>
          <w:lang w:bidi="ar-SA"/>
        </w:rPr>
        <w:t>55,000</w:t>
      </w:r>
      <w:r w:rsidRPr="00B93C61">
        <w:rPr>
          <w:rFonts w:eastAsia="Calibri" w:asciiTheme="majorBidi" w:hAnsiTheme="majorBidi" w:cstheme="majorBidi"/>
          <w:color w:val="auto"/>
          <w:szCs w:val="24"/>
          <w:rtl/>
          <w:lang w:bidi="ar-SA"/>
        </w:rPr>
        <w:t xml:space="preserve">. ومن المستحسن أن يُجرى الفحص المذكور أيضًا على ضوء تحديث تعليمات النائب العام للدولة من سنة </w:t>
      </w:r>
      <w:r w:rsidRPr="00632342">
        <w:rPr>
          <w:rtl/>
          <w:lang w:bidi="ar-SA"/>
        </w:rPr>
        <w:t>2018</w:t>
      </w:r>
      <w:r w:rsidRPr="00B93C61">
        <w:rPr>
          <w:rFonts w:eastAsia="Calibri" w:asciiTheme="majorBidi" w:hAnsiTheme="majorBidi" w:cstheme="majorBidi"/>
          <w:color w:val="auto"/>
          <w:szCs w:val="24"/>
          <w:rtl/>
          <w:lang w:bidi="ar-SA"/>
        </w:rPr>
        <w:t>، الذي يهدف،</w:t>
      </w:r>
      <w:r w:rsidRPr="00B93C61">
        <w:rPr>
          <w:rFonts w:eastAsia="Calibri" w:asciiTheme="majorBidi" w:hAnsiTheme="majorBidi" w:cstheme="majorBidi" w:hint="cs"/>
          <w:color w:val="auto"/>
          <w:szCs w:val="24"/>
          <w:rtl/>
          <w:lang w:bidi="ar-SA"/>
        </w:rPr>
        <w:t xml:space="preserve"> ضمن أمور أخرى</w:t>
      </w:r>
      <w:r w:rsidRPr="00B93C61">
        <w:rPr>
          <w:rFonts w:eastAsia="Calibri" w:asciiTheme="majorBidi" w:hAnsiTheme="majorBidi" w:cstheme="majorBidi"/>
          <w:color w:val="auto"/>
          <w:szCs w:val="24"/>
          <w:rtl/>
          <w:lang w:bidi="ar-SA"/>
        </w:rPr>
        <w:t>،</w:t>
      </w:r>
      <w:r w:rsidRPr="00B93C61">
        <w:rPr>
          <w:rFonts w:eastAsia="Calibri" w:asciiTheme="majorBidi" w:hAnsiTheme="majorBidi" w:cstheme="majorBidi" w:hint="cs"/>
          <w:color w:val="auto"/>
          <w:szCs w:val="24"/>
          <w:rtl/>
          <w:lang w:bidi="ar-SA"/>
        </w:rPr>
        <w:t xml:space="preserve"> </w:t>
      </w:r>
      <w:r w:rsidRPr="00B93C61">
        <w:rPr>
          <w:rFonts w:eastAsia="Calibri" w:asciiTheme="majorBidi" w:hAnsiTheme="majorBidi" w:cstheme="majorBidi"/>
          <w:color w:val="auto"/>
          <w:szCs w:val="24"/>
          <w:rtl/>
          <w:lang w:bidi="ar-SA"/>
        </w:rPr>
        <w:t>إلى تقليص عدد الملفّات التي تُغلَق بداعي "نقص الأدلّة". مع الأخذ بعين الاعتبار لقرينة البراءة التي تحقّ للمشتب</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هين الذين تقرّر إغلاق ملفّ التحقيق ضدّهم، وإلغاء إمكاني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محاكَمة مَن يدّعي المشتكون أن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ه أضر</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بهم، يوصى بأن تعمل سلطات </w:t>
      </w:r>
      <w:r w:rsidRPr="00B93C61">
        <w:rPr>
          <w:rFonts w:eastAsia="Calibri" w:asciiTheme="majorBidi" w:hAnsiTheme="majorBidi" w:cstheme="majorBidi" w:hint="cs"/>
          <w:color w:val="auto"/>
          <w:szCs w:val="24"/>
          <w:rtl/>
          <w:lang w:bidi="ar-SA"/>
        </w:rPr>
        <w:t xml:space="preserve">تنفيذ </w:t>
      </w:r>
      <w:r w:rsidRPr="00B93C61">
        <w:rPr>
          <w:rFonts w:eastAsia="Calibri" w:asciiTheme="majorBidi" w:hAnsiTheme="majorBidi" w:cstheme="majorBidi"/>
          <w:color w:val="auto"/>
          <w:szCs w:val="24"/>
          <w:rtl/>
          <w:lang w:bidi="ar-SA"/>
        </w:rPr>
        <w:t>القانون والنيابة على تصحيح العيوب التي ت</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بي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ّن وجود عقبات أمام المُشتب</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ه بهم وأمام المُشتكين الراغبين بتقديم التماسات على القرار. كما </w:t>
      </w:r>
      <w:r w:rsidRPr="00B93C61">
        <w:rPr>
          <w:rFonts w:eastAsia="Calibri" w:asciiTheme="majorBidi" w:hAnsiTheme="majorBidi" w:cstheme="majorBidi" w:hint="cs"/>
          <w:color w:val="auto"/>
          <w:szCs w:val="24"/>
          <w:rtl/>
          <w:lang w:bidi="ar-SA"/>
        </w:rPr>
        <w:t>و</w:t>
      </w:r>
      <w:r w:rsidRPr="00B93C61">
        <w:rPr>
          <w:rFonts w:eastAsia="Calibri" w:asciiTheme="majorBidi" w:hAnsiTheme="majorBidi" w:cstheme="majorBidi"/>
          <w:color w:val="auto"/>
          <w:szCs w:val="24"/>
          <w:rtl/>
          <w:lang w:bidi="ar-SA"/>
        </w:rPr>
        <w:t>يُقترَح تعيين جهة واحدة يمكن أن يتوج</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ه إليها المُشتكون أو المشتبَه بهم بهدف تقديم الالتماسات والتحف</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ظات، أيض</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 بشكل مُحوسَب.</w:t>
      </w:r>
    </w:p>
    <w:p w:rsidR="00632342" w:rsidRPr="00B93C61" w:rsidP="00632342" w14:paraId="794E2B39" w14:textId="516204ED">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فحص مكتبنا، لأو</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ل مرة، موضوع </w:t>
      </w:r>
      <w:r w:rsidRPr="00212DCC">
        <w:rPr>
          <w:rFonts w:eastAsia="Calibri" w:asciiTheme="majorBidi" w:hAnsiTheme="majorBidi" w:cstheme="majorBidi"/>
          <w:b/>
          <w:bCs/>
          <w:color w:val="auto"/>
          <w:szCs w:val="24"/>
          <w:rtl/>
          <w:lang w:bidi="ar-SA"/>
        </w:rPr>
        <w:t>منع أعمال الاختلاس في المكاتب الحكومي</w:t>
      </w:r>
      <w:r w:rsidRPr="00212DCC">
        <w:rPr>
          <w:rFonts w:eastAsia="Calibri" w:asciiTheme="majorBidi" w:hAnsiTheme="majorBidi" w:cstheme="majorBidi" w:hint="cs"/>
          <w:b/>
          <w:bCs/>
          <w:color w:val="auto"/>
          <w:szCs w:val="24"/>
          <w:rtl/>
          <w:lang w:bidi="ar-SA"/>
        </w:rPr>
        <w:t>ّ</w:t>
      </w:r>
      <w:r w:rsidRPr="00212DCC">
        <w:rPr>
          <w:rFonts w:eastAsia="Calibri" w:asciiTheme="majorBidi" w:hAnsiTheme="majorBidi" w:cstheme="majorBidi"/>
          <w:b/>
          <w:bCs/>
          <w:color w:val="auto"/>
          <w:szCs w:val="24"/>
          <w:rtl/>
          <w:lang w:bidi="ar-SA"/>
        </w:rPr>
        <w:t>ة وفي الشركات الحكومي</w:t>
      </w:r>
      <w:r w:rsidRPr="00212DCC">
        <w:rPr>
          <w:rFonts w:eastAsia="Calibri" w:asciiTheme="majorBidi" w:hAnsiTheme="majorBidi" w:cstheme="majorBidi" w:hint="cs"/>
          <w:b/>
          <w:bCs/>
          <w:color w:val="auto"/>
          <w:szCs w:val="24"/>
          <w:rtl/>
          <w:lang w:bidi="ar-SA"/>
        </w:rPr>
        <w:t>ّ</w:t>
      </w:r>
      <w:r w:rsidRPr="00212DCC">
        <w:rPr>
          <w:rFonts w:eastAsia="Calibri" w:asciiTheme="majorBidi" w:hAnsiTheme="majorBidi" w:cstheme="majorBidi"/>
          <w:b/>
          <w:bCs/>
          <w:color w:val="auto"/>
          <w:szCs w:val="24"/>
          <w:rtl/>
          <w:lang w:bidi="ar-SA"/>
        </w:rPr>
        <w:t>ة</w:t>
      </w:r>
      <w:r w:rsidRPr="00B93C61">
        <w:rPr>
          <w:rFonts w:eastAsia="Calibri" w:asciiTheme="majorBidi" w:hAnsiTheme="majorBidi" w:cstheme="majorBidi"/>
          <w:color w:val="auto"/>
          <w:szCs w:val="24"/>
          <w:rtl/>
          <w:lang w:bidi="ar-SA"/>
        </w:rPr>
        <w:t>. نطاق النشاط المالي للمكاتب الحكومي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والشركات الحكومية، طابع هذه الهيئات، تركيبها، وعدد العاملين الكبير فيها - كلّ هذه العوامل تُعرّضها لمخاطر الاختلاس. يُقدَّر الضرر السنوي الناتج عن مخالفات الاختلاس في إسرائيل بنحو </w:t>
      </w:r>
      <w:r w:rsidRPr="00632342">
        <w:rPr>
          <w:rtl/>
          <w:lang w:bidi="ar-SA"/>
        </w:rPr>
        <w:t>6 - 9</w:t>
      </w:r>
      <w:r w:rsidRPr="00B93C61">
        <w:rPr>
          <w:rFonts w:eastAsia="Calibri" w:asciiTheme="majorBidi" w:hAnsiTheme="majorBidi" w:cstheme="majorBidi"/>
          <w:color w:val="auto"/>
          <w:szCs w:val="24"/>
          <w:rtl/>
          <w:lang w:bidi="ar-SA"/>
        </w:rPr>
        <w:t xml:space="preserve"> مليار شيكل. تُشير نتائج هذه الرقابة إلى عيوب في مجال منظومة إدارة المخاطر لمنع الاختلاس ومجال نُظم المعلومات. كما ويظهر وجود عيوب في تطبيق ضوابط تشغيليّة في هذه المجالات: الموارد البشريّة والأجور، المشترَيات والمخزون، الجباية ووسائل الدفع. تبيّن أنّ </w:t>
      </w:r>
      <w:r w:rsidRPr="00212DCC">
        <w:rPr>
          <w:rtl/>
        </w:rPr>
        <w:t>82%</w:t>
      </w:r>
      <w:r w:rsidRPr="00B93C61">
        <w:rPr>
          <w:rFonts w:eastAsia="Calibri" w:asciiTheme="majorBidi" w:hAnsiTheme="majorBidi" w:cstheme="majorBidi"/>
          <w:color w:val="auto"/>
          <w:szCs w:val="24"/>
          <w:rtl/>
          <w:lang w:bidi="ar-SA"/>
        </w:rPr>
        <w:t xml:space="preserve"> من المكاتب الحكومي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والشركات الحكومي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(بالمتوسط) لا تستخدم تقنيّات مبتكَرة لمواجهة أعمال الاختلاس. لمنع أعمال الاختلاس</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ثم</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حاجة إلى تطبيق إجراء شامل ومُركَّب يتضم</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ن ترسيخ ثقافة تنظيمي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لائقة، رفع الوعي حول الموضوع بين العاملين في المؤس</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سة، التشخيص المبك</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ر للمخاطر ونقاط الضعف في أنظمة المؤس</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سة، بلورة برنامج متكامل لمنع أعمال الاختلاس وترسيخ نُظم رقابي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ومنظومات خاصّة لتقليل المخاطر. 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عتب</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ر هذا الإجراء جزء</w:t>
      </w:r>
      <w:r w:rsidRPr="00B93C61">
        <w:rPr>
          <w:rFonts w:eastAsia="Calibri" w:asciiTheme="majorBidi" w:hAnsiTheme="majorBidi" w:cstheme="majorBidi" w:hint="cs"/>
          <w:color w:val="auto"/>
          <w:szCs w:val="24"/>
          <w:rtl/>
          <w:lang w:bidi="ar-SA"/>
        </w:rPr>
        <w:t>ًا</w:t>
      </w:r>
      <w:r w:rsidRPr="00B93C61">
        <w:rPr>
          <w:rFonts w:eastAsia="Calibri" w:asciiTheme="majorBidi" w:hAnsiTheme="majorBidi" w:cstheme="majorBidi"/>
          <w:color w:val="auto"/>
          <w:szCs w:val="24"/>
          <w:rtl/>
          <w:lang w:bidi="ar-SA"/>
        </w:rPr>
        <w:t xml:space="preserve"> من المعايير المُتعارَف عليها</w:t>
      </w:r>
      <w:r w:rsidRPr="00B93C61">
        <w:rPr>
          <w:rFonts w:eastAsia="Calibri" w:asciiTheme="majorBidi" w:hAnsiTheme="majorBidi" w:cstheme="majorBidi" w:hint="cs"/>
          <w:color w:val="auto"/>
          <w:szCs w:val="24"/>
          <w:rtl/>
          <w:lang w:bidi="ar-SA"/>
        </w:rPr>
        <w:t>، والتي</w:t>
      </w:r>
      <w:r w:rsidRPr="00B93C61">
        <w:rPr>
          <w:rFonts w:eastAsia="Calibri" w:asciiTheme="majorBidi" w:hAnsiTheme="majorBidi" w:cstheme="majorBidi"/>
          <w:color w:val="auto"/>
          <w:szCs w:val="24"/>
          <w:rtl/>
          <w:lang w:bidi="ar-SA"/>
        </w:rPr>
        <w:t xml:space="preserve"> طُوّرت في العقود الأخيرة ل</w:t>
      </w:r>
      <w:r w:rsidRPr="00B93C61">
        <w:rPr>
          <w:rFonts w:eastAsia="Calibri" w:asciiTheme="majorBidi" w:hAnsiTheme="majorBidi" w:cstheme="majorBidi" w:hint="cs"/>
          <w:color w:val="auto"/>
          <w:szCs w:val="24"/>
          <w:rtl/>
          <w:lang w:bidi="ar-SA"/>
        </w:rPr>
        <w:t xml:space="preserve">غرض </w:t>
      </w:r>
      <w:r w:rsidRPr="00B93C61">
        <w:rPr>
          <w:rFonts w:eastAsia="Calibri" w:asciiTheme="majorBidi" w:hAnsiTheme="majorBidi" w:cstheme="majorBidi"/>
          <w:color w:val="auto"/>
          <w:szCs w:val="24"/>
          <w:rtl/>
          <w:lang w:bidi="ar-SA"/>
        </w:rPr>
        <w:t>إدارة المخاطر على مستوى المؤس</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سة. يتوج</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ب على الوزارات والشركات الحكومي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وكذلك المحاسب العامّ وسلطة الشركات الحكومي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تقديم الرد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على الاستنتاجات والتوصيات المطروحة في هذا التقرير، وعليها أيض</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 استخلاص الع</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بر من العيوب المذكورة فيه، والعمل على تصحيحها. </w:t>
      </w:r>
      <w:r w:rsidRPr="00212DCC">
        <w:rPr>
          <w:rFonts w:eastAsia="Calibri" w:asciiTheme="majorBidi" w:hAnsiTheme="majorBidi" w:cstheme="majorBidi"/>
          <w:b/>
          <w:bCs/>
          <w:color w:val="auto"/>
          <w:szCs w:val="24"/>
          <w:rtl/>
          <w:lang w:bidi="ar-SA"/>
        </w:rPr>
        <w:t>من الجدير بالذكر أنّ التقرير يتضم</w:t>
      </w:r>
      <w:r w:rsidRPr="00212DCC">
        <w:rPr>
          <w:rFonts w:eastAsia="Calibri" w:asciiTheme="majorBidi" w:hAnsiTheme="majorBidi" w:cstheme="majorBidi" w:hint="cs"/>
          <w:b/>
          <w:bCs/>
          <w:color w:val="auto"/>
          <w:szCs w:val="24"/>
          <w:rtl/>
          <w:lang w:bidi="ar-SA"/>
        </w:rPr>
        <w:t>ّ</w:t>
      </w:r>
      <w:r w:rsidRPr="00212DCC">
        <w:rPr>
          <w:rFonts w:eastAsia="Calibri" w:asciiTheme="majorBidi" w:hAnsiTheme="majorBidi" w:cstheme="majorBidi"/>
          <w:b/>
          <w:bCs/>
          <w:color w:val="auto"/>
          <w:szCs w:val="24"/>
          <w:rtl/>
          <w:lang w:bidi="ar-SA"/>
        </w:rPr>
        <w:t>ن أيضًا أعمال رقابة عيني</w:t>
      </w:r>
      <w:r w:rsidRPr="00212DCC">
        <w:rPr>
          <w:rFonts w:eastAsia="Calibri" w:asciiTheme="majorBidi" w:hAnsiTheme="majorBidi" w:cstheme="majorBidi" w:hint="cs"/>
          <w:b/>
          <w:bCs/>
          <w:color w:val="auto"/>
          <w:szCs w:val="24"/>
          <w:rtl/>
          <w:lang w:bidi="ar-SA"/>
        </w:rPr>
        <w:t>ّ</w:t>
      </w:r>
      <w:r w:rsidRPr="00212DCC">
        <w:rPr>
          <w:rFonts w:eastAsia="Calibri" w:asciiTheme="majorBidi" w:hAnsiTheme="majorBidi" w:cstheme="majorBidi"/>
          <w:b/>
          <w:bCs/>
          <w:color w:val="auto"/>
          <w:szCs w:val="24"/>
          <w:rtl/>
          <w:lang w:bidi="ar-SA"/>
        </w:rPr>
        <w:t xml:space="preserve">ة لموضوع منع الاختلاس في </w:t>
      </w:r>
      <w:r w:rsidRPr="006C5EEB" w:rsidR="006C5EEB">
        <w:rPr>
          <w:rFonts w:eastAsia="Calibri" w:asciiTheme="majorBidi" w:hAnsiTheme="majorBidi" w:cs="Times New Roman"/>
          <w:b/>
          <w:bCs/>
          <w:color w:val="auto"/>
          <w:szCs w:val="24"/>
          <w:rtl/>
          <w:lang w:bidi="ar-SA"/>
        </w:rPr>
        <w:t>سلطة</w:t>
      </w:r>
      <w:r w:rsidRPr="006C5EEB" w:rsidR="006C5EEB">
        <w:rPr>
          <w:rFonts w:eastAsia="Calibri" w:asciiTheme="majorBidi" w:hAnsiTheme="majorBidi" w:cs="Times New Roman"/>
          <w:b/>
          <w:bCs/>
          <w:color w:val="auto"/>
          <w:szCs w:val="24"/>
          <w:rtl/>
          <w:lang w:bidi="ar-SA"/>
        </w:rPr>
        <w:t xml:space="preserve"> </w:t>
      </w:r>
      <w:r w:rsidRPr="00212DCC">
        <w:rPr>
          <w:rFonts w:eastAsia="Calibri" w:asciiTheme="majorBidi" w:hAnsiTheme="majorBidi" w:cstheme="majorBidi"/>
          <w:b/>
          <w:bCs/>
          <w:color w:val="auto"/>
          <w:szCs w:val="24"/>
          <w:rtl/>
          <w:lang w:bidi="ar-SA"/>
        </w:rPr>
        <w:t>أراضي إسرائيل</w:t>
      </w:r>
      <w:r w:rsidRPr="00B93C61">
        <w:rPr>
          <w:rFonts w:eastAsia="Calibri" w:asciiTheme="majorBidi" w:hAnsiTheme="majorBidi" w:cstheme="majorBidi"/>
          <w:color w:val="auto"/>
          <w:szCs w:val="24"/>
          <w:rtl/>
          <w:lang w:bidi="ar-SA"/>
        </w:rPr>
        <w:t>.</w:t>
      </w:r>
    </w:p>
    <w:p w:rsidR="00632342" w:rsidRPr="00B93C61" w:rsidP="00632342" w14:paraId="46DD18FA" w14:textId="2FE6CDBB">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 xml:space="preserve">في عام </w:t>
      </w:r>
      <w:r w:rsidRPr="00632342">
        <w:rPr>
          <w:rtl/>
          <w:lang w:bidi="ar-SA"/>
        </w:rPr>
        <w:t>2021</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بلغ عدد الأطفال الرضَع في</w:t>
      </w:r>
      <w:r w:rsidRPr="00B93C61">
        <w:rPr>
          <w:rFonts w:eastAsia="Calibri" w:asciiTheme="majorBidi" w:hAnsiTheme="majorBidi" w:cstheme="majorBidi"/>
          <w:color w:val="auto"/>
          <w:szCs w:val="24"/>
          <w:rtl/>
          <w:lang w:bidi="ar-SA"/>
        </w:rPr>
        <w:t xml:space="preserve"> إسرائيل نحو </w:t>
      </w:r>
      <w:r w:rsidRPr="00632342">
        <w:rPr>
          <w:rtl/>
          <w:lang w:bidi="ar-SA"/>
        </w:rPr>
        <w:t>286,700</w:t>
      </w:r>
      <w:r w:rsidRPr="00B93C61">
        <w:rPr>
          <w:rFonts w:eastAsia="Calibri" w:asciiTheme="majorBidi" w:hAnsiTheme="majorBidi" w:cstheme="majorBidi" w:hint="cs"/>
          <w:color w:val="auto"/>
          <w:szCs w:val="24"/>
          <w:rtl/>
          <w:lang w:bidi="ar-SA"/>
        </w:rPr>
        <w:t xml:space="preserve"> رضيع، من سنّ الولادة وحتى ثلاث سنوات</w:t>
      </w:r>
      <w:r w:rsidRPr="00B93C61">
        <w:rPr>
          <w:rFonts w:eastAsia="Calibri" w:asciiTheme="majorBidi" w:hAnsiTheme="majorBidi" w:cstheme="majorBidi"/>
          <w:color w:val="auto"/>
          <w:szCs w:val="24"/>
          <w:rtl/>
          <w:lang w:bidi="ar-SA"/>
        </w:rPr>
        <w:t>. تُبي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ّن الأبحاث أنّ الاستثمار في العناية </w:t>
      </w:r>
      <w:r w:rsidRPr="00B93C61">
        <w:rPr>
          <w:rFonts w:eastAsia="Calibri" w:asciiTheme="majorBidi" w:hAnsiTheme="majorBidi" w:cstheme="majorBidi" w:hint="cs"/>
          <w:color w:val="auto"/>
          <w:szCs w:val="24"/>
          <w:rtl/>
          <w:lang w:bidi="ar-SA"/>
        </w:rPr>
        <w:t>بصغار السنّ</w:t>
      </w:r>
      <w:r w:rsidRPr="00B93C61">
        <w:rPr>
          <w:rFonts w:eastAsia="Calibri" w:asciiTheme="majorBidi" w:hAnsiTheme="majorBidi" w:cstheme="majorBidi"/>
          <w:color w:val="auto"/>
          <w:szCs w:val="24"/>
          <w:rtl/>
          <w:lang w:bidi="ar-SA"/>
        </w:rPr>
        <w:t xml:space="preserve"> وتربيتهم في مرحلة الطفولة المبك</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رة يوفّر</w:t>
      </w:r>
      <w:r w:rsidRPr="00B93C61">
        <w:rPr>
          <w:rFonts w:eastAsia="Calibri" w:asciiTheme="majorBidi" w:hAnsiTheme="majorBidi" w:cstheme="majorBidi" w:hint="cs"/>
          <w:color w:val="auto"/>
          <w:szCs w:val="24"/>
          <w:rtl/>
          <w:lang w:bidi="ar-SA"/>
        </w:rPr>
        <w:t>ان</w:t>
      </w:r>
      <w:r w:rsidRPr="00B93C61">
        <w:rPr>
          <w:rFonts w:eastAsia="Calibri" w:asciiTheme="majorBidi" w:hAnsiTheme="majorBidi" w:cstheme="majorBidi"/>
          <w:color w:val="auto"/>
          <w:szCs w:val="24"/>
          <w:rtl/>
          <w:lang w:bidi="ar-SA"/>
        </w:rPr>
        <w:t xml:space="preserve"> استثمار الأموال العام</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على المدى البعيد، ويؤدّي</w:t>
      </w:r>
      <w:r w:rsidRPr="00B93C61">
        <w:rPr>
          <w:rFonts w:eastAsia="Calibri" w:asciiTheme="majorBidi" w:hAnsiTheme="majorBidi" w:cstheme="majorBidi" w:hint="cs"/>
          <w:color w:val="auto"/>
          <w:szCs w:val="24"/>
          <w:rtl/>
          <w:lang w:bidi="ar-SA"/>
        </w:rPr>
        <w:t>ان</w:t>
      </w:r>
      <w:r w:rsidRPr="00B93C61">
        <w:rPr>
          <w:rFonts w:eastAsia="Calibri" w:asciiTheme="majorBidi" w:hAnsiTheme="majorBidi" w:cstheme="majorBidi"/>
          <w:color w:val="auto"/>
          <w:szCs w:val="24"/>
          <w:rtl/>
          <w:lang w:bidi="ar-SA"/>
        </w:rPr>
        <w:t xml:space="preserve"> إلى عائد مرتفع نسبيّ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 خاصّة</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بالنسبة </w:t>
      </w:r>
      <w:r w:rsidRPr="00B93C61">
        <w:rPr>
          <w:rFonts w:eastAsia="Calibri" w:asciiTheme="majorBidi" w:hAnsiTheme="majorBidi" w:cstheme="majorBidi" w:hint="cs"/>
          <w:color w:val="auto"/>
          <w:szCs w:val="24"/>
          <w:rtl/>
          <w:lang w:bidi="ar-SA"/>
        </w:rPr>
        <w:t>للرضّع</w:t>
      </w:r>
      <w:r w:rsidRPr="00B93C61">
        <w:rPr>
          <w:rFonts w:eastAsia="Calibri" w:asciiTheme="majorBidi" w:hAnsiTheme="majorBidi" w:cstheme="majorBidi"/>
          <w:color w:val="auto"/>
          <w:szCs w:val="24"/>
          <w:rtl/>
          <w:lang w:bidi="ar-SA"/>
        </w:rPr>
        <w:t xml:space="preserve"> الذين ينتمون إلى عائلات في حالة اجتماعي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ة-اقتصادي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متدن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ية. بيّنت الرقابة على موضوع </w:t>
      </w:r>
      <w:r w:rsidRPr="00212DCC">
        <w:rPr>
          <w:rFonts w:eastAsia="Calibri" w:asciiTheme="majorBidi" w:hAnsiTheme="majorBidi" w:cstheme="majorBidi"/>
          <w:b/>
          <w:bCs/>
          <w:color w:val="auto"/>
          <w:szCs w:val="24"/>
          <w:rtl/>
          <w:lang w:bidi="ar-SA"/>
        </w:rPr>
        <w:t xml:space="preserve">رعاية </w:t>
      </w:r>
      <w:r w:rsidRPr="00212DCC">
        <w:rPr>
          <w:rFonts w:eastAsia="Calibri" w:asciiTheme="majorBidi" w:hAnsiTheme="majorBidi" w:cstheme="majorBidi" w:hint="cs"/>
          <w:b/>
          <w:bCs/>
          <w:color w:val="auto"/>
          <w:szCs w:val="24"/>
          <w:rtl/>
          <w:lang w:bidi="ar-SA"/>
        </w:rPr>
        <w:t>الرضّع</w:t>
      </w:r>
      <w:r w:rsidRPr="00212DCC">
        <w:rPr>
          <w:rFonts w:eastAsia="Calibri" w:asciiTheme="majorBidi" w:hAnsiTheme="majorBidi" w:cstheme="majorBidi"/>
          <w:b/>
          <w:bCs/>
          <w:color w:val="auto"/>
          <w:szCs w:val="24"/>
          <w:rtl/>
          <w:lang w:bidi="ar-SA"/>
        </w:rPr>
        <w:t xml:space="preserve"> وتربيتهم في مراكز الرعاية النهاري</w:t>
      </w:r>
      <w:r w:rsidRPr="00212DCC">
        <w:rPr>
          <w:rFonts w:eastAsia="Calibri" w:asciiTheme="majorBidi" w:hAnsiTheme="majorBidi" w:cstheme="majorBidi" w:hint="cs"/>
          <w:b/>
          <w:bCs/>
          <w:color w:val="auto"/>
          <w:szCs w:val="24"/>
          <w:rtl/>
          <w:lang w:bidi="ar-SA"/>
        </w:rPr>
        <w:t>ّ</w:t>
      </w:r>
      <w:r w:rsidRPr="00212DCC">
        <w:rPr>
          <w:rFonts w:eastAsia="Calibri" w:asciiTheme="majorBidi" w:hAnsiTheme="majorBidi" w:cstheme="majorBidi"/>
          <w:b/>
          <w:bCs/>
          <w:color w:val="auto"/>
          <w:szCs w:val="24"/>
          <w:rtl/>
          <w:lang w:bidi="ar-SA"/>
        </w:rPr>
        <w:t>ة</w:t>
      </w:r>
      <w:r w:rsidRPr="00212DCC">
        <w:rPr>
          <w:rFonts w:eastAsia="Calibri" w:asciiTheme="majorBidi" w:hAnsiTheme="majorBidi" w:cstheme="majorBidi" w:hint="cs"/>
          <w:b/>
          <w:bCs/>
          <w:color w:val="auto"/>
          <w:szCs w:val="24"/>
          <w:rtl/>
          <w:lang w:bidi="ar-SA"/>
        </w:rPr>
        <w:t xml:space="preserve"> والحضانات</w:t>
      </w:r>
      <w:r w:rsidRPr="00B93C61">
        <w:rPr>
          <w:rFonts w:eastAsia="Calibri" w:asciiTheme="majorBidi" w:hAnsiTheme="majorBidi" w:cstheme="majorBidi" w:hint="cs"/>
          <w:color w:val="auto"/>
          <w:szCs w:val="24"/>
          <w:rtl/>
          <w:lang w:bidi="ar-SA"/>
        </w:rPr>
        <w:t xml:space="preserve"> </w:t>
      </w:r>
      <w:r w:rsidRPr="00B93C61">
        <w:rPr>
          <w:rFonts w:eastAsia="Calibri" w:asciiTheme="majorBidi" w:hAnsiTheme="majorBidi" w:cstheme="majorBidi"/>
          <w:color w:val="auto"/>
          <w:szCs w:val="24"/>
          <w:rtl/>
          <w:lang w:bidi="ar-SA"/>
        </w:rPr>
        <w:t xml:space="preserve">أنّه رغم كون تربية </w:t>
      </w:r>
      <w:r w:rsidRPr="00B93C61">
        <w:rPr>
          <w:rFonts w:eastAsia="Calibri" w:asciiTheme="majorBidi" w:hAnsiTheme="majorBidi" w:cstheme="majorBidi" w:hint="cs"/>
          <w:color w:val="auto"/>
          <w:szCs w:val="24"/>
          <w:rtl/>
          <w:lang w:bidi="ar-SA"/>
        </w:rPr>
        <w:t>الرضّع</w:t>
      </w:r>
      <w:r w:rsidRPr="00B93C61">
        <w:rPr>
          <w:rFonts w:eastAsia="Calibri" w:asciiTheme="majorBidi" w:hAnsiTheme="majorBidi" w:cstheme="majorBidi"/>
          <w:color w:val="auto"/>
          <w:szCs w:val="24"/>
          <w:rtl/>
          <w:lang w:bidi="ar-SA"/>
        </w:rPr>
        <w:t xml:space="preserve"> مرحلة</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حاسمة من أجل توفير الفرص المتكافئة، </w:t>
      </w:r>
      <w:r w:rsidRPr="00B93C61">
        <w:rPr>
          <w:rFonts w:eastAsia="Calibri" w:asciiTheme="majorBidi" w:hAnsiTheme="majorBidi" w:cstheme="majorBidi" w:hint="cs"/>
          <w:color w:val="auto"/>
          <w:szCs w:val="24"/>
          <w:rtl/>
          <w:lang w:bidi="ar-SA"/>
        </w:rPr>
        <w:t xml:space="preserve">إلّا أنّ </w:t>
      </w:r>
      <w:r w:rsidRPr="00B93C61">
        <w:rPr>
          <w:rFonts w:eastAsia="Calibri" w:asciiTheme="majorBidi" w:hAnsiTheme="majorBidi" w:cstheme="majorBidi"/>
          <w:color w:val="auto"/>
          <w:szCs w:val="24"/>
          <w:rtl/>
          <w:lang w:bidi="ar-SA"/>
        </w:rPr>
        <w:t>الوضع على أرض الواقع يبي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ن أن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التوزيع</w:t>
      </w:r>
      <w:r w:rsidRPr="00B93C61">
        <w:rPr>
          <w:rFonts w:eastAsia="Calibri" w:asciiTheme="majorBidi" w:hAnsiTheme="majorBidi" w:cstheme="majorBidi"/>
          <w:color w:val="auto"/>
          <w:szCs w:val="24"/>
          <w:rtl/>
          <w:lang w:bidi="ar-SA"/>
        </w:rPr>
        <w:t xml:space="preserve"> الجغرافي وآلي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الدعم المُتاحة لل</w:t>
      </w:r>
      <w:r w:rsidRPr="00B93C61">
        <w:rPr>
          <w:rFonts w:eastAsia="Calibri" w:asciiTheme="majorBidi" w:hAnsiTheme="majorBidi" w:cstheme="majorBidi" w:hint="cs"/>
          <w:color w:val="auto"/>
          <w:szCs w:val="24"/>
          <w:rtl/>
          <w:lang w:bidi="ar-SA"/>
        </w:rPr>
        <w:t>أ</w:t>
      </w:r>
      <w:r w:rsidRPr="00B93C61">
        <w:rPr>
          <w:rFonts w:eastAsia="Calibri" w:asciiTheme="majorBidi" w:hAnsiTheme="majorBidi" w:cstheme="majorBidi"/>
          <w:color w:val="auto"/>
          <w:szCs w:val="24"/>
          <w:rtl/>
          <w:lang w:bidi="ar-SA"/>
        </w:rPr>
        <w:t>طر المُعتر</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ف بها رسمي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 والتي تخضع فيها الأسعار للرقابة وتُمكّن أيض</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ا من دعم أقساط التعليم، لا </w:t>
      </w:r>
      <w:r w:rsidRPr="00B93C61">
        <w:rPr>
          <w:rFonts w:eastAsia="Calibri" w:asciiTheme="majorBidi" w:hAnsiTheme="majorBidi" w:cstheme="majorBidi" w:hint="cs"/>
          <w:color w:val="auto"/>
          <w:szCs w:val="24"/>
          <w:rtl/>
          <w:lang w:bidi="ar-SA"/>
        </w:rPr>
        <w:t>يُ</w:t>
      </w:r>
      <w:r w:rsidRPr="00B93C61">
        <w:rPr>
          <w:rFonts w:eastAsia="Calibri" w:asciiTheme="majorBidi" w:hAnsiTheme="majorBidi" w:cstheme="majorBidi"/>
          <w:color w:val="auto"/>
          <w:szCs w:val="24"/>
          <w:rtl/>
          <w:lang w:bidi="ar-SA"/>
        </w:rPr>
        <w:t xml:space="preserve">ساعد العائلات التي تعاني من </w:t>
      </w:r>
      <w:r w:rsidRPr="00B93C61">
        <w:rPr>
          <w:rFonts w:eastAsia="Calibri" w:asciiTheme="majorBidi" w:hAnsiTheme="majorBidi" w:cstheme="majorBidi" w:hint="cs"/>
          <w:color w:val="auto"/>
          <w:szCs w:val="24"/>
          <w:rtl/>
          <w:lang w:bidi="ar-SA"/>
        </w:rPr>
        <w:t xml:space="preserve">حالة </w:t>
      </w:r>
      <w:r w:rsidRPr="00B93C61">
        <w:rPr>
          <w:rFonts w:eastAsia="Calibri" w:asciiTheme="majorBidi" w:hAnsiTheme="majorBidi" w:cstheme="majorBidi"/>
          <w:color w:val="auto"/>
          <w:szCs w:val="24"/>
          <w:rtl/>
          <w:lang w:bidi="ar-SA"/>
        </w:rPr>
        <w:t>اجتماعي</w:t>
      </w:r>
      <w:r w:rsidRPr="00B93C61">
        <w:rPr>
          <w:rFonts w:eastAsia="Calibri" w:asciiTheme="majorBidi" w:hAnsiTheme="majorBidi" w:cstheme="majorBidi" w:hint="cs"/>
          <w:color w:val="auto"/>
          <w:szCs w:val="24"/>
          <w:rtl/>
          <w:lang w:bidi="ar-SA"/>
        </w:rPr>
        <w:t>ّة</w:t>
      </w:r>
      <w:r w:rsidRPr="00B93C61">
        <w:rPr>
          <w:rFonts w:eastAsia="Calibri" w:asciiTheme="majorBidi" w:hAnsiTheme="majorBidi" w:cstheme="majorBidi"/>
          <w:color w:val="auto"/>
          <w:szCs w:val="24"/>
          <w:rtl/>
          <w:lang w:bidi="ar-SA"/>
        </w:rPr>
        <w:t>-اقتصادي</w:t>
      </w:r>
      <w:r w:rsidRPr="00B93C61">
        <w:rPr>
          <w:rFonts w:eastAsia="Calibri" w:asciiTheme="majorBidi" w:hAnsiTheme="majorBidi" w:cstheme="majorBidi" w:hint="cs"/>
          <w:color w:val="auto"/>
          <w:szCs w:val="24"/>
          <w:rtl/>
          <w:lang w:bidi="ar-SA"/>
        </w:rPr>
        <w:t>ّة</w:t>
      </w:r>
      <w:r w:rsidRPr="00B93C61">
        <w:rPr>
          <w:rFonts w:eastAsia="Calibri" w:asciiTheme="majorBidi" w:hAnsiTheme="majorBidi" w:cstheme="majorBidi"/>
          <w:color w:val="auto"/>
          <w:szCs w:val="24"/>
          <w:rtl/>
          <w:lang w:bidi="ar-SA"/>
        </w:rPr>
        <w:t xml:space="preserve"> متدن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ي</w:t>
      </w:r>
      <w:r w:rsidRPr="00B93C61">
        <w:rPr>
          <w:rFonts w:eastAsia="Calibri" w:asciiTheme="majorBidi" w:hAnsiTheme="majorBidi" w:cstheme="majorBidi" w:hint="cs"/>
          <w:color w:val="auto"/>
          <w:szCs w:val="24"/>
          <w:rtl/>
          <w:lang w:bidi="ar-SA"/>
        </w:rPr>
        <w:t>ة</w:t>
      </w:r>
      <w:r w:rsidRPr="00B93C61">
        <w:rPr>
          <w:rFonts w:eastAsia="Calibri" w:asciiTheme="majorBidi" w:hAnsiTheme="majorBidi" w:cstheme="majorBidi"/>
          <w:color w:val="auto"/>
          <w:szCs w:val="24"/>
          <w:rtl/>
          <w:lang w:bidi="ar-SA"/>
        </w:rPr>
        <w:t xml:space="preserve"> على الاستفادة </w:t>
      </w:r>
      <w:r w:rsidRPr="00B93C61">
        <w:rPr>
          <w:rFonts w:eastAsia="Calibri" w:asciiTheme="majorBidi" w:hAnsiTheme="majorBidi" w:cstheme="majorBidi"/>
          <w:color w:val="auto"/>
          <w:szCs w:val="24"/>
          <w:rtl/>
          <w:lang w:bidi="ar-SA"/>
        </w:rPr>
        <w:t>من هذه الأطر، بل نجد أن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العديد من الأطر الرسمي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تخدم في نهاية المطاف شرائح سكاني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قوي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من الناحية الاجتماعي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ة-الاقتصادي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حيث تحصل هذه الشرائح على خدمات حضانات بسعر مدعوم يقل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عن سعر السوق للحضانات النهارية في منطقة سكنها. تبي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ّن أيضًا أن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ه ضمن المؤس</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سات المعتر</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ف بها رسمي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ا، </w:t>
      </w:r>
      <w:r w:rsidRPr="00B93C61">
        <w:rPr>
          <w:rFonts w:eastAsia="Calibri" w:asciiTheme="majorBidi" w:hAnsiTheme="majorBidi" w:cstheme="majorBidi" w:hint="cs"/>
          <w:color w:val="auto"/>
          <w:szCs w:val="24"/>
          <w:rtl/>
          <w:lang w:bidi="ar-SA"/>
        </w:rPr>
        <w:t>و</w:t>
      </w:r>
      <w:r w:rsidRPr="00B93C61">
        <w:rPr>
          <w:rFonts w:eastAsia="Calibri" w:asciiTheme="majorBidi" w:hAnsiTheme="majorBidi" w:cstheme="majorBidi"/>
          <w:color w:val="auto"/>
          <w:szCs w:val="24"/>
          <w:rtl/>
          <w:lang w:bidi="ar-SA"/>
        </w:rPr>
        <w:t xml:space="preserve">التي </w:t>
      </w:r>
      <w:r w:rsidRPr="00B93C61">
        <w:rPr>
          <w:rFonts w:eastAsia="Calibri" w:asciiTheme="majorBidi" w:hAnsiTheme="majorBidi" w:cstheme="majorBidi" w:hint="cs"/>
          <w:color w:val="auto"/>
          <w:szCs w:val="24"/>
          <w:rtl/>
          <w:lang w:bidi="ar-SA"/>
        </w:rPr>
        <w:t>تعنى ب</w:t>
      </w:r>
      <w:r w:rsidRPr="00B93C61">
        <w:rPr>
          <w:rFonts w:eastAsia="Calibri" w:asciiTheme="majorBidi" w:hAnsiTheme="majorBidi" w:cstheme="majorBidi"/>
          <w:color w:val="auto"/>
          <w:szCs w:val="24"/>
          <w:rtl/>
          <w:lang w:bidi="ar-SA"/>
        </w:rPr>
        <w:t xml:space="preserve">نحو </w:t>
      </w:r>
      <w:r w:rsidRPr="00632342">
        <w:rPr>
          <w:rtl/>
          <w:lang w:bidi="ar-SA"/>
        </w:rPr>
        <w:t>150,000</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رضيع</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يتبدّل</w:t>
      </w:r>
      <w:r w:rsidRPr="00B93C61">
        <w:rPr>
          <w:rFonts w:eastAsia="Calibri" w:asciiTheme="majorBidi" w:hAnsiTheme="majorBidi" w:cstheme="majorBidi"/>
          <w:color w:val="auto"/>
          <w:szCs w:val="24"/>
          <w:rtl/>
          <w:lang w:bidi="ar-SA"/>
        </w:rPr>
        <w:t xml:space="preserve"> أفراد الطواقم كثيرًا، الأجر الابتدائي للمربّيات - الحاضنات عام </w:t>
      </w:r>
      <w:r w:rsidRPr="00632342">
        <w:rPr>
          <w:rtl/>
          <w:lang w:bidi="ar-SA"/>
        </w:rPr>
        <w:t>2019</w:t>
      </w:r>
      <w:r w:rsidRPr="00B93C61">
        <w:rPr>
          <w:rFonts w:eastAsia="Calibri" w:asciiTheme="majorBidi" w:hAnsiTheme="majorBidi" w:cstheme="majorBidi"/>
          <w:color w:val="auto"/>
          <w:szCs w:val="24"/>
          <w:rtl/>
          <w:lang w:bidi="ar-SA"/>
        </w:rPr>
        <w:t xml:space="preserve"> كان بمستوى الحدّ الأدنى - </w:t>
      </w:r>
      <w:r w:rsidRPr="00632342">
        <w:rPr>
          <w:rtl/>
          <w:lang w:bidi="ar-SA"/>
        </w:rPr>
        <w:t>5,300</w:t>
      </w:r>
      <w:r w:rsidRPr="00B93C61">
        <w:rPr>
          <w:rFonts w:eastAsia="Calibri" w:asciiTheme="majorBidi" w:hAnsiTheme="majorBidi" w:cstheme="majorBidi"/>
          <w:color w:val="auto"/>
          <w:szCs w:val="24"/>
          <w:rtl/>
          <w:lang w:bidi="ar-SA"/>
        </w:rPr>
        <w:t xml:space="preserve"> شيكل شهري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ّا، تأهيلهنّ </w:t>
      </w:r>
      <w:r w:rsidRPr="00B93C61">
        <w:rPr>
          <w:rFonts w:eastAsia="Calibri" w:asciiTheme="majorBidi" w:hAnsiTheme="majorBidi" w:cstheme="majorBidi" w:hint="cs"/>
          <w:color w:val="auto"/>
          <w:szCs w:val="24"/>
          <w:rtl/>
          <w:lang w:bidi="ar-SA"/>
        </w:rPr>
        <w:t>غير كامل</w:t>
      </w:r>
      <w:r w:rsidRPr="00B93C61">
        <w:rPr>
          <w:rFonts w:eastAsia="Calibri" w:asciiTheme="majorBidi" w:hAnsiTheme="majorBidi" w:cstheme="majorBidi"/>
          <w:color w:val="auto"/>
          <w:szCs w:val="24"/>
          <w:rtl/>
          <w:lang w:bidi="ar-SA"/>
        </w:rPr>
        <w:t xml:space="preserve">، واللجنة التي </w:t>
      </w:r>
      <w:r w:rsidRPr="00B93C61">
        <w:rPr>
          <w:rFonts w:eastAsia="Calibri" w:asciiTheme="majorBidi" w:hAnsiTheme="majorBidi" w:cstheme="majorBidi" w:hint="cs"/>
          <w:color w:val="auto"/>
          <w:szCs w:val="24"/>
          <w:rtl/>
          <w:lang w:bidi="ar-SA"/>
        </w:rPr>
        <w:t xml:space="preserve">تشكّلت </w:t>
      </w:r>
      <w:r w:rsidRPr="00B93C61">
        <w:rPr>
          <w:rFonts w:eastAsia="Calibri" w:asciiTheme="majorBidi" w:hAnsiTheme="majorBidi" w:cstheme="majorBidi"/>
          <w:color w:val="auto"/>
          <w:szCs w:val="24"/>
          <w:rtl/>
          <w:lang w:bidi="ar-SA"/>
        </w:rPr>
        <w:t>لرفع مستوى هذه الأطر لم تُتم</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م عملها. كما تبي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أيض</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 أنّ ثمة عبئًا بيروقراطيّا مُلق</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ى على عاتق أهالي الأطفال فيما يتعلق بإجراءات طلبات تمويل رسوم الدراسة في هذه الأطُر. فقد طُلب من الأهل في نحو </w:t>
      </w:r>
      <w:r w:rsidR="008F539D">
        <w:rPr>
          <w:rFonts w:hint="cs"/>
          <w:rtl/>
        </w:rPr>
        <w:t>80%</w:t>
      </w:r>
      <w:r w:rsidRPr="00B93C61">
        <w:rPr>
          <w:rFonts w:eastAsia="Calibri" w:asciiTheme="majorBidi" w:hAnsiTheme="majorBidi" w:cstheme="majorBidi"/>
          <w:color w:val="auto"/>
          <w:szCs w:val="24"/>
          <w:rtl/>
          <w:lang w:bidi="ar-SA"/>
        </w:rPr>
        <w:t xml:space="preserve"> من طلبات تمويل الرسوم الدراسي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للأولاد في هذه الأطر أن يقدّموا </w:t>
      </w:r>
      <w:r w:rsidRPr="00B93C61">
        <w:rPr>
          <w:rFonts w:eastAsia="Calibri" w:asciiTheme="majorBidi" w:hAnsiTheme="majorBidi" w:cstheme="majorBidi"/>
          <w:color w:val="auto"/>
          <w:szCs w:val="24"/>
          <w:rtl/>
          <w:lang w:bidi="ar-SA"/>
        </w:rPr>
        <w:t>خمسة</w:t>
      </w:r>
      <w:r w:rsidRPr="00B93C61">
        <w:rPr>
          <w:rFonts w:eastAsia="Calibri" w:asciiTheme="majorBidi" w:hAnsiTheme="majorBidi" w:cstheme="majorBidi"/>
          <w:color w:val="auto"/>
          <w:szCs w:val="24"/>
          <w:rtl/>
          <w:lang w:bidi="ar-SA"/>
        </w:rPr>
        <w:t xml:space="preserve"> مستندات أو أكثر، بل وطُلب من أهالي نحو </w:t>
      </w:r>
      <w:r w:rsidRPr="00632342">
        <w:rPr>
          <w:rtl/>
          <w:lang w:bidi="ar-SA"/>
        </w:rPr>
        <w:t>3,600</w:t>
      </w:r>
      <w:r w:rsidRPr="00B93C61">
        <w:rPr>
          <w:rFonts w:eastAsia="Calibri" w:asciiTheme="majorBidi" w:hAnsiTheme="majorBidi" w:cstheme="majorBidi"/>
          <w:color w:val="auto"/>
          <w:szCs w:val="24"/>
          <w:rtl/>
          <w:lang w:bidi="ar-SA"/>
        </w:rPr>
        <w:t xml:space="preserve"> طفل تقديم </w:t>
      </w:r>
      <w:r w:rsidRPr="00632342">
        <w:rPr>
          <w:rtl/>
          <w:lang w:bidi="ar-SA"/>
        </w:rPr>
        <w:t>25</w:t>
      </w:r>
      <w:r w:rsidRPr="00B93C61">
        <w:rPr>
          <w:rFonts w:eastAsia="Calibri" w:asciiTheme="majorBidi" w:hAnsiTheme="majorBidi" w:cstheme="majorBidi"/>
          <w:color w:val="auto"/>
          <w:szCs w:val="24"/>
          <w:rtl/>
          <w:lang w:bidi="ar-SA"/>
        </w:rPr>
        <w:t xml:space="preserve"> مستندًا أو أكثر. يوصى بأن يفحص قسم الحضانات النهاري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بالتعاون مع وزارة المالي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نموذج التمويل على خلفي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تأثير قانون الإشراف الجديد على سوق الحضانات، وذلك من أجل تمكين المزيد من العائلات التي تعيش في ظروف اجتماعي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ة-اقتصادي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w:t>
      </w:r>
      <w:r w:rsidRPr="00B93C61">
        <w:rPr>
          <w:rFonts w:eastAsia="Calibri" w:asciiTheme="majorBidi" w:hAnsiTheme="majorBidi" w:cstheme="majorBidi" w:hint="cs"/>
          <w:color w:val="auto"/>
          <w:szCs w:val="24"/>
          <w:rtl/>
          <w:lang w:bidi="ar-SA"/>
        </w:rPr>
        <w:t xml:space="preserve">متدنّية </w:t>
      </w:r>
      <w:r w:rsidRPr="00B93C61">
        <w:rPr>
          <w:rFonts w:eastAsia="Calibri" w:asciiTheme="majorBidi" w:hAnsiTheme="majorBidi" w:cstheme="majorBidi"/>
          <w:color w:val="auto"/>
          <w:szCs w:val="24"/>
          <w:rtl/>
          <w:lang w:bidi="ar-SA"/>
        </w:rPr>
        <w:t>من منح أولادها أطر رعاية وتربية نوعي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في الفترة العمري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من </w:t>
      </w:r>
      <w:r w:rsidRPr="00B93C61">
        <w:rPr>
          <w:rFonts w:eastAsia="Calibri" w:asciiTheme="majorBidi" w:hAnsiTheme="majorBidi" w:cstheme="majorBidi" w:hint="cs"/>
          <w:color w:val="auto"/>
          <w:szCs w:val="24"/>
          <w:rtl/>
          <w:lang w:bidi="ar-SA"/>
        </w:rPr>
        <w:t xml:space="preserve">سنّ </w:t>
      </w:r>
      <w:r w:rsidRPr="00B93C61">
        <w:rPr>
          <w:rFonts w:eastAsia="Calibri" w:asciiTheme="majorBidi" w:hAnsiTheme="majorBidi" w:cstheme="majorBidi"/>
          <w:color w:val="auto"/>
          <w:szCs w:val="24"/>
          <w:rtl/>
          <w:lang w:bidi="ar-SA"/>
        </w:rPr>
        <w:t xml:space="preserve">الولادة حتى ثلاث سنوات. كما يوصى أيضًا بأن تفحص وزارة التربية والتعليم، التي يُفترَض أن </w:t>
      </w:r>
      <w:r w:rsidRPr="00B93C61">
        <w:rPr>
          <w:rFonts w:eastAsia="Calibri" w:asciiTheme="majorBidi" w:hAnsiTheme="majorBidi" w:cstheme="majorBidi" w:hint="cs"/>
          <w:color w:val="auto"/>
          <w:szCs w:val="24"/>
          <w:rtl/>
          <w:lang w:bidi="ar-SA"/>
        </w:rPr>
        <w:t>ت</w:t>
      </w:r>
      <w:r w:rsidRPr="00B93C61">
        <w:rPr>
          <w:rFonts w:eastAsia="Calibri" w:asciiTheme="majorBidi" w:hAnsiTheme="majorBidi" w:cstheme="majorBidi"/>
          <w:color w:val="auto"/>
          <w:szCs w:val="24"/>
          <w:rtl/>
          <w:lang w:bidi="ar-SA"/>
        </w:rPr>
        <w:t xml:space="preserve">نتقل إليها </w:t>
      </w:r>
      <w:r w:rsidRPr="00B93C61">
        <w:rPr>
          <w:rFonts w:eastAsia="Calibri" w:asciiTheme="majorBidi" w:hAnsiTheme="majorBidi" w:cstheme="majorBidi" w:hint="cs"/>
          <w:color w:val="auto"/>
          <w:szCs w:val="24"/>
          <w:rtl/>
          <w:lang w:bidi="ar-SA"/>
        </w:rPr>
        <w:t xml:space="preserve">مهمّة معالجة </w:t>
      </w:r>
      <w:r w:rsidRPr="00B93C61">
        <w:rPr>
          <w:rFonts w:eastAsia="Calibri" w:asciiTheme="majorBidi" w:hAnsiTheme="majorBidi" w:cstheme="majorBidi"/>
          <w:color w:val="auto"/>
          <w:szCs w:val="24"/>
          <w:rtl/>
          <w:lang w:bidi="ar-SA"/>
        </w:rPr>
        <w:t>مجال الحضانات اليومي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(وفق قرار الحكومة </w:t>
      </w:r>
      <w:r w:rsidRPr="00B93C61">
        <w:rPr>
          <w:rFonts w:eastAsia="Calibri" w:asciiTheme="majorBidi" w:hAnsiTheme="majorBidi" w:cstheme="majorBidi" w:hint="cs"/>
          <w:color w:val="auto"/>
          <w:szCs w:val="24"/>
          <w:rtl/>
          <w:lang w:bidi="ar-SA"/>
        </w:rPr>
        <w:t xml:space="preserve">من </w:t>
      </w:r>
      <w:r w:rsidRPr="00B93C61">
        <w:rPr>
          <w:rFonts w:eastAsia="Calibri" w:asciiTheme="majorBidi" w:hAnsiTheme="majorBidi" w:cstheme="majorBidi"/>
          <w:color w:val="auto"/>
          <w:szCs w:val="24"/>
          <w:rtl/>
          <w:lang w:bidi="ar-SA"/>
        </w:rPr>
        <w:t xml:space="preserve">كانون الثاني </w:t>
      </w:r>
      <w:r w:rsidRPr="00632342">
        <w:rPr>
          <w:rtl/>
          <w:lang w:bidi="ar-SA"/>
        </w:rPr>
        <w:t>2022</w:t>
      </w:r>
      <w:r w:rsidRPr="00B93C61">
        <w:rPr>
          <w:rFonts w:eastAsia="Calibri" w:asciiTheme="majorBidi" w:hAnsiTheme="majorBidi" w:cstheme="majorBidi"/>
          <w:color w:val="auto"/>
          <w:szCs w:val="24"/>
          <w:rtl/>
          <w:lang w:bidi="ar-SA"/>
        </w:rPr>
        <w:t>)، طرقًا لتحفيز مراكز الرعاية في البلدات والأحياء التي تنتمي إلى عناقيد اجتماعي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ة-اقتصادي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w:t>
      </w:r>
      <w:r w:rsidRPr="00B93C61">
        <w:rPr>
          <w:rFonts w:eastAsia="Calibri" w:asciiTheme="majorBidi" w:hAnsiTheme="majorBidi" w:cstheme="majorBidi" w:hint="cs"/>
          <w:color w:val="auto"/>
          <w:szCs w:val="24"/>
          <w:rtl/>
          <w:lang w:bidi="ar-SA"/>
        </w:rPr>
        <w:t>متدنّية</w:t>
      </w:r>
      <w:r w:rsidRPr="00B93C61">
        <w:rPr>
          <w:rFonts w:eastAsia="Calibri" w:asciiTheme="majorBidi" w:hAnsiTheme="majorBidi" w:cstheme="majorBidi"/>
          <w:color w:val="auto"/>
          <w:szCs w:val="24"/>
          <w:rtl/>
          <w:lang w:bidi="ar-SA"/>
        </w:rPr>
        <w:t>، وأن تدعمها كي تتمك</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ن من استيفاء شروط قانون الإشراف الجديد - الذي يطبّق عليها الإشراف و</w:t>
      </w:r>
      <w:r w:rsidRPr="00B93C61">
        <w:rPr>
          <w:rFonts w:eastAsia="Calibri" w:asciiTheme="majorBidi" w:hAnsiTheme="majorBidi" w:cstheme="majorBidi" w:hint="cs"/>
          <w:color w:val="auto"/>
          <w:szCs w:val="24"/>
          <w:rtl/>
          <w:lang w:bidi="ar-SA"/>
        </w:rPr>
        <w:t>تنفيذ</w:t>
      </w:r>
      <w:r w:rsidRPr="00B93C61">
        <w:rPr>
          <w:rFonts w:eastAsia="Calibri" w:asciiTheme="majorBidi" w:hAnsiTheme="majorBidi" w:cstheme="majorBidi"/>
          <w:color w:val="auto"/>
          <w:szCs w:val="24"/>
          <w:rtl/>
          <w:lang w:bidi="ar-SA"/>
        </w:rPr>
        <w:t xml:space="preserve"> القانون الناتجَين عنه - ولتقديم تربية ورعاية أفضل </w:t>
      </w:r>
      <w:r w:rsidRPr="00B93C61">
        <w:rPr>
          <w:rFonts w:eastAsia="Calibri" w:asciiTheme="majorBidi" w:hAnsiTheme="majorBidi" w:cstheme="majorBidi" w:hint="cs"/>
          <w:color w:val="auto"/>
          <w:szCs w:val="24"/>
          <w:rtl/>
          <w:lang w:bidi="ar-SA"/>
        </w:rPr>
        <w:t>للرضّع</w:t>
      </w:r>
      <w:r w:rsidRPr="00B93C61">
        <w:rPr>
          <w:rFonts w:eastAsia="Calibri" w:asciiTheme="majorBidi" w:hAnsiTheme="majorBidi" w:cstheme="majorBidi"/>
          <w:color w:val="auto"/>
          <w:szCs w:val="24"/>
          <w:rtl/>
          <w:lang w:bidi="ar-SA"/>
        </w:rPr>
        <w:t xml:space="preserve"> الذين يحتاجون إليهما. أخيراً، يقع على كاهل وزارة التربية</w:t>
      </w:r>
      <w:r w:rsidRPr="00B93C61">
        <w:rPr>
          <w:rFonts w:eastAsia="Calibri" w:asciiTheme="majorBidi" w:hAnsiTheme="majorBidi" w:cstheme="majorBidi" w:hint="cs"/>
          <w:color w:val="auto"/>
          <w:szCs w:val="24"/>
          <w:rtl/>
          <w:lang w:bidi="ar-SA"/>
        </w:rPr>
        <w:t xml:space="preserve"> والتعليم</w:t>
      </w:r>
      <w:r w:rsidRPr="00B93C61">
        <w:rPr>
          <w:rFonts w:eastAsia="Calibri" w:asciiTheme="majorBidi" w:hAnsiTheme="majorBidi" w:cstheme="majorBidi"/>
          <w:color w:val="auto"/>
          <w:szCs w:val="24"/>
          <w:rtl/>
          <w:lang w:bidi="ar-SA"/>
        </w:rPr>
        <w:t xml:space="preserve">، التي ينتقل </w:t>
      </w:r>
      <w:r w:rsidRPr="00B93C61">
        <w:rPr>
          <w:rFonts w:eastAsia="Calibri" w:asciiTheme="majorBidi" w:hAnsiTheme="majorBidi" w:cstheme="majorBidi" w:hint="cs"/>
          <w:color w:val="auto"/>
          <w:szCs w:val="24"/>
          <w:rtl/>
          <w:lang w:bidi="ar-SA"/>
        </w:rPr>
        <w:t xml:space="preserve">لمسؤوليّتها </w:t>
      </w:r>
      <w:r w:rsidRPr="00B93C61">
        <w:rPr>
          <w:rFonts w:eastAsia="Calibri" w:asciiTheme="majorBidi" w:hAnsiTheme="majorBidi" w:cstheme="majorBidi"/>
          <w:color w:val="auto"/>
          <w:szCs w:val="24"/>
          <w:rtl/>
          <w:lang w:bidi="ar-SA"/>
        </w:rPr>
        <w:t xml:space="preserve">هذا المجال، </w:t>
      </w:r>
      <w:r w:rsidRPr="00B93C61">
        <w:rPr>
          <w:rFonts w:eastAsia="Calibri" w:asciiTheme="majorBidi" w:hAnsiTheme="majorBidi" w:cstheme="majorBidi" w:hint="cs"/>
          <w:color w:val="auto"/>
          <w:szCs w:val="24"/>
          <w:rtl/>
          <w:lang w:bidi="ar-SA"/>
        </w:rPr>
        <w:t>وعلى</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 xml:space="preserve">كلّ </w:t>
      </w:r>
      <w:r w:rsidRPr="00B93C61">
        <w:rPr>
          <w:rFonts w:eastAsia="Calibri" w:asciiTheme="majorBidi" w:hAnsiTheme="majorBidi" w:cstheme="majorBidi"/>
          <w:color w:val="auto"/>
          <w:szCs w:val="24"/>
          <w:rtl/>
          <w:lang w:bidi="ar-SA"/>
        </w:rPr>
        <w:t>الجهات المعنيّة الأخرى - ذراع العمل، مجلس الطفولة المبك</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رة، ووزارة المالي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 تحقيق التغيير الاستراتيجي المطلوب مع تطبيق قانون الإشراف الجديد وأنظمته وانتقال النشاط الأساسي لقسم الحضانات </w:t>
      </w:r>
      <w:r w:rsidRPr="00B93C61">
        <w:rPr>
          <w:rFonts w:eastAsia="Calibri" w:asciiTheme="majorBidi" w:hAnsiTheme="majorBidi" w:cstheme="majorBidi" w:hint="cs"/>
          <w:color w:val="auto"/>
          <w:szCs w:val="24"/>
          <w:rtl/>
          <w:lang w:bidi="ar-SA"/>
        </w:rPr>
        <w:t xml:space="preserve">النهاريّة الى </w:t>
      </w:r>
      <w:r w:rsidRPr="00B93C61">
        <w:rPr>
          <w:rFonts w:eastAsia="Calibri" w:asciiTheme="majorBidi" w:hAnsiTheme="majorBidi" w:cstheme="majorBidi"/>
          <w:color w:val="auto"/>
          <w:szCs w:val="24"/>
          <w:rtl/>
          <w:lang w:bidi="ar-SA"/>
        </w:rPr>
        <w:t xml:space="preserve">وزارة التربية والتعليم - تغيير يهدف إلى تحقيق القفزة المطلوبة في نوعيّة التربية والرعاية اللتَين تُقدَّمان </w:t>
      </w:r>
      <w:r w:rsidRPr="00B93C61">
        <w:rPr>
          <w:rFonts w:eastAsia="Calibri" w:asciiTheme="majorBidi" w:hAnsiTheme="majorBidi" w:cstheme="majorBidi" w:hint="cs"/>
          <w:color w:val="auto"/>
          <w:szCs w:val="24"/>
          <w:rtl/>
          <w:lang w:bidi="ar-SA"/>
        </w:rPr>
        <w:t>للرضّع من سنّ الولادة</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و</w:t>
      </w:r>
      <w:r w:rsidRPr="00B93C61">
        <w:rPr>
          <w:rFonts w:eastAsia="Calibri" w:asciiTheme="majorBidi" w:hAnsiTheme="majorBidi" w:cstheme="majorBidi"/>
          <w:color w:val="auto"/>
          <w:szCs w:val="24"/>
          <w:rtl/>
          <w:lang w:bidi="ar-SA"/>
        </w:rPr>
        <w:t xml:space="preserve">حتى </w:t>
      </w:r>
      <w:r w:rsidRPr="00B93C61">
        <w:rPr>
          <w:rFonts w:eastAsia="Calibri" w:asciiTheme="majorBidi" w:hAnsiTheme="majorBidi" w:cstheme="majorBidi" w:hint="cs"/>
          <w:color w:val="auto"/>
          <w:szCs w:val="24"/>
          <w:rtl/>
          <w:lang w:bidi="ar-SA"/>
        </w:rPr>
        <w:t>ثلاث سنوات</w:t>
      </w:r>
      <w:r w:rsidRPr="00B93C61">
        <w:rPr>
          <w:rFonts w:eastAsia="Calibri" w:asciiTheme="majorBidi" w:hAnsiTheme="majorBidi" w:cstheme="majorBidi"/>
          <w:color w:val="auto"/>
          <w:szCs w:val="24"/>
          <w:rtl/>
          <w:lang w:bidi="ar-SA"/>
        </w:rPr>
        <w:t xml:space="preserve">، وخصوصًا </w:t>
      </w:r>
      <w:r w:rsidRPr="00B93C61">
        <w:rPr>
          <w:rFonts w:eastAsia="Calibri" w:asciiTheme="majorBidi" w:hAnsiTheme="majorBidi" w:cstheme="majorBidi" w:hint="cs"/>
          <w:color w:val="auto"/>
          <w:szCs w:val="24"/>
          <w:rtl/>
          <w:lang w:bidi="ar-SA"/>
        </w:rPr>
        <w:t>الرضّع</w:t>
      </w:r>
      <w:r w:rsidRPr="00B93C61">
        <w:rPr>
          <w:rFonts w:eastAsia="Calibri" w:asciiTheme="majorBidi" w:hAnsiTheme="majorBidi" w:cstheme="majorBidi"/>
          <w:color w:val="auto"/>
          <w:szCs w:val="24"/>
          <w:rtl/>
          <w:lang w:bidi="ar-SA"/>
        </w:rPr>
        <w:t xml:space="preserve"> لعائلات </w:t>
      </w:r>
      <w:r w:rsidRPr="00B93C61">
        <w:rPr>
          <w:rFonts w:eastAsia="Calibri" w:asciiTheme="majorBidi" w:hAnsiTheme="majorBidi" w:cstheme="majorBidi" w:hint="cs"/>
          <w:color w:val="auto"/>
          <w:szCs w:val="24"/>
          <w:rtl/>
          <w:lang w:bidi="ar-SA"/>
        </w:rPr>
        <w:t xml:space="preserve">تعاني من </w:t>
      </w:r>
      <w:r w:rsidRPr="00B93C61">
        <w:rPr>
          <w:rFonts w:eastAsia="Calibri" w:asciiTheme="majorBidi" w:hAnsiTheme="majorBidi" w:cstheme="majorBidi"/>
          <w:color w:val="auto"/>
          <w:szCs w:val="24"/>
          <w:rtl/>
          <w:lang w:bidi="ar-SA"/>
        </w:rPr>
        <w:t>حالة اجتماعي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ة-اقتصادي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متدن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ية.</w:t>
      </w:r>
    </w:p>
    <w:p w:rsidR="00632342" w:rsidRPr="00B93C61" w:rsidP="00632342" w14:paraId="2B13FE9F" w14:textId="46A6FF4F">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إحدى المهامّ المركزي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التي تقع تحت مسؤولي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وزارة التربية والتعليم هي تخصيص ميزانيّة لتطوير المدارس وبنائها من موازنة الدولة عبر السلطات المحلي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تخصّص الوزارة ميزانيّات لبناء مؤس</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سات تربوي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جديدة، تجديد المباني </w:t>
      </w:r>
      <w:r w:rsidRPr="00B93C61">
        <w:rPr>
          <w:rFonts w:eastAsia="Calibri" w:asciiTheme="majorBidi" w:hAnsiTheme="majorBidi" w:cstheme="majorBidi" w:hint="cs"/>
          <w:color w:val="auto"/>
          <w:szCs w:val="24"/>
          <w:rtl/>
          <w:lang w:bidi="ar-SA"/>
        </w:rPr>
        <w:t>القائمة</w:t>
      </w:r>
      <w:r w:rsidRPr="00B93C61">
        <w:rPr>
          <w:rFonts w:eastAsia="Calibri" w:asciiTheme="majorBidi" w:hAnsiTheme="majorBidi" w:cstheme="majorBidi"/>
          <w:color w:val="auto"/>
          <w:szCs w:val="24"/>
          <w:rtl/>
          <w:lang w:bidi="ar-SA"/>
        </w:rPr>
        <w:t>، والمشاركة في تمويل مبانٍ قابلة للنقل ومبانٍ مُستأجَرة للمؤس</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سات التربوية إذا دعت الحاجة. </w:t>
      </w:r>
      <w:r w:rsidRPr="00B93C61">
        <w:rPr>
          <w:rFonts w:eastAsia="Calibri" w:asciiTheme="majorBidi" w:hAnsiTheme="majorBidi" w:cstheme="majorBidi" w:hint="cs"/>
          <w:color w:val="auto"/>
          <w:szCs w:val="24"/>
          <w:rtl/>
          <w:lang w:bidi="ar-SA"/>
        </w:rPr>
        <w:t xml:space="preserve">أظهرَت </w:t>
      </w:r>
      <w:r w:rsidRPr="00B93C61">
        <w:rPr>
          <w:rFonts w:eastAsia="Calibri" w:asciiTheme="majorBidi" w:hAnsiTheme="majorBidi" w:cstheme="majorBidi"/>
          <w:color w:val="auto"/>
          <w:szCs w:val="24"/>
          <w:rtl/>
          <w:cs/>
          <w:lang w:bidi="ar-SA"/>
        </w:rPr>
        <w:t xml:space="preserve">الرقابة </w:t>
      </w:r>
      <w:r w:rsidRPr="00B93C61">
        <w:rPr>
          <w:rFonts w:eastAsia="Calibri" w:asciiTheme="majorBidi" w:hAnsiTheme="majorBidi" w:cstheme="majorBidi" w:hint="cs"/>
          <w:color w:val="auto"/>
          <w:szCs w:val="24"/>
          <w:rtl/>
          <w:cs/>
          <w:lang w:bidi="ar-SA"/>
        </w:rPr>
        <w:t xml:space="preserve">على </w:t>
      </w:r>
      <w:r w:rsidRPr="00B93C61">
        <w:rPr>
          <w:rFonts w:eastAsia="Calibri" w:asciiTheme="majorBidi" w:hAnsiTheme="majorBidi" w:cstheme="majorBidi"/>
          <w:color w:val="auto"/>
          <w:szCs w:val="24"/>
          <w:rtl/>
          <w:cs/>
          <w:lang w:bidi="ar-SA"/>
        </w:rPr>
        <w:t xml:space="preserve">موضوع </w:t>
      </w:r>
      <w:r w:rsidRPr="008F539D">
        <w:rPr>
          <w:rFonts w:eastAsia="Calibri" w:asciiTheme="majorBidi" w:hAnsiTheme="majorBidi" w:cstheme="majorBidi"/>
          <w:b/>
          <w:bCs/>
          <w:color w:val="auto"/>
          <w:szCs w:val="24"/>
          <w:rtl/>
          <w:cs/>
          <w:lang w:bidi="ar-SA"/>
        </w:rPr>
        <w:t>تطوير المؤس</w:t>
      </w:r>
      <w:r w:rsidRPr="008F539D">
        <w:rPr>
          <w:rFonts w:eastAsia="Calibri" w:asciiTheme="majorBidi" w:hAnsiTheme="majorBidi" w:cstheme="majorBidi" w:hint="cs"/>
          <w:b/>
          <w:bCs/>
          <w:color w:val="auto"/>
          <w:szCs w:val="24"/>
          <w:rtl/>
          <w:cs/>
          <w:lang w:bidi="ar-SA"/>
        </w:rPr>
        <w:t>ّ</w:t>
      </w:r>
      <w:r w:rsidRPr="008F539D">
        <w:rPr>
          <w:rFonts w:eastAsia="Calibri" w:asciiTheme="majorBidi" w:hAnsiTheme="majorBidi" w:cstheme="majorBidi"/>
          <w:b/>
          <w:bCs/>
          <w:color w:val="auto"/>
          <w:szCs w:val="24"/>
          <w:rtl/>
          <w:cs/>
          <w:lang w:bidi="ar-SA"/>
        </w:rPr>
        <w:t>سات التربوية</w:t>
      </w:r>
      <w:r w:rsidRPr="00B93C61">
        <w:rPr>
          <w:rFonts w:eastAsia="Calibri" w:asciiTheme="majorBidi" w:hAnsiTheme="majorBidi" w:cstheme="majorBidi"/>
          <w:color w:val="auto"/>
          <w:szCs w:val="24"/>
          <w:rtl/>
          <w:cs/>
          <w:lang w:bidi="ar-SA"/>
        </w:rPr>
        <w:t xml:space="preserve"> </w:t>
      </w:r>
      <w:r w:rsidRPr="008F539D">
        <w:rPr>
          <w:rFonts w:eastAsia="Calibri" w:asciiTheme="majorBidi" w:hAnsiTheme="majorBidi" w:cstheme="majorBidi"/>
          <w:b/>
          <w:bCs/>
          <w:color w:val="auto"/>
          <w:szCs w:val="24"/>
          <w:rtl/>
          <w:cs/>
          <w:lang w:bidi="ar-SA"/>
        </w:rPr>
        <w:t>-</w:t>
      </w:r>
      <w:r w:rsidRPr="00B93C61">
        <w:rPr>
          <w:rFonts w:eastAsia="Calibri" w:asciiTheme="majorBidi" w:hAnsiTheme="majorBidi" w:cstheme="majorBidi"/>
          <w:color w:val="auto"/>
          <w:szCs w:val="24"/>
          <w:rtl/>
          <w:cs/>
          <w:lang w:bidi="ar-SA"/>
        </w:rPr>
        <w:t xml:space="preserve"> </w:t>
      </w:r>
      <w:r w:rsidRPr="008F539D">
        <w:rPr>
          <w:rFonts w:eastAsia="Calibri" w:asciiTheme="majorBidi" w:hAnsiTheme="majorBidi" w:cstheme="majorBidi"/>
          <w:b/>
          <w:bCs/>
          <w:color w:val="auto"/>
          <w:szCs w:val="24"/>
          <w:rtl/>
          <w:cs/>
          <w:lang w:bidi="ar-SA"/>
        </w:rPr>
        <w:t xml:space="preserve">البناء الجديد وتوسيع المباني </w:t>
      </w:r>
      <w:r w:rsidRPr="008F539D">
        <w:rPr>
          <w:rFonts w:eastAsia="Calibri" w:asciiTheme="majorBidi" w:hAnsiTheme="majorBidi" w:cstheme="majorBidi" w:hint="cs"/>
          <w:b/>
          <w:bCs/>
          <w:color w:val="auto"/>
          <w:szCs w:val="24"/>
          <w:rtl/>
          <w:cs/>
          <w:lang w:bidi="ar-SA"/>
        </w:rPr>
        <w:t>القائمة</w:t>
      </w:r>
      <w:r w:rsidRPr="00B93C61">
        <w:rPr>
          <w:rFonts w:eastAsia="Calibri" w:asciiTheme="majorBidi" w:hAnsiTheme="majorBidi" w:cstheme="majorBidi"/>
          <w:color w:val="auto"/>
          <w:szCs w:val="24"/>
          <w:rtl/>
          <w:cs/>
          <w:lang w:bidi="ar-SA"/>
        </w:rPr>
        <w:t xml:space="preserve"> </w:t>
      </w:r>
      <w:r w:rsidRPr="00B93C61">
        <w:rPr>
          <w:rFonts w:eastAsia="Calibri" w:asciiTheme="majorBidi" w:hAnsiTheme="majorBidi" w:cstheme="majorBidi"/>
          <w:color w:val="auto"/>
          <w:szCs w:val="24"/>
          <w:rtl/>
          <w:lang w:bidi="ar-SA"/>
        </w:rPr>
        <w:t>أنهّ</w:t>
      </w:r>
      <w:r w:rsidRPr="00B93C61">
        <w:rPr>
          <w:rFonts w:eastAsia="Calibri" w:asciiTheme="majorBidi" w:hAnsiTheme="majorBidi" w:cstheme="majorBidi"/>
          <w:color w:val="auto"/>
          <w:szCs w:val="24"/>
          <w:rtl/>
          <w:cs/>
          <w:lang w:bidi="ar-SA"/>
        </w:rPr>
        <w:t xml:space="preserve"> </w:t>
      </w:r>
      <w:r w:rsidRPr="00B93C61">
        <w:rPr>
          <w:rFonts w:eastAsia="Calibri" w:asciiTheme="majorBidi" w:hAnsiTheme="majorBidi" w:cstheme="majorBidi"/>
          <w:color w:val="auto"/>
          <w:szCs w:val="24"/>
          <w:rtl/>
          <w:lang w:bidi="ar-SA"/>
        </w:rPr>
        <w:t xml:space="preserve">في نهاية </w:t>
      </w:r>
      <w:r w:rsidRPr="00632342">
        <w:rPr>
          <w:rtl/>
          <w:lang w:bidi="ar-SA"/>
        </w:rPr>
        <w:t>2020</w:t>
      </w:r>
      <w:r w:rsidRPr="00B93C61">
        <w:rPr>
          <w:rFonts w:eastAsia="Calibri" w:asciiTheme="majorBidi" w:hAnsiTheme="majorBidi" w:cstheme="majorBidi"/>
          <w:color w:val="auto"/>
          <w:szCs w:val="24"/>
          <w:rtl/>
          <w:lang w:bidi="ar-SA"/>
        </w:rPr>
        <w:t xml:space="preserve">، كان هناك نقص بأكثر من </w:t>
      </w:r>
      <w:r w:rsidRPr="008F539D">
        <w:rPr>
          <w:rtl/>
        </w:rPr>
        <w:t>10,200</w:t>
      </w:r>
      <w:r w:rsidRPr="00B93C61">
        <w:rPr>
          <w:rFonts w:eastAsia="Calibri" w:asciiTheme="majorBidi" w:hAnsiTheme="majorBidi" w:cstheme="majorBidi"/>
          <w:color w:val="auto"/>
          <w:szCs w:val="24"/>
          <w:rtl/>
          <w:lang w:bidi="ar-SA"/>
        </w:rPr>
        <w:t xml:space="preserve"> صفّ دراسيّ في المدارس ورياض الأطفال - زيادة عن سنة </w:t>
      </w:r>
      <w:r w:rsidRPr="00632342">
        <w:rPr>
          <w:rtl/>
          <w:lang w:bidi="ar-SA"/>
        </w:rPr>
        <w:t>2017</w:t>
      </w:r>
      <w:r w:rsidRPr="00B93C61">
        <w:rPr>
          <w:rFonts w:eastAsia="Calibri" w:asciiTheme="majorBidi" w:hAnsiTheme="majorBidi" w:cstheme="majorBidi"/>
          <w:color w:val="auto"/>
          <w:szCs w:val="24"/>
          <w:rtl/>
          <w:lang w:bidi="ar-SA"/>
        </w:rPr>
        <w:t xml:space="preserve">، التي بلغ النقص فيها قرابة </w:t>
      </w:r>
      <w:r w:rsidRPr="00632342">
        <w:rPr>
          <w:rtl/>
          <w:lang w:bidi="ar-SA"/>
        </w:rPr>
        <w:t xml:space="preserve">7,500 </w:t>
      </w:r>
      <w:r w:rsidRPr="00B93C61">
        <w:rPr>
          <w:rFonts w:eastAsia="Calibri" w:asciiTheme="majorBidi" w:hAnsiTheme="majorBidi" w:cstheme="majorBidi"/>
          <w:color w:val="auto"/>
          <w:szCs w:val="24"/>
          <w:rtl/>
          <w:lang w:bidi="ar-SA"/>
        </w:rPr>
        <w:t>صفّ. تكشف هذه الرقابة جانبًا خاصّا يتعل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ق بالفجوات الاجتماعي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في إسرائيل. فالفجوات بين السلطات المحلي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في العناقيد الاجتماعي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ة-الاقتصادي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المرتفعة وتلك التي في العناقيد الاجتماعي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ة-الاقتصادي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w:t>
      </w:r>
      <w:r w:rsidRPr="00B93C61">
        <w:rPr>
          <w:rFonts w:eastAsia="Calibri" w:asciiTheme="majorBidi" w:hAnsiTheme="majorBidi" w:cstheme="majorBidi" w:hint="cs"/>
          <w:color w:val="auto"/>
          <w:szCs w:val="24"/>
          <w:rtl/>
          <w:lang w:bidi="ar-SA"/>
        </w:rPr>
        <w:t>المتدنّية</w:t>
      </w:r>
      <w:r w:rsidRPr="00B93C61">
        <w:rPr>
          <w:rFonts w:eastAsia="Calibri" w:asciiTheme="majorBidi" w:hAnsiTheme="majorBidi" w:cstheme="majorBidi"/>
          <w:color w:val="auto"/>
          <w:szCs w:val="24"/>
          <w:rtl/>
          <w:lang w:bidi="ar-SA"/>
        </w:rPr>
        <w:t>، لغير صالح الأخيرة، تظهر بوضوح في الجوانب المختلفة المتعل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قة ببناء صفوف دراسيّة - في مدى النقص في الصفوف، متوس</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ط عدد الطلّاب في الصفّ، نسبة استغلال الميزاني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المخصّصة لبناء الصفوف، وبناء مساحات تعلُّم حديثة ومُبتكَرة. في المقابل، فإن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الجزء الأكبر من ميزاني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بناء صفوف كمبانٍ </w:t>
      </w:r>
      <w:r w:rsidRPr="00B93C61">
        <w:rPr>
          <w:rFonts w:eastAsia="Calibri" w:asciiTheme="majorBidi" w:hAnsiTheme="majorBidi" w:cstheme="majorBidi"/>
          <w:color w:val="auto"/>
          <w:szCs w:val="24"/>
          <w:rtl/>
          <w:lang w:bidi="ar-SA"/>
        </w:rPr>
        <w:t>مؤق</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تة (</w:t>
      </w:r>
      <w:r w:rsidR="008F539D">
        <w:rPr>
          <w:rFonts w:hint="cs"/>
          <w:rtl/>
        </w:rPr>
        <w:t>85%</w:t>
      </w:r>
      <w:r w:rsidRPr="00B93C61">
        <w:rPr>
          <w:rFonts w:eastAsia="Calibri" w:asciiTheme="majorBidi" w:hAnsiTheme="majorBidi" w:cstheme="majorBidi"/>
          <w:color w:val="auto"/>
          <w:szCs w:val="24"/>
          <w:rtl/>
          <w:lang w:bidi="ar-SA"/>
        </w:rPr>
        <w:t xml:space="preserve">) خُصِّص للبلدات في العناقيد المنخفضة نسبيّا </w:t>
      </w:r>
      <w:r w:rsidRPr="00632342">
        <w:rPr>
          <w:rtl/>
        </w:rPr>
        <w:t>(</w:t>
      </w:r>
      <w:r w:rsidRPr="00632342">
        <w:rPr>
          <w:rtl/>
          <w:lang w:bidi="ar-SA"/>
        </w:rPr>
        <w:t>1 - 6).</w:t>
      </w:r>
      <w:r w:rsidRPr="00B93C61">
        <w:rPr>
          <w:rFonts w:eastAsia="Calibri" w:asciiTheme="majorBidi" w:hAnsiTheme="majorBidi" w:cstheme="majorBidi"/>
          <w:color w:val="auto"/>
          <w:szCs w:val="24"/>
          <w:rtl/>
          <w:lang w:bidi="ar-SA"/>
        </w:rPr>
        <w:t xml:space="preserve"> السبب الرئيسي للفجوات هو أنّ السلطات المحلي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التي تنتمي إلى العناقيد المنخفضة تستصعب استغلال الميزاني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ات المُ</w:t>
      </w:r>
      <w:r w:rsidRPr="00B93C61">
        <w:rPr>
          <w:rFonts w:eastAsia="Calibri" w:asciiTheme="majorBidi" w:hAnsiTheme="majorBidi" w:cstheme="majorBidi" w:hint="cs"/>
          <w:color w:val="auto"/>
          <w:szCs w:val="24"/>
          <w:rtl/>
          <w:lang w:bidi="ar-SA"/>
        </w:rPr>
        <w:t>خصصة</w:t>
      </w:r>
      <w:r w:rsidRPr="00B93C61">
        <w:rPr>
          <w:rFonts w:eastAsia="Calibri" w:asciiTheme="majorBidi" w:hAnsiTheme="majorBidi" w:cstheme="majorBidi"/>
          <w:color w:val="auto"/>
          <w:szCs w:val="24"/>
          <w:rtl/>
          <w:lang w:bidi="ar-SA"/>
        </w:rPr>
        <w:t xml:space="preserve"> لها من وزارة التربية والتعليم لبناء الصفوف. نتيجة</w:t>
      </w:r>
      <w:r w:rsidRPr="00B93C61">
        <w:rPr>
          <w:rFonts w:eastAsia="Calibri" w:asciiTheme="majorBidi" w:hAnsiTheme="majorBidi" w:cstheme="majorBidi" w:hint="cs"/>
          <w:color w:val="auto"/>
          <w:szCs w:val="24"/>
          <w:rtl/>
          <w:lang w:bidi="ar-SA"/>
        </w:rPr>
        <w:t>ً لذلك</w:t>
      </w:r>
      <w:r w:rsidRPr="00B93C61">
        <w:rPr>
          <w:rFonts w:eastAsia="Calibri" w:asciiTheme="majorBidi" w:hAnsiTheme="majorBidi" w:cstheme="majorBidi"/>
          <w:color w:val="auto"/>
          <w:szCs w:val="24"/>
          <w:rtl/>
          <w:lang w:bidi="ar-SA"/>
        </w:rPr>
        <w:t xml:space="preserve"> </w:t>
      </w:r>
      <w:r w:rsidRPr="00B93C61">
        <w:rPr>
          <w:rFonts w:eastAsia="Calibri" w:asciiTheme="majorBidi" w:hAnsiTheme="majorBidi" w:cstheme="majorBidi" w:hint="cs"/>
          <w:color w:val="auto"/>
          <w:szCs w:val="24"/>
          <w:rtl/>
          <w:lang w:bidi="ar-SA"/>
        </w:rPr>
        <w:t>ف</w:t>
      </w:r>
      <w:r w:rsidRPr="00B93C61">
        <w:rPr>
          <w:rFonts w:eastAsia="Calibri" w:asciiTheme="majorBidi" w:hAnsiTheme="majorBidi" w:cstheme="majorBidi"/>
          <w:color w:val="auto"/>
          <w:szCs w:val="24"/>
          <w:rtl/>
          <w:lang w:bidi="ar-SA"/>
        </w:rPr>
        <w:t>أنّ السلطة المحلي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في </w:t>
      </w:r>
      <w:r w:rsidRPr="00B93C61">
        <w:rPr>
          <w:rFonts w:eastAsia="Calibri" w:asciiTheme="majorBidi" w:hAnsiTheme="majorBidi" w:cstheme="majorBidi" w:hint="cs"/>
          <w:color w:val="auto"/>
          <w:szCs w:val="24"/>
          <w:rtl/>
          <w:lang w:bidi="ar-SA"/>
        </w:rPr>
        <w:t>ال</w:t>
      </w:r>
      <w:r w:rsidRPr="00B93C61">
        <w:rPr>
          <w:rFonts w:eastAsia="Calibri" w:asciiTheme="majorBidi" w:hAnsiTheme="majorBidi" w:cstheme="majorBidi"/>
          <w:color w:val="auto"/>
          <w:szCs w:val="24"/>
          <w:rtl/>
          <w:lang w:bidi="ar-SA"/>
        </w:rPr>
        <w:t>عنقود ا</w:t>
      </w:r>
      <w:r w:rsidRPr="00B93C61">
        <w:rPr>
          <w:rFonts w:eastAsia="Calibri" w:asciiTheme="majorBidi" w:hAnsiTheme="majorBidi" w:cstheme="majorBidi" w:hint="cs"/>
          <w:color w:val="auto"/>
          <w:szCs w:val="24"/>
          <w:rtl/>
          <w:lang w:bidi="ar-SA"/>
        </w:rPr>
        <w:t>لا</w:t>
      </w:r>
      <w:r w:rsidRPr="00B93C61">
        <w:rPr>
          <w:rFonts w:eastAsia="Calibri" w:asciiTheme="majorBidi" w:hAnsiTheme="majorBidi" w:cstheme="majorBidi"/>
          <w:color w:val="auto"/>
          <w:szCs w:val="24"/>
          <w:rtl/>
          <w:lang w:bidi="ar-SA"/>
        </w:rPr>
        <w:t>جتماعي-ا</w:t>
      </w:r>
      <w:r w:rsidRPr="00B93C61">
        <w:rPr>
          <w:rFonts w:eastAsia="Calibri" w:asciiTheme="majorBidi" w:hAnsiTheme="majorBidi" w:cstheme="majorBidi" w:hint="cs"/>
          <w:color w:val="auto"/>
          <w:szCs w:val="24"/>
          <w:rtl/>
          <w:lang w:bidi="ar-SA"/>
        </w:rPr>
        <w:t>لا</w:t>
      </w:r>
      <w:r w:rsidRPr="00B93C61">
        <w:rPr>
          <w:rFonts w:eastAsia="Calibri" w:asciiTheme="majorBidi" w:hAnsiTheme="majorBidi" w:cstheme="majorBidi"/>
          <w:color w:val="auto"/>
          <w:szCs w:val="24"/>
          <w:rtl/>
          <w:lang w:bidi="ar-SA"/>
        </w:rPr>
        <w:t xml:space="preserve">قتصادي </w:t>
      </w:r>
      <w:r w:rsidRPr="00B93C61">
        <w:rPr>
          <w:rFonts w:eastAsia="Calibri" w:asciiTheme="majorBidi" w:hAnsiTheme="majorBidi" w:cstheme="majorBidi" w:hint="cs"/>
          <w:color w:val="auto"/>
          <w:szCs w:val="24"/>
          <w:rtl/>
          <w:lang w:bidi="ar-SA"/>
        </w:rPr>
        <w:t>ال</w:t>
      </w:r>
      <w:r w:rsidRPr="00B93C61">
        <w:rPr>
          <w:rFonts w:eastAsia="Calibri" w:asciiTheme="majorBidi" w:hAnsiTheme="majorBidi" w:cstheme="majorBidi"/>
          <w:color w:val="auto"/>
          <w:szCs w:val="24"/>
          <w:rtl/>
          <w:lang w:bidi="ar-SA"/>
        </w:rPr>
        <w:t xml:space="preserve">مرتفع يمكنها أن تعرض على التلميذ، عدا عن </w:t>
      </w:r>
      <w:r w:rsidRPr="00B93C61">
        <w:rPr>
          <w:rFonts w:eastAsia="Calibri" w:asciiTheme="majorBidi" w:hAnsiTheme="majorBidi" w:cstheme="majorBidi" w:hint="cs"/>
          <w:color w:val="auto"/>
          <w:szCs w:val="24"/>
          <w:rtl/>
          <w:lang w:bidi="ar-SA"/>
        </w:rPr>
        <w:t>الخدمات ا</w:t>
      </w:r>
      <w:r w:rsidRPr="00B93C61">
        <w:rPr>
          <w:rFonts w:eastAsia="Calibri" w:asciiTheme="majorBidi" w:hAnsiTheme="majorBidi" w:cstheme="majorBidi"/>
          <w:color w:val="auto"/>
          <w:szCs w:val="24"/>
          <w:rtl/>
          <w:lang w:bidi="ar-SA"/>
        </w:rPr>
        <w:t>لموح</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دة والمُلزِمة، بُن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ى تحتيّة ماديّة وبيئة دراسي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أفضل: مؤس</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سة مبنيّة بمستوى أعلى، ذات مساحات أكبر ومعدّات أفضل، ومحيط تعليمي وبيئي أرقى - موارد لا يمكن للسلطة في عنقود اجتماعي-اقتصادي </w:t>
      </w:r>
      <w:r w:rsidRPr="00B93C61">
        <w:rPr>
          <w:rFonts w:eastAsia="Calibri" w:asciiTheme="majorBidi" w:hAnsiTheme="majorBidi" w:cstheme="majorBidi" w:hint="cs"/>
          <w:color w:val="auto"/>
          <w:szCs w:val="24"/>
          <w:rtl/>
          <w:lang w:bidi="ar-SA"/>
        </w:rPr>
        <w:t>متدنٍّ</w:t>
      </w:r>
      <w:r w:rsidRPr="00B93C61">
        <w:rPr>
          <w:rFonts w:eastAsia="Calibri" w:asciiTheme="majorBidi" w:hAnsiTheme="majorBidi" w:cstheme="majorBidi"/>
          <w:color w:val="auto"/>
          <w:szCs w:val="24"/>
          <w:rtl/>
          <w:lang w:bidi="ar-SA"/>
        </w:rPr>
        <w:t xml:space="preserve"> أن </w:t>
      </w:r>
      <w:r w:rsidRPr="00B93C61">
        <w:rPr>
          <w:rFonts w:eastAsia="Calibri" w:asciiTheme="majorBidi" w:hAnsiTheme="majorBidi" w:cstheme="majorBidi" w:hint="cs"/>
          <w:color w:val="auto"/>
          <w:szCs w:val="24"/>
          <w:rtl/>
          <w:lang w:bidi="ar-SA"/>
        </w:rPr>
        <w:t>توفّرها</w:t>
      </w:r>
      <w:r w:rsidRPr="00B93C61">
        <w:rPr>
          <w:rFonts w:eastAsia="Calibri" w:asciiTheme="majorBidi" w:hAnsiTheme="majorBidi" w:cstheme="majorBidi"/>
          <w:color w:val="auto"/>
          <w:szCs w:val="24"/>
          <w:rtl/>
          <w:lang w:bidi="ar-SA"/>
        </w:rPr>
        <w:t xml:space="preserve"> لطلّابها. يوصي مكتب مراقب الدولة وزارة التربية والتعليم بصياغة سياسة لسد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النقص في الصفوف على مدى عدّة سنوات حتى </w:t>
      </w:r>
      <w:r w:rsidRPr="00B93C61">
        <w:rPr>
          <w:rFonts w:eastAsia="Calibri" w:asciiTheme="majorBidi" w:hAnsiTheme="majorBidi" w:cstheme="majorBidi" w:hint="cs"/>
          <w:color w:val="auto"/>
          <w:szCs w:val="24"/>
          <w:rtl/>
          <w:lang w:bidi="ar-SA"/>
        </w:rPr>
        <w:t xml:space="preserve">يتم </w:t>
      </w:r>
      <w:r w:rsidRPr="00B93C61">
        <w:rPr>
          <w:rFonts w:eastAsia="Calibri" w:asciiTheme="majorBidi" w:hAnsiTheme="majorBidi" w:cstheme="majorBidi"/>
          <w:color w:val="auto"/>
          <w:szCs w:val="24"/>
          <w:rtl/>
          <w:lang w:bidi="ar-SA"/>
        </w:rPr>
        <w:t>سد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النقص بالكامل، بما في ذلك </w:t>
      </w:r>
      <w:r w:rsidRPr="00B93C61">
        <w:rPr>
          <w:rFonts w:eastAsia="Calibri" w:asciiTheme="majorBidi" w:hAnsiTheme="majorBidi" w:cstheme="majorBidi" w:hint="cs"/>
          <w:color w:val="auto"/>
          <w:szCs w:val="24"/>
          <w:rtl/>
          <w:lang w:bidi="ar-SA"/>
        </w:rPr>
        <w:t>توفير</w:t>
      </w:r>
      <w:r w:rsidRPr="00B93C61">
        <w:rPr>
          <w:rFonts w:eastAsia="Calibri" w:asciiTheme="majorBidi" w:hAnsiTheme="majorBidi" w:cstheme="majorBidi"/>
          <w:color w:val="auto"/>
          <w:szCs w:val="24"/>
          <w:rtl/>
          <w:lang w:bidi="ar-SA"/>
        </w:rPr>
        <w:t xml:space="preserve"> حلول دائمة بدل الغرف الصفي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المؤق</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تة. يوصى أيضًا بأن تأخذ الوزارة بالحسبان صعوبة استغلال السلطات المحلي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في العناقيد الاجتماعي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ة-الاقتصادي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المتدن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ية للميزاني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ات المُ</w:t>
      </w:r>
      <w:r w:rsidRPr="00B93C61">
        <w:rPr>
          <w:rFonts w:eastAsia="Calibri" w:asciiTheme="majorBidi" w:hAnsiTheme="majorBidi" w:cstheme="majorBidi" w:hint="cs"/>
          <w:color w:val="auto"/>
          <w:szCs w:val="24"/>
          <w:rtl/>
          <w:lang w:bidi="ar-SA"/>
        </w:rPr>
        <w:t>خصصة</w:t>
      </w:r>
      <w:r w:rsidRPr="00B93C61">
        <w:rPr>
          <w:rFonts w:eastAsia="Calibri" w:asciiTheme="majorBidi" w:hAnsiTheme="majorBidi" w:cstheme="majorBidi"/>
          <w:color w:val="auto"/>
          <w:szCs w:val="24"/>
          <w:rtl/>
          <w:lang w:bidi="ar-SA"/>
        </w:rPr>
        <w:t xml:space="preserve"> لها لبناء الصفوف. هكذا تزيد الوزارة احتمال أن يكون الطلّاب في المدارس التي تقع ضمن نطاق هذه السلطات في نقطة انطلاق متكافئة مع الطلّاب في المدارس التي تقع ضمن نطاق سلطات أخرى، ويضمن لهم فرصة متساوية. كما ويوصي مكتب مراقب الدولة وزارةَ التربية والتعليم بفحص الطريقة التي طبّقت فيها القرارات الحكوميّة المتعل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قة بخفض </w:t>
      </w:r>
      <w:r w:rsidRPr="00B93C61">
        <w:rPr>
          <w:rFonts w:eastAsia="Calibri" w:asciiTheme="majorBidi" w:hAnsiTheme="majorBidi" w:cstheme="majorBidi" w:hint="cs"/>
          <w:color w:val="auto"/>
          <w:szCs w:val="24"/>
          <w:rtl/>
          <w:lang w:bidi="ar-SA"/>
        </w:rPr>
        <w:t>الاكتظاظ</w:t>
      </w:r>
      <w:r w:rsidRPr="00B93C61">
        <w:rPr>
          <w:rFonts w:eastAsia="Calibri" w:asciiTheme="majorBidi" w:hAnsiTheme="majorBidi" w:cstheme="majorBidi"/>
          <w:color w:val="auto"/>
          <w:szCs w:val="24"/>
          <w:rtl/>
          <w:lang w:bidi="ar-SA"/>
        </w:rPr>
        <w:t xml:space="preserve"> في الصفوف خلال السنوات الـ </w:t>
      </w:r>
      <w:r w:rsidRPr="00632342">
        <w:rPr>
          <w:rtl/>
          <w:lang w:bidi="ar-SA"/>
        </w:rPr>
        <w:t>13</w:t>
      </w:r>
      <w:r w:rsidRPr="00B93C61">
        <w:rPr>
          <w:rFonts w:eastAsia="Calibri" w:asciiTheme="majorBidi" w:hAnsiTheme="majorBidi" w:cstheme="majorBidi"/>
          <w:color w:val="auto"/>
          <w:szCs w:val="24"/>
          <w:rtl/>
          <w:lang w:bidi="ar-SA"/>
        </w:rPr>
        <w:t xml:space="preserve"> الأخيرة: تحليل الاحتياجات وفق المراحل التعليمي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التصنيف الاجتماعي-الاقتصادي للسلطة، والوسط الذي تنتمي إليه المدرسة؛ بلورة خطّة عمل متعد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دة السنوات لتطبيق القرارات الحكومي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ومنح أفضلي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لتخصيص الميزاني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ات لبناء الصفوف الجديدة في السلطات المحلي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التي تُعاني مدارسها من معد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ل </w:t>
      </w:r>
      <w:r w:rsidRPr="00B93C61">
        <w:rPr>
          <w:rFonts w:eastAsia="Calibri" w:asciiTheme="majorBidi" w:hAnsiTheme="majorBidi" w:cstheme="majorBidi" w:hint="cs"/>
          <w:color w:val="auto"/>
          <w:szCs w:val="24"/>
          <w:rtl/>
          <w:lang w:bidi="ar-SA"/>
        </w:rPr>
        <w:t xml:space="preserve">اكتظاظ </w:t>
      </w:r>
      <w:r w:rsidRPr="00B93C61">
        <w:rPr>
          <w:rFonts w:eastAsia="Calibri" w:asciiTheme="majorBidi" w:hAnsiTheme="majorBidi" w:cstheme="majorBidi"/>
          <w:color w:val="auto"/>
          <w:szCs w:val="24"/>
          <w:rtl/>
          <w:lang w:bidi="ar-SA"/>
        </w:rPr>
        <w:t>أعلى.</w:t>
      </w:r>
    </w:p>
    <w:p w:rsidR="00632342" w:rsidRPr="00B93C61" w:rsidP="00632342" w14:paraId="391BDE66" w14:textId="14B9855D">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hint="cs"/>
          <w:color w:val="auto"/>
          <w:szCs w:val="24"/>
          <w:rtl/>
          <w:lang w:bidi="ar-SA"/>
        </w:rPr>
        <w:t>يعتبَر</w:t>
      </w:r>
      <w:r w:rsidRPr="00B93C61">
        <w:rPr>
          <w:rFonts w:eastAsia="Calibri" w:asciiTheme="majorBidi" w:hAnsiTheme="majorBidi" w:cstheme="majorBidi"/>
          <w:color w:val="auto"/>
          <w:szCs w:val="24"/>
          <w:rtl/>
          <w:lang w:bidi="ar-SA"/>
        </w:rPr>
        <w:t xml:space="preserve"> البَيض مصدرًا للبروتين الحيواني في الغذاء البشري، ويصل الاستهلاك السنوي المتو</w:t>
      </w:r>
      <w:r w:rsidRPr="00B93C61">
        <w:rPr>
          <w:rFonts w:eastAsia="Calibri" w:asciiTheme="majorBidi" w:hAnsiTheme="majorBidi" w:cstheme="majorBidi" w:hint="cs"/>
          <w:color w:val="auto"/>
          <w:szCs w:val="24"/>
          <w:rtl/>
          <w:lang w:bidi="ar-SA"/>
        </w:rPr>
        <w:t>سّط</w:t>
      </w:r>
      <w:r w:rsidRPr="00B93C61">
        <w:rPr>
          <w:rFonts w:eastAsia="Calibri" w:asciiTheme="majorBidi" w:hAnsiTheme="majorBidi" w:cstheme="majorBidi"/>
          <w:color w:val="auto"/>
          <w:szCs w:val="24"/>
          <w:rtl/>
          <w:lang w:bidi="ar-SA"/>
        </w:rPr>
        <w:t xml:space="preserve"> للفرد في إسرائيل نحو </w:t>
      </w:r>
      <w:r w:rsidRPr="00632342">
        <w:rPr>
          <w:rtl/>
          <w:lang w:bidi="ar-SA"/>
        </w:rPr>
        <w:t>250</w:t>
      </w:r>
      <w:r w:rsidRPr="00B93C61">
        <w:rPr>
          <w:rFonts w:eastAsia="Calibri" w:asciiTheme="majorBidi" w:hAnsiTheme="majorBidi" w:cstheme="majorBidi"/>
          <w:color w:val="auto"/>
          <w:szCs w:val="24"/>
          <w:rtl/>
          <w:lang w:bidi="ar-SA"/>
        </w:rPr>
        <w:t xml:space="preserve"> بيضة. يخضع قطاع إنتاج البيض في إسرائيل لسياسات تخطيط رسمي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ويمكن إنتاج وتوزيع البيض فقط بحسب الحص</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المُخصصة لكل مُرب</w:t>
      </w:r>
      <w:r w:rsidRPr="00B93C61">
        <w:rPr>
          <w:rFonts w:eastAsia="Calibri" w:asciiTheme="majorBidi" w:hAnsiTheme="majorBidi" w:cstheme="majorBidi" w:hint="cs"/>
          <w:color w:val="auto"/>
          <w:szCs w:val="24"/>
          <w:rtl/>
          <w:lang w:bidi="ar-SA"/>
        </w:rPr>
        <w:t>ّي</w:t>
      </w:r>
      <w:r w:rsidRPr="00B93C61">
        <w:rPr>
          <w:rFonts w:eastAsia="Calibri" w:asciiTheme="majorBidi" w:hAnsiTheme="majorBidi" w:cstheme="majorBidi"/>
          <w:color w:val="auto"/>
          <w:szCs w:val="24"/>
          <w:rtl/>
          <w:lang w:bidi="ar-SA"/>
        </w:rPr>
        <w:t xml:space="preserve"> دواجن. ات</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خذت الحكومة عامَي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w:t>
      </w:r>
      <w:r w:rsidRPr="00632342">
        <w:rPr>
          <w:rtl/>
          <w:lang w:bidi="ar-SA"/>
        </w:rPr>
        <w:t>2007</w:t>
      </w:r>
      <w:r w:rsidRPr="00B93C61">
        <w:rPr>
          <w:rFonts w:eastAsia="Calibri" w:asciiTheme="majorBidi" w:hAnsiTheme="majorBidi" w:cstheme="majorBidi"/>
          <w:color w:val="auto"/>
          <w:szCs w:val="24"/>
          <w:rtl/>
          <w:lang w:bidi="ar-SA"/>
        </w:rPr>
        <w:t xml:space="preserve"> و</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w:t>
      </w:r>
      <w:r w:rsidRPr="00632342">
        <w:rPr>
          <w:rtl/>
          <w:lang w:bidi="ar-SA"/>
        </w:rPr>
        <w:t>2010</w:t>
      </w:r>
      <w:r w:rsidRPr="00B93C61">
        <w:rPr>
          <w:rFonts w:eastAsia="Calibri" w:asciiTheme="majorBidi" w:hAnsiTheme="majorBidi" w:cstheme="majorBidi"/>
          <w:color w:val="auto"/>
          <w:szCs w:val="24"/>
          <w:rtl/>
          <w:lang w:bidi="ar-SA"/>
        </w:rPr>
        <w:t xml:space="preserve"> قرارات تتعل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ق بأقنان وضع البيض، تنصّ على تقديم مساعَدة من خلال مِنَح لمُربّي الدواجن لغرض القيام باستثمارات ماليّة في مجال البَيض المُعَدّ للأكل، بهدف إخراج أقنان وضع البيض من مراكز البلدات. وفي آب </w:t>
      </w:r>
      <w:r w:rsidRPr="00632342">
        <w:rPr>
          <w:rtl/>
          <w:lang w:bidi="ar-SA"/>
        </w:rPr>
        <w:t>2021</w:t>
      </w:r>
      <w:r w:rsidRPr="00B93C61">
        <w:rPr>
          <w:rFonts w:eastAsia="Calibri" w:asciiTheme="majorBidi" w:hAnsiTheme="majorBidi" w:cstheme="majorBidi"/>
          <w:color w:val="auto"/>
          <w:szCs w:val="24"/>
          <w:rtl/>
          <w:lang w:bidi="ar-SA"/>
        </w:rPr>
        <w:t>، ات</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خذت الحكومة قرارًا آخر يُلغي نظام الحصص في مجال وضع البيض، لكنّه لم يُنفَّذ بعد. بيّنت الرقابة على موضوع إنتاج البَيض في إسرائيل - تطبيق </w:t>
      </w:r>
      <w:r w:rsidRPr="00B93C61">
        <w:rPr>
          <w:rFonts w:eastAsia="Calibri" w:asciiTheme="majorBidi" w:hAnsiTheme="majorBidi" w:cstheme="majorBidi" w:hint="cs"/>
          <w:color w:val="auto"/>
          <w:szCs w:val="24"/>
          <w:rtl/>
          <w:lang w:bidi="ar-SA"/>
        </w:rPr>
        <w:t>الخطّة الإصلاحيّة</w:t>
      </w:r>
      <w:r w:rsidRPr="00B93C61">
        <w:rPr>
          <w:rFonts w:eastAsia="Calibri" w:asciiTheme="majorBidi" w:hAnsiTheme="majorBidi" w:cstheme="majorBidi"/>
          <w:color w:val="auto"/>
          <w:szCs w:val="24"/>
          <w:rtl/>
          <w:lang w:bidi="ar-SA"/>
        </w:rPr>
        <w:t xml:space="preserve"> في أقنان وضع البيض أنّ </w:t>
      </w:r>
      <w:r w:rsidR="008F539D">
        <w:rPr>
          <w:rFonts w:hint="cs"/>
          <w:rtl/>
        </w:rPr>
        <w:t xml:space="preserve">71% </w:t>
      </w:r>
      <w:r w:rsidRPr="00B93C61">
        <w:rPr>
          <w:rFonts w:eastAsia="Calibri" w:asciiTheme="majorBidi" w:hAnsiTheme="majorBidi" w:cstheme="majorBidi"/>
          <w:color w:val="auto"/>
          <w:szCs w:val="24"/>
          <w:rtl/>
          <w:lang w:bidi="ar-SA"/>
        </w:rPr>
        <w:t xml:space="preserve">من أقنان وضع البيض في إسرائيل أُقيمت في خمسينات وستّينات القرن العشرين، خصوصًا في منطقة الشمال. منذ عقود لا تلتزم أقنان الدجاج في إسرائيل بالمواصفات المُلزِمة التي حُدّدت في أحكام القانون في مجالات الترخيص، التخطيط والبناء، والصحّة العامة، وهي لا تستوفي المطالب المُتعارَف عليها في الدول </w:t>
      </w:r>
      <w:r w:rsidRPr="00B93C61">
        <w:rPr>
          <w:rFonts w:eastAsia="Calibri" w:asciiTheme="majorBidi" w:hAnsiTheme="majorBidi" w:cstheme="majorBidi" w:hint="cs"/>
          <w:color w:val="auto"/>
          <w:szCs w:val="24"/>
          <w:rtl/>
          <w:lang w:bidi="ar-SA"/>
        </w:rPr>
        <w:t xml:space="preserve">المتقدّمة </w:t>
      </w:r>
      <w:r w:rsidRPr="00B93C61">
        <w:rPr>
          <w:rFonts w:eastAsia="Calibri" w:asciiTheme="majorBidi" w:hAnsiTheme="majorBidi" w:cstheme="majorBidi"/>
          <w:color w:val="auto"/>
          <w:szCs w:val="24"/>
          <w:rtl/>
          <w:lang w:bidi="ar-SA"/>
        </w:rPr>
        <w:t xml:space="preserve">بالنسبة لجودة حياة الدجاج البيّاض. </w:t>
      </w:r>
      <w:r w:rsidR="008F539D">
        <w:rPr>
          <w:rFonts w:hint="cs"/>
          <w:rtl/>
        </w:rPr>
        <w:t>76%</w:t>
      </w:r>
      <w:r w:rsidRPr="00B93C61">
        <w:rPr>
          <w:rFonts w:eastAsia="Calibri" w:asciiTheme="majorBidi" w:hAnsiTheme="majorBidi" w:cstheme="majorBidi"/>
          <w:color w:val="auto"/>
          <w:szCs w:val="24"/>
          <w:rtl/>
          <w:lang w:bidi="ar-SA"/>
        </w:rPr>
        <w:t xml:space="preserve"> من الدجاج البيّاض موجود في أقنان - أقفاص </w:t>
      </w:r>
      <w:r w:rsidRPr="00B93C61">
        <w:rPr>
          <w:rFonts w:eastAsia="Calibri" w:asciiTheme="majorBidi" w:hAnsiTheme="majorBidi" w:cstheme="majorBidi" w:hint="cs"/>
          <w:color w:val="auto"/>
          <w:szCs w:val="24"/>
          <w:rtl/>
          <w:lang w:bidi="ar-SA"/>
        </w:rPr>
        <w:t>حيث ال</w:t>
      </w:r>
      <w:r w:rsidRPr="00B93C61">
        <w:rPr>
          <w:rFonts w:eastAsia="Calibri" w:asciiTheme="majorBidi" w:hAnsiTheme="majorBidi" w:cstheme="majorBidi"/>
          <w:color w:val="auto"/>
          <w:szCs w:val="24"/>
          <w:rtl/>
          <w:lang w:bidi="ar-SA"/>
        </w:rPr>
        <w:t xml:space="preserve">مساحة </w:t>
      </w:r>
      <w:r w:rsidRPr="00B93C61">
        <w:rPr>
          <w:rFonts w:eastAsia="Calibri" w:asciiTheme="majorBidi" w:hAnsiTheme="majorBidi" w:cstheme="majorBidi" w:hint="cs"/>
          <w:color w:val="auto"/>
          <w:szCs w:val="24"/>
          <w:rtl/>
          <w:lang w:bidi="ar-SA"/>
        </w:rPr>
        <w:t>المخصصة ل</w:t>
      </w:r>
      <w:r w:rsidRPr="00B93C61">
        <w:rPr>
          <w:rFonts w:eastAsia="Calibri" w:asciiTheme="majorBidi" w:hAnsiTheme="majorBidi" w:cstheme="majorBidi"/>
          <w:color w:val="auto"/>
          <w:szCs w:val="24"/>
          <w:rtl/>
          <w:lang w:bidi="ar-SA"/>
        </w:rPr>
        <w:t xml:space="preserve">لدجاجة </w:t>
      </w:r>
      <w:r w:rsidRPr="00B93C61">
        <w:rPr>
          <w:rFonts w:eastAsia="Calibri" w:asciiTheme="majorBidi" w:hAnsiTheme="majorBidi" w:cstheme="majorBidi" w:hint="cs"/>
          <w:color w:val="auto"/>
          <w:szCs w:val="24"/>
          <w:rtl/>
          <w:lang w:bidi="ar-SA"/>
        </w:rPr>
        <w:t xml:space="preserve">الواحدة فيها </w:t>
      </w:r>
      <w:r w:rsidRPr="00B93C61">
        <w:rPr>
          <w:rFonts w:eastAsia="Calibri" w:asciiTheme="majorBidi" w:hAnsiTheme="majorBidi" w:cstheme="majorBidi"/>
          <w:color w:val="auto"/>
          <w:szCs w:val="24"/>
          <w:rtl/>
          <w:lang w:bidi="ar-SA"/>
        </w:rPr>
        <w:t xml:space="preserve">هي نحو </w:t>
      </w:r>
      <w:r w:rsidRPr="00632342">
        <w:rPr>
          <w:rtl/>
          <w:lang w:bidi="ar-SA"/>
        </w:rPr>
        <w:t>400</w:t>
      </w:r>
      <w:r w:rsidRPr="00B93C61">
        <w:rPr>
          <w:rFonts w:eastAsia="Calibri" w:asciiTheme="majorBidi" w:hAnsiTheme="majorBidi" w:cstheme="majorBidi"/>
          <w:color w:val="auto"/>
          <w:szCs w:val="24"/>
          <w:rtl/>
          <w:lang w:bidi="ar-SA"/>
        </w:rPr>
        <w:t xml:space="preserve"> سنتيمتر مربّع فقط، مقارنة</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بالأقنان في أوروبا، التي تنصّ المواصفات فيها على </w:t>
      </w:r>
      <w:r w:rsidRPr="00632342">
        <w:rPr>
          <w:rtl/>
          <w:lang w:bidi="ar-SA"/>
        </w:rPr>
        <w:t>750</w:t>
      </w:r>
      <w:r w:rsidRPr="00B93C61">
        <w:rPr>
          <w:rFonts w:eastAsia="Calibri" w:asciiTheme="majorBidi" w:hAnsiTheme="majorBidi" w:cstheme="majorBidi"/>
          <w:color w:val="auto"/>
          <w:szCs w:val="24"/>
          <w:rtl/>
          <w:lang w:bidi="ar-SA"/>
        </w:rPr>
        <w:t xml:space="preserve"> سنتيمت</w:t>
      </w:r>
      <w:r w:rsidRPr="00B93C61">
        <w:rPr>
          <w:rFonts w:eastAsia="Calibri" w:asciiTheme="majorBidi" w:hAnsiTheme="majorBidi" w:cstheme="majorBidi" w:hint="cs"/>
          <w:color w:val="auto"/>
          <w:szCs w:val="24"/>
          <w:rtl/>
          <w:lang w:bidi="ar-SA"/>
        </w:rPr>
        <w:t xml:space="preserve">رًا </w:t>
      </w:r>
      <w:r w:rsidRPr="00B93C61">
        <w:rPr>
          <w:rFonts w:eastAsia="Calibri" w:asciiTheme="majorBidi" w:hAnsiTheme="majorBidi" w:cstheme="majorBidi"/>
          <w:color w:val="auto"/>
          <w:szCs w:val="24"/>
          <w:rtl/>
          <w:lang w:bidi="ar-SA"/>
        </w:rPr>
        <w:t>مربّع</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 أقنان كثيرة موجودة في مراكز البلدات، وتعتب</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ر </w:t>
      </w:r>
      <w:r w:rsidRPr="00B93C61">
        <w:rPr>
          <w:rFonts w:eastAsia="Calibri" w:asciiTheme="majorBidi" w:hAnsiTheme="majorBidi" w:cstheme="majorBidi" w:hint="cs"/>
          <w:color w:val="auto"/>
          <w:szCs w:val="24"/>
          <w:rtl/>
          <w:lang w:bidi="ar-SA"/>
        </w:rPr>
        <w:t>مخاطر</w:t>
      </w:r>
      <w:r w:rsidRPr="00B93C61">
        <w:rPr>
          <w:rFonts w:eastAsia="Calibri" w:asciiTheme="majorBidi" w:hAnsiTheme="majorBidi" w:cstheme="majorBidi" w:hint="cs"/>
          <w:color w:val="auto"/>
          <w:szCs w:val="24"/>
          <w:rtl/>
          <w:lang w:bidi="ar-SA"/>
        </w:rPr>
        <w:t xml:space="preserve"> </w:t>
      </w:r>
      <w:r w:rsidRPr="00B93C61">
        <w:rPr>
          <w:rFonts w:eastAsia="Calibri" w:asciiTheme="majorBidi" w:hAnsiTheme="majorBidi" w:cstheme="majorBidi"/>
          <w:color w:val="auto"/>
          <w:szCs w:val="24"/>
          <w:rtl/>
          <w:lang w:bidi="ar-SA"/>
        </w:rPr>
        <w:t>بيئيّة تضر</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بإمكاني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ات تطوير البلدات وبجودة حياة سكّانها. في أقنان الشمال، </w:t>
      </w:r>
      <w:r w:rsidRPr="00B93C61">
        <w:rPr>
          <w:rFonts w:eastAsia="Calibri" w:asciiTheme="majorBidi" w:hAnsiTheme="majorBidi" w:cstheme="majorBidi" w:hint="cs"/>
          <w:color w:val="auto"/>
          <w:szCs w:val="24"/>
          <w:rtl/>
          <w:lang w:bidi="ar-SA"/>
        </w:rPr>
        <w:t>المكتظّة</w:t>
      </w:r>
      <w:r w:rsidRPr="00B93C61">
        <w:rPr>
          <w:rFonts w:eastAsia="Calibri" w:asciiTheme="majorBidi" w:hAnsiTheme="majorBidi" w:cstheme="majorBidi"/>
          <w:color w:val="auto"/>
          <w:szCs w:val="24"/>
          <w:rtl/>
          <w:lang w:bidi="ar-SA"/>
        </w:rPr>
        <w:t xml:space="preserve"> أكثر من الأقنان في باقي أجزاء البلاد، نسبة الإصابة بمعظم أمراض الدواجن الشائعة في إسرائيل أعلى بشكل ملحوظ من نسبة الإصابة بهذه الأمراض في الأقنان في باقي أرجاء البلاد. يؤكّد انتشار إنفلونزا الطيور أواخر عام </w:t>
      </w:r>
      <w:r w:rsidRPr="00632342">
        <w:rPr>
          <w:rtl/>
          <w:lang w:bidi="ar-SA"/>
        </w:rPr>
        <w:t>2021</w:t>
      </w:r>
      <w:r w:rsidRPr="00B93C61">
        <w:rPr>
          <w:rFonts w:eastAsia="Calibri" w:asciiTheme="majorBidi" w:hAnsiTheme="majorBidi" w:cstheme="majorBidi"/>
          <w:color w:val="auto"/>
          <w:szCs w:val="24"/>
          <w:rtl/>
          <w:lang w:bidi="ar-SA"/>
        </w:rPr>
        <w:t xml:space="preserve"> على صعوبة </w:t>
      </w:r>
      <w:r w:rsidRPr="00B93C61">
        <w:rPr>
          <w:rFonts w:eastAsia="Calibri" w:asciiTheme="majorBidi" w:hAnsiTheme="majorBidi" w:cstheme="majorBidi"/>
          <w:color w:val="auto"/>
          <w:szCs w:val="24"/>
          <w:rtl/>
          <w:lang w:bidi="ar-SA"/>
        </w:rPr>
        <w:t>عزل مركز تفش</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ي المرض بشكل ناجع لمنع تفشّي إنفلونزا الطيور بين الأقنان. إضافةً إلى ذلك، بسبب سياسة الحصص المُعتمَدة في هذا المجال، فإنّ سعر البيضة في البلاد يعتب</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ر من الأغلى في العالم، رغم أنّ الحكومة تُشرف على الأسعار. على سبيل المثال، </w:t>
      </w:r>
      <w:r w:rsidRPr="00B93C61">
        <w:rPr>
          <w:rFonts w:eastAsia="Calibri" w:asciiTheme="majorBidi" w:hAnsiTheme="majorBidi" w:cstheme="majorBidi" w:hint="cs"/>
          <w:color w:val="auto"/>
          <w:szCs w:val="24"/>
          <w:rtl/>
          <w:lang w:bidi="ar-SA"/>
        </w:rPr>
        <w:t xml:space="preserve">متوسّط سعر </w:t>
      </w:r>
      <w:r w:rsidRPr="00B93C61">
        <w:rPr>
          <w:rFonts w:eastAsia="Calibri" w:asciiTheme="majorBidi" w:hAnsiTheme="majorBidi" w:cstheme="majorBidi"/>
          <w:color w:val="auto"/>
          <w:szCs w:val="24"/>
          <w:rtl/>
          <w:lang w:bidi="ar-SA"/>
        </w:rPr>
        <w:t xml:space="preserve">كرتونة </w:t>
      </w:r>
      <w:r w:rsidRPr="00632342">
        <w:rPr>
          <w:rtl/>
          <w:lang w:bidi="ar-SA"/>
        </w:rPr>
        <w:t>12</w:t>
      </w:r>
      <w:r w:rsidRPr="00B93C61">
        <w:rPr>
          <w:rFonts w:eastAsia="Calibri" w:asciiTheme="majorBidi" w:hAnsiTheme="majorBidi" w:cstheme="majorBidi"/>
          <w:color w:val="auto"/>
          <w:szCs w:val="24"/>
          <w:rtl/>
          <w:lang w:bidi="ar-SA"/>
        </w:rPr>
        <w:t xml:space="preserve"> بيضة متوس</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طة الحجم في إسرائيل هو </w:t>
      </w:r>
      <w:r w:rsidRPr="00632342">
        <w:rPr>
          <w:rtl/>
        </w:rPr>
        <w:t xml:space="preserve">12.96 </w:t>
      </w:r>
      <w:r w:rsidRPr="00B93C61">
        <w:rPr>
          <w:rFonts w:eastAsia="Calibri" w:asciiTheme="majorBidi" w:hAnsiTheme="majorBidi" w:cstheme="majorBidi"/>
          <w:color w:val="auto"/>
          <w:szCs w:val="24"/>
          <w:rtl/>
          <w:lang w:bidi="ar-SA"/>
        </w:rPr>
        <w:t xml:space="preserve">شيكل، مقابل </w:t>
      </w:r>
      <w:r w:rsidRPr="00632342">
        <w:rPr>
          <w:rtl/>
          <w:lang w:bidi="ar-SA"/>
        </w:rPr>
        <w:t>9.17</w:t>
      </w:r>
      <w:r w:rsidRPr="00B93C61">
        <w:rPr>
          <w:rFonts w:eastAsia="Calibri" w:asciiTheme="majorBidi" w:hAnsiTheme="majorBidi" w:cstheme="majorBidi"/>
          <w:color w:val="auto"/>
          <w:szCs w:val="24"/>
          <w:rtl/>
          <w:lang w:bidi="ar-SA"/>
        </w:rPr>
        <w:t xml:space="preserve"> شيكل في دول منظ</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مة التعاون الاقتصادي والتنمية - </w:t>
      </w:r>
      <w:r w:rsidRPr="00BB1F34">
        <w:rPr>
          <w:b/>
          <w:bCs/>
        </w:rPr>
        <w:t>OECD</w:t>
      </w:r>
      <w:r w:rsidRPr="00B93C61">
        <w:rPr>
          <w:rFonts w:eastAsia="Calibri" w:asciiTheme="majorBidi" w:hAnsiTheme="majorBidi" w:cstheme="majorBidi"/>
          <w:color w:val="auto"/>
          <w:szCs w:val="24"/>
          <w:rtl/>
          <w:lang w:bidi="ar-SA"/>
        </w:rPr>
        <w:t xml:space="preserve"> (دون إسرائيل)، و</w:t>
      </w:r>
      <w:r w:rsidRPr="00B93C61">
        <w:rPr>
          <w:rFonts w:eastAsia="Calibri" w:asciiTheme="majorBidi" w:hAnsiTheme="majorBidi" w:cstheme="majorBidi" w:hint="cs"/>
          <w:color w:val="auto"/>
          <w:szCs w:val="24"/>
          <w:rtl/>
        </w:rPr>
        <w:t>-</w:t>
      </w:r>
      <w:r w:rsidRPr="00B93C61">
        <w:rPr>
          <w:rFonts w:eastAsia="Calibri" w:asciiTheme="majorBidi" w:hAnsiTheme="majorBidi" w:cstheme="majorBidi"/>
          <w:color w:val="auto"/>
          <w:szCs w:val="24"/>
          <w:rtl/>
          <w:lang w:bidi="ar-SA"/>
        </w:rPr>
        <w:t xml:space="preserve"> </w:t>
      </w:r>
      <w:r w:rsidRPr="00632342">
        <w:rPr>
          <w:rtl/>
          <w:lang w:bidi="ar-SA"/>
        </w:rPr>
        <w:t>7.52</w:t>
      </w:r>
      <w:r w:rsidRPr="00B93C61">
        <w:rPr>
          <w:rFonts w:eastAsia="Calibri" w:asciiTheme="majorBidi" w:hAnsiTheme="majorBidi" w:cstheme="majorBidi"/>
          <w:color w:val="auto"/>
          <w:szCs w:val="24"/>
          <w:rtl/>
          <w:lang w:bidi="ar-SA"/>
        </w:rPr>
        <w:t xml:space="preserve"> شيكل في الولايات المت</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حدة. المستهلِك الإسرائيلي هو الذي يتحمّل عبء الثمن المرتفع. على وزارة الزراعة مواصلة التعاون مع وزارة المالي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لإزالة العقبات التي تحول دون تطبيق </w:t>
      </w:r>
      <w:r w:rsidRPr="00B93C61">
        <w:rPr>
          <w:rFonts w:eastAsia="Calibri" w:asciiTheme="majorBidi" w:hAnsiTheme="majorBidi" w:cstheme="majorBidi" w:hint="cs"/>
          <w:color w:val="auto"/>
          <w:szCs w:val="24"/>
          <w:rtl/>
          <w:lang w:bidi="ar-SA"/>
        </w:rPr>
        <w:t>الخطّة الإصلاحيّة</w:t>
      </w:r>
      <w:r w:rsidRPr="00B93C61">
        <w:rPr>
          <w:rFonts w:eastAsia="Calibri" w:asciiTheme="majorBidi" w:hAnsiTheme="majorBidi" w:cstheme="majorBidi"/>
          <w:color w:val="auto"/>
          <w:szCs w:val="24"/>
          <w:rtl/>
          <w:lang w:bidi="ar-SA"/>
        </w:rPr>
        <w:t>، بما في ذلك ما يتعل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ق بتخصيص الميزاني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ات، التخطيط، ووضع المعايير المقبولة. بما أنّ جزءًا لا بأس به من أقنان وضع البيض القديمة موجود في شمال البلاد (</w:t>
      </w:r>
      <w:r w:rsidR="00BB1F34">
        <w:rPr>
          <w:rFonts w:hint="cs"/>
          <w:rtl/>
        </w:rPr>
        <w:t>71%</w:t>
      </w:r>
      <w:r w:rsidRPr="00B93C61">
        <w:rPr>
          <w:rFonts w:eastAsia="Calibri" w:asciiTheme="majorBidi" w:hAnsiTheme="majorBidi" w:cstheme="majorBidi"/>
          <w:color w:val="auto"/>
          <w:szCs w:val="24"/>
          <w:rtl/>
          <w:lang w:bidi="ar-SA"/>
        </w:rPr>
        <w:t xml:space="preserve"> من أقنان وضع ال</w:t>
      </w:r>
      <w:r w:rsidRPr="00B93C61">
        <w:rPr>
          <w:rFonts w:eastAsia="Calibri" w:asciiTheme="majorBidi" w:hAnsiTheme="majorBidi" w:cstheme="majorBidi" w:hint="cs"/>
          <w:color w:val="auto"/>
          <w:szCs w:val="24"/>
          <w:rtl/>
          <w:lang w:bidi="ar-SA"/>
        </w:rPr>
        <w:t>بيض</w:t>
      </w:r>
      <w:r w:rsidRPr="00B93C61">
        <w:rPr>
          <w:rFonts w:eastAsia="Calibri" w:asciiTheme="majorBidi" w:hAnsiTheme="majorBidi" w:cstheme="majorBidi"/>
          <w:color w:val="auto"/>
          <w:szCs w:val="24"/>
          <w:rtl/>
          <w:lang w:bidi="ar-SA"/>
        </w:rPr>
        <w:t xml:space="preserve"> في إسرائيل و</w:t>
      </w:r>
      <w:r w:rsidRPr="00B93C61">
        <w:rPr>
          <w:rFonts w:eastAsia="Calibri" w:asciiTheme="majorBidi" w:hAnsiTheme="majorBidi" w:cstheme="majorBidi" w:hint="cs"/>
          <w:color w:val="auto"/>
          <w:szCs w:val="24"/>
          <w:rtl/>
        </w:rPr>
        <w:t>-</w:t>
      </w:r>
      <w:r w:rsidRPr="00B93C61">
        <w:rPr>
          <w:rFonts w:eastAsia="Calibri" w:asciiTheme="majorBidi" w:hAnsiTheme="majorBidi" w:cstheme="majorBidi"/>
          <w:color w:val="auto"/>
          <w:szCs w:val="24"/>
          <w:rtl/>
          <w:lang w:bidi="ar-SA"/>
        </w:rPr>
        <w:t xml:space="preserve"> </w:t>
      </w:r>
      <w:r w:rsidR="00BB1F34">
        <w:rPr>
          <w:rFonts w:hint="cs"/>
          <w:rtl/>
        </w:rPr>
        <w:t>65%</w:t>
      </w:r>
      <w:r w:rsidRPr="00B93C61">
        <w:rPr>
          <w:rFonts w:eastAsia="Calibri" w:asciiTheme="majorBidi" w:hAnsiTheme="majorBidi" w:cstheme="majorBidi"/>
          <w:color w:val="auto"/>
          <w:szCs w:val="24"/>
          <w:rtl/>
          <w:lang w:bidi="ar-SA"/>
        </w:rPr>
        <w:t xml:space="preserve"> من مجمل مربّي الدواجن هم في بلدات الشمال)،</w:t>
      </w:r>
      <w:r w:rsidRPr="00B93C61">
        <w:rPr>
          <w:rFonts w:eastAsia="Calibri" w:asciiTheme="majorBidi" w:hAnsiTheme="majorBidi" w:cstheme="majorBidi" w:hint="cs"/>
          <w:color w:val="auto"/>
          <w:szCs w:val="24"/>
          <w:lang w:bidi="ar-SA"/>
        </w:rPr>
        <w:t xml:space="preserve"> </w:t>
      </w:r>
      <w:r w:rsidRPr="00B93C61">
        <w:rPr>
          <w:rFonts w:eastAsia="Calibri" w:asciiTheme="majorBidi" w:hAnsiTheme="majorBidi" w:cstheme="majorBidi"/>
          <w:color w:val="auto"/>
          <w:szCs w:val="24"/>
          <w:rtl/>
          <w:lang w:bidi="ar-SA"/>
        </w:rPr>
        <w:t>يجب البت</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في الأمور المرتبطة بالجوانب التشغيلي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الناجمة عن تبن</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ي </w:t>
      </w:r>
      <w:r w:rsidRPr="00B93C61">
        <w:rPr>
          <w:rFonts w:eastAsia="Calibri" w:asciiTheme="majorBidi" w:hAnsiTheme="majorBidi" w:cstheme="majorBidi" w:hint="cs"/>
          <w:color w:val="auto"/>
          <w:szCs w:val="24"/>
          <w:rtl/>
          <w:lang w:bidi="ar-SA"/>
        </w:rPr>
        <w:t xml:space="preserve">الخطط الإصلاحيّة </w:t>
      </w:r>
      <w:r w:rsidRPr="00B93C61">
        <w:rPr>
          <w:rFonts w:eastAsia="Calibri" w:asciiTheme="majorBidi" w:hAnsiTheme="majorBidi" w:cstheme="majorBidi"/>
          <w:color w:val="auto"/>
          <w:szCs w:val="24"/>
          <w:rtl/>
          <w:lang w:bidi="ar-SA"/>
        </w:rPr>
        <w:t>والعمل على توفير الحلول الملائمة لها.</w:t>
      </w:r>
    </w:p>
    <w:p w:rsidR="00632342" w:rsidRPr="00B93C61" w:rsidP="00632342" w14:paraId="7D2FB137" w14:textId="77777777">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توسيع حجم سل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الخدمات الصحي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يسمح بإضافة أدوية </w:t>
      </w:r>
      <w:r w:rsidRPr="00B93C61">
        <w:rPr>
          <w:rFonts w:eastAsia="Calibri" w:asciiTheme="majorBidi" w:hAnsiTheme="majorBidi" w:cstheme="majorBidi" w:hint="cs"/>
          <w:color w:val="auto"/>
          <w:szCs w:val="24"/>
          <w:rtl/>
          <w:lang w:bidi="ar-SA"/>
        </w:rPr>
        <w:t>وتكنولوجيات</w:t>
      </w:r>
      <w:r w:rsidRPr="00B93C61">
        <w:rPr>
          <w:rFonts w:eastAsia="Calibri" w:asciiTheme="majorBidi" w:hAnsiTheme="majorBidi" w:cstheme="majorBidi"/>
          <w:color w:val="auto"/>
          <w:szCs w:val="24"/>
          <w:rtl/>
          <w:lang w:bidi="ar-SA"/>
        </w:rPr>
        <w:t xml:space="preserve"> متطو</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رة جديدة للسل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بتمويل من الدولة. يعتب</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ر تحديد الأولوي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ات في الطلبات المقد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مة لسل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الخدمات الصحي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قرار</w:t>
      </w:r>
      <w:r w:rsidRPr="00B93C61">
        <w:rPr>
          <w:rFonts w:eastAsia="Calibri" w:asciiTheme="majorBidi" w:hAnsiTheme="majorBidi" w:cstheme="majorBidi" w:hint="cs"/>
          <w:color w:val="auto"/>
          <w:szCs w:val="24"/>
          <w:rtl/>
          <w:lang w:bidi="ar-SA"/>
        </w:rPr>
        <w:t>ًا</w:t>
      </w:r>
      <w:r w:rsidRPr="00B93C61">
        <w:rPr>
          <w:rFonts w:eastAsia="Calibri" w:asciiTheme="majorBidi" w:hAnsiTheme="majorBidi" w:cstheme="majorBidi"/>
          <w:color w:val="auto"/>
          <w:szCs w:val="24"/>
          <w:rtl/>
          <w:lang w:bidi="ar-SA"/>
        </w:rPr>
        <w:t xml:space="preserve"> أخلاقيّ</w:t>
      </w:r>
      <w:r w:rsidRPr="00B93C61">
        <w:rPr>
          <w:rFonts w:eastAsia="Calibri" w:asciiTheme="majorBidi" w:hAnsiTheme="majorBidi" w:cstheme="majorBidi" w:hint="cs"/>
          <w:color w:val="auto"/>
          <w:szCs w:val="24"/>
          <w:rtl/>
          <w:lang w:bidi="ar-SA"/>
        </w:rPr>
        <w:t>ًا</w:t>
      </w:r>
      <w:r w:rsidRPr="00B93C61">
        <w:rPr>
          <w:rFonts w:eastAsia="Calibri" w:asciiTheme="majorBidi" w:hAnsiTheme="majorBidi" w:cstheme="majorBidi"/>
          <w:color w:val="auto"/>
          <w:szCs w:val="24"/>
          <w:rtl/>
          <w:lang w:bidi="ar-SA"/>
        </w:rPr>
        <w:t xml:space="preserve"> شائك</w:t>
      </w:r>
      <w:r w:rsidRPr="00B93C61">
        <w:rPr>
          <w:rFonts w:eastAsia="Calibri" w:asciiTheme="majorBidi" w:hAnsiTheme="majorBidi" w:cstheme="majorBidi" w:hint="cs"/>
          <w:color w:val="auto"/>
          <w:szCs w:val="24"/>
          <w:rtl/>
          <w:lang w:bidi="ar-SA"/>
        </w:rPr>
        <w:t>ًا</w:t>
      </w:r>
      <w:r w:rsidRPr="00B93C61">
        <w:rPr>
          <w:rFonts w:eastAsia="Calibri" w:asciiTheme="majorBidi" w:hAnsiTheme="majorBidi" w:cstheme="majorBidi"/>
          <w:color w:val="auto"/>
          <w:szCs w:val="24"/>
          <w:rtl/>
          <w:lang w:bidi="ar-SA"/>
        </w:rPr>
        <w:t xml:space="preserve"> ومعقد</w:t>
      </w:r>
      <w:r w:rsidRPr="00B93C61">
        <w:rPr>
          <w:rFonts w:eastAsia="Calibri" w:asciiTheme="majorBidi" w:hAnsiTheme="majorBidi" w:cstheme="majorBidi" w:hint="cs"/>
          <w:color w:val="auto"/>
          <w:szCs w:val="24"/>
          <w:rtl/>
          <w:lang w:bidi="ar-SA"/>
        </w:rPr>
        <w:t>ًا</w:t>
      </w:r>
      <w:r w:rsidRPr="00B93C61">
        <w:rPr>
          <w:rFonts w:eastAsia="Calibri" w:asciiTheme="majorBidi" w:hAnsiTheme="majorBidi" w:cstheme="majorBidi"/>
          <w:color w:val="auto"/>
          <w:szCs w:val="24"/>
          <w:rtl/>
          <w:lang w:bidi="ar-SA"/>
        </w:rPr>
        <w:t>. كل</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طلب هو مهمّ، لكن بسبب قيود الميزاني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لا يمكن </w:t>
      </w:r>
      <w:r w:rsidRPr="00B93C61">
        <w:rPr>
          <w:rFonts w:eastAsia="Calibri" w:asciiTheme="majorBidi" w:hAnsiTheme="majorBidi" w:cstheme="majorBidi" w:hint="cs"/>
          <w:color w:val="auto"/>
          <w:szCs w:val="24"/>
          <w:rtl/>
          <w:lang w:bidi="ar-SA"/>
        </w:rPr>
        <w:t xml:space="preserve">إدراج </w:t>
      </w:r>
      <w:r w:rsidRPr="00B93C61">
        <w:rPr>
          <w:rFonts w:eastAsia="Calibri" w:asciiTheme="majorBidi" w:hAnsiTheme="majorBidi" w:cstheme="majorBidi"/>
          <w:color w:val="auto"/>
          <w:szCs w:val="24"/>
          <w:rtl/>
          <w:lang w:bidi="ar-SA"/>
        </w:rPr>
        <w:t xml:space="preserve">جميع الأدوية </w:t>
      </w:r>
      <w:r w:rsidRPr="00B93C61">
        <w:rPr>
          <w:rFonts w:eastAsia="Calibri" w:asciiTheme="majorBidi" w:hAnsiTheme="majorBidi" w:cstheme="majorBidi" w:hint="cs"/>
          <w:color w:val="auto"/>
          <w:szCs w:val="24"/>
          <w:rtl/>
          <w:lang w:bidi="ar-SA"/>
        </w:rPr>
        <w:t>والتكنولوجيات</w:t>
      </w:r>
      <w:r w:rsidRPr="00B93C61">
        <w:rPr>
          <w:rFonts w:eastAsia="Calibri" w:asciiTheme="majorBidi" w:hAnsiTheme="majorBidi" w:cstheme="majorBidi"/>
          <w:color w:val="auto"/>
          <w:szCs w:val="24"/>
          <w:rtl/>
          <w:lang w:bidi="ar-SA"/>
        </w:rPr>
        <w:t xml:space="preserve"> المطلوبة </w:t>
      </w:r>
      <w:r w:rsidRPr="00B93C61">
        <w:rPr>
          <w:rFonts w:eastAsia="Calibri" w:asciiTheme="majorBidi" w:hAnsiTheme="majorBidi" w:cstheme="majorBidi" w:hint="cs"/>
          <w:color w:val="auto"/>
          <w:szCs w:val="24"/>
          <w:rtl/>
          <w:lang w:bidi="ar-SA"/>
        </w:rPr>
        <w:t xml:space="preserve">ضمن </w:t>
      </w:r>
      <w:r w:rsidRPr="00B93C61">
        <w:rPr>
          <w:rFonts w:eastAsia="Calibri" w:asciiTheme="majorBidi" w:hAnsiTheme="majorBidi" w:cstheme="majorBidi"/>
          <w:color w:val="auto"/>
          <w:szCs w:val="24"/>
          <w:rtl/>
          <w:lang w:bidi="ar-SA"/>
        </w:rPr>
        <w:t xml:space="preserve">سلّة الخدمات. على ضوء نتائج الرقابة على موضوع </w:t>
      </w:r>
      <w:r w:rsidRPr="00BB1F34">
        <w:rPr>
          <w:rFonts w:eastAsia="Calibri" w:asciiTheme="majorBidi" w:hAnsiTheme="majorBidi" w:cstheme="majorBidi"/>
          <w:b/>
          <w:bCs/>
          <w:color w:val="auto"/>
          <w:szCs w:val="24"/>
          <w:rtl/>
          <w:lang w:bidi="ar-SA"/>
        </w:rPr>
        <w:t xml:space="preserve">توسيع سلّة الخدمات الصحيّة - إضافة أدوية </w:t>
      </w:r>
      <w:r w:rsidRPr="00BB1F34">
        <w:rPr>
          <w:rFonts w:eastAsia="Calibri" w:asciiTheme="majorBidi" w:hAnsiTheme="majorBidi" w:cstheme="majorBidi" w:hint="cs"/>
          <w:b/>
          <w:bCs/>
          <w:color w:val="auto"/>
          <w:szCs w:val="24"/>
          <w:rtl/>
          <w:lang w:bidi="ar-SA"/>
        </w:rPr>
        <w:t>وتكنولوجيات</w:t>
      </w:r>
      <w:r w:rsidRPr="00B93C61">
        <w:rPr>
          <w:rFonts w:eastAsia="Calibri" w:asciiTheme="majorBidi" w:hAnsiTheme="majorBidi" w:cstheme="majorBidi"/>
          <w:color w:val="auto"/>
          <w:szCs w:val="24"/>
          <w:rtl/>
          <w:lang w:bidi="ar-SA"/>
        </w:rPr>
        <w:t xml:space="preserve">، يوصى بإجراء تعديلات وتحسينات في إجراءات توسيع السلّة، </w:t>
      </w:r>
      <w:r w:rsidRPr="00B93C61">
        <w:rPr>
          <w:rFonts w:eastAsia="Calibri" w:asciiTheme="majorBidi" w:hAnsiTheme="majorBidi" w:cstheme="majorBidi" w:hint="cs"/>
          <w:color w:val="auto"/>
          <w:szCs w:val="24"/>
          <w:rtl/>
          <w:lang w:bidi="ar-SA"/>
        </w:rPr>
        <w:t xml:space="preserve">بحيث </w:t>
      </w:r>
      <w:r w:rsidRPr="00B93C61">
        <w:rPr>
          <w:rFonts w:eastAsia="Calibri" w:asciiTheme="majorBidi" w:hAnsiTheme="majorBidi" w:cstheme="majorBidi"/>
          <w:color w:val="auto"/>
          <w:szCs w:val="24"/>
          <w:rtl/>
          <w:lang w:bidi="ar-SA"/>
        </w:rPr>
        <w:t>تؤد</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ي إلى استغلال أمثل لميزاني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سلّة الخدمات الصحي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التي تحقّ للجمهور. </w:t>
      </w:r>
      <w:r w:rsidRPr="00B93C61">
        <w:rPr>
          <w:rFonts w:eastAsia="Calibri" w:asciiTheme="majorBidi" w:hAnsiTheme="majorBidi" w:cstheme="majorBidi" w:hint="cs"/>
          <w:color w:val="auto"/>
          <w:szCs w:val="24"/>
          <w:rtl/>
          <w:lang w:bidi="ar-SA"/>
        </w:rPr>
        <w:t>على ضوء</w:t>
      </w:r>
      <w:r w:rsidRPr="00B93C61">
        <w:rPr>
          <w:rFonts w:eastAsia="Calibri" w:asciiTheme="majorBidi" w:hAnsiTheme="majorBidi" w:cstheme="majorBidi"/>
          <w:color w:val="auto"/>
          <w:szCs w:val="24"/>
          <w:rtl/>
          <w:lang w:bidi="ar-SA"/>
        </w:rPr>
        <w:t xml:space="preserve"> النتائج التي توصّل إليها هذا التقرير، ولكون لجنة السلّة تعمل منذ أكثر من </w:t>
      </w:r>
      <w:r w:rsidRPr="00632342">
        <w:rPr>
          <w:rtl/>
          <w:lang w:bidi="ar-SA"/>
        </w:rPr>
        <w:t>20</w:t>
      </w:r>
      <w:r w:rsidRPr="00B93C61">
        <w:rPr>
          <w:rFonts w:eastAsia="Calibri" w:asciiTheme="majorBidi" w:hAnsiTheme="majorBidi" w:cstheme="majorBidi"/>
          <w:color w:val="auto"/>
          <w:szCs w:val="24"/>
          <w:rtl/>
          <w:lang w:bidi="ar-SA"/>
        </w:rPr>
        <w:t xml:space="preserve"> سنة دون إنجاز تقارير رقابة لعملها، من المهم جداً أن يفحص مجلس الصحّة ووزارتا الصحّة والمالي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ة مجمل نشاط اللجنة، من أجل تحسين أدائها، وكي يتمك</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ن متلقّو العلاج من الاستفادة إلى أقصى حدّ من الخدمات الصحيّة التي تتضم</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نها السلّة.</w:t>
      </w:r>
    </w:p>
    <w:p w:rsidR="00632342" w:rsidRPr="00B93C61" w:rsidP="00632342" w14:paraId="29AE73BB" w14:textId="3AF524D7">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 xml:space="preserve">أشار الفصل الذي يُعالج </w:t>
      </w:r>
      <w:r w:rsidRPr="00BB1F34">
        <w:rPr>
          <w:rFonts w:eastAsia="Calibri" w:asciiTheme="majorBidi" w:hAnsiTheme="majorBidi" w:cstheme="majorBidi"/>
          <w:b/>
          <w:bCs/>
          <w:color w:val="auto"/>
          <w:szCs w:val="24"/>
          <w:rtl/>
          <w:lang w:bidi="ar-SA"/>
        </w:rPr>
        <w:t xml:space="preserve">صيانة شقق </w:t>
      </w:r>
      <w:r w:rsidRPr="00BB1F34">
        <w:rPr>
          <w:rFonts w:eastAsia="Calibri" w:asciiTheme="majorBidi" w:hAnsiTheme="majorBidi" w:cstheme="majorBidi"/>
          <w:b/>
          <w:bCs/>
          <w:color w:val="auto"/>
          <w:szCs w:val="24"/>
          <w:rtl/>
          <w:lang w:bidi="ar-SA"/>
        </w:rPr>
        <w:t>عميدار</w:t>
      </w:r>
      <w:r w:rsidRPr="00BB1F34">
        <w:rPr>
          <w:rFonts w:eastAsia="Calibri" w:asciiTheme="majorBidi" w:hAnsiTheme="majorBidi" w:cstheme="majorBidi"/>
          <w:b/>
          <w:bCs/>
          <w:color w:val="auto"/>
          <w:szCs w:val="24"/>
          <w:rtl/>
          <w:lang w:bidi="ar-SA"/>
        </w:rPr>
        <w:t xml:space="preserve"> - الشركة الوطنيّة للإسكان في إسرائيل </w:t>
      </w:r>
      <w:r w:rsidRPr="00BB1F34">
        <w:rPr>
          <w:rFonts w:eastAsia="Calibri" w:asciiTheme="majorBidi" w:hAnsiTheme="majorBidi" w:cstheme="majorBidi"/>
          <w:b/>
          <w:bCs/>
          <w:color w:val="auto"/>
          <w:szCs w:val="24"/>
          <w:rtl/>
          <w:lang w:bidi="ar-SA"/>
        </w:rPr>
        <w:t>م.ض</w:t>
      </w:r>
      <w:r w:rsidRPr="00B93C61">
        <w:rPr>
          <w:rFonts w:eastAsia="Calibri" w:asciiTheme="majorBidi" w:hAnsiTheme="majorBidi" w:cstheme="majorBidi"/>
          <w:color w:val="auto"/>
          <w:szCs w:val="24"/>
          <w:rtl/>
          <w:lang w:bidi="ar-SA"/>
        </w:rPr>
        <w:t xml:space="preserve">. إلى أنّ </w:t>
      </w:r>
      <w:r w:rsidRPr="00B93C61">
        <w:rPr>
          <w:rFonts w:eastAsia="Calibri" w:asciiTheme="majorBidi" w:hAnsiTheme="majorBidi" w:cstheme="majorBidi"/>
          <w:color w:val="auto"/>
          <w:szCs w:val="24"/>
          <w:rtl/>
          <w:lang w:bidi="ar-SA"/>
        </w:rPr>
        <w:t>عميدار</w:t>
      </w:r>
      <w:r w:rsidRPr="00B93C61">
        <w:rPr>
          <w:rFonts w:eastAsia="Calibri" w:asciiTheme="majorBidi" w:hAnsiTheme="majorBidi" w:cstheme="majorBidi"/>
          <w:color w:val="auto"/>
          <w:szCs w:val="24"/>
          <w:rtl/>
          <w:lang w:bidi="ar-SA"/>
        </w:rPr>
        <w:t xml:space="preserve"> تُدير معظم شقق الإسكان العامّ (نحو </w:t>
      </w:r>
      <w:r w:rsidRPr="00632342">
        <w:rPr>
          <w:rtl/>
          <w:lang w:bidi="ar-SA"/>
        </w:rPr>
        <w:t>38,000</w:t>
      </w:r>
      <w:r w:rsidRPr="00B93C61">
        <w:rPr>
          <w:rFonts w:eastAsia="Calibri" w:asciiTheme="majorBidi" w:hAnsiTheme="majorBidi" w:cstheme="majorBidi"/>
          <w:color w:val="auto"/>
          <w:szCs w:val="24"/>
          <w:rtl/>
          <w:lang w:bidi="ar-SA"/>
        </w:rPr>
        <w:t xml:space="preserve"> من نحو </w:t>
      </w:r>
      <w:r w:rsidRPr="00632342">
        <w:rPr>
          <w:rtl/>
          <w:lang w:bidi="ar-SA"/>
        </w:rPr>
        <w:t>50,000</w:t>
      </w:r>
      <w:r w:rsidRPr="00B93C61">
        <w:rPr>
          <w:rFonts w:eastAsia="Calibri" w:asciiTheme="majorBidi" w:hAnsiTheme="majorBidi" w:cstheme="majorBidi"/>
          <w:color w:val="auto"/>
          <w:szCs w:val="24"/>
          <w:rtl/>
          <w:lang w:bidi="ar-SA"/>
        </w:rPr>
        <w:t xml:space="preserve">). نحو </w:t>
      </w:r>
      <w:r w:rsidR="00BB1F34">
        <w:rPr>
          <w:rFonts w:hint="cs"/>
          <w:rtl/>
        </w:rPr>
        <w:t>75%</w:t>
      </w:r>
      <w:r w:rsidRPr="00B93C61">
        <w:rPr>
          <w:rFonts w:eastAsia="Calibri" w:asciiTheme="majorBidi" w:hAnsiTheme="majorBidi" w:cstheme="majorBidi"/>
          <w:color w:val="auto"/>
          <w:szCs w:val="24"/>
          <w:rtl/>
          <w:lang w:bidi="ar-SA"/>
        </w:rPr>
        <w:t xml:space="preserve"> من هذه الشقق بُني قبل أكثر من </w:t>
      </w:r>
      <w:r w:rsidRPr="00632342">
        <w:rPr>
          <w:rtl/>
          <w:lang w:bidi="ar-SA"/>
        </w:rPr>
        <w:t>40</w:t>
      </w:r>
      <w:r w:rsidRPr="00B93C61">
        <w:rPr>
          <w:rFonts w:eastAsia="Calibri" w:asciiTheme="majorBidi" w:hAnsiTheme="majorBidi" w:cstheme="majorBidi"/>
          <w:color w:val="auto"/>
          <w:szCs w:val="24"/>
          <w:rtl/>
          <w:lang w:bidi="ar-SA"/>
        </w:rPr>
        <w:t xml:space="preserve"> سنة، ويسكنها مواطنون </w:t>
      </w:r>
      <w:r w:rsidRPr="00B93C61">
        <w:rPr>
          <w:rFonts w:eastAsia="Calibri" w:asciiTheme="majorBidi" w:hAnsiTheme="majorBidi" w:cstheme="majorBidi" w:hint="cs"/>
          <w:color w:val="auto"/>
          <w:szCs w:val="24"/>
          <w:rtl/>
          <w:lang w:bidi="ar-SA"/>
        </w:rPr>
        <w:t xml:space="preserve">ينتمون إلى شريحة </w:t>
      </w:r>
      <w:r w:rsidRPr="00B93C61">
        <w:rPr>
          <w:rFonts w:eastAsia="Calibri" w:asciiTheme="majorBidi" w:hAnsiTheme="majorBidi" w:cstheme="majorBidi"/>
          <w:color w:val="auto"/>
          <w:szCs w:val="24"/>
          <w:rtl/>
          <w:lang w:bidi="ar-SA"/>
        </w:rPr>
        <w:t xml:space="preserve">المستوى الاجتماعي-الاقتصادي </w:t>
      </w:r>
      <w:r w:rsidRPr="00B93C61">
        <w:rPr>
          <w:rFonts w:eastAsia="Calibri" w:asciiTheme="majorBidi" w:hAnsiTheme="majorBidi" w:cstheme="majorBidi" w:hint="cs"/>
          <w:color w:val="auto"/>
          <w:szCs w:val="24"/>
          <w:rtl/>
          <w:lang w:bidi="ar-SA"/>
        </w:rPr>
        <w:t xml:space="preserve">المتدنّي </w:t>
      </w:r>
      <w:r w:rsidRPr="00B93C61">
        <w:rPr>
          <w:rFonts w:eastAsia="Calibri" w:asciiTheme="majorBidi" w:hAnsiTheme="majorBidi" w:cstheme="majorBidi"/>
          <w:color w:val="auto"/>
          <w:szCs w:val="24"/>
          <w:rtl/>
          <w:lang w:bidi="ar-SA"/>
        </w:rPr>
        <w:t xml:space="preserve">في إسرائيل. ينظّم اتّفاق إدارة </w:t>
      </w:r>
      <w:r w:rsidRPr="00B93C61">
        <w:rPr>
          <w:rFonts w:eastAsia="Calibri" w:asciiTheme="majorBidi" w:hAnsiTheme="majorBidi" w:cstheme="majorBidi"/>
          <w:color w:val="auto"/>
          <w:szCs w:val="24"/>
          <w:rtl/>
          <w:lang w:bidi="ar-SA"/>
        </w:rPr>
        <w:t>عميدار</w:t>
      </w:r>
      <w:r w:rsidRPr="00B93C61">
        <w:rPr>
          <w:rFonts w:eastAsia="Calibri" w:asciiTheme="majorBidi" w:hAnsiTheme="majorBidi" w:cstheme="majorBidi"/>
          <w:color w:val="auto"/>
          <w:szCs w:val="24"/>
          <w:rtl/>
          <w:lang w:bidi="ar-SA"/>
        </w:rPr>
        <w:t xml:space="preserve"> مع وزارة البناء والإسكان طريقة إدارة منظومة الشقق، وضمن ذلك مسؤولي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ة الشركة عن صيانتها لضمان حقوق وواجبات الساكن المُستحقّ، وفق قانون وأنظمة حقوق الساكن في الإسكان العامّ، </w:t>
      </w:r>
      <w:r w:rsidRPr="00632342">
        <w:rPr>
          <w:rtl/>
          <w:lang w:bidi="ar-SA"/>
        </w:rPr>
        <w:t>1998</w:t>
      </w:r>
      <w:r w:rsidRPr="00B93C61">
        <w:rPr>
          <w:rFonts w:eastAsia="Calibri" w:asciiTheme="majorBidi" w:hAnsiTheme="majorBidi" w:cstheme="majorBidi"/>
          <w:color w:val="auto"/>
          <w:szCs w:val="24"/>
          <w:rtl/>
          <w:lang w:bidi="ar-SA"/>
        </w:rPr>
        <w:t xml:space="preserve">. ضمن نشاطاتها لصيانة الشقق، تُجري </w:t>
      </w:r>
      <w:r w:rsidRPr="00B93C61">
        <w:rPr>
          <w:rFonts w:eastAsia="Calibri" w:asciiTheme="majorBidi" w:hAnsiTheme="majorBidi" w:cstheme="majorBidi"/>
          <w:color w:val="auto"/>
          <w:szCs w:val="24"/>
          <w:rtl/>
          <w:lang w:bidi="ar-SA"/>
        </w:rPr>
        <w:t>عميدار</w:t>
      </w:r>
      <w:r w:rsidRPr="00B93C61">
        <w:rPr>
          <w:rFonts w:eastAsia="Calibri" w:asciiTheme="majorBidi" w:hAnsiTheme="majorBidi" w:cstheme="majorBidi"/>
          <w:color w:val="auto"/>
          <w:szCs w:val="24"/>
          <w:rtl/>
          <w:lang w:bidi="ar-SA"/>
        </w:rPr>
        <w:t>، عبر مُتعهّدين خارجي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ين، أعمال صيانة دوريّة، ترميمات عميقة، وترميمات قبل السكن. </w:t>
      </w:r>
      <w:r w:rsidRPr="00B93C61">
        <w:rPr>
          <w:rFonts w:eastAsia="Calibri" w:asciiTheme="majorBidi" w:hAnsiTheme="majorBidi" w:cstheme="majorBidi" w:hint="cs"/>
          <w:color w:val="auto"/>
          <w:szCs w:val="24"/>
          <w:rtl/>
          <w:lang w:bidi="ar-SA"/>
        </w:rPr>
        <w:t xml:space="preserve">خلال </w:t>
      </w:r>
      <w:r w:rsidRPr="00B93C61">
        <w:rPr>
          <w:rFonts w:eastAsia="Calibri" w:asciiTheme="majorBidi" w:hAnsiTheme="majorBidi" w:cstheme="majorBidi"/>
          <w:color w:val="auto"/>
          <w:szCs w:val="24"/>
          <w:rtl/>
          <w:lang w:bidi="ar-SA"/>
        </w:rPr>
        <w:t xml:space="preserve">الرقابة على هذا </w:t>
      </w:r>
      <w:r w:rsidRPr="00B93C61">
        <w:rPr>
          <w:rFonts w:eastAsia="Calibri" w:asciiTheme="majorBidi" w:hAnsiTheme="majorBidi" w:cstheme="majorBidi" w:hint="cs"/>
          <w:color w:val="auto"/>
          <w:szCs w:val="24"/>
          <w:rtl/>
          <w:lang w:bidi="ar-SA"/>
        </w:rPr>
        <w:t>المجال</w:t>
      </w:r>
      <w:r w:rsidRPr="00B93C61">
        <w:rPr>
          <w:rFonts w:eastAsia="Calibri" w:asciiTheme="majorBidi" w:hAnsiTheme="majorBidi" w:cstheme="majorBidi"/>
          <w:color w:val="auto"/>
          <w:szCs w:val="24"/>
          <w:rtl/>
          <w:lang w:bidi="ar-SA"/>
        </w:rPr>
        <w:t>، والتي فحصت ما جرى فيه بين عامَي</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 </w:t>
      </w:r>
      <w:r w:rsidRPr="00632342">
        <w:rPr>
          <w:rtl/>
          <w:lang w:bidi="ar-SA"/>
        </w:rPr>
        <w:t>2018</w:t>
      </w:r>
      <w:r w:rsidRPr="00B93C61">
        <w:rPr>
          <w:rFonts w:eastAsia="Calibri" w:asciiTheme="majorBidi" w:hAnsiTheme="majorBidi" w:cstheme="majorBidi"/>
          <w:color w:val="auto"/>
          <w:szCs w:val="24"/>
          <w:rtl/>
          <w:lang w:bidi="ar-SA"/>
        </w:rPr>
        <w:t xml:space="preserve"> - </w:t>
      </w:r>
      <w:r w:rsidRPr="00632342">
        <w:rPr>
          <w:rtl/>
          <w:lang w:bidi="ar-SA"/>
        </w:rPr>
        <w:t>2020</w:t>
      </w:r>
      <w:r w:rsidRPr="00B93C61">
        <w:rPr>
          <w:rFonts w:eastAsia="Calibri" w:asciiTheme="majorBidi" w:hAnsiTheme="majorBidi" w:cstheme="majorBidi"/>
          <w:color w:val="auto"/>
          <w:szCs w:val="24"/>
          <w:rtl/>
          <w:lang w:bidi="ar-SA"/>
        </w:rPr>
        <w:t xml:space="preserve">، تبيّن أنّ </w:t>
      </w:r>
      <w:r w:rsidRPr="00B93C61">
        <w:rPr>
          <w:rFonts w:eastAsia="Calibri" w:asciiTheme="majorBidi" w:hAnsiTheme="majorBidi" w:cstheme="majorBidi"/>
          <w:color w:val="auto"/>
          <w:szCs w:val="24"/>
          <w:rtl/>
          <w:lang w:bidi="ar-SA"/>
        </w:rPr>
        <w:t>عميدار</w:t>
      </w:r>
      <w:r w:rsidRPr="00B93C61">
        <w:rPr>
          <w:rFonts w:eastAsia="Calibri" w:asciiTheme="majorBidi" w:hAnsiTheme="majorBidi" w:cstheme="majorBidi"/>
          <w:color w:val="auto"/>
          <w:szCs w:val="24"/>
          <w:rtl/>
          <w:lang w:bidi="ar-SA"/>
        </w:rPr>
        <w:t xml:space="preserve"> قامت بالكثير من الأعمال التي تضمّنت أعمال صيانة وإصلاح عيوب في نحو </w:t>
      </w:r>
      <w:r w:rsidRPr="00632342">
        <w:rPr>
          <w:rtl/>
          <w:lang w:bidi="ar-SA"/>
        </w:rPr>
        <w:t>27,600</w:t>
      </w:r>
      <w:r w:rsidRPr="00B93C61">
        <w:rPr>
          <w:rFonts w:eastAsia="Calibri" w:asciiTheme="majorBidi" w:hAnsiTheme="majorBidi" w:cstheme="majorBidi"/>
          <w:color w:val="auto"/>
          <w:szCs w:val="24"/>
          <w:rtl/>
          <w:lang w:bidi="ar-SA"/>
        </w:rPr>
        <w:t xml:space="preserve"> شقّة وترميم نحو </w:t>
      </w:r>
      <w:r w:rsidRPr="00632342">
        <w:rPr>
          <w:rtl/>
          <w:lang w:bidi="ar-SA"/>
        </w:rPr>
        <w:t>6,800</w:t>
      </w:r>
      <w:r w:rsidRPr="00B93C61">
        <w:rPr>
          <w:rFonts w:eastAsia="Calibri" w:asciiTheme="majorBidi" w:hAnsiTheme="majorBidi" w:cstheme="majorBidi"/>
          <w:color w:val="auto"/>
          <w:szCs w:val="24"/>
          <w:rtl/>
          <w:lang w:bidi="ar-SA"/>
        </w:rPr>
        <w:t xml:space="preserve"> شقّة، لكنّ معالجتها للمسألة بحاجة إلى تحسين. على وزارة البناء والإسكان </w:t>
      </w:r>
      <w:r w:rsidRPr="00B93C61">
        <w:rPr>
          <w:rFonts w:eastAsia="Calibri" w:asciiTheme="majorBidi" w:hAnsiTheme="majorBidi" w:cstheme="majorBidi"/>
          <w:color w:val="auto"/>
          <w:szCs w:val="24"/>
          <w:rtl/>
          <w:lang w:bidi="ar-SA"/>
        </w:rPr>
        <w:t>وعميدار</w:t>
      </w:r>
      <w:r w:rsidRPr="00B93C61">
        <w:rPr>
          <w:rFonts w:eastAsia="Calibri" w:asciiTheme="majorBidi" w:hAnsiTheme="majorBidi" w:cstheme="majorBidi"/>
          <w:color w:val="auto"/>
          <w:szCs w:val="24"/>
          <w:rtl/>
          <w:lang w:bidi="ar-SA"/>
        </w:rPr>
        <w:t xml:space="preserve"> العمل على تصحيح العيوب من أجل ضمان مستوى لائق من الشقق في الإسكان العامّ.</w:t>
      </w:r>
    </w:p>
    <w:p w:rsidR="00632342" w:rsidRPr="00B93C61" w:rsidP="00632342" w14:paraId="249AA460" w14:textId="77777777">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 xml:space="preserve">إنّ متابعة إصلاح العيوب التي تبيّنت في تقارير سابقة هي أداة هامّة تهدف إلى التأكّد من أنّ الهيئات المُراقَبة قامت فعلًا بالمطلوب منها. لذلك عملنا على توسيع نطاق رقابة المتابَعة وتطوير أساليب القيام </w:t>
      </w:r>
      <w:r w:rsidRPr="00B93C61">
        <w:rPr>
          <w:rFonts w:eastAsia="Calibri" w:asciiTheme="majorBidi" w:hAnsiTheme="majorBidi" w:cstheme="majorBidi"/>
          <w:color w:val="auto"/>
          <w:szCs w:val="24"/>
          <w:rtl/>
          <w:lang w:bidi="ar-SA"/>
        </w:rPr>
        <w:t xml:space="preserve">بها. في هذا التقرير تُعرَض نتائج ثمانية أعمال رقابة متابَعة: </w:t>
      </w:r>
      <w:r w:rsidRPr="00BB1F34">
        <w:rPr>
          <w:rFonts w:eastAsia="Calibri" w:asciiTheme="majorBidi" w:hAnsiTheme="majorBidi" w:cstheme="majorBidi"/>
          <w:b/>
          <w:bCs/>
          <w:color w:val="auto"/>
          <w:szCs w:val="24"/>
          <w:rtl/>
          <w:lang w:bidi="ar-SA"/>
        </w:rPr>
        <w:t xml:space="preserve">تخطيط </w:t>
      </w:r>
      <w:r w:rsidRPr="00BB1F34">
        <w:rPr>
          <w:rFonts w:eastAsia="Calibri" w:asciiTheme="majorBidi" w:hAnsiTheme="majorBidi" w:cstheme="majorBidi" w:hint="cs"/>
          <w:b/>
          <w:bCs/>
          <w:color w:val="auto"/>
          <w:szCs w:val="24"/>
          <w:rtl/>
          <w:lang w:bidi="ar-SA"/>
        </w:rPr>
        <w:t>وإدارة ا</w:t>
      </w:r>
      <w:r w:rsidRPr="00BB1F34">
        <w:rPr>
          <w:rFonts w:eastAsia="Calibri" w:asciiTheme="majorBidi" w:hAnsiTheme="majorBidi" w:cstheme="majorBidi"/>
          <w:b/>
          <w:bCs/>
          <w:color w:val="auto"/>
          <w:szCs w:val="24"/>
          <w:rtl/>
          <w:lang w:bidi="ar-SA"/>
        </w:rPr>
        <w:t>لموارد البشري</w:t>
      </w:r>
      <w:r w:rsidRPr="00BB1F34">
        <w:rPr>
          <w:rFonts w:eastAsia="Calibri" w:asciiTheme="majorBidi" w:hAnsiTheme="majorBidi" w:cstheme="majorBidi" w:hint="cs"/>
          <w:b/>
          <w:bCs/>
          <w:color w:val="auto"/>
          <w:szCs w:val="24"/>
          <w:rtl/>
          <w:lang w:bidi="ar-SA"/>
        </w:rPr>
        <w:t>ّ</w:t>
      </w:r>
      <w:r w:rsidRPr="00BB1F34">
        <w:rPr>
          <w:rFonts w:eastAsia="Calibri" w:asciiTheme="majorBidi" w:hAnsiTheme="majorBidi" w:cstheme="majorBidi"/>
          <w:b/>
          <w:bCs/>
          <w:color w:val="auto"/>
          <w:szCs w:val="24"/>
          <w:rtl/>
          <w:lang w:bidi="ar-SA"/>
        </w:rPr>
        <w:t>ة في وزارة الخارجي</w:t>
      </w:r>
      <w:r w:rsidRPr="00BB1F34">
        <w:rPr>
          <w:rFonts w:eastAsia="Calibri" w:asciiTheme="majorBidi" w:hAnsiTheme="majorBidi" w:cstheme="majorBidi" w:hint="cs"/>
          <w:b/>
          <w:bCs/>
          <w:color w:val="auto"/>
          <w:szCs w:val="24"/>
          <w:rtl/>
          <w:lang w:bidi="ar-SA"/>
        </w:rPr>
        <w:t>ّ</w:t>
      </w:r>
      <w:r w:rsidRPr="00BB1F34">
        <w:rPr>
          <w:rFonts w:eastAsia="Calibri" w:asciiTheme="majorBidi" w:hAnsiTheme="majorBidi" w:cstheme="majorBidi"/>
          <w:b/>
          <w:bCs/>
          <w:color w:val="auto"/>
          <w:szCs w:val="24"/>
          <w:rtl/>
          <w:lang w:bidi="ar-SA"/>
        </w:rPr>
        <w:t>ة؛ تشغيل عاملين محل</w:t>
      </w:r>
      <w:r w:rsidRPr="00BB1F34">
        <w:rPr>
          <w:rFonts w:eastAsia="Calibri" w:asciiTheme="majorBidi" w:hAnsiTheme="majorBidi" w:cstheme="majorBidi" w:hint="cs"/>
          <w:b/>
          <w:bCs/>
          <w:color w:val="auto"/>
          <w:szCs w:val="24"/>
          <w:rtl/>
          <w:lang w:bidi="ar-SA"/>
        </w:rPr>
        <w:t>ّ</w:t>
      </w:r>
      <w:r w:rsidRPr="00BB1F34">
        <w:rPr>
          <w:rFonts w:eastAsia="Calibri" w:asciiTheme="majorBidi" w:hAnsiTheme="majorBidi" w:cstheme="majorBidi"/>
          <w:b/>
          <w:bCs/>
          <w:color w:val="auto"/>
          <w:szCs w:val="24"/>
          <w:rtl/>
          <w:lang w:bidi="ar-SA"/>
        </w:rPr>
        <w:t>ي</w:t>
      </w:r>
      <w:r w:rsidRPr="00BB1F34">
        <w:rPr>
          <w:rFonts w:eastAsia="Calibri" w:asciiTheme="majorBidi" w:hAnsiTheme="majorBidi" w:cstheme="majorBidi" w:hint="cs"/>
          <w:b/>
          <w:bCs/>
          <w:color w:val="auto"/>
          <w:szCs w:val="24"/>
          <w:rtl/>
          <w:lang w:bidi="ar-SA"/>
        </w:rPr>
        <w:t>ّ</w:t>
      </w:r>
      <w:r w:rsidRPr="00BB1F34">
        <w:rPr>
          <w:rFonts w:eastAsia="Calibri" w:asciiTheme="majorBidi" w:hAnsiTheme="majorBidi" w:cstheme="majorBidi"/>
          <w:b/>
          <w:bCs/>
          <w:color w:val="auto"/>
          <w:szCs w:val="24"/>
          <w:rtl/>
          <w:lang w:bidi="ar-SA"/>
        </w:rPr>
        <w:t>ين في ال</w:t>
      </w:r>
      <w:r w:rsidRPr="00BB1F34">
        <w:rPr>
          <w:rFonts w:eastAsia="Calibri" w:asciiTheme="majorBidi" w:hAnsiTheme="majorBidi" w:cstheme="majorBidi" w:hint="cs"/>
          <w:b/>
          <w:bCs/>
          <w:color w:val="auto"/>
          <w:szCs w:val="24"/>
          <w:rtl/>
          <w:lang w:bidi="ar-SA"/>
        </w:rPr>
        <w:t>هيئات الممثلة</w:t>
      </w:r>
      <w:r w:rsidRPr="00BB1F34">
        <w:rPr>
          <w:rFonts w:eastAsia="Calibri" w:asciiTheme="majorBidi" w:hAnsiTheme="majorBidi" w:cstheme="majorBidi"/>
          <w:b/>
          <w:bCs/>
          <w:color w:val="auto"/>
          <w:szCs w:val="24"/>
          <w:rtl/>
          <w:lang w:bidi="ar-SA"/>
        </w:rPr>
        <w:t xml:space="preserve"> لإسرائيل في خارج</w:t>
      </w:r>
      <w:r w:rsidRPr="00BB1F34">
        <w:rPr>
          <w:rFonts w:eastAsia="Calibri" w:asciiTheme="majorBidi" w:hAnsiTheme="majorBidi" w:cstheme="majorBidi" w:hint="cs"/>
          <w:b/>
          <w:bCs/>
          <w:color w:val="auto"/>
          <w:szCs w:val="24"/>
          <w:rtl/>
          <w:lang w:bidi="ar-SA"/>
        </w:rPr>
        <w:t xml:space="preserve"> البلاد</w:t>
      </w:r>
      <w:r w:rsidRPr="00BB1F34">
        <w:rPr>
          <w:rFonts w:eastAsia="Calibri" w:asciiTheme="majorBidi" w:hAnsiTheme="majorBidi" w:cstheme="majorBidi"/>
          <w:b/>
          <w:bCs/>
          <w:color w:val="auto"/>
          <w:szCs w:val="24"/>
          <w:rtl/>
          <w:lang w:bidi="ar-SA"/>
        </w:rPr>
        <w:t xml:space="preserve">؛ معالجة مخالَفات الانضباط في الخدمة العامّة؛ "لواء يهودا </w:t>
      </w:r>
      <w:r w:rsidRPr="00BB1F34">
        <w:rPr>
          <w:rFonts w:eastAsia="Calibri" w:asciiTheme="majorBidi" w:hAnsiTheme="majorBidi" w:cstheme="majorBidi" w:hint="cs"/>
          <w:b/>
          <w:bCs/>
          <w:color w:val="auto"/>
          <w:szCs w:val="24"/>
          <w:rtl/>
          <w:lang w:bidi="ar-SA"/>
        </w:rPr>
        <w:t>و</w:t>
      </w:r>
      <w:r w:rsidRPr="00BB1F34">
        <w:rPr>
          <w:rFonts w:eastAsia="Calibri" w:asciiTheme="majorBidi" w:hAnsiTheme="majorBidi" w:cstheme="majorBidi"/>
          <w:b/>
          <w:bCs/>
          <w:color w:val="auto"/>
          <w:szCs w:val="24"/>
          <w:rtl/>
          <w:lang w:bidi="ar-SA"/>
        </w:rPr>
        <w:t xml:space="preserve">السامرة " في شرطة إسرائيل؛ تطبيق </w:t>
      </w:r>
      <w:r w:rsidRPr="00BB1F34">
        <w:rPr>
          <w:rFonts w:eastAsia="Calibri" w:asciiTheme="majorBidi" w:hAnsiTheme="majorBidi" w:cstheme="majorBidi" w:hint="cs"/>
          <w:b/>
          <w:bCs/>
          <w:color w:val="auto"/>
          <w:szCs w:val="24"/>
          <w:rtl/>
          <w:lang w:bidi="ar-SA"/>
        </w:rPr>
        <w:t>الخطط الإصلاحيّة</w:t>
      </w:r>
      <w:r w:rsidRPr="00BB1F34">
        <w:rPr>
          <w:rFonts w:eastAsia="Calibri" w:asciiTheme="majorBidi" w:hAnsiTheme="majorBidi" w:cstheme="majorBidi"/>
          <w:b/>
          <w:bCs/>
          <w:color w:val="auto"/>
          <w:szCs w:val="24"/>
          <w:rtl/>
          <w:lang w:bidi="ar-SA"/>
        </w:rPr>
        <w:t xml:space="preserve"> وتقليص الفجوات في التربية</w:t>
      </w:r>
      <w:r w:rsidRPr="00BB1F34">
        <w:rPr>
          <w:rFonts w:eastAsia="Calibri" w:asciiTheme="majorBidi" w:hAnsiTheme="majorBidi" w:cstheme="majorBidi" w:hint="cs"/>
          <w:b/>
          <w:bCs/>
          <w:color w:val="auto"/>
          <w:szCs w:val="24"/>
          <w:rtl/>
          <w:lang w:bidi="ar-SA"/>
        </w:rPr>
        <w:t xml:space="preserve"> لسنّ</w:t>
      </w:r>
      <w:r w:rsidRPr="00BB1F34">
        <w:rPr>
          <w:rFonts w:eastAsia="Calibri" w:asciiTheme="majorBidi" w:hAnsiTheme="majorBidi" w:cstheme="majorBidi"/>
          <w:b/>
          <w:bCs/>
          <w:color w:val="auto"/>
          <w:szCs w:val="24"/>
          <w:rtl/>
          <w:lang w:bidi="ar-SA"/>
        </w:rPr>
        <w:t xml:space="preserve"> </w:t>
      </w:r>
      <w:r w:rsidRPr="00BB1F34">
        <w:rPr>
          <w:rFonts w:eastAsia="Calibri" w:asciiTheme="majorBidi" w:hAnsiTheme="majorBidi" w:cstheme="majorBidi" w:hint="cs"/>
          <w:b/>
          <w:bCs/>
          <w:color w:val="auto"/>
          <w:szCs w:val="24"/>
          <w:rtl/>
          <w:lang w:bidi="ar-SA"/>
        </w:rPr>
        <w:t>ا</w:t>
      </w:r>
      <w:r w:rsidRPr="00BB1F34">
        <w:rPr>
          <w:rFonts w:eastAsia="Calibri" w:asciiTheme="majorBidi" w:hAnsiTheme="majorBidi" w:cstheme="majorBidi"/>
          <w:b/>
          <w:bCs/>
          <w:color w:val="auto"/>
          <w:szCs w:val="24"/>
          <w:rtl/>
          <w:lang w:bidi="ar-SA"/>
        </w:rPr>
        <w:t xml:space="preserve">لطفولة المبكرة؛ المنظومة الطبيّة لمعالجة </w:t>
      </w:r>
      <w:r w:rsidRPr="00BB1F34">
        <w:rPr>
          <w:rFonts w:eastAsia="Calibri" w:asciiTheme="majorBidi" w:hAnsiTheme="majorBidi" w:cstheme="majorBidi" w:hint="cs"/>
          <w:b/>
          <w:bCs/>
          <w:color w:val="auto"/>
          <w:szCs w:val="24"/>
          <w:rtl/>
          <w:lang w:bidi="ar-SA"/>
        </w:rPr>
        <w:t>السجناء</w:t>
      </w:r>
      <w:r w:rsidRPr="00BB1F34">
        <w:rPr>
          <w:rFonts w:eastAsia="Calibri" w:asciiTheme="majorBidi" w:hAnsiTheme="majorBidi" w:cstheme="majorBidi"/>
          <w:b/>
          <w:bCs/>
          <w:color w:val="auto"/>
          <w:szCs w:val="24"/>
          <w:rtl/>
          <w:lang w:bidi="ar-SA"/>
        </w:rPr>
        <w:t xml:space="preserve"> في مصلحة السجون؛ اهتمام الدولة بالمسنّين ال</w:t>
      </w:r>
      <w:r w:rsidRPr="00BB1F34">
        <w:rPr>
          <w:rFonts w:eastAsia="Calibri" w:asciiTheme="majorBidi" w:hAnsiTheme="majorBidi" w:cstheme="majorBidi" w:hint="cs"/>
          <w:b/>
          <w:bCs/>
          <w:color w:val="auto"/>
          <w:szCs w:val="24"/>
          <w:rtl/>
          <w:lang w:bidi="ar-SA"/>
        </w:rPr>
        <w:t xml:space="preserve">ذين يحتاجون الى رعاية </w:t>
      </w:r>
      <w:r w:rsidRPr="00BB1F34">
        <w:rPr>
          <w:rFonts w:eastAsia="Calibri" w:asciiTheme="majorBidi" w:hAnsiTheme="majorBidi" w:cstheme="majorBidi"/>
          <w:b/>
          <w:bCs/>
          <w:color w:val="auto"/>
          <w:szCs w:val="24"/>
          <w:rtl/>
          <w:lang w:bidi="ar-SA"/>
        </w:rPr>
        <w:t>تمريضي</w:t>
      </w:r>
      <w:r w:rsidRPr="00BB1F34">
        <w:rPr>
          <w:rFonts w:eastAsia="Calibri" w:asciiTheme="majorBidi" w:hAnsiTheme="majorBidi" w:cstheme="majorBidi" w:hint="cs"/>
          <w:b/>
          <w:bCs/>
          <w:color w:val="auto"/>
          <w:szCs w:val="24"/>
          <w:rtl/>
          <w:lang w:bidi="ar-SA"/>
        </w:rPr>
        <w:t>ّة و</w:t>
      </w:r>
      <w:r w:rsidRPr="00BB1F34">
        <w:rPr>
          <w:rFonts w:eastAsia="Calibri" w:asciiTheme="majorBidi" w:hAnsiTheme="majorBidi" w:cstheme="majorBidi"/>
          <w:b/>
          <w:bCs/>
          <w:color w:val="auto"/>
          <w:szCs w:val="24"/>
          <w:rtl/>
          <w:lang w:bidi="ar-SA"/>
        </w:rPr>
        <w:t xml:space="preserve">الذين يمكثون في بيوتهم؛ </w:t>
      </w:r>
      <w:r w:rsidRPr="00BB1F34">
        <w:rPr>
          <w:rFonts w:eastAsia="Calibri" w:asciiTheme="majorBidi" w:hAnsiTheme="majorBidi" w:cstheme="majorBidi" w:hint="cs"/>
          <w:b/>
          <w:bCs/>
          <w:color w:val="auto"/>
          <w:szCs w:val="24"/>
          <w:rtl/>
          <w:lang w:bidi="ar-SA"/>
        </w:rPr>
        <w:t>مركّبات</w:t>
      </w:r>
      <w:r w:rsidRPr="00BB1F34">
        <w:rPr>
          <w:rFonts w:eastAsia="Calibri" w:asciiTheme="majorBidi" w:hAnsiTheme="majorBidi" w:cstheme="majorBidi"/>
          <w:b/>
          <w:bCs/>
          <w:color w:val="auto"/>
          <w:szCs w:val="24"/>
          <w:rtl/>
          <w:lang w:bidi="ar-SA"/>
        </w:rPr>
        <w:t xml:space="preserve"> الأمن في بلدات المواجهة في الألوية العسكريّة</w:t>
      </w:r>
      <w:r w:rsidRPr="00B93C61">
        <w:rPr>
          <w:rFonts w:eastAsia="Calibri" w:asciiTheme="majorBidi" w:hAnsiTheme="majorBidi" w:cstheme="majorBidi"/>
          <w:color w:val="auto"/>
          <w:szCs w:val="24"/>
          <w:rtl/>
          <w:lang w:bidi="ar-SA"/>
        </w:rPr>
        <w:t>.</w:t>
      </w:r>
    </w:p>
    <w:p w:rsidR="00632342" w:rsidRPr="00B93C61" w:rsidP="00632342" w14:paraId="5BA0CFBD" w14:textId="77777777">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التقرير واسع وشامل لمواضيع كثيرة ومتنوّعة، ولا تتطر</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ق هذه المقدّمة سوى إلى عدد قليل من الفصول التي يتضم</w:t>
      </w:r>
      <w:r w:rsidRPr="00B93C61">
        <w:rPr>
          <w:rFonts w:eastAsia="Calibri" w:asciiTheme="majorBidi" w:hAnsiTheme="majorBidi" w:cstheme="majorBidi" w:hint="cs"/>
          <w:color w:val="auto"/>
          <w:szCs w:val="24"/>
          <w:rtl/>
          <w:lang w:bidi="ar-SA"/>
        </w:rPr>
        <w:t>ّ</w:t>
      </w:r>
      <w:r w:rsidRPr="00B93C61">
        <w:rPr>
          <w:rFonts w:eastAsia="Calibri" w:asciiTheme="majorBidi" w:hAnsiTheme="majorBidi" w:cstheme="majorBidi"/>
          <w:color w:val="auto"/>
          <w:szCs w:val="24"/>
          <w:rtl/>
          <w:lang w:bidi="ar-SA"/>
        </w:rPr>
        <w:t xml:space="preserve">نها. يفتح كلّ فصل من فصول التقرير أمام الجمهور وصنّاع القرار نافذة لمشاهَدة نشاط الهيئات المُراقَبة. </w:t>
      </w:r>
      <w:r w:rsidRPr="00B93C61">
        <w:rPr>
          <w:rFonts w:eastAsia="Calibri" w:asciiTheme="majorBidi" w:hAnsiTheme="majorBidi" w:cstheme="majorBidi" w:hint="cs"/>
          <w:color w:val="auto"/>
          <w:szCs w:val="24"/>
          <w:rtl/>
          <w:lang w:bidi="ar-SA"/>
        </w:rPr>
        <w:t>مما</w:t>
      </w:r>
      <w:r w:rsidRPr="00B93C61">
        <w:rPr>
          <w:rFonts w:eastAsia="Calibri" w:asciiTheme="majorBidi" w:hAnsiTheme="majorBidi" w:cstheme="majorBidi"/>
          <w:color w:val="auto"/>
          <w:szCs w:val="24"/>
          <w:rtl/>
          <w:lang w:bidi="ar-SA"/>
        </w:rPr>
        <w:t xml:space="preserve"> يساعدنا على ضمان جودة الخدمات العامّة في دولة إسرائيل ويُسهم إسهامًا كبيرًا في زيادة النجاعة، التوفير، والنزاهة في الهيئات المُراقَبة، وفي المحافظة على قواعد الإدارة السليمة. </w:t>
      </w:r>
    </w:p>
    <w:p w:rsidR="00632342" w:rsidRPr="00B93C61" w:rsidP="00632342" w14:paraId="434E6FD5" w14:textId="77777777">
      <w:pPr>
        <w:pStyle w:val="7190"/>
        <w:spacing w:line="276" w:lineRule="auto"/>
        <w:rPr>
          <w:rFonts w:eastAsia="Calibri" w:asciiTheme="majorBidi" w:hAnsiTheme="majorBidi" w:cstheme="majorBidi"/>
          <w:color w:val="auto"/>
          <w:szCs w:val="24"/>
          <w:rtl/>
        </w:rPr>
      </w:pPr>
      <w:r w:rsidRPr="00BB1F34">
        <w:rPr>
          <w:rFonts w:eastAsia="Calibri" w:asciiTheme="majorBidi" w:hAnsiTheme="majorBidi" w:cstheme="majorBidi"/>
          <w:b/>
          <w:bCs/>
          <w:color w:val="auto"/>
          <w:szCs w:val="24"/>
          <w:rtl/>
          <w:lang w:bidi="ar-SA"/>
        </w:rPr>
        <w:t xml:space="preserve">يتطلب إعداد التقرير جهودًا كبيرة من العاملين في مكتب مراقب الدولة، الذين دأبوا على إعداده بأعلى </w:t>
      </w:r>
      <w:r w:rsidRPr="00BB1F34">
        <w:rPr>
          <w:rFonts w:eastAsia="Calibri" w:asciiTheme="majorBidi" w:hAnsiTheme="majorBidi" w:cstheme="majorBidi" w:hint="cs"/>
          <w:b/>
          <w:bCs/>
          <w:color w:val="auto"/>
          <w:szCs w:val="24"/>
          <w:rtl/>
          <w:lang w:bidi="ar-SA"/>
        </w:rPr>
        <w:t xml:space="preserve">مستويات </w:t>
      </w:r>
      <w:r w:rsidRPr="00BB1F34">
        <w:rPr>
          <w:rFonts w:eastAsia="Calibri" w:asciiTheme="majorBidi" w:hAnsiTheme="majorBidi" w:cstheme="majorBidi"/>
          <w:b/>
          <w:bCs/>
          <w:color w:val="auto"/>
          <w:szCs w:val="24"/>
          <w:rtl/>
          <w:lang w:bidi="ar-SA"/>
        </w:rPr>
        <w:t>المهني</w:t>
      </w:r>
      <w:r w:rsidRPr="00BB1F34">
        <w:rPr>
          <w:rFonts w:eastAsia="Calibri" w:asciiTheme="majorBidi" w:hAnsiTheme="majorBidi" w:cstheme="majorBidi" w:hint="cs"/>
          <w:b/>
          <w:bCs/>
          <w:color w:val="auto"/>
          <w:szCs w:val="24"/>
          <w:rtl/>
          <w:lang w:bidi="ar-SA"/>
        </w:rPr>
        <w:t>ّ</w:t>
      </w:r>
      <w:r w:rsidRPr="00BB1F34">
        <w:rPr>
          <w:rFonts w:eastAsia="Calibri" w:asciiTheme="majorBidi" w:hAnsiTheme="majorBidi" w:cstheme="majorBidi"/>
          <w:b/>
          <w:bCs/>
          <w:color w:val="auto"/>
          <w:szCs w:val="24"/>
          <w:rtl/>
          <w:lang w:bidi="ar-SA"/>
        </w:rPr>
        <w:t>ة، الشمولي</w:t>
      </w:r>
      <w:r w:rsidRPr="00BB1F34">
        <w:rPr>
          <w:rFonts w:eastAsia="Calibri" w:asciiTheme="majorBidi" w:hAnsiTheme="majorBidi" w:cstheme="majorBidi" w:hint="cs"/>
          <w:b/>
          <w:bCs/>
          <w:color w:val="auto"/>
          <w:szCs w:val="24"/>
          <w:rtl/>
          <w:lang w:bidi="ar-SA"/>
        </w:rPr>
        <w:t>ّ</w:t>
      </w:r>
      <w:r w:rsidRPr="00BB1F34">
        <w:rPr>
          <w:rFonts w:eastAsia="Calibri" w:asciiTheme="majorBidi" w:hAnsiTheme="majorBidi" w:cstheme="majorBidi"/>
          <w:b/>
          <w:bCs/>
          <w:color w:val="auto"/>
          <w:szCs w:val="24"/>
          <w:rtl/>
          <w:lang w:bidi="ar-SA"/>
        </w:rPr>
        <w:t>ة، الإنصاف، والدقّة، والذين يقومون بواجبهم العام إيماناً بالرسالة التي يحملونها. أقدّم لهم جزيل الشكر</w:t>
      </w:r>
      <w:r w:rsidRPr="00B93C61">
        <w:rPr>
          <w:rFonts w:eastAsia="Calibri" w:asciiTheme="majorBidi" w:hAnsiTheme="majorBidi" w:cstheme="majorBidi"/>
          <w:color w:val="auto"/>
          <w:szCs w:val="24"/>
          <w:rtl/>
          <w:lang w:bidi="ar-SA"/>
        </w:rPr>
        <w:t>.</w:t>
      </w:r>
    </w:p>
    <w:p w:rsidR="00632342" w:rsidRPr="00B93C61" w:rsidP="00632342" w14:paraId="332526FB" w14:textId="77777777">
      <w:pPr>
        <w:pStyle w:val="7190"/>
        <w:spacing w:line="276"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من واجب الهيئات المُراقَبة أن تعمل بسرعة ونجاعة على تصحيح العيوب التي طُرحت في هذا التقرير من أجل تحسين القطاع العامّ في إسرائيل، وبالتالي تحسين جودة حياة سكّان الدولة.</w:t>
      </w:r>
    </w:p>
    <w:p w:rsidR="00647555" w:rsidP="004F0F93" w14:paraId="1ADA334D" w14:textId="77777777">
      <w:pPr>
        <w:widowControl w:val="0"/>
        <w:spacing w:line="276" w:lineRule="auto"/>
        <w:ind w:left="3402"/>
        <w:jc w:val="center"/>
        <w:rPr>
          <w:rFonts w:asciiTheme="majorBidi" w:hAnsiTheme="majorBidi" w:cstheme="majorBidi"/>
          <w:b/>
          <w:bCs/>
          <w:sz w:val="24"/>
          <w:rtl/>
          <w:lang w:eastAsia="he-IL"/>
        </w:rPr>
      </w:pPr>
    </w:p>
    <w:p w:rsidR="00647555" w:rsidP="004F0F93" w14:paraId="4560A80B" w14:textId="77777777">
      <w:pPr>
        <w:widowControl w:val="0"/>
        <w:spacing w:line="276" w:lineRule="auto"/>
        <w:ind w:left="3402"/>
        <w:jc w:val="center"/>
        <w:rPr>
          <w:rFonts w:asciiTheme="majorBidi" w:hAnsiTheme="majorBidi" w:cstheme="majorBidi"/>
          <w:b/>
          <w:bCs/>
          <w:sz w:val="24"/>
          <w:rtl/>
          <w:lang w:eastAsia="he-IL"/>
        </w:rPr>
      </w:pPr>
    </w:p>
    <w:p w:rsidR="00647555" w:rsidP="004F0F93" w14:paraId="45E5EF81" w14:textId="77777777">
      <w:pPr>
        <w:widowControl w:val="0"/>
        <w:spacing w:line="276" w:lineRule="auto"/>
        <w:ind w:left="3402"/>
        <w:jc w:val="center"/>
        <w:rPr>
          <w:rFonts w:asciiTheme="majorBidi" w:hAnsiTheme="majorBidi" w:cstheme="majorBidi"/>
          <w:b/>
          <w:bCs/>
          <w:sz w:val="24"/>
          <w:rtl/>
          <w:lang w:eastAsia="he-IL"/>
        </w:rPr>
      </w:pPr>
    </w:p>
    <w:p w:rsidR="00ED720D" w:rsidP="004F0F93" w14:paraId="057FDD4E" w14:textId="281B99BF">
      <w:pPr>
        <w:widowControl w:val="0"/>
        <w:spacing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74624" behindDoc="0" locked="0" layoutInCell="1" allowOverlap="1">
            <wp:simplePos x="0" y="0"/>
            <wp:positionH relativeFrom="column">
              <wp:posOffset>739140</wp:posOffset>
            </wp:positionH>
            <wp:positionV relativeFrom="paragraph">
              <wp:posOffset>23495</wp:posOffset>
            </wp:positionV>
            <wp:extent cx="969264" cy="316992"/>
            <wp:effectExtent l="0" t="0" r="2540" b="6985"/>
            <wp:wrapSquare wrapText="bothSides"/>
            <wp:docPr id="5"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חתימת מבקר עברית כחול.jp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rsidR="004F0F93" w:rsidRPr="00FA76DE" w:rsidP="004F0F93" w14:paraId="7939510A" w14:textId="628CACF0">
      <w:pPr>
        <w:widowControl w:val="0"/>
        <w:spacing w:line="276" w:lineRule="auto"/>
        <w:ind w:left="3402"/>
        <w:jc w:val="center"/>
        <w:rPr>
          <w:rFonts w:asciiTheme="majorBidi" w:hAnsiTheme="majorBidi" w:cstheme="majorBidi"/>
          <w:b/>
          <w:bCs/>
          <w:sz w:val="24"/>
          <w:rtl/>
          <w:lang w:eastAsia="he-IL"/>
        </w:rPr>
      </w:pPr>
    </w:p>
    <w:p w:rsidR="004F0F93" w:rsidRPr="00A86EC4" w:rsidP="00ED720D" w14:paraId="26E6D516" w14:textId="61450C7A">
      <w:pPr>
        <w:pStyle w:val="7195"/>
        <w:spacing w:after="120"/>
        <w:ind w:left="3396"/>
        <w:jc w:val="center"/>
        <w:rPr>
          <w:b/>
          <w:szCs w:val="18"/>
          <w:rtl/>
          <w:lang w:bidi="ar-SA"/>
        </w:rPr>
      </w:pPr>
      <w:r w:rsidRPr="00A86EC4">
        <w:rPr>
          <w:rFonts w:eastAsia="Calibri" w:asciiTheme="majorBidi" w:hAnsiTheme="majorBidi" w:cstheme="majorBidi"/>
          <w:b/>
          <w:noProof w:val="0"/>
          <w:color w:val="auto"/>
          <w:szCs w:val="24"/>
          <w:rtl/>
          <w:lang w:val="en-US" w:bidi="ar-SA"/>
        </w:rPr>
        <w:t>متنياهو</w:t>
      </w:r>
      <w:r w:rsidRPr="00BD0148" w:rsidR="001F6F49">
        <w:rPr>
          <w:rFonts w:eastAsia="Calibri" w:asciiTheme="majorBidi" w:hAnsiTheme="majorBidi" w:cstheme="majorBidi"/>
          <w:szCs w:val="24"/>
          <w:rtl/>
        </w:rPr>
        <w:t xml:space="preserve"> </w:t>
      </w:r>
      <w:r w:rsidRPr="00BD0148" w:rsidR="001F6F49">
        <w:rPr>
          <w:rFonts w:eastAsia="Calibri" w:asciiTheme="majorBidi" w:hAnsiTheme="majorBidi" w:cstheme="majorBidi"/>
          <w:szCs w:val="24"/>
          <w:rtl/>
          <w:lang w:bidi="ar-SA"/>
        </w:rPr>
        <w:t>أنجلمان</w:t>
      </w:r>
    </w:p>
    <w:p w:rsidR="004F0F93" w:rsidRPr="00ED15AC" w:rsidP="008504CE" w14:paraId="00896890" w14:textId="77777777">
      <w:pPr>
        <w:pStyle w:val="7190"/>
        <w:spacing w:after="0" w:line="216" w:lineRule="auto"/>
        <w:ind w:left="3396"/>
        <w:jc w:val="center"/>
        <w:rPr>
          <w:rFonts w:eastAsia="Calibri" w:asciiTheme="majorBidi" w:hAnsiTheme="majorBidi" w:cstheme="majorBidi"/>
          <w:color w:val="auto"/>
          <w:szCs w:val="24"/>
          <w:rtl/>
          <w:lang w:bidi="ar-SA"/>
        </w:rPr>
      </w:pPr>
      <w:r w:rsidRPr="00ED15AC">
        <w:rPr>
          <w:rFonts w:eastAsia="Calibri" w:asciiTheme="majorBidi" w:hAnsiTheme="majorBidi" w:cstheme="majorBidi"/>
          <w:color w:val="auto"/>
          <w:szCs w:val="24"/>
          <w:rtl/>
          <w:lang w:bidi="ar-SA"/>
        </w:rPr>
        <w:t>مراقِب الدولة</w:t>
      </w:r>
    </w:p>
    <w:p w:rsidR="004F0F93" w:rsidRPr="00ED15AC" w:rsidP="008504CE" w14:paraId="327D1F4D" w14:textId="1033AA09">
      <w:pPr>
        <w:pStyle w:val="7190"/>
        <w:spacing w:line="216" w:lineRule="auto"/>
        <w:ind w:left="3396"/>
        <w:jc w:val="center"/>
        <w:rPr>
          <w:rFonts w:eastAsia="Calibri" w:asciiTheme="majorBidi" w:hAnsiTheme="majorBidi" w:cstheme="majorBidi"/>
          <w:color w:val="auto"/>
          <w:szCs w:val="24"/>
          <w:rtl/>
          <w:lang w:bidi="ar-SA"/>
        </w:rPr>
      </w:pPr>
      <w:r w:rsidRPr="00ED15AC">
        <w:rPr>
          <w:rFonts w:eastAsia="Calibri" w:asciiTheme="majorBidi" w:hAnsiTheme="majorBidi" w:cstheme="majorBidi"/>
          <w:color w:val="auto"/>
          <w:szCs w:val="24"/>
          <w:rtl/>
          <w:lang w:bidi="ar-SA"/>
        </w:rPr>
        <w:t>ومفوَّض شكاوى الجمهور</w:t>
      </w:r>
    </w:p>
    <w:p w:rsidR="004F0F93" w:rsidRPr="00FA76DE" w:rsidP="004F0F93" w14:paraId="05268F4A" w14:textId="77777777">
      <w:pPr>
        <w:tabs>
          <w:tab w:val="left" w:pos="898"/>
        </w:tabs>
        <w:spacing w:line="276" w:lineRule="auto"/>
        <w:rPr>
          <w:rFonts w:asciiTheme="majorBidi" w:hAnsiTheme="majorBidi" w:cstheme="majorBidi"/>
          <w:sz w:val="24"/>
          <w:rtl/>
        </w:rPr>
      </w:pPr>
    </w:p>
    <w:p w:rsidR="00632342" w:rsidRPr="00B93C61" w:rsidP="00B01889" w14:paraId="1C5CD860" w14:textId="08E794E3">
      <w:pPr>
        <w:pStyle w:val="7190"/>
        <w:spacing w:after="60" w:line="240" w:lineRule="auto"/>
        <w:rPr>
          <w:rFonts w:eastAsia="Calibri" w:asciiTheme="majorBidi" w:hAnsiTheme="majorBidi" w:cstheme="majorBidi"/>
          <w:color w:val="auto"/>
          <w:szCs w:val="24"/>
          <w:rtl/>
        </w:rPr>
      </w:pPr>
      <w:r w:rsidRPr="00B93C61">
        <w:rPr>
          <w:rFonts w:eastAsia="Calibri" w:asciiTheme="majorBidi" w:hAnsiTheme="majorBidi" w:cstheme="majorBidi"/>
          <w:color w:val="auto"/>
          <w:szCs w:val="24"/>
          <w:rtl/>
          <w:lang w:bidi="ar-SA"/>
        </w:rPr>
        <w:t xml:space="preserve">القدس، </w:t>
      </w:r>
      <w:r w:rsidRPr="00665D54" w:rsidR="00665D54">
        <w:rPr>
          <w:rFonts w:eastAsia="Calibri" w:asciiTheme="majorBidi" w:hAnsiTheme="majorBidi" w:cs="Times New Roman"/>
          <w:color w:val="auto"/>
          <w:szCs w:val="24"/>
          <w:rtl/>
          <w:lang w:bidi="ar-SA"/>
        </w:rPr>
        <w:t xml:space="preserve">أيّار </w:t>
      </w:r>
      <w:r w:rsidRPr="00632342">
        <w:rPr>
          <w:rtl/>
          <w:lang w:bidi="ar-SA"/>
        </w:rPr>
        <w:t>2022</w:t>
      </w:r>
    </w:p>
    <w:p w:rsidR="00B86B10" w14:paraId="37D5F33E" w14:textId="77777777">
      <w:pPr>
        <w:bidi w:val="0"/>
        <w:spacing w:after="200" w:line="276" w:lineRule="auto"/>
        <w:rPr>
          <w:rFonts w:asciiTheme="minorHAnsi" w:eastAsiaTheme="majorEastAsia" w:hAnsiTheme="minorHAnsi" w:cs="Tahoma"/>
          <w:sz w:val="34"/>
          <w:szCs w:val="34"/>
          <w:lang w:bidi="ar-SA"/>
        </w:rPr>
        <w:sectPr w:rsidSect="00A8428C">
          <w:headerReference w:type="default" r:id="rId23"/>
          <w:footnotePr>
            <w:numRestart w:val="eachSect"/>
          </w:footnotePr>
          <w:type w:val="continuous"/>
          <w:pgSz w:w="11906" w:h="16838" w:code="9"/>
          <w:pgMar w:top="3062" w:right="2268" w:bottom="2552" w:left="2268" w:header="1134" w:footer="1361" w:gutter="0"/>
          <w:cols w:space="708"/>
          <w:bidi/>
          <w:rtlGutter/>
          <w:docGrid w:linePitch="360"/>
        </w:sectPr>
      </w:pPr>
    </w:p>
    <w:p w:rsidR="003342DA" w:rsidRPr="003342DA" w:rsidP="003342DA" w14:paraId="6405789D" w14:textId="37A66F03">
      <w:pPr>
        <w:tabs>
          <w:tab w:val="left" w:pos="5240"/>
        </w:tabs>
        <w:bidi w:val="0"/>
        <w:rPr>
          <w:rFonts w:asciiTheme="minorHAnsi" w:eastAsiaTheme="majorEastAsia" w:hAnsiTheme="minorHAnsi" w:cs="Tahoma"/>
          <w:sz w:val="34"/>
          <w:szCs w:val="34"/>
          <w:lang w:bidi="ar-SA"/>
        </w:rPr>
        <w:sectPr w:rsidSect="00B86B10">
          <w:headerReference w:type="even" r:id="rId24"/>
          <w:footerReference w:type="even" r:id="rId25"/>
          <w:footnotePr>
            <w:numRestart w:val="eachSect"/>
          </w:footnotePr>
          <w:pgSz w:w="11906" w:h="16838" w:code="9"/>
          <w:pgMar w:top="3062" w:right="2268" w:bottom="2552" w:left="2268" w:header="1134" w:footer="1361" w:gutter="0"/>
          <w:cols w:space="708"/>
          <w:bidi/>
          <w:rtlGutter/>
          <w:docGrid w:linePitch="360"/>
        </w:sectPr>
      </w:pPr>
      <w:r>
        <w:rPr>
          <w:rFonts w:ascii="Tahoma" w:hAnsi="Tahoma" w:cs="Tahoma"/>
          <w:noProof/>
          <w:sz w:val="22"/>
          <w:szCs w:val="22"/>
          <w:rtl/>
          <w:lang w:val="he-IL"/>
        </w:rPr>
        <mc:AlternateContent>
          <mc:Choice Requires="wps">
            <w:drawing>
              <wp:anchor distT="0" distB="0" distL="114300" distR="114300" simplePos="0" relativeHeight="251683840" behindDoc="0" locked="0" layoutInCell="1" allowOverlap="1">
                <wp:simplePos x="0" y="0"/>
                <wp:positionH relativeFrom="column">
                  <wp:posOffset>3752306</wp:posOffset>
                </wp:positionH>
                <wp:positionV relativeFrom="paragraph">
                  <wp:posOffset>7434761</wp:posOffset>
                </wp:positionV>
                <wp:extent cx="1195251" cy="522515"/>
                <wp:effectExtent l="12700" t="12700" r="11430" b="11430"/>
                <wp:wrapNone/>
                <wp:docPr id="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195251" cy="5225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94.1pt;height:41.15pt;margin-top:585.4pt;margin-left:295.45pt;mso-wrap-distance-bottom:0;mso-wrap-distance-left:9pt;mso-wrap-distance-right:9pt;mso-wrap-distance-top:0;mso-wrap-style:square;position:absolute;visibility:visible;v-text-anchor:middle;z-index:251684864" fillcolor="white" strokecolor="white" strokeweight="2pt"/>
            </w:pict>
          </mc:Fallback>
        </mc:AlternateContent>
      </w:r>
      <w:r>
        <w:rPr>
          <w:rFonts w:ascii="Tahoma" w:hAnsi="Tahoma" w:cs="Tahoma"/>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-330200</wp:posOffset>
                </wp:positionH>
                <wp:positionV relativeFrom="paragraph">
                  <wp:posOffset>5850043</wp:posOffset>
                </wp:positionV>
                <wp:extent cx="7601578" cy="1543050"/>
                <wp:effectExtent l="0" t="0" r="0" b="0"/>
                <wp:wrapNone/>
                <wp:docPr id="2123057045"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460.65pt;margin-left:-26pt;flip:y;mso-height-percent:0;mso-height-relative:margin;mso-width-percent:0;mso-width-relative:margin;mso-wrap-distance-bottom:0;mso-wrap-distance-left:9pt;mso-wrap-distance-right:9pt;mso-wrap-distance-top:0;mso-wrap-style:square;position:absolute;visibility:visible;v-text-anchor:middle;z-index:251676672" fillcolor="white" stroked="f" strokeweight="2pt"/>
            </w:pict>
          </mc:Fallback>
        </mc:AlternateContent>
      </w:r>
    </w:p>
    <w:p w:rsidR="007D4879" w:rsidP="000960BA" w14:paraId="125F06A1" w14:textId="6FF21956">
      <w:pPr>
        <w:spacing w:line="240" w:lineRule="atLeast"/>
        <w:jc w:val="center"/>
        <w:rPr>
          <w:rFonts w:ascii="Tahoma" w:hAnsi="Tahoma" w:cs="Tahoma"/>
          <w:sz w:val="22"/>
          <w:szCs w:val="22"/>
          <w:rtl/>
        </w:rPr>
        <w:sectPr w:rsidSect="00B86B10">
          <w:headerReference w:type="even" r:id="rId26"/>
          <w:headerReference w:type="default" r:id="rId27"/>
          <w:footerReference w:type="default" r:id="rId28"/>
          <w:footnotePr>
            <w:numRestart w:val="eachSect"/>
          </w:footnotePr>
          <w:pgSz w:w="11906" w:h="16838" w:code="9"/>
          <w:pgMar w:top="3062" w:right="2268" w:bottom="2552" w:left="2268" w:header="1134" w:footer="1361" w:gutter="0"/>
          <w:cols w:space="720"/>
          <w:titlePg/>
          <w:bidi/>
          <w:rtlGutter/>
          <w:docGrid w:linePitch="272"/>
        </w:sect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3072814</wp:posOffset>
                </wp:positionH>
                <wp:positionV relativeFrom="paragraph">
                  <wp:posOffset>369765</wp:posOffset>
                </wp:positionV>
                <wp:extent cx="0" cy="3530991"/>
                <wp:effectExtent l="25400" t="0" r="25400" b="25400"/>
                <wp:wrapNone/>
                <wp:docPr id="3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3099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4" style="mso-height-percent:0;mso-height-relative:margin;mso-wrap-distance-bottom:0;mso-wrap-distance-left:9pt;mso-wrap-distance-right:9pt;mso-wrap-distance-top:0;mso-wrap-style:square;position:absolute;visibility:visible;z-index:251671552" from="241.95pt,29.1pt" to="241.95pt,307.15pt" strokecolor="white" strokeweight="4pt"/>
            </w:pict>
          </mc:Fallback>
        </mc:AlternateContent>
      </w:r>
      <w:r w:rsidRPr="0030415A" w:rsidR="00BE0734">
        <w:rPr>
          <w:rFonts w:ascii="Tahoma" w:hAnsi="Tahoma" w:cs="Tahoma"/>
          <w:noProof/>
          <w:sz w:val="22"/>
          <w:szCs w:val="22"/>
          <w:rtl/>
        </w:rPr>
        <mc:AlternateContent>
          <mc:Choice Requires="wps">
            <w:drawing>
              <wp:anchor distT="45720" distB="45720" distL="114300" distR="114300" simplePos="0" relativeHeight="251666432" behindDoc="0" locked="0" layoutInCell="1" allowOverlap="1">
                <wp:simplePos x="0" y="0"/>
                <wp:positionH relativeFrom="column">
                  <wp:posOffset>-483870</wp:posOffset>
                </wp:positionH>
                <wp:positionV relativeFrom="paragraph">
                  <wp:posOffset>264160</wp:posOffset>
                </wp:positionV>
                <wp:extent cx="4897755" cy="4273550"/>
                <wp:effectExtent l="0" t="0" r="4445" b="6350"/>
                <wp:wrapSquare wrapText="bothSides"/>
                <wp:docPr id="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7755" cy="4273550"/>
                        </a:xfrm>
                        <a:prstGeom prst="rect">
                          <a:avLst/>
                        </a:prstGeom>
                        <a:solidFill>
                          <a:srgbClr val="00305F"/>
                        </a:solidFill>
                        <a:ln w="9525">
                          <a:noFill/>
                          <a:miter lim="800000"/>
                          <a:headEnd/>
                          <a:tailEnd/>
                        </a:ln>
                      </wps:spPr>
                      <wps:txbx>
                        <w:txbxContent>
                          <w:p w:rsidR="007D4879" w:rsidP="007D4879" w14:textId="77777777">
                            <w:pPr>
                              <w:ind w:left="2268"/>
                              <w:rPr>
                                <w:rFonts w:ascii="Tahoma" w:hAnsi="Tahoma" w:cs="Tahoma"/>
                                <w:sz w:val="18"/>
                                <w:szCs w:val="18"/>
                                <w:rtl/>
                              </w:rPr>
                            </w:pPr>
                          </w:p>
                          <w:p w:rsidR="007D4879" w:rsidP="007D4879" w14:textId="77777777">
                            <w:pPr>
                              <w:ind w:left="2268"/>
                              <w:rPr>
                                <w:rFonts w:ascii="Tahoma" w:hAnsi="Tahoma" w:cs="Tahoma"/>
                                <w:sz w:val="18"/>
                                <w:szCs w:val="18"/>
                                <w:rtl/>
                              </w:rPr>
                            </w:pPr>
                          </w:p>
                          <w:p w:rsidR="00BE0734" w:rsidRPr="0052031E" w:rsidP="00BE0734"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7D4879" w:rsidP="00942C02" w14:textId="77777777">
                            <w:pPr>
                              <w:rPr>
                                <w:rtl/>
                              </w:rPr>
                            </w:pPr>
                          </w:p>
                          <w:p w:rsidR="00536511" w:rsidP="007D4879" w14:textId="33DF3CB3">
                            <w:pPr>
                              <w:ind w:left="2268"/>
                              <w:rPr>
                                <w:rtl/>
                              </w:rPr>
                            </w:pPr>
                          </w:p>
                          <w:p w:rsidR="00B92F85" w:rsidP="007D4879" w14:textId="00AF6549">
                            <w:pPr>
                              <w:ind w:left="2268"/>
                            </w:pPr>
                          </w:p>
                          <w:p w:rsidR="00CA1F53" w:rsidP="007D4879" w14:textId="77777777">
                            <w:pPr>
                              <w:ind w:left="2268"/>
                              <w:rPr>
                                <w:rtl/>
                              </w:rPr>
                            </w:pPr>
                          </w:p>
                          <w:p w:rsidR="007D4879" w:rsidRPr="007D4879" w:rsidP="007D4879" w14:textId="644AD440">
                            <w:pPr>
                              <w:ind w:left="2268"/>
                              <w:rPr>
                                <w:rFonts w:ascii="Tahoma" w:hAnsi="Tahoma" w:eastAsiaTheme="minorEastAsia" w:cs="Tahoma"/>
                                <w:color w:val="FFFFFF" w:themeColor="background1"/>
                                <w:sz w:val="36"/>
                                <w:szCs w:val="36"/>
                                <w:rtl/>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ראשון</w:t>
                            </w:r>
                          </w:p>
                          <w:p w:rsidR="007D4879" w:rsidP="00536511" w14:textId="4677D847">
                            <w:pPr>
                              <w:spacing w:before="360" w:line="240" w:lineRule="auto"/>
                              <w:ind w:left="2268"/>
                              <w:jc w:val="left"/>
                              <w:rPr>
                                <w:rFonts w:ascii="Tahoma" w:hAnsi="Tahoma" w:cs="Tahoma"/>
                                <w:b/>
                                <w:bCs/>
                                <w:color w:val="FFFFFF" w:themeColor="background1"/>
                                <w:sz w:val="60"/>
                                <w:szCs w:val="60"/>
                                <w:rtl/>
                              </w:rPr>
                            </w:pPr>
                            <w:r>
                              <w:rPr>
                                <w:rFonts w:ascii="Tahoma" w:hAnsi="Tahoma" w:cs="Tahoma" w:hint="cs"/>
                                <w:b/>
                                <w:bCs/>
                                <w:color w:val="FFFFFF" w:themeColor="background1"/>
                                <w:sz w:val="60"/>
                                <w:szCs w:val="60"/>
                                <w:rtl/>
                              </w:rPr>
                              <w:t>נושאים מערכתיים</w:t>
                            </w:r>
                          </w:p>
                          <w:p w:rsidR="008A3B36" w:rsidRPr="00097DDD" w:rsidP="00536511" w14:textId="77777777">
                            <w:pPr>
                              <w:spacing w:before="360" w:line="240" w:lineRule="auto"/>
                              <w:ind w:left="2268"/>
                              <w:jc w:val="left"/>
                              <w:rPr>
                                <w:rFonts w:ascii="Tahoma" w:hAnsi="Tahoma" w:cs="Tahoma"/>
                                <w:b/>
                                <w:bCs/>
                                <w:color w:val="FFFFFF" w:themeColor="background1"/>
                                <w:sz w:val="60"/>
                                <w:szCs w:val="60"/>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width:385.65pt;height:336.5pt;margin-top:20.8pt;margin-left:-38.1pt;mso-height-percent:0;mso-height-relative:margin;mso-width-percent:0;mso-width-relative:margin;mso-wrap-distance-bottom:3.6pt;mso-wrap-distance-left:9pt;mso-wrap-distance-right:9pt;mso-wrap-distance-top:3.6pt;mso-wrap-style:square;position:absolute;visibility:visible;v-text-anchor:top;z-index:251667456" fillcolor="#00305f" stroked="f">
                <v:textbox>
                  <w:txbxContent>
                    <w:p w:rsidR="007D4879" w:rsidP="007D4879" w14:paraId="03FB1104" w14:textId="77777777">
                      <w:pPr>
                        <w:ind w:left="2268"/>
                        <w:rPr>
                          <w:rFonts w:ascii="Tahoma" w:hAnsi="Tahoma" w:cs="Tahoma"/>
                          <w:sz w:val="18"/>
                          <w:szCs w:val="18"/>
                          <w:rtl/>
                        </w:rPr>
                      </w:pPr>
                    </w:p>
                    <w:p w:rsidR="007D4879" w:rsidP="007D4879" w14:paraId="51C88AB6" w14:textId="77777777">
                      <w:pPr>
                        <w:ind w:left="2268"/>
                        <w:rPr>
                          <w:rFonts w:ascii="Tahoma" w:hAnsi="Tahoma" w:cs="Tahoma"/>
                          <w:sz w:val="18"/>
                          <w:szCs w:val="18"/>
                          <w:rtl/>
                        </w:rPr>
                      </w:pPr>
                    </w:p>
                    <w:p w:rsidR="00BE0734" w:rsidRPr="0052031E" w:rsidP="00BE0734" w14:paraId="2179C840"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7D4879" w:rsidP="00942C02" w14:paraId="2A6FA640" w14:textId="77777777">
                      <w:pPr>
                        <w:rPr>
                          <w:rtl/>
                        </w:rPr>
                      </w:pPr>
                    </w:p>
                    <w:p w:rsidR="00536511" w:rsidP="007D4879" w14:paraId="0F528BDE" w14:textId="33DF3CB3">
                      <w:pPr>
                        <w:ind w:left="2268"/>
                        <w:rPr>
                          <w:rtl/>
                        </w:rPr>
                      </w:pPr>
                    </w:p>
                    <w:p w:rsidR="00B92F85" w:rsidP="007D4879" w14:paraId="719CD493" w14:textId="00AF6549">
                      <w:pPr>
                        <w:ind w:left="2268"/>
                      </w:pPr>
                    </w:p>
                    <w:p w:rsidR="00CA1F53" w:rsidP="007D4879" w14:paraId="0B9A6B56" w14:textId="77777777">
                      <w:pPr>
                        <w:ind w:left="2268"/>
                        <w:rPr>
                          <w:rtl/>
                        </w:rPr>
                      </w:pPr>
                    </w:p>
                    <w:p w:rsidR="007D4879" w:rsidRPr="007D4879" w:rsidP="007D4879" w14:paraId="5F8B0EA8" w14:textId="644AD440">
                      <w:pPr>
                        <w:ind w:left="2268"/>
                        <w:rPr>
                          <w:rFonts w:ascii="Tahoma" w:hAnsi="Tahoma" w:eastAsiaTheme="minorEastAsia" w:cs="Tahoma"/>
                          <w:color w:val="FFFFFF" w:themeColor="background1"/>
                          <w:sz w:val="36"/>
                          <w:szCs w:val="36"/>
                          <w:rtl/>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ראשון</w:t>
                      </w:r>
                    </w:p>
                    <w:p w:rsidR="007D4879" w:rsidP="00536511" w14:paraId="74BE2961" w14:textId="4677D847">
                      <w:pPr>
                        <w:spacing w:before="360" w:line="240" w:lineRule="auto"/>
                        <w:ind w:left="2268"/>
                        <w:jc w:val="left"/>
                        <w:rPr>
                          <w:rFonts w:ascii="Tahoma" w:hAnsi="Tahoma" w:cs="Tahoma"/>
                          <w:b/>
                          <w:bCs/>
                          <w:color w:val="FFFFFF" w:themeColor="background1"/>
                          <w:sz w:val="60"/>
                          <w:szCs w:val="60"/>
                          <w:rtl/>
                        </w:rPr>
                      </w:pPr>
                      <w:r>
                        <w:rPr>
                          <w:rFonts w:ascii="Tahoma" w:hAnsi="Tahoma" w:cs="Tahoma" w:hint="cs"/>
                          <w:b/>
                          <w:bCs/>
                          <w:color w:val="FFFFFF" w:themeColor="background1"/>
                          <w:sz w:val="60"/>
                          <w:szCs w:val="60"/>
                          <w:rtl/>
                        </w:rPr>
                        <w:t>נושאים מערכתיים</w:t>
                      </w:r>
                    </w:p>
                    <w:p w:rsidR="008A3B36" w:rsidRPr="00097DDD" w:rsidP="00536511" w14:paraId="7EB0E764" w14:textId="77777777">
                      <w:pPr>
                        <w:spacing w:before="360" w:line="240" w:lineRule="auto"/>
                        <w:ind w:left="2268"/>
                        <w:jc w:val="left"/>
                        <w:rPr>
                          <w:rFonts w:ascii="Tahoma" w:hAnsi="Tahoma" w:cs="Tahoma"/>
                          <w:b/>
                          <w:bCs/>
                          <w:color w:val="FFFFFF" w:themeColor="background1"/>
                          <w:sz w:val="60"/>
                          <w:szCs w:val="60"/>
                          <w:rtl/>
                        </w:rPr>
                      </w:pPr>
                    </w:p>
                  </w:txbxContent>
                </v:textbox>
                <w10:wrap type="square"/>
              </v:shape>
            </w:pict>
          </mc:Fallback>
        </mc:AlternateContent>
      </w:r>
      <w:r w:rsidR="007D4879">
        <w:rPr>
          <w:rFonts w:ascii="Tahoma" w:hAnsi="Tahoma" w:cs="Tahoma"/>
          <w:noProof/>
          <w:szCs w:val="18"/>
        </w:rPr>
        <mc:AlternateContent>
          <mc:Choice Requires="wps">
            <w:drawing>
              <wp:anchor distT="0" distB="0" distL="114300" distR="114300" simplePos="0" relativeHeight="251664384" behindDoc="0" locked="0" layoutInCell="1" allowOverlap="1">
                <wp:simplePos x="0" y="0"/>
                <wp:positionH relativeFrom="column">
                  <wp:posOffset>-15163846</wp:posOffset>
                </wp:positionH>
                <wp:positionV relativeFrom="paragraph">
                  <wp:posOffset>-5918996</wp:posOffset>
                </wp:positionV>
                <wp:extent cx="20269200" cy="15478699"/>
                <wp:effectExtent l="12700" t="12700" r="12700" b="15875"/>
                <wp:wrapNone/>
                <wp:docPr id="33"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6"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5408" fillcolor="#00305f" strokecolor="#00305f" strokeweight="2pt"/>
            </w:pict>
          </mc:Fallback>
        </mc:AlternateContent>
      </w:r>
      <w:r w:rsidR="007D4879">
        <w:rPr>
          <w:rFonts w:hint="cs"/>
          <w:noProof/>
          <w:rtl/>
          <w:lang w:val="he-IL"/>
        </w:rPr>
        <w:drawing>
          <wp:anchor distT="0" distB="0" distL="114300" distR="114300" simplePos="0" relativeHeight="251668480"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47" name="Picture 26"/>
            <wp:cNvGraphicFramePr/>
            <a:graphic xmlns:a="http://schemas.openxmlformats.org/drawingml/2006/main">
              <a:graphicData uri="http://schemas.openxmlformats.org/drawingml/2006/picture">
                <pic:pic xmlns:pic="http://schemas.openxmlformats.org/drawingml/2006/picture">
                  <pic:nvPicPr>
                    <pic:cNvPr id="47" name="Picture 956"/>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Pr="0030415A" w:rsidR="007D4879">
        <w:rPr>
          <w:rFonts w:ascii="Tahoma" w:hAnsi="Tahoma" w:cs="Tahoma"/>
          <w:noProof/>
          <w:sz w:val="22"/>
          <w:szCs w:val="22"/>
          <w:rtl/>
        </w:rPr>
        <mc:AlternateContent>
          <mc:Choice Requires="wps">
            <w:drawing>
              <wp:anchor distT="0" distB="0" distL="114300" distR="114300" simplePos="0" relativeHeight="251662336"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34"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7" style="mso-wrap-distance-bottom:0;mso-wrap-distance-left:9pt;mso-wrap-distance-right:9pt;mso-wrap-distance-top:0;mso-wrap-style:square;position:absolute;visibility:visible;z-index:251663360" from="564.25pt,22.15pt" to="564.25pt,198.2pt" strokecolor="white" strokeweight="3.5pt"/>
            </w:pict>
          </mc:Fallback>
        </mc:AlternateContent>
      </w:r>
      <w:r w:rsidR="007D4879">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0"/>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652A94" w:rsidRPr="00652A94" w:rsidP="000960BA" w14:paraId="05AB505B" w14:textId="2E4FAD4E">
      <w:pPr>
        <w:rPr>
          <w:rFonts w:ascii="Tahoma" w:hAnsi="Tahoma" w:cs="Tahoma"/>
          <w:sz w:val="24"/>
        </w:rPr>
      </w:pPr>
    </w:p>
    <w:sectPr w:rsidSect="00384CCC">
      <w:headerReference w:type="default" r:id="rId30"/>
      <w:footerReference w:type="default" r:id="rId31"/>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A1ECD" w14:paraId="36F38642" w14:textId="77777777">
      <w:pPr>
        <w:spacing w:line="240" w:lineRule="auto"/>
      </w:pPr>
      <w:r>
        <w:separator/>
      </w:r>
    </w:p>
    <w:p w:rsidR="004A1ECD" w14:paraId="377251E4" w14:textId="77777777"/>
  </w:endnote>
  <w:endnote w:type="continuationSeparator" w:id="1">
    <w:p w:rsidR="004A1ECD" w14:paraId="530862CD" w14:textId="77777777">
      <w:pPr>
        <w:spacing w:line="240" w:lineRule="auto"/>
      </w:pPr>
      <w:r>
        <w:continuationSeparator/>
      </w:r>
    </w:p>
    <w:p w:rsidR="004A1ECD" w14:paraId="03C3388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B27" w:rsidP="00421B27" w14:paraId="03B2A4D0" w14:textId="77777777">
    <w:pPr>
      <w:pStyle w:val="Footer"/>
      <w:spacing w:after="120" w:line="312" w:lineRule="auto"/>
      <w:ind w:left="-510"/>
      <w:jc w:val="left"/>
      <w:rPr>
        <w:rFonts w:ascii="Tahoma" w:hAnsi="Tahoma" w:cs="Tahoma"/>
        <w:sz w:val="18"/>
        <w:szCs w:val="18"/>
        <w:rtl/>
      </w:rPr>
    </w:pPr>
  </w:p>
  <w:p w:rsidR="00421B27" w:rsidP="00421B27" w14:paraId="776980F9" w14:textId="3936E3AF">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Pr>
        <w:rFonts w:ascii="Tahoma" w:hAnsi="Tahoma" w:cs="Tahoma"/>
        <w:color w:val="004E6C"/>
        <w:sz w:val="18"/>
        <w:szCs w:val="18"/>
        <w:rtl/>
      </w:rPr>
      <w:tab/>
    </w:r>
  </w:p>
  <w:p w:rsidR="00421B27" w:rsidRPr="00421B27" w:rsidP="00421B27" w14:paraId="54BADE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BA" w:rsidP="00421B27" w14:paraId="28C6F32C" w14:textId="77777777">
    <w:pPr>
      <w:pStyle w:val="Footer"/>
      <w:spacing w:after="120" w:line="312" w:lineRule="auto"/>
      <w:ind w:left="-510"/>
      <w:jc w:val="left"/>
      <w:rPr>
        <w:rFonts w:ascii="Tahoma" w:hAnsi="Tahoma" w:cs="Tahoma"/>
        <w:sz w:val="18"/>
        <w:szCs w:val="18"/>
        <w:rtl/>
      </w:rPr>
    </w:pPr>
  </w:p>
  <w:p w:rsidR="000960BA" w:rsidP="00421B27" w14:paraId="736B9933"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0960BA" w:rsidRPr="00421B27" w:rsidP="00421B27" w14:paraId="01E13E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BA" w:rsidP="00421B27" w14:paraId="0778CDE0"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960BA" w14:paraId="407EB19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6B10" w:rsidRPr="00870DCF" w:rsidP="00870DCF" w14:paraId="4BE05C95" w14:textId="4E60D3A2">
    <w:pPr>
      <w:pStyle w:val="Footer"/>
      <w:spacing w:after="120" w:line="312" w:lineRule="auto"/>
      <w:ind w:right="-737"/>
      <w:jc w:val="left"/>
      <w:rPr>
        <w:rFonts w:ascii="Tahoma" w:hAnsi="Tahoma" w:cs="Tahoma"/>
        <w:sz w:val="18"/>
        <w:szCs w:val="18"/>
        <w:rtl/>
      </w:rPr>
    </w:pPr>
    <w:r w:rsidRPr="00F94EB4">
      <w:rPr>
        <w:rFonts w:ascii="Tahoma" w:hAnsi="Tahoma" w:cs="Tahoma"/>
        <w:sz w:val="18"/>
        <w:szCs w:val="18"/>
      </w:rPr>
      <w:t>|</w:t>
    </w:r>
    <w:r w:rsidRPr="005B086D">
      <w:rPr>
        <w:noProof/>
      </w:rPr>
      <w:t xml:space="preserve"> </w:t>
    </w: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t xml:space="preserve"> </w:t>
    </w:r>
    <w:r>
      <w:rPr>
        <w:rFonts w:ascii="Tahoma" w:hAnsi="Tahoma" w:cs="Tahoma" w:hint="cs"/>
        <w:sz w:val="18"/>
        <w:szCs w:val="18"/>
        <w:rtl/>
      </w:rPr>
      <w:t xml:space="preserve">18 </w:t>
    </w:r>
    <w:r w:rsidRPr="00F94EB4">
      <w:rPr>
        <w:rFonts w:ascii="Tahoma" w:hAnsi="Tahoma" w:cs="Tahoma"/>
        <w:sz w:val="18"/>
        <w:szCs w:val="18"/>
        <w:rtl/>
      </w:rPr>
      <w:t xml:space="preserve"> </w:t>
    </w:r>
    <w:r>
      <w:rPr>
        <w:rFonts w:ascii="Tahoma" w:hAnsi="Tahoma" w:cs="Tahoma" w:hint="cs"/>
        <w:sz w:val="18"/>
        <w:szCs w:val="18"/>
        <w:rt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33CF" w:rsidP="00F533CF" w14:paraId="3972D953" w14:textId="77777777">
    <w:pPr>
      <w:pStyle w:val="Footer"/>
      <w:spacing w:after="120" w:line="312" w:lineRule="auto"/>
      <w:ind w:right="-567"/>
      <w:jc w:val="right"/>
      <w:rPr>
        <w:rFonts w:ascii="Tahoma" w:hAnsi="Tahoma" w:cs="Tahoma"/>
        <w:sz w:val="18"/>
        <w:szCs w:val="18"/>
        <w:rtl/>
      </w:rPr>
    </w:pPr>
  </w:p>
  <w:p w:rsidR="007D4879" w:rsidRPr="00F533CF" w:rsidP="00F533CF" w14:paraId="2FB1586D" w14:textId="68236B78">
    <w:pPr>
      <w:pStyle w:val="Footer"/>
      <w:spacing w:after="120" w:line="312" w:lineRule="auto"/>
      <w:ind w:right="-737"/>
      <w:jc w:val="right"/>
      <w:rPr>
        <w:rFonts w:ascii="Tahoma" w:hAnsi="Tahoma" w:cs="Tahoma"/>
        <w:sz w:val="18"/>
        <w:szCs w:val="18"/>
      </w:rPr>
    </w:pPr>
    <w:r w:rsidRPr="00F94EB4">
      <w:rPr>
        <w:rFonts w:ascii="Tahoma" w:hAnsi="Tahoma" w:cs="Tahoma"/>
        <w:sz w:val="18"/>
        <w:szCs w:val="18"/>
      </w:rPr>
      <w:t>|</w:t>
    </w:r>
    <w:r w:rsidRPr="005B086D">
      <w:rPr>
        <w:noProof/>
      </w:rPr>
      <w:t xml:space="preserve"> </w:t>
    </w: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t xml:space="preserve"> </w:t>
    </w:r>
    <w:r w:rsidR="00870DCF">
      <w:rPr>
        <w:rFonts w:ascii="Tahoma" w:hAnsi="Tahoma" w:cs="Tahoma" w:hint="cs"/>
        <w:sz w:val="18"/>
        <w:szCs w:val="18"/>
        <w:rtl/>
      </w:rPr>
      <w:t>19</w:t>
    </w:r>
    <w:r>
      <w:rPr>
        <w:rFonts w:ascii="Tahoma" w:hAnsi="Tahoma" w:cs="Tahoma" w:hint="cs"/>
        <w:sz w:val="18"/>
        <w:szCs w:val="18"/>
        <w:rtl/>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1ECD" w:rsidP="00C23CC9" w14:paraId="45B0E260" w14:textId="77777777">
      <w:pPr>
        <w:spacing w:line="240" w:lineRule="auto"/>
      </w:pPr>
      <w:r>
        <w:separator/>
      </w:r>
    </w:p>
  </w:footnote>
  <w:footnote w:type="continuationSeparator" w:id="1">
    <w:p w:rsidR="004A1ECD" w:rsidP="00C23CC9" w14:paraId="6BA21CCC" w14:textId="77777777">
      <w:pPr>
        <w:spacing w:line="240" w:lineRule="auto"/>
      </w:pPr>
      <w:r>
        <w:continuationSeparator/>
      </w:r>
    </w:p>
    <w:p w:rsidR="004A1ECD" w14:paraId="4537AC1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7255AF" w14:paraId="5CDEE855" w14:textId="55C8974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F2565F" w14:paraId="5465C61E" w14:textId="0B61943C">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0272B" w14:paraId="3BA5282B" w14:textId="48BA833E">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DA4697" w:rsidP="00A33696" w14:paraId="0929BB0C" w14:textId="0BB42EA0">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89984"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587631">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P="006637B9"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4879" w:rsidRPr="001526AC" w:rsidP="00005B23" w14:paraId="6C4C705A"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5888" behindDoc="0" locked="0" layoutInCell="1" allowOverlap="1">
              <wp:simplePos x="0" y="0"/>
              <wp:positionH relativeFrom="column">
                <wp:posOffset>270856</wp:posOffset>
              </wp:positionH>
              <wp:positionV relativeFrom="paragraph">
                <wp:posOffset>353637</wp:posOffset>
              </wp:positionV>
              <wp:extent cx="4239491" cy="259080"/>
              <wp:effectExtent l="0" t="0" r="15240" b="7620"/>
              <wp:wrapNone/>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39491" cy="259080"/>
                      </a:xfrm>
                      <a:prstGeom prst="rect">
                        <a:avLst/>
                      </a:prstGeom>
                      <a:solidFill>
                        <a:srgbClr val="FFFFFF"/>
                      </a:solidFill>
                      <a:ln w="9525">
                        <a:solidFill>
                          <a:schemeClr val="bg1"/>
                        </a:solidFill>
                        <a:miter lim="800000"/>
                        <a:headEnd/>
                        <a:tailEnd/>
                      </a:ln>
                    </wps:spPr>
                    <wps:txbx>
                      <w:txbxContent>
                        <w:p w:rsidR="00F533CF" w:rsidRPr="004D562B" w:rsidP="00F533CF"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7D4879" w:rsidRPr="00A4133B" w:rsidP="00B244B0" w14:textId="6685C329">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8" type="#_x0000_t202" style="width:333.8pt;height:20.4pt;margin-top:27.85pt;margin-left:21.35pt;mso-height-percent:0;mso-height-relative:margin;mso-width-percent:0;mso-width-relative:margin;mso-wrap-distance-bottom:3.6pt;mso-wrap-distance-left:9pt;mso-wrap-distance-right:9pt;mso-wrap-distance-top:3.6pt;mso-wrap-style:square;position:absolute;visibility:visible;v-text-anchor:top;z-index:251686912" strokecolor="white">
              <v:textbox>
                <w:txbxContent>
                  <w:p w:rsidR="00F533CF" w:rsidRPr="004D562B" w:rsidP="00F533CF" w14:paraId="349CF56E"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7D4879" w:rsidRPr="00A4133B" w:rsidP="00B244B0" w14:paraId="462A99C9" w14:textId="6685C329">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79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4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4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46"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9" style="flip:x;mso-height-percent:0;mso-height-relative:margin;mso-width-percent:0;mso-width-relative:margin;mso-wrap-distance-bottom:0;mso-wrap-distance-left:9pt;mso-wrap-distance-right:9pt;mso-wrap-distance-top:0;mso-wrap-style:square;position:absolute;visibility:visible;z-index:251699200" from="-4.4pt,50.4pt" to="524.85pt,50.4pt" strokecolor="#0d0d0d" strokeweight="0.25p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14:paraId="1C6E1265" w14:textId="3F30320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18DE0C7A" w14:textId="26DB997D">
    <w:pPr>
      <w:pStyle w:val="Header"/>
      <w:tabs>
        <w:tab w:val="left" w:pos="493"/>
        <w:tab w:val="center" w:pos="4111"/>
        <w:tab w:val="clear" w:pos="4153"/>
        <w:tab w:val="right" w:pos="7478"/>
        <w:tab w:val="right" w:pos="8222"/>
        <w:tab w:val="clear" w:pos="8306"/>
      </w:tabs>
      <w:jc w:val="left"/>
      <w:rPr>
        <w:rtl/>
      </w:rPr>
    </w:pPr>
  </w:p>
  <w:p w:rsidR="00DA4697" w:rsidP="00005B23" w14:paraId="1172F310" w14:textId="0B0E20C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88960" from="-4.4pt,50.4pt" to="524.85pt,50.4pt" strokecolor="#0d0d0d" strokeweight="0.25pt"/>
          </w:pict>
        </mc:Fallback>
      </mc:AlternateContent>
    </w:r>
  </w:p>
  <w:p w:rsidR="00DA4697" w:rsidRPr="001526AC" w:rsidP="00005B23" w14:paraId="7C0E7E90" w14:textId="380C7A4A">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B86B10" w:rsidRPr="004D562B" w:rsidP="00B86B10" w14:textId="064ADAE5">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w:t>
                          </w:r>
                          <w:r w:rsidR="00B92F85">
                            <w:rPr>
                              <w:rFonts w:ascii="Tahoma" w:hAnsi="Tahoma" w:cs="Tahoma" w:hint="cs"/>
                              <w:color w:val="0D0D0D"/>
                              <w:sz w:val="16"/>
                              <w:szCs w:val="16"/>
                              <w:rtl/>
                            </w:rPr>
                            <w:t>שנתי 72ב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w:t>
                          </w:r>
                          <w:r w:rsidR="00B92F85">
                            <w:rPr>
                              <w:rFonts w:ascii="Tahoma" w:hAnsi="Tahoma" w:cs="Tahoma" w:hint="cs"/>
                              <w:color w:val="0D0D0D"/>
                              <w:sz w:val="16"/>
                              <w:szCs w:val="16"/>
                              <w:rtl/>
                            </w:rPr>
                            <w:t>ב</w:t>
                          </w:r>
                          <w:r w:rsidRPr="004D562B">
                            <w:rPr>
                              <w:rFonts w:ascii="Tahoma" w:hAnsi="Tahoma" w:cs="Tahoma" w:hint="cs"/>
                              <w:color w:val="0D0D0D"/>
                              <w:sz w:val="16"/>
                              <w:szCs w:val="16"/>
                              <w:rtl/>
                            </w:rPr>
                            <w:t>-202</w:t>
                          </w:r>
                          <w:r w:rsidR="00B92F85">
                            <w:rPr>
                              <w:rFonts w:ascii="Tahoma" w:hAnsi="Tahoma" w:cs="Tahoma" w:hint="cs"/>
                              <w:color w:val="0D0D0D"/>
                              <w:sz w:val="16"/>
                              <w:szCs w:val="16"/>
                              <w:rtl/>
                            </w:rPr>
                            <w:t>2</w:t>
                          </w:r>
                          <w:r w:rsidRPr="004D562B">
                            <w:rPr>
                              <w:rFonts w:hint="cs"/>
                              <w:color w:val="0D0D0D"/>
                              <w:sz w:val="16"/>
                              <w:szCs w:val="16"/>
                              <w:rtl/>
                            </w:rPr>
                            <w:t xml:space="preserve">         </w:t>
                          </w:r>
                        </w:p>
                        <w:p w:rsidR="00DA4697" w:rsidRPr="00B86B10" w:rsidP="00B244B0" w14:textId="3721DC5B">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3.5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B86B10" w:rsidRPr="004D562B" w:rsidP="00B86B10" w14:paraId="0CD3565D" w14:textId="064ADAE5">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w:t>
                    </w:r>
                    <w:r w:rsidR="00B92F85">
                      <w:rPr>
                        <w:rFonts w:ascii="Tahoma" w:hAnsi="Tahoma" w:cs="Tahoma" w:hint="cs"/>
                        <w:color w:val="0D0D0D"/>
                        <w:sz w:val="16"/>
                        <w:szCs w:val="16"/>
                        <w:rtl/>
                      </w:rPr>
                      <w:t>שנתי 72ב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w:t>
                    </w:r>
                    <w:r w:rsidR="00B92F85">
                      <w:rPr>
                        <w:rFonts w:ascii="Tahoma" w:hAnsi="Tahoma" w:cs="Tahoma" w:hint="cs"/>
                        <w:color w:val="0D0D0D"/>
                        <w:sz w:val="16"/>
                        <w:szCs w:val="16"/>
                        <w:rtl/>
                      </w:rPr>
                      <w:t>ב</w:t>
                    </w:r>
                    <w:r w:rsidRPr="004D562B">
                      <w:rPr>
                        <w:rFonts w:ascii="Tahoma" w:hAnsi="Tahoma" w:cs="Tahoma" w:hint="cs"/>
                        <w:color w:val="0D0D0D"/>
                        <w:sz w:val="16"/>
                        <w:szCs w:val="16"/>
                        <w:rtl/>
                      </w:rPr>
                      <w:t>-202</w:t>
                    </w:r>
                    <w:r w:rsidR="00B92F85">
                      <w:rPr>
                        <w:rFonts w:ascii="Tahoma" w:hAnsi="Tahoma" w:cs="Tahoma" w:hint="cs"/>
                        <w:color w:val="0D0D0D"/>
                        <w:sz w:val="16"/>
                        <w:szCs w:val="16"/>
                        <w:rtl/>
                      </w:rPr>
                      <w:t>2</w:t>
                    </w:r>
                    <w:r w:rsidRPr="004D562B">
                      <w:rPr>
                        <w:rFonts w:hint="cs"/>
                        <w:color w:val="0D0D0D"/>
                        <w:sz w:val="16"/>
                        <w:szCs w:val="16"/>
                        <w:rtl/>
                      </w:rPr>
                      <w:t xml:space="preserve">         </w:t>
                    </w:r>
                  </w:p>
                  <w:p w:rsidR="00DA4697" w:rsidRPr="00B86B10" w:rsidP="00B244B0" w14:paraId="1CF273F4" w14:textId="3721DC5B">
                    <w:pPr>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E5A" w:rsidP="006B15E1" w14:paraId="767AEAC6" w14:textId="684D7A20">
    <w:pPr>
      <w:pStyle w:val="Header"/>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923" w:rsidP="007255AF" w14:paraId="69C8A7C3"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2923" w:rsidP="00F2565F" w14:paraId="51D8CE76"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7974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1292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5712" filled="f" strokecolor="#a5a5a5" strokeweight="0.25pt">
              <v:stroke dashstyle="longDash"/>
              <v:textbox>
                <w:txbxContent>
                  <w:p w:rsidR="00112923" w:rsidRPr="00DE3ECA" w:rsidP="00E82EA3" w14:paraId="7E2783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12923" w:rsidP="007255AF" w14:paraId="057570EB"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2923" w:rsidP="007255AF" w14:paraId="05799801"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2923" w:rsidP="00A33696" w14:paraId="24C90D6C"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112923" w:rsidRPr="00587631" w:rsidP="006637B9" w14:textId="50C35649">
                          <w:pPr>
                            <w:jc w:val="left"/>
                            <w:rPr>
                              <w:sz w:val="16"/>
                              <w:szCs w:val="16"/>
                            </w:rPr>
                          </w:pPr>
                          <w:r>
                            <w:rPr>
                              <w:rFonts w:ascii="Tahoma" w:hAnsi="Tahoma" w:cs="Tahoma" w:hint="cs"/>
                              <w:color w:val="002060"/>
                              <w:sz w:val="18"/>
                              <w:szCs w:val="18"/>
                              <w:rtl/>
                            </w:rPr>
                            <w:t xml:space="preserve">         </w:t>
                          </w:r>
                          <w:r w:rsidR="005A6171">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7" type="#_x0000_t202" style="width:261.2pt;height:22.1pt;margin-top:5.85pt;margin-left:112.4pt;mso-wrap-distance-bottom:0;mso-wrap-distance-left:9pt;mso-wrap-distance-right:9pt;mso-wrap-distance-top:0;mso-wrap-style:square;position:absolute;visibility:visible;v-text-anchor:top;z-index:251682816" stroked="f">
              <v:textbox style="mso-fit-shape-to-text:t">
                <w:txbxContent>
                  <w:p w:rsidR="00112923" w:rsidRPr="00587631" w:rsidP="006637B9" w14:paraId="25F944B1" w14:textId="50C35649">
                    <w:pPr>
                      <w:jc w:val="left"/>
                      <w:rPr>
                        <w:sz w:val="16"/>
                        <w:szCs w:val="16"/>
                      </w:rPr>
                    </w:pPr>
                    <w:r>
                      <w:rPr>
                        <w:rFonts w:ascii="Tahoma" w:hAnsi="Tahoma" w:cs="Tahoma" w:hint="cs"/>
                        <w:color w:val="002060"/>
                        <w:sz w:val="18"/>
                        <w:szCs w:val="18"/>
                        <w:rtl/>
                      </w:rPr>
                      <w:t xml:space="preserve">         </w:t>
                    </w:r>
                    <w:r w:rsidR="005A6171">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28"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58" style="flip:x;mso-height-percent:0;mso-height-relative:margin;mso-width-percent:0;mso-width-relative:margin;mso-wrap-distance-bottom:0;mso-wrap-distance-left:9pt;mso-wrap-distance-right:9pt;mso-wrap-distance-top:0;mso-wrap-style:square;position:absolute;visibility:visible;z-index:251698176" from="-122.4pt,30.05pt" to="368.6pt,30.05pt" strokecolor="#0d0d0d" strokeweight="0.25pt"/>
          </w:pict>
        </mc:Fallback>
      </mc:AlternateContent>
    </w:r>
    <w:r>
      <w:rPr>
        <w:rFonts w:ascii="Tahoma" w:hAnsi="Tahoma" w:cs="Tahoma"/>
        <w:color w:val="002060"/>
        <w:sz w:val="18"/>
        <w:szCs w:val="18"/>
      </w:rPr>
      <w:tab/>
    </w:r>
    <w:r>
      <w:rPr>
        <w:rtl/>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923" w:rsidP="001526AC" w14:paraId="420DE222"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667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12923"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8784" filled="f" strokecolor="#a5a5a5" strokeweight="0.25pt">
              <v:stroke dashstyle="longDash"/>
              <v:textbox>
                <w:txbxContent>
                  <w:p w:rsidR="00112923" w:rsidRPr="00DE3ECA" w:rsidP="00C86967" w14:paraId="628DB1A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12923" w:rsidP="001526AC" w14:paraId="29A910D6" w14:textId="77777777">
    <w:pPr>
      <w:pStyle w:val="Header"/>
      <w:tabs>
        <w:tab w:val="left" w:pos="493"/>
        <w:tab w:val="center" w:pos="4111"/>
        <w:tab w:val="clear" w:pos="4153"/>
        <w:tab w:val="right" w:pos="7478"/>
        <w:tab w:val="right" w:pos="8222"/>
        <w:tab w:val="clear" w:pos="8306"/>
      </w:tabs>
      <w:jc w:val="left"/>
      <w:rPr>
        <w:rtl/>
      </w:rPr>
    </w:pPr>
  </w:p>
  <w:p w:rsidR="00112923" w:rsidP="00005B23" w14:paraId="55F7BD74" w14:textId="63AE66C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0"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p w:rsidR="00112923" w:rsidRPr="001526AC" w:rsidP="00005B23" w14:paraId="1C2BF192" w14:textId="34A9C9A5">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3600"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BE0734" w:rsidRPr="004D562B" w:rsidP="00BE0734"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112923" w:rsidRPr="00BE0734" w:rsidP="00B244B0" w14:textId="1F54F5E2">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1"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74624" strokecolor="white">
              <v:textbox>
                <w:txbxContent>
                  <w:p w:rsidR="00BE0734" w:rsidRPr="004D562B" w:rsidP="00BE0734" w14:paraId="49543F0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112923" w:rsidRPr="00BE0734" w:rsidP="00B244B0" w14:paraId="11D34C6B" w14:textId="1F54F5E2">
                    <w:pPr>
                      <w:jc w:val="right"/>
                      <w:rPr>
                        <w:color w:val="0D0D0D" w:themeColor="text1" w:themeTint="F2"/>
                        <w:sz w:val="16"/>
                        <w:szCs w:val="16"/>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146" w:rsidP="007255AF" w14:paraId="3C9D1752"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F2565F" w14:paraId="71947901"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7032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051146"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2160" filled="f" strokecolor="#a5a5a5" strokeweight="0.25pt">
              <v:stroke dashstyle="longDash"/>
              <v:textbox>
                <w:txbxContent>
                  <w:p w:rsidR="00051146" w:rsidRPr="00DE3ECA" w:rsidP="00E82EA3" w14:paraId="411ABCD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051146" w:rsidP="007255AF" w14:paraId="67F321D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7255AF" w14:paraId="7566D08E"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A33696" w14:paraId="045BDD69"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707392"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705344"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051146" w:rsidRPr="00587631" w:rsidP="006637B9" w14:textId="46A5C3C4">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63" type="#_x0000_t202" style="width:261.2pt;height:22.1pt;margin-top:5.85pt;margin-left:112.4pt;mso-wrap-distance-bottom:0;mso-wrap-distance-left:9pt;mso-wrap-distance-right:9pt;mso-wrap-distance-top:0;mso-wrap-style:square;position:absolute;visibility:visible;v-text-anchor:top;z-index:251706368" stroked="f">
              <v:textbox style="mso-fit-shape-to-text:t">
                <w:txbxContent>
                  <w:p w:rsidR="00051146" w:rsidRPr="00587631" w:rsidP="006637B9" w14:paraId="39CB0574" w14:textId="46A5C3C4">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64" style="flip:x;mso-height-percent:0;mso-height-relative:margin;mso-width-percent:0;mso-width-relative:margin;mso-wrap-distance-bottom:0;mso-wrap-distance-left:9pt;mso-wrap-distance-right:9pt;mso-wrap-distance-top:0;mso-wrap-style:square;position:absolute;visibility:visible;z-index:251702272" from="-122.4pt,30.05pt" to="368.6pt,30.05pt" strokecolor="#0d0d0d" strokeweight="0.25pt"/>
          </w:pict>
        </mc:Fallback>
      </mc:AlternateContent>
    </w:r>
    <w:r>
      <w:rPr>
        <w:rFonts w:ascii="Tahoma" w:hAnsi="Tahoma" w:cs="Tahoma"/>
        <w:color w:val="002060"/>
        <w:sz w:val="18"/>
        <w:szCs w:val="18"/>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105" w:rsidP="001526AC" w14:paraId="0B18CF71"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510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D6105"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0352" filled="f" strokecolor="#a5a5a5" strokeweight="0.25pt">
              <v:stroke dashstyle="longDash"/>
              <v:textbox>
                <w:txbxContent>
                  <w:p w:rsidR="004D6105" w:rsidRPr="00DE3ECA" w:rsidP="00C86967" w14:paraId="624F7C0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4D6105" w:rsidP="001526AC" w14:paraId="51DAD23B" w14:textId="77777777">
    <w:pPr>
      <w:pStyle w:val="Header"/>
      <w:tabs>
        <w:tab w:val="left" w:pos="493"/>
        <w:tab w:val="center" w:pos="4111"/>
        <w:tab w:val="clear" w:pos="4153"/>
        <w:tab w:val="right" w:pos="7478"/>
        <w:tab w:val="right" w:pos="8222"/>
        <w:tab w:val="clear" w:pos="8306"/>
      </w:tabs>
      <w:jc w:val="left"/>
      <w:rPr>
        <w:rtl/>
      </w:rPr>
    </w:pPr>
  </w:p>
  <w:p w:rsidR="004D6105" w:rsidP="00005B23" w14:paraId="52BFF368"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9408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100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6" style="flip:x;mso-height-percent:0;mso-height-relative:margin;mso-width-percent:0;mso-width-relative:margin;mso-wrap-distance-bottom:0;mso-wrap-distance-left:9pt;mso-wrap-distance-right:9pt;mso-wrap-distance-top:0;mso-wrap-style:square;position:absolute;visibility:visible;z-index:251700224" from="-4.4pt,50.4pt" to="524.85pt,50.4pt" strokecolor="#0d0d0d" strokeweight="0.25pt"/>
          </w:pict>
        </mc:Fallback>
      </mc:AlternateContent>
    </w:r>
  </w:p>
  <w:p w:rsidR="004D6105" w:rsidRPr="001526AC" w:rsidP="00005B23" w14:paraId="28E9ABA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2032"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BE0734" w:rsidRPr="004D562B" w:rsidP="00BE0734"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4D6105" w:rsidRPr="00BE0734"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93056" strokecolor="white">
              <v:textbox>
                <w:txbxContent>
                  <w:p w:rsidR="00BE0734" w:rsidRPr="004D562B" w:rsidP="00BE0734" w14:paraId="36DC1863"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4D6105" w:rsidRPr="00BE0734" w:rsidP="00B244B0" w14:paraId="606A8C54" w14:textId="77777777">
                    <w:pPr>
                      <w:jc w:val="right"/>
                      <w:rPr>
                        <w:color w:val="0D0D0D" w:themeColor="text1" w:themeTint="F2"/>
                        <w:sz w:val="16"/>
                        <w:szCs w:val="16"/>
                      </w:rPr>
                    </w:pP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6B10" w:rsidP="007255AF" w14:paraId="5DC84216"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86B10" w:rsidP="00F2565F" w14:paraId="669C1CE8" w14:textId="7BF0478E">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B86B10" w:rsidP="007255AF" w14:paraId="0E0DE519"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86B10" w:rsidP="007255AF" w14:paraId="461AAA60"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86B10" w:rsidP="00A33696" w14:paraId="08070ADB" w14:textId="3DFC8308">
    <w:pPr>
      <w:pStyle w:val="Header"/>
      <w:tabs>
        <w:tab w:val="left" w:pos="493"/>
        <w:tab w:val="clear" w:pos="4153"/>
        <w:tab w:val="left" w:pos="5150"/>
        <w:tab w:val="clear" w:pos="8306"/>
      </w:tabs>
      <w:rPr>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4879" w:rsidP="00A33696" w14:paraId="45F53B68" w14:textId="1D5BCE4C">
    <w:pPr>
      <w:pStyle w:val="Header"/>
      <w:tabs>
        <w:tab w:val="left" w:pos="493"/>
        <w:tab w:val="clear" w:pos="4153"/>
        <w:tab w:val="left" w:pos="5150"/>
        <w:tab w:val="clear" w:pos="8306"/>
      </w:tabs>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9">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2"/>
  </w:num>
  <w:num w:numId="3">
    <w:abstractNumId w:val="19"/>
  </w:num>
  <w:num w:numId="4">
    <w:abstractNumId w:val="15"/>
  </w:num>
  <w:num w:numId="5">
    <w:abstractNumId w:val="10"/>
  </w:num>
  <w:num w:numId="6">
    <w:abstractNumId w:val="11"/>
  </w:num>
  <w:num w:numId="7">
    <w:abstractNumId w:val="22"/>
  </w:num>
  <w:num w:numId="8">
    <w:abstractNumId w:val="1"/>
  </w:num>
  <w:num w:numId="9">
    <w:abstractNumId w:val="13"/>
  </w:num>
  <w:num w:numId="10">
    <w:abstractNumId w:val="4"/>
  </w:num>
  <w:num w:numId="11">
    <w:abstractNumId w:val="17"/>
  </w:num>
  <w:num w:numId="12">
    <w:abstractNumId w:val="3"/>
  </w:num>
  <w:num w:numId="13">
    <w:abstractNumId w:val="6"/>
  </w:num>
  <w:num w:numId="14">
    <w:abstractNumId w:val="18"/>
  </w:num>
  <w:num w:numId="15">
    <w:abstractNumId w:val="8"/>
  </w:num>
  <w:num w:numId="16">
    <w:abstractNumId w:val="20"/>
  </w:num>
  <w:num w:numId="17">
    <w:abstractNumId w:val="5"/>
  </w:num>
  <w:num w:numId="18">
    <w:abstractNumId w:val="2"/>
  </w:num>
  <w:num w:numId="19">
    <w:abstractNumId w:val="21"/>
  </w:num>
  <w:num w:numId="20">
    <w:abstractNumId w:val="14"/>
  </w:num>
  <w:num w:numId="21">
    <w:abstractNumId w:val="9"/>
  </w:num>
  <w:num w:numId="22">
    <w:abstractNumId w:val="0"/>
  </w:num>
  <w:num w:numId="2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1"/>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49CF"/>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944"/>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CCD"/>
    <w:rsid w:val="001321A1"/>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32EE"/>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DCC"/>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0AFF"/>
    <w:rsid w:val="002419F2"/>
    <w:rsid w:val="00243E20"/>
    <w:rsid w:val="00244096"/>
    <w:rsid w:val="0024417D"/>
    <w:rsid w:val="00244C55"/>
    <w:rsid w:val="00245470"/>
    <w:rsid w:val="00246CD7"/>
    <w:rsid w:val="00247C83"/>
    <w:rsid w:val="00250370"/>
    <w:rsid w:val="0025068A"/>
    <w:rsid w:val="00250751"/>
    <w:rsid w:val="002516DF"/>
    <w:rsid w:val="00251766"/>
    <w:rsid w:val="00251B50"/>
    <w:rsid w:val="00254CF4"/>
    <w:rsid w:val="00255877"/>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EEE"/>
    <w:rsid w:val="00266618"/>
    <w:rsid w:val="0027101D"/>
    <w:rsid w:val="0027121E"/>
    <w:rsid w:val="0027188F"/>
    <w:rsid w:val="002739B2"/>
    <w:rsid w:val="00273A52"/>
    <w:rsid w:val="0027424D"/>
    <w:rsid w:val="00275375"/>
    <w:rsid w:val="00275A79"/>
    <w:rsid w:val="00276563"/>
    <w:rsid w:val="00276AC9"/>
    <w:rsid w:val="00276D55"/>
    <w:rsid w:val="00277114"/>
    <w:rsid w:val="00277246"/>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DC6"/>
    <w:rsid w:val="002D1688"/>
    <w:rsid w:val="002D1D7A"/>
    <w:rsid w:val="002D2963"/>
    <w:rsid w:val="002D2CAC"/>
    <w:rsid w:val="002D2F7A"/>
    <w:rsid w:val="002D3201"/>
    <w:rsid w:val="002D32DB"/>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005"/>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59D"/>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C39"/>
    <w:rsid w:val="00432A56"/>
    <w:rsid w:val="00433DC5"/>
    <w:rsid w:val="00434C19"/>
    <w:rsid w:val="004353A2"/>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ECD"/>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84F"/>
    <w:rsid w:val="004C1B90"/>
    <w:rsid w:val="004C1BDC"/>
    <w:rsid w:val="004C2149"/>
    <w:rsid w:val="004C2531"/>
    <w:rsid w:val="004C2B02"/>
    <w:rsid w:val="004C3342"/>
    <w:rsid w:val="004C33A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1C5"/>
    <w:rsid w:val="00654347"/>
    <w:rsid w:val="00654926"/>
    <w:rsid w:val="00654C6A"/>
    <w:rsid w:val="00655407"/>
    <w:rsid w:val="00655B41"/>
    <w:rsid w:val="00656807"/>
    <w:rsid w:val="00656821"/>
    <w:rsid w:val="006569B1"/>
    <w:rsid w:val="006572F6"/>
    <w:rsid w:val="00657379"/>
    <w:rsid w:val="00657BBC"/>
    <w:rsid w:val="006600F5"/>
    <w:rsid w:val="0066027D"/>
    <w:rsid w:val="00660609"/>
    <w:rsid w:val="006609B1"/>
    <w:rsid w:val="006613B0"/>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6F46"/>
    <w:rsid w:val="00677A1C"/>
    <w:rsid w:val="00677C73"/>
    <w:rsid w:val="00677F7C"/>
    <w:rsid w:val="006805A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5EEB"/>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874"/>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0CC7"/>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36F6"/>
    <w:rsid w:val="007C4108"/>
    <w:rsid w:val="007C4418"/>
    <w:rsid w:val="007C45FB"/>
    <w:rsid w:val="007C4A9A"/>
    <w:rsid w:val="007C553D"/>
    <w:rsid w:val="007C56CB"/>
    <w:rsid w:val="007C5CAC"/>
    <w:rsid w:val="007C76F8"/>
    <w:rsid w:val="007C7734"/>
    <w:rsid w:val="007C7784"/>
    <w:rsid w:val="007D01B9"/>
    <w:rsid w:val="007D0632"/>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50F"/>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2769"/>
    <w:rsid w:val="009B3610"/>
    <w:rsid w:val="009B37D3"/>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711E"/>
    <w:rsid w:val="009F7F2B"/>
    <w:rsid w:val="00A0001D"/>
    <w:rsid w:val="00A01037"/>
    <w:rsid w:val="00A0119C"/>
    <w:rsid w:val="00A017D4"/>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6F56"/>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9EE"/>
    <w:rsid w:val="00AB19B4"/>
    <w:rsid w:val="00AB2400"/>
    <w:rsid w:val="00AB25DF"/>
    <w:rsid w:val="00AB4096"/>
    <w:rsid w:val="00AB5377"/>
    <w:rsid w:val="00AB5B77"/>
    <w:rsid w:val="00AB7D08"/>
    <w:rsid w:val="00AB7F83"/>
    <w:rsid w:val="00AC0B81"/>
    <w:rsid w:val="00AC2300"/>
    <w:rsid w:val="00AC3077"/>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33D"/>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3C6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6B18"/>
    <w:rsid w:val="00BC75B3"/>
    <w:rsid w:val="00BC7E15"/>
    <w:rsid w:val="00BC7E36"/>
    <w:rsid w:val="00BD0148"/>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7251"/>
    <w:rsid w:val="00C6774F"/>
    <w:rsid w:val="00C677AA"/>
    <w:rsid w:val="00C67C89"/>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182A"/>
    <w:rsid w:val="00D32136"/>
    <w:rsid w:val="00D3222B"/>
    <w:rsid w:val="00D3227D"/>
    <w:rsid w:val="00D330D8"/>
    <w:rsid w:val="00D33197"/>
    <w:rsid w:val="00D33567"/>
    <w:rsid w:val="00D33EEE"/>
    <w:rsid w:val="00D341A7"/>
    <w:rsid w:val="00D34B4B"/>
    <w:rsid w:val="00D35236"/>
    <w:rsid w:val="00D35305"/>
    <w:rsid w:val="00D3579C"/>
    <w:rsid w:val="00D364BB"/>
    <w:rsid w:val="00D36F29"/>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018"/>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589A"/>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1F7D"/>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B9E"/>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5AC"/>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183"/>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ABC"/>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6DE"/>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A4D"/>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21" Type="http://schemas.openxmlformats.org/officeDocument/2006/relationships/footer" Target="footer2.xml"/><Relationship Id="rId3" Type="http://schemas.openxmlformats.org/officeDocument/2006/relationships/settings" Target="settings.xml"/><Relationship Id="rId34"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numbering" Target="numbering.xml"/><Relationship Id="rId7" Type="http://schemas.openxmlformats.org/officeDocument/2006/relationships/customXml" Target="../customXml/item2.xml"/><Relationship Id="rId16" Type="http://schemas.openxmlformats.org/officeDocument/2006/relationships/hyperlink" Target="https://edit.mevaker.gov.il/" TargetMode="External"/><Relationship Id="rId2" Type="http://schemas.openxmlformats.org/officeDocument/2006/relationships/endnotes" Target="endnotes.xml"/><Relationship Id="rId20" Type="http://schemas.openxmlformats.org/officeDocument/2006/relationships/header" Target="header6.xml"/><Relationship Id="rId29" Type="http://schemas.openxmlformats.org/officeDocument/2006/relationships/image" Target="media/image5.jpeg"/><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image" Target="media/image2.jpeg"/><Relationship Id="rId23" Type="http://schemas.openxmlformats.org/officeDocument/2006/relationships/header" Target="header7.xml"/><Relationship Id="rId28" Type="http://schemas.openxmlformats.org/officeDocument/2006/relationships/footer" Target="footer5.xml"/><Relationship Id="rId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footer" Target="footer6.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customXml" Target="../customXml/item4.xml"/><Relationship Id="rId8" Type="http://schemas.openxmlformats.org/officeDocument/2006/relationships/customXml" Target="../customXml/item3.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10.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1.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6.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2.xml><?xml version="1.0" encoding="utf-8"?>
<ds:datastoreItem xmlns:ds="http://schemas.openxmlformats.org/officeDocument/2006/customXml" ds:itemID="{C64EF512-9D18-41F2-9C0D-12CA43C7282C}"/>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