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5"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3AA4452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192676</wp:posOffset>
                </wp:positionH>
                <wp:positionV relativeFrom="paragraph">
                  <wp:posOffset>1866999</wp:posOffset>
                </wp:positionV>
                <wp:extent cx="2658341" cy="0"/>
                <wp:effectExtent l="12700" t="12700" r="889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58341"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8" style="flip:x;mso-height-percent:0;mso-height-relative:margin;mso-width-percent:0;mso-width-relative:margin;mso-wrap-distance-bottom:0;mso-wrap-distance-left:9pt;mso-wrap-distance-right:9pt;mso-wrap-distance-top:0;mso-wrap-style:square;position:absolute;visibility:visible;z-index:251669504" from="15.15pt,147pt" to="224.45pt,147pt" strokecolor="white" strokeweight="1.5pt"/>
            </w:pict>
          </mc:Fallback>
        </mc:AlternateContent>
      </w:r>
      <w:r w:rsidR="006D3893">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3062217</wp:posOffset>
                </wp:positionH>
                <wp:positionV relativeFrom="paragraph">
                  <wp:posOffset>363946</wp:posOffset>
                </wp:positionV>
                <wp:extent cx="0" cy="3348841"/>
                <wp:effectExtent l="25400" t="0" r="25400" b="2984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4884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1pt,28.65pt" to="241.1pt,292.35pt" strokecolor="white" strokeweight="4pt"/>
            </w:pict>
          </mc:Fallback>
        </mc:AlternateContent>
      </w:r>
      <w:r w:rsidRPr="0030415A" w:rsidR="006D3893">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-192405</wp:posOffset>
                </wp:positionH>
                <wp:positionV relativeFrom="paragraph">
                  <wp:posOffset>258445</wp:posOffset>
                </wp:positionV>
                <wp:extent cx="46024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02480"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157710" w:rsidRPr="0052031E" w:rsidP="00157710"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4359" w:rsidP="0052031E" w14:textId="77777777">
                            <w:pPr>
                              <w:ind w:left="2268"/>
                            </w:pPr>
                          </w:p>
                          <w:p w:rsidR="00674359" w:rsidP="0052031E" w14:textId="77777777">
                            <w:pPr>
                              <w:ind w:left="2268"/>
                            </w:pPr>
                          </w:p>
                          <w:p w:rsidR="00CB22A1" w:rsidRPr="00876ED9" w:rsidP="00D801E4" w14:textId="261929D3">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p>
                          <w:p w:rsidR="00CB22A1" w:rsidP="006D3893" w14:textId="42AECD9C">
                            <w:pPr>
                              <w:spacing w:before="360" w:line="600" w:lineRule="exact"/>
                              <w:ind w:left="2268"/>
                              <w:jc w:val="left"/>
                              <w:rPr>
                                <w:rFonts w:ascii="Tahoma" w:hAnsi="Tahoma" w:cs="Tahoma"/>
                                <w:b/>
                                <w:bCs/>
                                <w:color w:val="FFFFFF" w:themeColor="background1"/>
                                <w:sz w:val="44"/>
                                <w:szCs w:val="44"/>
                              </w:rPr>
                            </w:pPr>
                            <w:r w:rsidRPr="00717974">
                              <w:rPr>
                                <w:rFonts w:ascii="Tahoma" w:hAnsi="Tahoma" w:cs="Tahoma"/>
                                <w:b/>
                                <w:bCs/>
                                <w:color w:val="FFFFFF" w:themeColor="background1"/>
                                <w:sz w:val="44"/>
                                <w:szCs w:val="44"/>
                                <w:rtl/>
                              </w:rPr>
                              <w:t xml:space="preserve">הפיקוח על טוהר הבחירות לכנסת </w:t>
                            </w:r>
                            <w:r>
                              <w:rPr>
                                <w:rFonts w:ascii="Tahoma" w:hAnsi="Tahoma" w:cs="Tahoma"/>
                                <w:b/>
                                <w:bCs/>
                                <w:color w:val="FFFFFF" w:themeColor="background1"/>
                                <w:sz w:val="44"/>
                                <w:szCs w:val="44"/>
                                <w:rtl/>
                              </w:rPr>
                              <w:br/>
                            </w:r>
                            <w:r w:rsidRPr="00717974">
                              <w:rPr>
                                <w:rFonts w:ascii="Tahoma" w:hAnsi="Tahoma" w:cs="Tahoma"/>
                                <w:b/>
                                <w:bCs/>
                                <w:color w:val="FFFFFF" w:themeColor="background1"/>
                                <w:sz w:val="44"/>
                                <w:szCs w:val="44"/>
                                <w:rtl/>
                              </w:rPr>
                              <w:t>ה-24</w:t>
                            </w:r>
                          </w:p>
                          <w:p w:rsidR="000C41BF" w:rsidRPr="00344BBF" w:rsidP="006D3893"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62.4pt;height:336.5pt;margin-top:20.35pt;margin-left:-15.1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157710" w:rsidRPr="0052031E" w:rsidP="00157710" w14:paraId="5AC94561"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674359" w:rsidP="0052031E" w14:paraId="3E02C27E" w14:textId="77777777">
                      <w:pPr>
                        <w:ind w:left="2268"/>
                      </w:pPr>
                    </w:p>
                    <w:p w:rsidR="00674359" w:rsidP="0052031E" w14:paraId="1FAF9DCB" w14:textId="77777777">
                      <w:pPr>
                        <w:ind w:left="2268"/>
                      </w:pPr>
                    </w:p>
                    <w:p w:rsidR="00CB22A1" w:rsidRPr="00876ED9" w:rsidP="00D801E4" w14:paraId="028C1DED" w14:textId="261929D3">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p>
                    <w:p w:rsidR="00CB22A1" w:rsidP="006D3893" w14:paraId="5464BE8D" w14:textId="42AECD9C">
                      <w:pPr>
                        <w:spacing w:before="360" w:line="600" w:lineRule="exact"/>
                        <w:ind w:left="2268"/>
                        <w:jc w:val="left"/>
                        <w:rPr>
                          <w:rFonts w:ascii="Tahoma" w:hAnsi="Tahoma" w:cs="Tahoma"/>
                          <w:b/>
                          <w:bCs/>
                          <w:color w:val="FFFFFF" w:themeColor="background1"/>
                          <w:sz w:val="44"/>
                          <w:szCs w:val="44"/>
                        </w:rPr>
                      </w:pPr>
                      <w:r w:rsidRPr="00717974">
                        <w:rPr>
                          <w:rFonts w:ascii="Tahoma" w:hAnsi="Tahoma" w:cs="Tahoma"/>
                          <w:b/>
                          <w:bCs/>
                          <w:color w:val="FFFFFF" w:themeColor="background1"/>
                          <w:sz w:val="44"/>
                          <w:szCs w:val="44"/>
                          <w:rtl/>
                        </w:rPr>
                        <w:t xml:space="preserve">הפיקוח על טוהר הבחירות לכנסת </w:t>
                      </w:r>
                      <w:r>
                        <w:rPr>
                          <w:rFonts w:ascii="Tahoma" w:hAnsi="Tahoma" w:cs="Tahoma"/>
                          <w:b/>
                          <w:bCs/>
                          <w:color w:val="FFFFFF" w:themeColor="background1"/>
                          <w:sz w:val="44"/>
                          <w:szCs w:val="44"/>
                          <w:rtl/>
                        </w:rPr>
                        <w:br/>
                      </w:r>
                      <w:r w:rsidRPr="00717974">
                        <w:rPr>
                          <w:rFonts w:ascii="Tahoma" w:hAnsi="Tahoma" w:cs="Tahoma"/>
                          <w:b/>
                          <w:bCs/>
                          <w:color w:val="FFFFFF" w:themeColor="background1"/>
                          <w:sz w:val="44"/>
                          <w:szCs w:val="44"/>
                          <w:rtl/>
                        </w:rPr>
                        <w:t>ה-24</w:t>
                      </w:r>
                    </w:p>
                    <w:p w:rsidR="000C41BF" w:rsidRPr="00344BBF" w:rsidP="006D3893" w14:paraId="4712BE4D"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3047365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87393" name="Picture 10"/>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3"/>
          <w:pgSz w:w="11906" w:h="16838" w:code="9"/>
          <w:pgMar w:top="3062" w:right="2268" w:bottom="2552" w:left="2268" w:header="709" w:footer="709" w:gutter="0"/>
          <w:pgNumType w:start="0"/>
          <w:cols w:space="720"/>
          <w:bidi/>
          <w:rtlGutter/>
          <w:docGrid w:linePitch="272"/>
        </w:sectPr>
      </w:pPr>
    </w:p>
    <w:p w:rsidR="009E3D6D" w:rsidP="006F18DE" w14:paraId="32190477" w14:textId="7E00890F">
      <w:pPr>
        <w:pStyle w:val="7125"/>
        <w:rPr>
          <w:rtl/>
        </w:rPr>
      </w:pPr>
      <w:r>
        <w:rPr>
          <w:noProof/>
          <w:rtl/>
          <w:lang w:val="he-IL"/>
        </w:rPr>
        <mc:AlternateContent>
          <mc:Choice Requires="wps">
            <w:drawing>
              <wp:anchor distT="0" distB="0" distL="114300" distR="114300" simplePos="0" relativeHeight="251699200" behindDoc="0" locked="0" layoutInCell="1" allowOverlap="1">
                <wp:simplePos x="0" y="0"/>
                <wp:positionH relativeFrom="column">
                  <wp:posOffset>-646430</wp:posOffset>
                </wp:positionH>
                <wp:positionV relativeFrom="paragraph">
                  <wp:posOffset>303206</wp:posOffset>
                </wp:positionV>
                <wp:extent cx="168275" cy="4559300"/>
                <wp:effectExtent l="12700" t="12700" r="9525" b="12700"/>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275" cy="45593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2" style="width:13.25pt;height:359pt;margin-top:23.85pt;margin-left:-50.9pt;mso-height-percent:0;mso-height-relative:margin;mso-wrap-distance-bottom:0;mso-wrap-distance-left:9pt;mso-wrap-distance-right:9pt;mso-wrap-distance-top:0;mso-wrap-style:square;position:absolute;visibility:visible;v-text-anchor:middle;z-index:251700224" fillcolor="#00305f" strokecolor="#00305f" strokeweight="2pt"/>
            </w:pict>
          </mc:Fallback>
        </mc:AlternateContent>
      </w:r>
      <w:r>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716707</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49728" name="Picture 12"/>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717974" w:rsidR="00717974">
        <w:rPr>
          <w:noProof/>
          <w:rtl/>
          <w:lang w:val="he-IL"/>
        </w:rPr>
        <w:t>הפיקוח על טוהר הבחירות לכנסת ה-24</w:t>
      </w:r>
    </w:p>
    <w:p w:rsidR="008255D0" w:rsidP="000E71A5" w14:paraId="0C0FDA6E" w14:textId="633B3FF7">
      <w:pPr>
        <w:pStyle w:val="7190"/>
        <w:spacing w:after="0"/>
        <w:rPr>
          <w:rtl/>
        </w:rPr>
      </w:pPr>
    </w:p>
    <w:p w:rsidR="003027DB" w:rsidRPr="007E6D16" w:rsidP="003027DB" w14:paraId="216499C5" w14:textId="08E5E155">
      <w:pPr>
        <w:pStyle w:val="7190"/>
        <w:rPr>
          <w:rtl/>
        </w:rPr>
      </w:pPr>
      <w:r w:rsidRPr="008D3170">
        <w:rPr>
          <w:rtl/>
        </w:rPr>
        <w:t>סעיף 4 לחוק-יסוד: הכנסת קובע כי הכנסת תיבחר בבחירות כלליות, ארציות, ישירות, שוות, חשאיות ויחסיות. אחת מהתכליות העומדות ביסוד הוראות חוק הבחירות לכנסת וביסוד סמכותה של ועדת הבחירות המרכזית היא השמירה על טוהר הבחירות, דהיינו שמירה על הליך בחירות תקין והוגן שאינו מאפשר, ככל שניתן, מניפולציות ושינויים העלולים לפגוע בזכות היסוד של הפרט לבחור ולהיבחר במסגרת ההליך הדמוקרטי. הבחירות לכנסת עומדות ביסוד אופיו הדמוקרטי של המשטר בישראל, וועדת הבחירות המרכזית לכנסת היא הגוף האחראי לביצוען. תפקיד הוועדה הוא לשמור על ניהול תקין ויעיל של הבחירות כדי להבטיח את מימוש רצון הבוחר</w:t>
      </w:r>
      <w:r w:rsidRPr="007E6D16">
        <w:rPr>
          <w:rtl/>
        </w:rPr>
        <w:t>.</w:t>
      </w:r>
    </w:p>
    <w:p w:rsidR="009E3D6D" w:rsidRPr="003027DB" w:rsidP="003027DB" w14:paraId="438CAA5E" w14:textId="249C672B">
      <w:pPr>
        <w:pStyle w:val="7190"/>
        <w:rPr>
          <w:rtl/>
        </w:rPr>
      </w:pPr>
    </w:p>
    <w:p w:rsidR="00F7759D" w:rsidRPr="001A4850" w:rsidP="001A4850" w14:paraId="3283CEA6" w14:textId="44FB61F8">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98</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20926" name="Picture 6"/>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1843"/>
        <w:gridCol w:w="1844"/>
        <w:gridCol w:w="1841"/>
      </w:tblGrid>
      <w:tr w14:paraId="7597E23C" w14:textId="1F056C80" w:rsidTr="006D389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0" w:type="pct"/>
            <w:vAlign w:val="bottom"/>
          </w:tcPr>
          <w:p w:rsidR="005640FF" w:rsidRPr="006D3893" w:rsidP="005640FF" w14:paraId="1E1AF3C6" w14:textId="1E70153B">
            <w:pPr>
              <w:pStyle w:val="2021"/>
              <w:rPr>
                <w:rtl/>
              </w:rPr>
            </w:pPr>
            <w:r w:rsidRPr="00717974">
              <w:rPr>
                <w:rFonts w:hint="cs"/>
                <w:spacing w:val="-12"/>
                <w:sz w:val="26"/>
                <w:szCs w:val="26"/>
                <w:rtl/>
              </w:rPr>
              <w:t>פי</w:t>
            </w:r>
            <w:r>
              <w:rPr>
                <w:rFonts w:hint="cs"/>
                <w:spacing w:val="-12"/>
                <w:rtl/>
              </w:rPr>
              <w:t xml:space="preserve"> </w:t>
            </w:r>
            <w:r w:rsidR="00131E7F">
              <w:rPr>
                <w:spacing w:val="-12"/>
              </w:rPr>
              <w:t>4</w:t>
            </w:r>
            <w:r w:rsidRPr="006D3893" w:rsidR="006D3893">
              <w:rPr>
                <w:rFonts w:hint="cs"/>
                <w:spacing w:val="-10"/>
                <w:sz w:val="26"/>
                <w:szCs w:val="26"/>
                <w:rtl/>
              </w:rPr>
              <w:t xml:space="preserve"> </w:t>
            </w:r>
          </w:p>
        </w:tc>
        <w:tc>
          <w:tcPr>
            <w:tcW w:w="1250" w:type="pct"/>
            <w:vAlign w:val="bottom"/>
          </w:tcPr>
          <w:p w:rsidR="005640FF" w:rsidRPr="00717974" w:rsidP="005640FF" w14:paraId="1D9D023E" w14:textId="19B05B06">
            <w:pPr>
              <w:spacing w:before="120" w:line="240" w:lineRule="auto"/>
              <w:jc w:val="left"/>
              <w:rPr>
                <w:rFonts w:ascii="Tahoma" w:hAnsi="Tahoma" w:eastAsiaTheme="minorEastAsia" w:cs="Tahoma"/>
                <w:b/>
                <w:bCs/>
                <w:color w:val="0D0D0D" w:themeColor="text1" w:themeTint="F2"/>
                <w:sz w:val="26"/>
                <w:szCs w:val="26"/>
                <w:rtl/>
              </w:rPr>
            </w:pPr>
            <w:r w:rsidRPr="00717974">
              <w:rPr>
                <w:rFonts w:ascii="Tahoma" w:hAnsi="Tahoma" w:eastAsiaTheme="minorEastAsia" w:cs="Tahoma" w:hint="cs"/>
                <w:b/>
                <w:bCs/>
                <w:color w:val="0D0D0D" w:themeColor="text1" w:themeTint="F2"/>
                <w:sz w:val="36"/>
                <w:szCs w:val="36"/>
                <w:rtl/>
              </w:rPr>
              <w:t>51</w:t>
            </w:r>
            <w:r>
              <w:rPr>
                <w:rFonts w:ascii="Tahoma" w:hAnsi="Tahoma" w:eastAsiaTheme="minorEastAsia" w:cs="Tahoma" w:hint="cs"/>
                <w:b/>
                <w:bCs/>
                <w:color w:val="0D0D0D" w:themeColor="text1" w:themeTint="F2"/>
                <w:sz w:val="26"/>
                <w:szCs w:val="26"/>
                <w:rtl/>
              </w:rPr>
              <w:t xml:space="preserve"> </w:t>
            </w:r>
            <w:r>
              <w:rPr>
                <w:rFonts w:ascii="Tahoma" w:hAnsi="Tahoma" w:eastAsiaTheme="minorEastAsia" w:cs="Tahoma"/>
                <w:b/>
                <w:bCs/>
                <w:color w:val="0D0D0D" w:themeColor="text1" w:themeTint="F2"/>
                <w:sz w:val="26"/>
                <w:szCs w:val="26"/>
                <w:rtl/>
              </w:rPr>
              <w:br/>
            </w:r>
            <w:r>
              <w:rPr>
                <w:rFonts w:ascii="Tahoma" w:hAnsi="Tahoma" w:eastAsiaTheme="minorEastAsia" w:cs="Tahoma" w:hint="cs"/>
                <w:b/>
                <w:bCs/>
                <w:color w:val="0D0D0D" w:themeColor="text1" w:themeTint="F2"/>
                <w:sz w:val="26"/>
                <w:szCs w:val="26"/>
                <w:rtl/>
              </w:rPr>
              <w:t>מיליון ש״ח</w:t>
            </w:r>
          </w:p>
        </w:tc>
        <w:tc>
          <w:tcPr>
            <w:tcW w:w="1251" w:type="pct"/>
            <w:vAlign w:val="bottom"/>
          </w:tcPr>
          <w:p w:rsidR="005640FF" w:rsidRPr="00864A2A" w:rsidP="005640FF" w14:paraId="6113CBED" w14:textId="67246FB7">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114</w:t>
            </w:r>
            <w:r w:rsidR="006D3893">
              <w:rPr>
                <w:rFonts w:ascii="Tahoma" w:hAnsi="Tahoma" w:eastAsiaTheme="minorEastAsia" w:cs="Tahoma" w:hint="cs"/>
                <w:b/>
                <w:bCs/>
                <w:color w:val="0D0D0D" w:themeColor="text1" w:themeTint="F2"/>
                <w:spacing w:val="-12"/>
                <w:sz w:val="36"/>
                <w:szCs w:val="36"/>
                <w:rtl/>
              </w:rPr>
              <w:t>%</w:t>
            </w:r>
            <w:r>
              <w:rPr>
                <w:rFonts w:ascii="Tahoma" w:hAnsi="Tahoma" w:cs="Tahoma" w:hint="cs"/>
                <w:b/>
                <w:bCs/>
                <w:spacing w:val="-10"/>
                <w:sz w:val="26"/>
                <w:szCs w:val="26"/>
                <w:rtl/>
              </w:rPr>
              <w:t xml:space="preserve"> </w:t>
            </w:r>
          </w:p>
        </w:tc>
        <w:tc>
          <w:tcPr>
            <w:tcW w:w="1249" w:type="pct"/>
            <w:vAlign w:val="bottom"/>
          </w:tcPr>
          <w:p w:rsidR="005640FF" w:rsidP="005640FF" w14:paraId="66920422" w14:textId="317D785B">
            <w:pPr>
              <w:spacing w:before="120" w:line="240" w:lineRule="auto"/>
              <w:jc w:val="left"/>
              <w:rPr>
                <w:rFonts w:ascii="Tahoma" w:hAnsi="Tahoma" w:eastAsiaTheme="minorEastAsia" w:cs="Tahoma"/>
                <w:b/>
                <w:bCs/>
                <w:color w:val="0D0D0D" w:themeColor="text1" w:themeTint="F2"/>
                <w:spacing w:val="-12"/>
                <w:sz w:val="36"/>
                <w:szCs w:val="36"/>
                <w:rtl/>
              </w:rPr>
            </w:pPr>
            <w:r>
              <w:rPr>
                <w:rFonts w:ascii="Tahoma" w:hAnsi="Tahoma" w:eastAsiaTheme="minorEastAsia" w:cs="Tahoma" w:hint="cs"/>
                <w:b/>
                <w:bCs/>
                <w:color w:val="0D0D0D" w:themeColor="text1" w:themeTint="F2"/>
                <w:spacing w:val="-12"/>
                <w:sz w:val="36"/>
                <w:szCs w:val="36"/>
                <w:rtl/>
              </w:rPr>
              <w:t>18</w:t>
            </w:r>
            <w:r w:rsidR="006D3893">
              <w:rPr>
                <w:rFonts w:ascii="Tahoma" w:hAnsi="Tahoma" w:eastAsiaTheme="minorEastAsia" w:cs="Tahoma" w:hint="cs"/>
                <w:b/>
                <w:bCs/>
                <w:color w:val="0D0D0D" w:themeColor="text1" w:themeTint="F2"/>
                <w:spacing w:val="-12"/>
                <w:sz w:val="36"/>
                <w:szCs w:val="36"/>
                <w:rtl/>
              </w:rPr>
              <w:t>%</w:t>
            </w:r>
            <w:r>
              <w:rPr>
                <w:rFonts w:ascii="Tahoma" w:hAnsi="Tahoma" w:cs="Tahoma" w:hint="cs"/>
                <w:b/>
                <w:bCs/>
                <w:spacing w:val="-10"/>
                <w:sz w:val="26"/>
                <w:szCs w:val="26"/>
                <w:rtl/>
              </w:rPr>
              <w:t xml:space="preserve"> </w:t>
            </w:r>
          </w:p>
        </w:tc>
      </w:tr>
      <w:tr w14:paraId="5AD4AD14" w14:textId="244FAD48" w:rsidTr="006D3893">
        <w:tblPrEx>
          <w:tblW w:w="5000" w:type="pct"/>
          <w:tblLook w:val="04A0"/>
        </w:tblPrEx>
        <w:tc>
          <w:tcPr>
            <w:tcW w:w="1250" w:type="pct"/>
          </w:tcPr>
          <w:p w:rsidR="005640FF" w:rsidRPr="00664A6F" w:rsidP="005640F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5344" behindDoc="0" locked="0" layoutInCell="1" allowOverlap="1">
                      <wp:simplePos x="0" y="0"/>
                      <wp:positionH relativeFrom="column">
                        <wp:posOffset>33520</wp:posOffset>
                      </wp:positionH>
                      <wp:positionV relativeFrom="paragraph">
                        <wp:posOffset>49270</wp:posOffset>
                      </wp:positionV>
                      <wp:extent cx="974437" cy="0"/>
                      <wp:effectExtent l="0" t="0" r="16510" b="1270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974437"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3" style="flip:x;mso-height-percent:0;mso-height-relative:margin;mso-width-percent:0;mso-width-relative:margin;mso-wrap-distance-bottom:0;mso-wrap-distance-left:9pt;mso-wrap-distance-right:9pt;mso-wrap-distance-top:0;mso-wrap-style:square;position:absolute;visibility:visible;z-index:251706368" from="2.65pt,3.9pt" to="79.4pt,3.9pt" strokecolor="#0d0d0d" strokeweight="1pt"/>
                  </w:pict>
                </mc:Fallback>
              </mc:AlternateContent>
            </w:r>
          </w:p>
        </w:tc>
        <w:tc>
          <w:tcPr>
            <w:tcW w:w="1250" w:type="pct"/>
          </w:tcPr>
          <w:p w:rsidR="005640FF" w:rsidRPr="00664A6F" w:rsidP="005640F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707392" behindDoc="0" locked="0" layoutInCell="1" allowOverlap="1">
                      <wp:simplePos x="0" y="0"/>
                      <wp:positionH relativeFrom="column">
                        <wp:posOffset>68534</wp:posOffset>
                      </wp:positionH>
                      <wp:positionV relativeFrom="paragraph">
                        <wp:posOffset>49270</wp:posOffset>
                      </wp:positionV>
                      <wp:extent cx="967183" cy="0"/>
                      <wp:effectExtent l="0" t="0" r="10795" b="1270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96718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34" style="flip:x;mso-width-percent:0;mso-width-relative:margin;mso-wrap-distance-bottom:0;mso-wrap-distance-left:9pt;mso-wrap-distance-right:9pt;mso-wrap-distance-top:0;mso-wrap-style:square;position:absolute;visibility:visible;z-index:251708416" from="5.4pt,3.9pt" to="81.55pt,3.9pt" strokecolor="#0d0d0d" strokeweight="1pt"/>
                  </w:pict>
                </mc:Fallback>
              </mc:AlternateContent>
            </w:r>
          </w:p>
        </w:tc>
        <w:tc>
          <w:tcPr>
            <w:tcW w:w="1251" w:type="pct"/>
          </w:tcPr>
          <w:p w:rsidR="005640FF" w:rsidRPr="00664A6F" w:rsidP="005640F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709440" behindDoc="0" locked="0" layoutInCell="1" allowOverlap="1">
                      <wp:simplePos x="0" y="0"/>
                      <wp:positionH relativeFrom="column">
                        <wp:posOffset>10738</wp:posOffset>
                      </wp:positionH>
                      <wp:positionV relativeFrom="paragraph">
                        <wp:posOffset>49270</wp:posOffset>
                      </wp:positionV>
                      <wp:extent cx="994081" cy="0"/>
                      <wp:effectExtent l="0" t="0" r="9525" b="1270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94081"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5" style="flip:x;mso-width-percent:0;mso-width-relative:margin;mso-wrap-distance-bottom:0;mso-wrap-distance-left:9pt;mso-wrap-distance-right:9pt;mso-wrap-distance-top:0;mso-wrap-style:square;position:absolute;visibility:visible;z-index:251710464" from="0.85pt,3.9pt" to="79.1pt,3.9pt" strokecolor="#0d0d0d" strokeweight="1pt"/>
                  </w:pict>
                </mc:Fallback>
              </mc:AlternateContent>
            </w:r>
          </w:p>
        </w:tc>
        <w:tc>
          <w:tcPr>
            <w:tcW w:w="1249" w:type="pct"/>
          </w:tcPr>
          <w:p w:rsidR="005640FF" w:rsidP="005640FF" w14:paraId="6E1540D7" w14:textId="4AFC22AD">
            <w:pPr>
              <w:pStyle w:val="20211"/>
              <w:spacing w:after="0" w:line="160" w:lineRule="exact"/>
              <w:rPr>
                <w:noProof/>
                <w:w w:val="100"/>
                <w:rtl/>
                <w:lang w:val="he-IL"/>
              </w:rPr>
            </w:pPr>
            <w:r>
              <w:rPr>
                <w:noProof/>
                <w:w w:val="100"/>
                <w:rtl/>
                <w:lang w:val="he-IL"/>
              </w:rPr>
              <mc:AlternateContent>
                <mc:Choice Requires="wps">
                  <w:drawing>
                    <wp:anchor distT="0" distB="0" distL="114300" distR="114300" simplePos="0" relativeHeight="251717632" behindDoc="0" locked="0" layoutInCell="1" allowOverlap="1">
                      <wp:simplePos x="0" y="0"/>
                      <wp:positionH relativeFrom="column">
                        <wp:posOffset>6341</wp:posOffset>
                      </wp:positionH>
                      <wp:positionV relativeFrom="paragraph">
                        <wp:posOffset>49270</wp:posOffset>
                      </wp:positionV>
                      <wp:extent cx="1014090" cy="0"/>
                      <wp:effectExtent l="0" t="0" r="15240" b="12700"/>
                      <wp:wrapNone/>
                      <wp:docPr id="230"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09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6" style="flip:x;mso-width-percent:0;mso-width-relative:margin;mso-wrap-distance-bottom:0;mso-wrap-distance-left:9pt;mso-wrap-distance-right:9pt;mso-wrap-distance-top:0;mso-wrap-style:square;position:absolute;visibility:visible;z-index:251718656" from="0.5pt,3.9pt" to="80.35pt,3.9pt" strokecolor="#0d0d0d" strokeweight="1pt"/>
                  </w:pict>
                </mc:Fallback>
              </mc:AlternateContent>
            </w:r>
          </w:p>
        </w:tc>
      </w:tr>
      <w:tr w14:paraId="7ECC4220" w14:textId="5CBEDA42" w:rsidTr="006D3893">
        <w:tblPrEx>
          <w:tblW w:w="5000" w:type="pct"/>
          <w:tblLook w:val="04A0"/>
        </w:tblPrEx>
        <w:tc>
          <w:tcPr>
            <w:tcW w:w="1250" w:type="pct"/>
          </w:tcPr>
          <w:p w:rsidR="005640FF" w:rsidRPr="009A73F6" w:rsidP="005640FF" w14:paraId="5ECF0591" w14:textId="538BA59B">
            <w:pPr>
              <w:pStyle w:val="20211"/>
              <w:rPr>
                <w:rtl/>
              </w:rPr>
            </w:pPr>
            <w:r w:rsidRPr="008D3170">
              <w:rPr>
                <w:rtl/>
              </w:rPr>
              <w:t>הגידול במספר המפקחים על טוהר הבחירות בתוך שנה וחצי (בין מערכות הבחירות לכנסת ה-22 ולכנסת ה-24)</w:t>
            </w:r>
          </w:p>
        </w:tc>
        <w:tc>
          <w:tcPr>
            <w:tcW w:w="1250" w:type="pct"/>
          </w:tcPr>
          <w:p w:rsidR="005640FF" w:rsidRPr="00864A2A" w:rsidP="005640FF" w14:paraId="47156990" w14:textId="2E01869F">
            <w:pPr>
              <w:spacing w:line="240" w:lineRule="auto"/>
              <w:ind w:right="23"/>
              <w:jc w:val="left"/>
              <w:rPr>
                <w:rFonts w:ascii="Tahoma" w:hAnsi="Tahoma" w:eastAsiaTheme="minorEastAsia" w:cs="Tahoma"/>
                <w:color w:val="0D0D0D" w:themeColor="text1" w:themeTint="F2"/>
                <w:w w:val="90"/>
                <w:sz w:val="18"/>
                <w:szCs w:val="18"/>
                <w:rtl/>
              </w:rPr>
            </w:pPr>
            <w:r w:rsidRPr="008D3170">
              <w:rPr>
                <w:rFonts w:ascii="Tahoma" w:hAnsi="Tahoma" w:eastAsiaTheme="minorEastAsia" w:cs="Tahoma"/>
                <w:color w:val="0D0D0D" w:themeColor="text1" w:themeTint="F2"/>
                <w:w w:val="90"/>
                <w:sz w:val="18"/>
                <w:szCs w:val="18"/>
                <w:rtl/>
              </w:rPr>
              <w:t>עלות הפעלת מערך הפיקוח על טוהר הבחירות לכנסת ה-24</w:t>
            </w:r>
          </w:p>
        </w:tc>
        <w:tc>
          <w:tcPr>
            <w:tcW w:w="1251" w:type="pct"/>
          </w:tcPr>
          <w:p w:rsidR="005640FF" w:rsidRPr="00EB223C" w:rsidP="005640FF" w14:paraId="1B7F83A5" w14:textId="099825F0">
            <w:pPr>
              <w:pStyle w:val="20211"/>
              <w:rPr>
                <w:rtl/>
              </w:rPr>
            </w:pPr>
            <w:r w:rsidRPr="008D3170">
              <w:rPr>
                <w:rtl/>
              </w:rPr>
              <w:t>שיעור הגידול בהוצאות על העסקת מפקחים ועל תפעול מערך הפיקוח בתוך שנה וחצי (בין הבחירות לכנסת ה-22 לבחירות לכנסת ה-24)</w:t>
            </w:r>
          </w:p>
        </w:tc>
        <w:tc>
          <w:tcPr>
            <w:tcW w:w="1249" w:type="pct"/>
          </w:tcPr>
          <w:p w:rsidR="005640FF" w:rsidRPr="00BA6A60" w:rsidP="005640FF" w14:paraId="0B1C560B" w14:textId="3040ED71">
            <w:pPr>
              <w:pStyle w:val="20211"/>
              <w:rPr>
                <w:rtl/>
              </w:rPr>
            </w:pPr>
            <w:r w:rsidRPr="008D3170">
              <w:rPr>
                <w:rtl/>
              </w:rPr>
              <w:t>מכלל ועדות הקלפי שהוגדרו "קלפיות רגישות" פעלו ללא מפקח ביום הבחירות לכנסת ה-24</w:t>
            </w:r>
          </w:p>
        </w:tc>
      </w:tr>
      <w:tr w14:paraId="115EC27C" w14:textId="30E07B41" w:rsidTr="006D38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vAlign w:val="bottom"/>
          </w:tcPr>
          <w:p w:rsidR="005640FF" w:rsidRPr="00864A2A" w:rsidP="005640FF" w14:paraId="5A88E868" w14:textId="223B6970">
            <w:pPr>
              <w:pStyle w:val="2021"/>
              <w:rPr>
                <w:rtl/>
              </w:rPr>
            </w:pPr>
            <w:r>
              <w:rPr>
                <w:rFonts w:hint="cs"/>
                <w:rtl/>
              </w:rPr>
              <w:t>19.3</w:t>
            </w:r>
            <w:r>
              <w:rPr>
                <w:rtl/>
              </w:rPr>
              <w:br/>
            </w:r>
            <w:r w:rsidRPr="00717974">
              <w:rPr>
                <w:rFonts w:hint="cs"/>
                <w:sz w:val="26"/>
                <w:szCs w:val="26"/>
                <w:rtl/>
              </w:rPr>
              <w:t>מיליון ש״ח</w:t>
            </w:r>
            <w:r w:rsidRPr="007E6D16">
              <w:rPr>
                <w:rFonts w:hint="cs"/>
                <w:rtl/>
              </w:rPr>
              <w:t xml:space="preserve"> </w:t>
            </w:r>
          </w:p>
        </w:tc>
        <w:tc>
          <w:tcPr>
            <w:tcW w:w="1250" w:type="pct"/>
            <w:tcBorders>
              <w:top w:val="nil"/>
              <w:left w:val="nil"/>
              <w:bottom w:val="nil"/>
              <w:right w:val="nil"/>
            </w:tcBorders>
            <w:vAlign w:val="bottom"/>
          </w:tcPr>
          <w:p w:rsidR="005640FF" w:rsidRPr="006D3893" w:rsidP="005640FF" w14:paraId="5148B4EC" w14:textId="718BE8E2">
            <w:pPr>
              <w:spacing w:before="120" w:line="240" w:lineRule="auto"/>
              <w:jc w:val="left"/>
              <w:rPr>
                <w:rFonts w:ascii="Tahoma" w:hAnsi="Tahoma" w:cs="Tahoma"/>
                <w:b/>
                <w:bCs/>
                <w:spacing w:val="-10"/>
                <w:sz w:val="26"/>
                <w:szCs w:val="26"/>
                <w:rtl/>
              </w:rPr>
            </w:pPr>
            <w:r>
              <w:rPr>
                <w:rFonts w:ascii="Tahoma" w:hAnsi="Tahoma" w:eastAsiaTheme="minorEastAsia" w:cs="Tahoma" w:hint="cs"/>
                <w:b/>
                <w:bCs/>
                <w:color w:val="0D0D0D" w:themeColor="text1" w:themeTint="F2"/>
                <w:sz w:val="36"/>
                <w:szCs w:val="36"/>
                <w:rtl/>
              </w:rPr>
              <w:t>0.08</w:t>
            </w:r>
            <w:r w:rsidRPr="006D3893" w:rsidR="006D3893">
              <w:rPr>
                <w:rFonts w:ascii="Tahoma" w:hAnsi="Tahoma" w:eastAsiaTheme="minorEastAsia" w:cs="Tahoma" w:hint="cs"/>
                <w:b/>
                <w:bCs/>
                <w:color w:val="0D0D0D" w:themeColor="text1" w:themeTint="F2"/>
                <w:sz w:val="36"/>
                <w:szCs w:val="36"/>
                <w:rtl/>
              </w:rPr>
              <w:t>%</w:t>
            </w:r>
          </w:p>
        </w:tc>
        <w:tc>
          <w:tcPr>
            <w:tcW w:w="1251" w:type="pct"/>
            <w:tcBorders>
              <w:top w:val="nil"/>
              <w:left w:val="nil"/>
              <w:bottom w:val="nil"/>
              <w:right w:val="nil"/>
            </w:tcBorders>
            <w:vAlign w:val="bottom"/>
          </w:tcPr>
          <w:p w:rsidR="005640FF" w:rsidRPr="00864A2A" w:rsidP="005640FF" w14:paraId="6D51A516" w14:textId="1470D4B4">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z w:val="36"/>
                <w:szCs w:val="36"/>
                <w:rtl/>
              </w:rPr>
              <w:t>34</w:t>
            </w:r>
            <w:r>
              <w:rPr>
                <w:rFonts w:ascii="Tahoma" w:hAnsi="Tahoma" w:eastAsiaTheme="minorEastAsia" w:cs="Tahoma" w:hint="cs"/>
                <w:b/>
                <w:bCs/>
                <w:color w:val="0D0D0D" w:themeColor="text1" w:themeTint="F2"/>
                <w:sz w:val="36"/>
                <w:szCs w:val="36"/>
                <w:rtl/>
              </w:rPr>
              <w:t xml:space="preserve">% </w:t>
            </w:r>
          </w:p>
        </w:tc>
        <w:tc>
          <w:tcPr>
            <w:tcW w:w="1249" w:type="pct"/>
            <w:tcBorders>
              <w:top w:val="nil"/>
              <w:left w:val="nil"/>
              <w:bottom w:val="nil"/>
              <w:right w:val="nil"/>
            </w:tcBorders>
            <w:vAlign w:val="bottom"/>
          </w:tcPr>
          <w:p w:rsidR="005640FF" w:rsidP="005640FF" w14:paraId="628D48FE" w14:textId="1110FDC2">
            <w:pPr>
              <w:spacing w:before="360" w:line="240" w:lineRule="auto"/>
              <w:jc w:val="left"/>
              <w:rPr>
                <w:rFonts w:ascii="Tahoma" w:hAnsi="Tahoma" w:eastAsiaTheme="minorEastAsia" w:cs="Tahoma"/>
                <w:b/>
                <w:bCs/>
                <w:color w:val="0D0D0D" w:themeColor="text1" w:themeTint="F2"/>
                <w:sz w:val="36"/>
                <w:szCs w:val="36"/>
                <w:rtl/>
              </w:rPr>
            </w:pPr>
            <w:r>
              <w:rPr>
                <w:rFonts w:ascii="Tahoma" w:hAnsi="Tahoma" w:eastAsiaTheme="minorEastAsia" w:cs="Tahoma" w:hint="cs"/>
                <w:b/>
                <w:bCs/>
                <w:color w:val="0D0D0D" w:themeColor="text1" w:themeTint="F2"/>
                <w:spacing w:val="-12"/>
                <w:sz w:val="26"/>
                <w:szCs w:val="26"/>
                <w:rtl/>
              </w:rPr>
              <w:t xml:space="preserve">רק </w:t>
            </w:r>
            <w:r>
              <w:rPr>
                <w:rFonts w:ascii="Tahoma" w:hAnsi="Tahoma" w:eastAsiaTheme="minorEastAsia" w:cs="Tahoma" w:hint="cs"/>
                <w:b/>
                <w:bCs/>
                <w:color w:val="0D0D0D" w:themeColor="text1" w:themeTint="F2"/>
                <w:sz w:val="36"/>
                <w:szCs w:val="36"/>
                <w:rtl/>
              </w:rPr>
              <w:t>7</w:t>
            </w:r>
            <w:r>
              <w:rPr>
                <w:rFonts w:ascii="Tahoma" w:hAnsi="Tahoma" w:eastAsiaTheme="minorEastAsia" w:cs="Tahoma" w:hint="cs"/>
                <w:b/>
                <w:bCs/>
                <w:color w:val="0D0D0D" w:themeColor="text1" w:themeTint="F2"/>
                <w:sz w:val="36"/>
                <w:szCs w:val="36"/>
                <w:rtl/>
              </w:rPr>
              <w:t xml:space="preserve">% </w:t>
            </w:r>
          </w:p>
        </w:tc>
      </w:tr>
      <w:tr w14:paraId="60F510EB" w14:textId="2BF7EB62" w:rsidTr="006D38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5640FF" w:rsidRPr="00664A6F" w:rsidP="005640FF" w14:paraId="7B57C72A" w14:textId="08E57226">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1488" behindDoc="0" locked="0" layoutInCell="1" allowOverlap="1">
                      <wp:simplePos x="0" y="0"/>
                      <wp:positionH relativeFrom="column">
                        <wp:posOffset>33521</wp:posOffset>
                      </wp:positionH>
                      <wp:positionV relativeFrom="paragraph">
                        <wp:posOffset>53465</wp:posOffset>
                      </wp:positionV>
                      <wp:extent cx="974090" cy="0"/>
                      <wp:effectExtent l="0" t="0" r="16510" b="1270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97409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7" style="flip:x;mso-height-percent:0;mso-height-relative:margin;mso-width-percent:0;mso-width-relative:margin;mso-wrap-distance-bottom:0;mso-wrap-distance-left:9pt;mso-wrap-distance-right:9pt;mso-wrap-distance-top:0;mso-wrap-style:square;position:absolute;visibility:visible;z-index:251712512" from="2.65pt,4.2pt" to="79.35pt,4.2pt" strokecolor="#0d0d0d" strokeweight="1pt"/>
                  </w:pict>
                </mc:Fallback>
              </mc:AlternateContent>
            </w:r>
          </w:p>
        </w:tc>
        <w:tc>
          <w:tcPr>
            <w:tcW w:w="1250" w:type="pct"/>
            <w:tcBorders>
              <w:top w:val="nil"/>
              <w:left w:val="nil"/>
              <w:bottom w:val="nil"/>
              <w:right w:val="nil"/>
            </w:tcBorders>
          </w:tcPr>
          <w:p w:rsidR="005640FF" w:rsidRPr="00664A6F" w:rsidP="005640FF"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3536" behindDoc="0" locked="0" layoutInCell="1" allowOverlap="1">
                      <wp:simplePos x="0" y="0"/>
                      <wp:positionH relativeFrom="column">
                        <wp:posOffset>68533</wp:posOffset>
                      </wp:positionH>
                      <wp:positionV relativeFrom="paragraph">
                        <wp:posOffset>53465</wp:posOffset>
                      </wp:positionV>
                      <wp:extent cx="967105" cy="0"/>
                      <wp:effectExtent l="0" t="0" r="10795" b="1270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96710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38" style="flip:x;mso-height-percent:0;mso-height-relative:margin;mso-width-percent:0;mso-width-relative:margin;mso-wrap-distance-bottom:0;mso-wrap-distance-left:9pt;mso-wrap-distance-right:9pt;mso-wrap-distance-top:0;mso-wrap-style:square;position:absolute;visibility:visible;z-index:251714560" from="5.4pt,4.2pt" to="81.55pt,4.2pt" strokecolor="#0d0d0d" strokeweight="1pt"/>
                  </w:pict>
                </mc:Fallback>
              </mc:AlternateContent>
            </w:r>
          </w:p>
        </w:tc>
        <w:tc>
          <w:tcPr>
            <w:tcW w:w="1251" w:type="pct"/>
            <w:tcBorders>
              <w:top w:val="nil"/>
              <w:left w:val="nil"/>
              <w:bottom w:val="nil"/>
              <w:right w:val="nil"/>
            </w:tcBorders>
          </w:tcPr>
          <w:p w:rsidR="005640FF" w:rsidRPr="00664A6F" w:rsidP="005640FF"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5584" behindDoc="0" locked="0" layoutInCell="1" allowOverlap="1">
                      <wp:simplePos x="0" y="0"/>
                      <wp:positionH relativeFrom="column">
                        <wp:posOffset>50786</wp:posOffset>
                      </wp:positionH>
                      <wp:positionV relativeFrom="paragraph">
                        <wp:posOffset>53465</wp:posOffset>
                      </wp:positionV>
                      <wp:extent cx="953728" cy="0"/>
                      <wp:effectExtent l="0" t="0" r="12065" b="1270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53728"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39" style="flip:x;mso-height-percent:0;mso-height-relative:margin;mso-width-percent:0;mso-width-relative:margin;mso-wrap-distance-bottom:0;mso-wrap-distance-left:9pt;mso-wrap-distance-right:9pt;mso-wrap-distance-top:0;mso-wrap-style:square;position:absolute;visibility:visible;z-index:251716608" from="4pt,4.2pt" to="79.1pt,4.2pt" strokecolor="#0d0d0d" strokeweight="1pt"/>
                  </w:pict>
                </mc:Fallback>
              </mc:AlternateContent>
            </w:r>
          </w:p>
        </w:tc>
        <w:tc>
          <w:tcPr>
            <w:tcW w:w="1249" w:type="pct"/>
            <w:tcBorders>
              <w:top w:val="nil"/>
              <w:left w:val="nil"/>
              <w:bottom w:val="nil"/>
              <w:right w:val="nil"/>
            </w:tcBorders>
          </w:tcPr>
          <w:p w:rsidR="005640FF" w:rsidP="005640FF" w14:paraId="7691E3F7" w14:textId="28CD70E9">
            <w:pPr>
              <w:pStyle w:val="20211"/>
              <w:spacing w:after="0" w:line="160" w:lineRule="exact"/>
              <w:rPr>
                <w:noProof/>
                <w:w w:val="100"/>
                <w:rtl/>
                <w:lang w:val="he-IL"/>
              </w:rPr>
            </w:pPr>
            <w:r>
              <w:rPr>
                <w:noProof/>
                <w:w w:val="100"/>
                <w:rtl/>
                <w:lang w:val="he-IL"/>
              </w:rPr>
              <mc:AlternateContent>
                <mc:Choice Requires="wps">
                  <w:drawing>
                    <wp:anchor distT="0" distB="0" distL="114300" distR="114300" simplePos="0" relativeHeight="251719680" behindDoc="0" locked="0" layoutInCell="1" allowOverlap="1">
                      <wp:simplePos x="0" y="0"/>
                      <wp:positionH relativeFrom="column">
                        <wp:posOffset>53061</wp:posOffset>
                      </wp:positionH>
                      <wp:positionV relativeFrom="paragraph">
                        <wp:posOffset>53465</wp:posOffset>
                      </wp:positionV>
                      <wp:extent cx="966739" cy="0"/>
                      <wp:effectExtent l="0" t="0" r="11430" b="12700"/>
                      <wp:wrapNone/>
                      <wp:docPr id="231"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66739"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40" style="flip:x;mso-height-percent:0;mso-height-relative:margin;mso-width-percent:0;mso-width-relative:margin;mso-wrap-distance-bottom:0;mso-wrap-distance-left:9pt;mso-wrap-distance-right:9pt;mso-wrap-distance-top:0;mso-wrap-style:square;position:absolute;visibility:visible;z-index:251720704" from="4.2pt,4.2pt" to="80.3pt,4.2pt" strokecolor="#0d0d0d" strokeweight="1pt"/>
                  </w:pict>
                </mc:Fallback>
              </mc:AlternateContent>
            </w:r>
          </w:p>
        </w:tc>
      </w:tr>
      <w:tr w14:paraId="0C7068B8" w14:textId="6D3F0CDC" w:rsidTr="006D38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5640FF" w:rsidRPr="009A73F6" w:rsidP="006D3893" w14:paraId="3496F105" w14:textId="1B2384D6">
            <w:pPr>
              <w:pStyle w:val="20211"/>
              <w:rPr>
                <w:rtl/>
              </w:rPr>
            </w:pPr>
            <w:r w:rsidRPr="008D3170">
              <w:rPr>
                <w:rtl/>
              </w:rPr>
              <w:t>העלות הכוללת של רכישת מצלמות גוף לצורכי הפיקוח על טוהר הבחירות בשלוש מערכות בחירות</w:t>
            </w:r>
          </w:p>
        </w:tc>
        <w:tc>
          <w:tcPr>
            <w:tcW w:w="1250" w:type="pct"/>
            <w:tcBorders>
              <w:top w:val="nil"/>
              <w:left w:val="nil"/>
              <w:bottom w:val="nil"/>
              <w:right w:val="nil"/>
            </w:tcBorders>
          </w:tcPr>
          <w:p w:rsidR="005640FF" w:rsidRPr="00864A2A" w:rsidP="005640FF" w14:paraId="1DA92B01" w14:textId="5A440A2F">
            <w:pPr>
              <w:spacing w:after="120" w:line="240" w:lineRule="auto"/>
              <w:ind w:right="23"/>
              <w:jc w:val="left"/>
              <w:rPr>
                <w:rFonts w:ascii="Tahoma" w:hAnsi="Tahoma" w:eastAsiaTheme="minorEastAsia" w:cs="Tahoma"/>
                <w:color w:val="0D0D0D" w:themeColor="text1" w:themeTint="F2"/>
                <w:w w:val="90"/>
                <w:sz w:val="18"/>
                <w:szCs w:val="18"/>
                <w:rtl/>
              </w:rPr>
            </w:pPr>
            <w:r w:rsidRPr="008D3170">
              <w:rPr>
                <w:rFonts w:ascii="Tahoma" w:hAnsi="Tahoma" w:eastAsiaTheme="minorEastAsia" w:cs="Tahoma"/>
                <w:color w:val="0D0D0D" w:themeColor="text1" w:themeTint="F2"/>
                <w:w w:val="90"/>
                <w:sz w:val="18"/>
                <w:szCs w:val="18"/>
                <w:rtl/>
              </w:rPr>
              <w:t>שיעור הקלפיות בבחירות לכנסת ה-24 שבהן נעשה שימוש בתצלומים לצורכי חקירות המשטרה</w:t>
            </w:r>
          </w:p>
        </w:tc>
        <w:tc>
          <w:tcPr>
            <w:tcW w:w="1251" w:type="pct"/>
            <w:tcBorders>
              <w:top w:val="nil"/>
              <w:left w:val="nil"/>
              <w:bottom w:val="nil"/>
              <w:right w:val="nil"/>
            </w:tcBorders>
          </w:tcPr>
          <w:p w:rsidR="005640FF" w:rsidRPr="00EB223C" w:rsidP="005640FF" w14:paraId="7DE38533" w14:textId="34A5C1F6">
            <w:pPr>
              <w:pStyle w:val="20211"/>
              <w:rPr>
                <w:rtl/>
              </w:rPr>
            </w:pPr>
            <w:r w:rsidRPr="008D3170">
              <w:rPr>
                <w:rtl/>
              </w:rPr>
              <w:t>מהמפקחים במערכת הבחירות לכנסת ה-24 לא הצליחו לעשות שימוש באפליקציה שיועדה לדיווח על פגיעה לכאורה בטוהר הבחירות</w:t>
            </w:r>
          </w:p>
        </w:tc>
        <w:tc>
          <w:tcPr>
            <w:tcW w:w="1249" w:type="pct"/>
            <w:tcBorders>
              <w:top w:val="nil"/>
              <w:left w:val="nil"/>
              <w:bottom w:val="nil"/>
              <w:right w:val="nil"/>
            </w:tcBorders>
          </w:tcPr>
          <w:p w:rsidR="006D3893" w:rsidRPr="00BA6A60" w:rsidP="005640FF" w14:paraId="127A19F4" w14:textId="4955B116">
            <w:pPr>
              <w:spacing w:line="240" w:lineRule="auto"/>
              <w:ind w:right="23"/>
              <w:jc w:val="left"/>
              <w:rPr>
                <w:rFonts w:ascii="Tahoma" w:hAnsi="Tahoma" w:cs="Tahoma"/>
                <w:sz w:val="18"/>
                <w:szCs w:val="18"/>
                <w:rtl/>
              </w:rPr>
            </w:pPr>
            <w:r w:rsidRPr="008D3170">
              <w:rPr>
                <w:rFonts w:ascii="Tahoma" w:hAnsi="Tahoma" w:eastAsiaTheme="minorEastAsia" w:cs="Tahoma"/>
                <w:color w:val="0D0D0D" w:themeColor="text1" w:themeTint="F2"/>
                <w:w w:val="90"/>
                <w:sz w:val="18"/>
                <w:szCs w:val="18"/>
                <w:rtl/>
              </w:rPr>
              <w:t>מהקלפיות שבהן נדרשה בדיקת עומק בשל חשש לפגיעה בטוהר הבחירות נבדקו בעקבות הדיווח של מערך</w:t>
            </w:r>
            <w:r>
              <w:rPr>
                <w:rFonts w:ascii="Tahoma" w:hAnsi="Tahoma" w:eastAsiaTheme="minorEastAsia" w:cs="Tahoma" w:hint="cs"/>
                <w:color w:val="0D0D0D" w:themeColor="text1" w:themeTint="F2"/>
                <w:w w:val="90"/>
                <w:sz w:val="18"/>
                <w:szCs w:val="18"/>
                <w:rtl/>
              </w:rPr>
              <w:t xml:space="preserve"> הפיקוח</w:t>
            </w:r>
          </w:p>
        </w:tc>
      </w:tr>
    </w:tbl>
    <w:p w:rsidR="00825A14" w:rsidP="00F9227B" w14:paraId="64F9F305" w14:textId="1D490421">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1" style="width:372pt;height:3pt;margin-top:7.5pt;margin-left:-4.6pt;mso-height-relative:margin;mso-width-relative:margin;position:absolute;z-index:251672576" coordsize="47244,381">
                <v:line id="Straight Connector 27" o:spid="_x0000_s1042" style="flip:x;mso-wrap-style:square;position:absolute;visibility:visible" from="0,381" to="47244,381" o:connectortype="straight" strokecolor="#0d0d0d" strokeweight="1.5pt"/>
                <v:line id="Straight Connector 28" o:spid="_x0000_s1043"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6D3893" w:rsidP="001A4850" w14:paraId="3A21025F" w14:textId="023F5E55">
      <w:pPr>
        <w:pStyle w:val="7112"/>
        <w:rPr>
          <w:rtl/>
        </w:rPr>
      </w:pPr>
      <w:r w:rsidRPr="001A4850">
        <w:rPr>
          <w:noProof/>
        </w:rPr>
        <w:drawing>
          <wp:anchor distT="0" distB="0" distL="114300" distR="114300" simplePos="0" relativeHeight="251680768" behindDoc="0" locked="0" layoutInCell="1" allowOverlap="1">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170" w:rsidR="00717974">
        <w:rPr>
          <w:rtl/>
        </w:rPr>
        <w:t>בחודשים יוני עד אוקטובר 2021 בדק משרד מבקר המדינה את נושא הפיקוח על טוהר הבחירות לכנסת ה-24. בבדיקה נבחנו הנושאים האלה: הליך קבלת ההחלטות לשם הקמת מערך פיקוח על טוהר הבחירות; הגנה על פרטיות המצביעים ואבטחת תוצרי הצילום; הפעלת מערך הפיקוח בשלוש מערכות בחירות לכנסת; שלמות המידע על אודות חשדות לפגיעה בטוהר הבחירות; אפקטיביות מערך הפיקוח. הביקורת נעשתה בוועדת הבחירות המרכזית. בדיקות השלמה נעשו במשטרת ישראל, במשרד המשפטים ובמגן דוד אדום</w:t>
      </w:r>
      <w:r w:rsidRPr="001A4850" w:rsidR="001A4850">
        <w:rPr>
          <w:rtl/>
        </w:rPr>
        <w:t>.</w:t>
      </w:r>
    </w:p>
    <w:p w:rsidR="00A61CEE" w:rsidP="001A4850" w14:paraId="5412A544" w14:textId="77777777">
      <w:pPr>
        <w:pStyle w:val="7112"/>
        <w:rPr>
          <w:rtl/>
        </w:rPr>
      </w:pPr>
    </w:p>
    <w:p w:rsidR="000E71A5" w:rsidRPr="00716B1B" w:rsidP="006D3893" w14:paraId="738EF70B" w14:textId="29E3D565">
      <w:pPr>
        <w:pStyle w:val="715"/>
        <w:spacing w:before="360"/>
      </w:pPr>
      <w:r w:rsidRPr="00E30E52">
        <w:rPr>
          <w:rStyle w:val="717Char0"/>
          <w:rFonts w:hint="cs"/>
          <w:b/>
          <w:noProof/>
          <w:spacing w:val="-2"/>
          <w:rtl/>
        </w:rPr>
        <w:drawing>
          <wp:anchor distT="0" distB="3600450" distL="114300" distR="114300" simplePos="0" relativeHeight="251686912" behindDoc="0" locked="0" layoutInCell="1" allowOverlap="1">
            <wp:simplePos x="0" y="0"/>
            <wp:positionH relativeFrom="column">
              <wp:posOffset>4513580</wp:posOffset>
            </wp:positionH>
            <wp:positionV relativeFrom="paragraph">
              <wp:posOffset>924236</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89341" name="Picture 46"/>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30E52">
        <w:rPr>
          <w:rStyle w:val="717Char0"/>
          <w:noProof/>
          <w:spacing w:val="-2"/>
          <w:rtl/>
        </w:rPr>
        <w:drawing>
          <wp:anchor distT="0" distB="0" distL="114300" distR="114300" simplePos="0" relativeHeight="251681792" behindDoc="0" locked="0" layoutInCell="1" allowOverlap="1">
            <wp:simplePos x="0" y="0"/>
            <wp:positionH relativeFrom="column">
              <wp:posOffset>2431410</wp:posOffset>
            </wp:positionH>
            <wp:positionV relativeFrom="paragraph">
              <wp:posOffset>591820</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E30E52" w:rsidR="00E2722E">
        <w:rPr>
          <w:rStyle w:val="717Char0"/>
          <w:noProof/>
          <w:spacing w:val="-2"/>
        </w:rPr>
        <mc:AlternateContent>
          <mc:Choice Requires="wps">
            <w:drawing>
              <wp:anchor distT="45720" distB="45720" distL="114300" distR="114300" simplePos="0" relativeHeight="251682816" behindDoc="0" locked="0" layoutInCell="1" allowOverlap="1">
                <wp:simplePos x="0" y="0"/>
                <wp:positionH relativeFrom="column">
                  <wp:posOffset>144553</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367.5pt;height:30.75pt;margin-top:6.45pt;margin-left:11.4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sidRPr="00E30E52">
        <w:rPr>
          <w:rStyle w:val="717Char0"/>
          <w:noProof/>
          <w:spacing w:val="-2"/>
        </w:rPr>
        <mc:AlternateContent>
          <mc:Choice Requires="wps">
            <w:drawing>
              <wp:anchor distT="0" distB="0" distL="114300" distR="114300" simplePos="0" relativeHeight="25168486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5" style="mso-width-percent:0;mso-width-relative:margin;mso-wrap-distance-bottom:0;mso-wrap-distance-left:9pt;mso-wrap-distance-right:9pt;mso-wrap-distance-top:0;mso-wrap-style:square;position:absolute;visibility:visible;z-index:251685888" from="-2.4pt,4.45pt" to="370.35pt,4.45pt" strokecolor="black" strokeweight="2pt"/>
            </w:pict>
          </mc:Fallback>
        </mc:AlternateContent>
      </w:r>
      <w:r w:rsidRPr="00E30E52" w:rsidR="00717974">
        <w:rPr>
          <w:rStyle w:val="717Char0"/>
          <w:spacing w:val="-2"/>
          <w:rtl/>
        </w:rPr>
        <w:t>הליך קבלת החלטות לשם הקמת מערך פיקוח על טוהר</w:t>
      </w:r>
      <w:r w:rsidRPr="00E30E52" w:rsidR="00717974">
        <w:rPr>
          <w:spacing w:val="-2"/>
          <w:sz w:val="18"/>
          <w:szCs w:val="18"/>
          <w:rtl/>
        </w:rPr>
        <w:t xml:space="preserve"> </w:t>
      </w:r>
      <w:r w:rsidRPr="00E30E52" w:rsidR="00717974">
        <w:rPr>
          <w:rStyle w:val="717Char0"/>
          <w:spacing w:val="-2"/>
          <w:rtl/>
        </w:rPr>
        <w:t>הבחירות</w:t>
      </w:r>
      <w:r w:rsidRPr="00E30E52" w:rsidR="00717974">
        <w:rPr>
          <w:rFonts w:hint="cs"/>
          <w:spacing w:val="-2"/>
          <w:sz w:val="18"/>
          <w:szCs w:val="18"/>
          <w:rtl/>
        </w:rPr>
        <w:t xml:space="preserve"> -</w:t>
      </w:r>
      <w:r w:rsidRPr="00E30E52" w:rsidR="00717974">
        <w:rPr>
          <w:spacing w:val="-2"/>
          <w:sz w:val="18"/>
          <w:szCs w:val="18"/>
          <w:rtl/>
        </w:rPr>
        <w:t xml:space="preserve"> בין הבחירות לכנסת ה-22 לבחירות לכנסת ה-24 גדלה פי שלושה ההוצאה הכוללת של הוועדה בכל הקשור להפעלת מערך הפיקוח על טוהר הבחירות (מ-17 מיליון ש"ח ל-51 מיליון ש"ח). </w:t>
      </w:r>
      <w:r w:rsidRPr="00131E7F" w:rsidR="00717974">
        <w:rPr>
          <w:spacing w:val="-2"/>
          <w:sz w:val="18"/>
          <w:szCs w:val="18"/>
          <w:u w:val="single"/>
          <w:rtl/>
        </w:rPr>
        <w:t>בבחירות לכנסת ה-22</w:t>
      </w:r>
      <w:r w:rsidRPr="00E30E52" w:rsidR="00717974">
        <w:rPr>
          <w:spacing w:val="-2"/>
          <w:sz w:val="18"/>
          <w:szCs w:val="18"/>
          <w:rtl/>
        </w:rPr>
        <w:t xml:space="preserve"> - המטה </w:t>
      </w:r>
      <w:r w:rsidRPr="00E30E52" w:rsidR="00717974">
        <w:rPr>
          <w:spacing w:val="-2"/>
          <w:sz w:val="18"/>
          <w:szCs w:val="18"/>
          <w:rtl/>
        </w:rPr>
        <w:t>המינהלי</w:t>
      </w:r>
      <w:r w:rsidRPr="00E30E52" w:rsidR="00717974">
        <w:rPr>
          <w:spacing w:val="-2"/>
          <w:sz w:val="18"/>
          <w:szCs w:val="18"/>
          <w:rtl/>
        </w:rPr>
        <w:t xml:space="preserve"> של הוועדה לא הציג לפני נשיאות הוועדה נתונים המבססים את הקביעה בדבר מספר המפקחים שיוצבו בקלפיות, כגון ממצאי מיפוי קלפיות שבהן יש סיכון לפגיעה בטוהר הבחירות ומספר הקלפיות שלדעת המטה </w:t>
      </w:r>
      <w:r w:rsidRPr="00E30E52" w:rsidR="00717974">
        <w:rPr>
          <w:spacing w:val="-2"/>
          <w:sz w:val="18"/>
          <w:szCs w:val="18"/>
          <w:rtl/>
        </w:rPr>
        <w:t>המינהלי</w:t>
      </w:r>
      <w:r w:rsidRPr="00E30E52" w:rsidR="00717974">
        <w:rPr>
          <w:spacing w:val="-2"/>
          <w:sz w:val="18"/>
          <w:szCs w:val="18"/>
          <w:rtl/>
        </w:rPr>
        <w:t xml:space="preserve"> יש להציב בהן מפקחים, ולא הציג את העלות הכוללת של מערך הפיקוח, לרבות את עלות הכשרת המפקחים, קודם שקיבלה נשיאות הוועדה החלטה להציב 1,500 מפקחים בזמן ההצבעה ו-3,000 מפקחים בזמן הספירה, בעלות כוללת של 17 מיליון ש"ח ; </w:t>
      </w:r>
      <w:r w:rsidRPr="00131E7F" w:rsidR="00717974">
        <w:rPr>
          <w:spacing w:val="-2"/>
          <w:sz w:val="18"/>
          <w:szCs w:val="18"/>
          <w:u w:val="single"/>
          <w:rtl/>
        </w:rPr>
        <w:t>בבחירות לכנסת ה-23</w:t>
      </w:r>
      <w:r w:rsidRPr="00E30E52" w:rsidR="00717974">
        <w:rPr>
          <w:spacing w:val="-2"/>
          <w:sz w:val="18"/>
          <w:szCs w:val="18"/>
          <w:rtl/>
        </w:rPr>
        <w:t xml:space="preserve"> </w:t>
      </w:r>
      <w:r w:rsidRPr="00E30E52" w:rsidR="00131E7F">
        <w:rPr>
          <w:spacing w:val="-2"/>
          <w:sz w:val="18"/>
          <w:szCs w:val="18"/>
          <w:rtl/>
        </w:rPr>
        <w:t xml:space="preserve">- </w:t>
      </w:r>
      <w:r w:rsidRPr="00E30E52" w:rsidR="00717974">
        <w:rPr>
          <w:spacing w:val="-2"/>
          <w:sz w:val="18"/>
          <w:szCs w:val="18"/>
          <w:rtl/>
        </w:rPr>
        <w:t xml:space="preserve">במסמכי המטה אשר גובשו בידי המטה </w:t>
      </w:r>
      <w:r w:rsidRPr="00E30E52" w:rsidR="00717974">
        <w:rPr>
          <w:spacing w:val="-2"/>
          <w:sz w:val="18"/>
          <w:szCs w:val="18"/>
          <w:rtl/>
        </w:rPr>
        <w:t>המינהלי</w:t>
      </w:r>
      <w:r w:rsidRPr="00E30E52" w:rsidR="00717974">
        <w:rPr>
          <w:spacing w:val="-2"/>
          <w:sz w:val="18"/>
          <w:szCs w:val="18"/>
          <w:rtl/>
        </w:rPr>
        <w:t xml:space="preserve"> של הוועדה לצורך קבלת החלטות בדבר מספר המפקחים שיוצבו בקלפיות בבחירות לכנסת ה-23 לא נכללה מלוא תשתית המידע שעשוי להיות רלוונטי לקביעת מספר המפקחים שיוצבו בקלפיות; </w:t>
      </w:r>
      <w:r w:rsidRPr="00131E7F" w:rsidR="00717974">
        <w:rPr>
          <w:spacing w:val="-2"/>
          <w:sz w:val="18"/>
          <w:szCs w:val="18"/>
          <w:u w:val="single"/>
          <w:rtl/>
        </w:rPr>
        <w:t>בבחירות לכנסת ה-24</w:t>
      </w:r>
      <w:r w:rsidRPr="00E30E52" w:rsidR="00717974">
        <w:rPr>
          <w:spacing w:val="-2"/>
          <w:sz w:val="18"/>
          <w:szCs w:val="18"/>
          <w:rtl/>
        </w:rPr>
        <w:t xml:space="preserve"> - לגבי שתיים מחמש החלופות שגיבש המטה </w:t>
      </w:r>
      <w:r w:rsidRPr="00E30E52" w:rsidR="00717974">
        <w:rPr>
          <w:spacing w:val="-2"/>
          <w:sz w:val="18"/>
          <w:szCs w:val="18"/>
          <w:rtl/>
        </w:rPr>
        <w:t>המינהלי</w:t>
      </w:r>
      <w:r w:rsidRPr="00E30E52" w:rsidR="00717974">
        <w:rPr>
          <w:spacing w:val="-2"/>
          <w:sz w:val="18"/>
          <w:szCs w:val="18"/>
          <w:rtl/>
        </w:rPr>
        <w:t xml:space="preserve"> של ועדת הבחירות להפעלת מערך הפיקוח לא הוצגו עלויות כוללות. כמו כן, המטה לא הציג לחברי הנשיאות את כל המידע והמסקנות שהיו בידיו, אף שהם רלוונטיים להחלטה בדבר הפעלת מערך הפיקוח: לא הוצגו העלויות של ארבע מחמש החלופות שגיבש המטה </w:t>
      </w:r>
      <w:r w:rsidRPr="00E30E52" w:rsidR="00717974">
        <w:rPr>
          <w:spacing w:val="-2"/>
          <w:sz w:val="18"/>
          <w:szCs w:val="18"/>
          <w:rtl/>
        </w:rPr>
        <w:t>המינהלי</w:t>
      </w:r>
      <w:r w:rsidRPr="00E30E52" w:rsidR="00717974">
        <w:rPr>
          <w:spacing w:val="-2"/>
          <w:sz w:val="18"/>
          <w:szCs w:val="18"/>
          <w:rtl/>
        </w:rPr>
        <w:t xml:space="preserve">, לרבות חלופה א' שענתה על צורך שהעלו חברי הנשיאות - צילום בכל הקלפיות; לא הוצגו מסקנות צוות הפקת הלקחים של הוועדה, ולפיהן מודל הפיקוח שהנהיגה בבחירות לכנסת ה-23 השיג את מטרותיו העיקריות - הבטחת אמון הציבור בהליך הבחירות ושמירת טוהר הבחירות; לא הובאו לפני הנשיאות נתונים שהיו בידי המטה </w:t>
      </w:r>
      <w:r w:rsidRPr="00E30E52" w:rsidR="00717974">
        <w:rPr>
          <w:spacing w:val="-2"/>
          <w:sz w:val="18"/>
          <w:szCs w:val="18"/>
          <w:rtl/>
        </w:rPr>
        <w:t>המינהלי</w:t>
      </w:r>
      <w:r w:rsidRPr="00E30E52" w:rsidR="00717974">
        <w:rPr>
          <w:spacing w:val="-2"/>
          <w:sz w:val="18"/>
          <w:szCs w:val="18"/>
          <w:rtl/>
        </w:rPr>
        <w:t xml:space="preserve"> של הוועדה על הפחתת מספר אירועי טוהר הבחירות בין הבחירות לכנסת ה-22 ובין הבחירות לכנסת ה-23</w:t>
      </w:r>
      <w:r w:rsidRPr="00716B1B">
        <w:rPr>
          <w:rtl/>
        </w:rPr>
        <w:t>.</w:t>
      </w:r>
    </w:p>
    <w:p w:rsidR="003C2AFA" w:rsidP="00710A59" w14:paraId="34C3014B" w14:textId="0736D022">
      <w:pPr>
        <w:pStyle w:val="7112"/>
        <w:rPr>
          <w:rtl/>
        </w:rPr>
      </w:pPr>
      <w:r w:rsidRPr="00E01F67">
        <w:rPr>
          <w:rStyle w:val="717Char0"/>
          <w:rFonts w:hint="cs"/>
          <w:noProof/>
          <w:rtl/>
        </w:rPr>
        <w:drawing>
          <wp:anchor distT="0" distB="3600450" distL="114300" distR="114300" simplePos="0" relativeHeight="251687936"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80563" name="Picture 46"/>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30E52" w:rsidR="00717974">
        <w:rPr>
          <w:rStyle w:val="717Char0"/>
          <w:rtl/>
        </w:rPr>
        <w:t>ההסדרה המשפטית של צילום בחדרי הקלפי</w:t>
      </w:r>
      <w:r w:rsidRPr="008D3170" w:rsidR="00717974">
        <w:rPr>
          <w:rFonts w:hint="cs"/>
          <w:rtl/>
        </w:rPr>
        <w:t xml:space="preserve"> -</w:t>
      </w:r>
      <w:r w:rsidRPr="008D3170" w:rsidR="00717974">
        <w:rPr>
          <w:rtl/>
        </w:rPr>
        <w:t xml:space="preserve"> לאחר הבחירות לכנסת ה-24 (במרץ 2021) לא החל המטה </w:t>
      </w:r>
      <w:r w:rsidRPr="008D3170" w:rsidR="00717974">
        <w:rPr>
          <w:rtl/>
        </w:rPr>
        <w:t>המינהלי</w:t>
      </w:r>
      <w:r w:rsidRPr="008D3170" w:rsidR="00717974">
        <w:rPr>
          <w:rtl/>
        </w:rPr>
        <w:t xml:space="preserve"> של ועדת הבחירות המרכזית לקדם את ההסדרה של </w:t>
      </w:r>
      <w:r w:rsidRPr="008D3170" w:rsidR="00717974">
        <w:rPr>
          <w:rtl/>
        </w:rPr>
        <w:t>מערך הפיקוח על טוהר הבחירות ואת הצבת המצלמות בוועדות הקלפי במסגרת חקיקה. לפיכך במועד סיום הביקורת עדיין לא הוסדר ההיתר להשתמש בצילום חזותי בחדרי ועדות קלפי בחקיקה ראשית או בחקיקת משנה מכוח הסדרה מפורשת בחקיקה ראשית</w:t>
      </w:r>
      <w:r w:rsidR="00727B3B">
        <w:rPr>
          <w:rFonts w:hint="cs"/>
          <w:rtl/>
        </w:rPr>
        <w:t>.</w:t>
      </w:r>
    </w:p>
    <w:p w:rsidR="003C2AFA" w:rsidRPr="003C2AFA" w:rsidP="00710A59" w14:paraId="6E51C406" w14:textId="0E8292F7">
      <w:pPr>
        <w:pStyle w:val="7112"/>
      </w:pPr>
      <w:r w:rsidRPr="00E01F67">
        <w:rPr>
          <w:rStyle w:val="717Char0"/>
          <w:rFonts w:hint="cs"/>
          <w:noProof/>
          <w:rtl/>
        </w:rPr>
        <w:drawing>
          <wp:anchor distT="0" distB="3600450" distL="114300" distR="114300" simplePos="0" relativeHeight="251701248" behindDoc="0" locked="0" layoutInCell="1" allowOverlap="1">
            <wp:simplePos x="0" y="0"/>
            <wp:positionH relativeFrom="column">
              <wp:posOffset>4516755</wp:posOffset>
            </wp:positionH>
            <wp:positionV relativeFrom="paragraph">
              <wp:posOffset>40964</wp:posOffset>
            </wp:positionV>
            <wp:extent cx="161925" cy="161925"/>
            <wp:effectExtent l="0" t="0" r="3175" b="3175"/>
            <wp:wrapSquare wrapText="bothSides"/>
            <wp:docPr id="82064719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04632" name="Picture 46"/>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30E52" w:rsidR="00717974">
        <w:rPr>
          <w:rStyle w:val="717Char0"/>
          <w:rtl/>
        </w:rPr>
        <w:t xml:space="preserve">בעלי תפקיד המוסמכים לצלם בחדרי הקלפי </w:t>
      </w:r>
      <w:r w:rsidRPr="008D3170" w:rsidR="00717974">
        <w:rPr>
          <w:rFonts w:hint="cs"/>
          <w:rtl/>
        </w:rPr>
        <w:t xml:space="preserve">- </w:t>
      </w:r>
      <w:r w:rsidRPr="008D3170" w:rsidR="00717974">
        <w:rPr>
          <w:rtl/>
        </w:rPr>
        <w:t xml:space="preserve">עלה כי ב-50 קלפיות (18%) מתוך מדגם שערך משרד מבקר המדינה של 283 קלפיות רגישות, לא היה מפקח ביום הבחירות לכנסת ה-24; מתוכן ב-13 קלפיות (26%) ספירת הקולות צולמה בוודאות; ב-16 קלפיות (32%) ספק אם ספירת הקלפיות צולמה; </w:t>
      </w:r>
      <w:r w:rsidRPr="008D3170" w:rsidR="00717974">
        <w:rPr>
          <w:rtl/>
        </w:rPr>
        <w:t>וב</w:t>
      </w:r>
      <w:r w:rsidRPr="008D3170" w:rsidR="00717974">
        <w:rPr>
          <w:rtl/>
        </w:rPr>
        <w:t>-21 קלפיות לא צולמה ספירת הקולות (42%). זאת, למרות החלטתו של יו"ר ועדת הבחירות, ולפיה רק מפקח שעבר הכשרה ייעודית רשאי לצלם בחדר הקלפי. לפיכך, הלכה למעשה, בבחירות לכנסת ה-24 נעשה שימוש במצלמות בקלפיות הרגישות על ידי גורמים אחרים (מקרב המזכירים - לדברי הוועדה) שלא הוסמכו לכך לפני יום הבחירות</w:t>
      </w:r>
      <w:r w:rsidRPr="003C2AFA">
        <w:rPr>
          <w:rtl/>
        </w:rPr>
        <w:t>.</w:t>
      </w:r>
    </w:p>
    <w:p w:rsidR="003C2AFA" w:rsidRPr="00E30E52" w:rsidP="00710A59" w14:paraId="1F733F56" w14:textId="069F973F">
      <w:pPr>
        <w:pStyle w:val="7112"/>
        <w:rPr>
          <w:spacing w:val="-2"/>
          <w:rtl/>
        </w:rPr>
      </w:pPr>
      <w:r w:rsidRPr="00E30E52">
        <w:rPr>
          <w:rStyle w:val="717Char0"/>
          <w:rFonts w:hint="cs"/>
          <w:noProof/>
          <w:spacing w:val="-2"/>
          <w:rtl/>
        </w:rPr>
        <w:drawing>
          <wp:anchor distT="0" distB="3600450" distL="114300" distR="114300" simplePos="0" relativeHeight="251702272" behindDoc="0" locked="0" layoutInCell="1" allowOverlap="1">
            <wp:simplePos x="0" y="0"/>
            <wp:positionH relativeFrom="column">
              <wp:posOffset>4517714</wp:posOffset>
            </wp:positionH>
            <wp:positionV relativeFrom="paragraph">
              <wp:posOffset>28575</wp:posOffset>
            </wp:positionV>
            <wp:extent cx="161925" cy="161925"/>
            <wp:effectExtent l="0" t="0" r="3175" b="3175"/>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32875" name="Picture 46"/>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30E52" w:rsidR="00717974">
        <w:rPr>
          <w:rStyle w:val="717Char0"/>
          <w:spacing w:val="-2"/>
          <w:rtl/>
        </w:rPr>
        <w:t>אבטחת תוצרי הצילום</w:t>
      </w:r>
      <w:r w:rsidRPr="00E30E52" w:rsidR="00717974">
        <w:rPr>
          <w:spacing w:val="-2"/>
          <w:rtl/>
        </w:rPr>
        <w:t xml:space="preserve"> </w:t>
      </w:r>
      <w:r w:rsidRPr="00E30E52" w:rsidR="00717974">
        <w:rPr>
          <w:rFonts w:hint="cs"/>
          <w:spacing w:val="-2"/>
          <w:rtl/>
        </w:rPr>
        <w:t xml:space="preserve">- </w:t>
      </w:r>
      <w:r w:rsidRPr="00E30E52" w:rsidR="00717974">
        <w:rPr>
          <w:spacing w:val="-2"/>
          <w:rtl/>
        </w:rPr>
        <w:t xml:space="preserve">בבחירות לכנסת ה-22, ה-23 </w:t>
      </w:r>
      <w:r w:rsidRPr="00E30E52" w:rsidR="00717974">
        <w:rPr>
          <w:spacing w:val="-2"/>
          <w:rtl/>
        </w:rPr>
        <w:t>וה</w:t>
      </w:r>
      <w:r w:rsidRPr="00E30E52" w:rsidR="00717974">
        <w:rPr>
          <w:spacing w:val="-2"/>
          <w:rtl/>
        </w:rPr>
        <w:t>-24 לא תיעדה הוועדה את העברת חומרי הצילום למשטרה, כנדרש על פי נהליה. היעדר תיעוד שיטתי מעורר חשש שהוועדה אינה עוקבת אחר שמירתם והשמדתם של כלל חומרי הצילום, כנדרש על פי דין</w:t>
      </w:r>
      <w:r w:rsidRPr="00E30E52" w:rsidR="00FB7BBB">
        <w:rPr>
          <w:rFonts w:hint="cs"/>
          <w:spacing w:val="-2"/>
          <w:rtl/>
        </w:rPr>
        <w:t>.</w:t>
      </w:r>
    </w:p>
    <w:p w:rsidR="00E2722E" w:rsidRPr="00716B1B" w:rsidP="00E2722E" w14:paraId="50F48A09" w14:textId="123E8A4A">
      <w:pPr>
        <w:pStyle w:val="7112"/>
      </w:pPr>
      <w:r w:rsidRPr="00710A59">
        <w:rPr>
          <w:rStyle w:val="717Char0"/>
          <w:rFonts w:hint="cs"/>
          <w:noProof/>
          <w:rtl/>
        </w:rPr>
        <w:drawing>
          <wp:anchor distT="0" distB="3600450" distL="114300" distR="114300" simplePos="0" relativeHeight="251721728"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24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34330" name="Picture 46"/>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30E52" w:rsidR="00717974">
        <w:rPr>
          <w:rStyle w:val="717Char0"/>
          <w:rtl/>
        </w:rPr>
        <w:t>גיוס והעסקת מפקחים</w:t>
      </w:r>
      <w:r w:rsidRPr="008D3170" w:rsidR="00717974">
        <w:rPr>
          <w:rtl/>
        </w:rPr>
        <w:t xml:space="preserve"> </w:t>
      </w:r>
      <w:r w:rsidRPr="008D3170" w:rsidR="00717974">
        <w:rPr>
          <w:rFonts w:hint="cs"/>
          <w:rtl/>
        </w:rPr>
        <w:t xml:space="preserve">- </w:t>
      </w:r>
      <w:r w:rsidRPr="008D3170" w:rsidR="00717974">
        <w:rPr>
          <w:rtl/>
        </w:rPr>
        <w:t>על אף הגידול הניכר במספר המפקחים בין הבחירות לכנסת ה-22 לבחירות לכנסת ה-24 (פי ארבעה) והגידול הניכר עקב כך בעלויות מערך הפיקוח (פי שלושה) – בבחירות לכנסת ה-24 לא נכח מפקח טוהר בחירות ב-18% מהקלפיות שהוועדה עצמה הגדירה כקלפיות רגישות בהיבט של טוהר הבחירות. לצד ההצבה הנרחבת של מפקחים ברובן המכריע של הקלפיות, דווקא בקלפיות שבהן נדרש פיקוח ביתר שאת שיעור הקלפיות שמהן נעדר מפקח היה גבוה מהממוצע (18% ו-12%, בהתאמה</w:t>
      </w:r>
      <w:r w:rsidR="00717974">
        <w:rPr>
          <w:rFonts w:hint="cs"/>
          <w:rtl/>
        </w:rPr>
        <w:t>)</w:t>
      </w:r>
      <w:r w:rsidRPr="00716B1B">
        <w:rPr>
          <w:rtl/>
        </w:rPr>
        <w:t>.</w:t>
      </w:r>
    </w:p>
    <w:p w:rsidR="00E2722E" w:rsidP="00E2722E" w14:paraId="51F81A9A" w14:textId="047F07CE">
      <w:pPr>
        <w:pStyle w:val="7112"/>
        <w:ind w:left="-1"/>
        <w:rPr>
          <w:rtl/>
        </w:rPr>
      </w:pPr>
      <w:r w:rsidRPr="00E01F67">
        <w:rPr>
          <w:rStyle w:val="717Char0"/>
          <w:rFonts w:hint="cs"/>
          <w:noProof/>
          <w:rtl/>
        </w:rPr>
        <w:drawing>
          <wp:anchor distT="0" distB="3600450" distL="114300" distR="114300" simplePos="0" relativeHeight="25172275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24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10088" name="Picture 46"/>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30E52" w:rsidR="00717974">
        <w:rPr>
          <w:rStyle w:val="717Char0"/>
          <w:rtl/>
        </w:rPr>
        <w:t>רכש שירותים ומוצרים לצורך הפעלת מערך הפיקוח בבחירות</w:t>
      </w:r>
      <w:r w:rsidRPr="008D3170" w:rsidR="00717974">
        <w:rPr>
          <w:rtl/>
        </w:rPr>
        <w:t xml:space="preserve"> </w:t>
      </w:r>
      <w:r w:rsidRPr="00E30E52" w:rsidR="00717974">
        <w:rPr>
          <w:rStyle w:val="717Char0"/>
          <w:rtl/>
        </w:rPr>
        <w:t>לכנסת</w:t>
      </w:r>
      <w:r w:rsidRPr="008D3170" w:rsidR="00717974">
        <w:rPr>
          <w:rtl/>
        </w:rPr>
        <w:t xml:space="preserve"> </w:t>
      </w:r>
      <w:r w:rsidRPr="00E30E52" w:rsidR="00717974">
        <w:rPr>
          <w:rStyle w:val="717Char0"/>
          <w:rtl/>
        </w:rPr>
        <w:t>ה-24</w:t>
      </w:r>
      <w:r w:rsidRPr="008D3170" w:rsidR="00717974">
        <w:rPr>
          <w:rtl/>
        </w:rPr>
        <w:t xml:space="preserve"> </w:t>
      </w:r>
      <w:r w:rsidRPr="008D3170" w:rsidR="00717974">
        <w:rPr>
          <w:rFonts w:hint="cs"/>
          <w:rtl/>
        </w:rPr>
        <w:t xml:space="preserve">- </w:t>
      </w:r>
      <w:r w:rsidRPr="008D3170" w:rsidR="00717974">
        <w:rPr>
          <w:rtl/>
        </w:rPr>
        <w:t>לצורך הבחירות לכנסת ה-22, לכנסת ה-23 ולכנסת ה-24 רכשה ועדת הבחירות המרכזית 15,500 מצלמות במצטבר (לרבות 12,350 מצלמות שנרכשו לקראת הבחירות לכנסת ה-24) עבור מערך הפיקוח על טוהר הבחירות בעלות כוללת של 19.3 מיליון ש"ח. בפועל, נדרשו הלכה למעשה כ-13,240 מצלמות לקלפיות רגילות שפעלו ביום הבחירות, כ-2,200 פחות ממספר המצלמות שנרכשו; הוועדה רכשה מערכת ממוחשבת לניהול דיווחי מפקחי טוהר הבחירות ביום הבחירות (מערכת אייל) חודש לפני יום הבחירות לכנסת ה-24. בפועל, 34% מהמפקחים לא הצליחו להתקשר עם המערכת באמצעות אפליקציה ייעודית לכך; הוועדה לא פרסמה את ההחלטות של ועדת המכרזים ושל ועדת הפטור המשרדית בדבר רכש מצלמות הגוף ורכש מערכת אייל בפטור ממכרז, כנדרש בתקנות חובת המכרזים; הבקרה המדורגת שיצר המחוקק לצורך אישור התקשרויות בפטור ממכרז לא התקיימה בעת שאושרו התקשרויות לרכישת מצלמות ומערכת אייל</w:t>
      </w:r>
      <w:r>
        <w:rPr>
          <w:rFonts w:hint="cs"/>
          <w:rtl/>
        </w:rPr>
        <w:t>.</w:t>
      </w:r>
    </w:p>
    <w:p w:rsidR="00D52FA4" w:rsidRPr="00716B1B" w:rsidP="00D52FA4" w14:paraId="37235AF0" w14:textId="1AB5157A">
      <w:pPr>
        <w:pStyle w:val="7112"/>
      </w:pPr>
      <w:r w:rsidRPr="00E01F67">
        <w:rPr>
          <w:rStyle w:val="717Char0"/>
          <w:rFonts w:hint="cs"/>
          <w:noProof/>
          <w:rtl/>
        </w:rPr>
        <w:drawing>
          <wp:anchor distT="0" distB="3600450" distL="114300" distR="114300" simplePos="0" relativeHeight="251723776"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149587181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50154" name="Picture 46"/>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30E52" w:rsidR="00717974">
        <w:rPr>
          <w:rStyle w:val="717Char0"/>
          <w:rtl/>
        </w:rPr>
        <w:t>שלמות המידע על אודות חשדות לפגיעה בטוהר</w:t>
      </w:r>
      <w:r w:rsidRPr="008D3170" w:rsidR="00717974">
        <w:rPr>
          <w:rtl/>
        </w:rPr>
        <w:t xml:space="preserve"> </w:t>
      </w:r>
      <w:r w:rsidRPr="00E30E52" w:rsidR="00717974">
        <w:rPr>
          <w:rStyle w:val="717Char0"/>
          <w:rtl/>
        </w:rPr>
        <w:t>הבחירות</w:t>
      </w:r>
      <w:r w:rsidRPr="008D3170" w:rsidR="00717974">
        <w:rPr>
          <w:rtl/>
        </w:rPr>
        <w:t xml:space="preserve"> </w:t>
      </w:r>
      <w:r w:rsidRPr="008D3170" w:rsidR="00717974">
        <w:rPr>
          <w:rFonts w:hint="cs"/>
          <w:rtl/>
        </w:rPr>
        <w:t xml:space="preserve">- </w:t>
      </w:r>
      <w:r w:rsidRPr="008D3170" w:rsidR="00717974">
        <w:rPr>
          <w:rtl/>
        </w:rPr>
        <w:t xml:space="preserve">המידע במערכות הממוחשבות של הוועדה בנוגע לטיפול בחשדות לפגיעה בטוהר הבחירות היה חסר. נמצא חסר </w:t>
      </w:r>
      <w:r w:rsidRPr="008D3170" w:rsidR="00717974">
        <w:rPr>
          <w:rtl/>
        </w:rPr>
        <w:t>בכרבע</w:t>
      </w:r>
      <w:r w:rsidRPr="008D3170" w:rsidR="00717974">
        <w:rPr>
          <w:rtl/>
        </w:rPr>
        <w:t xml:space="preserve"> מהדיווחים שהטיפול בהם הסתיים בבחירות לכנסת ה-22, </w:t>
      </w:r>
      <w:r w:rsidRPr="008D3170" w:rsidR="00717974">
        <w:rPr>
          <w:rtl/>
        </w:rPr>
        <w:t>בכשליש</w:t>
      </w:r>
      <w:r w:rsidRPr="008D3170" w:rsidR="00717974">
        <w:rPr>
          <w:rtl/>
        </w:rPr>
        <w:t xml:space="preserve"> מהדיווחים שנסגרו בבחירות לכנסת ה-23 ובכמעט 40% מהדיווחים שנסגרו בבחירות לכנסת ה-24</w:t>
      </w:r>
      <w:r w:rsidRPr="00716B1B">
        <w:rPr>
          <w:rtl/>
        </w:rPr>
        <w:t>.</w:t>
      </w:r>
    </w:p>
    <w:p w:rsidR="00D52FA4" w:rsidRPr="00DF2C6E" w:rsidP="00E01F67" w14:paraId="6264862C" w14:textId="06B83C9B">
      <w:pPr>
        <w:pStyle w:val="7112"/>
        <w:ind w:left="454"/>
        <w:rPr>
          <w:spacing w:val="2"/>
          <w:rtl/>
        </w:rPr>
      </w:pPr>
      <w:r w:rsidRPr="003270E5">
        <w:rPr>
          <w:rStyle w:val="717Char0"/>
          <w:rFonts w:hint="cs"/>
          <w:noProof/>
          <w:rtl/>
        </w:rPr>
        <w:drawing>
          <wp:anchor distT="0" distB="3600450" distL="114300" distR="114300" simplePos="0" relativeHeight="251724800"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99975" name="Picture 46"/>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270E5" w:rsidR="00717974">
        <w:rPr>
          <w:rStyle w:val="717Char0"/>
          <w:rtl/>
        </w:rPr>
        <w:t>אפקטיביות מערך הפי</w:t>
      </w:r>
      <w:r w:rsidRPr="00E30E52" w:rsidR="00717974">
        <w:rPr>
          <w:rStyle w:val="717Char0"/>
          <w:rtl/>
        </w:rPr>
        <w:t>קוח</w:t>
      </w:r>
      <w:r w:rsidRPr="008D3170" w:rsidR="00717974">
        <w:rPr>
          <w:rtl/>
        </w:rPr>
        <w:t xml:space="preserve"> </w:t>
      </w:r>
      <w:r w:rsidRPr="008D3170" w:rsidR="00717974">
        <w:rPr>
          <w:rFonts w:hint="cs"/>
          <w:rtl/>
        </w:rPr>
        <w:t xml:space="preserve">- </w:t>
      </w:r>
      <w:r w:rsidRPr="008D3170" w:rsidR="00717974">
        <w:rPr>
          <w:rtl/>
        </w:rPr>
        <w:t xml:space="preserve">נתונים שהועלו בביקורת מעידים על אינדיקציות לצורך בבדיקת אפקטיביות מערך הפיקוח על טוהר הבחירות. לדוגמה, רק ב-7% מהקלפיות (56 מ-799 קלפיות) נדרשה בדיקת עומק עקב דיווח של מערך הפיקוח; הוועדה העבירה למשטרה תצלומים לצורך חקירת חשדות לפגיעה בטוהר הבחירות לכנסת ה-24 ב-10 קלפיות (0.08% </w:t>
      </w:r>
      <w:r w:rsidRPr="008D3170" w:rsidR="00717974">
        <w:rPr>
          <w:rtl/>
        </w:rPr>
        <w:t>מכ</w:t>
      </w:r>
      <w:r w:rsidRPr="008D3170" w:rsidR="00717974">
        <w:rPr>
          <w:rtl/>
        </w:rPr>
        <w:t>-13,240 הקלפיות). במשך כשנה - פרק הזמן שבין הבחירות לכנסת ה-23 לבחירות לכנסת ה-24 - לא בדקה הוועדה את אפקטיביות מערך הפיקוח בשתי מערכות הבחירות הקודמות, ואף לא החלה בבדיקה כזאת. ההחלטה להגדיל את היקף המפקחים כאמור בין שתי מערכות הבחירות פי 2.6 התקבלה אפוא שלא על סמך בדיקת אפקטיביות המערך שפעל</w:t>
      </w:r>
      <w:r w:rsidRPr="00DF2C6E">
        <w:rPr>
          <w:rFonts w:hint="cs"/>
          <w:spacing w:val="2"/>
          <w:rtl/>
        </w:rPr>
        <w:t>.</w:t>
      </w:r>
    </w:p>
    <w:p w:rsidR="00A61CEE" w:rsidP="00717974" w14:paraId="3F0F3092" w14:textId="77777777">
      <w:pPr>
        <w:pStyle w:val="7112"/>
        <w:spacing w:before="360"/>
        <w:ind w:left="0"/>
        <w:rPr>
          <w:rtl/>
        </w:rPr>
      </w:pPr>
    </w:p>
    <w:p w:rsidR="00D52FA4" w:rsidRPr="00D52FA4" w:rsidP="00717974" w14:paraId="2D9F078A" w14:textId="6A5AF8FF">
      <w:pPr>
        <w:pStyle w:val="7112"/>
        <w:spacing w:before="360"/>
        <w:ind w:left="0"/>
        <w:rPr>
          <w:rtl/>
        </w:rPr>
      </w:pPr>
      <w:r w:rsidRPr="00DF2C6E">
        <w:rPr>
          <w:rStyle w:val="717Char0"/>
          <w:rFonts w:hint="cs"/>
          <w:noProof/>
          <w:rtl/>
        </w:rPr>
        <w:drawing>
          <wp:anchor distT="0" distB="0" distL="114300" distR="114300" simplePos="0" relativeHeight="251688960" behindDoc="0" locked="0" layoutInCell="1" allowOverlap="1">
            <wp:simplePos x="0" y="0"/>
            <wp:positionH relativeFrom="column">
              <wp:posOffset>2317733</wp:posOffset>
            </wp:positionH>
            <wp:positionV relativeFrom="paragraph">
              <wp:posOffset>313</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8D3170">
        <w:rPr>
          <w:rtl/>
        </w:rPr>
        <w:t>בשנים 2019 - 2021 התקיימו בישראל ארבע מערכות בחירות. מערכת הבחירות לכנסת ה-24 התקיימה בעיצומה של מגפת הקורונה וחייבה היערכות מתאימה, לרבות תוספת קלפיות וצמצום מספר הבוחרים המרבי בקלפי. משרד מבקר המדינה מציין לחיוב את עצם הצלחת ועדת הבחירות המרכזית לקיים את הבחירות לכנסת ה-24 בעיצומה של מגפת הקורונה</w:t>
      </w:r>
      <w:r w:rsidRPr="00D52FA4">
        <w:rPr>
          <w:rtl/>
        </w:rPr>
        <w:t>.</w:t>
      </w:r>
    </w:p>
    <w:p w:rsidR="003C2AFA" w:rsidRPr="003C2AFA" w:rsidP="003C2AFA" w14:paraId="1261D224" w14:textId="7589105F">
      <w:pPr>
        <w:pStyle w:val="7112"/>
        <w:rPr>
          <w:rtl/>
        </w:rPr>
      </w:pPr>
      <w:r w:rsidRPr="004232CF">
        <w:rPr>
          <w:rStyle w:val="21Char1"/>
          <w:noProof/>
          <w:rtl/>
        </w:rPr>
        <mc:AlternateContent>
          <mc:Choice Requires="wps">
            <w:drawing>
              <wp:anchor distT="0" distB="0" distL="114300" distR="114300" simplePos="0" relativeHeight="251692032" behindDoc="0" locked="0" layoutInCell="1" allowOverlap="1">
                <wp:simplePos x="0" y="0"/>
                <wp:positionH relativeFrom="column">
                  <wp:posOffset>-107639</wp:posOffset>
                </wp:positionH>
                <wp:positionV relativeFrom="paragraph">
                  <wp:posOffset>361315</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6" style="mso-width-percent:0;mso-width-relative:margin;mso-wrap-distance-bottom:0;mso-wrap-distance-left:9pt;mso-wrap-distance-right:9pt;mso-wrap-distance-top:0;mso-wrap-style:square;position:absolute;visibility:visible;z-index:251693056" from="-8.5pt,28.45pt" to="364.25pt,28.45pt" strokecolor="black" strokeweight="2pt"/>
            </w:pict>
          </mc:Fallback>
        </mc:AlternateContent>
      </w:r>
      <w:r w:rsidRPr="004232CF">
        <w:rPr>
          <w:rStyle w:val="21Char1"/>
          <w:noProof/>
          <w:rtl/>
        </w:rPr>
        <mc:AlternateContent>
          <mc:Choice Requires="wps">
            <w:drawing>
              <wp:anchor distT="45720" distB="45720" distL="114300" distR="114300" simplePos="0" relativeHeight="251689984" behindDoc="0" locked="0" layoutInCell="1" allowOverlap="1">
                <wp:simplePos x="0" y="0"/>
                <wp:positionH relativeFrom="column">
                  <wp:posOffset>60325</wp:posOffset>
                </wp:positionH>
                <wp:positionV relativeFrom="paragraph">
                  <wp:posOffset>388620</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367.5pt;height:30.75pt;margin-top:30.6pt;margin-left:4.75pt;mso-height-percent:0;mso-height-relative:margin;mso-width-percent:0;mso-width-relative:margin;mso-wrap-distance-bottom:3.6pt;mso-wrap-distance-left:9pt;mso-wrap-distance-right:9pt;mso-wrap-distance-top:3.6pt;mso-wrap-style:square;position:absolute;visibility:visible;v-text-anchor:top;z-index:251691008"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p>
    <w:p w:rsidR="00C914A4" w:rsidRPr="003A3978" w:rsidP="00C914A4" w14:paraId="1813BEAE" w14:textId="5F9E4581">
      <w:pPr>
        <w:pStyle w:val="7112"/>
      </w:pPr>
      <w:r w:rsidRPr="004A74D6">
        <w:rPr>
          <w:b/>
          <w:bCs/>
          <w:noProof/>
        </w:rPr>
        <w:drawing>
          <wp:anchor distT="0" distB="3600450" distL="114300" distR="114300" simplePos="0" relativeHeight="251695104" behindDoc="0" locked="0" layoutInCell="1" allowOverlap="1">
            <wp:simplePos x="0" y="0"/>
            <wp:positionH relativeFrom="column">
              <wp:posOffset>4486498</wp:posOffset>
            </wp:positionH>
            <wp:positionV relativeFrom="paragraph">
              <wp:posOffset>596900</wp:posOffset>
            </wp:positionV>
            <wp:extent cx="140335" cy="161925"/>
            <wp:effectExtent l="0" t="0" r="0" b="317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433700154"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170" w:rsidR="003270E5">
        <w:rPr>
          <w:rtl/>
        </w:rPr>
        <w:t xml:space="preserve">מומלץ שהמטה </w:t>
      </w:r>
      <w:r w:rsidRPr="008D3170" w:rsidR="003270E5">
        <w:rPr>
          <w:rtl/>
        </w:rPr>
        <w:t>המינהלי</w:t>
      </w:r>
      <w:r w:rsidRPr="008D3170" w:rsidR="003270E5">
        <w:rPr>
          <w:rtl/>
        </w:rPr>
        <w:t xml:space="preserve"> של ועדת הבחירות המרכזית יציג את הנתונים הרלוונטיים שבידיו לפני יו"ר הוועדה, ובמידת הצורך גם לפני נשיאות הוועדה, לרבות נתונים על עלות ההצעה המובאת לפניהם, בבואם לדון בשאלה אם לאשר תוספת כוח אדם, ואם כן - באיזה היקף, לפני קבלת ההחלטה בנושא</w:t>
      </w:r>
      <w:r w:rsidRPr="003A3978">
        <w:rPr>
          <w:rtl/>
        </w:rPr>
        <w:t>.</w:t>
      </w:r>
    </w:p>
    <w:p w:rsidR="00C914A4" w:rsidRPr="003A3978" w:rsidP="00C914A4" w14:paraId="4886D1DB" w14:textId="027C8FCE">
      <w:pPr>
        <w:pStyle w:val="7112"/>
      </w:pPr>
      <w:r w:rsidRPr="004A74D6">
        <w:rPr>
          <w:b/>
          <w:bCs/>
          <w:noProof/>
        </w:rPr>
        <w:drawing>
          <wp:anchor distT="0" distB="3600450" distL="114300" distR="114300" simplePos="0" relativeHeight="251694080" behindDoc="0" locked="0" layoutInCell="1" allowOverlap="1">
            <wp:simplePos x="0" y="0"/>
            <wp:positionH relativeFrom="column">
              <wp:posOffset>4482465</wp:posOffset>
            </wp:positionH>
            <wp:positionV relativeFrom="paragraph">
              <wp:posOffset>39147</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2043801316"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170" w:rsidR="003270E5">
        <w:rPr>
          <w:rtl/>
        </w:rPr>
        <w:t xml:space="preserve">על המטה </w:t>
      </w:r>
      <w:r w:rsidRPr="008D3170" w:rsidR="003270E5">
        <w:rPr>
          <w:rtl/>
        </w:rPr>
        <w:t>המינהלי</w:t>
      </w:r>
      <w:r w:rsidRPr="008D3170" w:rsidR="003270E5">
        <w:rPr>
          <w:rtl/>
        </w:rPr>
        <w:t xml:space="preserve"> של ועדת הבחירות המרכזית ליישם את החלטת יו"ר ועדת הבחירות כתשתית מחייבת להיתר שימוש בצילום חזותי בוועדות הקלפי, ולקיים עבודת מטה המבוססת על מידע מקיף ומומחיות במגוון תחומים, תוך היוועצות בכלל הגורמים הרלוונטיים, לצורך קביעת מכלול ההסדרים הנדרשים להסדרה חוקית מפורשת של נושא הפיקוח והצילום בוועדות הקלפי, בין בחקיקה ראשית ובין בחקיקת משנה</w:t>
      </w:r>
      <w:r w:rsidRPr="003A3978">
        <w:rPr>
          <w:rtl/>
        </w:rPr>
        <w:t>.</w:t>
      </w:r>
      <w:r w:rsidRPr="003A3978">
        <w:rPr>
          <w:rFonts w:hint="cs"/>
          <w:rtl/>
        </w:rPr>
        <w:t xml:space="preserve"> </w:t>
      </w:r>
    </w:p>
    <w:p w:rsidR="00FB7BBB" w:rsidRPr="004A74D6" w:rsidP="004A74D6" w14:paraId="0EDDAD41" w14:textId="3F67C8BE">
      <w:pPr>
        <w:pStyle w:val="7112"/>
      </w:pPr>
      <w:r w:rsidRPr="004A74D6">
        <w:rPr>
          <w:b/>
          <w:bCs/>
          <w:noProof/>
        </w:rPr>
        <w:drawing>
          <wp:anchor distT="0" distB="3600450" distL="114300" distR="114300" simplePos="0" relativeHeight="251696128" behindDoc="0" locked="0" layoutInCell="1" allowOverlap="1">
            <wp:simplePos x="0" y="0"/>
            <wp:positionH relativeFrom="column">
              <wp:posOffset>4484271</wp:posOffset>
            </wp:positionH>
            <wp:positionV relativeFrom="paragraph">
              <wp:posOffset>57026</wp:posOffset>
            </wp:positionV>
            <wp:extent cx="140335" cy="161925"/>
            <wp:effectExtent l="0" t="0" r="0" b="317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90127021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170" w:rsidR="003270E5">
        <w:rPr>
          <w:rtl/>
        </w:rPr>
        <w:t>מומלץ שוועדת הבחירות המרכזית תנהל תיעוד שיטתי ותעקוב אחר חומרי צילום שהועברו למשטרה, ובכלל זה תפעל לשמירה ולהשמדה של חומרי הצילום מוועדות הקלפי כנדרש על פי הדין</w:t>
      </w:r>
      <w:r w:rsidRPr="004A74D6">
        <w:rPr>
          <w:rFonts w:hint="cs"/>
          <w:rtl/>
        </w:rPr>
        <w:t>.</w:t>
      </w:r>
    </w:p>
    <w:p w:rsidR="00C914A4" w:rsidRPr="00577C64" w:rsidP="00C914A4" w14:paraId="2D13BD85" w14:textId="58AD2CE1">
      <w:pPr>
        <w:pStyle w:val="7112"/>
      </w:pPr>
      <w:r w:rsidRPr="004A74D6">
        <w:rPr>
          <w:b/>
          <w:bCs/>
          <w:noProof/>
        </w:rPr>
        <w:drawing>
          <wp:anchor distT="0" distB="3600450" distL="114300" distR="114300" simplePos="0" relativeHeight="251697152" behindDoc="0" locked="0" layoutInCell="1" allowOverlap="1">
            <wp:simplePos x="0" y="0"/>
            <wp:positionH relativeFrom="column">
              <wp:posOffset>4484015</wp:posOffset>
            </wp:positionH>
            <wp:positionV relativeFrom="paragraph">
              <wp:posOffset>58263</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106848308"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170" w:rsidR="003270E5">
        <w:rPr>
          <w:rtl/>
        </w:rPr>
        <w:t xml:space="preserve">מומלץ כי ועדת הבחירות המרכזית תבחן את מידת הצורך בהצבת שני מזכירים ומפקח בכל קלפי, בשים לב לעלות הצבתם הכוללת בקלפיות ולצורך בהם על פי היקף האירועים שבהם עלו חשדות לפגיעה בטוהר הבחירות במערכות בחירות קודמות. כמו כן, מומלץ כי הוועדה תבחן חלופה של הצבת שני מזכירים ומפקח בקלפיות רגישות, שבהן </w:t>
      </w:r>
      <w:r w:rsidRPr="008D3170" w:rsidR="003270E5">
        <w:rPr>
          <w:rtl/>
        </w:rPr>
        <w:t>הם נדרשים ביתר שאת, ותפעל לאיוש מלא של התפקידים בקלפיות הרגישות, קודם לאיוש קלפיות אחרות</w:t>
      </w:r>
      <w:r>
        <w:rPr>
          <w:rFonts w:hint="cs"/>
          <w:rtl/>
        </w:rPr>
        <w:t>.</w:t>
      </w:r>
    </w:p>
    <w:p w:rsidR="004A74D6" w:rsidP="004A74D6" w14:paraId="6A4C3301" w14:textId="59B48ABE">
      <w:pPr>
        <w:pStyle w:val="7112"/>
        <w:rPr>
          <w:rStyle w:val="717Char0"/>
          <w:b/>
          <w:color w:val="00305F"/>
          <w:sz w:val="24"/>
          <w:szCs w:val="24"/>
          <w:rtl/>
        </w:rPr>
      </w:pPr>
      <w:r w:rsidRPr="004A74D6">
        <w:rPr>
          <w:b/>
          <w:bCs/>
          <w:noProof/>
        </w:rPr>
        <w:drawing>
          <wp:anchor distT="0" distB="3600450" distL="114300" distR="114300" simplePos="0" relativeHeight="251698176" behindDoc="0" locked="0" layoutInCell="1" allowOverlap="1">
            <wp:simplePos x="0" y="0"/>
            <wp:positionH relativeFrom="column">
              <wp:posOffset>4509373</wp:posOffset>
            </wp:positionH>
            <wp:positionV relativeFrom="paragraph">
              <wp:posOffset>45373</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753127119"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170" w:rsidR="003270E5">
        <w:rPr>
          <w:rtl/>
        </w:rPr>
        <w:t>על ועדת הבחירות המרכזית לתת עדיפות להתקשרות במכרז, ככל הניתן, גם כאשר התקנות מאפשרות התקשרות בפטור ממכרז. כמו כן על ועדת הבחירות המרכזית לפרסם החלטות על התקשרויות בפטור ממכרז בהתאם לתקנות חובת המכרזים. עוד מומלץ שיו"ר ועדת הבחירות המרכזית יקבע מדרג סמכויות בין ועדות הרכש השונות וכן דרך פעולה שתבטיח קיום תהליכי בקרה המפצים על ההחלטה לאפשר רכש בפטור ממכרז</w:t>
      </w:r>
      <w:r>
        <w:rPr>
          <w:rFonts w:hint="cs"/>
          <w:rtl/>
        </w:rPr>
        <w:t>.</w:t>
      </w:r>
      <w:r w:rsidRPr="003A3978">
        <w:rPr>
          <w:rFonts w:hint="cs"/>
          <w:rtl/>
        </w:rPr>
        <w:t xml:space="preserve"> </w:t>
      </w:r>
    </w:p>
    <w:p w:rsidR="00F63ECF" w:rsidRPr="003A3978" w:rsidP="00F63ECF" w14:paraId="1182B271" w14:textId="7E3B93BB">
      <w:pPr>
        <w:pStyle w:val="7112"/>
      </w:pPr>
      <w:r w:rsidRPr="004A74D6">
        <w:rPr>
          <w:b/>
          <w:bCs/>
          <w:noProof/>
        </w:rPr>
        <w:drawing>
          <wp:anchor distT="0" distB="3600450" distL="114300" distR="114300" simplePos="0" relativeHeight="251726848" behindDoc="0" locked="0" layoutInCell="1" allowOverlap="1">
            <wp:simplePos x="0" y="0"/>
            <wp:positionH relativeFrom="column">
              <wp:posOffset>4486176</wp:posOffset>
            </wp:positionH>
            <wp:positionV relativeFrom="paragraph">
              <wp:posOffset>33020</wp:posOffset>
            </wp:positionV>
            <wp:extent cx="140335" cy="161925"/>
            <wp:effectExtent l="0" t="0" r="0" b="3175"/>
            <wp:wrapSquare wrapText="bothSides"/>
            <wp:docPr id="23" name="תמונה 33"/>
            <wp:cNvGraphicFramePr/>
            <a:graphic xmlns:a="http://schemas.openxmlformats.org/drawingml/2006/main">
              <a:graphicData uri="http://schemas.openxmlformats.org/drawingml/2006/picture">
                <pic:pic xmlns:pic="http://schemas.openxmlformats.org/drawingml/2006/picture">
                  <pic:nvPicPr>
                    <pic:cNvPr id="836642622"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170">
        <w:rPr>
          <w:rtl/>
        </w:rPr>
        <w:t>מומלץ שהוועדה תיערך מבעוד מועד לניהול מערך הפיקוח במערכות בחירות בעתיד כדי להבטיח איסוף דיווחים מלא ושיטתי ממערך הפיקוח, אם אומנם יוחלט להפעילו. עוד מומלץ כי הוועדה תבחן את אפקטיביות מערך הפיקוח על טוהר הבחירות, קודם שתתקבל החלטה אם להפעיל מערך דומה בבחירות הבאות ובאיזה היקף</w:t>
      </w:r>
      <w:r w:rsidRPr="003A3978">
        <w:rPr>
          <w:rtl/>
        </w:rPr>
        <w:t>.</w:t>
      </w:r>
      <w:r w:rsidRPr="003A3978">
        <w:rPr>
          <w:rFonts w:hint="cs"/>
          <w:rtl/>
        </w:rPr>
        <w:t xml:space="preserve"> </w:t>
      </w:r>
    </w:p>
    <w:p w:rsidR="00F63ECF" w:rsidRPr="00912F90" w:rsidP="00912F90" w14:paraId="3CC61AEA" w14:textId="13840CBD">
      <w:pPr>
        <w:pStyle w:val="715"/>
        <w:spacing w:before="240"/>
        <w:rPr>
          <w:rtl/>
        </w:rPr>
        <w:sectPr w:rsidSect="008748EC">
          <w:footerReference w:type="even" r:id="rId21"/>
          <w:footerReference w:type="default" r:id="rId22"/>
          <w:headerReference w:type="first" r:id="rId23"/>
          <w:footerReference w:type="first" r:id="rId24"/>
          <w:pgSz w:w="11906" w:h="16838" w:code="9"/>
          <w:pgMar w:top="3062" w:right="2268" w:bottom="2552" w:left="2268" w:header="1134" w:footer="1361" w:gutter="0"/>
          <w:pgNumType w:start="171"/>
          <w:cols w:space="708"/>
          <w:bidi/>
          <w:rtlGutter/>
          <w:docGrid w:linePitch="360"/>
        </w:sectPr>
      </w:pPr>
      <w:r w:rsidRPr="00912F90">
        <w:rPr>
          <w:noProof/>
        </w:rPr>
        <w:drawing>
          <wp:anchor distT="0" distB="0" distL="114300" distR="114300" simplePos="0" relativeHeight="251725824" behindDoc="0" locked="0" layoutInCell="1" allowOverlap="1">
            <wp:simplePos x="0" y="0"/>
            <wp:positionH relativeFrom="column">
              <wp:posOffset>-175260</wp:posOffset>
            </wp:positionH>
            <wp:positionV relativeFrom="paragraph">
              <wp:posOffset>1256030</wp:posOffset>
            </wp:positionV>
            <wp:extent cx="4766310" cy="3413125"/>
            <wp:effectExtent l="0" t="0" r="0" b="3175"/>
            <wp:wrapTopAndBottom/>
            <wp:docPr id="1495871851" name="תמונה 149587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05266" name="תמונה 149587185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66310" cy="3413125"/>
                    </a:xfrm>
                    <a:prstGeom prst="rect">
                      <a:avLst/>
                    </a:prstGeom>
                  </pic:spPr>
                </pic:pic>
              </a:graphicData>
            </a:graphic>
            <wp14:sizeRelH relativeFrom="page">
              <wp14:pctWidth>0</wp14:pctWidth>
            </wp14:sizeRelH>
            <wp14:sizeRelV relativeFrom="page">
              <wp14:pctHeight>0</wp14:pctHeight>
            </wp14:sizeRelV>
          </wp:anchor>
        </w:drawing>
      </w:r>
      <w:r w:rsidRPr="00912F90" w:rsidR="00BC5130">
        <w:rPr>
          <w:noProof/>
          <w:rtl/>
        </w:rPr>
        <mc:AlternateContent>
          <mc:Choice Requires="wpg">
            <w:drawing>
              <wp:anchor distT="0" distB="0" distL="114300" distR="114300" simplePos="0" relativeHeight="251703296" behindDoc="0" locked="0" layoutInCell="1" allowOverlap="1">
                <wp:simplePos x="0" y="0"/>
                <wp:positionH relativeFrom="margin">
                  <wp:posOffset>-259080</wp:posOffset>
                </wp:positionH>
                <wp:positionV relativeFrom="paragraph">
                  <wp:posOffset>247</wp:posOffset>
                </wp:positionV>
                <wp:extent cx="4980940" cy="1210945"/>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980940" cy="1210945"/>
                          <a:chOff x="-193559" y="162647"/>
                          <a:chExt cx="4981459" cy="770513"/>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193559" y="162647"/>
                            <a:ext cx="4981459" cy="770513"/>
                          </a:xfrm>
                          <a:prstGeom prst="rect">
                            <a:avLst/>
                          </a:prstGeom>
                        </pic:spPr>
                      </pic:pic>
                      <wps:wsp xmlns:wps="http://schemas.microsoft.com/office/word/2010/wordprocessingShape">
                        <wps:cNvPr id="1113575892" name="Text Box 2"/>
                        <wps:cNvSpPr txBox="1">
                          <a:spLocks noChangeArrowheads="1"/>
                        </wps:cNvSpPr>
                        <wps:spPr bwMode="auto">
                          <a:xfrm>
                            <a:off x="-39163" y="239030"/>
                            <a:ext cx="4743830" cy="497405"/>
                          </a:xfrm>
                          <a:prstGeom prst="rect">
                            <a:avLst/>
                          </a:prstGeom>
                          <a:solidFill>
                            <a:srgbClr val="F05260"/>
                          </a:solidFill>
                          <a:ln w="9525">
                            <a:noFill/>
                            <a:miter lim="800000"/>
                            <a:headEnd/>
                            <a:tailEnd/>
                          </a:ln>
                        </wps:spPr>
                        <wps:txbx>
                          <w:txbxContent>
                            <w:p w:rsidR="00E4436A" w:rsidRPr="00A47335" w:rsidP="00E30E52" w14:textId="6AA4011F">
                              <w:pPr>
                                <w:pStyle w:val="7126"/>
                                <w:spacing w:before="0"/>
                                <w:rPr>
                                  <w:b w:val="0"/>
                                  <w:bCs/>
                                </w:rPr>
                              </w:pPr>
                              <w:r w:rsidRPr="004633C4">
                                <w:rPr>
                                  <w:bCs/>
                                  <w:rtl/>
                                </w:rPr>
                                <w:t>מספר המפקחים על טוהר הבחירות, תקציב ועדת הבחירות המרכזית (על שינוייו) וההוצאה הכוללת לצורך הפעלת מערך הפיקוח על טוהר הבחירות - מהבחירות לכנסת ה-22 בשנת 2019 עד לבחירות לכנסת ה-24 בשנת 2021</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8" style="width:392.2pt;height:95.35pt;margin-top:0;margin-left:-20.4pt;mso-height-relative:margin;mso-position-horizontal-relative:margin;mso-width-relative:margin;position:absolute;z-index:251704320" coordorigin="-1935,1626" coordsize="49814,7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9" type="#_x0000_t75" style="width:49814;height:7705;left:-1935;mso-wrap-style:square;position:absolute;top:1626;visibility:visible">
                  <v:imagedata r:id="rId27" o:title=""/>
                </v:shape>
                <v:shape id="_x0000_s1050" type="#_x0000_t202" style="width:47437;height:4974;left:-391;mso-wrap-style:square;position:absolute;top:2390;visibility:visible;v-text-anchor:middle" fillcolor="#f05260" stroked="f">
                  <v:textbox>
                    <w:txbxContent>
                      <w:p w:rsidR="00E4436A" w:rsidRPr="00A47335" w:rsidP="00E30E52" w14:paraId="158F30C4" w14:textId="6AA4011F">
                        <w:pPr>
                          <w:pStyle w:val="7126"/>
                          <w:spacing w:before="0"/>
                          <w:rPr>
                            <w:b w:val="0"/>
                            <w:bCs/>
                          </w:rPr>
                        </w:pPr>
                        <w:r w:rsidRPr="004633C4">
                          <w:rPr>
                            <w:bCs/>
                            <w:rtl/>
                          </w:rPr>
                          <w:t>מספר המפקחים על טוהר הבחירות, תקציב ועדת הבחירות המרכזית (על שינוייו) וההוצאה הכוללת לצורך הפעלת מערך הפיקוח על טוהר הבחירות - מהבחירות לכנסת ה-22 בשנת 2019 עד לבחירות לכנסת ה-24 בשנת 2021</w:t>
                        </w:r>
                      </w:p>
                    </w:txbxContent>
                  </v:textbox>
                </v:shape>
                <w10:wrap type="square"/>
              </v:group>
            </w:pict>
          </mc:Fallback>
        </mc:AlternateContent>
      </w:r>
      <w:r w:rsidRPr="00912F90" w:rsidR="00912F90">
        <w:rPr>
          <w:rtl/>
        </w:rPr>
        <w:t>על פי נתוני ועדת הבחירות המרכזית, בעיבוד משרד מבקר המדינה</w:t>
      </w:r>
      <w:r w:rsidRPr="00912F90" w:rsidR="00BC5130">
        <w:rPr>
          <w:rtl/>
        </w:rPr>
        <w:t>.</w:t>
      </w:r>
    </w:p>
    <w:p w:rsidR="00DC1D24" w:rsidRPr="00DC1D24" w:rsidP="00DC1D24" w14:paraId="26ED2D32" w14:textId="7D67F7B8">
      <w:pPr>
        <w:rPr>
          <w:szCs w:val="20"/>
          <w:rtl/>
        </w:rPr>
        <w:sectPr w:rsidSect="00F619AB">
          <w:headerReference w:type="even" r:id="rId28"/>
          <w:headerReference w:type="default" r:id="rId29"/>
          <w:pgSz w:w="11906" w:h="16838" w:code="9"/>
          <w:pgMar w:top="3062" w:right="2268" w:bottom="2552" w:left="2268" w:header="1134" w:footer="1361" w:gutter="0"/>
          <w:cols w:space="708"/>
          <w:bidi/>
          <w:rtlGutter/>
          <w:docGrid w:linePitch="360"/>
        </w:sectPr>
      </w:pPr>
      <w:r>
        <w:rPr>
          <w:b/>
          <w:bCs/>
          <w:noProof/>
          <w:rtl/>
          <w:lang w:val="he-IL"/>
        </w:rPr>
        <mc:AlternateContent>
          <mc:Choice Requires="wpg">
            <w:drawing>
              <wp:anchor distT="0" distB="0" distL="114300" distR="114300" simplePos="0" relativeHeight="251677696" behindDoc="0" locked="0" layoutInCell="1" allowOverlap="1">
                <wp:simplePos x="0" y="0"/>
                <wp:positionH relativeFrom="margin">
                  <wp:posOffset>4445</wp:posOffset>
                </wp:positionH>
                <wp:positionV relativeFrom="paragraph">
                  <wp:posOffset>62230</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1" style="width:368.5pt;height:2.95pt;margin-top:4.9pt;margin-left:0.35pt;mso-position-horizontal-relative:margin;position:absolute;z-index:251678720" coordsize="47244,381">
                <v:line id="Straight Connector 56" o:spid="_x0000_s1052" style="flip:x;mso-wrap-style:square;position:absolute;visibility:visible" from="0,381" to="47244,381" o:connectortype="straight" strokecolor="#0d0d0d" strokeweight="1.5pt"/>
                <v:line id="Straight Connector 57" o:spid="_x0000_s1053" style="flip:x;mso-wrap-style:square;position:absolute;visibility:visible" from="0,0" to="47244,0" o:connectortype="straight" strokecolor="#0d0d0d" strokeweight="1.5pt"/>
                <w10:wrap type="square"/>
              </v:group>
            </w:pict>
          </mc:Fallback>
        </mc:AlternateContent>
      </w:r>
    </w:p>
    <w:tbl>
      <w:tblPr>
        <w:tblStyle w:val="TableGrid"/>
        <w:tblpPr w:leftFromText="180" w:rightFromText="180" w:vertAnchor="text" w:tblpXSpec="center" w:tblpY="1"/>
        <w:tblOverlap w:val="never"/>
        <w:bidiVisual/>
        <w:tblW w:w="9499" w:type="dxa"/>
        <w:tblLayout w:type="fixed"/>
        <w:tblLook w:val="04A0"/>
      </w:tblPr>
      <w:tblGrid>
        <w:gridCol w:w="9499"/>
      </w:tblGrid>
      <w:tr w14:paraId="09CC4802" w14:textId="77777777" w:rsidTr="008B5847">
        <w:tblPrEx>
          <w:tblW w:w="9499" w:type="dxa"/>
          <w:tblLayout w:type="fixed"/>
          <w:tblLook w:val="04A0"/>
        </w:tblPrEx>
        <w:trPr>
          <w:trHeight w:val="192"/>
        </w:trPr>
        <w:tc>
          <w:tcPr>
            <w:tcW w:w="9499" w:type="dxa"/>
            <w:tcBorders>
              <w:top w:val="nil"/>
              <w:left w:val="nil"/>
              <w:bottom w:val="nil"/>
              <w:right w:val="nil"/>
            </w:tcBorders>
          </w:tcPr>
          <w:p w:rsidR="00DC1D24" w:rsidRPr="00061D3B" w:rsidP="008B5847" w14:paraId="69B6183A" w14:textId="47600C22">
            <w:pPr>
              <w:spacing w:line="288" w:lineRule="auto"/>
              <w:rPr>
                <w:rFonts w:ascii="Tahoma" w:hAnsi="Tahoma" w:cs="Tahoma"/>
                <w:sz w:val="10"/>
                <w:szCs w:val="10"/>
                <w:rtl/>
              </w:rPr>
            </w:pPr>
          </w:p>
        </w:tc>
      </w:tr>
    </w:tbl>
    <w:p w:rsidR="00F27A70" w:rsidRPr="00C94863" w:rsidP="00827841" w14:paraId="5E9C70D4" w14:textId="163CFF86">
      <w:pPr>
        <w:pStyle w:val="7123"/>
        <w:spacing w:before="240"/>
        <w:rPr>
          <w:rtl/>
        </w:rPr>
      </w:pPr>
      <w:r w:rsidRPr="00EF3061">
        <w:rPr>
          <w:rFonts w:hint="cs"/>
          <w:rtl/>
        </w:rPr>
        <w:t>ס</w:t>
      </w:r>
      <w:r w:rsidRPr="00C94863">
        <w:rPr>
          <w:rFonts w:hint="cs"/>
          <w:rtl/>
        </w:rPr>
        <w:t>יכום</w:t>
      </w:r>
    </w:p>
    <w:p w:rsidR="0078031D" w:rsidRPr="00640147" w:rsidP="003C2AFA" w14:paraId="4F89ABD7" w14:textId="69C8A460">
      <w:pPr>
        <w:pStyle w:val="7190"/>
        <w:rPr>
          <w:rtl/>
        </w:rPr>
      </w:pPr>
      <w:r w:rsidRPr="008D3170">
        <w:rPr>
          <w:rtl/>
        </w:rPr>
        <w:t xml:space="preserve">הביקורת העלתה ליקויים בעבודת המטה </w:t>
      </w:r>
      <w:r w:rsidRPr="008D3170">
        <w:rPr>
          <w:rtl/>
        </w:rPr>
        <w:t>המינהלי</w:t>
      </w:r>
      <w:r w:rsidRPr="008D3170">
        <w:rPr>
          <w:rtl/>
        </w:rPr>
        <w:t xml:space="preserve"> של ועדת הבחירות המרכזית בהיבטים שונים של הפעלת מערך הפיקוח על טוהר הבחירות, ובהם ליקויים אלו: המטה </w:t>
      </w:r>
      <w:r w:rsidRPr="008D3170">
        <w:rPr>
          <w:rtl/>
        </w:rPr>
        <w:t>המינהלי</w:t>
      </w:r>
      <w:r w:rsidRPr="008D3170">
        <w:rPr>
          <w:rtl/>
        </w:rPr>
        <w:t xml:space="preserve"> לא החל לקדם הסדרה בחקיקה בכל הקשור למערך הפיקוח ולהצבת מצלמות בוועדות הקלפי; בבחירות לכנסת ה-24 גורמים לא מוסמכים עשו שימוש במצלמות בחדרי הקלפי. הועלו ליקויים גם בהפעלת מערך הפיקוח: לצד ההצבה הנרחבת של מפקחים ברוב הגדול של הקלפיות, דווקא בקלפיות שבהן נדרש לפקח ביתר שאת שיעור ההצבה היה נמוך מהממוצע; 34% מהמפקחים לא הצליחו לעשות שימוש באפליקציה ייעודית שבאמצעותה מועברים דיווחים על חשדות לפגיעה בטוהר הבחירות; בשל המידע החסר במערכות הממוחשבות של ועדת הבחירות המרכזית (כ-40% מהדיווחים) נמנעה האפשרות לדעת באיזו מידה הטיפול של הוועדה בחשדות לפגיעה בטוהר הבחירות היה ממצה ואם אומנם כל המקרים הטעונים בדיקות עומק נבדקו כנדרש. לצורך קבלת החלטות בעתיד בנוגע לשאלה אם נדרש להקים מערך פיקוח על טוהר הבחירות, ואם כן, מהו ההיקף הראוי - ראוי לבדוק בדיקה מקיפה את אפקטיביות המערכים שפעלו בבחירות לכנסת ה-22, ה-23 </w:t>
      </w:r>
      <w:r w:rsidRPr="008D3170">
        <w:rPr>
          <w:rtl/>
        </w:rPr>
        <w:t>וה</w:t>
      </w:r>
      <w:r w:rsidRPr="008D3170">
        <w:rPr>
          <w:rtl/>
        </w:rPr>
        <w:t>-24, ולבחון אותה בהתחשב בעלויותיהם. מוצע כי עיקרי הנתונים והמסקנות ישמשו בעתיד את ועדת הבחירות, לכשתידרש לקבל החלטות על מערך הפיקוח בתחום טוהר הבחירות</w:t>
      </w:r>
      <w:r w:rsidRPr="00640147">
        <w:rPr>
          <w:rtl/>
        </w:rPr>
        <w:t>.</w:t>
      </w:r>
    </w:p>
    <w:p w:rsidR="0078031D" w:rsidRPr="00640147" w:rsidP="0078031D" w14:paraId="6F92330A" w14:textId="1A86976E">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4D47C8" w14:paraId="66430899" w14:textId="2AFCFDF9">
      <w:pPr>
        <w:bidi w:val="0"/>
        <w:spacing w:after="200" w:line="276" w:lineRule="auto"/>
        <w:rPr>
          <w:rFonts w:ascii="Tahoma" w:eastAsia="Times New Roman" w:hAnsi="Tahoma" w:cs="Tahoma"/>
          <w:b/>
          <w:bCs/>
          <w:color w:val="00305F"/>
          <w:sz w:val="32"/>
          <w:szCs w:val="32"/>
          <w:rtl/>
        </w:rPr>
      </w:pPr>
    </w:p>
    <w:sectPr w:rsidSect="00F619AB">
      <w:headerReference w:type="default" r:id="rId30"/>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717974" w14:textId="2515B90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Pr="00717974" w:rsidR="00717974">
                            <w:rPr>
                              <w:rFonts w:ascii="Tahoma" w:hAnsi="Tahoma" w:cs="Tahoma"/>
                              <w:b/>
                              <w:bCs/>
                              <w:rtl/>
                            </w:rPr>
                            <w:t>הפיקוח על טוהר הבחירות לכנסת ה-24</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717974" w14:paraId="77809697" w14:textId="2515B90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Pr="00717974" w:rsidR="00717974">
                      <w:rPr>
                        <w:rFonts w:ascii="Tahoma" w:hAnsi="Tahoma" w:cs="Tahoma"/>
                        <w:b/>
                        <w:bCs/>
                        <w:rtl/>
                      </w:rPr>
                      <w:t>הפיקוח על טוהר הבחירות לכנסת ה-24</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C0B48" w:rsidRPr="004D562B" w:rsidP="00CC0B4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CC0B48" w:rsidRPr="004D562B" w:rsidP="00CC0B48" w14:paraId="14D1CF16"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088BED00">
                          <w:pPr>
                            <w:jc w:val="left"/>
                            <w:rPr>
                              <w:color w:val="0D0D0D"/>
                              <w:sz w:val="16"/>
                              <w:szCs w:val="16"/>
                            </w:rPr>
                          </w:pPr>
                          <w:r w:rsidRPr="00717974">
                            <w:rPr>
                              <w:rFonts w:ascii="Tahoma" w:hAnsi="Tahoma" w:cs="Tahoma"/>
                              <w:color w:val="0D0D0D" w:themeColor="text1" w:themeTint="F2"/>
                              <w:sz w:val="16"/>
                              <w:szCs w:val="16"/>
                              <w:rtl/>
                            </w:rPr>
                            <w:t>הפיקוח על טוהר הבחירות לכנסת ה-24</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088BED00">
                    <w:pPr>
                      <w:jc w:val="left"/>
                      <w:rPr>
                        <w:color w:val="0D0D0D"/>
                        <w:sz w:val="16"/>
                        <w:szCs w:val="16"/>
                      </w:rPr>
                    </w:pPr>
                    <w:r w:rsidRPr="00717974">
                      <w:rPr>
                        <w:rFonts w:ascii="Tahoma" w:hAnsi="Tahoma" w:cs="Tahoma"/>
                        <w:color w:val="0D0D0D" w:themeColor="text1" w:themeTint="F2"/>
                        <w:sz w:val="16"/>
                        <w:szCs w:val="16"/>
                        <w:rtl/>
                      </w:rPr>
                      <w:t>הפיקוח על טוהר הבחירות לכנסת ה-24</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96060"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30"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59A452EA">
                          <w:pPr>
                            <w:jc w:val="left"/>
                            <w:rPr>
                              <w:color w:val="0D0D0D"/>
                              <w:sz w:val="16"/>
                              <w:szCs w:val="16"/>
                            </w:rPr>
                          </w:pPr>
                          <w:r w:rsidRPr="00717974">
                            <w:rPr>
                              <w:rFonts w:ascii="Tahoma" w:hAnsi="Tahoma" w:cs="Tahoma"/>
                              <w:color w:val="0D0D0D" w:themeColor="text1" w:themeTint="F2"/>
                              <w:sz w:val="16"/>
                              <w:szCs w:val="16"/>
                              <w:rtl/>
                            </w:rPr>
                            <w:t>הפיקוח על טוהר הבחירות לכנסת ה-24</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59A452EA">
                    <w:pPr>
                      <w:jc w:val="left"/>
                      <w:rPr>
                        <w:color w:val="0D0D0D"/>
                        <w:sz w:val="16"/>
                        <w:szCs w:val="16"/>
                      </w:rPr>
                    </w:pPr>
                    <w:r w:rsidRPr="00717974">
                      <w:rPr>
                        <w:rFonts w:ascii="Tahoma" w:hAnsi="Tahoma" w:cs="Tahoma"/>
                        <w:color w:val="0D0D0D" w:themeColor="text1" w:themeTint="F2"/>
                        <w:sz w:val="16"/>
                        <w:szCs w:val="16"/>
                        <w:rtl/>
                      </w:rPr>
                      <w:t>הפיקוח על טוהר הבחירות לכנסת ה-24</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7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36967"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717974" w14:textId="34FF605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717974" w:rsidR="00717974">
                            <w:rPr>
                              <w:rFonts w:ascii="Tahoma" w:hAnsi="Tahoma" w:cs="Tahoma"/>
                              <w:b/>
                              <w:bCs/>
                              <w:rtl/>
                            </w:rPr>
                            <w:t>הפיקוח על טוהר הבחירות לכנסת ה-24</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717974" w14:paraId="2873DE67" w14:textId="34FF605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717974" w:rsidR="00717974">
                      <w:rPr>
                        <w:rFonts w:ascii="Tahoma" w:hAnsi="Tahoma" w:cs="Tahoma"/>
                        <w:b/>
                        <w:bCs/>
                        <w:rtl/>
                      </w:rPr>
                      <w:t>הפיקוח על טוהר הבחירות לכנסת ה-24</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C0B48" w:rsidRPr="004D562B" w:rsidP="00CC0B4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CC0B48" w:rsidRPr="004D562B" w:rsidP="00CC0B48" w14:paraId="41EF5B1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6319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F50F5F" w:rsidRPr="009B7D1B" w:rsidP="00F50F5F" w14:textId="77777777">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Pr="00717974">
                            <w:rPr>
                              <w:rFonts w:ascii="Tahoma" w:hAnsi="Tahoma" w:cs="Tahoma"/>
                              <w:b/>
                              <w:bCs/>
                              <w:rtl/>
                            </w:rPr>
                            <w:t>הפיקוח על טוהר הבחירות לכנסת ה-24</w:t>
                          </w:r>
                        </w:p>
                        <w:p w:rsidR="00CB22A1" w:rsidRPr="009B7D1B" w:rsidP="00F50F5F" w14:textId="58A981D2">
                          <w:pPr>
                            <w:pStyle w:val="Bodytext70"/>
                            <w:shd w:val="clear" w:color="auto" w:fill="003060"/>
                            <w:rPr>
                              <w:rFonts w:ascii="Tahoma" w:hAnsi="Tahoma" w:cs="Tahoma"/>
                              <w:sz w:val="24"/>
                              <w:szCs w:val="24"/>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F50F5F" w:rsidRPr="009B7D1B" w:rsidP="00F50F5F" w14:paraId="77D244E2" w14:textId="77777777">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Pr="00717974">
                      <w:rPr>
                        <w:rFonts w:ascii="Tahoma" w:hAnsi="Tahoma" w:cs="Tahoma"/>
                        <w:b/>
                        <w:bCs/>
                        <w:rtl/>
                      </w:rPr>
                      <w:t>הפיקוח על טוהר הבחירות לכנסת ה-24</w:t>
                    </w:r>
                  </w:p>
                  <w:p w:rsidR="00CB22A1" w:rsidRPr="009B7D1B" w:rsidP="00F50F5F" w14:paraId="1C12FDA0" w14:textId="58A981D2">
                    <w:pPr>
                      <w:pStyle w:val="Bodytext70"/>
                      <w:shd w:val="clear" w:color="auto" w:fill="003060"/>
                      <w:rPr>
                        <w:rFonts w:ascii="Tahoma" w:hAnsi="Tahoma" w:cs="Tahoma"/>
                        <w:sz w:val="24"/>
                        <w:szCs w:val="24"/>
                        <w:rtl/>
                      </w:rPr>
                    </w:pP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C0B48" w:rsidRPr="004D562B" w:rsidP="00CC0B4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CC0B48" w:rsidRPr="004D562B" w:rsidP="00CC0B48" w14:paraId="3A8BCC2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C0B48"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089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E5046"/>
    <w:multiLevelType w:val="multilevel"/>
    <w:tmpl w:val="96305986"/>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61873A7"/>
    <w:multiLevelType w:val="hybridMultilevel"/>
    <w:tmpl w:val="239C76A4"/>
    <w:lvl w:ilvl="0">
      <w:start w:val="1"/>
      <w:numFmt w:val="hebrew1"/>
      <w:lvlText w:val="%1."/>
      <w:lvlJc w:val="left"/>
      <w:pPr>
        <w:ind w:left="1021" w:hanging="397"/>
      </w:pPr>
      <w:rPr>
        <w:rFonts w:hint="default"/>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C444F61"/>
    <w:multiLevelType w:val="hybridMultilevel"/>
    <w:tmpl w:val="F31ABE96"/>
    <w:lvl w:ilvl="0">
      <w:start w:val="1"/>
      <w:numFmt w:val="hebrew1"/>
      <w:lvlText w:val="%1."/>
      <w:lvlJc w:val="left"/>
      <w:pPr>
        <w:ind w:left="1021" w:hanging="397"/>
      </w:pPr>
      <w:rPr>
        <w:rFonts w:hint="default"/>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4">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7">
    <w:nsid w:val="1A0D200F"/>
    <w:multiLevelType w:val="hybridMultilevel"/>
    <w:tmpl w:val="8206BB0C"/>
    <w:lvl w:ilvl="0">
      <w:start w:val="1"/>
      <w:numFmt w:val="bullet"/>
      <w:pStyle w:val="Style3"/>
      <w:lvlText w:val=""/>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8">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2DBA6CB1"/>
    <w:multiLevelType w:val="multilevel"/>
    <w:tmpl w:val="36A49D5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6">
    <w:nsid w:val="529430D1"/>
    <w:multiLevelType w:val="multilevel"/>
    <w:tmpl w:val="4C6C18AA"/>
    <w:lvl w:ilvl="0">
      <w:start w:val="2"/>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57272EDB"/>
    <w:multiLevelType w:val="multilevel"/>
    <w:tmpl w:val="A9DCCF16"/>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nsid w:val="61815705"/>
    <w:multiLevelType w:val="multilevel"/>
    <w:tmpl w:val="37AA032E"/>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629D7AB0"/>
    <w:multiLevelType w:val="multilevel"/>
    <w:tmpl w:val="059EF8CE"/>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53760C"/>
    <w:multiLevelType w:val="multilevel"/>
    <w:tmpl w:val="D9FC2AFE"/>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nsid w:val="6879391F"/>
    <w:multiLevelType w:val="multilevel"/>
    <w:tmpl w:val="4624469A"/>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nsid w:val="68EE4C6F"/>
    <w:multiLevelType w:val="multilevel"/>
    <w:tmpl w:val="F8B863D6"/>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6B9804A7"/>
    <w:multiLevelType w:val="hybridMultilevel"/>
    <w:tmpl w:val="4B1AA098"/>
    <w:lvl w:ilvl="0">
      <w:start w:val="1"/>
      <w:numFmt w:val="hebrew1"/>
      <w:pStyle w:val="219"/>
      <w:lvlText w:val="%1."/>
      <w:lvlJc w:val="left"/>
      <w:pPr>
        <w:tabs>
          <w:tab w:val="num" w:pos="687"/>
        </w:tabs>
        <w:ind w:left="687" w:right="780" w:hanging="360"/>
      </w:pPr>
      <w:rPr>
        <w:rFonts w:hint="default"/>
      </w:rPr>
    </w:lvl>
    <w:lvl w:ilvl="1">
      <w:start w:val="1"/>
      <w:numFmt w:val="decimal"/>
      <w:lvlText w:val="%2)"/>
      <w:lvlJc w:val="left"/>
      <w:pPr>
        <w:tabs>
          <w:tab w:val="num" w:pos="1500"/>
        </w:tabs>
        <w:ind w:left="1500" w:right="1500" w:hanging="360"/>
      </w:pPr>
      <w:rPr>
        <w:rFonts w:hint="cs"/>
      </w:rPr>
    </w:lvl>
    <w:lvl w:ilvl="2" w:tentative="1">
      <w:start w:val="1"/>
      <w:numFmt w:val="lowerRoman"/>
      <w:lvlText w:val="%3."/>
      <w:lvlJc w:val="right"/>
      <w:pPr>
        <w:tabs>
          <w:tab w:val="num" w:pos="2220"/>
        </w:tabs>
        <w:ind w:left="2220" w:right="2220" w:hanging="180"/>
      </w:pPr>
    </w:lvl>
    <w:lvl w:ilvl="3" w:tentative="1">
      <w:start w:val="1"/>
      <w:numFmt w:val="decimal"/>
      <w:lvlText w:val="%4."/>
      <w:lvlJc w:val="left"/>
      <w:pPr>
        <w:tabs>
          <w:tab w:val="num" w:pos="2940"/>
        </w:tabs>
        <w:ind w:left="2940" w:right="2940" w:hanging="360"/>
      </w:pPr>
    </w:lvl>
    <w:lvl w:ilvl="4" w:tentative="1">
      <w:start w:val="1"/>
      <w:numFmt w:val="lowerLetter"/>
      <w:lvlText w:val="%5."/>
      <w:lvlJc w:val="left"/>
      <w:pPr>
        <w:tabs>
          <w:tab w:val="num" w:pos="3660"/>
        </w:tabs>
        <w:ind w:left="3660" w:right="3660" w:hanging="360"/>
      </w:pPr>
    </w:lvl>
    <w:lvl w:ilvl="5" w:tentative="1">
      <w:start w:val="1"/>
      <w:numFmt w:val="lowerRoman"/>
      <w:lvlText w:val="%6."/>
      <w:lvlJc w:val="right"/>
      <w:pPr>
        <w:tabs>
          <w:tab w:val="num" w:pos="4380"/>
        </w:tabs>
        <w:ind w:left="4380" w:right="4380" w:hanging="180"/>
      </w:pPr>
    </w:lvl>
    <w:lvl w:ilvl="6" w:tentative="1">
      <w:start w:val="1"/>
      <w:numFmt w:val="decimal"/>
      <w:lvlText w:val="%7."/>
      <w:lvlJc w:val="left"/>
      <w:pPr>
        <w:tabs>
          <w:tab w:val="num" w:pos="5100"/>
        </w:tabs>
        <w:ind w:left="5100" w:right="5100" w:hanging="360"/>
      </w:pPr>
    </w:lvl>
    <w:lvl w:ilvl="7" w:tentative="1">
      <w:start w:val="1"/>
      <w:numFmt w:val="lowerLetter"/>
      <w:lvlText w:val="%8."/>
      <w:lvlJc w:val="left"/>
      <w:pPr>
        <w:tabs>
          <w:tab w:val="num" w:pos="5820"/>
        </w:tabs>
        <w:ind w:left="5820" w:right="5820" w:hanging="360"/>
      </w:pPr>
    </w:lvl>
    <w:lvl w:ilvl="8" w:tentative="1">
      <w:start w:val="1"/>
      <w:numFmt w:val="lowerRoman"/>
      <w:lvlText w:val="%9."/>
      <w:lvlJc w:val="right"/>
      <w:pPr>
        <w:tabs>
          <w:tab w:val="num" w:pos="6540"/>
        </w:tabs>
        <w:ind w:left="6540" w:right="6540" w:hanging="180"/>
      </w:pPr>
    </w:lvl>
  </w:abstractNum>
  <w:abstractNum w:abstractNumId="29">
    <w:nsid w:val="6F833AC5"/>
    <w:multiLevelType w:val="hybridMultilevel"/>
    <w:tmpl w:val="536E019C"/>
    <w:lvl w:ilvl="0">
      <w:start w:val="1"/>
      <w:numFmt w:val="hebrew1"/>
      <w:lvlText w:val="%1."/>
      <w:lvlJc w:val="left"/>
      <w:pPr>
        <w:ind w:left="1021" w:hanging="397"/>
      </w:pPr>
      <w:rPr>
        <w:rFonts w:hint="default"/>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30">
    <w:nsid w:val="708D24BF"/>
    <w:multiLevelType w:val="multilevel"/>
    <w:tmpl w:val="67A0FCBE"/>
    <w:lvl w:ilvl="0">
      <w:start w:val="3"/>
      <w:numFmt w:val="decimal"/>
      <w:lvlText w:val="%1."/>
      <w:lvlJc w:val="left"/>
      <w:pPr>
        <w:ind w:left="397" w:hanging="397"/>
      </w:pPr>
      <w:rPr>
        <w:rFonts w:hint="default"/>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79A6330C"/>
    <w:multiLevelType w:val="multilevel"/>
    <w:tmpl w:val="445C092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3">
    <w:nsid w:val="7C593E39"/>
    <w:multiLevelType w:val="multilevel"/>
    <w:tmpl w:val="97529E8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nsid w:val="7CFD4E3C"/>
    <w:multiLevelType w:val="hybridMultilevel"/>
    <w:tmpl w:val="523649F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36">
    <w:nsid w:val="7F397250"/>
    <w:multiLevelType w:val="multilevel"/>
    <w:tmpl w:val="76BC6F7E"/>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8"/>
  </w:num>
  <w:num w:numId="2">
    <w:abstractNumId w:val="14"/>
  </w:num>
  <w:num w:numId="3">
    <w:abstractNumId w:val="19"/>
  </w:num>
  <w:num w:numId="4">
    <w:abstractNumId w:val="11"/>
  </w:num>
  <w:num w:numId="5">
    <w:abstractNumId w:val="13"/>
  </w:num>
  <w:num w:numId="6">
    <w:abstractNumId w:val="35"/>
  </w:num>
  <w:num w:numId="7">
    <w:abstractNumId w:val="2"/>
  </w:num>
  <w:num w:numId="8">
    <w:abstractNumId w:val="6"/>
  </w:num>
  <w:num w:numId="9">
    <w:abstractNumId w:val="21"/>
  </w:num>
  <w:num w:numId="10">
    <w:abstractNumId w:val="5"/>
  </w:num>
  <w:num w:numId="11">
    <w:abstractNumId w:val="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20"/>
  </w:num>
  <w:num w:numId="17">
    <w:abstractNumId w:val="24"/>
  </w:num>
  <w:num w:numId="18">
    <w:abstractNumId w:val="12"/>
  </w:num>
  <w:num w:numId="19">
    <w:abstractNumId w:val="15"/>
  </w:num>
  <w:num w:numId="20">
    <w:abstractNumId w:val="28"/>
  </w:num>
  <w:num w:numId="21">
    <w:abstractNumId w:val="30"/>
  </w:num>
  <w:num w:numId="22">
    <w:abstractNumId w:val="34"/>
  </w:num>
  <w:num w:numId="23">
    <w:abstractNumId w:val="27"/>
  </w:num>
  <w:num w:numId="24">
    <w:abstractNumId w:val="25"/>
  </w:num>
  <w:num w:numId="25">
    <w:abstractNumId w:val="17"/>
  </w:num>
  <w:num w:numId="26">
    <w:abstractNumId w:val="22"/>
  </w:num>
  <w:num w:numId="27">
    <w:abstractNumId w:val="10"/>
  </w:num>
  <w:num w:numId="28">
    <w:abstractNumId w:val="16"/>
  </w:num>
  <w:num w:numId="29">
    <w:abstractNumId w:val="29"/>
  </w:num>
  <w:num w:numId="30">
    <w:abstractNumId w:val="23"/>
  </w:num>
  <w:num w:numId="31">
    <w:abstractNumId w:val="26"/>
  </w:num>
  <w:num w:numId="32">
    <w:abstractNumId w:val="36"/>
  </w:num>
  <w:num w:numId="33">
    <w:abstractNumId w:val="3"/>
  </w:num>
  <w:num w:numId="34">
    <w:abstractNumId w:val="31"/>
  </w:num>
  <w:num w:numId="35">
    <w:abstractNumId w:val="1"/>
  </w:num>
  <w:num w:numId="36">
    <w:abstractNumId w:val="33"/>
  </w:num>
  <w:num w:numId="3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700"/>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A4A"/>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3B"/>
    <w:rsid w:val="00061D7A"/>
    <w:rsid w:val="00062475"/>
    <w:rsid w:val="00063297"/>
    <w:rsid w:val="00063A11"/>
    <w:rsid w:val="00063E68"/>
    <w:rsid w:val="0006411D"/>
    <w:rsid w:val="0006421B"/>
    <w:rsid w:val="0006456C"/>
    <w:rsid w:val="00064637"/>
    <w:rsid w:val="000647B1"/>
    <w:rsid w:val="00065D80"/>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A791D"/>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1BF"/>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65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0248"/>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055"/>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06F5"/>
    <w:rsid w:val="00131349"/>
    <w:rsid w:val="0013138F"/>
    <w:rsid w:val="001317A2"/>
    <w:rsid w:val="00131CCD"/>
    <w:rsid w:val="00131E7F"/>
    <w:rsid w:val="0013210D"/>
    <w:rsid w:val="00132126"/>
    <w:rsid w:val="001321A1"/>
    <w:rsid w:val="001324A5"/>
    <w:rsid w:val="00132671"/>
    <w:rsid w:val="0013302E"/>
    <w:rsid w:val="001337A9"/>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710"/>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4EF0"/>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869"/>
    <w:rsid w:val="001A2A50"/>
    <w:rsid w:val="001A2F88"/>
    <w:rsid w:val="001A30F6"/>
    <w:rsid w:val="001A325B"/>
    <w:rsid w:val="001A38A7"/>
    <w:rsid w:val="001A3974"/>
    <w:rsid w:val="001A3E92"/>
    <w:rsid w:val="001A40B6"/>
    <w:rsid w:val="001A4850"/>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081"/>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4880"/>
    <w:rsid w:val="001E59BD"/>
    <w:rsid w:val="001E5A5F"/>
    <w:rsid w:val="001E5C3E"/>
    <w:rsid w:val="001E641F"/>
    <w:rsid w:val="001E66A7"/>
    <w:rsid w:val="001E773D"/>
    <w:rsid w:val="001F068F"/>
    <w:rsid w:val="001F0BBB"/>
    <w:rsid w:val="001F0DE8"/>
    <w:rsid w:val="001F0E94"/>
    <w:rsid w:val="001F19C9"/>
    <w:rsid w:val="001F35DC"/>
    <w:rsid w:val="001F3815"/>
    <w:rsid w:val="001F3966"/>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43"/>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3DF8"/>
    <w:rsid w:val="00224723"/>
    <w:rsid w:val="00224767"/>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57BA7"/>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5FF5"/>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009"/>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0E5"/>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107"/>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0A6"/>
    <w:rsid w:val="0034149F"/>
    <w:rsid w:val="003417BA"/>
    <w:rsid w:val="003419FB"/>
    <w:rsid w:val="00341C37"/>
    <w:rsid w:val="00343850"/>
    <w:rsid w:val="00343B0B"/>
    <w:rsid w:val="00343D49"/>
    <w:rsid w:val="003441D2"/>
    <w:rsid w:val="00344346"/>
    <w:rsid w:val="00344842"/>
    <w:rsid w:val="00344BBF"/>
    <w:rsid w:val="00344CCD"/>
    <w:rsid w:val="00345868"/>
    <w:rsid w:val="00345D31"/>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3AFA"/>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4AAC"/>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536"/>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0D90"/>
    <w:rsid w:val="003C2534"/>
    <w:rsid w:val="003C26AC"/>
    <w:rsid w:val="003C2A0B"/>
    <w:rsid w:val="003C2AFA"/>
    <w:rsid w:val="003C2EC6"/>
    <w:rsid w:val="003C3154"/>
    <w:rsid w:val="003C32FE"/>
    <w:rsid w:val="003C3358"/>
    <w:rsid w:val="003C371B"/>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50C9"/>
    <w:rsid w:val="0042545B"/>
    <w:rsid w:val="00425E72"/>
    <w:rsid w:val="00425E85"/>
    <w:rsid w:val="0042649D"/>
    <w:rsid w:val="00426862"/>
    <w:rsid w:val="00426CE7"/>
    <w:rsid w:val="00426D50"/>
    <w:rsid w:val="004276E0"/>
    <w:rsid w:val="00427A72"/>
    <w:rsid w:val="00427D9F"/>
    <w:rsid w:val="00430189"/>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05C7"/>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3C4"/>
    <w:rsid w:val="00463683"/>
    <w:rsid w:val="00464358"/>
    <w:rsid w:val="00464D56"/>
    <w:rsid w:val="00464DF0"/>
    <w:rsid w:val="00465562"/>
    <w:rsid w:val="00465DDF"/>
    <w:rsid w:val="004661DB"/>
    <w:rsid w:val="004663C7"/>
    <w:rsid w:val="00466B28"/>
    <w:rsid w:val="0046743D"/>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3A"/>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DE0"/>
    <w:rsid w:val="004A5AE0"/>
    <w:rsid w:val="004A5D89"/>
    <w:rsid w:val="004A5F0F"/>
    <w:rsid w:val="004A5FCA"/>
    <w:rsid w:val="004A5FFC"/>
    <w:rsid w:val="004A68B3"/>
    <w:rsid w:val="004A6B9E"/>
    <w:rsid w:val="004A6C9C"/>
    <w:rsid w:val="004A6CC0"/>
    <w:rsid w:val="004A6FE6"/>
    <w:rsid w:val="004A7203"/>
    <w:rsid w:val="004A74D6"/>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654"/>
    <w:rsid w:val="004C7A8F"/>
    <w:rsid w:val="004C7D9F"/>
    <w:rsid w:val="004D0947"/>
    <w:rsid w:val="004D102C"/>
    <w:rsid w:val="004D16BE"/>
    <w:rsid w:val="004D1983"/>
    <w:rsid w:val="004D1BC8"/>
    <w:rsid w:val="004D1D1F"/>
    <w:rsid w:val="004D2576"/>
    <w:rsid w:val="004D2869"/>
    <w:rsid w:val="004D2D0A"/>
    <w:rsid w:val="004D3387"/>
    <w:rsid w:val="004D38B0"/>
    <w:rsid w:val="004D3A6B"/>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352"/>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C5B"/>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3749"/>
    <w:rsid w:val="00563C85"/>
    <w:rsid w:val="00563DDB"/>
    <w:rsid w:val="005640FF"/>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173"/>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48"/>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2E20"/>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3F43"/>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3CD1"/>
    <w:rsid w:val="00644879"/>
    <w:rsid w:val="006449E7"/>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3F7"/>
    <w:rsid w:val="00671A22"/>
    <w:rsid w:val="0067240D"/>
    <w:rsid w:val="00672669"/>
    <w:rsid w:val="006726E0"/>
    <w:rsid w:val="006726E2"/>
    <w:rsid w:val="00672DBF"/>
    <w:rsid w:val="006742C5"/>
    <w:rsid w:val="00674359"/>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5A19"/>
    <w:rsid w:val="00696ADE"/>
    <w:rsid w:val="006977FF"/>
    <w:rsid w:val="00697A52"/>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495B"/>
    <w:rsid w:val="006B5363"/>
    <w:rsid w:val="006B56D9"/>
    <w:rsid w:val="006B59C3"/>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CE3"/>
    <w:rsid w:val="006C7199"/>
    <w:rsid w:val="006C7422"/>
    <w:rsid w:val="006C7BF3"/>
    <w:rsid w:val="006D0087"/>
    <w:rsid w:val="006D04D2"/>
    <w:rsid w:val="006D06CC"/>
    <w:rsid w:val="006D167F"/>
    <w:rsid w:val="006D176D"/>
    <w:rsid w:val="006D280F"/>
    <w:rsid w:val="006D32A1"/>
    <w:rsid w:val="006D383A"/>
    <w:rsid w:val="006D3893"/>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2B0D"/>
    <w:rsid w:val="0071327A"/>
    <w:rsid w:val="00713350"/>
    <w:rsid w:val="00713714"/>
    <w:rsid w:val="0071397B"/>
    <w:rsid w:val="007139D1"/>
    <w:rsid w:val="00713E05"/>
    <w:rsid w:val="0071481E"/>
    <w:rsid w:val="007149F9"/>
    <w:rsid w:val="00715002"/>
    <w:rsid w:val="007158E1"/>
    <w:rsid w:val="007163C0"/>
    <w:rsid w:val="00716B1B"/>
    <w:rsid w:val="00717974"/>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1A7"/>
    <w:rsid w:val="007244C8"/>
    <w:rsid w:val="00724A11"/>
    <w:rsid w:val="00725154"/>
    <w:rsid w:val="007255AF"/>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1E6"/>
    <w:rsid w:val="0076677C"/>
    <w:rsid w:val="00766829"/>
    <w:rsid w:val="00766AEC"/>
    <w:rsid w:val="0076737F"/>
    <w:rsid w:val="00767B25"/>
    <w:rsid w:val="00770226"/>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3FD1"/>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986"/>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30E"/>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D16"/>
    <w:rsid w:val="007E6E23"/>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171"/>
    <w:rsid w:val="00826222"/>
    <w:rsid w:val="00827841"/>
    <w:rsid w:val="008305B4"/>
    <w:rsid w:val="00830B48"/>
    <w:rsid w:val="0083121F"/>
    <w:rsid w:val="00831AF4"/>
    <w:rsid w:val="00831BC5"/>
    <w:rsid w:val="00831C86"/>
    <w:rsid w:val="00831FC5"/>
    <w:rsid w:val="00831FC6"/>
    <w:rsid w:val="008327D7"/>
    <w:rsid w:val="00832A1F"/>
    <w:rsid w:val="008332F5"/>
    <w:rsid w:val="00833A18"/>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680"/>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34C"/>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48EC"/>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E92"/>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CE2"/>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7DA"/>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B8E"/>
    <w:rsid w:val="008D0D42"/>
    <w:rsid w:val="008D0E0F"/>
    <w:rsid w:val="008D111E"/>
    <w:rsid w:val="008D12BF"/>
    <w:rsid w:val="008D15A7"/>
    <w:rsid w:val="008D1B62"/>
    <w:rsid w:val="008D1B9E"/>
    <w:rsid w:val="008D1F9A"/>
    <w:rsid w:val="008D2082"/>
    <w:rsid w:val="008D2388"/>
    <w:rsid w:val="008D24C9"/>
    <w:rsid w:val="008D2AEF"/>
    <w:rsid w:val="008D3170"/>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687"/>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551"/>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2F90"/>
    <w:rsid w:val="00913863"/>
    <w:rsid w:val="00913B73"/>
    <w:rsid w:val="00913C11"/>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5C45"/>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1FBD"/>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5B"/>
    <w:rsid w:val="00965C85"/>
    <w:rsid w:val="0096653F"/>
    <w:rsid w:val="0096731E"/>
    <w:rsid w:val="009679D9"/>
    <w:rsid w:val="009703F8"/>
    <w:rsid w:val="0097067B"/>
    <w:rsid w:val="009710DE"/>
    <w:rsid w:val="009712AE"/>
    <w:rsid w:val="0097174E"/>
    <w:rsid w:val="00971BE0"/>
    <w:rsid w:val="00971EFA"/>
    <w:rsid w:val="0097253D"/>
    <w:rsid w:val="009725A2"/>
    <w:rsid w:val="00972CE5"/>
    <w:rsid w:val="00973313"/>
    <w:rsid w:val="00973381"/>
    <w:rsid w:val="00973A13"/>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47"/>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603A"/>
    <w:rsid w:val="009D73F5"/>
    <w:rsid w:val="009D740A"/>
    <w:rsid w:val="009D7D93"/>
    <w:rsid w:val="009E040E"/>
    <w:rsid w:val="009E15ED"/>
    <w:rsid w:val="009E1607"/>
    <w:rsid w:val="009E1A3F"/>
    <w:rsid w:val="009E1FB8"/>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14D"/>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3D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8E0"/>
    <w:rsid w:val="00A32EFA"/>
    <w:rsid w:val="00A335F7"/>
    <w:rsid w:val="00A33696"/>
    <w:rsid w:val="00A339B5"/>
    <w:rsid w:val="00A339FB"/>
    <w:rsid w:val="00A348FE"/>
    <w:rsid w:val="00A34ED9"/>
    <w:rsid w:val="00A352EC"/>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11B"/>
    <w:rsid w:val="00A615A6"/>
    <w:rsid w:val="00A61AD5"/>
    <w:rsid w:val="00A61C95"/>
    <w:rsid w:val="00A61CEE"/>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1F1F"/>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5C7"/>
    <w:rsid w:val="00AB09EE"/>
    <w:rsid w:val="00AB1310"/>
    <w:rsid w:val="00AB19B4"/>
    <w:rsid w:val="00AB2400"/>
    <w:rsid w:val="00AB25DF"/>
    <w:rsid w:val="00AB262F"/>
    <w:rsid w:val="00AB2CE6"/>
    <w:rsid w:val="00AB5377"/>
    <w:rsid w:val="00AB5B77"/>
    <w:rsid w:val="00AB5C1D"/>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566"/>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769"/>
    <w:rsid w:val="00AE3DF4"/>
    <w:rsid w:val="00AE41D4"/>
    <w:rsid w:val="00AE46A9"/>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5CBC"/>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027"/>
    <w:rsid w:val="00B331DC"/>
    <w:rsid w:val="00B33BCF"/>
    <w:rsid w:val="00B3444E"/>
    <w:rsid w:val="00B352F5"/>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8C8"/>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1E2F"/>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1EB7"/>
    <w:rsid w:val="00B72D75"/>
    <w:rsid w:val="00B72F97"/>
    <w:rsid w:val="00B73165"/>
    <w:rsid w:val="00B741EF"/>
    <w:rsid w:val="00B742B8"/>
    <w:rsid w:val="00B747A2"/>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87D32"/>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A60"/>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366"/>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130"/>
    <w:rsid w:val="00BC59BE"/>
    <w:rsid w:val="00BC5C80"/>
    <w:rsid w:val="00BC5D5B"/>
    <w:rsid w:val="00BC5F08"/>
    <w:rsid w:val="00BC6161"/>
    <w:rsid w:val="00BC65A4"/>
    <w:rsid w:val="00BC65B2"/>
    <w:rsid w:val="00BC67CB"/>
    <w:rsid w:val="00BC717C"/>
    <w:rsid w:val="00BC75B3"/>
    <w:rsid w:val="00BC7B04"/>
    <w:rsid w:val="00BC7E15"/>
    <w:rsid w:val="00BC7E36"/>
    <w:rsid w:val="00BD00DB"/>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0C6"/>
    <w:rsid w:val="00C06A1F"/>
    <w:rsid w:val="00C0709F"/>
    <w:rsid w:val="00C07158"/>
    <w:rsid w:val="00C07DC0"/>
    <w:rsid w:val="00C108A9"/>
    <w:rsid w:val="00C10D63"/>
    <w:rsid w:val="00C10DE2"/>
    <w:rsid w:val="00C116FC"/>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5F3"/>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B48"/>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E7DC8"/>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6F00"/>
    <w:rsid w:val="00D37121"/>
    <w:rsid w:val="00D376AA"/>
    <w:rsid w:val="00D40043"/>
    <w:rsid w:val="00D40A47"/>
    <w:rsid w:val="00D40BB1"/>
    <w:rsid w:val="00D40C19"/>
    <w:rsid w:val="00D41051"/>
    <w:rsid w:val="00D410F8"/>
    <w:rsid w:val="00D417AE"/>
    <w:rsid w:val="00D41B6F"/>
    <w:rsid w:val="00D431CB"/>
    <w:rsid w:val="00D446AE"/>
    <w:rsid w:val="00D455CC"/>
    <w:rsid w:val="00D457ED"/>
    <w:rsid w:val="00D458A6"/>
    <w:rsid w:val="00D464F2"/>
    <w:rsid w:val="00D468B0"/>
    <w:rsid w:val="00D46AEF"/>
    <w:rsid w:val="00D46D32"/>
    <w:rsid w:val="00D46EB7"/>
    <w:rsid w:val="00D46F56"/>
    <w:rsid w:val="00D47369"/>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2FA4"/>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12E7"/>
    <w:rsid w:val="00D71571"/>
    <w:rsid w:val="00D721EC"/>
    <w:rsid w:val="00D726CE"/>
    <w:rsid w:val="00D73677"/>
    <w:rsid w:val="00D73943"/>
    <w:rsid w:val="00D74912"/>
    <w:rsid w:val="00D74A6E"/>
    <w:rsid w:val="00D75805"/>
    <w:rsid w:val="00D75B50"/>
    <w:rsid w:val="00D75BE2"/>
    <w:rsid w:val="00D76480"/>
    <w:rsid w:val="00D777E7"/>
    <w:rsid w:val="00D779F7"/>
    <w:rsid w:val="00D801E4"/>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BEC"/>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2B03"/>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2C6E"/>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F67"/>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35"/>
    <w:rsid w:val="00E13FB6"/>
    <w:rsid w:val="00E14ACF"/>
    <w:rsid w:val="00E14BAD"/>
    <w:rsid w:val="00E14D14"/>
    <w:rsid w:val="00E159EC"/>
    <w:rsid w:val="00E15C68"/>
    <w:rsid w:val="00E16E4C"/>
    <w:rsid w:val="00E173EF"/>
    <w:rsid w:val="00E20A78"/>
    <w:rsid w:val="00E20AFC"/>
    <w:rsid w:val="00E20B50"/>
    <w:rsid w:val="00E20B5E"/>
    <w:rsid w:val="00E20F69"/>
    <w:rsid w:val="00E21237"/>
    <w:rsid w:val="00E21906"/>
    <w:rsid w:val="00E221AF"/>
    <w:rsid w:val="00E224BF"/>
    <w:rsid w:val="00E22732"/>
    <w:rsid w:val="00E22B39"/>
    <w:rsid w:val="00E2398E"/>
    <w:rsid w:val="00E23A5C"/>
    <w:rsid w:val="00E2406F"/>
    <w:rsid w:val="00E24570"/>
    <w:rsid w:val="00E2459F"/>
    <w:rsid w:val="00E249D8"/>
    <w:rsid w:val="00E24B98"/>
    <w:rsid w:val="00E2527D"/>
    <w:rsid w:val="00E262A9"/>
    <w:rsid w:val="00E2688C"/>
    <w:rsid w:val="00E2693C"/>
    <w:rsid w:val="00E26F87"/>
    <w:rsid w:val="00E2710F"/>
    <w:rsid w:val="00E2722E"/>
    <w:rsid w:val="00E27747"/>
    <w:rsid w:val="00E3047D"/>
    <w:rsid w:val="00E3066D"/>
    <w:rsid w:val="00E30AD4"/>
    <w:rsid w:val="00E30AF9"/>
    <w:rsid w:val="00E30E52"/>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20"/>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053"/>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709"/>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163"/>
    <w:rsid w:val="00E858B2"/>
    <w:rsid w:val="00E86484"/>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8E4"/>
    <w:rsid w:val="00EF3B49"/>
    <w:rsid w:val="00EF45CF"/>
    <w:rsid w:val="00EF4B52"/>
    <w:rsid w:val="00EF5517"/>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757"/>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8C8"/>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0F5F"/>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3ECF"/>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9FC"/>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5F27"/>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2EE"/>
    <w:rsid w:val="00FA6B30"/>
    <w:rsid w:val="00FA6C13"/>
    <w:rsid w:val="00FA761A"/>
    <w:rsid w:val="00FA786A"/>
    <w:rsid w:val="00FA7DA0"/>
    <w:rsid w:val="00FB0515"/>
    <w:rsid w:val="00FB0EE9"/>
    <w:rsid w:val="00FB0EFB"/>
    <w:rsid w:val="00FB0F8A"/>
    <w:rsid w:val="00FB1300"/>
    <w:rsid w:val="00FB1354"/>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0310"/>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List Paragraph_0,List Paragraph_1,x.x.x.x,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List Paragraph_0 תו,List Paragraph_1 תו,x.x.x.x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8"/>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2">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1"/>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2"/>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4"/>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3"/>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5"/>
      </w:numPr>
      <w:ind w:left="397" w:hanging="397"/>
    </w:pPr>
  </w:style>
  <w:style w:type="paragraph" w:customStyle="1" w:styleId="7151">
    <w:name w:val="71ג כותרת 5 עם אותיות כניסה שנייה"/>
    <w:basedOn w:val="7150"/>
    <w:qFormat/>
    <w:rsid w:val="00A139EC"/>
    <w:pPr>
      <w:numPr>
        <w:numId w:val="16"/>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7"/>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8"/>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19"/>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Normal"/>
    <w:rsid w:val="001324A5"/>
    <w:pPr>
      <w:bidi w:val="0"/>
      <w:spacing w:line="240" w:lineRule="auto"/>
      <w:jc w:val="left"/>
    </w:pPr>
    <w:rPr>
      <w:rFonts w:cs="Times New Roman"/>
      <w:sz w:val="24"/>
    </w:rPr>
  </w:style>
  <w:style w:type="character" w:customStyle="1" w:styleId="29">
    <w:name w:val="אזכור לא מזוהה2"/>
    <w:basedOn w:val="DefaultParagraphFont"/>
    <w:uiPriority w:val="99"/>
    <w:semiHidden/>
    <w:unhideWhenUsed/>
    <w:rsid w:val="001324A5"/>
    <w:rPr>
      <w:color w:val="605E5C"/>
      <w:shd w:val="clear" w:color="auto" w:fill="E1DFDD"/>
    </w:rPr>
  </w:style>
  <w:style w:type="paragraph" w:customStyle="1" w:styleId="131">
    <w:name w:val="רגיל1"/>
    <w:basedOn w:val="Normal"/>
    <w:rsid w:val="00D47369"/>
    <w:pPr>
      <w:spacing w:before="100" w:beforeAutospacing="1" w:after="100" w:afterAutospacing="1" w:line="360" w:lineRule="auto"/>
    </w:pPr>
    <w:rPr>
      <w:rFonts w:eastAsia="Times New Roman"/>
      <w:sz w:val="24"/>
    </w:rPr>
  </w:style>
  <w:style w:type="paragraph" w:customStyle="1" w:styleId="ti-art">
    <w:name w:val="ti-art"/>
    <w:basedOn w:val="Normal"/>
    <w:rsid w:val="00D47369"/>
    <w:pPr>
      <w:spacing w:before="100" w:beforeAutospacing="1" w:after="100" w:afterAutospacing="1" w:line="360" w:lineRule="auto"/>
    </w:pPr>
    <w:rPr>
      <w:rFonts w:eastAsia="Times New Roman"/>
      <w:sz w:val="24"/>
    </w:rPr>
  </w:style>
  <w:style w:type="paragraph" w:customStyle="1" w:styleId="TableText">
    <w:name w:val="Table Text"/>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TableInnerSideHeading">
    <w:name w:val="Table InnerSideHeading"/>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Hesber">
    <w:name w:val="Hesber"/>
    <w:basedOn w:val="Normal"/>
    <w:rsid w:val="00D47369"/>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Hesber1st">
    <w:name w:val="Hesber 1st"/>
    <w:basedOn w:val="Hesber"/>
    <w:rsid w:val="00D47369"/>
    <w:pPr>
      <w:tabs>
        <w:tab w:val="left" w:pos="680"/>
        <w:tab w:val="left" w:pos="1020"/>
      </w:tabs>
      <w:ind w:firstLine="0"/>
    </w:pPr>
  </w:style>
  <w:style w:type="paragraph" w:customStyle="1" w:styleId="HeadDivreiHesber">
    <w:name w:val="Head DivreiHesber"/>
    <w:basedOn w:val="Normal"/>
    <w:rsid w:val="00D47369"/>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Cs w:val="26"/>
      <w:lang w:eastAsia="ja-JP"/>
    </w:rPr>
  </w:style>
  <w:style w:type="character" w:styleId="LineNumber">
    <w:name w:val="line number"/>
    <w:basedOn w:val="DefaultParagraphFont"/>
    <w:uiPriority w:val="99"/>
    <w:semiHidden/>
    <w:unhideWhenUsed/>
    <w:rsid w:val="00D47369"/>
  </w:style>
  <w:style w:type="table" w:styleId="GridTable1LightAccent6">
    <w:name w:val="Grid Table 1 Light Accent 6"/>
    <w:basedOn w:val="TableNormal"/>
    <w:uiPriority w:val="46"/>
    <w:rsid w:val="00D4736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
    <w:name w:val="Grid Table 4"/>
    <w:basedOn w:val="TableNormal"/>
    <w:uiPriority w:val="49"/>
    <w:rsid w:val="00D473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D473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1">
    <w:name w:val="footnote"/>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02">
    <w:name w:val="p02"/>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ara">
    <w:name w:val="para"/>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a39">
    <w:name w:val="סגנון בסיס"/>
    <w:basedOn w:val="Normal"/>
    <w:rsid w:val="00D47369"/>
    <w:pPr>
      <w:spacing w:line="360" w:lineRule="auto"/>
      <w:ind w:right="360"/>
    </w:pPr>
    <w:rPr>
      <w:rFonts w:eastAsia="Times New Roman" w:cs="Narkisim"/>
      <w:sz w:val="24"/>
      <w:szCs w:val="25"/>
      <w:lang w:eastAsia="he-IL"/>
    </w:rPr>
  </w:style>
  <w:style w:type="paragraph" w:customStyle="1" w:styleId="219">
    <w:name w:val="מספור 2"/>
    <w:basedOn w:val="Normal"/>
    <w:rsid w:val="00912F90"/>
    <w:pPr>
      <w:numPr>
        <w:numId w:val="20"/>
      </w:numPr>
      <w:spacing w:line="240" w:lineRule="auto"/>
      <w:jc w:val="left"/>
    </w:pPr>
    <w:rPr>
      <w:rFonts w:eastAsia="Times New Roman"/>
      <w:sz w:val="24"/>
      <w:lang w:eastAsia="he-IL"/>
    </w:rPr>
  </w:style>
  <w:style w:type="paragraph" w:customStyle="1" w:styleId="132">
    <w:name w:val="סגנון1"/>
    <w:basedOn w:val="Normal"/>
    <w:qFormat/>
    <w:rsid w:val="00912F90"/>
    <w:pPr>
      <w:spacing w:line="269" w:lineRule="auto"/>
      <w:ind w:left="312"/>
    </w:pPr>
  </w:style>
  <w:style w:type="paragraph" w:customStyle="1" w:styleId="220">
    <w:name w:val="סגנון2"/>
    <w:basedOn w:val="Normal"/>
    <w:qFormat/>
    <w:rsid w:val="00912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image" Target="media/image8.jpeg" /><Relationship Id="rId18" Type="http://schemas.openxmlformats.org/officeDocument/2006/relationships/image" Target="media/image9.jpeg" /><Relationship Id="rId19" Type="http://schemas.openxmlformats.org/officeDocument/2006/relationships/image" Target="media/image10.jpeg" /><Relationship Id="rId2" Type="http://schemas.openxmlformats.org/officeDocument/2006/relationships/webSettings" Target="webSettings.xml" /><Relationship Id="rId20" Type="http://schemas.openxmlformats.org/officeDocument/2006/relationships/image" Target="media/image11.jpeg"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header" Target="header4.xml" /><Relationship Id="rId24" Type="http://schemas.openxmlformats.org/officeDocument/2006/relationships/footer" Target="footer4.xml" /><Relationship Id="rId25" Type="http://schemas.openxmlformats.org/officeDocument/2006/relationships/image" Target="media/image14.jpeg" /><Relationship Id="rId26" Type="http://schemas.openxmlformats.org/officeDocument/2006/relationships/image" Target="media/image15.jpeg" /><Relationship Id="rId27" Type="http://schemas.openxmlformats.org/officeDocument/2006/relationships/image" Target="media/image16.png" /><Relationship Id="rId28" Type="http://schemas.openxmlformats.org/officeDocument/2006/relationships/header" Target="header5.xml" /><Relationship Id="rId29" Type="http://schemas.openxmlformats.org/officeDocument/2006/relationships/header" Target="header6.xml" /><Relationship Id="rId3" Type="http://schemas.openxmlformats.org/officeDocument/2006/relationships/fontTable" Target="fontTable.xml" /><Relationship Id="rId30" Type="http://schemas.openxmlformats.org/officeDocument/2006/relationships/header" Target="header7.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2.jpeg" /><Relationship Id="rId2" Type="http://schemas.openxmlformats.org/officeDocument/2006/relationships/image" Target="media/image13.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ADE02D-D6D8-4D16-9F3B-1A0971C7ACE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