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88960"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26496"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1AA0BA75">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3064856</wp:posOffset>
                </wp:positionH>
                <wp:positionV relativeFrom="paragraph">
                  <wp:posOffset>369224</wp:posOffset>
                </wp:positionV>
                <wp:extent cx="0" cy="2900218"/>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90021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35pt,29.05pt" to="241.35pt,257.4pt" strokecolor="white" strokeweight="4pt"/>
            </w:pict>
          </mc:Fallback>
        </mc:AlternateContent>
      </w:r>
      <w:r w:rsidRPr="0030415A" w:rsidR="00E33FC5">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-398780</wp:posOffset>
                </wp:positionH>
                <wp:positionV relativeFrom="paragraph">
                  <wp:posOffset>257810</wp:posOffset>
                </wp:positionV>
                <wp:extent cx="481330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1330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C329AA" w:rsidRPr="0052031E" w:rsidP="00C329AA"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D9CEDE9">
                            <w:pPr>
                              <w:ind w:left="2268"/>
                              <w:rPr>
                                <w:rtl/>
                              </w:rPr>
                            </w:pPr>
                          </w:p>
                          <w:p w:rsidR="00716DB8" w:rsidP="0052031E" w14:textId="77777777">
                            <w:pPr>
                              <w:ind w:left="2268"/>
                              <w:rPr>
                                <w:rtl/>
                              </w:rPr>
                            </w:pPr>
                          </w:p>
                          <w:p w:rsidR="00CB22A1" w:rsidP="0052031E" w14:textId="77777777">
                            <w:pPr>
                              <w:ind w:left="2268"/>
                              <w:rPr>
                                <w:rtl/>
                              </w:rPr>
                            </w:pPr>
                          </w:p>
                          <w:p w:rsidR="008D26CA" w:rsidP="0052031E" w14:textId="7CF384FB">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רשות מקרקעי ישראל</w:t>
                            </w:r>
                          </w:p>
                          <w:p w:rsidR="00CB22A1" w:rsidP="002D268F" w14:textId="43BA7A84">
                            <w:pPr>
                              <w:spacing w:before="360" w:line="600" w:lineRule="exact"/>
                              <w:ind w:left="2268"/>
                              <w:jc w:val="left"/>
                              <w:rPr>
                                <w:rFonts w:ascii="Tahoma" w:hAnsi="Tahoma" w:cs="Tahoma"/>
                                <w:b/>
                                <w:bCs/>
                                <w:color w:val="FFFFFF" w:themeColor="background1"/>
                                <w:sz w:val="44"/>
                                <w:szCs w:val="44"/>
                              </w:rPr>
                            </w:pPr>
                            <w:r w:rsidRPr="00760601">
                              <w:rPr>
                                <w:rFonts w:ascii="Tahoma" w:hAnsi="Tahoma" w:cs="Tahoma"/>
                                <w:b/>
                                <w:bCs/>
                                <w:color w:val="FFFFFF" w:themeColor="background1"/>
                                <w:sz w:val="44"/>
                                <w:szCs w:val="44"/>
                                <w:rtl/>
                              </w:rPr>
                              <w:t>מניעת מעילות והונאות ברשות מקרקעי ישראל</w:t>
                            </w:r>
                          </w:p>
                          <w:p w:rsidR="007B283B"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79pt;height:336.5pt;margin-top:20.3pt;margin-left:-31.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C329AA" w:rsidRPr="0052031E" w:rsidP="00C329AA" w14:paraId="085C418D"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D9CEDE9">
                      <w:pPr>
                        <w:ind w:left="2268"/>
                        <w:rPr>
                          <w:rtl/>
                        </w:rPr>
                      </w:pPr>
                    </w:p>
                    <w:p w:rsidR="00716DB8" w:rsidP="0052031E" w14:paraId="08601216" w14:textId="77777777">
                      <w:pPr>
                        <w:ind w:left="2268"/>
                        <w:rPr>
                          <w:rtl/>
                        </w:rPr>
                      </w:pPr>
                    </w:p>
                    <w:p w:rsidR="00CB22A1" w:rsidP="0052031E" w14:paraId="537675A5" w14:textId="77777777">
                      <w:pPr>
                        <w:ind w:left="2268"/>
                        <w:rPr>
                          <w:rtl/>
                        </w:rPr>
                      </w:pPr>
                    </w:p>
                    <w:p w:rsidR="008D26CA" w:rsidP="0052031E" w14:paraId="69862D60" w14:textId="7CF384FB">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רשות מקרקעי ישראל</w:t>
                      </w:r>
                    </w:p>
                    <w:p w:rsidR="00CB22A1" w:rsidP="002D268F" w14:paraId="5464BE8D" w14:textId="43BA7A84">
                      <w:pPr>
                        <w:spacing w:before="360" w:line="600" w:lineRule="exact"/>
                        <w:ind w:left="2268"/>
                        <w:jc w:val="left"/>
                        <w:rPr>
                          <w:rFonts w:ascii="Tahoma" w:hAnsi="Tahoma" w:cs="Tahoma"/>
                          <w:b/>
                          <w:bCs/>
                          <w:color w:val="FFFFFF" w:themeColor="background1"/>
                          <w:sz w:val="44"/>
                          <w:szCs w:val="44"/>
                        </w:rPr>
                      </w:pPr>
                      <w:r w:rsidRPr="00760601">
                        <w:rPr>
                          <w:rFonts w:ascii="Tahoma" w:hAnsi="Tahoma" w:cs="Tahoma"/>
                          <w:b/>
                          <w:bCs/>
                          <w:color w:val="FFFFFF" w:themeColor="background1"/>
                          <w:sz w:val="44"/>
                          <w:szCs w:val="44"/>
                          <w:rtl/>
                        </w:rPr>
                        <w:t>מניעת מעילות והונאות ברשות מקרקעי ישראל</w:t>
                      </w:r>
                    </w:p>
                    <w:p w:rsidR="007B283B" w:rsidRPr="00344BBF" w:rsidP="002D268F" w14:paraId="63FB004E"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760601">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-398780</wp:posOffset>
                </wp:positionH>
                <wp:positionV relativeFrom="paragraph">
                  <wp:posOffset>1863906</wp:posOffset>
                </wp:positionV>
                <wp:extent cx="3255841"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255841"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31.4pt,146.75pt" to="224.95pt,146.7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9599121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26882"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72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974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27424D" w:rsidRPr="00760601" w:rsidP="00760601" w14:paraId="0165F9FB" w14:textId="2A0C88F2">
      <w:pPr>
        <w:pStyle w:val="7125"/>
        <w:rPr>
          <w:rtl/>
        </w:rPr>
      </w:pPr>
      <w:r w:rsidRPr="00760601">
        <w:rPr>
          <w:rtl/>
        </w:rPr>
        <w:t>מניעת מעילות והונאות ברשות מקרקעי ישראל</w:t>
      </w:r>
    </w:p>
    <w:p w:rsidR="009E3D6D" w:rsidP="009E3D6D" w14:paraId="32190477" w14:textId="3DEE7A11">
      <w:pPr>
        <w:pStyle w:val="7190"/>
        <w:rPr>
          <w:rtl/>
        </w:rPr>
      </w:pPr>
      <w:r>
        <w:rPr>
          <w:noProof/>
          <w:rtl/>
        </w:rPr>
        <w:drawing>
          <wp:anchor distT="0" distB="0" distL="114300" distR="114300" simplePos="0" relativeHeight="251670528" behindDoc="0" locked="0" layoutInCell="1" allowOverlap="1">
            <wp:simplePos x="0" y="0"/>
            <wp:positionH relativeFrom="margin">
              <wp:posOffset>3317289</wp:posOffset>
            </wp:positionH>
            <wp:positionV relativeFrom="paragraph">
              <wp:posOffset>-635</wp:posOffset>
            </wp:positionV>
            <wp:extent cx="1386840" cy="4216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19755"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8255D0" w:rsidP="009E3D6D" w14:paraId="0C0FDA6E" w14:textId="77777777">
      <w:pPr>
        <w:pStyle w:val="7190"/>
        <w:rPr>
          <w:rtl/>
        </w:rPr>
      </w:pPr>
    </w:p>
    <w:p w:rsidR="00760601" w:rsidRPr="007F4E99" w:rsidP="00760601" w14:paraId="5C99461A" w14:textId="77777777">
      <w:pPr>
        <w:spacing w:after="120" w:line="288" w:lineRule="auto"/>
        <w:ind w:left="-1"/>
        <w:rPr>
          <w:rFonts w:ascii="Tahoma" w:hAnsi="Tahoma" w:cs="Tahoma"/>
          <w:color w:val="0D0D0D" w:themeColor="text1" w:themeTint="F2"/>
          <w:sz w:val="18"/>
          <w:szCs w:val="18"/>
          <w:rtl/>
        </w:rPr>
      </w:pPr>
      <w:r w:rsidRPr="007F4E99">
        <w:rPr>
          <w:rFonts w:ascii="Tahoma" w:hAnsi="Tahoma" w:cs="Tahoma"/>
          <w:color w:val="0D0D0D" w:themeColor="text1" w:themeTint="F2"/>
          <w:sz w:val="18"/>
          <w:szCs w:val="18"/>
          <w:rtl/>
        </w:rPr>
        <w:t>מעילה והונאה הן פעולות לא חוקיות להפקת תועלת אישית באמצעות שימוש לא ראוי במכוון במשאבי ארגון ובנכסיו. בישראל מקובל להבחין בין מעילה (</w:t>
      </w:r>
      <w:r w:rsidRPr="007F4E99">
        <w:rPr>
          <w:rFonts w:ascii="Tahoma" w:hAnsi="Tahoma" w:cs="Tahoma"/>
          <w:color w:val="0D0D0D" w:themeColor="text1" w:themeTint="F2"/>
          <w:sz w:val="18"/>
          <w:szCs w:val="18"/>
        </w:rPr>
        <w:t>embezzlement</w:t>
      </w:r>
      <w:r w:rsidRPr="007F4E99">
        <w:rPr>
          <w:rFonts w:ascii="Tahoma" w:hAnsi="Tahoma" w:cs="Tahoma"/>
          <w:color w:val="0D0D0D" w:themeColor="text1" w:themeTint="F2"/>
          <w:sz w:val="18"/>
          <w:szCs w:val="18"/>
          <w:rtl/>
        </w:rPr>
        <w:t>) - פעולה שמבצע גורם בתוך הארגון, לבין הונאה (</w:t>
      </w:r>
      <w:r w:rsidRPr="007F4E99">
        <w:rPr>
          <w:rFonts w:ascii="Tahoma" w:hAnsi="Tahoma" w:cs="Tahoma"/>
          <w:color w:val="0D0D0D" w:themeColor="text1" w:themeTint="F2"/>
          <w:sz w:val="18"/>
          <w:szCs w:val="18"/>
        </w:rPr>
        <w:t>fraud</w:t>
      </w:r>
      <w:r w:rsidRPr="007F4E99">
        <w:rPr>
          <w:rFonts w:ascii="Tahoma" w:hAnsi="Tahoma" w:cs="Tahoma"/>
          <w:color w:val="0D0D0D" w:themeColor="text1" w:themeTint="F2"/>
          <w:sz w:val="18"/>
          <w:szCs w:val="18"/>
          <w:rtl/>
        </w:rPr>
        <w:t xml:space="preserve">) - פעולה שמבצע גורם מחוץ לארגון. על פי מודל שפרסם ארגון </w:t>
      </w:r>
      <w:r w:rsidRPr="007F4E99">
        <w:rPr>
          <w:rFonts w:ascii="Tahoma" w:hAnsi="Tahoma" w:cs="Tahoma"/>
          <w:color w:val="0D0D0D" w:themeColor="text1" w:themeTint="F2"/>
          <w:sz w:val="18"/>
          <w:szCs w:val="18"/>
        </w:rPr>
        <w:t>COSO</w:t>
      </w:r>
      <w:r>
        <w:rPr>
          <w:rFonts w:ascii="Tahoma" w:hAnsi="Tahoma" w:cs="Tahoma"/>
          <w:color w:val="0D0D0D" w:themeColor="text1" w:themeTint="F2"/>
          <w:sz w:val="18"/>
          <w:szCs w:val="18"/>
          <w:vertAlign w:val="superscript"/>
          <w:rtl/>
        </w:rPr>
        <w:footnoteReference w:id="2"/>
      </w:r>
      <w:r w:rsidRPr="007F4E99">
        <w:rPr>
          <w:rFonts w:ascii="Tahoma" w:hAnsi="Tahoma" w:cs="Tahoma"/>
          <w:color w:val="0D0D0D" w:themeColor="text1" w:themeTint="F2"/>
          <w:sz w:val="18"/>
          <w:szCs w:val="18"/>
          <w:rtl/>
        </w:rPr>
        <w:t xml:space="preserve">, שאומץ על ידי ארגונים רבים ברחבי העולם, ארגונים נדרשים לנקוט גישה פעילה למניעת מעילות והונאות באופן שיטתי, בין היתר באמצעות הערכת סיכונים ובקרות פנימיות. בהתאם, גם בהוראות תקנון הכספים והמשק של מדינת ישראל (הוראות </w:t>
      </w:r>
      <w:r w:rsidRPr="007F4E99">
        <w:rPr>
          <w:rFonts w:ascii="Tahoma" w:hAnsi="Tahoma" w:cs="Tahoma"/>
          <w:color w:val="0D0D0D" w:themeColor="text1" w:themeTint="F2"/>
          <w:sz w:val="18"/>
          <w:szCs w:val="18"/>
          <w:rtl/>
        </w:rPr>
        <w:t>תכ"ם</w:t>
      </w:r>
      <w:r w:rsidRPr="007F4E99">
        <w:rPr>
          <w:rFonts w:ascii="Tahoma" w:hAnsi="Tahoma" w:cs="Tahoma"/>
          <w:color w:val="0D0D0D" w:themeColor="text1" w:themeTint="F2"/>
          <w:sz w:val="18"/>
          <w:szCs w:val="18"/>
          <w:rtl/>
        </w:rPr>
        <w:t xml:space="preserve">) בנושא סיכונים תפעוליים, המבוססות על מודל </w:t>
      </w:r>
      <w:r w:rsidRPr="007F4E99">
        <w:rPr>
          <w:rFonts w:ascii="Tahoma" w:hAnsi="Tahoma" w:cs="Tahoma"/>
          <w:color w:val="0D0D0D" w:themeColor="text1" w:themeTint="F2"/>
          <w:sz w:val="18"/>
          <w:szCs w:val="18"/>
        </w:rPr>
        <w:t>COSO</w:t>
      </w:r>
      <w:r w:rsidRPr="007F4E99">
        <w:rPr>
          <w:rFonts w:ascii="Tahoma" w:hAnsi="Tahoma" w:cs="Tahoma"/>
          <w:color w:val="0D0D0D" w:themeColor="text1" w:themeTint="F2"/>
          <w:sz w:val="18"/>
          <w:szCs w:val="18"/>
          <w:rtl/>
        </w:rPr>
        <w:t xml:space="preserve">, ומחייבות את משרדי הממשלה ואת יחידות הסמך של משרדים אלו, צוינו סיכוני מעילות והונאות כחלק מהסיכונים התפעוליים שיש לפעול למזעורם. </w:t>
      </w:r>
    </w:p>
    <w:p w:rsidR="009E3D6D" w:rsidP="00760601" w14:paraId="438CAA5E" w14:textId="7F2349FA">
      <w:pPr>
        <w:pStyle w:val="7190"/>
        <w:rPr>
          <w:b/>
          <w:bCs/>
          <w:rtl/>
        </w:rPr>
      </w:pPr>
      <w:r w:rsidRPr="007F4E99">
        <w:rPr>
          <w:rtl/>
        </w:rPr>
        <w:t>רשות מקרקעי ישראל (</w:t>
      </w:r>
      <w:r w:rsidRPr="007F4E99">
        <w:rPr>
          <w:rtl/>
        </w:rPr>
        <w:t>רמ"י</w:t>
      </w:r>
      <w:r w:rsidRPr="007F4E99">
        <w:rPr>
          <w:rtl/>
        </w:rPr>
        <w:t xml:space="preserve">) מופקדת על ניהול אחד מנכסיה המשמעותיים ביותר של המדינה - מקרקעי ישראל, שהם כ-90% מקרקעותיה. ככלל, כל פעילות בנכס, ובכלל זה בקרקע, יוצרת סיכון. סיכון הוא אפשרות כי אירוע, פעילות או פעולה, פנימיים או חיצוניים, יגרמו לנזקים, לרבות הפסדים כספיים, ויפגעו ביכולת הארגון לעמוד ביעדיו ובמטרותיו. ככל שנכסים של ארגון הם מהותיים יותר, כגון </w:t>
      </w:r>
      <w:r w:rsidRPr="007F4E99">
        <w:rPr>
          <w:rtl/>
        </w:rPr>
        <w:t>ברמ"י</w:t>
      </w:r>
      <w:r w:rsidRPr="007F4E99">
        <w:rPr>
          <w:rtl/>
        </w:rPr>
        <w:t xml:space="preserve">, עולה החשיבות עבורו להקים ולהפעיל מנגנונים לניהול סיכונים בפעילותו. סיכונים בפעולות </w:t>
      </w:r>
      <w:r w:rsidRPr="007F4E99">
        <w:rPr>
          <w:rtl/>
        </w:rPr>
        <w:t>רמ"י</w:t>
      </w:r>
      <w:r w:rsidRPr="007F4E99">
        <w:rPr>
          <w:rtl/>
        </w:rPr>
        <w:t xml:space="preserve"> שיפורטו בדוח זה, כוללים, בין היתר, סיכונים לפעולות במזיד או לטעויות בהליכים של הקניית בעלות, העברת זכויות והערכת שווי בקרקע, במתן פיצויים עודפים בגין השבת קרקע, בדיווחי חסר בתחומי הפיקוח על הקרקע ומניעת פלישות, בשימוש במערכת המידע בידי גורם לא מורשה ועוד</w:t>
      </w:r>
      <w:r w:rsidRPr="009E3D6D" w:rsidR="00CD022B">
        <w:rPr>
          <w:rtl/>
        </w:rPr>
        <w:t>.</w:t>
      </w:r>
      <w:r w:rsidRPr="00DD5B43"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702272" behindDoc="0" locked="0" layoutInCell="1" allowOverlap="1">
            <wp:simplePos x="0" y="0"/>
            <wp:positionH relativeFrom="column">
              <wp:posOffset>3274695</wp:posOffset>
            </wp:positionH>
            <wp:positionV relativeFrom="paragraph">
              <wp:posOffset>46080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80854"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60A985A1">
      <w:pPr>
        <w:pStyle w:val="7190"/>
        <w:rPr>
          <w:rtl/>
        </w:rPr>
      </w:pPr>
    </w:p>
    <w:tbl>
      <w:tblPr>
        <w:tblStyle w:val="TableGrid"/>
        <w:bidiVisual/>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843"/>
        <w:gridCol w:w="1757"/>
        <w:gridCol w:w="1844"/>
      </w:tblGrid>
      <w:tr w14:paraId="7597E23C" w14:textId="77777777" w:rsidTr="00A469C0">
        <w:tblPrEx>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CD29D6" w:rsidRPr="00864A2A" w:rsidP="00864A2A" w14:paraId="1E1AF3C6" w14:textId="7553B6C8">
            <w:pPr>
              <w:pStyle w:val="2021"/>
              <w:rPr>
                <w:rtl/>
              </w:rPr>
            </w:pPr>
            <w:r>
              <w:rPr>
                <w:rFonts w:hint="cs"/>
                <w:spacing w:val="-12"/>
                <w:sz w:val="26"/>
                <w:szCs w:val="26"/>
                <w:rtl/>
              </w:rPr>
              <w:t>כ-</w:t>
            </w:r>
            <w:r w:rsidR="00760601">
              <w:rPr>
                <w:rFonts w:hint="cs"/>
                <w:rtl/>
              </w:rPr>
              <w:t xml:space="preserve">23 </w:t>
            </w:r>
            <w:r w:rsidR="00760601">
              <w:rPr>
                <w:rFonts w:hint="cs"/>
                <w:spacing w:val="-12"/>
                <w:sz w:val="26"/>
                <w:szCs w:val="26"/>
                <w:rtl/>
              </w:rPr>
              <w:t>וכ</w:t>
            </w:r>
            <w:r w:rsidR="00760601">
              <w:rPr>
                <w:rFonts w:hint="cs"/>
                <w:spacing w:val="-12"/>
                <w:sz w:val="26"/>
                <w:szCs w:val="26"/>
                <w:rtl/>
              </w:rPr>
              <w:t>-</w:t>
            </w:r>
            <w:r w:rsidR="00760601">
              <w:rPr>
                <w:rFonts w:hint="cs"/>
                <w:rtl/>
              </w:rPr>
              <w:t>18</w:t>
            </w:r>
            <w:r w:rsidRPr="00864A2A">
              <w:rPr>
                <w:rtl/>
              </w:rPr>
              <w:t xml:space="preserve"> </w:t>
            </w:r>
            <w:r w:rsidRPr="00760601" w:rsidR="00760601">
              <w:rPr>
                <w:spacing w:val="-12"/>
                <w:sz w:val="26"/>
                <w:szCs w:val="26"/>
                <w:rtl/>
              </w:rPr>
              <w:t>מיליארדי ש"ח</w:t>
            </w:r>
          </w:p>
        </w:tc>
        <w:tc>
          <w:tcPr>
            <w:tcW w:w="1843" w:type="dxa"/>
            <w:vAlign w:val="bottom"/>
          </w:tcPr>
          <w:p w:rsidR="00CD29D6" w:rsidRPr="00864A2A" w:rsidP="00864A2A" w14:paraId="1D9D023E" w14:textId="5A322719">
            <w:pPr>
              <w:spacing w:before="120" w:line="240" w:lineRule="auto"/>
              <w:jc w:val="left"/>
              <w:rPr>
                <w:rFonts w:ascii="Tahoma" w:hAnsi="Tahoma" w:cs="Tahoma"/>
                <w:spacing w:val="-10"/>
                <w:sz w:val="26"/>
                <w:szCs w:val="26"/>
                <w:rtl/>
              </w:rPr>
            </w:pPr>
            <w:r w:rsidRPr="007F4E99">
              <w:rPr>
                <w:rFonts w:ascii="Tahoma" w:hAnsi="Tahoma" w:eastAsiaTheme="minorEastAsia" w:cs="Tahoma"/>
                <w:b/>
                <w:bCs/>
                <w:color w:val="0D0D0D" w:themeColor="text1" w:themeTint="F2"/>
                <w:spacing w:val="-12"/>
                <w:sz w:val="26"/>
                <w:szCs w:val="26"/>
                <w:rtl/>
              </w:rPr>
              <w:t>כ-</w:t>
            </w:r>
            <w:r w:rsidRPr="00760601">
              <w:rPr>
                <w:rFonts w:ascii="Tahoma" w:hAnsi="Tahoma" w:eastAsiaTheme="minorEastAsia" w:cs="Tahoma"/>
                <w:b/>
                <w:bCs/>
                <w:color w:val="0D0D0D" w:themeColor="text1" w:themeTint="F2"/>
                <w:spacing w:val="-12"/>
                <w:sz w:val="36"/>
                <w:szCs w:val="36"/>
                <w:rtl/>
              </w:rPr>
              <w:t>644</w:t>
            </w:r>
            <w:r w:rsidRPr="007F4E99">
              <w:rPr>
                <w:rFonts w:ascii="Tahoma" w:hAnsi="Tahoma" w:eastAsiaTheme="minorEastAsia" w:cs="Tahoma"/>
                <w:b/>
                <w:bCs/>
                <w:color w:val="0D0D0D" w:themeColor="text1" w:themeTint="F2"/>
                <w:spacing w:val="-12"/>
                <w:sz w:val="26"/>
                <w:szCs w:val="26"/>
                <w:rtl/>
              </w:rPr>
              <w:t xml:space="preserve"> מיליוני ש"ח</w:t>
            </w:r>
            <w:r w:rsidRPr="00664A6F">
              <w:rPr>
                <w:rFonts w:ascii="Tahoma" w:hAnsi="Tahoma" w:cs="Tahoma"/>
                <w:spacing w:val="-10"/>
                <w:sz w:val="26"/>
                <w:szCs w:val="26"/>
                <w:rtl/>
              </w:rPr>
              <w:t xml:space="preserve"> </w:t>
            </w:r>
          </w:p>
        </w:tc>
        <w:tc>
          <w:tcPr>
            <w:tcW w:w="1757" w:type="dxa"/>
            <w:vAlign w:val="bottom"/>
          </w:tcPr>
          <w:p w:rsidR="00CD29D6" w:rsidRPr="00864A2A" w:rsidP="00864A2A" w14:paraId="6113CBED" w14:textId="410D3F78">
            <w:pPr>
              <w:spacing w:before="360" w:line="240" w:lineRule="auto"/>
              <w:jc w:val="left"/>
              <w:rPr>
                <w:rFonts w:ascii="Tahoma" w:hAnsi="Tahoma" w:cs="Tahoma"/>
                <w:spacing w:val="-10"/>
                <w:sz w:val="26"/>
                <w:szCs w:val="26"/>
                <w:rtl/>
              </w:rPr>
            </w:pPr>
            <w:r w:rsidRPr="007F4E99">
              <w:rPr>
                <w:rFonts w:ascii="Tahoma" w:hAnsi="Tahoma" w:eastAsiaTheme="minorEastAsia" w:cs="Tahoma"/>
                <w:b/>
                <w:bCs/>
                <w:color w:val="0D0D0D" w:themeColor="text1" w:themeTint="F2"/>
                <w:spacing w:val="-12"/>
                <w:sz w:val="26"/>
                <w:szCs w:val="26"/>
                <w:rtl/>
              </w:rPr>
              <w:t>כ-</w:t>
            </w:r>
            <w:r w:rsidRPr="00760601">
              <w:rPr>
                <w:rFonts w:ascii="Tahoma" w:hAnsi="Tahoma" w:eastAsiaTheme="minorEastAsia" w:cs="Tahoma"/>
                <w:b/>
                <w:bCs/>
                <w:color w:val="0D0D0D" w:themeColor="text1" w:themeTint="F2"/>
                <w:spacing w:val="-12"/>
                <w:sz w:val="36"/>
                <w:szCs w:val="36"/>
                <w:rtl/>
              </w:rPr>
              <w:t>3%</w:t>
            </w:r>
            <w:r w:rsidRPr="007F4E99">
              <w:rPr>
                <w:rFonts w:ascii="Tahoma" w:hAnsi="Tahoma" w:eastAsiaTheme="minorEastAsia" w:cs="Tahoma"/>
                <w:b/>
                <w:bCs/>
                <w:color w:val="0D0D0D" w:themeColor="text1" w:themeTint="F2"/>
                <w:spacing w:val="-12"/>
                <w:sz w:val="26"/>
                <w:szCs w:val="26"/>
                <w:rtl/>
              </w:rPr>
              <w:t xml:space="preserve"> </w:t>
            </w:r>
            <w:r>
              <w:rPr>
                <w:rFonts w:ascii="Tahoma" w:hAnsi="Tahoma" w:eastAsiaTheme="minorEastAsia" w:cs="Tahoma"/>
                <w:b/>
                <w:bCs/>
                <w:color w:val="0D0D0D" w:themeColor="text1" w:themeTint="F2"/>
                <w:spacing w:val="-12"/>
                <w:sz w:val="26"/>
                <w:szCs w:val="26"/>
                <w:rtl/>
              </w:rPr>
              <w:br/>
            </w:r>
            <w:r w:rsidRPr="007F4E99">
              <w:rPr>
                <w:rFonts w:ascii="Tahoma" w:hAnsi="Tahoma" w:eastAsiaTheme="minorEastAsia" w:cs="Tahoma"/>
                <w:b/>
                <w:bCs/>
                <w:color w:val="0D0D0D" w:themeColor="text1" w:themeTint="F2"/>
                <w:spacing w:val="-12"/>
                <w:sz w:val="26"/>
                <w:szCs w:val="26"/>
                <w:rtl/>
              </w:rPr>
              <w:t>בלבד</w:t>
            </w:r>
          </w:p>
        </w:tc>
        <w:tc>
          <w:tcPr>
            <w:tcW w:w="1844" w:type="dxa"/>
            <w:vAlign w:val="bottom"/>
          </w:tcPr>
          <w:p w:rsidR="00CD29D6" w:rsidRPr="00760601" w:rsidP="00864A2A" w14:paraId="4F8327BA" w14:textId="54D66C80">
            <w:pPr>
              <w:pStyle w:val="2021"/>
              <w:spacing w:before="360"/>
              <w:rPr>
                <w:spacing w:val="-26"/>
                <w:rtl/>
              </w:rPr>
            </w:pPr>
            <w:r w:rsidRPr="00760601">
              <w:rPr>
                <w:spacing w:val="-12"/>
                <w:sz w:val="26"/>
                <w:szCs w:val="26"/>
                <w:rtl/>
              </w:rPr>
              <w:t>כ-</w:t>
            </w:r>
            <w:r w:rsidRPr="00760601">
              <w:rPr>
                <w:spacing w:val="-12"/>
                <w:rtl/>
              </w:rPr>
              <w:t>15</w:t>
            </w:r>
            <w:r>
              <w:rPr>
                <w:spacing w:val="-12"/>
                <w:sz w:val="26"/>
                <w:szCs w:val="26"/>
                <w:rtl/>
              </w:rPr>
              <w:br/>
            </w:r>
            <w:r w:rsidRPr="00760601">
              <w:rPr>
                <w:spacing w:val="-12"/>
                <w:sz w:val="26"/>
                <w:szCs w:val="26"/>
                <w:rtl/>
              </w:rPr>
              <w:t xml:space="preserve">מיליוני ש"ח  </w:t>
            </w:r>
          </w:p>
        </w:tc>
      </w:tr>
      <w:tr w14:paraId="5AD4AD14" w14:textId="77777777" w:rsidTr="00A469C0">
        <w:tblPrEx>
          <w:tblW w:w="7315" w:type="dxa"/>
          <w:tblInd w:w="517" w:type="dxa"/>
          <w:tblLook w:val="04A0"/>
        </w:tblPrEx>
        <w:tc>
          <w:tcPr>
            <w:tcW w:w="1871"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4320"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3" style="flip:x;mso-wrap-distance-bottom:0;mso-wrap-distance-left:9pt;mso-wrap-distance-right:9pt;mso-wrap-distance-top:0;mso-wrap-style:square;position:absolute;visibility:visible;z-index:251705344"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706368"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4" style="flip:x;mso-wrap-distance-bottom:0;mso-wrap-distance-left:9pt;mso-wrap-distance-right:9pt;mso-wrap-distance-top:0;mso-wrap-style:square;position:absolute;visibility:visible;z-index:251707392" from="1.35pt,4.1pt" to="80.1pt,4.1pt" strokecolor="#0d0d0d" strokeweight="1pt"/>
                  </w:pict>
                </mc:Fallback>
              </mc:AlternateContent>
            </w:r>
          </w:p>
        </w:tc>
        <w:tc>
          <w:tcPr>
            <w:tcW w:w="1757"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708416"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5" style="flip:x;mso-wrap-distance-bottom:0;mso-wrap-distance-left:9pt;mso-wrap-distance-right:9pt;mso-wrap-distance-top:0;mso-wrap-style:square;position:absolute;visibility:visible;z-index:251709440"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0464"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6" style="flip:x;mso-wrap-distance-bottom:0;mso-wrap-distance-left:9pt;mso-wrap-distance-right:9pt;mso-wrap-distance-top:0;mso-wrap-style:square;position:absolute;visibility:visible;z-index:251711488" from="2.7pt,4.1pt" to="81.45pt,4.1pt" strokecolor="#0d0d0d" strokeweight="1pt"/>
                  </w:pict>
                </mc:Fallback>
              </mc:AlternateContent>
            </w:r>
          </w:p>
        </w:tc>
      </w:tr>
      <w:tr w14:paraId="7ECC4220" w14:textId="77777777" w:rsidTr="00A469C0">
        <w:tblPrEx>
          <w:tblW w:w="7315" w:type="dxa"/>
          <w:tblInd w:w="517" w:type="dxa"/>
          <w:tblLook w:val="04A0"/>
        </w:tblPrEx>
        <w:tc>
          <w:tcPr>
            <w:tcW w:w="1871" w:type="dxa"/>
          </w:tcPr>
          <w:p w:rsidR="00CD29D6" w:rsidRPr="009A73F6" w:rsidP="007542AC" w14:paraId="5ECF0591" w14:textId="58C136FC">
            <w:pPr>
              <w:pStyle w:val="20211"/>
              <w:rPr>
                <w:rtl/>
              </w:rPr>
            </w:pPr>
            <w:r w:rsidRPr="007F4E99">
              <w:rPr>
                <w:rtl/>
              </w:rPr>
              <w:t xml:space="preserve">סך התקבולים שקיבלה והתשלומים ששילמה </w:t>
            </w:r>
            <w:r w:rsidRPr="007F4E99">
              <w:rPr>
                <w:rtl/>
              </w:rPr>
              <w:t>רמ"י</w:t>
            </w:r>
            <w:r w:rsidRPr="007F4E99">
              <w:rPr>
                <w:rtl/>
              </w:rPr>
              <w:t xml:space="preserve"> בהתאמה בשנים 2019 - 2020</w:t>
            </w:r>
          </w:p>
        </w:tc>
        <w:tc>
          <w:tcPr>
            <w:tcW w:w="1843" w:type="dxa"/>
          </w:tcPr>
          <w:p w:rsidR="00CD29D6" w:rsidP="00864A2A" w14:paraId="12F98877" w14:textId="3D73510C">
            <w:pPr>
              <w:spacing w:line="240" w:lineRule="auto"/>
              <w:ind w:right="23"/>
              <w:jc w:val="left"/>
              <w:rPr>
                <w:rFonts w:ascii="Tahoma" w:hAnsi="Tahoma" w:eastAsiaTheme="minorEastAsia" w:cs="Tahoma"/>
                <w:color w:val="0D0D0D" w:themeColor="text1" w:themeTint="F2"/>
                <w:w w:val="90"/>
                <w:sz w:val="18"/>
                <w:szCs w:val="18"/>
                <w:rtl/>
              </w:rPr>
            </w:pPr>
            <w:r w:rsidRPr="007F4E99">
              <w:rPr>
                <w:rFonts w:ascii="Tahoma" w:hAnsi="Tahoma" w:cs="Tahoma"/>
                <w:sz w:val="18"/>
                <w:szCs w:val="18"/>
                <w:rtl/>
              </w:rPr>
              <w:t xml:space="preserve">התמורה </w:t>
            </w:r>
            <w:r w:rsidRPr="007F4E99">
              <w:rPr>
                <w:rFonts w:ascii="Tahoma" w:hAnsi="Tahoma" w:cs="Tahoma"/>
                <w:sz w:val="18"/>
                <w:szCs w:val="18"/>
                <w:rtl/>
              </w:rPr>
              <w:t>שרמ"י</w:t>
            </w:r>
            <w:r w:rsidRPr="007F4E99">
              <w:rPr>
                <w:rFonts w:ascii="Tahoma" w:hAnsi="Tahoma" w:cs="Tahoma"/>
                <w:sz w:val="18"/>
                <w:szCs w:val="18"/>
                <w:rtl/>
              </w:rPr>
              <w:t xml:space="preserve"> קיבלה בשנים 2018 - 2020 מהקניית בעלות על </w:t>
            </w:r>
            <w:r w:rsidRPr="007F4E99">
              <w:rPr>
                <w:rFonts w:ascii="Tahoma" w:hAnsi="Tahoma" w:cs="Tahoma"/>
                <w:sz w:val="18"/>
                <w:szCs w:val="18"/>
                <w:rtl/>
              </w:rPr>
              <w:br/>
              <w:t>כ-4,000 נכסים שהם כ-3.6% מהנכסים שעליהם הוקנתה בעלות בשנים אלה</w:t>
            </w:r>
          </w:p>
          <w:p w:rsidR="00A469C0" w:rsidRPr="00864A2A" w:rsidP="00864A2A" w14:paraId="47156990" w14:textId="356C3351">
            <w:pPr>
              <w:spacing w:line="240" w:lineRule="auto"/>
              <w:ind w:right="23"/>
              <w:jc w:val="left"/>
              <w:rPr>
                <w:rFonts w:ascii="Tahoma" w:hAnsi="Tahoma" w:eastAsiaTheme="minorEastAsia" w:cs="Tahoma"/>
                <w:color w:val="0D0D0D" w:themeColor="text1" w:themeTint="F2"/>
                <w:w w:val="90"/>
                <w:sz w:val="18"/>
                <w:szCs w:val="18"/>
                <w:rtl/>
              </w:rPr>
            </w:pPr>
          </w:p>
        </w:tc>
        <w:tc>
          <w:tcPr>
            <w:tcW w:w="1757" w:type="dxa"/>
          </w:tcPr>
          <w:p w:rsidR="00CD29D6" w:rsidRPr="00EB223C" w:rsidP="007542AC" w14:paraId="1B7F83A5" w14:textId="79CE8038">
            <w:pPr>
              <w:pStyle w:val="20211"/>
              <w:rPr>
                <w:rtl/>
              </w:rPr>
            </w:pPr>
            <w:r w:rsidRPr="007F4E99">
              <w:rPr>
                <w:rtl/>
              </w:rPr>
              <w:t xml:space="preserve">מעובדי </w:t>
            </w:r>
            <w:r w:rsidRPr="007F4E99">
              <w:rPr>
                <w:rtl/>
              </w:rPr>
              <w:t>רמ"י</w:t>
            </w:r>
            <w:r w:rsidRPr="007F4E99">
              <w:rPr>
                <w:rtl/>
              </w:rPr>
              <w:t xml:space="preserve"> עברו  הדרכה בנושא אתיקה במגזר הציבורי ואתיקה מקצועית של עובד ציבור (30 עובדים מתוך כ-900)</w:t>
            </w:r>
          </w:p>
        </w:tc>
        <w:tc>
          <w:tcPr>
            <w:tcW w:w="1844" w:type="dxa"/>
          </w:tcPr>
          <w:p w:rsidR="00CD29D6" w:rsidRPr="009A73F6" w:rsidP="007542AC" w14:paraId="05EA0B9D" w14:textId="045EA0E3">
            <w:pPr>
              <w:pStyle w:val="20211"/>
              <w:rPr>
                <w:rtl/>
              </w:rPr>
            </w:pPr>
            <w:r w:rsidRPr="007F4E99">
              <w:rPr>
                <w:rtl/>
              </w:rPr>
              <w:t xml:space="preserve">שולמו כ"תוספת רוטציה" בשנים 2013 - 2020 (כ-1.9 מיליון ש"ח בממוצע לשנה) בשכר לעובדים </w:t>
            </w:r>
            <w:r w:rsidRPr="007F4E99">
              <w:rPr>
                <w:rtl/>
              </w:rPr>
              <w:t>ברמ"י</w:t>
            </w:r>
            <w:r w:rsidRPr="007F4E99">
              <w:rPr>
                <w:rtl/>
              </w:rPr>
              <w:t xml:space="preserve"> אף שטרם הוחל ביישום הרוטציה</w:t>
            </w:r>
            <w:r>
              <w:rPr>
                <w:vertAlign w:val="superscript"/>
                <w:rtl/>
              </w:rPr>
              <w:footnoteReference w:id="3"/>
            </w:r>
          </w:p>
        </w:tc>
      </w:tr>
      <w:tr w14:paraId="115EC27C"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760601" w:rsidRPr="00864A2A" w:rsidP="00A469C0" w14:paraId="5A88E868" w14:textId="15863BB0">
            <w:pPr>
              <w:pStyle w:val="2021"/>
              <w:rPr>
                <w:rtl/>
              </w:rPr>
            </w:pPr>
            <w:r>
              <w:rPr>
                <w:rFonts w:hint="cs"/>
                <w:spacing w:val="-12"/>
                <w:sz w:val="26"/>
                <w:szCs w:val="26"/>
                <w:rtl/>
              </w:rPr>
              <w:t>ל</w:t>
            </w:r>
            <w:r>
              <w:rPr>
                <w:rFonts w:hint="cs"/>
                <w:spacing w:val="-12"/>
                <w:sz w:val="26"/>
                <w:szCs w:val="26"/>
                <w:rtl/>
              </w:rPr>
              <w:t>כ</w:t>
            </w:r>
            <w:r>
              <w:rPr>
                <w:rFonts w:hint="cs"/>
                <w:spacing w:val="-12"/>
                <w:sz w:val="26"/>
                <w:szCs w:val="26"/>
                <w:rtl/>
              </w:rPr>
              <w:t>-</w:t>
            </w:r>
            <w:r>
              <w:rPr>
                <w:rFonts w:hint="cs"/>
                <w:rtl/>
              </w:rPr>
              <w:t>150</w:t>
            </w:r>
            <w:r>
              <w:rPr>
                <w:rFonts w:hint="cs"/>
                <w:rtl/>
              </w:rPr>
              <w:t xml:space="preserve"> </w:t>
            </w:r>
          </w:p>
        </w:tc>
        <w:tc>
          <w:tcPr>
            <w:tcW w:w="1843" w:type="dxa"/>
            <w:tcBorders>
              <w:top w:val="nil"/>
              <w:left w:val="nil"/>
              <w:bottom w:val="nil"/>
              <w:right w:val="nil"/>
            </w:tcBorders>
            <w:vAlign w:val="bottom"/>
          </w:tcPr>
          <w:p w:rsidR="00760601" w:rsidRPr="00864A2A" w:rsidP="00A469C0" w14:paraId="5148B4EC" w14:textId="79147110">
            <w:pPr>
              <w:spacing w:before="120" w:line="240" w:lineRule="auto"/>
              <w:jc w:val="left"/>
              <w:rPr>
                <w:rFonts w:ascii="Tahoma" w:hAnsi="Tahoma" w:cs="Tahoma"/>
                <w:spacing w:val="-10"/>
                <w:sz w:val="26"/>
                <w:szCs w:val="26"/>
                <w:rtl/>
              </w:rPr>
            </w:pPr>
            <w:r w:rsidRPr="007F4E99">
              <w:rPr>
                <w:rFonts w:ascii="Tahoma" w:hAnsi="Tahoma" w:eastAsiaTheme="minorEastAsia" w:cs="Tahoma"/>
                <w:b/>
                <w:bCs/>
                <w:color w:val="0D0D0D" w:themeColor="text1" w:themeTint="F2"/>
                <w:spacing w:val="-12"/>
                <w:sz w:val="26"/>
                <w:szCs w:val="26"/>
                <w:rtl/>
              </w:rPr>
              <w:t>כ-</w:t>
            </w:r>
            <w:r w:rsidRPr="00A469C0">
              <w:rPr>
                <w:rFonts w:ascii="Tahoma" w:hAnsi="Tahoma" w:eastAsiaTheme="minorEastAsia" w:cs="Tahoma"/>
                <w:b/>
                <w:bCs/>
                <w:color w:val="0D0D0D" w:themeColor="text1" w:themeTint="F2"/>
                <w:spacing w:val="-12"/>
                <w:sz w:val="36"/>
                <w:szCs w:val="36"/>
                <w:rtl/>
              </w:rPr>
              <w:t>26%</w:t>
            </w:r>
          </w:p>
        </w:tc>
        <w:tc>
          <w:tcPr>
            <w:tcW w:w="1757" w:type="dxa"/>
            <w:tcBorders>
              <w:top w:val="nil"/>
              <w:left w:val="nil"/>
              <w:bottom w:val="nil"/>
              <w:right w:val="nil"/>
            </w:tcBorders>
            <w:vAlign w:val="bottom"/>
          </w:tcPr>
          <w:p w:rsidR="00760601" w:rsidRPr="00864A2A" w:rsidP="00A469C0" w14:paraId="6D51A516" w14:textId="39186162">
            <w:pPr>
              <w:spacing w:before="360" w:line="240" w:lineRule="auto"/>
              <w:jc w:val="left"/>
              <w:rPr>
                <w:rFonts w:ascii="Tahoma" w:hAnsi="Tahoma" w:cs="Tahoma"/>
                <w:spacing w:val="-10"/>
                <w:sz w:val="26"/>
                <w:szCs w:val="26"/>
                <w:rtl/>
              </w:rPr>
            </w:pPr>
            <w:r w:rsidRPr="007F4E99">
              <w:rPr>
                <w:rFonts w:ascii="Tahoma" w:hAnsi="Tahoma" w:eastAsiaTheme="minorEastAsia" w:cs="Tahoma"/>
                <w:b/>
                <w:bCs/>
                <w:color w:val="0D0D0D" w:themeColor="text1" w:themeTint="F2"/>
                <w:spacing w:val="-12"/>
                <w:sz w:val="26"/>
                <w:szCs w:val="26"/>
                <w:rtl/>
              </w:rPr>
              <w:t>כ-</w:t>
            </w:r>
            <w:r>
              <w:rPr>
                <w:rFonts w:ascii="Tahoma" w:hAnsi="Tahoma" w:eastAsiaTheme="minorEastAsia" w:cs="Tahoma" w:hint="cs"/>
                <w:b/>
                <w:bCs/>
                <w:color w:val="0D0D0D" w:themeColor="text1" w:themeTint="F2"/>
                <w:spacing w:val="-12"/>
                <w:sz w:val="36"/>
                <w:szCs w:val="36"/>
                <w:rtl/>
              </w:rPr>
              <w:t>35</w:t>
            </w:r>
            <w:r w:rsidRPr="00A469C0">
              <w:rPr>
                <w:rFonts w:ascii="Tahoma" w:hAnsi="Tahoma" w:eastAsiaTheme="minorEastAsia" w:cs="Tahoma"/>
                <w:b/>
                <w:bCs/>
                <w:color w:val="0D0D0D" w:themeColor="text1" w:themeTint="F2"/>
                <w:spacing w:val="-12"/>
                <w:sz w:val="36"/>
                <w:szCs w:val="36"/>
                <w:rtl/>
              </w:rPr>
              <w:t>%</w:t>
            </w:r>
          </w:p>
        </w:tc>
        <w:tc>
          <w:tcPr>
            <w:tcW w:w="1844" w:type="dxa"/>
            <w:tcBorders>
              <w:top w:val="nil"/>
              <w:left w:val="nil"/>
              <w:bottom w:val="nil"/>
              <w:right w:val="nil"/>
            </w:tcBorders>
            <w:vAlign w:val="bottom"/>
          </w:tcPr>
          <w:p w:rsidR="00760601" w:rsidRPr="00A469C0" w:rsidP="00A469C0" w14:paraId="703737A6" w14:textId="773A315E">
            <w:pPr>
              <w:pStyle w:val="2021"/>
              <w:spacing w:before="360"/>
              <w:rPr>
                <w:spacing w:val="-26"/>
                <w:rtl/>
              </w:rPr>
            </w:pPr>
            <w:r w:rsidRPr="00A469C0">
              <w:rPr>
                <w:spacing w:val="-12"/>
                <w:sz w:val="26"/>
                <w:szCs w:val="26"/>
                <w:rtl/>
              </w:rPr>
              <w:t>כ-</w:t>
            </w:r>
            <w:r>
              <w:rPr>
                <w:rFonts w:hint="cs"/>
                <w:spacing w:val="-12"/>
                <w:rtl/>
              </w:rPr>
              <w:t>16</w:t>
            </w:r>
            <w:r w:rsidRPr="00A469C0">
              <w:rPr>
                <w:spacing w:val="-12"/>
                <w:rtl/>
              </w:rPr>
              <w:t>%</w:t>
            </w:r>
          </w:p>
        </w:tc>
      </w:tr>
      <w:tr w14:paraId="60F510EB"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664A6F" w:rsidP="008B5847" w14:paraId="7B57C72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2512"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7" style="flip:x;mso-wrap-distance-bottom:0;mso-wrap-distance-left:9pt;mso-wrap-distance-right:9pt;mso-wrap-distance-top:0;mso-wrap-style:square;position:absolute;visibility:visible;z-index:251713536" from="0.7pt,4.1pt" to="81.7pt,4.1pt" strokecolor="#0d0d0d" strokeweight="1pt"/>
                  </w:pict>
                </mc:Fallback>
              </mc:AlternateContent>
            </w:r>
          </w:p>
        </w:tc>
        <w:tc>
          <w:tcPr>
            <w:tcW w:w="1843" w:type="dxa"/>
            <w:tcBorders>
              <w:top w:val="nil"/>
              <w:left w:val="nil"/>
              <w:bottom w:val="nil"/>
              <w:right w:val="nil"/>
            </w:tcBorders>
          </w:tcPr>
          <w:p w:rsidR="00760601" w:rsidRPr="00664A6F" w:rsidP="008B5847"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4560"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8" style="flip:x;mso-wrap-distance-bottom:0;mso-wrap-distance-left:9pt;mso-wrap-distance-right:9pt;mso-wrap-distance-top:0;mso-wrap-style:square;position:absolute;visibility:visible;z-index:251715584" from="1.35pt,4.1pt" to="80.1pt,4.1pt" strokecolor="#0d0d0d" strokeweight="1pt"/>
                  </w:pict>
                </mc:Fallback>
              </mc:AlternateContent>
            </w:r>
          </w:p>
        </w:tc>
        <w:tc>
          <w:tcPr>
            <w:tcW w:w="1757" w:type="dxa"/>
            <w:tcBorders>
              <w:top w:val="nil"/>
              <w:left w:val="nil"/>
              <w:bottom w:val="nil"/>
              <w:right w:val="nil"/>
            </w:tcBorders>
          </w:tcPr>
          <w:p w:rsidR="00760601" w:rsidRPr="00664A6F" w:rsidP="008B5847"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6608"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9" style="flip:x;mso-wrap-distance-bottom:0;mso-wrap-distance-left:9pt;mso-wrap-distance-right:9pt;mso-wrap-distance-top:0;mso-wrap-style:square;position:absolute;visibility:visible;z-index:251717632" from="-4pt,4.1pt" to="80pt,4.1pt" strokecolor="#0d0d0d" strokeweight="1pt"/>
                  </w:pict>
                </mc:Fallback>
              </mc:AlternateContent>
            </w:r>
          </w:p>
        </w:tc>
        <w:tc>
          <w:tcPr>
            <w:tcW w:w="1844" w:type="dxa"/>
            <w:tcBorders>
              <w:top w:val="nil"/>
              <w:left w:val="nil"/>
              <w:bottom w:val="nil"/>
              <w:right w:val="nil"/>
            </w:tcBorders>
          </w:tcPr>
          <w:p w:rsidR="00760601" w:rsidRPr="00664A6F" w:rsidP="008B5847" w14:paraId="37CA24D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8656"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0" style="flip:x;mso-wrap-distance-bottom:0;mso-wrap-distance-left:9pt;mso-wrap-distance-right:9pt;mso-wrap-distance-top:0;mso-wrap-style:square;position:absolute;visibility:visible;z-index:251719680" from="2.7pt,4.1pt" to="81.45pt,4.1pt" strokecolor="#0d0d0d" strokeweight="1pt"/>
                  </w:pict>
                </mc:Fallback>
              </mc:AlternateContent>
            </w:r>
          </w:p>
        </w:tc>
      </w:tr>
      <w:tr w14:paraId="0C7068B8"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9A73F6" w:rsidP="008B5847" w14:paraId="3496F105" w14:textId="0BF8FEBF">
            <w:pPr>
              <w:pStyle w:val="20211"/>
              <w:rPr>
                <w:rtl/>
              </w:rPr>
            </w:pPr>
            <w:r w:rsidRPr="00D65A8F">
              <w:rPr>
                <w:sz w:val="19"/>
                <w:szCs w:val="19"/>
                <w:rtl/>
              </w:rPr>
              <w:t xml:space="preserve">עובדי </w:t>
            </w:r>
            <w:r w:rsidRPr="00D65A8F">
              <w:rPr>
                <w:sz w:val="19"/>
                <w:szCs w:val="19"/>
                <w:rtl/>
              </w:rPr>
              <w:t>רמ"י</w:t>
            </w:r>
            <w:r w:rsidRPr="00D65A8F">
              <w:rPr>
                <w:sz w:val="19"/>
                <w:szCs w:val="19"/>
                <w:rtl/>
              </w:rPr>
              <w:t xml:space="preserve"> ניתנו הרשאות למערכת מידע (</w:t>
            </w:r>
            <w:r w:rsidRPr="00D65A8F">
              <w:rPr>
                <w:sz w:val="19"/>
                <w:szCs w:val="19"/>
              </w:rPr>
              <w:t>SAP</w:t>
            </w:r>
            <w:r w:rsidRPr="00D65A8F">
              <w:rPr>
                <w:sz w:val="19"/>
                <w:szCs w:val="19"/>
                <w:rtl/>
              </w:rPr>
              <w:t>) ללא בחינה שיטתית של הצורך בהן לפי הגדרת התפקיד</w:t>
            </w:r>
          </w:p>
        </w:tc>
        <w:tc>
          <w:tcPr>
            <w:tcW w:w="1843" w:type="dxa"/>
            <w:tcBorders>
              <w:top w:val="nil"/>
              <w:left w:val="nil"/>
              <w:bottom w:val="nil"/>
              <w:right w:val="nil"/>
            </w:tcBorders>
          </w:tcPr>
          <w:p w:rsidR="00760601" w:rsidRPr="00864A2A" w:rsidP="008B5847" w14:paraId="1DA92B01" w14:textId="113FD1A3">
            <w:pPr>
              <w:spacing w:line="240" w:lineRule="auto"/>
              <w:ind w:right="23"/>
              <w:jc w:val="left"/>
              <w:rPr>
                <w:rFonts w:ascii="Tahoma" w:hAnsi="Tahoma" w:eastAsiaTheme="minorEastAsia" w:cs="Tahoma"/>
                <w:color w:val="0D0D0D" w:themeColor="text1" w:themeTint="F2"/>
                <w:w w:val="90"/>
                <w:sz w:val="18"/>
                <w:szCs w:val="18"/>
                <w:rtl/>
              </w:rPr>
            </w:pPr>
            <w:r w:rsidRPr="00D65A8F">
              <w:rPr>
                <w:rFonts w:ascii="Tahoma" w:hAnsi="Tahoma" w:cs="Tahoma"/>
                <w:sz w:val="19"/>
                <w:szCs w:val="19"/>
                <w:rtl/>
              </w:rPr>
              <w:t xml:space="preserve">ממפקחי </w:t>
            </w:r>
            <w:r w:rsidRPr="00D65A8F">
              <w:rPr>
                <w:rFonts w:ascii="Tahoma" w:hAnsi="Tahoma" w:cs="Tahoma"/>
                <w:sz w:val="19"/>
                <w:szCs w:val="19"/>
                <w:rtl/>
              </w:rPr>
              <w:t>רמ"י</w:t>
            </w:r>
            <w:r w:rsidRPr="00D65A8F">
              <w:rPr>
                <w:rFonts w:ascii="Tahoma" w:hAnsi="Tahoma" w:cs="Tahoma"/>
                <w:sz w:val="19"/>
                <w:szCs w:val="19"/>
                <w:rtl/>
              </w:rPr>
              <w:t xml:space="preserve"> מפקחים על האזור שבאחריותם ברצף של חמש שנים ומעלה (13 מתוך 51)</w:t>
            </w:r>
          </w:p>
        </w:tc>
        <w:tc>
          <w:tcPr>
            <w:tcW w:w="1757" w:type="dxa"/>
            <w:tcBorders>
              <w:top w:val="nil"/>
              <w:left w:val="nil"/>
              <w:bottom w:val="nil"/>
              <w:right w:val="nil"/>
            </w:tcBorders>
          </w:tcPr>
          <w:p w:rsidR="00760601" w:rsidRPr="00EB223C" w:rsidP="008B5847" w14:paraId="7DE38533" w14:textId="1BCEB4A5">
            <w:pPr>
              <w:pStyle w:val="20211"/>
              <w:rPr>
                <w:rtl/>
              </w:rPr>
            </w:pPr>
            <w:r w:rsidRPr="00D65A8F">
              <w:rPr>
                <w:sz w:val="19"/>
                <w:szCs w:val="19"/>
                <w:rtl/>
              </w:rPr>
              <w:t xml:space="preserve">מהשומות נמצאו בבקרה של אגף השמאות </w:t>
            </w:r>
            <w:r w:rsidRPr="00D65A8F">
              <w:rPr>
                <w:sz w:val="19"/>
                <w:szCs w:val="19"/>
                <w:rtl/>
              </w:rPr>
              <w:t>ברמ"י</w:t>
            </w:r>
            <w:r w:rsidRPr="00D65A8F">
              <w:rPr>
                <w:sz w:val="19"/>
                <w:szCs w:val="19"/>
                <w:rtl/>
              </w:rPr>
              <w:t xml:space="preserve"> כשומות שנדרש לתקנן</w:t>
            </w:r>
          </w:p>
        </w:tc>
        <w:tc>
          <w:tcPr>
            <w:tcW w:w="1844" w:type="dxa"/>
            <w:tcBorders>
              <w:top w:val="nil"/>
              <w:left w:val="nil"/>
              <w:bottom w:val="nil"/>
              <w:right w:val="nil"/>
            </w:tcBorders>
          </w:tcPr>
          <w:p w:rsidR="00760601" w:rsidRPr="009A73F6" w:rsidP="008B5847" w14:paraId="1C79EC71" w14:textId="34399739">
            <w:pPr>
              <w:pStyle w:val="20211"/>
              <w:rPr>
                <w:rtl/>
              </w:rPr>
            </w:pPr>
            <w:r w:rsidRPr="00D65A8F">
              <w:rPr>
                <w:sz w:val="19"/>
                <w:szCs w:val="19"/>
                <w:rtl/>
              </w:rPr>
              <w:t>שיעור הבקרה על העברת זכויות במוקדים לשירות מהיר בשנת 2020, לעומת 25% - שיעור שהוצע במפרט הבקרה</w:t>
            </w:r>
          </w:p>
        </w:tc>
      </w:tr>
    </w:tbl>
    <w:p w:rsidR="00825A14"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1" style="width:372pt;height:3pt;margin-top:7.5pt;margin-left:-4.6pt;mso-height-relative:margin;mso-width-relative:margin;position:absolute;z-index:251672576" coordsize="47244,381">
                <v:line id="Straight Connector 27" o:spid="_x0000_s1042" style="flip:x;mso-wrap-style:square;position:absolute;visibility:visible" from="0,381" to="47244,381" o:connectortype="straight" strokecolor="#0d0d0d" strokeweight="1.5pt"/>
                <v:line id="Straight Connector 28" o:spid="_x0000_s1043"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A469C0" w:rsidP="00A469C0" w14:paraId="5D469DC2" w14:textId="7A1A839B">
      <w:pPr>
        <w:pStyle w:val="7112"/>
        <w:rPr>
          <w:rtl/>
        </w:rPr>
      </w:pPr>
      <w:r w:rsidRPr="00666E99">
        <w:rPr>
          <w:noProof/>
        </w:rPr>
        <w:drawing>
          <wp:anchor distT="0" distB="0" distL="114300" distR="114300" simplePos="0" relativeHeight="251720704" behindDoc="0" locked="0" layoutInCell="1" allowOverlap="1">
            <wp:simplePos x="0" y="0"/>
            <wp:positionH relativeFrom="column">
              <wp:posOffset>4559202</wp:posOffset>
            </wp:positionH>
            <wp:positionV relativeFrom="paragraph">
              <wp:posOffset>58420</wp:posOffset>
            </wp:positionV>
            <wp:extent cx="162000" cy="162000"/>
            <wp:effectExtent l="0" t="0" r="9525" b="952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4E99">
        <w:rPr>
          <w:rtl/>
        </w:rPr>
        <w:t xml:space="preserve">בחודשים פברואר עד ספטמבר 2021 בדק משרד מבקר המדינה את המנגנונים למניעת סיכוני מעילות והונאות </w:t>
      </w:r>
      <w:r w:rsidRPr="007F4E99">
        <w:rPr>
          <w:rtl/>
        </w:rPr>
        <w:t>ברמ"י</w:t>
      </w:r>
      <w:r w:rsidRPr="007F4E99">
        <w:rPr>
          <w:rtl/>
        </w:rPr>
        <w:t>, לרבות הליך ארגוני של ניהול סיכונים הכולל ביצוע סקר סיכונים, קביעת מנגנונים לצמצום הסיכון למעילות והונאות ויישומם. בדיקת השלמה נעשתה באגף שומת מקרקעין שבמשרד המשפטים</w:t>
      </w:r>
      <w:r w:rsidRPr="000E68EF">
        <w:rPr>
          <w:rtl/>
        </w:rPr>
        <w:t>.</w:t>
      </w:r>
    </w:p>
    <w:p w:rsidR="00A469C0" w:rsidP="00A469C0" w14:paraId="0AF5A39A" w14:textId="77777777">
      <w:pPr>
        <w:rPr>
          <w:rFonts w:ascii="Tahoma" w:hAnsi="Tahoma" w:cs="Tahoma"/>
          <w:b/>
          <w:bCs/>
          <w:color w:val="00305F"/>
          <w:sz w:val="32"/>
          <w:szCs w:val="32"/>
          <w:rtl/>
        </w:rPr>
      </w:pPr>
    </w:p>
    <w:p w:rsidR="00A469C0" w:rsidP="00A469C0" w14:paraId="58C31C6E" w14:textId="6CF58DBF">
      <w:pPr>
        <w:rPr>
          <w:rFonts w:ascii="Tahoma" w:hAnsi="Tahoma" w:cs="Tahoma"/>
          <w:b/>
          <w:bCs/>
          <w:color w:val="00305F"/>
          <w:sz w:val="32"/>
          <w:szCs w:val="32"/>
          <w:rtl/>
        </w:rPr>
      </w:pPr>
    </w:p>
    <w:p w:rsidR="00A469C0" w:rsidRPr="00A469C0" w:rsidP="00A469C0" w14:paraId="3CC61AEA" w14:textId="0C92047E">
      <w:pPr>
        <w:rPr>
          <w:rtl/>
        </w:rPr>
        <w:sectPr w:rsidSect="00CD45B7">
          <w:footerReference w:type="even" r:id="rId18"/>
          <w:footerReference w:type="default" r:id="rId19"/>
          <w:headerReference w:type="first" r:id="rId20"/>
          <w:footerReference w:type="first" r:id="rId21"/>
          <w:pgSz w:w="11906" w:h="16838" w:code="9"/>
          <w:pgMar w:top="3062" w:right="2268" w:bottom="2552" w:left="2268" w:header="1134" w:footer="1361" w:gutter="0"/>
          <w:pgNumType w:start="717"/>
          <w:cols w:space="708"/>
          <w:bidi/>
          <w:rtlGutter/>
          <w:docGrid w:linePitch="360"/>
        </w:sectPr>
      </w:pPr>
    </w:p>
    <w:p w:rsidR="0060683C" w:rsidP="00666E99" w14:paraId="3037171D" w14:textId="02630230">
      <w:pPr>
        <w:pStyle w:val="7190"/>
        <w:rPr>
          <w:rtl/>
        </w:rPr>
      </w:pPr>
      <w:r w:rsidRPr="00362C00">
        <w:rPr>
          <w:noProof/>
          <w:rtl/>
        </w:rPr>
        <w:drawing>
          <wp:anchor distT="0" distB="0" distL="114300" distR="114300" simplePos="0" relativeHeight="251673600"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74624"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B22A1" w:rsidRPr="00A25467" w:rsidP="0060683C" w14:textId="0F491AD2">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CB22A1" w:rsidP="0060683C"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75648" strokecolor="white">
                <v:textbox>
                  <w:txbxContent>
                    <w:p w:rsidR="00CB22A1" w:rsidRPr="00A25467" w:rsidP="0060683C" w14:paraId="4C7E868E" w14:textId="0F491AD2">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CB22A1" w:rsidP="0060683C" w14:paraId="2CFCD951" w14:textId="77777777"/>
                  </w:txbxContent>
                </v:textbox>
                <w10:wrap type="square"/>
              </v:shape>
            </w:pict>
          </mc:Fallback>
        </mc:AlternateContent>
      </w:r>
      <w:r w:rsidR="0060683C">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5" style="mso-width-percent:0;mso-width-relative:margin;mso-wrap-distance-bottom:0;mso-wrap-distance-left:9pt;mso-wrap-distance-right:9pt;mso-wrap-distance-top:0;mso-wrap-style:square;position:absolute;visibility:visible;z-index:251677696" from="-2.4pt,4.45pt" to="370.35pt,4.45pt" strokecolor="black" strokeweight="2pt"/>
            </w:pict>
          </mc:Fallback>
        </mc:AlternateContent>
      </w:r>
    </w:p>
    <w:p w:rsidR="00807FA7" w:rsidRPr="00716B1B" w:rsidP="00435D9D" w14:paraId="16C300D3" w14:textId="7CEF2D86">
      <w:pPr>
        <w:pStyle w:val="7112"/>
      </w:pPr>
      <w:r w:rsidRPr="0078031D">
        <w:rPr>
          <w:rStyle w:val="717Char"/>
          <w:rFonts w:hint="cs"/>
          <w:noProof/>
          <w:rtl/>
        </w:rPr>
        <w:drawing>
          <wp:anchor distT="0" distB="3600450" distL="114300" distR="114300" simplePos="0" relativeHeight="251691008"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91446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031D" w:rsidR="00A469C0">
        <w:rPr>
          <w:rStyle w:val="717Char"/>
          <w:rtl/>
        </w:rPr>
        <w:t>מדיניות לניהול סיכונים</w:t>
      </w:r>
      <w:r w:rsidRPr="007F4E99" w:rsidR="00A469C0">
        <w:rPr>
          <w:rtl/>
        </w:rPr>
        <w:t xml:space="preserve"> - </w:t>
      </w:r>
      <w:r w:rsidRPr="007F4E99" w:rsidR="00A469C0">
        <w:rPr>
          <w:rtl/>
        </w:rPr>
        <w:t>רמ"י</w:t>
      </w:r>
      <w:r w:rsidRPr="007F4E99" w:rsidR="00A469C0">
        <w:rPr>
          <w:rtl/>
        </w:rPr>
        <w:t xml:space="preserve"> לא השלימה הליך סדור של גיבוש מדיניות כלל-ארגונית לניהול סיכונים תפעוליים. הגם </w:t>
      </w:r>
      <w:r w:rsidRPr="007F4E99" w:rsidR="00A469C0">
        <w:rPr>
          <w:rtl/>
        </w:rPr>
        <w:t>שרמ"י</w:t>
      </w:r>
      <w:r w:rsidRPr="007F4E99" w:rsidR="00A469C0">
        <w:rPr>
          <w:rtl/>
        </w:rPr>
        <w:t xml:space="preserve"> החלה בתהליך של גיבוש מדיניות לניהול סיכונים וביצעה סקר סיכונים ו-14 מפרטי בקרה שהתמקדו בתהליכי העבודה המהותיים - ההליך לא הושלם: </w:t>
      </w:r>
      <w:r w:rsidRPr="007F4E99" w:rsidR="00A469C0">
        <w:rPr>
          <w:rtl/>
        </w:rPr>
        <w:t>רמ"י</w:t>
      </w:r>
      <w:r w:rsidRPr="007F4E99" w:rsidR="00A469C0">
        <w:rPr>
          <w:rtl/>
        </w:rPr>
        <w:t xml:space="preserve"> לא אישרה את סקר הסיכונים שבוצע ולא עדכנה אותו באופן שוטף; לא גיבשה תוכנית להפחתת הסיכונים; לא ביצעה את הבקרות שהיא תכננה לבצע בתוכנית הבקרה הרב-שנתית שהכינה ולא הקימה את יחידת הבקרה שהיא קבעה שתקים. כמו כן במועד סיום הביקורת לא מונה </w:t>
      </w:r>
      <w:r w:rsidRPr="007F4E99" w:rsidR="00A469C0">
        <w:rPr>
          <w:rtl/>
        </w:rPr>
        <w:t>ברמ"י</w:t>
      </w:r>
      <w:r w:rsidRPr="007F4E99" w:rsidR="00A469C0">
        <w:rPr>
          <w:rtl/>
        </w:rPr>
        <w:t xml:space="preserve"> מנהל סיכונים תפעוליים. עוד עלה כי מועצת מקרקעי ישראל (המועצה) לא דנה בשש השנים האחרונות (2016 - 2021) בנושא ניהול הסיכונים </w:t>
      </w:r>
      <w:r w:rsidRPr="007F4E99" w:rsidR="00A469C0">
        <w:rPr>
          <w:rtl/>
        </w:rPr>
        <w:t>ברמ"י</w:t>
      </w:r>
      <w:r w:rsidRPr="00716B1B">
        <w:rPr>
          <w:rtl/>
        </w:rPr>
        <w:t>.</w:t>
      </w:r>
    </w:p>
    <w:p w:rsidR="00BD206C" w:rsidRPr="00951B96" w:rsidP="00BD206C" w14:paraId="0EC592AB" w14:textId="65469CA4">
      <w:pPr>
        <w:pStyle w:val="ListParagraph"/>
        <w:spacing w:after="120" w:line="288" w:lineRule="auto"/>
        <w:ind w:left="454"/>
        <w:contextualSpacing w:val="0"/>
        <w:rPr>
          <w:rFonts w:ascii="Tahoma" w:hAnsi="Tahoma" w:cs="Tahoma"/>
          <w:color w:val="0D0D0D" w:themeColor="text1" w:themeTint="F2"/>
          <w:sz w:val="18"/>
          <w:szCs w:val="18"/>
        </w:rPr>
      </w:pPr>
      <w:r w:rsidRPr="0078031D">
        <w:rPr>
          <w:rStyle w:val="717Char0"/>
          <w:rFonts w:hint="cs"/>
          <w:noProof/>
          <w:rtl/>
        </w:rPr>
        <w:drawing>
          <wp:anchor distT="0" distB="3600450" distL="114300" distR="114300" simplePos="0" relativeHeight="25169203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1710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031D" w:rsidR="00A469C0">
        <w:rPr>
          <w:rStyle w:val="717Char0"/>
          <w:rtl/>
        </w:rPr>
        <w:t>מנגנוני בקרה מגלה ומיכון תהליכים</w:t>
      </w:r>
      <w:r w:rsidRPr="007F4E99" w:rsidR="00A469C0">
        <w:rPr>
          <w:rFonts w:ascii="Tahoma" w:hAnsi="Tahoma" w:cs="Tahoma"/>
          <w:color w:val="0D0D0D" w:themeColor="text1" w:themeTint="F2"/>
          <w:sz w:val="18"/>
          <w:szCs w:val="18"/>
          <w:rtl/>
        </w:rPr>
        <w:t xml:space="preserve"> - אף על פי שמערכות המידע מאפשרות לבחון ולבקר באופן שיטתי פעולות שבוצעו במרחבים, מנהלי המרחבים אינם מבצעים בקרות יזומות על בסיס דוחות חכמים וגם לא נעשה שימוש בהתראות מערכת. בפועל, הבקרה של מנהלי המרחבים על עסקאות מבוצעת "אד הוק", רק על עסקאות מסוימות שנדונות בפניהם או שמובאות לידיעתם. כמו כן </w:t>
      </w:r>
      <w:r w:rsidRPr="007F4E99" w:rsidR="00A469C0">
        <w:rPr>
          <w:rFonts w:ascii="Tahoma" w:hAnsi="Tahoma" w:cs="Tahoma"/>
          <w:color w:val="0D0D0D" w:themeColor="text1" w:themeTint="F2"/>
          <w:sz w:val="18"/>
          <w:szCs w:val="18"/>
          <w:rtl/>
        </w:rPr>
        <w:t>רמ"י</w:t>
      </w:r>
      <w:r w:rsidRPr="007F4E99" w:rsidR="00A469C0">
        <w:rPr>
          <w:rFonts w:ascii="Tahoma" w:hAnsi="Tahoma" w:cs="Tahoma"/>
          <w:color w:val="0D0D0D" w:themeColor="text1" w:themeTint="F2"/>
          <w:sz w:val="18"/>
          <w:szCs w:val="18"/>
          <w:rtl/>
        </w:rPr>
        <w:t xml:space="preserve"> לא העבירה תהליכים מביצוע ידני לביצוע אוטומטי (ממוכן) בהליך פדיון קרקע חקלאית (מתחילת שנת 2019 ועד למועד סיום הביקורת </w:t>
      </w:r>
      <w:r w:rsidRPr="007F4E99" w:rsidR="00A469C0">
        <w:rPr>
          <w:rFonts w:ascii="Tahoma" w:hAnsi="Tahoma" w:cs="Tahoma"/>
          <w:color w:val="0D0D0D" w:themeColor="text1" w:themeTint="F2"/>
          <w:sz w:val="18"/>
          <w:szCs w:val="18"/>
          <w:rtl/>
        </w:rPr>
        <w:t>רמ"י</w:t>
      </w:r>
      <w:r w:rsidRPr="007F4E99" w:rsidR="00A469C0">
        <w:rPr>
          <w:rFonts w:ascii="Tahoma" w:hAnsi="Tahoma" w:cs="Tahoma"/>
          <w:color w:val="0D0D0D" w:themeColor="text1" w:themeTint="F2"/>
          <w:sz w:val="18"/>
          <w:szCs w:val="18"/>
          <w:rtl/>
        </w:rPr>
        <w:t xml:space="preserve"> הסכימה לשלם במסגרת הסכמי השבה לפדיון קרקע חקלאית שעליהם היא חתמה פיצויים בסך כ-370 מיליון ש"ח</w:t>
      </w:r>
      <w:r w:rsidRPr="00951B96">
        <w:rPr>
          <w:rFonts w:ascii="Tahoma" w:hAnsi="Tahoma" w:cs="Tahoma" w:hint="cs"/>
          <w:color w:val="0D0D0D" w:themeColor="text1" w:themeTint="F2"/>
          <w:sz w:val="18"/>
          <w:szCs w:val="18"/>
          <w:rtl/>
        </w:rPr>
        <w:t>)</w:t>
      </w:r>
      <w:r w:rsidRPr="00951B96">
        <w:rPr>
          <w:rFonts w:ascii="Tahoma" w:hAnsi="Tahoma" w:cs="Tahoma"/>
          <w:color w:val="0D0D0D" w:themeColor="text1" w:themeTint="F2"/>
          <w:sz w:val="18"/>
          <w:szCs w:val="18"/>
          <w:rtl/>
        </w:rPr>
        <w:t xml:space="preserve">. </w:t>
      </w:r>
    </w:p>
    <w:p w:rsidR="00807FA7" w:rsidRPr="00903496" w:rsidP="00435D9D" w14:paraId="6677F661" w14:textId="38DAE409">
      <w:pPr>
        <w:pStyle w:val="7112"/>
      </w:pPr>
      <w:r w:rsidRPr="0078031D">
        <w:rPr>
          <w:rStyle w:val="717Char0"/>
          <w:rFonts w:hint="cs"/>
          <w:noProof/>
          <w:rtl/>
        </w:rPr>
        <w:drawing>
          <wp:anchor distT="0" distB="3600450" distL="114300" distR="114300" simplePos="0" relativeHeight="251693056"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639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031D" w:rsidR="00A469C0">
        <w:rPr>
          <w:rStyle w:val="717Char0"/>
          <w:rtl/>
        </w:rPr>
        <w:t>מניעת ניגוד עניינים</w:t>
      </w:r>
      <w:r w:rsidRPr="007F4E99" w:rsidR="00A469C0">
        <w:rPr>
          <w:rtl/>
        </w:rPr>
        <w:t xml:space="preserve"> - מבין 122 עובדים </w:t>
      </w:r>
      <w:r w:rsidRPr="007F4E99" w:rsidR="00A469C0">
        <w:rPr>
          <w:rtl/>
        </w:rPr>
        <w:t>שרמ"י</w:t>
      </w:r>
      <w:r w:rsidRPr="007F4E99" w:rsidR="00A469C0">
        <w:rPr>
          <w:rtl/>
        </w:rPr>
        <w:t xml:space="preserve"> החילה עליהם את הכללים לבחינת צורך בעריכת הסדר ניגוד עניינים, 102 עובדים חתמו על הסדר למניעת ניגוד עניינים (או שלאחר בדיקה </w:t>
      </w:r>
      <w:r w:rsidRPr="007F4E99" w:rsidR="00A469C0">
        <w:rPr>
          <w:rtl/>
        </w:rPr>
        <w:t>רמ"י</w:t>
      </w:r>
      <w:r w:rsidRPr="007F4E99" w:rsidR="00A469C0">
        <w:rPr>
          <w:rtl/>
        </w:rPr>
        <w:t xml:space="preserve"> החליטה שאין צורך בכך) ו-19 עובדים מילאו את השאלון, אולם במועד סיום הביקורת טרם נערך איתם הסדר למניעת ניגוד עניינים, אף </w:t>
      </w:r>
      <w:r w:rsidRPr="007F4E99" w:rsidR="00A469C0">
        <w:rPr>
          <w:rtl/>
        </w:rPr>
        <w:t>שרמ"י</w:t>
      </w:r>
      <w:r w:rsidRPr="007F4E99" w:rsidR="00A469C0">
        <w:rPr>
          <w:rtl/>
        </w:rPr>
        <w:t xml:space="preserve"> לא קבעה שאין בכך צורך. כמו כן, על אף הנקבע בהוראות </w:t>
      </w:r>
      <w:r w:rsidRPr="007F4E99" w:rsidR="00A469C0">
        <w:rPr>
          <w:rtl/>
        </w:rPr>
        <w:t>התכ"ם</w:t>
      </w:r>
      <w:r w:rsidRPr="007F4E99" w:rsidR="00A469C0">
        <w:rPr>
          <w:rtl/>
        </w:rPr>
        <w:t xml:space="preserve">, חברי ועדת המכרזים </w:t>
      </w:r>
      <w:r w:rsidRPr="007F4E99" w:rsidR="00A469C0">
        <w:rPr>
          <w:rtl/>
        </w:rPr>
        <w:t>ברמ"י</w:t>
      </w:r>
      <w:r w:rsidRPr="007F4E99" w:rsidR="00A469C0">
        <w:rPr>
          <w:rtl/>
        </w:rPr>
        <w:t xml:space="preserve"> אינם נדרשים לחתום על ריענון הצהרה להיעדר ניגוד עניינים אחת לשנה, והם גם לא נדרשים לחתום על הצהרה להיעדר ניגוד עניינים בעת מינויָם לוועדה</w:t>
      </w:r>
      <w:r w:rsidRPr="00E12644" w:rsidR="00435D9D">
        <w:rPr>
          <w:rtl/>
        </w:rPr>
        <w:t>.</w:t>
      </w:r>
    </w:p>
    <w:p w:rsidR="00807FA7" w:rsidP="00435D9D" w14:paraId="2333DA1B" w14:textId="48A5120D">
      <w:pPr>
        <w:pStyle w:val="7112"/>
        <w:rPr>
          <w:rtl/>
        </w:rPr>
      </w:pPr>
      <w:r w:rsidRPr="0078031D">
        <w:rPr>
          <w:rStyle w:val="717Char0"/>
          <w:rFonts w:hint="cs"/>
          <w:noProof/>
          <w:rtl/>
        </w:rPr>
        <w:drawing>
          <wp:anchor distT="0" distB="3600450" distL="114300" distR="114300" simplePos="0" relativeHeight="251694080"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9262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031D" w:rsidR="00A469C0">
        <w:rPr>
          <w:rStyle w:val="717Char0"/>
          <w:rtl/>
        </w:rPr>
        <w:t>מנגנונים כלל</w:t>
      </w:r>
      <w:r w:rsidRPr="0078031D" w:rsidR="00A469C0">
        <w:rPr>
          <w:rStyle w:val="717Char0"/>
          <w:rFonts w:hint="cs"/>
          <w:rtl/>
        </w:rPr>
        <w:t>-</w:t>
      </w:r>
      <w:r w:rsidRPr="0078031D" w:rsidR="00A469C0">
        <w:rPr>
          <w:rStyle w:val="717Char0"/>
          <w:rtl/>
        </w:rPr>
        <w:t>ארגוניים למניעת מעילות והונאות</w:t>
      </w:r>
      <w:r w:rsidRPr="007F4E99" w:rsidR="00A469C0">
        <w:rPr>
          <w:rtl/>
        </w:rPr>
        <w:t xml:space="preserve"> - נמצא כי </w:t>
      </w:r>
      <w:r w:rsidRPr="007F4E99" w:rsidR="00A469C0">
        <w:rPr>
          <w:rtl/>
        </w:rPr>
        <w:t>ברמ"י</w:t>
      </w:r>
      <w:r w:rsidRPr="007F4E99" w:rsidR="00A469C0">
        <w:rPr>
          <w:rtl/>
        </w:rPr>
        <w:t xml:space="preserve"> חסרים שורה של מנגנונים למניעת מעילות והונאות: </w:t>
      </w:r>
      <w:r w:rsidRPr="007F4E99" w:rsidR="00A469C0">
        <w:rPr>
          <w:rtl/>
        </w:rPr>
        <w:t>רמ"י</w:t>
      </w:r>
      <w:r w:rsidRPr="007F4E99" w:rsidR="00A469C0">
        <w:rPr>
          <w:rtl/>
        </w:rPr>
        <w:t xml:space="preserve"> עדיין לא יישמה בפועל את נוהל סבב התפקידים ועובדים </w:t>
      </w:r>
      <w:r w:rsidRPr="007F4E99" w:rsidR="00A469C0">
        <w:rPr>
          <w:rtl/>
        </w:rPr>
        <w:t>ברמ"י</w:t>
      </w:r>
      <w:r w:rsidRPr="007F4E99" w:rsidR="00A469C0">
        <w:rPr>
          <w:rtl/>
        </w:rPr>
        <w:t xml:space="preserve"> שעליהם חל הנוהל טרם עברו לתפקידים אחרים במסגרת סבב התפקידים; לא נקבע נוהל לטיפול בתקבולים; לא הוגדרו משרות שעבורן נדרשים המועמדים לבצע מבחני יושרה ואמינות; טרם גובש קוד אתי לכלל הארגון; </w:t>
      </w:r>
      <w:r w:rsidRPr="007F4E99" w:rsidR="00A469C0">
        <w:rPr>
          <w:rtl/>
        </w:rPr>
        <w:t>רמ"י</w:t>
      </w:r>
      <w:r w:rsidRPr="007F4E99" w:rsidR="00A469C0">
        <w:rPr>
          <w:rtl/>
        </w:rPr>
        <w:t xml:space="preserve"> אינה מפעילה מנגנון לקבלת דיווחים אנונימיים מתוך הארגון או מחוץ לו על אי-סדרים בארגון עצמו; </w:t>
      </w:r>
      <w:r w:rsidRPr="007F4E99" w:rsidR="00A469C0">
        <w:rPr>
          <w:rtl/>
        </w:rPr>
        <w:t>רמ"י</w:t>
      </w:r>
      <w:r w:rsidRPr="007F4E99" w:rsidR="00A469C0">
        <w:rPr>
          <w:rtl/>
        </w:rPr>
        <w:t xml:space="preserve"> לא הקימה מנגנון הפקת לקחים ממקרים של מעילות והונאות ובכלל זה מהכשלים בבקרות </w:t>
      </w:r>
      <w:r w:rsidRPr="007F4E99" w:rsidR="00A469C0">
        <w:rPr>
          <w:rtl/>
        </w:rPr>
        <w:t>שאיפשרו</w:t>
      </w:r>
      <w:r w:rsidRPr="007F4E99" w:rsidR="00A469C0">
        <w:rPr>
          <w:rtl/>
        </w:rPr>
        <w:t xml:space="preserve"> את התרחשותם</w:t>
      </w:r>
      <w:r w:rsidRPr="00903496">
        <w:rPr>
          <w:rtl/>
        </w:rPr>
        <w:t>.</w:t>
      </w:r>
    </w:p>
    <w:p w:rsidR="008A3BCC" w:rsidRPr="00903496" w:rsidP="00435D9D" w14:paraId="7FB263E5" w14:textId="77777777">
      <w:pPr>
        <w:pStyle w:val="7112"/>
      </w:pPr>
    </w:p>
    <w:p w:rsidR="00807FA7" w:rsidRPr="00C80B25" w:rsidP="00435D9D" w14:paraId="174302BF" w14:textId="0A914427">
      <w:pPr>
        <w:pStyle w:val="7112"/>
      </w:pPr>
      <w:r w:rsidRPr="0078031D">
        <w:rPr>
          <w:rStyle w:val="717Char0"/>
          <w:rFonts w:hint="cs"/>
          <w:noProof/>
          <w:rtl/>
        </w:rPr>
        <w:drawing>
          <wp:anchor distT="0" distB="3600450" distL="114300" distR="114300" simplePos="0" relativeHeight="251695104"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9198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031D" w:rsidR="00A469C0">
        <w:rPr>
          <w:rStyle w:val="717Char0"/>
          <w:rtl/>
        </w:rPr>
        <w:t>רוטציה בחטיבת השמירה</w:t>
      </w:r>
      <w:r w:rsidRPr="007F4E99" w:rsidR="00A469C0">
        <w:rPr>
          <w:rtl/>
        </w:rPr>
        <w:t xml:space="preserve"> - תפקיד המפקח בחטיבת השמירה </w:t>
      </w:r>
      <w:r w:rsidRPr="007F4E99" w:rsidR="00A469C0">
        <w:rPr>
          <w:rtl/>
        </w:rPr>
        <w:t>ברמ"י</w:t>
      </w:r>
      <w:r w:rsidRPr="007F4E99" w:rsidR="00A469C0">
        <w:rPr>
          <w:rtl/>
        </w:rPr>
        <w:t xml:space="preserve"> הוא תפקיד אכיפה בעל רגישות מיוחדת ומשמש "כעיניים" של </w:t>
      </w:r>
      <w:r w:rsidRPr="007F4E99" w:rsidR="00A469C0">
        <w:rPr>
          <w:rtl/>
        </w:rPr>
        <w:t>רמ"י</w:t>
      </w:r>
      <w:r w:rsidRPr="007F4E99" w:rsidR="00A469C0">
        <w:rPr>
          <w:rtl/>
        </w:rPr>
        <w:t xml:space="preserve"> בשטח. עלה כי מתוך 51 מפקחים בכל מרחבי השמירה שבתקופת הביקורת היה אזור פיקוח באחריותם, 13 (כ-26%) פיקחו על האזור באחריותם חמש שנים ומעלה, שישה מהם (12%) פיקחו על האזור באחריותם שבע שנים ומעלה. יצוין כי על פי נוהל הרוטציה, תקופת הכהונה באותו תפקיד של עובד בסבב תפקידים תהיה חמש שנים וכי שולמו בשכר לעובדים בכלל </w:t>
      </w:r>
      <w:r w:rsidRPr="007F4E99" w:rsidR="00A469C0">
        <w:rPr>
          <w:rtl/>
        </w:rPr>
        <w:t>רמ"י</w:t>
      </w:r>
      <w:r w:rsidRPr="007F4E99" w:rsidR="00A469C0">
        <w:rPr>
          <w:rtl/>
        </w:rPr>
        <w:t xml:space="preserve"> כ-15 מיליון ש"ח בשנים 2013 - 2020 כ"תוספת רוטציה" (כ-1.9 מיליון ש"ח בממוצע לשנה) על אף שטרם יישמה בפועל את נוהל הרוטציה</w:t>
      </w:r>
      <w:r w:rsidR="00435D9D">
        <w:rPr>
          <w:rFonts w:hint="cs"/>
          <w:rtl/>
        </w:rPr>
        <w:t>.</w:t>
      </w:r>
    </w:p>
    <w:p w:rsidR="00807FA7" w:rsidRPr="0069093D" w:rsidP="00435D9D" w14:paraId="561444B7" w14:textId="2A99933E">
      <w:pPr>
        <w:pStyle w:val="7112"/>
      </w:pPr>
      <w:r w:rsidRPr="0078031D">
        <w:rPr>
          <w:rStyle w:val="71Char9"/>
          <w:rFonts w:hint="cs"/>
          <w:noProof/>
          <w:rtl/>
        </w:rPr>
        <w:drawing>
          <wp:anchor distT="0" distB="3600450" distL="114300" distR="114300" simplePos="0" relativeHeight="251696128" behindDoc="0" locked="0" layoutInCell="1" allowOverlap="1">
            <wp:simplePos x="0" y="0"/>
            <wp:positionH relativeFrom="column">
              <wp:posOffset>4547919</wp:posOffset>
            </wp:positionH>
            <wp:positionV relativeFrom="paragraph">
              <wp:posOffset>43180</wp:posOffset>
            </wp:positionV>
            <wp:extent cx="161925" cy="1619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7174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031D" w:rsidR="00A469C0">
        <w:rPr>
          <w:rStyle w:val="71Char9"/>
          <w:rtl/>
        </w:rPr>
        <w:t xml:space="preserve">מנגנונים למניעת מעילות והונאות בתחום מערכות </w:t>
      </w:r>
      <w:r w:rsidRPr="00452415" w:rsidR="00A469C0">
        <w:rPr>
          <w:rStyle w:val="71Char9"/>
          <w:rtl/>
        </w:rPr>
        <w:t>המידע</w:t>
      </w:r>
      <w:r w:rsidRPr="00452415" w:rsidR="00A469C0">
        <w:rPr>
          <w:b/>
          <w:bCs/>
          <w:rtl/>
        </w:rPr>
        <w:t xml:space="preserve"> - ניהול הרשאות</w:t>
      </w:r>
      <w:r w:rsidRPr="007F4E99" w:rsidR="00A469C0">
        <w:rPr>
          <w:rtl/>
        </w:rPr>
        <w:t xml:space="preserve"> - </w:t>
      </w:r>
      <w:r w:rsidRPr="007F4E99" w:rsidR="00A469C0">
        <w:rPr>
          <w:rtl/>
        </w:rPr>
        <w:t>רמ"י</w:t>
      </w:r>
      <w:r w:rsidRPr="007F4E99" w:rsidR="00A469C0">
        <w:rPr>
          <w:rtl/>
        </w:rPr>
        <w:t xml:space="preserve"> גיבשה "מטריצת הרשאות על פי תפקיד", כדי שההרשאות יינתנו במערכת באופן שיטתי ומובנה לפי המבנה הארגוני ותפקיד העובד, אולם עלה כי ניתנו הרשאות למערכת מידע (</w:t>
      </w:r>
      <w:r w:rsidRPr="007F4E99" w:rsidR="00A469C0">
        <w:t>SAP</w:t>
      </w:r>
      <w:r w:rsidRPr="007F4E99" w:rsidR="00A469C0">
        <w:rPr>
          <w:rtl/>
        </w:rPr>
        <w:t xml:space="preserve">) </w:t>
      </w:r>
      <w:r w:rsidRPr="007F4E99" w:rsidR="00A469C0">
        <w:rPr>
          <w:rtl/>
        </w:rPr>
        <w:t>לכ</w:t>
      </w:r>
      <w:r w:rsidRPr="007F4E99" w:rsidR="00A469C0">
        <w:rPr>
          <w:rtl/>
        </w:rPr>
        <w:t xml:space="preserve">-150 עובדים ללא בחינה שיטתית של הצורך בהן לפי הגדרת התפקיד. עוד עלה כי מתוך כ-350 עובדים שהעסקתם </w:t>
      </w:r>
      <w:r w:rsidRPr="007F4E99" w:rsidR="00A469C0">
        <w:rPr>
          <w:rtl/>
        </w:rPr>
        <w:t>ברמ"י</w:t>
      </w:r>
      <w:r w:rsidRPr="007F4E99" w:rsidR="00A469C0">
        <w:rPr>
          <w:rtl/>
        </w:rPr>
        <w:t xml:space="preserve"> הסתיימה בין ינואר 2018 ליוני 2021, נותרו תשעה עובדים במועד הביקורת בעלי הרשאות גישה למערכות מידע של </w:t>
      </w:r>
      <w:r w:rsidRPr="007F4E99" w:rsidR="00A469C0">
        <w:rPr>
          <w:rtl/>
        </w:rPr>
        <w:t>רמ"י</w:t>
      </w:r>
      <w:r>
        <w:rPr>
          <w:rtl/>
        </w:rPr>
        <w:t>.</w:t>
      </w:r>
    </w:p>
    <w:p w:rsidR="00A469C0" w:rsidRPr="007F4E99" w:rsidP="00A469C0" w14:paraId="6D2CE2AB" w14:textId="49C6DB28">
      <w:pPr>
        <w:spacing w:line="288" w:lineRule="auto"/>
        <w:ind w:left="-1"/>
        <w:rPr>
          <w:rFonts w:ascii="Tahoma" w:hAnsi="Tahoma" w:cs="Tahoma"/>
          <w:color w:val="0D0D0D" w:themeColor="text1" w:themeTint="F2"/>
          <w:sz w:val="18"/>
          <w:szCs w:val="18"/>
        </w:rPr>
      </w:pPr>
      <w:r w:rsidRPr="0078031D">
        <w:rPr>
          <w:rStyle w:val="71Char9"/>
          <w:rFonts w:hint="cs"/>
          <w:noProof/>
          <w:rtl/>
        </w:rPr>
        <w:drawing>
          <wp:anchor distT="0" distB="3600450" distL="114300" distR="114300" simplePos="0" relativeHeight="251697152"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0518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8031D">
        <w:rPr>
          <w:rStyle w:val="71Char9"/>
          <w:rtl/>
        </w:rPr>
        <w:t>מנגנוני בקרה על ביצוע שומות</w:t>
      </w:r>
      <w:r w:rsidRPr="007F4E99">
        <w:rPr>
          <w:rFonts w:ascii="Tahoma" w:hAnsi="Tahoma" w:cs="Tahoma"/>
          <w:color w:val="0D0D0D" w:themeColor="text1" w:themeTint="F2"/>
          <w:sz w:val="18"/>
          <w:szCs w:val="18"/>
          <w:rtl/>
        </w:rPr>
        <w:t xml:space="preserve"> - אגף השמאות </w:t>
      </w:r>
      <w:r w:rsidRPr="007F4E99">
        <w:rPr>
          <w:rFonts w:ascii="Tahoma" w:hAnsi="Tahoma" w:cs="Tahoma"/>
          <w:color w:val="0D0D0D" w:themeColor="text1" w:themeTint="F2"/>
          <w:sz w:val="18"/>
          <w:szCs w:val="18"/>
          <w:rtl/>
        </w:rPr>
        <w:t>ברמ"י</w:t>
      </w:r>
      <w:r w:rsidRPr="007F4E99">
        <w:rPr>
          <w:rFonts w:ascii="Tahoma" w:hAnsi="Tahoma" w:cs="Tahoma"/>
          <w:color w:val="0D0D0D" w:themeColor="text1" w:themeTint="F2"/>
          <w:sz w:val="18"/>
          <w:szCs w:val="18"/>
          <w:rtl/>
        </w:rPr>
        <w:t xml:space="preserve"> לא קבע נוהל בדבר אופן ביצוע הבקרות על השומות במרחבים. עוד עלה כי שיעור השומות שנמצאו בבקרה של אגף השמאות כשומות שנדרש לתקנן עמד על כ-35%.</w:t>
      </w:r>
    </w:p>
    <w:p w:rsidR="000D7EB1" w:rsidRPr="00C74181" w:rsidP="004B5F7A" w14:paraId="5D1E623C" w14:textId="6CD2645F">
      <w:pPr>
        <w:pStyle w:val="217"/>
        <w:ind w:left="0"/>
        <w:rPr>
          <w:rtl/>
        </w:rPr>
      </w:pPr>
      <w:r w:rsidRPr="00362C00">
        <w:rPr>
          <w:rFonts w:hint="cs"/>
          <w:noProof/>
          <w:sz w:val="19"/>
          <w:szCs w:val="19"/>
          <w:rtl/>
        </w:rPr>
        <w:drawing>
          <wp:anchor distT="0" distB="0" distL="114300" distR="114300" simplePos="0" relativeHeight="251721728" behindDoc="0" locked="0" layoutInCell="1" allowOverlap="1">
            <wp:simplePos x="0" y="0"/>
            <wp:positionH relativeFrom="column">
              <wp:posOffset>2047924</wp:posOffset>
            </wp:positionH>
            <wp:positionV relativeFrom="paragraph">
              <wp:posOffset>173990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8A3BCC" w:rsidP="00A469C0" w14:paraId="7B6C4028" w14:textId="0C093095">
      <w:pPr>
        <w:pStyle w:val="7112"/>
        <w:spacing w:before="360" w:after="360"/>
        <w:rPr>
          <w:rtl/>
        </w:rPr>
      </w:pPr>
      <w:r w:rsidRPr="0078031D">
        <w:rPr>
          <w:rStyle w:val="717Char0"/>
          <w:rtl/>
        </w:rPr>
        <w:t>מבדקים בנושא אבטחת מידע</w:t>
      </w:r>
      <w:r w:rsidRPr="007F4E99">
        <w:rPr>
          <w:rtl/>
        </w:rPr>
        <w:t xml:space="preserve"> - </w:t>
      </w:r>
      <w:r w:rsidRPr="007F4E99">
        <w:rPr>
          <w:rtl/>
        </w:rPr>
        <w:t>רמ"י</w:t>
      </w:r>
      <w:r w:rsidRPr="007F4E99">
        <w:rPr>
          <w:rtl/>
        </w:rPr>
        <w:t xml:space="preserve"> ביצעה מבדקים למרבית עובדיה, במטרה לוודא הטמעה ויישום של הדרכותיה בנושא אבטחת מידע</w:t>
      </w:r>
      <w:r w:rsidRPr="00386D6B" w:rsidR="004149D5">
        <w:rPr>
          <w:rtl/>
        </w:rPr>
        <w:t>.</w:t>
      </w:r>
    </w:p>
    <w:p w:rsidR="008A3BCC" w14:paraId="579989D0" w14:textId="77777777">
      <w:pPr>
        <w:bidi w:val="0"/>
        <w:spacing w:after="200" w:line="276" w:lineRule="auto"/>
        <w:rPr>
          <w:rFonts w:ascii="Tahoma" w:hAnsi="Tahoma" w:cs="Tahoma"/>
          <w:color w:val="0D0D0D" w:themeColor="text1" w:themeTint="F2"/>
          <w:sz w:val="18"/>
          <w:szCs w:val="18"/>
          <w:rtl/>
        </w:rPr>
      </w:pPr>
      <w:r>
        <w:rPr>
          <w:rtl/>
        </w:rPr>
        <w:br w:type="page"/>
      </w:r>
    </w:p>
    <w:p w:rsidR="003A3978" w:rsidRPr="003A3978" w:rsidP="001868AE" w14:paraId="5B460EE4" w14:textId="543EA064">
      <w:pPr>
        <w:pStyle w:val="7112"/>
      </w:pPr>
      <w:r w:rsidRPr="004232CF">
        <w:rPr>
          <w:noProof/>
        </w:rPr>
        <w:drawing>
          <wp:anchor distT="0" distB="3600450" distL="114300" distR="114300" simplePos="0" relativeHeight="251685888"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62481768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sidR="006659DD">
        <w:rPr>
          <w:rStyle w:val="21Char1"/>
          <w:noProof/>
          <w:rtl/>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6" style="mso-width-percent:0;mso-width-relative:margin;mso-wrap-distance-bottom:0;mso-wrap-distance-left:9pt;mso-wrap-distance-right:9pt;mso-wrap-distance-top:0;mso-wrap-style:square;position:absolute;visibility:visible;z-index:251683840" from="-9pt,0.5pt" to="363.75pt,0.5pt" strokecolor="black" strokeweight="2pt"/>
            </w:pict>
          </mc:Fallback>
        </mc:AlternateContent>
      </w:r>
      <w:r w:rsidRPr="004232CF" w:rsidR="007B571D">
        <w:rPr>
          <w:rStyle w:val="21Char1"/>
          <w:noProof/>
          <w:rtl/>
        </w:rPr>
        <mc:AlternateContent>
          <mc:Choice Requires="wps">
            <w:drawing>
              <wp:anchor distT="45720" distB="45720" distL="114300" distR="114300" simplePos="0" relativeHeight="251680768"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B22A1" w:rsidRPr="00A25467" w:rsidP="007B571D" w14:textId="4103E1B1">
                            <w:pPr>
                              <w:pStyle w:val="216"/>
                              <w:rPr>
                                <w:rtl/>
                              </w:rPr>
                            </w:pPr>
                            <w:r>
                              <w:rPr>
                                <w:rFonts w:hint="cs"/>
                                <w:rtl/>
                              </w:rPr>
                              <w:t>עיקרי המלצות הביקורת</w:t>
                            </w:r>
                          </w:p>
                          <w:p w:rsidR="00CB22A1" w:rsidP="007B571D"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81792" strokecolor="white">
                <v:textbox>
                  <w:txbxContent>
                    <w:p w:rsidR="00CB22A1" w:rsidRPr="00A25467" w:rsidP="007B571D" w14:paraId="02FF5A58" w14:textId="4103E1B1">
                      <w:pPr>
                        <w:pStyle w:val="216"/>
                        <w:rPr>
                          <w:rtl/>
                        </w:rPr>
                      </w:pPr>
                      <w:r>
                        <w:rPr>
                          <w:rFonts w:hint="cs"/>
                          <w:rtl/>
                        </w:rPr>
                        <w:t>עיקרי המלצות הביקורת</w:t>
                      </w:r>
                    </w:p>
                    <w:p w:rsidR="00CB22A1" w:rsidP="007B571D" w14:paraId="19399FDD" w14:textId="77777777"/>
                  </w:txbxContent>
                </v:textbox>
                <w10:wrap type="square"/>
              </v:shape>
            </w:pict>
          </mc:Fallback>
        </mc:AlternateContent>
      </w:r>
      <w:r w:rsidRPr="00640147" w:rsidR="0078031D">
        <w:rPr>
          <w:rtl/>
        </w:rPr>
        <w:t xml:space="preserve">על </w:t>
      </w:r>
      <w:r w:rsidRPr="00640147" w:rsidR="0078031D">
        <w:rPr>
          <w:rtl/>
        </w:rPr>
        <w:t>רמ"י</w:t>
      </w:r>
      <w:r w:rsidRPr="00640147" w:rsidR="0078031D">
        <w:rPr>
          <w:rtl/>
        </w:rPr>
        <w:t xml:space="preserve"> להשלים את גיבוש המדיניות הכלל-ארגונית לניהול סיכונים, ובכלל זה לעדכן ולאשר סקרי סיכונים, לגבש וליישם תוכנית הפחתה לסיכונים ולהקים מנגנון בקרה; לגבש תפיסת בקרה כוללת, לרבות הפעילות או התהליכים שעליהם תבוצע הבקרה, סוג הבקרה והיקפה; להשלים את הטיפול בהסדרי ניגוד עניינים ולפעול ליישם את הליך הרוטציה. כמו כן, מומלץ כי </w:t>
      </w:r>
      <w:r w:rsidRPr="00640147" w:rsidR="0078031D">
        <w:rPr>
          <w:rtl/>
        </w:rPr>
        <w:t>רמ"י</w:t>
      </w:r>
      <w:r w:rsidRPr="00640147" w:rsidR="0078031D">
        <w:rPr>
          <w:rtl/>
        </w:rPr>
        <w:t xml:space="preserve"> תמנה מנהל סיכונים תפעוליים ותפעל לכינוסו של הצוות לניהול ובקרה של סיכונים באופן שוטף, תבחן הסדרת בקרה ממוכנת בהליכים המתאימים; ותבחן יצירת הפרדת תפקידים בהליכים שאינה מתקיימת. מומלץ גם כי המועצה תיתן את דעתה על נושא ניהול הסיכונים </w:t>
      </w:r>
      <w:r w:rsidRPr="00640147" w:rsidR="0078031D">
        <w:rPr>
          <w:rtl/>
        </w:rPr>
        <w:t>ברמ"י</w:t>
      </w:r>
      <w:r w:rsidRPr="00640147" w:rsidR="0078031D">
        <w:rPr>
          <w:rtl/>
        </w:rPr>
        <w:t xml:space="preserve">, ובכלל זה תבחן את הצורך להתוות בו אסטרטגיה או מדיניות כוללת ולוודא כי הנהלת </w:t>
      </w:r>
      <w:r w:rsidRPr="00640147" w:rsidR="0078031D">
        <w:rPr>
          <w:rtl/>
        </w:rPr>
        <w:t>רמ"י</w:t>
      </w:r>
      <w:r w:rsidRPr="00640147" w:rsidR="0078031D">
        <w:rPr>
          <w:rtl/>
        </w:rPr>
        <w:t xml:space="preserve"> פועלת בנושא</w:t>
      </w:r>
      <w:r w:rsidRPr="003A3978" w:rsidR="003A3978">
        <w:rPr>
          <w:rtl/>
        </w:rPr>
        <w:t>.</w:t>
      </w:r>
    </w:p>
    <w:p w:rsidR="0083723D" w:rsidRPr="003A3978" w:rsidP="001868AE" w14:paraId="524E991B" w14:textId="2C3B92CA">
      <w:pPr>
        <w:pStyle w:val="7112"/>
      </w:pPr>
      <w:r w:rsidRPr="004232CF">
        <w:rPr>
          <w:noProof/>
        </w:rPr>
        <w:drawing>
          <wp:anchor distT="0" distB="3600450" distL="114300" distR="114300" simplePos="0" relativeHeight="251684864"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70673380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147" w:rsidR="0078031D">
        <w:rPr>
          <w:rtl/>
        </w:rPr>
        <w:t xml:space="preserve">בעניין הטמעת מנגנונים כלל ארגוניים למניעת מעילות והונאות מומלץ כי </w:t>
      </w:r>
      <w:r w:rsidRPr="00640147" w:rsidR="0078031D">
        <w:rPr>
          <w:rtl/>
        </w:rPr>
        <w:t>רמ"י</w:t>
      </w:r>
      <w:r w:rsidRPr="00640147" w:rsidR="0078031D">
        <w:rPr>
          <w:rtl/>
        </w:rPr>
        <w:t xml:space="preserve"> תבחן את כלל המשרות הקיימות בה ותשקול אם יש מקום להגדיר מתוכן משרות שהמועמדים להן יידרשו לבצע מבחני יושרה ואמינות; תקדם יצירת קוד אתי לכלל הארגון ותפרסם אותו לציבור, תשלים את ההדרכות לעובדים בנושא האתיקה ותכלול בתוכניות ההדרכה שלה התייחסות לסיכוני מעילות והונאות. כמו כן, מומלץ כי </w:t>
      </w:r>
      <w:r w:rsidRPr="00640147" w:rsidR="0078031D">
        <w:rPr>
          <w:rtl/>
        </w:rPr>
        <w:t>רמ"י</w:t>
      </w:r>
      <w:r w:rsidRPr="00640147" w:rsidR="0078031D">
        <w:rPr>
          <w:rtl/>
        </w:rPr>
        <w:t xml:space="preserve"> תבחן הפעלת מנגנון לקבלת דיווחים (לרבות אנונימיים) - "קו חם" מתוך הארגון או מחוץ לו על אי-סדרים בארגון עצמו. מומלץ גם כי </w:t>
      </w:r>
      <w:r w:rsidRPr="00640147" w:rsidR="0078031D">
        <w:rPr>
          <w:rtl/>
        </w:rPr>
        <w:t>רמ"י</w:t>
      </w:r>
      <w:r w:rsidRPr="00640147" w:rsidR="0078031D">
        <w:rPr>
          <w:rtl/>
        </w:rPr>
        <w:t xml:space="preserve"> תבצע הליך של הפקת לקחים בכל המקרים שבהם עולה חשד לביצוע או ביצוע בפועל של מעילה, הונאה וכדומה על ידי עובד הארגון, וזאת בלי לפגוע בכל דין</w:t>
      </w:r>
      <w:r w:rsidRPr="003A3978" w:rsidR="003A3978">
        <w:rPr>
          <w:rtl/>
        </w:rPr>
        <w:t>.</w:t>
      </w:r>
      <w:r w:rsidRPr="003A3978">
        <w:rPr>
          <w:rFonts w:hint="cs"/>
          <w:rtl/>
        </w:rPr>
        <w:t xml:space="preserve"> </w:t>
      </w:r>
    </w:p>
    <w:p w:rsidR="00351AD0" w:rsidRPr="00003EBB" w:rsidP="001868AE" w14:paraId="13AF705A" w14:textId="4F95E448">
      <w:pPr>
        <w:pStyle w:val="7112"/>
        <w:rPr>
          <w:rtl/>
        </w:rPr>
      </w:pPr>
      <w:r w:rsidRPr="004232CF">
        <w:rPr>
          <w:noProof/>
        </w:rPr>
        <w:drawing>
          <wp:anchor distT="0" distB="3600450" distL="114300" distR="114300" simplePos="0" relativeHeight="25168691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535281340"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147" w:rsidR="0078031D">
        <w:rPr>
          <w:rtl/>
        </w:rPr>
        <w:t xml:space="preserve">מומלץ </w:t>
      </w:r>
      <w:r w:rsidRPr="00640147" w:rsidR="0078031D">
        <w:rPr>
          <w:rtl/>
        </w:rPr>
        <w:t>שרמ"י</w:t>
      </w:r>
      <w:r w:rsidRPr="00640147" w:rsidR="0078031D">
        <w:rPr>
          <w:rtl/>
        </w:rPr>
        <w:t xml:space="preserve"> תקפיד על </w:t>
      </w:r>
      <w:r w:rsidRPr="00640147" w:rsidR="0078031D">
        <w:rPr>
          <w:rtl/>
        </w:rPr>
        <w:t>קציבת</w:t>
      </w:r>
      <w:r w:rsidRPr="00640147" w:rsidR="0078031D">
        <w:rPr>
          <w:rtl/>
        </w:rPr>
        <w:t xml:space="preserve"> משך זמן מרבי לאחריות של מפקח על אזור פיקוח ותפעל לביצוע סבב תפקידים בין המפקחים בהתאם</w:t>
      </w:r>
      <w:r w:rsidRPr="00003EBB" w:rsidR="00003EBB">
        <w:rPr>
          <w:rtl/>
        </w:rPr>
        <w:t>.</w:t>
      </w:r>
    </w:p>
    <w:p w:rsidR="00003EBB" w:rsidP="001868AE" w14:paraId="1F9FE37C" w14:textId="27A8D5C3">
      <w:pPr>
        <w:pStyle w:val="7112"/>
        <w:rPr>
          <w:rtl/>
        </w:rPr>
      </w:pPr>
      <w:r w:rsidRPr="004232CF">
        <w:rPr>
          <w:noProof/>
        </w:rPr>
        <w:drawing>
          <wp:anchor distT="0" distB="3600450" distL="114300" distR="114300" simplePos="0" relativeHeight="25168793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2877288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147" w:rsidR="0078031D">
        <w:rPr>
          <w:rtl/>
        </w:rPr>
        <w:t xml:space="preserve">על </w:t>
      </w:r>
      <w:r w:rsidRPr="00640147" w:rsidR="0078031D">
        <w:rPr>
          <w:rtl/>
        </w:rPr>
        <w:t>רמ"י</w:t>
      </w:r>
      <w:r w:rsidRPr="00640147" w:rsidR="0078031D">
        <w:rPr>
          <w:rtl/>
        </w:rPr>
        <w:t xml:space="preserve"> להקפיד כי הרשאות של עובדים שסיימו את תפקידם, לרבות עובדים במיקור חוץ, יתבטלו ביום שבו הם עוזבים את </w:t>
      </w:r>
      <w:r w:rsidRPr="00640147" w:rsidR="0078031D">
        <w:rPr>
          <w:rtl/>
        </w:rPr>
        <w:t>רמ"י</w:t>
      </w:r>
      <w:r w:rsidRPr="00640147" w:rsidR="0078031D">
        <w:rPr>
          <w:rtl/>
        </w:rPr>
        <w:t xml:space="preserve">. כמו כן מומלץ כי </w:t>
      </w:r>
      <w:r w:rsidRPr="00640147" w:rsidR="0078031D">
        <w:rPr>
          <w:rtl/>
        </w:rPr>
        <w:t>רמ"י</w:t>
      </w:r>
      <w:r w:rsidRPr="00640147" w:rsidR="0078031D">
        <w:rPr>
          <w:rtl/>
        </w:rPr>
        <w:t xml:space="preserve"> תמנע גישה של עובדים המתגוררים ביישובים חקלאיים לתיקים הנוגעים ליישובי מגוריהם באמצעות מערכת ההרשאות. עד להסדרת בקרה מונעת, מומלץ כי </w:t>
      </w:r>
      <w:r w:rsidRPr="00640147" w:rsidR="0078031D">
        <w:rPr>
          <w:rtl/>
        </w:rPr>
        <w:t>רמ"י</w:t>
      </w:r>
      <w:r w:rsidRPr="00640147" w:rsidR="0078031D">
        <w:rPr>
          <w:rtl/>
        </w:rPr>
        <w:t xml:space="preserve"> תשקול קביעת בקרות מאתרות או מפצות להתמודדות עם הסיכון האמור</w:t>
      </w:r>
      <w:r w:rsidR="00577C64">
        <w:rPr>
          <w:rFonts w:hint="cs"/>
          <w:rtl/>
        </w:rPr>
        <w:t>.</w:t>
      </w:r>
    </w:p>
    <w:p w:rsidR="00452415" w:rsidRPr="00003EBB" w:rsidP="00452415" w14:paraId="6B141594" w14:textId="3D06B06C">
      <w:pPr>
        <w:pStyle w:val="7112"/>
        <w:rPr>
          <w:rtl/>
        </w:rPr>
      </w:pPr>
      <w:r w:rsidRPr="004232CF">
        <w:rPr>
          <w:noProof/>
        </w:rPr>
        <w:drawing>
          <wp:anchor distT="0" distB="3600450" distL="114300" distR="114300" simplePos="0" relativeHeight="25172275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21" name="תמונה 33"/>
            <wp:cNvGraphicFramePr/>
            <a:graphic xmlns:a="http://schemas.openxmlformats.org/drawingml/2006/main">
              <a:graphicData uri="http://schemas.openxmlformats.org/drawingml/2006/picture">
                <pic:pic xmlns:pic="http://schemas.openxmlformats.org/drawingml/2006/picture">
                  <pic:nvPicPr>
                    <pic:cNvPr id="164881311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7FD7">
        <w:rPr>
          <w:rtl/>
        </w:rPr>
        <w:t xml:space="preserve">מומלץ כי </w:t>
      </w:r>
      <w:r w:rsidRPr="00ED7FD7">
        <w:rPr>
          <w:rtl/>
        </w:rPr>
        <w:t>רמ"י</w:t>
      </w:r>
      <w:r w:rsidRPr="00ED7FD7">
        <w:rPr>
          <w:rtl/>
        </w:rPr>
        <w:t xml:space="preserve"> תשלב מנגנון בקרה ממוחשב על תיקי העברת הזכויות שבוצעו או אושרו במוקד לשרות מהיר וזאת בשים לב למינון ולאיזון מתאים של המנגנון אל מול הצורך בהימנעות מעודף בירוקרטיה ושמירה על איכות השירות לציבור</w:t>
      </w:r>
      <w:r w:rsidRPr="00003EBB">
        <w:rPr>
          <w:rtl/>
        </w:rPr>
        <w:t>.</w:t>
      </w:r>
    </w:p>
    <w:p w:rsidR="00452415" w:rsidRPr="00577C64" w:rsidP="001868AE" w14:paraId="131D6E10" w14:textId="77777777">
      <w:pPr>
        <w:pStyle w:val="7112"/>
      </w:pPr>
    </w:p>
    <w:p w:rsidR="00BD206C" w:rsidP="00644F86" w14:paraId="26ED2D32" w14:textId="5FADD170">
      <w:pPr>
        <w:spacing w:line="360" w:lineRule="auto"/>
        <w:rPr>
          <w:szCs w:val="20"/>
          <w:rtl/>
        </w:rPr>
        <w:sectPr w:rsidSect="00F619AB">
          <w:headerReference w:type="even" r:id="rId26"/>
          <w:headerReference w:type="default" r:id="rId27"/>
          <w:pgSz w:w="11906" w:h="16838" w:code="9"/>
          <w:pgMar w:top="3062" w:right="2268" w:bottom="2552" w:left="2268" w:header="1134" w:footer="1361" w:gutter="0"/>
          <w:cols w:space="708"/>
          <w:bidi/>
          <w:rtlGutter/>
          <w:docGrid w:linePitch="360"/>
        </w:sectPr>
      </w:pPr>
    </w:p>
    <w:p w:rsidR="00C94863" w:rsidRPr="0078031D" w:rsidP="0078031D" w14:paraId="0B68703B" w14:textId="5256FB70">
      <w:pPr>
        <w:pStyle w:val="715"/>
        <w:bidi w:val="0"/>
        <w:spacing w:after="0"/>
        <w:jc w:val="right"/>
        <w:rPr>
          <w:rtl/>
        </w:rPr>
      </w:pPr>
      <w:r>
        <w:rPr>
          <w:noProof/>
          <w:rtl/>
          <w:lang w:val="he-IL"/>
        </w:rPr>
        <mc:AlternateContent>
          <mc:Choice Requires="wpg">
            <w:drawing>
              <wp:anchor distT="0" distB="0" distL="114300" distR="114300" simplePos="0" relativeHeight="251698176" behindDoc="0" locked="0" layoutInCell="1" allowOverlap="1">
                <wp:simplePos x="0" y="0"/>
                <wp:positionH relativeFrom="margin">
                  <wp:posOffset>-108585</wp:posOffset>
                </wp:positionH>
                <wp:positionV relativeFrom="paragraph">
                  <wp:posOffset>202565</wp:posOffset>
                </wp:positionV>
                <wp:extent cx="4787900" cy="752475"/>
                <wp:effectExtent l="0" t="0" r="0" b="0"/>
                <wp:wrapSquare wrapText="bothSides"/>
                <wp:docPr id="205277095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52475"/>
                          <a:chOff x="0" y="108020"/>
                          <a:chExt cx="4787900" cy="753429"/>
                        </a:xfrm>
                      </wpg:grpSpPr>
                      <pic:pic xmlns:pic="http://schemas.openxmlformats.org/drawingml/2006/picture">
                        <pic:nvPicPr>
                          <pic:cNvPr id="23" name="Picture 23"/>
                          <pic:cNvPicPr>
                            <a:picLocks noChangeAspect="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108020"/>
                            <a:ext cx="4787900" cy="753429"/>
                          </a:xfrm>
                          <a:prstGeom prst="rect">
                            <a:avLst/>
                          </a:prstGeom>
                        </pic:spPr>
                      </pic:pic>
                      <wps:wsp xmlns:wps="http://schemas.microsoft.com/office/word/2010/wordprocessingShape">
                        <wps:cNvPr id="36" name="Text Box 2"/>
                        <wps:cNvSpPr txBox="1">
                          <a:spLocks noChangeArrowheads="1"/>
                        </wps:cNvSpPr>
                        <wps:spPr bwMode="auto">
                          <a:xfrm>
                            <a:off x="276225" y="187992"/>
                            <a:ext cx="4428490" cy="462214"/>
                          </a:xfrm>
                          <a:prstGeom prst="rect">
                            <a:avLst/>
                          </a:prstGeom>
                          <a:solidFill>
                            <a:srgbClr val="F05260"/>
                          </a:solidFill>
                          <a:ln w="9525">
                            <a:noFill/>
                            <a:miter lim="800000"/>
                            <a:headEnd/>
                            <a:tailEnd/>
                          </a:ln>
                        </wps:spPr>
                        <wps:txbx>
                          <w:txbxContent>
                            <w:p w:rsidR="00CB22A1" w:rsidRPr="00A47335" w:rsidP="00361AA2" w14:textId="3EF85C65">
                              <w:pPr>
                                <w:pStyle w:val="7126"/>
                                <w:spacing w:before="0"/>
                                <w:rPr>
                                  <w:b w:val="0"/>
                                  <w:bCs/>
                                </w:rPr>
                              </w:pPr>
                              <w:r w:rsidRPr="00640147">
                                <w:rPr>
                                  <w:rFonts w:hint="cs"/>
                                  <w:b w:val="0"/>
                                  <w:bCs/>
                                  <w:rtl/>
                                </w:rPr>
                                <w:t>שיעורי</w:t>
                              </w:r>
                              <w:r w:rsidRPr="00640147">
                                <w:rPr>
                                  <w:b w:val="0"/>
                                  <w:bCs/>
                                  <w:rtl/>
                                </w:rPr>
                                <w:t xml:space="preserve"> העסקאות שבוצעו ברמ"י</w:t>
                              </w:r>
                              <w:r w:rsidRPr="00640147">
                                <w:rPr>
                                  <w:rFonts w:hint="cs"/>
                                  <w:b w:val="0"/>
                                  <w:bCs/>
                                  <w:rtl/>
                                </w:rPr>
                                <w:t xml:space="preserve"> ומספרן,</w:t>
                              </w:r>
                              <w:r w:rsidRPr="00640147">
                                <w:rPr>
                                  <w:b w:val="0"/>
                                  <w:bCs/>
                                  <w:rtl/>
                                </w:rPr>
                                <w:t xml:space="preserve"> לפי הגורם המאש</w:t>
                              </w:r>
                              <w:r w:rsidRPr="00640147">
                                <w:rPr>
                                  <w:rFonts w:hint="cs"/>
                                  <w:b w:val="0"/>
                                  <w:bCs/>
                                  <w:rtl/>
                                </w:rPr>
                                <w:t>ר, 2017 - 2019</w:t>
                              </w:r>
                            </w:p>
                          </w:txbxContent>
                        </wps:txbx>
                        <wps:bodyPr rot="0" vert="horz" wrap="square" anchor="ctr" anchorCtr="0"/>
                      </wps:wsp>
                    </wpg:wgp>
                  </a:graphicData>
                </a:graphic>
                <wp14:sizeRelV relativeFrom="margin">
                  <wp14:pctHeight>0</wp14:pctHeight>
                </wp14:sizeRelV>
              </wp:anchor>
            </w:drawing>
          </mc:Choice>
          <mc:Fallback>
            <w:pict>
              <v:group id="Group 2052770959" o:spid="_x0000_s1048" style="width:377pt;height:59.25pt;margin-top:15.95pt;margin-left:-8.55pt;mso-height-relative:margin;mso-position-horizontal-relative:margin;position:absolute;z-index:251699200" coordorigin="0,1080" coordsize="47879,7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9" type="#_x0000_t75" style="width:47879;height:7534;mso-wrap-style:square;position:absolute;top:1080;visibility:visible">
                  <v:imagedata r:id="rId29" o:title=""/>
                </v:shape>
                <v:shape id="_x0000_s1050" type="#_x0000_t202" style="width:44285;height:4623;left:2762;mso-wrap-style:square;position:absolute;top:1879;visibility:visible;v-text-anchor:middle" fillcolor="#f05260" stroked="f">
                  <v:textbox>
                    <w:txbxContent>
                      <w:p w:rsidR="00CB22A1" w:rsidRPr="00A47335" w:rsidP="00361AA2" w14:paraId="7C0CF9BB" w14:textId="3EF85C65">
                        <w:pPr>
                          <w:pStyle w:val="7126"/>
                          <w:spacing w:before="0"/>
                          <w:rPr>
                            <w:b w:val="0"/>
                            <w:bCs/>
                          </w:rPr>
                        </w:pPr>
                        <w:r w:rsidRPr="00640147">
                          <w:rPr>
                            <w:rFonts w:hint="cs"/>
                            <w:b w:val="0"/>
                            <w:bCs/>
                            <w:rtl/>
                          </w:rPr>
                          <w:t>שיעורי</w:t>
                        </w:r>
                        <w:r w:rsidRPr="00640147">
                          <w:rPr>
                            <w:b w:val="0"/>
                            <w:bCs/>
                            <w:rtl/>
                          </w:rPr>
                          <w:t xml:space="preserve"> העסקאות שבוצעו </w:t>
                        </w:r>
                        <w:r w:rsidRPr="00640147">
                          <w:rPr>
                            <w:b w:val="0"/>
                            <w:bCs/>
                            <w:rtl/>
                          </w:rPr>
                          <w:t>ברמ"י</w:t>
                        </w:r>
                        <w:r w:rsidRPr="00640147">
                          <w:rPr>
                            <w:rFonts w:hint="cs"/>
                            <w:b w:val="0"/>
                            <w:bCs/>
                            <w:rtl/>
                          </w:rPr>
                          <w:t xml:space="preserve"> ומספרן,</w:t>
                        </w:r>
                        <w:r w:rsidRPr="00640147">
                          <w:rPr>
                            <w:b w:val="0"/>
                            <w:bCs/>
                            <w:rtl/>
                          </w:rPr>
                          <w:t xml:space="preserve"> לפי הגורם המאש</w:t>
                        </w:r>
                        <w:r w:rsidRPr="00640147">
                          <w:rPr>
                            <w:rFonts w:hint="cs"/>
                            <w:b w:val="0"/>
                            <w:bCs/>
                            <w:rtl/>
                          </w:rPr>
                          <w:t>ר, 2017 - 2019</w:t>
                        </w:r>
                      </w:p>
                    </w:txbxContent>
                  </v:textbox>
                </v:shape>
                <w10:wrap type="square"/>
              </v:group>
            </w:pict>
          </mc:Fallback>
        </mc:AlternateContent>
      </w:r>
      <w:r>
        <w:rPr>
          <w:noProof/>
          <w:rtl/>
          <w:lang w:val="he-IL"/>
        </w:rPr>
        <w:drawing>
          <wp:anchor distT="0" distB="0" distL="114300" distR="114300" simplePos="0" relativeHeight="251703296" behindDoc="0" locked="0" layoutInCell="1" allowOverlap="1">
            <wp:simplePos x="0" y="0"/>
            <wp:positionH relativeFrom="column">
              <wp:posOffset>22860</wp:posOffset>
            </wp:positionH>
            <wp:positionV relativeFrom="paragraph">
              <wp:posOffset>1039356</wp:posOffset>
            </wp:positionV>
            <wp:extent cx="4581525" cy="3692525"/>
            <wp:effectExtent l="0" t="0" r="3175" b="3175"/>
            <wp:wrapSquare wrapText="bothSides"/>
            <wp:docPr id="24785156" name="Picture 2478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81011" name="Picture 24785156"/>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81525" cy="3692525"/>
                    </a:xfrm>
                    <a:prstGeom prst="rect">
                      <a:avLst/>
                    </a:prstGeom>
                  </pic:spPr>
                </pic:pic>
              </a:graphicData>
            </a:graphic>
            <wp14:sizeRelH relativeFrom="margin">
              <wp14:pctWidth>0</wp14:pctWidth>
            </wp14:sizeRelH>
            <wp14:sizeRelV relativeFrom="margin">
              <wp14:pctHeight>0</wp14:pctHeight>
            </wp14:sizeRelV>
          </wp:anchor>
        </w:drawing>
      </w:r>
      <w:r w:rsidRPr="0078031D">
        <w:rPr>
          <w:rtl/>
        </w:rPr>
        <w:t xml:space="preserve">על פי נתוני </w:t>
      </w:r>
      <w:r w:rsidRPr="0078031D">
        <w:rPr>
          <w:rtl/>
        </w:rPr>
        <w:t>רמ"י</w:t>
      </w:r>
      <w:r w:rsidRPr="0078031D">
        <w:rPr>
          <w:rtl/>
        </w:rPr>
        <w:t>, בעיבוד משרד מבקר המדינה.</w:t>
      </w:r>
      <w:r w:rsidR="003C4222">
        <w:rPr>
          <w:szCs w:val="20"/>
          <w:rtl/>
        </w:rPr>
        <w:br w:type="page"/>
      </w:r>
    </w:p>
    <w:p w:rsidR="00F27A70" w:rsidRPr="00C94863" w:rsidP="00C94863" w14:paraId="5E9C70D4" w14:textId="5C79236D">
      <w:pPr>
        <w:pStyle w:val="7123"/>
        <w:spacing w:before="360"/>
        <w:rPr>
          <w:rtl/>
        </w:rPr>
      </w:pPr>
      <w:r>
        <w:rPr>
          <w:noProof/>
          <w:rtl/>
          <w:lang w:val="he-IL"/>
        </w:rPr>
        <mc:AlternateContent>
          <mc:Choice Requires="wpg">
            <w:drawing>
              <wp:anchor distT="0" distB="0" distL="114300" distR="114300" simplePos="0" relativeHeight="251700224"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1" style="width:368.5pt;height:2.95pt;margin-top:1pt;margin-left:-0.4pt;mso-position-horizontal-relative:margin;position:absolute;z-index:251701248" coordsize="47244,381">
                <v:line id="Straight Connector 56" o:spid="_x0000_s1052" style="flip:x;mso-wrap-style:square;position:absolute;visibility:visible" from="0,381" to="47244,381" o:connectortype="straight" strokecolor="#0d0d0d" strokeweight="1.5pt"/>
                <v:line id="Straight Connector 57" o:spid="_x0000_s1053"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78031D" w:rsidRPr="00640147" w:rsidP="0078031D" w14:paraId="4F89ABD7" w14:textId="77777777">
      <w:pPr>
        <w:spacing w:line="288" w:lineRule="auto"/>
        <w:ind w:left="-1"/>
        <w:rPr>
          <w:rFonts w:ascii="Tahoma" w:hAnsi="Tahoma" w:cs="Tahoma"/>
          <w:color w:val="0D0D0D" w:themeColor="text1" w:themeTint="F2"/>
          <w:sz w:val="18"/>
          <w:szCs w:val="18"/>
          <w:rtl/>
        </w:rPr>
      </w:pPr>
      <w:r w:rsidRPr="00640147">
        <w:rPr>
          <w:rFonts w:ascii="Tahoma" w:hAnsi="Tahoma" w:cs="Tahoma"/>
          <w:color w:val="0D0D0D" w:themeColor="text1" w:themeTint="F2"/>
          <w:sz w:val="18"/>
          <w:szCs w:val="18"/>
          <w:rtl/>
        </w:rPr>
        <w:t>רמ"י</w:t>
      </w:r>
      <w:r w:rsidRPr="00640147">
        <w:rPr>
          <w:rFonts w:ascii="Tahoma" w:hAnsi="Tahoma" w:cs="Tahoma"/>
          <w:color w:val="0D0D0D" w:themeColor="text1" w:themeTint="F2"/>
          <w:sz w:val="18"/>
          <w:szCs w:val="18"/>
          <w:rtl/>
        </w:rPr>
        <w:t xml:space="preserve"> מופקדת על ניהול אחד ממשאביה המשמעותיים ביותר של המדינה - מקרקעי ישראל. ניהול משאב זה כרוך בסיכונים רבים, ובהם סיכונים להונאות ומעילות. לצורך הפחתת סיכונים אלה נדרש כי </w:t>
      </w:r>
      <w:r w:rsidRPr="00640147">
        <w:rPr>
          <w:rFonts w:ascii="Tahoma" w:hAnsi="Tahoma" w:cs="Tahoma"/>
          <w:color w:val="0D0D0D" w:themeColor="text1" w:themeTint="F2"/>
          <w:sz w:val="18"/>
          <w:szCs w:val="18"/>
          <w:rtl/>
        </w:rPr>
        <w:t>רמ"י</w:t>
      </w:r>
      <w:r w:rsidRPr="00640147">
        <w:rPr>
          <w:rFonts w:ascii="Tahoma" w:hAnsi="Tahoma" w:cs="Tahoma"/>
          <w:color w:val="0D0D0D" w:themeColor="text1" w:themeTint="F2"/>
          <w:sz w:val="18"/>
          <w:szCs w:val="18"/>
          <w:rtl/>
        </w:rPr>
        <w:t xml:space="preserve"> תפעל כדי להקטין את ההסתברות להתממשותם ואת חומרת השפעתם, בין היתר באמצעות שיפור תהליכי העבודה והקמת מנגנוני פיקוח ובקרה.</w:t>
      </w:r>
    </w:p>
    <w:p w:rsidR="0078031D" w:rsidRPr="00640147" w:rsidP="0078031D" w14:paraId="6F92330A" w14:textId="77777777">
      <w:pPr>
        <w:spacing w:line="288" w:lineRule="auto"/>
        <w:ind w:left="-851" w:right="-567"/>
        <w:rPr>
          <w:rFonts w:ascii="Tahoma" w:hAnsi="Tahoma" w:cs="Tahoma"/>
          <w:color w:val="0D0D0D" w:themeColor="text1" w:themeTint="F2"/>
          <w:sz w:val="18"/>
          <w:szCs w:val="18"/>
          <w:rtl/>
        </w:rPr>
      </w:pPr>
    </w:p>
    <w:p w:rsidR="00BD22B5" w:rsidP="0078031D" w14:paraId="73BFF308" w14:textId="56BD01F7">
      <w:pPr>
        <w:pStyle w:val="7190"/>
        <w:rPr>
          <w:rtl/>
        </w:rPr>
      </w:pPr>
      <w:r w:rsidRPr="00640147">
        <w:rPr>
          <w:rtl/>
        </w:rPr>
        <w:t xml:space="preserve">על </w:t>
      </w:r>
      <w:r w:rsidRPr="00640147">
        <w:rPr>
          <w:rtl/>
        </w:rPr>
        <w:t>רמ"י</w:t>
      </w:r>
      <w:r w:rsidRPr="00640147">
        <w:rPr>
          <w:rtl/>
        </w:rPr>
        <w:t xml:space="preserve"> להשלים את גיבוש המדיניות הכלל-ארגונית לניהול סיכונים, ובכלל זה לעדכן ולאשר סקרי סיכונים, לגבש וליישם תוכנית להפחתתם ולהקים מנגנון בקרה על פעולותיה ולמנות מנהל סיכונים תפעוליים. מומלץ </w:t>
      </w:r>
      <w:r w:rsidRPr="00640147">
        <w:rPr>
          <w:rtl/>
        </w:rPr>
        <w:t>שרמ"י</w:t>
      </w:r>
      <w:r w:rsidRPr="00640147">
        <w:rPr>
          <w:rtl/>
        </w:rPr>
        <w:t xml:space="preserve"> תחזק ותשפר את המנגנונים שהיא מפעילה למניעת מעילות הונאות ואי-סדרים ותשקול להוסיף מנגנונים כאלה על בסיס המדיניות שתגבש. עוד מומלץ </w:t>
      </w:r>
      <w:r w:rsidRPr="00640147">
        <w:rPr>
          <w:rtl/>
        </w:rPr>
        <w:t>שרמ"י</w:t>
      </w:r>
      <w:r w:rsidRPr="00640147">
        <w:rPr>
          <w:rtl/>
        </w:rPr>
        <w:t xml:space="preserve"> תגבש תפיסת בקרה כוללת שתקבע, בין היתר, את כלל האחראים לביצוע הבקרות, את הפעילות או התהליכים שעליהם תבוצע הבקרה, את סוג הבקרה והיקפה וכן סדרי דיווח ומעקב ובשים לב למינון ולאיזון המתאים של מנגנוני הבקרה אל מול הצורך בהימנעות מעודף בירוקרטיה ושמירה על איכות השירות לציבור. מומלץ כי מועצת מקרקעי ישראל תיתן את דעתה על נושא ניהול הסיכונים </w:t>
      </w:r>
      <w:r w:rsidRPr="00640147">
        <w:rPr>
          <w:rtl/>
        </w:rPr>
        <w:t>ברמ"י</w:t>
      </w:r>
      <w:r w:rsidRPr="00640147">
        <w:rPr>
          <w:rtl/>
        </w:rPr>
        <w:t xml:space="preserve">, ובכלל זה תבחן את הצורך להתוות בו אסטרטגיה או מדיניות כוללת ולוודא כי </w:t>
      </w:r>
      <w:r w:rsidRPr="00640147">
        <w:rPr>
          <w:rtl/>
        </w:rPr>
        <w:t>רמ"י</w:t>
      </w:r>
      <w:r w:rsidRPr="00640147">
        <w:rPr>
          <w:rtl/>
        </w:rPr>
        <w:t xml:space="preserve"> פועלת בנושא</w:t>
      </w:r>
      <w:r w:rsidRPr="00BD7633" w:rsidR="00BD7633">
        <w:rPr>
          <w:rtl/>
        </w:rPr>
        <w:t>.</w:t>
      </w: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452415" w:rsidRPr="00765C29" w:rsidP="00765C29" w14:paraId="78F4BF9A" w14:textId="3689D71D">
      <w:pPr>
        <w:bidi w:val="0"/>
        <w:spacing w:after="200" w:line="276" w:lineRule="auto"/>
        <w:rPr>
          <w:rFonts w:ascii="Tahoma" w:eastAsia="Times New Roman" w:hAnsi="Tahoma" w:cs="Tahoma"/>
          <w:b/>
          <w:bCs/>
          <w:color w:val="00305F"/>
          <w:sz w:val="32"/>
          <w:szCs w:val="32"/>
          <w:rtl/>
        </w:rPr>
      </w:pPr>
      <w:r>
        <w:rPr>
          <w:noProof/>
          <w:rtl/>
          <w:lang w:val="he-IL"/>
        </w:rPr>
        <mc:AlternateContent>
          <mc:Choice Requires="wps">
            <w:drawing>
              <wp:anchor distT="0" distB="0" distL="114300" distR="114300" simplePos="0" relativeHeight="251723776" behindDoc="0" locked="0" layoutInCell="1" allowOverlap="1">
                <wp:simplePos x="0" y="0"/>
                <wp:positionH relativeFrom="column">
                  <wp:posOffset>4230637</wp:posOffset>
                </wp:positionH>
                <wp:positionV relativeFrom="paragraph">
                  <wp:posOffset>6961425</wp:posOffset>
                </wp:positionV>
                <wp:extent cx="1052712" cy="914400"/>
                <wp:effectExtent l="12700" t="12700" r="14605" b="12700"/>
                <wp:wrapNone/>
                <wp:docPr id="30" name="מלבן 30"/>
                <wp:cNvGraphicFramePr/>
                <a:graphic xmlns:a="http://schemas.openxmlformats.org/drawingml/2006/main">
                  <a:graphicData uri="http://schemas.microsoft.com/office/word/2010/wordprocessingShape">
                    <wps:wsp xmlns:wps="http://schemas.microsoft.com/office/word/2010/wordprocessingShape">
                      <wps:cNvSpPr/>
                      <wps:spPr>
                        <a:xfrm>
                          <a:off x="0" y="0"/>
                          <a:ext cx="1052712"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30" o:spid="_x0000_s1054" style="width:82.9pt;height:1in;margin-top:548.15pt;margin-left:333.1pt;mso-wrap-distance-bottom:0;mso-wrap-distance-left:9pt;mso-wrap-distance-right:9pt;mso-wrap-distance-top:0;mso-wrap-style:square;position:absolute;visibility:visible;v-text-anchor:middle;z-index:251724800" fillcolor="white" strokecolor="white" strokeweight="2pt"/>
            </w:pict>
          </mc:Fallback>
        </mc:AlternateContent>
      </w:r>
    </w:p>
    <w:sectPr w:rsidSect="00F619AB">
      <w:headerReference w:type="default" r:id="rId31"/>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445A" w:rsidP="00C23CC9" w14:paraId="63A6A767" w14:textId="77777777">
      <w:pPr>
        <w:spacing w:line="240" w:lineRule="auto"/>
      </w:pPr>
      <w:r>
        <w:separator/>
      </w:r>
    </w:p>
  </w:footnote>
  <w:footnote w:type="continuationSeparator" w:id="1">
    <w:p w:rsidR="00A2445A" w:rsidP="00C23CC9" w14:paraId="08DE4810" w14:textId="77777777">
      <w:pPr>
        <w:spacing w:line="240" w:lineRule="auto"/>
      </w:pPr>
      <w:r>
        <w:continuationSeparator/>
      </w:r>
    </w:p>
    <w:p w:rsidR="00A2445A" w14:paraId="527F4FD3" w14:textId="77777777"/>
  </w:footnote>
  <w:footnote w:id="2">
    <w:p w:rsidR="00760601" w:rsidRPr="00856248" w:rsidP="00856248" w14:paraId="07DA09AA" w14:textId="77777777">
      <w:pPr>
        <w:pStyle w:val="710"/>
        <w:rPr>
          <w:rtl/>
        </w:rPr>
      </w:pPr>
      <w:r w:rsidRPr="00856248">
        <w:rPr>
          <w:rStyle w:val="FootnoteReference0"/>
          <w:vertAlign w:val="baseline"/>
        </w:rPr>
        <w:footnoteRef/>
      </w:r>
      <w:r w:rsidRPr="00856248">
        <w:rPr>
          <w:rtl/>
        </w:rPr>
        <w:t xml:space="preserve"> </w:t>
      </w:r>
      <w:r w:rsidRPr="00856248">
        <w:rPr>
          <w:rtl/>
        </w:rPr>
        <w:tab/>
      </w:r>
      <w:r w:rsidRPr="00856248">
        <w:t>The Committee Of Sponsoring Organizations - COSO</w:t>
      </w:r>
      <w:r w:rsidRPr="00856248">
        <w:rPr>
          <w:rtl/>
        </w:rPr>
        <w:t xml:space="preserve"> ארגון אמריקאי שנחשב ארגון מוביל בתחום המתודולוגיות לניהול סיכונים.</w:t>
      </w:r>
    </w:p>
  </w:footnote>
  <w:footnote w:id="3">
    <w:p w:rsidR="00760601" w:rsidRPr="00856248" w:rsidP="00856248" w14:paraId="3D4EE714" w14:textId="77777777">
      <w:pPr>
        <w:pStyle w:val="710"/>
        <w:rPr>
          <w:rtl/>
        </w:rPr>
      </w:pPr>
      <w:r w:rsidRPr="00856248">
        <w:rPr>
          <w:rStyle w:val="FootnoteReference0"/>
          <w:vertAlign w:val="baseline"/>
        </w:rPr>
        <w:footnoteRef/>
      </w:r>
      <w:r w:rsidRPr="00856248">
        <w:rPr>
          <w:rtl/>
        </w:rPr>
        <w:t xml:space="preserve"> </w:t>
      </w:r>
      <w:r w:rsidRPr="00856248">
        <w:rPr>
          <w:rtl/>
        </w:rPr>
        <w:tab/>
        <w:t>רוטציה במילוי תפקידים יכולה לשמש גם כמנגנון למניעה של מעילות והונאות.</w:t>
      </w:r>
      <w:r w:rsidRPr="00856248">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FB6302"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FB6302" w14:paraId="77809697" w14:textId="49471BA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329AA" w:rsidRPr="004D562B" w:rsidP="00C329A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329AA"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C329AA" w:rsidRPr="004D562B" w:rsidP="00C329AA" w14:paraId="224177A3"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329AA"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1B30ED8E">
                          <w:pPr>
                            <w:jc w:val="left"/>
                            <w:rPr>
                              <w:color w:val="0D0D0D"/>
                              <w:sz w:val="16"/>
                              <w:szCs w:val="16"/>
                            </w:rPr>
                          </w:pPr>
                          <w:r w:rsidRPr="00760601">
                            <w:rPr>
                              <w:rFonts w:ascii="Tahoma" w:hAnsi="Tahoma" w:cs="Tahoma"/>
                              <w:color w:val="0D0D0D" w:themeColor="text1" w:themeTint="F2"/>
                              <w:sz w:val="16"/>
                              <w:szCs w:val="16"/>
                              <w:rtl/>
                            </w:rPr>
                            <w:t>מניעת מעילות והונאות ברשות מקרקעי ישראל</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1B30ED8E">
                    <w:pPr>
                      <w:jc w:val="left"/>
                      <w:rPr>
                        <w:color w:val="0D0D0D"/>
                        <w:sz w:val="16"/>
                        <w:szCs w:val="16"/>
                      </w:rPr>
                    </w:pPr>
                    <w:r w:rsidRPr="00760601">
                      <w:rPr>
                        <w:rFonts w:ascii="Tahoma" w:hAnsi="Tahoma" w:cs="Tahoma"/>
                        <w:color w:val="0D0D0D" w:themeColor="text1" w:themeTint="F2"/>
                        <w:sz w:val="16"/>
                        <w:szCs w:val="16"/>
                        <w:rtl/>
                      </w:rPr>
                      <w:t>מניעת מעילות והונאות ברשות מקרקעי ישראל</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83594"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5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60"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4489836B">
                          <w:pPr>
                            <w:jc w:val="left"/>
                            <w:rPr>
                              <w:color w:val="0D0D0D"/>
                              <w:sz w:val="16"/>
                              <w:szCs w:val="16"/>
                            </w:rPr>
                          </w:pPr>
                          <w:r w:rsidRPr="00760601">
                            <w:rPr>
                              <w:rFonts w:ascii="Tahoma" w:hAnsi="Tahoma" w:cs="Tahoma"/>
                              <w:color w:val="0D0D0D" w:themeColor="text1" w:themeTint="F2"/>
                              <w:sz w:val="16"/>
                              <w:szCs w:val="16"/>
                              <w:rtl/>
                            </w:rPr>
                            <w:t>מניעת מעילות והונאות ברשות מקרקעי ישראל</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4489836B">
                    <w:pPr>
                      <w:jc w:val="left"/>
                      <w:rPr>
                        <w:color w:val="0D0D0D"/>
                        <w:sz w:val="16"/>
                        <w:szCs w:val="16"/>
                      </w:rPr>
                    </w:pPr>
                    <w:r w:rsidRPr="00760601">
                      <w:rPr>
                        <w:rFonts w:ascii="Tahoma" w:hAnsi="Tahoma" w:cs="Tahoma"/>
                        <w:color w:val="0D0D0D" w:themeColor="text1" w:themeTint="F2"/>
                        <w:sz w:val="16"/>
                        <w:szCs w:val="16"/>
                        <w:rtl/>
                      </w:rPr>
                      <w:t>מניעת מעילות והונאות ברשות מקרקעי ישראל</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5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60852"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760601" w14:textId="422D775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760601" w:rsidR="00760601">
                            <w:rPr>
                              <w:rFonts w:ascii="Tahoma" w:hAnsi="Tahoma" w:cs="Tahoma"/>
                              <w:b/>
                              <w:bCs/>
                              <w:rtl/>
                            </w:rPr>
                            <w:t>מניעת מעילות והונאות ברשות מקרקעי ישראל</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760601" w14:paraId="2873DE67" w14:textId="422D775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760601" w:rsidR="00760601">
                      <w:rPr>
                        <w:rFonts w:ascii="Tahoma" w:hAnsi="Tahoma" w:cs="Tahoma"/>
                        <w:b/>
                        <w:bCs/>
                        <w:rtl/>
                      </w:rPr>
                      <w:t>מניעת מעילות והונאות ברשות מקרקעי ישראל</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329AA" w:rsidRPr="004D562B" w:rsidP="00C329A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329AA"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C329AA" w:rsidRPr="004D562B" w:rsidP="00C329AA" w14:paraId="265F2F16"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329AA"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53"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9591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760601" w14:textId="344BA064">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760601" w:rsidR="00760601">
                            <w:rPr>
                              <w:rFonts w:ascii="Tahoma" w:hAnsi="Tahoma" w:cs="Tahoma"/>
                              <w:b/>
                              <w:bCs/>
                              <w:rtl/>
                            </w:rPr>
                            <w:t>מניעת מעילות והונאות ברשות מקרקעי ישראל</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760601" w14:paraId="1C12FDA0" w14:textId="344BA064">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760601" w:rsidR="00760601">
                      <w:rPr>
                        <w:rFonts w:ascii="Tahoma" w:hAnsi="Tahoma" w:cs="Tahoma"/>
                        <w:b/>
                        <w:bCs/>
                        <w:rtl/>
                      </w:rPr>
                      <w:t>מניעת מעילות והונאות ברשות מקרקעי ישראל</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329AA" w:rsidRPr="004D562B" w:rsidP="00C329A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255D0"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C329AA" w:rsidRPr="004D562B" w:rsidP="00C329AA" w14:paraId="74036807"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255D0"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4109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45306A7"/>
    <w:multiLevelType w:val="hybridMultilevel"/>
    <w:tmpl w:val="1192674A"/>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5087F56"/>
    <w:multiLevelType w:val="hybridMultilevel"/>
    <w:tmpl w:val="B69E8068"/>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41C43172"/>
    <w:multiLevelType w:val="hybridMultilevel"/>
    <w:tmpl w:val="A308E102"/>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9C2999"/>
    <w:multiLevelType w:val="multilevel"/>
    <w:tmpl w:val="90F0BF22"/>
    <w:lvl w:ilvl="0">
      <w:start w:val="3"/>
      <w:numFmt w:val="hebrew1"/>
      <w:lvlText w:val="%1"/>
      <w:lvlJc w:val="left"/>
      <w:pPr>
        <w:ind w:left="482" w:hanging="482"/>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6">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4676B7"/>
    <w:multiLevelType w:val="multilevel"/>
    <w:tmpl w:val="1B7E0DEA"/>
    <w:lvl w:ilvl="0">
      <w:start w:val="1"/>
      <w:numFmt w:val="decimal"/>
      <w:lvlText w:val="%1."/>
      <w:lvlJc w:val="left"/>
      <w:pPr>
        <w:ind w:left="340" w:hanging="340"/>
      </w:pPr>
      <w:rPr>
        <w:rFonts w:hint="default"/>
      </w:rPr>
    </w:lvl>
    <w:lvl w:ilvl="1">
      <w:start w:val="2"/>
      <w:numFmt w:val="hebrew1"/>
      <w:lvlText w:val="%2"/>
      <w:lvlJc w:val="left"/>
      <w:pPr>
        <w:ind w:left="1106" w:hanging="482"/>
      </w:pPr>
      <w:rPr>
        <w:rFonts w:hint="default"/>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6D5D5D3E"/>
    <w:multiLevelType w:val="multilevel"/>
    <w:tmpl w:val="AC14E9CC"/>
    <w:lvl w:ilvl="0">
      <w:start w:val="1"/>
      <w:numFmt w:val="decimal"/>
      <w:lvlText w:val="%1."/>
      <w:lvlJc w:val="left"/>
      <w:pPr>
        <w:ind w:left="340" w:hanging="340"/>
      </w:pPr>
      <w:rPr>
        <w:rFonts w:hint="default"/>
      </w:rPr>
    </w:lvl>
    <w:lvl w:ilvl="1">
      <w:start w:val="2"/>
      <w:numFmt w:val="hebrew1"/>
      <w:lvlText w:val="%2"/>
      <w:lvlJc w:val="left"/>
      <w:pPr>
        <w:ind w:left="1191" w:hanging="482"/>
      </w:pPr>
      <w:rPr>
        <w:rFonts w:hint="default"/>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700E2388"/>
    <w:multiLevelType w:val="multilevel"/>
    <w:tmpl w:val="BDA61B60"/>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751F6FC4"/>
    <w:multiLevelType w:val="hybridMultilevel"/>
    <w:tmpl w:val="1CDC927E"/>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1B3479"/>
    <w:multiLevelType w:val="multilevel"/>
    <w:tmpl w:val="8D6CCF04"/>
    <w:lvl w:ilvl="0">
      <w:start w:val="1"/>
      <w:numFmt w:val="hebrew1"/>
      <w:lvlText w:val="%1."/>
      <w:lvlJc w:val="left"/>
      <w:pPr>
        <w:ind w:left="397" w:hanging="397"/>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7">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2"/>
  </w:num>
  <w:num w:numId="3">
    <w:abstractNumId w:val="17"/>
  </w:num>
  <w:num w:numId="4">
    <w:abstractNumId w:val="9"/>
  </w:num>
  <w:num w:numId="5">
    <w:abstractNumId w:val="11"/>
  </w:num>
  <w:num w:numId="6">
    <w:abstractNumId w:val="27"/>
  </w:num>
  <w:num w:numId="7">
    <w:abstractNumId w:val="1"/>
  </w:num>
  <w:num w:numId="8">
    <w:abstractNumId w:val="14"/>
  </w:num>
  <w:num w:numId="9">
    <w:abstractNumId w:val="4"/>
  </w:num>
  <w:num w:numId="10">
    <w:abstractNumId w:val="19"/>
  </w:num>
  <w:num w:numId="11">
    <w:abstractNumId w:val="3"/>
  </w:num>
  <w:num w:numId="12">
    <w:abstractNumId w:val="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18"/>
  </w:num>
  <w:num w:numId="18">
    <w:abstractNumId w:val="20"/>
  </w:num>
  <w:num w:numId="19">
    <w:abstractNumId w:val="10"/>
  </w:num>
  <w:num w:numId="20">
    <w:abstractNumId w:val="15"/>
  </w:num>
  <w:num w:numId="21">
    <w:abstractNumId w:val="0"/>
  </w:num>
  <w:num w:numId="22">
    <w:abstractNumId w:val="13"/>
  </w:num>
  <w:num w:numId="23">
    <w:abstractNumId w:val="5"/>
  </w:num>
  <w:num w:numId="24">
    <w:abstractNumId w:val="24"/>
  </w:num>
  <w:num w:numId="25">
    <w:abstractNumId w:val="23"/>
  </w:num>
  <w:num w:numId="26">
    <w:abstractNumId w:val="25"/>
  </w:num>
  <w:num w:numId="27">
    <w:abstractNumId w:val="7"/>
  </w:num>
  <w:num w:numId="28">
    <w:abstractNumId w:val="21"/>
  </w:num>
  <w:num w:numId="29">
    <w:abstractNumId w:val="7"/>
  </w:num>
  <w:num w:numId="3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25F"/>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3AF"/>
    <w:rsid w:val="000E7622"/>
    <w:rsid w:val="000F022A"/>
    <w:rsid w:val="000F158C"/>
    <w:rsid w:val="000F1DEA"/>
    <w:rsid w:val="000F1E0E"/>
    <w:rsid w:val="000F2408"/>
    <w:rsid w:val="000F2E36"/>
    <w:rsid w:val="000F3700"/>
    <w:rsid w:val="000F4578"/>
    <w:rsid w:val="000F4B6E"/>
    <w:rsid w:val="000F4C79"/>
    <w:rsid w:val="000F4F4E"/>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2864"/>
    <w:rsid w:val="001239A8"/>
    <w:rsid w:val="001239E1"/>
    <w:rsid w:val="001243A4"/>
    <w:rsid w:val="001247BA"/>
    <w:rsid w:val="00124DC1"/>
    <w:rsid w:val="00125628"/>
    <w:rsid w:val="00125881"/>
    <w:rsid w:val="001305E5"/>
    <w:rsid w:val="00130691"/>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82"/>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1E1"/>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123"/>
    <w:rsid w:val="001A166A"/>
    <w:rsid w:val="001A2081"/>
    <w:rsid w:val="001A2A50"/>
    <w:rsid w:val="001A2F88"/>
    <w:rsid w:val="001A30F4"/>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460"/>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39B2"/>
    <w:rsid w:val="002739CF"/>
    <w:rsid w:val="00273D43"/>
    <w:rsid w:val="0027424D"/>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3FE0"/>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636"/>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6D6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415"/>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64"/>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72"/>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8F"/>
    <w:rsid w:val="00550E94"/>
    <w:rsid w:val="00551B42"/>
    <w:rsid w:val="00551DB7"/>
    <w:rsid w:val="005529ED"/>
    <w:rsid w:val="005533DC"/>
    <w:rsid w:val="00553469"/>
    <w:rsid w:val="00553B82"/>
    <w:rsid w:val="00554AAD"/>
    <w:rsid w:val="0055522D"/>
    <w:rsid w:val="005554C5"/>
    <w:rsid w:val="005556CA"/>
    <w:rsid w:val="005559D1"/>
    <w:rsid w:val="00555BD8"/>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33"/>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60"/>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5E"/>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ABB"/>
    <w:rsid w:val="006702ED"/>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1AF"/>
    <w:rsid w:val="006A2D1D"/>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3D2A"/>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380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16DB8"/>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C29"/>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283B"/>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90C"/>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4E99"/>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054"/>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E80"/>
    <w:rsid w:val="008244B2"/>
    <w:rsid w:val="00824505"/>
    <w:rsid w:val="008246BA"/>
    <w:rsid w:val="00824AA0"/>
    <w:rsid w:val="00824B1A"/>
    <w:rsid w:val="008255D0"/>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0A7E"/>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BCC"/>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6CA"/>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402"/>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445A"/>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2C3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AF6"/>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C7AB3"/>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1EAA"/>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4EA5"/>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29AA"/>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4F60"/>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5B7"/>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6CB"/>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A8F"/>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AE3"/>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044"/>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644"/>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3E95"/>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3FC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77FE3"/>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D7FD7"/>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497"/>
    <w:rsid w:val="00F915A4"/>
    <w:rsid w:val="00F91E72"/>
    <w:rsid w:val="00F91EF0"/>
    <w:rsid w:val="00F92104"/>
    <w:rsid w:val="00F9227B"/>
    <w:rsid w:val="00F93676"/>
    <w:rsid w:val="00F939EC"/>
    <w:rsid w:val="00F93A3D"/>
    <w:rsid w:val="00F93C72"/>
    <w:rsid w:val="00F93C99"/>
    <w:rsid w:val="00F93DCD"/>
    <w:rsid w:val="00F94009"/>
    <w:rsid w:val="00F9412A"/>
    <w:rsid w:val="00F94B40"/>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header" Target="header4.xml" /><Relationship Id="rId21" Type="http://schemas.openxmlformats.org/officeDocument/2006/relationships/footer" Target="footer4.xml" /><Relationship Id="rId22" Type="http://schemas.openxmlformats.org/officeDocument/2006/relationships/image" Target="media/image10.jpeg" /><Relationship Id="rId23" Type="http://schemas.openxmlformats.org/officeDocument/2006/relationships/image" Target="media/image11.jpeg" /><Relationship Id="rId24" Type="http://schemas.openxmlformats.org/officeDocument/2006/relationships/image" Target="media/image12.jpeg" /><Relationship Id="rId25" Type="http://schemas.openxmlformats.org/officeDocument/2006/relationships/image" Target="media/image13.jpeg" /><Relationship Id="rId26" Type="http://schemas.openxmlformats.org/officeDocument/2006/relationships/header" Target="header5.xml" /><Relationship Id="rId27" Type="http://schemas.openxmlformats.org/officeDocument/2006/relationships/header" Target="header6.xml" /><Relationship Id="rId28" Type="http://schemas.openxmlformats.org/officeDocument/2006/relationships/image" Target="media/image14.jpeg" /><Relationship Id="rId29" Type="http://schemas.openxmlformats.org/officeDocument/2006/relationships/image" Target="media/image15.png" /><Relationship Id="rId3" Type="http://schemas.openxmlformats.org/officeDocument/2006/relationships/webSettings" Target="webSettings.xml" /><Relationship Id="rId30" Type="http://schemas.openxmlformats.org/officeDocument/2006/relationships/image" Target="media/image16.jpeg"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8.jpeg" /><Relationship Id="rId2" Type="http://schemas.openxmlformats.org/officeDocument/2006/relationships/image" Target="media/image9.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7.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BF650830-384B-4D88-9965-F8AA4BBD6F93}"/>
</file>

<file path=customXml/itemProps4.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