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89984"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25472"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6E01419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3064856</wp:posOffset>
                </wp:positionH>
                <wp:positionV relativeFrom="paragraph">
                  <wp:posOffset>369224</wp:posOffset>
                </wp:positionV>
                <wp:extent cx="0" cy="3288145"/>
                <wp:effectExtent l="25400" t="0" r="25400" b="2667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28814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41.35pt,29.05pt" to="241.35pt,287.95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-211455</wp:posOffset>
                </wp:positionH>
                <wp:positionV relativeFrom="paragraph">
                  <wp:posOffset>1858645</wp:posOffset>
                </wp:positionV>
                <wp:extent cx="3072858" cy="0"/>
                <wp:effectExtent l="12700" t="12700" r="63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072858"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30" style="flip:x;mso-width-percent:0;mso-width-relative:margin;mso-wrap-distance-bottom:0;mso-wrap-distance-left:9pt;mso-wrap-distance-right:9pt;mso-wrap-distance-top:0;mso-wrap-style:square;position:absolute;visibility:visible;z-index:251669504" from="-16.65pt,146.35pt" to="225.3pt,146.35pt" strokecolor="white" strokeweight="1.5pt"/>
            </w:pict>
          </mc:Fallback>
        </mc:AlternateContent>
      </w:r>
      <w:r w:rsidRPr="0030415A" w:rsidR="00877C9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-432435</wp:posOffset>
                </wp:positionH>
                <wp:positionV relativeFrom="paragraph">
                  <wp:posOffset>258445</wp:posOffset>
                </wp:positionV>
                <wp:extent cx="4846955" cy="4273550"/>
                <wp:effectExtent l="0" t="0" r="4445"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46955"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012FE5" w:rsidRPr="0052031E" w:rsidP="00012FE5"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7777777">
                            <w:pPr>
                              <w:ind w:left="2268"/>
                              <w:rPr>
                                <w:rtl/>
                              </w:rPr>
                            </w:pPr>
                          </w:p>
                          <w:p w:rsidR="00CB22A1" w:rsidP="0052031E" w14:textId="5A90E6A3">
                            <w:pPr>
                              <w:ind w:left="2268"/>
                              <w:rPr>
                                <w:rtl/>
                              </w:rPr>
                            </w:pPr>
                          </w:p>
                          <w:p w:rsidR="00A33D10" w:rsidP="0052031E" w14:textId="77777777">
                            <w:pPr>
                              <w:ind w:left="2268"/>
                              <w:rPr>
                                <w:rtl/>
                              </w:rPr>
                            </w:pPr>
                          </w:p>
                          <w:p w:rsidR="00CB22A1" w:rsidRPr="00876ED9" w:rsidP="0052031E" w14:textId="5A1533D2">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נושאים מערכתיים</w:t>
                            </w:r>
                            <w:r w:rsidR="00877C9A">
                              <w:rPr>
                                <w:rFonts w:ascii="Tahoma" w:hAnsi="Tahoma" w:eastAsiaTheme="minorEastAsia" w:cs="Tahoma" w:hint="cs"/>
                                <w:color w:val="FFFFFF" w:themeColor="background1"/>
                                <w:sz w:val="28"/>
                                <w:szCs w:val="28"/>
                                <w:rtl/>
                              </w:rPr>
                              <w:t xml:space="preserve"> </w:t>
                            </w:r>
                          </w:p>
                          <w:p w:rsidR="00CB22A1" w:rsidP="002D268F" w14:textId="3EED2F7B">
                            <w:pPr>
                              <w:spacing w:before="360" w:line="600" w:lineRule="exact"/>
                              <w:ind w:left="2268"/>
                              <w:jc w:val="left"/>
                              <w:rPr>
                                <w:rFonts w:ascii="Tahoma" w:hAnsi="Tahoma" w:cs="Tahoma"/>
                                <w:b/>
                                <w:bCs/>
                                <w:color w:val="FFFFFF" w:themeColor="background1"/>
                                <w:sz w:val="44"/>
                                <w:szCs w:val="44"/>
                              </w:rPr>
                            </w:pPr>
                            <w:r w:rsidRPr="008255D0">
                              <w:rPr>
                                <w:rFonts w:ascii="Tahoma" w:hAnsi="Tahoma" w:cs="Tahoma"/>
                                <w:b/>
                                <w:bCs/>
                                <w:color w:val="FFFFFF" w:themeColor="background1"/>
                                <w:sz w:val="44"/>
                                <w:szCs w:val="44"/>
                                <w:rtl/>
                              </w:rPr>
                              <w:t>טיפול המשטרה והפרקליטות בסגירת תיקים פליליים</w:t>
                            </w:r>
                          </w:p>
                          <w:p w:rsidR="008F3F13" w:rsidRPr="00344BBF" w:rsidP="002D268F"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81.65pt;height:336.5pt;margin-top:20.35pt;margin-left:-34.0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012FE5" w:rsidRPr="0052031E" w:rsidP="00012FE5" w14:paraId="1971C9B2"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77777777">
                      <w:pPr>
                        <w:ind w:left="2268"/>
                        <w:rPr>
                          <w:rtl/>
                        </w:rPr>
                      </w:pPr>
                    </w:p>
                    <w:p w:rsidR="00CB22A1" w:rsidP="0052031E" w14:paraId="537675A5" w14:textId="5A90E6A3">
                      <w:pPr>
                        <w:ind w:left="2268"/>
                        <w:rPr>
                          <w:rtl/>
                        </w:rPr>
                      </w:pPr>
                    </w:p>
                    <w:p w:rsidR="00A33D10" w:rsidP="0052031E" w14:paraId="03ECF307" w14:textId="77777777">
                      <w:pPr>
                        <w:ind w:left="2268"/>
                        <w:rPr>
                          <w:rtl/>
                        </w:rPr>
                      </w:pPr>
                    </w:p>
                    <w:p w:rsidR="00CB22A1" w:rsidRPr="00876ED9" w:rsidP="0052031E" w14:paraId="028C1DED" w14:textId="5A1533D2">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 xml:space="preserve">נושאים </w:t>
                      </w:r>
                      <w:r>
                        <w:rPr>
                          <w:rFonts w:ascii="Tahoma" w:hAnsi="Tahoma" w:eastAsiaTheme="minorEastAsia" w:cs="Tahoma" w:hint="cs"/>
                          <w:color w:val="FFFFFF" w:themeColor="background1"/>
                          <w:sz w:val="28"/>
                          <w:szCs w:val="28"/>
                          <w:rtl/>
                        </w:rPr>
                        <w:t>מערכתיים</w:t>
                      </w:r>
                      <w:r w:rsidR="00877C9A">
                        <w:rPr>
                          <w:rFonts w:ascii="Tahoma" w:hAnsi="Tahoma" w:eastAsiaTheme="minorEastAsia" w:cs="Tahoma" w:hint="cs"/>
                          <w:color w:val="FFFFFF" w:themeColor="background1"/>
                          <w:sz w:val="28"/>
                          <w:szCs w:val="28"/>
                          <w:rtl/>
                        </w:rPr>
                        <w:t xml:space="preserve"> </w:t>
                      </w:r>
                    </w:p>
                    <w:p w:rsidR="00CB22A1" w:rsidP="002D268F" w14:paraId="5464BE8D" w14:textId="3EED2F7B">
                      <w:pPr>
                        <w:spacing w:before="360" w:line="600" w:lineRule="exact"/>
                        <w:ind w:left="2268"/>
                        <w:jc w:val="left"/>
                        <w:rPr>
                          <w:rFonts w:ascii="Tahoma" w:hAnsi="Tahoma" w:cs="Tahoma"/>
                          <w:b/>
                          <w:bCs/>
                          <w:color w:val="FFFFFF" w:themeColor="background1"/>
                          <w:sz w:val="44"/>
                          <w:szCs w:val="44"/>
                        </w:rPr>
                      </w:pPr>
                      <w:r w:rsidRPr="008255D0">
                        <w:rPr>
                          <w:rFonts w:ascii="Tahoma" w:hAnsi="Tahoma" w:cs="Tahoma"/>
                          <w:b/>
                          <w:bCs/>
                          <w:color w:val="FFFFFF" w:themeColor="background1"/>
                          <w:sz w:val="44"/>
                          <w:szCs w:val="44"/>
                          <w:rtl/>
                        </w:rPr>
                        <w:t>טיפול המשטרה והפרקליטות בסגירת תיקים פליליים</w:t>
                      </w:r>
                    </w:p>
                    <w:p w:rsidR="008F3F13" w:rsidRPr="00344BBF" w:rsidP="002D268F" w14:paraId="2C4354D1"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20888756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81928"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7696"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8720"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27424D" w:rsidRPr="000D2FE7" w:rsidP="00C51CB1" w14:paraId="0165F9FB" w14:textId="2FFD99CF">
      <w:pPr>
        <w:pStyle w:val="a25"/>
        <w:rPr>
          <w:rtl/>
        </w:rPr>
      </w:pPr>
      <w:r>
        <w:rPr>
          <w:rtl/>
        </w:rPr>
        <w:drawing>
          <wp:anchor distT="0" distB="0" distL="114300" distR="114300" simplePos="0" relativeHeight="251670528" behindDoc="0" locked="0" layoutInCell="1" allowOverlap="1">
            <wp:simplePos x="0" y="0"/>
            <wp:positionH relativeFrom="margin">
              <wp:posOffset>3289300</wp:posOffset>
            </wp:positionH>
            <wp:positionV relativeFrom="paragraph">
              <wp:posOffset>939165</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869523"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255D0">
        <w:rPr>
          <w:rFonts w:eastAsiaTheme="minorHAnsi"/>
          <w:noProof w:val="0"/>
          <w:sz w:val="40"/>
          <w:szCs w:val="34"/>
          <w:rtl/>
          <w:lang w:val="en-US"/>
        </w:rPr>
        <w:t>טיפול המשטרה והפרקליטות בסגירת תיקים פליליים</w:t>
      </w:r>
    </w:p>
    <w:p w:rsidR="009E3D6D" w:rsidP="009E3D6D" w14:paraId="32190477" w14:textId="74425681">
      <w:pPr>
        <w:pStyle w:val="7190"/>
        <w:rPr>
          <w:rtl/>
        </w:rPr>
      </w:pPr>
    </w:p>
    <w:p w:rsidR="008255D0" w:rsidP="009E3D6D" w14:paraId="0C0FDA6E" w14:textId="77777777">
      <w:pPr>
        <w:pStyle w:val="7190"/>
        <w:rPr>
          <w:rtl/>
        </w:rPr>
      </w:pPr>
    </w:p>
    <w:p w:rsidR="009E3D6D" w:rsidP="009E3D6D" w14:paraId="438CAA5E" w14:textId="64CAE7E8">
      <w:pPr>
        <w:pStyle w:val="7190"/>
        <w:rPr>
          <w:rtl/>
        </w:rPr>
      </w:pPr>
      <w:r w:rsidRPr="002F6A1D">
        <w:rPr>
          <w:rtl/>
        </w:rPr>
        <w:t>משטרת ישראל היא הזרוע העיקרית במערך החקירה הפלילית</w:t>
      </w:r>
      <w:r w:rsidRPr="002F6A1D">
        <w:rPr>
          <w:rFonts w:hint="cs"/>
          <w:rtl/>
        </w:rPr>
        <w:t>,</w:t>
      </w:r>
      <w:r w:rsidRPr="002F6A1D">
        <w:rPr>
          <w:rtl/>
        </w:rPr>
        <w:t xml:space="preserve"> ומשנודע לה על ביצוע עבירה היא תפתח בחקירה. הוראות חוק סדר הדין הפלילי מסדירות את סיום הטיפול בתיקי חקירה פליליים שבהם גורמי החקירה או התביעה מצאו שאין מקום להעמיד את החשודים לדין, ו</w:t>
      </w:r>
      <w:r w:rsidRPr="002F6A1D">
        <w:rPr>
          <w:rFonts w:hint="cs"/>
          <w:rtl/>
        </w:rPr>
        <w:t xml:space="preserve">גורמי </w:t>
      </w:r>
      <w:r w:rsidRPr="002F6A1D">
        <w:rPr>
          <w:rtl/>
        </w:rPr>
        <w:t>התב</w:t>
      </w:r>
      <w:r w:rsidRPr="002F6A1D">
        <w:rPr>
          <w:rFonts w:hint="cs"/>
          <w:rtl/>
        </w:rPr>
        <w:t>י</w:t>
      </w:r>
      <w:r w:rsidRPr="002F6A1D">
        <w:rPr>
          <w:rtl/>
        </w:rPr>
        <w:t>ע</w:t>
      </w:r>
      <w:r w:rsidRPr="002F6A1D">
        <w:rPr>
          <w:rFonts w:hint="cs"/>
          <w:rtl/>
        </w:rPr>
        <w:t>ה</w:t>
      </w:r>
      <w:r w:rsidRPr="002F6A1D">
        <w:rPr>
          <w:rtl/>
        </w:rPr>
        <w:t xml:space="preserve"> בוחרים את עילת הסגירה של תיק החקירה על פי הנחיות פרקליט המדינה ופקודות המשטרה בנושא. עילות הסגירה העיקריות הן </w:t>
      </w:r>
      <w:r w:rsidRPr="002F6A1D">
        <w:rPr>
          <w:rFonts w:hint="cs"/>
          <w:rtl/>
        </w:rPr>
        <w:t>כי "</w:t>
      </w:r>
      <w:r w:rsidRPr="002F6A1D">
        <w:rPr>
          <w:rtl/>
        </w:rPr>
        <w:t>נסיבות העניין אינן מתאימות להמשך חקירה או להעמדה לדין</w:t>
      </w:r>
      <w:r w:rsidRPr="002F6A1D">
        <w:rPr>
          <w:rFonts w:hint="cs"/>
          <w:rtl/>
        </w:rPr>
        <w:t>"</w:t>
      </w:r>
      <w:r w:rsidRPr="002F6A1D">
        <w:rPr>
          <w:rtl/>
        </w:rPr>
        <w:t xml:space="preserve">, </w:t>
      </w:r>
      <w:r w:rsidRPr="002F6A1D">
        <w:rPr>
          <w:rFonts w:hint="cs"/>
          <w:rtl/>
        </w:rPr>
        <w:t>"</w:t>
      </w:r>
      <w:r w:rsidRPr="002F6A1D">
        <w:rPr>
          <w:rtl/>
        </w:rPr>
        <w:t>חוסר ראיות</w:t>
      </w:r>
      <w:r w:rsidRPr="002F6A1D">
        <w:rPr>
          <w:rFonts w:hint="cs"/>
          <w:rtl/>
        </w:rPr>
        <w:t>"</w:t>
      </w:r>
      <w:r w:rsidRPr="002F6A1D">
        <w:rPr>
          <w:rtl/>
        </w:rPr>
        <w:t xml:space="preserve"> ו</w:t>
      </w:r>
      <w:r w:rsidRPr="002F6A1D">
        <w:rPr>
          <w:rFonts w:hint="cs"/>
          <w:rtl/>
        </w:rPr>
        <w:t>"</w:t>
      </w:r>
      <w:r w:rsidRPr="002F6A1D">
        <w:rPr>
          <w:rtl/>
        </w:rPr>
        <w:t>היעדר אשמה</w:t>
      </w:r>
      <w:r w:rsidRPr="002F6A1D">
        <w:rPr>
          <w:rFonts w:hint="cs"/>
          <w:rtl/>
        </w:rPr>
        <w:t>"</w:t>
      </w:r>
      <w:r w:rsidRPr="002F6A1D">
        <w:rPr>
          <w:rtl/>
        </w:rPr>
        <w:t xml:space="preserve">. </w:t>
      </w:r>
      <w:r w:rsidRPr="002F6A1D">
        <w:rPr>
          <w:rFonts w:hint="cs"/>
          <w:rtl/>
        </w:rPr>
        <w:t>פרטיו של חשוד שתיקו נסגר נותרים</w:t>
      </w:r>
      <w:r w:rsidRPr="002F6A1D">
        <w:rPr>
          <w:rtl/>
        </w:rPr>
        <w:t xml:space="preserve"> במרשמי המשטרה, </w:t>
      </w:r>
      <w:r w:rsidRPr="002F6A1D">
        <w:rPr>
          <w:rFonts w:hint="cs"/>
          <w:rtl/>
        </w:rPr>
        <w:t xml:space="preserve">אלא אם כן התיק נסגר </w:t>
      </w:r>
      <w:r w:rsidRPr="002F6A1D">
        <w:rPr>
          <w:rtl/>
        </w:rPr>
        <w:t>בעילת "היעדר אשמה", ויש לכך השלכות על שמו הטוב של האדם ו</w:t>
      </w:r>
      <w:r w:rsidRPr="002F6A1D">
        <w:rPr>
          <w:rFonts w:hint="cs"/>
          <w:rtl/>
        </w:rPr>
        <w:t xml:space="preserve">על </w:t>
      </w:r>
      <w:r w:rsidRPr="002F6A1D">
        <w:rPr>
          <w:rtl/>
        </w:rPr>
        <w:t>אפשרויות הפרנסה שלו</w:t>
      </w:r>
      <w:r w:rsidRPr="009E3D6D" w:rsidR="00CD022B">
        <w:rPr>
          <w:rtl/>
        </w:rPr>
        <w:t>.</w:t>
      </w:r>
      <w:r w:rsidRPr="00DD5B43" w:rsidR="00CD022B">
        <w:rPr>
          <w:rtl/>
        </w:rPr>
        <w:t xml:space="preserve"> </w:t>
      </w:r>
    </w:p>
    <w:p w:rsidR="0005674F" w:rsidRPr="00905C3F" w:rsidP="00905C3F" w14:paraId="3D2DE76D" w14:textId="5D3FB0B9">
      <w:pPr>
        <w:bidi w:val="0"/>
        <w:spacing w:after="200" w:line="276" w:lineRule="auto"/>
        <w:rPr>
          <w:rFonts w:ascii="Tahoma" w:hAnsi="Tahoma" w:cs="Tahoma"/>
          <w:b/>
          <w:bCs/>
          <w:color w:val="0D0D0D" w:themeColor="text1" w:themeTint="F2"/>
          <w:sz w:val="18"/>
          <w:szCs w:val="18"/>
          <w:rtl/>
        </w:rPr>
      </w:pPr>
      <w:r>
        <w:rPr>
          <w:b/>
          <w:bCs/>
          <w:rtl/>
        </w:rPr>
        <w:br w:type="page"/>
      </w:r>
    </w:p>
    <w:tbl>
      <w:tblPr>
        <w:tblStyle w:val="TableGrid"/>
        <w:bidiVisual/>
        <w:tblW w:w="7340"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6"/>
        <w:gridCol w:w="1686"/>
        <w:gridCol w:w="1618"/>
        <w:gridCol w:w="1600"/>
      </w:tblGrid>
      <w:tr w14:paraId="70FF3D6B" w14:textId="77777777" w:rsidTr="007E6E4E">
        <w:tblPrEx>
          <w:tblW w:w="7340"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39" w:type="dxa"/>
            <w:vAlign w:val="bottom"/>
          </w:tcPr>
          <w:p w:rsidR="00905C3F" w:rsidRPr="00905C3F" w:rsidP="00905C3F" w14:paraId="1A522BC0" w14:textId="77777777">
            <w:pPr>
              <w:pStyle w:val="2021"/>
              <w:spacing w:before="0"/>
              <w:rPr>
                <w:spacing w:val="-12"/>
                <w:sz w:val="10"/>
                <w:szCs w:val="10"/>
                <w:rtl/>
              </w:rPr>
            </w:pPr>
          </w:p>
          <w:p w:rsidR="0005674F" w:rsidRPr="00864A2A" w:rsidP="00613FE9" w14:paraId="25141D23" w14:textId="614823BA">
            <w:pPr>
              <w:pStyle w:val="2021"/>
              <w:spacing w:before="240"/>
              <w:rPr>
                <w:rtl/>
              </w:rPr>
            </w:pPr>
            <w:r>
              <w:rPr>
                <w:b w:val="0"/>
                <w:bCs w:val="0"/>
                <w:noProof/>
                <w:sz w:val="22"/>
                <w:szCs w:val="22"/>
                <w:rtl/>
                <w:lang w:val="he-IL"/>
              </w:rPr>
              <w:drawing>
                <wp:anchor distT="0" distB="0" distL="114300" distR="114300" simplePos="0" relativeHeight="251720704" behindDoc="0" locked="0" layoutInCell="1" allowOverlap="1">
                  <wp:simplePos x="0" y="0"/>
                  <wp:positionH relativeFrom="column">
                    <wp:posOffset>70485</wp:posOffset>
                  </wp:positionH>
                  <wp:positionV relativeFrom="paragraph">
                    <wp:posOffset>-530225</wp:posOffset>
                  </wp:positionV>
                  <wp:extent cx="1405255" cy="431800"/>
                  <wp:effectExtent l="0" t="0" r="4445" b="0"/>
                  <wp:wrapSquare wrapText="bothSides"/>
                  <wp:docPr id="76591291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89923"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r>
              <w:rPr>
                <w:rFonts w:hint="cs"/>
                <w:spacing w:val="-12"/>
                <w:sz w:val="26"/>
                <w:szCs w:val="26"/>
                <w:rtl/>
              </w:rPr>
              <w:t>כ-</w:t>
            </w:r>
            <w:r w:rsidRPr="00864A2A">
              <w:rPr>
                <w:rtl/>
              </w:rPr>
              <w:t>830,000</w:t>
            </w:r>
          </w:p>
        </w:tc>
        <w:tc>
          <w:tcPr>
            <w:tcW w:w="1814" w:type="dxa"/>
            <w:vAlign w:val="bottom"/>
          </w:tcPr>
          <w:p w:rsidR="0005674F" w:rsidRPr="00864A2A" w:rsidP="00905C3F" w14:paraId="0FAE87B5" w14:textId="77777777">
            <w:pPr>
              <w:spacing w:before="480" w:line="240" w:lineRule="auto"/>
              <w:jc w:val="left"/>
              <w:rPr>
                <w:rFonts w:ascii="Tahoma" w:hAnsi="Tahoma" w:cs="Tahoma"/>
                <w:spacing w:val="-10"/>
                <w:sz w:val="26"/>
                <w:szCs w:val="26"/>
                <w:rtl/>
              </w:rPr>
            </w:pPr>
            <w:r w:rsidRPr="00864A2A">
              <w:rPr>
                <w:rFonts w:ascii="Tahoma" w:hAnsi="Tahoma" w:eastAsiaTheme="minorEastAsia" w:cs="Tahoma" w:hint="cs"/>
                <w:b/>
                <w:bCs/>
                <w:color w:val="0D0D0D" w:themeColor="text1" w:themeTint="F2"/>
                <w:sz w:val="26"/>
                <w:szCs w:val="26"/>
                <w:rtl/>
              </w:rPr>
              <w:t>כ-</w:t>
            </w:r>
            <w:r>
              <w:rPr>
                <w:rFonts w:ascii="Tahoma" w:hAnsi="Tahoma" w:eastAsiaTheme="minorEastAsia" w:cs="Tahoma" w:hint="cs"/>
                <w:b/>
                <w:bCs/>
                <w:color w:val="0D0D0D" w:themeColor="text1" w:themeTint="F2"/>
                <w:sz w:val="36"/>
                <w:szCs w:val="36"/>
                <w:rtl/>
              </w:rPr>
              <w:t xml:space="preserve"> 55,000</w:t>
            </w:r>
            <w:r w:rsidRPr="00664A6F">
              <w:rPr>
                <w:rFonts w:ascii="Tahoma" w:hAnsi="Tahoma" w:cs="Tahoma"/>
                <w:spacing w:val="-10"/>
                <w:sz w:val="26"/>
                <w:szCs w:val="26"/>
                <w:rtl/>
              </w:rPr>
              <w:t xml:space="preserve"> </w:t>
            </w:r>
          </w:p>
        </w:tc>
        <w:tc>
          <w:tcPr>
            <w:tcW w:w="1843" w:type="dxa"/>
            <w:vAlign w:val="bottom"/>
          </w:tcPr>
          <w:p w:rsidR="0005674F" w:rsidRPr="00864A2A" w:rsidP="008C3754" w14:paraId="3598E2E0" w14:textId="77777777">
            <w:pPr>
              <w:spacing w:before="360" w:line="240" w:lineRule="auto"/>
              <w:jc w:val="left"/>
              <w:rPr>
                <w:rFonts w:ascii="Tahoma" w:hAnsi="Tahoma" w:cs="Tahoma"/>
                <w:spacing w:val="-10"/>
                <w:sz w:val="26"/>
                <w:szCs w:val="26"/>
                <w:rtl/>
              </w:rPr>
            </w:pPr>
            <w:r w:rsidRPr="00864A2A">
              <w:rPr>
                <w:rFonts w:ascii="Tahoma" w:hAnsi="Tahoma" w:eastAsiaTheme="minorEastAsia" w:cs="Tahoma" w:hint="cs"/>
                <w:b/>
                <w:bCs/>
                <w:color w:val="0D0D0D" w:themeColor="text1" w:themeTint="F2"/>
                <w:sz w:val="26"/>
                <w:szCs w:val="26"/>
                <w:rtl/>
              </w:rPr>
              <w:t>כ-</w:t>
            </w:r>
            <w:r>
              <w:rPr>
                <w:rFonts w:ascii="Tahoma" w:hAnsi="Tahoma" w:eastAsiaTheme="minorEastAsia" w:cs="Tahoma" w:hint="cs"/>
                <w:b/>
                <w:bCs/>
                <w:color w:val="0D0D0D" w:themeColor="text1" w:themeTint="F2"/>
                <w:sz w:val="36"/>
                <w:szCs w:val="36"/>
                <w:rtl/>
              </w:rPr>
              <w:t>6,000</w:t>
            </w:r>
            <w:r w:rsidRPr="00664A6F">
              <w:rPr>
                <w:rFonts w:ascii="Tahoma" w:hAnsi="Tahoma" w:cs="Tahoma"/>
                <w:spacing w:val="-10"/>
                <w:sz w:val="26"/>
                <w:szCs w:val="26"/>
                <w:rtl/>
              </w:rPr>
              <w:t xml:space="preserve"> </w:t>
            </w:r>
          </w:p>
        </w:tc>
        <w:tc>
          <w:tcPr>
            <w:tcW w:w="1844" w:type="dxa"/>
            <w:vAlign w:val="bottom"/>
          </w:tcPr>
          <w:p w:rsidR="0005674F" w:rsidRPr="000E7BE6" w:rsidP="008C3754" w14:paraId="45448716" w14:textId="77777777">
            <w:pPr>
              <w:pStyle w:val="2021"/>
              <w:spacing w:before="360"/>
              <w:rPr>
                <w:spacing w:val="-26"/>
                <w:rtl/>
              </w:rPr>
            </w:pPr>
            <w:r w:rsidRPr="00864A2A">
              <w:rPr>
                <w:rFonts w:hint="cs"/>
                <w:spacing w:val="-10"/>
                <w:sz w:val="26"/>
                <w:szCs w:val="26"/>
                <w:rtl/>
              </w:rPr>
              <w:t>כ-</w:t>
            </w:r>
            <w:r>
              <w:rPr>
                <w:rFonts w:hint="cs"/>
                <w:spacing w:val="-10"/>
                <w:rtl/>
              </w:rPr>
              <w:t>4,500</w:t>
            </w:r>
          </w:p>
        </w:tc>
      </w:tr>
      <w:tr w14:paraId="30F8DEA0" w14:textId="77777777" w:rsidTr="007E6E4E">
        <w:tblPrEx>
          <w:tblW w:w="7340" w:type="dxa"/>
          <w:tblInd w:w="517" w:type="dxa"/>
          <w:tblLook w:val="04A0"/>
        </w:tblPrEx>
        <w:tc>
          <w:tcPr>
            <w:tcW w:w="1839" w:type="dxa"/>
          </w:tcPr>
          <w:p w:rsidR="0005674F" w:rsidRPr="00664A6F" w:rsidP="008C3754" w14:paraId="0AE41754" w14:textId="0B53E5AD">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1488" behindDoc="0" locked="0" layoutInCell="1" allowOverlap="1">
                      <wp:simplePos x="0" y="0"/>
                      <wp:positionH relativeFrom="column">
                        <wp:posOffset>28399</wp:posOffset>
                      </wp:positionH>
                      <wp:positionV relativeFrom="paragraph">
                        <wp:posOffset>49405</wp:posOffset>
                      </wp:positionV>
                      <wp:extent cx="1374785" cy="0"/>
                      <wp:effectExtent l="0" t="0" r="9525" b="12700"/>
                      <wp:wrapNone/>
                      <wp:docPr id="1304955"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7478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33" style="flip:x;mso-width-percent:0;mso-width-relative:margin;mso-wrap-distance-bottom:0;mso-wrap-distance-left:9pt;mso-wrap-distance-right:9pt;mso-wrap-distance-top:0;mso-wrap-style:square;position:absolute;visibility:visible;z-index:251712512" from="2.25pt,3.9pt" to="110.5pt,3.9pt" strokecolor="#0d0d0d" strokeweight="1pt"/>
                  </w:pict>
                </mc:Fallback>
              </mc:AlternateContent>
            </w:r>
          </w:p>
        </w:tc>
        <w:tc>
          <w:tcPr>
            <w:tcW w:w="1814" w:type="dxa"/>
          </w:tcPr>
          <w:p w:rsidR="0005674F" w:rsidRPr="00664A6F" w:rsidP="008C3754" w14:paraId="6B5FA2E4" w14:textId="3497DA92">
            <w:pPr>
              <w:pStyle w:val="20211"/>
              <w:spacing w:after="0" w:line="160" w:lineRule="exact"/>
              <w:rPr>
                <w:rtl/>
              </w:rPr>
            </w:pPr>
          </w:p>
        </w:tc>
        <w:tc>
          <w:tcPr>
            <w:tcW w:w="1843" w:type="dxa"/>
          </w:tcPr>
          <w:p w:rsidR="0005674F" w:rsidRPr="00664A6F" w:rsidP="008C3754" w14:paraId="4EF8F991" w14:textId="40A8E6E2">
            <w:pPr>
              <w:pStyle w:val="20211"/>
              <w:spacing w:after="0" w:line="160" w:lineRule="exact"/>
              <w:rPr>
                <w:rtl/>
              </w:rPr>
            </w:pPr>
            <w:r>
              <w:rPr>
                <w:noProof/>
                <w:w w:val="100"/>
                <w:rtl/>
                <w:lang w:val="he-IL"/>
              </w:rPr>
              <mc:AlternateContent>
                <mc:Choice Requires="wps">
                  <w:drawing>
                    <wp:anchor distT="0" distB="0" distL="114300" distR="114300" simplePos="0" relativeHeight="251713536" behindDoc="0" locked="0" layoutInCell="1" allowOverlap="1">
                      <wp:simplePos x="0" y="0"/>
                      <wp:positionH relativeFrom="column">
                        <wp:posOffset>1039239</wp:posOffset>
                      </wp:positionH>
                      <wp:positionV relativeFrom="paragraph">
                        <wp:posOffset>49405</wp:posOffset>
                      </wp:positionV>
                      <wp:extent cx="906525" cy="0"/>
                      <wp:effectExtent l="0" t="0" r="8255" b="12700"/>
                      <wp:wrapNone/>
                      <wp:docPr id="21"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9065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34" style="flip:x;mso-width-percent:0;mso-width-relative:margin;mso-wrap-distance-bottom:0;mso-wrap-distance-left:9pt;mso-wrap-distance-right:9pt;mso-wrap-distance-top:0;mso-wrap-style:square;position:absolute;visibility:visible;z-index:251714560" from="81.85pt,3.9pt" to="153.25pt,3.9pt" strokecolor="#0d0d0d" strokeweight="1pt"/>
                  </w:pict>
                </mc:Fallback>
              </mc:AlternateContent>
            </w:r>
            <w:r>
              <w:rPr>
                <w:noProof/>
                <w:w w:val="100"/>
                <w:rtl/>
                <w:lang w:val="he-IL"/>
              </w:rPr>
              <mc:AlternateContent>
                <mc:Choice Requires="wps">
                  <w:drawing>
                    <wp:anchor distT="0" distB="0" distL="114300" distR="114300" simplePos="0" relativeHeight="251715584" behindDoc="0" locked="0" layoutInCell="1" allowOverlap="1">
                      <wp:simplePos x="0" y="0"/>
                      <wp:positionH relativeFrom="column">
                        <wp:posOffset>-47960</wp:posOffset>
                      </wp:positionH>
                      <wp:positionV relativeFrom="paragraph">
                        <wp:posOffset>49405</wp:posOffset>
                      </wp:positionV>
                      <wp:extent cx="900000" cy="0"/>
                      <wp:effectExtent l="0" t="0" r="14605" b="12700"/>
                      <wp:wrapNone/>
                      <wp:docPr id="29"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900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35" style="flip:x;mso-width-percent:0;mso-width-relative:margin;mso-wrap-distance-bottom:0;mso-wrap-distance-left:9pt;mso-wrap-distance-right:9pt;mso-wrap-distance-top:0;mso-wrap-style:square;position:absolute;visibility:visible;z-index:251716608" from="-3.8pt,3.9pt" to="67.05pt,3.9pt" strokecolor="#0d0d0d" strokeweight="1pt"/>
                  </w:pict>
                </mc:Fallback>
              </mc:AlternateContent>
            </w:r>
          </w:p>
        </w:tc>
        <w:tc>
          <w:tcPr>
            <w:tcW w:w="1844" w:type="dxa"/>
          </w:tcPr>
          <w:p w:rsidR="0005674F" w:rsidRPr="00664A6F" w:rsidP="008C3754" w14:paraId="408B0984" w14:textId="00CA28DA">
            <w:pPr>
              <w:pStyle w:val="20211"/>
              <w:spacing w:after="0" w:line="160" w:lineRule="exact"/>
              <w:rPr>
                <w:rtl/>
              </w:rPr>
            </w:pPr>
          </w:p>
        </w:tc>
      </w:tr>
      <w:tr w14:paraId="12B63624" w14:textId="77777777" w:rsidTr="007E6E4E">
        <w:tblPrEx>
          <w:tblW w:w="7340" w:type="dxa"/>
          <w:tblInd w:w="517" w:type="dxa"/>
          <w:tblLook w:val="04A0"/>
        </w:tblPrEx>
        <w:tc>
          <w:tcPr>
            <w:tcW w:w="1839" w:type="dxa"/>
          </w:tcPr>
          <w:p w:rsidR="0005674F" w:rsidRPr="009A73F6" w:rsidP="008C3754" w14:paraId="56817983" w14:textId="139F804F">
            <w:pPr>
              <w:pStyle w:val="20211"/>
              <w:rPr>
                <w:rtl/>
              </w:rPr>
            </w:pPr>
            <w:r w:rsidRPr="00016699">
              <w:rPr>
                <w:rtl/>
              </w:rPr>
              <w:t>מספר הבגירים בישראל שיש להם רישום במרשם המשטרתי</w:t>
            </w:r>
            <w:r w:rsidRPr="00016699">
              <w:rPr>
                <w:rFonts w:hint="cs"/>
                <w:rtl/>
              </w:rPr>
              <w:t xml:space="preserve"> - </w:t>
            </w:r>
            <w:r w:rsidRPr="00016699">
              <w:rPr>
                <w:rtl/>
              </w:rPr>
              <w:t>אחד מכל 7.5 בגירים במדינת ישראל</w:t>
            </w:r>
          </w:p>
        </w:tc>
        <w:tc>
          <w:tcPr>
            <w:tcW w:w="1814" w:type="dxa"/>
          </w:tcPr>
          <w:p w:rsidR="0005674F" w:rsidP="008C3754" w14:paraId="419417BB" w14:textId="77777777">
            <w:pPr>
              <w:spacing w:line="240" w:lineRule="auto"/>
              <w:ind w:right="23"/>
              <w:jc w:val="left"/>
              <w:rPr>
                <w:rFonts w:ascii="Tahoma" w:hAnsi="Tahoma" w:eastAsiaTheme="minorEastAsia" w:cs="Tahoma"/>
                <w:color w:val="0D0D0D" w:themeColor="text1" w:themeTint="F2"/>
                <w:w w:val="90"/>
                <w:sz w:val="18"/>
                <w:szCs w:val="18"/>
                <w:rtl/>
              </w:rPr>
            </w:pPr>
            <w:r w:rsidRPr="00016699">
              <w:rPr>
                <w:rFonts w:ascii="Tahoma" w:hAnsi="Tahoma" w:eastAsiaTheme="minorEastAsia" w:cs="Tahoma"/>
                <w:color w:val="0D0D0D" w:themeColor="text1" w:themeTint="F2"/>
                <w:w w:val="90"/>
                <w:sz w:val="18"/>
                <w:szCs w:val="18"/>
                <w:rtl/>
              </w:rPr>
              <w:t xml:space="preserve">מספר </w:t>
            </w:r>
            <w:r w:rsidRPr="00016699">
              <w:rPr>
                <w:rFonts w:ascii="Tahoma" w:hAnsi="Tahoma" w:eastAsiaTheme="minorEastAsia" w:cs="Tahoma" w:hint="cs"/>
                <w:color w:val="0D0D0D" w:themeColor="text1" w:themeTint="F2"/>
                <w:w w:val="90"/>
                <w:sz w:val="18"/>
                <w:szCs w:val="18"/>
                <w:rtl/>
              </w:rPr>
              <w:t>תיקי חשודים</w:t>
            </w:r>
            <w:r w:rsidRPr="00016699">
              <w:rPr>
                <w:rFonts w:ascii="Tahoma" w:hAnsi="Tahoma" w:eastAsiaTheme="minorEastAsia" w:cs="Tahoma"/>
                <w:color w:val="0D0D0D" w:themeColor="text1" w:themeTint="F2"/>
                <w:w w:val="90"/>
                <w:sz w:val="18"/>
                <w:szCs w:val="18"/>
                <w:rtl/>
              </w:rPr>
              <w:t xml:space="preserve"> שסגרו המשטרה והפרקליטות בשנת 2020 בעילת "חוסר ראיות"</w:t>
            </w:r>
            <w:r w:rsidRPr="00016699">
              <w:rPr>
                <w:rFonts w:ascii="Tahoma" w:hAnsi="Tahoma" w:eastAsiaTheme="minorEastAsia" w:cs="Tahoma" w:hint="cs"/>
                <w:color w:val="0D0D0D" w:themeColor="text1" w:themeTint="F2"/>
                <w:w w:val="90"/>
                <w:sz w:val="18"/>
                <w:szCs w:val="18"/>
                <w:rtl/>
              </w:rPr>
              <w:t xml:space="preserve">; שיעורם </w:t>
            </w:r>
            <w:r w:rsidRPr="00016699">
              <w:rPr>
                <w:rFonts w:ascii="Tahoma" w:hAnsi="Tahoma" w:eastAsiaTheme="minorEastAsia" w:cs="Tahoma"/>
                <w:color w:val="0D0D0D" w:themeColor="text1" w:themeTint="F2"/>
                <w:w w:val="90"/>
                <w:sz w:val="18"/>
                <w:szCs w:val="18"/>
                <w:rtl/>
              </w:rPr>
              <w:t>כ-</w:t>
            </w:r>
            <w:r w:rsidRPr="00016699">
              <w:rPr>
                <w:rFonts w:ascii="Tahoma" w:hAnsi="Tahoma" w:eastAsiaTheme="minorEastAsia" w:cs="Tahoma" w:hint="cs"/>
                <w:color w:val="0D0D0D" w:themeColor="text1" w:themeTint="F2"/>
                <w:w w:val="90"/>
                <w:sz w:val="18"/>
                <w:szCs w:val="18"/>
                <w:rtl/>
              </w:rPr>
              <w:t>60</w:t>
            </w:r>
            <w:r w:rsidRPr="00016699">
              <w:rPr>
                <w:rFonts w:ascii="Tahoma" w:hAnsi="Tahoma" w:eastAsiaTheme="minorEastAsia" w:cs="Tahoma"/>
                <w:color w:val="0D0D0D" w:themeColor="text1" w:themeTint="F2"/>
                <w:w w:val="90"/>
                <w:sz w:val="18"/>
                <w:szCs w:val="18"/>
                <w:rtl/>
              </w:rPr>
              <w:t>% מהתיקים שנסגרו באותה שנה (כ-</w:t>
            </w:r>
            <w:r w:rsidRPr="00016699">
              <w:rPr>
                <w:rFonts w:ascii="Tahoma" w:hAnsi="Tahoma" w:eastAsiaTheme="minorEastAsia" w:cs="Tahoma" w:hint="cs"/>
                <w:color w:val="0D0D0D" w:themeColor="text1" w:themeTint="F2"/>
                <w:w w:val="90"/>
                <w:sz w:val="18"/>
                <w:szCs w:val="18"/>
                <w:rtl/>
              </w:rPr>
              <w:t>90</w:t>
            </w:r>
            <w:r w:rsidRPr="00016699">
              <w:rPr>
                <w:rFonts w:ascii="Tahoma" w:hAnsi="Tahoma" w:eastAsiaTheme="minorEastAsia" w:cs="Tahoma"/>
                <w:color w:val="0D0D0D" w:themeColor="text1" w:themeTint="F2"/>
                <w:w w:val="90"/>
                <w:sz w:val="18"/>
                <w:szCs w:val="18"/>
                <w:rtl/>
              </w:rPr>
              <w:t>,000 תיקים)</w:t>
            </w:r>
          </w:p>
          <w:p w:rsidR="000D7ABB" w:rsidRPr="00864A2A" w:rsidP="008C3754" w14:paraId="401F8B2E" w14:textId="3FE4A4D3">
            <w:pPr>
              <w:spacing w:line="240" w:lineRule="auto"/>
              <w:ind w:right="23"/>
              <w:jc w:val="left"/>
              <w:rPr>
                <w:rFonts w:ascii="Tahoma" w:hAnsi="Tahoma" w:eastAsiaTheme="minorEastAsia" w:cs="Tahoma"/>
                <w:color w:val="0D0D0D" w:themeColor="text1" w:themeTint="F2"/>
                <w:w w:val="90"/>
                <w:sz w:val="18"/>
                <w:szCs w:val="18"/>
                <w:rtl/>
              </w:rPr>
            </w:pPr>
          </w:p>
        </w:tc>
        <w:tc>
          <w:tcPr>
            <w:tcW w:w="1843" w:type="dxa"/>
          </w:tcPr>
          <w:p w:rsidR="0005674F" w:rsidRPr="00EB223C" w:rsidP="008C3754" w14:paraId="152B2F77" w14:textId="77777777">
            <w:pPr>
              <w:pStyle w:val="20211"/>
              <w:rPr>
                <w:rtl/>
              </w:rPr>
            </w:pPr>
            <w:r w:rsidRPr="00016699">
              <w:rPr>
                <w:rtl/>
              </w:rPr>
              <w:t xml:space="preserve">מספר </w:t>
            </w:r>
            <w:r w:rsidRPr="00016699">
              <w:rPr>
                <w:rFonts w:hint="cs"/>
                <w:rtl/>
              </w:rPr>
              <w:t>תיקי החשודים</w:t>
            </w:r>
            <w:r w:rsidRPr="00016699">
              <w:rPr>
                <w:rtl/>
              </w:rPr>
              <w:t xml:space="preserve"> שסגרה הפרקליטות בעילת "היעדר אשמה" בשנת 2020</w:t>
            </w:r>
            <w:r w:rsidRPr="00016699">
              <w:rPr>
                <w:rFonts w:hint="cs"/>
                <w:rtl/>
              </w:rPr>
              <w:t>,</w:t>
            </w:r>
            <w:r w:rsidRPr="00016699">
              <w:rPr>
                <w:rtl/>
              </w:rPr>
              <w:t xml:space="preserve"> לעומת </w:t>
            </w:r>
            <w:r w:rsidRPr="00016699">
              <w:rPr>
                <w:rtl/>
              </w:rPr>
              <w:br/>
              <w:t>כ-3,500 בשנת 2015</w:t>
            </w:r>
          </w:p>
        </w:tc>
        <w:tc>
          <w:tcPr>
            <w:tcW w:w="1844" w:type="dxa"/>
          </w:tcPr>
          <w:p w:rsidR="0005674F" w:rsidRPr="009A73F6" w:rsidP="007E6E4E" w14:paraId="34C8B435" w14:textId="77777777">
            <w:pPr>
              <w:pStyle w:val="20211"/>
              <w:spacing w:after="0"/>
              <w:rPr>
                <w:rtl/>
              </w:rPr>
            </w:pPr>
            <w:r w:rsidRPr="00016699">
              <w:rPr>
                <w:rtl/>
              </w:rPr>
              <w:t xml:space="preserve">מספר </w:t>
            </w:r>
            <w:r w:rsidRPr="00016699">
              <w:rPr>
                <w:rFonts w:hint="cs"/>
                <w:rtl/>
              </w:rPr>
              <w:t>תיקי החשודים</w:t>
            </w:r>
            <w:r w:rsidRPr="00016699">
              <w:rPr>
                <w:rtl/>
              </w:rPr>
              <w:t xml:space="preserve"> שסגרה הפרקליטות בשנת 2020 בעילת </w:t>
            </w:r>
            <w:r w:rsidRPr="00016699">
              <w:rPr>
                <w:rFonts w:hint="cs"/>
                <w:rtl/>
              </w:rPr>
              <w:t>"</w:t>
            </w:r>
            <w:r w:rsidRPr="00016699">
              <w:rPr>
                <w:rtl/>
              </w:rPr>
              <w:t>נסיבות העניין אינן מתאימות להעמדה לדין/המשך חקירה (נל"ן)</w:t>
            </w:r>
            <w:r w:rsidRPr="00016699">
              <w:rPr>
                <w:rFonts w:hint="cs"/>
                <w:rtl/>
              </w:rPr>
              <w:t>"</w:t>
            </w:r>
            <w:r w:rsidRPr="00016699">
              <w:rPr>
                <w:rtl/>
              </w:rPr>
              <w:t xml:space="preserve">, לעומת </w:t>
            </w:r>
            <w:r w:rsidRPr="00016699">
              <w:rPr>
                <w:rtl/>
              </w:rPr>
              <w:br/>
              <w:t>כ-6,200 בשנת 2015</w:t>
            </w:r>
          </w:p>
        </w:tc>
      </w:tr>
      <w:tr w14:paraId="46CC2C69" w14:textId="77777777" w:rsidTr="008C3754">
        <w:tblPrEx>
          <w:tblW w:w="7340" w:type="dxa"/>
          <w:tblInd w:w="517" w:type="dxa"/>
          <w:tblLook w:val="04A0"/>
        </w:tblPrEx>
        <w:tc>
          <w:tcPr>
            <w:tcW w:w="1839" w:type="dxa"/>
            <w:vAlign w:val="bottom"/>
          </w:tcPr>
          <w:p w:rsidR="000D7ABB" w:rsidRPr="00864A2A" w:rsidP="008C3754" w14:paraId="61F74E85" w14:textId="0A582849">
            <w:pPr>
              <w:pStyle w:val="2021"/>
              <w:spacing w:before="240"/>
              <w:rPr>
                <w:rtl/>
              </w:rPr>
            </w:pPr>
            <w:r>
              <w:rPr>
                <w:rFonts w:hint="cs"/>
                <w:spacing w:val="-12"/>
                <w:sz w:val="26"/>
                <w:szCs w:val="26"/>
                <w:rtl/>
              </w:rPr>
              <w:t>כ-</w:t>
            </w:r>
            <w:r>
              <w:rPr>
                <w:rFonts w:hint="cs"/>
                <w:rtl/>
              </w:rPr>
              <w:t>130</w:t>
            </w:r>
            <w:r w:rsidRPr="00864A2A">
              <w:rPr>
                <w:rtl/>
              </w:rPr>
              <w:t>,000</w:t>
            </w:r>
          </w:p>
        </w:tc>
        <w:tc>
          <w:tcPr>
            <w:tcW w:w="1814" w:type="dxa"/>
            <w:vAlign w:val="bottom"/>
          </w:tcPr>
          <w:p w:rsidR="000D7ABB" w:rsidRPr="00864A2A" w:rsidP="008C3754" w14:paraId="678C3F6C" w14:textId="20548412">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z w:val="36"/>
                <w:szCs w:val="36"/>
                <w:rtl/>
              </w:rPr>
              <w:t>7</w:t>
            </w:r>
            <w:r w:rsidRPr="00664A6F">
              <w:rPr>
                <w:rFonts w:ascii="Tahoma" w:hAnsi="Tahoma" w:cs="Tahoma"/>
                <w:spacing w:val="-10"/>
                <w:sz w:val="26"/>
                <w:szCs w:val="26"/>
                <w:rtl/>
              </w:rPr>
              <w:t xml:space="preserve"> </w:t>
            </w:r>
          </w:p>
        </w:tc>
        <w:tc>
          <w:tcPr>
            <w:tcW w:w="1843" w:type="dxa"/>
            <w:vAlign w:val="bottom"/>
          </w:tcPr>
          <w:p w:rsidR="000D7ABB" w:rsidRPr="00864A2A" w:rsidP="008C3754" w14:paraId="0A69FCC9" w14:textId="1CDEB78C">
            <w:pPr>
              <w:spacing w:before="360" w:line="240" w:lineRule="auto"/>
              <w:jc w:val="left"/>
              <w:rPr>
                <w:rFonts w:ascii="Tahoma" w:hAnsi="Tahoma" w:cs="Tahoma"/>
                <w:spacing w:val="-10"/>
                <w:sz w:val="26"/>
                <w:szCs w:val="26"/>
                <w:rtl/>
              </w:rPr>
            </w:pPr>
            <w:r w:rsidRPr="00864A2A">
              <w:rPr>
                <w:rFonts w:ascii="Tahoma" w:hAnsi="Tahoma" w:eastAsiaTheme="minorEastAsia" w:cs="Tahoma" w:hint="cs"/>
                <w:b/>
                <w:bCs/>
                <w:color w:val="0D0D0D" w:themeColor="text1" w:themeTint="F2"/>
                <w:sz w:val="26"/>
                <w:szCs w:val="26"/>
                <w:rtl/>
              </w:rPr>
              <w:t>כ-</w:t>
            </w:r>
            <w:r>
              <w:rPr>
                <w:rFonts w:ascii="Tahoma" w:hAnsi="Tahoma" w:eastAsiaTheme="minorEastAsia" w:cs="Tahoma" w:hint="cs"/>
                <w:b/>
                <w:bCs/>
                <w:color w:val="0D0D0D" w:themeColor="text1" w:themeTint="F2"/>
                <w:sz w:val="36"/>
                <w:szCs w:val="36"/>
                <w:rtl/>
              </w:rPr>
              <w:t>3,800</w:t>
            </w:r>
            <w:r w:rsidRPr="00664A6F">
              <w:rPr>
                <w:rFonts w:ascii="Tahoma" w:hAnsi="Tahoma" w:cs="Tahoma"/>
                <w:spacing w:val="-10"/>
                <w:sz w:val="26"/>
                <w:szCs w:val="26"/>
                <w:rtl/>
              </w:rPr>
              <w:t xml:space="preserve"> </w:t>
            </w:r>
          </w:p>
        </w:tc>
        <w:tc>
          <w:tcPr>
            <w:tcW w:w="1844" w:type="dxa"/>
            <w:vAlign w:val="bottom"/>
          </w:tcPr>
          <w:p w:rsidR="000D7ABB" w:rsidRPr="000E7BE6" w:rsidP="008C3754" w14:paraId="1F1369BD" w14:textId="3F385C02">
            <w:pPr>
              <w:pStyle w:val="2021"/>
              <w:spacing w:before="360"/>
              <w:rPr>
                <w:spacing w:val="-26"/>
                <w:rtl/>
              </w:rPr>
            </w:pPr>
          </w:p>
        </w:tc>
      </w:tr>
      <w:tr w14:paraId="5BA209D1" w14:textId="77777777" w:rsidTr="008C3754">
        <w:tblPrEx>
          <w:tblW w:w="7340" w:type="dxa"/>
          <w:tblInd w:w="517" w:type="dxa"/>
          <w:tblLook w:val="04A0"/>
        </w:tblPrEx>
        <w:tc>
          <w:tcPr>
            <w:tcW w:w="1839" w:type="dxa"/>
          </w:tcPr>
          <w:p w:rsidR="000D7ABB" w:rsidRPr="00664A6F" w:rsidP="008C3754" w14:paraId="21D08D31"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24800" behindDoc="0" locked="0" layoutInCell="1" allowOverlap="1">
                      <wp:simplePos x="0" y="0"/>
                      <wp:positionH relativeFrom="column">
                        <wp:posOffset>28399</wp:posOffset>
                      </wp:positionH>
                      <wp:positionV relativeFrom="paragraph">
                        <wp:posOffset>50960</wp:posOffset>
                      </wp:positionV>
                      <wp:extent cx="1410775" cy="0"/>
                      <wp:effectExtent l="0" t="0" r="12065" b="12700"/>
                      <wp:wrapNone/>
                      <wp:docPr id="76591294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41077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36" style="flip:x;mso-width-percent:0;mso-width-relative:margin;mso-wrap-distance-bottom:0;mso-wrap-distance-left:9pt;mso-wrap-distance-right:9pt;mso-wrap-distance-top:0;mso-wrap-style:square;position:absolute;visibility:visible;z-index:251725824" from="2.25pt,4pt" to="113.35pt,4pt" strokecolor="#0d0d0d" strokeweight="1pt"/>
                  </w:pict>
                </mc:Fallback>
              </mc:AlternateContent>
            </w:r>
          </w:p>
        </w:tc>
        <w:tc>
          <w:tcPr>
            <w:tcW w:w="1814" w:type="dxa"/>
          </w:tcPr>
          <w:p w:rsidR="000D7ABB" w:rsidRPr="00664A6F" w:rsidP="008C3754" w14:paraId="58C54A7F" w14:textId="61034A9C">
            <w:pPr>
              <w:pStyle w:val="20211"/>
              <w:spacing w:after="0" w:line="160" w:lineRule="exact"/>
              <w:rPr>
                <w:rtl/>
              </w:rPr>
            </w:pPr>
          </w:p>
        </w:tc>
        <w:tc>
          <w:tcPr>
            <w:tcW w:w="1843" w:type="dxa"/>
          </w:tcPr>
          <w:p w:rsidR="000D7ABB" w:rsidRPr="00664A6F" w:rsidP="008C3754" w14:paraId="23C7BEBC" w14:textId="56523709">
            <w:pPr>
              <w:pStyle w:val="20211"/>
              <w:spacing w:after="0" w:line="160" w:lineRule="exact"/>
              <w:rPr>
                <w:rtl/>
              </w:rPr>
            </w:pPr>
            <w:r>
              <w:rPr>
                <w:noProof/>
                <w:w w:val="100"/>
                <w:rtl/>
                <w:lang w:val="he-IL"/>
              </w:rPr>
              <mc:AlternateContent>
                <mc:Choice Requires="wps">
                  <w:drawing>
                    <wp:anchor distT="0" distB="0" distL="114300" distR="114300" simplePos="0" relativeHeight="251726848" behindDoc="0" locked="0" layoutInCell="1" allowOverlap="1">
                      <wp:simplePos x="0" y="0"/>
                      <wp:positionH relativeFrom="column">
                        <wp:posOffset>1039239</wp:posOffset>
                      </wp:positionH>
                      <wp:positionV relativeFrom="paragraph">
                        <wp:posOffset>50960</wp:posOffset>
                      </wp:positionV>
                      <wp:extent cx="899325" cy="0"/>
                      <wp:effectExtent l="0" t="0" r="15240" b="12700"/>
                      <wp:wrapNone/>
                      <wp:docPr id="765912950"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8993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37" style="flip:x;mso-width-percent:0;mso-width-relative:margin;mso-wrap-distance-bottom:0;mso-wrap-distance-left:9pt;mso-wrap-distance-right:9pt;mso-wrap-distance-top:0;mso-wrap-style:square;position:absolute;visibility:visible;z-index:251727872" from="81.85pt,4pt" to="152.65pt,4pt" strokecolor="#0d0d0d" strokeweight="1pt"/>
                  </w:pict>
                </mc:Fallback>
              </mc:AlternateContent>
            </w:r>
            <w:r>
              <w:rPr>
                <w:noProof/>
                <w:w w:val="100"/>
                <w:rtl/>
                <w:lang w:val="he-IL"/>
              </w:rPr>
              <mc:AlternateContent>
                <mc:Choice Requires="wps">
                  <w:drawing>
                    <wp:anchor distT="0" distB="0" distL="114300" distR="114300" simplePos="0" relativeHeight="251728896" behindDoc="0" locked="0" layoutInCell="1" allowOverlap="1">
                      <wp:simplePos x="0" y="0"/>
                      <wp:positionH relativeFrom="column">
                        <wp:posOffset>-47960</wp:posOffset>
                      </wp:positionH>
                      <wp:positionV relativeFrom="paragraph">
                        <wp:posOffset>50960</wp:posOffset>
                      </wp:positionV>
                      <wp:extent cx="899795" cy="0"/>
                      <wp:effectExtent l="0" t="0" r="14605" b="12700"/>
                      <wp:wrapNone/>
                      <wp:docPr id="765912951"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89979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38" style="flip:x;mso-width-percent:0;mso-width-relative:margin;mso-wrap-distance-bottom:0;mso-wrap-distance-left:9pt;mso-wrap-distance-right:9pt;mso-wrap-distance-top:0;mso-wrap-style:square;position:absolute;visibility:visible;z-index:251729920" from="-3.8pt,4pt" to="67.05pt,4pt" strokecolor="#0d0d0d" strokeweight="1pt"/>
                  </w:pict>
                </mc:Fallback>
              </mc:AlternateContent>
            </w:r>
          </w:p>
        </w:tc>
        <w:tc>
          <w:tcPr>
            <w:tcW w:w="1844" w:type="dxa"/>
          </w:tcPr>
          <w:p w:rsidR="000D7ABB" w:rsidRPr="00664A6F" w:rsidP="008C3754" w14:paraId="40ECE88C" w14:textId="6D35B16D">
            <w:pPr>
              <w:pStyle w:val="20211"/>
              <w:spacing w:after="0" w:line="160" w:lineRule="exact"/>
              <w:rPr>
                <w:rtl/>
              </w:rPr>
            </w:pPr>
          </w:p>
        </w:tc>
      </w:tr>
      <w:tr w14:paraId="5DCA8830" w14:textId="77777777" w:rsidTr="008C3754">
        <w:tblPrEx>
          <w:tblW w:w="7340" w:type="dxa"/>
          <w:tblInd w:w="517" w:type="dxa"/>
          <w:tblLook w:val="04A0"/>
        </w:tblPrEx>
        <w:tc>
          <w:tcPr>
            <w:tcW w:w="1839" w:type="dxa"/>
          </w:tcPr>
          <w:p w:rsidR="000D7ABB" w:rsidP="000D7ABB" w14:paraId="14A57308" w14:textId="77777777">
            <w:pPr>
              <w:pStyle w:val="20211"/>
              <w:rPr>
                <w:rtl/>
              </w:rPr>
            </w:pPr>
            <w:r w:rsidRPr="00016699">
              <w:rPr>
                <w:rtl/>
              </w:rPr>
              <w:t xml:space="preserve">מספר </w:t>
            </w:r>
            <w:r w:rsidRPr="00016699">
              <w:rPr>
                <w:rtl/>
              </w:rPr>
              <w:t>הנילונים</w:t>
            </w:r>
            <w:r>
              <w:rPr>
                <w:vertAlign w:val="superscript"/>
                <w:rtl/>
              </w:rPr>
              <w:footnoteReference w:id="2"/>
            </w:r>
            <w:r w:rsidRPr="00016699">
              <w:rPr>
                <w:rtl/>
              </w:rPr>
              <w:t xml:space="preserve"> שנפתחו להם תיקי חקירה בלי שנחקרו באזהרה בשנים</w:t>
            </w:r>
            <w:r>
              <w:rPr>
                <w:rtl/>
              </w:rPr>
              <w:br/>
            </w:r>
            <w:r w:rsidRPr="00016699">
              <w:rPr>
                <w:rtl/>
              </w:rPr>
              <w:t xml:space="preserve">2020-2015. </w:t>
            </w:r>
            <w:r w:rsidRPr="00016699">
              <w:rPr>
                <w:rFonts w:hint="cs"/>
                <w:rtl/>
              </w:rPr>
              <w:t xml:space="preserve">התיקים של </w:t>
            </w:r>
            <w:r w:rsidRPr="00016699">
              <w:rPr>
                <w:rtl/>
              </w:rPr>
              <w:t xml:space="preserve">כ-126,000 </w:t>
            </w:r>
            <w:r w:rsidRPr="00016699">
              <w:rPr>
                <w:rFonts w:hint="cs"/>
                <w:rtl/>
              </w:rPr>
              <w:t>מהם</w:t>
            </w:r>
            <w:r w:rsidRPr="00016699">
              <w:rPr>
                <w:rtl/>
              </w:rPr>
              <w:t xml:space="preserve"> נסגר</w:t>
            </w:r>
            <w:r w:rsidRPr="00016699">
              <w:rPr>
                <w:rFonts w:hint="cs"/>
                <w:rtl/>
              </w:rPr>
              <w:t>ו</w:t>
            </w:r>
            <w:r w:rsidRPr="00016699">
              <w:rPr>
                <w:rtl/>
              </w:rPr>
              <w:t xml:space="preserve"> בעילת נל"ן</w:t>
            </w:r>
            <w:r w:rsidRPr="00016699">
              <w:rPr>
                <w:rFonts w:hint="cs"/>
                <w:rtl/>
              </w:rPr>
              <w:t>,</w:t>
            </w:r>
            <w:r w:rsidRPr="00016699">
              <w:rPr>
                <w:rtl/>
              </w:rPr>
              <w:t xml:space="preserve"> ו</w:t>
            </w:r>
            <w:r w:rsidRPr="00016699">
              <w:rPr>
                <w:rFonts w:hint="cs"/>
                <w:rtl/>
              </w:rPr>
              <w:t xml:space="preserve">של </w:t>
            </w:r>
            <w:r w:rsidRPr="00016699">
              <w:rPr>
                <w:rtl/>
              </w:rPr>
              <w:t>כ-675</w:t>
            </w:r>
            <w:r w:rsidRPr="00016699">
              <w:rPr>
                <w:rFonts w:hint="cs"/>
                <w:rtl/>
              </w:rPr>
              <w:t xml:space="preserve"> מהם</w:t>
            </w:r>
            <w:r w:rsidRPr="00016699">
              <w:rPr>
                <w:rtl/>
              </w:rPr>
              <w:t xml:space="preserve"> בעילת "חוסר ראיות"</w:t>
            </w:r>
            <w:r w:rsidRPr="00016699">
              <w:rPr>
                <w:rFonts w:hint="cs"/>
                <w:rtl/>
              </w:rPr>
              <w:t xml:space="preserve"> בלי שהמשטרה מעדכנת אותם על כך</w:t>
            </w:r>
          </w:p>
          <w:p w:rsidR="000D7ABB" w:rsidRPr="009A73F6" w:rsidP="008C3754" w14:paraId="725F7149" w14:textId="12FD25F2">
            <w:pPr>
              <w:pStyle w:val="20211"/>
              <w:rPr>
                <w:rtl/>
              </w:rPr>
            </w:pPr>
          </w:p>
        </w:tc>
        <w:tc>
          <w:tcPr>
            <w:tcW w:w="1814" w:type="dxa"/>
          </w:tcPr>
          <w:p w:rsidR="000D7ABB" w:rsidRPr="000D7ABB" w:rsidP="000D7ABB" w14:paraId="5289FFF8" w14:textId="54163ABC">
            <w:pPr>
              <w:pStyle w:val="712021"/>
              <w:rPr>
                <w:rtl/>
              </w:rPr>
            </w:pPr>
            <w:r w:rsidRPr="000D7ABB">
              <w:rPr>
                <w:rtl/>
              </w:rPr>
              <w:t xml:space="preserve">מספר תיקי הערר של מתלוננים שיחידת </w:t>
            </w:r>
            <w:r w:rsidRPr="000D7ABB">
              <w:rPr>
                <w:rtl/>
              </w:rPr>
              <w:t>העררים</w:t>
            </w:r>
            <w:r w:rsidRPr="000D7ABB">
              <w:rPr>
                <w:rtl/>
              </w:rPr>
              <w:t xml:space="preserve"> בפרקליטות </w:t>
            </w:r>
            <w:r w:rsidRPr="000D7ABB">
              <w:rPr>
                <w:rFonts w:hint="cs"/>
                <w:rtl/>
              </w:rPr>
              <w:t xml:space="preserve">הורתה </w:t>
            </w:r>
            <w:r w:rsidRPr="000D7ABB">
              <w:rPr>
                <w:rtl/>
              </w:rPr>
              <w:t xml:space="preserve">להגיש </w:t>
            </w:r>
            <w:r w:rsidRPr="000D7ABB">
              <w:rPr>
                <w:rFonts w:hint="cs"/>
                <w:rtl/>
              </w:rPr>
              <w:t xml:space="preserve">נגדם </w:t>
            </w:r>
            <w:r w:rsidRPr="000D7ABB">
              <w:rPr>
                <w:rtl/>
              </w:rPr>
              <w:t>כתב אישום, מתוך</w:t>
            </w:r>
            <w:r w:rsidRPr="000D7ABB">
              <w:rPr>
                <w:rFonts w:hint="cs"/>
                <w:rtl/>
              </w:rPr>
              <w:t xml:space="preserve"> </w:t>
            </w:r>
            <w:r w:rsidRPr="000D7ABB">
              <w:rPr>
                <w:rtl/>
              </w:rPr>
              <w:br/>
            </w:r>
            <w:r w:rsidRPr="000D7ABB">
              <w:rPr>
                <w:rFonts w:hint="cs"/>
                <w:rtl/>
              </w:rPr>
              <w:t>כ-1,500</w:t>
            </w:r>
            <w:r w:rsidRPr="000D7ABB">
              <w:rPr>
                <w:rtl/>
              </w:rPr>
              <w:t xml:space="preserve"> תיקי ערר שהתקבלו ביחידה בשנת 2020 (</w:t>
            </w:r>
            <w:r w:rsidRPr="000D7ABB">
              <w:rPr>
                <w:rFonts w:hint="cs"/>
                <w:rtl/>
              </w:rPr>
              <w:t>כ-</w:t>
            </w:r>
            <w:r w:rsidRPr="000D7ABB">
              <w:rPr>
                <w:rtl/>
              </w:rPr>
              <w:t>0.5%)</w:t>
            </w:r>
          </w:p>
        </w:tc>
        <w:tc>
          <w:tcPr>
            <w:tcW w:w="1843" w:type="dxa"/>
          </w:tcPr>
          <w:p w:rsidR="000D7ABB" w:rsidRPr="00EB223C" w:rsidP="008C3754" w14:paraId="132DB014" w14:textId="6474227A">
            <w:pPr>
              <w:pStyle w:val="20211"/>
              <w:rPr>
                <w:rtl/>
              </w:rPr>
            </w:pPr>
            <w:r w:rsidRPr="00016699">
              <w:rPr>
                <w:rtl/>
              </w:rPr>
              <w:t xml:space="preserve">מספר התיקים שהסתיימו בהסדרים מותנים במשטרה </w:t>
            </w:r>
            <w:r w:rsidRPr="00016699">
              <w:rPr>
                <w:rFonts w:hint="cs"/>
                <w:rtl/>
              </w:rPr>
              <w:t xml:space="preserve">בשנת 2020, לעומת </w:t>
            </w:r>
            <w:r w:rsidRPr="00016699">
              <w:rPr>
                <w:rtl/>
              </w:rPr>
              <w:br/>
            </w:r>
            <w:r w:rsidRPr="00016699">
              <w:rPr>
                <w:rFonts w:hint="cs"/>
                <w:rtl/>
              </w:rPr>
              <w:t xml:space="preserve">כ-6,300 תיקים, </w:t>
            </w:r>
            <w:r w:rsidRPr="00016699">
              <w:rPr>
                <w:rtl/>
              </w:rPr>
              <w:br/>
            </w:r>
            <w:r w:rsidRPr="00016699">
              <w:rPr>
                <w:rFonts w:hint="cs"/>
                <w:rtl/>
              </w:rPr>
              <w:t>וכ</w:t>
            </w:r>
            <w:r w:rsidRPr="00016699">
              <w:rPr>
                <w:rFonts w:hint="cs"/>
                <w:rtl/>
              </w:rPr>
              <w:t xml:space="preserve">-5,700 תיקים שהסתיימו בהסדרים מותנים בשנים 2018 </w:t>
            </w:r>
            <w:r w:rsidRPr="00016699">
              <w:rPr>
                <w:rtl/>
              </w:rPr>
              <w:br/>
            </w:r>
            <w:r w:rsidRPr="00016699">
              <w:rPr>
                <w:rFonts w:hint="cs"/>
                <w:rtl/>
              </w:rPr>
              <w:t>ו-2019, בהתאמה</w:t>
            </w:r>
          </w:p>
        </w:tc>
        <w:tc>
          <w:tcPr>
            <w:tcW w:w="1844" w:type="dxa"/>
          </w:tcPr>
          <w:p w:rsidR="000D7ABB" w:rsidRPr="009A73F6" w:rsidP="008C3754" w14:paraId="5AC8A0B8" w14:textId="565B830D">
            <w:pPr>
              <w:pStyle w:val="20211"/>
              <w:spacing w:after="0"/>
              <w:rPr>
                <w:rtl/>
              </w:rPr>
            </w:pPr>
          </w:p>
        </w:tc>
      </w:tr>
    </w:tbl>
    <w:p w:rsidR="0005674F" w:rsidP="0005674F" w14:paraId="2B39BD6D" w14:textId="668DEACA">
      <w:pPr>
        <w:pStyle w:val="100"/>
        <w:tabs>
          <w:tab w:val="center" w:pos="3685"/>
        </w:tabs>
        <w:spacing w:after="0" w:line="240" w:lineRule="exact"/>
        <w:rPr>
          <w:b/>
          <w:bCs/>
          <w:color w:val="00305F"/>
          <w:sz w:val="32"/>
          <w:szCs w:val="32"/>
          <w:rtl/>
        </w:rPr>
      </w:pPr>
      <w:r>
        <w:rPr>
          <w:rFonts w:hint="cs"/>
          <w:noProof/>
          <w:rtl/>
          <w:lang w:val="he-IL"/>
        </w:rPr>
        <mc:AlternateContent>
          <mc:Choice Requires="wps">
            <w:drawing>
              <wp:anchor distT="0" distB="0" distL="114300" distR="114300" simplePos="0" relativeHeight="251717632" behindDoc="0" locked="0" layoutInCell="1" allowOverlap="1">
                <wp:simplePos x="0" y="0"/>
                <wp:positionH relativeFrom="column">
                  <wp:posOffset>-82130</wp:posOffset>
                </wp:positionH>
                <wp:positionV relativeFrom="paragraph">
                  <wp:posOffset>-3667125</wp:posOffset>
                </wp:positionV>
                <wp:extent cx="1000125" cy="0"/>
                <wp:effectExtent l="0" t="0" r="15875" b="12700"/>
                <wp:wrapNone/>
                <wp:docPr id="3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39" style="flip:x;mso-wrap-distance-bottom:0;mso-wrap-distance-left:9pt;mso-wrap-distance-right:9pt;mso-wrap-distance-top:0;mso-wrap-style:square;position:absolute;visibility:visible;z-index:251718656" from="-6.45pt,-288.75pt" to="72.3pt,-288.75pt" strokecolor="#0d0d0d" strokeweight="1pt"/>
            </w:pict>
          </mc:Fallback>
        </mc:AlternateContent>
      </w:r>
      <w:r>
        <w:rPr>
          <w:b/>
          <w:bCs/>
          <w:noProof/>
          <w:color w:val="00305F"/>
          <w:sz w:val="32"/>
          <w:szCs w:val="32"/>
          <w:rtl/>
          <w:lang w:val="he-IL"/>
        </w:rPr>
        <mc:AlternateContent>
          <mc:Choice Requires="wpg">
            <w:drawing>
              <wp:anchor distT="0" distB="0" distL="114300" distR="114300" simplePos="0" relativeHeight="251709440" behindDoc="0" locked="0" layoutInCell="1" allowOverlap="1">
                <wp:simplePos x="0" y="0"/>
                <wp:positionH relativeFrom="column">
                  <wp:posOffset>-30480</wp:posOffset>
                </wp:positionH>
                <wp:positionV relativeFrom="paragraph">
                  <wp:posOffset>47625</wp:posOffset>
                </wp:positionV>
                <wp:extent cx="4724400" cy="38100"/>
                <wp:effectExtent l="0" t="0" r="19050" b="19050"/>
                <wp:wrapNone/>
                <wp:docPr id="38"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42"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0" style="width:372pt;height:3pt;margin-top:3.75pt;margin-left:-2.4pt;mso-height-relative:margin;mso-width-relative:margin;position:absolute;z-index:251710464" coordsize="47244,381">
                <v:line id="Straight Connector 27" o:spid="_x0000_s1041" style="flip:x;mso-wrap-style:square;position:absolute;visibility:visible" from="0,381" to="47244,381" o:connectortype="straight" strokecolor="#0d0d0d" strokeweight="1.5pt"/>
                <v:line id="Straight Connector 28" o:spid="_x0000_s1042" style="flip:x;mso-wrap-style:square;position:absolute;visibility:visible" from="0,0" to="47244,0" o:connectortype="straight" strokecolor="#0d0d0d" strokeweight="1.5pt"/>
              </v:group>
            </w:pict>
          </mc:Fallback>
        </mc:AlternateContent>
      </w:r>
    </w:p>
    <w:p w:rsidR="0005674F" w:rsidP="0005674F" w14:paraId="6124D058" w14:textId="68184767">
      <w:pPr>
        <w:pStyle w:val="216"/>
        <w:rPr>
          <w:rtl/>
        </w:rPr>
      </w:pPr>
      <w:r w:rsidRPr="00C62692">
        <w:rPr>
          <w:rFonts w:hint="cs"/>
          <w:rtl/>
        </w:rPr>
        <w:t>פעולות הביקורת</w:t>
      </w:r>
    </w:p>
    <w:p w:rsidR="00613FE9" w:rsidP="00613FE9" w14:paraId="77A8DF1E" w14:textId="067833CE">
      <w:pPr>
        <w:pStyle w:val="7112"/>
        <w:rPr>
          <w:rtl/>
        </w:rPr>
      </w:pPr>
      <w:r w:rsidRPr="00666E99">
        <w:rPr>
          <w:noProof/>
        </w:rPr>
        <w:drawing>
          <wp:anchor distT="0" distB="0" distL="114300" distR="114300" simplePos="0" relativeHeight="251721728" behindDoc="0" locked="0" layoutInCell="1" allowOverlap="1">
            <wp:simplePos x="0" y="0"/>
            <wp:positionH relativeFrom="column">
              <wp:posOffset>4518025</wp:posOffset>
            </wp:positionH>
            <wp:positionV relativeFrom="paragraph">
              <wp:posOffset>37465</wp:posOffset>
            </wp:positionV>
            <wp:extent cx="161925" cy="161925"/>
            <wp:effectExtent l="0" t="0" r="9525" b="9525"/>
            <wp:wrapSquare wrapText="bothSides"/>
            <wp:docPr id="765912908"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rtl/>
        </w:rPr>
        <w:t>ב</w:t>
      </w:r>
      <w:r w:rsidRPr="00016699">
        <w:rPr>
          <w:rtl/>
        </w:rPr>
        <w:t xml:space="preserve">חודשים פברואר עד יולי 2021 בדק משרד מבקר המדינה היבטים של הליכי סגירת תיקי חשודים ועררים על סגירתם. הבדיקה התמקדה בעילות לסגירת תיקים פליליים של חשודים ובבחינת </w:t>
      </w:r>
      <w:r w:rsidRPr="00016699">
        <w:rPr>
          <w:rFonts w:hint="cs"/>
          <w:rtl/>
        </w:rPr>
        <w:t>הליקויים</w:t>
      </w:r>
      <w:r w:rsidRPr="00016699">
        <w:rPr>
          <w:rtl/>
        </w:rPr>
        <w:t xml:space="preserve"> והחסמים בהליכי הערר של מתלוננים וחשודים על סגירת התיק. הביקורת נעשתה בפרקליטות המדינה ובמשטרת ישראל. בדיקות השלמה נעשו ב</w:t>
      </w:r>
      <w:r w:rsidRPr="00016699">
        <w:rPr>
          <w:rFonts w:hint="cs"/>
          <w:rtl/>
        </w:rPr>
        <w:t>משרד לביטחון הפנים, ב</w:t>
      </w:r>
      <w:r w:rsidRPr="00016699">
        <w:rPr>
          <w:rtl/>
        </w:rPr>
        <w:t>משרד האוצר</w:t>
      </w:r>
      <w:r w:rsidRPr="00016699">
        <w:rPr>
          <w:rFonts w:hint="cs"/>
          <w:rtl/>
        </w:rPr>
        <w:t xml:space="preserve"> </w:t>
      </w:r>
      <w:r w:rsidRPr="00016699">
        <w:rPr>
          <w:rtl/>
        </w:rPr>
        <w:t>ובלשכת היועץ המשפטי לממשלה</w:t>
      </w:r>
      <w:r w:rsidRPr="000E68EF">
        <w:rPr>
          <w:rtl/>
        </w:rPr>
        <w:t>.</w:t>
      </w:r>
    </w:p>
    <w:p w:rsidR="00825A14" w:rsidP="00613FE9" w14:paraId="3CC61AEA" w14:textId="44515888">
      <w:pPr>
        <w:pStyle w:val="7112"/>
        <w:rPr>
          <w:b/>
          <w:bCs/>
          <w:color w:val="00305F"/>
          <w:sz w:val="32"/>
          <w:szCs w:val="32"/>
          <w:rtl/>
        </w:rPr>
        <w:sectPr w:rsidSect="00A56DA7">
          <w:footerReference w:type="even" r:id="rId18"/>
          <w:footerReference w:type="default" r:id="rId19"/>
          <w:headerReference w:type="first" r:id="rId20"/>
          <w:footerReference w:type="first" r:id="rId21"/>
          <w:pgSz w:w="11906" w:h="16838" w:code="9"/>
          <w:pgMar w:top="3062" w:right="2268" w:bottom="2552" w:left="2268" w:header="1134" w:footer="1361" w:gutter="0"/>
          <w:pgNumType w:start="769"/>
          <w:cols w:space="708"/>
          <w:bidi/>
          <w:rtlGutter/>
          <w:docGrid w:linePitch="360"/>
        </w:sectPr>
      </w:pPr>
      <w:r>
        <w:rPr>
          <w:noProof/>
        </w:rPr>
        <w:drawing>
          <wp:anchor distT="0" distB="0" distL="114300" distR="114300" simplePos="0" relativeHeight="251719680" behindDoc="0" locked="0" layoutInCell="1" allowOverlap="1">
            <wp:simplePos x="0" y="0"/>
            <wp:positionH relativeFrom="column">
              <wp:posOffset>12065</wp:posOffset>
            </wp:positionH>
            <wp:positionV relativeFrom="paragraph">
              <wp:posOffset>1059815</wp:posOffset>
            </wp:positionV>
            <wp:extent cx="4589145" cy="4476115"/>
            <wp:effectExtent l="0" t="0" r="0" b="0"/>
            <wp:wrapTopAndBottom/>
            <wp:docPr id="76591290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90121" name="תמונה 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4589145" cy="4476115"/>
                    </a:xfrm>
                    <a:prstGeom prst="rect">
                      <a:avLst/>
                    </a:prstGeom>
                  </pic:spPr>
                </pic:pic>
              </a:graphicData>
            </a:graphic>
            <wp14:sizeRelH relativeFrom="page">
              <wp14:pctWidth>0</wp14:pctWidth>
            </wp14:sizeRelH>
            <wp14:sizeRelV relativeFrom="page">
              <wp14:pctHeight>0</wp14:pctHeight>
            </wp14:sizeRelV>
          </wp:anchor>
        </w:drawing>
      </w:r>
      <w:r>
        <w:rPr>
          <w:noProof/>
          <w:rtl/>
          <w:lang w:val="he-IL"/>
        </w:rPr>
        <mc:AlternateContent>
          <mc:Choice Requires="wpg">
            <w:drawing>
              <wp:anchor distT="0" distB="0" distL="114300" distR="114300" simplePos="0" relativeHeight="251722752" behindDoc="1" locked="0" layoutInCell="1" allowOverlap="1">
                <wp:simplePos x="0" y="0"/>
                <wp:positionH relativeFrom="margin">
                  <wp:posOffset>-103505</wp:posOffset>
                </wp:positionH>
                <wp:positionV relativeFrom="paragraph">
                  <wp:posOffset>0</wp:posOffset>
                </wp:positionV>
                <wp:extent cx="4787900" cy="875665"/>
                <wp:effectExtent l="0" t="0" r="0" b="0"/>
                <wp:wrapTight wrapText="bothSides">
                  <wp:wrapPolygon>
                    <wp:start x="172" y="940"/>
                    <wp:lineTo x="172" y="16290"/>
                    <wp:lineTo x="1031" y="16603"/>
                    <wp:lineTo x="20683" y="16603"/>
                    <wp:lineTo x="20683" y="19736"/>
                    <wp:lineTo x="20970" y="19736"/>
                    <wp:lineTo x="21027" y="19109"/>
                    <wp:lineTo x="21371" y="16603"/>
                    <wp:lineTo x="21371" y="940"/>
                    <wp:lineTo x="172" y="940"/>
                  </wp:wrapPolygon>
                </wp:wrapTight>
                <wp:docPr id="62"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875665"/>
                          <a:chOff x="0" y="0"/>
                          <a:chExt cx="4787900" cy="923925"/>
                        </a:xfrm>
                      </wpg:grpSpPr>
                      <pic:pic xmlns:pic="http://schemas.openxmlformats.org/drawingml/2006/picture">
                        <pic:nvPicPr>
                          <pic:cNvPr id="63" name="Picture 23"/>
                          <pic:cNvPicPr>
                            <a:picLocks noChangeAspect="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87900" cy="923925"/>
                          </a:xfrm>
                          <a:prstGeom prst="rect">
                            <a:avLst/>
                          </a:prstGeom>
                        </pic:spPr>
                      </pic:pic>
                      <wps:wsp xmlns:wps="http://schemas.microsoft.com/office/word/2010/wordprocessingShape">
                        <wps:cNvPr id="765912896" name="Text Box 2"/>
                        <wps:cNvSpPr txBox="1">
                          <a:spLocks noChangeArrowheads="1"/>
                        </wps:cNvSpPr>
                        <wps:spPr bwMode="auto">
                          <a:xfrm>
                            <a:off x="187200" y="104775"/>
                            <a:ext cx="4517515" cy="573405"/>
                          </a:xfrm>
                          <a:prstGeom prst="rect">
                            <a:avLst/>
                          </a:prstGeom>
                          <a:solidFill>
                            <a:srgbClr val="F05260"/>
                          </a:solidFill>
                          <a:ln w="9525">
                            <a:noFill/>
                            <a:miter lim="800000"/>
                            <a:headEnd/>
                            <a:tailEnd/>
                          </a:ln>
                        </wps:spPr>
                        <wps:txbx>
                          <w:txbxContent>
                            <w:p w:rsidR="00613FE9" w:rsidRPr="00A47335" w:rsidP="00613FE9" w14:textId="77777777">
                              <w:pPr>
                                <w:pStyle w:val="7126"/>
                                <w:spacing w:before="0"/>
                                <w:rPr>
                                  <w:b w:val="0"/>
                                  <w:bCs/>
                                </w:rPr>
                              </w:pPr>
                              <w:r w:rsidRPr="009857EF">
                                <w:rPr>
                                  <w:bCs/>
                                  <w:rtl/>
                                </w:rPr>
                                <w:t>הליך החקירה במשטרה עד להגשת כתב אישום או סגירת</w:t>
                              </w:r>
                              <w:r>
                                <w:rPr>
                                  <w:rFonts w:hint="cs"/>
                                  <w:bCs/>
                                  <w:rtl/>
                                </w:rPr>
                                <w:t xml:space="preserve"> </w:t>
                              </w:r>
                              <w:r w:rsidRPr="009857EF">
                                <w:rPr>
                                  <w:bCs/>
                                  <w:rtl/>
                                </w:rPr>
                                <w:t>התיק</w:t>
                              </w:r>
                            </w:p>
                          </w:txbxContent>
                        </wps:txbx>
                        <wps:bodyPr rot="0" vert="horz" wrap="square" anchor="ctr" anchorCtr="0"/>
                      </wps:wsp>
                    </wpg:wgp>
                  </a:graphicData>
                </a:graphic>
                <wp14:sizeRelV relativeFrom="margin">
                  <wp14:pctHeight>0</wp14:pctHeight>
                </wp14:sizeRelV>
              </wp:anchor>
            </w:drawing>
          </mc:Choice>
          <mc:Fallback>
            <w:pict>
              <v:group id="Group 2052770959" o:spid="_x0000_s1043" style="width:377pt;height:68.95pt;margin-top:0;margin-left:-8.15pt;mso-height-relative:margin;mso-position-horizontal-relative:margin;position:absolute;z-index:-251592704" coordsize="47879,9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4" type="#_x0000_t75" style="width:47879;height:9239;mso-wrap-style:square;position:absolute;visibility:visible">
                  <v:imagedata r:id="rId24" o:title=""/>
                </v:shape>
                <v:shape id="_x0000_s1045" type="#_x0000_t202" style="width:45175;height:5734;left:1872;mso-wrap-style:square;position:absolute;top:1047;visibility:visible;v-text-anchor:middle" fillcolor="#f05260" stroked="f">
                  <v:textbox>
                    <w:txbxContent>
                      <w:p w:rsidR="00613FE9" w:rsidRPr="00A47335" w:rsidP="00613FE9" w14:paraId="390E0464" w14:textId="77777777">
                        <w:pPr>
                          <w:pStyle w:val="7126"/>
                          <w:spacing w:before="0"/>
                          <w:rPr>
                            <w:b w:val="0"/>
                            <w:bCs/>
                          </w:rPr>
                        </w:pPr>
                        <w:r w:rsidRPr="009857EF">
                          <w:rPr>
                            <w:bCs/>
                            <w:rtl/>
                          </w:rPr>
                          <w:t>הליך החקירה במשטרה עד להגשת כתב אישום או סגירת</w:t>
                        </w:r>
                        <w:r>
                          <w:rPr>
                            <w:rFonts w:hint="cs"/>
                            <w:bCs/>
                            <w:rtl/>
                          </w:rPr>
                          <w:t xml:space="preserve"> </w:t>
                        </w:r>
                        <w:r w:rsidRPr="009857EF">
                          <w:rPr>
                            <w:bCs/>
                            <w:rtl/>
                          </w:rPr>
                          <w:t>התיק</w:t>
                        </w:r>
                      </w:p>
                    </w:txbxContent>
                  </v:textbox>
                </v:shape>
                <w10:wrap type="tight"/>
              </v:group>
            </w:pict>
          </mc:Fallback>
        </mc:AlternateContent>
      </w:r>
    </w:p>
    <w:p w:rsidR="0060683C" w:rsidP="00666E99" w14:paraId="3037171D" w14:textId="02630230">
      <w:pPr>
        <w:pStyle w:val="7190"/>
        <w:rPr>
          <w:rtl/>
        </w:rPr>
      </w:pPr>
      <w:r w:rsidRPr="00362C00">
        <w:rPr>
          <w:noProof/>
          <w:rtl/>
        </w:rPr>
        <w:drawing>
          <wp:anchor distT="0" distB="0" distL="114300" distR="114300" simplePos="0" relativeHeight="251671552" behindDoc="0" locked="0" layoutInCell="1" allowOverlap="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73600"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B22A1" w:rsidRPr="00A25467" w:rsidP="0060683C" w14:textId="0F491AD2">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CB22A1" w:rsidP="0060683C"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674624" strokecolor="white">
                <v:textbox>
                  <w:txbxContent>
                    <w:p w:rsidR="00CB22A1" w:rsidRPr="00A25467" w:rsidP="0060683C" w14:paraId="4C7E868E" w14:textId="0F491AD2">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CB22A1" w:rsidP="0060683C" w14:paraId="2CFCD951" w14:textId="77777777"/>
                  </w:txbxContent>
                </v:textbox>
                <w10:wrap type="square"/>
              </v:shape>
            </w:pict>
          </mc:Fallback>
        </mc:AlternateContent>
      </w:r>
      <w:r w:rsidR="0060683C">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7" style="mso-width-percent:0;mso-width-relative:margin;mso-wrap-distance-bottom:0;mso-wrap-distance-left:9pt;mso-wrap-distance-right:9pt;mso-wrap-distance-top:0;mso-wrap-style:square;position:absolute;visibility:visible;z-index:251676672" from="-2.4pt,4.45pt" to="370.35pt,4.45pt" strokecolor="black" strokeweight="2pt"/>
            </w:pict>
          </mc:Fallback>
        </mc:AlternateContent>
      </w:r>
    </w:p>
    <w:p w:rsidR="00807FA7" w:rsidRPr="00716B1B" w:rsidP="00435D9D" w14:paraId="16C300D3" w14:textId="15B72002">
      <w:pPr>
        <w:pStyle w:val="7112"/>
      </w:pPr>
      <w:r w:rsidRPr="00BD206C">
        <w:rPr>
          <w:rStyle w:val="71Char9"/>
          <w:rFonts w:hint="cs"/>
          <w:noProof/>
          <w:rtl/>
        </w:rPr>
        <w:drawing>
          <wp:anchor distT="0" distB="3600450" distL="114300" distR="114300" simplePos="0" relativeHeight="251693056" behindDoc="0" locked="0" layoutInCell="1" allowOverlap="1">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23888"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D206C" w:rsidR="00BD206C">
        <w:rPr>
          <w:rStyle w:val="71Char9"/>
          <w:rtl/>
        </w:rPr>
        <w:t>רישום במרשם המשטרתי והשלכותיו</w:t>
      </w:r>
      <w:r w:rsidRPr="00951B96" w:rsidR="00BD206C">
        <w:rPr>
          <w:rtl/>
        </w:rPr>
        <w:t xml:space="preserve"> - המרשם המשטרתי כולל </w:t>
      </w:r>
      <w:r w:rsidRPr="00951B96" w:rsidR="00BD206C">
        <w:rPr>
          <w:rFonts w:hint="cs"/>
          <w:rtl/>
        </w:rPr>
        <w:t xml:space="preserve">גם </w:t>
      </w:r>
      <w:r w:rsidRPr="00951B96" w:rsidR="00BD206C">
        <w:rPr>
          <w:rtl/>
        </w:rPr>
        <w:t xml:space="preserve">רישום של תיקי חקירה של חשודים שנסגרו </w:t>
      </w:r>
      <w:r w:rsidRPr="00951B96" w:rsidR="00BD206C">
        <w:rPr>
          <w:rFonts w:hint="cs"/>
          <w:rtl/>
        </w:rPr>
        <w:t>ב</w:t>
      </w:r>
      <w:r w:rsidRPr="00951B96" w:rsidR="00BD206C">
        <w:rPr>
          <w:rtl/>
        </w:rPr>
        <w:t xml:space="preserve">לא </w:t>
      </w:r>
      <w:r w:rsidRPr="00951B96" w:rsidR="00BD206C">
        <w:rPr>
          <w:rFonts w:hint="cs"/>
          <w:rtl/>
        </w:rPr>
        <w:t>ש</w:t>
      </w:r>
      <w:r w:rsidRPr="00951B96" w:rsidR="00BD206C">
        <w:rPr>
          <w:rtl/>
        </w:rPr>
        <w:t xml:space="preserve">הוגש כתב אישום. ביוני 2021 </w:t>
      </w:r>
      <w:r w:rsidRPr="00951B96" w:rsidR="00BD206C">
        <w:rPr>
          <w:rtl/>
        </w:rPr>
        <w:t>לכ</w:t>
      </w:r>
      <w:r w:rsidRPr="00951B96" w:rsidR="00BD206C">
        <w:rPr>
          <w:rtl/>
        </w:rPr>
        <w:t xml:space="preserve">-830,000 אנשים, שהם כ-13% מאוכלוסיית הבגירים בישראל, היה רישום במרשם המשטרתי (אחד מכל 7.5 בגירים). </w:t>
      </w:r>
      <w:r w:rsidRPr="00951B96" w:rsidR="00BD206C">
        <w:rPr>
          <w:rtl/>
        </w:rPr>
        <w:t>לכ</w:t>
      </w:r>
      <w:r w:rsidRPr="00951B96" w:rsidR="00BD206C">
        <w:rPr>
          <w:rtl/>
        </w:rPr>
        <w:t>-450,000 (54%) בגירים היה רישום של תיק אחד</w:t>
      </w:r>
      <w:r w:rsidRPr="00951B96" w:rsidR="00BD206C">
        <w:rPr>
          <w:rFonts w:hint="cs"/>
          <w:rtl/>
        </w:rPr>
        <w:t>,</w:t>
      </w:r>
      <w:r w:rsidRPr="00951B96" w:rsidR="00BD206C">
        <w:rPr>
          <w:rtl/>
        </w:rPr>
        <w:t xml:space="preserve"> </w:t>
      </w:r>
      <w:r w:rsidRPr="00951B96" w:rsidR="00BD206C">
        <w:rPr>
          <w:rFonts w:hint="cs"/>
          <w:rtl/>
        </w:rPr>
        <w:t>ו</w:t>
      </w:r>
      <w:r w:rsidRPr="00951B96" w:rsidR="00BD206C">
        <w:rPr>
          <w:rtl/>
        </w:rPr>
        <w:t>לכ</w:t>
      </w:r>
      <w:r w:rsidRPr="00951B96" w:rsidR="00BD206C">
        <w:rPr>
          <w:rtl/>
        </w:rPr>
        <w:t xml:space="preserve">-166,000 </w:t>
      </w:r>
      <w:r w:rsidRPr="00951B96" w:rsidR="00BD206C">
        <w:rPr>
          <w:rFonts w:hint="cs"/>
          <w:rtl/>
        </w:rPr>
        <w:t xml:space="preserve">מהם </w:t>
      </w:r>
      <w:r w:rsidRPr="00951B96" w:rsidR="00BD206C">
        <w:rPr>
          <w:rtl/>
        </w:rPr>
        <w:t xml:space="preserve">רישום </w:t>
      </w:r>
      <w:r w:rsidRPr="00951B96" w:rsidR="00BD206C">
        <w:rPr>
          <w:rFonts w:hint="cs"/>
          <w:rtl/>
        </w:rPr>
        <w:t>בן</w:t>
      </w:r>
      <w:r w:rsidRPr="00951B96" w:rsidR="00BD206C">
        <w:rPr>
          <w:rtl/>
        </w:rPr>
        <w:t xml:space="preserve"> יותר מ-11 שנים. לנוכח מספר הגופים ובעלי התפקידים </w:t>
      </w:r>
      <w:r w:rsidRPr="00951B96" w:rsidR="00BD206C">
        <w:rPr>
          <w:rFonts w:hint="cs"/>
          <w:rtl/>
        </w:rPr>
        <w:t>הרשאים</w:t>
      </w:r>
      <w:r w:rsidRPr="00951B96" w:rsidR="00BD206C">
        <w:rPr>
          <w:rtl/>
        </w:rPr>
        <w:t xml:space="preserve"> לקבל מידע</w:t>
      </w:r>
      <w:r w:rsidRPr="00951B96" w:rsidR="00BD206C">
        <w:rPr>
          <w:rFonts w:hint="cs"/>
          <w:rtl/>
        </w:rPr>
        <w:t xml:space="preserve"> על תיקים סגורים</w:t>
      </w:r>
      <w:r w:rsidRPr="00951B96" w:rsidR="00BD206C">
        <w:rPr>
          <w:rtl/>
        </w:rPr>
        <w:t xml:space="preserve"> מן המרשם המשטרתי ובכך להשפיע בצמתים שונים על חייו של אדם שתיק חקירה בעניינו נסגר, יש חשיבות </w:t>
      </w:r>
      <w:r w:rsidRPr="00951B96" w:rsidR="00BD206C">
        <w:rPr>
          <w:rFonts w:hint="cs"/>
          <w:rtl/>
        </w:rPr>
        <w:t>ל</w:t>
      </w:r>
      <w:r w:rsidRPr="00951B96" w:rsidR="00BD206C">
        <w:rPr>
          <w:rtl/>
        </w:rPr>
        <w:t>הקפדה יתרה על סגירת תיק פלילי בעילה הנכונה</w:t>
      </w:r>
      <w:r w:rsidRPr="00716B1B">
        <w:rPr>
          <w:rtl/>
        </w:rPr>
        <w:t>.</w:t>
      </w:r>
    </w:p>
    <w:p w:rsidR="00BD206C" w:rsidRPr="00951B96" w:rsidP="00BD206C" w14:paraId="0EC592AB" w14:textId="14CEF638">
      <w:pPr>
        <w:pStyle w:val="ListParagraph"/>
        <w:spacing w:after="120" w:line="288" w:lineRule="auto"/>
        <w:ind w:left="454"/>
        <w:contextualSpacing w:val="0"/>
        <w:rPr>
          <w:rFonts w:ascii="Tahoma" w:hAnsi="Tahoma" w:cs="Tahoma"/>
          <w:color w:val="0D0D0D" w:themeColor="text1" w:themeTint="F2"/>
          <w:sz w:val="18"/>
          <w:szCs w:val="18"/>
        </w:rPr>
      </w:pPr>
      <w:r w:rsidRPr="00BD206C">
        <w:rPr>
          <w:rStyle w:val="71Char9"/>
          <w:rFonts w:hint="cs"/>
          <w:noProof/>
          <w:rtl/>
        </w:rPr>
        <w:drawing>
          <wp:anchor distT="0" distB="3600450" distL="114300" distR="114300" simplePos="0" relativeHeight="251694080"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52944"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D206C">
        <w:rPr>
          <w:rStyle w:val="71Char9"/>
          <w:rtl/>
        </w:rPr>
        <w:t>סגירת תיקים בעילת "חוסר ראיות" ובעילת "היעדר אשמה" בפרקליטות</w:t>
      </w:r>
      <w:r w:rsidRPr="00951B96">
        <w:rPr>
          <w:rFonts w:ascii="Tahoma" w:hAnsi="Tahoma" w:cs="Tahoma"/>
          <w:color w:val="0D0D0D" w:themeColor="text1" w:themeTint="F2"/>
          <w:sz w:val="18"/>
          <w:szCs w:val="18"/>
          <w:rtl/>
        </w:rPr>
        <w:t xml:space="preserve"> - מטרת תיקון הנחיית פרקליט המדינה </w:t>
      </w:r>
      <w:r w:rsidRPr="00951B96">
        <w:rPr>
          <w:rFonts w:ascii="Tahoma" w:hAnsi="Tahoma" w:cs="Tahoma" w:hint="cs"/>
          <w:color w:val="0D0D0D" w:themeColor="text1" w:themeTint="F2"/>
          <w:sz w:val="18"/>
          <w:szCs w:val="18"/>
          <w:rtl/>
        </w:rPr>
        <w:t xml:space="preserve">בינואר </w:t>
      </w:r>
      <w:r w:rsidRPr="00951B96">
        <w:rPr>
          <w:rFonts w:ascii="Tahoma" w:hAnsi="Tahoma" w:cs="Tahoma"/>
          <w:color w:val="0D0D0D" w:themeColor="text1" w:themeTint="F2"/>
          <w:sz w:val="18"/>
          <w:szCs w:val="18"/>
          <w:rtl/>
        </w:rPr>
        <w:t xml:space="preserve">2018 הייתה לשנות את </w:t>
      </w:r>
      <w:r w:rsidRPr="00951B96">
        <w:rPr>
          <w:rFonts w:ascii="Tahoma" w:hAnsi="Tahoma" w:cs="Tahoma" w:hint="cs"/>
          <w:color w:val="0D0D0D" w:themeColor="text1" w:themeTint="F2"/>
          <w:sz w:val="18"/>
          <w:szCs w:val="18"/>
          <w:rtl/>
        </w:rPr>
        <w:t>המציאות, כך שיותר תיקים ייסגרו בעילת "היעדר אשמה" ופחות בעילת "חוסר ראיות".</w:t>
      </w:r>
      <w:r w:rsidRPr="00951B96">
        <w:rPr>
          <w:rFonts w:ascii="Tahoma" w:hAnsi="Tahoma" w:cs="Tahoma"/>
          <w:color w:val="0D0D0D" w:themeColor="text1" w:themeTint="F2"/>
          <w:sz w:val="18"/>
          <w:szCs w:val="18"/>
          <w:rtl/>
        </w:rPr>
        <w:t xml:space="preserve"> נמצא כי בפועל לא פחת שיעור התיקים </w:t>
      </w:r>
      <w:r w:rsidRPr="00951B96">
        <w:rPr>
          <w:rFonts w:ascii="Tahoma" w:hAnsi="Tahoma" w:cs="Tahoma" w:hint="cs"/>
          <w:color w:val="0D0D0D" w:themeColor="text1" w:themeTint="F2"/>
          <w:sz w:val="18"/>
          <w:szCs w:val="18"/>
          <w:rtl/>
        </w:rPr>
        <w:t xml:space="preserve">שסגרה </w:t>
      </w:r>
      <w:r w:rsidRPr="00951B96">
        <w:rPr>
          <w:rFonts w:ascii="Tahoma" w:hAnsi="Tahoma" w:cs="Tahoma"/>
          <w:color w:val="0D0D0D" w:themeColor="text1" w:themeTint="F2"/>
          <w:sz w:val="18"/>
          <w:szCs w:val="18"/>
          <w:rtl/>
        </w:rPr>
        <w:t xml:space="preserve">הפרקליטות בעילה של חוסר ראיות (כ-59%). בעקבות התיקון עלה מספר התיקים שנסגרו בעילת "היעדר אשמה" </w:t>
      </w:r>
      <w:r w:rsidRPr="00951B96">
        <w:rPr>
          <w:rFonts w:ascii="Tahoma" w:hAnsi="Tahoma" w:cs="Tahoma"/>
          <w:color w:val="0D0D0D" w:themeColor="text1" w:themeTint="F2"/>
          <w:sz w:val="18"/>
          <w:szCs w:val="18"/>
          <w:rtl/>
        </w:rPr>
        <w:t>מכ</w:t>
      </w:r>
      <w:r w:rsidRPr="00951B96">
        <w:rPr>
          <w:rFonts w:ascii="Tahoma" w:hAnsi="Tahoma" w:cs="Tahoma"/>
          <w:color w:val="0D0D0D" w:themeColor="text1" w:themeTint="F2"/>
          <w:sz w:val="18"/>
          <w:szCs w:val="18"/>
          <w:rtl/>
        </w:rPr>
        <w:t>-3,500 בשנת 20</w:t>
      </w:r>
      <w:r w:rsidRPr="00951B96">
        <w:rPr>
          <w:rFonts w:ascii="Tahoma" w:hAnsi="Tahoma" w:cs="Tahoma" w:hint="cs"/>
          <w:color w:val="0D0D0D" w:themeColor="text1" w:themeTint="F2"/>
          <w:sz w:val="18"/>
          <w:szCs w:val="18"/>
          <w:rtl/>
        </w:rPr>
        <w:t>15</w:t>
      </w:r>
      <w:r w:rsidRPr="00951B96">
        <w:rPr>
          <w:rFonts w:ascii="Tahoma" w:hAnsi="Tahoma" w:cs="Tahoma"/>
          <w:color w:val="0D0D0D" w:themeColor="text1" w:themeTint="F2"/>
          <w:sz w:val="18"/>
          <w:szCs w:val="18"/>
          <w:rtl/>
        </w:rPr>
        <w:t xml:space="preserve"> </w:t>
      </w:r>
      <w:r w:rsidRPr="00951B96">
        <w:rPr>
          <w:rFonts w:ascii="Tahoma" w:hAnsi="Tahoma" w:cs="Tahoma"/>
          <w:color w:val="0D0D0D" w:themeColor="text1" w:themeTint="F2"/>
          <w:sz w:val="18"/>
          <w:szCs w:val="18"/>
          <w:rtl/>
        </w:rPr>
        <w:t>לכ</w:t>
      </w:r>
      <w:r w:rsidRPr="00951B96">
        <w:rPr>
          <w:rFonts w:ascii="Tahoma" w:hAnsi="Tahoma" w:cs="Tahoma"/>
          <w:color w:val="0D0D0D" w:themeColor="text1" w:themeTint="F2"/>
          <w:sz w:val="18"/>
          <w:szCs w:val="18"/>
          <w:rtl/>
        </w:rPr>
        <w:t xml:space="preserve">-6,000 בשנת 2020, ואולם פחת </w:t>
      </w:r>
      <w:r w:rsidRPr="00951B96">
        <w:rPr>
          <w:rFonts w:ascii="Tahoma" w:hAnsi="Tahoma" w:cs="Tahoma" w:hint="cs"/>
          <w:color w:val="0D0D0D" w:themeColor="text1" w:themeTint="F2"/>
          <w:sz w:val="18"/>
          <w:szCs w:val="18"/>
          <w:rtl/>
        </w:rPr>
        <w:t>מספר ה</w:t>
      </w:r>
      <w:r w:rsidRPr="00951B96">
        <w:rPr>
          <w:rFonts w:ascii="Tahoma" w:hAnsi="Tahoma" w:cs="Tahoma"/>
          <w:color w:val="0D0D0D" w:themeColor="text1" w:themeTint="F2"/>
          <w:sz w:val="18"/>
          <w:szCs w:val="18"/>
          <w:rtl/>
        </w:rPr>
        <w:t xml:space="preserve">תיקים </w:t>
      </w:r>
      <w:r w:rsidRPr="00951B96">
        <w:rPr>
          <w:rFonts w:ascii="Tahoma" w:hAnsi="Tahoma" w:cs="Tahoma" w:hint="cs"/>
          <w:color w:val="0D0D0D" w:themeColor="text1" w:themeTint="F2"/>
          <w:sz w:val="18"/>
          <w:szCs w:val="18"/>
          <w:rtl/>
        </w:rPr>
        <w:t xml:space="preserve">שנסגרו </w:t>
      </w:r>
      <w:r w:rsidRPr="00951B96">
        <w:rPr>
          <w:rFonts w:ascii="Tahoma" w:hAnsi="Tahoma" w:cs="Tahoma"/>
          <w:color w:val="0D0D0D" w:themeColor="text1" w:themeTint="F2"/>
          <w:sz w:val="18"/>
          <w:szCs w:val="18"/>
          <w:rtl/>
        </w:rPr>
        <w:t xml:space="preserve">בעילה </w:t>
      </w:r>
      <w:r w:rsidRPr="00951B96">
        <w:rPr>
          <w:rFonts w:ascii="Tahoma" w:hAnsi="Tahoma" w:cs="Tahoma" w:hint="cs"/>
          <w:color w:val="0D0D0D" w:themeColor="text1" w:themeTint="F2"/>
          <w:sz w:val="18"/>
          <w:szCs w:val="18"/>
          <w:rtl/>
        </w:rPr>
        <w:t>"</w:t>
      </w:r>
      <w:r w:rsidRPr="00951B96">
        <w:rPr>
          <w:rFonts w:ascii="Tahoma" w:hAnsi="Tahoma" w:cs="Tahoma"/>
          <w:color w:val="0D0D0D" w:themeColor="text1" w:themeTint="F2"/>
          <w:sz w:val="18"/>
          <w:szCs w:val="18"/>
          <w:rtl/>
        </w:rPr>
        <w:t>נסיבות העניין אינן מתאימות להעמדה לדין/המשך חקירה (נל"ן)</w:t>
      </w:r>
      <w:r w:rsidRPr="00951B96">
        <w:rPr>
          <w:rFonts w:ascii="Tahoma" w:hAnsi="Tahoma" w:cs="Tahoma" w:hint="cs"/>
          <w:color w:val="0D0D0D" w:themeColor="text1" w:themeTint="F2"/>
          <w:sz w:val="18"/>
          <w:szCs w:val="18"/>
          <w:rtl/>
        </w:rPr>
        <w:t>"</w:t>
      </w:r>
      <w:r w:rsidRPr="00951B96">
        <w:rPr>
          <w:rFonts w:ascii="Tahoma" w:hAnsi="Tahoma" w:cs="Tahoma"/>
          <w:color w:val="0D0D0D" w:themeColor="text1" w:themeTint="F2"/>
          <w:sz w:val="18"/>
          <w:szCs w:val="18"/>
          <w:rtl/>
        </w:rPr>
        <w:t xml:space="preserve">, </w:t>
      </w:r>
      <w:r w:rsidRPr="00951B96">
        <w:rPr>
          <w:rFonts w:ascii="Tahoma" w:hAnsi="Tahoma" w:cs="Tahoma"/>
          <w:color w:val="0D0D0D" w:themeColor="text1" w:themeTint="F2"/>
          <w:sz w:val="18"/>
          <w:szCs w:val="18"/>
          <w:rtl/>
        </w:rPr>
        <w:t>מכ</w:t>
      </w:r>
      <w:r w:rsidRPr="00951B96">
        <w:rPr>
          <w:rFonts w:ascii="Tahoma" w:hAnsi="Tahoma" w:cs="Tahoma"/>
          <w:color w:val="0D0D0D" w:themeColor="text1" w:themeTint="F2"/>
          <w:sz w:val="18"/>
          <w:szCs w:val="18"/>
          <w:rtl/>
        </w:rPr>
        <w:t xml:space="preserve">-6,200 בשנת 2015 </w:t>
      </w:r>
      <w:r w:rsidRPr="00951B96">
        <w:rPr>
          <w:rFonts w:ascii="Tahoma" w:hAnsi="Tahoma" w:cs="Tahoma"/>
          <w:color w:val="0D0D0D" w:themeColor="text1" w:themeTint="F2"/>
          <w:sz w:val="18"/>
          <w:szCs w:val="18"/>
          <w:rtl/>
        </w:rPr>
        <w:t>לכ</w:t>
      </w:r>
      <w:r w:rsidRPr="00951B96">
        <w:rPr>
          <w:rFonts w:ascii="Tahoma" w:hAnsi="Tahoma" w:cs="Tahoma"/>
          <w:color w:val="0D0D0D" w:themeColor="text1" w:themeTint="F2"/>
          <w:sz w:val="18"/>
          <w:szCs w:val="18"/>
          <w:rtl/>
        </w:rPr>
        <w:t>-4,500 בשנת 2020</w:t>
      </w:r>
      <w:r w:rsidRPr="00951B96">
        <w:rPr>
          <w:rFonts w:ascii="Tahoma" w:hAnsi="Tahoma" w:cs="Tahoma" w:hint="cs"/>
          <w:color w:val="0D0D0D" w:themeColor="text1" w:themeTint="F2"/>
          <w:sz w:val="18"/>
          <w:szCs w:val="18"/>
          <w:rtl/>
        </w:rPr>
        <w:t xml:space="preserve"> (ירידה של כ-27%)</w:t>
      </w:r>
      <w:r w:rsidRPr="00951B96">
        <w:rPr>
          <w:rFonts w:ascii="Tahoma" w:hAnsi="Tahoma" w:cs="Tahoma"/>
          <w:color w:val="0D0D0D" w:themeColor="text1" w:themeTint="F2"/>
          <w:sz w:val="18"/>
          <w:szCs w:val="18"/>
          <w:rtl/>
        </w:rPr>
        <w:t xml:space="preserve">. </w:t>
      </w:r>
    </w:p>
    <w:p w:rsidR="00807FA7" w:rsidRPr="00903496" w:rsidP="00435D9D" w14:paraId="6677F661" w14:textId="0337F56D">
      <w:pPr>
        <w:pStyle w:val="7112"/>
      </w:pPr>
      <w:r w:rsidRPr="00BD206C">
        <w:rPr>
          <w:rStyle w:val="71Char9"/>
          <w:rFonts w:hint="cs"/>
          <w:noProof/>
          <w:rtl/>
        </w:rPr>
        <w:drawing>
          <wp:anchor distT="0" distB="3600450" distL="114300" distR="114300" simplePos="0" relativeHeight="251695104"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10010"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D206C" w:rsidR="00BD206C">
        <w:rPr>
          <w:rStyle w:val="71Char9"/>
          <w:rtl/>
        </w:rPr>
        <w:t>סגירת תיקים במחוזות הפרקליטות (פלילי)</w:t>
      </w:r>
      <w:r w:rsidRPr="00951B96" w:rsidR="00BD206C">
        <w:rPr>
          <w:rtl/>
        </w:rPr>
        <w:t xml:space="preserve"> - נמצאו </w:t>
      </w:r>
      <w:r w:rsidRPr="00951B96" w:rsidR="00BD206C">
        <w:rPr>
          <w:rFonts w:hint="cs"/>
          <w:rtl/>
        </w:rPr>
        <w:t>הבדלים</w:t>
      </w:r>
      <w:r w:rsidRPr="00951B96" w:rsidR="00BD206C">
        <w:rPr>
          <w:rtl/>
        </w:rPr>
        <w:t xml:space="preserve"> של כ-20% בין מחוזות הפרקליטות בשיעור התיקים הנסגרים בעילות השונות. </w:t>
      </w:r>
      <w:r w:rsidRPr="00951B96" w:rsidR="00BD206C">
        <w:rPr>
          <w:rFonts w:hint="cs"/>
          <w:rtl/>
        </w:rPr>
        <w:t>הבדלים</w:t>
      </w:r>
      <w:r w:rsidRPr="00951B96" w:rsidR="00BD206C">
        <w:rPr>
          <w:rtl/>
        </w:rPr>
        <w:t xml:space="preserve"> אלו מעלים חשש כי הסיכוי של חשוד שתיקו ייסגר בעילה של "היעדר אשמה" שונה בכל </w:t>
      </w:r>
      <w:r w:rsidRPr="00951B96" w:rsidR="00BD206C">
        <w:rPr>
          <w:rFonts w:hint="cs"/>
          <w:rtl/>
        </w:rPr>
        <w:t>אחד מהמחוזות.</w:t>
      </w:r>
      <w:r w:rsidRPr="00951B96" w:rsidR="00BD206C">
        <w:rPr>
          <w:rtl/>
        </w:rPr>
        <w:t xml:space="preserve"> בשנת 2020 הסיכוי כי התיק ייסגר בעילה זו בפרקליטות מחוז צפון היה כ-33% ובפרקליטות מחוז חיפה הסיכוי ירד למחצית מכך, </w:t>
      </w:r>
      <w:r w:rsidRPr="00951B96" w:rsidR="00BD206C">
        <w:rPr>
          <w:rtl/>
        </w:rPr>
        <w:t>לכ</w:t>
      </w:r>
      <w:r w:rsidRPr="00951B96" w:rsidR="00BD206C">
        <w:rPr>
          <w:rtl/>
        </w:rPr>
        <w:t>-15%</w:t>
      </w:r>
      <w:r w:rsidRPr="00E12644" w:rsidR="00435D9D">
        <w:rPr>
          <w:rtl/>
        </w:rPr>
        <w:t>.</w:t>
      </w:r>
    </w:p>
    <w:p w:rsidR="00807FA7" w:rsidRPr="00903496" w:rsidP="00435D9D" w14:paraId="2333DA1B" w14:textId="5B0128A3">
      <w:pPr>
        <w:pStyle w:val="7112"/>
      </w:pPr>
      <w:r w:rsidRPr="00BD206C">
        <w:rPr>
          <w:rStyle w:val="71Char9"/>
          <w:rFonts w:hint="cs"/>
          <w:noProof/>
          <w:rtl/>
        </w:rPr>
        <w:drawing>
          <wp:anchor distT="0" distB="3600450" distL="114300" distR="114300" simplePos="0" relativeHeight="251696128"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70060"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D206C" w:rsidR="00BD206C">
        <w:rPr>
          <w:rStyle w:val="71Char9"/>
          <w:rtl/>
        </w:rPr>
        <w:t>היעדר נתונים על סגירת תיקים</w:t>
      </w:r>
      <w:r w:rsidRPr="00BD206C" w:rsidR="00BD206C">
        <w:rPr>
          <w:rStyle w:val="71Char9"/>
          <w:rFonts w:hint="cs"/>
          <w:rtl/>
        </w:rPr>
        <w:t xml:space="preserve"> במשטרה</w:t>
      </w:r>
      <w:r w:rsidRPr="00BD206C" w:rsidR="00BD206C">
        <w:rPr>
          <w:rStyle w:val="71Char9"/>
          <w:rtl/>
        </w:rPr>
        <w:t xml:space="preserve"> בעילת "היעדר אשמה"</w:t>
      </w:r>
      <w:r w:rsidRPr="00951B96" w:rsidR="00BD206C">
        <w:rPr>
          <w:rtl/>
        </w:rPr>
        <w:t xml:space="preserve"> - נמצא כי נתוני סגירת תיקי</w:t>
      </w:r>
      <w:r w:rsidRPr="00951B96" w:rsidR="00BD206C">
        <w:rPr>
          <w:rFonts w:hint="cs"/>
          <w:rtl/>
        </w:rPr>
        <w:t xml:space="preserve"> חשודים </w:t>
      </w:r>
      <w:r w:rsidRPr="00951B96" w:rsidR="00BD206C">
        <w:rPr>
          <w:rtl/>
        </w:rPr>
        <w:t xml:space="preserve">בעילת "היעדר אשמה" אינם קיימים במערכות </w:t>
      </w:r>
      <w:r w:rsidRPr="00951B96" w:rsidR="00BD206C">
        <w:rPr>
          <w:rtl/>
        </w:rPr>
        <w:t>המיחשוב</w:t>
      </w:r>
      <w:r w:rsidRPr="00951B96" w:rsidR="00BD206C">
        <w:rPr>
          <w:rtl/>
        </w:rPr>
        <w:t xml:space="preserve"> של מדור מחקר וסטטיסטיקה של המשטרה. במצב דברים זה לא ניתן לבחון את יישומה של הנחי</w:t>
      </w:r>
      <w:r w:rsidRPr="00951B96" w:rsidR="00BD206C">
        <w:rPr>
          <w:rFonts w:hint="cs"/>
          <w:rtl/>
        </w:rPr>
        <w:t>י</w:t>
      </w:r>
      <w:r w:rsidRPr="00951B96" w:rsidR="00BD206C">
        <w:rPr>
          <w:rtl/>
        </w:rPr>
        <w:t xml:space="preserve">ת פרקליט המדינה 1.3 במשטרה ואת הטמעת עקרונותיה בנוגע לשימוש בעילת "היעדר אשמה", מאחר </w:t>
      </w:r>
      <w:r w:rsidRPr="00951B96" w:rsidR="00BD206C">
        <w:rPr>
          <w:rFonts w:hint="cs"/>
          <w:rtl/>
        </w:rPr>
        <w:t xml:space="preserve">שהמשטרה אינה אוספת </w:t>
      </w:r>
      <w:r w:rsidRPr="00951B96" w:rsidR="00BD206C">
        <w:rPr>
          <w:rtl/>
        </w:rPr>
        <w:t xml:space="preserve"> </w:t>
      </w:r>
      <w:r w:rsidRPr="00951B96" w:rsidR="00BD206C">
        <w:rPr>
          <w:rFonts w:hint="cs"/>
          <w:rtl/>
        </w:rPr>
        <w:t xml:space="preserve">נתונים אלה </w:t>
      </w:r>
      <w:r w:rsidRPr="00951B96" w:rsidR="00BD206C">
        <w:rPr>
          <w:rtl/>
        </w:rPr>
        <w:t>לצורכי פיקוח ובקרה, לימוד וסטטיסטיקה ארגונית</w:t>
      </w:r>
      <w:r w:rsidRPr="00903496">
        <w:rPr>
          <w:rtl/>
        </w:rPr>
        <w:t>.</w:t>
      </w:r>
    </w:p>
    <w:p w:rsidR="00807FA7" w:rsidRPr="00C80B25" w:rsidP="00435D9D" w14:paraId="174302BF" w14:textId="4605BCAE">
      <w:pPr>
        <w:pStyle w:val="7112"/>
      </w:pPr>
      <w:r w:rsidRPr="00BD206C">
        <w:rPr>
          <w:rStyle w:val="71Char9"/>
          <w:rFonts w:hint="cs"/>
          <w:noProof/>
          <w:rtl/>
        </w:rPr>
        <w:drawing>
          <wp:anchor distT="0" distB="3600450" distL="114300" distR="114300" simplePos="0" relativeHeight="251697152"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6035"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D206C" w:rsidR="00BD206C">
        <w:rPr>
          <w:rStyle w:val="71Char9"/>
          <w:rtl/>
        </w:rPr>
        <w:t>סגירת תיקי חשודים במשטרה בעילת "חוסר ראיות"</w:t>
      </w:r>
      <w:r w:rsidRPr="00951B96" w:rsidR="00BD206C">
        <w:rPr>
          <w:rtl/>
        </w:rPr>
        <w:t xml:space="preserve"> - נמצא כי חלה עלייה ניכרת בשיעור התיקים הנסגרים בחטיבת החקירות מ</w:t>
      </w:r>
      <w:r w:rsidRPr="00951B96" w:rsidR="00BD206C">
        <w:rPr>
          <w:rFonts w:hint="cs"/>
          <w:rtl/>
        </w:rPr>
        <w:t>"</w:t>
      </w:r>
      <w:r w:rsidRPr="00951B96" w:rsidR="00BD206C">
        <w:rPr>
          <w:rtl/>
        </w:rPr>
        <w:t>חוסר ראיות</w:t>
      </w:r>
      <w:r w:rsidRPr="00951B96" w:rsidR="00BD206C">
        <w:rPr>
          <w:rFonts w:hint="cs"/>
          <w:rtl/>
        </w:rPr>
        <w:t>"</w:t>
      </w:r>
      <w:r w:rsidRPr="00951B96" w:rsidR="00BD206C">
        <w:rPr>
          <w:rtl/>
        </w:rPr>
        <w:t xml:space="preserve">: מ-41% בשנת 2015 ל-58% בשנת 2020. עוד נמצא כי משנת 2015 עד שנת 2020 חלה ירידה מתונה של כ-5% בשיעור התיקים שנסגרו בחטיבת התביעות במשטרה בעילת </w:t>
      </w:r>
      <w:r w:rsidRPr="00951B96" w:rsidR="00BD206C">
        <w:rPr>
          <w:rFonts w:hint="cs"/>
          <w:rtl/>
        </w:rPr>
        <w:t>"</w:t>
      </w:r>
      <w:r w:rsidRPr="00951B96" w:rsidR="00BD206C">
        <w:rPr>
          <w:rtl/>
        </w:rPr>
        <w:t>חוסר ראיות</w:t>
      </w:r>
      <w:r w:rsidRPr="00951B96" w:rsidR="00BD206C">
        <w:rPr>
          <w:rFonts w:hint="cs"/>
          <w:rtl/>
        </w:rPr>
        <w:t>"</w:t>
      </w:r>
      <w:r w:rsidRPr="00951B96" w:rsidR="00BD206C">
        <w:rPr>
          <w:rtl/>
        </w:rPr>
        <w:t xml:space="preserve">, ולמעשה ההנחיה המתוקנת לא הובילה לשינוי ניכר בשיעור </w:t>
      </w:r>
      <w:r w:rsidRPr="00951B96" w:rsidR="00BD206C">
        <w:rPr>
          <w:rFonts w:hint="cs"/>
          <w:rtl/>
        </w:rPr>
        <w:t>התיקים</w:t>
      </w:r>
      <w:r w:rsidRPr="00951B96" w:rsidR="00BD206C">
        <w:rPr>
          <w:rtl/>
        </w:rPr>
        <w:t xml:space="preserve"> </w:t>
      </w:r>
      <w:r w:rsidRPr="00951B96" w:rsidR="00BD206C">
        <w:rPr>
          <w:rFonts w:hint="cs"/>
          <w:rtl/>
        </w:rPr>
        <w:t xml:space="preserve">הנסגרים </w:t>
      </w:r>
      <w:r w:rsidRPr="00951B96" w:rsidR="00BD206C">
        <w:rPr>
          <w:rtl/>
        </w:rPr>
        <w:t>בעילה זו. לכל אדם עומדת חזקת החפות</w:t>
      </w:r>
      <w:r w:rsidRPr="00951B96" w:rsidR="00BD206C">
        <w:rPr>
          <w:rFonts w:hint="cs"/>
          <w:rtl/>
        </w:rPr>
        <w:t xml:space="preserve"> כל עוד לא הוכחה אשמתו מעבר לספק סביר בבית המשפט. </w:t>
      </w:r>
      <w:r w:rsidRPr="00951B96" w:rsidR="00BD206C">
        <w:rPr>
          <w:rtl/>
        </w:rPr>
        <w:t xml:space="preserve">לכאורה, סגירת תיק החקירה </w:t>
      </w:r>
      <w:r w:rsidRPr="00951B96" w:rsidR="00BD206C">
        <w:rPr>
          <w:rFonts w:hint="cs"/>
          <w:rtl/>
        </w:rPr>
        <w:t>חלף העמדה לדין</w:t>
      </w:r>
      <w:r w:rsidRPr="00951B96" w:rsidR="00BD206C">
        <w:rPr>
          <w:rtl/>
        </w:rPr>
        <w:t xml:space="preserve"> משמעותה אשרור של חזקת החפות. ואולם</w:t>
      </w:r>
      <w:r w:rsidRPr="00951B96" w:rsidR="00BD206C">
        <w:rPr>
          <w:rFonts w:hint="cs"/>
          <w:rtl/>
        </w:rPr>
        <w:t>,</w:t>
      </w:r>
      <w:r w:rsidRPr="00951B96" w:rsidR="00BD206C">
        <w:rPr>
          <w:rtl/>
        </w:rPr>
        <w:t xml:space="preserve"> סגירת תיקים בעילת "חוסר ראיות" יש בה כדי לכרסם בעקרון יסוד זה, </w:t>
      </w:r>
      <w:r w:rsidRPr="00951B96" w:rsidR="00BD206C">
        <w:rPr>
          <w:rFonts w:hint="cs"/>
          <w:rtl/>
        </w:rPr>
        <w:t xml:space="preserve">בייחוד </w:t>
      </w:r>
      <w:r w:rsidRPr="00951B96" w:rsidR="00BD206C">
        <w:rPr>
          <w:rtl/>
        </w:rPr>
        <w:t xml:space="preserve">כאשר היא נעשית בשיעור ניכר </w:t>
      </w:r>
      <w:r w:rsidRPr="00951B96" w:rsidR="00BD206C">
        <w:rPr>
          <w:rFonts w:hint="cs"/>
          <w:rtl/>
        </w:rPr>
        <w:t>מ</w:t>
      </w:r>
      <w:r w:rsidRPr="00951B96" w:rsidR="00BD206C">
        <w:rPr>
          <w:rtl/>
        </w:rPr>
        <w:t>התיקים</w:t>
      </w:r>
      <w:r w:rsidRPr="00951B96" w:rsidR="00BD206C">
        <w:rPr>
          <w:rFonts w:hint="cs"/>
          <w:rtl/>
        </w:rPr>
        <w:t xml:space="preserve"> -</w:t>
      </w:r>
      <w:r w:rsidRPr="00951B96" w:rsidR="00BD206C">
        <w:rPr>
          <w:rtl/>
        </w:rPr>
        <w:t xml:space="preserve"> כ-40,000 תיקים בממוצע בשנים 2020-2019</w:t>
      </w:r>
      <w:r w:rsidR="00435D9D">
        <w:rPr>
          <w:rFonts w:hint="cs"/>
          <w:rtl/>
        </w:rPr>
        <w:t>.</w:t>
      </w:r>
    </w:p>
    <w:p w:rsidR="00807FA7" w:rsidRPr="0069093D" w:rsidP="00435D9D" w14:paraId="561444B7" w14:textId="543B3209">
      <w:pPr>
        <w:pStyle w:val="7112"/>
      </w:pPr>
      <w:r w:rsidRPr="00BD206C">
        <w:rPr>
          <w:rStyle w:val="71Char9"/>
          <w:rFonts w:hint="cs"/>
          <w:noProof/>
          <w:rtl/>
        </w:rPr>
        <w:drawing>
          <wp:anchor distT="0" distB="3600450" distL="114300" distR="114300" simplePos="0" relativeHeight="251698176" behindDoc="0" locked="0" layoutInCell="1" allowOverlap="1">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23077"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D206C" w:rsidR="00BD206C">
        <w:rPr>
          <w:rStyle w:val="71Char9"/>
          <w:rtl/>
        </w:rPr>
        <w:t xml:space="preserve">סגירת תיק במשטרה של </w:t>
      </w:r>
      <w:r w:rsidRPr="00BD206C" w:rsidR="00BD206C">
        <w:rPr>
          <w:rStyle w:val="71Char9"/>
          <w:rtl/>
        </w:rPr>
        <w:t>נילון</w:t>
      </w:r>
      <w:r w:rsidRPr="00BD206C" w:rsidR="00BD206C">
        <w:rPr>
          <w:rStyle w:val="71Char9"/>
          <w:rtl/>
        </w:rPr>
        <w:t xml:space="preserve"> שלא נחקר</w:t>
      </w:r>
      <w:r w:rsidRPr="00951B96" w:rsidR="00BD206C">
        <w:rPr>
          <w:rtl/>
        </w:rPr>
        <w:t xml:space="preserve"> - נמצא כי בכל שנה נסגרים בממוצע כ-21,000 תיקים פליליים </w:t>
      </w:r>
      <w:r w:rsidRPr="00951B96" w:rsidR="00BD206C">
        <w:rPr>
          <w:rFonts w:hint="cs"/>
          <w:rtl/>
        </w:rPr>
        <w:t>לנילונים</w:t>
      </w:r>
      <w:r w:rsidRPr="00951B96" w:rsidR="00BD206C">
        <w:rPr>
          <w:rtl/>
        </w:rPr>
        <w:t xml:space="preserve"> שלא נחקרו באזהרה בעילת </w:t>
      </w:r>
      <w:r w:rsidRPr="00951B96" w:rsidR="00BD206C">
        <w:rPr>
          <w:rFonts w:hint="cs"/>
          <w:rtl/>
        </w:rPr>
        <w:t>"</w:t>
      </w:r>
      <w:r w:rsidRPr="00951B96" w:rsidR="00BD206C">
        <w:rPr>
          <w:rtl/>
        </w:rPr>
        <w:t>נל"ן</w:t>
      </w:r>
      <w:r w:rsidRPr="00951B96" w:rsidR="00BD206C">
        <w:rPr>
          <w:rFonts w:hint="cs"/>
          <w:rtl/>
        </w:rPr>
        <w:t>"</w:t>
      </w:r>
      <w:r w:rsidRPr="00951B96" w:rsidR="00BD206C">
        <w:rPr>
          <w:rtl/>
        </w:rPr>
        <w:t xml:space="preserve"> </w:t>
      </w:r>
      <w:r w:rsidRPr="00951B96" w:rsidR="00BD206C">
        <w:rPr>
          <w:rFonts w:hint="cs"/>
          <w:rtl/>
        </w:rPr>
        <w:t>ו</w:t>
      </w:r>
      <w:r w:rsidRPr="00951B96" w:rsidR="00BD206C">
        <w:rPr>
          <w:rtl/>
        </w:rPr>
        <w:t xml:space="preserve">בלי </w:t>
      </w:r>
      <w:r w:rsidRPr="00951B96" w:rsidR="00BD206C">
        <w:rPr>
          <w:rFonts w:hint="cs"/>
          <w:rtl/>
        </w:rPr>
        <w:t>ש</w:t>
      </w:r>
      <w:r w:rsidRPr="00951B96" w:rsidR="00BD206C">
        <w:rPr>
          <w:rtl/>
        </w:rPr>
        <w:t>המשטרה</w:t>
      </w:r>
      <w:r w:rsidRPr="00951B96" w:rsidR="00BD206C">
        <w:rPr>
          <w:rFonts w:hint="cs"/>
          <w:rtl/>
        </w:rPr>
        <w:t xml:space="preserve"> מעדכנת אותם על כך</w:t>
      </w:r>
      <w:r w:rsidRPr="00951B96" w:rsidR="00BD206C">
        <w:rPr>
          <w:rtl/>
        </w:rPr>
        <w:t>. בשנים 20</w:t>
      </w:r>
      <w:r w:rsidRPr="00951B96" w:rsidR="00BD206C">
        <w:rPr>
          <w:rFonts w:hint="cs"/>
          <w:rtl/>
        </w:rPr>
        <w:t xml:space="preserve">15 </w:t>
      </w:r>
      <w:r w:rsidRPr="00951B96" w:rsidR="00BD206C">
        <w:rPr>
          <w:rtl/>
        </w:rPr>
        <w:t>-</w:t>
      </w:r>
      <w:r w:rsidRPr="00951B96" w:rsidR="00BD206C">
        <w:rPr>
          <w:rFonts w:hint="cs"/>
          <w:rtl/>
        </w:rPr>
        <w:t xml:space="preserve"> </w:t>
      </w:r>
      <w:r w:rsidRPr="00951B96" w:rsidR="00BD206C">
        <w:rPr>
          <w:rtl/>
        </w:rPr>
        <w:t>20</w:t>
      </w:r>
      <w:r w:rsidRPr="00951B96" w:rsidR="00BD206C">
        <w:rPr>
          <w:rFonts w:hint="cs"/>
          <w:rtl/>
        </w:rPr>
        <w:t>20  תיקיהם של</w:t>
      </w:r>
      <w:r w:rsidRPr="00951B96" w:rsidR="00BD206C">
        <w:rPr>
          <w:rtl/>
        </w:rPr>
        <w:t xml:space="preserve"> 675 </w:t>
      </w:r>
      <w:r w:rsidRPr="00951B96" w:rsidR="00BD206C">
        <w:rPr>
          <w:rtl/>
        </w:rPr>
        <w:t>נילונים</w:t>
      </w:r>
      <w:r w:rsidRPr="00951B96" w:rsidR="00BD206C">
        <w:rPr>
          <w:rtl/>
        </w:rPr>
        <w:t xml:space="preserve"> </w:t>
      </w:r>
      <w:r w:rsidRPr="00951B96" w:rsidR="00BD206C">
        <w:rPr>
          <w:rFonts w:hint="cs"/>
          <w:rtl/>
        </w:rPr>
        <w:t xml:space="preserve">שלא נחקרו </w:t>
      </w:r>
      <w:r w:rsidRPr="00951B96" w:rsidR="00BD206C">
        <w:rPr>
          <w:rtl/>
        </w:rPr>
        <w:t>נסגר</w:t>
      </w:r>
      <w:r w:rsidRPr="00951B96" w:rsidR="00BD206C">
        <w:rPr>
          <w:rFonts w:hint="cs"/>
          <w:rtl/>
        </w:rPr>
        <w:t>ו</w:t>
      </w:r>
      <w:r w:rsidRPr="00951B96" w:rsidR="00BD206C">
        <w:rPr>
          <w:rtl/>
        </w:rPr>
        <w:t xml:space="preserve"> בעילת </w:t>
      </w:r>
      <w:r w:rsidRPr="00951B96" w:rsidR="00BD206C">
        <w:rPr>
          <w:rFonts w:hint="cs"/>
          <w:rtl/>
        </w:rPr>
        <w:t>"</w:t>
      </w:r>
      <w:r w:rsidRPr="00951B96" w:rsidR="00BD206C">
        <w:rPr>
          <w:rtl/>
        </w:rPr>
        <w:t>חוסר ראיות</w:t>
      </w:r>
      <w:r w:rsidRPr="00951B96" w:rsidR="00BD206C">
        <w:rPr>
          <w:rFonts w:hint="cs"/>
          <w:rtl/>
        </w:rPr>
        <w:t xml:space="preserve">". אדם בסיווג </w:t>
      </w:r>
      <w:r w:rsidRPr="00951B96" w:rsidR="00BD206C">
        <w:rPr>
          <w:rFonts w:hint="cs"/>
          <w:rtl/>
        </w:rPr>
        <w:t>נילון</w:t>
      </w:r>
      <w:r w:rsidRPr="00951B96" w:rsidR="00BD206C">
        <w:rPr>
          <w:rFonts w:hint="cs"/>
          <w:rtl/>
        </w:rPr>
        <w:t xml:space="preserve"> שלא נחקר באזהרה כלל איננו מיודע כי תיק בעניינו נפתח ואז נסגר ונמנעת ממנו הזכות להגיש בקשה לשינוי עילת הסגירה</w:t>
      </w:r>
      <w:r>
        <w:rPr>
          <w:rtl/>
        </w:rPr>
        <w:t>.</w:t>
      </w:r>
    </w:p>
    <w:p w:rsidR="00807FA7" w:rsidRPr="0069093D" w:rsidP="00435D9D" w14:paraId="629CF945" w14:textId="4D058252">
      <w:pPr>
        <w:pStyle w:val="7112"/>
      </w:pPr>
      <w:r w:rsidRPr="00BD206C">
        <w:rPr>
          <w:rStyle w:val="71Char9"/>
          <w:rFonts w:hint="cs"/>
          <w:noProof/>
          <w:rtl/>
        </w:rPr>
        <w:drawing>
          <wp:anchor distT="0" distB="3600450" distL="114300" distR="114300" simplePos="0" relativeHeight="251699200"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57368"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D206C" w:rsidR="00BD206C">
        <w:rPr>
          <w:rStyle w:val="71Char9"/>
          <w:rtl/>
        </w:rPr>
        <w:t>ערר מתלונן על החלטה שלא לחקור או שלא להעמיד לדין את החשוד</w:t>
      </w:r>
      <w:r w:rsidRPr="00951B96" w:rsidR="00BD206C">
        <w:rPr>
          <w:rtl/>
        </w:rPr>
        <w:t xml:space="preserve"> - בקרב מתלוננים, עורכי דין וגורמי משטרה קיימת אי</w:t>
      </w:r>
      <w:r w:rsidRPr="00951B96" w:rsidR="00BD206C">
        <w:rPr>
          <w:rFonts w:hint="cs"/>
          <w:rtl/>
        </w:rPr>
        <w:t>-</w:t>
      </w:r>
      <w:r w:rsidRPr="00951B96" w:rsidR="00BD206C">
        <w:rPr>
          <w:rtl/>
        </w:rPr>
        <w:t xml:space="preserve">בהירות בנוגע לגורם </w:t>
      </w:r>
      <w:r w:rsidRPr="00951B96" w:rsidR="00BD206C">
        <w:rPr>
          <w:rFonts w:hint="cs"/>
          <w:rtl/>
        </w:rPr>
        <w:t>שיש להגיש לו</w:t>
      </w:r>
      <w:r w:rsidRPr="00951B96" w:rsidR="00BD206C">
        <w:rPr>
          <w:rtl/>
        </w:rPr>
        <w:t xml:space="preserve"> ערר של מתלונן על סגירת תיק חקירה. בשנים 2020-2018 קיבלה יחידת </w:t>
      </w:r>
      <w:r w:rsidRPr="00951B96" w:rsidR="00BD206C">
        <w:rPr>
          <w:rtl/>
        </w:rPr>
        <w:t>העררים</w:t>
      </w:r>
      <w:r w:rsidRPr="00951B96" w:rsidR="00BD206C">
        <w:rPr>
          <w:rtl/>
        </w:rPr>
        <w:t xml:space="preserve"> בפרקליטות החלטה </w:t>
      </w:r>
      <w:r w:rsidRPr="00951B96" w:rsidR="00BD206C">
        <w:rPr>
          <w:rtl/>
        </w:rPr>
        <w:t>בכ</w:t>
      </w:r>
      <w:r w:rsidRPr="00951B96" w:rsidR="00BD206C">
        <w:rPr>
          <w:rtl/>
        </w:rPr>
        <w:t>-2,000 עררים של מתלוננים על סגירת תיקים בכל שנה.</w:t>
      </w:r>
      <w:r w:rsidRPr="00951B96" w:rsidR="00BD206C">
        <w:rPr>
          <w:rFonts w:hint="cs"/>
          <w:rtl/>
        </w:rPr>
        <w:t xml:space="preserve"> כ-</w:t>
      </w:r>
      <w:r w:rsidRPr="00951B96" w:rsidR="00BD206C">
        <w:rPr>
          <w:rtl/>
        </w:rPr>
        <w:t xml:space="preserve">0.5% </w:t>
      </w:r>
      <w:r w:rsidRPr="00951B96" w:rsidR="00BD206C">
        <w:rPr>
          <w:rtl/>
        </w:rPr>
        <w:t>מהעררים</w:t>
      </w:r>
      <w:r w:rsidRPr="00951B96" w:rsidR="00BD206C">
        <w:rPr>
          <w:rtl/>
        </w:rPr>
        <w:t xml:space="preserve"> התקבלו והוגשו </w:t>
      </w:r>
      <w:r w:rsidRPr="00951B96" w:rsidR="00BD206C">
        <w:rPr>
          <w:rFonts w:hint="cs"/>
          <w:rtl/>
        </w:rPr>
        <w:t xml:space="preserve">בעקבותיהם </w:t>
      </w:r>
      <w:r w:rsidRPr="00951B96" w:rsidR="00BD206C">
        <w:rPr>
          <w:rtl/>
        </w:rPr>
        <w:t xml:space="preserve">כתבי אישום, </w:t>
      </w:r>
      <w:r w:rsidRPr="00951B96" w:rsidR="00BD206C">
        <w:rPr>
          <w:rtl/>
        </w:rPr>
        <w:t>ב</w:t>
      </w:r>
      <w:r w:rsidRPr="00951B96" w:rsidR="00BD206C">
        <w:rPr>
          <w:rFonts w:hint="cs"/>
          <w:rtl/>
        </w:rPr>
        <w:t>כ</w:t>
      </w:r>
      <w:r w:rsidRPr="00951B96" w:rsidR="00BD206C">
        <w:rPr>
          <w:rtl/>
        </w:rPr>
        <w:t xml:space="preserve">-3% </w:t>
      </w:r>
      <w:r w:rsidRPr="00951B96" w:rsidR="00BD206C">
        <w:rPr>
          <w:rFonts w:hint="cs"/>
          <w:rtl/>
        </w:rPr>
        <w:t>עד</w:t>
      </w:r>
      <w:r w:rsidRPr="00951B96" w:rsidR="00BD206C">
        <w:rPr>
          <w:rtl/>
        </w:rPr>
        <w:t xml:space="preserve"> </w:t>
      </w:r>
      <w:r w:rsidRPr="00951B96" w:rsidR="00BD206C">
        <w:rPr>
          <w:rFonts w:hint="cs"/>
          <w:rtl/>
        </w:rPr>
        <w:t>כ-</w:t>
      </w:r>
      <w:r w:rsidRPr="00951B96" w:rsidR="00BD206C">
        <w:rPr>
          <w:rtl/>
        </w:rPr>
        <w:t xml:space="preserve">5% </w:t>
      </w:r>
      <w:r w:rsidRPr="00951B96" w:rsidR="00BD206C">
        <w:rPr>
          <w:rtl/>
        </w:rPr>
        <w:t>מהעררים</w:t>
      </w:r>
      <w:r w:rsidRPr="00951B96" w:rsidR="00BD206C">
        <w:rPr>
          <w:rtl/>
        </w:rPr>
        <w:t xml:space="preserve"> התקבלה החלטה על השלמת חקירה בעניינם. כ-94% </w:t>
      </w:r>
      <w:r w:rsidRPr="00951B96" w:rsidR="00BD206C">
        <w:rPr>
          <w:rtl/>
        </w:rPr>
        <w:t>מהעררים</w:t>
      </w:r>
      <w:r w:rsidRPr="00951B96" w:rsidR="00BD206C">
        <w:rPr>
          <w:rtl/>
        </w:rPr>
        <w:t xml:space="preserve"> נדחו</w:t>
      </w:r>
      <w:r w:rsidRPr="0069093D">
        <w:rPr>
          <w:rFonts w:hint="cs"/>
          <w:rtl/>
        </w:rPr>
        <w:t>.</w:t>
      </w:r>
    </w:p>
    <w:p w:rsidR="0069093D" w:rsidP="00435D9D" w14:paraId="09615A35" w14:textId="4E61659B">
      <w:pPr>
        <w:pStyle w:val="7112"/>
        <w:rPr>
          <w:rtl/>
        </w:rPr>
      </w:pPr>
      <w:r w:rsidRPr="009E6333">
        <w:rPr>
          <w:rStyle w:val="7195Char"/>
          <w:rFonts w:hint="cs"/>
          <w:rtl/>
        </w:rPr>
        <w:drawing>
          <wp:anchor distT="0" distB="3600450" distL="114300" distR="114300" simplePos="0" relativeHeight="251692032" behindDoc="0" locked="0" layoutInCell="1" allowOverlap="1">
            <wp:simplePos x="0" y="0"/>
            <wp:positionH relativeFrom="column">
              <wp:posOffset>4498975</wp:posOffset>
            </wp:positionH>
            <wp:positionV relativeFrom="paragraph">
              <wp:posOffset>43180</wp:posOffset>
            </wp:positionV>
            <wp:extent cx="161925" cy="161925"/>
            <wp:effectExtent l="0" t="0" r="9525" b="9525"/>
            <wp:wrapSquare wrapText="bothSides"/>
            <wp:docPr id="2052770947" name="Picture 205277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24170"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D206C" w:rsidR="00BD206C">
        <w:rPr>
          <w:rStyle w:val="71Char9"/>
          <w:rtl/>
        </w:rPr>
        <w:t xml:space="preserve">בקשת חשוד לשינוי עילת </w:t>
      </w:r>
      <w:r w:rsidRPr="00BD206C" w:rsidR="00BD206C">
        <w:rPr>
          <w:rStyle w:val="71Char9"/>
          <w:rFonts w:hint="cs"/>
          <w:rtl/>
        </w:rPr>
        <w:t>ה</w:t>
      </w:r>
      <w:r w:rsidRPr="00BD206C" w:rsidR="00BD206C">
        <w:rPr>
          <w:rStyle w:val="71Char9"/>
          <w:rtl/>
        </w:rPr>
        <w:t>סגירה במשטרה</w:t>
      </w:r>
      <w:r w:rsidRPr="00951B96" w:rsidR="00BD206C">
        <w:rPr>
          <w:rtl/>
        </w:rPr>
        <w:t xml:space="preserve"> - בידי המשטרה אין ריכוז נתונים על בקשות לשינוי עילת </w:t>
      </w:r>
      <w:r w:rsidRPr="00951B96" w:rsidR="00BD206C">
        <w:rPr>
          <w:rFonts w:hint="cs"/>
          <w:rtl/>
        </w:rPr>
        <w:t>ה</w:t>
      </w:r>
      <w:r w:rsidRPr="00951B96" w:rsidR="00BD206C">
        <w:rPr>
          <w:rtl/>
        </w:rPr>
        <w:t>סגירה</w:t>
      </w:r>
      <w:r w:rsidR="00807FA7">
        <w:rPr>
          <w:rFonts w:hint="cs"/>
          <w:rtl/>
        </w:rPr>
        <w:t>.</w:t>
      </w:r>
      <w:r w:rsidRPr="0069093D">
        <w:rPr>
          <w:rFonts w:hint="cs"/>
          <w:rtl/>
        </w:rPr>
        <w:t xml:space="preserve"> </w:t>
      </w:r>
    </w:p>
    <w:p w:rsidR="00435D9D" w:rsidP="004149D5" w14:paraId="669FD7AD" w14:textId="7F271726">
      <w:pPr>
        <w:pStyle w:val="7112"/>
        <w:rPr>
          <w:rtl/>
        </w:rPr>
      </w:pPr>
      <w:r w:rsidRPr="00BD206C">
        <w:rPr>
          <w:rStyle w:val="71Char9"/>
          <w:rFonts w:hint="cs"/>
          <w:noProof/>
          <w:rtl/>
        </w:rPr>
        <w:drawing>
          <wp:anchor distT="0" distB="3600450" distL="114300" distR="114300" simplePos="0" relativeHeight="251705344" behindDoc="0" locked="0" layoutInCell="1" allowOverlap="1">
            <wp:simplePos x="0" y="0"/>
            <wp:positionH relativeFrom="column">
              <wp:posOffset>4495165</wp:posOffset>
            </wp:positionH>
            <wp:positionV relativeFrom="paragraph">
              <wp:posOffset>60960</wp:posOffset>
            </wp:positionV>
            <wp:extent cx="161925" cy="161925"/>
            <wp:effectExtent l="0" t="0" r="9525" b="9525"/>
            <wp:wrapSquare wrapText="bothSides"/>
            <wp:docPr id="765912903" name="Picture 7659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73380"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D206C" w:rsidR="00BD206C">
        <w:rPr>
          <w:rStyle w:val="71Char9"/>
          <w:rtl/>
        </w:rPr>
        <w:t xml:space="preserve">חסמים </w:t>
      </w:r>
      <w:r w:rsidRPr="00BD206C" w:rsidR="00BD206C">
        <w:rPr>
          <w:rStyle w:val="71Char9"/>
          <w:rFonts w:hint="cs"/>
          <w:rtl/>
        </w:rPr>
        <w:t>ל</w:t>
      </w:r>
      <w:r w:rsidRPr="00BD206C" w:rsidR="00BD206C">
        <w:rPr>
          <w:rStyle w:val="71Char9"/>
          <w:rtl/>
        </w:rPr>
        <w:t>מימוש הזכות של המתלונן לערור על סגירת תיק ושל חשוד לבקש שינוי של עילת הסגירה</w:t>
      </w:r>
      <w:r w:rsidRPr="00951B96" w:rsidR="00BD206C">
        <w:rPr>
          <w:rtl/>
        </w:rPr>
        <w:t xml:space="preserve"> -</w:t>
      </w:r>
      <w:r w:rsidRPr="00951B96" w:rsidR="00BD206C">
        <w:rPr>
          <w:rFonts w:hint="cs"/>
          <w:rtl/>
        </w:rPr>
        <w:t xml:space="preserve"> </w:t>
      </w:r>
      <w:r w:rsidRPr="00951B96" w:rsidR="00BD206C">
        <w:rPr>
          <w:rtl/>
        </w:rPr>
        <w:t xml:space="preserve">עלה כי </w:t>
      </w:r>
      <w:r w:rsidRPr="00951B96" w:rsidR="00BD206C">
        <w:rPr>
          <w:rFonts w:hint="cs"/>
          <w:rtl/>
        </w:rPr>
        <w:t>לגבי</w:t>
      </w:r>
      <w:r w:rsidRPr="00951B96" w:rsidR="00BD206C">
        <w:rPr>
          <w:rtl/>
        </w:rPr>
        <w:t xml:space="preserve"> 30% </w:t>
      </w:r>
      <w:r w:rsidRPr="00951B96" w:rsidR="00BD206C">
        <w:rPr>
          <w:rFonts w:hint="cs"/>
          <w:rtl/>
        </w:rPr>
        <w:t xml:space="preserve">עד </w:t>
      </w:r>
      <w:r w:rsidRPr="00951B96" w:rsidR="00BD206C">
        <w:rPr>
          <w:rtl/>
        </w:rPr>
        <w:t>40% מהתיקים שנסגרו לא נשלחה</w:t>
      </w:r>
      <w:r w:rsidRPr="00951B96" w:rsidR="00BD206C">
        <w:rPr>
          <w:rFonts w:hint="cs"/>
          <w:rtl/>
        </w:rPr>
        <w:t xml:space="preserve"> למתלונן או לחשוד</w:t>
      </w:r>
      <w:r w:rsidRPr="00951B96" w:rsidR="00BD206C">
        <w:rPr>
          <w:rtl/>
        </w:rPr>
        <w:t xml:space="preserve"> הודעה על </w:t>
      </w:r>
      <w:r w:rsidRPr="00951B96" w:rsidR="00BD206C">
        <w:rPr>
          <w:rFonts w:hint="cs"/>
          <w:rtl/>
        </w:rPr>
        <w:t>סגירת התיק.</w:t>
      </w:r>
      <w:r w:rsidRPr="00951B96" w:rsidR="00BD206C">
        <w:rPr>
          <w:rtl/>
        </w:rPr>
        <w:t xml:space="preserve"> ההודעות נשלחות </w:t>
      </w:r>
      <w:r w:rsidRPr="00951B96" w:rsidR="00BD206C">
        <w:rPr>
          <w:rFonts w:hint="cs"/>
          <w:rtl/>
        </w:rPr>
        <w:t xml:space="preserve">על ידי המשטרה </w:t>
      </w:r>
      <w:r w:rsidRPr="00951B96" w:rsidR="00BD206C">
        <w:rPr>
          <w:rtl/>
        </w:rPr>
        <w:t>בדואר רגיל</w:t>
      </w:r>
      <w:r w:rsidRPr="00951B96" w:rsidR="00BD206C">
        <w:rPr>
          <w:rFonts w:hint="cs"/>
          <w:rtl/>
        </w:rPr>
        <w:t>,</w:t>
      </w:r>
      <w:r w:rsidRPr="00951B96" w:rsidR="00BD206C">
        <w:rPr>
          <w:rtl/>
        </w:rPr>
        <w:t xml:space="preserve"> ואין דרך לדעת אם </w:t>
      </w:r>
      <w:r w:rsidRPr="00951B96" w:rsidR="00BD206C">
        <w:rPr>
          <w:rFonts w:hint="cs"/>
          <w:rtl/>
        </w:rPr>
        <w:t xml:space="preserve">נמסרו </w:t>
      </w:r>
      <w:r w:rsidRPr="00951B96" w:rsidR="00BD206C">
        <w:rPr>
          <w:rtl/>
        </w:rPr>
        <w:t>כדין ומה המועד שבו התקבל</w:t>
      </w:r>
      <w:r w:rsidRPr="00951B96" w:rsidR="00BD206C">
        <w:rPr>
          <w:rFonts w:hint="cs"/>
          <w:rtl/>
        </w:rPr>
        <w:t>ו</w:t>
      </w:r>
      <w:r w:rsidRPr="00951B96" w:rsidR="00BD206C">
        <w:rPr>
          <w:rtl/>
        </w:rPr>
        <w:t xml:space="preserve">. </w:t>
      </w:r>
      <w:r w:rsidRPr="00951B96" w:rsidR="00BD206C">
        <w:rPr>
          <w:rFonts w:hint="cs"/>
          <w:rtl/>
        </w:rPr>
        <w:t>מאחר שה</w:t>
      </w:r>
      <w:r w:rsidRPr="00951B96" w:rsidR="00BD206C">
        <w:rPr>
          <w:rtl/>
        </w:rPr>
        <w:t xml:space="preserve">הודעה למתלונן על סגירת התיק של החשוד </w:t>
      </w:r>
      <w:r w:rsidRPr="00951B96" w:rsidR="00BD206C">
        <w:rPr>
          <w:rFonts w:hint="cs"/>
          <w:rtl/>
        </w:rPr>
        <w:t xml:space="preserve">נשלחת </w:t>
      </w:r>
      <w:r w:rsidRPr="00951B96" w:rsidR="00BD206C">
        <w:rPr>
          <w:rtl/>
        </w:rPr>
        <w:t>בדואר רגיל לא ברור מהו המועד הקובע לתחילת מניין 60 הימים להגשת ערר</w:t>
      </w:r>
      <w:r w:rsidRPr="00951B96" w:rsidR="00BD206C">
        <w:rPr>
          <w:rFonts w:hint="cs"/>
          <w:rtl/>
        </w:rPr>
        <w:t xml:space="preserve"> מתלונן</w:t>
      </w:r>
      <w:r w:rsidRPr="00951B96" w:rsidR="00BD206C">
        <w:rPr>
          <w:rtl/>
        </w:rPr>
        <w:t xml:space="preserve">. </w:t>
      </w:r>
      <w:r w:rsidRPr="00951B96" w:rsidR="00BD206C">
        <w:rPr>
          <w:rFonts w:hint="cs"/>
          <w:rtl/>
        </w:rPr>
        <w:t xml:space="preserve">בבדיקת </w:t>
      </w:r>
      <w:r w:rsidRPr="00951B96" w:rsidR="00BD206C">
        <w:rPr>
          <w:rtl/>
        </w:rPr>
        <w:t xml:space="preserve">34 החלטות בבקשות של חשודים לשינוי עילת סגירה או בעררי מתלוננים שנבדקו, </w:t>
      </w:r>
      <w:r w:rsidRPr="00951B96" w:rsidR="00BD206C">
        <w:rPr>
          <w:rFonts w:hint="cs"/>
          <w:rtl/>
        </w:rPr>
        <w:t xml:space="preserve">נמצא כי </w:t>
      </w:r>
      <w:r w:rsidRPr="00951B96" w:rsidR="00BD206C">
        <w:rPr>
          <w:rtl/>
        </w:rPr>
        <w:t xml:space="preserve">13 מהן לא היו מנומקות. עוד עלו פערים בכל הנוגע להעברת </w:t>
      </w:r>
      <w:r w:rsidRPr="00951B96" w:rsidR="00BD206C">
        <w:rPr>
          <w:rFonts w:hint="cs"/>
          <w:rtl/>
        </w:rPr>
        <w:t xml:space="preserve">צילום </w:t>
      </w:r>
      <w:r w:rsidRPr="00951B96" w:rsidR="00BD206C">
        <w:rPr>
          <w:rtl/>
        </w:rPr>
        <w:t>חומרי חקירה לחשודים ולמתלוננים המבקשים להגיש ערר</w:t>
      </w:r>
      <w:r w:rsidRPr="00951B96" w:rsidR="00BD206C">
        <w:rPr>
          <w:rFonts w:hint="cs"/>
          <w:rtl/>
        </w:rPr>
        <w:t>,</w:t>
      </w:r>
      <w:r w:rsidRPr="00951B96" w:rsidR="00BD206C">
        <w:rPr>
          <w:rtl/>
        </w:rPr>
        <w:t xml:space="preserve"> ובכך עלולה להיפגע </w:t>
      </w:r>
      <w:r w:rsidRPr="00951B96" w:rsidR="00BD206C">
        <w:rPr>
          <w:rFonts w:hint="cs"/>
          <w:rtl/>
        </w:rPr>
        <w:t>זכותו של האזרח  המעוגנת בחוק לערור או לבקש שינוי עילת סגירה</w:t>
      </w:r>
      <w:r w:rsidR="00BD206C">
        <w:rPr>
          <w:rFonts w:hint="cs"/>
          <w:rtl/>
        </w:rPr>
        <w:t>.</w:t>
      </w:r>
    </w:p>
    <w:p w:rsidR="00BD206C" w:rsidRPr="0069093D" w:rsidP="00BD206C" w14:paraId="33385749" w14:textId="4DEEC093">
      <w:pPr>
        <w:pStyle w:val="7112"/>
      </w:pPr>
      <w:r w:rsidRPr="00362C00">
        <w:rPr>
          <w:rFonts w:hint="cs"/>
          <w:noProof/>
          <w:sz w:val="19"/>
          <w:szCs w:val="19"/>
          <w:rtl/>
        </w:rPr>
        <w:drawing>
          <wp:anchor distT="0" distB="0" distL="114300" distR="114300" simplePos="0" relativeHeight="251672576" behindDoc="0" locked="0" layoutInCell="1" allowOverlap="1">
            <wp:simplePos x="0" y="0"/>
            <wp:positionH relativeFrom="column">
              <wp:posOffset>2125980</wp:posOffset>
            </wp:positionH>
            <wp:positionV relativeFrom="paragraph">
              <wp:posOffset>1893735</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BD206C">
        <w:rPr>
          <w:rStyle w:val="71Char9"/>
          <w:rFonts w:hint="cs"/>
          <w:noProof/>
          <w:rtl/>
        </w:rPr>
        <w:drawing>
          <wp:anchor distT="0" distB="3600450" distL="114300" distR="114300" simplePos="0" relativeHeight="251707392" behindDoc="0" locked="0" layoutInCell="1" allowOverlap="1">
            <wp:simplePos x="0" y="0"/>
            <wp:positionH relativeFrom="column">
              <wp:posOffset>4495165</wp:posOffset>
            </wp:positionH>
            <wp:positionV relativeFrom="paragraph">
              <wp:posOffset>60960</wp:posOffset>
            </wp:positionV>
            <wp:extent cx="161925" cy="161925"/>
            <wp:effectExtent l="0" t="0" r="9525" b="9525"/>
            <wp:wrapSquare wrapText="bothSides"/>
            <wp:docPr id="765912905" name="Picture 7659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70006"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D206C">
        <w:rPr>
          <w:rStyle w:val="71Char9"/>
          <w:rtl/>
        </w:rPr>
        <w:t>הסדרים מותנים במשטרה</w:t>
      </w:r>
      <w:r w:rsidRPr="00951B96">
        <w:rPr>
          <w:rtl/>
        </w:rPr>
        <w:t xml:space="preserve"> - בשנת 2018 חתמה יחידת ההסדר</w:t>
      </w:r>
      <w:r w:rsidRPr="00951B96">
        <w:rPr>
          <w:rFonts w:hint="cs"/>
          <w:rtl/>
        </w:rPr>
        <w:t xml:space="preserve"> מותנה </w:t>
      </w:r>
      <w:r w:rsidRPr="00951B96">
        <w:rPr>
          <w:rtl/>
        </w:rPr>
        <w:t>עם חשודים על כ-6,</w:t>
      </w:r>
      <w:r w:rsidRPr="00951B96">
        <w:rPr>
          <w:rFonts w:hint="cs"/>
          <w:rtl/>
        </w:rPr>
        <w:t>3</w:t>
      </w:r>
      <w:r w:rsidRPr="00951B96">
        <w:rPr>
          <w:rtl/>
        </w:rPr>
        <w:t>00 הסדרים מותנים ובכך עמדה ביעד המשטרתי</w:t>
      </w:r>
      <w:r w:rsidRPr="00951B96">
        <w:rPr>
          <w:rFonts w:hint="cs"/>
          <w:rtl/>
        </w:rPr>
        <w:t xml:space="preserve"> -</w:t>
      </w:r>
      <w:r w:rsidRPr="00951B96">
        <w:rPr>
          <w:rtl/>
        </w:rPr>
        <w:t xml:space="preserve"> חתימה על 6,000 הסדרים בשנה. אולם מאז ועד שנת 2020 ירד מספר ההסדרים בשיעור של כ-40%, ובהתאמה </w:t>
      </w:r>
      <w:r w:rsidRPr="00951B96">
        <w:rPr>
          <w:rFonts w:hint="cs"/>
          <w:rtl/>
        </w:rPr>
        <w:t xml:space="preserve">ירד </w:t>
      </w:r>
      <w:r w:rsidRPr="00951B96">
        <w:rPr>
          <w:rFonts w:hint="cs"/>
          <w:rtl/>
        </w:rPr>
        <w:t>ב</w:t>
      </w:r>
      <w:r w:rsidRPr="00951B96">
        <w:rPr>
          <w:rtl/>
        </w:rPr>
        <w:t>כ</w:t>
      </w:r>
      <w:r w:rsidRPr="00951B96">
        <w:rPr>
          <w:rtl/>
        </w:rPr>
        <w:t xml:space="preserve">-17% </w:t>
      </w:r>
      <w:r w:rsidRPr="00951B96">
        <w:rPr>
          <w:rFonts w:hint="cs"/>
          <w:rtl/>
        </w:rPr>
        <w:t xml:space="preserve">סכום </w:t>
      </w:r>
      <w:r w:rsidRPr="00951B96">
        <w:rPr>
          <w:rtl/>
        </w:rPr>
        <w:t xml:space="preserve">הקנסות שהושתו על חשודים והפיצויים שהם התחייבו לשלם למתלוננים </w:t>
      </w:r>
      <w:r w:rsidRPr="00951B96">
        <w:rPr>
          <w:rtl/>
        </w:rPr>
        <w:t>מכ</w:t>
      </w:r>
      <w:r w:rsidRPr="00951B96">
        <w:rPr>
          <w:rtl/>
        </w:rPr>
        <w:t>-6.4 מיליון ש"ח בשנת 2018 לכ</w:t>
      </w:r>
      <w:r w:rsidRPr="00951B96">
        <w:rPr>
          <w:rFonts w:hint="cs"/>
          <w:rtl/>
        </w:rPr>
        <w:t>שישה</w:t>
      </w:r>
      <w:r w:rsidRPr="00951B96">
        <w:rPr>
          <w:rtl/>
        </w:rPr>
        <w:t xml:space="preserve"> מיליון ש"ח בשנת 2019 </w:t>
      </w:r>
      <w:r w:rsidRPr="00951B96">
        <w:rPr>
          <w:rtl/>
        </w:rPr>
        <w:t>ולכ</w:t>
      </w:r>
      <w:r w:rsidRPr="00951B96">
        <w:rPr>
          <w:rtl/>
        </w:rPr>
        <w:t xml:space="preserve">-5.3 מיליון ש"ח בשנת 2020. בשנים 2020-2018 הסכום הממוצע ששילם כל חשוד במסגרת ההסדר שנערך לו היה כ-1,000 ש"ח בלבד. הירידה במספר ההסדרים בשנים 2019 ו-2020 </w:t>
      </w:r>
      <w:r w:rsidRPr="00951B96">
        <w:rPr>
          <w:rFonts w:hint="cs"/>
          <w:rtl/>
        </w:rPr>
        <w:t>מנוגדת לצפוי,</w:t>
      </w:r>
      <w:r w:rsidRPr="00951B96">
        <w:rPr>
          <w:rtl/>
        </w:rPr>
        <w:t xml:space="preserve"> זאת מאחר שהסדר מותנה הוחל משנת 2019 על כלל עבירות העוון שבסמכות המשטרה, וחטיבת החקירות העבירה באותן שנים מספר רב יותר של תיקים ליחיד</w:t>
      </w:r>
      <w:r w:rsidRPr="00951B96">
        <w:rPr>
          <w:rFonts w:hint="cs"/>
          <w:rtl/>
        </w:rPr>
        <w:t>ת</w:t>
      </w:r>
      <w:r w:rsidRPr="00951B96">
        <w:rPr>
          <w:rtl/>
        </w:rPr>
        <w:t xml:space="preserve"> הסדר מותנה. מספר התיקים שהועברו ליחידה עלה </w:t>
      </w:r>
      <w:r w:rsidRPr="00951B96">
        <w:rPr>
          <w:rtl/>
        </w:rPr>
        <w:t>בכ</w:t>
      </w:r>
      <w:r w:rsidRPr="00951B96">
        <w:rPr>
          <w:rtl/>
        </w:rPr>
        <w:t>-24%, מ-11,595 בשנת 2018 ל-14,364 בשנת 2019</w:t>
      </w:r>
      <w:r>
        <w:rPr>
          <w:rFonts w:hint="cs"/>
          <w:rtl/>
        </w:rPr>
        <w:t>.</w:t>
      </w:r>
    </w:p>
    <w:p w:rsidR="000D7EB1" w:rsidRPr="00C74181" w:rsidP="004B5F7A" w14:paraId="5D1E623C" w14:textId="3907F001">
      <w:pPr>
        <w:pStyle w:val="217"/>
        <w:ind w:left="0"/>
        <w:rPr>
          <w:rtl/>
        </w:rPr>
      </w:pPr>
    </w:p>
    <w:p w:rsidR="004149D5" w:rsidP="004149D5" w14:paraId="7B6C4028" w14:textId="080C414B">
      <w:pPr>
        <w:pStyle w:val="7112"/>
        <w:spacing w:after="360"/>
        <w:rPr>
          <w:rtl/>
        </w:rPr>
      </w:pPr>
      <w:r w:rsidRPr="00951B96">
        <w:rPr>
          <w:rtl/>
        </w:rPr>
        <w:t xml:space="preserve">משרד מבקר המדינה רואה בחיוב את השימוש בהליכים חלופיים להליך הפלילי, במקרים המתאימים לכך, ובכלל זה את השימוש בהליך של סגירת תיקים בהסדר. זאת כדי להשיג הלימה טובה, בנסיבות מסוימות, בין חומרת העבירה לבין התגובה החברתית שתביא הן לצמצום מספר כתבי אישום, הן למניעת הכתמה פלילית שלא לצורך </w:t>
      </w:r>
      <w:r w:rsidRPr="00951B96">
        <w:rPr>
          <w:rFonts w:hint="cs"/>
          <w:rtl/>
        </w:rPr>
        <w:t>ו</w:t>
      </w:r>
      <w:r w:rsidRPr="00951B96">
        <w:rPr>
          <w:rtl/>
        </w:rPr>
        <w:t>הן לירידה בכמות תיקי החקירה הנסגרים ללא כתבי אישום</w:t>
      </w:r>
      <w:r w:rsidRPr="00386D6B">
        <w:rPr>
          <w:rtl/>
        </w:rPr>
        <w:t>.</w:t>
      </w:r>
    </w:p>
    <w:p w:rsidR="003A3978" w:rsidRPr="003A3978" w:rsidP="001868AE" w14:paraId="5B460EE4" w14:textId="1537081A">
      <w:pPr>
        <w:pStyle w:val="7112"/>
      </w:pPr>
      <w:r w:rsidRPr="004232CF">
        <w:rPr>
          <w:noProof/>
        </w:rPr>
        <w:drawing>
          <wp:anchor distT="0" distB="3600450" distL="114300" distR="114300" simplePos="0" relativeHeight="251684864" behindDoc="0" locked="0" layoutInCell="1" allowOverlap="1">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2CF" w:rsidR="006659DD">
        <w:rPr>
          <w:rStyle w:val="21Char1"/>
          <w:noProof/>
          <w:rtl/>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8" style="mso-width-percent:0;mso-width-relative:margin;mso-wrap-distance-bottom:0;mso-wrap-distance-left:9pt;mso-wrap-distance-right:9pt;mso-wrap-distance-top:0;mso-wrap-style:square;position:absolute;visibility:visible;z-index:251682816" from="-9pt,0.5pt" to="363.75pt,0.5pt" strokecolor="black" strokeweight="2pt"/>
            </w:pict>
          </mc:Fallback>
        </mc:AlternateContent>
      </w:r>
      <w:r w:rsidRPr="004232CF" w:rsidR="007B571D">
        <w:rPr>
          <w:rStyle w:val="21Char1"/>
          <w:noProof/>
          <w:rtl/>
        </w:rPr>
        <mc:AlternateContent>
          <mc:Choice Requires="wps">
            <w:drawing>
              <wp:anchor distT="45720" distB="45720" distL="114300" distR="114300" simplePos="0" relativeHeight="251679744" behindDoc="0" locked="0" layoutInCell="1" allowOverlap="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B22A1" w:rsidRPr="00A25467" w:rsidP="007B571D" w14:textId="4103E1B1">
                            <w:pPr>
                              <w:pStyle w:val="216"/>
                              <w:rPr>
                                <w:rtl/>
                              </w:rPr>
                            </w:pPr>
                            <w:r>
                              <w:rPr>
                                <w:rFonts w:hint="cs"/>
                                <w:rtl/>
                              </w:rPr>
                              <w:t>עיקרי המלצות הביקורת</w:t>
                            </w:r>
                          </w:p>
                          <w:p w:rsidR="00CB22A1" w:rsidP="007B571D"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9" type="#_x0000_t202" style="width:367.5pt;height:30.75pt;margin-top:1.35pt;margin-left:4.75pt;mso-height-percent:0;mso-height-relative:margin;mso-width-percent:0;mso-width-relative:margin;mso-wrap-distance-bottom:3.6pt;mso-wrap-distance-left:9pt;mso-wrap-distance-right:9pt;mso-wrap-distance-top:3.6pt;mso-wrap-style:square;position:absolute;visibility:visible;v-text-anchor:top;z-index:251680768" strokecolor="white">
                <v:textbox>
                  <w:txbxContent>
                    <w:p w:rsidR="00CB22A1" w:rsidRPr="00A25467" w:rsidP="007B571D" w14:paraId="02FF5A58" w14:textId="4103E1B1">
                      <w:pPr>
                        <w:pStyle w:val="216"/>
                        <w:rPr>
                          <w:rtl/>
                        </w:rPr>
                      </w:pPr>
                      <w:r>
                        <w:rPr>
                          <w:rFonts w:hint="cs"/>
                          <w:rtl/>
                        </w:rPr>
                        <w:t>עיקרי המלצות הביקורת</w:t>
                      </w:r>
                    </w:p>
                    <w:p w:rsidR="00CB22A1" w:rsidP="007B571D" w14:paraId="19399FDD" w14:textId="77777777"/>
                  </w:txbxContent>
                </v:textbox>
                <w10:wrap type="square"/>
              </v:shape>
            </w:pict>
          </mc:Fallback>
        </mc:AlternateContent>
      </w:r>
      <w:r w:rsidRPr="00951B96" w:rsidR="00BD206C">
        <w:rPr>
          <w:rtl/>
        </w:rPr>
        <w:t xml:space="preserve">מומלץ כי פרקליטות המדינה תבחן אם </w:t>
      </w:r>
      <w:r w:rsidRPr="00951B96" w:rsidR="00BD206C">
        <w:rPr>
          <w:rFonts w:hint="cs"/>
          <w:rtl/>
        </w:rPr>
        <w:t xml:space="preserve">הנחיית פרקליט מדינה 1.3 מיושמת </w:t>
      </w:r>
      <w:r w:rsidRPr="00951B96" w:rsidR="00BD206C">
        <w:rPr>
          <w:rtl/>
        </w:rPr>
        <w:t xml:space="preserve">על ידי </w:t>
      </w:r>
      <w:r w:rsidRPr="00951B96" w:rsidR="00BD206C">
        <w:rPr>
          <w:rFonts w:hint="cs"/>
          <w:rtl/>
        </w:rPr>
        <w:t>פרקליטויות</w:t>
      </w:r>
      <w:r w:rsidRPr="00951B96" w:rsidR="00BD206C">
        <w:rPr>
          <w:rFonts w:hint="cs"/>
          <w:rtl/>
        </w:rPr>
        <w:t xml:space="preserve"> </w:t>
      </w:r>
      <w:r w:rsidRPr="00951B96" w:rsidR="00BD206C">
        <w:rPr>
          <w:rtl/>
        </w:rPr>
        <w:t xml:space="preserve">המחוז </w:t>
      </w:r>
      <w:r w:rsidRPr="00951B96" w:rsidR="00BD206C">
        <w:rPr>
          <w:rFonts w:hint="cs"/>
          <w:rtl/>
        </w:rPr>
        <w:t>בדרך ה</w:t>
      </w:r>
      <w:r w:rsidRPr="00951B96" w:rsidR="00BD206C">
        <w:rPr>
          <w:rtl/>
        </w:rPr>
        <w:t>עולה בקנה אחד עם תכליתה לצמצם את השימוש בעילת "חוסר ראיות"</w:t>
      </w:r>
      <w:r w:rsidRPr="00951B96" w:rsidR="00BD206C">
        <w:rPr>
          <w:rFonts w:hint="cs"/>
          <w:rtl/>
        </w:rPr>
        <w:t xml:space="preserve"> ו</w:t>
      </w:r>
      <w:r w:rsidRPr="00951B96" w:rsidR="00BD206C">
        <w:rPr>
          <w:rtl/>
        </w:rPr>
        <w:t>תחדד את ההבדלים שבין עילות הסגירה</w:t>
      </w:r>
      <w:r w:rsidRPr="00951B96" w:rsidR="00BD206C">
        <w:rPr>
          <w:rFonts w:hint="cs"/>
          <w:rtl/>
        </w:rPr>
        <w:t>.</w:t>
      </w:r>
      <w:r w:rsidRPr="00951B96" w:rsidR="00BD206C">
        <w:rPr>
          <w:rtl/>
        </w:rPr>
        <w:t xml:space="preserve"> </w:t>
      </w:r>
      <w:r w:rsidRPr="00951B96" w:rsidR="00BD206C">
        <w:rPr>
          <w:rFonts w:hint="cs"/>
          <w:rtl/>
        </w:rPr>
        <w:t xml:space="preserve">עוד מוצע כי </w:t>
      </w:r>
      <w:r w:rsidRPr="00951B96" w:rsidR="00BD206C">
        <w:rPr>
          <w:rtl/>
        </w:rPr>
        <w:t xml:space="preserve">תוודא </w:t>
      </w:r>
      <w:r w:rsidRPr="00951B96" w:rsidR="00BD206C">
        <w:rPr>
          <w:rFonts w:hint="cs"/>
          <w:rtl/>
        </w:rPr>
        <w:t xml:space="preserve">שכל </w:t>
      </w:r>
      <w:r w:rsidRPr="00951B96" w:rsidR="00BD206C">
        <w:rPr>
          <w:rFonts w:hint="cs"/>
          <w:rtl/>
        </w:rPr>
        <w:t>פרקליטויות</w:t>
      </w:r>
      <w:r w:rsidRPr="00951B96" w:rsidR="00BD206C">
        <w:rPr>
          <w:rFonts w:hint="cs"/>
          <w:rtl/>
        </w:rPr>
        <w:t xml:space="preserve"> המחוז פועלות גם בהתאם </w:t>
      </w:r>
      <w:r w:rsidRPr="00951B96" w:rsidR="00BD206C">
        <w:rPr>
          <w:rFonts w:hint="cs"/>
          <w:rtl/>
        </w:rPr>
        <w:t>לרציונלים</w:t>
      </w:r>
      <w:r w:rsidRPr="00951B96" w:rsidR="00BD206C">
        <w:rPr>
          <w:rFonts w:hint="cs"/>
          <w:rtl/>
        </w:rPr>
        <w:t xml:space="preserve"> העומדים בבסיס ההנחיה, כך </w:t>
      </w:r>
      <w:r w:rsidRPr="00951B96" w:rsidR="00BD206C">
        <w:rPr>
          <w:rtl/>
        </w:rPr>
        <w:t>שמדיניות סגירת התיקים תהיה אחידה בכל המחוזות. הדבר יתיישב עם הנחיות פרקליט המדינה</w:t>
      </w:r>
      <w:r w:rsidRPr="00951B96" w:rsidR="00BD206C">
        <w:rPr>
          <w:rFonts w:hint="cs"/>
          <w:rtl/>
        </w:rPr>
        <w:t>,</w:t>
      </w:r>
      <w:r w:rsidRPr="00951B96" w:rsidR="00BD206C">
        <w:rPr>
          <w:rtl/>
        </w:rPr>
        <w:t xml:space="preserve"> שנועדו בין היתר להבטיח את הפעלת הסמכות </w:t>
      </w:r>
      <w:r w:rsidRPr="00951B96" w:rsidR="00BD206C">
        <w:rPr>
          <w:rFonts w:hint="cs"/>
          <w:rtl/>
        </w:rPr>
        <w:t xml:space="preserve">לפי </w:t>
      </w:r>
      <w:r w:rsidRPr="00951B96" w:rsidR="00BD206C">
        <w:rPr>
          <w:rtl/>
        </w:rPr>
        <w:t>עקרון השוויון</w:t>
      </w:r>
      <w:r w:rsidRPr="003A3978" w:rsidR="003A3978">
        <w:rPr>
          <w:rtl/>
        </w:rPr>
        <w:t>.</w:t>
      </w:r>
    </w:p>
    <w:p w:rsidR="0083723D" w:rsidRPr="003A3978" w:rsidP="001868AE" w14:paraId="524E991B" w14:textId="5A6AA187">
      <w:pPr>
        <w:pStyle w:val="7112"/>
      </w:pPr>
      <w:r w:rsidRPr="004232CF">
        <w:rPr>
          <w:noProof/>
        </w:rPr>
        <w:drawing>
          <wp:anchor distT="0" distB="3600450" distL="114300" distR="114300" simplePos="0" relativeHeight="251683840"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854813613" name="תמונה 33"/>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B96" w:rsidR="00BD206C">
        <w:rPr>
          <w:rtl/>
        </w:rPr>
        <w:t xml:space="preserve">מומלץ כי המשטרה תבחן באופן עיתי את המידה שבה </w:t>
      </w:r>
      <w:r w:rsidRPr="00951B96" w:rsidR="00BD206C">
        <w:rPr>
          <w:rFonts w:hint="cs"/>
          <w:rtl/>
        </w:rPr>
        <w:t xml:space="preserve">משמשות </w:t>
      </w:r>
      <w:r w:rsidRPr="00951B96" w:rsidR="00BD206C">
        <w:rPr>
          <w:rtl/>
        </w:rPr>
        <w:t>עילות הסגירה השונות, בין היתר</w:t>
      </w:r>
      <w:r w:rsidRPr="00951B96" w:rsidR="00BD206C">
        <w:rPr>
          <w:rFonts w:hint="cs"/>
          <w:rtl/>
        </w:rPr>
        <w:t>,</w:t>
      </w:r>
      <w:r w:rsidRPr="00951B96" w:rsidR="00BD206C">
        <w:rPr>
          <w:rtl/>
        </w:rPr>
        <w:t xml:space="preserve"> באמצעות איסוף נתונים מלא בנושא</w:t>
      </w:r>
      <w:r w:rsidRPr="00951B96" w:rsidR="00BD206C">
        <w:rPr>
          <w:rFonts w:hint="cs"/>
          <w:rtl/>
        </w:rPr>
        <w:t>,</w:t>
      </w:r>
      <w:r w:rsidRPr="00951B96" w:rsidR="00BD206C">
        <w:rPr>
          <w:rtl/>
        </w:rPr>
        <w:t xml:space="preserve"> ובכלל זה</w:t>
      </w:r>
      <w:r w:rsidRPr="00951B96" w:rsidR="00BD206C">
        <w:rPr>
          <w:rFonts w:hint="cs"/>
          <w:rtl/>
        </w:rPr>
        <w:t>,</w:t>
      </w:r>
      <w:r w:rsidRPr="00951B96" w:rsidR="00BD206C">
        <w:rPr>
          <w:rtl/>
        </w:rPr>
        <w:t xml:space="preserve"> </w:t>
      </w:r>
      <w:r w:rsidRPr="00951B96" w:rsidR="00BD206C">
        <w:rPr>
          <w:rFonts w:hint="cs"/>
          <w:rtl/>
        </w:rPr>
        <w:t xml:space="preserve">על </w:t>
      </w:r>
      <w:r w:rsidRPr="00951B96" w:rsidR="00BD206C">
        <w:rPr>
          <w:rtl/>
        </w:rPr>
        <w:t>תיקים שנסגרו בעילת "היעדר אשמה"</w:t>
      </w:r>
      <w:r w:rsidRPr="00951B96" w:rsidR="00BD206C">
        <w:rPr>
          <w:rFonts w:hint="cs"/>
          <w:rtl/>
        </w:rPr>
        <w:t>,</w:t>
      </w:r>
      <w:r w:rsidRPr="00951B96" w:rsidR="00BD206C">
        <w:rPr>
          <w:rtl/>
        </w:rPr>
        <w:t xml:space="preserve"> וניתוח כלל הנתונים במדור מחקר וסטטיסטיקה של המשטרה</w:t>
      </w:r>
      <w:r w:rsidRPr="00951B96" w:rsidR="00BD206C">
        <w:rPr>
          <w:rFonts w:hint="cs"/>
          <w:rtl/>
        </w:rPr>
        <w:t>. איסוף וניתוח הנתונים ישמש</w:t>
      </w:r>
      <w:r w:rsidRPr="00951B96" w:rsidR="00BD206C">
        <w:rPr>
          <w:rtl/>
        </w:rPr>
        <w:t xml:space="preserve"> בסיס להתוויית מדיניות האכיפה</w:t>
      </w:r>
      <w:r w:rsidRPr="00951B96" w:rsidR="00BD206C">
        <w:rPr>
          <w:rFonts w:hint="cs"/>
          <w:rtl/>
        </w:rPr>
        <w:t>.</w:t>
      </w:r>
      <w:r w:rsidRPr="00951B96" w:rsidR="00BD206C">
        <w:rPr>
          <w:rtl/>
        </w:rPr>
        <w:t xml:space="preserve"> נוסף </w:t>
      </w:r>
      <w:r w:rsidRPr="00951B96" w:rsidR="00BD206C">
        <w:rPr>
          <w:rFonts w:hint="cs"/>
          <w:rtl/>
        </w:rPr>
        <w:t xml:space="preserve">על כך, </w:t>
      </w:r>
      <w:r w:rsidRPr="00951B96" w:rsidR="00BD206C">
        <w:rPr>
          <w:rtl/>
        </w:rPr>
        <w:t>על חטיבת החקירות להנחות ולהדריך את קציני החקירות והחוקרים המוסמכים לסגור תיקים בכל התחנות והמחוזות</w:t>
      </w:r>
      <w:r w:rsidRPr="00951B96" w:rsidR="00BD206C">
        <w:rPr>
          <w:rFonts w:hint="cs"/>
          <w:rtl/>
        </w:rPr>
        <w:t>,</w:t>
      </w:r>
      <w:r w:rsidRPr="00951B96" w:rsidR="00BD206C">
        <w:rPr>
          <w:rtl/>
        </w:rPr>
        <w:t xml:space="preserve"> באופן שיגשים את התכלית של הנחיית פרקליט מדינה 1.3</w:t>
      </w:r>
      <w:r w:rsidRPr="003A3978" w:rsidR="003A3978">
        <w:rPr>
          <w:rtl/>
        </w:rPr>
        <w:t>.</w:t>
      </w:r>
      <w:r w:rsidRPr="003A3978">
        <w:rPr>
          <w:rFonts w:hint="cs"/>
          <w:rtl/>
        </w:rPr>
        <w:t xml:space="preserve"> </w:t>
      </w:r>
    </w:p>
    <w:p w:rsidR="00351AD0" w:rsidRPr="00003EBB" w:rsidP="001868AE" w14:paraId="13AF705A" w14:textId="2CF0BE35">
      <w:pPr>
        <w:pStyle w:val="7112"/>
        <w:rPr>
          <w:rtl/>
        </w:rPr>
      </w:pPr>
      <w:r w:rsidRPr="004232CF">
        <w:rPr>
          <w:noProof/>
        </w:rPr>
        <w:drawing>
          <wp:anchor distT="0" distB="3600450" distL="114300" distR="114300" simplePos="0" relativeHeight="251685888"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271278430" name="תמונה 33"/>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B96" w:rsidR="00BD206C">
        <w:rPr>
          <w:rtl/>
        </w:rPr>
        <w:t>מוצע כי השר לביטחון הפנים יוסיף אמת מידה לביטול רישום משטרתי שתאפשר מחיקה אוטומטית של רישומים בני עשרות שנים מהמרשם המשטרתי של אזרחים אשר בעבר הרחוק נפתח להם תיק אחד במשטרה ומאז הם רשומים במרשם המשטרתי</w:t>
      </w:r>
      <w:r w:rsidRPr="00003EBB" w:rsidR="00003EBB">
        <w:rPr>
          <w:rtl/>
        </w:rPr>
        <w:t>.</w:t>
      </w:r>
    </w:p>
    <w:p w:rsidR="00003EBB" w:rsidRPr="00577C64" w:rsidP="001868AE" w14:paraId="1F9FE37C" w14:textId="0065B0A5">
      <w:pPr>
        <w:pStyle w:val="7112"/>
      </w:pPr>
      <w:r w:rsidRPr="004232CF">
        <w:rPr>
          <w:noProof/>
        </w:rPr>
        <w:drawing>
          <wp:anchor distT="0" distB="3600450" distL="114300" distR="114300" simplePos="0" relativeHeight="251686912"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986604363" name="תמונה 33"/>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B96" w:rsidR="00BD206C">
        <w:rPr>
          <w:rtl/>
        </w:rPr>
        <w:t xml:space="preserve">על </w:t>
      </w:r>
      <w:r w:rsidRPr="00951B96" w:rsidR="00BD206C">
        <w:rPr>
          <w:rFonts w:hint="cs"/>
          <w:rtl/>
        </w:rPr>
        <w:t>ה</w:t>
      </w:r>
      <w:r w:rsidRPr="00951B96" w:rsidR="00BD206C">
        <w:rPr>
          <w:rtl/>
        </w:rPr>
        <w:t>משטר</w:t>
      </w:r>
      <w:r w:rsidRPr="00951B96" w:rsidR="00BD206C">
        <w:rPr>
          <w:rFonts w:hint="cs"/>
          <w:rtl/>
        </w:rPr>
        <w:t>ה</w:t>
      </w:r>
      <w:r w:rsidRPr="00951B96" w:rsidR="00BD206C">
        <w:rPr>
          <w:rtl/>
        </w:rPr>
        <w:t>, בתיאום עם משרד המשפטים, ל</w:t>
      </w:r>
      <w:r w:rsidRPr="00951B96" w:rsidR="00BD206C">
        <w:rPr>
          <w:rFonts w:hint="cs"/>
          <w:rtl/>
        </w:rPr>
        <w:t>השלים את הסדרת</w:t>
      </w:r>
      <w:r w:rsidRPr="00951B96" w:rsidR="00BD206C">
        <w:rPr>
          <w:rtl/>
        </w:rPr>
        <w:t xml:space="preserve"> הטיפול בתיק של </w:t>
      </w:r>
      <w:r w:rsidRPr="00951B96" w:rsidR="00BD206C">
        <w:rPr>
          <w:rtl/>
        </w:rPr>
        <w:t>נילון</w:t>
      </w:r>
      <w:r w:rsidRPr="00951B96" w:rsidR="00BD206C">
        <w:rPr>
          <w:rtl/>
        </w:rPr>
        <w:t xml:space="preserve"> שנסגר, בין </w:t>
      </w:r>
      <w:r w:rsidRPr="00951B96" w:rsidR="00BD206C">
        <w:rPr>
          <w:rFonts w:hint="cs"/>
          <w:rtl/>
        </w:rPr>
        <w:t>שהנילון</w:t>
      </w:r>
      <w:r w:rsidRPr="00951B96" w:rsidR="00BD206C">
        <w:rPr>
          <w:rFonts w:hint="cs"/>
          <w:rtl/>
        </w:rPr>
        <w:t xml:space="preserve"> </w:t>
      </w:r>
      <w:r w:rsidRPr="00951B96" w:rsidR="00BD206C">
        <w:rPr>
          <w:rtl/>
        </w:rPr>
        <w:t xml:space="preserve">נחקר באזהרה ובין </w:t>
      </w:r>
      <w:r w:rsidRPr="00951B96" w:rsidR="00BD206C">
        <w:rPr>
          <w:rFonts w:hint="cs"/>
          <w:rtl/>
        </w:rPr>
        <w:t>ש</w:t>
      </w:r>
      <w:r w:rsidRPr="00951B96" w:rsidR="00BD206C">
        <w:rPr>
          <w:rtl/>
        </w:rPr>
        <w:t xml:space="preserve">לא נחקר כלל. עד להסדרת הנושא, מומלץ </w:t>
      </w:r>
      <w:r w:rsidRPr="00951B96" w:rsidR="00BD206C">
        <w:rPr>
          <w:rFonts w:hint="cs"/>
          <w:rtl/>
        </w:rPr>
        <w:t>ש</w:t>
      </w:r>
      <w:r w:rsidRPr="00951B96" w:rsidR="00BD206C">
        <w:rPr>
          <w:rtl/>
        </w:rPr>
        <w:t xml:space="preserve">המשטרה תיידע מתלוננים </w:t>
      </w:r>
      <w:r w:rsidRPr="00951B96" w:rsidR="00BD206C">
        <w:rPr>
          <w:rtl/>
        </w:rPr>
        <w:t>ונילונים</w:t>
      </w:r>
      <w:r w:rsidRPr="00951B96" w:rsidR="00BD206C">
        <w:rPr>
          <w:rtl/>
        </w:rPr>
        <w:t xml:space="preserve"> שלא נחקרו</w:t>
      </w:r>
      <w:r w:rsidRPr="00951B96" w:rsidR="00BD206C">
        <w:rPr>
          <w:rFonts w:hint="cs"/>
          <w:rtl/>
        </w:rPr>
        <w:t xml:space="preserve"> באזהרה</w:t>
      </w:r>
      <w:r w:rsidRPr="00951B96" w:rsidR="00BD206C">
        <w:rPr>
          <w:rtl/>
        </w:rPr>
        <w:t xml:space="preserve"> והוחלט לסגור את תיקם </w:t>
      </w:r>
      <w:r w:rsidRPr="00951B96" w:rsidR="00BD206C">
        <w:rPr>
          <w:rFonts w:hint="cs"/>
          <w:rtl/>
        </w:rPr>
        <w:t xml:space="preserve">כדי </w:t>
      </w:r>
      <w:r w:rsidRPr="00951B96" w:rsidR="00BD206C">
        <w:rPr>
          <w:rtl/>
        </w:rPr>
        <w:t xml:space="preserve">לאפשר </w:t>
      </w:r>
      <w:r w:rsidRPr="00951B96" w:rsidR="00BD206C">
        <w:rPr>
          <w:rtl/>
        </w:rPr>
        <w:t>לנילו</w:t>
      </w:r>
      <w:r w:rsidRPr="00951B96" w:rsidR="00BD206C">
        <w:rPr>
          <w:rFonts w:hint="cs"/>
          <w:rtl/>
        </w:rPr>
        <w:t>ן</w:t>
      </w:r>
      <w:r w:rsidRPr="00951B96" w:rsidR="00BD206C">
        <w:rPr>
          <w:rtl/>
        </w:rPr>
        <w:t xml:space="preserve"> להשיג על עילת הסגירה ולמתלונ</w:t>
      </w:r>
      <w:r w:rsidRPr="00951B96" w:rsidR="00BD206C">
        <w:rPr>
          <w:rFonts w:hint="cs"/>
          <w:rtl/>
        </w:rPr>
        <w:t>ן</w:t>
      </w:r>
      <w:r w:rsidRPr="00951B96" w:rsidR="00BD206C">
        <w:rPr>
          <w:rtl/>
        </w:rPr>
        <w:t xml:space="preserve"> לערור על סגירת התיק</w:t>
      </w:r>
      <w:r w:rsidR="00577C64">
        <w:rPr>
          <w:rFonts w:hint="cs"/>
          <w:rtl/>
        </w:rPr>
        <w:t>.</w:t>
      </w:r>
    </w:p>
    <w:p w:rsidR="00003EBB" w:rsidRPr="003C4222" w:rsidP="003C4222" w14:paraId="3F10CC9C" w14:textId="48505A23">
      <w:pPr>
        <w:pStyle w:val="7112"/>
      </w:pPr>
      <w:r w:rsidRPr="003C4222">
        <w:rPr>
          <w:noProof/>
        </w:rPr>
        <w:drawing>
          <wp:anchor distT="0" distB="3600450" distL="114300" distR="114300" simplePos="0" relativeHeight="251687936"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 xmlns:a="http://schemas.openxmlformats.org/drawingml/2006/main">
              <a:graphicData uri="http://schemas.openxmlformats.org/drawingml/2006/picture">
                <pic:pic xmlns:pic="http://schemas.openxmlformats.org/drawingml/2006/picture">
                  <pic:nvPicPr>
                    <pic:cNvPr id="947269580" name="תמונה 33"/>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4222" w:rsidR="00BD206C">
        <w:rPr>
          <w:rtl/>
        </w:rPr>
        <w:t xml:space="preserve">על המשטרה לציין באופן מדויק על גבי טופס ההודעה למתלונן את </w:t>
      </w:r>
      <w:r w:rsidRPr="003C4222" w:rsidR="00BD206C">
        <w:rPr>
          <w:rFonts w:hint="cs"/>
          <w:rtl/>
        </w:rPr>
        <w:t xml:space="preserve">שם </w:t>
      </w:r>
      <w:r w:rsidRPr="003C4222" w:rsidR="00BD206C">
        <w:rPr>
          <w:rtl/>
        </w:rPr>
        <w:t xml:space="preserve">הגורם </w:t>
      </w:r>
      <w:r w:rsidRPr="003C4222" w:rsidR="00BD206C">
        <w:rPr>
          <w:rFonts w:hint="cs"/>
          <w:rtl/>
        </w:rPr>
        <w:t xml:space="preserve">שאפשר להגיש לו </w:t>
      </w:r>
      <w:r w:rsidRPr="003C4222" w:rsidR="00BD206C">
        <w:rPr>
          <w:rtl/>
        </w:rPr>
        <w:t xml:space="preserve">ערר </w:t>
      </w:r>
      <w:r w:rsidRPr="003C4222" w:rsidR="00BD206C">
        <w:rPr>
          <w:rFonts w:hint="cs"/>
          <w:rtl/>
        </w:rPr>
        <w:t>על סגירת תיק החקירה</w:t>
      </w:r>
      <w:r w:rsidRPr="003C4222" w:rsidR="00BD206C">
        <w:rPr>
          <w:rtl/>
        </w:rPr>
        <w:t xml:space="preserve"> ו</w:t>
      </w:r>
      <w:r w:rsidRPr="003C4222" w:rsidR="00BD206C">
        <w:rPr>
          <w:rFonts w:hint="cs"/>
          <w:rtl/>
        </w:rPr>
        <w:t xml:space="preserve">את </w:t>
      </w:r>
      <w:r w:rsidRPr="003C4222" w:rsidR="00BD206C">
        <w:rPr>
          <w:rtl/>
        </w:rPr>
        <w:t>פרטי ההתקשרות ע</w:t>
      </w:r>
      <w:r w:rsidRPr="003C4222" w:rsidR="00BD206C">
        <w:rPr>
          <w:rFonts w:hint="cs"/>
          <w:rtl/>
        </w:rPr>
        <w:t>י</w:t>
      </w:r>
      <w:r w:rsidRPr="003C4222" w:rsidR="00BD206C">
        <w:rPr>
          <w:rtl/>
        </w:rPr>
        <w:t>מו</w:t>
      </w:r>
      <w:r w:rsidRPr="003C4222">
        <w:rPr>
          <w:rtl/>
        </w:rPr>
        <w:t>.</w:t>
      </w:r>
    </w:p>
    <w:p w:rsidR="00577C64" w:rsidRPr="003C4222" w:rsidP="003C4222" w14:paraId="408E8A6A" w14:textId="5B5EAEF4">
      <w:pPr>
        <w:pStyle w:val="7112"/>
        <w:rPr>
          <w:rtl/>
        </w:rPr>
      </w:pPr>
      <w:r w:rsidRPr="003C4222">
        <w:rPr>
          <w:noProof/>
        </w:rPr>
        <w:drawing>
          <wp:anchor distT="0" distB="3600450" distL="114300" distR="114300" simplePos="0" relativeHeight="251688960"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 xmlns:a="http://schemas.openxmlformats.org/drawingml/2006/main">
              <a:graphicData uri="http://schemas.openxmlformats.org/drawingml/2006/picture">
                <pic:pic xmlns:pic="http://schemas.openxmlformats.org/drawingml/2006/picture">
                  <pic:nvPicPr>
                    <pic:cNvPr id="1827020405" name="תמונה 33"/>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4222" w:rsidR="00BD206C">
        <w:rPr>
          <w:rFonts w:hint="cs"/>
          <w:rtl/>
        </w:rPr>
        <w:t>מוצע</w:t>
      </w:r>
      <w:r w:rsidRPr="003C4222" w:rsidR="00BD206C">
        <w:rPr>
          <w:rtl/>
        </w:rPr>
        <w:t xml:space="preserve"> </w:t>
      </w:r>
      <w:r w:rsidRPr="003C4222" w:rsidR="00BD206C">
        <w:rPr>
          <w:rFonts w:hint="cs"/>
          <w:rtl/>
        </w:rPr>
        <w:t>כי המשטרה והפרקליטות ימנו גורם מנתב אחד, שהמתלוננים או החשודים יוכלו להגיש באמצעותו עררים והשגות לגורם שסגר את התיק גם באופן מקוון</w:t>
      </w:r>
      <w:r w:rsidRPr="003C4222">
        <w:rPr>
          <w:rFonts w:hint="cs"/>
          <w:rtl/>
        </w:rPr>
        <w:t>.</w:t>
      </w:r>
    </w:p>
    <w:p w:rsidR="00577C64" w:rsidRPr="003C4222" w:rsidP="003C4222" w14:paraId="70C783F1" w14:textId="71F40403">
      <w:pPr>
        <w:pStyle w:val="7112"/>
        <w:rPr>
          <w:rtl/>
        </w:rPr>
      </w:pPr>
      <w:r w:rsidRPr="003C4222">
        <w:rPr>
          <w:noProof/>
        </w:rPr>
        <w:drawing>
          <wp:anchor distT="0" distB="3600450" distL="114300" distR="114300" simplePos="0" relativeHeight="251700224"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2052770955" name="תמונה 33"/>
            <wp:cNvGraphicFramePr/>
            <a:graphic xmlns:a="http://schemas.openxmlformats.org/drawingml/2006/main">
              <a:graphicData uri="http://schemas.openxmlformats.org/drawingml/2006/picture">
                <pic:pic xmlns:pic="http://schemas.openxmlformats.org/drawingml/2006/picture">
                  <pic:nvPicPr>
                    <pic:cNvPr id="1502174449" name="תמונה 33"/>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4222" w:rsidR="00BD206C">
        <w:rPr>
          <w:rtl/>
        </w:rPr>
        <w:t xml:space="preserve">לנוכח </w:t>
      </w:r>
      <w:r w:rsidRPr="003C4222" w:rsidR="00BD206C">
        <w:rPr>
          <w:rFonts w:hint="cs"/>
          <w:rtl/>
        </w:rPr>
        <w:t>מגמת</w:t>
      </w:r>
      <w:r w:rsidRPr="003C4222" w:rsidR="00BD206C">
        <w:rPr>
          <w:rtl/>
        </w:rPr>
        <w:t xml:space="preserve"> </w:t>
      </w:r>
      <w:r w:rsidRPr="003C4222" w:rsidR="00BD206C">
        <w:rPr>
          <w:rFonts w:hint="cs"/>
          <w:rtl/>
        </w:rPr>
        <w:t>הירידה ב</w:t>
      </w:r>
      <w:r w:rsidRPr="003C4222" w:rsidR="00BD206C">
        <w:rPr>
          <w:rtl/>
        </w:rPr>
        <w:t xml:space="preserve">מספר ההסדרים המותנים, על חטיבת התביעות וחטיבת החקירות במשטרה לפעול יחד </w:t>
      </w:r>
      <w:r w:rsidRPr="003C4222" w:rsidR="00BD206C">
        <w:rPr>
          <w:rFonts w:hint="cs"/>
          <w:rtl/>
        </w:rPr>
        <w:t>להגדלת</w:t>
      </w:r>
      <w:r w:rsidRPr="003C4222" w:rsidR="00BD206C">
        <w:rPr>
          <w:rtl/>
        </w:rPr>
        <w:t xml:space="preserve"> מספר התיקים הרלוונטיים שנסגרים בהסדר תוך קביעת כללים ברורים להעברת התיקים ביניהן. כמו כן, מוצע לקבוע לחטיבת החקירות יעד של מספר התיקים ש</w:t>
      </w:r>
      <w:r w:rsidRPr="003C4222" w:rsidR="00BD206C">
        <w:rPr>
          <w:rFonts w:hint="cs"/>
          <w:rtl/>
        </w:rPr>
        <w:t>י</w:t>
      </w:r>
      <w:r w:rsidRPr="003C4222" w:rsidR="00BD206C">
        <w:rPr>
          <w:rtl/>
        </w:rPr>
        <w:t xml:space="preserve">סתיימו בהסדר </w:t>
      </w:r>
      <w:r w:rsidRPr="003C4222" w:rsidR="00BD206C">
        <w:rPr>
          <w:rFonts w:hint="cs"/>
          <w:rtl/>
        </w:rPr>
        <w:t>מכלל</w:t>
      </w:r>
      <w:r w:rsidRPr="003C4222" w:rsidR="00BD206C">
        <w:rPr>
          <w:rtl/>
        </w:rPr>
        <w:t xml:space="preserve"> התיקים שה</w:t>
      </w:r>
      <w:r w:rsidRPr="003C4222" w:rsidR="00BD206C">
        <w:rPr>
          <w:rFonts w:hint="cs"/>
          <w:rtl/>
        </w:rPr>
        <w:t>יא מעבירה</w:t>
      </w:r>
      <w:r w:rsidRPr="003C4222" w:rsidR="00BD206C">
        <w:rPr>
          <w:rtl/>
        </w:rPr>
        <w:t xml:space="preserve"> ליחידת הסדר</w:t>
      </w:r>
      <w:r w:rsidRPr="003C4222" w:rsidR="00BD206C">
        <w:rPr>
          <w:rFonts w:hint="cs"/>
          <w:rtl/>
        </w:rPr>
        <w:t xml:space="preserve"> מותנה</w:t>
      </w:r>
      <w:r w:rsidRPr="003C4222">
        <w:rPr>
          <w:rFonts w:hint="cs"/>
          <w:rtl/>
        </w:rPr>
        <w:t>.</w:t>
      </w:r>
    </w:p>
    <w:p w:rsidR="00BD206C" w:rsidRPr="003C4222" w:rsidP="003C4222" w14:paraId="19897590" w14:textId="554C40CC">
      <w:pPr>
        <w:pStyle w:val="7112"/>
        <w:rPr>
          <w:rtl/>
        </w:rPr>
      </w:pPr>
      <w:r w:rsidRPr="003C4222">
        <w:rPr>
          <w:noProof/>
        </w:rPr>
        <w:drawing>
          <wp:anchor distT="0" distB="3600450" distL="114300" distR="114300" simplePos="0" relativeHeight="251708416"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765912906" name="תמונה 33"/>
            <wp:cNvGraphicFramePr/>
            <a:graphic xmlns:a="http://schemas.openxmlformats.org/drawingml/2006/main">
              <a:graphicData uri="http://schemas.openxmlformats.org/drawingml/2006/picture">
                <pic:pic xmlns:pic="http://schemas.openxmlformats.org/drawingml/2006/picture">
                  <pic:nvPicPr>
                    <pic:cNvPr id="558417067" name="תמונה 33"/>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4222">
        <w:rPr>
          <w:rtl/>
        </w:rPr>
        <w:t xml:space="preserve">מומלץ כי משרד המשפטים יבחן </w:t>
      </w:r>
      <w:r w:rsidRPr="003C4222">
        <w:rPr>
          <w:rFonts w:hint="cs"/>
          <w:rtl/>
        </w:rPr>
        <w:t xml:space="preserve">אם </w:t>
      </w:r>
      <w:r w:rsidRPr="003C4222">
        <w:rPr>
          <w:rtl/>
        </w:rPr>
        <w:t xml:space="preserve">הליך הסדר מותנה </w:t>
      </w:r>
      <w:r w:rsidRPr="003C4222">
        <w:rPr>
          <w:rFonts w:hint="cs"/>
          <w:rtl/>
        </w:rPr>
        <w:t xml:space="preserve">מתאים </w:t>
      </w:r>
      <w:r w:rsidRPr="003C4222">
        <w:rPr>
          <w:rtl/>
        </w:rPr>
        <w:t>למטרת חקיקתו</w:t>
      </w:r>
      <w:r w:rsidRPr="003C4222">
        <w:rPr>
          <w:rFonts w:hint="cs"/>
          <w:rtl/>
        </w:rPr>
        <w:t xml:space="preserve"> -</w:t>
      </w:r>
      <w:r w:rsidRPr="003C4222">
        <w:rPr>
          <w:rtl/>
        </w:rPr>
        <w:t xml:space="preserve"> צמצום העומס על רשויות התביעה ומערכת המשפט </w:t>
      </w:r>
      <w:r w:rsidRPr="003C4222">
        <w:rPr>
          <w:rFonts w:hint="cs"/>
          <w:rtl/>
        </w:rPr>
        <w:t xml:space="preserve">- </w:t>
      </w:r>
      <w:r w:rsidRPr="003C4222">
        <w:rPr>
          <w:rtl/>
        </w:rPr>
        <w:t>ואף ישקול להנחות את חטיבת התביעות והפרקליטות לקבוע יעדים להרחבת השימוש בהסדרים מותנים תוך צמצום השימוש בכלים הפליליים בתיקים המתאימים</w:t>
      </w:r>
      <w:r w:rsidRPr="003C4222">
        <w:rPr>
          <w:rFonts w:hint="cs"/>
          <w:rtl/>
        </w:rPr>
        <w:t>.</w:t>
      </w:r>
    </w:p>
    <w:p w:rsidR="00BD206C" w:rsidP="00644F86" w14:paraId="26ED2D32" w14:textId="5FADD170">
      <w:pPr>
        <w:spacing w:line="360" w:lineRule="auto"/>
        <w:rPr>
          <w:szCs w:val="20"/>
          <w:rtl/>
        </w:rPr>
        <w:sectPr w:rsidSect="00F619AB">
          <w:headerReference w:type="even" r:id="rId29"/>
          <w:headerReference w:type="default" r:id="rId30"/>
          <w:pgSz w:w="11906" w:h="16838" w:code="9"/>
          <w:pgMar w:top="3062" w:right="2268" w:bottom="2552" w:left="2268" w:header="1134" w:footer="1361" w:gutter="0"/>
          <w:cols w:space="708"/>
          <w:bidi/>
          <w:rtlGutter/>
          <w:docGrid w:linePitch="360"/>
        </w:sectPr>
      </w:pPr>
    </w:p>
    <w:p w:rsidR="003C4222" w14:paraId="7892D351" w14:textId="77777777">
      <w:pPr>
        <w:bidi w:val="0"/>
        <w:spacing w:after="200" w:line="276" w:lineRule="auto"/>
        <w:rPr>
          <w:szCs w:val="20"/>
          <w:rtl/>
        </w:rPr>
      </w:pPr>
      <w:r>
        <w:rPr>
          <w:szCs w:val="20"/>
          <w:rtl/>
        </w:rPr>
        <w:br w:type="page"/>
      </w:r>
    </w:p>
    <w:p w:rsidR="00C94863" w:rsidP="00212E22" w14:paraId="0B68703B" w14:textId="67E0645E">
      <w:pPr>
        <w:bidi w:val="0"/>
        <w:spacing w:after="200" w:line="276" w:lineRule="auto"/>
        <w:rPr>
          <w:szCs w:val="20"/>
          <w:rtl/>
        </w:rPr>
      </w:pPr>
      <w:r>
        <w:rPr>
          <w:noProof/>
          <w:rtl/>
          <w:lang w:val="he-IL"/>
        </w:rPr>
        <w:drawing>
          <wp:anchor distT="0" distB="0" distL="114300" distR="114300" simplePos="0" relativeHeight="251706368" behindDoc="0" locked="0" layoutInCell="1" allowOverlap="1">
            <wp:simplePos x="0" y="0"/>
            <wp:positionH relativeFrom="column">
              <wp:posOffset>134146</wp:posOffset>
            </wp:positionH>
            <wp:positionV relativeFrom="paragraph">
              <wp:posOffset>737101</wp:posOffset>
            </wp:positionV>
            <wp:extent cx="4501515" cy="3573780"/>
            <wp:effectExtent l="0" t="0" r="0" b="0"/>
            <wp:wrapSquare wrapText="bothSides"/>
            <wp:docPr id="24785156" name="Picture 2478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23954" name="Picture 24785156"/>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a:xfrm>
                      <a:off x="0" y="0"/>
                      <a:ext cx="4501515" cy="3573780"/>
                    </a:xfrm>
                    <a:prstGeom prst="rect">
                      <a:avLst/>
                    </a:prstGeom>
                  </pic:spPr>
                </pic:pic>
              </a:graphicData>
            </a:graphic>
            <wp14:sizeRelH relativeFrom="margin">
              <wp14:pctWidth>0</wp14:pctWidth>
            </wp14:sizeRelH>
            <wp14:sizeRelV relativeFrom="margin">
              <wp14:pctHeight>0</wp14:pctHeight>
            </wp14:sizeRelV>
          </wp:anchor>
        </w:drawing>
      </w:r>
      <w:r>
        <w:rPr>
          <w:noProof/>
          <w:rtl/>
          <w:lang w:val="he-IL"/>
        </w:rPr>
        <mc:AlternateContent>
          <mc:Choice Requires="wpg">
            <w:drawing>
              <wp:anchor distT="0" distB="0" distL="114300" distR="114300" simplePos="0" relativeHeight="251701248" behindDoc="0" locked="0" layoutInCell="1" allowOverlap="1">
                <wp:simplePos x="0" y="0"/>
                <wp:positionH relativeFrom="margin">
                  <wp:posOffset>-95885</wp:posOffset>
                </wp:positionH>
                <wp:positionV relativeFrom="paragraph">
                  <wp:posOffset>479</wp:posOffset>
                </wp:positionV>
                <wp:extent cx="4933315" cy="661670"/>
                <wp:effectExtent l="0" t="0" r="0" b="0"/>
                <wp:wrapSquare wrapText="bothSides"/>
                <wp:docPr id="2052770959"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933315" cy="661670"/>
                          <a:chOff x="0" y="108021"/>
                          <a:chExt cx="4787900" cy="662380"/>
                        </a:xfrm>
                      </wpg:grpSpPr>
                      <pic:pic xmlns:pic="http://schemas.openxmlformats.org/drawingml/2006/picture">
                        <pic:nvPicPr>
                          <pic:cNvPr id="23" name="Picture 23"/>
                          <pic:cNvPicPr>
                            <a:picLocks noChangeAspect="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a:xfrm>
                            <a:off x="0" y="108021"/>
                            <a:ext cx="4787900" cy="662380"/>
                          </a:xfrm>
                          <a:prstGeom prst="rect">
                            <a:avLst/>
                          </a:prstGeom>
                        </pic:spPr>
                      </pic:pic>
                      <wps:wsp xmlns:wps="http://schemas.microsoft.com/office/word/2010/wordprocessingShape">
                        <wps:cNvPr id="36" name="Text Box 2"/>
                        <wps:cNvSpPr txBox="1">
                          <a:spLocks noChangeArrowheads="1"/>
                        </wps:cNvSpPr>
                        <wps:spPr bwMode="auto">
                          <a:xfrm>
                            <a:off x="276225" y="238585"/>
                            <a:ext cx="4428490" cy="316800"/>
                          </a:xfrm>
                          <a:prstGeom prst="rect">
                            <a:avLst/>
                          </a:prstGeom>
                          <a:solidFill>
                            <a:srgbClr val="F05260"/>
                          </a:solidFill>
                          <a:ln w="9525">
                            <a:noFill/>
                            <a:miter lim="800000"/>
                            <a:headEnd/>
                            <a:tailEnd/>
                          </a:ln>
                        </wps:spPr>
                        <wps:txbx>
                          <w:txbxContent>
                            <w:p w:rsidR="00BD206C" w:rsidRPr="002B7A30" w:rsidP="00BD206C" w14:textId="77777777">
                              <w:pPr>
                                <w:pStyle w:val="7126"/>
                                <w:spacing w:before="0"/>
                                <w:rPr>
                                  <w:b w:val="0"/>
                                  <w:bCs/>
                                  <w:rtl/>
                                </w:rPr>
                              </w:pPr>
                              <w:r w:rsidRPr="00951B96">
                                <w:rPr>
                                  <w:b w:val="0"/>
                                  <w:bCs/>
                                  <w:rtl/>
                                </w:rPr>
                                <w:t xml:space="preserve">חסמים </w:t>
                              </w:r>
                              <w:r w:rsidRPr="00951B96">
                                <w:rPr>
                                  <w:rFonts w:hint="cs"/>
                                  <w:b w:val="0"/>
                                  <w:bCs/>
                                  <w:rtl/>
                                </w:rPr>
                                <w:t>ל</w:t>
                              </w:r>
                              <w:r w:rsidRPr="00951B96">
                                <w:rPr>
                                  <w:b w:val="0"/>
                                  <w:bCs/>
                                  <w:rtl/>
                                </w:rPr>
                                <w:t>מימוש הזכות לערור על סגירת תיק</w:t>
                              </w:r>
                            </w:p>
                            <w:p w:rsidR="00CB22A1" w:rsidRPr="00A47335" w:rsidP="00361AA2" w14:textId="1D88C7DC">
                              <w:pPr>
                                <w:pStyle w:val="7126"/>
                                <w:spacing w:before="0"/>
                                <w:rPr>
                                  <w:b w:val="0"/>
                                  <w:bCs/>
                                </w:rPr>
                              </w:pP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_x0000_s1050" style="width:388.45pt;height:52.1pt;margin-top:0.05pt;margin-left:-7.55pt;mso-height-relative:margin;mso-position-horizontal-relative:margin;mso-width-relative:margin;position:absolute;z-index:251702272" coordorigin="0,1080" coordsize="47879,6623">
                <v:shape id="Picture 23" o:spid="_x0000_s1051" type="#_x0000_t75" style="width:47879;height:6624;mso-wrap-style:square;position:absolute;top:1080;visibility:visible">
                  <v:imagedata r:id="rId24" o:title=""/>
                </v:shape>
                <v:shape id="_x0000_s1052" type="#_x0000_t202" style="width:44285;height:3168;left:2762;mso-wrap-style:square;position:absolute;top:2385;visibility:visible;v-text-anchor:middle" fillcolor="#f05260" stroked="f">
                  <v:textbox>
                    <w:txbxContent>
                      <w:p w:rsidR="00BD206C" w:rsidRPr="002B7A30" w:rsidP="00BD206C" w14:paraId="23681605" w14:textId="77777777">
                        <w:pPr>
                          <w:pStyle w:val="7126"/>
                          <w:spacing w:before="0"/>
                          <w:rPr>
                            <w:b w:val="0"/>
                            <w:bCs/>
                            <w:rtl/>
                          </w:rPr>
                        </w:pPr>
                        <w:r w:rsidRPr="00951B96">
                          <w:rPr>
                            <w:b w:val="0"/>
                            <w:bCs/>
                            <w:rtl/>
                          </w:rPr>
                          <w:t xml:space="preserve">חסמים </w:t>
                        </w:r>
                        <w:r w:rsidRPr="00951B96">
                          <w:rPr>
                            <w:rFonts w:hint="cs"/>
                            <w:b w:val="0"/>
                            <w:bCs/>
                            <w:rtl/>
                          </w:rPr>
                          <w:t>ל</w:t>
                        </w:r>
                        <w:r w:rsidRPr="00951B96">
                          <w:rPr>
                            <w:b w:val="0"/>
                            <w:bCs/>
                            <w:rtl/>
                          </w:rPr>
                          <w:t>מימוש הזכות לערור על סגירת תיק</w:t>
                        </w:r>
                      </w:p>
                      <w:p w:rsidR="00CB22A1" w:rsidRPr="00A47335" w:rsidP="00361AA2" w14:paraId="7C0CF9BB" w14:textId="1D88C7DC">
                        <w:pPr>
                          <w:pStyle w:val="7126"/>
                          <w:spacing w:before="0"/>
                          <w:rPr>
                            <w:b w:val="0"/>
                            <w:bCs/>
                          </w:rPr>
                        </w:pPr>
                      </w:p>
                    </w:txbxContent>
                  </v:textbox>
                </v:shape>
                <w10:wrap type="square"/>
              </v:group>
            </w:pict>
          </mc:Fallback>
        </mc:AlternateContent>
      </w:r>
    </w:p>
    <w:p w:rsidR="00F27A70" w:rsidRPr="00C94863" w:rsidP="00C94863" w14:paraId="5E9C70D4" w14:textId="1A7E7F4F">
      <w:pPr>
        <w:pStyle w:val="7123"/>
        <w:spacing w:before="360"/>
        <w:rPr>
          <w:rtl/>
        </w:rPr>
      </w:pPr>
      <w:r>
        <w:rPr>
          <w:noProof/>
          <w:rtl/>
          <w:lang w:val="he-IL"/>
        </w:rPr>
        <mc:AlternateContent>
          <mc:Choice Requires="wpg">
            <w:drawing>
              <wp:anchor distT="0" distB="0" distL="114300" distR="114300" simplePos="0" relativeHeight="251703296" behindDoc="0" locked="0" layoutInCell="1" allowOverlap="1">
                <wp:simplePos x="0" y="0"/>
                <wp:positionH relativeFrom="margin">
                  <wp:posOffset>-5080</wp:posOffset>
                </wp:positionH>
                <wp:positionV relativeFrom="paragraph">
                  <wp:posOffset>12805</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53" style="width:368.5pt;height:2.95pt;margin-top:1pt;margin-left:-0.4pt;mso-position-horizontal-relative:margin;position:absolute;z-index:251704320" coordsize="47244,381">
                <v:line id="Straight Connector 56" o:spid="_x0000_s1054" style="flip:x;mso-wrap-style:square;position:absolute;visibility:visible" from="0,381" to="47244,381" o:connectortype="straight" strokecolor="#0d0d0d" strokeweight="1.5pt"/>
                <v:line id="Straight Connector 57" o:spid="_x0000_s1055" style="flip:x;mso-wrap-style:square;position:absolute;visibility:visible" from="0,0" to="47244,0" o:connectortype="straight" strokecolor="#0d0d0d" strokeweight="1.5pt"/>
                <w10:wrap type="square"/>
              </v:group>
            </w:pict>
          </mc:Fallback>
        </mc:AlternateContent>
      </w:r>
      <w:r w:rsidRPr="00EF3061" w:rsidR="00EC6229">
        <w:rPr>
          <w:rFonts w:hint="cs"/>
          <w:rtl/>
        </w:rPr>
        <w:t>ס</w:t>
      </w:r>
      <w:r w:rsidRPr="00C94863" w:rsidR="00EC6229">
        <w:rPr>
          <w:rFonts w:hint="cs"/>
          <w:rtl/>
        </w:rPr>
        <w:t>יכום</w:t>
      </w:r>
    </w:p>
    <w:p w:rsidR="00BD22B5" w:rsidP="000024D3" w14:paraId="73BFF308" w14:textId="4B57A5A3">
      <w:pPr>
        <w:pStyle w:val="7190"/>
        <w:rPr>
          <w:rtl/>
        </w:rPr>
      </w:pPr>
      <w:r w:rsidRPr="00951B96">
        <w:rPr>
          <w:rFonts w:hint="cs"/>
          <w:rtl/>
        </w:rPr>
        <w:t>ה</w:t>
      </w:r>
      <w:r w:rsidRPr="00951B96">
        <w:rPr>
          <w:rtl/>
        </w:rPr>
        <w:t xml:space="preserve">החלטה של </w:t>
      </w:r>
      <w:r w:rsidRPr="00951B96">
        <w:rPr>
          <w:rFonts w:hint="cs"/>
          <w:rtl/>
        </w:rPr>
        <w:t>רשויות האכיפה והתביעה</w:t>
      </w:r>
      <w:r w:rsidRPr="00951B96">
        <w:rPr>
          <w:rtl/>
        </w:rPr>
        <w:t xml:space="preserve"> על </w:t>
      </w:r>
      <w:r w:rsidRPr="00951B96">
        <w:rPr>
          <w:rFonts w:hint="cs"/>
          <w:rtl/>
        </w:rPr>
        <w:t>סגירה</w:t>
      </w:r>
      <w:r w:rsidRPr="00951B96">
        <w:rPr>
          <w:rtl/>
        </w:rPr>
        <w:t xml:space="preserve"> של תיק פלילי </w:t>
      </w:r>
      <w:r w:rsidRPr="00951B96">
        <w:rPr>
          <w:rFonts w:hint="cs"/>
          <w:rtl/>
        </w:rPr>
        <w:t>עלולה לצמצם את אפשרויות הפרנסה של האדם ולהכתים את שמו הטוב</w:t>
      </w:r>
      <w:r w:rsidRPr="00951B96">
        <w:rPr>
          <w:rtl/>
        </w:rPr>
        <w:t xml:space="preserve">. דוח זה כולל ממצאים המצריכים בחינה של רשויות האכיפה והתביעה </w:t>
      </w:r>
      <w:r w:rsidRPr="00951B96">
        <w:rPr>
          <w:rFonts w:hint="cs"/>
          <w:rtl/>
        </w:rPr>
        <w:t xml:space="preserve">בדבר </w:t>
      </w:r>
      <w:r w:rsidRPr="00951B96">
        <w:rPr>
          <w:rtl/>
        </w:rPr>
        <w:t xml:space="preserve">מידת השימוש בעילות </w:t>
      </w:r>
      <w:r w:rsidRPr="00951B96">
        <w:rPr>
          <w:rFonts w:hint="cs"/>
          <w:rtl/>
        </w:rPr>
        <w:t>ה</w:t>
      </w:r>
      <w:r w:rsidRPr="00951B96">
        <w:rPr>
          <w:rtl/>
        </w:rPr>
        <w:t>סגירה השונות. בחינה זו ראוי כי ת</w:t>
      </w:r>
      <w:r w:rsidRPr="00951B96">
        <w:rPr>
          <w:rFonts w:hint="cs"/>
          <w:rtl/>
        </w:rPr>
        <w:t>י</w:t>
      </w:r>
      <w:r w:rsidRPr="00951B96">
        <w:rPr>
          <w:rtl/>
        </w:rPr>
        <w:t xml:space="preserve">עשה גם לאור </w:t>
      </w:r>
      <w:r w:rsidRPr="00951B96">
        <w:rPr>
          <w:rFonts w:hint="cs"/>
          <w:rtl/>
        </w:rPr>
        <w:t>ה</w:t>
      </w:r>
      <w:r w:rsidRPr="00951B96">
        <w:rPr>
          <w:rtl/>
        </w:rPr>
        <w:t>עדכון של הנחי</w:t>
      </w:r>
      <w:r w:rsidRPr="00951B96">
        <w:rPr>
          <w:rFonts w:hint="cs"/>
          <w:rtl/>
        </w:rPr>
        <w:t>י</w:t>
      </w:r>
      <w:r w:rsidRPr="00951B96">
        <w:rPr>
          <w:rtl/>
        </w:rPr>
        <w:t>ת פרקליט</w:t>
      </w:r>
      <w:r w:rsidRPr="00951B96">
        <w:rPr>
          <w:rFonts w:hint="cs"/>
          <w:rtl/>
        </w:rPr>
        <w:t xml:space="preserve"> המדינה</w:t>
      </w:r>
      <w:r w:rsidRPr="00951B96">
        <w:rPr>
          <w:rtl/>
        </w:rPr>
        <w:t xml:space="preserve"> משנת 2018 שנועד</w:t>
      </w:r>
      <w:r w:rsidRPr="00951B96">
        <w:rPr>
          <w:rFonts w:hint="cs"/>
          <w:rtl/>
        </w:rPr>
        <w:t>,</w:t>
      </w:r>
      <w:r w:rsidRPr="00951B96">
        <w:rPr>
          <w:rtl/>
        </w:rPr>
        <w:t xml:space="preserve"> בין היתר</w:t>
      </w:r>
      <w:r w:rsidRPr="00951B96">
        <w:rPr>
          <w:rFonts w:hint="cs"/>
          <w:rtl/>
        </w:rPr>
        <w:t>,</w:t>
      </w:r>
      <w:r w:rsidRPr="00951B96">
        <w:rPr>
          <w:rtl/>
        </w:rPr>
        <w:t xml:space="preserve"> להביא לצמצום מספר התיקים שנסגרים בעילה של "חוסר ראיות". בשים לב לחזקת החפות העומדת לחשודים שעה שהוחלט לסגור את תיק החקירה נגדם, ולסתימת הגולל על האפשרות להעמיד לדין את מי שהמתלוננים טוענים כי פגע בהם, </w:t>
      </w:r>
      <w:r w:rsidRPr="00951B96">
        <w:rPr>
          <w:rFonts w:hint="cs"/>
          <w:rtl/>
        </w:rPr>
        <w:t>מומלץ</w:t>
      </w:r>
      <w:r w:rsidRPr="00951B96">
        <w:rPr>
          <w:rtl/>
        </w:rPr>
        <w:t xml:space="preserve"> כי רשויות האכיפה והתביעה יפעלו לתיקון </w:t>
      </w:r>
      <w:r w:rsidRPr="00951B96">
        <w:rPr>
          <w:rFonts w:hint="cs"/>
          <w:rtl/>
        </w:rPr>
        <w:t xml:space="preserve">ליקויים </w:t>
      </w:r>
      <w:r w:rsidRPr="00951B96">
        <w:rPr>
          <w:rtl/>
        </w:rPr>
        <w:t>המצביעים על חסמים במיצוי זכותם של חשודים ומתלוננים לערור על ההחלטה. כמו כן מוצע למנות גורם מנתב אחד שאליו יוכלו לפנות המתלוננים או החשודים לשם הגשת עררים והשגות, גם באופן מקוון</w:t>
      </w:r>
      <w:r w:rsidRPr="00BD7633" w:rsidR="00BD7633">
        <w:rPr>
          <w:rtl/>
        </w:rPr>
        <w:t>.</w:t>
      </w:r>
    </w:p>
    <w:p w:rsidR="00F96F26" w:rsidP="00F96F26" w14:paraId="1A2D546B" w14:textId="1BADEE67">
      <w:pPr>
        <w:bidi w:val="0"/>
        <w:spacing w:after="200" w:line="276" w:lineRule="auto"/>
        <w:jc w:val="right"/>
        <w:sectPr w:rsidSect="00F74498">
          <w:type w:val="continuous"/>
          <w:pgSz w:w="11906" w:h="16838" w:code="9"/>
          <w:pgMar w:top="3062" w:right="2268" w:bottom="2552" w:left="2268" w:header="1134" w:footer="1361" w:gutter="0"/>
          <w:cols w:space="708"/>
          <w:bidi/>
          <w:rtlGutter/>
          <w:docGrid w:linePitch="360"/>
        </w:sectPr>
      </w:pPr>
    </w:p>
    <w:p w:rsidR="00212E22" w:rsidRPr="00E6174E" w:rsidP="00E6174E" w14:paraId="4D299C86" w14:textId="03EE866E">
      <w:pPr>
        <w:bidi w:val="0"/>
        <w:spacing w:after="200" w:line="276" w:lineRule="auto"/>
        <w:rPr>
          <w:rFonts w:ascii="Tahoma" w:eastAsia="Times New Roman" w:hAnsi="Tahoma" w:cs="Tahoma"/>
          <w:b/>
          <w:bCs/>
          <w:color w:val="00305F"/>
          <w:sz w:val="32"/>
          <w:szCs w:val="32"/>
          <w:rtl/>
        </w:rPr>
      </w:pPr>
    </w:p>
    <w:sectPr w:rsidSect="00F619AB">
      <w:headerReference w:type="default" r:id="rId33"/>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4322A" w:rsidP="00C23CC9" w14:paraId="425B405E" w14:textId="77777777">
      <w:pPr>
        <w:spacing w:line="240" w:lineRule="auto"/>
      </w:pPr>
      <w:r>
        <w:separator/>
      </w:r>
    </w:p>
  </w:footnote>
  <w:footnote w:type="continuationSeparator" w:id="1">
    <w:p w:rsidR="00B4322A" w:rsidP="00C23CC9" w14:paraId="2CDEDD20" w14:textId="77777777">
      <w:pPr>
        <w:spacing w:line="240" w:lineRule="auto"/>
      </w:pPr>
      <w:r>
        <w:continuationSeparator/>
      </w:r>
    </w:p>
    <w:p w:rsidR="00B4322A" w14:paraId="7CD5DAC1" w14:textId="77777777"/>
  </w:footnote>
  <w:footnote w:id="2">
    <w:p w:rsidR="000D7ABB" w:rsidRPr="00550F46" w:rsidP="000D7ABB" w14:paraId="2A3AC3A3" w14:textId="77777777">
      <w:pPr>
        <w:pStyle w:val="FootnoteText"/>
        <w:rPr>
          <w:rFonts w:ascii="Tahoma" w:hAnsi="Tahoma" w:cs="Tahoma"/>
          <w:sz w:val="18"/>
          <w:szCs w:val="16"/>
          <w:rtl/>
        </w:rPr>
      </w:pPr>
      <w:r w:rsidRPr="00C443DA">
        <w:rPr>
          <w:rStyle w:val="71Char2"/>
        </w:rPr>
        <w:footnoteRef/>
      </w:r>
      <w:r w:rsidRPr="00C443DA">
        <w:rPr>
          <w:rStyle w:val="71Char2"/>
          <w:rtl/>
        </w:rPr>
        <w:t xml:space="preserve"> </w:t>
      </w:r>
      <w:r w:rsidRPr="00550F46">
        <w:rPr>
          <w:rFonts w:ascii="Tahoma" w:hAnsi="Tahoma" w:cs="Tahoma"/>
          <w:sz w:val="18"/>
          <w:szCs w:val="16"/>
          <w:rtl/>
        </w:rPr>
        <w:tab/>
      </w:r>
      <w:r w:rsidRPr="00550F46">
        <w:rPr>
          <w:rFonts w:ascii="Tahoma" w:hAnsi="Tahoma" w:cs="Tahoma" w:hint="eastAsia"/>
          <w:sz w:val="18"/>
          <w:szCs w:val="16"/>
          <w:rtl/>
        </w:rPr>
        <w:t>נילון</w:t>
      </w:r>
      <w:r w:rsidRPr="00550F46">
        <w:rPr>
          <w:rFonts w:ascii="Tahoma" w:hAnsi="Tahoma" w:cs="Tahoma"/>
          <w:sz w:val="18"/>
          <w:szCs w:val="16"/>
          <w:rtl/>
        </w:rPr>
        <w:t xml:space="preserve"> </w:t>
      </w:r>
      <w:r w:rsidRPr="00550F46">
        <w:rPr>
          <w:rFonts w:ascii="Tahoma" w:hAnsi="Tahoma" w:cs="Tahoma" w:hint="eastAsia"/>
          <w:sz w:val="18"/>
          <w:szCs w:val="16"/>
          <w:rtl/>
        </w:rPr>
        <w:t>הוא</w:t>
      </w:r>
      <w:r w:rsidRPr="00550F46">
        <w:rPr>
          <w:rFonts w:ascii="Tahoma" w:hAnsi="Tahoma" w:cs="Tahoma"/>
          <w:sz w:val="18"/>
          <w:szCs w:val="16"/>
          <w:rtl/>
        </w:rPr>
        <w:t xml:space="preserve"> </w:t>
      </w:r>
      <w:r w:rsidRPr="00550F46">
        <w:rPr>
          <w:rFonts w:ascii="Tahoma" w:hAnsi="Tahoma" w:cs="Tahoma" w:hint="eastAsia"/>
          <w:sz w:val="18"/>
          <w:szCs w:val="16"/>
          <w:rtl/>
        </w:rPr>
        <w:t>אדם</w:t>
      </w:r>
      <w:r w:rsidRPr="00550F46">
        <w:rPr>
          <w:rFonts w:ascii="Tahoma" w:hAnsi="Tahoma" w:cs="Tahoma"/>
          <w:sz w:val="18"/>
          <w:szCs w:val="16"/>
          <w:rtl/>
        </w:rPr>
        <w:t xml:space="preserve"> </w:t>
      </w:r>
      <w:r w:rsidRPr="00550F46">
        <w:rPr>
          <w:rFonts w:ascii="Tahoma" w:hAnsi="Tahoma" w:cs="Tahoma" w:hint="eastAsia"/>
          <w:sz w:val="18"/>
          <w:szCs w:val="16"/>
          <w:rtl/>
        </w:rPr>
        <w:t>שמעורב</w:t>
      </w:r>
      <w:r w:rsidRPr="00550F46">
        <w:rPr>
          <w:rFonts w:ascii="Tahoma" w:hAnsi="Tahoma" w:cs="Tahoma"/>
          <w:sz w:val="18"/>
          <w:szCs w:val="16"/>
          <w:rtl/>
        </w:rPr>
        <w:t xml:space="preserve"> </w:t>
      </w:r>
      <w:r w:rsidRPr="00550F46">
        <w:rPr>
          <w:rFonts w:ascii="Tahoma" w:hAnsi="Tahoma" w:cs="Tahoma" w:hint="eastAsia"/>
          <w:sz w:val="18"/>
          <w:szCs w:val="16"/>
          <w:rtl/>
        </w:rPr>
        <w:t>בתיק</w:t>
      </w:r>
      <w:r w:rsidRPr="00550F46">
        <w:rPr>
          <w:rFonts w:ascii="Tahoma" w:hAnsi="Tahoma" w:cs="Tahoma"/>
          <w:sz w:val="18"/>
          <w:szCs w:val="16"/>
          <w:rtl/>
        </w:rPr>
        <w:t xml:space="preserve"> </w:t>
      </w:r>
      <w:r w:rsidRPr="00550F46">
        <w:rPr>
          <w:rFonts w:ascii="Tahoma" w:hAnsi="Tahoma" w:cs="Tahoma" w:hint="eastAsia"/>
          <w:sz w:val="18"/>
          <w:szCs w:val="16"/>
          <w:rtl/>
        </w:rPr>
        <w:t>פלילי</w:t>
      </w:r>
      <w:r w:rsidRPr="00550F46">
        <w:rPr>
          <w:rFonts w:ascii="Tahoma" w:hAnsi="Tahoma" w:cs="Tahoma"/>
          <w:sz w:val="18"/>
          <w:szCs w:val="16"/>
          <w:rtl/>
        </w:rPr>
        <w:t xml:space="preserve"> </w:t>
      </w:r>
      <w:r w:rsidRPr="00550F46">
        <w:rPr>
          <w:rFonts w:ascii="Tahoma" w:hAnsi="Tahoma" w:cs="Tahoma" w:hint="eastAsia"/>
          <w:sz w:val="18"/>
          <w:szCs w:val="16"/>
          <w:rtl/>
        </w:rPr>
        <w:t>לאחר</w:t>
      </w:r>
      <w:r w:rsidRPr="00550F46">
        <w:rPr>
          <w:rFonts w:ascii="Tahoma" w:hAnsi="Tahoma" w:cs="Tahoma"/>
          <w:sz w:val="18"/>
          <w:szCs w:val="16"/>
          <w:rtl/>
        </w:rPr>
        <w:t xml:space="preserve"> </w:t>
      </w:r>
      <w:r w:rsidRPr="00550F46">
        <w:rPr>
          <w:rFonts w:ascii="Tahoma" w:hAnsi="Tahoma" w:cs="Tahoma" w:hint="eastAsia"/>
          <w:sz w:val="18"/>
          <w:szCs w:val="16"/>
          <w:rtl/>
        </w:rPr>
        <w:t>שהתלוננו</w:t>
      </w:r>
      <w:r w:rsidRPr="00550F46">
        <w:rPr>
          <w:rFonts w:ascii="Tahoma" w:hAnsi="Tahoma" w:cs="Tahoma"/>
          <w:sz w:val="18"/>
          <w:szCs w:val="16"/>
          <w:rtl/>
        </w:rPr>
        <w:t xml:space="preserve"> </w:t>
      </w:r>
      <w:r w:rsidRPr="00550F46">
        <w:rPr>
          <w:rFonts w:ascii="Tahoma" w:hAnsi="Tahoma" w:cs="Tahoma" w:hint="eastAsia"/>
          <w:sz w:val="18"/>
          <w:szCs w:val="16"/>
          <w:rtl/>
        </w:rPr>
        <w:t>עליו</w:t>
      </w:r>
      <w:r w:rsidRPr="00550F46">
        <w:rPr>
          <w:rFonts w:ascii="Tahoma" w:hAnsi="Tahoma" w:cs="Tahoma"/>
          <w:sz w:val="18"/>
          <w:szCs w:val="16"/>
          <w:rtl/>
        </w:rPr>
        <w:t xml:space="preserve"> </w:t>
      </w:r>
      <w:r w:rsidRPr="00550F46">
        <w:rPr>
          <w:rFonts w:ascii="Tahoma" w:hAnsi="Tahoma" w:cs="Tahoma" w:hint="eastAsia"/>
          <w:sz w:val="18"/>
          <w:szCs w:val="16"/>
          <w:rtl/>
        </w:rPr>
        <w:t>אך</w:t>
      </w:r>
      <w:r w:rsidRPr="00550F46">
        <w:rPr>
          <w:rFonts w:ascii="Tahoma" w:hAnsi="Tahoma" w:cs="Tahoma"/>
          <w:sz w:val="18"/>
          <w:szCs w:val="16"/>
          <w:rtl/>
        </w:rPr>
        <w:t xml:space="preserve"> </w:t>
      </w:r>
      <w:r w:rsidRPr="00550F46">
        <w:rPr>
          <w:rFonts w:ascii="Tahoma" w:hAnsi="Tahoma" w:cs="Tahoma" w:hint="eastAsia"/>
          <w:sz w:val="18"/>
          <w:szCs w:val="16"/>
          <w:rtl/>
        </w:rPr>
        <w:t>אין</w:t>
      </w:r>
      <w:r w:rsidRPr="00550F46">
        <w:rPr>
          <w:rFonts w:ascii="Tahoma" w:hAnsi="Tahoma" w:cs="Tahoma"/>
          <w:sz w:val="18"/>
          <w:szCs w:val="16"/>
          <w:rtl/>
        </w:rPr>
        <w:t xml:space="preserve"> </w:t>
      </w:r>
      <w:r w:rsidRPr="00550F46">
        <w:rPr>
          <w:rFonts w:ascii="Tahoma" w:hAnsi="Tahoma" w:cs="Tahoma" w:hint="eastAsia"/>
          <w:sz w:val="18"/>
          <w:szCs w:val="16"/>
          <w:rtl/>
        </w:rPr>
        <w:t>לגביו</w:t>
      </w:r>
      <w:r w:rsidRPr="00550F46">
        <w:rPr>
          <w:rFonts w:ascii="Tahoma" w:hAnsi="Tahoma" w:cs="Tahoma"/>
          <w:sz w:val="18"/>
          <w:szCs w:val="16"/>
          <w:rtl/>
        </w:rPr>
        <w:t xml:space="preserve"> </w:t>
      </w:r>
      <w:r w:rsidRPr="00550F46">
        <w:rPr>
          <w:rFonts w:ascii="Tahoma" w:hAnsi="Tahoma" w:cs="Tahoma" w:hint="eastAsia"/>
          <w:sz w:val="18"/>
          <w:szCs w:val="16"/>
          <w:rtl/>
        </w:rPr>
        <w:t>חשד</w:t>
      </w:r>
      <w:r w:rsidRPr="00550F46">
        <w:rPr>
          <w:rFonts w:ascii="Tahoma" w:hAnsi="Tahoma" w:cs="Tahoma"/>
          <w:sz w:val="18"/>
          <w:szCs w:val="16"/>
          <w:rtl/>
        </w:rPr>
        <w:t xml:space="preserve"> </w:t>
      </w:r>
      <w:r w:rsidRPr="00550F46">
        <w:rPr>
          <w:rFonts w:ascii="Tahoma" w:hAnsi="Tahoma" w:cs="Tahoma" w:hint="eastAsia"/>
          <w:sz w:val="18"/>
          <w:szCs w:val="16"/>
          <w:rtl/>
        </w:rPr>
        <w:t>פלילי</w:t>
      </w:r>
      <w:r w:rsidRPr="00550F46">
        <w:rPr>
          <w:rFonts w:ascii="Tahoma" w:hAnsi="Tahoma" w:cs="Tahoma"/>
          <w:sz w:val="18"/>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FB6302" w14:textId="49471BA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FB6302" w14:paraId="77809697" w14:textId="49471BA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0B3E9A" w:rsidRPr="004D562B" w:rsidP="000B3E9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0B3E9A"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0B3E9A" w:rsidRPr="004D562B" w:rsidP="000B3E9A" w14:paraId="5425A675"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0B3E9A"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3F0851CB">
                          <w:pPr>
                            <w:jc w:val="left"/>
                            <w:rPr>
                              <w:color w:val="0D0D0D"/>
                              <w:sz w:val="16"/>
                              <w:szCs w:val="16"/>
                            </w:rPr>
                          </w:pPr>
                          <w:r w:rsidRPr="008255D0">
                            <w:rPr>
                              <w:rFonts w:ascii="Tahoma" w:hAnsi="Tahoma" w:cs="Tahoma"/>
                              <w:color w:val="0D0D0D" w:themeColor="text1" w:themeTint="F2"/>
                              <w:sz w:val="16"/>
                              <w:szCs w:val="16"/>
                              <w:rtl/>
                            </w:rPr>
                            <w:t>טיפול המשטרה והפרקליטות בסגירת תיקים פליליים</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3F0851CB">
                    <w:pPr>
                      <w:jc w:val="left"/>
                      <w:rPr>
                        <w:color w:val="0D0D0D"/>
                        <w:sz w:val="16"/>
                        <w:szCs w:val="16"/>
                      </w:rPr>
                    </w:pPr>
                    <w:r w:rsidRPr="008255D0">
                      <w:rPr>
                        <w:rFonts w:ascii="Tahoma" w:hAnsi="Tahoma" w:cs="Tahoma"/>
                        <w:color w:val="0D0D0D" w:themeColor="text1" w:themeTint="F2"/>
                        <w:sz w:val="16"/>
                        <w:szCs w:val="16"/>
                        <w:rtl/>
                      </w:rPr>
                      <w:t>טיפול המשטרה והפרקליטות בסגירת תיקים פליליים</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4792"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7659129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765912929"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1AFC1129">
                          <w:pPr>
                            <w:jc w:val="left"/>
                            <w:rPr>
                              <w:color w:val="0D0D0D"/>
                              <w:sz w:val="16"/>
                              <w:szCs w:val="16"/>
                            </w:rPr>
                          </w:pPr>
                          <w:r w:rsidRPr="008255D0">
                            <w:rPr>
                              <w:rFonts w:ascii="Tahoma" w:hAnsi="Tahoma" w:cs="Tahoma"/>
                              <w:color w:val="0D0D0D" w:themeColor="text1" w:themeTint="F2"/>
                              <w:sz w:val="16"/>
                              <w:szCs w:val="16"/>
                              <w:rtl/>
                            </w:rPr>
                            <w:t>טיפול המשטרה והפרקליטות בסגירת תיקים פליליים</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1AFC1129">
                    <w:pPr>
                      <w:jc w:val="left"/>
                      <w:rPr>
                        <w:color w:val="0D0D0D"/>
                        <w:sz w:val="16"/>
                        <w:szCs w:val="16"/>
                      </w:rPr>
                    </w:pPr>
                    <w:r w:rsidRPr="008255D0">
                      <w:rPr>
                        <w:rFonts w:ascii="Tahoma" w:hAnsi="Tahoma" w:cs="Tahoma"/>
                        <w:color w:val="0D0D0D" w:themeColor="text1" w:themeTint="F2"/>
                        <w:sz w:val="16"/>
                        <w:szCs w:val="16"/>
                        <w:rtl/>
                      </w:rPr>
                      <w:t>טיפול המשטרה והפרקליטות בסגירת תיקים פליליים</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478515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46938"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8255D0" w14:textId="312D495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8255D0" w:rsidR="008255D0">
                            <w:rPr>
                              <w:rFonts w:ascii="Tahoma" w:hAnsi="Tahoma" w:cs="Tahoma"/>
                              <w:b/>
                              <w:bCs/>
                              <w:rtl/>
                            </w:rPr>
                            <w:t>טיפול המשטרה והפרקליטות בסגירת תיקים פליליים</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8255D0" w14:paraId="2873DE67" w14:textId="312D495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8255D0" w:rsidR="008255D0">
                      <w:rPr>
                        <w:rFonts w:ascii="Tahoma" w:hAnsi="Tahoma" w:cs="Tahoma"/>
                        <w:b/>
                        <w:bCs/>
                        <w:rtl/>
                      </w:rPr>
                      <w:t>טיפול המשטרה והפרקליטות בסגירת תיקים פליליים</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0B3E9A" w:rsidRPr="004D562B" w:rsidP="000B3E9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0B3E9A"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0B3E9A" w:rsidRPr="004D562B" w:rsidP="000B3E9A" w14:paraId="5575A677"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0B3E9A"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4785153"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2049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8255D0" w:rsidRPr="009B7D1B" w:rsidP="008255D0" w14:textId="77777777">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8255D0">
                            <w:rPr>
                              <w:rFonts w:ascii="Tahoma" w:hAnsi="Tahoma" w:cs="Tahoma"/>
                              <w:b/>
                              <w:bCs/>
                              <w:rtl/>
                            </w:rPr>
                            <w:t>טיפול המשטרה והפרקליטות בסגירת תיקים פליליים</w:t>
                          </w:r>
                        </w:p>
                        <w:p w:rsidR="00CB22A1" w:rsidRPr="009B7D1B" w:rsidP="008255D0" w14:textId="29CDB7F9">
                          <w:pPr>
                            <w:pStyle w:val="Bodytext70"/>
                            <w:shd w:val="clear" w:color="auto" w:fill="003060"/>
                            <w:rPr>
                              <w:rFonts w:ascii="Tahoma" w:hAnsi="Tahoma" w:cs="Tahoma"/>
                              <w:sz w:val="24"/>
                              <w:szCs w:val="24"/>
                              <w:rtl/>
                            </w:rPr>
                          </w:pP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8255D0" w:rsidRPr="009B7D1B" w:rsidP="008255D0" w14:paraId="5BFA3B9C" w14:textId="77777777">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8255D0">
                      <w:rPr>
                        <w:rFonts w:ascii="Tahoma" w:hAnsi="Tahoma" w:cs="Tahoma"/>
                        <w:b/>
                        <w:bCs/>
                        <w:rtl/>
                      </w:rPr>
                      <w:t>טיפול המשטרה והפרקליטות בסגירת תיקים פליליים</w:t>
                    </w:r>
                  </w:p>
                  <w:p w:rsidR="00CB22A1" w:rsidRPr="009B7D1B" w:rsidP="008255D0" w14:paraId="1C12FDA0" w14:textId="29CDB7F9">
                    <w:pPr>
                      <w:pStyle w:val="Bodytext70"/>
                      <w:shd w:val="clear" w:color="auto" w:fill="003060"/>
                      <w:rPr>
                        <w:rFonts w:ascii="Tahoma" w:hAnsi="Tahoma" w:cs="Tahoma"/>
                        <w:sz w:val="24"/>
                        <w:szCs w:val="24"/>
                        <w:rtl/>
                      </w:rPr>
                    </w:pP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0B3E9A" w:rsidRPr="004D562B" w:rsidP="000B3E9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0B3E9A"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0B3E9A" w:rsidRPr="004D562B" w:rsidP="000B3E9A" w14:paraId="37729876"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0B3E9A"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052770989"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7237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7516A1E"/>
    <w:multiLevelType w:val="multilevel"/>
    <w:tmpl w:val="85FA4F96"/>
    <w:lvl w:ilvl="0">
      <w:start w:val="1"/>
      <w:numFmt w:val="decimal"/>
      <w:lvlText w:val="%1."/>
      <w:lvlJc w:val="left"/>
      <w:pPr>
        <w:ind w:left="266" w:hanging="26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2003228"/>
    <w:multiLevelType w:val="multilevel"/>
    <w:tmpl w:val="2C66D414"/>
    <w:lvl w:ilvl="0">
      <w:start w:val="1"/>
      <w:numFmt w:val="decimal"/>
      <w:lvlText w:val="%1."/>
      <w:lvlJc w:val="left"/>
      <w:pPr>
        <w:ind w:left="266" w:hanging="266"/>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
    <w:nsid w:val="2B423386"/>
    <w:multiLevelType w:val="multilevel"/>
    <w:tmpl w:val="AC163B9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216DD8"/>
    <w:multiLevelType w:val="multilevel"/>
    <w:tmpl w:val="7BA6F4D4"/>
    <w:lvl w:ilvl="0">
      <w:start w:val="2"/>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425E48B5"/>
    <w:multiLevelType w:val="hybridMultilevel"/>
    <w:tmpl w:val="FC247AFC"/>
    <w:lvl w:ilvl="0">
      <w:start w:val="5"/>
      <w:numFmt w:val="bullet"/>
      <w:lvlText w:val=""/>
      <w:lvlJc w:val="left"/>
      <w:pPr>
        <w:ind w:left="986" w:hanging="360"/>
      </w:pPr>
      <w:rPr>
        <w:rFonts w:ascii="Symbol" w:eastAsia="Calibri" w:hAnsi="Symbol" w:cs="David" w:hint="default"/>
      </w:rPr>
    </w:lvl>
    <w:lvl w:ilvl="1" w:tentative="1">
      <w:start w:val="1"/>
      <w:numFmt w:val="bullet"/>
      <w:lvlText w:val="o"/>
      <w:lvlJc w:val="left"/>
      <w:pPr>
        <w:ind w:left="1706" w:hanging="360"/>
      </w:pPr>
      <w:rPr>
        <w:rFonts w:ascii="Courier New" w:hAnsi="Courier New" w:cs="Courier New" w:hint="default"/>
      </w:rPr>
    </w:lvl>
    <w:lvl w:ilvl="2" w:tentative="1">
      <w:start w:val="1"/>
      <w:numFmt w:val="bullet"/>
      <w:lvlText w:val=""/>
      <w:lvlJc w:val="left"/>
      <w:pPr>
        <w:ind w:left="2426" w:hanging="360"/>
      </w:pPr>
      <w:rPr>
        <w:rFonts w:ascii="Wingdings" w:hAnsi="Wingdings" w:hint="default"/>
      </w:rPr>
    </w:lvl>
    <w:lvl w:ilvl="3" w:tentative="1">
      <w:start w:val="1"/>
      <w:numFmt w:val="bullet"/>
      <w:lvlText w:val=""/>
      <w:lvlJc w:val="left"/>
      <w:pPr>
        <w:ind w:left="3146" w:hanging="360"/>
      </w:pPr>
      <w:rPr>
        <w:rFonts w:ascii="Symbol" w:hAnsi="Symbol" w:hint="default"/>
      </w:rPr>
    </w:lvl>
    <w:lvl w:ilvl="4" w:tentative="1">
      <w:start w:val="1"/>
      <w:numFmt w:val="bullet"/>
      <w:lvlText w:val="o"/>
      <w:lvlJc w:val="left"/>
      <w:pPr>
        <w:ind w:left="3866" w:hanging="360"/>
      </w:pPr>
      <w:rPr>
        <w:rFonts w:ascii="Courier New" w:hAnsi="Courier New" w:cs="Courier New" w:hint="default"/>
      </w:rPr>
    </w:lvl>
    <w:lvl w:ilvl="5" w:tentative="1">
      <w:start w:val="1"/>
      <w:numFmt w:val="bullet"/>
      <w:lvlText w:val=""/>
      <w:lvlJc w:val="left"/>
      <w:pPr>
        <w:ind w:left="4586" w:hanging="360"/>
      </w:pPr>
      <w:rPr>
        <w:rFonts w:ascii="Wingdings" w:hAnsi="Wingdings" w:hint="default"/>
      </w:rPr>
    </w:lvl>
    <w:lvl w:ilvl="6" w:tentative="1">
      <w:start w:val="1"/>
      <w:numFmt w:val="bullet"/>
      <w:lvlText w:val=""/>
      <w:lvlJc w:val="left"/>
      <w:pPr>
        <w:ind w:left="5306" w:hanging="360"/>
      </w:pPr>
      <w:rPr>
        <w:rFonts w:ascii="Symbol" w:hAnsi="Symbol" w:hint="default"/>
      </w:rPr>
    </w:lvl>
    <w:lvl w:ilvl="7" w:tentative="1">
      <w:start w:val="1"/>
      <w:numFmt w:val="bullet"/>
      <w:lvlText w:val="o"/>
      <w:lvlJc w:val="left"/>
      <w:pPr>
        <w:ind w:left="6026" w:hanging="360"/>
      </w:pPr>
      <w:rPr>
        <w:rFonts w:ascii="Courier New" w:hAnsi="Courier New" w:cs="Courier New" w:hint="default"/>
      </w:rPr>
    </w:lvl>
    <w:lvl w:ilvl="8" w:tentative="1">
      <w:start w:val="1"/>
      <w:numFmt w:val="bullet"/>
      <w:lvlText w:val=""/>
      <w:lvlJc w:val="left"/>
      <w:pPr>
        <w:ind w:left="6746" w:hanging="360"/>
      </w:pPr>
      <w:rPr>
        <w:rFonts w:ascii="Wingdings" w:hAnsi="Wingdings" w:hint="default"/>
      </w:rPr>
    </w:lvl>
  </w:abstractNum>
  <w:abstractNum w:abstractNumId="16">
    <w:nsid w:val="459C2999"/>
    <w:multiLevelType w:val="multilevel"/>
    <w:tmpl w:val="2F9A6D2E"/>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4F430706"/>
    <w:multiLevelType w:val="multilevel"/>
    <w:tmpl w:val="2D1CF836"/>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9">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DF105D"/>
    <w:multiLevelType w:val="hybridMultilevel"/>
    <w:tmpl w:val="FC165E48"/>
    <w:lvl w:ilvl="0">
      <w:start w:val="1"/>
      <w:numFmt w:val="decimal"/>
      <w:lvlText w:val="%1."/>
      <w:lvlJc w:val="left"/>
      <w:pPr>
        <w:ind w:left="720" w:hanging="26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23">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4">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135A2C"/>
    <w:multiLevelType w:val="hybridMultilevel"/>
    <w:tmpl w:val="394A48AC"/>
    <w:lvl w:ilvl="0">
      <w:start w:val="5"/>
      <w:numFmt w:val="bullet"/>
      <w:lvlText w:val=""/>
      <w:lvlJc w:val="left"/>
      <w:pPr>
        <w:ind w:left="986" w:hanging="360"/>
      </w:pPr>
      <w:rPr>
        <w:rFonts w:ascii="Symbol" w:eastAsia="Calibri" w:hAnsi="Symbol" w:cs="David" w:hint="default"/>
      </w:rPr>
    </w:lvl>
    <w:lvl w:ilvl="1" w:tentative="1">
      <w:start w:val="1"/>
      <w:numFmt w:val="bullet"/>
      <w:lvlText w:val="o"/>
      <w:lvlJc w:val="left"/>
      <w:pPr>
        <w:ind w:left="1706" w:hanging="360"/>
      </w:pPr>
      <w:rPr>
        <w:rFonts w:ascii="Courier New" w:hAnsi="Courier New" w:cs="Courier New" w:hint="default"/>
      </w:rPr>
    </w:lvl>
    <w:lvl w:ilvl="2" w:tentative="1">
      <w:start w:val="1"/>
      <w:numFmt w:val="bullet"/>
      <w:lvlText w:val=""/>
      <w:lvlJc w:val="left"/>
      <w:pPr>
        <w:ind w:left="2426" w:hanging="360"/>
      </w:pPr>
      <w:rPr>
        <w:rFonts w:ascii="Wingdings" w:hAnsi="Wingdings" w:hint="default"/>
      </w:rPr>
    </w:lvl>
    <w:lvl w:ilvl="3" w:tentative="1">
      <w:start w:val="1"/>
      <w:numFmt w:val="bullet"/>
      <w:lvlText w:val=""/>
      <w:lvlJc w:val="left"/>
      <w:pPr>
        <w:ind w:left="3146" w:hanging="360"/>
      </w:pPr>
      <w:rPr>
        <w:rFonts w:ascii="Symbol" w:hAnsi="Symbol" w:hint="default"/>
      </w:rPr>
    </w:lvl>
    <w:lvl w:ilvl="4" w:tentative="1">
      <w:start w:val="1"/>
      <w:numFmt w:val="bullet"/>
      <w:lvlText w:val="o"/>
      <w:lvlJc w:val="left"/>
      <w:pPr>
        <w:ind w:left="3866" w:hanging="360"/>
      </w:pPr>
      <w:rPr>
        <w:rFonts w:ascii="Courier New" w:hAnsi="Courier New" w:cs="Courier New" w:hint="default"/>
      </w:rPr>
    </w:lvl>
    <w:lvl w:ilvl="5" w:tentative="1">
      <w:start w:val="1"/>
      <w:numFmt w:val="bullet"/>
      <w:lvlText w:val=""/>
      <w:lvlJc w:val="left"/>
      <w:pPr>
        <w:ind w:left="4586" w:hanging="360"/>
      </w:pPr>
      <w:rPr>
        <w:rFonts w:ascii="Wingdings" w:hAnsi="Wingdings" w:hint="default"/>
      </w:rPr>
    </w:lvl>
    <w:lvl w:ilvl="6" w:tentative="1">
      <w:start w:val="1"/>
      <w:numFmt w:val="bullet"/>
      <w:lvlText w:val=""/>
      <w:lvlJc w:val="left"/>
      <w:pPr>
        <w:ind w:left="5306" w:hanging="360"/>
      </w:pPr>
      <w:rPr>
        <w:rFonts w:ascii="Symbol" w:hAnsi="Symbol" w:hint="default"/>
      </w:rPr>
    </w:lvl>
    <w:lvl w:ilvl="7" w:tentative="1">
      <w:start w:val="1"/>
      <w:numFmt w:val="bullet"/>
      <w:lvlText w:val="o"/>
      <w:lvlJc w:val="left"/>
      <w:pPr>
        <w:ind w:left="6026" w:hanging="360"/>
      </w:pPr>
      <w:rPr>
        <w:rFonts w:ascii="Courier New" w:hAnsi="Courier New" w:cs="Courier New" w:hint="default"/>
      </w:rPr>
    </w:lvl>
    <w:lvl w:ilvl="8" w:tentative="1">
      <w:start w:val="1"/>
      <w:numFmt w:val="bullet"/>
      <w:lvlText w:val=""/>
      <w:lvlJc w:val="left"/>
      <w:pPr>
        <w:ind w:left="6746" w:hanging="360"/>
      </w:pPr>
      <w:rPr>
        <w:rFonts w:ascii="Wingdings" w:hAnsi="Wingdings" w:hint="default"/>
      </w:rPr>
    </w:lvl>
  </w:abstractNum>
  <w:abstractNum w:abstractNumId="26">
    <w:nsid w:val="72FA3A36"/>
    <w:multiLevelType w:val="multilevel"/>
    <w:tmpl w:val="EB7A59C4"/>
    <w:lvl w:ilvl="0">
      <w:start w:val="4"/>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8">
    <w:nsid w:val="7C6A3210"/>
    <w:multiLevelType w:val="multilevel"/>
    <w:tmpl w:val="BAC486CA"/>
    <w:lvl w:ilvl="0">
      <w:start w:val="1"/>
      <w:numFmt w:val="decimal"/>
      <w:lvlText w:val="%1."/>
      <w:lvlJc w:val="left"/>
      <w:pPr>
        <w:ind w:left="266" w:hanging="26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9">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7"/>
  </w:num>
  <w:num w:numId="2">
    <w:abstractNumId w:val="14"/>
  </w:num>
  <w:num w:numId="3">
    <w:abstractNumId w:val="20"/>
  </w:num>
  <w:num w:numId="4">
    <w:abstractNumId w:val="10"/>
  </w:num>
  <w:num w:numId="5">
    <w:abstractNumId w:val="13"/>
  </w:num>
  <w:num w:numId="6">
    <w:abstractNumId w:val="29"/>
  </w:num>
  <w:num w:numId="7">
    <w:abstractNumId w:val="1"/>
  </w:num>
  <w:num w:numId="8">
    <w:abstractNumId w:val="16"/>
  </w:num>
  <w:num w:numId="9">
    <w:abstractNumId w:val="4"/>
  </w:num>
  <w:num w:numId="10">
    <w:abstractNumId w:val="23"/>
  </w:num>
  <w:num w:numId="11">
    <w:abstractNumId w:val="3"/>
  </w:num>
  <w:num w:numId="12">
    <w:abstractNumId w:val="6"/>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22"/>
  </w:num>
  <w:num w:numId="18">
    <w:abstractNumId w:val="24"/>
  </w:num>
  <w:num w:numId="19">
    <w:abstractNumId w:val="11"/>
  </w:num>
  <w:num w:numId="20">
    <w:abstractNumId w:val="18"/>
  </w:num>
  <w:num w:numId="21">
    <w:abstractNumId w:val="9"/>
  </w:num>
  <w:num w:numId="22">
    <w:abstractNumId w:val="12"/>
  </w:num>
  <w:num w:numId="23">
    <w:abstractNumId w:val="26"/>
  </w:num>
  <w:num w:numId="24">
    <w:abstractNumId w:val="17"/>
  </w:num>
  <w:num w:numId="25">
    <w:abstractNumId w:val="21"/>
  </w:num>
  <w:num w:numId="26">
    <w:abstractNumId w:val="5"/>
  </w:num>
  <w:num w:numId="27">
    <w:abstractNumId w:val="25"/>
  </w:num>
  <w:num w:numId="28">
    <w:abstractNumId w:val="15"/>
  </w:num>
  <w:num w:numId="29">
    <w:abstractNumId w:val="28"/>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6"/>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2FE5"/>
    <w:rsid w:val="00013BC3"/>
    <w:rsid w:val="00013CFB"/>
    <w:rsid w:val="0001431C"/>
    <w:rsid w:val="0001482C"/>
    <w:rsid w:val="00015162"/>
    <w:rsid w:val="000155F0"/>
    <w:rsid w:val="00015680"/>
    <w:rsid w:val="000157CF"/>
    <w:rsid w:val="00015A22"/>
    <w:rsid w:val="00016699"/>
    <w:rsid w:val="000168DE"/>
    <w:rsid w:val="0001735B"/>
    <w:rsid w:val="000206F1"/>
    <w:rsid w:val="00021298"/>
    <w:rsid w:val="000215B7"/>
    <w:rsid w:val="00021ED5"/>
    <w:rsid w:val="00021FFB"/>
    <w:rsid w:val="000224FF"/>
    <w:rsid w:val="00023E81"/>
    <w:rsid w:val="0002439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74F"/>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B0929"/>
    <w:rsid w:val="000B1102"/>
    <w:rsid w:val="000B1376"/>
    <w:rsid w:val="000B153C"/>
    <w:rsid w:val="000B1C94"/>
    <w:rsid w:val="000B2074"/>
    <w:rsid w:val="000B2C5B"/>
    <w:rsid w:val="000B2DBE"/>
    <w:rsid w:val="000B3056"/>
    <w:rsid w:val="000B3A23"/>
    <w:rsid w:val="000B3E9A"/>
    <w:rsid w:val="000B4419"/>
    <w:rsid w:val="000B4F23"/>
    <w:rsid w:val="000B55BB"/>
    <w:rsid w:val="000B597C"/>
    <w:rsid w:val="000B6604"/>
    <w:rsid w:val="000B7912"/>
    <w:rsid w:val="000B7B95"/>
    <w:rsid w:val="000B7D4C"/>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ABB"/>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8EF"/>
    <w:rsid w:val="000E6AAF"/>
    <w:rsid w:val="000E6F44"/>
    <w:rsid w:val="000E73AF"/>
    <w:rsid w:val="000E7622"/>
    <w:rsid w:val="000E7BE6"/>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1157"/>
    <w:rsid w:val="00101681"/>
    <w:rsid w:val="00101BB0"/>
    <w:rsid w:val="00101D0F"/>
    <w:rsid w:val="0010231B"/>
    <w:rsid w:val="0010237C"/>
    <w:rsid w:val="001023B9"/>
    <w:rsid w:val="0010413A"/>
    <w:rsid w:val="00104FBC"/>
    <w:rsid w:val="00105970"/>
    <w:rsid w:val="00105B99"/>
    <w:rsid w:val="00106312"/>
    <w:rsid w:val="00106A59"/>
    <w:rsid w:val="00106B31"/>
    <w:rsid w:val="00107175"/>
    <w:rsid w:val="0010747A"/>
    <w:rsid w:val="00107A35"/>
    <w:rsid w:val="00107D4A"/>
    <w:rsid w:val="00107E96"/>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8BE"/>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01E"/>
    <w:rsid w:val="0018758B"/>
    <w:rsid w:val="001900F7"/>
    <w:rsid w:val="0019015A"/>
    <w:rsid w:val="00190396"/>
    <w:rsid w:val="00190704"/>
    <w:rsid w:val="00190F93"/>
    <w:rsid w:val="00191D43"/>
    <w:rsid w:val="00191FF6"/>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0E9D"/>
    <w:rsid w:val="001A1123"/>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9BD"/>
    <w:rsid w:val="001E5A5F"/>
    <w:rsid w:val="001E5C3E"/>
    <w:rsid w:val="001E641F"/>
    <w:rsid w:val="001E66A7"/>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22"/>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3F2C"/>
    <w:rsid w:val="00234167"/>
    <w:rsid w:val="00234A15"/>
    <w:rsid w:val="00234AB5"/>
    <w:rsid w:val="00234F9B"/>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70C99"/>
    <w:rsid w:val="0027101D"/>
    <w:rsid w:val="0027121E"/>
    <w:rsid w:val="0027188F"/>
    <w:rsid w:val="002739B2"/>
    <w:rsid w:val="002739CF"/>
    <w:rsid w:val="00273D43"/>
    <w:rsid w:val="0027424D"/>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A30"/>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163"/>
    <w:rsid w:val="002F5628"/>
    <w:rsid w:val="002F5A80"/>
    <w:rsid w:val="002F5B51"/>
    <w:rsid w:val="002F5CEC"/>
    <w:rsid w:val="002F5F43"/>
    <w:rsid w:val="002F6A1D"/>
    <w:rsid w:val="002F6FA5"/>
    <w:rsid w:val="002F724D"/>
    <w:rsid w:val="002F78B6"/>
    <w:rsid w:val="002F7C75"/>
    <w:rsid w:val="002F7D09"/>
    <w:rsid w:val="00300092"/>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ACC"/>
    <w:rsid w:val="00327D99"/>
    <w:rsid w:val="003303FB"/>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C9E"/>
    <w:rsid w:val="00365D63"/>
    <w:rsid w:val="00365DC9"/>
    <w:rsid w:val="00365DE2"/>
    <w:rsid w:val="0036639F"/>
    <w:rsid w:val="003668A5"/>
    <w:rsid w:val="00367259"/>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6D6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6D2"/>
    <w:rsid w:val="003A3978"/>
    <w:rsid w:val="003A3D05"/>
    <w:rsid w:val="003A47A9"/>
    <w:rsid w:val="003A613A"/>
    <w:rsid w:val="003A66EF"/>
    <w:rsid w:val="003A689D"/>
    <w:rsid w:val="003A74D0"/>
    <w:rsid w:val="003A769E"/>
    <w:rsid w:val="003A780A"/>
    <w:rsid w:val="003B0B84"/>
    <w:rsid w:val="003B1053"/>
    <w:rsid w:val="003B1207"/>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2534"/>
    <w:rsid w:val="003C26AC"/>
    <w:rsid w:val="003C2A0B"/>
    <w:rsid w:val="003C2EC6"/>
    <w:rsid w:val="003C3154"/>
    <w:rsid w:val="003C32FE"/>
    <w:rsid w:val="003C3358"/>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DE"/>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74F"/>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50C9"/>
    <w:rsid w:val="0042545B"/>
    <w:rsid w:val="00425E72"/>
    <w:rsid w:val="00425E85"/>
    <w:rsid w:val="0042649D"/>
    <w:rsid w:val="00426862"/>
    <w:rsid w:val="00426CE7"/>
    <w:rsid w:val="00426D50"/>
    <w:rsid w:val="004276E0"/>
    <w:rsid w:val="00427A72"/>
    <w:rsid w:val="00427D9F"/>
    <w:rsid w:val="00430277"/>
    <w:rsid w:val="0043077F"/>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5AE0"/>
    <w:rsid w:val="004A5D89"/>
    <w:rsid w:val="004A5F0F"/>
    <w:rsid w:val="004A5FCA"/>
    <w:rsid w:val="004A68B3"/>
    <w:rsid w:val="004A6B9E"/>
    <w:rsid w:val="004A6C9C"/>
    <w:rsid w:val="004A6CC0"/>
    <w:rsid w:val="004A6FE6"/>
    <w:rsid w:val="004A7203"/>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102C"/>
    <w:rsid w:val="004D16BE"/>
    <w:rsid w:val="004D1983"/>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0F46"/>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DFA"/>
    <w:rsid w:val="00586E4B"/>
    <w:rsid w:val="00587BE9"/>
    <w:rsid w:val="00587DC2"/>
    <w:rsid w:val="00590164"/>
    <w:rsid w:val="005906E5"/>
    <w:rsid w:val="00590AE1"/>
    <w:rsid w:val="00590EBE"/>
    <w:rsid w:val="00590F6B"/>
    <w:rsid w:val="0059185F"/>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4A0"/>
    <w:rsid w:val="005C198B"/>
    <w:rsid w:val="005C1CBD"/>
    <w:rsid w:val="005C23D7"/>
    <w:rsid w:val="005C26CE"/>
    <w:rsid w:val="005C2859"/>
    <w:rsid w:val="005C287F"/>
    <w:rsid w:val="005C2947"/>
    <w:rsid w:val="005C2D2D"/>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586"/>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C2F"/>
    <w:rsid w:val="00602BBC"/>
    <w:rsid w:val="00603ABE"/>
    <w:rsid w:val="00603F19"/>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3FE9"/>
    <w:rsid w:val="0061404F"/>
    <w:rsid w:val="0061424C"/>
    <w:rsid w:val="00614C2B"/>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A6F"/>
    <w:rsid w:val="00664E9E"/>
    <w:rsid w:val="006653D3"/>
    <w:rsid w:val="006659DD"/>
    <w:rsid w:val="00665B84"/>
    <w:rsid w:val="006661AD"/>
    <w:rsid w:val="006662AD"/>
    <w:rsid w:val="006668CA"/>
    <w:rsid w:val="00666E99"/>
    <w:rsid w:val="006673DD"/>
    <w:rsid w:val="0066760C"/>
    <w:rsid w:val="00667ABB"/>
    <w:rsid w:val="006702ED"/>
    <w:rsid w:val="006708C9"/>
    <w:rsid w:val="00670B88"/>
    <w:rsid w:val="00670E84"/>
    <w:rsid w:val="006713F7"/>
    <w:rsid w:val="00671A22"/>
    <w:rsid w:val="0067240D"/>
    <w:rsid w:val="006726E0"/>
    <w:rsid w:val="006726E2"/>
    <w:rsid w:val="00672DBF"/>
    <w:rsid w:val="006742C5"/>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573"/>
    <w:rsid w:val="006B1754"/>
    <w:rsid w:val="006B1A63"/>
    <w:rsid w:val="006B2242"/>
    <w:rsid w:val="006B2A03"/>
    <w:rsid w:val="006B2ABD"/>
    <w:rsid w:val="006B2E94"/>
    <w:rsid w:val="006B33D9"/>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452"/>
    <w:rsid w:val="006C6CE3"/>
    <w:rsid w:val="006C7199"/>
    <w:rsid w:val="006C7422"/>
    <w:rsid w:val="006D0087"/>
    <w:rsid w:val="006D04D2"/>
    <w:rsid w:val="006D06CC"/>
    <w:rsid w:val="006D167F"/>
    <w:rsid w:val="006D176D"/>
    <w:rsid w:val="006D280F"/>
    <w:rsid w:val="006D32A1"/>
    <w:rsid w:val="006D383A"/>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3FFB"/>
    <w:rsid w:val="00704670"/>
    <w:rsid w:val="00704E3E"/>
    <w:rsid w:val="00705DA7"/>
    <w:rsid w:val="00706400"/>
    <w:rsid w:val="00706474"/>
    <w:rsid w:val="007069D0"/>
    <w:rsid w:val="0070704B"/>
    <w:rsid w:val="00710131"/>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D6C"/>
    <w:rsid w:val="007551D8"/>
    <w:rsid w:val="0075625B"/>
    <w:rsid w:val="00756E3A"/>
    <w:rsid w:val="0075719C"/>
    <w:rsid w:val="007578C1"/>
    <w:rsid w:val="00757B56"/>
    <w:rsid w:val="007604E4"/>
    <w:rsid w:val="007609B5"/>
    <w:rsid w:val="00760B67"/>
    <w:rsid w:val="00760F3C"/>
    <w:rsid w:val="0076115B"/>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D3D"/>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4E"/>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5D0"/>
    <w:rsid w:val="00825A14"/>
    <w:rsid w:val="00825A1B"/>
    <w:rsid w:val="00825AAA"/>
    <w:rsid w:val="00826222"/>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72F"/>
    <w:rsid w:val="00856A67"/>
    <w:rsid w:val="00856B26"/>
    <w:rsid w:val="00856B71"/>
    <w:rsid w:val="00856C93"/>
    <w:rsid w:val="00856DF0"/>
    <w:rsid w:val="008573F9"/>
    <w:rsid w:val="00857C91"/>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6ED9"/>
    <w:rsid w:val="00877544"/>
    <w:rsid w:val="00877C9A"/>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E17"/>
    <w:rsid w:val="008C1006"/>
    <w:rsid w:val="008C2AB9"/>
    <w:rsid w:val="008C329B"/>
    <w:rsid w:val="008C3754"/>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69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3F13"/>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5C3F"/>
    <w:rsid w:val="00906209"/>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50145"/>
    <w:rsid w:val="009505BB"/>
    <w:rsid w:val="00950944"/>
    <w:rsid w:val="009510AD"/>
    <w:rsid w:val="009513BE"/>
    <w:rsid w:val="00951973"/>
    <w:rsid w:val="00951B96"/>
    <w:rsid w:val="00951DAD"/>
    <w:rsid w:val="00951DBF"/>
    <w:rsid w:val="00951E28"/>
    <w:rsid w:val="00951EFA"/>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7EF"/>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9773C"/>
    <w:rsid w:val="009A0A09"/>
    <w:rsid w:val="009A0A3E"/>
    <w:rsid w:val="009A1489"/>
    <w:rsid w:val="009A245B"/>
    <w:rsid w:val="009A2516"/>
    <w:rsid w:val="009A2FAA"/>
    <w:rsid w:val="009A349F"/>
    <w:rsid w:val="009A3852"/>
    <w:rsid w:val="009A4788"/>
    <w:rsid w:val="009A4A6E"/>
    <w:rsid w:val="009A5FDB"/>
    <w:rsid w:val="009A73F6"/>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7A"/>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3D10"/>
    <w:rsid w:val="00A348FE"/>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6DA7"/>
    <w:rsid w:val="00A57263"/>
    <w:rsid w:val="00A57DEC"/>
    <w:rsid w:val="00A60040"/>
    <w:rsid w:val="00A6060D"/>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310"/>
    <w:rsid w:val="00AB19B4"/>
    <w:rsid w:val="00AB2400"/>
    <w:rsid w:val="00AB25DF"/>
    <w:rsid w:val="00AB2CE6"/>
    <w:rsid w:val="00AB5377"/>
    <w:rsid w:val="00AB5B77"/>
    <w:rsid w:val="00AB5C1D"/>
    <w:rsid w:val="00AB7D08"/>
    <w:rsid w:val="00AB7F4B"/>
    <w:rsid w:val="00AB7F83"/>
    <w:rsid w:val="00AC0B81"/>
    <w:rsid w:val="00AC2300"/>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2F7F"/>
    <w:rsid w:val="00AD343E"/>
    <w:rsid w:val="00AD4267"/>
    <w:rsid w:val="00AD476A"/>
    <w:rsid w:val="00AD47AA"/>
    <w:rsid w:val="00AD4ABF"/>
    <w:rsid w:val="00AD4C67"/>
    <w:rsid w:val="00AD4F08"/>
    <w:rsid w:val="00AD52D1"/>
    <w:rsid w:val="00AD54E1"/>
    <w:rsid w:val="00AD5632"/>
    <w:rsid w:val="00AD6222"/>
    <w:rsid w:val="00AD6306"/>
    <w:rsid w:val="00AD67DE"/>
    <w:rsid w:val="00AD7076"/>
    <w:rsid w:val="00AD739C"/>
    <w:rsid w:val="00AE0764"/>
    <w:rsid w:val="00AE090E"/>
    <w:rsid w:val="00AE14B5"/>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0B7B"/>
    <w:rsid w:val="00AF11B5"/>
    <w:rsid w:val="00AF1F48"/>
    <w:rsid w:val="00AF1FE8"/>
    <w:rsid w:val="00AF2612"/>
    <w:rsid w:val="00AF3889"/>
    <w:rsid w:val="00AF39DC"/>
    <w:rsid w:val="00AF3BD3"/>
    <w:rsid w:val="00AF3F13"/>
    <w:rsid w:val="00AF3FE3"/>
    <w:rsid w:val="00AF44EF"/>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22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2D75"/>
    <w:rsid w:val="00B72F97"/>
    <w:rsid w:val="00B73165"/>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1455"/>
    <w:rsid w:val="00B9197F"/>
    <w:rsid w:val="00B919E1"/>
    <w:rsid w:val="00B92313"/>
    <w:rsid w:val="00B93308"/>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B6F"/>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400A"/>
    <w:rsid w:val="00BE458A"/>
    <w:rsid w:val="00BE4BE8"/>
    <w:rsid w:val="00BE4E51"/>
    <w:rsid w:val="00BE57E3"/>
    <w:rsid w:val="00BE5D07"/>
    <w:rsid w:val="00BE61FC"/>
    <w:rsid w:val="00BE6B73"/>
    <w:rsid w:val="00BE7A1E"/>
    <w:rsid w:val="00BF0159"/>
    <w:rsid w:val="00BF03E8"/>
    <w:rsid w:val="00BF0D84"/>
    <w:rsid w:val="00BF1423"/>
    <w:rsid w:val="00BF18FE"/>
    <w:rsid w:val="00BF194F"/>
    <w:rsid w:val="00BF1C55"/>
    <w:rsid w:val="00BF224A"/>
    <w:rsid w:val="00BF28A4"/>
    <w:rsid w:val="00BF293F"/>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77D"/>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3DA"/>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CA5"/>
    <w:rsid w:val="00C91D26"/>
    <w:rsid w:val="00C92267"/>
    <w:rsid w:val="00C94857"/>
    <w:rsid w:val="00C94863"/>
    <w:rsid w:val="00C94F83"/>
    <w:rsid w:val="00C959C2"/>
    <w:rsid w:val="00C95BC5"/>
    <w:rsid w:val="00C95DEA"/>
    <w:rsid w:val="00C95FCA"/>
    <w:rsid w:val="00C9633F"/>
    <w:rsid w:val="00C967AE"/>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29FB"/>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50DD"/>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D68"/>
    <w:rsid w:val="00D01F80"/>
    <w:rsid w:val="00D0208A"/>
    <w:rsid w:val="00D025CC"/>
    <w:rsid w:val="00D028B3"/>
    <w:rsid w:val="00D0293C"/>
    <w:rsid w:val="00D02DA7"/>
    <w:rsid w:val="00D0304E"/>
    <w:rsid w:val="00D03F68"/>
    <w:rsid w:val="00D04EC9"/>
    <w:rsid w:val="00D053C2"/>
    <w:rsid w:val="00D058C4"/>
    <w:rsid w:val="00D05E0E"/>
    <w:rsid w:val="00D06218"/>
    <w:rsid w:val="00D06B21"/>
    <w:rsid w:val="00D07CAE"/>
    <w:rsid w:val="00D104AC"/>
    <w:rsid w:val="00D10566"/>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46AE"/>
    <w:rsid w:val="00D455CC"/>
    <w:rsid w:val="00D457ED"/>
    <w:rsid w:val="00D458A6"/>
    <w:rsid w:val="00D464F2"/>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7BB"/>
    <w:rsid w:val="00D65F9D"/>
    <w:rsid w:val="00D666E7"/>
    <w:rsid w:val="00D66C52"/>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912"/>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929"/>
    <w:rsid w:val="00DA5A16"/>
    <w:rsid w:val="00DA5AFA"/>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20FE"/>
    <w:rsid w:val="00DC389B"/>
    <w:rsid w:val="00DC3904"/>
    <w:rsid w:val="00DC394C"/>
    <w:rsid w:val="00DC42A4"/>
    <w:rsid w:val="00DC42EA"/>
    <w:rsid w:val="00DC4933"/>
    <w:rsid w:val="00DC558C"/>
    <w:rsid w:val="00DC5ED6"/>
    <w:rsid w:val="00DC6513"/>
    <w:rsid w:val="00DC693E"/>
    <w:rsid w:val="00DC6BD8"/>
    <w:rsid w:val="00DC7C31"/>
    <w:rsid w:val="00DD0C3F"/>
    <w:rsid w:val="00DD1F41"/>
    <w:rsid w:val="00DD26CC"/>
    <w:rsid w:val="00DD3543"/>
    <w:rsid w:val="00DD3766"/>
    <w:rsid w:val="00DD380F"/>
    <w:rsid w:val="00DD503F"/>
    <w:rsid w:val="00DD514C"/>
    <w:rsid w:val="00DD5B43"/>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ECA"/>
    <w:rsid w:val="00DE43A8"/>
    <w:rsid w:val="00DE52B7"/>
    <w:rsid w:val="00DE59EE"/>
    <w:rsid w:val="00DE6636"/>
    <w:rsid w:val="00DE6C5F"/>
    <w:rsid w:val="00DE70EA"/>
    <w:rsid w:val="00DF0175"/>
    <w:rsid w:val="00DF0B89"/>
    <w:rsid w:val="00DF0CFA"/>
    <w:rsid w:val="00DF131B"/>
    <w:rsid w:val="00DF1325"/>
    <w:rsid w:val="00DF152E"/>
    <w:rsid w:val="00DF164A"/>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644"/>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74E"/>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12A0"/>
    <w:rsid w:val="00E712F8"/>
    <w:rsid w:val="00E71336"/>
    <w:rsid w:val="00E71416"/>
    <w:rsid w:val="00E7174D"/>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58B2"/>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197"/>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6E65"/>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C5E"/>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3EA"/>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26"/>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456"/>
    <w:rsid w:val="00F5281E"/>
    <w:rsid w:val="00F531AA"/>
    <w:rsid w:val="00F536B7"/>
    <w:rsid w:val="00F537AD"/>
    <w:rsid w:val="00F53A7D"/>
    <w:rsid w:val="00F53BDD"/>
    <w:rsid w:val="00F53FEE"/>
    <w:rsid w:val="00F549B3"/>
    <w:rsid w:val="00F54DAB"/>
    <w:rsid w:val="00F54DC4"/>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241"/>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02"/>
    <w:rsid w:val="00FA55B2"/>
    <w:rsid w:val="00FA5C21"/>
    <w:rsid w:val="00FA5FCE"/>
    <w:rsid w:val="00FA6B30"/>
    <w:rsid w:val="00FA6C13"/>
    <w:rsid w:val="00FA743E"/>
    <w:rsid w:val="00FA761A"/>
    <w:rsid w:val="00FA786A"/>
    <w:rsid w:val="00FA7DA0"/>
    <w:rsid w:val="00FB0515"/>
    <w:rsid w:val="00FB0EE9"/>
    <w:rsid w:val="00FB0EFB"/>
    <w:rsid w:val="00FB0F8A"/>
    <w:rsid w:val="00FB1300"/>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numPr>
        <w:numId w:val="8"/>
      </w:numPr>
      <w:spacing w:after="180" w:line="260" w:lineRule="exact"/>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uiPriority w:val="99"/>
    <w:rsid w:val="00C91207"/>
    <w:rPr>
      <w:rFonts w:cs="Times New Roman"/>
      <w:sz w:val="24"/>
    </w:rPr>
  </w:style>
  <w:style w:type="paragraph" w:customStyle="1" w:styleId="71210">
    <w:name w:val="71ג אותיות רשימה כניסה 2"/>
    <w:basedOn w:val="7122"/>
    <w:qFormat/>
    <w:rsid w:val="005947CE"/>
    <w:pPr>
      <w:ind w:left="1191" w:hanging="397"/>
    </w:pPr>
  </w:style>
  <w:style w:type="paragraph" w:customStyle="1" w:styleId="Style6">
    <w:name w:val="Style6"/>
    <w:qFormat/>
    <w:rsid w:val="00222FD7"/>
    <w:pPr>
      <w:numPr>
        <w:numId w:val="13"/>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8"/>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9"/>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footer" Target="footer2.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header" Target="header4.xml" /><Relationship Id="rId21" Type="http://schemas.openxmlformats.org/officeDocument/2006/relationships/footer" Target="footer4.xml" /><Relationship Id="rId22" Type="http://schemas.openxmlformats.org/officeDocument/2006/relationships/image" Target="media/image10.emf" /><Relationship Id="rId23" Type="http://schemas.openxmlformats.org/officeDocument/2006/relationships/image" Target="media/image11.jpeg" /><Relationship Id="rId24" Type="http://schemas.openxmlformats.org/officeDocument/2006/relationships/image" Target="media/image12.png" /><Relationship Id="rId25" Type="http://schemas.openxmlformats.org/officeDocument/2006/relationships/image" Target="media/image13.jpeg" /><Relationship Id="rId26" Type="http://schemas.openxmlformats.org/officeDocument/2006/relationships/image" Target="media/image14.jpeg" /><Relationship Id="rId27" Type="http://schemas.openxmlformats.org/officeDocument/2006/relationships/image" Target="media/image15.jpeg" /><Relationship Id="rId28" Type="http://schemas.openxmlformats.org/officeDocument/2006/relationships/image" Target="media/image16.jpeg" /><Relationship Id="rId29" Type="http://schemas.openxmlformats.org/officeDocument/2006/relationships/header" Target="header5.xml" /><Relationship Id="rId3" Type="http://schemas.openxmlformats.org/officeDocument/2006/relationships/webSettings" Target="webSettings.xml" /><Relationship Id="rId30" Type="http://schemas.openxmlformats.org/officeDocument/2006/relationships/header" Target="header6.xml" /><Relationship Id="rId31" Type="http://schemas.openxmlformats.org/officeDocument/2006/relationships/image" Target="media/image17.emf" /><Relationship Id="rId32" Type="http://schemas.openxmlformats.org/officeDocument/2006/relationships/image" Target="media/image18.jpeg" /><Relationship Id="rId33" Type="http://schemas.openxmlformats.org/officeDocument/2006/relationships/header" Target="header7.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8.jpeg" /><Relationship Id="rId2" Type="http://schemas.openxmlformats.org/officeDocument/2006/relationships/image" Target="media/image9.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9.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EC3279-0282-4E38-BF97-E284863A912D}"/>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4.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