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8B2E28" w:rsidP="008D2388" w14:paraId="1815C0C8" w14:textId="2AFDCE56">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8588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2956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bookmarkStart w:id="0" w:name="_Hlk63775048"/>
      <w:bookmarkEnd w:id="0"/>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62A0E6D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-128490</wp:posOffset>
                </wp:positionH>
                <wp:positionV relativeFrom="paragraph">
                  <wp:posOffset>1863922</wp:posOffset>
                </wp:positionV>
                <wp:extent cx="2988069" cy="0"/>
                <wp:effectExtent l="12700" t="12700" r="952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98806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10.1pt,146.75pt" to="225.2pt,146.7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-337185</wp:posOffset>
                </wp:positionH>
                <wp:positionV relativeFrom="paragraph">
                  <wp:posOffset>255270</wp:posOffset>
                </wp:positionV>
                <wp:extent cx="4747260" cy="4273550"/>
                <wp:effectExtent l="0" t="0" r="254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4726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F4180B" w:rsidRPr="0052031E" w:rsidP="00F4180B"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93023E" w:rsidP="0052031E" w14:textId="77777777">
                            <w:pPr>
                              <w:ind w:left="2268"/>
                              <w:rPr>
                                <w:rtl/>
                              </w:rPr>
                            </w:pPr>
                          </w:p>
                          <w:p w:rsidR="0093023E" w:rsidP="0052031E" w14:textId="77777777">
                            <w:pPr>
                              <w:ind w:left="2268"/>
                              <w:rPr>
                                <w:rtl/>
                              </w:rPr>
                            </w:pPr>
                          </w:p>
                          <w:p w:rsidR="00CB22A1" w:rsidRPr="00876ED9" w:rsidP="0052031E" w14:textId="5FA0FC7E">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הבריאות</w:t>
                            </w:r>
                          </w:p>
                          <w:p w:rsidR="00CB22A1" w:rsidP="002D268F" w14:textId="7A50EBE5">
                            <w:pPr>
                              <w:spacing w:before="360" w:line="600" w:lineRule="exact"/>
                              <w:ind w:left="2268"/>
                              <w:jc w:val="left"/>
                              <w:rPr>
                                <w:rFonts w:ascii="Tahoma" w:hAnsi="Tahoma" w:cs="Tahoma"/>
                                <w:b/>
                                <w:bCs/>
                                <w:color w:val="FFFFFF" w:themeColor="background1"/>
                                <w:sz w:val="44"/>
                                <w:szCs w:val="44"/>
                              </w:rPr>
                            </w:pPr>
                            <w:r w:rsidRPr="003B76A6">
                              <w:rPr>
                                <w:rFonts w:ascii="Tahoma" w:hAnsi="Tahoma" w:cs="Tahoma"/>
                                <w:b/>
                                <w:bCs/>
                                <w:color w:val="FFFFFF" w:themeColor="background1"/>
                                <w:sz w:val="44"/>
                                <w:szCs w:val="44"/>
                                <w:rtl/>
                              </w:rPr>
                              <w:t>הרחבת סל שירותי הבריאות - תוספת תרופות וטכנולוגיות</w:t>
                            </w:r>
                          </w:p>
                          <w:p w:rsidR="00B272A8"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73.8pt;height:336.5pt;margin-top:20.1pt;margin-left:-26.5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F4180B" w:rsidRPr="0052031E" w:rsidP="00F4180B" w14:paraId="0B082BA1"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93023E" w:rsidP="0052031E" w14:paraId="7B843906" w14:textId="77777777">
                      <w:pPr>
                        <w:ind w:left="2268"/>
                        <w:rPr>
                          <w:rtl/>
                        </w:rPr>
                      </w:pPr>
                    </w:p>
                    <w:p w:rsidR="0093023E" w:rsidP="0052031E" w14:paraId="1E3EEB51" w14:textId="77777777">
                      <w:pPr>
                        <w:ind w:left="2268"/>
                        <w:rPr>
                          <w:rtl/>
                        </w:rPr>
                      </w:pPr>
                    </w:p>
                    <w:p w:rsidR="00CB22A1" w:rsidRPr="00876ED9" w:rsidP="0052031E" w14:paraId="028C1DED" w14:textId="5FA0FC7E">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הבריאות</w:t>
                      </w:r>
                    </w:p>
                    <w:p w:rsidR="00CB22A1" w:rsidP="002D268F" w14:paraId="5464BE8D" w14:textId="7A50EBE5">
                      <w:pPr>
                        <w:spacing w:before="360" w:line="600" w:lineRule="exact"/>
                        <w:ind w:left="2268"/>
                        <w:jc w:val="left"/>
                        <w:rPr>
                          <w:rFonts w:ascii="Tahoma" w:hAnsi="Tahoma" w:cs="Tahoma"/>
                          <w:b/>
                          <w:bCs/>
                          <w:color w:val="FFFFFF" w:themeColor="background1"/>
                          <w:sz w:val="44"/>
                          <w:szCs w:val="44"/>
                        </w:rPr>
                      </w:pPr>
                      <w:r w:rsidRPr="003B76A6">
                        <w:rPr>
                          <w:rFonts w:ascii="Tahoma" w:hAnsi="Tahoma" w:cs="Tahoma"/>
                          <w:b/>
                          <w:bCs/>
                          <w:color w:val="FFFFFF" w:themeColor="background1"/>
                          <w:sz w:val="44"/>
                          <w:szCs w:val="44"/>
                          <w:rtl/>
                        </w:rPr>
                        <w:t>הרחבת סל שירותי הבריאות - תוספת תרופות וטכנולוגיות</w:t>
                      </w:r>
                    </w:p>
                    <w:p w:rsidR="00B272A8" w:rsidRPr="00344BBF" w:rsidP="002D268F" w14:paraId="0D76B4F8"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3064856</wp:posOffset>
                </wp:positionH>
                <wp:positionV relativeFrom="paragraph">
                  <wp:posOffset>369224</wp:posOffset>
                </wp:positionV>
                <wp:extent cx="0" cy="3269672"/>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6967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1" style="mso-height-percent:0;mso-height-relative:margin;mso-wrap-distance-bottom:0;mso-wrap-distance-left:9pt;mso-wrap-distance-right:9pt;mso-wrap-distance-top:0;mso-wrap-style:square;position:absolute;visibility:visible;z-index:251667456" from="241.35pt,29.05pt" to="241.35pt,286.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408915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63250"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27424D" w:rsidRPr="000D2FE7" w:rsidP="00C51CB1" w14:paraId="0165F9FB" w14:textId="66F1F325">
      <w:pPr>
        <w:pStyle w:val="a25"/>
        <w:rPr>
          <w:rtl/>
        </w:rPr>
      </w:pPr>
      <w:r>
        <w:rPr>
          <w:rtl/>
        </w:rPr>
        <mc:AlternateContent>
          <mc:Choice Requires="wps">
            <w:drawing>
              <wp:anchor distT="0" distB="0" distL="114300" distR="114300" simplePos="0" relativeHeight="251727872" behindDoc="0" locked="0" layoutInCell="1" allowOverlap="1">
                <wp:simplePos x="0" y="0"/>
                <wp:positionH relativeFrom="column">
                  <wp:posOffset>-645920</wp:posOffset>
                </wp:positionH>
                <wp:positionV relativeFrom="paragraph">
                  <wp:posOffset>331618</wp:posOffset>
                </wp:positionV>
                <wp:extent cx="173536" cy="4051393"/>
                <wp:effectExtent l="12700" t="12700" r="17145" b="12700"/>
                <wp:wrapNone/>
                <wp:docPr id="24785207" name="מלבן 24785207"/>
                <wp:cNvGraphicFramePr/>
                <a:graphic xmlns:a="http://schemas.openxmlformats.org/drawingml/2006/main">
                  <a:graphicData uri="http://schemas.microsoft.com/office/word/2010/wordprocessingShape">
                    <wps:wsp xmlns:wps="http://schemas.microsoft.com/office/word/2010/wordprocessingShape">
                      <wps:cNvSpPr/>
                      <wps:spPr>
                        <a:xfrm>
                          <a:off x="0" y="0"/>
                          <a:ext cx="173536" cy="4051393"/>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24785207" o:spid="_x0000_s1033" style="width:13.65pt;height:319pt;margin-top:26.1pt;margin-left:-50.85pt;mso-wrap-distance-bottom:0;mso-wrap-distance-left:9pt;mso-wrap-distance-right:9pt;mso-wrap-distance-top:0;mso-wrap-style:square;position:absolute;visibility:visible;v-text-anchor:middle;z-index:251728896" fillcolor="#00305f" strokecolor="#00305f" strokeweight="2pt"/>
            </w:pict>
          </mc:Fallback>
        </mc:AlternateContent>
      </w:r>
      <w:r w:rsidR="008255D0">
        <w:rPr>
          <w:rtl/>
        </w:rPr>
        <w:drawing>
          <wp:anchor distT="0" distB="0" distL="114300" distR="114300" simplePos="0" relativeHeight="251670528" behindDoc="0" locked="0" layoutInCell="1" allowOverlap="1">
            <wp:simplePos x="0" y="0"/>
            <wp:positionH relativeFrom="margin">
              <wp:posOffset>3289300</wp:posOffset>
            </wp:positionH>
            <wp:positionV relativeFrom="paragraph">
              <wp:posOffset>939165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858786"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3B76A6" w:rsidR="003B76A6">
        <w:rPr>
          <w:rFonts w:eastAsiaTheme="minorHAnsi"/>
          <w:noProof w:val="0"/>
          <w:sz w:val="40"/>
          <w:szCs w:val="34"/>
          <w:rtl/>
          <w:lang w:val="en-US"/>
        </w:rPr>
        <w:t>הרחבת סל שירותי הבריאות - תוספת תרופות וטכנולוגיות</w:t>
      </w:r>
    </w:p>
    <w:p w:rsidR="009E3D6D" w:rsidP="009E3D6D" w14:paraId="32190477" w14:textId="74425681">
      <w:pPr>
        <w:pStyle w:val="7190"/>
        <w:rPr>
          <w:rtl/>
        </w:rPr>
      </w:pPr>
    </w:p>
    <w:p w:rsidR="008255D0" w:rsidP="009E3D6D" w14:paraId="0C0FDA6E" w14:textId="77777777">
      <w:pPr>
        <w:pStyle w:val="7190"/>
        <w:rPr>
          <w:rtl/>
        </w:rPr>
      </w:pPr>
    </w:p>
    <w:p w:rsidR="008A2A7C" w:rsidRPr="00614B9F" w:rsidP="008A2A7C" w14:paraId="00F32CF7" w14:textId="77777777">
      <w:pPr>
        <w:pStyle w:val="7190"/>
        <w:framePr w:hSpace="180" w:wrap="around" w:vAnchor="text" w:hAnchor="text" w:xAlign="center" w:y="1"/>
        <w:suppressOverlap/>
        <w:rPr>
          <w:rtl/>
        </w:rPr>
      </w:pPr>
      <w:r w:rsidRPr="00614B9F">
        <w:rPr>
          <w:rtl/>
        </w:rPr>
        <w:t xml:space="preserve">חוק ביטוח בריאות ממלכתי, </w:t>
      </w:r>
      <w:r w:rsidRPr="00614B9F">
        <w:rPr>
          <w:rtl/>
        </w:rPr>
        <w:t>התשנ"ד</w:t>
      </w:r>
      <w:r w:rsidRPr="00614B9F">
        <w:rPr>
          <w:rtl/>
        </w:rPr>
        <w:t>-1994, קובע, בין היתר, את השירותים הרפואיים אשר חברי קופות החולים בישראל זכאים לקבל, הנכללים בסל שירותי הבריאות (להלן - הסל). הרחבת הסל מאפשרת להוסיף טכנולוגיות חדשות - תרופות, מכשירים רפואיים, ציוד רפואי ופרוצדורות רפואיות, אבחנתיות וטיפוליות (להלן - תרופות וטכנולוגיות) והיא נועדה לאפשר להמשיך למלא את המטרות העומדות בבסיס החוק, לממש את האפשרויות הגלומות בתרופות וטכנולוגיות אלה ובהתפתחויות המדעיות ולתת למטופלים שירות התואם את ההתפתחויות האלה.</w:t>
      </w:r>
    </w:p>
    <w:p w:rsidR="008A2A7C" w:rsidRPr="00614B9F" w:rsidP="008A2A7C" w14:paraId="0C10A02E" w14:textId="77777777">
      <w:pPr>
        <w:pStyle w:val="7190"/>
        <w:framePr w:hSpace="180" w:wrap="around" w:vAnchor="text" w:hAnchor="text" w:xAlign="center" w:y="1"/>
        <w:suppressOverlap/>
      </w:pPr>
      <w:r w:rsidRPr="00614B9F">
        <w:rPr>
          <w:rtl/>
        </w:rPr>
        <w:t>תפקיד ועדת הסל לבחון תרופות וטכנולוגיות חדשות ולהמליץ לשר הבריאות על אלו שיש להוסיף לסל במסגרת התקציבית הנתונה הנקבעת מדי שנה בדיוני התקציב השוטפים של משרד האוצר עם משרד הבריאות, על פי סדרי העדיפויות של הממשלה בקביעת תקציב המדינה. בשנים 1998 - 2021 הוקצבו במצטבר כ-8 מיליארד ש״ח לשם הרחבת הסל. שרי הבריאות והאוצר הם שממנים את חברי ועדת הסל, והיא מונה נציגים מתחומי הרפואה, האתיקה והחברה. בין חברי הוועדה: נציגים ממשרד הבריאות, ממשרד האוצר ומקופות החולים ונציגי הציבור.</w:t>
      </w:r>
    </w:p>
    <w:p w:rsidR="009E3D6D" w:rsidP="008A2A7C" w14:paraId="438CAA5E" w14:textId="74DDAAC6">
      <w:pPr>
        <w:pStyle w:val="7190"/>
        <w:rPr>
          <w:b/>
          <w:bCs/>
          <w:rtl/>
        </w:rPr>
      </w:pPr>
      <w:r w:rsidRPr="00614B9F">
        <w:rPr>
          <w:rtl/>
        </w:rPr>
        <w:t>התהליך לעדכון הסל מעוגן בנוהל ייעודי משנת 2010 - "נוהל עדכון סל שירותי הבריאות - פברואר 2010". מטרת הנוהל לקבוע סדרי עבודה, את הרכבה של ועדת הסל ואמות מידה שלפיהן תפעל. תהליך הרחבת הסל נמשך כשנה ונחלק לכמה שלבים: פרסום קול קורא; הגשת בקשות; עיבוד מקצועי של ההצעות וקיום דיוני פורום טכנולוגיות במשרד הבריאות; דיוני ועדת הסל וועדת המשנה; אישור ממשלה להרחבת סל שירותי הבריאות</w:t>
      </w:r>
      <w:r w:rsidRPr="009E3D6D" w:rsidR="00CD022B">
        <w:rPr>
          <w:rtl/>
        </w:rPr>
        <w:t>.</w:t>
      </w:r>
      <w:r w:rsidRPr="00DD5B43"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92032" behindDoc="0" locked="0" layoutInCell="1" allowOverlap="1">
            <wp:simplePos x="0" y="0"/>
            <wp:positionH relativeFrom="column">
              <wp:posOffset>3268345</wp:posOffset>
            </wp:positionH>
            <wp:positionV relativeFrom="paragraph">
              <wp:posOffset>213</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11105"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79FAC953">
      <w:pPr>
        <w:pStyle w:val="7190"/>
        <w:rPr>
          <w:rtl/>
        </w:rPr>
      </w:pPr>
    </w:p>
    <w:tbl>
      <w:tblPr>
        <w:tblStyle w:val="TableGrid"/>
        <w:bidiVisual/>
        <w:tblW w:w="736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9"/>
        <w:gridCol w:w="1843"/>
        <w:gridCol w:w="1843"/>
        <w:gridCol w:w="1844"/>
      </w:tblGrid>
      <w:tr w14:paraId="7597E23C" w14:textId="77777777" w:rsidTr="008A2A7C">
        <w:tblPrEx>
          <w:tblW w:w="736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39" w:type="dxa"/>
            <w:vAlign w:val="bottom"/>
          </w:tcPr>
          <w:p w:rsidR="008A2A7C" w:rsidRPr="008A2A7C" w:rsidP="008A2A7C" w14:paraId="1E1AF3C6" w14:textId="77C45BAD">
            <w:pPr>
              <w:pStyle w:val="2021"/>
              <w:rPr>
                <w:rtl/>
              </w:rPr>
            </w:pPr>
            <w:r w:rsidRPr="008A2A7C">
              <w:rPr>
                <w:spacing w:val="-12"/>
                <w:rtl/>
              </w:rPr>
              <w:t>58</w:t>
            </w:r>
            <w:r w:rsidRPr="008A2A7C">
              <w:rPr>
                <w:rFonts w:hint="cs"/>
                <w:spacing w:val="-12"/>
                <w:sz w:val="26"/>
                <w:szCs w:val="26"/>
                <w:rtl/>
              </w:rPr>
              <w:t xml:space="preserve"> </w:t>
            </w:r>
            <w:r w:rsidRPr="008A2A7C">
              <w:rPr>
                <w:spacing w:val="-12"/>
                <w:sz w:val="26"/>
                <w:szCs w:val="26"/>
                <w:rtl/>
              </w:rPr>
              <w:br/>
              <w:t>מיליארד ש"ח</w:t>
            </w:r>
          </w:p>
        </w:tc>
        <w:tc>
          <w:tcPr>
            <w:tcW w:w="1843" w:type="dxa"/>
            <w:vAlign w:val="bottom"/>
          </w:tcPr>
          <w:p w:rsidR="00CD29D6" w:rsidRPr="00864A2A" w:rsidP="008A2A7C" w14:paraId="1D9D023E" w14:textId="0469C278">
            <w:pPr>
              <w:spacing w:before="120" w:line="240" w:lineRule="auto"/>
              <w:jc w:val="left"/>
              <w:rPr>
                <w:rFonts w:ascii="Tahoma" w:hAnsi="Tahoma" w:cs="Tahoma"/>
                <w:spacing w:val="-10"/>
                <w:sz w:val="26"/>
                <w:szCs w:val="26"/>
                <w:rtl/>
              </w:rPr>
            </w:pPr>
            <w:r w:rsidRPr="00614B9F">
              <w:rPr>
                <w:rFonts w:ascii="Tahoma" w:hAnsi="Tahoma" w:eastAsiaTheme="minorEastAsia" w:cs="Tahoma"/>
                <w:b/>
                <w:bCs/>
                <w:color w:val="0D0D0D" w:themeColor="text1" w:themeTint="F2"/>
                <w:spacing w:val="-12"/>
                <w:sz w:val="36"/>
                <w:szCs w:val="36"/>
                <w:rtl/>
              </w:rPr>
              <w:t>500</w:t>
            </w:r>
            <w:r w:rsidRPr="00614B9F">
              <w:rPr>
                <w:rFonts w:ascii="Tahoma" w:hAnsi="Tahoma" w:eastAsiaTheme="minorEastAsia" w:cs="Tahoma"/>
                <w:b/>
                <w:bCs/>
                <w:color w:val="0D0D0D" w:themeColor="text1" w:themeTint="F2"/>
                <w:spacing w:val="-12"/>
                <w:sz w:val="26"/>
                <w:szCs w:val="26"/>
                <w:rtl/>
              </w:rPr>
              <w:t xml:space="preserve"> </w:t>
            </w:r>
            <w:r>
              <w:rPr>
                <w:rFonts w:ascii="Tahoma" w:hAnsi="Tahoma" w:eastAsiaTheme="minorEastAsia" w:cs="Tahoma"/>
                <w:b/>
                <w:bCs/>
                <w:color w:val="0D0D0D" w:themeColor="text1" w:themeTint="F2"/>
                <w:spacing w:val="-12"/>
                <w:sz w:val="26"/>
                <w:szCs w:val="26"/>
                <w:rtl/>
              </w:rPr>
              <w:br/>
            </w:r>
            <w:r w:rsidRPr="00614B9F">
              <w:rPr>
                <w:rFonts w:ascii="Tahoma" w:hAnsi="Tahoma" w:eastAsiaTheme="minorEastAsia" w:cs="Tahoma"/>
                <w:b/>
                <w:bCs/>
                <w:color w:val="0D0D0D" w:themeColor="text1" w:themeTint="F2"/>
                <w:spacing w:val="-12"/>
                <w:sz w:val="26"/>
                <w:szCs w:val="26"/>
                <w:rtl/>
              </w:rPr>
              <w:t>מיליון ש"ח</w:t>
            </w:r>
          </w:p>
        </w:tc>
        <w:tc>
          <w:tcPr>
            <w:tcW w:w="1843" w:type="dxa"/>
            <w:vAlign w:val="bottom"/>
          </w:tcPr>
          <w:p w:rsidR="00CD29D6" w:rsidRPr="00864A2A" w:rsidP="008A2A7C" w14:paraId="6113CBED" w14:textId="1014E07D">
            <w:pPr>
              <w:spacing w:before="360" w:line="240" w:lineRule="auto"/>
              <w:jc w:val="left"/>
              <w:rPr>
                <w:rFonts w:ascii="Tahoma" w:hAnsi="Tahoma" w:cs="Tahoma"/>
                <w:spacing w:val="-10"/>
                <w:sz w:val="26"/>
                <w:szCs w:val="26"/>
                <w:rtl/>
              </w:rPr>
            </w:pPr>
            <w:r w:rsidRPr="00614B9F">
              <w:rPr>
                <w:rFonts w:ascii="Tahoma" w:hAnsi="Tahoma" w:eastAsiaTheme="minorEastAsia" w:cs="Tahoma"/>
                <w:b/>
                <w:bCs/>
                <w:color w:val="0D0D0D" w:themeColor="text1" w:themeTint="F2"/>
                <w:spacing w:val="-12"/>
                <w:sz w:val="36"/>
                <w:szCs w:val="36"/>
                <w:rtl/>
              </w:rPr>
              <w:t>15%</w:t>
            </w:r>
          </w:p>
        </w:tc>
        <w:tc>
          <w:tcPr>
            <w:tcW w:w="1844" w:type="dxa"/>
            <w:vAlign w:val="bottom"/>
          </w:tcPr>
          <w:p w:rsidR="00CD29D6" w:rsidRPr="008A2A7C" w:rsidP="008A2A7C" w14:paraId="4F8327BA" w14:textId="7FB0238B">
            <w:pPr>
              <w:pStyle w:val="2021"/>
              <w:spacing w:before="360"/>
              <w:rPr>
                <w:spacing w:val="-26"/>
                <w:rtl/>
              </w:rPr>
            </w:pPr>
            <w:r w:rsidRPr="008A2A7C">
              <w:rPr>
                <w:spacing w:val="-12"/>
                <w:rtl/>
              </w:rPr>
              <w:t>109 - 160</w:t>
            </w:r>
            <w:r w:rsidRPr="008A2A7C">
              <w:rPr>
                <w:spacing w:val="-12"/>
                <w:sz w:val="26"/>
                <w:szCs w:val="26"/>
                <w:rtl/>
              </w:rPr>
              <w:t xml:space="preserve"> ימים</w:t>
            </w:r>
          </w:p>
        </w:tc>
      </w:tr>
      <w:tr w14:paraId="5AD4AD14" w14:textId="77777777" w:rsidTr="008A2A7C">
        <w:tblPrEx>
          <w:tblW w:w="7369" w:type="dxa"/>
          <w:tblInd w:w="517" w:type="dxa"/>
          <w:tblLook w:val="04A0"/>
        </w:tblPrEx>
        <w:tc>
          <w:tcPr>
            <w:tcW w:w="1839"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4080"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695104"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96128"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697152" from="1.35pt,4.1pt" to="80.1pt,4.1pt" strokecolor="#0d0d0d" strokeweight="1pt"/>
                  </w:pict>
                </mc:Fallback>
              </mc:AlternateContent>
            </w:r>
          </w:p>
        </w:tc>
        <w:tc>
          <w:tcPr>
            <w:tcW w:w="1843"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98176"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6" style="flip:x;mso-wrap-distance-bottom:0;mso-wrap-distance-left:9pt;mso-wrap-distance-right:9pt;mso-wrap-distance-top:0;mso-wrap-style:square;position:absolute;visibility:visible;z-index:251699200"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0224"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7" style="flip:x;mso-wrap-distance-bottom:0;mso-wrap-distance-left:9pt;mso-wrap-distance-right:9pt;mso-wrap-distance-top:0;mso-wrap-style:square;position:absolute;visibility:visible;z-index:251701248" from="2.7pt,4.1pt" to="81.45pt,4.1pt" strokecolor="#0d0d0d" strokeweight="1pt"/>
                  </w:pict>
                </mc:Fallback>
              </mc:AlternateContent>
            </w:r>
          </w:p>
        </w:tc>
      </w:tr>
      <w:tr w14:paraId="7ECC4220" w14:textId="77777777" w:rsidTr="008A2A7C">
        <w:tblPrEx>
          <w:tblW w:w="7369" w:type="dxa"/>
          <w:tblInd w:w="517" w:type="dxa"/>
          <w:tblLook w:val="04A0"/>
        </w:tblPrEx>
        <w:tc>
          <w:tcPr>
            <w:tcW w:w="1839" w:type="dxa"/>
          </w:tcPr>
          <w:p w:rsidR="00CD29D6" w:rsidRPr="009A73F6" w:rsidP="007542AC" w14:paraId="5ECF0591" w14:textId="1DEDC4FB">
            <w:pPr>
              <w:pStyle w:val="20211"/>
              <w:rPr>
                <w:rtl/>
              </w:rPr>
            </w:pPr>
            <w:r w:rsidRPr="00614B9F">
              <w:rPr>
                <w:rtl/>
              </w:rPr>
              <w:t>תקציב סל שירותי הבריאות בשנת 2021</w:t>
            </w:r>
          </w:p>
        </w:tc>
        <w:tc>
          <w:tcPr>
            <w:tcW w:w="1843" w:type="dxa"/>
          </w:tcPr>
          <w:p w:rsidR="00CD29D6" w:rsidRPr="00864A2A" w:rsidP="00864A2A" w14:paraId="47156990" w14:textId="3045E00A">
            <w:pPr>
              <w:spacing w:line="240" w:lineRule="auto"/>
              <w:ind w:right="23"/>
              <w:jc w:val="left"/>
              <w:rPr>
                <w:rFonts w:ascii="Tahoma" w:hAnsi="Tahoma" w:eastAsiaTheme="minorEastAsia" w:cs="Tahoma"/>
                <w:color w:val="0D0D0D" w:themeColor="text1" w:themeTint="F2"/>
                <w:w w:val="90"/>
                <w:sz w:val="18"/>
                <w:szCs w:val="18"/>
                <w:rtl/>
              </w:rPr>
            </w:pPr>
            <w:r w:rsidRPr="00614B9F">
              <w:rPr>
                <w:rFonts w:ascii="Tahoma" w:hAnsi="Tahoma" w:cs="Tahoma"/>
                <w:sz w:val="18"/>
                <w:szCs w:val="18"/>
                <w:rtl/>
              </w:rPr>
              <w:t>התוספת השנתית לסל שירותי הבריאות בכל אחת מהשנים 2017 - 2021</w:t>
            </w:r>
          </w:p>
        </w:tc>
        <w:tc>
          <w:tcPr>
            <w:tcW w:w="1843" w:type="dxa"/>
          </w:tcPr>
          <w:p w:rsidR="00CD29D6" w:rsidRPr="00EB223C" w:rsidP="007542AC" w14:paraId="1B7F83A5" w14:textId="58894F82">
            <w:pPr>
              <w:pStyle w:val="20211"/>
              <w:rPr>
                <w:rtl/>
              </w:rPr>
            </w:pPr>
            <w:r w:rsidRPr="00614B9F">
              <w:rPr>
                <w:rtl/>
              </w:rPr>
              <w:t>שיעור הבקשות שדחה פורום טכנולוגיות</w:t>
            </w:r>
            <w:r>
              <w:rPr>
                <w:vertAlign w:val="superscript"/>
                <w:rtl/>
              </w:rPr>
              <w:footnoteReference w:id="2"/>
            </w:r>
            <w:r w:rsidRPr="00614B9F">
              <w:rPr>
                <w:rtl/>
              </w:rPr>
              <w:t xml:space="preserve"> בממוצע בשנים </w:t>
            </w:r>
            <w:r w:rsidRPr="00614B9F">
              <w:rPr>
                <w:rtl/>
              </w:rPr>
              <w:br/>
              <w:t>2018 - 2021 ולא הגיעו לדיון בוועדת הסל</w:t>
            </w:r>
          </w:p>
        </w:tc>
        <w:tc>
          <w:tcPr>
            <w:tcW w:w="1844" w:type="dxa"/>
          </w:tcPr>
          <w:p w:rsidR="00CD29D6" w:rsidRPr="009A73F6" w:rsidP="007542AC" w14:paraId="05EA0B9D" w14:textId="756410A9">
            <w:pPr>
              <w:pStyle w:val="20211"/>
              <w:rPr>
                <w:rtl/>
              </w:rPr>
            </w:pPr>
            <w:r w:rsidRPr="00614B9F">
              <w:rPr>
                <w:rtl/>
              </w:rPr>
              <w:t>החריגה במספר ימי העבודה עד למועד פרסום הפרוטוקולים בשנים 2018 - 2020</w:t>
            </w:r>
          </w:p>
        </w:tc>
      </w:tr>
      <w:tr w14:paraId="0D862A0C"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vAlign w:val="bottom"/>
          </w:tcPr>
          <w:p w:rsidR="008A2A7C" w:rsidRPr="008A2A7C" w:rsidP="008A2A7C" w14:paraId="632665CC" w14:textId="7DD7776B">
            <w:pPr>
              <w:pStyle w:val="2021"/>
              <w:rPr>
                <w:rtl/>
              </w:rPr>
            </w:pPr>
            <w:r w:rsidRPr="008A2A7C">
              <w:rPr>
                <w:spacing w:val="-12"/>
                <w:rtl/>
              </w:rPr>
              <w:t>62%</w:t>
            </w:r>
          </w:p>
        </w:tc>
        <w:tc>
          <w:tcPr>
            <w:tcW w:w="1843" w:type="dxa"/>
            <w:tcBorders>
              <w:top w:val="nil"/>
              <w:left w:val="nil"/>
              <w:bottom w:val="nil"/>
              <w:right w:val="nil"/>
            </w:tcBorders>
            <w:vAlign w:val="bottom"/>
          </w:tcPr>
          <w:p w:rsidR="008A2A7C" w:rsidRPr="00864A2A" w:rsidP="008A2A7C" w14:paraId="531C24F7" w14:textId="27A01764">
            <w:pPr>
              <w:spacing w:before="120" w:line="240" w:lineRule="auto"/>
              <w:jc w:val="left"/>
              <w:rPr>
                <w:rFonts w:ascii="Tahoma" w:hAnsi="Tahoma" w:cs="Tahoma"/>
                <w:spacing w:val="-10"/>
                <w:sz w:val="26"/>
                <w:szCs w:val="26"/>
                <w:rtl/>
              </w:rPr>
            </w:pPr>
            <w:r w:rsidRPr="00614B9F">
              <w:rPr>
                <w:rFonts w:ascii="Tahoma" w:hAnsi="Tahoma" w:eastAsiaTheme="minorEastAsia" w:cs="Tahoma"/>
                <w:b/>
                <w:bCs/>
                <w:color w:val="0D0D0D" w:themeColor="text1" w:themeTint="F2"/>
                <w:spacing w:val="-12"/>
                <w:sz w:val="36"/>
                <w:szCs w:val="36"/>
                <w:rtl/>
              </w:rPr>
              <w:t>31%</w:t>
            </w:r>
          </w:p>
        </w:tc>
        <w:tc>
          <w:tcPr>
            <w:tcW w:w="1843" w:type="dxa"/>
            <w:tcBorders>
              <w:top w:val="nil"/>
              <w:left w:val="nil"/>
              <w:bottom w:val="nil"/>
              <w:right w:val="nil"/>
            </w:tcBorders>
            <w:vAlign w:val="bottom"/>
          </w:tcPr>
          <w:p w:rsidR="008A2A7C" w:rsidRPr="00864A2A" w:rsidP="008A2A7C" w14:paraId="79C2FA1C" w14:textId="4FDDCB56">
            <w:pPr>
              <w:spacing w:before="360" w:line="240" w:lineRule="auto"/>
              <w:jc w:val="left"/>
              <w:rPr>
                <w:rFonts w:ascii="Tahoma" w:hAnsi="Tahoma" w:cs="Tahoma"/>
                <w:spacing w:val="-10"/>
                <w:sz w:val="26"/>
                <w:szCs w:val="26"/>
                <w:rtl/>
              </w:rPr>
            </w:pPr>
            <w:r w:rsidRPr="00614B9F">
              <w:rPr>
                <w:rFonts w:ascii="Tahoma" w:hAnsi="Tahoma" w:eastAsiaTheme="minorEastAsia" w:cs="Tahoma"/>
                <w:b/>
                <w:bCs/>
                <w:color w:val="0D0D0D" w:themeColor="text1" w:themeTint="F2"/>
                <w:spacing w:val="-12"/>
                <w:sz w:val="36"/>
                <w:szCs w:val="36"/>
                <w:rtl/>
              </w:rPr>
              <w:t xml:space="preserve">506 </w:t>
            </w:r>
            <w:r>
              <w:rPr>
                <w:rFonts w:ascii="Tahoma" w:hAnsi="Tahoma" w:eastAsiaTheme="minorEastAsia" w:cs="Tahoma"/>
                <w:b/>
                <w:bCs/>
                <w:color w:val="0D0D0D" w:themeColor="text1" w:themeTint="F2"/>
                <w:spacing w:val="-12"/>
                <w:sz w:val="26"/>
                <w:szCs w:val="26"/>
                <w:rtl/>
              </w:rPr>
              <w:br/>
            </w:r>
            <w:r w:rsidRPr="00614B9F">
              <w:rPr>
                <w:rFonts w:ascii="Tahoma" w:hAnsi="Tahoma" w:eastAsiaTheme="minorEastAsia" w:cs="Tahoma"/>
                <w:b/>
                <w:bCs/>
                <w:color w:val="0D0D0D" w:themeColor="text1" w:themeTint="F2"/>
                <w:spacing w:val="-12"/>
                <w:sz w:val="26"/>
                <w:szCs w:val="26"/>
                <w:rtl/>
              </w:rPr>
              <w:t>מיליון ש"ח</w:t>
            </w:r>
          </w:p>
        </w:tc>
        <w:tc>
          <w:tcPr>
            <w:tcW w:w="1844" w:type="dxa"/>
            <w:tcBorders>
              <w:top w:val="nil"/>
              <w:left w:val="nil"/>
              <w:bottom w:val="nil"/>
              <w:right w:val="nil"/>
            </w:tcBorders>
            <w:vAlign w:val="bottom"/>
          </w:tcPr>
          <w:p w:rsidR="008A2A7C" w:rsidRPr="008A2A7C" w:rsidP="008A2A7C" w14:paraId="4801F0F8" w14:textId="7452098A">
            <w:pPr>
              <w:pStyle w:val="2021"/>
              <w:spacing w:before="360"/>
              <w:rPr>
                <w:spacing w:val="-26"/>
                <w:rtl/>
              </w:rPr>
            </w:pPr>
            <w:r w:rsidRPr="008A2A7C">
              <w:rPr>
                <w:spacing w:val="-12"/>
                <w:rtl/>
              </w:rPr>
              <w:t>71</w:t>
            </w:r>
          </w:p>
        </w:tc>
      </w:tr>
      <w:tr w14:paraId="05BB7783"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tcPr>
          <w:p w:rsidR="008A2A7C" w:rsidRPr="00664A6F" w:rsidP="008B5847" w14:paraId="6F07BA91"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2272"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30"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703296" from="0.7pt,4.1pt" to="81.7pt,4.1pt" strokecolor="#0d0d0d" strokeweight="1pt"/>
                  </w:pict>
                </mc:Fallback>
              </mc:AlternateContent>
            </w:r>
          </w:p>
        </w:tc>
        <w:tc>
          <w:tcPr>
            <w:tcW w:w="1843" w:type="dxa"/>
            <w:tcBorders>
              <w:top w:val="nil"/>
              <w:left w:val="nil"/>
              <w:bottom w:val="nil"/>
              <w:right w:val="nil"/>
            </w:tcBorders>
          </w:tcPr>
          <w:p w:rsidR="008A2A7C" w:rsidRPr="00664A6F" w:rsidP="008B5847" w14:paraId="168D2CF6"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4320"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3"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705344" from="1.35pt,4.1pt" to="80.1pt,4.1pt" strokecolor="#0d0d0d" strokeweight="1pt"/>
                  </w:pict>
                </mc:Fallback>
              </mc:AlternateContent>
            </w:r>
          </w:p>
        </w:tc>
        <w:tc>
          <w:tcPr>
            <w:tcW w:w="1843" w:type="dxa"/>
            <w:tcBorders>
              <w:top w:val="nil"/>
              <w:left w:val="nil"/>
              <w:bottom w:val="nil"/>
              <w:right w:val="nil"/>
            </w:tcBorders>
          </w:tcPr>
          <w:p w:rsidR="008A2A7C" w:rsidRPr="00664A6F" w:rsidP="008B5847" w14:paraId="41029C94"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6368"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35"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0" style="flip:x;mso-wrap-distance-bottom:0;mso-wrap-distance-left:9pt;mso-wrap-distance-right:9pt;mso-wrap-distance-top:0;mso-wrap-style:square;position:absolute;visibility:visible;z-index:251707392" from="-4pt,4.1pt" to="80pt,4.1pt" strokecolor="#0d0d0d" strokeweight="1pt"/>
                  </w:pict>
                </mc:Fallback>
              </mc:AlternateContent>
            </w:r>
          </w:p>
        </w:tc>
        <w:tc>
          <w:tcPr>
            <w:tcW w:w="1844" w:type="dxa"/>
            <w:tcBorders>
              <w:top w:val="nil"/>
              <w:left w:val="nil"/>
              <w:bottom w:val="nil"/>
              <w:right w:val="nil"/>
            </w:tcBorders>
          </w:tcPr>
          <w:p w:rsidR="008A2A7C" w:rsidRPr="00664A6F" w:rsidP="008B5847" w14:paraId="1C3DB0FC"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8416"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37"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1" style="flip:x;mso-wrap-distance-bottom:0;mso-wrap-distance-left:9pt;mso-wrap-distance-right:9pt;mso-wrap-distance-top:0;mso-wrap-style:square;position:absolute;visibility:visible;z-index:251709440" from="2.7pt,4.1pt" to="81.45pt,4.1pt" strokecolor="#0d0d0d" strokeweight="1pt"/>
                  </w:pict>
                </mc:Fallback>
              </mc:AlternateContent>
            </w:r>
          </w:p>
        </w:tc>
      </w:tr>
      <w:tr w14:paraId="0F783CFB" w14:textId="77777777" w:rsidTr="008A2A7C">
        <w:tblPrEx>
          <w:tblW w:w="736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9" w:type="dxa"/>
            <w:tcBorders>
              <w:top w:val="nil"/>
              <w:left w:val="nil"/>
              <w:bottom w:val="nil"/>
              <w:right w:val="nil"/>
            </w:tcBorders>
          </w:tcPr>
          <w:p w:rsidR="008A2A7C" w:rsidRPr="009A73F6" w:rsidP="008B5847" w14:paraId="03E48667" w14:textId="6C71DA04">
            <w:pPr>
              <w:pStyle w:val="20211"/>
              <w:rPr>
                <w:rtl/>
              </w:rPr>
            </w:pPr>
            <w:r w:rsidRPr="00614B9F">
              <w:rPr>
                <w:rtl/>
              </w:rPr>
              <w:t xml:space="preserve">חלקן הכספי של עשר התרופות והטכנולוגיות היקרות ביותר שנוספו לסל בשנים </w:t>
            </w:r>
            <w:r w:rsidRPr="00614B9F">
              <w:rPr>
                <w:rtl/>
              </w:rPr>
              <w:br/>
              <w:t>2016 - 2021</w:t>
            </w:r>
          </w:p>
        </w:tc>
        <w:tc>
          <w:tcPr>
            <w:tcW w:w="1843" w:type="dxa"/>
            <w:tcBorders>
              <w:top w:val="nil"/>
              <w:left w:val="nil"/>
              <w:bottom w:val="nil"/>
              <w:right w:val="nil"/>
            </w:tcBorders>
          </w:tcPr>
          <w:p w:rsidR="008A2A7C" w:rsidRPr="00864A2A" w:rsidP="008B5847" w14:paraId="7104DE87" w14:textId="0673E00C">
            <w:pPr>
              <w:spacing w:line="240" w:lineRule="auto"/>
              <w:ind w:right="23"/>
              <w:jc w:val="left"/>
              <w:rPr>
                <w:rFonts w:ascii="Tahoma" w:hAnsi="Tahoma" w:eastAsiaTheme="minorEastAsia" w:cs="Tahoma"/>
                <w:color w:val="0D0D0D" w:themeColor="text1" w:themeTint="F2"/>
                <w:w w:val="90"/>
                <w:sz w:val="18"/>
                <w:szCs w:val="18"/>
                <w:rtl/>
              </w:rPr>
            </w:pPr>
            <w:r w:rsidRPr="00614B9F">
              <w:rPr>
                <w:rFonts w:ascii="Tahoma" w:hAnsi="Tahoma" w:cs="Tahoma"/>
                <w:sz w:val="18"/>
                <w:szCs w:val="18"/>
                <w:rtl/>
              </w:rPr>
              <w:t xml:space="preserve">חלקן הכמותי של התרופות והטכנולוגיות ללא עלות שהוכללו בסל בשנים </w:t>
            </w:r>
            <w:r w:rsidRPr="00614B9F">
              <w:rPr>
                <w:rFonts w:ascii="Tahoma" w:hAnsi="Tahoma" w:cs="Tahoma"/>
                <w:sz w:val="18"/>
                <w:szCs w:val="18"/>
                <w:rtl/>
              </w:rPr>
              <w:br/>
              <w:t>2016 - 2021</w:t>
            </w:r>
          </w:p>
        </w:tc>
        <w:tc>
          <w:tcPr>
            <w:tcW w:w="1843" w:type="dxa"/>
            <w:tcBorders>
              <w:top w:val="nil"/>
              <w:left w:val="nil"/>
              <w:bottom w:val="nil"/>
              <w:right w:val="nil"/>
            </w:tcBorders>
          </w:tcPr>
          <w:p w:rsidR="008A2A7C" w:rsidRPr="00EB223C" w:rsidP="008B5847" w14:paraId="62D9DB53" w14:textId="2AE59D3D">
            <w:pPr>
              <w:pStyle w:val="20211"/>
              <w:rPr>
                <w:rtl/>
              </w:rPr>
            </w:pPr>
            <w:r w:rsidRPr="00614B9F">
              <w:rPr>
                <w:rtl/>
              </w:rPr>
              <w:t xml:space="preserve">מהתוספת לסל הוקצו במצטבר בשנים </w:t>
            </w:r>
            <w:r w:rsidRPr="00614B9F">
              <w:rPr>
                <w:rtl/>
              </w:rPr>
              <w:br/>
              <w:t>2015 - 2021 עבור תרופות ל"מחלות יתום"</w:t>
            </w:r>
            <w:r>
              <w:rPr>
                <w:vertAlign w:val="superscript"/>
                <w:rtl/>
              </w:rPr>
              <w:footnoteReference w:id="3"/>
            </w:r>
          </w:p>
        </w:tc>
        <w:tc>
          <w:tcPr>
            <w:tcW w:w="1844" w:type="dxa"/>
            <w:tcBorders>
              <w:top w:val="nil"/>
              <w:left w:val="nil"/>
              <w:bottom w:val="nil"/>
              <w:right w:val="nil"/>
            </w:tcBorders>
          </w:tcPr>
          <w:p w:rsidR="008A2A7C" w:rsidRPr="009A73F6" w:rsidP="008B5847" w14:paraId="5ABFE9C6" w14:textId="0A8B08A2">
            <w:pPr>
              <w:pStyle w:val="20211"/>
              <w:rPr>
                <w:rtl/>
              </w:rPr>
            </w:pPr>
            <w:r w:rsidRPr="00614B9F">
              <w:rPr>
                <w:rtl/>
              </w:rPr>
              <w:t>מספר הסכמי חלוקת הסיכון וההתחייבויות החד-צדדיות בשנים 2016 - 2021</w:t>
            </w:r>
          </w:p>
        </w:tc>
      </w:tr>
    </w:tbl>
    <w:p w:rsidR="00645C45" w:rsidRPr="00FF5B65" w:rsidP="00645C45" w14:paraId="2A4D4754" w14:textId="3E6D912F">
      <w:pPr>
        <w:rPr>
          <w:rFonts w:ascii="Tahoma" w:hAnsi="Tahoma" w:cs="Tahoma"/>
          <w:b/>
          <w:bCs/>
          <w:color w:val="00305F"/>
          <w:sz w:val="32"/>
          <w:szCs w:val="32"/>
          <w:rtl/>
        </w:rPr>
      </w:pPr>
    </w:p>
    <w:p w:rsidR="00645C45" w:rsidP="00645C45" w14:paraId="5623FB13" w14:textId="0C679F67">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-33655</wp:posOffset>
                </wp:positionH>
                <wp:positionV relativeFrom="paragraph">
                  <wp:posOffset>34925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2.75pt;margin-left:-2.65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645C45" w:rsidP="00645C45" w14:paraId="3D63DAEC" w14:textId="11C2B4AC">
      <w:pPr>
        <w:pStyle w:val="216"/>
        <w:rPr>
          <w:rtl/>
        </w:rPr>
      </w:pPr>
      <w:r w:rsidRPr="00C62692">
        <w:rPr>
          <w:rFonts w:hint="cs"/>
          <w:rtl/>
        </w:rPr>
        <w:t>פעולות הביקורת</w:t>
      </w:r>
    </w:p>
    <w:p w:rsidR="00645C45" w:rsidRPr="00C62692" w:rsidP="00645C45" w14:paraId="7599E107" w14:textId="20CD82A0">
      <w:pPr>
        <w:pStyle w:val="7190"/>
        <w:ind w:left="424" w:hanging="142"/>
        <w:rPr>
          <w:rtl/>
        </w:rPr>
      </w:pPr>
      <w:r w:rsidRPr="00666E99">
        <w:rPr>
          <w:noProof/>
        </w:rPr>
        <w:drawing>
          <wp:anchor distT="0" distB="0" distL="114300" distR="114300" simplePos="0" relativeHeight="251710464" behindDoc="0" locked="0" layoutInCell="1" allowOverlap="1">
            <wp:simplePos x="0" y="0"/>
            <wp:positionH relativeFrom="column">
              <wp:posOffset>4530381</wp:posOffset>
            </wp:positionH>
            <wp:positionV relativeFrom="paragraph">
              <wp:posOffset>58420</wp:posOffset>
            </wp:positionV>
            <wp:extent cx="162000" cy="162000"/>
            <wp:effectExtent l="0" t="0" r="3175" b="3175"/>
            <wp:wrapSquare wrapText="bothSides"/>
            <wp:docPr id="765912916"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DDE">
        <w:rPr>
          <w:rtl/>
        </w:rPr>
        <w:t>בחודשים נובמבר 2020 עד אוקטובר 2021 ערך מבקר המדינה ביקורת בנושא הרחבת סל שירותי הבריאות - תוספת תרופות וטכנולוגיות. במסגרת זו נבדקו סוגיות הנוגעות להליך ההוספה של תרופות וטכנולוגיות חדשות לסל; שקיפות הפעילות של ועדת הסל ושל גופים הקשורים אליה; תמחור התרופות והטכנולוגיות והסכמי חלוקת סיכון; הפקת לקחים מאופן ביצוע החלטות ועדת הסל ובקרה בנושא. הבדיקות בוצעו במשרד הבריאות בחטיבת טכנולוגיות רפואיות, מידע ומחקר ובאגף לפיקוח על קופות החולים ושירותי בריאות נוספים; בארבע קופות החולים: שירותי בריאות כללית, מכבי שירותי בריאות, קופת חולים מאוחדת ולאומית שירותי בריאות ובמשרד האוצר. השלמות נעשו באיגודים המקצועיים הרפואיים שבהסתדרות הרפואית בישראל וכן בנציבות הקבילות שבמשרד הבריאות</w:t>
      </w:r>
      <w:r w:rsidRPr="000E68EF">
        <w:rPr>
          <w:rtl/>
        </w:rPr>
        <w:t>.</w:t>
      </w:r>
    </w:p>
    <w:p w:rsidR="00645C45" w:rsidP="00645C45" w14:paraId="41B5F3EF" w14:textId="77777777">
      <w:pPr>
        <w:pStyle w:val="7190"/>
        <w:rPr>
          <w:rtl/>
        </w:rPr>
      </w:pPr>
      <w:r w:rsidRPr="00362C00">
        <w:rPr>
          <w:noProof/>
          <w:rtl/>
        </w:rPr>
        <w:drawing>
          <wp:anchor distT="0" distB="0" distL="114300" distR="114300" simplePos="0" relativeHeight="251711488"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13536"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645C45" w:rsidRPr="00A25467" w:rsidP="00645C4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645C45" w:rsidP="00645C4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14560" strokecolor="white">
                <v:textbox>
                  <w:txbxContent>
                    <w:p w:rsidR="00645C45" w:rsidRPr="00A25467" w:rsidP="00645C45" w14:paraId="33666D5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645C45" w:rsidP="00645C45" w14:paraId="7B7E920D" w14:textId="77777777"/>
                  </w:txbxContent>
                </v:textbox>
                <w10:wrap type="square"/>
              </v:shape>
            </w:pict>
          </mc:Fallback>
        </mc:AlternateContent>
      </w:r>
      <w:r>
        <w:rPr>
          <w:noProof/>
          <w:sz w:val="22"/>
          <w:szCs w:val="22"/>
        </w:rPr>
        <mc:AlternateContent>
          <mc:Choice Requires="wps">
            <w:drawing>
              <wp:anchor distT="0" distB="0" distL="114300" distR="114300" simplePos="0" relativeHeight="25171558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716608" from="-2.4pt,4.45pt" to="370.35pt,4.45pt" strokecolor="black" strokeweight="2pt"/>
            </w:pict>
          </mc:Fallback>
        </mc:AlternateContent>
      </w:r>
    </w:p>
    <w:p w:rsidR="00645C45" w:rsidRPr="00716B1B" w:rsidP="00645C45" w14:paraId="7C5BF15C" w14:textId="3208C00E">
      <w:pPr>
        <w:pStyle w:val="7112"/>
      </w:pPr>
      <w:r w:rsidRPr="00645C45">
        <w:rPr>
          <w:rStyle w:val="717Char0"/>
          <w:rFonts w:hint="cs"/>
          <w:noProof/>
          <w:rtl/>
        </w:rPr>
        <w:drawing>
          <wp:anchor distT="0" distB="3600450" distL="114300" distR="114300" simplePos="0" relativeHeight="251718656" behindDoc="0" locked="0" layoutInCell="1" allowOverlap="1">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4558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5C45">
        <w:rPr>
          <w:rStyle w:val="717Char0"/>
          <w:rtl/>
        </w:rPr>
        <w:t>קביעת התוספת התקציבית עבור המרכיב הטכנולוגי בסל</w:t>
      </w:r>
      <w:r w:rsidRPr="00006DDE">
        <w:rPr>
          <w:rtl/>
        </w:rPr>
        <w:t xml:space="preserve"> - במשך השנים בוצעו כמה ניסיונות לעגן בחוק את מנגנון העדכון של המקדם הטכנולוגי</w:t>
      </w:r>
      <w:r>
        <w:rPr>
          <w:vertAlign w:val="superscript"/>
          <w:rtl/>
        </w:rPr>
        <w:footnoteReference w:id="4"/>
      </w:r>
      <w:r w:rsidRPr="00006DDE">
        <w:rPr>
          <w:rtl/>
        </w:rPr>
        <w:t xml:space="preserve">. עלה כי במרבית השנים שיעור התוספת השנתית לסל שירותי הבריאות לצורכי עדכון טכנולוגי מכלל עלות הסל היה קטן מכפי שהמליצו הוועדות שעסקו בכך: ב- </w:t>
      </w:r>
      <w:r w:rsidR="00FF5B65">
        <w:rPr>
          <w:rFonts w:hint="cs"/>
          <w:rtl/>
        </w:rPr>
        <w:t>21</w:t>
      </w:r>
      <w:r w:rsidRPr="00006DDE">
        <w:rPr>
          <w:rtl/>
        </w:rPr>
        <w:t xml:space="preserve"> (כ-</w:t>
      </w:r>
      <w:r w:rsidR="00FF5B65">
        <w:rPr>
          <w:rFonts w:hint="cs"/>
          <w:rtl/>
        </w:rPr>
        <w:t>90</w:t>
      </w:r>
      <w:r w:rsidRPr="00006DDE">
        <w:rPr>
          <w:rtl/>
        </w:rPr>
        <w:t xml:space="preserve">%) מ-24 השנים שבתקופה 1998 ועד 2021, שיעור התוספת, היה קטן מ-1.5%, הרף התחתון עליו המליצו הוועדות שעסקו בכך; </w:t>
      </w:r>
      <w:r w:rsidR="00FF5B65">
        <w:rPr>
          <w:rFonts w:hint="cs"/>
          <w:rtl/>
        </w:rPr>
        <w:t>בארבע</w:t>
      </w:r>
      <w:r w:rsidRPr="00006DDE">
        <w:rPr>
          <w:rtl/>
        </w:rPr>
        <w:t xml:space="preserve"> (כ-</w:t>
      </w:r>
      <w:r w:rsidR="00FF5B65">
        <w:rPr>
          <w:rFonts w:hint="cs"/>
          <w:rtl/>
        </w:rPr>
        <w:t>15</w:t>
      </w:r>
      <w:r w:rsidRPr="00006DDE">
        <w:rPr>
          <w:rtl/>
        </w:rPr>
        <w:t>%) מ-24 השנים הללו הוא אף היה קטן מ-0.8%, השיעור שוועדת גרמן הגדירה כשיעור ההכרחי לשמירה על איכות שירותי הרפואה הניתנים במסגרת הסל</w:t>
      </w:r>
      <w:r w:rsidRPr="00716B1B">
        <w:rPr>
          <w:rtl/>
        </w:rPr>
        <w:t>.</w:t>
      </w:r>
    </w:p>
    <w:p w:rsidR="00645C45" w:rsidRPr="00951B96" w:rsidP="00645C45" w14:paraId="6E4758F2" w14:textId="017A6CCA">
      <w:pPr>
        <w:pStyle w:val="ListParagraph"/>
        <w:spacing w:after="120" w:line="288" w:lineRule="auto"/>
        <w:ind w:left="454"/>
        <w:contextualSpacing w:val="0"/>
        <w:rPr>
          <w:rFonts w:ascii="Tahoma" w:hAnsi="Tahoma" w:cs="Tahoma"/>
          <w:color w:val="0D0D0D" w:themeColor="text1" w:themeTint="F2"/>
          <w:sz w:val="18"/>
          <w:szCs w:val="18"/>
        </w:rPr>
      </w:pPr>
      <w:r w:rsidRPr="00645C45">
        <w:rPr>
          <w:rStyle w:val="717Char0"/>
          <w:rFonts w:hint="cs"/>
          <w:b/>
          <w:noProof/>
          <w:rtl/>
        </w:rPr>
        <w:drawing>
          <wp:anchor distT="0" distB="3600450" distL="114300" distR="114300" simplePos="0" relativeHeight="25171968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4916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5C45">
        <w:rPr>
          <w:rStyle w:val="717Char0"/>
          <w:rtl/>
        </w:rPr>
        <w:t>שילוב שירותים הנכללים בתוספת השלישית לחוק בעדכון סל שירותי</w:t>
      </w:r>
      <w:r w:rsidRPr="00006DDE">
        <w:rPr>
          <w:rFonts w:ascii="Tahoma" w:hAnsi="Tahoma" w:cs="Tahoma"/>
          <w:color w:val="0D0D0D" w:themeColor="text1" w:themeTint="F2"/>
          <w:sz w:val="18"/>
          <w:szCs w:val="18"/>
          <w:rtl/>
        </w:rPr>
        <w:t xml:space="preserve"> </w:t>
      </w:r>
      <w:r w:rsidRPr="00FF5B65">
        <w:rPr>
          <w:rFonts w:ascii="Tahoma" w:hAnsi="Tahoma" w:cs="Tahoma"/>
          <w:b/>
          <w:bCs/>
          <w:color w:val="0D0D0D" w:themeColor="text1" w:themeTint="F2"/>
          <w:sz w:val="18"/>
          <w:szCs w:val="18"/>
          <w:rtl/>
        </w:rPr>
        <w:t>הבריאות</w:t>
      </w:r>
      <w:r w:rsidRPr="00006DDE">
        <w:rPr>
          <w:rFonts w:ascii="Tahoma" w:hAnsi="Tahoma" w:cs="Tahoma"/>
          <w:color w:val="0D0D0D" w:themeColor="text1" w:themeTint="F2"/>
          <w:sz w:val="18"/>
          <w:szCs w:val="18"/>
          <w:rtl/>
        </w:rPr>
        <w:t xml:space="preserve"> - משנת 2015 ועד סיום הביקורת באוקטובר 2021, לא התקבלו החלטות ממשלה בנושא עדכון סל השירותים בדבר התוספת השלישית לחוק המתייחסת לשירותים שבאחריות משרד הבריאות לספק לתושבים</w:t>
      </w:r>
      <w:r>
        <w:rPr>
          <w:rFonts w:ascii="Tahoma" w:hAnsi="Tahoma" w:cs="Tahoma"/>
          <w:color w:val="0D0D0D" w:themeColor="text1" w:themeTint="F2"/>
          <w:sz w:val="18"/>
          <w:szCs w:val="18"/>
          <w:vertAlign w:val="superscript"/>
          <w:rtl/>
        </w:rPr>
        <w:footnoteReference w:id="5"/>
      </w:r>
      <w:r w:rsidRPr="00006DDE">
        <w:rPr>
          <w:rFonts w:ascii="Tahoma" w:hAnsi="Tahoma" w:cs="Tahoma"/>
          <w:color w:val="0D0D0D" w:themeColor="text1" w:themeTint="F2"/>
          <w:sz w:val="18"/>
          <w:szCs w:val="18"/>
          <w:rtl/>
        </w:rPr>
        <w:t>; האישור לכך, שהסכום המוקצה להרחבת הסל ישמש גם למימון תוספת זו, ניתן בכל שנה בדיעבד, בעת שהממשלה מאשרת את המלצות ועדת הסל. בכל אחת מהשנים 2015 - 2021 יועדו בממוצע כ-2.5% מהתקציב השנתי המוקצה לתוספת לסל שירותי הבריאות, למימון שירותים הכלולים בתוספת השלישית; ובסך הכול בתקופה זו גדל התקציב עבור התוספת השלישית בסכום כולל של כ-74 מיליון ש"ח</w:t>
      </w:r>
      <w:r w:rsidRPr="00951B96">
        <w:rPr>
          <w:rFonts w:ascii="Tahoma" w:hAnsi="Tahoma" w:cs="Tahoma"/>
          <w:color w:val="0D0D0D" w:themeColor="text1" w:themeTint="F2"/>
          <w:sz w:val="18"/>
          <w:szCs w:val="18"/>
          <w:rtl/>
        </w:rPr>
        <w:t xml:space="preserve">. </w:t>
      </w:r>
    </w:p>
    <w:p w:rsidR="00645C45" w:rsidRPr="00201FA5" w:rsidP="00645C45" w14:paraId="2FFE8DB4" w14:textId="18AD263A">
      <w:pPr>
        <w:pStyle w:val="a29"/>
        <w:spacing w:before="240" w:after="180" w:line="288" w:lineRule="auto"/>
        <w:ind w:left="360"/>
        <w:rPr>
          <w:rStyle w:val="6"/>
          <w:rFonts w:ascii="Tahoma" w:hAnsi="Tahoma" w:eastAsiaTheme="minorHAnsi" w:cs="Tahoma"/>
          <w:spacing w:val="0"/>
          <w:sz w:val="19"/>
          <w:szCs w:val="19"/>
          <w:rtl/>
        </w:rPr>
      </w:pPr>
      <w:r w:rsidRPr="00C3054A">
        <w:rPr>
          <w:rStyle w:val="717Char0"/>
          <w:rFonts w:hint="cs"/>
          <w:b/>
          <w:noProof/>
          <w:rtl/>
        </w:rPr>
        <w:drawing>
          <wp:anchor distT="0" distB="3600450" distL="114300" distR="114300" simplePos="0" relativeHeight="251720704" behindDoc="0" locked="0" layoutInCell="1" allowOverlap="1">
            <wp:simplePos x="0" y="0"/>
            <wp:positionH relativeFrom="column">
              <wp:posOffset>4518025</wp:posOffset>
            </wp:positionH>
            <wp:positionV relativeFrom="paragraph">
              <wp:posOffset>115356</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9914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3054A">
        <w:rPr>
          <w:rStyle w:val="717Char0"/>
          <w:rtl/>
        </w:rPr>
        <w:t>שק</w:t>
      </w:r>
      <w:r w:rsidRPr="00645C45">
        <w:rPr>
          <w:rStyle w:val="717Char0"/>
          <w:rtl/>
        </w:rPr>
        <w:t xml:space="preserve">יפות בתהליך לאישור הרחבת סל שירותי הבריאות </w:t>
      </w:r>
      <w:r w:rsidRPr="00006DDE">
        <w:rPr>
          <w:rFonts w:ascii="Tahoma" w:hAnsi="Tahoma" w:cs="Tahoma"/>
          <w:color w:val="0D0D0D" w:themeColor="text1" w:themeTint="F2"/>
          <w:sz w:val="18"/>
          <w:szCs w:val="18"/>
          <w:rtl/>
        </w:rPr>
        <w:t>- נמצא כי מודל השקיפות בהרחבת סל שירותי הבריאות לוקה בחסר:</w:t>
      </w:r>
      <w:r w:rsidRPr="00201FA5">
        <w:rPr>
          <w:rFonts w:ascii="Tahoma" w:eastAsia="Times New Roman" w:hAnsi="Tahoma" w:cs="Tahoma"/>
          <w:sz w:val="19"/>
          <w:szCs w:val="19"/>
          <w:rtl/>
        </w:rPr>
        <w:t xml:space="preserve"> </w:t>
      </w:r>
    </w:p>
    <w:p w:rsidR="00645C45" w:rsidRPr="00BC65AC" w:rsidP="00E702C7" w14:paraId="538EEEEF" w14:textId="77777777">
      <w:pPr>
        <w:pStyle w:val="7190"/>
        <w:numPr>
          <w:ilvl w:val="0"/>
          <w:numId w:val="24"/>
        </w:numPr>
        <w:ind w:left="849" w:hanging="489"/>
        <w:rPr>
          <w:rStyle w:val="6"/>
          <w:rFonts w:eastAsiaTheme="minorHAnsi"/>
          <w:spacing w:val="0"/>
          <w:sz w:val="19"/>
          <w:szCs w:val="19"/>
        </w:rPr>
      </w:pPr>
      <w:r w:rsidRPr="00E702C7">
        <w:rPr>
          <w:b/>
          <w:bCs/>
          <w:rtl/>
        </w:rPr>
        <w:t>פורום טכנולוגיות</w:t>
      </w:r>
      <w:r w:rsidRPr="00BC65AC">
        <w:rPr>
          <w:rtl/>
        </w:rPr>
        <w:t xml:space="preserve"> - דחה בשנים 2018 - 2021, 46% מהבקשות להכללת טכנולוגיות שאינן תרופות ו-9% מהבקשות להכללת תרופות, אולם הפרטים בנוגע לדחיות אינם מובאים לידיעת ועדת הסל, לכן לוועדה אין תמונת מצב מלאה בנוגע לבקשות שהוגשו וגורמים שתהליך הרחבת הסל נוגע להם לא יכולים להסיק מסקנות בנוגע למאפייני הבקשות שנדחו; </w:t>
      </w:r>
    </w:p>
    <w:p w:rsidR="00645C45" w:rsidRPr="00BC65AC" w:rsidP="00E702C7" w14:paraId="2D7117AC" w14:textId="77777777">
      <w:pPr>
        <w:pStyle w:val="7190"/>
        <w:numPr>
          <w:ilvl w:val="0"/>
          <w:numId w:val="24"/>
        </w:numPr>
        <w:ind w:left="849" w:hanging="489"/>
      </w:pPr>
      <w:r w:rsidRPr="00E702C7">
        <w:rPr>
          <w:b/>
          <w:bCs/>
          <w:rtl/>
        </w:rPr>
        <w:t>ועדת המשנה</w:t>
      </w:r>
      <w:r>
        <w:rPr>
          <w:rStyle w:val="FootnoteReference0"/>
          <w:rFonts w:eastAsia="Times New Roman"/>
          <w:b/>
          <w:bCs/>
          <w:sz w:val="19"/>
          <w:szCs w:val="19"/>
          <w:rtl/>
        </w:rPr>
        <w:footnoteReference w:id="6"/>
      </w:r>
      <w:r w:rsidRPr="00BC65AC">
        <w:rPr>
          <w:rtl/>
        </w:rPr>
        <w:t xml:space="preserve"> - כל חבריה הם נציגי ממשלה ונציגי קופות החולים ולא משתתף בה נציג ציבור, גם עיתונאים אינם מורשים לנכוח בדיוניה אף שהם נוכחים בדיוני ועדת הסל, בנוסף הפרוטוקולים של הוועדה אינם מתפרסמים לציבור; </w:t>
      </w:r>
    </w:p>
    <w:p w:rsidR="00645C45" w:rsidRPr="00201FA5" w:rsidP="00E702C7" w14:paraId="66A5FAF2" w14:textId="77777777">
      <w:pPr>
        <w:pStyle w:val="7190"/>
        <w:numPr>
          <w:ilvl w:val="0"/>
          <w:numId w:val="24"/>
        </w:numPr>
        <w:ind w:left="849" w:hanging="489"/>
        <w:rPr>
          <w:rtl/>
        </w:rPr>
      </w:pPr>
      <w:r w:rsidRPr="00E702C7">
        <w:rPr>
          <w:b/>
          <w:bCs/>
          <w:rtl/>
        </w:rPr>
        <w:t>ועדת הסל</w:t>
      </w:r>
      <w:r w:rsidRPr="00BC65AC">
        <w:rPr>
          <w:rtl/>
        </w:rPr>
        <w:t xml:space="preserve"> - הפרוטוקולים</w:t>
      </w:r>
      <w:r w:rsidRPr="00201FA5">
        <w:rPr>
          <w:rtl/>
        </w:rPr>
        <w:t xml:space="preserve"> של דיוניה מתפרסמים בעיכוב, שמשכו בשנים 2018 - 2020 היה 109 עד 160 ימי עבודה, דבר הגורם לפגיעה בשקיפות ועלול להקשות על מגישי ההצעות שנדחו להגיש בקשות חוזרות מעודכנות, בהקדם האפשרי והרלוונטי. </w:t>
      </w:r>
    </w:p>
    <w:p w:rsidR="00645C45" w:rsidRPr="00903496" w:rsidP="00645C45" w14:paraId="32B842ED" w14:textId="74F16A9D">
      <w:pPr>
        <w:pStyle w:val="7112"/>
      </w:pPr>
      <w:r w:rsidRPr="00642202">
        <w:rPr>
          <w:rStyle w:val="717Char0"/>
          <w:rFonts w:hint="cs"/>
          <w:noProof/>
          <w:rtl/>
        </w:rPr>
        <w:drawing>
          <wp:anchor distT="0" distB="3600450" distL="114300" distR="114300" simplePos="0" relativeHeight="251721728" behindDoc="0" locked="0" layoutInCell="1" allowOverlap="1">
            <wp:simplePos x="0" y="0"/>
            <wp:positionH relativeFrom="column">
              <wp:posOffset>4518025</wp:posOffset>
            </wp:positionH>
            <wp:positionV relativeFrom="paragraph">
              <wp:posOffset>31330</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4758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2202">
        <w:rPr>
          <w:rStyle w:val="717Char0"/>
          <w:rtl/>
        </w:rPr>
        <w:t>הערכה כלכלית ככלי תומך החלטה בעדכון סל שירותי הבריאות</w:t>
      </w:r>
      <w:r w:rsidRPr="00006DDE">
        <w:rPr>
          <w:rtl/>
        </w:rPr>
        <w:t xml:space="preserve"> - שלא בהתאם לנוהל "עדכון סל שירותי בריאות - פברואר 2010" הקובע כי יש להגיש הערכה כלכלית לבקשה להוספת התרופות והטכנולוגיות לסל, ולנוהל "הגשת בקשה להכללת תכשיר ('תרופה') בסל שירותי הבריאות" המנחה לבצעה ככל הניתן, בפועל ועדת הסל מקבלת את החלטותיה על בסיס הערכה מקצועית שאינה כוללת הערכה כלכלית; וזאת להבדיל מהמקובל במדינות מתקדמות בעולם. בשנים 2018 - 2020 הוגשה לוועדת הסל הערכה כלכלית אחת</w:t>
      </w:r>
      <w:r w:rsidRPr="00903496">
        <w:rPr>
          <w:rtl/>
        </w:rPr>
        <w:t>.</w:t>
      </w:r>
    </w:p>
    <w:p w:rsidR="00645C45" w:rsidRPr="00C80B25" w:rsidP="00645C45" w14:paraId="61EC56A9" w14:textId="07B3F340">
      <w:pPr>
        <w:pStyle w:val="7112"/>
      </w:pPr>
      <w:r w:rsidRPr="00642202">
        <w:rPr>
          <w:rStyle w:val="717Char0"/>
          <w:rFonts w:hint="cs"/>
          <w:b/>
          <w:noProof/>
          <w:rtl/>
        </w:rPr>
        <w:drawing>
          <wp:anchor distT="0" distB="3600450" distL="114300" distR="114300" simplePos="0" relativeHeight="251722752" behindDoc="0" locked="0" layoutInCell="1" allowOverlap="1">
            <wp:simplePos x="0" y="0"/>
            <wp:positionH relativeFrom="column">
              <wp:posOffset>4518025</wp:posOffset>
            </wp:positionH>
            <wp:positionV relativeFrom="paragraph">
              <wp:posOffset>17565</wp:posOffset>
            </wp:positionV>
            <wp:extent cx="161925" cy="161925"/>
            <wp:effectExtent l="0" t="0" r="3175" b="317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4242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2202">
        <w:rPr>
          <w:rStyle w:val="717Char0"/>
          <w:rtl/>
        </w:rPr>
        <w:t>הערכת מספר המטופלים הצפוי לפי רישומי המחלות</w:t>
      </w:r>
      <w:r w:rsidRPr="00006DDE">
        <w:rPr>
          <w:rtl/>
        </w:rPr>
        <w:t xml:space="preserve"> - אף שרישומי המחלות</w:t>
      </w:r>
      <w:r>
        <w:rPr>
          <w:vertAlign w:val="superscript"/>
          <w:rtl/>
        </w:rPr>
        <w:footnoteReference w:id="7"/>
      </w:r>
      <w:r w:rsidRPr="00006DDE">
        <w:rPr>
          <w:rtl/>
        </w:rPr>
        <w:t xml:space="preserve"> (אליהם נאסף ומנוטר מידע על מספר החולים) עשויים לשמש מאגר מידע חיוני לצורך הערכה מבוססת של מספר החולים במחלות הרשומות ושל שלבי התפתחותה של המחלה, עלה שעל פי ההסדרה הקיימת, אף במקרים שבהם קיימת חובת מסירת מידע, אין בידי הרשמים כלי אכיפה או יכולת להטיל סנקציות כלשהן על גופים, אשר לא מקיימים את חובת הדיווח שחלה עליהם. כפועל יוצא מכך המאגרים הלאומיים לרישומי המחלות, שהוחלט כי יש לנהל לגביהם רישום סדור, אינם בהכרח מעודכנים, ולכן אינם יכולים לשמש מקור אמין להערכת היקף התחלואה ותקצוב אמין של התוספת הספציפית</w:t>
      </w:r>
      <w:r>
        <w:rPr>
          <w:rFonts w:hint="cs"/>
          <w:rtl/>
        </w:rPr>
        <w:t>.</w:t>
      </w:r>
    </w:p>
    <w:p w:rsidR="00645C45" w:rsidRPr="0069093D" w:rsidP="00645C45" w14:paraId="42C5860F" w14:textId="3152212A">
      <w:pPr>
        <w:pStyle w:val="7112"/>
      </w:pPr>
      <w:r w:rsidRPr="00642202">
        <w:rPr>
          <w:rStyle w:val="717Char0"/>
          <w:rFonts w:hint="cs"/>
          <w:b/>
          <w:noProof/>
          <w:rtl/>
        </w:rPr>
        <w:drawing>
          <wp:anchor distT="0" distB="3600450" distL="114300" distR="114300" simplePos="0" relativeHeight="251723776" behindDoc="0" locked="0" layoutInCell="1" allowOverlap="1">
            <wp:simplePos x="0" y="0"/>
            <wp:positionH relativeFrom="column">
              <wp:posOffset>4498975</wp:posOffset>
            </wp:positionH>
            <wp:positionV relativeFrom="paragraph">
              <wp:posOffset>28360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074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2202">
        <w:rPr>
          <w:rStyle w:val="717Char0"/>
          <w:rtl/>
        </w:rPr>
        <w:t>שימוש בחלופות טיפוליות - "קלאס אפקט"</w:t>
      </w:r>
      <w:r>
        <w:rPr>
          <w:rStyle w:val="717Char0"/>
          <w:vertAlign w:val="superscript"/>
          <w:rtl/>
        </w:rPr>
        <w:footnoteReference w:id="8"/>
      </w:r>
      <w:r w:rsidRPr="00006DDE">
        <w:rPr>
          <w:rtl/>
        </w:rPr>
        <w:t xml:space="preserve"> - על אף המחלוקת העקרונית הנמשכת בעניין הגדרת תרופות כקלאס, משרד הבריאות לא קבע קווים מנחים להגדרת תרופות כקלאס אפקט</w:t>
      </w:r>
      <w:r>
        <w:rPr>
          <w:rtl/>
        </w:rPr>
        <w:t>.</w:t>
      </w:r>
    </w:p>
    <w:p w:rsidR="00645C45" w:rsidRPr="0069093D" w:rsidP="00645C45" w14:paraId="2EB4C02C" w14:textId="2EA5858F">
      <w:pPr>
        <w:pStyle w:val="7112"/>
      </w:pPr>
      <w:r w:rsidRPr="00642202">
        <w:rPr>
          <w:rStyle w:val="717Char0"/>
          <w:rFonts w:hint="cs"/>
          <w:b/>
          <w:noProof/>
          <w:rtl/>
        </w:rPr>
        <w:drawing>
          <wp:anchor distT="0" distB="3600450" distL="114300" distR="114300" simplePos="0" relativeHeight="251724800"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605230"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2202">
        <w:rPr>
          <w:rStyle w:val="717Char0"/>
          <w:rtl/>
        </w:rPr>
        <w:t>הוספת תרופות לסל השירותים ללא עלות נוספת</w:t>
      </w:r>
      <w:r w:rsidRPr="00006DDE">
        <w:rPr>
          <w:rtl/>
        </w:rPr>
        <w:t xml:space="preserve"> - בשנים 2016 - 2021 שיעור התרופות ללא עלות שנכללו בסל עמד על כשליש מהעדכון הטכנולוגי השנתי. עלה שהתהליך להוספת תרופות אלו דומה לתהליך להוספת כל תרופה או טכנולוגיה אחרת לסל ואולם אף שאין מדובר בתוספת עלויות, התהליך נערך רק אחת לשנה ורק אז ניתן לאשר את הוספתן לסל</w:t>
      </w:r>
      <w:r w:rsidRPr="0069093D">
        <w:rPr>
          <w:rFonts w:hint="cs"/>
          <w:rtl/>
        </w:rPr>
        <w:t>.</w:t>
      </w:r>
    </w:p>
    <w:p w:rsidR="00645C45" w:rsidP="00645C45" w14:paraId="673D1FD7" w14:textId="2559D506">
      <w:pPr>
        <w:pStyle w:val="7112"/>
        <w:rPr>
          <w:rtl/>
        </w:rPr>
      </w:pPr>
      <w:r w:rsidRPr="00642202">
        <w:rPr>
          <w:rStyle w:val="717Char0"/>
          <w:rFonts w:hint="cs"/>
          <w:noProof/>
          <w:rtl/>
        </w:rPr>
        <w:drawing>
          <wp:anchor distT="0" distB="3600450" distL="114300" distR="114300" simplePos="0" relativeHeight="251717632" behindDoc="0" locked="0" layoutInCell="1" allowOverlap="1">
            <wp:simplePos x="0" y="0"/>
            <wp:positionH relativeFrom="column">
              <wp:posOffset>4498975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7118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2202">
        <w:rPr>
          <w:rStyle w:val="717Char0"/>
          <w:rtl/>
        </w:rPr>
        <w:t>הסכמי חלוקת סיכון</w:t>
      </w:r>
      <w:r w:rsidRPr="00006DDE">
        <w:rPr>
          <w:rtl/>
        </w:rPr>
        <w:t xml:space="preserve"> - למרות מורכבות תהליך הגיבוש של הסכמי חלוקת סיכון, אין למשרד הבריאות נוהל או קווים מנחים שאמורים להסדירו, ובכלל זה להסדיר סוגיות אלה: הצורך בזיהוי המקרים המצריכים חתימה על הסכמי חלוקת סיכון, הצורך בגורמים מייעצים, קביעת הגורם האחראי, אופן שיתוף קופות החולים בקביעת תנאי ההסכמים ותהליכי הבקרה הנדרשים בעת ביצוע התהליך ולאחריו, לרבות קביעת לוחות הזמנים. נמצא כי טיוטת נוהל העבודה של ועדת המשנה שהופצה להערות הקופות באוגוסט 2021 עוסקת בנושא באופן חלקי, ובמועד סיום הביקורת היא לא אושרה; משרד הבריאות אינו מנתח את הסיכונים שאליהם ייחשפו קופות החולים במועד תפוגת תוקפו של ההסכם, אז </w:t>
      </w:r>
      <w:r w:rsidRPr="00006DDE">
        <w:rPr>
          <w:rtl/>
        </w:rPr>
        <w:t>יפסקו ההנחות שקיבלו הקופות במסגרת ההסכם ואינו בוחן הסכמים שהסתיימו על מנת להפיק מהם לקחים לגבי המחירים שלאחר תקופת ההסכם. המשרד גם לא בוחן את היקף המיצוי של ההסכמים - מידת הניצול של כמה מהם חרגה מזו שנקבעה בתחזית ומידת הניצול של כמה מהם הייתה פחותה מכך, כדי להפיק לקחים וליישמם בהסכמים עתידיים</w:t>
      </w:r>
      <w:r>
        <w:rPr>
          <w:rFonts w:hint="cs"/>
          <w:rtl/>
        </w:rPr>
        <w:t>.</w:t>
      </w:r>
      <w:r w:rsidRPr="0069093D">
        <w:rPr>
          <w:rFonts w:hint="cs"/>
          <w:rtl/>
        </w:rPr>
        <w:t xml:space="preserve"> </w:t>
      </w:r>
    </w:p>
    <w:p w:rsidR="00645C45" w:rsidP="00645C45" w14:paraId="2EFB5C5D" w14:textId="38CE8DFD">
      <w:pPr>
        <w:pStyle w:val="7112"/>
        <w:rPr>
          <w:rtl/>
        </w:rPr>
      </w:pPr>
      <w:r w:rsidRPr="00642202">
        <w:rPr>
          <w:rStyle w:val="717Char0"/>
          <w:rFonts w:hint="cs"/>
          <w:b/>
          <w:noProof/>
          <w:rtl/>
        </w:rPr>
        <w:drawing>
          <wp:anchor distT="0" distB="3600450" distL="114300" distR="114300" simplePos="0" relativeHeight="251725824" behindDoc="0" locked="0" layoutInCell="1" allowOverlap="1">
            <wp:simplePos x="0" y="0"/>
            <wp:positionH relativeFrom="column">
              <wp:posOffset>4495165</wp:posOffset>
            </wp:positionH>
            <wp:positionV relativeFrom="paragraph">
              <wp:posOffset>60960</wp:posOffset>
            </wp:positionV>
            <wp:extent cx="161925" cy="161925"/>
            <wp:effectExtent l="0" t="0" r="9525" b="9525"/>
            <wp:wrapSquare wrapText="bothSides"/>
            <wp:docPr id="765912903" name="Picture 7659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5210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2202">
        <w:rPr>
          <w:rStyle w:val="717Char0"/>
          <w:rtl/>
        </w:rPr>
        <w:t>בקרת משרד הבריאות על השימוש שעושות הקופות בתקציב הנוסף לסל והפקת לקחים</w:t>
      </w:r>
      <w:r w:rsidRPr="00006DDE">
        <w:rPr>
          <w:rtl/>
        </w:rPr>
        <w:t xml:space="preserve"> - משרד הבריאות מסתמך על נתונים שמוסרות לו הקופות לצורך תמחור התרופות והטכנולוגיות בוועדת המשנה, אך לאחר שהתרופות והטכנולוגיות נוספו לסל, הוא אינו בוחן את היקף השימוש בהן. הדבר עלול לגרום לתמחור תרופה או טכנולוגיה ביתר, ומכאן גם לתקצוב על חשבון תרופות וטכנולוגיות אחרות שלא נוספו לסל בשל כך. </w:t>
      </w:r>
      <w:r w:rsidR="00FF5B65">
        <w:rPr>
          <w:rFonts w:hint="cs"/>
          <w:rtl/>
        </w:rPr>
        <w:t xml:space="preserve">כמו כן, </w:t>
      </w:r>
      <w:r w:rsidRPr="00006DDE">
        <w:rPr>
          <w:rtl/>
        </w:rPr>
        <w:t>הדבר גם עלול לגרום לתקצוב בחסר של תרופה או טכנולוגיה. טיוטת דוח של תקצוב לעומת שימושים הוגשה למנכ"ל משרד הבריאות דאז (בשנת 2018) כעשר שנים לאחר תקופת הבדיקה (2007 - 2009), ולאחר שלוש שנים, בינואר 2022, המשרד פרסם את הדוח הסופי. רק בשנת 2021 החל המשרד בבדיקת השנים 2010 ואילך</w:t>
      </w:r>
      <w:r>
        <w:rPr>
          <w:rFonts w:hint="cs"/>
          <w:rtl/>
        </w:rPr>
        <w:t>.</w:t>
      </w:r>
    </w:p>
    <w:p w:rsidR="00645C45" w:rsidRPr="0069093D" w:rsidP="00645C45" w14:paraId="7C132CC8" w14:textId="483E5698">
      <w:pPr>
        <w:pStyle w:val="7112"/>
      </w:pPr>
      <w:r w:rsidRPr="00642202">
        <w:rPr>
          <w:rStyle w:val="717Char0"/>
          <w:rFonts w:hint="cs"/>
          <w:b/>
          <w:noProof/>
          <w:rtl/>
        </w:rPr>
        <w:drawing>
          <wp:anchor distT="0" distB="3600450" distL="114300" distR="114300" simplePos="0" relativeHeight="251726848" behindDoc="0" locked="0" layoutInCell="1" allowOverlap="1">
            <wp:simplePos x="0" y="0"/>
            <wp:positionH relativeFrom="column">
              <wp:posOffset>4495165</wp:posOffset>
            </wp:positionH>
            <wp:positionV relativeFrom="paragraph">
              <wp:posOffset>60960</wp:posOffset>
            </wp:positionV>
            <wp:extent cx="161925" cy="161925"/>
            <wp:effectExtent l="0" t="0" r="9525" b="9525"/>
            <wp:wrapSquare wrapText="bothSides"/>
            <wp:docPr id="765912905" name="Picture 7659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7662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42202">
        <w:rPr>
          <w:rStyle w:val="717Char0"/>
          <w:rtl/>
        </w:rPr>
        <w:t>תרופות אונקולוגיות ותרופות וטכנולוגיות יקרות</w:t>
      </w:r>
      <w:r w:rsidRPr="00006DDE">
        <w:rPr>
          <w:rtl/>
        </w:rPr>
        <w:t xml:space="preserve"> - עלה כי אף שעלות התוספת ששימשה למימון עשר התרופות והטכנולוגיות שסך ההוצאה עבורן הוא הגבוה ביותר בשנים 2016 - 2021 גבוהה יחסית לעלות הכוללת (הן מהוות 62% מעלות התוספת כולה המסתכמת </w:t>
      </w:r>
      <w:r w:rsidRPr="00006DDE">
        <w:rPr>
          <w:rtl/>
        </w:rPr>
        <w:t>בכ</w:t>
      </w:r>
      <w:r w:rsidRPr="00006DDE">
        <w:rPr>
          <w:rtl/>
        </w:rPr>
        <w:t>-1.7 מיליארד ש"ח מתוך כ-2.7 מיליארד ש"ח), ואף ששיעור התוספת עבור תרופות אונקולוגיות היה 37% מהתוספת לשנים אלו, משרד הבריאות לא ביצע בקרה פרטנית על השימושים בהן ועל התועלות שבהן, כדי להפיק לקחים לגבי החלטות עתידיות להוספת תרופות וטכנולוגיות יקרות במיוחד</w:t>
      </w:r>
      <w:r>
        <w:rPr>
          <w:rFonts w:hint="cs"/>
          <w:rtl/>
        </w:rPr>
        <w:t>.</w:t>
      </w:r>
    </w:p>
    <w:p w:rsidR="00645C45" w:rsidRPr="00C74181" w:rsidP="00645C45" w14:paraId="06A9DC10" w14:textId="1A8CDC70">
      <w:pPr>
        <w:pStyle w:val="217"/>
        <w:ind w:left="0"/>
        <w:rPr>
          <w:rtl/>
        </w:rPr>
      </w:pPr>
      <w:r w:rsidRPr="00362C00">
        <w:rPr>
          <w:rFonts w:hint="cs"/>
          <w:noProof/>
          <w:sz w:val="19"/>
          <w:szCs w:val="19"/>
          <w:rtl/>
        </w:rPr>
        <w:drawing>
          <wp:anchor distT="0" distB="0" distL="114300" distR="114300" simplePos="0" relativeHeight="251712512" behindDoc="0" locked="0" layoutInCell="1" allowOverlap="1">
            <wp:simplePos x="0" y="0"/>
            <wp:positionH relativeFrom="column">
              <wp:posOffset>2057614</wp:posOffset>
            </wp:positionH>
            <wp:positionV relativeFrom="paragraph">
              <wp:posOffset>8273</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645C45" w:rsidRPr="00006DDE" w:rsidP="00645C45" w14:paraId="53462C16" w14:textId="77777777">
      <w:pPr>
        <w:spacing w:before="240" w:after="180" w:line="288" w:lineRule="auto"/>
        <w:ind w:left="312"/>
        <w:rPr>
          <w:rFonts w:ascii="Tahoma" w:hAnsi="Tahoma" w:cs="Tahoma"/>
          <w:color w:val="0D0D0D" w:themeColor="text1" w:themeTint="F2"/>
          <w:sz w:val="18"/>
          <w:szCs w:val="18"/>
          <w:rtl/>
        </w:rPr>
      </w:pPr>
      <w:r w:rsidRPr="00642202">
        <w:rPr>
          <w:rStyle w:val="717Char0"/>
          <w:rtl/>
        </w:rPr>
        <w:t>שיתוף ציבור</w:t>
      </w:r>
      <w:r w:rsidRPr="00006DDE">
        <w:rPr>
          <w:rFonts w:ascii="Tahoma" w:hAnsi="Tahoma" w:cs="Tahoma"/>
          <w:color w:val="0D0D0D" w:themeColor="text1" w:themeTint="F2"/>
          <w:sz w:val="18"/>
          <w:szCs w:val="18"/>
          <w:rtl/>
        </w:rPr>
        <w:t xml:space="preserve"> </w:t>
      </w:r>
      <w:r w:rsidRPr="00006DDE">
        <w:rPr>
          <w:rFonts w:ascii="Tahoma" w:hAnsi="Tahoma" w:cs="Tahoma" w:hint="cs"/>
          <w:color w:val="0D0D0D" w:themeColor="text1" w:themeTint="F2"/>
          <w:sz w:val="18"/>
          <w:szCs w:val="18"/>
          <w:rtl/>
        </w:rPr>
        <w:t xml:space="preserve">- </w:t>
      </w:r>
      <w:r w:rsidRPr="00006DDE">
        <w:rPr>
          <w:rFonts w:ascii="Tahoma" w:hAnsi="Tahoma" w:cs="Tahoma"/>
          <w:color w:val="0D0D0D" w:themeColor="text1" w:themeTint="F2"/>
          <w:sz w:val="18"/>
          <w:szCs w:val="18"/>
          <w:rtl/>
        </w:rPr>
        <w:t xml:space="preserve">יש לראות בחיוב את פעולות משרד הבריאות בנוגע לשיתוף הציבור בהליך הרחבת סל שירותי הבריאות. </w:t>
      </w:r>
    </w:p>
    <w:p w:rsidR="00645C45" w:rsidP="00645C45" w14:paraId="3D6BF867" w14:textId="095B550B">
      <w:pPr>
        <w:pStyle w:val="7112"/>
        <w:spacing w:after="360"/>
        <w:rPr>
          <w:rtl/>
        </w:rPr>
      </w:pPr>
      <w:r w:rsidRPr="00642202">
        <w:rPr>
          <w:rStyle w:val="717Char0"/>
          <w:rtl/>
        </w:rPr>
        <w:t>שקיפות לתקשורת ובאתר המרשתת (אינטרנט) של משרד</w:t>
      </w:r>
      <w:r w:rsidRPr="00006DDE">
        <w:rPr>
          <w:rtl/>
        </w:rPr>
        <w:t xml:space="preserve"> </w:t>
      </w:r>
      <w:r w:rsidRPr="00642202">
        <w:rPr>
          <w:rStyle w:val="717Char0"/>
          <w:rtl/>
        </w:rPr>
        <w:t>הבריאות</w:t>
      </w:r>
      <w:r w:rsidRPr="00006DDE">
        <w:rPr>
          <w:rtl/>
        </w:rPr>
        <w:t xml:space="preserve"> - בדיוני ועדת הסל מתאפשרת נוכחות עיתונאים, שיכולים לדווח לציבור על הדיונים בסיום התהליך. ועדת הסל גם מפרסמת באתר המרשתת של משרד הבריאות את עיקרי החלטות הוועדה בסמוך למועד הדיונים</w:t>
      </w:r>
      <w:r w:rsidRPr="00386D6B">
        <w:rPr>
          <w:rtl/>
        </w:rPr>
        <w:t>.</w:t>
      </w:r>
    </w:p>
    <w:p w:rsidR="00645C45" w:rsidP="00645C45" w14:paraId="04189B3B" w14:textId="77777777">
      <w:pPr>
        <w:rPr>
          <w:rFonts w:ascii="Tahoma" w:hAnsi="Tahoma" w:cs="Tahoma"/>
          <w:color w:val="0D0D0D" w:themeColor="text1" w:themeTint="F2"/>
          <w:sz w:val="18"/>
          <w:szCs w:val="18"/>
          <w:rtl/>
        </w:rPr>
      </w:pPr>
    </w:p>
    <w:p w:rsidR="00645C45" w:rsidP="00645C45" w14:paraId="286B31E9" w14:textId="77777777">
      <w:pPr>
        <w:rPr>
          <w:rFonts w:ascii="Tahoma" w:hAnsi="Tahoma" w:cs="Tahoma"/>
          <w:color w:val="0D0D0D" w:themeColor="text1" w:themeTint="F2"/>
          <w:sz w:val="18"/>
          <w:szCs w:val="18"/>
          <w:rtl/>
        </w:rPr>
      </w:pPr>
    </w:p>
    <w:p w:rsidR="00645C45" w:rsidRPr="00645C45" w:rsidP="00645C45" w14:paraId="3CC61AEA" w14:textId="3F07C707">
      <w:pPr>
        <w:rPr>
          <w:rtl/>
        </w:rPr>
        <w:sectPr w:rsidSect="005D0EA1">
          <w:footerReference w:type="even" r:id="rId21"/>
          <w:footerReference w:type="default" r:id="rId22"/>
          <w:headerReference w:type="first" r:id="rId23"/>
          <w:footerReference w:type="first" r:id="rId24"/>
          <w:pgSz w:w="11906" w:h="16838" w:code="9"/>
          <w:pgMar w:top="3062" w:right="2268" w:bottom="2552" w:left="2268" w:header="1134" w:footer="1361" w:gutter="0"/>
          <w:pgNumType w:start="1057"/>
          <w:cols w:space="708"/>
          <w:bidi/>
          <w:rtlGutter/>
          <w:docGrid w:linePitch="360"/>
        </w:sectPr>
      </w:pPr>
    </w:p>
    <w:p w:rsidR="003A3978" w:rsidRPr="003A3978" w:rsidP="001868AE" w14:paraId="5B460EE4" w14:textId="2192B8B1">
      <w:pPr>
        <w:pStyle w:val="7112"/>
      </w:pPr>
      <w:r w:rsidRPr="004232CF">
        <w:rPr>
          <w:noProof/>
        </w:rPr>
        <w:drawing>
          <wp:anchor distT="0" distB="3600450" distL="114300" distR="114300" simplePos="0" relativeHeight="251680768"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76018459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sidR="006659DD">
        <w:rPr>
          <w:rStyle w:val="21Char1"/>
          <w:noProof/>
          <w:rtl/>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678720" from="-9pt,0.5pt" to="363.75pt,0.5pt" strokecolor="black" strokeweight="2pt"/>
            </w:pict>
          </mc:Fallback>
        </mc:AlternateContent>
      </w:r>
      <w:r w:rsidRPr="004232CF" w:rsidR="007B571D">
        <w:rPr>
          <w:rStyle w:val="21Char1"/>
          <w:noProof/>
          <w:rtl/>
        </w:rPr>
        <mc:AlternateContent>
          <mc:Choice Requires="wps">
            <w:drawing>
              <wp:anchor distT="45720" distB="45720" distL="114300" distR="114300" simplePos="0" relativeHeight="251675648"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B22A1" w:rsidRPr="00A25467" w:rsidP="007B571D" w14:textId="4103E1B1">
                            <w:pPr>
                              <w:pStyle w:val="216"/>
                              <w:rPr>
                                <w:rtl/>
                              </w:rPr>
                            </w:pPr>
                            <w:r>
                              <w:rPr>
                                <w:rFonts w:hint="cs"/>
                                <w:rtl/>
                              </w:rPr>
                              <w:t>עיקרי המלצות הביקורת</w:t>
                            </w:r>
                          </w:p>
                          <w:p w:rsidR="00CB22A1" w:rsidP="007B571D"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CB22A1" w:rsidRPr="00A25467" w:rsidP="007B571D" w14:paraId="02FF5A58" w14:textId="4103E1B1">
                      <w:pPr>
                        <w:pStyle w:val="216"/>
                        <w:rPr>
                          <w:rtl/>
                        </w:rPr>
                      </w:pPr>
                      <w:r>
                        <w:rPr>
                          <w:rFonts w:hint="cs"/>
                          <w:rtl/>
                        </w:rPr>
                        <w:t>עיקרי המלצות הביקורת</w:t>
                      </w:r>
                    </w:p>
                    <w:p w:rsidR="00CB22A1" w:rsidP="007B571D" w14:paraId="19399FDD" w14:textId="77777777"/>
                  </w:txbxContent>
                </v:textbox>
                <w10:wrap type="square"/>
              </v:shape>
            </w:pict>
          </mc:Fallback>
        </mc:AlternateContent>
      </w:r>
      <w:r w:rsidRPr="00006DDE" w:rsidR="00645C45">
        <w:rPr>
          <w:rtl/>
        </w:rPr>
        <w:t>מומלץ כי משרדי הבריאות והאוצר בשיתוף קופות החולים יבחנו את ההשפעות של השיטה הנהוגה לקביעת סכום המקדם הטכנולוגי, גם אל מול השיטות הנהוגות במדינות מפותחות בעולם, וכן יבחנו אם יש צורך בהסדרתה. בכלל זה מומלץ גם לבחון, אם יש מקום לקבוע שיעור מזערי לעדכון שנתי של המקדם, כך שרמת אי-הוודאות התכנונית תקטן, התכנון ארוך הטווח יתאפשר וניתן יהיה להתמודד באופן איכותי יותר עם צורכי הקדמה הטכנולוגית</w:t>
      </w:r>
      <w:r w:rsidRPr="003A3978" w:rsidR="003A3978">
        <w:rPr>
          <w:rtl/>
        </w:rPr>
        <w:t>.</w:t>
      </w:r>
    </w:p>
    <w:p w:rsidR="0083723D" w:rsidRPr="003A3978" w:rsidP="001868AE" w14:paraId="524E991B" w14:textId="6729F6C1">
      <w:pPr>
        <w:pStyle w:val="7112"/>
      </w:pPr>
      <w:r w:rsidRPr="004232CF">
        <w:rPr>
          <w:noProof/>
        </w:rPr>
        <w:drawing>
          <wp:anchor distT="0" distB="3600450" distL="114300" distR="114300" simplePos="0" relativeHeight="251679744"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26157199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DDE" w:rsidR="00645C45">
        <w:rPr>
          <w:rtl/>
        </w:rPr>
        <w:t>מומלץ כי משרד הבריאות יבחן את המנגנון המתאים לדיווח על החלטות פורום טכנולוגיות ויקבע זאת במסגרת נוהל עדכון סל שירותי הבריאות - למי יש להודיע על ההחלטות ומה תהיה מתכונתן של ההודעות הללו. הדבר יאפשר ללמוד על השיקולים שלפיהם החליט הפורום אם תרופה או טכנולוגיה מוצעת מתאימה או אינה מתאימה לדיון במסגרת ועדת הסל. הגברת השקיפות של התהליך תייעל את עבודת כל הגורמים המעורבים בו ואף תגביר את אמון הציבור בתהליך</w:t>
      </w:r>
      <w:r w:rsidRPr="003A3978" w:rsidR="003A3978">
        <w:rPr>
          <w:rtl/>
        </w:rPr>
        <w:t>.</w:t>
      </w:r>
      <w:r w:rsidRPr="003A3978">
        <w:rPr>
          <w:rFonts w:hint="cs"/>
          <w:rtl/>
        </w:rPr>
        <w:t xml:space="preserve"> </w:t>
      </w:r>
    </w:p>
    <w:p w:rsidR="00351AD0" w:rsidRPr="00003EBB" w:rsidP="001868AE" w14:paraId="13AF705A" w14:textId="62F59268">
      <w:pPr>
        <w:pStyle w:val="7112"/>
        <w:rPr>
          <w:rtl/>
        </w:rPr>
      </w:pPr>
      <w:r w:rsidRPr="004232CF">
        <w:rPr>
          <w:noProof/>
        </w:rPr>
        <w:drawing>
          <wp:anchor distT="0" distB="3600450" distL="114300" distR="114300" simplePos="0" relativeHeight="251681792"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59281361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DDE" w:rsidR="00645C45">
        <w:rPr>
          <w:rtl/>
        </w:rPr>
        <w:t>מוצע כי משרד הבריאות יקבע אמות מידה לקביעת התרופות והטכנולוגיות המחייבות ביצוע של הערכה כלכלית ואת השיטות המתאימות לכך. מומלץ כי הדבר יעשה בהיוועצות עם הגורמים הרלוונטיים. עוד מומלץ כי המשרד ישקול דרכים להרחבת היצע כוח אדם שיוכל לספק לו הערכות כלכליות וכן שיעדכן בהתאם לפעולות אלו את נהליו</w:t>
      </w:r>
      <w:r w:rsidRPr="00003EBB" w:rsidR="00003EBB">
        <w:rPr>
          <w:rtl/>
        </w:rPr>
        <w:t>.</w:t>
      </w:r>
    </w:p>
    <w:p w:rsidR="00003EBB" w:rsidRPr="00577C64" w:rsidP="001868AE" w14:paraId="1F9FE37C" w14:textId="746CDE2E">
      <w:pPr>
        <w:pStyle w:val="7112"/>
      </w:pPr>
      <w:r w:rsidRPr="004232CF">
        <w:rPr>
          <w:noProof/>
        </w:rPr>
        <w:drawing>
          <wp:anchor distT="0" distB="3600450" distL="114300" distR="114300" simplePos="0" relativeHeight="25168281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67653358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DDE" w:rsidR="00645C45">
        <w:rPr>
          <w:rtl/>
        </w:rPr>
        <w:t xml:space="preserve">מוצע שמשרד הבריאות בשיתוף קופות החולים יבחנו באופן מערכתי את ההשפעות הכלכליות של תוספת תרופות ללא עלות לסל שירותי הבריאות ובכלל זה יבחנו האם ניתן ללמוד על הטיפול בסוגיה זו גם ממדינות אחרות. בהתאם לממצאי בחינה זו יבחנו את האפשרות שתרופות אלו יידונו במסלול נפרד ומקוצר יותר, ללא צורך בהתכנסות ועדת הסל. עוד מוצע כי המשרד בשיתוף הקופות יערוך בקרות </w:t>
      </w:r>
      <w:r w:rsidRPr="00006DDE" w:rsidR="00645C45">
        <w:rPr>
          <w:rtl/>
        </w:rPr>
        <w:t>עתיות</w:t>
      </w:r>
      <w:r w:rsidRPr="00006DDE" w:rsidR="00645C45">
        <w:rPr>
          <w:rtl/>
        </w:rPr>
        <w:t xml:space="preserve"> על ההשלכות הכלכליות של תוספת תרופות ללא עלות לסל שירותי הבריאות</w:t>
      </w:r>
      <w:r w:rsidR="00577C64">
        <w:rPr>
          <w:rFonts w:hint="cs"/>
          <w:rtl/>
        </w:rPr>
        <w:t>.</w:t>
      </w:r>
    </w:p>
    <w:p w:rsidR="00003EBB" w:rsidRPr="003C4222" w:rsidP="003C4222" w14:paraId="3F10CC9C" w14:textId="7B914A08">
      <w:pPr>
        <w:pStyle w:val="7112"/>
      </w:pPr>
      <w:r w:rsidRPr="003C4222">
        <w:rPr>
          <w:noProof/>
        </w:rPr>
        <w:drawing>
          <wp:anchor distT="0" distB="3600450" distL="114300" distR="114300" simplePos="0" relativeHeight="251683840"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 xmlns:a="http://schemas.openxmlformats.org/drawingml/2006/main">
              <a:graphicData uri="http://schemas.openxmlformats.org/drawingml/2006/picture">
                <pic:pic xmlns:pic="http://schemas.openxmlformats.org/drawingml/2006/picture">
                  <pic:nvPicPr>
                    <pic:cNvPr id="138322698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DDE" w:rsidR="00645C45">
        <w:rPr>
          <w:rtl/>
        </w:rPr>
        <w:t>הסכמי חלוקת סיכון הם הסכמים מורכבים, וגיבושם מחייב ידע מקצועי ומומחיות; לפיכך מומלץ כי משרד הבריאות ישלים את גיבוש הנוהל בנושא בהתחשב בכלל שלבי התהליך, לרבות תהליך הבקרה והמעקב בעניין מימוש ההסכמים והפקת לקחים מיישומם</w:t>
      </w:r>
      <w:r w:rsidRPr="003C4222">
        <w:rPr>
          <w:rtl/>
        </w:rPr>
        <w:t>.</w:t>
      </w:r>
    </w:p>
    <w:p w:rsidR="00577C64" w:rsidRPr="003C4222" w:rsidP="003C4222" w14:paraId="408E8A6A" w14:textId="26E5D3A4">
      <w:pPr>
        <w:pStyle w:val="7112"/>
        <w:rPr>
          <w:rtl/>
        </w:rPr>
      </w:pPr>
      <w:r w:rsidRPr="003C4222">
        <w:rPr>
          <w:noProof/>
        </w:rPr>
        <w:drawing>
          <wp:anchor distT="0" distB="3600450" distL="114300" distR="114300" simplePos="0" relativeHeight="251684864"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 xmlns:a="http://schemas.openxmlformats.org/drawingml/2006/main">
              <a:graphicData uri="http://schemas.openxmlformats.org/drawingml/2006/picture">
                <pic:pic xmlns:pic="http://schemas.openxmlformats.org/drawingml/2006/picture">
                  <pic:nvPicPr>
                    <pic:cNvPr id="82189959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6DDE" w:rsidR="00645C45">
        <w:rPr>
          <w:rtl/>
        </w:rPr>
        <w:t>מומלץ שמשרד הבריאות יפיק לקחים ויגבש המלצות לשיפור תהליכי העבודה של ועדת הסל וועדת המשנה. כמו כן מומלץ כי המשרד יקבע תדירות מזערית לביצוע בקרות עיתיות בנושא תקצוב לעומת שימושים, ובהן יבחן, בין היתר, את יישום ההמלצות המבוססות על ממצאי הבקרה הקודמת. אשר לבקרה הנוספת שעושה המשרד בעניין התקצוב בשנים 2010 - 2020, מומלץ כי הוא יתייחס להערות הקופות כפי שאלו עלו בבקרות הקודמות, יפיק לקחים בנוגע לממצאים שעלו בהם, וכי אלו ייבדקו גם במסגרת זו</w:t>
      </w:r>
      <w:r w:rsidRPr="003C4222">
        <w:rPr>
          <w:rFonts w:hint="cs"/>
          <w:rtl/>
        </w:rPr>
        <w:t>.</w:t>
      </w:r>
    </w:p>
    <w:p w:rsidR="00BD206C" w:rsidP="00644F86" w14:paraId="26ED2D32" w14:textId="5FADD170">
      <w:pPr>
        <w:spacing w:line="360" w:lineRule="auto"/>
        <w:rPr>
          <w:szCs w:val="20"/>
          <w:rtl/>
        </w:rPr>
        <w:sectPr w:rsidSect="00F619AB">
          <w:headerReference w:type="even" r:id="rId26"/>
          <w:headerReference w:type="default" r:id="rId27"/>
          <w:pgSz w:w="11906" w:h="16838" w:code="9"/>
          <w:pgMar w:top="3062" w:right="2268" w:bottom="2552" w:left="2268" w:header="1134" w:footer="1361" w:gutter="0"/>
          <w:cols w:space="708"/>
          <w:bidi/>
          <w:rtlGutter/>
          <w:docGrid w:linePitch="360"/>
        </w:sectPr>
      </w:pPr>
    </w:p>
    <w:p w:rsidR="003C4222" w14:paraId="7892D351" w14:textId="77777777">
      <w:pPr>
        <w:bidi w:val="0"/>
        <w:spacing w:after="200" w:line="276" w:lineRule="auto"/>
        <w:rPr>
          <w:szCs w:val="20"/>
          <w:rtl/>
        </w:rPr>
      </w:pPr>
      <w:r>
        <w:rPr>
          <w:szCs w:val="20"/>
          <w:rtl/>
        </w:rPr>
        <w:br w:type="page"/>
      </w:r>
    </w:p>
    <w:p w:rsidR="00FF5B65" w:rsidRPr="00FF5B65" w:rsidP="00FF5B65" w14:paraId="4BABE7BB" w14:textId="0617A170">
      <w:pPr>
        <w:bidi w:val="0"/>
        <w:spacing w:after="200" w:line="276" w:lineRule="auto"/>
        <w:rPr>
          <w:szCs w:val="20"/>
          <w:rtl/>
        </w:rPr>
      </w:pPr>
      <w:r>
        <w:rPr>
          <w:noProof/>
          <w:rtl/>
          <w:lang w:val="he-IL"/>
        </w:rPr>
        <w:drawing>
          <wp:anchor distT="0" distB="0" distL="114300" distR="114300" simplePos="0" relativeHeight="251693056" behindDoc="0" locked="0" layoutInCell="1" allowOverlap="1">
            <wp:simplePos x="0" y="0"/>
            <wp:positionH relativeFrom="column">
              <wp:posOffset>326390</wp:posOffset>
            </wp:positionH>
            <wp:positionV relativeFrom="paragraph">
              <wp:posOffset>660400</wp:posOffset>
            </wp:positionV>
            <wp:extent cx="4261485" cy="2731770"/>
            <wp:effectExtent l="0" t="0" r="5715" b="0"/>
            <wp:wrapSquare wrapText="bothSides"/>
            <wp:docPr id="24785156" name="Picture 2478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889039" name="Picture 24785156"/>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261485" cy="2731770"/>
                    </a:xfrm>
                    <a:prstGeom prst="rect">
                      <a:avLst/>
                    </a:prstGeom>
                  </pic:spPr>
                </pic:pic>
              </a:graphicData>
            </a:graphic>
            <wp14:sizeRelH relativeFrom="margin">
              <wp14:pctWidth>0</wp14:pctWidth>
            </wp14:sizeRelH>
            <wp14:sizeRelV relativeFrom="margin">
              <wp14:pctHeight>0</wp14:pctHeight>
            </wp14:sizeRelV>
          </wp:anchor>
        </w:drawing>
      </w:r>
      <w:r w:rsidR="00C94863">
        <w:rPr>
          <w:noProof/>
          <w:rtl/>
          <w:lang w:val="he-IL"/>
        </w:rPr>
        <mc:AlternateContent>
          <mc:Choice Requires="wpg">
            <w:drawing>
              <wp:anchor distT="0" distB="0" distL="114300" distR="114300" simplePos="0" relativeHeight="251687936" behindDoc="0" locked="0" layoutInCell="1" allowOverlap="1">
                <wp:simplePos x="0" y="0"/>
                <wp:positionH relativeFrom="margin">
                  <wp:posOffset>50165</wp:posOffset>
                </wp:positionH>
                <wp:positionV relativeFrom="paragraph">
                  <wp:posOffset>575</wp:posOffset>
                </wp:positionV>
                <wp:extent cx="4787900" cy="661670"/>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661670"/>
                          <a:chOff x="0" y="108021"/>
                          <a:chExt cx="4787900" cy="662380"/>
                        </a:xfrm>
                      </wpg:grpSpPr>
                      <pic:pic xmlns:pic="http://schemas.openxmlformats.org/drawingml/2006/picture">
                        <pic:nvPicPr>
                          <pic:cNvPr id="23" name="Picture 23"/>
                          <pic:cNvPicPr>
                            <a:picLocks noChangeAspect="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108021"/>
                            <a:ext cx="4787900" cy="662380"/>
                          </a:xfrm>
                          <a:prstGeom prst="rect">
                            <a:avLst/>
                          </a:prstGeom>
                        </pic:spPr>
                      </pic:pic>
                      <wps:wsp xmlns:wps="http://schemas.microsoft.com/office/word/2010/wordprocessingShape">
                        <wps:cNvPr id="36" name="Text Box 2"/>
                        <wps:cNvSpPr txBox="1">
                          <a:spLocks noChangeArrowheads="1"/>
                        </wps:cNvSpPr>
                        <wps:spPr bwMode="auto">
                          <a:xfrm>
                            <a:off x="276225" y="223200"/>
                            <a:ext cx="4428490" cy="316800"/>
                          </a:xfrm>
                          <a:prstGeom prst="rect">
                            <a:avLst/>
                          </a:prstGeom>
                          <a:solidFill>
                            <a:srgbClr val="F05260"/>
                          </a:solidFill>
                          <a:ln w="9525">
                            <a:noFill/>
                            <a:miter lim="800000"/>
                            <a:headEnd/>
                            <a:tailEnd/>
                          </a:ln>
                        </wps:spPr>
                        <wps:txbx>
                          <w:txbxContent>
                            <w:p w:rsidR="00CB22A1" w:rsidRPr="00A47335" w:rsidP="00361AA2" w14:textId="41A53C25">
                              <w:pPr>
                                <w:pStyle w:val="7126"/>
                                <w:spacing w:before="0"/>
                                <w:rPr>
                                  <w:b w:val="0"/>
                                  <w:bCs/>
                                </w:rPr>
                              </w:pPr>
                              <w:r w:rsidRPr="00006DDE">
                                <w:rPr>
                                  <w:b w:val="0"/>
                                  <w:bCs/>
                                  <w:rtl/>
                                </w:rPr>
                                <w:t>הגורמים המשפיעים על התוספת לסל שירותי הבריאות</w:t>
                              </w:r>
                            </w:p>
                          </w:txbxContent>
                        </wps:txbx>
                        <wps:bodyPr rot="0" vert="horz" wrap="square" anchor="ctr" anchorCtr="0"/>
                      </wps:wsp>
                    </wpg:wgp>
                  </a:graphicData>
                </a:graphic>
                <wp14:sizeRelV relativeFrom="margin">
                  <wp14:pctHeight>0</wp14:pctHeight>
                </wp14:sizeRelV>
              </wp:anchor>
            </w:drawing>
          </mc:Choice>
          <mc:Fallback>
            <w:pict>
              <v:group id="Group 2052770959" o:spid="_x0000_s1049" style="width:377pt;height:52.1pt;margin-top:0.05pt;margin-left:3.95pt;mso-height-relative:margin;mso-position-horizontal-relative:margin;position:absolute;z-index:251688960" coordorigin="0,1080" coordsize="47879,6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6624;mso-wrap-style:square;position:absolute;top:1080;visibility:visible">
                  <v:imagedata r:id="rId30" o:title=""/>
                </v:shape>
                <v:shape id="_x0000_s1051" type="#_x0000_t202" style="width:44285;height:3168;left:2762;mso-wrap-style:square;position:absolute;top:2232;visibility:visible;v-text-anchor:middle" fillcolor="#f05260" stroked="f">
                  <v:textbox>
                    <w:txbxContent>
                      <w:p w:rsidR="00CB22A1" w:rsidRPr="00A47335" w:rsidP="00361AA2" w14:paraId="7C0CF9BB" w14:textId="41A53C25">
                        <w:pPr>
                          <w:pStyle w:val="7126"/>
                          <w:spacing w:before="0"/>
                          <w:rPr>
                            <w:b w:val="0"/>
                            <w:bCs/>
                          </w:rPr>
                        </w:pPr>
                        <w:r w:rsidRPr="00006DDE">
                          <w:rPr>
                            <w:b w:val="0"/>
                            <w:bCs/>
                            <w:rtl/>
                          </w:rPr>
                          <w:t>הגורמים המשפיעים על התוספת לסל שירותי הבריאות</w:t>
                        </w:r>
                      </w:p>
                    </w:txbxContent>
                  </v:textbox>
                </v:shape>
                <w10:wrap type="square"/>
              </v:group>
            </w:pict>
          </mc:Fallback>
        </mc:AlternateContent>
      </w:r>
    </w:p>
    <w:p w:rsidR="00FF5B65" w:rsidP="00C94863" w14:paraId="3E50E9B7" w14:textId="6BB1D06A">
      <w:pPr>
        <w:pStyle w:val="7123"/>
        <w:spacing w:before="360"/>
        <w:rPr>
          <w:rtl/>
        </w:rPr>
      </w:pPr>
      <w:r>
        <w:rPr>
          <w:noProof/>
          <w:rtl/>
          <w:lang w:val="he-IL"/>
        </w:rPr>
        <mc:AlternateContent>
          <mc:Choice Requires="wpg">
            <w:drawing>
              <wp:anchor distT="0" distB="0" distL="114300" distR="114300" simplePos="0" relativeHeight="251689984" behindDoc="0" locked="0" layoutInCell="1" allowOverlap="1">
                <wp:simplePos x="0" y="0"/>
                <wp:positionH relativeFrom="margin">
                  <wp:posOffset>-5080</wp:posOffset>
                </wp:positionH>
                <wp:positionV relativeFrom="paragraph">
                  <wp:posOffset>369453</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2" style="width:368.5pt;height:2.95pt;margin-top:29.1pt;margin-left:-0.4pt;mso-position-horizontal-relative:margin;position:absolute;z-index:251691008" coordsize="47244,381">
                <v:line id="Straight Connector 56" o:spid="_x0000_s1053" style="flip:x;mso-wrap-style:square;position:absolute;visibility:visible" from="0,381" to="47244,381" o:connectortype="straight" strokecolor="#0d0d0d" strokeweight="1.5pt"/>
                <v:line id="Straight Connector 57" o:spid="_x0000_s1054" style="flip:x;mso-wrap-style:square;position:absolute;visibility:visible" from="0,0" to="47244,0" o:connectortype="straight" strokecolor="#0d0d0d" strokeweight="1.5pt"/>
                <w10:wrap type="square"/>
              </v:group>
            </w:pict>
          </mc:Fallback>
        </mc:AlternateContent>
      </w:r>
    </w:p>
    <w:p w:rsidR="00F27A70" w:rsidRPr="00C94863" w:rsidP="00C94863" w14:paraId="5E9C70D4" w14:textId="7CB6783E">
      <w:pPr>
        <w:pStyle w:val="7123"/>
        <w:spacing w:before="360"/>
        <w:rPr>
          <w:rtl/>
        </w:rPr>
      </w:pPr>
      <w:r w:rsidRPr="00EF3061">
        <w:rPr>
          <w:rFonts w:hint="cs"/>
          <w:rtl/>
        </w:rPr>
        <w:t>ס</w:t>
      </w:r>
      <w:r w:rsidRPr="00C94863">
        <w:rPr>
          <w:rFonts w:hint="cs"/>
          <w:rtl/>
        </w:rPr>
        <w:t>יכום</w:t>
      </w:r>
    </w:p>
    <w:p w:rsidR="00BD22B5" w:rsidP="000024D3" w14:paraId="73BFF308" w14:textId="30E3C5F4">
      <w:pPr>
        <w:pStyle w:val="7190"/>
        <w:rPr>
          <w:rtl/>
        </w:rPr>
      </w:pPr>
      <w:r w:rsidRPr="00006DDE">
        <w:rPr>
          <w:rtl/>
        </w:rPr>
        <w:t>הרחבת סל שירותי הבריאות מאפשרת להוסיף לסל במימון ציבורי תרופות וטכנולוגיות מתקדמות. ההחלטה לביצוע התיעדוף בין הבקשות היא החלטה ערכית המלווה בהתלבטויות, שכן כל בקשה חשובה בפני עצמה, אך בשל אילוצי התקציב לא ניתן לכלול את כל התרופות והטכנולוגיות המבוקשות בסל השירותים. מומלץ לבצע בתהליך הרחבת הסל תיקונים ושיפורים, שיביאו למיצוי איכותי יותר של תקציב סל שירותי הבריאות שהציבור זכאי לו. נוכח ממצאי דוח זה ונוכח העובדה שוועדת הסל פועלת זה יותר מעשרים שנה בלי שהושלמו דוחות בקרה על פעילותה, יש משנה חשיבות לכך שמועצת הבריאות ומשרדי הבריאות והאוצר יבחנו את כלל פעילותה של הוועדה, וזאת לשם שיפור תפקודה של הוועדה וכדי שהמטופלים יוכלו להפיק את המרב משירותי הבריאות הנכללים בסל</w:t>
      </w:r>
      <w:r w:rsidRPr="00BD7633" w:rsidR="00BD7633">
        <w:rPr>
          <w:rtl/>
        </w:rPr>
        <w:t>.</w:t>
      </w: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FF5B65" w:rsidRPr="003C5EBF" w:rsidP="003C5EBF" w14:paraId="53FDE4EF" w14:textId="4040011B">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729920" behindDoc="0" locked="0" layoutInCell="1" allowOverlap="1">
                <wp:simplePos x="0" y="0"/>
                <wp:positionH relativeFrom="column">
                  <wp:posOffset>4315161</wp:posOffset>
                </wp:positionH>
                <wp:positionV relativeFrom="paragraph">
                  <wp:posOffset>7069001</wp:posOffset>
                </wp:positionV>
                <wp:extent cx="1006609" cy="814508"/>
                <wp:effectExtent l="0" t="0" r="0" b="0"/>
                <wp:wrapNone/>
                <wp:docPr id="21" name="מלבן 21"/>
                <wp:cNvGraphicFramePr/>
                <a:graphic xmlns:a="http://schemas.openxmlformats.org/drawingml/2006/main">
                  <a:graphicData uri="http://schemas.microsoft.com/office/word/2010/wordprocessingShape">
                    <wps:wsp xmlns:wps="http://schemas.microsoft.com/office/word/2010/wordprocessingShape">
                      <wps:cNvSpPr/>
                      <wps:spPr>
                        <a:xfrm>
                          <a:off x="0" y="0"/>
                          <a:ext cx="1006609" cy="81450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21" o:spid="_x0000_s1055" style="width:79.25pt;height:64.15pt;margin-top:556.6pt;margin-left:339.8pt;mso-wrap-distance-bottom:0;mso-wrap-distance-left:9pt;mso-wrap-distance-right:9pt;mso-wrap-distance-top:0;mso-wrap-style:square;position:absolute;visibility:visible;v-text-anchor:middle;z-index:251730944" fillcolor="white" stroked="f" strokeweight="2pt"/>
            </w:pict>
          </mc:Fallback>
        </mc:AlternateContent>
      </w:r>
    </w:p>
    <w:sectPr w:rsidSect="00F619AB">
      <w:headerReference w:type="default" r:id="rId31"/>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03D7A" w:rsidP="00C23CC9" w14:paraId="333284C3" w14:textId="77777777">
      <w:pPr>
        <w:spacing w:line="240" w:lineRule="auto"/>
      </w:pPr>
      <w:r>
        <w:separator/>
      </w:r>
    </w:p>
  </w:footnote>
  <w:footnote w:type="continuationSeparator" w:id="1">
    <w:p w:rsidR="00603D7A" w:rsidP="00C23CC9" w14:paraId="3327A826" w14:textId="77777777">
      <w:pPr>
        <w:spacing w:line="240" w:lineRule="auto"/>
      </w:pPr>
      <w:r>
        <w:continuationSeparator/>
      </w:r>
    </w:p>
    <w:p w:rsidR="00603D7A" w14:paraId="136A966B" w14:textId="77777777"/>
  </w:footnote>
  <w:footnote w:id="2">
    <w:p w:rsidR="00645C45" w:rsidRPr="00645C45" w:rsidP="00645C45" w14:paraId="26BC127C" w14:textId="77777777">
      <w:pPr>
        <w:pStyle w:val="710"/>
      </w:pPr>
      <w:r w:rsidRPr="00645C45">
        <w:rPr>
          <w:rStyle w:val="FootnoteReference0"/>
          <w:vertAlign w:val="baseline"/>
        </w:rPr>
        <w:footnoteRef/>
      </w:r>
      <w:r w:rsidRPr="00645C45">
        <w:rPr>
          <w:rtl/>
        </w:rPr>
        <w:t xml:space="preserve"> </w:t>
      </w:r>
      <w:r w:rsidRPr="00645C45">
        <w:rPr>
          <w:rtl/>
        </w:rPr>
        <w:tab/>
        <w:t>פורום טכנולוגיות שבמשרד הבריאות בוחן את כלל הבקשות המוגשות להרחבת הסל וקובע אם הן עומדות בתנאים הדרושים לצורך העברתן להמשך דיון.</w:t>
      </w:r>
    </w:p>
  </w:footnote>
  <w:footnote w:id="3">
    <w:p w:rsidR="00645C45" w:rsidRPr="00D15A98" w:rsidP="00645C45" w14:paraId="45CDE79B" w14:textId="77777777">
      <w:pPr>
        <w:pStyle w:val="710"/>
        <w:rPr>
          <w:rtl/>
        </w:rPr>
      </w:pPr>
      <w:r w:rsidRPr="00645C45">
        <w:rPr>
          <w:rStyle w:val="FootnoteReference0"/>
          <w:vertAlign w:val="baseline"/>
        </w:rPr>
        <w:footnoteRef/>
      </w:r>
      <w:r w:rsidRPr="00645C45">
        <w:rPr>
          <w:rtl/>
        </w:rPr>
        <w:t xml:space="preserve"> </w:t>
      </w:r>
      <w:r w:rsidRPr="00645C45">
        <w:rPr>
          <w:rtl/>
        </w:rPr>
        <w:tab/>
        <w:t>"מחלות יתום" הן מחלות נדירות. מדובר בקבוצת מחלות קשות, פרוגרסיביות, דגנרטיביות, מסכנות חיים, כרוניות ובעלות שכיחות נמוכה. אין בעולם הגדרה אחידה למחלות אלו.</w:t>
      </w:r>
    </w:p>
  </w:footnote>
  <w:footnote w:id="4">
    <w:p w:rsidR="00645C45" w:rsidRPr="00642202" w:rsidP="00642202" w14:paraId="51B81DC5" w14:textId="77777777">
      <w:pPr>
        <w:pStyle w:val="710"/>
      </w:pPr>
      <w:r w:rsidRPr="00642202">
        <w:rPr>
          <w:rStyle w:val="FootnoteReference0"/>
          <w:vertAlign w:val="baseline"/>
        </w:rPr>
        <w:footnoteRef/>
      </w:r>
      <w:r w:rsidRPr="00642202">
        <w:rPr>
          <w:rtl/>
        </w:rPr>
        <w:t xml:space="preserve"> </w:t>
      </w:r>
      <w:r w:rsidRPr="00642202">
        <w:rPr>
          <w:rtl/>
        </w:rPr>
        <w:tab/>
        <w:t>מקדם זה נועד לשמור על הסל מעודכן בתרופות ובטכנולוגיות החדישות שבאמצעותן ניתן לשפר במידה ניכרת את איכות חייהם של מטופלים רבים ואף להציל את חייהם, אשר יעילותן כבר הוכחה בניסויים קליניים.</w:t>
      </w:r>
    </w:p>
  </w:footnote>
  <w:footnote w:id="5">
    <w:p w:rsidR="00645C45" w:rsidRPr="00D15A98" w:rsidP="00642202" w14:paraId="54B2B927" w14:textId="77777777">
      <w:pPr>
        <w:pStyle w:val="710"/>
        <w:rPr>
          <w:rtl/>
        </w:rPr>
      </w:pPr>
      <w:r w:rsidRPr="00642202">
        <w:rPr>
          <w:rStyle w:val="FootnoteReference0"/>
          <w:vertAlign w:val="baseline"/>
        </w:rPr>
        <w:footnoteRef/>
      </w:r>
      <w:r w:rsidRPr="00642202">
        <w:rPr>
          <w:rtl/>
        </w:rPr>
        <w:t xml:space="preserve"> </w:t>
      </w:r>
      <w:r w:rsidRPr="00642202">
        <w:rPr>
          <w:rtl/>
        </w:rPr>
        <w:tab/>
        <w:t>למשל: רפואה מונעת אישית; מכשירים לשיקום, להליכה ולניידות.</w:t>
      </w:r>
    </w:p>
  </w:footnote>
  <w:footnote w:id="6">
    <w:p w:rsidR="00645C45" w:rsidRPr="00642202" w:rsidP="00642202" w14:paraId="73401696" w14:textId="77777777">
      <w:pPr>
        <w:pStyle w:val="710"/>
        <w:rPr>
          <w:rtl/>
        </w:rPr>
      </w:pPr>
      <w:r w:rsidRPr="00642202">
        <w:rPr>
          <w:rStyle w:val="FootnoteReference0"/>
          <w:vertAlign w:val="baseline"/>
        </w:rPr>
        <w:footnoteRef/>
      </w:r>
      <w:r w:rsidRPr="00642202">
        <w:rPr>
          <w:rtl/>
        </w:rPr>
        <w:t xml:space="preserve"> </w:t>
      </w:r>
      <w:r w:rsidRPr="00642202">
        <w:rPr>
          <w:rtl/>
        </w:rPr>
        <w:tab/>
        <w:t>ועדת המשנה אוספת נתונים, ומתמחרת לפיהם את התוספת התקציבית הנדרשת לתרופות ולטכנולוגיות שהוגשו ומגישה את התמחור לוועדת הסל.</w:t>
      </w:r>
    </w:p>
  </w:footnote>
  <w:footnote w:id="7">
    <w:p w:rsidR="00645C45" w:rsidRPr="00642202" w:rsidP="00642202" w14:paraId="1D878DD5" w14:textId="77777777">
      <w:pPr>
        <w:pStyle w:val="710"/>
      </w:pPr>
      <w:r w:rsidRPr="00642202">
        <w:rPr>
          <w:rStyle w:val="FootnoteReference0"/>
          <w:vertAlign w:val="baseline"/>
        </w:rPr>
        <w:footnoteRef/>
      </w:r>
      <w:r w:rsidRPr="00642202">
        <w:rPr>
          <w:rtl/>
        </w:rPr>
        <w:t xml:space="preserve"> </w:t>
      </w:r>
      <w:r w:rsidRPr="00642202">
        <w:rPr>
          <w:rtl/>
        </w:rPr>
        <w:tab/>
        <w:t>רישומי מחלות - מנוהלים בין השאר במכון גרטנר לחקר אפידמיולוגיה ומדיניות בריאות בע"מ, במרכז הלאומי לבקרת מחלות ובאגף המידע במשרד הבריאות. כמו כן פועלים רישומים לא רשמיים, מטעם איגודים מקצועיים בהסתדרות הרפואית וכן בקופות החולים אשר מנהלות רישומים ייעודיים.</w:t>
      </w:r>
    </w:p>
  </w:footnote>
  <w:footnote w:id="8">
    <w:p w:rsidR="00645C45" w:rsidRPr="00D15A98" w:rsidP="00642202" w14:paraId="77AC5BDB" w14:textId="77777777">
      <w:pPr>
        <w:pStyle w:val="710"/>
        <w:rPr>
          <w:rtl/>
        </w:rPr>
      </w:pPr>
      <w:r w:rsidRPr="00642202">
        <w:rPr>
          <w:rStyle w:val="FootnoteReference0"/>
          <w:vertAlign w:val="baseline"/>
        </w:rPr>
        <w:footnoteRef/>
      </w:r>
      <w:r w:rsidRPr="00642202">
        <w:rPr>
          <w:rtl/>
        </w:rPr>
        <w:t xml:space="preserve"> </w:t>
      </w:r>
      <w:r w:rsidRPr="00642202">
        <w:rPr>
          <w:rtl/>
        </w:rPr>
        <w:tab/>
        <w:t>תרופות המוגדרות כקלאס אפקט הן תרופות השייכות לאותה קבוצה טיפולית, אף שאינן כוללות את אותו החומר הפעיל.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B6302" w14:textId="0557BBF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93023E">
                            <w:rPr>
                              <w:rFonts w:ascii="Tahoma" w:hAnsi="Tahoma" w:cs="Tahoma" w:hint="cs"/>
                              <w:b/>
                              <w:bCs/>
                              <w:rtl/>
                            </w:rPr>
                            <w:t xml:space="preserve">  </w:t>
                          </w:r>
                          <w:r w:rsidRPr="003B76A6" w:rsidR="0093023E">
                            <w:rPr>
                              <w:rFonts w:ascii="Tahoma" w:hAnsi="Tahoma" w:cs="Tahoma"/>
                              <w:b/>
                              <w:bCs/>
                              <w:rtl/>
                            </w:rPr>
                            <w:t>הרחבת סל שירותי הבריאות - תוספת תרופות וטכנולוגיות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B6302" w14:paraId="77809697" w14:textId="0557BBF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93023E">
                      <w:rPr>
                        <w:rFonts w:ascii="Tahoma" w:hAnsi="Tahoma" w:cs="Tahoma" w:hint="cs"/>
                        <w:b/>
                        <w:bCs/>
                        <w:rtl/>
                      </w:rPr>
                      <w:t xml:space="preserve">  </w:t>
                    </w:r>
                    <w:r w:rsidRPr="003B76A6" w:rsidR="0093023E">
                      <w:rPr>
                        <w:rFonts w:ascii="Tahoma" w:hAnsi="Tahoma" w:cs="Tahoma"/>
                        <w:b/>
                        <w:bCs/>
                        <w:rtl/>
                      </w:rPr>
                      <w:t>הרחבת סל שירותי הבריאות - תוספת תרופות וטכנולוגיות</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AD5308" w:rsidRPr="004D562B" w:rsidP="00AD530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D5308"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AD5308" w:rsidRPr="004D562B" w:rsidP="00AD5308" w14:paraId="355E3565"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D5308"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497EC6B5">
                          <w:pPr>
                            <w:jc w:val="left"/>
                            <w:rPr>
                              <w:color w:val="0D0D0D"/>
                              <w:sz w:val="16"/>
                              <w:szCs w:val="16"/>
                            </w:rPr>
                          </w:pPr>
                          <w:r w:rsidRPr="003B76A6">
                            <w:rPr>
                              <w:rFonts w:ascii="Tahoma" w:hAnsi="Tahoma" w:cs="Tahoma"/>
                              <w:color w:val="0D0D0D" w:themeColor="text1" w:themeTint="F2"/>
                              <w:sz w:val="16"/>
                              <w:szCs w:val="16"/>
                              <w:rtl/>
                            </w:rPr>
                            <w:t>הרחבת סל שירותי הבריאות - תוספת תרופות וטכנולוגיות</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497EC6B5">
                    <w:pPr>
                      <w:jc w:val="left"/>
                      <w:rPr>
                        <w:color w:val="0D0D0D"/>
                        <w:sz w:val="16"/>
                        <w:szCs w:val="16"/>
                      </w:rPr>
                    </w:pPr>
                    <w:r w:rsidRPr="003B76A6">
                      <w:rPr>
                        <w:rFonts w:ascii="Tahoma" w:hAnsi="Tahoma" w:cs="Tahoma"/>
                        <w:color w:val="0D0D0D" w:themeColor="text1" w:themeTint="F2"/>
                        <w:sz w:val="16"/>
                        <w:szCs w:val="16"/>
                        <w:rtl/>
                      </w:rPr>
                      <w:t>הרחבת סל שירותי הבריאות - תוספת תרופות וטכנולוגיות</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81720"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6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765912896"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472D75B3">
                          <w:pPr>
                            <w:jc w:val="left"/>
                            <w:rPr>
                              <w:color w:val="0D0D0D"/>
                              <w:sz w:val="16"/>
                              <w:szCs w:val="16"/>
                            </w:rPr>
                          </w:pPr>
                          <w:r w:rsidRPr="003B76A6">
                            <w:rPr>
                              <w:rFonts w:ascii="Tahoma" w:hAnsi="Tahoma" w:cs="Tahoma"/>
                              <w:color w:val="0D0D0D" w:themeColor="text1" w:themeTint="F2"/>
                              <w:sz w:val="16"/>
                              <w:szCs w:val="16"/>
                              <w:rtl/>
                            </w:rPr>
                            <w:t>הרחבת סל שירותי הבריאות - תוספת תרופות וטכנולוגיות</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472D75B3">
                    <w:pPr>
                      <w:jc w:val="left"/>
                      <w:rPr>
                        <w:color w:val="0D0D0D"/>
                        <w:sz w:val="16"/>
                        <w:szCs w:val="16"/>
                      </w:rPr>
                    </w:pPr>
                    <w:r w:rsidRPr="003B76A6">
                      <w:rPr>
                        <w:rFonts w:ascii="Tahoma" w:hAnsi="Tahoma" w:cs="Tahoma"/>
                        <w:color w:val="0D0D0D" w:themeColor="text1" w:themeTint="F2"/>
                        <w:sz w:val="16"/>
                        <w:szCs w:val="16"/>
                        <w:rtl/>
                      </w:rPr>
                      <w:t>הרחבת סל שירותי הבריאות - תוספת תרופות וטכנולוגיות</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90839"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3B76A6" w14:textId="1132FD0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3B76A6" w:rsidR="003B76A6">
                            <w:rPr>
                              <w:rFonts w:ascii="Tahoma" w:hAnsi="Tahoma" w:cs="Tahoma"/>
                              <w:b/>
                              <w:bCs/>
                              <w:rtl/>
                            </w:rPr>
                            <w:t>הרחבת סל שירותי הבריאות - תוספת תרופות וטכנולוגיות</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3B76A6" w14:paraId="2873DE67" w14:textId="1132FD08">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3B76A6" w:rsidR="003B76A6">
                      <w:rPr>
                        <w:rFonts w:ascii="Tahoma" w:hAnsi="Tahoma" w:cs="Tahoma"/>
                        <w:b/>
                        <w:bCs/>
                        <w:rtl/>
                      </w:rPr>
                      <w:t>הרחבת סל שירותי הבריאות - תוספת תרופות וטכנולוגיות</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AD5308" w:rsidRPr="004D562B" w:rsidP="00AD530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D5308"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AD5308" w:rsidRPr="004D562B" w:rsidP="00AD5308" w14:paraId="14E5F1D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D5308"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53"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01156"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3B76A6" w14:textId="3F352B1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3B76A6" w:rsidR="003B76A6">
                            <w:rPr>
                              <w:rFonts w:ascii="Tahoma" w:hAnsi="Tahoma" w:cs="Tahoma"/>
                              <w:b/>
                              <w:bCs/>
                              <w:rtl/>
                            </w:rPr>
                            <w:t>הרחבת סל שירותי הבריאות - תוספת תרופות וטכנולוגיות</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3B76A6" w14:paraId="1C12FDA0" w14:textId="3F352B1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3B76A6" w:rsidR="003B76A6">
                      <w:rPr>
                        <w:rFonts w:ascii="Tahoma" w:hAnsi="Tahoma" w:cs="Tahoma"/>
                        <w:b/>
                        <w:bCs/>
                        <w:rtl/>
                      </w:rPr>
                      <w:t>הרחבת סל שירותי הבריאות - תוספת תרופות וטכנולוגיות</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AD5308" w:rsidRPr="004D562B" w:rsidP="00AD530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D5308"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AD5308" w:rsidRPr="004D562B" w:rsidP="00AD5308" w14:paraId="6C1BFEB1"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D5308"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052770989"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61619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1E25EA0"/>
    <w:multiLevelType w:val="hybridMultilevel"/>
    <w:tmpl w:val="DE3C6736"/>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9B4D56"/>
    <w:multiLevelType w:val="multilevel"/>
    <w:tmpl w:val="2170115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1EED218D"/>
    <w:multiLevelType w:val="multilevel"/>
    <w:tmpl w:val="91F27910"/>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44129F0"/>
    <w:multiLevelType w:val="hybridMultilevel"/>
    <w:tmpl w:val="0F708EC8"/>
    <w:lvl w:ilvl="0">
      <w:start w:val="1"/>
      <w:numFmt w:val="bullet"/>
      <w:lvlText w:val=""/>
      <w:lvlJc w:val="left"/>
      <w:pPr>
        <w:ind w:left="72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7">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3">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13"/>
  </w:num>
  <w:num w:numId="3">
    <w:abstractNumId w:val="18"/>
  </w:num>
  <w:num w:numId="4">
    <w:abstractNumId w:val="10"/>
  </w:num>
  <w:num w:numId="5">
    <w:abstractNumId w:val="12"/>
  </w:num>
  <w:num w:numId="6">
    <w:abstractNumId w:val="23"/>
  </w:num>
  <w:num w:numId="7">
    <w:abstractNumId w:val="2"/>
  </w:num>
  <w:num w:numId="8">
    <w:abstractNumId w:val="15"/>
  </w:num>
  <w:num w:numId="9">
    <w:abstractNumId w:val="5"/>
  </w:num>
  <w:num w:numId="10">
    <w:abstractNumId w:val="20"/>
  </w:num>
  <w:num w:numId="11">
    <w:abstractNumId w:val="4"/>
  </w:num>
  <w:num w:numId="12">
    <w:abstractNumId w:val="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num>
  <w:num w:numId="17">
    <w:abstractNumId w:val="19"/>
  </w:num>
  <w:num w:numId="18">
    <w:abstractNumId w:val="21"/>
  </w:num>
  <w:num w:numId="19">
    <w:abstractNumId w:val="11"/>
  </w:num>
  <w:num w:numId="20">
    <w:abstractNumId w:val="16"/>
  </w:num>
  <w:num w:numId="21">
    <w:abstractNumId w:val="0"/>
  </w:num>
  <w:num w:numId="22">
    <w:abstractNumId w:val="1"/>
  </w:num>
  <w:num w:numId="23">
    <w:abstractNumId w:val="8"/>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201"/>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6DDE"/>
    <w:rsid w:val="00007060"/>
    <w:rsid w:val="000100D8"/>
    <w:rsid w:val="0001014C"/>
    <w:rsid w:val="000107D8"/>
    <w:rsid w:val="0001099A"/>
    <w:rsid w:val="00010F81"/>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C93"/>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2ECC"/>
    <w:rsid w:val="0003410F"/>
    <w:rsid w:val="000344F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52D"/>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CC1"/>
    <w:rsid w:val="00161124"/>
    <w:rsid w:val="00161278"/>
    <w:rsid w:val="00161717"/>
    <w:rsid w:val="00161C3F"/>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4D97"/>
    <w:rsid w:val="0018505D"/>
    <w:rsid w:val="001850C6"/>
    <w:rsid w:val="0018586A"/>
    <w:rsid w:val="001858E5"/>
    <w:rsid w:val="00185B85"/>
    <w:rsid w:val="00186768"/>
    <w:rsid w:val="001868AE"/>
    <w:rsid w:val="00186BD2"/>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1FA5"/>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263"/>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40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761"/>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89F"/>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9B"/>
    <w:rsid w:val="003150C0"/>
    <w:rsid w:val="00315624"/>
    <w:rsid w:val="00315BD6"/>
    <w:rsid w:val="00315D7F"/>
    <w:rsid w:val="00315FF2"/>
    <w:rsid w:val="00316385"/>
    <w:rsid w:val="00316A77"/>
    <w:rsid w:val="00316C57"/>
    <w:rsid w:val="00316F0F"/>
    <w:rsid w:val="003177E2"/>
    <w:rsid w:val="0032022E"/>
    <w:rsid w:val="00320A30"/>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1F79"/>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5C1"/>
    <w:rsid w:val="00384988"/>
    <w:rsid w:val="00384EDD"/>
    <w:rsid w:val="00385426"/>
    <w:rsid w:val="0038575C"/>
    <w:rsid w:val="00385836"/>
    <w:rsid w:val="00385A72"/>
    <w:rsid w:val="00385CBB"/>
    <w:rsid w:val="00385FBB"/>
    <w:rsid w:val="00386D6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6A6"/>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BF"/>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14F3"/>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A75"/>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5AE0"/>
    <w:rsid w:val="004A5D89"/>
    <w:rsid w:val="004A5F0F"/>
    <w:rsid w:val="004A5FCA"/>
    <w:rsid w:val="004A68B3"/>
    <w:rsid w:val="004A6B9E"/>
    <w:rsid w:val="004A6C9C"/>
    <w:rsid w:val="004A6CC0"/>
    <w:rsid w:val="004A6FE6"/>
    <w:rsid w:val="004A7203"/>
    <w:rsid w:val="004A77C4"/>
    <w:rsid w:val="004A7ABE"/>
    <w:rsid w:val="004A7F65"/>
    <w:rsid w:val="004B09A3"/>
    <w:rsid w:val="004B0CA0"/>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CB1"/>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3A3"/>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324"/>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EA1"/>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D7A"/>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B9F"/>
    <w:rsid w:val="00614C2B"/>
    <w:rsid w:val="00614C2C"/>
    <w:rsid w:val="00614E96"/>
    <w:rsid w:val="00614EA9"/>
    <w:rsid w:val="00615072"/>
    <w:rsid w:val="00615EA0"/>
    <w:rsid w:val="00615F30"/>
    <w:rsid w:val="00616E27"/>
    <w:rsid w:val="00617088"/>
    <w:rsid w:val="00617831"/>
    <w:rsid w:val="0062007E"/>
    <w:rsid w:val="00620205"/>
    <w:rsid w:val="006202CC"/>
    <w:rsid w:val="00620410"/>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1AC"/>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202"/>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5C45"/>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ABB"/>
    <w:rsid w:val="006702ED"/>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3F2"/>
    <w:rsid w:val="006774B4"/>
    <w:rsid w:val="00677A1C"/>
    <w:rsid w:val="00677C73"/>
    <w:rsid w:val="00677F7C"/>
    <w:rsid w:val="0068074C"/>
    <w:rsid w:val="006813F0"/>
    <w:rsid w:val="006819D0"/>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488"/>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0CDD"/>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B7D99"/>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475"/>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4A6"/>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A7C"/>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DC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023E"/>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47C8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4CE2"/>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A3E"/>
    <w:rsid w:val="009D1B21"/>
    <w:rsid w:val="009D1EB0"/>
    <w:rsid w:val="009D2A1F"/>
    <w:rsid w:val="009D2BAC"/>
    <w:rsid w:val="009D41AC"/>
    <w:rsid w:val="009D5139"/>
    <w:rsid w:val="009D55EE"/>
    <w:rsid w:val="009D564D"/>
    <w:rsid w:val="009D5843"/>
    <w:rsid w:val="009D5970"/>
    <w:rsid w:val="009D5C32"/>
    <w:rsid w:val="009D622D"/>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B7C"/>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466"/>
    <w:rsid w:val="00A468B1"/>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99F"/>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308"/>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873"/>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2A8"/>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5373"/>
    <w:rsid w:val="00B6668D"/>
    <w:rsid w:val="00B666B9"/>
    <w:rsid w:val="00B66A94"/>
    <w:rsid w:val="00B66F81"/>
    <w:rsid w:val="00B67145"/>
    <w:rsid w:val="00B677F1"/>
    <w:rsid w:val="00B67914"/>
    <w:rsid w:val="00B70767"/>
    <w:rsid w:val="00B707AF"/>
    <w:rsid w:val="00B70882"/>
    <w:rsid w:val="00B709B8"/>
    <w:rsid w:val="00B70DC2"/>
    <w:rsid w:val="00B717DC"/>
    <w:rsid w:val="00B72BC9"/>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AC"/>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83E"/>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4A"/>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6B9"/>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557"/>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5FFC"/>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7BF"/>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C6E"/>
    <w:rsid w:val="00D11D11"/>
    <w:rsid w:val="00D12AD5"/>
    <w:rsid w:val="00D136C3"/>
    <w:rsid w:val="00D138B4"/>
    <w:rsid w:val="00D13D12"/>
    <w:rsid w:val="00D140C2"/>
    <w:rsid w:val="00D149DF"/>
    <w:rsid w:val="00D152AA"/>
    <w:rsid w:val="00D15500"/>
    <w:rsid w:val="00D15A98"/>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515"/>
    <w:rsid w:val="00D546D9"/>
    <w:rsid w:val="00D54AEA"/>
    <w:rsid w:val="00D54E4B"/>
    <w:rsid w:val="00D55A96"/>
    <w:rsid w:val="00D56552"/>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6BD8"/>
    <w:rsid w:val="00DC7C31"/>
    <w:rsid w:val="00DD0C3F"/>
    <w:rsid w:val="00DD1AE2"/>
    <w:rsid w:val="00DD1F41"/>
    <w:rsid w:val="00DD26CC"/>
    <w:rsid w:val="00DD3543"/>
    <w:rsid w:val="00DD3766"/>
    <w:rsid w:val="00DD380F"/>
    <w:rsid w:val="00DD3FA7"/>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ECA"/>
    <w:rsid w:val="00DE43A8"/>
    <w:rsid w:val="00DE52B7"/>
    <w:rsid w:val="00DE59EE"/>
    <w:rsid w:val="00DE6636"/>
    <w:rsid w:val="00DE6C5F"/>
    <w:rsid w:val="00DE70EA"/>
    <w:rsid w:val="00DF0175"/>
    <w:rsid w:val="00DF0B89"/>
    <w:rsid w:val="00DF0CFA"/>
    <w:rsid w:val="00DF131B"/>
    <w:rsid w:val="00DF1325"/>
    <w:rsid w:val="00DF152E"/>
    <w:rsid w:val="00DF164A"/>
    <w:rsid w:val="00DF1AF6"/>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2F9"/>
    <w:rsid w:val="00E063DE"/>
    <w:rsid w:val="00E0671B"/>
    <w:rsid w:val="00E06E82"/>
    <w:rsid w:val="00E07453"/>
    <w:rsid w:val="00E07E7B"/>
    <w:rsid w:val="00E07F6A"/>
    <w:rsid w:val="00E113D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2C7"/>
    <w:rsid w:val="00E70552"/>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235"/>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C5E"/>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1F09"/>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4045E"/>
    <w:rsid w:val="00F40730"/>
    <w:rsid w:val="00F40CC5"/>
    <w:rsid w:val="00F40E48"/>
    <w:rsid w:val="00F410B5"/>
    <w:rsid w:val="00F4180B"/>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B3A"/>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B65"/>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pPr>
      <w:ind w:left="1191" w:hanging="397"/>
    </w:pPr>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character" w:customStyle="1" w:styleId="Headerorfooter11pt">
    <w:name w:val="Header or footer + 11 pt"/>
    <w:basedOn w:val="Headerorfooter"/>
    <w:rsid w:val="0064220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he-IL" w:eastAsia="he-IL" w:bidi="he-IL"/>
    </w:rPr>
  </w:style>
  <w:style w:type="character" w:customStyle="1" w:styleId="Bodytext7Bold">
    <w:name w:val="Body text (7) + Bold"/>
    <w:basedOn w:val="Bodytext7"/>
    <w:rsid w:val="00642202"/>
    <w:rPr>
      <w:rFonts w:eastAsia="Times New Roman" w:cs="Times New Roman"/>
      <w:b/>
      <w:bCs/>
      <w:color w:val="000000"/>
      <w:spacing w:val="0"/>
      <w:w w:val="100"/>
      <w:position w:val="0"/>
      <w:sz w:val="24"/>
      <w:szCs w:val="24"/>
      <w:shd w:val="clear" w:color="auto" w:fill="FFFFFF"/>
      <w:lang w:val="he-IL" w:eastAsia="he-IL" w:bidi="he-IL"/>
    </w:rPr>
  </w:style>
  <w:style w:type="table" w:styleId="PlainTable3">
    <w:name w:val="Plain Table 3"/>
    <w:basedOn w:val="TableNormal"/>
    <w:uiPriority w:val="43"/>
    <w:rsid w:val="006422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64220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a37">
    <w:name w:val="סגנון בסיס"/>
    <w:basedOn w:val="Normal"/>
    <w:rsid w:val="00642202"/>
    <w:pPr>
      <w:spacing w:line="360" w:lineRule="auto"/>
      <w:ind w:right="360"/>
    </w:pPr>
    <w:rPr>
      <w:rFonts w:eastAsia="Times New Roman" w:cs="Narkisim"/>
      <w:sz w:val="24"/>
      <w:szCs w:val="25"/>
      <w:lang w:eastAsia="he-IL"/>
    </w:rPr>
  </w:style>
  <w:style w:type="character" w:customStyle="1" w:styleId="main">
    <w:name w:val="main"/>
    <w:basedOn w:val="DefaultParagraphFont"/>
    <w:rsid w:val="00642202"/>
  </w:style>
  <w:style w:type="character" w:customStyle="1" w:styleId="example">
    <w:name w:val="example"/>
    <w:basedOn w:val="DefaultParagraphFont"/>
    <w:rsid w:val="00642202"/>
  </w:style>
  <w:style w:type="character" w:customStyle="1" w:styleId="hebrewoption">
    <w:name w:val="hebrew_option"/>
    <w:basedOn w:val="DefaultParagraphFont"/>
    <w:rsid w:val="00642202"/>
  </w:style>
  <w:style w:type="character" w:customStyle="1" w:styleId="718Char">
    <w:name w:val="71ג כותרת 8 בתוך טקסט Char"/>
    <w:basedOn w:val="DefaultParagraphFont"/>
    <w:link w:val="7180"/>
    <w:rsid w:val="00331F79"/>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331F79"/>
    <w:pPr>
      <w:spacing w:after="180" w:line="260" w:lineRule="exact"/>
    </w:pPr>
    <w:rPr>
      <w:rFonts w:ascii="Tahoma" w:hAnsi="Tahoma" w:cs="Tahoma"/>
      <w:color w:val="0D0D0D" w:themeColor="text1" w:themeTint="F2"/>
      <w:spacing w:val="2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header" Target="header4.xml" /><Relationship Id="rId24" Type="http://schemas.openxmlformats.org/officeDocument/2006/relationships/footer" Target="footer4.xml" /><Relationship Id="rId25" Type="http://schemas.openxmlformats.org/officeDocument/2006/relationships/image" Target="media/image13.jpeg"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image" Target="media/image14.jpeg" /><Relationship Id="rId29" Type="http://schemas.openxmlformats.org/officeDocument/2006/relationships/image" Target="media/image15.jpeg" /><Relationship Id="rId3" Type="http://schemas.openxmlformats.org/officeDocument/2006/relationships/webSettings" Target="webSettings.xml" /><Relationship Id="rId30" Type="http://schemas.openxmlformats.org/officeDocument/2006/relationships/image" Target="media/image16.png"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1.jpeg" /><Relationship Id="rId2" Type="http://schemas.openxmlformats.org/officeDocument/2006/relationships/image" Target="media/image12.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7.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056D-8EBA-499F-87AF-4ECFB6B03216}"/>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