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bookmarkStart w:id="0" w:name="_Hlk63775048"/>
    <w:bookmarkEnd w:id="0"/>
    <w:p w:rsidR="008B2E28" w:rsidP="008D2388" w14:paraId="1815C0C8" w14:textId="116D82E1">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675648"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39808" from="-46.45pt,-19.2pt" to="482.8pt,-19.2pt" strokecolor="#0d0d0d" strokeweight="0.25pt"/>
            </w:pict>
          </mc:Fallback>
        </mc:AlternateContent>
      </w:r>
      <w:r w:rsidR="003C32FE">
        <w:rPr>
          <w:rFonts w:ascii="Tahoma" w:hAnsi="Tahoma" w:cs="Tahoma"/>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12700" t="12700" r="12700" b="158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2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956" name="Picture 956"/>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6424F71">
      <w:pPr>
        <w:spacing w:line="240" w:lineRule="atLeast"/>
        <w:jc w:val="center"/>
        <w:rPr>
          <w:rFonts w:ascii="Tahoma" w:hAnsi="Tahoma" w:cs="Tahoma"/>
          <w:szCs w:val="18"/>
          <w:rtl/>
        </w:rPr>
      </w:pPr>
    </w:p>
    <w:p w:rsidR="003C32FE" w:rsidP="003C32FE" w14:paraId="7A26D94A" w14:textId="4A714FAD">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-286630</wp:posOffset>
                </wp:positionH>
                <wp:positionV relativeFrom="paragraph">
                  <wp:posOffset>2144151</wp:posOffset>
                </wp:positionV>
                <wp:extent cx="3139977" cy="0"/>
                <wp:effectExtent l="12700" t="12700" r="1016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313997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9" style="flip:x;mso-height-percent:0;mso-height-relative:margin;mso-width-percent:0;mso-width-relative:margin;mso-wrap-distance-bottom:0;mso-wrap-distance-left:9pt;mso-wrap-distance-right:9pt;mso-wrap-distance-top:0;mso-wrap-style:square;position:absolute;visibility:visible;z-index:251669504" from="-22.55pt,168.85pt" to="224.7pt,168.85pt" strokecolor="white" strokeweight="1.5pt"/>
            </w:pict>
          </mc:Fallback>
        </mc:AlternateContent>
      </w: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3065780</wp:posOffset>
                </wp:positionH>
                <wp:positionV relativeFrom="paragraph">
                  <wp:posOffset>365955</wp:posOffset>
                </wp:positionV>
                <wp:extent cx="0" cy="3298874"/>
                <wp:effectExtent l="25400" t="0" r="25400" b="2857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298874"/>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30" style="mso-height-percent:0;mso-height-relative:margin;mso-wrap-distance-bottom:0;mso-wrap-distance-left:9pt;mso-wrap-distance-right:9pt;mso-wrap-distance-top:0;mso-wrap-style:square;position:absolute;visibility:visible;z-index:251667456" from="241.4pt,28.8pt" to="241.4pt,288.55pt" strokecolor="white" strokeweight="4pt"/>
            </w:pict>
          </mc:Fallback>
        </mc:AlternateContent>
      </w:r>
      <w:r w:rsidRPr="0030415A">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-371475</wp:posOffset>
                </wp:positionH>
                <wp:positionV relativeFrom="paragraph">
                  <wp:posOffset>260350</wp:posOffset>
                </wp:positionV>
                <wp:extent cx="4782820" cy="4273550"/>
                <wp:effectExtent l="0" t="0" r="5080" b="635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782820" cy="4273550"/>
                        </a:xfrm>
                        <a:prstGeom prst="rect">
                          <a:avLst/>
                        </a:prstGeom>
                        <a:solidFill>
                          <a:srgbClr val="00305F"/>
                        </a:solidFill>
                        <a:ln w="9525">
                          <a:noFill/>
                          <a:miter lim="800000"/>
                          <a:headEnd/>
                          <a:tailEnd/>
                        </a:ln>
                      </wps:spPr>
                      <wps:txbx>
                        <w:txbxContent>
                          <w:p w:rsidR="00CB22A1" w:rsidP="0052031E" w14:textId="77777777">
                            <w:pPr>
                              <w:ind w:left="2268"/>
                              <w:rPr>
                                <w:rFonts w:ascii="Tahoma" w:hAnsi="Tahoma" w:cs="Tahoma"/>
                                <w:sz w:val="18"/>
                                <w:szCs w:val="18"/>
                                <w:rtl/>
                              </w:rPr>
                            </w:pPr>
                          </w:p>
                          <w:p w:rsidR="00CB22A1" w:rsidP="0052031E" w14:textId="77777777">
                            <w:pPr>
                              <w:ind w:left="2268"/>
                              <w:rPr>
                                <w:rFonts w:ascii="Tahoma" w:hAnsi="Tahoma" w:cs="Tahoma"/>
                                <w:sz w:val="18"/>
                                <w:szCs w:val="18"/>
                                <w:rtl/>
                              </w:rPr>
                            </w:pPr>
                          </w:p>
                          <w:p w:rsidR="002729B3" w:rsidRPr="0052031E" w:rsidP="002729B3" w14:textId="10566E7A">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sidR="006A20D1">
                              <w:rPr>
                                <w:rFonts w:ascii="Tahoma" w:hAnsi="Tahoma" w:cs="Tahoma" w:hint="cs"/>
                                <w:sz w:val="18"/>
                                <w:szCs w:val="18"/>
                                <w:rtl/>
                              </w:rPr>
                              <w:t xml:space="preserve"> </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w:t>
                            </w:r>
                            <w:r w:rsidR="006A20D1">
                              <w:rPr>
                                <w:rFonts w:ascii="Tahoma" w:hAnsi="Tahoma" w:cs="Tahoma" w:hint="cs"/>
                                <w:sz w:val="18"/>
                                <w:szCs w:val="18"/>
                                <w:rtl/>
                              </w:rPr>
                              <w:t xml:space="preserve"> אייר</w:t>
                            </w:r>
                            <w:r>
                              <w:rPr>
                                <w:rFonts w:ascii="Tahoma" w:hAnsi="Tahoma" w:cs="Tahoma" w:hint="cs"/>
                                <w:sz w:val="18"/>
                                <w:szCs w:val="18"/>
                                <w:rtl/>
                              </w:rPr>
                              <w:t xml:space="preserve"> התשפ״ב</w:t>
                            </w:r>
                            <w:r w:rsidR="006A20D1">
                              <w:rPr>
                                <w:rFonts w:ascii="Tahoma" w:hAnsi="Tahoma" w:cs="Tahoma" w:hint="cs"/>
                                <w:sz w:val="18"/>
                                <w:szCs w:val="18"/>
                                <w:rtl/>
                              </w:rPr>
                              <w:t xml:space="preserve"> </w:t>
                            </w:r>
                            <w:r w:rsidRPr="0052031E">
                              <w:rPr>
                                <w:rFonts w:ascii="Tahoma" w:hAnsi="Tahoma" w:cs="Tahoma"/>
                                <w:sz w:val="18"/>
                                <w:szCs w:val="18"/>
                                <w:rtl/>
                              </w:rPr>
                              <w:t xml:space="preserve"> |</w:t>
                            </w:r>
                            <w:r>
                              <w:rPr>
                                <w:rFonts w:ascii="Tahoma" w:hAnsi="Tahoma" w:cs="Tahoma" w:hint="cs"/>
                                <w:sz w:val="18"/>
                                <w:szCs w:val="18"/>
                                <w:rtl/>
                              </w:rPr>
                              <w:t xml:space="preserve"> </w:t>
                            </w:r>
                            <w:r w:rsidR="006A20D1">
                              <w:rPr>
                                <w:rFonts w:ascii="Tahoma" w:hAnsi="Tahoma" w:cs="Tahoma" w:hint="cs"/>
                                <w:sz w:val="18"/>
                                <w:szCs w:val="18"/>
                                <w:rtl/>
                              </w:rPr>
                              <w:t xml:space="preserve"> מאי</w:t>
                            </w:r>
                            <w:r>
                              <w:rPr>
                                <w:rFonts w:ascii="Tahoma" w:hAnsi="Tahoma" w:cs="Tahoma" w:hint="cs"/>
                                <w:sz w:val="18"/>
                                <w:szCs w:val="18"/>
                                <w:rtl/>
                              </w:rPr>
                              <w:t xml:space="preserve"> 2022 </w:t>
                            </w:r>
                          </w:p>
                          <w:p w:rsidR="00CB22A1" w:rsidP="0052031E" w14:textId="77777777">
                            <w:pPr>
                              <w:ind w:left="2268"/>
                              <w:rPr>
                                <w:rtl/>
                              </w:rPr>
                            </w:pPr>
                          </w:p>
                          <w:p w:rsidR="002729B3" w:rsidP="0052031E" w14:textId="77777777">
                            <w:pPr>
                              <w:ind w:left="2268"/>
                            </w:pPr>
                          </w:p>
                          <w:p w:rsidR="002729B3" w:rsidP="0052031E" w14:textId="77777777">
                            <w:pPr>
                              <w:ind w:left="2268"/>
                            </w:pPr>
                          </w:p>
                          <w:p w:rsidR="009E76A6" w:rsidP="0052031E" w14:textId="77777777">
                            <w:pPr>
                              <w:ind w:left="2268"/>
                              <w:rPr>
                                <w:rFonts w:ascii="Tahoma" w:hAnsi="Tahoma" w:eastAsiaTheme="minorEastAsia" w:cs="Tahoma"/>
                                <w:color w:val="FFFFFF" w:themeColor="background1"/>
                                <w:sz w:val="28"/>
                                <w:szCs w:val="28"/>
                              </w:rPr>
                            </w:pPr>
                            <w:r>
                              <w:rPr>
                                <w:rFonts w:ascii="Tahoma" w:hAnsi="Tahoma" w:eastAsiaTheme="minorEastAsia" w:cs="Tahoma" w:hint="cs"/>
                                <w:color w:val="FFFFFF" w:themeColor="background1"/>
                                <w:sz w:val="28"/>
                                <w:szCs w:val="28"/>
                                <w:rtl/>
                              </w:rPr>
                              <w:t xml:space="preserve">משרד הכלכלה והתעשייה </w:t>
                            </w:r>
                            <w:r>
                              <w:rPr>
                                <w:rFonts w:ascii="Tahoma" w:hAnsi="Tahoma" w:eastAsiaTheme="minorEastAsia" w:cs="Tahoma"/>
                                <w:color w:val="FFFFFF" w:themeColor="background1"/>
                                <w:sz w:val="28"/>
                                <w:szCs w:val="28"/>
                                <w:rtl/>
                              </w:rPr>
                              <w:t>–</w:t>
                            </w:r>
                            <w:r>
                              <w:rPr>
                                <w:rFonts w:ascii="Tahoma" w:hAnsi="Tahoma" w:eastAsiaTheme="minorEastAsia" w:cs="Tahoma" w:hint="cs"/>
                                <w:color w:val="FFFFFF" w:themeColor="background1"/>
                                <w:sz w:val="28"/>
                                <w:szCs w:val="28"/>
                                <w:rtl/>
                              </w:rPr>
                              <w:t xml:space="preserve"> </w:t>
                            </w:r>
                          </w:p>
                          <w:p w:rsidR="00CB22A1" w:rsidRPr="00876ED9" w:rsidP="0052031E" w14:textId="56072E9A">
                            <w:pPr>
                              <w:ind w:left="2268"/>
                              <w:rPr>
                                <w:rFonts w:ascii="Tahoma" w:hAnsi="Tahoma" w:eastAsiaTheme="minorEastAsia" w:cs="Tahoma"/>
                                <w:color w:val="FFFFFF" w:themeColor="background1"/>
                                <w:sz w:val="28"/>
                                <w:szCs w:val="28"/>
                                <w:rtl/>
                              </w:rPr>
                            </w:pPr>
                            <w:r>
                              <w:rPr>
                                <w:rFonts w:ascii="Tahoma" w:hAnsi="Tahoma" w:eastAsiaTheme="minorEastAsia" w:cs="Tahoma" w:hint="cs"/>
                                <w:color w:val="FFFFFF" w:themeColor="background1"/>
                                <w:sz w:val="28"/>
                                <w:szCs w:val="28"/>
                                <w:rtl/>
                              </w:rPr>
                              <w:t>זרוע העבודה</w:t>
                            </w:r>
                          </w:p>
                          <w:p w:rsidR="00CB22A1" w:rsidP="002D268F" w14:textId="1D04B66F">
                            <w:pPr>
                              <w:spacing w:before="360" w:line="600" w:lineRule="exact"/>
                              <w:ind w:left="2268"/>
                              <w:jc w:val="left"/>
                              <w:rPr>
                                <w:rFonts w:ascii="Tahoma" w:hAnsi="Tahoma" w:cs="Tahoma"/>
                                <w:b/>
                                <w:bCs/>
                                <w:color w:val="FFFFFF" w:themeColor="background1"/>
                                <w:sz w:val="44"/>
                                <w:szCs w:val="44"/>
                              </w:rPr>
                            </w:pPr>
                            <w:r w:rsidRPr="006F18DE">
                              <w:rPr>
                                <w:rFonts w:ascii="Tahoma" w:hAnsi="Tahoma" w:cs="Tahoma"/>
                                <w:b/>
                                <w:bCs/>
                                <w:color w:val="FFFFFF" w:themeColor="background1"/>
                                <w:sz w:val="44"/>
                                <w:szCs w:val="44"/>
                                <w:rtl/>
                              </w:rPr>
                              <w:t>בטיחות העובדים בענף הבנייה</w:t>
                            </w:r>
                          </w:p>
                          <w:p w:rsidR="009E76A6" w:rsidRPr="00344BBF" w:rsidP="002D268F" w14:textId="77777777">
                            <w:pPr>
                              <w:spacing w:before="360" w:line="600" w:lineRule="exact"/>
                              <w:ind w:left="2268"/>
                              <w:jc w:val="left"/>
                              <w:rPr>
                                <w:rFonts w:ascii="Tahoma" w:hAnsi="Tahoma" w:cs="Tahoma"/>
                                <w:b/>
                                <w:bCs/>
                                <w:color w:val="FFFFFF" w:themeColor="background1"/>
                                <w:sz w:val="44"/>
                                <w:szCs w:val="44"/>
                                <w:rtl/>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width:376.6pt;height:336.5pt;margin-top:20.5pt;margin-left:-29.2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CB22A1" w:rsidP="0052031E" w14:paraId="3B790B1A" w14:textId="77777777">
                      <w:pPr>
                        <w:ind w:left="2268"/>
                        <w:rPr>
                          <w:rFonts w:ascii="Tahoma" w:hAnsi="Tahoma" w:cs="Tahoma"/>
                          <w:sz w:val="18"/>
                          <w:szCs w:val="18"/>
                          <w:rtl/>
                        </w:rPr>
                      </w:pPr>
                    </w:p>
                    <w:p w:rsidR="00CB22A1" w:rsidP="0052031E" w14:paraId="01373895" w14:textId="77777777">
                      <w:pPr>
                        <w:ind w:left="2268"/>
                        <w:rPr>
                          <w:rFonts w:ascii="Tahoma" w:hAnsi="Tahoma" w:cs="Tahoma"/>
                          <w:sz w:val="18"/>
                          <w:szCs w:val="18"/>
                          <w:rtl/>
                        </w:rPr>
                      </w:pPr>
                    </w:p>
                    <w:p w:rsidR="002729B3" w:rsidRPr="0052031E" w:rsidP="002729B3" w14:paraId="22DA1383" w14:textId="10566E7A">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sidR="006A20D1">
                        <w:rPr>
                          <w:rFonts w:ascii="Tahoma" w:hAnsi="Tahoma" w:cs="Tahoma" w:hint="cs"/>
                          <w:sz w:val="18"/>
                          <w:szCs w:val="18"/>
                          <w:rtl/>
                        </w:rPr>
                        <w:t xml:space="preserve"> </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w:t>
                      </w:r>
                      <w:r w:rsidR="006A20D1">
                        <w:rPr>
                          <w:rFonts w:ascii="Tahoma" w:hAnsi="Tahoma" w:cs="Tahoma" w:hint="cs"/>
                          <w:sz w:val="18"/>
                          <w:szCs w:val="18"/>
                          <w:rtl/>
                        </w:rPr>
                        <w:t xml:space="preserve"> אייר</w:t>
                      </w:r>
                      <w:r>
                        <w:rPr>
                          <w:rFonts w:ascii="Tahoma" w:hAnsi="Tahoma" w:cs="Tahoma" w:hint="cs"/>
                          <w:sz w:val="18"/>
                          <w:szCs w:val="18"/>
                          <w:rtl/>
                        </w:rPr>
                        <w:t xml:space="preserve"> </w:t>
                      </w:r>
                      <w:r>
                        <w:rPr>
                          <w:rFonts w:ascii="Tahoma" w:hAnsi="Tahoma" w:cs="Tahoma" w:hint="cs"/>
                          <w:sz w:val="18"/>
                          <w:szCs w:val="18"/>
                          <w:rtl/>
                        </w:rPr>
                        <w:t>התשפ״ב</w:t>
                      </w:r>
                      <w:r w:rsidR="006A20D1">
                        <w:rPr>
                          <w:rFonts w:ascii="Tahoma" w:hAnsi="Tahoma" w:cs="Tahoma" w:hint="cs"/>
                          <w:sz w:val="18"/>
                          <w:szCs w:val="18"/>
                          <w:rtl/>
                        </w:rPr>
                        <w:t xml:space="preserve"> </w:t>
                      </w:r>
                      <w:r w:rsidRPr="0052031E">
                        <w:rPr>
                          <w:rFonts w:ascii="Tahoma" w:hAnsi="Tahoma" w:cs="Tahoma"/>
                          <w:sz w:val="18"/>
                          <w:szCs w:val="18"/>
                          <w:rtl/>
                        </w:rPr>
                        <w:t xml:space="preserve"> |</w:t>
                      </w:r>
                      <w:r>
                        <w:rPr>
                          <w:rFonts w:ascii="Tahoma" w:hAnsi="Tahoma" w:cs="Tahoma" w:hint="cs"/>
                          <w:sz w:val="18"/>
                          <w:szCs w:val="18"/>
                          <w:rtl/>
                        </w:rPr>
                        <w:t xml:space="preserve"> </w:t>
                      </w:r>
                      <w:r w:rsidR="006A20D1">
                        <w:rPr>
                          <w:rFonts w:ascii="Tahoma" w:hAnsi="Tahoma" w:cs="Tahoma" w:hint="cs"/>
                          <w:sz w:val="18"/>
                          <w:szCs w:val="18"/>
                          <w:rtl/>
                        </w:rPr>
                        <w:t xml:space="preserve"> מאי</w:t>
                      </w:r>
                      <w:r>
                        <w:rPr>
                          <w:rFonts w:ascii="Tahoma" w:hAnsi="Tahoma" w:cs="Tahoma" w:hint="cs"/>
                          <w:sz w:val="18"/>
                          <w:szCs w:val="18"/>
                          <w:rtl/>
                        </w:rPr>
                        <w:t xml:space="preserve"> 2022 </w:t>
                      </w:r>
                    </w:p>
                    <w:p w:rsidR="00CB22A1" w:rsidP="0052031E" w14:paraId="7A4F68DA" w14:textId="77777777">
                      <w:pPr>
                        <w:ind w:left="2268"/>
                        <w:rPr>
                          <w:rtl/>
                        </w:rPr>
                      </w:pPr>
                    </w:p>
                    <w:p w:rsidR="002729B3" w:rsidP="0052031E" w14:paraId="52ACC7D5" w14:textId="77777777">
                      <w:pPr>
                        <w:ind w:left="2268"/>
                      </w:pPr>
                    </w:p>
                    <w:p w:rsidR="002729B3" w:rsidP="0052031E" w14:paraId="1299F577" w14:textId="77777777">
                      <w:pPr>
                        <w:ind w:left="2268"/>
                      </w:pPr>
                    </w:p>
                    <w:p w:rsidR="009E76A6" w:rsidP="0052031E" w14:paraId="6C93A1D5" w14:textId="77777777">
                      <w:pPr>
                        <w:ind w:left="2268"/>
                        <w:rPr>
                          <w:rFonts w:ascii="Tahoma" w:hAnsi="Tahoma" w:eastAsiaTheme="minorEastAsia" w:cs="Tahoma"/>
                          <w:color w:val="FFFFFF" w:themeColor="background1"/>
                          <w:sz w:val="28"/>
                          <w:szCs w:val="28"/>
                        </w:rPr>
                      </w:pPr>
                      <w:r>
                        <w:rPr>
                          <w:rFonts w:ascii="Tahoma" w:hAnsi="Tahoma" w:eastAsiaTheme="minorEastAsia" w:cs="Tahoma" w:hint="cs"/>
                          <w:color w:val="FFFFFF" w:themeColor="background1"/>
                          <w:sz w:val="28"/>
                          <w:szCs w:val="28"/>
                          <w:rtl/>
                        </w:rPr>
                        <w:t xml:space="preserve">משרד הכלכלה והתעשייה </w:t>
                      </w:r>
                      <w:r>
                        <w:rPr>
                          <w:rFonts w:ascii="Tahoma" w:hAnsi="Tahoma" w:eastAsiaTheme="minorEastAsia" w:cs="Tahoma"/>
                          <w:color w:val="FFFFFF" w:themeColor="background1"/>
                          <w:sz w:val="28"/>
                          <w:szCs w:val="28"/>
                          <w:rtl/>
                        </w:rPr>
                        <w:t>–</w:t>
                      </w:r>
                      <w:r>
                        <w:rPr>
                          <w:rFonts w:ascii="Tahoma" w:hAnsi="Tahoma" w:eastAsiaTheme="minorEastAsia" w:cs="Tahoma" w:hint="cs"/>
                          <w:color w:val="FFFFFF" w:themeColor="background1"/>
                          <w:sz w:val="28"/>
                          <w:szCs w:val="28"/>
                          <w:rtl/>
                        </w:rPr>
                        <w:t xml:space="preserve"> </w:t>
                      </w:r>
                    </w:p>
                    <w:p w:rsidR="00CB22A1" w:rsidRPr="00876ED9" w:rsidP="0052031E" w14:paraId="028C1DED" w14:textId="56072E9A">
                      <w:pPr>
                        <w:ind w:left="2268"/>
                        <w:rPr>
                          <w:rFonts w:ascii="Tahoma" w:hAnsi="Tahoma" w:eastAsiaTheme="minorEastAsia" w:cs="Tahoma"/>
                          <w:color w:val="FFFFFF" w:themeColor="background1"/>
                          <w:sz w:val="28"/>
                          <w:szCs w:val="28"/>
                          <w:rtl/>
                        </w:rPr>
                      </w:pPr>
                      <w:r>
                        <w:rPr>
                          <w:rFonts w:ascii="Tahoma" w:hAnsi="Tahoma" w:eastAsiaTheme="minorEastAsia" w:cs="Tahoma" w:hint="cs"/>
                          <w:color w:val="FFFFFF" w:themeColor="background1"/>
                          <w:sz w:val="28"/>
                          <w:szCs w:val="28"/>
                          <w:rtl/>
                        </w:rPr>
                        <w:t>זרוע העבודה</w:t>
                      </w:r>
                    </w:p>
                    <w:p w:rsidR="00CB22A1" w:rsidP="002D268F" w14:paraId="5464BE8D" w14:textId="1D04B66F">
                      <w:pPr>
                        <w:spacing w:before="360" w:line="600" w:lineRule="exact"/>
                        <w:ind w:left="2268"/>
                        <w:jc w:val="left"/>
                        <w:rPr>
                          <w:rFonts w:ascii="Tahoma" w:hAnsi="Tahoma" w:cs="Tahoma"/>
                          <w:b/>
                          <w:bCs/>
                          <w:color w:val="FFFFFF" w:themeColor="background1"/>
                          <w:sz w:val="44"/>
                          <w:szCs w:val="44"/>
                        </w:rPr>
                      </w:pPr>
                      <w:r w:rsidRPr="006F18DE">
                        <w:rPr>
                          <w:rFonts w:ascii="Tahoma" w:hAnsi="Tahoma" w:cs="Tahoma"/>
                          <w:b/>
                          <w:bCs/>
                          <w:color w:val="FFFFFF" w:themeColor="background1"/>
                          <w:sz w:val="44"/>
                          <w:szCs w:val="44"/>
                          <w:rtl/>
                        </w:rPr>
                        <w:t>בטיחות העובדים בענף הבנייה</w:t>
                      </w:r>
                    </w:p>
                    <w:p w:rsidR="009E76A6" w:rsidRPr="00344BBF" w:rsidP="002D268F" w14:paraId="58D77419" w14:textId="77777777">
                      <w:pPr>
                        <w:spacing w:before="360" w:line="600" w:lineRule="exact"/>
                        <w:ind w:left="2268"/>
                        <w:jc w:val="left"/>
                        <w:rPr>
                          <w:rFonts w:ascii="Tahoma" w:hAnsi="Tahoma" w:cs="Tahoma"/>
                          <w:b/>
                          <w:bCs/>
                          <w:color w:val="FFFFFF" w:themeColor="background1"/>
                          <w:sz w:val="44"/>
                          <w:szCs w:val="44"/>
                          <w:rtl/>
                        </w:rPr>
                      </w:pP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626340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471993" name="Picture 10"/>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5E7A884B">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F619AB">
          <w:headerReference w:type="even" r:id="rId11"/>
          <w:headerReference w:type="default" r:id="rId12"/>
          <w:footerReference w:type="default" r:id="rId13"/>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3600" behindDoc="0" locked="0" layoutInCell="1" allowOverlap="1">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15.65pt;flip:y;mso-height-percent:0;mso-height-relative:margin;mso-width-percent:0;mso-width-relative:margin;mso-wrap-distance-bottom:0;mso-wrap-distance-left:9pt;mso-wrap-distance-right:9pt;mso-wrap-distance-top:0;mso-wrap-style:square;position:absolute;visibility:visible;v-text-anchor:middle;z-index:251674624" fillcolor="white" stroked="f" strokeweight="2pt"/>
            </w:pict>
          </mc:Fallback>
        </mc:AlternateContent>
      </w:r>
    </w:p>
    <w:p w:rsidR="000E64A1" w:rsidP="000E64A1" w14:paraId="291315C1" w14:textId="514133F9">
      <w:pPr>
        <w:jc w:val="left"/>
        <w:rPr>
          <w:rFonts w:ascii="Tahoma" w:hAnsi="Tahoma" w:cs="Tahoma"/>
          <w:sz w:val="22"/>
          <w:szCs w:val="22"/>
          <w:rtl/>
        </w:rPr>
        <w:sectPr w:rsidSect="00F619AB">
          <w:headerReference w:type="even" r:id="rId14"/>
          <w:pgSz w:w="11906" w:h="16838" w:code="9"/>
          <w:pgMar w:top="3062" w:right="2268" w:bottom="2552" w:left="2268" w:header="709" w:footer="709" w:gutter="0"/>
          <w:pgNumType w:start="0"/>
          <w:cols w:space="720"/>
          <w:bidi/>
          <w:rtlGutter/>
          <w:docGrid w:linePitch="272"/>
        </w:sectPr>
      </w:pPr>
    </w:p>
    <w:p w:rsidR="009E3D6D" w:rsidP="006F18DE" w14:paraId="32190477" w14:textId="08106044">
      <w:pPr>
        <w:pStyle w:val="7125"/>
        <w:rPr>
          <w:rtl/>
        </w:rPr>
      </w:pPr>
      <w:r>
        <w:rPr>
          <w:noProof/>
          <w:rtl/>
          <w:lang w:val="he-IL"/>
        </w:rPr>
        <mc:AlternateContent>
          <mc:Choice Requires="wps">
            <w:drawing>
              <wp:anchor distT="0" distB="0" distL="114300" distR="114300" simplePos="0" relativeHeight="251725824" behindDoc="0" locked="0" layoutInCell="1" allowOverlap="1">
                <wp:simplePos x="0" y="0"/>
                <wp:positionH relativeFrom="column">
                  <wp:posOffset>-659269</wp:posOffset>
                </wp:positionH>
                <wp:positionV relativeFrom="paragraph">
                  <wp:posOffset>318269</wp:posOffset>
                </wp:positionV>
                <wp:extent cx="186885" cy="2162523"/>
                <wp:effectExtent l="12700" t="12700" r="16510" b="9525"/>
                <wp:wrapNone/>
                <wp:docPr id="607053343" name="מלבן 6"/>
                <wp:cNvGraphicFramePr/>
                <a:graphic xmlns:a="http://schemas.openxmlformats.org/drawingml/2006/main">
                  <a:graphicData uri="http://schemas.microsoft.com/office/word/2010/wordprocessingShape">
                    <wps:wsp xmlns:wps="http://schemas.microsoft.com/office/word/2010/wordprocessingShape">
                      <wps:cNvSpPr/>
                      <wps:spPr>
                        <a:xfrm>
                          <a:off x="0" y="0"/>
                          <a:ext cx="186885" cy="2162523"/>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anchor>
            </w:drawing>
          </mc:Choice>
          <mc:Fallback>
            <w:pict>
              <v:rect id="מלבן 6" o:spid="_x0000_s1033" style="width:14.7pt;height:170.3pt;margin-top:25.05pt;margin-left:-51.9pt;mso-wrap-distance-bottom:0;mso-wrap-distance-left:9pt;mso-wrap-distance-right:9pt;mso-wrap-distance-top:0;mso-wrap-style:square;position:absolute;visibility:visible;v-text-anchor:middle;z-index:251726848" fillcolor="#00305f" strokecolor="#00305f" strokeweight="2pt"/>
            </w:pict>
          </mc:Fallback>
        </mc:AlternateContent>
      </w:r>
      <w:r w:rsidR="006F18DE">
        <w:rPr>
          <w:noProof/>
          <w:rtl/>
        </w:rPr>
        <w:drawing>
          <wp:anchor distT="0" distB="0" distL="114300" distR="114300" simplePos="0" relativeHeight="251670528" behindDoc="0" locked="0" layoutInCell="1" allowOverlap="1">
            <wp:simplePos x="0" y="0"/>
            <wp:positionH relativeFrom="margin">
              <wp:posOffset>3321294</wp:posOffset>
            </wp:positionH>
            <wp:positionV relativeFrom="paragraph">
              <wp:posOffset>678180</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412326" name="Picture 12"/>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6F18DE" w:rsidR="006F18DE">
        <w:rPr>
          <w:rtl/>
        </w:rPr>
        <w:t xml:space="preserve">בטיחות העובדים בענף הבנייה </w:t>
      </w:r>
    </w:p>
    <w:p w:rsidR="008255D0" w:rsidP="000E71A5" w14:paraId="0C0FDA6E" w14:textId="3B12FDB5">
      <w:pPr>
        <w:pStyle w:val="7190"/>
        <w:spacing w:after="0"/>
        <w:rPr>
          <w:rtl/>
        </w:rPr>
      </w:pPr>
    </w:p>
    <w:p w:rsidR="000E71A5" w:rsidRPr="001D564B" w:rsidP="000E71A5" w14:paraId="601D24A1" w14:textId="77777777">
      <w:pPr>
        <w:spacing w:after="120" w:line="288" w:lineRule="auto"/>
        <w:ind w:left="-1"/>
        <w:rPr>
          <w:rFonts w:ascii="Tahoma" w:hAnsi="Tahoma" w:cs="Tahoma"/>
          <w:color w:val="0D0D0D" w:themeColor="text1" w:themeTint="F2"/>
          <w:sz w:val="18"/>
          <w:szCs w:val="18"/>
          <w:rtl/>
        </w:rPr>
      </w:pPr>
      <w:r w:rsidRPr="001D564B">
        <w:rPr>
          <w:rFonts w:ascii="Tahoma" w:hAnsi="Tahoma" w:cs="Tahoma"/>
          <w:color w:val="0D0D0D" w:themeColor="text1" w:themeTint="F2"/>
          <w:sz w:val="18"/>
          <w:szCs w:val="18"/>
          <w:rtl/>
        </w:rPr>
        <w:t>במקומות העבודה בכלל ובענף הבנייה בפרט עלולים העובדים להיחשף לסיכונים בטיחותיים ובריאותיים שונים. האחריות להבטחת בטיחותם של העובדים ובריאותם מוטלת על המחזיק במקום העבודה (המעסיק). ארגון העבודה הבין-לאומי מזהה את ענף הבנייה כאחד הענפים המסוכנים ביותר לעובדים בו. ואכן בישראל, בכל אחת מהשנים 2020 ו-2021 נהרגו 32 עובדים בתאונות עבודה בענף הבנייה, ובשנים 2017 - 2020 שיעור העובדים שנהרגו בתאונות עבודה בענף הבנייה היה גדול משיעורם בענפי התעשייה, השירותים והמסחר והחקלאות. כמו כן, בהשוואה בין-לאומית, שיעור ההרוגים בתאונות עבודה בענף הבנייה בכל אחת מהשנים 2011 - 2018 היה בישראל גדול - בחלק מהשנים פי שניים ויותר - מהממוצע ב-28 מדינות האיחוד האירופי.</w:t>
      </w:r>
    </w:p>
    <w:p w:rsidR="009E3D6D" w:rsidP="000E71A5" w14:paraId="438CAA5E" w14:textId="4D44453A">
      <w:pPr>
        <w:pStyle w:val="7190"/>
        <w:rPr>
          <w:b/>
          <w:bCs/>
          <w:rtl/>
        </w:rPr>
      </w:pPr>
      <w:r w:rsidRPr="001D564B">
        <w:rPr>
          <w:rtl/>
        </w:rPr>
        <w:t xml:space="preserve">הגוף המאסדר העיקרי בתחום הבטיחות בעבודה הוא </w:t>
      </w:r>
      <w:r w:rsidRPr="001D564B">
        <w:rPr>
          <w:rtl/>
        </w:rPr>
        <w:t>מינהל</w:t>
      </w:r>
      <w:r w:rsidRPr="001D564B">
        <w:rPr>
          <w:rtl/>
        </w:rPr>
        <w:t xml:space="preserve"> הבטיחות והבריאות התעסוקתית בזרוע העבודה שבמשרד הכלכלה והתעשייה (</w:t>
      </w:r>
      <w:r w:rsidRPr="001D564B">
        <w:rPr>
          <w:rtl/>
        </w:rPr>
        <w:t>מינהל</w:t>
      </w:r>
      <w:r w:rsidRPr="001D564B">
        <w:rPr>
          <w:rtl/>
        </w:rPr>
        <w:t xml:space="preserve"> הבטיחות). פעילותו של </w:t>
      </w:r>
      <w:r w:rsidRPr="001D564B">
        <w:rPr>
          <w:rtl/>
        </w:rPr>
        <w:t>מינהל</w:t>
      </w:r>
      <w:r w:rsidRPr="001D564B">
        <w:rPr>
          <w:rtl/>
        </w:rPr>
        <w:t xml:space="preserve"> הבטיחות נועדה להבטיח שהמעסיק עושה את הפעולות הדרושות להגנה מרבית על בטיחותם של העובדים ובריאותם, בין היתר באמצעות ייזום חקיקה ותקינה, פיקוח ואכיפה של הוראות החוקים השונים והתקנות השונות בתחומים אלה וחקירת תאונות עבודה ומחלות מקצוע. </w:t>
      </w:r>
      <w:r w:rsidRPr="001D564B">
        <w:rPr>
          <w:rtl/>
        </w:rPr>
        <w:t>למינהל</w:t>
      </w:r>
      <w:r w:rsidRPr="001D564B">
        <w:rPr>
          <w:rtl/>
        </w:rPr>
        <w:t xml:space="preserve"> הבטיחות יש ממשקי עבודה עם גופים אחרים לשם אכיפה וענישה: הוא נותן סיוע מקצועי למשטרת ישראל בחקירה ובבירור הנסיבות שהביאו להתרחשות תאונות עבודה; מוסר מידע לרשם הקבלנים במשרד הבינוי והשיכון (רשם הקבלנים) על קבלנים שבאתריהם מתקיימות הפרות שיטתיות של חוקי הבטיחות ותקנות הבטיחות בעבודה, לצורך נקיטת אמצעי משמעת נגדם מטעם הרשם; ומיולי 2020 מוסר מידע לחשב הכללי במשרד האוצר (</w:t>
      </w:r>
      <w:r w:rsidRPr="001D564B">
        <w:rPr>
          <w:rtl/>
        </w:rPr>
        <w:t>החשכ"ל</w:t>
      </w:r>
      <w:r w:rsidRPr="001D564B">
        <w:rPr>
          <w:rtl/>
        </w:rPr>
        <w:t>), לצורך קביעת זכאותם של קבלנים להיכלל ברשימת הקבלנים המוכרים</w:t>
      </w:r>
      <w:r w:rsidRPr="009E3D6D" w:rsidR="00CD022B">
        <w:rPr>
          <w:rtl/>
        </w:rPr>
        <w:t>.</w:t>
      </w:r>
      <w:r w:rsidRPr="00DD5B43" w:rsidR="00CD022B">
        <w:rPr>
          <w:rtl/>
        </w:rPr>
        <w:t xml:space="preserve"> </w:t>
      </w:r>
    </w:p>
    <w:p w:rsidR="009E3D6D" w14:paraId="37F3ACFD" w14:textId="77777777">
      <w:pPr>
        <w:bidi w:val="0"/>
        <w:spacing w:after="200" w:line="276" w:lineRule="auto"/>
        <w:rPr>
          <w:rFonts w:ascii="Tahoma" w:hAnsi="Tahoma" w:cs="Tahoma"/>
          <w:b/>
          <w:bCs/>
          <w:color w:val="0D0D0D" w:themeColor="text1" w:themeTint="F2"/>
          <w:sz w:val="18"/>
          <w:szCs w:val="18"/>
          <w:rtl/>
        </w:rPr>
      </w:pPr>
      <w:r>
        <w:rPr>
          <w:b/>
          <w:bCs/>
          <w:rtl/>
        </w:rPr>
        <w:br w:type="page"/>
      </w:r>
    </w:p>
    <w:p w:rsidR="00CD022B" w:rsidRPr="00DD5B43" w:rsidP="009E3D6D" w14:paraId="0A7BF7D8" w14:textId="67A0AA43">
      <w:pPr>
        <w:pStyle w:val="7190"/>
        <w:rPr>
          <w:b/>
          <w:bCs/>
          <w:rtl/>
        </w:rPr>
      </w:pPr>
      <w:r>
        <w:rPr>
          <w:b/>
          <w:bCs/>
          <w:noProof/>
          <w:sz w:val="22"/>
          <w:szCs w:val="22"/>
          <w:rtl/>
          <w:lang w:val="he-IL"/>
        </w:rPr>
        <w:drawing>
          <wp:anchor distT="0" distB="0" distL="114300" distR="114300" simplePos="0" relativeHeight="251681792" behindDoc="0" locked="0" layoutInCell="1" allowOverlap="1">
            <wp:simplePos x="0" y="0"/>
            <wp:positionH relativeFrom="column">
              <wp:posOffset>3267011</wp:posOffset>
            </wp:positionH>
            <wp:positionV relativeFrom="paragraph">
              <wp:posOffset>0</wp:posOffset>
            </wp:positionV>
            <wp:extent cx="1405255" cy="431800"/>
            <wp:effectExtent l="0" t="0" r="444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050988" name="Picture 6"/>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F7759D" w:rsidP="00AA6DB2" w14:paraId="3283CEA6" w14:textId="60A985A1">
      <w:pPr>
        <w:pStyle w:val="7190"/>
        <w:spacing w:after="0"/>
        <w:rPr>
          <w:rtl/>
        </w:rPr>
      </w:pPr>
    </w:p>
    <w:tbl>
      <w:tblPr>
        <w:tblStyle w:val="TableGrid"/>
        <w:bidiVisual/>
        <w:tblW w:w="7315" w:type="dxa"/>
        <w:tblInd w:w="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1"/>
        <w:gridCol w:w="1843"/>
        <w:gridCol w:w="1757"/>
        <w:gridCol w:w="1844"/>
      </w:tblGrid>
      <w:tr w14:paraId="7597E23C" w14:textId="77777777" w:rsidTr="00A469C0">
        <w:tblPrEx>
          <w:tblW w:w="7315" w:type="dxa"/>
          <w:tblInd w:w="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71" w:type="dxa"/>
            <w:vAlign w:val="bottom"/>
          </w:tcPr>
          <w:p w:rsidR="00CD29D6" w:rsidRPr="00864A2A" w:rsidP="00864A2A" w14:paraId="1E1AF3C6" w14:textId="0A91F3E7">
            <w:pPr>
              <w:pStyle w:val="2021"/>
              <w:rPr>
                <w:rtl/>
              </w:rPr>
            </w:pPr>
            <w:r>
              <w:rPr>
                <w:rFonts w:hint="cs"/>
                <w:rtl/>
              </w:rPr>
              <w:t>32</w:t>
            </w:r>
            <w:r w:rsidRPr="00864A2A" w:rsidR="00864A2A">
              <w:rPr>
                <w:rtl/>
              </w:rPr>
              <w:t xml:space="preserve"> </w:t>
            </w:r>
          </w:p>
        </w:tc>
        <w:tc>
          <w:tcPr>
            <w:tcW w:w="1843" w:type="dxa"/>
            <w:vAlign w:val="bottom"/>
          </w:tcPr>
          <w:p w:rsidR="00CD29D6" w:rsidRPr="00864A2A" w:rsidP="00AA6DB2" w14:paraId="1D9D023E" w14:textId="4E9854CB">
            <w:pPr>
              <w:spacing w:line="240" w:lineRule="auto"/>
              <w:jc w:val="left"/>
              <w:rPr>
                <w:rFonts w:ascii="Tahoma" w:hAnsi="Tahoma" w:cs="Tahoma"/>
                <w:spacing w:val="-10"/>
                <w:sz w:val="26"/>
                <w:szCs w:val="26"/>
                <w:rtl/>
              </w:rPr>
            </w:pPr>
            <w:r>
              <w:rPr>
                <w:rFonts w:ascii="Tahoma" w:hAnsi="Tahoma" w:eastAsiaTheme="minorEastAsia" w:cs="Tahoma" w:hint="cs"/>
                <w:b/>
                <w:bCs/>
                <w:color w:val="0D0D0D" w:themeColor="text1" w:themeTint="F2"/>
                <w:spacing w:val="-12"/>
                <w:sz w:val="36"/>
                <w:szCs w:val="36"/>
                <w:rtl/>
              </w:rPr>
              <w:t>11</w:t>
            </w:r>
            <w:r w:rsidRPr="007F4E99" w:rsidR="00760601">
              <w:rPr>
                <w:rFonts w:ascii="Tahoma" w:hAnsi="Tahoma" w:eastAsiaTheme="minorEastAsia" w:cs="Tahoma"/>
                <w:b/>
                <w:bCs/>
                <w:color w:val="0D0D0D" w:themeColor="text1" w:themeTint="F2"/>
                <w:spacing w:val="-12"/>
                <w:sz w:val="26"/>
                <w:szCs w:val="26"/>
                <w:rtl/>
              </w:rPr>
              <w:t xml:space="preserve"> </w:t>
            </w:r>
            <w:r>
              <w:rPr>
                <w:rFonts w:ascii="Tahoma" w:hAnsi="Tahoma" w:eastAsiaTheme="minorEastAsia" w:cs="Tahoma" w:hint="cs"/>
                <w:b/>
                <w:bCs/>
                <w:color w:val="0D0D0D" w:themeColor="text1" w:themeTint="F2"/>
                <w:spacing w:val="-12"/>
                <w:sz w:val="26"/>
                <w:szCs w:val="26"/>
                <w:rtl/>
              </w:rPr>
              <w:t>לעומת</w:t>
            </w:r>
            <w:r w:rsidRPr="007F4E99" w:rsidR="00760601">
              <w:rPr>
                <w:rFonts w:ascii="Tahoma" w:hAnsi="Tahoma" w:eastAsiaTheme="minorEastAsia" w:cs="Tahoma"/>
                <w:b/>
                <w:bCs/>
                <w:color w:val="0D0D0D" w:themeColor="text1" w:themeTint="F2"/>
                <w:spacing w:val="-12"/>
                <w:sz w:val="26"/>
                <w:szCs w:val="26"/>
                <w:rtl/>
              </w:rPr>
              <w:t xml:space="preserve"> </w:t>
            </w:r>
            <w:r w:rsidRPr="000E71A5">
              <w:rPr>
                <w:rFonts w:ascii="Tahoma" w:hAnsi="Tahoma" w:eastAsiaTheme="minorEastAsia" w:cs="Tahoma" w:hint="cs"/>
                <w:b/>
                <w:bCs/>
                <w:color w:val="0D0D0D" w:themeColor="text1" w:themeTint="F2"/>
                <w:spacing w:val="-12"/>
                <w:sz w:val="36"/>
                <w:szCs w:val="36"/>
                <w:rtl/>
              </w:rPr>
              <w:t>5</w:t>
            </w:r>
            <w:r w:rsidRPr="00664A6F">
              <w:rPr>
                <w:rFonts w:ascii="Tahoma" w:hAnsi="Tahoma" w:cs="Tahoma"/>
                <w:spacing w:val="-10"/>
                <w:sz w:val="26"/>
                <w:szCs w:val="26"/>
                <w:rtl/>
              </w:rPr>
              <w:t xml:space="preserve"> </w:t>
            </w:r>
          </w:p>
        </w:tc>
        <w:tc>
          <w:tcPr>
            <w:tcW w:w="1757" w:type="dxa"/>
            <w:vAlign w:val="bottom"/>
          </w:tcPr>
          <w:p w:rsidR="00CD29D6" w:rsidRPr="00864A2A" w:rsidP="00864A2A" w14:paraId="6113CBED" w14:textId="4BE17C45">
            <w:pPr>
              <w:spacing w:before="360" w:line="240" w:lineRule="auto"/>
              <w:jc w:val="left"/>
              <w:rPr>
                <w:rFonts w:ascii="Tahoma" w:hAnsi="Tahoma" w:cs="Tahoma"/>
                <w:spacing w:val="-10"/>
                <w:sz w:val="26"/>
                <w:szCs w:val="26"/>
                <w:rtl/>
              </w:rPr>
            </w:pPr>
            <w:r>
              <w:rPr>
                <w:rFonts w:ascii="Tahoma" w:hAnsi="Tahoma" w:eastAsiaTheme="minorEastAsia" w:cs="Tahoma" w:hint="cs"/>
                <w:b/>
                <w:bCs/>
                <w:color w:val="0D0D0D" w:themeColor="text1" w:themeTint="F2"/>
                <w:spacing w:val="-12"/>
                <w:sz w:val="36"/>
                <w:szCs w:val="36"/>
                <w:rtl/>
              </w:rPr>
              <w:t>12,300</w:t>
            </w:r>
            <w:r w:rsidRPr="007F4E99" w:rsidR="00760601">
              <w:rPr>
                <w:rFonts w:ascii="Tahoma" w:hAnsi="Tahoma" w:eastAsiaTheme="minorEastAsia" w:cs="Tahoma"/>
                <w:b/>
                <w:bCs/>
                <w:color w:val="0D0D0D" w:themeColor="text1" w:themeTint="F2"/>
                <w:spacing w:val="-12"/>
                <w:sz w:val="26"/>
                <w:szCs w:val="26"/>
                <w:rtl/>
              </w:rPr>
              <w:t xml:space="preserve"> </w:t>
            </w:r>
          </w:p>
        </w:tc>
        <w:tc>
          <w:tcPr>
            <w:tcW w:w="1844" w:type="dxa"/>
            <w:vAlign w:val="bottom"/>
          </w:tcPr>
          <w:p w:rsidR="00CD29D6" w:rsidRPr="00760601" w:rsidP="00864A2A" w14:paraId="4F8327BA" w14:textId="36E9D6E3">
            <w:pPr>
              <w:pStyle w:val="2021"/>
              <w:spacing w:before="360"/>
              <w:rPr>
                <w:spacing w:val="-26"/>
                <w:rtl/>
              </w:rPr>
            </w:pPr>
            <w:r>
              <w:rPr>
                <w:rFonts w:hint="cs"/>
                <w:spacing w:val="-12"/>
                <w:rtl/>
              </w:rPr>
              <w:t>0.82</w:t>
            </w:r>
          </w:p>
        </w:tc>
      </w:tr>
      <w:tr w14:paraId="5AD4AD14" w14:textId="77777777" w:rsidTr="00A469C0">
        <w:tblPrEx>
          <w:tblW w:w="7315" w:type="dxa"/>
          <w:tblInd w:w="517" w:type="dxa"/>
          <w:tblLook w:val="04A0"/>
        </w:tblPrEx>
        <w:tc>
          <w:tcPr>
            <w:tcW w:w="1871" w:type="dxa"/>
          </w:tcPr>
          <w:p w:rsidR="003E252F" w:rsidRPr="00664A6F" w:rsidP="003E252F" w14:paraId="2188EAF4" w14:textId="5CB7D04D">
            <w:pPr>
              <w:pStyle w:val="20211"/>
              <w:spacing w:after="0" w:line="160" w:lineRule="exact"/>
              <w:rPr>
                <w:rtl/>
              </w:rPr>
            </w:pPr>
            <w:r>
              <w:rPr>
                <w:rFonts w:hint="cs"/>
                <w:noProof/>
                <w:w w:val="100"/>
                <w:rtl/>
                <w:lang w:val="he-IL"/>
              </w:rPr>
              <mc:AlternateContent>
                <mc:Choice Requires="wps">
                  <w:drawing>
                    <wp:anchor distT="0" distB="0" distL="114300" distR="114300" simplePos="0" relativeHeight="251682816" behindDoc="0" locked="0" layoutInCell="1" allowOverlap="1">
                      <wp:simplePos x="0" y="0"/>
                      <wp:positionH relativeFrom="column">
                        <wp:posOffset>8890</wp:posOffset>
                      </wp:positionH>
                      <wp:positionV relativeFrom="paragraph">
                        <wp:posOffset>52070</wp:posOffset>
                      </wp:positionV>
                      <wp:extent cx="1028700" cy="0"/>
                      <wp:effectExtent l="0" t="0" r="0" b="0"/>
                      <wp:wrapNone/>
                      <wp:docPr id="9" name="Straight Connector 9"/>
                      <wp:cNvGraphicFramePr/>
                      <a:graphic xmlns:a="http://schemas.openxmlformats.org/drawingml/2006/main">
                        <a:graphicData uri="http://schemas.microsoft.com/office/word/2010/wordprocessingShape">
                          <wps:wsp xmlns:wps="http://schemas.microsoft.com/office/word/2010/wordprocessingShape">
                            <wps:cNvCnPr/>
                            <wps:spPr>
                              <a:xfrm flipH="1">
                                <a:off x="0" y="0"/>
                                <a:ext cx="10287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34" style="flip:x;mso-wrap-distance-bottom:0;mso-wrap-distance-left:9pt;mso-wrap-distance-right:9pt;mso-wrap-distance-top:0;mso-wrap-style:square;position:absolute;visibility:visible;z-index:251683840" from="0.7pt,4.1pt" to="81.7pt,4.1pt" strokecolor="#0d0d0d" strokeweight="1pt"/>
                  </w:pict>
                </mc:Fallback>
              </mc:AlternateContent>
            </w:r>
          </w:p>
        </w:tc>
        <w:tc>
          <w:tcPr>
            <w:tcW w:w="1843" w:type="dxa"/>
          </w:tcPr>
          <w:p w:rsidR="003E252F" w:rsidRPr="00664A6F" w:rsidP="003E252F" w14:paraId="1CAA58ED" w14:textId="77AEE407">
            <w:pPr>
              <w:pStyle w:val="20211"/>
              <w:spacing w:after="0" w:line="160" w:lineRule="exact"/>
              <w:rPr>
                <w:rtl/>
              </w:rPr>
            </w:pPr>
            <w:r>
              <w:rPr>
                <w:noProof/>
                <w:w w:val="100"/>
                <w:rtl/>
                <w:lang w:val="he-IL"/>
              </w:rPr>
              <mc:AlternateContent>
                <mc:Choice Requires="wps">
                  <w:drawing>
                    <wp:anchor distT="0" distB="0" distL="114300" distR="114300" simplePos="0" relativeHeight="251684864" behindDoc="0" locked="0" layoutInCell="1" allowOverlap="1">
                      <wp:simplePos x="0" y="0"/>
                      <wp:positionH relativeFrom="column">
                        <wp:posOffset>17145</wp:posOffset>
                      </wp:positionH>
                      <wp:positionV relativeFrom="paragraph">
                        <wp:posOffset>52070</wp:posOffset>
                      </wp:positionV>
                      <wp:extent cx="1000125" cy="0"/>
                      <wp:effectExtent l="0" t="0" r="0" b="0"/>
                      <wp:wrapNone/>
                      <wp:docPr id="39" name="Straight Connector 39"/>
                      <wp:cNvGraphicFramePr/>
                      <a:graphic xmlns:a="http://schemas.openxmlformats.org/drawingml/2006/main">
                        <a:graphicData uri="http://schemas.microsoft.com/office/word/2010/wordprocessingShape">
                          <wps:wsp xmlns:wps="http://schemas.microsoft.com/office/word/2010/wordprocessingShape">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9" o:spid="_x0000_s1035" style="flip:x;mso-wrap-distance-bottom:0;mso-wrap-distance-left:9pt;mso-wrap-distance-right:9pt;mso-wrap-distance-top:0;mso-wrap-style:square;position:absolute;visibility:visible;z-index:251685888" from="1.35pt,4.1pt" to="80.1pt,4.1pt" strokecolor="#0d0d0d" strokeweight="1pt"/>
                  </w:pict>
                </mc:Fallback>
              </mc:AlternateContent>
            </w:r>
          </w:p>
        </w:tc>
        <w:tc>
          <w:tcPr>
            <w:tcW w:w="1757" w:type="dxa"/>
          </w:tcPr>
          <w:p w:rsidR="003E252F" w:rsidRPr="00664A6F" w:rsidP="003E252F" w14:paraId="4E223E1C" w14:textId="1D7BBC89">
            <w:pPr>
              <w:pStyle w:val="20211"/>
              <w:spacing w:after="0" w:line="160" w:lineRule="exact"/>
              <w:rPr>
                <w:rtl/>
              </w:rPr>
            </w:pPr>
            <w:r>
              <w:rPr>
                <w:noProof/>
                <w:w w:val="100"/>
                <w:rtl/>
                <w:lang w:val="he-IL"/>
              </w:rPr>
              <mc:AlternateContent>
                <mc:Choice Requires="wps">
                  <w:drawing>
                    <wp:anchor distT="0" distB="0" distL="114300" distR="114300" simplePos="0" relativeHeight="251686912" behindDoc="0" locked="0" layoutInCell="1" allowOverlap="1">
                      <wp:simplePos x="0" y="0"/>
                      <wp:positionH relativeFrom="column">
                        <wp:posOffset>-50800</wp:posOffset>
                      </wp:positionH>
                      <wp:positionV relativeFrom="paragraph">
                        <wp:posOffset>52070</wp:posOffset>
                      </wp:positionV>
                      <wp:extent cx="1066800" cy="0"/>
                      <wp:effectExtent l="0" t="0" r="0" b="0"/>
                      <wp:wrapNone/>
                      <wp:docPr id="48" name="Straight Connector 48"/>
                      <wp:cNvGraphicFramePr/>
                      <a:graphic xmlns:a="http://schemas.openxmlformats.org/drawingml/2006/main">
                        <a:graphicData uri="http://schemas.microsoft.com/office/word/2010/wordprocessingShape">
                          <wps:wsp xmlns:wps="http://schemas.microsoft.com/office/word/2010/wordprocessingShape">
                            <wps:cNvCnPr/>
                            <wps:spPr>
                              <a:xfrm flipH="1">
                                <a:off x="0" y="0"/>
                                <a:ext cx="10668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8" o:spid="_x0000_s1036" style="flip:x;mso-wrap-distance-bottom:0;mso-wrap-distance-left:9pt;mso-wrap-distance-right:9pt;mso-wrap-distance-top:0;mso-wrap-style:square;position:absolute;visibility:visible;z-index:251687936" from="-4pt,4.1pt" to="80pt,4.1pt" strokecolor="#0d0d0d" strokeweight="1pt"/>
                  </w:pict>
                </mc:Fallback>
              </mc:AlternateContent>
            </w:r>
          </w:p>
        </w:tc>
        <w:tc>
          <w:tcPr>
            <w:tcW w:w="1844" w:type="dxa"/>
          </w:tcPr>
          <w:p w:rsidR="003E252F" w:rsidRPr="00664A6F" w:rsidP="003E252F" w14:paraId="12B592FD" w14:textId="5735BA00">
            <w:pPr>
              <w:pStyle w:val="20211"/>
              <w:spacing w:after="0" w:line="160" w:lineRule="exact"/>
              <w:rPr>
                <w:rtl/>
              </w:rPr>
            </w:pPr>
            <w:r>
              <w:rPr>
                <w:rFonts w:hint="cs"/>
                <w:noProof/>
                <w:w w:val="100"/>
                <w:rtl/>
                <w:lang w:val="he-IL"/>
              </w:rPr>
              <mc:AlternateContent>
                <mc:Choice Requires="wps">
                  <w:drawing>
                    <wp:anchor distT="0" distB="0" distL="114300" distR="114300" simplePos="0" relativeHeight="251688960" behindDoc="0" locked="0" layoutInCell="1" allowOverlap="1">
                      <wp:simplePos x="0" y="0"/>
                      <wp:positionH relativeFrom="column">
                        <wp:posOffset>34290</wp:posOffset>
                      </wp:positionH>
                      <wp:positionV relativeFrom="paragraph">
                        <wp:posOffset>52070</wp:posOffset>
                      </wp:positionV>
                      <wp:extent cx="1000125" cy="0"/>
                      <wp:effectExtent l="0" t="0" r="0" b="0"/>
                      <wp:wrapNone/>
                      <wp:docPr id="50"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0" o:spid="_x0000_s1037" style="flip:x;mso-wrap-distance-bottom:0;mso-wrap-distance-left:9pt;mso-wrap-distance-right:9pt;mso-wrap-distance-top:0;mso-wrap-style:square;position:absolute;visibility:visible;z-index:251689984" from="2.7pt,4.1pt" to="81.45pt,4.1pt" strokecolor="#0d0d0d" strokeweight="1pt"/>
                  </w:pict>
                </mc:Fallback>
              </mc:AlternateContent>
            </w:r>
          </w:p>
        </w:tc>
      </w:tr>
      <w:tr w14:paraId="7ECC4220" w14:textId="77777777" w:rsidTr="00A469C0">
        <w:tblPrEx>
          <w:tblW w:w="7315" w:type="dxa"/>
          <w:tblInd w:w="517" w:type="dxa"/>
          <w:tblLook w:val="04A0"/>
        </w:tblPrEx>
        <w:tc>
          <w:tcPr>
            <w:tcW w:w="1871" w:type="dxa"/>
          </w:tcPr>
          <w:p w:rsidR="00CD29D6" w:rsidRPr="009A73F6" w:rsidP="007542AC" w14:paraId="5ECF0591" w14:textId="3C17BE39">
            <w:pPr>
              <w:pStyle w:val="20211"/>
              <w:rPr>
                <w:rtl/>
              </w:rPr>
            </w:pPr>
            <w:r w:rsidRPr="001D564B">
              <w:rPr>
                <w:rtl/>
              </w:rPr>
              <w:t>מספר העובדים שנהרגו בתאונות עבודה בענף הבנייה בישראל בכל אחת מהשנים 2020</w:t>
            </w:r>
            <w:r w:rsidRPr="001D564B">
              <w:rPr>
                <w:rtl/>
              </w:rPr>
              <w:br/>
              <w:t>ו-2021</w:t>
            </w:r>
          </w:p>
        </w:tc>
        <w:tc>
          <w:tcPr>
            <w:tcW w:w="1843" w:type="dxa"/>
          </w:tcPr>
          <w:p w:rsidR="000E71A5" w:rsidRPr="001D564B" w:rsidP="000E71A5" w14:paraId="12474103" w14:textId="6D620939">
            <w:pPr>
              <w:pStyle w:val="20211"/>
              <w:rPr>
                <w:rtl/>
              </w:rPr>
            </w:pPr>
            <w:r w:rsidRPr="001D564B">
              <w:rPr>
                <w:rtl/>
              </w:rPr>
              <w:t>מספר ההרוגים בתאונות עבודה בענף הבנייה ל-100,000 מועסקים בישראל, לעומת הממוצע של מדינות האיחוד האירופי (על פי נתוני שנת 2018)</w:t>
            </w:r>
          </w:p>
          <w:p w:rsidR="00A469C0" w:rsidRPr="00864A2A" w:rsidP="00864A2A" w14:paraId="47156990" w14:textId="356C3351">
            <w:pPr>
              <w:spacing w:line="240" w:lineRule="auto"/>
              <w:ind w:right="23"/>
              <w:jc w:val="left"/>
              <w:rPr>
                <w:rFonts w:ascii="Tahoma" w:hAnsi="Tahoma" w:eastAsiaTheme="minorEastAsia" w:cs="Tahoma"/>
                <w:color w:val="0D0D0D" w:themeColor="text1" w:themeTint="F2"/>
                <w:w w:val="90"/>
                <w:sz w:val="18"/>
                <w:szCs w:val="18"/>
                <w:rtl/>
              </w:rPr>
            </w:pPr>
          </w:p>
        </w:tc>
        <w:tc>
          <w:tcPr>
            <w:tcW w:w="1757" w:type="dxa"/>
          </w:tcPr>
          <w:p w:rsidR="00CD29D6" w:rsidRPr="00EB223C" w:rsidP="007542AC" w14:paraId="1B7F83A5" w14:textId="2857FD8B">
            <w:pPr>
              <w:pStyle w:val="20211"/>
              <w:rPr>
                <w:rtl/>
              </w:rPr>
            </w:pPr>
            <w:r w:rsidRPr="001D564B">
              <w:rPr>
                <w:rtl/>
              </w:rPr>
              <w:t xml:space="preserve">מספר ביקורי הפיקוח שקיימו מפקחי </w:t>
            </w:r>
            <w:r w:rsidRPr="001D564B">
              <w:rPr>
                <w:rtl/>
              </w:rPr>
              <w:t>מינהל</w:t>
            </w:r>
            <w:r w:rsidRPr="001D564B">
              <w:rPr>
                <w:rtl/>
              </w:rPr>
              <w:t xml:space="preserve"> הבטיחות באתרי בנייה בשנת 2021</w:t>
            </w:r>
          </w:p>
        </w:tc>
        <w:tc>
          <w:tcPr>
            <w:tcW w:w="1844" w:type="dxa"/>
          </w:tcPr>
          <w:p w:rsidR="00CD29D6" w:rsidRPr="009A73F6" w:rsidP="007542AC" w14:paraId="05EA0B9D" w14:textId="1770F3A7">
            <w:pPr>
              <w:pStyle w:val="20211"/>
              <w:rPr>
                <w:rtl/>
              </w:rPr>
            </w:pPr>
            <w:r w:rsidRPr="001D564B">
              <w:rPr>
                <w:rtl/>
              </w:rPr>
              <w:t>היחס בין מספר ביקורי הפיקוח בענף הבנייה למספר אתרי הבנייה המוכרים בשנת 2020</w:t>
            </w:r>
          </w:p>
        </w:tc>
      </w:tr>
      <w:tr w14:paraId="115EC27C" w14:textId="77777777" w:rsidTr="00A469C0">
        <w:tblPrEx>
          <w:tblW w:w="7315"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71" w:type="dxa"/>
            <w:tcBorders>
              <w:top w:val="nil"/>
              <w:left w:val="nil"/>
              <w:bottom w:val="nil"/>
              <w:right w:val="nil"/>
            </w:tcBorders>
            <w:vAlign w:val="bottom"/>
          </w:tcPr>
          <w:p w:rsidR="00760601" w:rsidRPr="00864A2A" w:rsidP="00A469C0" w14:paraId="5A88E868" w14:textId="6369D4EE">
            <w:pPr>
              <w:pStyle w:val="2021"/>
              <w:rPr>
                <w:rtl/>
              </w:rPr>
            </w:pPr>
            <w:r>
              <w:rPr>
                <w:rFonts w:hint="cs"/>
                <w:rtl/>
              </w:rPr>
              <w:t xml:space="preserve">42.7 </w:t>
            </w:r>
            <w:r>
              <w:rPr>
                <w:spacing w:val="-12"/>
                <w:sz w:val="26"/>
                <w:szCs w:val="26"/>
                <w:rtl/>
              </w:rPr>
              <w:br/>
            </w:r>
            <w:r>
              <w:rPr>
                <w:rFonts w:hint="cs"/>
                <w:spacing w:val="-12"/>
                <w:sz w:val="26"/>
                <w:szCs w:val="26"/>
                <w:rtl/>
              </w:rPr>
              <w:t>מיליון ש״ח</w:t>
            </w:r>
            <w:r>
              <w:rPr>
                <w:rFonts w:hint="cs"/>
                <w:rtl/>
              </w:rPr>
              <w:t xml:space="preserve"> </w:t>
            </w:r>
          </w:p>
        </w:tc>
        <w:tc>
          <w:tcPr>
            <w:tcW w:w="1843" w:type="dxa"/>
            <w:tcBorders>
              <w:top w:val="nil"/>
              <w:left w:val="nil"/>
              <w:bottom w:val="nil"/>
              <w:right w:val="nil"/>
            </w:tcBorders>
            <w:vAlign w:val="bottom"/>
          </w:tcPr>
          <w:p w:rsidR="00760601" w:rsidRPr="00864A2A" w:rsidP="00A469C0" w14:paraId="5148B4EC" w14:textId="047FDCB0">
            <w:pPr>
              <w:spacing w:before="120" w:line="240" w:lineRule="auto"/>
              <w:jc w:val="left"/>
              <w:rPr>
                <w:rFonts w:ascii="Tahoma" w:hAnsi="Tahoma" w:cs="Tahoma"/>
                <w:spacing w:val="-10"/>
                <w:sz w:val="26"/>
                <w:szCs w:val="26"/>
                <w:rtl/>
              </w:rPr>
            </w:pPr>
            <w:r>
              <w:rPr>
                <w:rFonts w:ascii="Tahoma" w:hAnsi="Tahoma" w:eastAsiaTheme="minorEastAsia" w:cs="Tahoma" w:hint="cs"/>
                <w:b/>
                <w:bCs/>
                <w:color w:val="0D0D0D" w:themeColor="text1" w:themeTint="F2"/>
                <w:spacing w:val="-12"/>
                <w:sz w:val="36"/>
                <w:szCs w:val="36"/>
                <w:rtl/>
              </w:rPr>
              <w:t xml:space="preserve">5% </w:t>
            </w:r>
            <w:r>
              <w:rPr>
                <w:rFonts w:ascii="Tahoma" w:hAnsi="Tahoma" w:eastAsiaTheme="minorEastAsia" w:cs="Tahoma" w:hint="cs"/>
                <w:b/>
                <w:bCs/>
                <w:color w:val="0D0D0D" w:themeColor="text1" w:themeTint="F2"/>
                <w:spacing w:val="-12"/>
                <w:sz w:val="26"/>
                <w:szCs w:val="26"/>
                <w:rtl/>
              </w:rPr>
              <w:t>בלבד</w:t>
            </w:r>
          </w:p>
        </w:tc>
        <w:tc>
          <w:tcPr>
            <w:tcW w:w="1757" w:type="dxa"/>
            <w:tcBorders>
              <w:top w:val="nil"/>
              <w:left w:val="nil"/>
              <w:bottom w:val="nil"/>
              <w:right w:val="nil"/>
            </w:tcBorders>
            <w:vAlign w:val="bottom"/>
          </w:tcPr>
          <w:p w:rsidR="00760601" w:rsidRPr="00864A2A" w:rsidP="00A469C0" w14:paraId="6D51A516" w14:textId="56C05864">
            <w:pPr>
              <w:spacing w:before="360" w:line="240" w:lineRule="auto"/>
              <w:jc w:val="left"/>
              <w:rPr>
                <w:rFonts w:ascii="Tahoma" w:hAnsi="Tahoma" w:cs="Tahoma"/>
                <w:spacing w:val="-10"/>
                <w:sz w:val="26"/>
                <w:szCs w:val="26"/>
                <w:rtl/>
              </w:rPr>
            </w:pPr>
            <w:r>
              <w:rPr>
                <w:rFonts w:ascii="Tahoma" w:hAnsi="Tahoma" w:eastAsiaTheme="minorEastAsia" w:cs="Tahoma" w:hint="cs"/>
                <w:b/>
                <w:bCs/>
                <w:color w:val="0D0D0D" w:themeColor="text1" w:themeTint="F2"/>
                <w:spacing w:val="-12"/>
                <w:sz w:val="36"/>
                <w:szCs w:val="36"/>
                <w:rtl/>
              </w:rPr>
              <w:t xml:space="preserve">13 </w:t>
            </w:r>
            <w:r>
              <w:rPr>
                <w:rFonts w:ascii="Tahoma" w:hAnsi="Tahoma" w:eastAsiaTheme="minorEastAsia" w:cs="Tahoma" w:hint="cs"/>
                <w:b/>
                <w:bCs/>
                <w:color w:val="0D0D0D" w:themeColor="text1" w:themeTint="F2"/>
                <w:spacing w:val="-12"/>
                <w:sz w:val="26"/>
                <w:szCs w:val="26"/>
                <w:rtl/>
              </w:rPr>
              <w:t>בלבד</w:t>
            </w:r>
          </w:p>
        </w:tc>
        <w:tc>
          <w:tcPr>
            <w:tcW w:w="1844" w:type="dxa"/>
            <w:tcBorders>
              <w:top w:val="nil"/>
              <w:left w:val="nil"/>
              <w:bottom w:val="nil"/>
              <w:right w:val="nil"/>
            </w:tcBorders>
            <w:vAlign w:val="bottom"/>
          </w:tcPr>
          <w:p w:rsidR="00760601" w:rsidRPr="00A469C0" w:rsidP="00A469C0" w14:paraId="703737A6" w14:textId="79593C72">
            <w:pPr>
              <w:pStyle w:val="2021"/>
              <w:spacing w:before="360"/>
              <w:rPr>
                <w:spacing w:val="-26"/>
                <w:rtl/>
              </w:rPr>
            </w:pPr>
            <w:r>
              <w:rPr>
                <w:rFonts w:hint="cs"/>
                <w:spacing w:val="-12"/>
                <w:rtl/>
              </w:rPr>
              <w:t>41</w:t>
            </w:r>
          </w:p>
        </w:tc>
      </w:tr>
      <w:tr w14:paraId="60F510EB" w14:textId="77777777" w:rsidTr="00A469C0">
        <w:tblPrEx>
          <w:tblW w:w="7315"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71" w:type="dxa"/>
            <w:tcBorders>
              <w:top w:val="nil"/>
              <w:left w:val="nil"/>
              <w:bottom w:val="nil"/>
              <w:right w:val="nil"/>
            </w:tcBorders>
          </w:tcPr>
          <w:p w:rsidR="00760601" w:rsidRPr="00664A6F" w:rsidP="008B5847" w14:paraId="7B57C72A" w14:textId="77777777">
            <w:pPr>
              <w:pStyle w:val="20211"/>
              <w:spacing w:after="0" w:line="160" w:lineRule="exact"/>
              <w:rPr>
                <w:rtl/>
              </w:rPr>
            </w:pPr>
            <w:r>
              <w:rPr>
                <w:rFonts w:hint="cs"/>
                <w:noProof/>
                <w:w w:val="100"/>
                <w:rtl/>
                <w:lang w:val="he-IL"/>
              </w:rPr>
              <mc:AlternateContent>
                <mc:Choice Requires="wps">
                  <w:drawing>
                    <wp:anchor distT="0" distB="0" distL="114300" distR="114300" simplePos="0" relativeHeight="251691008" behindDoc="0" locked="0" layoutInCell="1" allowOverlap="1">
                      <wp:simplePos x="0" y="0"/>
                      <wp:positionH relativeFrom="column">
                        <wp:posOffset>8890</wp:posOffset>
                      </wp:positionH>
                      <wp:positionV relativeFrom="paragraph">
                        <wp:posOffset>52070</wp:posOffset>
                      </wp:positionV>
                      <wp:extent cx="1028700" cy="0"/>
                      <wp:effectExtent l="0" t="0" r="0" b="0"/>
                      <wp:wrapNone/>
                      <wp:docPr id="765912946" name="Straight Connector 9"/>
                      <wp:cNvGraphicFramePr/>
                      <a:graphic xmlns:a="http://schemas.openxmlformats.org/drawingml/2006/main">
                        <a:graphicData uri="http://schemas.microsoft.com/office/word/2010/wordprocessingShape">
                          <wps:wsp xmlns:wps="http://schemas.microsoft.com/office/word/2010/wordprocessingShape">
                            <wps:cNvCnPr/>
                            <wps:spPr>
                              <a:xfrm flipH="1">
                                <a:off x="0" y="0"/>
                                <a:ext cx="10287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38" style="flip:x;mso-wrap-distance-bottom:0;mso-wrap-distance-left:9pt;mso-wrap-distance-right:9pt;mso-wrap-distance-top:0;mso-wrap-style:square;position:absolute;visibility:visible;z-index:251692032" from="0.7pt,4.1pt" to="81.7pt,4.1pt" strokecolor="#0d0d0d" strokeweight="1pt"/>
                  </w:pict>
                </mc:Fallback>
              </mc:AlternateContent>
            </w:r>
          </w:p>
        </w:tc>
        <w:tc>
          <w:tcPr>
            <w:tcW w:w="1843" w:type="dxa"/>
            <w:tcBorders>
              <w:top w:val="nil"/>
              <w:left w:val="nil"/>
              <w:bottom w:val="nil"/>
              <w:right w:val="nil"/>
            </w:tcBorders>
          </w:tcPr>
          <w:p w:rsidR="00760601" w:rsidRPr="00664A6F" w:rsidP="008B5847" w14:paraId="71809855" w14:textId="77777777">
            <w:pPr>
              <w:pStyle w:val="20211"/>
              <w:spacing w:after="0" w:line="160" w:lineRule="exact"/>
              <w:rPr>
                <w:rtl/>
              </w:rPr>
            </w:pPr>
            <w:r>
              <w:rPr>
                <w:noProof/>
                <w:w w:val="100"/>
                <w:rtl/>
                <w:lang w:val="he-IL"/>
              </w:rPr>
              <mc:AlternateContent>
                <mc:Choice Requires="wps">
                  <w:drawing>
                    <wp:anchor distT="0" distB="0" distL="114300" distR="114300" simplePos="0" relativeHeight="251693056" behindDoc="0" locked="0" layoutInCell="1" allowOverlap="1">
                      <wp:simplePos x="0" y="0"/>
                      <wp:positionH relativeFrom="column">
                        <wp:posOffset>17145</wp:posOffset>
                      </wp:positionH>
                      <wp:positionV relativeFrom="paragraph">
                        <wp:posOffset>52070</wp:posOffset>
                      </wp:positionV>
                      <wp:extent cx="1000125" cy="0"/>
                      <wp:effectExtent l="0" t="0" r="0" b="0"/>
                      <wp:wrapNone/>
                      <wp:docPr id="765912947" name="Straight Connector 39"/>
                      <wp:cNvGraphicFramePr/>
                      <a:graphic xmlns:a="http://schemas.openxmlformats.org/drawingml/2006/main">
                        <a:graphicData uri="http://schemas.microsoft.com/office/word/2010/wordprocessingShape">
                          <wps:wsp xmlns:wps="http://schemas.microsoft.com/office/word/2010/wordprocessingShape">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9" o:spid="_x0000_s1039" style="flip:x;mso-wrap-distance-bottom:0;mso-wrap-distance-left:9pt;mso-wrap-distance-right:9pt;mso-wrap-distance-top:0;mso-wrap-style:square;position:absolute;visibility:visible;z-index:251694080" from="1.35pt,4.1pt" to="80.1pt,4.1pt" strokecolor="#0d0d0d" strokeweight="1pt"/>
                  </w:pict>
                </mc:Fallback>
              </mc:AlternateContent>
            </w:r>
          </w:p>
        </w:tc>
        <w:tc>
          <w:tcPr>
            <w:tcW w:w="1757" w:type="dxa"/>
            <w:tcBorders>
              <w:top w:val="nil"/>
              <w:left w:val="nil"/>
              <w:bottom w:val="nil"/>
              <w:right w:val="nil"/>
            </w:tcBorders>
          </w:tcPr>
          <w:p w:rsidR="00760601" w:rsidRPr="00664A6F" w:rsidP="008B5847" w14:paraId="6D60DB4E" w14:textId="77777777">
            <w:pPr>
              <w:pStyle w:val="20211"/>
              <w:spacing w:after="0" w:line="160" w:lineRule="exact"/>
              <w:rPr>
                <w:rtl/>
              </w:rPr>
            </w:pPr>
            <w:r>
              <w:rPr>
                <w:noProof/>
                <w:w w:val="100"/>
                <w:rtl/>
                <w:lang w:val="he-IL"/>
              </w:rPr>
              <mc:AlternateContent>
                <mc:Choice Requires="wps">
                  <w:drawing>
                    <wp:anchor distT="0" distB="0" distL="114300" distR="114300" simplePos="0" relativeHeight="251695104" behindDoc="0" locked="0" layoutInCell="1" allowOverlap="1">
                      <wp:simplePos x="0" y="0"/>
                      <wp:positionH relativeFrom="column">
                        <wp:posOffset>-50800</wp:posOffset>
                      </wp:positionH>
                      <wp:positionV relativeFrom="paragraph">
                        <wp:posOffset>52070</wp:posOffset>
                      </wp:positionV>
                      <wp:extent cx="1066800" cy="0"/>
                      <wp:effectExtent l="0" t="0" r="0" b="0"/>
                      <wp:wrapNone/>
                      <wp:docPr id="765912948" name="Straight Connector 48"/>
                      <wp:cNvGraphicFramePr/>
                      <a:graphic xmlns:a="http://schemas.openxmlformats.org/drawingml/2006/main">
                        <a:graphicData uri="http://schemas.microsoft.com/office/word/2010/wordprocessingShape">
                          <wps:wsp xmlns:wps="http://schemas.microsoft.com/office/word/2010/wordprocessingShape">
                            <wps:cNvCnPr/>
                            <wps:spPr>
                              <a:xfrm flipH="1">
                                <a:off x="0" y="0"/>
                                <a:ext cx="10668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8" o:spid="_x0000_s1040" style="flip:x;mso-wrap-distance-bottom:0;mso-wrap-distance-left:9pt;mso-wrap-distance-right:9pt;mso-wrap-distance-top:0;mso-wrap-style:square;position:absolute;visibility:visible;z-index:251696128" from="-4pt,4.1pt" to="80pt,4.1pt" strokecolor="#0d0d0d" strokeweight="1pt"/>
                  </w:pict>
                </mc:Fallback>
              </mc:AlternateContent>
            </w:r>
          </w:p>
        </w:tc>
        <w:tc>
          <w:tcPr>
            <w:tcW w:w="1844" w:type="dxa"/>
            <w:tcBorders>
              <w:top w:val="nil"/>
              <w:left w:val="nil"/>
              <w:bottom w:val="nil"/>
              <w:right w:val="nil"/>
            </w:tcBorders>
          </w:tcPr>
          <w:p w:rsidR="00760601" w:rsidRPr="00664A6F" w:rsidP="008B5847" w14:paraId="37CA24DD" w14:textId="77777777">
            <w:pPr>
              <w:pStyle w:val="20211"/>
              <w:spacing w:after="0" w:line="160" w:lineRule="exact"/>
              <w:rPr>
                <w:rtl/>
              </w:rPr>
            </w:pPr>
            <w:r>
              <w:rPr>
                <w:rFonts w:hint="cs"/>
                <w:noProof/>
                <w:w w:val="100"/>
                <w:rtl/>
                <w:lang w:val="he-IL"/>
              </w:rPr>
              <mc:AlternateContent>
                <mc:Choice Requires="wps">
                  <w:drawing>
                    <wp:anchor distT="0" distB="0" distL="114300" distR="114300" simplePos="0" relativeHeight="251697152" behindDoc="0" locked="0" layoutInCell="1" allowOverlap="1">
                      <wp:simplePos x="0" y="0"/>
                      <wp:positionH relativeFrom="column">
                        <wp:posOffset>34290</wp:posOffset>
                      </wp:positionH>
                      <wp:positionV relativeFrom="paragraph">
                        <wp:posOffset>52070</wp:posOffset>
                      </wp:positionV>
                      <wp:extent cx="1000125" cy="0"/>
                      <wp:effectExtent l="0" t="0" r="0" b="0"/>
                      <wp:wrapNone/>
                      <wp:docPr id="765912949"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0" o:spid="_x0000_s1041" style="flip:x;mso-wrap-distance-bottom:0;mso-wrap-distance-left:9pt;mso-wrap-distance-right:9pt;mso-wrap-distance-top:0;mso-wrap-style:square;position:absolute;visibility:visible;z-index:251698176" from="2.7pt,4.1pt" to="81.45pt,4.1pt" strokecolor="#0d0d0d" strokeweight="1pt"/>
                  </w:pict>
                </mc:Fallback>
              </mc:AlternateContent>
            </w:r>
          </w:p>
        </w:tc>
      </w:tr>
      <w:tr w14:paraId="0C7068B8" w14:textId="77777777" w:rsidTr="00A469C0">
        <w:tblPrEx>
          <w:tblW w:w="7315"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71" w:type="dxa"/>
            <w:tcBorders>
              <w:top w:val="nil"/>
              <w:left w:val="nil"/>
              <w:bottom w:val="nil"/>
              <w:right w:val="nil"/>
            </w:tcBorders>
          </w:tcPr>
          <w:p w:rsidR="00760601" w:rsidRPr="009A73F6" w:rsidP="008B5847" w14:paraId="3496F105" w14:textId="14A12C06">
            <w:pPr>
              <w:pStyle w:val="20211"/>
              <w:rPr>
                <w:rtl/>
              </w:rPr>
            </w:pPr>
            <w:r w:rsidRPr="001D564B">
              <w:rPr>
                <w:rtl/>
              </w:rPr>
              <w:t xml:space="preserve">סכום העיצומים שהטיל </w:t>
            </w:r>
            <w:r w:rsidRPr="001D564B">
              <w:rPr>
                <w:rtl/>
              </w:rPr>
              <w:t>מינהל</w:t>
            </w:r>
            <w:r w:rsidRPr="001D564B">
              <w:rPr>
                <w:rtl/>
              </w:rPr>
              <w:t xml:space="preserve"> הבטיחות על מעסיקים בגין עבירות בטיחות בענף הבנייה בשנים 2018 - 2020</w:t>
            </w:r>
          </w:p>
        </w:tc>
        <w:tc>
          <w:tcPr>
            <w:tcW w:w="1843" w:type="dxa"/>
            <w:tcBorders>
              <w:top w:val="nil"/>
              <w:left w:val="nil"/>
              <w:bottom w:val="nil"/>
              <w:right w:val="nil"/>
            </w:tcBorders>
          </w:tcPr>
          <w:p w:rsidR="00760601" w:rsidRPr="00864A2A" w:rsidP="008B5847" w14:paraId="1DA92B01" w14:textId="37051D5C">
            <w:pPr>
              <w:spacing w:line="240" w:lineRule="auto"/>
              <w:ind w:right="23"/>
              <w:jc w:val="left"/>
              <w:rPr>
                <w:rFonts w:ascii="Tahoma" w:hAnsi="Tahoma" w:eastAsiaTheme="minorEastAsia" w:cs="Tahoma"/>
                <w:color w:val="0D0D0D" w:themeColor="text1" w:themeTint="F2"/>
                <w:w w:val="90"/>
                <w:sz w:val="18"/>
                <w:szCs w:val="18"/>
                <w:rtl/>
              </w:rPr>
            </w:pPr>
            <w:r w:rsidRPr="001D564B">
              <w:rPr>
                <w:rFonts w:ascii="Tahoma" w:hAnsi="Tahoma" w:cs="Tahoma"/>
                <w:sz w:val="18"/>
                <w:szCs w:val="18"/>
                <w:rtl/>
              </w:rPr>
              <w:t xml:space="preserve">שיעור העיצומים ששולמו מתוך סך העיצומים שהטיל </w:t>
            </w:r>
            <w:r w:rsidRPr="001D564B">
              <w:rPr>
                <w:rFonts w:ascii="Tahoma" w:hAnsi="Tahoma" w:cs="Tahoma"/>
                <w:sz w:val="18"/>
                <w:szCs w:val="18"/>
                <w:rtl/>
              </w:rPr>
              <w:t>מינהל</w:t>
            </w:r>
            <w:r w:rsidRPr="001D564B">
              <w:rPr>
                <w:rFonts w:ascii="Tahoma" w:hAnsi="Tahoma" w:cs="Tahoma"/>
                <w:sz w:val="18"/>
                <w:szCs w:val="18"/>
                <w:rtl/>
              </w:rPr>
              <w:t xml:space="preserve"> הבטיחות על מעסיקים בענף הבנייה בשנים 2018 - 2020 (נכון לסוף שנת 2020)</w:t>
            </w:r>
          </w:p>
        </w:tc>
        <w:tc>
          <w:tcPr>
            <w:tcW w:w="1757" w:type="dxa"/>
            <w:tcBorders>
              <w:top w:val="nil"/>
              <w:left w:val="nil"/>
              <w:bottom w:val="nil"/>
              <w:right w:val="nil"/>
            </w:tcBorders>
          </w:tcPr>
          <w:p w:rsidR="00760601" w:rsidRPr="00EB223C" w:rsidP="008B5847" w14:paraId="7DE38533" w14:textId="4EF6F6FF">
            <w:pPr>
              <w:pStyle w:val="20211"/>
              <w:rPr>
                <w:rtl/>
              </w:rPr>
            </w:pPr>
            <w:r w:rsidRPr="001D564B">
              <w:rPr>
                <w:rtl/>
              </w:rPr>
              <w:t xml:space="preserve">מספר תיקי הבטיחות בענף הבנייה שהעביר </w:t>
            </w:r>
            <w:r w:rsidRPr="001D564B">
              <w:rPr>
                <w:rtl/>
              </w:rPr>
              <w:t>מינהל</w:t>
            </w:r>
            <w:r w:rsidRPr="001D564B">
              <w:rPr>
                <w:rtl/>
              </w:rPr>
              <w:t xml:space="preserve"> הבטיחות ליחידת התביעה לצורך הגשת כתבי אישום בשנים </w:t>
            </w:r>
            <w:r w:rsidRPr="001D564B">
              <w:rPr>
                <w:rtl/>
              </w:rPr>
              <w:br/>
              <w:t>2019 - 2021</w:t>
            </w:r>
          </w:p>
        </w:tc>
        <w:tc>
          <w:tcPr>
            <w:tcW w:w="1844" w:type="dxa"/>
            <w:tcBorders>
              <w:top w:val="nil"/>
              <w:left w:val="nil"/>
              <w:bottom w:val="nil"/>
              <w:right w:val="nil"/>
            </w:tcBorders>
          </w:tcPr>
          <w:p w:rsidR="00760601" w:rsidRPr="009A73F6" w:rsidP="008B5847" w14:paraId="1C79EC71" w14:textId="07A68F3D">
            <w:pPr>
              <w:pStyle w:val="20211"/>
              <w:rPr>
                <w:rtl/>
              </w:rPr>
            </w:pPr>
            <w:r w:rsidRPr="001D564B">
              <w:rPr>
                <w:rtl/>
              </w:rPr>
              <w:t xml:space="preserve">מספר המקרים שהעביר </w:t>
            </w:r>
            <w:r w:rsidRPr="001D564B">
              <w:rPr>
                <w:rtl/>
              </w:rPr>
              <w:t>מינהל</w:t>
            </w:r>
            <w:r w:rsidRPr="001D564B">
              <w:rPr>
                <w:rtl/>
              </w:rPr>
              <w:t xml:space="preserve"> הבטיחות לרשם הקבלנים, כדי שיבחן אם לנקוט אמצעי משמעת נגד קבלנים בגין הפרות בטיחות בענף הבנייה מספטמבר 2018 עד יוני 2021</w:t>
            </w:r>
          </w:p>
        </w:tc>
      </w:tr>
    </w:tbl>
    <w:p w:rsidR="00A469C0" w:rsidP="00A469C0" w14:paraId="50268CD0" w14:textId="15301592">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671552" behindDoc="0" locked="0" layoutInCell="1" allowOverlap="1">
                <wp:simplePos x="0" y="0"/>
                <wp:positionH relativeFrom="column">
                  <wp:posOffset>-58420</wp:posOffset>
                </wp:positionH>
                <wp:positionV relativeFrom="paragraph">
                  <wp:posOffset>95299</wp:posOffset>
                </wp:positionV>
                <wp:extent cx="4724400" cy="38100"/>
                <wp:effectExtent l="12700" t="12700" r="0" b="12700"/>
                <wp:wrapNone/>
                <wp:docPr id="45"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4724400" cy="38100"/>
                          <a:chOff x="0" y="0"/>
                          <a:chExt cx="4724400" cy="38100"/>
                        </a:xfrm>
                      </wpg:grpSpPr>
                      <wps:wsp xmlns:wps="http://schemas.microsoft.com/office/word/2010/wordprocessingShape">
                        <wps:cNvPr id="27" name="Straight Connector 27"/>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28" name="Straight Connector 28"/>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45" o:spid="_x0000_s1042" style="width:372pt;height:3pt;margin-top:7.5pt;margin-left:-4.6pt;mso-height-relative:margin;mso-width-relative:margin;position:absolute;z-index:251672576" coordsize="47244,381">
                <v:line id="Straight Connector 27" o:spid="_x0000_s1043" style="flip:x;mso-wrap-style:square;position:absolute;visibility:visible" from="0,381" to="47244,381" o:connectortype="straight" strokecolor="#0d0d0d" strokeweight="1.5pt"/>
                <v:line id="Straight Connector 28" o:spid="_x0000_s1044" style="flip:x;mso-wrap-style:square;position:absolute;visibility:visible" from="0,0" to="47244,0" o:connectortype="straight" strokecolor="#0d0d0d" strokeweight="1.5pt"/>
              </v:group>
            </w:pict>
          </mc:Fallback>
        </mc:AlternateContent>
      </w:r>
    </w:p>
    <w:p w:rsidR="00A469C0" w:rsidRPr="00C62692" w:rsidP="00A469C0" w14:paraId="71F4F422" w14:textId="546DC7F7">
      <w:pPr>
        <w:pStyle w:val="216"/>
        <w:spacing w:before="120"/>
        <w:rPr>
          <w:rtl/>
        </w:rPr>
      </w:pPr>
      <w:r w:rsidRPr="00C62692">
        <w:rPr>
          <w:rFonts w:hint="cs"/>
          <w:rtl/>
        </w:rPr>
        <w:t>פעולות הביקורת</w:t>
      </w:r>
    </w:p>
    <w:p w:rsidR="00AA6DB2" w:rsidP="00AA6DB2" w14:paraId="4FAF0C0D" w14:textId="2BCE7432">
      <w:pPr>
        <w:pStyle w:val="7112"/>
        <w:rPr>
          <w:rtl/>
        </w:rPr>
      </w:pPr>
      <w:r w:rsidRPr="00666E99">
        <w:rPr>
          <w:noProof/>
        </w:rPr>
        <w:drawing>
          <wp:anchor distT="0" distB="0" distL="114300" distR="114300" simplePos="0" relativeHeight="251699200" behindDoc="0" locked="0" layoutInCell="1" allowOverlap="1">
            <wp:simplePos x="0" y="0"/>
            <wp:positionH relativeFrom="column">
              <wp:posOffset>4559202</wp:posOffset>
            </wp:positionH>
            <wp:positionV relativeFrom="paragraph">
              <wp:posOffset>58420</wp:posOffset>
            </wp:positionV>
            <wp:extent cx="162000" cy="162000"/>
            <wp:effectExtent l="0" t="0" r="9525" b="9525"/>
            <wp:wrapSquare wrapText="bothSides"/>
            <wp:docPr id="24785161"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564B" w:rsidR="000E71A5">
        <w:rPr>
          <w:rtl/>
        </w:rPr>
        <w:t xml:space="preserve">בחודשים מרץ - דצמבר 2021 בדק משרד מבקר המדינה היבטים בפעולות המדינה בנושא בטיחות העובדים בענף הבנייה. בין היתר נבדקו הפעולות של </w:t>
      </w:r>
      <w:r w:rsidRPr="001D564B" w:rsidR="000E71A5">
        <w:rPr>
          <w:rtl/>
        </w:rPr>
        <w:t>מינהל</w:t>
      </w:r>
      <w:r w:rsidRPr="001D564B" w:rsidR="000E71A5">
        <w:rPr>
          <w:rtl/>
        </w:rPr>
        <w:t xml:space="preserve"> הבטיחות בתחום אכיפת הוראות הבטיחות החלות על המעסיקים; פעולות רשם הקבלנים בנוגע לקבלנים שביצעו עבירות בטיחות; הקמת יחידת חקירות משטרתית ייעודית לחקירת עבירות הרלוונטיות לבטיחות בענף הבנייה; ופעולות </w:t>
      </w:r>
      <w:r w:rsidRPr="001D564B" w:rsidR="000E71A5">
        <w:rPr>
          <w:rtl/>
        </w:rPr>
        <w:t>החשכ"ל</w:t>
      </w:r>
      <w:r w:rsidRPr="001D564B" w:rsidR="000E71A5">
        <w:rPr>
          <w:rtl/>
        </w:rPr>
        <w:t xml:space="preserve"> בעניין קבלנים שהפרו הוראות בטיחות. כמו כן כללה הביקורת מעקב אחר תיקון כמה מן הליקויים שצוינו בדוח שפרסם משרד מבקר המדינה בשנת 2018 בנושא "רישום קבלנים והיבטים בהבטחת האיכות והבטיחות בענף הבנייה"</w:t>
      </w:r>
      <w:r>
        <w:rPr>
          <w:vertAlign w:val="superscript"/>
          <w:rtl/>
        </w:rPr>
        <w:footnoteReference w:id="2"/>
      </w:r>
      <w:r w:rsidRPr="001D564B" w:rsidR="000E71A5">
        <w:rPr>
          <w:rtl/>
        </w:rPr>
        <w:t xml:space="preserve">. הביקורת נעשתה בזרוע העבודה </w:t>
      </w:r>
      <w:r w:rsidRPr="001D564B" w:rsidR="000E71A5">
        <w:rPr>
          <w:rtl/>
        </w:rPr>
        <w:t>ובמינהל</w:t>
      </w:r>
      <w:r w:rsidRPr="001D564B" w:rsidR="000E71A5">
        <w:rPr>
          <w:rtl/>
        </w:rPr>
        <w:t xml:space="preserve"> הבטיחות, ברשם הקבלנים ובאגף </w:t>
      </w:r>
      <w:r w:rsidRPr="001D564B" w:rsidR="000E71A5">
        <w:rPr>
          <w:rtl/>
        </w:rPr>
        <w:t>החשכ"ל</w:t>
      </w:r>
      <w:r w:rsidRPr="001D564B" w:rsidR="000E71A5">
        <w:rPr>
          <w:rtl/>
        </w:rPr>
        <w:t>. בדיקות השלמה נעשו במשטרה</w:t>
      </w:r>
      <w:r w:rsidRPr="000E68EF">
        <w:rPr>
          <w:rtl/>
        </w:rPr>
        <w:t>.</w:t>
      </w:r>
    </w:p>
    <w:p w:rsidR="000E71A5" w:rsidRPr="00AA6DB2" w:rsidP="00AA6DB2" w14:paraId="5FFC4203" w14:textId="238ED0A5">
      <w:pPr>
        <w:rPr>
          <w:sz w:val="10"/>
          <w:szCs w:val="10"/>
          <w:rtl/>
        </w:rPr>
      </w:pPr>
      <w:r w:rsidRPr="00362C00">
        <w:rPr>
          <w:noProof/>
          <w:rtl/>
        </w:rPr>
        <w:drawing>
          <wp:anchor distT="0" distB="0" distL="114300" distR="114300" simplePos="0" relativeHeight="251700224" behindDoc="0" locked="0" layoutInCell="1" allowOverlap="1">
            <wp:simplePos x="0" y="0"/>
            <wp:positionH relativeFrom="column">
              <wp:posOffset>2432050</wp:posOffset>
            </wp:positionH>
            <wp:positionV relativeFrom="paragraph">
              <wp:posOffset>571948</wp:posOffset>
            </wp:positionV>
            <wp:extent cx="2270125" cy="195580"/>
            <wp:effectExtent l="0" t="0" r="3175" b="0"/>
            <wp:wrapTopAndBottom/>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701248" behindDoc="0" locked="0" layoutInCell="1" allowOverlap="1">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0E71A5" w:rsidRPr="00A25467" w:rsidP="000E71A5" w14:textId="77777777">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0E71A5" w:rsidP="000E71A5"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5" type="#_x0000_t202" style="width:367.5pt;height:30.75pt;margin-top:6.45pt;margin-left:10.35pt;mso-height-percent:0;mso-height-relative:margin;mso-width-percent:0;mso-width-relative:margin;mso-wrap-distance-bottom:3.6pt;mso-wrap-distance-left:9pt;mso-wrap-distance-right:9pt;mso-wrap-distance-top:3.6pt;mso-wrap-style:square;position:absolute;visibility:visible;v-text-anchor:top;z-index:251702272" strokecolor="white">
                <v:textbox>
                  <w:txbxContent>
                    <w:p w:rsidR="000E71A5" w:rsidRPr="00A25467" w:rsidP="000E71A5" w14:paraId="1C5C79FF" w14:textId="77777777">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0E71A5" w:rsidP="000E71A5" w14:paraId="22C0F824" w14:textId="77777777"/>
                  </w:txbxContent>
                </v:textbox>
                <w10:wrap type="square"/>
              </v:shape>
            </w:pict>
          </mc:Fallback>
        </mc:AlternateContent>
      </w:r>
      <w:r>
        <w:rPr>
          <w:noProof/>
          <w:sz w:val="22"/>
          <w:szCs w:val="22"/>
        </w:rPr>
        <mc:AlternateContent>
          <mc:Choice Requires="wps">
            <w:drawing>
              <wp:anchor distT="0" distB="0" distL="114300" distR="114300" simplePos="0" relativeHeight="251703296" behindDoc="0" locked="0" layoutInCell="1" allowOverlap="1">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46" style="mso-width-percent:0;mso-width-relative:margin;mso-wrap-distance-bottom:0;mso-wrap-distance-left:9pt;mso-wrap-distance-right:9pt;mso-wrap-distance-top:0;mso-wrap-style:square;position:absolute;visibility:visible;z-index:251704320" from="-2.4pt,4.45pt" to="370.35pt,4.45pt" strokecolor="black" strokeweight="2pt"/>
            </w:pict>
          </mc:Fallback>
        </mc:AlternateContent>
      </w:r>
    </w:p>
    <w:p w:rsidR="000E71A5" w:rsidRPr="00716B1B" w:rsidP="000E71A5" w14:paraId="738EF70B" w14:textId="563883F5">
      <w:pPr>
        <w:pStyle w:val="7112"/>
      </w:pPr>
      <w:r w:rsidRPr="00D11B5C">
        <w:rPr>
          <w:rStyle w:val="717Char0"/>
          <w:rFonts w:hint="cs"/>
          <w:noProof/>
          <w:rtl/>
        </w:rPr>
        <w:drawing>
          <wp:anchor distT="0" distB="3600450" distL="114300" distR="114300" simplePos="0" relativeHeight="251705344" behindDoc="0" locked="0" layoutInCell="1" allowOverlap="1">
            <wp:simplePos x="0" y="0"/>
            <wp:positionH relativeFrom="column">
              <wp:posOffset>4522470</wp:posOffset>
            </wp:positionH>
            <wp:positionV relativeFrom="paragraph">
              <wp:posOffset>34226</wp:posOffset>
            </wp:positionV>
            <wp:extent cx="161925" cy="161925"/>
            <wp:effectExtent l="0" t="0" r="3175" b="317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30358"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D11B5C">
        <w:rPr>
          <w:rStyle w:val="717Char0"/>
          <w:rtl/>
        </w:rPr>
        <w:t xml:space="preserve">היקף כוח האדם </w:t>
      </w:r>
      <w:r w:rsidRPr="00D11B5C">
        <w:rPr>
          <w:rStyle w:val="717Char0"/>
          <w:rtl/>
        </w:rPr>
        <w:t>במינהל</w:t>
      </w:r>
      <w:r w:rsidRPr="00D11B5C">
        <w:rPr>
          <w:rStyle w:val="717Char0"/>
          <w:rtl/>
        </w:rPr>
        <w:t xml:space="preserve"> הבטיחות </w:t>
      </w:r>
      <w:r w:rsidRPr="001D564B">
        <w:rPr>
          <w:rtl/>
        </w:rPr>
        <w:t xml:space="preserve">- מספר המשרות המאוישות </w:t>
      </w:r>
      <w:r w:rsidRPr="001D564B">
        <w:rPr>
          <w:rtl/>
        </w:rPr>
        <w:t>במינהל</w:t>
      </w:r>
      <w:r w:rsidRPr="001D564B">
        <w:rPr>
          <w:rtl/>
        </w:rPr>
        <w:t xml:space="preserve"> הבטיחות גדל מ-95 בינואר 2019 ל-148 בינואר 2021. עם זאת, 28 מ-176 המשרות שנקבעו בתקן לא אוישו, וכן לא התווספו שבע מ-60 המשרות שעליהן סוכם עם משרד האוצר בשנת 2018</w:t>
      </w:r>
      <w:r w:rsidRPr="00716B1B">
        <w:rPr>
          <w:rtl/>
        </w:rPr>
        <w:t>.</w:t>
      </w:r>
    </w:p>
    <w:p w:rsidR="000E71A5" w:rsidRPr="00951B96" w:rsidP="000E71A5" w14:paraId="4EA85117" w14:textId="1B0C4784">
      <w:pPr>
        <w:pStyle w:val="ListParagraph"/>
        <w:spacing w:after="120" w:line="288" w:lineRule="auto"/>
        <w:ind w:left="454"/>
        <w:contextualSpacing w:val="0"/>
        <w:rPr>
          <w:rFonts w:ascii="Tahoma" w:hAnsi="Tahoma" w:cs="Tahoma"/>
          <w:color w:val="0D0D0D" w:themeColor="text1" w:themeTint="F2"/>
          <w:sz w:val="18"/>
          <w:szCs w:val="18"/>
        </w:rPr>
      </w:pPr>
      <w:r w:rsidRPr="0078031D">
        <w:rPr>
          <w:rStyle w:val="717Char0"/>
          <w:rFonts w:hint="cs"/>
          <w:noProof/>
          <w:rtl/>
        </w:rPr>
        <w:drawing>
          <wp:anchor distT="0" distB="3600450" distL="114300" distR="114300" simplePos="0" relativeHeight="251706368" behindDoc="0" locked="0" layoutInCell="1" allowOverlap="1">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695163"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D11B5C">
        <w:rPr>
          <w:rStyle w:val="717Char0"/>
          <w:rtl/>
        </w:rPr>
        <w:t>מעקב אחר קבלת הודעות המעסיקים על תיקון ליקויי בטיחות באתרי בנייה, במקרים שבהם לא ניתנו צווים</w:t>
      </w:r>
      <w:r w:rsidRPr="001D564B">
        <w:rPr>
          <w:rFonts w:ascii="Tahoma" w:hAnsi="Tahoma" w:cs="Tahoma"/>
          <w:color w:val="0D0D0D" w:themeColor="text1" w:themeTint="F2"/>
          <w:sz w:val="18"/>
          <w:szCs w:val="18"/>
          <w:rtl/>
        </w:rPr>
        <w:t xml:space="preserve"> - המעקב של </w:t>
      </w:r>
      <w:r w:rsidRPr="001D564B">
        <w:rPr>
          <w:rFonts w:ascii="Tahoma" w:hAnsi="Tahoma" w:cs="Tahoma"/>
          <w:color w:val="0D0D0D" w:themeColor="text1" w:themeTint="F2"/>
          <w:sz w:val="18"/>
          <w:szCs w:val="18"/>
          <w:rtl/>
        </w:rPr>
        <w:t>מינהל</w:t>
      </w:r>
      <w:r w:rsidRPr="001D564B">
        <w:rPr>
          <w:rFonts w:ascii="Tahoma" w:hAnsi="Tahoma" w:cs="Tahoma"/>
          <w:color w:val="0D0D0D" w:themeColor="text1" w:themeTint="F2"/>
          <w:sz w:val="18"/>
          <w:szCs w:val="18"/>
          <w:rtl/>
        </w:rPr>
        <w:t xml:space="preserve"> הבטיחות לגבי קבלת ההודעות ממעסיקים על תיקון ליקויי הבטיחות שנמצאו בביקורי הפיקוח, במקרים שבהם סבר המפקח שחומרת הליקויים אינה מצדיקה מתן צו, אינו שיטתי - הוא לא קבע מנגנון למעקב אחר קבלת ההודעות, ואין במערכת המחשוב שלו אפיון להצגת התראה או תזכורת על שטרם התקבלה הודעה כנדרש. בשנת 2020 מספר צווי הבטיחות שניתנו היה גדול פי יותר משישה ממספר צווי הבטיחות שניתנו בשנת 2017 (כ-5,800 צווים בשנת 2020, לעומת כ-900 בשנת 2017), ומספר צווי הפסקת העבודה גדל </w:t>
      </w:r>
      <w:r w:rsidRPr="001D564B">
        <w:rPr>
          <w:rFonts w:ascii="Tahoma" w:hAnsi="Tahoma" w:cs="Tahoma"/>
          <w:color w:val="0D0D0D" w:themeColor="text1" w:themeTint="F2"/>
          <w:sz w:val="18"/>
          <w:szCs w:val="18"/>
          <w:rtl/>
        </w:rPr>
        <w:t>בכ</w:t>
      </w:r>
      <w:r w:rsidRPr="001D564B">
        <w:rPr>
          <w:rFonts w:ascii="Tahoma" w:hAnsi="Tahoma" w:cs="Tahoma"/>
          <w:color w:val="0D0D0D" w:themeColor="text1" w:themeTint="F2"/>
          <w:sz w:val="18"/>
          <w:szCs w:val="18"/>
          <w:rtl/>
        </w:rPr>
        <w:t xml:space="preserve">-43% באותה התקופה (מ-65 ל-93 צווים). העלייה במספר צווי הבטיחות וצווי הפסקת העבודה בשנים 2017 - 2020 מחדדת את הצורך במעקב שמבצע </w:t>
      </w:r>
      <w:r w:rsidRPr="001D564B">
        <w:rPr>
          <w:rFonts w:ascii="Tahoma" w:hAnsi="Tahoma" w:cs="Tahoma"/>
          <w:color w:val="0D0D0D" w:themeColor="text1" w:themeTint="F2"/>
          <w:sz w:val="18"/>
          <w:szCs w:val="18"/>
          <w:rtl/>
        </w:rPr>
        <w:t>מינהל</w:t>
      </w:r>
      <w:r w:rsidRPr="001D564B">
        <w:rPr>
          <w:rFonts w:ascii="Tahoma" w:hAnsi="Tahoma" w:cs="Tahoma"/>
          <w:color w:val="0D0D0D" w:themeColor="text1" w:themeTint="F2"/>
          <w:sz w:val="18"/>
          <w:szCs w:val="18"/>
          <w:rtl/>
        </w:rPr>
        <w:t xml:space="preserve"> הבטיחות אחר ביצוע הצווים וכן אחר קבלת ההודעות על תיקון ליקויי הבטיחות</w:t>
      </w:r>
      <w:r w:rsidRPr="00951B96">
        <w:rPr>
          <w:rFonts w:ascii="Tahoma" w:hAnsi="Tahoma" w:cs="Tahoma"/>
          <w:color w:val="0D0D0D" w:themeColor="text1" w:themeTint="F2"/>
          <w:sz w:val="18"/>
          <w:szCs w:val="18"/>
          <w:rtl/>
        </w:rPr>
        <w:t xml:space="preserve">. </w:t>
      </w:r>
    </w:p>
    <w:p w:rsidR="000E71A5" w:rsidRPr="00903496" w:rsidP="000E71A5" w14:paraId="2A3BAF02" w14:textId="79430148">
      <w:pPr>
        <w:pStyle w:val="7112"/>
      </w:pPr>
      <w:r w:rsidRPr="0078031D">
        <w:rPr>
          <w:rStyle w:val="717Char0"/>
          <w:rFonts w:hint="cs"/>
          <w:noProof/>
          <w:rtl/>
        </w:rPr>
        <w:drawing>
          <wp:anchor distT="0" distB="3600450" distL="114300" distR="114300" simplePos="0" relativeHeight="251707392" behindDoc="0" locked="0" layoutInCell="1" allowOverlap="1">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873411"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D11B5C">
        <w:rPr>
          <w:rStyle w:val="717Char0"/>
          <w:rtl/>
        </w:rPr>
        <w:t>היקף העיצומים הכספיים על קבלנים</w:t>
      </w:r>
      <w:r w:rsidRPr="001D564B">
        <w:rPr>
          <w:rtl/>
        </w:rPr>
        <w:t xml:space="preserve"> - מספר העיצומים שהטיל </w:t>
      </w:r>
      <w:r w:rsidRPr="001D564B">
        <w:rPr>
          <w:rtl/>
        </w:rPr>
        <w:t>מינהל</w:t>
      </w:r>
      <w:r w:rsidRPr="001D564B">
        <w:rPr>
          <w:rtl/>
        </w:rPr>
        <w:t xml:space="preserve"> הבטיחות בשנת 2019 (כ-150) היה כרבע ממספר העיצומים שהטיל בשנת 2018 (כ-600). בשנת 2020 מספר העיצומים שהוטלו היה דומה למספר העיצומים שהוטלו בשנת 2018, הגם שמספר צווי הבטיחות שניתנו בשנת 2020 היה גדול פי יותר מחמישה ממספר הצווים שניתנו בשנת 2018 (כ-5,800 לעומת כ-1,100). עוד עלה כי על 424 מ-735 הקבלנים (58%) שהוטלו עליהם עיצומים בשנים 2018 - 2020 הוטל בשנים אלו עיצום אחד, וכי על 145 קבלנים (20%) הוטלו בין שלושה לעשרה עיצומים</w:t>
      </w:r>
      <w:r w:rsidRPr="00E12644">
        <w:rPr>
          <w:rtl/>
        </w:rPr>
        <w:t>.</w:t>
      </w:r>
    </w:p>
    <w:p w:rsidR="000E71A5" w:rsidRPr="00903496" w:rsidP="000E71A5" w14:paraId="4EB5966C" w14:textId="041AB441">
      <w:pPr>
        <w:pStyle w:val="7112"/>
      </w:pPr>
      <w:r w:rsidRPr="0078031D">
        <w:rPr>
          <w:rStyle w:val="717Char0"/>
          <w:rFonts w:hint="cs"/>
          <w:noProof/>
          <w:rtl/>
        </w:rPr>
        <w:drawing>
          <wp:anchor distT="0" distB="3600450" distL="114300" distR="114300" simplePos="0" relativeHeight="251708416" behindDoc="0" locked="0" layoutInCell="1" allowOverlap="1">
            <wp:simplePos x="0" y="0"/>
            <wp:positionH relativeFrom="column">
              <wp:posOffset>4518025</wp:posOffset>
            </wp:positionH>
            <wp:positionV relativeFrom="paragraph">
              <wp:posOffset>46990</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495307"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D11B5C">
        <w:rPr>
          <w:rStyle w:val="717Char0"/>
          <w:rtl/>
        </w:rPr>
        <w:t>גביית העיצומים הכספיים</w:t>
      </w:r>
      <w:r w:rsidRPr="001D564B">
        <w:rPr>
          <w:rtl/>
        </w:rPr>
        <w:t xml:space="preserve"> - בשנים 2018 - 2020 הטיל </w:t>
      </w:r>
      <w:r w:rsidRPr="001D564B">
        <w:rPr>
          <w:rtl/>
        </w:rPr>
        <w:t>מינהל</w:t>
      </w:r>
      <w:r w:rsidRPr="001D564B">
        <w:rPr>
          <w:rtl/>
        </w:rPr>
        <w:t xml:space="preserve"> הבטיחות כ-1,350 עיצומים בגין עבירות בטיחות בענף הבנייה, בסך כ-42.7 מיליון ש"ח. נכון לסוף שנת 2020 שולמו עיצומים בסך כ-2.1 מיליון ש"ח, שהם כ-5% בלבד מסך העיצומים שהוטלו. באוקטובר 2020 החלה זרוע העבודה להעביר למרכז לגביית קנסות, אגרות והוצאות (המרכז לגביית קנסות) עיצומים לגבייה. נכון ליולי 2021 הועברו לגבייה עיצומים בסך כ-10.7 מיליון ש"ח; אולם רוב העיצומים שלא שולמו עד סוף שנת 2020 ולא היו בהליכי ערר, בסך כ-26.5 מיליוני ש"ח (71% מהעיצומים שהוטלו), עדיין היו בטיפול </w:t>
      </w:r>
      <w:r w:rsidRPr="001D564B">
        <w:rPr>
          <w:rtl/>
        </w:rPr>
        <w:t>מינהל</w:t>
      </w:r>
      <w:r w:rsidRPr="001D564B">
        <w:rPr>
          <w:rtl/>
        </w:rPr>
        <w:t xml:space="preserve"> הבטיחות. </w:t>
      </w:r>
      <w:r w:rsidRPr="001D564B">
        <w:rPr>
          <w:rtl/>
        </w:rPr>
        <w:t>מינהל</w:t>
      </w:r>
      <w:r w:rsidRPr="001D564B">
        <w:rPr>
          <w:rtl/>
        </w:rPr>
        <w:t xml:space="preserve"> הבטיחות מנהל את מערך העיצומים בין היתר על בסיס קובץ אקסל אשר נתוניו מוזנים ידנית למערך הגבייה, ואין לו מערכת ממוחשבת לניהול מלוא תהליך הטיפול בעיצומים, לרבות שליחתם והעברתם לגבייה</w:t>
      </w:r>
      <w:r w:rsidRPr="00903496">
        <w:rPr>
          <w:rtl/>
        </w:rPr>
        <w:t>.</w:t>
      </w:r>
    </w:p>
    <w:p w:rsidR="000E71A5" w:rsidRPr="00C80B25" w:rsidP="000E71A5" w14:paraId="27589E01" w14:textId="4B15E439">
      <w:pPr>
        <w:pStyle w:val="7112"/>
      </w:pPr>
      <w:r w:rsidRPr="0078031D">
        <w:rPr>
          <w:rStyle w:val="717Char0"/>
          <w:rFonts w:hint="cs"/>
          <w:noProof/>
          <w:rtl/>
        </w:rPr>
        <w:drawing>
          <wp:anchor distT="0" distB="3600450" distL="114300" distR="114300" simplePos="0" relativeHeight="251709440" behindDoc="0" locked="0" layoutInCell="1" allowOverlap="1">
            <wp:simplePos x="0" y="0"/>
            <wp:positionH relativeFrom="column">
              <wp:posOffset>4540821</wp:posOffset>
            </wp:positionH>
            <wp:positionV relativeFrom="paragraph">
              <wp:posOffset>39370</wp:posOffset>
            </wp:positionV>
            <wp:extent cx="161925" cy="161925"/>
            <wp:effectExtent l="0" t="0" r="3175" b="317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057578"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D11B5C">
        <w:rPr>
          <w:rStyle w:val="717Char0"/>
          <w:rtl/>
        </w:rPr>
        <w:t xml:space="preserve">חקירה פלילית על ידי </w:t>
      </w:r>
      <w:r w:rsidRPr="00D11B5C">
        <w:rPr>
          <w:rStyle w:val="717Char0"/>
          <w:rtl/>
        </w:rPr>
        <w:t>מינהל</w:t>
      </w:r>
      <w:r w:rsidRPr="00D11B5C">
        <w:rPr>
          <w:rStyle w:val="717Char0"/>
          <w:rtl/>
        </w:rPr>
        <w:t xml:space="preserve"> הבטיחות במקרים של חשד לביצוע עבירות בטיחות</w:t>
      </w:r>
      <w:r w:rsidRPr="001D564B">
        <w:rPr>
          <w:rtl/>
        </w:rPr>
        <w:t xml:space="preserve"> - נכון לאוקטובר 2021 לא פעלה </w:t>
      </w:r>
      <w:r w:rsidRPr="001D564B">
        <w:rPr>
          <w:rtl/>
        </w:rPr>
        <w:t>במינהל</w:t>
      </w:r>
      <w:r w:rsidRPr="001D564B">
        <w:rPr>
          <w:rtl/>
        </w:rPr>
        <w:t xml:space="preserve"> הבטיחות יחידה ייעודית לחקירות פליליות, על אף הצורך שהעלו גורמי המקצוע בפעילותה, ותפקידי החקירה הפלילית ניתנו למפקחים, נוסף על תפקידי הפיקוח שהם מבצעים. בשנים 2018 - 2021 הועברו תוצריהן של 26 </w:t>
      </w:r>
      <w:r w:rsidRPr="001D564B">
        <w:rPr>
          <w:rtl/>
        </w:rPr>
        <w:t xml:space="preserve">חקירות שביצע </w:t>
      </w:r>
      <w:r w:rsidRPr="001D564B">
        <w:rPr>
          <w:rtl/>
        </w:rPr>
        <w:t>מינהל</w:t>
      </w:r>
      <w:r w:rsidRPr="001D564B">
        <w:rPr>
          <w:rtl/>
        </w:rPr>
        <w:t xml:space="preserve"> הבטיחות ליחידת התביעות לצורך הגשת כתבי אישום - 13 חקירות בשנת 2018, חקירה אחת בשנת 2019, שתי חקירות בשנת 2020 ועשר חקירות בשנת 2021. בשל אי-פעילותה של יחידת חקירות ייעודית כאמור נפגעה האכיפה כלפי מי שביצע עבירות בטיחות</w:t>
      </w:r>
      <w:r>
        <w:rPr>
          <w:rFonts w:hint="cs"/>
          <w:rtl/>
        </w:rPr>
        <w:t>.</w:t>
      </w:r>
    </w:p>
    <w:p w:rsidR="000E71A5" w:rsidRPr="0069093D" w:rsidP="000E71A5" w14:paraId="0DB24E01" w14:textId="3DC6C6DC">
      <w:pPr>
        <w:pStyle w:val="7112"/>
      </w:pPr>
      <w:r w:rsidRPr="00D11B5C">
        <w:rPr>
          <w:rStyle w:val="717Char0"/>
          <w:rFonts w:hint="cs"/>
          <w:b/>
          <w:noProof/>
          <w:rtl/>
        </w:rPr>
        <w:drawing>
          <wp:anchor distT="0" distB="3600450" distL="114300" distR="114300" simplePos="0" relativeHeight="251710464" behindDoc="0" locked="0" layoutInCell="1" allowOverlap="1">
            <wp:simplePos x="0" y="0"/>
            <wp:positionH relativeFrom="column">
              <wp:posOffset>4547919</wp:posOffset>
            </wp:positionH>
            <wp:positionV relativeFrom="paragraph">
              <wp:posOffset>43180</wp:posOffset>
            </wp:positionV>
            <wp:extent cx="161925" cy="161925"/>
            <wp:effectExtent l="0" t="0" r="3175" b="317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777932"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D11B5C">
        <w:rPr>
          <w:rStyle w:val="717Char0"/>
          <w:rtl/>
        </w:rPr>
        <w:t>אכיפת תקן חדש לפיגומים</w:t>
      </w:r>
      <w:r w:rsidRPr="001D564B">
        <w:rPr>
          <w:rtl/>
        </w:rPr>
        <w:t xml:space="preserve"> - נוכח אישור פיגומים העומדים בתקן הישראלי החדש רק מפברואר 2021 וההיצע של פיגומים אלה, במועד סיום הביקורת (דצמבר 2021) טרם התקיימו התנאים הנדרשים לתחילת אכיפת החובה על ידי </w:t>
      </w:r>
      <w:r w:rsidRPr="001D564B">
        <w:rPr>
          <w:rtl/>
        </w:rPr>
        <w:t>מינהל</w:t>
      </w:r>
      <w:r w:rsidRPr="001D564B">
        <w:rPr>
          <w:rtl/>
        </w:rPr>
        <w:t xml:space="preserve"> הבטיחות להתקין פיגומים כאמור, אף שעברו יותר משנתיים ממועד החלת חובה זו. עוד עלה כי בדצמבר 2021 אושרו שבעה דגמי פיגומים ששיווקו ארבע חברות שונות</w:t>
      </w:r>
      <w:r>
        <w:rPr>
          <w:rtl/>
        </w:rPr>
        <w:t>.</w:t>
      </w:r>
    </w:p>
    <w:p w:rsidR="000E71A5" w:rsidRPr="007F4E99" w:rsidP="00AA6DB2" w14:paraId="0C673457" w14:textId="5CB3EB35">
      <w:pPr>
        <w:spacing w:after="180" w:line="288" w:lineRule="auto"/>
        <w:ind w:left="-1"/>
        <w:rPr>
          <w:rFonts w:ascii="Tahoma" w:hAnsi="Tahoma" w:cs="Tahoma"/>
          <w:color w:val="0D0D0D" w:themeColor="text1" w:themeTint="F2"/>
          <w:sz w:val="18"/>
          <w:szCs w:val="18"/>
        </w:rPr>
      </w:pPr>
      <w:r w:rsidRPr="00D11B5C">
        <w:rPr>
          <w:rStyle w:val="717Char0"/>
          <w:rFonts w:hint="cs"/>
          <w:b/>
          <w:noProof/>
          <w:rtl/>
        </w:rPr>
        <w:drawing>
          <wp:anchor distT="0" distB="3600450" distL="114300" distR="114300" simplePos="0" relativeHeight="251711488" behindDoc="0" locked="0" layoutInCell="1" allowOverlap="1">
            <wp:simplePos x="0" y="0"/>
            <wp:positionH relativeFrom="column">
              <wp:posOffset>4552999</wp:posOffset>
            </wp:positionH>
            <wp:positionV relativeFrom="paragraph">
              <wp:posOffset>31750</wp:posOffset>
            </wp:positionV>
            <wp:extent cx="161925" cy="161925"/>
            <wp:effectExtent l="0" t="0" r="3175" b="3175"/>
            <wp:wrapSquare wrapText="bothSides"/>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42655"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D11B5C">
        <w:rPr>
          <w:rStyle w:val="717Char0"/>
          <w:rtl/>
        </w:rPr>
        <w:t xml:space="preserve">הפקת לקחים מתאונות עבודה על ידי </w:t>
      </w:r>
      <w:r w:rsidRPr="00D11B5C">
        <w:rPr>
          <w:rStyle w:val="717Char0"/>
          <w:rtl/>
        </w:rPr>
        <w:t>מינהל</w:t>
      </w:r>
      <w:r w:rsidRPr="00D11B5C">
        <w:rPr>
          <w:rStyle w:val="717Char0"/>
          <w:rtl/>
        </w:rPr>
        <w:t xml:space="preserve"> הבטיחות</w:t>
      </w:r>
      <w:r w:rsidRPr="001D564B">
        <w:rPr>
          <w:rFonts w:ascii="Tahoma" w:hAnsi="Tahoma" w:cs="Tahoma"/>
          <w:color w:val="0D0D0D" w:themeColor="text1" w:themeTint="F2"/>
          <w:sz w:val="18"/>
          <w:szCs w:val="18"/>
          <w:rtl/>
        </w:rPr>
        <w:t xml:space="preserve"> - </w:t>
      </w:r>
      <w:r w:rsidRPr="001D564B">
        <w:rPr>
          <w:rFonts w:ascii="Tahoma" w:hAnsi="Tahoma" w:cs="Tahoma"/>
          <w:color w:val="0D0D0D" w:themeColor="text1" w:themeTint="F2"/>
          <w:sz w:val="18"/>
          <w:szCs w:val="18"/>
          <w:rtl/>
        </w:rPr>
        <w:t>מינהל</w:t>
      </w:r>
      <w:r w:rsidRPr="001D564B">
        <w:rPr>
          <w:rFonts w:ascii="Tahoma" w:hAnsi="Tahoma" w:cs="Tahoma"/>
          <w:color w:val="0D0D0D" w:themeColor="text1" w:themeTint="F2"/>
          <w:sz w:val="18"/>
          <w:szCs w:val="18"/>
          <w:rtl/>
        </w:rPr>
        <w:t xml:space="preserve"> הבטיחות מרכז את נתוני התאונות הקטלניות שהתרחשו והסיבות להן ומפרסם את הנתונים בדוח השנתי שלו. לגבי יתר התאונות וכן לגבי מקרים של "כמעט נפגע", </w:t>
      </w:r>
      <w:r w:rsidRPr="001D564B">
        <w:rPr>
          <w:rFonts w:ascii="Tahoma" w:hAnsi="Tahoma" w:cs="Tahoma"/>
          <w:color w:val="0D0D0D" w:themeColor="text1" w:themeTint="F2"/>
          <w:sz w:val="18"/>
          <w:szCs w:val="18"/>
          <w:rtl/>
        </w:rPr>
        <w:t>מינהל</w:t>
      </w:r>
      <w:r w:rsidRPr="001D564B">
        <w:rPr>
          <w:rFonts w:ascii="Tahoma" w:hAnsi="Tahoma" w:cs="Tahoma"/>
          <w:color w:val="0D0D0D" w:themeColor="text1" w:themeTint="F2"/>
          <w:sz w:val="18"/>
          <w:szCs w:val="18"/>
          <w:rtl/>
        </w:rPr>
        <w:t xml:space="preserve"> הבטיחות אינו מרכז נתונים לגביהם ואינו מנתח אותם לצורכי הפקת לקחים. עוד עלה כי תחקירי היחידה המשטרתית לחקירת עבירות בתחום הבטיחות בענף הבנייה (מפלג </w:t>
      </w:r>
      <w:r w:rsidRPr="001D564B">
        <w:rPr>
          <w:rFonts w:ascii="Tahoma" w:hAnsi="Tahoma" w:cs="Tahoma"/>
          <w:color w:val="0D0D0D" w:themeColor="text1" w:themeTint="F2"/>
          <w:sz w:val="18"/>
          <w:szCs w:val="18"/>
          <w:rtl/>
        </w:rPr>
        <w:t>פל"ס</w:t>
      </w:r>
      <w:r w:rsidRPr="001D564B">
        <w:rPr>
          <w:rFonts w:ascii="Tahoma" w:hAnsi="Tahoma" w:cs="Tahoma"/>
          <w:color w:val="0D0D0D" w:themeColor="text1" w:themeTint="F2"/>
          <w:sz w:val="18"/>
          <w:szCs w:val="18"/>
          <w:rtl/>
        </w:rPr>
        <w:t xml:space="preserve">) אינם מועברים </w:t>
      </w:r>
      <w:r w:rsidRPr="001D564B">
        <w:rPr>
          <w:rFonts w:ascii="Tahoma" w:hAnsi="Tahoma" w:cs="Tahoma"/>
          <w:color w:val="0D0D0D" w:themeColor="text1" w:themeTint="F2"/>
          <w:sz w:val="18"/>
          <w:szCs w:val="18"/>
          <w:rtl/>
        </w:rPr>
        <w:t>למינהל</w:t>
      </w:r>
      <w:r w:rsidRPr="001D564B">
        <w:rPr>
          <w:rFonts w:ascii="Tahoma" w:hAnsi="Tahoma" w:cs="Tahoma"/>
          <w:color w:val="0D0D0D" w:themeColor="text1" w:themeTint="F2"/>
          <w:sz w:val="18"/>
          <w:szCs w:val="18"/>
          <w:rtl/>
        </w:rPr>
        <w:t xml:space="preserve"> לצורך למידה והטמעה</w:t>
      </w:r>
      <w:r w:rsidRPr="007F4E99">
        <w:rPr>
          <w:rFonts w:ascii="Tahoma" w:hAnsi="Tahoma" w:cs="Tahoma"/>
          <w:color w:val="0D0D0D" w:themeColor="text1" w:themeTint="F2"/>
          <w:sz w:val="18"/>
          <w:szCs w:val="18"/>
          <w:rtl/>
        </w:rPr>
        <w:t>.</w:t>
      </w:r>
    </w:p>
    <w:p w:rsidR="000E71A5" w:rsidRPr="007F4E99" w:rsidP="000E71A5" w14:paraId="09F9AA7F" w14:textId="2BF45A1A">
      <w:pPr>
        <w:spacing w:line="288" w:lineRule="auto"/>
        <w:ind w:left="-1"/>
        <w:rPr>
          <w:rFonts w:ascii="Tahoma" w:hAnsi="Tahoma" w:cs="Tahoma"/>
          <w:color w:val="0D0D0D" w:themeColor="text1" w:themeTint="F2"/>
          <w:sz w:val="18"/>
          <w:szCs w:val="18"/>
        </w:rPr>
      </w:pPr>
      <w:r w:rsidRPr="00D11B5C">
        <w:rPr>
          <w:rStyle w:val="717Char0"/>
          <w:rFonts w:hint="cs"/>
          <w:b/>
          <w:noProof/>
          <w:rtl/>
        </w:rPr>
        <w:drawing>
          <wp:anchor distT="0" distB="3600450" distL="114300" distR="114300" simplePos="0" relativeHeight="251712512" behindDoc="0" locked="0" layoutInCell="1" allowOverlap="1">
            <wp:simplePos x="0" y="0"/>
            <wp:positionH relativeFrom="column">
              <wp:posOffset>4552901</wp:posOffset>
            </wp:positionH>
            <wp:positionV relativeFrom="paragraph">
              <wp:posOffset>31750</wp:posOffset>
            </wp:positionV>
            <wp:extent cx="161925" cy="161925"/>
            <wp:effectExtent l="0" t="0" r="3175" b="3175"/>
            <wp:wrapSquare wrapText="bothSides"/>
            <wp:docPr id="24785180"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638543"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D11B5C">
        <w:rPr>
          <w:rStyle w:val="717Char0"/>
          <w:rtl/>
        </w:rPr>
        <w:t>נוהל השעיית קבלנים מהתקשרויות עם משרדי ממשלה בגין הפרות בטיחות</w:t>
      </w:r>
      <w:r w:rsidRPr="001D564B">
        <w:rPr>
          <w:rFonts w:ascii="Tahoma" w:hAnsi="Tahoma" w:cs="Tahoma"/>
          <w:color w:val="0D0D0D" w:themeColor="text1" w:themeTint="F2"/>
          <w:sz w:val="18"/>
          <w:szCs w:val="18"/>
          <w:rtl/>
        </w:rPr>
        <w:t xml:space="preserve"> - נכון למועד הבדיקה (יולי 2021), מ-20 מקרים שהועברו </w:t>
      </w:r>
      <w:r w:rsidRPr="001D564B">
        <w:rPr>
          <w:rFonts w:ascii="Tahoma" w:hAnsi="Tahoma" w:cs="Tahoma"/>
          <w:color w:val="0D0D0D" w:themeColor="text1" w:themeTint="F2"/>
          <w:sz w:val="18"/>
          <w:szCs w:val="18"/>
          <w:rtl/>
        </w:rPr>
        <w:t>לחשכ"ל</w:t>
      </w:r>
      <w:r w:rsidRPr="001D564B">
        <w:rPr>
          <w:rFonts w:ascii="Tahoma" w:hAnsi="Tahoma" w:cs="Tahoma"/>
          <w:color w:val="0D0D0D" w:themeColor="text1" w:themeTint="F2"/>
          <w:sz w:val="18"/>
          <w:szCs w:val="18"/>
          <w:rtl/>
        </w:rPr>
        <w:t xml:space="preserve"> הושעו ארבעה קבלנים על פי נוהל ההשעיה; לגבי שלושה מהם הוקפאה בהמשך ההשעיה בשל בחינה מחדש של הנוהל. יצוין כי באוגוסט 2021 מספר הקבלנים המוכרים לצורך התקשרות עם משרדי הממשלה היה כ-770</w:t>
      </w:r>
      <w:r w:rsidR="00D11B5C">
        <w:rPr>
          <w:rFonts w:ascii="Tahoma" w:hAnsi="Tahoma" w:cs="Tahoma" w:hint="cs"/>
          <w:color w:val="0D0D0D" w:themeColor="text1" w:themeTint="F2"/>
          <w:sz w:val="18"/>
          <w:szCs w:val="18"/>
          <w:rtl/>
        </w:rPr>
        <w:t>.</w:t>
      </w:r>
    </w:p>
    <w:p w:rsidR="000E71A5" w:rsidP="00A469C0" w14:paraId="213D2C60" w14:textId="64C715BA">
      <w:pPr>
        <w:rPr>
          <w:rtl/>
        </w:rPr>
      </w:pPr>
      <w:r w:rsidRPr="00362C00">
        <w:rPr>
          <w:rFonts w:hint="cs"/>
          <w:noProof/>
          <w:sz w:val="19"/>
          <w:szCs w:val="19"/>
          <w:rtl/>
        </w:rPr>
        <w:drawing>
          <wp:anchor distT="0" distB="0" distL="114300" distR="114300" simplePos="0" relativeHeight="251713536" behindDoc="0" locked="0" layoutInCell="1" allowOverlap="1">
            <wp:simplePos x="0" y="0"/>
            <wp:positionH relativeFrom="column">
              <wp:posOffset>2120753</wp:posOffset>
            </wp:positionH>
            <wp:positionV relativeFrom="paragraph">
              <wp:posOffset>196215</wp:posOffset>
            </wp:positionV>
            <wp:extent cx="2355215" cy="180340"/>
            <wp:effectExtent l="0" t="0" r="0" b="0"/>
            <wp:wrapTopAndBottom/>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rsidR="00D11B5C" w:rsidP="00A469C0" w14:paraId="695872ED" w14:textId="6E8AFADE">
      <w:pPr>
        <w:rPr>
          <w:rtl/>
        </w:rPr>
      </w:pPr>
    </w:p>
    <w:p w:rsidR="00D11B5C" w:rsidRPr="001D564B" w:rsidP="00D11B5C" w14:paraId="74204013" w14:textId="77777777">
      <w:pPr>
        <w:spacing w:after="240" w:line="288" w:lineRule="auto"/>
        <w:ind w:left="397"/>
        <w:rPr>
          <w:rFonts w:ascii="Tahoma" w:hAnsi="Tahoma" w:cs="Tahoma"/>
          <w:color w:val="0D0D0D" w:themeColor="text1" w:themeTint="F2"/>
          <w:sz w:val="18"/>
          <w:szCs w:val="18"/>
          <w:rtl/>
        </w:rPr>
      </w:pPr>
      <w:r w:rsidRPr="00D11B5C">
        <w:rPr>
          <w:rStyle w:val="717Char0"/>
          <w:rtl/>
        </w:rPr>
        <w:t xml:space="preserve">היקף הפעילות של </w:t>
      </w:r>
      <w:r w:rsidRPr="00D11B5C">
        <w:rPr>
          <w:rStyle w:val="717Char0"/>
          <w:rtl/>
        </w:rPr>
        <w:t>מינהל</w:t>
      </w:r>
      <w:r w:rsidRPr="00D11B5C">
        <w:rPr>
          <w:rStyle w:val="717Char0"/>
          <w:rtl/>
        </w:rPr>
        <w:t xml:space="preserve"> הבטיחות באתרי הבנייה</w:t>
      </w:r>
      <w:r w:rsidRPr="001D564B">
        <w:rPr>
          <w:rFonts w:ascii="Tahoma" w:hAnsi="Tahoma" w:cs="Tahoma"/>
          <w:color w:val="0D0D0D" w:themeColor="text1" w:themeTint="F2"/>
          <w:sz w:val="18"/>
          <w:szCs w:val="18"/>
          <w:rtl/>
        </w:rPr>
        <w:t xml:space="preserve"> - משנת 2017 עד שנת 2020 עלה מספר ביקורי הפיקוח של מפקחי </w:t>
      </w:r>
      <w:r w:rsidRPr="001D564B">
        <w:rPr>
          <w:rFonts w:ascii="Tahoma" w:hAnsi="Tahoma" w:cs="Tahoma"/>
          <w:color w:val="0D0D0D" w:themeColor="text1" w:themeTint="F2"/>
          <w:sz w:val="18"/>
          <w:szCs w:val="18"/>
          <w:rtl/>
        </w:rPr>
        <w:t>מינהל</w:t>
      </w:r>
      <w:r w:rsidRPr="001D564B">
        <w:rPr>
          <w:rFonts w:ascii="Tahoma" w:hAnsi="Tahoma" w:cs="Tahoma"/>
          <w:color w:val="0D0D0D" w:themeColor="text1" w:themeTint="F2"/>
          <w:sz w:val="18"/>
          <w:szCs w:val="18"/>
          <w:rtl/>
        </w:rPr>
        <w:t xml:space="preserve"> הבטיחות בענף הבנייה </w:t>
      </w:r>
      <w:r w:rsidRPr="001D564B">
        <w:rPr>
          <w:rFonts w:ascii="Tahoma" w:hAnsi="Tahoma" w:cs="Tahoma"/>
          <w:color w:val="0D0D0D" w:themeColor="text1" w:themeTint="F2"/>
          <w:sz w:val="18"/>
          <w:szCs w:val="18"/>
          <w:rtl/>
        </w:rPr>
        <w:t>בכ</w:t>
      </w:r>
      <w:r w:rsidRPr="001D564B">
        <w:rPr>
          <w:rFonts w:ascii="Tahoma" w:hAnsi="Tahoma" w:cs="Tahoma"/>
          <w:color w:val="0D0D0D" w:themeColor="text1" w:themeTint="F2"/>
          <w:sz w:val="18"/>
          <w:szCs w:val="18"/>
          <w:rtl/>
        </w:rPr>
        <w:t xml:space="preserve">-74% - </w:t>
      </w:r>
      <w:r w:rsidRPr="001D564B">
        <w:rPr>
          <w:rFonts w:ascii="Tahoma" w:hAnsi="Tahoma" w:cs="Tahoma"/>
          <w:color w:val="0D0D0D" w:themeColor="text1" w:themeTint="F2"/>
          <w:sz w:val="18"/>
          <w:szCs w:val="18"/>
          <w:rtl/>
        </w:rPr>
        <w:t>מכ</w:t>
      </w:r>
      <w:r w:rsidRPr="001D564B">
        <w:rPr>
          <w:rFonts w:ascii="Tahoma" w:hAnsi="Tahoma" w:cs="Tahoma"/>
          <w:color w:val="0D0D0D" w:themeColor="text1" w:themeTint="F2"/>
          <w:sz w:val="18"/>
          <w:szCs w:val="18"/>
          <w:rtl/>
        </w:rPr>
        <w:t xml:space="preserve">-7,000 בשנה </w:t>
      </w:r>
      <w:r w:rsidRPr="001D564B">
        <w:rPr>
          <w:rFonts w:ascii="Tahoma" w:hAnsi="Tahoma" w:cs="Tahoma"/>
          <w:color w:val="0D0D0D" w:themeColor="text1" w:themeTint="F2"/>
          <w:sz w:val="18"/>
          <w:szCs w:val="18"/>
          <w:rtl/>
        </w:rPr>
        <w:t>לכ</w:t>
      </w:r>
      <w:r w:rsidRPr="001D564B">
        <w:rPr>
          <w:rFonts w:ascii="Tahoma" w:hAnsi="Tahoma" w:cs="Tahoma"/>
          <w:color w:val="0D0D0D" w:themeColor="text1" w:themeTint="F2"/>
          <w:sz w:val="18"/>
          <w:szCs w:val="18"/>
          <w:rtl/>
        </w:rPr>
        <w:t xml:space="preserve">-12,250 בשנה. כמו כן גדל מספר צווי הבטיחות שניתנו בשנים אלה - </w:t>
      </w:r>
      <w:r w:rsidRPr="001D564B">
        <w:rPr>
          <w:rFonts w:ascii="Tahoma" w:hAnsi="Tahoma" w:cs="Tahoma"/>
          <w:color w:val="0D0D0D" w:themeColor="text1" w:themeTint="F2"/>
          <w:sz w:val="18"/>
          <w:szCs w:val="18"/>
          <w:rtl/>
        </w:rPr>
        <w:t>מכ</w:t>
      </w:r>
      <w:r w:rsidRPr="001D564B">
        <w:rPr>
          <w:rFonts w:ascii="Tahoma" w:hAnsi="Tahoma" w:cs="Tahoma"/>
          <w:color w:val="0D0D0D" w:themeColor="text1" w:themeTint="F2"/>
          <w:sz w:val="18"/>
          <w:szCs w:val="18"/>
          <w:rtl/>
        </w:rPr>
        <w:t xml:space="preserve">-900 בשנת 2017 </w:t>
      </w:r>
      <w:r w:rsidRPr="001D564B">
        <w:rPr>
          <w:rFonts w:ascii="Tahoma" w:hAnsi="Tahoma" w:cs="Tahoma"/>
          <w:color w:val="0D0D0D" w:themeColor="text1" w:themeTint="F2"/>
          <w:sz w:val="18"/>
          <w:szCs w:val="18"/>
          <w:rtl/>
        </w:rPr>
        <w:t>לכ</w:t>
      </w:r>
      <w:r w:rsidRPr="001D564B">
        <w:rPr>
          <w:rFonts w:ascii="Tahoma" w:hAnsi="Tahoma" w:cs="Tahoma"/>
          <w:color w:val="0D0D0D" w:themeColor="text1" w:themeTint="F2"/>
          <w:sz w:val="18"/>
          <w:szCs w:val="18"/>
          <w:rtl/>
        </w:rPr>
        <w:t xml:space="preserve">-5,800 בשנת 2020 (פי יותר משישה). </w:t>
      </w:r>
    </w:p>
    <w:p w:rsidR="00D11B5C" w:rsidRPr="001D564B" w:rsidP="00D11B5C" w14:paraId="1446FFA2" w14:textId="77777777">
      <w:pPr>
        <w:spacing w:after="240" w:line="288" w:lineRule="auto"/>
        <w:ind w:left="397"/>
        <w:rPr>
          <w:rFonts w:ascii="Tahoma" w:hAnsi="Tahoma" w:cs="Tahoma"/>
          <w:color w:val="0D0D0D" w:themeColor="text1" w:themeTint="F2"/>
          <w:sz w:val="18"/>
          <w:szCs w:val="18"/>
          <w:rtl/>
        </w:rPr>
      </w:pPr>
      <w:r w:rsidRPr="00D11B5C">
        <w:rPr>
          <w:rStyle w:val="717Char0"/>
          <w:rtl/>
        </w:rPr>
        <w:t xml:space="preserve">פעילות מפלג </w:t>
      </w:r>
      <w:r w:rsidRPr="00D11B5C">
        <w:rPr>
          <w:rStyle w:val="717Char0"/>
          <w:rtl/>
        </w:rPr>
        <w:t>פל"</w:t>
      </w:r>
      <w:r w:rsidRPr="00D11B5C">
        <w:rPr>
          <w:rFonts w:ascii="Tahoma" w:hAnsi="Tahoma" w:cs="Tahoma"/>
          <w:b/>
          <w:bCs/>
          <w:color w:val="0D0D0D" w:themeColor="text1" w:themeTint="F2"/>
          <w:sz w:val="18"/>
          <w:szCs w:val="18"/>
          <w:rtl/>
        </w:rPr>
        <w:t>ס</w:t>
      </w:r>
      <w:r w:rsidRPr="001D564B">
        <w:rPr>
          <w:rFonts w:ascii="Tahoma" w:hAnsi="Tahoma" w:cs="Tahoma"/>
          <w:color w:val="0D0D0D" w:themeColor="text1" w:themeTint="F2"/>
          <w:sz w:val="18"/>
          <w:szCs w:val="18"/>
          <w:rtl/>
        </w:rPr>
        <w:t xml:space="preserve"> - יצוין לחיוב שיתוף הפעולה בין המשטרה, </w:t>
      </w:r>
      <w:r w:rsidRPr="001D564B">
        <w:rPr>
          <w:rFonts w:ascii="Tahoma" w:hAnsi="Tahoma" w:cs="Tahoma"/>
          <w:color w:val="0D0D0D" w:themeColor="text1" w:themeTint="F2"/>
          <w:sz w:val="18"/>
          <w:szCs w:val="18"/>
          <w:rtl/>
        </w:rPr>
        <w:t>מינהל</w:t>
      </w:r>
      <w:r w:rsidRPr="001D564B">
        <w:rPr>
          <w:rFonts w:ascii="Tahoma" w:hAnsi="Tahoma" w:cs="Tahoma"/>
          <w:color w:val="0D0D0D" w:themeColor="text1" w:themeTint="F2"/>
          <w:sz w:val="18"/>
          <w:szCs w:val="18"/>
          <w:rtl/>
        </w:rPr>
        <w:t xml:space="preserve"> הבטיחות והפרקליטות בהקמת מפלג </w:t>
      </w:r>
      <w:r w:rsidRPr="001D564B">
        <w:rPr>
          <w:rFonts w:ascii="Tahoma" w:hAnsi="Tahoma" w:cs="Tahoma"/>
          <w:color w:val="0D0D0D" w:themeColor="text1" w:themeTint="F2"/>
          <w:sz w:val="18"/>
          <w:szCs w:val="18"/>
          <w:rtl/>
        </w:rPr>
        <w:t>פל"ס</w:t>
      </w:r>
      <w:r w:rsidRPr="001D564B">
        <w:rPr>
          <w:rFonts w:ascii="Tahoma" w:hAnsi="Tahoma" w:cs="Tahoma"/>
          <w:color w:val="0D0D0D" w:themeColor="text1" w:themeTint="F2"/>
          <w:sz w:val="18"/>
          <w:szCs w:val="18"/>
          <w:rtl/>
        </w:rPr>
        <w:t xml:space="preserve">. כמו כן, נוסף על החקירה הפלילית של תאונות העבודה מגבש </w:t>
      </w:r>
      <w:r w:rsidRPr="001D564B">
        <w:rPr>
          <w:rFonts w:ascii="Tahoma" w:hAnsi="Tahoma" w:cs="Tahoma"/>
          <w:color w:val="0D0D0D" w:themeColor="text1" w:themeTint="F2"/>
          <w:sz w:val="18"/>
          <w:szCs w:val="18"/>
          <w:rtl/>
        </w:rPr>
        <w:t>פל"ס</w:t>
      </w:r>
      <w:r w:rsidRPr="001D564B">
        <w:rPr>
          <w:rFonts w:ascii="Tahoma" w:hAnsi="Tahoma" w:cs="Tahoma"/>
          <w:color w:val="0D0D0D" w:themeColor="text1" w:themeTint="F2"/>
          <w:sz w:val="18"/>
          <w:szCs w:val="18"/>
          <w:rtl/>
        </w:rPr>
        <w:t xml:space="preserve"> דוחות תובנות ולקחים מן התיקים שטיפל בהם, במטרה להפיק מהם תועלת לשם הפחתת התאונות.</w:t>
      </w:r>
    </w:p>
    <w:p w:rsidR="00D11B5C" w:rsidP="00C914A4" w14:paraId="07054052" w14:textId="77777777">
      <w:pPr>
        <w:pStyle w:val="7112"/>
        <w:spacing w:before="360" w:after="360"/>
        <w:rPr>
          <w:rtl/>
        </w:rPr>
      </w:pPr>
      <w:r w:rsidRPr="000A3B8A">
        <w:rPr>
          <w:b/>
          <w:bCs/>
          <w:rtl/>
        </w:rPr>
        <w:t>נקיטת אמצעי משמעת נגד קבלנים על ידי רשם הקבלנים בגין עבירות בתחום הבטיחות בעבודה</w:t>
      </w:r>
      <w:r w:rsidRPr="001D564B">
        <w:rPr>
          <w:rtl/>
        </w:rPr>
        <w:t xml:space="preserve"> - יש לציין את פעולות רשם הקבלנים </w:t>
      </w:r>
      <w:r w:rsidRPr="001D564B">
        <w:rPr>
          <w:rtl/>
        </w:rPr>
        <w:t>ומינהל</w:t>
      </w:r>
      <w:r w:rsidRPr="001D564B">
        <w:rPr>
          <w:rtl/>
        </w:rPr>
        <w:t xml:space="preserve"> הבטיחות לקידום הבטיחות בעבודה</w:t>
      </w:r>
      <w:r w:rsidRPr="00386D6B">
        <w:rPr>
          <w:rtl/>
        </w:rPr>
        <w:t>.</w:t>
      </w:r>
    </w:p>
    <w:p w:rsidR="00C914A4" w:rsidRPr="003A3978" w:rsidP="00C914A4" w14:paraId="1813BEAE" w14:textId="3A325079">
      <w:pPr>
        <w:pStyle w:val="7112"/>
      </w:pPr>
      <w:r w:rsidRPr="004232CF">
        <w:rPr>
          <w:noProof/>
        </w:rPr>
        <w:drawing>
          <wp:anchor distT="0" distB="3600450" distL="114300" distR="114300" simplePos="0" relativeHeight="251719680" behindDoc="0" locked="0" layoutInCell="1" allowOverlap="1">
            <wp:simplePos x="0" y="0"/>
            <wp:positionH relativeFrom="column">
              <wp:posOffset>4539615</wp:posOffset>
            </wp:positionH>
            <wp:positionV relativeFrom="paragraph">
              <wp:posOffset>491490</wp:posOffset>
            </wp:positionV>
            <wp:extent cx="140335" cy="161925"/>
            <wp:effectExtent l="0" t="0" r="0" b="9525"/>
            <wp:wrapSquare wrapText="bothSides"/>
            <wp:docPr id="587" name="תמונה 33"/>
            <wp:cNvGraphicFramePr/>
            <a:graphic xmlns:a="http://schemas.openxmlformats.org/drawingml/2006/main">
              <a:graphicData uri="http://schemas.openxmlformats.org/drawingml/2006/picture">
                <pic:pic xmlns:pic="http://schemas.openxmlformats.org/drawingml/2006/picture">
                  <pic:nvPicPr>
                    <pic:cNvPr id="297472435"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32CF">
        <w:rPr>
          <w:rStyle w:val="21Char1"/>
          <w:noProof/>
          <w:rtl/>
        </w:rPr>
        <mc:AlternateContent>
          <mc:Choice Requires="wps">
            <w:drawing>
              <wp:anchor distT="0" distB="0" distL="114300" distR="114300" simplePos="0" relativeHeight="251716608" behindDoc="0" locked="0" layoutInCell="1" allowOverlap="1">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85" o:spid="_x0000_s1047" style="mso-width-percent:0;mso-width-relative:margin;mso-wrap-distance-bottom:0;mso-wrap-distance-left:9pt;mso-wrap-distance-right:9pt;mso-wrap-distance-top:0;mso-wrap-style:square;position:absolute;visibility:visible;z-index:251717632" from="-9pt,0.5pt" to="363.75pt,0.5pt" strokecolor="black" strokeweight="2pt"/>
            </w:pict>
          </mc:Fallback>
        </mc:AlternateContent>
      </w:r>
      <w:r w:rsidRPr="004232CF">
        <w:rPr>
          <w:rStyle w:val="21Char1"/>
          <w:noProof/>
          <w:rtl/>
        </w:rPr>
        <mc:AlternateContent>
          <mc:Choice Requires="wps">
            <w:drawing>
              <wp:anchor distT="45720" distB="45720" distL="114300" distR="114300" simplePos="0" relativeHeight="251714560" behindDoc="0" locked="0" layoutInCell="1" allowOverlap="1">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C914A4" w:rsidRPr="00A25467" w:rsidP="00C914A4" w14:textId="77777777">
                            <w:pPr>
                              <w:pStyle w:val="216"/>
                              <w:rPr>
                                <w:rtl/>
                              </w:rPr>
                            </w:pPr>
                            <w:r>
                              <w:rPr>
                                <w:rFonts w:hint="cs"/>
                                <w:rtl/>
                              </w:rPr>
                              <w:t>עיקרי המלצות הביקורת</w:t>
                            </w:r>
                          </w:p>
                          <w:p w:rsidR="00C914A4" w:rsidP="00C914A4"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8" type="#_x0000_t202" style="width:367.5pt;height:30.75pt;margin-top:1.35pt;margin-left:4.75pt;mso-height-percent:0;mso-height-relative:margin;mso-width-percent:0;mso-width-relative:margin;mso-wrap-distance-bottom:3.6pt;mso-wrap-distance-left:9pt;mso-wrap-distance-right:9pt;mso-wrap-distance-top:3.6pt;mso-wrap-style:square;position:absolute;visibility:visible;v-text-anchor:top;z-index:251715584" strokecolor="white">
                <v:textbox>
                  <w:txbxContent>
                    <w:p w:rsidR="00C914A4" w:rsidRPr="00A25467" w:rsidP="00C914A4" w14:paraId="52B54D5A" w14:textId="77777777">
                      <w:pPr>
                        <w:pStyle w:val="216"/>
                        <w:rPr>
                          <w:rtl/>
                        </w:rPr>
                      </w:pPr>
                      <w:r>
                        <w:rPr>
                          <w:rFonts w:hint="cs"/>
                          <w:rtl/>
                        </w:rPr>
                        <w:t>עיקרי המלצות הביקורת</w:t>
                      </w:r>
                    </w:p>
                    <w:p w:rsidR="00C914A4" w:rsidP="00C914A4" w14:paraId="106544F9" w14:textId="77777777"/>
                  </w:txbxContent>
                </v:textbox>
                <w10:wrap type="square"/>
              </v:shape>
            </w:pict>
          </mc:Fallback>
        </mc:AlternateContent>
      </w:r>
      <w:r w:rsidRPr="00EA57A8">
        <w:rPr>
          <w:rtl/>
        </w:rPr>
        <w:t xml:space="preserve">מומלץ כי זרוע העבודה ומשרד האוצר יפעלו בהתאם לסיכום התקציבי ביניהם משנת 2018 וישלימו את הפער בתקנים </w:t>
      </w:r>
      <w:r w:rsidRPr="00EA57A8">
        <w:rPr>
          <w:rtl/>
        </w:rPr>
        <w:t>במינהל</w:t>
      </w:r>
      <w:r w:rsidRPr="00EA57A8">
        <w:rPr>
          <w:rtl/>
        </w:rPr>
        <w:t xml:space="preserve"> הבטיחות אל מול המוסכם, ונוסף על כך יבחנו את הצורך להקצות את 17 המשרות הנוספות </w:t>
      </w:r>
      <w:r w:rsidRPr="00EA57A8">
        <w:rPr>
          <w:rtl/>
        </w:rPr>
        <w:t>למינהל</w:t>
      </w:r>
      <w:r w:rsidRPr="00EA57A8">
        <w:rPr>
          <w:rtl/>
        </w:rPr>
        <w:t xml:space="preserve"> הבטיחות, תוך איוש המשרות שהוקצו</w:t>
      </w:r>
      <w:r w:rsidRPr="003A3978">
        <w:rPr>
          <w:rtl/>
        </w:rPr>
        <w:t>.</w:t>
      </w:r>
    </w:p>
    <w:p w:rsidR="00C914A4" w:rsidRPr="003A3978" w:rsidP="00C914A4" w14:paraId="4886D1DB" w14:textId="26123114">
      <w:pPr>
        <w:pStyle w:val="7112"/>
      </w:pPr>
      <w:r w:rsidRPr="004232CF">
        <w:rPr>
          <w:noProof/>
        </w:rPr>
        <w:drawing>
          <wp:anchor distT="0" distB="3600450" distL="114300" distR="114300" simplePos="0" relativeHeight="251718656" behindDoc="0" locked="0" layoutInCell="1" allowOverlap="1">
            <wp:simplePos x="0" y="0"/>
            <wp:positionH relativeFrom="column">
              <wp:posOffset>4539615</wp:posOffset>
            </wp:positionH>
            <wp:positionV relativeFrom="paragraph">
              <wp:posOffset>4396</wp:posOffset>
            </wp:positionV>
            <wp:extent cx="140335" cy="161925"/>
            <wp:effectExtent l="0" t="0" r="0" b="3175"/>
            <wp:wrapSquare wrapText="bothSides"/>
            <wp:docPr id="586" name="תמונה 33"/>
            <wp:cNvGraphicFramePr/>
            <a:graphic xmlns:a="http://schemas.openxmlformats.org/drawingml/2006/main">
              <a:graphicData uri="http://schemas.openxmlformats.org/drawingml/2006/picture">
                <pic:pic xmlns:pic="http://schemas.openxmlformats.org/drawingml/2006/picture">
                  <pic:nvPicPr>
                    <pic:cNvPr id="357831570"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57A8">
        <w:rPr>
          <w:rtl/>
        </w:rPr>
        <w:t xml:space="preserve">מומלץ </w:t>
      </w:r>
      <w:r w:rsidRPr="00EA57A8">
        <w:rPr>
          <w:rtl/>
        </w:rPr>
        <w:t>שמינהל</w:t>
      </w:r>
      <w:r w:rsidRPr="00EA57A8">
        <w:rPr>
          <w:rtl/>
        </w:rPr>
        <w:t xml:space="preserve"> הבטיחות יעקוב בשיטתיות, באמצעות אפיון במערכת המחשוב, אחר קבלת ההודעות על תיקון ליקויי הבטיחות שהוא מורה למעסיקים למסור לו, ויוודא שהוא מקבל את ההודעות כנדרש</w:t>
      </w:r>
      <w:r w:rsidRPr="003A3978">
        <w:rPr>
          <w:rtl/>
        </w:rPr>
        <w:t>.</w:t>
      </w:r>
      <w:r w:rsidRPr="003A3978">
        <w:rPr>
          <w:rFonts w:hint="cs"/>
          <w:rtl/>
        </w:rPr>
        <w:t xml:space="preserve"> </w:t>
      </w:r>
    </w:p>
    <w:p w:rsidR="00C914A4" w:rsidRPr="00003EBB" w:rsidP="00C914A4" w14:paraId="772DA4AF" w14:textId="443BE1D1">
      <w:pPr>
        <w:pStyle w:val="7112"/>
        <w:rPr>
          <w:rtl/>
        </w:rPr>
      </w:pPr>
      <w:r w:rsidRPr="004232CF">
        <w:rPr>
          <w:noProof/>
        </w:rPr>
        <w:drawing>
          <wp:anchor distT="0" distB="3600450" distL="114300" distR="114300" simplePos="0" relativeHeight="251720704" behindDoc="0" locked="0" layoutInCell="1" allowOverlap="1">
            <wp:simplePos x="0" y="0"/>
            <wp:positionH relativeFrom="column">
              <wp:posOffset>4539615</wp:posOffset>
            </wp:positionH>
            <wp:positionV relativeFrom="paragraph">
              <wp:posOffset>9525</wp:posOffset>
            </wp:positionV>
            <wp:extent cx="140335" cy="161925"/>
            <wp:effectExtent l="0" t="0" r="0" b="9525"/>
            <wp:wrapSquare wrapText="bothSides"/>
            <wp:docPr id="589" name="תמונה 33"/>
            <wp:cNvGraphicFramePr/>
            <a:graphic xmlns:a="http://schemas.openxmlformats.org/drawingml/2006/main">
              <a:graphicData uri="http://schemas.openxmlformats.org/drawingml/2006/picture">
                <pic:pic xmlns:pic="http://schemas.openxmlformats.org/drawingml/2006/picture">
                  <pic:nvPicPr>
                    <pic:cNvPr id="1409116869"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57A8">
        <w:rPr>
          <w:rtl/>
        </w:rPr>
        <w:t>מומלץ כי זרוע העבודה, בשיתוף המרכז לגביית קנסות, תשפר את התהליך להעברת כספי העיצומים שעבר המועד לתשלומם לגבייה באמצעות המרכז לגביית קנסות, לרבות מיכון התהליך במלואו, במטרה למצות את האפקטיביות של העיצומים</w:t>
      </w:r>
      <w:r w:rsidRPr="00003EBB">
        <w:rPr>
          <w:rtl/>
        </w:rPr>
        <w:t>.</w:t>
      </w:r>
    </w:p>
    <w:p w:rsidR="00C914A4" w:rsidRPr="00577C64" w:rsidP="00C914A4" w14:paraId="2D13BD85" w14:textId="5327CD89">
      <w:pPr>
        <w:pStyle w:val="7112"/>
      </w:pPr>
      <w:r w:rsidRPr="004232CF">
        <w:rPr>
          <w:noProof/>
        </w:rPr>
        <w:drawing>
          <wp:anchor distT="0" distB="3600450" distL="114300" distR="114300" simplePos="0" relativeHeight="251721728" behindDoc="0" locked="0" layoutInCell="1" allowOverlap="1">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 xmlns:a="http://schemas.openxmlformats.org/drawingml/2006/main">
              <a:graphicData uri="http://schemas.openxmlformats.org/drawingml/2006/picture">
                <pic:pic xmlns:pic="http://schemas.openxmlformats.org/drawingml/2006/picture">
                  <pic:nvPicPr>
                    <pic:cNvPr id="1568993008"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14A4">
        <w:rPr>
          <w:rtl/>
        </w:rPr>
        <w:t xml:space="preserve"> </w:t>
      </w:r>
      <w:r w:rsidRPr="00EA57A8">
        <w:rPr>
          <w:rtl/>
        </w:rPr>
        <w:t xml:space="preserve">מומלץ כי </w:t>
      </w:r>
      <w:r w:rsidRPr="00EA57A8">
        <w:rPr>
          <w:rtl/>
        </w:rPr>
        <w:t>מינהל</w:t>
      </w:r>
      <w:r w:rsidRPr="00EA57A8">
        <w:rPr>
          <w:rtl/>
        </w:rPr>
        <w:t xml:space="preserve"> הבטיחות יפעל להשלמת הנדרש להפעלת יחידת החקירות אשר תעסוק באופן שוטף באכיפה פלילית ותבצע חקירות פליליות בסטנדרט הנדרש, לשם הגשת כתבי אישום נגד מפירי החוק במקרים המתאימים</w:t>
      </w:r>
      <w:r>
        <w:rPr>
          <w:rFonts w:hint="cs"/>
          <w:rtl/>
        </w:rPr>
        <w:t>.</w:t>
      </w:r>
    </w:p>
    <w:p w:rsidR="00C914A4" w:rsidRPr="003A3978" w:rsidP="00C914A4" w14:paraId="4F7E0D38" w14:textId="1759EE63">
      <w:pPr>
        <w:pStyle w:val="7112"/>
      </w:pPr>
      <w:r w:rsidRPr="004232CF">
        <w:rPr>
          <w:noProof/>
        </w:rPr>
        <w:drawing>
          <wp:anchor distT="0" distB="3600450" distL="114300" distR="114300" simplePos="0" relativeHeight="251722752" behindDoc="0" locked="0" layoutInCell="1" allowOverlap="1">
            <wp:simplePos x="0" y="0"/>
            <wp:positionH relativeFrom="column">
              <wp:posOffset>4539615</wp:posOffset>
            </wp:positionH>
            <wp:positionV relativeFrom="paragraph">
              <wp:posOffset>4396</wp:posOffset>
            </wp:positionV>
            <wp:extent cx="140335" cy="161925"/>
            <wp:effectExtent l="0" t="0" r="0" b="3175"/>
            <wp:wrapSquare wrapText="bothSides"/>
            <wp:docPr id="24785183" name="תמונה 33"/>
            <wp:cNvGraphicFramePr/>
            <a:graphic xmlns:a="http://schemas.openxmlformats.org/drawingml/2006/main">
              <a:graphicData uri="http://schemas.openxmlformats.org/drawingml/2006/picture">
                <pic:pic xmlns:pic="http://schemas.openxmlformats.org/drawingml/2006/picture">
                  <pic:nvPicPr>
                    <pic:cNvPr id="909254821"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57A8">
        <w:rPr>
          <w:rtl/>
        </w:rPr>
        <w:t xml:space="preserve">מומלץ כי </w:t>
      </w:r>
      <w:r w:rsidRPr="00EA57A8">
        <w:rPr>
          <w:rtl/>
        </w:rPr>
        <w:t>מינהל</w:t>
      </w:r>
      <w:r w:rsidRPr="00EA57A8">
        <w:rPr>
          <w:rtl/>
        </w:rPr>
        <w:t xml:space="preserve"> הבטיחות יתחיל באכיפת החובה להתקין פיגומים המותאמים לתקן לא יאוחר מן המועד שקבע - 28.2.22. עוד מומלץ כי </w:t>
      </w:r>
      <w:r w:rsidRPr="00EA57A8">
        <w:rPr>
          <w:rtl/>
        </w:rPr>
        <w:t>מינהל</w:t>
      </w:r>
      <w:r w:rsidRPr="00EA57A8">
        <w:rPr>
          <w:rtl/>
        </w:rPr>
        <w:t xml:space="preserve"> הבטיחות ומכון התקנים הישראלי יפעלו לקידום בחינת דגמי פיגומים נוספים, לשם הגדלת ההיצע של הדגמים המאושרים</w:t>
      </w:r>
      <w:r w:rsidRPr="003A3978">
        <w:rPr>
          <w:rtl/>
        </w:rPr>
        <w:t>.</w:t>
      </w:r>
      <w:r w:rsidRPr="003A3978">
        <w:rPr>
          <w:rFonts w:hint="cs"/>
          <w:rtl/>
        </w:rPr>
        <w:t xml:space="preserve"> </w:t>
      </w:r>
    </w:p>
    <w:p w:rsidR="00C914A4" w:rsidRPr="00003EBB" w:rsidP="00C914A4" w14:paraId="31CE08B8" w14:textId="5BE45148">
      <w:pPr>
        <w:pStyle w:val="7112"/>
        <w:rPr>
          <w:rtl/>
        </w:rPr>
      </w:pPr>
      <w:r w:rsidRPr="004232CF">
        <w:rPr>
          <w:noProof/>
        </w:rPr>
        <w:drawing>
          <wp:anchor distT="0" distB="3600450" distL="114300" distR="114300" simplePos="0" relativeHeight="251723776" behindDoc="0" locked="0" layoutInCell="1" allowOverlap="1">
            <wp:simplePos x="0" y="0"/>
            <wp:positionH relativeFrom="column">
              <wp:posOffset>4539615</wp:posOffset>
            </wp:positionH>
            <wp:positionV relativeFrom="paragraph">
              <wp:posOffset>9525</wp:posOffset>
            </wp:positionV>
            <wp:extent cx="140335" cy="161925"/>
            <wp:effectExtent l="0" t="0" r="0" b="9525"/>
            <wp:wrapSquare wrapText="bothSides"/>
            <wp:docPr id="24785184" name="תמונה 33"/>
            <wp:cNvGraphicFramePr/>
            <a:graphic xmlns:a="http://schemas.openxmlformats.org/drawingml/2006/main">
              <a:graphicData uri="http://schemas.openxmlformats.org/drawingml/2006/picture">
                <pic:pic xmlns:pic="http://schemas.openxmlformats.org/drawingml/2006/picture">
                  <pic:nvPicPr>
                    <pic:cNvPr id="178746729"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57A8">
        <w:rPr>
          <w:rtl/>
        </w:rPr>
        <w:t xml:space="preserve">מומלץ כי </w:t>
      </w:r>
      <w:r w:rsidRPr="00EA57A8">
        <w:rPr>
          <w:rtl/>
        </w:rPr>
        <w:t>מינהל</w:t>
      </w:r>
      <w:r w:rsidRPr="00EA57A8">
        <w:rPr>
          <w:rtl/>
        </w:rPr>
        <w:t xml:space="preserve"> הבטיחות ירכז את התובנות העולות מהדוחות של </w:t>
      </w:r>
      <w:r w:rsidRPr="00EA57A8">
        <w:rPr>
          <w:rtl/>
        </w:rPr>
        <w:t>פל"ס</w:t>
      </w:r>
      <w:r w:rsidRPr="00EA57A8">
        <w:rPr>
          <w:rtl/>
        </w:rPr>
        <w:t xml:space="preserve">, לאחר שהדוחות יועברו אליו, ויגבש על פי תובנות אלה המלצות, בשיתוף </w:t>
      </w:r>
      <w:r w:rsidRPr="00EA57A8">
        <w:rPr>
          <w:rtl/>
        </w:rPr>
        <w:t>פל"ס</w:t>
      </w:r>
      <w:r w:rsidRPr="00EA57A8">
        <w:rPr>
          <w:rtl/>
        </w:rPr>
        <w:t xml:space="preserve">, לצורך הטמעתן. כמו כן, מומלץ כי </w:t>
      </w:r>
      <w:r w:rsidRPr="00EA57A8">
        <w:rPr>
          <w:rtl/>
        </w:rPr>
        <w:t>מינהל</w:t>
      </w:r>
      <w:r w:rsidRPr="00EA57A8">
        <w:rPr>
          <w:rtl/>
        </w:rPr>
        <w:t xml:space="preserve"> הבטיחות ירחיב את תהליכי הפקת הלקחים גם בנוגע לתאונות שאינן קטלניות ולתאונות המוגדרות כ"כמעט נפגע</w:t>
      </w:r>
      <w:r>
        <w:rPr>
          <w:rFonts w:hint="cs"/>
          <w:rtl/>
        </w:rPr>
        <w:t>״</w:t>
      </w:r>
      <w:r w:rsidRPr="00003EBB">
        <w:rPr>
          <w:rtl/>
        </w:rPr>
        <w:t>.</w:t>
      </w:r>
    </w:p>
    <w:p w:rsidR="00C914A4" w:rsidRPr="00577C64" w:rsidP="00C914A4" w14:paraId="4831397C" w14:textId="618660CA">
      <w:pPr>
        <w:pStyle w:val="7112"/>
      </w:pPr>
      <w:r w:rsidRPr="004232CF">
        <w:rPr>
          <w:noProof/>
        </w:rPr>
        <w:drawing>
          <wp:anchor distT="0" distB="3600450" distL="114300" distR="114300" simplePos="0" relativeHeight="251724800" behindDoc="0" locked="0" layoutInCell="1" allowOverlap="1">
            <wp:simplePos x="0" y="0"/>
            <wp:positionH relativeFrom="column">
              <wp:posOffset>4539615</wp:posOffset>
            </wp:positionH>
            <wp:positionV relativeFrom="paragraph">
              <wp:posOffset>28575</wp:posOffset>
            </wp:positionV>
            <wp:extent cx="140335" cy="161925"/>
            <wp:effectExtent l="0" t="0" r="0" b="9525"/>
            <wp:wrapSquare wrapText="bothSides"/>
            <wp:docPr id="24785185" name="תמונה 33"/>
            <wp:cNvGraphicFramePr/>
            <a:graphic xmlns:a="http://schemas.openxmlformats.org/drawingml/2006/main">
              <a:graphicData uri="http://schemas.openxmlformats.org/drawingml/2006/picture">
                <pic:pic xmlns:pic="http://schemas.openxmlformats.org/drawingml/2006/picture">
                  <pic:nvPicPr>
                    <pic:cNvPr id="744126748"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57A8">
        <w:rPr>
          <w:rtl/>
        </w:rPr>
        <w:t xml:space="preserve">מומלץ כי </w:t>
      </w:r>
      <w:r w:rsidRPr="00EA57A8">
        <w:rPr>
          <w:rtl/>
        </w:rPr>
        <w:t>החשכ"ל</w:t>
      </w:r>
      <w:r w:rsidRPr="00EA57A8">
        <w:rPr>
          <w:rtl/>
        </w:rPr>
        <w:t xml:space="preserve"> יפעל להשלמת הבחינה של נוהל השעיית הקבלנים מהתקשרויות עם משרדי ממשלה בגין הפרות בטיחות, כדי ליישמו לגבי הקבלנים המוכרים שעימם מתקשרת המדינה. עוד מומלץ כי לאחר השלמת הבחינה כאמור, משרדי האוצר, הבינוי והשיכון והפנים, זרוע העבודה, רשות החברות הממשלתיות ונציגי השלטון המקומי יבחנו אפשרות לגיבוש הסדר דומה לנוהל ההשעיה בכפוף לכל דין, שיהיה רלוונטי לכלל החברות הממשלתיות, הרשויות המקומיות והתאגידים שלהן, לפי העניין, המתקשרים עם קבלנים. זאת כדי להגביר את הבטיחות בסביבת העבודה באתרים שבהם מבוצעות עבודות עבור גופים ציבוריים</w:t>
      </w:r>
      <w:r>
        <w:rPr>
          <w:rFonts w:hint="cs"/>
          <w:rtl/>
        </w:rPr>
        <w:t>.</w:t>
      </w:r>
    </w:p>
    <w:p w:rsidR="00C914A4" w:rsidRPr="00C914A4" w:rsidP="00C914A4" w14:paraId="3CC61AEA" w14:textId="2B4130CC">
      <w:pPr>
        <w:pStyle w:val="7112"/>
        <w:spacing w:before="360" w:after="360"/>
        <w:rPr>
          <w:rtl/>
        </w:rPr>
        <w:sectPr w:rsidSect="0082565B">
          <w:footerReference w:type="even" r:id="rId22"/>
          <w:footerReference w:type="default" r:id="rId23"/>
          <w:headerReference w:type="first" r:id="rId24"/>
          <w:footerReference w:type="first" r:id="rId25"/>
          <w:pgSz w:w="11906" w:h="16838" w:code="9"/>
          <w:pgMar w:top="3062" w:right="2268" w:bottom="2552" w:left="2268" w:header="1134" w:footer="1361" w:gutter="0"/>
          <w:pgNumType w:start="1567"/>
          <w:cols w:space="708"/>
          <w:bidi/>
          <w:rtlGutter/>
          <w:docGrid w:linePitch="360"/>
        </w:sectPr>
      </w:pPr>
    </w:p>
    <w:p w:rsidR="00DC1D24" w:rsidRPr="00DC1D24" w:rsidP="00DC1D24" w14:paraId="26ED2D32" w14:textId="1C66AACF">
      <w:pPr>
        <w:rPr>
          <w:szCs w:val="20"/>
          <w:rtl/>
        </w:rPr>
        <w:sectPr w:rsidSect="00F619AB">
          <w:headerReference w:type="even" r:id="rId26"/>
          <w:headerReference w:type="default" r:id="rId27"/>
          <w:pgSz w:w="11906" w:h="16838" w:code="9"/>
          <w:pgMar w:top="3062" w:right="2268" w:bottom="2552" w:left="2268" w:header="1134" w:footer="1361" w:gutter="0"/>
          <w:cols w:space="708"/>
          <w:bidi/>
          <w:rtlGutter/>
          <w:docGrid w:linePitch="360"/>
        </w:sectPr>
      </w:pPr>
      <w:r w:rsidRPr="00DC1D24">
        <w:rPr>
          <w:noProof/>
          <w:rtl/>
        </w:rPr>
        <mc:AlternateContent>
          <mc:Choice Requires="wpg">
            <w:drawing>
              <wp:anchor distT="0" distB="0" distL="114300" distR="114300" simplePos="0" relativeHeight="251677696" behindDoc="0" locked="0" layoutInCell="1" allowOverlap="1">
                <wp:simplePos x="0" y="0"/>
                <wp:positionH relativeFrom="margin">
                  <wp:posOffset>25058</wp:posOffset>
                </wp:positionH>
                <wp:positionV relativeFrom="paragraph">
                  <wp:posOffset>27501</wp:posOffset>
                </wp:positionV>
                <wp:extent cx="4787900" cy="752475"/>
                <wp:effectExtent l="0" t="0" r="0" b="0"/>
                <wp:wrapSquare wrapText="bothSides"/>
                <wp:docPr id="2052770959" name="Group 2052770959"/>
                <wp:cNvGraphicFramePr/>
                <a:graphic xmlns:a="http://schemas.openxmlformats.org/drawingml/2006/main">
                  <a:graphicData uri="http://schemas.microsoft.com/office/word/2010/wordprocessingGroup">
                    <wpg:wgp xmlns:wpg="http://schemas.microsoft.com/office/word/2010/wordprocessingGroup">
                      <wpg:cNvGrpSpPr/>
                      <wpg:grpSpPr>
                        <a:xfrm>
                          <a:off x="0" y="0"/>
                          <a:ext cx="4787900" cy="752475"/>
                          <a:chOff x="0" y="108020"/>
                          <a:chExt cx="4787900" cy="753429"/>
                        </a:xfrm>
                      </wpg:grpSpPr>
                      <pic:pic xmlns:pic="http://schemas.openxmlformats.org/drawingml/2006/picture">
                        <pic:nvPicPr>
                          <pic:cNvPr id="23" name="Picture 23"/>
                          <pic:cNvPicPr>
                            <a:picLocks noChangeAspect="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a:xfrm>
                            <a:off x="0" y="108020"/>
                            <a:ext cx="4787900" cy="753429"/>
                          </a:xfrm>
                          <a:prstGeom prst="rect">
                            <a:avLst/>
                          </a:prstGeom>
                        </pic:spPr>
                      </pic:pic>
                      <wps:wsp xmlns:wps="http://schemas.microsoft.com/office/word/2010/wordprocessingShape">
                        <wps:cNvPr id="36" name="Text Box 2"/>
                        <wps:cNvSpPr txBox="1">
                          <a:spLocks noChangeArrowheads="1"/>
                        </wps:cNvSpPr>
                        <wps:spPr bwMode="auto">
                          <a:xfrm>
                            <a:off x="276225" y="187992"/>
                            <a:ext cx="4428490" cy="462214"/>
                          </a:xfrm>
                          <a:prstGeom prst="rect">
                            <a:avLst/>
                          </a:prstGeom>
                          <a:solidFill>
                            <a:srgbClr val="F05260"/>
                          </a:solidFill>
                          <a:ln w="9525">
                            <a:noFill/>
                            <a:miter lim="800000"/>
                            <a:headEnd/>
                            <a:tailEnd/>
                          </a:ln>
                        </wps:spPr>
                        <wps:txbx>
                          <w:txbxContent>
                            <w:p w:rsidR="00CB22A1" w:rsidRPr="00A47335" w:rsidP="00361AA2" w14:textId="78C006DB">
                              <w:pPr>
                                <w:pStyle w:val="7126"/>
                                <w:spacing w:before="0"/>
                                <w:rPr>
                                  <w:b w:val="0"/>
                                  <w:bCs/>
                                </w:rPr>
                              </w:pPr>
                              <w:r w:rsidRPr="00EA57A8">
                                <w:rPr>
                                  <w:bCs/>
                                  <w:rtl/>
                                </w:rPr>
                                <w:t>היחס בין מספר ביקורי המפקחים למספר אתרי הבנייה המוכרים (יחס הביקורים)</w:t>
                              </w:r>
                              <w:r>
                                <w:rPr>
                                  <w:rFonts w:hint="cs"/>
                                  <w:b w:val="0"/>
                                  <w:bCs/>
                                  <w:rtl/>
                                </w:rPr>
                                <w:t xml:space="preserve"> </w:t>
                              </w:r>
                              <w:r w:rsidRPr="00EA57A8">
                                <w:rPr>
                                  <w:bCs/>
                                  <w:rtl/>
                                </w:rPr>
                                <w:t>בשנים 2015 - 2020</w:t>
                              </w:r>
                            </w:p>
                          </w:txbxContent>
                        </wps:txbx>
                        <wps:bodyPr rot="0" vert="horz" wrap="square" anchor="ctr" anchorCtr="0"/>
                      </wps:wsp>
                    </wpg:wgp>
                  </a:graphicData>
                </a:graphic>
                <wp14:sizeRelV relativeFrom="margin">
                  <wp14:pctHeight>0</wp14:pctHeight>
                </wp14:sizeRelV>
              </wp:anchor>
            </w:drawing>
          </mc:Choice>
          <mc:Fallback>
            <w:pict>
              <v:group id="Group 2052770959" o:spid="_x0000_s1049" style="width:377pt;height:59.25pt;margin-top:2.15pt;margin-left:1.95pt;mso-height-relative:margin;mso-position-horizontal-relative:margin;position:absolute;z-index:251678720" coordorigin="0,1080" coordsize="47879,7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50" type="#_x0000_t75" style="width:47879;height:7534;mso-wrap-style:square;position:absolute;top:1080;visibility:visible">
                  <v:imagedata r:id="rId29" o:title=""/>
                </v:shape>
                <v:shape id="_x0000_s1051" type="#_x0000_t202" style="width:44285;height:4623;left:2762;mso-wrap-style:square;position:absolute;top:1879;visibility:visible;v-text-anchor:middle" fillcolor="#f05260" stroked="f">
                  <v:textbox>
                    <w:txbxContent>
                      <w:p w:rsidR="00CB22A1" w:rsidRPr="00A47335" w:rsidP="00361AA2" w14:paraId="7C0CF9BB" w14:textId="78C006DB">
                        <w:pPr>
                          <w:pStyle w:val="7126"/>
                          <w:spacing w:before="0"/>
                          <w:rPr>
                            <w:b w:val="0"/>
                            <w:bCs/>
                          </w:rPr>
                        </w:pPr>
                        <w:r w:rsidRPr="00EA57A8">
                          <w:rPr>
                            <w:bCs/>
                            <w:rtl/>
                          </w:rPr>
                          <w:t>היחס בין מספר ביקורי המפקחים למספר אתרי הבנייה המוכרים (יחס הביקורים)</w:t>
                        </w:r>
                        <w:r>
                          <w:rPr>
                            <w:rFonts w:hint="cs"/>
                            <w:b w:val="0"/>
                            <w:bCs/>
                            <w:rtl/>
                          </w:rPr>
                          <w:t xml:space="preserve"> </w:t>
                        </w:r>
                        <w:r w:rsidRPr="00EA57A8">
                          <w:rPr>
                            <w:bCs/>
                            <w:rtl/>
                          </w:rPr>
                          <w:t>בשנים 2015 - 2020</w:t>
                        </w:r>
                      </w:p>
                    </w:txbxContent>
                  </v:textbox>
                </v:shape>
                <w10:wrap type="square"/>
              </v:group>
            </w:pict>
          </mc:Fallback>
        </mc:AlternateContent>
      </w:r>
    </w:p>
    <w:tbl>
      <w:tblPr>
        <w:tblStyle w:val="TableGrid"/>
        <w:tblpPr w:leftFromText="180" w:rightFromText="180" w:vertAnchor="text" w:tblpXSpec="center" w:tblpY="1"/>
        <w:tblOverlap w:val="never"/>
        <w:bidiVisual/>
        <w:tblW w:w="9499" w:type="dxa"/>
        <w:tblLayout w:type="fixed"/>
        <w:tblLook w:val="04A0"/>
      </w:tblPr>
      <w:tblGrid>
        <w:gridCol w:w="9499"/>
      </w:tblGrid>
      <w:tr w14:paraId="09CC4802" w14:textId="77777777" w:rsidTr="008B5847">
        <w:tblPrEx>
          <w:tblW w:w="9499" w:type="dxa"/>
          <w:tblLayout w:type="fixed"/>
          <w:tblLook w:val="04A0"/>
        </w:tblPrEx>
        <w:trPr>
          <w:trHeight w:val="192"/>
        </w:trPr>
        <w:tc>
          <w:tcPr>
            <w:tcW w:w="9499" w:type="dxa"/>
            <w:tcBorders>
              <w:top w:val="nil"/>
              <w:left w:val="nil"/>
              <w:bottom w:val="nil"/>
              <w:right w:val="nil"/>
            </w:tcBorders>
          </w:tcPr>
          <w:p w:rsidR="00DC1D24" w:rsidRPr="00061D3B" w:rsidP="008B5847" w14:paraId="69B6183A" w14:textId="77777777">
            <w:pPr>
              <w:spacing w:line="288" w:lineRule="auto"/>
              <w:rPr>
                <w:rFonts w:ascii="Tahoma" w:hAnsi="Tahoma" w:cs="Tahoma"/>
                <w:sz w:val="10"/>
                <w:szCs w:val="10"/>
                <w:rtl/>
              </w:rPr>
            </w:pPr>
          </w:p>
        </w:tc>
      </w:tr>
      <w:tr w14:paraId="0DC0E004" w14:textId="77777777" w:rsidTr="008B5847">
        <w:tblPrEx>
          <w:tblW w:w="9499" w:type="dxa"/>
          <w:tblLayout w:type="fixed"/>
          <w:tblLook w:val="04A0"/>
        </w:tblPrEx>
        <w:trPr>
          <w:trHeight w:val="1914"/>
        </w:trPr>
        <w:tc>
          <w:tcPr>
            <w:tcW w:w="9499" w:type="dxa"/>
            <w:tcBorders>
              <w:top w:val="nil"/>
              <w:left w:val="nil"/>
              <w:bottom w:val="nil"/>
              <w:right w:val="nil"/>
            </w:tcBorders>
          </w:tcPr>
          <w:p w:rsidR="00DC1D24" w:rsidRPr="00061D3B" w:rsidP="00DC1D24" w14:paraId="7CF32D85" w14:textId="02E0F007">
            <w:pPr>
              <w:spacing w:line="288" w:lineRule="auto"/>
              <w:jc w:val="center"/>
              <w:rPr>
                <w:rFonts w:ascii="Tahoma" w:hAnsi="Tahoma" w:cs="Tahoma"/>
                <w:sz w:val="19"/>
                <w:szCs w:val="19"/>
                <w:rtl/>
              </w:rPr>
            </w:pPr>
            <w:r>
              <w:rPr>
                <w:rFonts w:ascii="Tahoma" w:hAnsi="Tahoma" w:cs="Tahoma"/>
                <w:noProof/>
                <w:sz w:val="19"/>
                <w:szCs w:val="19"/>
                <w:rtl/>
                <w:lang w:val="he-IL"/>
              </w:rPr>
              <w:drawing>
                <wp:inline distT="0" distB="0" distL="0" distR="0">
                  <wp:extent cx="4686300" cy="2755900"/>
                  <wp:effectExtent l="0" t="0" r="0" b="0"/>
                  <wp:docPr id="37" name="תמונה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980867" name="תמונה 37"/>
                          <pic:cNvPicPr/>
                        </pic:nvPicPr>
                        <pic:blipFill>
                          <a:blip xmlns:r="http://schemas.openxmlformats.org/officeDocument/2006/relationships" r:embed="rId30">
                            <a:extLst>
                              <a:ext xmlns:a="http://schemas.openxmlformats.org/drawingml/2006/main" uri="{28A0092B-C50C-407E-A947-70E740481C1C}">
                                <a14:useLocalDpi xmlns:a14="http://schemas.microsoft.com/office/drawing/2010/main" val="0"/>
                              </a:ext>
                            </a:extLst>
                          </a:blip>
                          <a:stretch>
                            <a:fillRect/>
                          </a:stretch>
                        </pic:blipFill>
                        <pic:spPr>
                          <a:xfrm>
                            <a:off x="0" y="0"/>
                            <a:ext cx="4686300" cy="2755900"/>
                          </a:xfrm>
                          <a:prstGeom prst="rect">
                            <a:avLst/>
                          </a:prstGeom>
                        </pic:spPr>
                      </pic:pic>
                    </a:graphicData>
                  </a:graphic>
                </wp:inline>
              </w:drawing>
            </w:r>
          </w:p>
          <w:p w:rsidR="00DC1D24" w:rsidRPr="00061D3B" w:rsidP="008B5847" w14:paraId="18263B62" w14:textId="77777777">
            <w:pPr>
              <w:spacing w:line="288" w:lineRule="auto"/>
              <w:rPr>
                <w:rFonts w:ascii="Tahoma" w:hAnsi="Tahoma" w:cs="Tahoma"/>
                <w:sz w:val="14"/>
                <w:szCs w:val="14"/>
                <w:rtl/>
              </w:rPr>
            </w:pPr>
          </w:p>
        </w:tc>
      </w:tr>
    </w:tbl>
    <w:p w:rsidR="00DC1D24" w:rsidP="00DC1D24" w14:paraId="03B0CF18" w14:textId="005124CA">
      <w:pPr>
        <w:pStyle w:val="715"/>
        <w:bidi w:val="0"/>
        <w:spacing w:after="0"/>
        <w:jc w:val="right"/>
        <w:rPr>
          <w:rtl/>
        </w:rPr>
      </w:pPr>
      <w:r w:rsidRPr="00DC1D24">
        <w:rPr>
          <w:rtl/>
        </w:rPr>
        <w:t xml:space="preserve">על פי נתוני </w:t>
      </w:r>
      <w:r w:rsidRPr="00DC1D24">
        <w:rPr>
          <w:rtl/>
        </w:rPr>
        <w:t>מינהל</w:t>
      </w:r>
      <w:r w:rsidRPr="00DC1D24">
        <w:rPr>
          <w:rtl/>
        </w:rPr>
        <w:t xml:space="preserve"> הבטיחות, בעיבוד משרד מבקר ה</w:t>
      </w:r>
      <w:r w:rsidRPr="00EA57A8">
        <w:rPr>
          <w:rtl/>
        </w:rPr>
        <w:t>מדינה.</w:t>
      </w:r>
      <w:r>
        <w:rPr>
          <w:rtl/>
        </w:rPr>
        <w:br w:type="page"/>
      </w:r>
    </w:p>
    <w:p w:rsidR="00F27A70" w:rsidRPr="00C94863" w:rsidP="00C94863" w14:paraId="5E9C70D4" w14:textId="5C79236D">
      <w:pPr>
        <w:pStyle w:val="7123"/>
        <w:spacing w:before="360"/>
        <w:rPr>
          <w:rtl/>
        </w:rPr>
      </w:pPr>
      <w:r>
        <w:rPr>
          <w:noProof/>
          <w:rtl/>
          <w:lang w:val="he-IL"/>
        </w:rPr>
        <mc:AlternateContent>
          <mc:Choice Requires="wpg">
            <w:drawing>
              <wp:anchor distT="0" distB="0" distL="114300" distR="114300" simplePos="0" relativeHeight="251679744" behindDoc="0" locked="0" layoutInCell="1" allowOverlap="1">
                <wp:simplePos x="0" y="0"/>
                <wp:positionH relativeFrom="margin">
                  <wp:posOffset>-5080</wp:posOffset>
                </wp:positionH>
                <wp:positionV relativeFrom="paragraph">
                  <wp:posOffset>12805</wp:posOffset>
                </wp:positionV>
                <wp:extent cx="4679950" cy="37465"/>
                <wp:effectExtent l="12700" t="12700" r="6350" b="13335"/>
                <wp:wrapSquare wrapText="bothSides"/>
                <wp:docPr id="55" name="Group 55"/>
                <wp:cNvGraphicFramePr/>
                <a:graphic xmlns:a="http://schemas.openxmlformats.org/drawingml/2006/main">
                  <a:graphicData uri="http://schemas.microsoft.com/office/word/2010/wordprocessingGroup">
                    <wpg:wgp xmlns:wpg="http://schemas.microsoft.com/office/word/2010/wordprocessingGroup">
                      <wpg:cNvGrpSpPr/>
                      <wpg:grpSpPr>
                        <a:xfrm>
                          <a:off x="0" y="0"/>
                          <a:ext cx="4679950" cy="37465"/>
                          <a:chOff x="0" y="0"/>
                          <a:chExt cx="4724400" cy="38100"/>
                        </a:xfrm>
                      </wpg:grpSpPr>
                      <wps:wsp xmlns:wps="http://schemas.microsoft.com/office/word/2010/wordprocessingShape">
                        <wps:cNvPr id="56" name="Straight Connector 56"/>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57" name="Straight Connector 57"/>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55" o:spid="_x0000_s1052" style="width:368.5pt;height:2.95pt;margin-top:1pt;margin-left:-0.4pt;mso-position-horizontal-relative:margin;position:absolute;z-index:251680768" coordsize="47244,381">
                <v:line id="Straight Connector 56" o:spid="_x0000_s1053" style="flip:x;mso-wrap-style:square;position:absolute;visibility:visible" from="0,381" to="47244,381" o:connectortype="straight" strokecolor="#0d0d0d" strokeweight="1.5pt"/>
                <v:line id="Straight Connector 57" o:spid="_x0000_s1054" style="flip:x;mso-wrap-style:square;position:absolute;visibility:visible" from="0,0" to="47244,0" o:connectortype="straight" strokecolor="#0d0d0d" strokeweight="1.5pt"/>
                <w10:wrap type="square"/>
              </v:group>
            </w:pict>
          </mc:Fallback>
        </mc:AlternateContent>
      </w:r>
      <w:r w:rsidRPr="00EF3061" w:rsidR="00EC6229">
        <w:rPr>
          <w:rFonts w:hint="cs"/>
          <w:rtl/>
        </w:rPr>
        <w:t>ס</w:t>
      </w:r>
      <w:r w:rsidRPr="00C94863" w:rsidR="00EC6229">
        <w:rPr>
          <w:rFonts w:hint="cs"/>
          <w:rtl/>
        </w:rPr>
        <w:t>יכום</w:t>
      </w:r>
    </w:p>
    <w:p w:rsidR="00DC1D24" w:rsidRPr="00631405" w:rsidP="00DC1D24" w14:paraId="2E31DEA2" w14:textId="77777777">
      <w:pPr>
        <w:pStyle w:val="7190"/>
        <w:rPr>
          <w:rtl/>
        </w:rPr>
      </w:pPr>
      <w:r w:rsidRPr="00631405">
        <w:rPr>
          <w:rtl/>
        </w:rPr>
        <w:t xml:space="preserve">נוכח היקף הנפגעים בענף הבנייה נקטה המדינה משנת 2018 כמה מהלכים לצורך הגברת הבטיחות בענף הבנייה וצמצום מספר התאונות, ובהם הגדלת היקף פעילות המפקחים של </w:t>
      </w:r>
      <w:r w:rsidRPr="00631405">
        <w:rPr>
          <w:rtl/>
        </w:rPr>
        <w:t>מינהל</w:t>
      </w:r>
      <w:r w:rsidRPr="00631405">
        <w:rPr>
          <w:rtl/>
        </w:rPr>
        <w:t xml:space="preserve"> הבטיחות בענף הבנייה; הטלת עיצומים כספיים על מעסיקים בענף הבנייה שעברו עבירות בטיחות; הקמת יחידת חקירות ייעודית במשטרה לתחום הבטיחות בעבודה בענף הבנייה; ונקיטת אמצעי משמעת נגד קבלנים בגין עבירות בטיחות על ידי רשם הקבלנים. מביקורת זו עולה כי על אף המהלכים שננקטו, יש פערים במערך הפיקוח והאכיפה: לא מתקיימת אכיפה אפקטיבית דייה של עבירות הבטיחות הפליליות בענף הבנייה, ופעולותיו של </w:t>
      </w:r>
      <w:r w:rsidRPr="00631405">
        <w:rPr>
          <w:rtl/>
        </w:rPr>
        <w:t>מינהל</w:t>
      </w:r>
      <w:r w:rsidRPr="00631405">
        <w:rPr>
          <w:rtl/>
        </w:rPr>
        <w:t xml:space="preserve"> הבטיחות בנוגע לניתוח הנתונים והפקת הלקחים בעקבות תאונות עבודה טעונות שיפור והרחבה. </w:t>
      </w:r>
      <w:r w:rsidRPr="00631405">
        <w:rPr>
          <w:rtl/>
        </w:rPr>
        <w:t>למינהל</w:t>
      </w:r>
      <w:r w:rsidRPr="00631405">
        <w:rPr>
          <w:rtl/>
        </w:rPr>
        <w:t xml:space="preserve"> הבטיחות לא הוקצו מלוא המשרות לתחום הפיקוח על הבטיחות בענף הבנייה, בהתאם לסיכום התקציבי בנדון, ולא אוישו מלוא המשרות שהוקצו לו בתקן.</w:t>
      </w:r>
    </w:p>
    <w:p w:rsidR="0078031D" w:rsidRPr="00640147" w:rsidP="00DC1D24" w14:paraId="4F89ABD7" w14:textId="31F5AB89">
      <w:pPr>
        <w:pStyle w:val="7190"/>
        <w:rPr>
          <w:rtl/>
        </w:rPr>
      </w:pPr>
      <w:r w:rsidRPr="00631405">
        <w:rPr>
          <w:rtl/>
        </w:rPr>
        <w:t xml:space="preserve">על זרוע העבודה, </w:t>
      </w:r>
      <w:r w:rsidRPr="00631405">
        <w:rPr>
          <w:rtl/>
        </w:rPr>
        <w:t>ומינהל</w:t>
      </w:r>
      <w:r w:rsidRPr="00631405">
        <w:rPr>
          <w:rtl/>
        </w:rPr>
        <w:t xml:space="preserve"> הבטיחות, המשטרה, רשם הקבלנים ומשרד האוצר לפעול לתיקון הליקויים ולבחון את ההמלצות שצוינו בדוח זה, כדי להגביר את הבטיחות בעבודה בענף הבנייה בישראל</w:t>
      </w:r>
      <w:r w:rsidRPr="00640147">
        <w:rPr>
          <w:rtl/>
        </w:rPr>
        <w:t>.</w:t>
      </w:r>
    </w:p>
    <w:p w:rsidR="0078031D" w:rsidRPr="00640147" w:rsidP="0078031D" w14:paraId="6F92330A" w14:textId="77777777">
      <w:pPr>
        <w:spacing w:line="288" w:lineRule="auto"/>
        <w:ind w:left="-851" w:right="-567"/>
        <w:rPr>
          <w:rFonts w:ascii="Tahoma" w:hAnsi="Tahoma" w:cs="Tahoma"/>
          <w:color w:val="0D0D0D" w:themeColor="text1" w:themeTint="F2"/>
          <w:sz w:val="18"/>
          <w:szCs w:val="18"/>
          <w:rtl/>
        </w:rPr>
      </w:pPr>
    </w:p>
    <w:p w:rsidR="00F96F26" w:rsidP="00F96F26" w14:paraId="1A2D546B" w14:textId="1BADEE67">
      <w:pPr>
        <w:bidi w:val="0"/>
        <w:spacing w:after="200" w:line="276" w:lineRule="auto"/>
        <w:jc w:val="right"/>
        <w:sectPr w:rsidSect="00F74498">
          <w:type w:val="continuous"/>
          <w:pgSz w:w="11906" w:h="16838" w:code="9"/>
          <w:pgMar w:top="3062" w:right="2268" w:bottom="2552" w:left="2268" w:header="1134" w:footer="1361" w:gutter="0"/>
          <w:cols w:space="708"/>
          <w:bidi/>
          <w:rtlGutter/>
          <w:docGrid w:linePitch="360"/>
        </w:sectPr>
      </w:pPr>
    </w:p>
    <w:p w:rsidR="001D64F3" w:rsidRPr="00B4127B" w:rsidP="00B4127B" w14:paraId="1F97FD9E" w14:textId="3E8581B3">
      <w:pPr>
        <w:bidi w:val="0"/>
        <w:spacing w:after="200" w:line="276" w:lineRule="auto"/>
        <w:rPr>
          <w:rFonts w:ascii="Tahoma" w:eastAsia="Times New Roman" w:hAnsi="Tahoma" w:cs="Tahoma"/>
          <w:b/>
          <w:bCs/>
          <w:color w:val="00305F"/>
          <w:sz w:val="32"/>
          <w:szCs w:val="32"/>
        </w:rPr>
      </w:pPr>
      <w:r>
        <w:rPr>
          <w:noProof/>
          <w:rtl/>
          <w:lang w:val="he-IL"/>
        </w:rPr>
        <mc:AlternateContent>
          <mc:Choice Requires="wps">
            <w:drawing>
              <wp:anchor distT="0" distB="0" distL="114300" distR="114300" simplePos="0" relativeHeight="251727872" behindDoc="0" locked="0" layoutInCell="1" allowOverlap="1">
                <wp:simplePos x="0" y="0"/>
                <wp:positionH relativeFrom="column">
                  <wp:posOffset>4636770</wp:posOffset>
                </wp:positionH>
                <wp:positionV relativeFrom="paragraph">
                  <wp:posOffset>7180580</wp:posOffset>
                </wp:positionV>
                <wp:extent cx="723900" cy="533400"/>
                <wp:effectExtent l="12700" t="12700" r="12700" b="12700"/>
                <wp:wrapNone/>
                <wp:docPr id="626630885" name="מלבן 25"/>
                <wp:cNvGraphicFramePr/>
                <a:graphic xmlns:a="http://schemas.openxmlformats.org/drawingml/2006/main">
                  <a:graphicData uri="http://schemas.microsoft.com/office/word/2010/wordprocessingShape">
                    <wps:wsp xmlns:wps="http://schemas.microsoft.com/office/word/2010/wordprocessingShape">
                      <wps:cNvSpPr/>
                      <wps:spPr>
                        <a:xfrm>
                          <a:off x="0" y="0"/>
                          <a:ext cx="723900" cy="533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anchor>
            </w:drawing>
          </mc:Choice>
          <mc:Fallback>
            <w:pict>
              <v:rect id="מלבן 25" o:spid="_x0000_s1055" style="width:57pt;height:42pt;margin-top:565.4pt;margin-left:365.1pt;mso-wrap-distance-bottom:0;mso-wrap-distance-left:9pt;mso-wrap-distance-right:9pt;mso-wrap-distance-top:0;mso-wrap-style:square;position:absolute;visibility:visible;v-text-anchor:middle;z-index:251728896" fillcolor="white" strokecolor="white" strokeweight="2pt"/>
            </w:pict>
          </mc:Fallback>
        </mc:AlternateContent>
      </w:r>
      <w:r>
        <w:rPr>
          <w:noProof/>
        </w:rPr>
        <mc:AlternateContent>
          <mc:Choice Requires="wps">
            <w:drawing>
              <wp:anchor distT="0" distB="0" distL="114300" distR="114300" simplePos="0" relativeHeight="251729920" behindDoc="0" locked="0" layoutInCell="1" allowOverlap="1">
                <wp:simplePos x="0" y="0"/>
                <wp:positionH relativeFrom="column">
                  <wp:posOffset>4489480</wp:posOffset>
                </wp:positionH>
                <wp:positionV relativeFrom="paragraph">
                  <wp:posOffset>7033260</wp:posOffset>
                </wp:positionV>
                <wp:extent cx="850456" cy="863245"/>
                <wp:effectExtent l="12700" t="12700" r="13335" b="13335"/>
                <wp:wrapNone/>
                <wp:docPr id="42" name="מלבן 42"/>
                <wp:cNvGraphicFramePr/>
                <a:graphic xmlns:a="http://schemas.openxmlformats.org/drawingml/2006/main">
                  <a:graphicData uri="http://schemas.microsoft.com/office/word/2010/wordprocessingShape">
                    <wps:wsp xmlns:wps="http://schemas.microsoft.com/office/word/2010/wordprocessingShape">
                      <wps:cNvSpPr/>
                      <wps:spPr>
                        <a:xfrm>
                          <a:off x="0" y="0"/>
                          <a:ext cx="850456" cy="8632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anchor>
            </w:drawing>
          </mc:Choice>
          <mc:Fallback>
            <w:pict>
              <v:rect id="מלבן 42" o:spid="_x0000_s1056" style="width:66.95pt;height:67.95pt;margin-top:553.8pt;margin-left:353.5pt;mso-wrap-distance-bottom:0;mso-wrap-distance-left:9pt;mso-wrap-distance-right:9pt;mso-wrap-distance-top:0;mso-wrap-style:square;position:absolute;visibility:visible;v-text-anchor:middle;z-index:251730944" fillcolor="white" strokecolor="white" strokeweight="2pt"/>
            </w:pict>
          </mc:Fallback>
        </mc:AlternateContent>
      </w:r>
    </w:p>
    <w:sectPr w:rsidSect="00F619AB">
      <w:headerReference w:type="default" r:id="rId31"/>
      <w:footnotePr>
        <w:numRestart w:val="eachSect"/>
      </w:footnotePr>
      <w:type w:val="continuous"/>
      <w:pgSz w:w="11906" w:h="16838" w:code="9"/>
      <w:pgMar w:top="3062" w:right="2268" w:bottom="2552" w:left="2268" w:header="1134" w:footer="1361"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B1"/>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iriam">
    <w:panose1 w:val="020B0502050101010101"/>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9A1489" w14:paraId="78F1745A" w14:textId="77777777">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rsidR="00CB22A1" w:rsidRPr="006668CA" w:rsidP="006668CA" w14:paraId="0C89F632" w14:textId="3FBAB653">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337C4E" w14:paraId="56186361" w14:textId="46026356">
    <w:pPr>
      <w:pStyle w:val="Footer"/>
      <w:spacing w:after="120" w:line="312" w:lineRule="auto"/>
      <w:ind w:left="-510"/>
      <w:jc w:val="left"/>
      <w:rPr>
        <w:rFonts w:ascii="Tahoma" w:hAnsi="Tahoma" w:cs="Tahoma"/>
        <w:sz w:val="18"/>
        <w:szCs w:val="18"/>
        <w:rtl/>
      </w:rPr>
    </w:pPr>
  </w:p>
  <w:p w:rsidR="00CB22A1" w:rsidP="00024391" w14:paraId="55F954A2" w14:textId="6E7E1A70">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CB22A1" w:rsidRPr="00F94EB4" w:rsidP="00337C4E" w14:paraId="4ACFF620" w14:textId="3884ED09">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024391" w14:paraId="2C2A80D5" w14:textId="7A27A42E">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CB22A1" w:rsidP="00851F62" w14:paraId="12CBD4D4" w14:textId="6600A123">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RPr="00D15500" w:rsidP="00D15500" w14:paraId="3078F9E1" w14:textId="77777777">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70A49" w:rsidP="00C23CC9" w14:paraId="514D78CF" w14:textId="77777777">
      <w:pPr>
        <w:spacing w:line="240" w:lineRule="auto"/>
      </w:pPr>
      <w:r>
        <w:separator/>
      </w:r>
    </w:p>
  </w:footnote>
  <w:footnote w:type="continuationSeparator" w:id="1">
    <w:p w:rsidR="00170A49" w:rsidP="00C23CC9" w14:paraId="0DA2FF60" w14:textId="77777777">
      <w:pPr>
        <w:spacing w:line="240" w:lineRule="auto"/>
      </w:pPr>
      <w:r>
        <w:continuationSeparator/>
      </w:r>
    </w:p>
    <w:p w:rsidR="00170A49" w14:paraId="412BC2CB" w14:textId="77777777"/>
  </w:footnote>
  <w:footnote w:id="2">
    <w:p w:rsidR="000E71A5" w:rsidRPr="00FE3CE2" w:rsidP="00C01D63" w14:paraId="7A4D3E83" w14:textId="77777777">
      <w:pPr>
        <w:pStyle w:val="710"/>
      </w:pPr>
      <w:r w:rsidRPr="00AD6AAF">
        <w:footnoteRef/>
      </w:r>
      <w:r w:rsidRPr="00AD6AAF">
        <w:rPr>
          <w:rtl/>
        </w:rPr>
        <w:t xml:space="preserve"> </w:t>
      </w:r>
      <w:r>
        <w:rPr>
          <w:rtl/>
        </w:rPr>
        <w:tab/>
      </w:r>
      <w:r w:rsidRPr="00FE3CE2">
        <w:rPr>
          <w:rtl/>
        </w:rPr>
        <w:t xml:space="preserve">מבקר המדינה, </w:t>
      </w:r>
      <w:r w:rsidRPr="00FE3CE2">
        <w:rPr>
          <w:b/>
          <w:bCs/>
          <w:rtl/>
        </w:rPr>
        <w:t>דוח שנתי 68ג</w:t>
      </w:r>
      <w:r w:rsidRPr="00FE3CE2">
        <w:rPr>
          <w:rtl/>
        </w:rPr>
        <w:t xml:space="preserve"> (2018), עמ' 431 - 461.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CB22A1"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70528"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0982" name="Picture 2052770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CB22A1"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CB22A1"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9504" from="-122.4pt,30.1pt" to="478.6pt,30.1pt" strokecolor="#4579b8"/>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691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6E67D8" w14:textId="008297F6">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8544" filled="f" strokecolor="#a5a5a5" strokeweight="0.25pt">
              <v:stroke dashstyle="longDash"/>
              <v:textbox>
                <w:txbxContent>
                  <w:p w:rsidR="00CB22A1" w:rsidRPr="00DE3ECA" w:rsidP="006E67D8" w14:paraId="3092A244" w14:textId="008297F6">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CB22A1" w:rsidRPr="009B7D1B" w:rsidP="00FB6302" w14:textId="6E6E21F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F55102">
                            <w:rPr>
                              <w:rFonts w:ascii="Tahoma" w:hAnsi="Tahoma" w:cs="Tahoma" w:hint="cs"/>
                              <w:b/>
                              <w:bCs/>
                              <w:rtl/>
                            </w:rPr>
                            <w:t xml:space="preserve">  </w:t>
                          </w:r>
                          <w:r w:rsidRPr="006F18DE" w:rsidR="00F55102">
                            <w:rPr>
                              <w:rFonts w:ascii="Tahoma" w:hAnsi="Tahoma" w:cs="Tahoma"/>
                              <w:b/>
                              <w:bCs/>
                              <w:rtl/>
                            </w:rPr>
                            <w:t>בטיחות העובדים בענף הבנייה</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7456" fillcolor="#00305f" strokecolor="#00305f">
              <v:textbox style="layout-flow:vertical;mso-layout-flow-alt:bottom-to-top" inset="0,0,0,0">
                <w:txbxContent>
                  <w:p w:rsidR="00CB22A1" w:rsidRPr="009B7D1B" w:rsidP="00FB6302" w14:paraId="77809697" w14:textId="6E6E21F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F55102">
                      <w:rPr>
                        <w:rFonts w:ascii="Tahoma" w:hAnsi="Tahoma" w:cs="Tahoma" w:hint="cs"/>
                        <w:b/>
                        <w:bCs/>
                        <w:rtl/>
                      </w:rPr>
                      <w:t xml:space="preserve">  </w:t>
                    </w:r>
                    <w:r w:rsidRPr="006F18DE" w:rsidR="00F55102">
                      <w:rPr>
                        <w:rFonts w:ascii="Tahoma" w:hAnsi="Tahoma" w:cs="Tahoma"/>
                        <w:b/>
                        <w:bCs/>
                        <w:rtl/>
                      </w:rPr>
                      <w:t>בטיחות העובדים בענף הבנייה</w:t>
                    </w:r>
                  </w:p>
                </w:txbxContent>
              </v:textbox>
              <w10:wrap type="square"/>
            </v:shape>
          </w:pict>
        </mc:Fallback>
      </mc:AlternateContent>
    </w:r>
  </w:p>
  <w:p w:rsidR="00CB22A1" w:rsidP="001526AC" w14:paraId="18DE0C7A" w14:textId="26DB997D">
    <w:pPr>
      <w:pStyle w:val="Header"/>
      <w:tabs>
        <w:tab w:val="left" w:pos="493"/>
        <w:tab w:val="center" w:pos="4111"/>
        <w:tab w:val="clear" w:pos="4153"/>
        <w:tab w:val="right" w:pos="7478"/>
        <w:tab w:val="right" w:pos="8222"/>
        <w:tab w:val="clear" w:pos="8306"/>
      </w:tabs>
      <w:jc w:val="left"/>
      <w:rPr>
        <w:rtl/>
      </w:rPr>
    </w:pPr>
  </w:p>
  <w:p w:rsidR="00CB22A1"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1552" behindDoc="0" locked="0" layoutInCell="1" allowOverlap="1">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1E3CE9" w:rsidRPr="004D562B" w:rsidP="001E3CE9"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1E3CE9" w:rsidP="00B244B0" w14:textId="39CADE58">
                          <w:pPr>
                            <w:jc w:val="right"/>
                            <w:rPr>
                              <w:color w:val="0D0D0D" w:themeColor="text1" w:themeTint="F2"/>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254.25pt;height:20.4pt;margin-top:27.95pt;margin-left:21.5pt;mso-height-percent:0;mso-height-relative:margin;mso-width-percent:0;mso-width-relative:margin;mso-wrap-distance-bottom:3.6pt;mso-wrap-distance-left:9pt;mso-wrap-distance-right:9pt;mso-wrap-distance-top:3.6pt;mso-wrap-style:square;position:absolute;visibility:visible;v-text-anchor:top;z-index:251672576" strokecolor="white">
              <v:textbox>
                <w:txbxContent>
                  <w:p w:rsidR="001E3CE9" w:rsidRPr="004D562B" w:rsidP="001E3CE9" w14:paraId="4A0DA286"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התשפ״ב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1E3CE9" w:rsidP="00B244B0" w14:paraId="1CF273F4" w14:textId="39CADE58">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8076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0983" name="Picture 205277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5408"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14:paraId="1D98C7A5" w14:textId="27E2E98E">
    <w:pPr>
      <w:pStyle w:val="Header"/>
      <w:rPr>
        <w:rtl/>
      </w:rPr>
    </w:pPr>
    <w:r>
      <w:rPr>
        <w:noProof/>
        <w:rtl/>
        <w:lang w:val="he-IL"/>
      </w:rPr>
      <mc:AlternateContent>
        <mc:Choice Requires="wps">
          <w:drawing>
            <wp:anchor distT="0" distB="0" distL="114300" distR="114300" simplePos="0" relativeHeight="251688960"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6496" filled="f" strokecolor="#a5a5a5" strokeweight="0.25pt">
              <v:stroke dashstyle="longDash"/>
              <v:textbox>
                <w:txbxContent>
                  <w:p w:rsidR="00CB22A1" w:rsidRPr="00DE3ECA" w:rsidP="006E67D8" w14:paraId="463FF098"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CB22A1" w14:paraId="7E43B0CF" w14:textId="63DDFE97">
    <w:pPr>
      <w:pStyle w:val="Header"/>
      <w:rPr>
        <w:rtl/>
      </w:rPr>
    </w:pPr>
  </w:p>
  <w:p w:rsidR="00CB22A1" w14:paraId="09A29170" w14:textId="7ABB1ABE">
    <w:pPr>
      <w:pStyle w:val="Header"/>
      <w:rPr>
        <w:rtl/>
      </w:rPr>
    </w:pPr>
  </w:p>
  <w:p w:rsidR="00CB22A1" w14:paraId="1CB0A19A" w14:textId="180241A0">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CB22A1" w:rsidRPr="004D562B" w:rsidP="00502FAD" w14:textId="13E3C8A1">
                          <w:pPr>
                            <w:jc w:val="left"/>
                            <w:rPr>
                              <w:color w:val="0D0D0D"/>
                              <w:sz w:val="16"/>
                              <w:szCs w:val="16"/>
                            </w:rPr>
                          </w:pPr>
                          <w:r w:rsidRPr="006F18DE">
                            <w:rPr>
                              <w:rFonts w:ascii="Tahoma" w:hAnsi="Tahoma" w:cs="Tahoma"/>
                              <w:color w:val="0D0D0D" w:themeColor="text1" w:themeTint="F2"/>
                              <w:sz w:val="16"/>
                              <w:szCs w:val="16"/>
                              <w:rtl/>
                            </w:rPr>
                            <w:t>בטיחות העובדים בענף הבנייה</w:t>
                          </w:r>
                        </w:p>
                      </w:txbxContent>
                    </wps:txbx>
                    <wps:bodyPr rot="0" vert="horz" wrap="square"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CB22A1" w:rsidRPr="004D562B" w:rsidP="00502FAD" w14:paraId="111D0894" w14:textId="13E3C8A1">
                    <w:pPr>
                      <w:jc w:val="left"/>
                      <w:rPr>
                        <w:color w:val="0D0D0D"/>
                        <w:sz w:val="16"/>
                        <w:szCs w:val="16"/>
                      </w:rPr>
                    </w:pPr>
                    <w:r w:rsidRPr="006F18DE">
                      <w:rPr>
                        <w:rFonts w:ascii="Tahoma" w:hAnsi="Tahoma" w:cs="Tahoma"/>
                        <w:color w:val="0D0D0D" w:themeColor="text1" w:themeTint="F2"/>
                        <w:sz w:val="16"/>
                        <w:szCs w:val="16"/>
                        <w:rtl/>
                      </w:rPr>
                      <w:t>בטיחות העובדים בענף הבנייה</w:t>
                    </w:r>
                  </w:p>
                </w:txbxContent>
              </v:textbox>
              <w10:wrap type="square"/>
            </v:shape>
          </w:pict>
        </mc:Fallback>
      </mc:AlternateContent>
    </w:r>
  </w:p>
  <w:p w:rsidR="00CB22A1" w:rsidP="009620E7" w14:paraId="53F52C1C" w14:textId="13767217">
    <w:pPr>
      <w:pStyle w:val="Header"/>
      <w:rPr>
        <w:rtl/>
      </w:rPr>
    </w:pPr>
    <w:r>
      <w:rPr>
        <w:rFonts w:ascii="Tahoma" w:hAnsi="Tahoma" w:cs="Tahoma"/>
        <w:noProof/>
        <w:color w:val="002060"/>
        <w:sz w:val="18"/>
        <w:szCs w:val="18"/>
      </w:rPr>
      <w:drawing>
        <wp:anchor distT="0" distB="0" distL="114300" distR="114300" simplePos="0" relativeHeight="251673600" behindDoc="0" locked="0" layoutInCell="1" allowOverlap="1">
          <wp:simplePos x="0" y="0"/>
          <wp:positionH relativeFrom="column">
            <wp:posOffset>4423410</wp:posOffset>
          </wp:positionH>
          <wp:positionV relativeFrom="paragraph">
            <wp:posOffset>19518</wp:posOffset>
          </wp:positionV>
          <wp:extent cx="248285" cy="298450"/>
          <wp:effectExtent l="0" t="0" r="0" b="6350"/>
          <wp:wrapNone/>
          <wp:docPr id="2052770984" name="Picture 2052770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382378"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462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75648" from="-109.7pt,27.8pt" to="367.9pt,27.8pt" strokecolor="#0d0d0d" strokeweight="0.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RPr="00D15500" w:rsidP="005B4811" w14:paraId="2D401969" w14:textId="77777777">
    <w:pPr>
      <w:pStyle w:val="Header"/>
      <w:tabs>
        <w:tab w:val="center" w:pos="457"/>
        <w:tab w:val="clear" w:pos="4153"/>
        <w:tab w:val="clear" w:pos="8306"/>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62336"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2478518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60288"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CB22A1" w:rsidRPr="005B4811" w:rsidP="005B4811"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w:t>
                          </w:r>
                          <w:r w:rsidRPr="00D15500">
                            <w:rPr>
                              <w:rFonts w:ascii="Tahoma" w:hAnsi="Tahoma" w:cs="Tahoma"/>
                              <w:color w:val="002060"/>
                              <w:sz w:val="18"/>
                              <w:szCs w:val="18"/>
                              <w:rtl/>
                            </w:rPr>
                            <w:t>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2058" type="#_x0000_t202" style="width:129.25pt;height:22.4pt;margin-top:-1.35pt;margin-left:-6.9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stroked="f">
              <v:textbox>
                <w:txbxContent>
                  <w:p w:rsidR="00CB22A1" w:rsidRPr="005B4811" w:rsidP="005B4811" w14:paraId="00ACE667"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8240" behindDoc="0" locked="0" layoutInCell="1" allowOverlap="1">
              <wp:simplePos x="0" y="0"/>
              <wp:positionH relativeFrom="column">
                <wp:posOffset>4078399</wp:posOffset>
              </wp:positionH>
              <wp:positionV relativeFrom="paragraph">
                <wp:posOffset>-11430</wp:posOffset>
              </wp:positionV>
              <wp:extent cx="895985" cy="1419098"/>
              <wp:effectExtent l="0" t="0" r="0" b="6350"/>
              <wp:wrapSquare wrapText="bothSides"/>
              <wp:docPr id="2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95985" cy="1419098"/>
                      </a:xfrm>
                      <a:prstGeom prst="rect">
                        <a:avLst/>
                      </a:prstGeom>
                      <a:solidFill>
                        <a:srgbClr val="FFFFFF"/>
                      </a:solidFill>
                      <a:ln w="9525">
                        <a:noFill/>
                        <a:miter lim="800000"/>
                        <a:headEnd/>
                        <a:tailEnd/>
                      </a:ln>
                    </wps:spPr>
                    <wps:txbx>
                      <w:txbxContent>
                        <w:p w:rsidR="00CB22A1" w:rsidRPr="005B4811" w:rsidP="005B4811" w14:textId="77777777">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9" type="#_x0000_t202" style="width:70.55pt;height:123.65pt;margin-top:-0.9pt;margin-left:321.15pt;flip:x;mso-height-percent:200;mso-height-relative:margin;mso-width-percent:0;mso-width-relative:margin;mso-wrap-distance-bottom:3.6pt;mso-wrap-distance-left:9pt;mso-wrap-distance-right:9pt;mso-wrap-distance-top:3.6pt;mso-wrap-style:square;position:absolute;visibility:visible;v-text-anchor:top;z-index:251659264" stroked="f">
              <v:textbox style="mso-fit-shape-to-text:t">
                <w:txbxContent>
                  <w:p w:rsidR="00CB22A1" w:rsidRPr="005B4811" w:rsidP="005B4811" w14:paraId="68AEB69D" w14:textId="77777777">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63360"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24785182" name="Picture 76591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4498" w14:paraId="1D0E6FBC" w14:textId="77777777">
    <w:pPr>
      <w:pStyle w:val="Header"/>
      <w:rPr>
        <w:rtl/>
      </w:rPr>
    </w:pPr>
    <w:r>
      <w:rPr>
        <w:noProof/>
        <w:rtl/>
        <w:lang w:val="he-IL"/>
      </w:rPr>
      <mc:AlternateContent>
        <mc:Choice Requires="wps">
          <w:drawing>
            <wp:anchor distT="0" distB="0" distL="114300" distR="114300" simplePos="0" relativeHeight="25170636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7" name="Text Box 4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4498"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7" o:spid="_x0000_s2060"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09088" filled="f" strokecolor="#a5a5a5" strokeweight="0.25pt">
              <v:stroke dashstyle="longDash"/>
              <v:textbox>
                <w:txbxContent>
                  <w:p w:rsidR="00F74498" w:rsidRPr="00DE3ECA" w:rsidP="006E67D8" w14:paraId="0790B585"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F74498" w14:paraId="4DE139D1" w14:textId="77777777">
    <w:pPr>
      <w:pStyle w:val="Header"/>
      <w:rPr>
        <w:rtl/>
      </w:rPr>
    </w:pPr>
  </w:p>
  <w:p w:rsidR="00F74498" w14:paraId="5473DB72" w14:textId="77777777">
    <w:pPr>
      <w:pStyle w:val="Header"/>
      <w:rPr>
        <w:rtl/>
      </w:rPr>
    </w:pPr>
  </w:p>
  <w:p w:rsidR="00F74498" w14:paraId="7BB67A0E"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704320"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4498" w:rsidRPr="004D562B" w:rsidP="00502FAD" w14:textId="1F14CCD9">
                          <w:pPr>
                            <w:jc w:val="left"/>
                            <w:rPr>
                              <w:color w:val="0D0D0D"/>
                              <w:sz w:val="16"/>
                              <w:szCs w:val="16"/>
                            </w:rPr>
                          </w:pPr>
                          <w:r w:rsidRPr="006F18DE">
                            <w:rPr>
                              <w:rFonts w:ascii="Tahoma" w:hAnsi="Tahoma" w:cs="Tahoma"/>
                              <w:color w:val="0D0D0D" w:themeColor="text1" w:themeTint="F2"/>
                              <w:sz w:val="16"/>
                              <w:szCs w:val="16"/>
                              <w:rtl/>
                            </w:rPr>
                            <w:t>בטיחות העובדים בענף הבנייה</w:t>
                          </w:r>
                        </w:p>
                      </w:txbxContent>
                    </wps:txbx>
                    <wps:bodyPr rot="0" vert="horz" wrap="square" anchor="t" anchorCtr="0">
                      <a:spAutoFit/>
                    </wps:bodyPr>
                  </wps:wsp>
                </a:graphicData>
              </a:graphic>
              <wp14:sizeRelH relativeFrom="margin">
                <wp14:pctWidth>0</wp14:pctWidth>
              </wp14:sizeRelH>
            </wp:anchor>
          </w:drawing>
        </mc:Choice>
        <mc:Fallback>
          <w:pict>
            <v:shape id="_x0000_s2061" type="#_x0000_t202" style="width:357.2pt;height:22.1pt;margin-top:16.15pt;margin-left:-8.4pt;mso-width-percent:0;mso-width-relative:margin;mso-wrap-distance-bottom:0;mso-wrap-distance-left:9pt;mso-wrap-distance-right:9pt;mso-wrap-distance-top:0;mso-wrap-style:square;position:absolute;visibility:visible;v-text-anchor:top;z-index:251705344" stroked="f">
              <v:textbox style="mso-fit-shape-to-text:t">
                <w:txbxContent>
                  <w:p w:rsidR="00F74498" w:rsidRPr="004D562B" w:rsidP="00502FAD" w14:paraId="559054B4" w14:textId="1F14CCD9">
                    <w:pPr>
                      <w:jc w:val="left"/>
                      <w:rPr>
                        <w:color w:val="0D0D0D"/>
                        <w:sz w:val="16"/>
                        <w:szCs w:val="16"/>
                      </w:rPr>
                    </w:pPr>
                    <w:r w:rsidRPr="006F18DE">
                      <w:rPr>
                        <w:rFonts w:ascii="Tahoma" w:hAnsi="Tahoma" w:cs="Tahoma"/>
                        <w:color w:val="0D0D0D" w:themeColor="text1" w:themeTint="F2"/>
                        <w:sz w:val="16"/>
                        <w:szCs w:val="16"/>
                        <w:rtl/>
                      </w:rPr>
                      <w:t>בטיחות העובדים בענף הבנייה</w:t>
                    </w:r>
                  </w:p>
                </w:txbxContent>
              </v:textbox>
              <w10:wrap type="square"/>
            </v:shape>
          </w:pict>
        </mc:Fallback>
      </mc:AlternateContent>
    </w:r>
  </w:p>
  <w:p w:rsidR="00F74498" w:rsidP="009620E7" w14:paraId="22755C88" w14:textId="77777777">
    <w:pPr>
      <w:pStyle w:val="Header"/>
      <w:rPr>
        <w:rtl/>
      </w:rPr>
    </w:pPr>
    <w:r>
      <w:rPr>
        <w:rFonts w:ascii="Tahoma" w:hAnsi="Tahoma" w:cs="Tahoma"/>
        <w:noProof/>
        <w:color w:val="002060"/>
        <w:sz w:val="18"/>
        <w:szCs w:val="18"/>
      </w:rPr>
      <w:drawing>
        <wp:anchor distT="0" distB="0" distL="114300" distR="114300" simplePos="0" relativeHeight="251708416" behindDoc="0" locked="0" layoutInCell="1" allowOverlap="1">
          <wp:simplePos x="0" y="0"/>
          <wp:positionH relativeFrom="column">
            <wp:posOffset>4423410</wp:posOffset>
          </wp:positionH>
          <wp:positionV relativeFrom="paragraph">
            <wp:posOffset>19518</wp:posOffset>
          </wp:positionV>
          <wp:extent cx="248285" cy="298450"/>
          <wp:effectExtent l="0" t="0" r="0" b="6350"/>
          <wp:wrapNone/>
          <wp:docPr id="24785198" name="Picture 2478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747437"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2272"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24785152" name="Straight Connector 24785152"/>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785152" o:spid="_x0000_s2062" style="flip:x;mso-height-percent:0;mso-height-relative:margin;mso-width-percent:0;mso-width-relative:margin;mso-wrap-distance-bottom:0;mso-wrap-distance-left:9pt;mso-wrap-distance-right:9pt;mso-wrap-distance-top:0;mso-wrap-style:square;position:absolute;visibility:visible;z-index:251703296" from="-109.7pt,27.8pt" to="367.9pt,27.8pt" strokecolor="#0d0d0d" strokeweight="0.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595E4708"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7002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C86967"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2063"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15232" filled="f" strokecolor="#a5a5a5" strokeweight="0.25pt">
              <v:stroke dashstyle="longDash"/>
              <v:textbox>
                <w:txbxContent>
                  <w:p w:rsidR="00CB22A1" w:rsidRPr="00DE3ECA" w:rsidP="00C86967" w14:paraId="3D8F8A45"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-706755</wp:posOffset>
              </wp:positionH>
              <wp:positionV relativeFrom="paragraph">
                <wp:posOffset>-574040</wp:posOffset>
              </wp:positionV>
              <wp:extent cx="292100" cy="7787005"/>
              <wp:effectExtent l="0" t="0" r="12700" b="23495"/>
              <wp:wrapSquare wrapText="bothSides"/>
              <wp:docPr id="2052770945"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rsidR="00CB22A1" w:rsidRPr="009B7D1B" w:rsidP="006F18DE" w14:textId="562C61D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sidR="00F74498">
                            <w:rPr>
                              <w:rFonts w:ascii="Tahoma" w:hAnsi="Tahoma" w:cs="Tahoma" w:hint="cs"/>
                              <w:sz w:val="24"/>
                              <w:szCs w:val="24"/>
                              <w:rtl/>
                            </w:rPr>
                            <w:t>תקציר</w:t>
                          </w:r>
                          <w:r w:rsidR="00F74498">
                            <w:rPr>
                              <w:rFonts w:hint="cs"/>
                              <w:rtl/>
                            </w:rPr>
                            <w:t xml:space="preserve"> </w:t>
                          </w:r>
                          <w:r>
                            <w:rPr>
                              <w:rFonts w:hint="cs"/>
                              <w:sz w:val="24"/>
                              <w:szCs w:val="24"/>
                              <w:rtl/>
                            </w:rPr>
                            <w:t>|</w:t>
                          </w:r>
                          <w:r w:rsidRPr="009B7D1B">
                            <w:rPr>
                              <w:rFonts w:hint="cs"/>
                              <w:sz w:val="24"/>
                              <w:szCs w:val="24"/>
                              <w:rtl/>
                            </w:rPr>
                            <w:t xml:space="preserve">  </w:t>
                          </w:r>
                          <w:r w:rsidRPr="006F18DE" w:rsidR="006F18DE">
                            <w:rPr>
                              <w:rFonts w:ascii="Tahoma" w:hAnsi="Tahoma" w:cs="Tahoma"/>
                              <w:b/>
                              <w:bCs/>
                              <w:rtl/>
                            </w:rPr>
                            <w:t>בטיחות העובדים בענף הבנייה</w:t>
                          </w:r>
                        </w:p>
                      </w:txbxContent>
                    </wps:txbx>
                    <wps:bodyPr rot="0" vert="vert270" wrap="square" lIns="0" tIns="0" rIns="0" bIns="0" anchor="t" anchorCtr="0" upright="1"/>
                  </wps:wsp>
                </a:graphicData>
              </a:graphic>
              <wp14:sizeRelV relativeFrom="margin">
                <wp14:pctHeight>0</wp14:pctHeight>
              </wp14:sizeRelV>
            </wp:anchor>
          </w:drawing>
        </mc:Choice>
        <mc:Fallback>
          <w:pict>
            <v:shape id="_x0000_s2064" type="#_x0000_t202" style="width:23pt;height:613.15pt;margin-top:-45.2pt;margin-left:-55.65pt;mso-height-percent:0;mso-height-relative:margin;mso-wrap-distance-bottom:0;mso-wrap-distance-left:9pt;mso-wrap-distance-right:9pt;mso-wrap-distance-top:0;mso-wrap-style:square;position:absolute;visibility:visible;v-text-anchor:top;z-index:251696128" fillcolor="#00305f" strokecolor="#00305f">
              <v:textbox style="layout-flow:vertical;mso-layout-flow-alt:bottom-to-top" inset="0,0,0,0">
                <w:txbxContent>
                  <w:p w:rsidR="00CB22A1" w:rsidRPr="009B7D1B" w:rsidP="006F18DE" w14:paraId="2873DE67" w14:textId="562C61D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sidR="00F74498">
                      <w:rPr>
                        <w:rFonts w:ascii="Tahoma" w:hAnsi="Tahoma" w:cs="Tahoma" w:hint="cs"/>
                        <w:sz w:val="24"/>
                        <w:szCs w:val="24"/>
                        <w:rtl/>
                      </w:rPr>
                      <w:t>תקציר</w:t>
                    </w:r>
                    <w:r w:rsidR="00F74498">
                      <w:rPr>
                        <w:rFonts w:hint="cs"/>
                        <w:rtl/>
                      </w:rPr>
                      <w:t xml:space="preserve"> </w:t>
                    </w:r>
                    <w:r>
                      <w:rPr>
                        <w:rFonts w:hint="cs"/>
                        <w:sz w:val="24"/>
                        <w:szCs w:val="24"/>
                        <w:rtl/>
                      </w:rPr>
                      <w:t>|</w:t>
                    </w:r>
                    <w:r w:rsidRPr="009B7D1B">
                      <w:rPr>
                        <w:rFonts w:hint="cs"/>
                        <w:sz w:val="24"/>
                        <w:szCs w:val="24"/>
                        <w:rtl/>
                      </w:rPr>
                      <w:t xml:space="preserve">  </w:t>
                    </w:r>
                    <w:r w:rsidRPr="006F18DE" w:rsidR="006F18DE">
                      <w:rPr>
                        <w:rFonts w:ascii="Tahoma" w:hAnsi="Tahoma" w:cs="Tahoma"/>
                        <w:b/>
                        <w:bCs/>
                        <w:rtl/>
                      </w:rPr>
                      <w:t>בטיחות העובדים בענף הבנייה</w:t>
                    </w:r>
                  </w:p>
                </w:txbxContent>
              </v:textbox>
              <w10:wrap type="square"/>
            </v:shape>
          </w:pict>
        </mc:Fallback>
      </mc:AlternateContent>
    </w:r>
  </w:p>
  <w:p w:rsidR="00CB22A1" w:rsidP="001526AC" w14:paraId="10D7D1FB" w14:textId="77777777">
    <w:pPr>
      <w:pStyle w:val="Header"/>
      <w:tabs>
        <w:tab w:val="left" w:pos="493"/>
        <w:tab w:val="center" w:pos="4111"/>
        <w:tab w:val="clear" w:pos="4153"/>
        <w:tab w:val="right" w:pos="7478"/>
        <w:tab w:val="right" w:pos="8222"/>
        <w:tab w:val="clear" w:pos="8306"/>
      </w:tabs>
      <w:jc w:val="left"/>
      <w:rPr>
        <w:rtl/>
      </w:rPr>
    </w:pPr>
  </w:p>
  <w:p w:rsidR="00CB22A1" w:rsidP="00005B23" w14:paraId="429F3604"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97152" behindDoc="0" locked="0" layoutInCell="1" allowOverlap="1">
              <wp:simplePos x="0" y="0"/>
              <wp:positionH relativeFrom="column">
                <wp:posOffset>273050</wp:posOffset>
              </wp:positionH>
              <wp:positionV relativeFrom="paragraph">
                <wp:posOffset>354965</wp:posOffset>
              </wp:positionV>
              <wp:extent cx="3228975" cy="259080"/>
              <wp:effectExtent l="0" t="0" r="28575" b="26670"/>
              <wp:wrapNone/>
              <wp:docPr id="205277094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1E3CE9" w:rsidRPr="004D562B" w:rsidP="001E3CE9"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1E3CE9" w:rsidP="00B244B0" w14:textId="58399153">
                          <w:pPr>
                            <w:jc w:val="right"/>
                            <w:rPr>
                              <w:color w:val="0D0D0D" w:themeColor="text1" w:themeTint="F2"/>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65" type="#_x0000_t202" style="width:254.25pt;height:20.4pt;margin-top:27.95pt;margin-left:21.5pt;mso-height-percent:0;mso-height-relative:margin;mso-width-percent:0;mso-width-relative:margin;mso-wrap-distance-bottom:3.6pt;mso-wrap-distance-left:9pt;mso-wrap-distance-right:9pt;mso-wrap-distance-top:3.6pt;mso-wrap-style:square;position:absolute;visibility:visible;v-text-anchor:top;z-index:251698176" strokecolor="white">
              <v:textbox>
                <w:txbxContent>
                  <w:p w:rsidR="001E3CE9" w:rsidRPr="004D562B" w:rsidP="001E3CE9" w14:paraId="784B4B68"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התשפ״ב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1E3CE9" w:rsidP="00B244B0" w14:paraId="1557DC91" w14:textId="58399153">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9920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4785199" name="Picture 2478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968642"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3056"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052770948" name="Straight Connector 205277094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52770948" o:spid="_x0000_s2066" style="flip:x;mso-height-percent:0;mso-height-relative:margin;mso-width-percent:0;mso-width-relative:margin;mso-wrap-distance-bottom:0;mso-wrap-distance-left:9pt;mso-wrap-distance-right:9pt;mso-wrap-distance-top:0;mso-wrap-style:square;position:absolute;visibility:visible;z-index:251694080" from="-4.4pt,50.4pt" to="524.85pt,50.4pt" strokecolor="#0d0d0d" strokeweight="0.25pt"/>
          </w:pict>
        </mc:Fallback>
      </mc:AlternateContent>
    </w:r>
  </w:p>
  <w:p w:rsidR="00CB22A1" w:rsidRPr="001526AC" w:rsidP="00005B23" w14:paraId="70E81B41" w14:textId="77777777">
    <w:pPr>
      <w:pStyle w:val="Header"/>
      <w:tabs>
        <w:tab w:val="left" w:pos="493"/>
        <w:tab w:val="center" w:pos="4111"/>
        <w:tab w:val="clear" w:pos="4153"/>
        <w:tab w:val="right" w:pos="7478"/>
        <w:tab w:val="right" w:pos="8222"/>
        <w:tab w:val="clear" w:pos="8306"/>
      </w:tabs>
      <w:jc w:val="left"/>
      <w:rPr>
        <w:rt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3BE4C2F9" w14:textId="5CA6D9CE">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10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1C5C9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4" o:spid="_x0000_s2067"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4448" filled="f" strokecolor="#a5a5a5" strokeweight="0.25pt">
              <v:stroke dashstyle="longDash"/>
              <v:textbox>
                <w:txbxContent>
                  <w:p w:rsidR="00CB22A1" w:rsidRPr="00DE3ECA" w:rsidP="001C5C9D" w14:paraId="41E6941D"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rsidR="00CB22A1" w:rsidRPr="009B7D1B" w:rsidP="00760601" w14:textId="13B34F68">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Pr="001F0E94" w:rsidR="001F0E94">
                            <w:rPr>
                              <w:sz w:val="24"/>
                              <w:szCs w:val="24"/>
                              <w:rtl/>
                            </w:rPr>
                            <w:t xml:space="preserve">|  </w:t>
                          </w:r>
                          <w:r w:rsidRPr="006F18DE" w:rsidR="006F18DE">
                            <w:rPr>
                              <w:rFonts w:ascii="Tahoma" w:hAnsi="Tahoma" w:cs="Tahoma"/>
                              <w:b/>
                              <w:bCs/>
                              <w:rtl/>
                            </w:rPr>
                            <w:t>בטיחות העובדים בענף הבנייה</w:t>
                          </w:r>
                        </w:p>
                      </w:txbxContent>
                    </wps:txbx>
                    <wps:bodyPr rot="0" vert="vert270" wrap="square" lIns="0" tIns="0" rIns="0" bIns="0" anchor="t" anchorCtr="0" upright="1"/>
                  </wps:wsp>
                </a:graphicData>
              </a:graphic>
              <wp14:sizeRelV relativeFrom="margin">
                <wp14:pctHeight>0</wp14:pctHeight>
              </wp14:sizeRelV>
            </wp:anchor>
          </w:drawing>
        </mc:Choice>
        <mc:Fallback>
          <w:pict>
            <v:shape id="_x0000_s2068" type="#_x0000_t202" style="width:23pt;height:624.4pt;margin-top:-46.95pt;margin-left:-54.9pt;mso-height-percent:0;mso-height-relative:margin;mso-wrap-distance-bottom:0;mso-wrap-distance-left:9pt;mso-wrap-distance-right:9pt;mso-wrap-distance-top:0;mso-wrap-style:square;position:absolute;visibility:visible;v-text-anchor:top;z-index:251679744" fillcolor="#00305f" strokecolor="#00305f">
              <v:textbox style="layout-flow:vertical;mso-layout-flow-alt:bottom-to-top" inset="0,0,0,0">
                <w:txbxContent>
                  <w:p w:rsidR="00CB22A1" w:rsidRPr="009B7D1B" w:rsidP="00760601" w14:paraId="1C12FDA0" w14:textId="13B34F68">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Pr="001F0E94" w:rsidR="001F0E94">
                      <w:rPr>
                        <w:sz w:val="24"/>
                        <w:szCs w:val="24"/>
                        <w:rtl/>
                      </w:rPr>
                      <w:t xml:space="preserve">|  </w:t>
                    </w:r>
                    <w:r w:rsidRPr="006F18DE" w:rsidR="006F18DE">
                      <w:rPr>
                        <w:rFonts w:ascii="Tahoma" w:hAnsi="Tahoma" w:cs="Tahoma"/>
                        <w:b/>
                        <w:bCs/>
                        <w:rtl/>
                      </w:rPr>
                      <w:t>בטיחות העובדים בענף הבנייה</w:t>
                    </w:r>
                  </w:p>
                </w:txbxContent>
              </v:textbox>
              <w10:wrap type="square"/>
            </v:shape>
          </w:pict>
        </mc:Fallback>
      </mc:AlternateContent>
    </w:r>
  </w:p>
  <w:p w:rsidR="00CB22A1" w:rsidP="001C5C9D" w14:paraId="52188F3E" w14:textId="6AFEEEA3">
    <w:pPr>
      <w:pStyle w:val="Header"/>
      <w:tabs>
        <w:tab w:val="clear" w:pos="4153"/>
        <w:tab w:val="left" w:pos="4530"/>
        <w:tab w:val="clear" w:pos="8306"/>
      </w:tabs>
      <w:jc w:val="left"/>
      <w:rPr>
        <w:rtl/>
      </w:rPr>
    </w:pPr>
    <w:r>
      <w:rPr>
        <w:rtl/>
      </w:rPr>
      <w:tab/>
    </w:r>
  </w:p>
  <w:p w:rsidR="00CB22A1" w:rsidP="001C5C9D" w14:paraId="53D931BB" w14:textId="5644F75E">
    <w:pPr>
      <w:pStyle w:val="Header"/>
      <w:tabs>
        <w:tab w:val="center" w:pos="3685"/>
        <w:tab w:val="clear" w:pos="4153"/>
        <w:tab w:val="clear" w:pos="8306"/>
      </w:tabs>
      <w:jc w:val="left"/>
      <w:rPr>
        <w:rtl/>
      </w:rPr>
    </w:pPr>
    <w:r w:rsidRPr="00DA4512">
      <w:rPr>
        <w:noProof/>
        <w:rtl/>
      </w:rPr>
      <mc:AlternateContent>
        <mc:Choice Requires="wps">
          <w:drawing>
            <wp:anchor distT="45720" distB="45720" distL="114300" distR="114300" simplePos="0" relativeHeight="251683840" behindDoc="0" locked="0" layoutInCell="1" allowOverlap="1">
              <wp:simplePos x="0" y="0"/>
              <wp:positionH relativeFrom="column">
                <wp:posOffset>323850</wp:posOffset>
              </wp:positionH>
              <wp:positionV relativeFrom="paragraph">
                <wp:posOffset>360045</wp:posOffset>
              </wp:positionV>
              <wp:extent cx="3228975" cy="259080"/>
              <wp:effectExtent l="0" t="0" r="28575" b="26670"/>
              <wp:wrapNone/>
              <wp:docPr id="2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1E3CE9" w:rsidRPr="004D562B" w:rsidP="001E3CE9"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1E3CE9" w:rsidP="00DA4512" w14:textId="2A7DA8AB">
                          <w:pPr>
                            <w:jc w:val="right"/>
                            <w:rPr>
                              <w:color w:val="0D0D0D"/>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69" type="#_x0000_t202" style="width:254.25pt;height:20.4pt;margin-top:28.35pt;margin-left:25.5pt;mso-height-percent:0;mso-height-relative:margin;mso-width-percent:0;mso-width-relative:margin;mso-wrap-distance-bottom:3.6pt;mso-wrap-distance-left:9pt;mso-wrap-distance-right:9pt;mso-wrap-distance-top:3.6pt;mso-wrap-style:square;position:absolute;visibility:visible;v-text-anchor:top;z-index:251684864" strokecolor="white">
              <v:textbox>
                <w:txbxContent>
                  <w:p w:rsidR="001E3CE9" w:rsidRPr="004D562B" w:rsidP="001E3CE9" w14:paraId="4CF8FE2A"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התשפ״ב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1E3CE9" w:rsidP="00DA4512" w14:paraId="5B61FBF3" w14:textId="2A7DA8AB">
                    <w:pPr>
                      <w:jc w:val="right"/>
                      <w:rPr>
                        <w:color w:val="0D0D0D"/>
                        <w:sz w:val="16"/>
                        <w:szCs w:val="16"/>
                      </w:rPr>
                    </w:pPr>
                  </w:p>
                </w:txbxContent>
              </v:textbox>
            </v:shape>
          </w:pict>
        </mc:Fallback>
      </mc:AlternateContent>
    </w:r>
    <w:r w:rsidRPr="00DA4512">
      <w:rPr>
        <w:noProof/>
        <w:szCs w:val="20"/>
        <w:rtl/>
      </w:rPr>
      <w:drawing>
        <wp:anchor distT="0" distB="0" distL="114300" distR="114300" simplePos="0" relativeHeight="251685888" behindDoc="0" locked="0" layoutInCell="1" allowOverlap="1">
          <wp:simplePos x="0" y="0"/>
          <wp:positionH relativeFrom="column">
            <wp:posOffset>-17780</wp:posOffset>
          </wp:positionH>
          <wp:positionV relativeFrom="paragraph">
            <wp:posOffset>380365</wp:posOffset>
          </wp:positionV>
          <wp:extent cx="343535" cy="240030"/>
          <wp:effectExtent l="0" t="0" r="0" b="7620"/>
          <wp:wrapSquare wrapText="bothSides"/>
          <wp:docPr id="24785171" name="Picture 2052770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12514"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667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2070" style="flip:x;mso-height-percent:0;mso-height-relative:margin;mso-width-percent:0;mso-width-relative:margin;mso-wrap-distance-bottom:0;mso-wrap-distance-left:9pt;mso-wrap-distance-right:9pt;mso-wrap-distance-top:0;mso-wrap-style:square;position:absolute;visibility:visible;z-index:251677696" from="-4.4pt,50.4pt" to="524.85pt,50.4pt" strokecolor="#0d0d0d" strokeweight="0.25pt"/>
          </w:pict>
        </mc:Fallback>
      </mc:AlternateContent>
    </w:r>
  </w:p>
  <w:p w:rsidR="001752CB" w:rsidP="001C5C9D" w14:paraId="2ED2B88D" w14:textId="77777777">
    <w:pPr>
      <w:pStyle w:val="Header"/>
      <w:tabs>
        <w:tab w:val="center" w:pos="3685"/>
        <w:tab w:val="clear" w:pos="4153"/>
        <w:tab w:val="clear" w:pos="8306"/>
      </w:tabs>
      <w:jc w:val="left"/>
      <w:rPr>
        <w:rtl/>
      </w:rPr>
    </w:pPr>
  </w:p>
  <w:p w:rsidR="00CB22A1" w:rsidRPr="001526AC" w:rsidP="001C5C9D" w14:paraId="133C0DA0" w14:textId="2E0368D3">
    <w:pPr>
      <w:pStyle w:val="Header"/>
      <w:tabs>
        <w:tab w:val="center" w:pos="3685"/>
        <w:tab w:val="clear" w:pos="4153"/>
        <w:tab w:val="clear" w:pos="8306"/>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5pt;height:590.5pt" o:bullet="t">
        <v:imagedata r:id="rId1" o:title="זכוכית מגדלת5"/>
      </v:shape>
    </w:pict>
  </w:numPicBullet>
  <w:abstractNum w:abstractNumId="0">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nsid w:val="0CF13CD4"/>
    <w:multiLevelType w:val="hybridMultilevel"/>
    <w:tmpl w:val="F732F02C"/>
    <w:lvl w:ilvl="0">
      <w:start w:val="1"/>
      <w:numFmt w:val="hebrew2"/>
      <w:pStyle w:val="7121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4">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5">
    <w:nsid w:val="1CCB5BF3"/>
    <w:multiLevelType w:val="multilevel"/>
    <w:tmpl w:val="646C0440"/>
    <w:lvl w:ilvl="0">
      <w:start w:val="1"/>
      <w:numFmt w:val="decimal"/>
      <w:lvlText w:val="%1."/>
      <w:lvlJc w:val="left"/>
      <w:pPr>
        <w:ind w:left="340" w:hanging="340"/>
      </w:pPr>
      <w:rPr>
        <w:rFonts w:hint="default"/>
      </w:rPr>
    </w:lvl>
    <w:lvl w:ilvl="1">
      <w:start w:val="1"/>
      <w:numFmt w:val="none"/>
      <w:pStyle w:val="714"/>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6">
    <w:nsid w:val="2290171E"/>
    <w:multiLevelType w:val="hybridMultilevel"/>
    <w:tmpl w:val="667AC104"/>
    <w:lvl w:ilvl="0">
      <w:start w:val="1"/>
      <w:numFmt w:val="decimal"/>
      <w:pStyle w:val="7133"/>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7">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8">
    <w:nsid w:val="31055C67"/>
    <w:multiLevelType w:val="hybridMultilevel"/>
    <w:tmpl w:val="D5A01BC0"/>
    <w:lvl w:ilvl="0">
      <w:start w:val="1"/>
      <w:numFmt w:val="bullet"/>
      <w:pStyle w:val="714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3BC1088C"/>
    <w:multiLevelType w:val="multilevel"/>
    <w:tmpl w:val="34249088"/>
    <w:lvl w:ilvl="0">
      <w:start w:val="1"/>
      <w:numFmt w:val="decimal"/>
      <w:pStyle w:val="712"/>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nsid w:val="459C2999"/>
    <w:multiLevelType w:val="multilevel"/>
    <w:tmpl w:val="2F9A6D2E"/>
    <w:lvl w:ilvl="0">
      <w:start w:val="1"/>
      <w:numFmt w:val="hebrew1"/>
      <w:pStyle w:val="712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2">
    <w:nsid w:val="5176726A"/>
    <w:multiLevelType w:val="hybridMultilevel"/>
    <w:tmpl w:val="361C5D0C"/>
    <w:lvl w:ilvl="0">
      <w:start w:val="1"/>
      <w:numFmt w:val="bullet"/>
      <w:pStyle w:val="BulletedList"/>
      <w:lvlText w:val=""/>
      <w:lvlJc w:val="left"/>
      <w:pPr>
        <w:ind w:left="680" w:hanging="340"/>
      </w:pPr>
      <w:rPr>
        <w:rFonts w:ascii="Symbol" w:hAnsi="Symbol" w:hint="default"/>
        <w:color w:val="4F81BD" w:themeColor="accent1"/>
        <w:lang w:bidi="he-IL"/>
      </w:rPr>
    </w:lvl>
    <w:lvl w:ilvl="1">
      <w:start w:val="1"/>
      <w:numFmt w:val="bullet"/>
      <w:lvlText w:val="o"/>
      <w:lvlJc w:val="left"/>
      <w:pPr>
        <w:tabs>
          <w:tab w:val="num" w:pos="680"/>
        </w:tabs>
        <w:ind w:left="1021" w:hanging="341"/>
      </w:pPr>
      <w:rPr>
        <w:rFonts w:ascii="Courier New" w:hAnsi="Courier New" w:hint="default"/>
      </w:rPr>
    </w:lvl>
    <w:lvl w:ilvl="2">
      <w:start w:val="1"/>
      <w:numFmt w:val="bullet"/>
      <w:lvlText w:val="‒"/>
      <w:lvlJc w:val="left"/>
      <w:pPr>
        <w:tabs>
          <w:tab w:val="num" w:pos="1021"/>
        </w:tabs>
        <w:ind w:left="1361" w:hanging="340"/>
      </w:pPr>
      <w:rPr>
        <w:rFonts w:ascii="Calibri" w:hAnsi="Calibri" w:hint="default"/>
      </w:rPr>
    </w:lvl>
    <w:lvl w:ilvl="3">
      <w:start w:val="1"/>
      <w:numFmt w:val="bullet"/>
      <w:lvlText w:val="‒"/>
      <w:lvlJc w:val="left"/>
      <w:pPr>
        <w:tabs>
          <w:tab w:val="num" w:pos="1361"/>
        </w:tabs>
        <w:ind w:left="1701" w:hanging="340"/>
      </w:pPr>
      <w:rPr>
        <w:rFonts w:ascii="Calibri" w:hAnsi="Calibri" w:hint="default"/>
      </w:rPr>
    </w:lvl>
    <w:lvl w:ilvl="4">
      <w:start w:val="1"/>
      <w:numFmt w:val="bullet"/>
      <w:lvlText w:val="‒"/>
      <w:lvlJc w:val="left"/>
      <w:pPr>
        <w:tabs>
          <w:tab w:val="num" w:pos="1701"/>
        </w:tabs>
        <w:ind w:left="2041" w:hanging="340"/>
      </w:pPr>
      <w:rPr>
        <w:rFonts w:ascii="Calibri" w:hAnsi="Calibri" w:hint="default"/>
      </w:rPr>
    </w:lvl>
    <w:lvl w:ilvl="5" w:tentative="1">
      <w:start w:val="1"/>
      <w:numFmt w:val="bullet"/>
      <w:lvlText w:val=""/>
      <w:lvlJc w:val="left"/>
      <w:pPr>
        <w:ind w:left="4774" w:hanging="360"/>
      </w:pPr>
      <w:rPr>
        <w:rFonts w:ascii="Wingdings" w:hAnsi="Wingdings" w:hint="default"/>
      </w:rPr>
    </w:lvl>
    <w:lvl w:ilvl="6" w:tentative="1">
      <w:start w:val="1"/>
      <w:numFmt w:val="bullet"/>
      <w:lvlText w:val=""/>
      <w:lvlJc w:val="left"/>
      <w:pPr>
        <w:ind w:left="5494" w:hanging="360"/>
      </w:pPr>
      <w:rPr>
        <w:rFonts w:ascii="Symbol" w:hAnsi="Symbol" w:hint="default"/>
      </w:rPr>
    </w:lvl>
    <w:lvl w:ilvl="7" w:tentative="1">
      <w:start w:val="1"/>
      <w:numFmt w:val="bullet"/>
      <w:lvlText w:val="o"/>
      <w:lvlJc w:val="left"/>
      <w:pPr>
        <w:ind w:left="6214" w:hanging="360"/>
      </w:pPr>
      <w:rPr>
        <w:rFonts w:ascii="Courier New" w:hAnsi="Courier New" w:cs="Courier New" w:hint="default"/>
      </w:rPr>
    </w:lvl>
    <w:lvl w:ilvl="8" w:tentative="1">
      <w:start w:val="1"/>
      <w:numFmt w:val="bullet"/>
      <w:lvlText w:val=""/>
      <w:lvlJc w:val="left"/>
      <w:pPr>
        <w:ind w:left="6934" w:hanging="360"/>
      </w:pPr>
      <w:rPr>
        <w:rFonts w:ascii="Wingdings" w:hAnsi="Wingdings" w:hint="default"/>
      </w:rPr>
    </w:lvl>
  </w:abstractNum>
  <w:abstractNum w:abstractNumId="13">
    <w:nsid w:val="5A8E39B4"/>
    <w:multiLevelType w:val="hybridMultilevel"/>
    <w:tmpl w:val="747A09C6"/>
    <w:lvl w:ilvl="0">
      <w:start w:val="1"/>
      <w:numFmt w:val="decimal"/>
      <w:pStyle w:val="7150"/>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5">
    <w:nsid w:val="5E192F0D"/>
    <w:multiLevelType w:val="hybridMultilevel"/>
    <w:tmpl w:val="F0BAB20A"/>
    <w:lvl w:ilvl="0">
      <w:start w:val="1"/>
      <w:numFmt w:val="hebrew1"/>
      <w:pStyle w:val="7151"/>
      <w:lvlText w:val="%1."/>
      <w:lvlJc w:val="center"/>
      <w:pPr>
        <w:ind w:left="757" w:hanging="360"/>
      </w:pPr>
      <w:rPr>
        <w:rFonts w:hint="default"/>
        <w:sz w:val="24"/>
      </w:rPr>
    </w:lvl>
    <w:lvl w:ilvl="1" w:tentative="1">
      <w:start w:val="1"/>
      <w:numFmt w:val="lowerLetter"/>
      <w:lvlText w:val="%2."/>
      <w:lvlJc w:val="left"/>
      <w:pPr>
        <w:ind w:left="1837" w:hanging="360"/>
      </w:pPr>
    </w:lvl>
    <w:lvl w:ilvl="2" w:tentative="1">
      <w:start w:val="1"/>
      <w:numFmt w:val="lowerRoman"/>
      <w:lvlText w:val="%3."/>
      <w:lvlJc w:val="right"/>
      <w:pPr>
        <w:ind w:left="2557" w:hanging="180"/>
      </w:pPr>
    </w:lvl>
    <w:lvl w:ilvl="3" w:tentative="1">
      <w:start w:val="1"/>
      <w:numFmt w:val="decimal"/>
      <w:lvlText w:val="%4."/>
      <w:lvlJc w:val="left"/>
      <w:pPr>
        <w:ind w:left="3277" w:hanging="360"/>
      </w:pPr>
    </w:lvl>
    <w:lvl w:ilvl="4" w:tentative="1">
      <w:start w:val="1"/>
      <w:numFmt w:val="lowerLetter"/>
      <w:lvlText w:val="%5."/>
      <w:lvlJc w:val="left"/>
      <w:pPr>
        <w:ind w:left="3997" w:hanging="360"/>
      </w:pPr>
    </w:lvl>
    <w:lvl w:ilvl="5" w:tentative="1">
      <w:start w:val="1"/>
      <w:numFmt w:val="lowerRoman"/>
      <w:lvlText w:val="%6."/>
      <w:lvlJc w:val="right"/>
      <w:pPr>
        <w:ind w:left="4717" w:hanging="180"/>
      </w:pPr>
    </w:lvl>
    <w:lvl w:ilvl="6" w:tentative="1">
      <w:start w:val="1"/>
      <w:numFmt w:val="decimal"/>
      <w:lvlText w:val="%7."/>
      <w:lvlJc w:val="left"/>
      <w:pPr>
        <w:ind w:left="5437" w:hanging="360"/>
      </w:pPr>
    </w:lvl>
    <w:lvl w:ilvl="7" w:tentative="1">
      <w:start w:val="1"/>
      <w:numFmt w:val="lowerLetter"/>
      <w:lvlText w:val="%8."/>
      <w:lvlJc w:val="left"/>
      <w:pPr>
        <w:ind w:left="6157" w:hanging="360"/>
      </w:pPr>
    </w:lvl>
    <w:lvl w:ilvl="8" w:tentative="1">
      <w:start w:val="1"/>
      <w:numFmt w:val="lowerRoman"/>
      <w:lvlText w:val="%9."/>
      <w:lvlJc w:val="right"/>
      <w:pPr>
        <w:ind w:left="6877" w:hanging="180"/>
      </w:pPr>
    </w:lvl>
  </w:abstractNum>
  <w:abstractNum w:abstractNumId="16">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7">
    <w:nsid w:val="67F3186C"/>
    <w:multiLevelType w:val="hybridMultilevel"/>
    <w:tmpl w:val="1B66733C"/>
    <w:lvl w:ilvl="0">
      <w:start w:val="1"/>
      <w:numFmt w:val="hebrew1"/>
      <w:pStyle w:val="71120"/>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BE83B62"/>
    <w:multiLevelType w:val="hybridMultilevel"/>
    <w:tmpl w:val="E35488C0"/>
    <w:lvl w:ilvl="0">
      <w:start w:val="1"/>
      <w:numFmt w:val="hebrew1"/>
      <w:pStyle w:val="Style6"/>
      <w:lvlText w:val="%1."/>
      <w:lvlJc w:val="left"/>
      <w:pPr>
        <w:ind w:left="672" w:hanging="360"/>
      </w:pPr>
      <w:rPr>
        <w:rFonts w:hint="default"/>
        <w:sz w:val="24"/>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19">
    <w:nsid w:val="7D365B29"/>
    <w:multiLevelType w:val="multilevel"/>
    <w:tmpl w:val="7BDAE77C"/>
    <w:lvl w:ilvl="0">
      <w:start w:val="1"/>
      <w:numFmt w:val="hebrew1"/>
      <w:pStyle w:val="7120"/>
      <w:lvlText w:val="%1."/>
      <w:lvlJc w:val="left"/>
      <w:pPr>
        <w:ind w:left="737" w:hanging="340"/>
      </w:pPr>
      <w:rPr>
        <w:rFonts w:ascii="Tahoma" w:hAnsi="Tahoma" w:eastAsiaTheme="minorHAnsi" w:cs="Tahoma" w:hint="default"/>
        <w:b w:val="0"/>
        <w:bCs w:val="0"/>
      </w:rPr>
    </w:lvl>
    <w:lvl w:ilvl="1">
      <w:start w:val="1"/>
      <w:numFmt w:val="hebrew1"/>
      <w:lvlText w:val="%2."/>
      <w:lvlJc w:val="left"/>
      <w:pPr>
        <w:ind w:left="1077" w:hanging="340"/>
      </w:pPr>
    </w:lvl>
    <w:lvl w:ilvl="2">
      <w:start w:val="1"/>
      <w:numFmt w:val="decimal"/>
      <w:pStyle w:val="7134"/>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num w:numId="1">
    <w:abstractNumId w:val="5"/>
  </w:num>
  <w:num w:numId="2">
    <w:abstractNumId w:val="10"/>
  </w:num>
  <w:num w:numId="3">
    <w:abstractNumId w:val="14"/>
  </w:num>
  <w:num w:numId="4">
    <w:abstractNumId w:val="7"/>
  </w:num>
  <w:num w:numId="5">
    <w:abstractNumId w:val="9"/>
  </w:num>
  <w:num w:numId="6">
    <w:abstractNumId w:val="19"/>
  </w:num>
  <w:num w:numId="7">
    <w:abstractNumId w:val="0"/>
  </w:num>
  <w:num w:numId="8">
    <w:abstractNumId w:val="11"/>
  </w:num>
  <w:num w:numId="9">
    <w:abstractNumId w:val="3"/>
  </w:num>
  <w:num w:numId="10">
    <w:abstractNumId w:val="16"/>
  </w:num>
  <w:num w:numId="11">
    <w:abstractNumId w:val="2"/>
  </w:num>
  <w:num w:numId="12">
    <w:abstractNumId w:val="4"/>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3"/>
  </w:num>
  <w:num w:numId="17">
    <w:abstractNumId w:val="15"/>
  </w:num>
  <w:num w:numId="18">
    <w:abstractNumId w:val="17"/>
  </w:num>
  <w:num w:numId="19">
    <w:abstractNumId w:val="8"/>
  </w:num>
  <w:num w:numId="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76"/>
  <w:gutterAtTop/>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1101"/>
    <w:rsid w:val="000018EF"/>
    <w:rsid w:val="00001C6B"/>
    <w:rsid w:val="00001D5A"/>
    <w:rsid w:val="00001E75"/>
    <w:rsid w:val="000024D3"/>
    <w:rsid w:val="00002EF7"/>
    <w:rsid w:val="0000361F"/>
    <w:rsid w:val="00003B77"/>
    <w:rsid w:val="00003D51"/>
    <w:rsid w:val="00003EBB"/>
    <w:rsid w:val="00003F96"/>
    <w:rsid w:val="0000520D"/>
    <w:rsid w:val="000054B7"/>
    <w:rsid w:val="00005B23"/>
    <w:rsid w:val="00005EE0"/>
    <w:rsid w:val="00006B59"/>
    <w:rsid w:val="00007060"/>
    <w:rsid w:val="000100D8"/>
    <w:rsid w:val="0001014C"/>
    <w:rsid w:val="000107D8"/>
    <w:rsid w:val="0001099A"/>
    <w:rsid w:val="00011BFC"/>
    <w:rsid w:val="00011DF7"/>
    <w:rsid w:val="00012657"/>
    <w:rsid w:val="00013BC3"/>
    <w:rsid w:val="00013CFB"/>
    <w:rsid w:val="0001431C"/>
    <w:rsid w:val="0001482C"/>
    <w:rsid w:val="00015162"/>
    <w:rsid w:val="000155F0"/>
    <w:rsid w:val="00015680"/>
    <w:rsid w:val="000157CF"/>
    <w:rsid w:val="00015A22"/>
    <w:rsid w:val="000168DE"/>
    <w:rsid w:val="0001735B"/>
    <w:rsid w:val="000206F1"/>
    <w:rsid w:val="00021298"/>
    <w:rsid w:val="00021ED5"/>
    <w:rsid w:val="00021FFB"/>
    <w:rsid w:val="000224FF"/>
    <w:rsid w:val="00023E81"/>
    <w:rsid w:val="00024391"/>
    <w:rsid w:val="000246D2"/>
    <w:rsid w:val="00024E0C"/>
    <w:rsid w:val="000251E2"/>
    <w:rsid w:val="0002582E"/>
    <w:rsid w:val="000259C7"/>
    <w:rsid w:val="00025D2D"/>
    <w:rsid w:val="00026245"/>
    <w:rsid w:val="00026367"/>
    <w:rsid w:val="000264D7"/>
    <w:rsid w:val="00026669"/>
    <w:rsid w:val="00026738"/>
    <w:rsid w:val="00026ACC"/>
    <w:rsid w:val="0002705C"/>
    <w:rsid w:val="00027522"/>
    <w:rsid w:val="00027BF3"/>
    <w:rsid w:val="0003001D"/>
    <w:rsid w:val="000303C9"/>
    <w:rsid w:val="00031C68"/>
    <w:rsid w:val="00031C69"/>
    <w:rsid w:val="00031CEB"/>
    <w:rsid w:val="00032932"/>
    <w:rsid w:val="0003410F"/>
    <w:rsid w:val="000344FF"/>
    <w:rsid w:val="0003494D"/>
    <w:rsid w:val="00035688"/>
    <w:rsid w:val="00035B80"/>
    <w:rsid w:val="00035C03"/>
    <w:rsid w:val="000360F7"/>
    <w:rsid w:val="00036101"/>
    <w:rsid w:val="00036B0F"/>
    <w:rsid w:val="00036EB8"/>
    <w:rsid w:val="00040918"/>
    <w:rsid w:val="00040C4D"/>
    <w:rsid w:val="000413AB"/>
    <w:rsid w:val="000419ED"/>
    <w:rsid w:val="00042688"/>
    <w:rsid w:val="00042837"/>
    <w:rsid w:val="0004293F"/>
    <w:rsid w:val="00042BB1"/>
    <w:rsid w:val="00042BB8"/>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1406"/>
    <w:rsid w:val="00052281"/>
    <w:rsid w:val="00052629"/>
    <w:rsid w:val="000529B3"/>
    <w:rsid w:val="000529F6"/>
    <w:rsid w:val="00052AE4"/>
    <w:rsid w:val="00052CD9"/>
    <w:rsid w:val="000532AA"/>
    <w:rsid w:val="00053AA7"/>
    <w:rsid w:val="00053D09"/>
    <w:rsid w:val="00054329"/>
    <w:rsid w:val="00054B57"/>
    <w:rsid w:val="000557B4"/>
    <w:rsid w:val="0005582D"/>
    <w:rsid w:val="0005596D"/>
    <w:rsid w:val="00055CB5"/>
    <w:rsid w:val="00055E07"/>
    <w:rsid w:val="00055E4C"/>
    <w:rsid w:val="00055EC9"/>
    <w:rsid w:val="00056B3E"/>
    <w:rsid w:val="00056E0E"/>
    <w:rsid w:val="000571B9"/>
    <w:rsid w:val="0005725C"/>
    <w:rsid w:val="00057574"/>
    <w:rsid w:val="00057946"/>
    <w:rsid w:val="0005795E"/>
    <w:rsid w:val="00057B7D"/>
    <w:rsid w:val="00060045"/>
    <w:rsid w:val="00060178"/>
    <w:rsid w:val="000601A8"/>
    <w:rsid w:val="000611FF"/>
    <w:rsid w:val="00061760"/>
    <w:rsid w:val="0006189A"/>
    <w:rsid w:val="000618D0"/>
    <w:rsid w:val="00061D3B"/>
    <w:rsid w:val="00061D7A"/>
    <w:rsid w:val="00062475"/>
    <w:rsid w:val="00063297"/>
    <w:rsid w:val="00063A11"/>
    <w:rsid w:val="0006411D"/>
    <w:rsid w:val="0006421B"/>
    <w:rsid w:val="0006456C"/>
    <w:rsid w:val="00064637"/>
    <w:rsid w:val="000647B1"/>
    <w:rsid w:val="00066AF6"/>
    <w:rsid w:val="0006704B"/>
    <w:rsid w:val="0006721D"/>
    <w:rsid w:val="0006723D"/>
    <w:rsid w:val="000672AB"/>
    <w:rsid w:val="000675B0"/>
    <w:rsid w:val="00067A76"/>
    <w:rsid w:val="00067E32"/>
    <w:rsid w:val="00067F12"/>
    <w:rsid w:val="000706BF"/>
    <w:rsid w:val="000707EE"/>
    <w:rsid w:val="00070E3F"/>
    <w:rsid w:val="000710A8"/>
    <w:rsid w:val="000714B6"/>
    <w:rsid w:val="00071F2E"/>
    <w:rsid w:val="0007227C"/>
    <w:rsid w:val="00072B83"/>
    <w:rsid w:val="00072FE8"/>
    <w:rsid w:val="000733CE"/>
    <w:rsid w:val="000736B3"/>
    <w:rsid w:val="000738F6"/>
    <w:rsid w:val="00073B6B"/>
    <w:rsid w:val="00073D9F"/>
    <w:rsid w:val="0007429C"/>
    <w:rsid w:val="00074533"/>
    <w:rsid w:val="00074F31"/>
    <w:rsid w:val="00076758"/>
    <w:rsid w:val="00076ED7"/>
    <w:rsid w:val="0007717F"/>
    <w:rsid w:val="0007762A"/>
    <w:rsid w:val="00077B79"/>
    <w:rsid w:val="00080072"/>
    <w:rsid w:val="000803F2"/>
    <w:rsid w:val="00081D0E"/>
    <w:rsid w:val="000824F8"/>
    <w:rsid w:val="0008345D"/>
    <w:rsid w:val="00083692"/>
    <w:rsid w:val="000837F2"/>
    <w:rsid w:val="00083FD0"/>
    <w:rsid w:val="00084071"/>
    <w:rsid w:val="00084E3A"/>
    <w:rsid w:val="00085086"/>
    <w:rsid w:val="00085A22"/>
    <w:rsid w:val="00085B99"/>
    <w:rsid w:val="00086738"/>
    <w:rsid w:val="00086BCD"/>
    <w:rsid w:val="00087355"/>
    <w:rsid w:val="00087686"/>
    <w:rsid w:val="000877AB"/>
    <w:rsid w:val="00090633"/>
    <w:rsid w:val="000907D0"/>
    <w:rsid w:val="00090DF7"/>
    <w:rsid w:val="00091397"/>
    <w:rsid w:val="00091811"/>
    <w:rsid w:val="00091A72"/>
    <w:rsid w:val="0009349C"/>
    <w:rsid w:val="00093E30"/>
    <w:rsid w:val="0009432F"/>
    <w:rsid w:val="00094B2A"/>
    <w:rsid w:val="00094D5D"/>
    <w:rsid w:val="00094F15"/>
    <w:rsid w:val="0009524E"/>
    <w:rsid w:val="0009559D"/>
    <w:rsid w:val="0009560F"/>
    <w:rsid w:val="000963C8"/>
    <w:rsid w:val="00096CF4"/>
    <w:rsid w:val="00096E24"/>
    <w:rsid w:val="0009703F"/>
    <w:rsid w:val="00097CDE"/>
    <w:rsid w:val="000A00AE"/>
    <w:rsid w:val="000A01F2"/>
    <w:rsid w:val="000A0884"/>
    <w:rsid w:val="000A0915"/>
    <w:rsid w:val="000A134E"/>
    <w:rsid w:val="000A15B1"/>
    <w:rsid w:val="000A1610"/>
    <w:rsid w:val="000A26F1"/>
    <w:rsid w:val="000A2BD8"/>
    <w:rsid w:val="000A3690"/>
    <w:rsid w:val="000A3B8A"/>
    <w:rsid w:val="000A3E74"/>
    <w:rsid w:val="000A4686"/>
    <w:rsid w:val="000A4D48"/>
    <w:rsid w:val="000A5140"/>
    <w:rsid w:val="000A529B"/>
    <w:rsid w:val="000A567C"/>
    <w:rsid w:val="000A5B75"/>
    <w:rsid w:val="000A65A9"/>
    <w:rsid w:val="000A69A7"/>
    <w:rsid w:val="000B0929"/>
    <w:rsid w:val="000B1102"/>
    <w:rsid w:val="000B1376"/>
    <w:rsid w:val="000B153C"/>
    <w:rsid w:val="000B1C94"/>
    <w:rsid w:val="000B2074"/>
    <w:rsid w:val="000B2C5B"/>
    <w:rsid w:val="000B2DBE"/>
    <w:rsid w:val="000B2F49"/>
    <w:rsid w:val="000B3056"/>
    <w:rsid w:val="000B3A23"/>
    <w:rsid w:val="000B4419"/>
    <w:rsid w:val="000B4F23"/>
    <w:rsid w:val="000B55BB"/>
    <w:rsid w:val="000B597C"/>
    <w:rsid w:val="000B6604"/>
    <w:rsid w:val="000B7912"/>
    <w:rsid w:val="000B7B95"/>
    <w:rsid w:val="000B7D4C"/>
    <w:rsid w:val="000C05CB"/>
    <w:rsid w:val="000C089C"/>
    <w:rsid w:val="000C0B98"/>
    <w:rsid w:val="000C0F17"/>
    <w:rsid w:val="000C15A4"/>
    <w:rsid w:val="000C15DF"/>
    <w:rsid w:val="000C164B"/>
    <w:rsid w:val="000C16F6"/>
    <w:rsid w:val="000C1D0D"/>
    <w:rsid w:val="000C2588"/>
    <w:rsid w:val="000C27DC"/>
    <w:rsid w:val="000C2887"/>
    <w:rsid w:val="000C2AB9"/>
    <w:rsid w:val="000C37FE"/>
    <w:rsid w:val="000C3BAD"/>
    <w:rsid w:val="000C3D47"/>
    <w:rsid w:val="000C404B"/>
    <w:rsid w:val="000C43E0"/>
    <w:rsid w:val="000C492E"/>
    <w:rsid w:val="000C50A1"/>
    <w:rsid w:val="000C56D4"/>
    <w:rsid w:val="000C5E23"/>
    <w:rsid w:val="000C5F85"/>
    <w:rsid w:val="000C694D"/>
    <w:rsid w:val="000C6AAF"/>
    <w:rsid w:val="000C6E39"/>
    <w:rsid w:val="000C7459"/>
    <w:rsid w:val="000D04B8"/>
    <w:rsid w:val="000D0837"/>
    <w:rsid w:val="000D09F1"/>
    <w:rsid w:val="000D11EB"/>
    <w:rsid w:val="000D1714"/>
    <w:rsid w:val="000D2056"/>
    <w:rsid w:val="000D215D"/>
    <w:rsid w:val="000D22F0"/>
    <w:rsid w:val="000D2A57"/>
    <w:rsid w:val="000D2CDA"/>
    <w:rsid w:val="000D2F93"/>
    <w:rsid w:val="000D2FE7"/>
    <w:rsid w:val="000D3D09"/>
    <w:rsid w:val="000D4B88"/>
    <w:rsid w:val="000D53BB"/>
    <w:rsid w:val="000D543D"/>
    <w:rsid w:val="000D5B81"/>
    <w:rsid w:val="000D5C0B"/>
    <w:rsid w:val="000D63C9"/>
    <w:rsid w:val="000D69F0"/>
    <w:rsid w:val="000D7666"/>
    <w:rsid w:val="000D7D9F"/>
    <w:rsid w:val="000D7EB1"/>
    <w:rsid w:val="000E013E"/>
    <w:rsid w:val="000E0809"/>
    <w:rsid w:val="000E1FBD"/>
    <w:rsid w:val="000E2359"/>
    <w:rsid w:val="000E23EA"/>
    <w:rsid w:val="000E2715"/>
    <w:rsid w:val="000E2B2C"/>
    <w:rsid w:val="000E2E81"/>
    <w:rsid w:val="000E3022"/>
    <w:rsid w:val="000E3B68"/>
    <w:rsid w:val="000E3D52"/>
    <w:rsid w:val="000E3DFA"/>
    <w:rsid w:val="000E3F0C"/>
    <w:rsid w:val="000E44FD"/>
    <w:rsid w:val="000E4D6A"/>
    <w:rsid w:val="000E4DF7"/>
    <w:rsid w:val="000E50E1"/>
    <w:rsid w:val="000E5149"/>
    <w:rsid w:val="000E54D2"/>
    <w:rsid w:val="000E5834"/>
    <w:rsid w:val="000E6198"/>
    <w:rsid w:val="000E64A1"/>
    <w:rsid w:val="000E68EF"/>
    <w:rsid w:val="000E6AAF"/>
    <w:rsid w:val="000E6F44"/>
    <w:rsid w:val="000E71A5"/>
    <w:rsid w:val="000E73AF"/>
    <w:rsid w:val="000E7622"/>
    <w:rsid w:val="000F022A"/>
    <w:rsid w:val="000F158C"/>
    <w:rsid w:val="000F1DEA"/>
    <w:rsid w:val="000F1E0E"/>
    <w:rsid w:val="000F2408"/>
    <w:rsid w:val="000F2E36"/>
    <w:rsid w:val="000F3700"/>
    <w:rsid w:val="000F4578"/>
    <w:rsid w:val="000F4B6E"/>
    <w:rsid w:val="000F4C79"/>
    <w:rsid w:val="000F53C2"/>
    <w:rsid w:val="000F5EDB"/>
    <w:rsid w:val="000F60AB"/>
    <w:rsid w:val="000F62A9"/>
    <w:rsid w:val="000F63A5"/>
    <w:rsid w:val="000F6A6C"/>
    <w:rsid w:val="000F6F38"/>
    <w:rsid w:val="000F76A8"/>
    <w:rsid w:val="000F7725"/>
    <w:rsid w:val="000F78AE"/>
    <w:rsid w:val="00100244"/>
    <w:rsid w:val="00101157"/>
    <w:rsid w:val="00101681"/>
    <w:rsid w:val="00101BB0"/>
    <w:rsid w:val="00101D0F"/>
    <w:rsid w:val="0010231B"/>
    <w:rsid w:val="0010237C"/>
    <w:rsid w:val="001023B9"/>
    <w:rsid w:val="0010413A"/>
    <w:rsid w:val="00104FBC"/>
    <w:rsid w:val="00105970"/>
    <w:rsid w:val="00105B99"/>
    <w:rsid w:val="00106312"/>
    <w:rsid w:val="00106589"/>
    <w:rsid w:val="00106A59"/>
    <w:rsid w:val="00106B31"/>
    <w:rsid w:val="00107175"/>
    <w:rsid w:val="0010747A"/>
    <w:rsid w:val="00107A35"/>
    <w:rsid w:val="00107D4A"/>
    <w:rsid w:val="0011146E"/>
    <w:rsid w:val="00111AD4"/>
    <w:rsid w:val="00111EFB"/>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E1B"/>
    <w:rsid w:val="001172DF"/>
    <w:rsid w:val="00117408"/>
    <w:rsid w:val="00117C0E"/>
    <w:rsid w:val="0012150C"/>
    <w:rsid w:val="00121682"/>
    <w:rsid w:val="00121EA1"/>
    <w:rsid w:val="0012279D"/>
    <w:rsid w:val="001239A8"/>
    <w:rsid w:val="001239E1"/>
    <w:rsid w:val="001243A4"/>
    <w:rsid w:val="001247BA"/>
    <w:rsid w:val="00124DC1"/>
    <w:rsid w:val="00125224"/>
    <w:rsid w:val="00125628"/>
    <w:rsid w:val="00125881"/>
    <w:rsid w:val="001305E5"/>
    <w:rsid w:val="00131349"/>
    <w:rsid w:val="0013138F"/>
    <w:rsid w:val="001317A2"/>
    <w:rsid w:val="00131CCD"/>
    <w:rsid w:val="0013210D"/>
    <w:rsid w:val="00132126"/>
    <w:rsid w:val="001321A1"/>
    <w:rsid w:val="00132671"/>
    <w:rsid w:val="0013302E"/>
    <w:rsid w:val="0013406B"/>
    <w:rsid w:val="001340B5"/>
    <w:rsid w:val="00134560"/>
    <w:rsid w:val="00134F83"/>
    <w:rsid w:val="001354CB"/>
    <w:rsid w:val="00135695"/>
    <w:rsid w:val="00135742"/>
    <w:rsid w:val="00135A23"/>
    <w:rsid w:val="00136479"/>
    <w:rsid w:val="00136496"/>
    <w:rsid w:val="0013664A"/>
    <w:rsid w:val="0013667B"/>
    <w:rsid w:val="0013696C"/>
    <w:rsid w:val="00136A10"/>
    <w:rsid w:val="0013702C"/>
    <w:rsid w:val="00137337"/>
    <w:rsid w:val="001378D5"/>
    <w:rsid w:val="00137FF0"/>
    <w:rsid w:val="00140CC4"/>
    <w:rsid w:val="00141BD6"/>
    <w:rsid w:val="00141E09"/>
    <w:rsid w:val="00142206"/>
    <w:rsid w:val="00143176"/>
    <w:rsid w:val="001431D6"/>
    <w:rsid w:val="00143B4D"/>
    <w:rsid w:val="00143E26"/>
    <w:rsid w:val="00143FFA"/>
    <w:rsid w:val="0014435E"/>
    <w:rsid w:val="00144908"/>
    <w:rsid w:val="00144BB3"/>
    <w:rsid w:val="00144C4B"/>
    <w:rsid w:val="001451A4"/>
    <w:rsid w:val="0014551F"/>
    <w:rsid w:val="0014569F"/>
    <w:rsid w:val="001460BB"/>
    <w:rsid w:val="001466D7"/>
    <w:rsid w:val="001469CA"/>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742"/>
    <w:rsid w:val="00153A60"/>
    <w:rsid w:val="00153D95"/>
    <w:rsid w:val="00154091"/>
    <w:rsid w:val="0015454A"/>
    <w:rsid w:val="00154682"/>
    <w:rsid w:val="00154827"/>
    <w:rsid w:val="00154F60"/>
    <w:rsid w:val="00155501"/>
    <w:rsid w:val="00155B51"/>
    <w:rsid w:val="001560B9"/>
    <w:rsid w:val="00156CAA"/>
    <w:rsid w:val="00156DEF"/>
    <w:rsid w:val="0015702B"/>
    <w:rsid w:val="00157577"/>
    <w:rsid w:val="00157D86"/>
    <w:rsid w:val="00160155"/>
    <w:rsid w:val="0016031C"/>
    <w:rsid w:val="00160BE5"/>
    <w:rsid w:val="00160CC1"/>
    <w:rsid w:val="00161124"/>
    <w:rsid w:val="00161278"/>
    <w:rsid w:val="00161717"/>
    <w:rsid w:val="00161DA5"/>
    <w:rsid w:val="00162009"/>
    <w:rsid w:val="00162EAF"/>
    <w:rsid w:val="001630E8"/>
    <w:rsid w:val="001637C1"/>
    <w:rsid w:val="001639FB"/>
    <w:rsid w:val="00163D00"/>
    <w:rsid w:val="001641A1"/>
    <w:rsid w:val="001643E4"/>
    <w:rsid w:val="00164534"/>
    <w:rsid w:val="00164A94"/>
    <w:rsid w:val="00164B64"/>
    <w:rsid w:val="00164C99"/>
    <w:rsid w:val="00165294"/>
    <w:rsid w:val="00166364"/>
    <w:rsid w:val="00166477"/>
    <w:rsid w:val="001667D3"/>
    <w:rsid w:val="00166D27"/>
    <w:rsid w:val="0016788B"/>
    <w:rsid w:val="00167D07"/>
    <w:rsid w:val="00170230"/>
    <w:rsid w:val="00170320"/>
    <w:rsid w:val="00170625"/>
    <w:rsid w:val="0017091D"/>
    <w:rsid w:val="00170A49"/>
    <w:rsid w:val="00170E23"/>
    <w:rsid w:val="0017146B"/>
    <w:rsid w:val="00171B4A"/>
    <w:rsid w:val="0017200D"/>
    <w:rsid w:val="0017251C"/>
    <w:rsid w:val="0017265F"/>
    <w:rsid w:val="001730B0"/>
    <w:rsid w:val="001739FC"/>
    <w:rsid w:val="00173FDD"/>
    <w:rsid w:val="001747CF"/>
    <w:rsid w:val="00174A21"/>
    <w:rsid w:val="00175053"/>
    <w:rsid w:val="0017513A"/>
    <w:rsid w:val="001752CB"/>
    <w:rsid w:val="00175FE2"/>
    <w:rsid w:val="00176411"/>
    <w:rsid w:val="00176B96"/>
    <w:rsid w:val="00177620"/>
    <w:rsid w:val="00177D09"/>
    <w:rsid w:val="00177D2F"/>
    <w:rsid w:val="00180392"/>
    <w:rsid w:val="00181A6A"/>
    <w:rsid w:val="001821A3"/>
    <w:rsid w:val="00182B04"/>
    <w:rsid w:val="00182DC0"/>
    <w:rsid w:val="00183085"/>
    <w:rsid w:val="001839FA"/>
    <w:rsid w:val="00183DDC"/>
    <w:rsid w:val="00184867"/>
    <w:rsid w:val="0018505D"/>
    <w:rsid w:val="001850C6"/>
    <w:rsid w:val="0018586A"/>
    <w:rsid w:val="001858E5"/>
    <w:rsid w:val="00185B85"/>
    <w:rsid w:val="001868AE"/>
    <w:rsid w:val="00186BD2"/>
    <w:rsid w:val="0018758B"/>
    <w:rsid w:val="001900F7"/>
    <w:rsid w:val="0019015A"/>
    <w:rsid w:val="00190396"/>
    <w:rsid w:val="00190704"/>
    <w:rsid w:val="00190F93"/>
    <w:rsid w:val="00191D43"/>
    <w:rsid w:val="00191FF6"/>
    <w:rsid w:val="0019287A"/>
    <w:rsid w:val="00192E51"/>
    <w:rsid w:val="00192F16"/>
    <w:rsid w:val="00193071"/>
    <w:rsid w:val="0019399F"/>
    <w:rsid w:val="00194286"/>
    <w:rsid w:val="00195BC7"/>
    <w:rsid w:val="00195EBA"/>
    <w:rsid w:val="001960B4"/>
    <w:rsid w:val="00196FD4"/>
    <w:rsid w:val="0019758B"/>
    <w:rsid w:val="00197B6F"/>
    <w:rsid w:val="00197B8A"/>
    <w:rsid w:val="00197BDF"/>
    <w:rsid w:val="00197CC1"/>
    <w:rsid w:val="001A0135"/>
    <w:rsid w:val="001A0CA6"/>
    <w:rsid w:val="001A0E9D"/>
    <w:rsid w:val="001A1123"/>
    <w:rsid w:val="001A166A"/>
    <w:rsid w:val="001A2081"/>
    <w:rsid w:val="001A2A50"/>
    <w:rsid w:val="001A2F88"/>
    <w:rsid w:val="001A30F6"/>
    <w:rsid w:val="001A325B"/>
    <w:rsid w:val="001A38A7"/>
    <w:rsid w:val="001A3974"/>
    <w:rsid w:val="001A3E92"/>
    <w:rsid w:val="001A40B6"/>
    <w:rsid w:val="001A4B1D"/>
    <w:rsid w:val="001A4C5A"/>
    <w:rsid w:val="001A5D04"/>
    <w:rsid w:val="001A613C"/>
    <w:rsid w:val="001A6276"/>
    <w:rsid w:val="001A72F6"/>
    <w:rsid w:val="001A7D06"/>
    <w:rsid w:val="001A7D08"/>
    <w:rsid w:val="001B04D9"/>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BC5"/>
    <w:rsid w:val="001B6F86"/>
    <w:rsid w:val="001B70CA"/>
    <w:rsid w:val="001B7166"/>
    <w:rsid w:val="001B75F0"/>
    <w:rsid w:val="001C00D8"/>
    <w:rsid w:val="001C0249"/>
    <w:rsid w:val="001C057E"/>
    <w:rsid w:val="001C28D9"/>
    <w:rsid w:val="001C2CAD"/>
    <w:rsid w:val="001C308D"/>
    <w:rsid w:val="001C3187"/>
    <w:rsid w:val="001C3232"/>
    <w:rsid w:val="001C3327"/>
    <w:rsid w:val="001C34D5"/>
    <w:rsid w:val="001C3ED9"/>
    <w:rsid w:val="001C450A"/>
    <w:rsid w:val="001C45D9"/>
    <w:rsid w:val="001C49B8"/>
    <w:rsid w:val="001C5A02"/>
    <w:rsid w:val="001C5BF5"/>
    <w:rsid w:val="001C5C9D"/>
    <w:rsid w:val="001C663B"/>
    <w:rsid w:val="001C6FC8"/>
    <w:rsid w:val="001C72B2"/>
    <w:rsid w:val="001C75D0"/>
    <w:rsid w:val="001D0073"/>
    <w:rsid w:val="001D0910"/>
    <w:rsid w:val="001D1192"/>
    <w:rsid w:val="001D1437"/>
    <w:rsid w:val="001D223A"/>
    <w:rsid w:val="001D2243"/>
    <w:rsid w:val="001D2793"/>
    <w:rsid w:val="001D2F2A"/>
    <w:rsid w:val="001D3679"/>
    <w:rsid w:val="001D3CC2"/>
    <w:rsid w:val="001D461F"/>
    <w:rsid w:val="001D46D3"/>
    <w:rsid w:val="001D564B"/>
    <w:rsid w:val="001D5FD1"/>
    <w:rsid w:val="001D64F3"/>
    <w:rsid w:val="001D6714"/>
    <w:rsid w:val="001D69D0"/>
    <w:rsid w:val="001D713E"/>
    <w:rsid w:val="001D77E6"/>
    <w:rsid w:val="001E0A7D"/>
    <w:rsid w:val="001E0D0D"/>
    <w:rsid w:val="001E17EB"/>
    <w:rsid w:val="001E1C40"/>
    <w:rsid w:val="001E1EC3"/>
    <w:rsid w:val="001E1FB9"/>
    <w:rsid w:val="001E1FD1"/>
    <w:rsid w:val="001E23E2"/>
    <w:rsid w:val="001E3778"/>
    <w:rsid w:val="001E3CE9"/>
    <w:rsid w:val="001E3F7F"/>
    <w:rsid w:val="001E41D1"/>
    <w:rsid w:val="001E475C"/>
    <w:rsid w:val="001E59BD"/>
    <w:rsid w:val="001E5A5F"/>
    <w:rsid w:val="001E5C3E"/>
    <w:rsid w:val="001E641F"/>
    <w:rsid w:val="001E66A7"/>
    <w:rsid w:val="001E773D"/>
    <w:rsid w:val="001F068F"/>
    <w:rsid w:val="001F0BBB"/>
    <w:rsid w:val="001F0DE8"/>
    <w:rsid w:val="001F0E94"/>
    <w:rsid w:val="001F19C9"/>
    <w:rsid w:val="001F35DC"/>
    <w:rsid w:val="001F3815"/>
    <w:rsid w:val="001F4057"/>
    <w:rsid w:val="001F407D"/>
    <w:rsid w:val="001F4183"/>
    <w:rsid w:val="001F5566"/>
    <w:rsid w:val="001F5E84"/>
    <w:rsid w:val="001F6015"/>
    <w:rsid w:val="001F6AE0"/>
    <w:rsid w:val="001F6B1F"/>
    <w:rsid w:val="001F6BA7"/>
    <w:rsid w:val="001F76D7"/>
    <w:rsid w:val="001F7D67"/>
    <w:rsid w:val="00200434"/>
    <w:rsid w:val="0020073F"/>
    <w:rsid w:val="00200E5B"/>
    <w:rsid w:val="00200FE9"/>
    <w:rsid w:val="002014C8"/>
    <w:rsid w:val="00202068"/>
    <w:rsid w:val="00202878"/>
    <w:rsid w:val="00202F8B"/>
    <w:rsid w:val="0020301B"/>
    <w:rsid w:val="00203277"/>
    <w:rsid w:val="00203604"/>
    <w:rsid w:val="002049ED"/>
    <w:rsid w:val="00205317"/>
    <w:rsid w:val="00205724"/>
    <w:rsid w:val="00205C5F"/>
    <w:rsid w:val="002064F7"/>
    <w:rsid w:val="00206509"/>
    <w:rsid w:val="00206BDB"/>
    <w:rsid w:val="0021058F"/>
    <w:rsid w:val="0021135F"/>
    <w:rsid w:val="0021150C"/>
    <w:rsid w:val="00211938"/>
    <w:rsid w:val="002127FD"/>
    <w:rsid w:val="00212B04"/>
    <w:rsid w:val="00212EEA"/>
    <w:rsid w:val="002130B4"/>
    <w:rsid w:val="0021348C"/>
    <w:rsid w:val="00214BC0"/>
    <w:rsid w:val="00214C9D"/>
    <w:rsid w:val="00214CAA"/>
    <w:rsid w:val="002154D1"/>
    <w:rsid w:val="00215BEE"/>
    <w:rsid w:val="0021654E"/>
    <w:rsid w:val="0022072A"/>
    <w:rsid w:val="00220B3D"/>
    <w:rsid w:val="0022100A"/>
    <w:rsid w:val="00221160"/>
    <w:rsid w:val="002213EE"/>
    <w:rsid w:val="00221922"/>
    <w:rsid w:val="00221B94"/>
    <w:rsid w:val="00221BC1"/>
    <w:rsid w:val="00222AAD"/>
    <w:rsid w:val="00222FD7"/>
    <w:rsid w:val="00224723"/>
    <w:rsid w:val="002248C1"/>
    <w:rsid w:val="00224C04"/>
    <w:rsid w:val="00224DC7"/>
    <w:rsid w:val="002251A4"/>
    <w:rsid w:val="00225489"/>
    <w:rsid w:val="00225718"/>
    <w:rsid w:val="00225CAE"/>
    <w:rsid w:val="0022685E"/>
    <w:rsid w:val="0022705A"/>
    <w:rsid w:val="00227E88"/>
    <w:rsid w:val="0023004B"/>
    <w:rsid w:val="002301B6"/>
    <w:rsid w:val="0023064F"/>
    <w:rsid w:val="00230B94"/>
    <w:rsid w:val="00231C3C"/>
    <w:rsid w:val="00231DC5"/>
    <w:rsid w:val="00232836"/>
    <w:rsid w:val="002338F8"/>
    <w:rsid w:val="00234167"/>
    <w:rsid w:val="00234A15"/>
    <w:rsid w:val="00234AB5"/>
    <w:rsid w:val="00234F9B"/>
    <w:rsid w:val="00234FC9"/>
    <w:rsid w:val="002355BE"/>
    <w:rsid w:val="0023589B"/>
    <w:rsid w:val="00235AEE"/>
    <w:rsid w:val="00235D75"/>
    <w:rsid w:val="002366CE"/>
    <w:rsid w:val="002369D4"/>
    <w:rsid w:val="0023720A"/>
    <w:rsid w:val="002375D3"/>
    <w:rsid w:val="0024001A"/>
    <w:rsid w:val="00240887"/>
    <w:rsid w:val="00241142"/>
    <w:rsid w:val="002419F2"/>
    <w:rsid w:val="002427B6"/>
    <w:rsid w:val="00242F1E"/>
    <w:rsid w:val="00243242"/>
    <w:rsid w:val="002434E9"/>
    <w:rsid w:val="00243E20"/>
    <w:rsid w:val="00243F02"/>
    <w:rsid w:val="00244096"/>
    <w:rsid w:val="0024417D"/>
    <w:rsid w:val="00244754"/>
    <w:rsid w:val="00244C55"/>
    <w:rsid w:val="00245470"/>
    <w:rsid w:val="00246CD7"/>
    <w:rsid w:val="00247C83"/>
    <w:rsid w:val="00250370"/>
    <w:rsid w:val="0025068A"/>
    <w:rsid w:val="00250751"/>
    <w:rsid w:val="00250A7F"/>
    <w:rsid w:val="002516DF"/>
    <w:rsid w:val="00251B50"/>
    <w:rsid w:val="00253D03"/>
    <w:rsid w:val="00254CF4"/>
    <w:rsid w:val="00254EF4"/>
    <w:rsid w:val="00255877"/>
    <w:rsid w:val="0025701A"/>
    <w:rsid w:val="002575ED"/>
    <w:rsid w:val="002576EB"/>
    <w:rsid w:val="00260BF5"/>
    <w:rsid w:val="00260D04"/>
    <w:rsid w:val="0026130F"/>
    <w:rsid w:val="00261C84"/>
    <w:rsid w:val="002622D4"/>
    <w:rsid w:val="00262A9E"/>
    <w:rsid w:val="00263521"/>
    <w:rsid w:val="00263A1E"/>
    <w:rsid w:val="00263DB7"/>
    <w:rsid w:val="00264127"/>
    <w:rsid w:val="002643D4"/>
    <w:rsid w:val="00264CFB"/>
    <w:rsid w:val="00265428"/>
    <w:rsid w:val="002654D1"/>
    <w:rsid w:val="00270C99"/>
    <w:rsid w:val="0027101D"/>
    <w:rsid w:val="0027121E"/>
    <w:rsid w:val="0027188F"/>
    <w:rsid w:val="002729B3"/>
    <w:rsid w:val="002739B2"/>
    <w:rsid w:val="002739CF"/>
    <w:rsid w:val="00273D43"/>
    <w:rsid w:val="0027424D"/>
    <w:rsid w:val="00274A79"/>
    <w:rsid w:val="00275A79"/>
    <w:rsid w:val="002763F9"/>
    <w:rsid w:val="00276D55"/>
    <w:rsid w:val="00277114"/>
    <w:rsid w:val="00277D6C"/>
    <w:rsid w:val="0028138F"/>
    <w:rsid w:val="002813A0"/>
    <w:rsid w:val="00281F46"/>
    <w:rsid w:val="00282C5A"/>
    <w:rsid w:val="00283E18"/>
    <w:rsid w:val="00283FFC"/>
    <w:rsid w:val="002841C5"/>
    <w:rsid w:val="002841CB"/>
    <w:rsid w:val="00284ABA"/>
    <w:rsid w:val="00284B06"/>
    <w:rsid w:val="00285362"/>
    <w:rsid w:val="00285EC0"/>
    <w:rsid w:val="0028686C"/>
    <w:rsid w:val="0028694C"/>
    <w:rsid w:val="002869E1"/>
    <w:rsid w:val="00286A23"/>
    <w:rsid w:val="00286C34"/>
    <w:rsid w:val="00287385"/>
    <w:rsid w:val="00287BEF"/>
    <w:rsid w:val="00290C01"/>
    <w:rsid w:val="00290D96"/>
    <w:rsid w:val="00291775"/>
    <w:rsid w:val="002920D3"/>
    <w:rsid w:val="002927EE"/>
    <w:rsid w:val="00292A58"/>
    <w:rsid w:val="00293FC3"/>
    <w:rsid w:val="00294150"/>
    <w:rsid w:val="002941CD"/>
    <w:rsid w:val="00294251"/>
    <w:rsid w:val="00294784"/>
    <w:rsid w:val="00294AF0"/>
    <w:rsid w:val="00296A9F"/>
    <w:rsid w:val="002970CC"/>
    <w:rsid w:val="00297B76"/>
    <w:rsid w:val="00297B77"/>
    <w:rsid w:val="00297FD7"/>
    <w:rsid w:val="002A04CC"/>
    <w:rsid w:val="002A1117"/>
    <w:rsid w:val="002A18D6"/>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8F4"/>
    <w:rsid w:val="002B0C29"/>
    <w:rsid w:val="002B10E8"/>
    <w:rsid w:val="002B12C0"/>
    <w:rsid w:val="002B1394"/>
    <w:rsid w:val="002B1B1A"/>
    <w:rsid w:val="002B2E47"/>
    <w:rsid w:val="002B30DB"/>
    <w:rsid w:val="002B3A8C"/>
    <w:rsid w:val="002B55FA"/>
    <w:rsid w:val="002B5A1F"/>
    <w:rsid w:val="002B5C10"/>
    <w:rsid w:val="002B5D65"/>
    <w:rsid w:val="002B60E9"/>
    <w:rsid w:val="002B637F"/>
    <w:rsid w:val="002B65DC"/>
    <w:rsid w:val="002B6FB4"/>
    <w:rsid w:val="002B770A"/>
    <w:rsid w:val="002B7B64"/>
    <w:rsid w:val="002C06EB"/>
    <w:rsid w:val="002C0B9D"/>
    <w:rsid w:val="002C1BB5"/>
    <w:rsid w:val="002C1D86"/>
    <w:rsid w:val="002C1EE0"/>
    <w:rsid w:val="002C28D3"/>
    <w:rsid w:val="002C2B0E"/>
    <w:rsid w:val="002C316A"/>
    <w:rsid w:val="002C3288"/>
    <w:rsid w:val="002C3B87"/>
    <w:rsid w:val="002C3D55"/>
    <w:rsid w:val="002C4139"/>
    <w:rsid w:val="002C4302"/>
    <w:rsid w:val="002C4B51"/>
    <w:rsid w:val="002C4F9F"/>
    <w:rsid w:val="002C521E"/>
    <w:rsid w:val="002C54FF"/>
    <w:rsid w:val="002C58AD"/>
    <w:rsid w:val="002C65B3"/>
    <w:rsid w:val="002C6BEC"/>
    <w:rsid w:val="002C6C7D"/>
    <w:rsid w:val="002C6D22"/>
    <w:rsid w:val="002C70A2"/>
    <w:rsid w:val="002C7D35"/>
    <w:rsid w:val="002D05EC"/>
    <w:rsid w:val="002D1688"/>
    <w:rsid w:val="002D268F"/>
    <w:rsid w:val="002D2963"/>
    <w:rsid w:val="002D2BFB"/>
    <w:rsid w:val="002D3201"/>
    <w:rsid w:val="002D32B9"/>
    <w:rsid w:val="002D38CB"/>
    <w:rsid w:val="002D3AC8"/>
    <w:rsid w:val="002D4617"/>
    <w:rsid w:val="002D4E81"/>
    <w:rsid w:val="002D555F"/>
    <w:rsid w:val="002D572F"/>
    <w:rsid w:val="002D5930"/>
    <w:rsid w:val="002D613F"/>
    <w:rsid w:val="002D65CF"/>
    <w:rsid w:val="002D6964"/>
    <w:rsid w:val="002D69A4"/>
    <w:rsid w:val="002D6DBD"/>
    <w:rsid w:val="002D6EF5"/>
    <w:rsid w:val="002D79C7"/>
    <w:rsid w:val="002E0151"/>
    <w:rsid w:val="002E01CC"/>
    <w:rsid w:val="002E0A57"/>
    <w:rsid w:val="002E13C6"/>
    <w:rsid w:val="002E188D"/>
    <w:rsid w:val="002E1993"/>
    <w:rsid w:val="002E1E1F"/>
    <w:rsid w:val="002E24BB"/>
    <w:rsid w:val="002E2DB0"/>
    <w:rsid w:val="002E3AA6"/>
    <w:rsid w:val="002E424B"/>
    <w:rsid w:val="002E4818"/>
    <w:rsid w:val="002E5757"/>
    <w:rsid w:val="002E644F"/>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3CBB"/>
    <w:rsid w:val="002F42B0"/>
    <w:rsid w:val="002F4761"/>
    <w:rsid w:val="002F47F1"/>
    <w:rsid w:val="002F5163"/>
    <w:rsid w:val="002F5628"/>
    <w:rsid w:val="002F5A80"/>
    <w:rsid w:val="002F5B51"/>
    <w:rsid w:val="002F5CEC"/>
    <w:rsid w:val="002F5F43"/>
    <w:rsid w:val="002F6FA5"/>
    <w:rsid w:val="002F724D"/>
    <w:rsid w:val="002F78B6"/>
    <w:rsid w:val="002F7C75"/>
    <w:rsid w:val="002F7D09"/>
    <w:rsid w:val="0030043A"/>
    <w:rsid w:val="00300F74"/>
    <w:rsid w:val="0030114C"/>
    <w:rsid w:val="00301153"/>
    <w:rsid w:val="00301A9A"/>
    <w:rsid w:val="003020D6"/>
    <w:rsid w:val="00302134"/>
    <w:rsid w:val="00302C17"/>
    <w:rsid w:val="00302DC7"/>
    <w:rsid w:val="0030338B"/>
    <w:rsid w:val="003038A7"/>
    <w:rsid w:val="00303EC4"/>
    <w:rsid w:val="0030415A"/>
    <w:rsid w:val="00304D83"/>
    <w:rsid w:val="00304E57"/>
    <w:rsid w:val="00304EA0"/>
    <w:rsid w:val="00304FE1"/>
    <w:rsid w:val="003050D0"/>
    <w:rsid w:val="0030516B"/>
    <w:rsid w:val="00305A00"/>
    <w:rsid w:val="00305E58"/>
    <w:rsid w:val="003063A3"/>
    <w:rsid w:val="003067B1"/>
    <w:rsid w:val="00306A3B"/>
    <w:rsid w:val="00306A59"/>
    <w:rsid w:val="003071E1"/>
    <w:rsid w:val="00307A51"/>
    <w:rsid w:val="003108E3"/>
    <w:rsid w:val="00310AC6"/>
    <w:rsid w:val="00311190"/>
    <w:rsid w:val="0031135A"/>
    <w:rsid w:val="00312140"/>
    <w:rsid w:val="0031327E"/>
    <w:rsid w:val="00313D58"/>
    <w:rsid w:val="00313EEC"/>
    <w:rsid w:val="00314BB0"/>
    <w:rsid w:val="003150C0"/>
    <w:rsid w:val="00315624"/>
    <w:rsid w:val="00315BD6"/>
    <w:rsid w:val="00315D7F"/>
    <w:rsid w:val="00315FF2"/>
    <w:rsid w:val="00316385"/>
    <w:rsid w:val="00316A77"/>
    <w:rsid w:val="00316C57"/>
    <w:rsid w:val="00316F0F"/>
    <w:rsid w:val="003177E2"/>
    <w:rsid w:val="0032022E"/>
    <w:rsid w:val="00320D71"/>
    <w:rsid w:val="0032289E"/>
    <w:rsid w:val="00322998"/>
    <w:rsid w:val="00322A81"/>
    <w:rsid w:val="00323027"/>
    <w:rsid w:val="0032331E"/>
    <w:rsid w:val="00324236"/>
    <w:rsid w:val="0032448C"/>
    <w:rsid w:val="00324BC1"/>
    <w:rsid w:val="00324C2A"/>
    <w:rsid w:val="00324F0D"/>
    <w:rsid w:val="003257C6"/>
    <w:rsid w:val="00325CD8"/>
    <w:rsid w:val="00325E04"/>
    <w:rsid w:val="00325F44"/>
    <w:rsid w:val="00326ABF"/>
    <w:rsid w:val="00326C7C"/>
    <w:rsid w:val="00326EF0"/>
    <w:rsid w:val="00326F6A"/>
    <w:rsid w:val="003271AB"/>
    <w:rsid w:val="00327593"/>
    <w:rsid w:val="0032765C"/>
    <w:rsid w:val="00327706"/>
    <w:rsid w:val="00327D99"/>
    <w:rsid w:val="003303FB"/>
    <w:rsid w:val="003318C2"/>
    <w:rsid w:val="00331924"/>
    <w:rsid w:val="00332663"/>
    <w:rsid w:val="00332F33"/>
    <w:rsid w:val="00333BC5"/>
    <w:rsid w:val="00334583"/>
    <w:rsid w:val="00334A65"/>
    <w:rsid w:val="00334D20"/>
    <w:rsid w:val="00335267"/>
    <w:rsid w:val="0033564C"/>
    <w:rsid w:val="003356A2"/>
    <w:rsid w:val="00335A0A"/>
    <w:rsid w:val="0033672B"/>
    <w:rsid w:val="00337048"/>
    <w:rsid w:val="003370BA"/>
    <w:rsid w:val="00337846"/>
    <w:rsid w:val="0033799E"/>
    <w:rsid w:val="00337BB0"/>
    <w:rsid w:val="00337C4E"/>
    <w:rsid w:val="0034038A"/>
    <w:rsid w:val="003405D2"/>
    <w:rsid w:val="003405E7"/>
    <w:rsid w:val="0034070F"/>
    <w:rsid w:val="00340C7C"/>
    <w:rsid w:val="00340D4D"/>
    <w:rsid w:val="0034149F"/>
    <w:rsid w:val="003417BA"/>
    <w:rsid w:val="003419FB"/>
    <w:rsid w:val="00341C37"/>
    <w:rsid w:val="00343850"/>
    <w:rsid w:val="00343B0B"/>
    <w:rsid w:val="00343D49"/>
    <w:rsid w:val="003441D2"/>
    <w:rsid w:val="00344346"/>
    <w:rsid w:val="00344842"/>
    <w:rsid w:val="00344BBF"/>
    <w:rsid w:val="00344CCD"/>
    <w:rsid w:val="00345868"/>
    <w:rsid w:val="0034637E"/>
    <w:rsid w:val="003466B0"/>
    <w:rsid w:val="00346745"/>
    <w:rsid w:val="0034691F"/>
    <w:rsid w:val="00346930"/>
    <w:rsid w:val="003470A8"/>
    <w:rsid w:val="00347612"/>
    <w:rsid w:val="00347712"/>
    <w:rsid w:val="00347800"/>
    <w:rsid w:val="00347942"/>
    <w:rsid w:val="00347A15"/>
    <w:rsid w:val="003501E9"/>
    <w:rsid w:val="003509DF"/>
    <w:rsid w:val="003513C7"/>
    <w:rsid w:val="0035145F"/>
    <w:rsid w:val="00351AD0"/>
    <w:rsid w:val="00351F4E"/>
    <w:rsid w:val="003525D4"/>
    <w:rsid w:val="0035281B"/>
    <w:rsid w:val="0035448A"/>
    <w:rsid w:val="00354767"/>
    <w:rsid w:val="00355453"/>
    <w:rsid w:val="003559A1"/>
    <w:rsid w:val="00355B59"/>
    <w:rsid w:val="00356540"/>
    <w:rsid w:val="00356788"/>
    <w:rsid w:val="00356926"/>
    <w:rsid w:val="00356BD5"/>
    <w:rsid w:val="00356C79"/>
    <w:rsid w:val="00356CD5"/>
    <w:rsid w:val="00357420"/>
    <w:rsid w:val="00357544"/>
    <w:rsid w:val="00360129"/>
    <w:rsid w:val="00360285"/>
    <w:rsid w:val="00360322"/>
    <w:rsid w:val="003606C0"/>
    <w:rsid w:val="00360FD1"/>
    <w:rsid w:val="00361812"/>
    <w:rsid w:val="00361AA2"/>
    <w:rsid w:val="00363344"/>
    <w:rsid w:val="003633E1"/>
    <w:rsid w:val="00363FE3"/>
    <w:rsid w:val="003640C2"/>
    <w:rsid w:val="003641B1"/>
    <w:rsid w:val="00364581"/>
    <w:rsid w:val="003651FF"/>
    <w:rsid w:val="003655E5"/>
    <w:rsid w:val="0036568B"/>
    <w:rsid w:val="00365C9E"/>
    <w:rsid w:val="00365D63"/>
    <w:rsid w:val="00365DC9"/>
    <w:rsid w:val="00365DE2"/>
    <w:rsid w:val="0036639F"/>
    <w:rsid w:val="003668A5"/>
    <w:rsid w:val="003675CC"/>
    <w:rsid w:val="00367921"/>
    <w:rsid w:val="00367E47"/>
    <w:rsid w:val="0037090C"/>
    <w:rsid w:val="00370EB5"/>
    <w:rsid w:val="00371181"/>
    <w:rsid w:val="0037128C"/>
    <w:rsid w:val="00371316"/>
    <w:rsid w:val="00371B1D"/>
    <w:rsid w:val="0037230B"/>
    <w:rsid w:val="00372476"/>
    <w:rsid w:val="003724C3"/>
    <w:rsid w:val="0037259B"/>
    <w:rsid w:val="0037289B"/>
    <w:rsid w:val="003729F9"/>
    <w:rsid w:val="003734FE"/>
    <w:rsid w:val="0037370B"/>
    <w:rsid w:val="00373CE2"/>
    <w:rsid w:val="00373E35"/>
    <w:rsid w:val="003757DE"/>
    <w:rsid w:val="00375A02"/>
    <w:rsid w:val="00375AE4"/>
    <w:rsid w:val="00375C87"/>
    <w:rsid w:val="00375F4A"/>
    <w:rsid w:val="00376061"/>
    <w:rsid w:val="00376551"/>
    <w:rsid w:val="00376625"/>
    <w:rsid w:val="0037752E"/>
    <w:rsid w:val="0037753E"/>
    <w:rsid w:val="00377B33"/>
    <w:rsid w:val="00380052"/>
    <w:rsid w:val="003801D8"/>
    <w:rsid w:val="003806AE"/>
    <w:rsid w:val="003818F7"/>
    <w:rsid w:val="00381983"/>
    <w:rsid w:val="00382741"/>
    <w:rsid w:val="00382981"/>
    <w:rsid w:val="003839AA"/>
    <w:rsid w:val="003843E4"/>
    <w:rsid w:val="00384988"/>
    <w:rsid w:val="00384EDD"/>
    <w:rsid w:val="00385426"/>
    <w:rsid w:val="0038575C"/>
    <w:rsid w:val="00385836"/>
    <w:rsid w:val="00385A72"/>
    <w:rsid w:val="00385CBB"/>
    <w:rsid w:val="00385FBB"/>
    <w:rsid w:val="00386D6B"/>
    <w:rsid w:val="00387987"/>
    <w:rsid w:val="00387E5E"/>
    <w:rsid w:val="003907CF"/>
    <w:rsid w:val="00391776"/>
    <w:rsid w:val="00391943"/>
    <w:rsid w:val="00391D47"/>
    <w:rsid w:val="00392578"/>
    <w:rsid w:val="003926A8"/>
    <w:rsid w:val="00392806"/>
    <w:rsid w:val="00392899"/>
    <w:rsid w:val="003929A4"/>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59A"/>
    <w:rsid w:val="00397B41"/>
    <w:rsid w:val="00397C56"/>
    <w:rsid w:val="003A0054"/>
    <w:rsid w:val="003A042B"/>
    <w:rsid w:val="003A07CF"/>
    <w:rsid w:val="003A0852"/>
    <w:rsid w:val="003A08AE"/>
    <w:rsid w:val="003A1E4F"/>
    <w:rsid w:val="003A1E54"/>
    <w:rsid w:val="003A26D2"/>
    <w:rsid w:val="003A3978"/>
    <w:rsid w:val="003A3D05"/>
    <w:rsid w:val="003A47A9"/>
    <w:rsid w:val="003A613A"/>
    <w:rsid w:val="003A66EF"/>
    <w:rsid w:val="003A689D"/>
    <w:rsid w:val="003A74D0"/>
    <w:rsid w:val="003A769E"/>
    <w:rsid w:val="003A780A"/>
    <w:rsid w:val="003B0B84"/>
    <w:rsid w:val="003B1053"/>
    <w:rsid w:val="003B12C7"/>
    <w:rsid w:val="003B166B"/>
    <w:rsid w:val="003B1F61"/>
    <w:rsid w:val="003B30AD"/>
    <w:rsid w:val="003B396C"/>
    <w:rsid w:val="003B4CBF"/>
    <w:rsid w:val="003B505F"/>
    <w:rsid w:val="003B57EC"/>
    <w:rsid w:val="003B5853"/>
    <w:rsid w:val="003B5A1E"/>
    <w:rsid w:val="003B5E39"/>
    <w:rsid w:val="003B5FB5"/>
    <w:rsid w:val="003B639B"/>
    <w:rsid w:val="003B6576"/>
    <w:rsid w:val="003B6C5A"/>
    <w:rsid w:val="003B6D05"/>
    <w:rsid w:val="003B71E3"/>
    <w:rsid w:val="003B7927"/>
    <w:rsid w:val="003B7A94"/>
    <w:rsid w:val="003B7F4E"/>
    <w:rsid w:val="003C0A02"/>
    <w:rsid w:val="003C2534"/>
    <w:rsid w:val="003C26AC"/>
    <w:rsid w:val="003C2A0B"/>
    <w:rsid w:val="003C2EC6"/>
    <w:rsid w:val="003C3154"/>
    <w:rsid w:val="003C32FE"/>
    <w:rsid w:val="003C3358"/>
    <w:rsid w:val="003C4222"/>
    <w:rsid w:val="003C4C10"/>
    <w:rsid w:val="003C4F30"/>
    <w:rsid w:val="003C5044"/>
    <w:rsid w:val="003C5153"/>
    <w:rsid w:val="003C5BB1"/>
    <w:rsid w:val="003C5BC7"/>
    <w:rsid w:val="003C5ED9"/>
    <w:rsid w:val="003C6152"/>
    <w:rsid w:val="003C6C20"/>
    <w:rsid w:val="003C73F8"/>
    <w:rsid w:val="003C76CA"/>
    <w:rsid w:val="003C7AD3"/>
    <w:rsid w:val="003C7B2D"/>
    <w:rsid w:val="003D06C1"/>
    <w:rsid w:val="003D0F91"/>
    <w:rsid w:val="003D1118"/>
    <w:rsid w:val="003D16F2"/>
    <w:rsid w:val="003D1801"/>
    <w:rsid w:val="003D1D5C"/>
    <w:rsid w:val="003D2796"/>
    <w:rsid w:val="003D2AE6"/>
    <w:rsid w:val="003D314F"/>
    <w:rsid w:val="003D3533"/>
    <w:rsid w:val="003D415E"/>
    <w:rsid w:val="003D4194"/>
    <w:rsid w:val="003D43B8"/>
    <w:rsid w:val="003D4FD4"/>
    <w:rsid w:val="003D5549"/>
    <w:rsid w:val="003D5B8A"/>
    <w:rsid w:val="003D5CAC"/>
    <w:rsid w:val="003D6310"/>
    <w:rsid w:val="003D657A"/>
    <w:rsid w:val="003D6896"/>
    <w:rsid w:val="003D6CAC"/>
    <w:rsid w:val="003D6FE1"/>
    <w:rsid w:val="003D7383"/>
    <w:rsid w:val="003D7489"/>
    <w:rsid w:val="003D7A6A"/>
    <w:rsid w:val="003E000E"/>
    <w:rsid w:val="003E009E"/>
    <w:rsid w:val="003E0ABC"/>
    <w:rsid w:val="003E159B"/>
    <w:rsid w:val="003E20EB"/>
    <w:rsid w:val="003E2234"/>
    <w:rsid w:val="003E2333"/>
    <w:rsid w:val="003E248F"/>
    <w:rsid w:val="003E252F"/>
    <w:rsid w:val="003E26E6"/>
    <w:rsid w:val="003E2F13"/>
    <w:rsid w:val="003E2F94"/>
    <w:rsid w:val="003E31EE"/>
    <w:rsid w:val="003E364E"/>
    <w:rsid w:val="003E4D21"/>
    <w:rsid w:val="003E4D5A"/>
    <w:rsid w:val="003E58C2"/>
    <w:rsid w:val="003E5ED2"/>
    <w:rsid w:val="003E5FCA"/>
    <w:rsid w:val="003E66A4"/>
    <w:rsid w:val="003E672B"/>
    <w:rsid w:val="003E6F99"/>
    <w:rsid w:val="003E77E9"/>
    <w:rsid w:val="003E798E"/>
    <w:rsid w:val="003F06E0"/>
    <w:rsid w:val="003F0C61"/>
    <w:rsid w:val="003F0D90"/>
    <w:rsid w:val="003F0E51"/>
    <w:rsid w:val="003F2708"/>
    <w:rsid w:val="003F2DBB"/>
    <w:rsid w:val="003F2EF4"/>
    <w:rsid w:val="003F2F7C"/>
    <w:rsid w:val="003F316F"/>
    <w:rsid w:val="003F48CD"/>
    <w:rsid w:val="003F4A41"/>
    <w:rsid w:val="003F4D5F"/>
    <w:rsid w:val="003F5B6A"/>
    <w:rsid w:val="003F6A36"/>
    <w:rsid w:val="003F6CB2"/>
    <w:rsid w:val="003F6D65"/>
    <w:rsid w:val="003F782E"/>
    <w:rsid w:val="003F7B2B"/>
    <w:rsid w:val="004002DD"/>
    <w:rsid w:val="0040036C"/>
    <w:rsid w:val="0040072A"/>
    <w:rsid w:val="00400D5E"/>
    <w:rsid w:val="00401ED1"/>
    <w:rsid w:val="00402817"/>
    <w:rsid w:val="004029F9"/>
    <w:rsid w:val="00403CB0"/>
    <w:rsid w:val="00403EED"/>
    <w:rsid w:val="0040422D"/>
    <w:rsid w:val="004045D8"/>
    <w:rsid w:val="0040494A"/>
    <w:rsid w:val="00405277"/>
    <w:rsid w:val="00406238"/>
    <w:rsid w:val="004064E0"/>
    <w:rsid w:val="00406E80"/>
    <w:rsid w:val="00406F61"/>
    <w:rsid w:val="00406FEF"/>
    <w:rsid w:val="004072FC"/>
    <w:rsid w:val="004078B5"/>
    <w:rsid w:val="0041045D"/>
    <w:rsid w:val="004105DF"/>
    <w:rsid w:val="00410935"/>
    <w:rsid w:val="00410A3A"/>
    <w:rsid w:val="00410D75"/>
    <w:rsid w:val="00411671"/>
    <w:rsid w:val="0041180B"/>
    <w:rsid w:val="00411AFD"/>
    <w:rsid w:val="0041212D"/>
    <w:rsid w:val="0041284E"/>
    <w:rsid w:val="00412889"/>
    <w:rsid w:val="004129C2"/>
    <w:rsid w:val="0041334C"/>
    <w:rsid w:val="00413464"/>
    <w:rsid w:val="00413826"/>
    <w:rsid w:val="004149D5"/>
    <w:rsid w:val="00414A8A"/>
    <w:rsid w:val="004156B7"/>
    <w:rsid w:val="00416D06"/>
    <w:rsid w:val="00417266"/>
    <w:rsid w:val="004175BE"/>
    <w:rsid w:val="00417D4C"/>
    <w:rsid w:val="00420371"/>
    <w:rsid w:val="00420394"/>
    <w:rsid w:val="004204DC"/>
    <w:rsid w:val="004206BA"/>
    <w:rsid w:val="0042090E"/>
    <w:rsid w:val="0042091E"/>
    <w:rsid w:val="00420DB1"/>
    <w:rsid w:val="0042151A"/>
    <w:rsid w:val="00421D2C"/>
    <w:rsid w:val="0042232C"/>
    <w:rsid w:val="0042242E"/>
    <w:rsid w:val="004232CF"/>
    <w:rsid w:val="004250C9"/>
    <w:rsid w:val="0042545B"/>
    <w:rsid w:val="00425E72"/>
    <w:rsid w:val="00425E85"/>
    <w:rsid w:val="0042649D"/>
    <w:rsid w:val="00426862"/>
    <w:rsid w:val="00426CE7"/>
    <w:rsid w:val="00426D50"/>
    <w:rsid w:val="004276E0"/>
    <w:rsid w:val="00427A72"/>
    <w:rsid w:val="00427D9F"/>
    <w:rsid w:val="00430277"/>
    <w:rsid w:val="00431AA5"/>
    <w:rsid w:val="00431C39"/>
    <w:rsid w:val="00431CDD"/>
    <w:rsid w:val="00432A56"/>
    <w:rsid w:val="00433922"/>
    <w:rsid w:val="00433D69"/>
    <w:rsid w:val="00433DC5"/>
    <w:rsid w:val="00434C19"/>
    <w:rsid w:val="0043539D"/>
    <w:rsid w:val="0043581E"/>
    <w:rsid w:val="00435D22"/>
    <w:rsid w:val="00435D9D"/>
    <w:rsid w:val="00435E93"/>
    <w:rsid w:val="0043603B"/>
    <w:rsid w:val="00436048"/>
    <w:rsid w:val="00436479"/>
    <w:rsid w:val="0043662F"/>
    <w:rsid w:val="00436B23"/>
    <w:rsid w:val="00436B37"/>
    <w:rsid w:val="0043791D"/>
    <w:rsid w:val="004379C8"/>
    <w:rsid w:val="00437CB8"/>
    <w:rsid w:val="00437D9B"/>
    <w:rsid w:val="00437E2D"/>
    <w:rsid w:val="00440C19"/>
    <w:rsid w:val="004413C7"/>
    <w:rsid w:val="004414E6"/>
    <w:rsid w:val="004417D2"/>
    <w:rsid w:val="004424B2"/>
    <w:rsid w:val="004428A8"/>
    <w:rsid w:val="00442E2D"/>
    <w:rsid w:val="0044305F"/>
    <w:rsid w:val="00443D1B"/>
    <w:rsid w:val="0044419E"/>
    <w:rsid w:val="00444597"/>
    <w:rsid w:val="004453BB"/>
    <w:rsid w:val="00445522"/>
    <w:rsid w:val="00445626"/>
    <w:rsid w:val="0044619B"/>
    <w:rsid w:val="004465C9"/>
    <w:rsid w:val="00446802"/>
    <w:rsid w:val="004470C5"/>
    <w:rsid w:val="004474BB"/>
    <w:rsid w:val="004475E5"/>
    <w:rsid w:val="004503E1"/>
    <w:rsid w:val="00451A68"/>
    <w:rsid w:val="00451AA2"/>
    <w:rsid w:val="00451E5C"/>
    <w:rsid w:val="0045209D"/>
    <w:rsid w:val="00452950"/>
    <w:rsid w:val="00452A13"/>
    <w:rsid w:val="00452FA4"/>
    <w:rsid w:val="00453265"/>
    <w:rsid w:val="00453750"/>
    <w:rsid w:val="004537EC"/>
    <w:rsid w:val="00453CEB"/>
    <w:rsid w:val="00454024"/>
    <w:rsid w:val="004547C8"/>
    <w:rsid w:val="0045495E"/>
    <w:rsid w:val="00455BC0"/>
    <w:rsid w:val="00455C7E"/>
    <w:rsid w:val="0045637F"/>
    <w:rsid w:val="00456696"/>
    <w:rsid w:val="00456A60"/>
    <w:rsid w:val="00456AD9"/>
    <w:rsid w:val="00456F88"/>
    <w:rsid w:val="004575EF"/>
    <w:rsid w:val="0045768C"/>
    <w:rsid w:val="00457CF6"/>
    <w:rsid w:val="00460179"/>
    <w:rsid w:val="00460B1C"/>
    <w:rsid w:val="004617CF"/>
    <w:rsid w:val="004622BB"/>
    <w:rsid w:val="00462348"/>
    <w:rsid w:val="00463683"/>
    <w:rsid w:val="00464358"/>
    <w:rsid w:val="00464D56"/>
    <w:rsid w:val="00464DF0"/>
    <w:rsid w:val="00465562"/>
    <w:rsid w:val="00465DDF"/>
    <w:rsid w:val="004661DB"/>
    <w:rsid w:val="004663C7"/>
    <w:rsid w:val="00466B28"/>
    <w:rsid w:val="00467D5E"/>
    <w:rsid w:val="0047012B"/>
    <w:rsid w:val="004701EC"/>
    <w:rsid w:val="004705A4"/>
    <w:rsid w:val="00470787"/>
    <w:rsid w:val="00470D36"/>
    <w:rsid w:val="00471164"/>
    <w:rsid w:val="00471238"/>
    <w:rsid w:val="0047126F"/>
    <w:rsid w:val="00471AA2"/>
    <w:rsid w:val="00471E18"/>
    <w:rsid w:val="00471F92"/>
    <w:rsid w:val="00471FC6"/>
    <w:rsid w:val="0047228C"/>
    <w:rsid w:val="00472A3C"/>
    <w:rsid w:val="004736FF"/>
    <w:rsid w:val="004743DF"/>
    <w:rsid w:val="00474EE3"/>
    <w:rsid w:val="00474EFE"/>
    <w:rsid w:val="00475A1C"/>
    <w:rsid w:val="0047620F"/>
    <w:rsid w:val="00476508"/>
    <w:rsid w:val="004767BA"/>
    <w:rsid w:val="00476867"/>
    <w:rsid w:val="004779AA"/>
    <w:rsid w:val="00477EFF"/>
    <w:rsid w:val="00477F44"/>
    <w:rsid w:val="00480011"/>
    <w:rsid w:val="00480107"/>
    <w:rsid w:val="004809CB"/>
    <w:rsid w:val="00480BCB"/>
    <w:rsid w:val="004817EB"/>
    <w:rsid w:val="00481A59"/>
    <w:rsid w:val="00481A8A"/>
    <w:rsid w:val="00481D3C"/>
    <w:rsid w:val="00482259"/>
    <w:rsid w:val="00482559"/>
    <w:rsid w:val="0048280E"/>
    <w:rsid w:val="00482C33"/>
    <w:rsid w:val="004830BE"/>
    <w:rsid w:val="004832D9"/>
    <w:rsid w:val="004833CE"/>
    <w:rsid w:val="004836A0"/>
    <w:rsid w:val="00483D0D"/>
    <w:rsid w:val="004845B2"/>
    <w:rsid w:val="00485309"/>
    <w:rsid w:val="00485787"/>
    <w:rsid w:val="00486172"/>
    <w:rsid w:val="004865D8"/>
    <w:rsid w:val="00487169"/>
    <w:rsid w:val="004873D9"/>
    <w:rsid w:val="004875EB"/>
    <w:rsid w:val="0048772B"/>
    <w:rsid w:val="00487BF2"/>
    <w:rsid w:val="0049015A"/>
    <w:rsid w:val="004902C9"/>
    <w:rsid w:val="0049094B"/>
    <w:rsid w:val="00490E40"/>
    <w:rsid w:val="00491199"/>
    <w:rsid w:val="004919A3"/>
    <w:rsid w:val="00491D1E"/>
    <w:rsid w:val="00492A59"/>
    <w:rsid w:val="00492D47"/>
    <w:rsid w:val="004930AA"/>
    <w:rsid w:val="004939B6"/>
    <w:rsid w:val="00493AE1"/>
    <w:rsid w:val="00493CBE"/>
    <w:rsid w:val="004945A4"/>
    <w:rsid w:val="00494B5A"/>
    <w:rsid w:val="00494C49"/>
    <w:rsid w:val="00495214"/>
    <w:rsid w:val="004955D7"/>
    <w:rsid w:val="0049574B"/>
    <w:rsid w:val="004964BE"/>
    <w:rsid w:val="004965B9"/>
    <w:rsid w:val="00497103"/>
    <w:rsid w:val="00497117"/>
    <w:rsid w:val="004975F0"/>
    <w:rsid w:val="004976B0"/>
    <w:rsid w:val="00497953"/>
    <w:rsid w:val="00497FC7"/>
    <w:rsid w:val="00497FC9"/>
    <w:rsid w:val="004A0385"/>
    <w:rsid w:val="004A07F3"/>
    <w:rsid w:val="004A0E02"/>
    <w:rsid w:val="004A0E75"/>
    <w:rsid w:val="004A144B"/>
    <w:rsid w:val="004A1FF4"/>
    <w:rsid w:val="004A30DB"/>
    <w:rsid w:val="004A3415"/>
    <w:rsid w:val="004A3987"/>
    <w:rsid w:val="004A3A1C"/>
    <w:rsid w:val="004A5AE0"/>
    <w:rsid w:val="004A5D89"/>
    <w:rsid w:val="004A5F0F"/>
    <w:rsid w:val="004A5FCA"/>
    <w:rsid w:val="004A5FFC"/>
    <w:rsid w:val="004A68B3"/>
    <w:rsid w:val="004A6B9E"/>
    <w:rsid w:val="004A6C9C"/>
    <w:rsid w:val="004A6CC0"/>
    <w:rsid w:val="004A6FE6"/>
    <w:rsid w:val="004A7203"/>
    <w:rsid w:val="004A77C4"/>
    <w:rsid w:val="004A7ABE"/>
    <w:rsid w:val="004A7F65"/>
    <w:rsid w:val="004B09A3"/>
    <w:rsid w:val="004B117A"/>
    <w:rsid w:val="004B18AE"/>
    <w:rsid w:val="004B1924"/>
    <w:rsid w:val="004B21B0"/>
    <w:rsid w:val="004B2564"/>
    <w:rsid w:val="004B2751"/>
    <w:rsid w:val="004B2D77"/>
    <w:rsid w:val="004B2F85"/>
    <w:rsid w:val="004B3850"/>
    <w:rsid w:val="004B42DF"/>
    <w:rsid w:val="004B4756"/>
    <w:rsid w:val="004B51A8"/>
    <w:rsid w:val="004B5F7A"/>
    <w:rsid w:val="004B6164"/>
    <w:rsid w:val="004B63AE"/>
    <w:rsid w:val="004B7C1A"/>
    <w:rsid w:val="004C056A"/>
    <w:rsid w:val="004C0E69"/>
    <w:rsid w:val="004C0FFF"/>
    <w:rsid w:val="004C159A"/>
    <w:rsid w:val="004C1639"/>
    <w:rsid w:val="004C1653"/>
    <w:rsid w:val="004C1BDC"/>
    <w:rsid w:val="004C209B"/>
    <w:rsid w:val="004C2149"/>
    <w:rsid w:val="004C2531"/>
    <w:rsid w:val="004C2B02"/>
    <w:rsid w:val="004C3342"/>
    <w:rsid w:val="004C4396"/>
    <w:rsid w:val="004C4F65"/>
    <w:rsid w:val="004C58B1"/>
    <w:rsid w:val="004C6628"/>
    <w:rsid w:val="004C7A8F"/>
    <w:rsid w:val="004C7D9F"/>
    <w:rsid w:val="004D0947"/>
    <w:rsid w:val="004D102C"/>
    <w:rsid w:val="004D16BE"/>
    <w:rsid w:val="004D1983"/>
    <w:rsid w:val="004D1BC8"/>
    <w:rsid w:val="004D1D1F"/>
    <w:rsid w:val="004D2576"/>
    <w:rsid w:val="004D2869"/>
    <w:rsid w:val="004D2D0A"/>
    <w:rsid w:val="004D3387"/>
    <w:rsid w:val="004D38B0"/>
    <w:rsid w:val="004D3AAD"/>
    <w:rsid w:val="004D47C8"/>
    <w:rsid w:val="004D4C8A"/>
    <w:rsid w:val="004D55AB"/>
    <w:rsid w:val="004D562B"/>
    <w:rsid w:val="004D581B"/>
    <w:rsid w:val="004D5AD1"/>
    <w:rsid w:val="004D708B"/>
    <w:rsid w:val="004D7A95"/>
    <w:rsid w:val="004D7ABD"/>
    <w:rsid w:val="004D7BF2"/>
    <w:rsid w:val="004E0BE3"/>
    <w:rsid w:val="004E0D0D"/>
    <w:rsid w:val="004E0E03"/>
    <w:rsid w:val="004E0F37"/>
    <w:rsid w:val="004E13FA"/>
    <w:rsid w:val="004E1450"/>
    <w:rsid w:val="004E1AA9"/>
    <w:rsid w:val="004E1D0E"/>
    <w:rsid w:val="004E1DB7"/>
    <w:rsid w:val="004E1FE7"/>
    <w:rsid w:val="004E221D"/>
    <w:rsid w:val="004E229B"/>
    <w:rsid w:val="004E2601"/>
    <w:rsid w:val="004E2A31"/>
    <w:rsid w:val="004E3112"/>
    <w:rsid w:val="004E3B2D"/>
    <w:rsid w:val="004E3F72"/>
    <w:rsid w:val="004E46AF"/>
    <w:rsid w:val="004E51B2"/>
    <w:rsid w:val="004E5265"/>
    <w:rsid w:val="004E52EE"/>
    <w:rsid w:val="004E6717"/>
    <w:rsid w:val="004E68C3"/>
    <w:rsid w:val="004E6D72"/>
    <w:rsid w:val="004E7219"/>
    <w:rsid w:val="004E7332"/>
    <w:rsid w:val="004E776C"/>
    <w:rsid w:val="004E7906"/>
    <w:rsid w:val="004E7F0D"/>
    <w:rsid w:val="004F01B0"/>
    <w:rsid w:val="004F05C6"/>
    <w:rsid w:val="004F1244"/>
    <w:rsid w:val="004F19E2"/>
    <w:rsid w:val="004F1D1F"/>
    <w:rsid w:val="004F24FD"/>
    <w:rsid w:val="004F2E45"/>
    <w:rsid w:val="004F30E8"/>
    <w:rsid w:val="004F416A"/>
    <w:rsid w:val="004F431D"/>
    <w:rsid w:val="004F43AB"/>
    <w:rsid w:val="004F4C67"/>
    <w:rsid w:val="004F4F1F"/>
    <w:rsid w:val="004F4F7A"/>
    <w:rsid w:val="004F4F85"/>
    <w:rsid w:val="004F539A"/>
    <w:rsid w:val="004F5524"/>
    <w:rsid w:val="004F5B56"/>
    <w:rsid w:val="004F679D"/>
    <w:rsid w:val="004F717A"/>
    <w:rsid w:val="004F7AE0"/>
    <w:rsid w:val="0050010C"/>
    <w:rsid w:val="005001D1"/>
    <w:rsid w:val="005001D8"/>
    <w:rsid w:val="005002E1"/>
    <w:rsid w:val="005006C5"/>
    <w:rsid w:val="005011A2"/>
    <w:rsid w:val="00501372"/>
    <w:rsid w:val="00501B1E"/>
    <w:rsid w:val="00501D89"/>
    <w:rsid w:val="0050204B"/>
    <w:rsid w:val="00502507"/>
    <w:rsid w:val="00502920"/>
    <w:rsid w:val="00502A0F"/>
    <w:rsid w:val="00502FAD"/>
    <w:rsid w:val="00502FD7"/>
    <w:rsid w:val="00503072"/>
    <w:rsid w:val="0050313A"/>
    <w:rsid w:val="005031BB"/>
    <w:rsid w:val="005032B7"/>
    <w:rsid w:val="00503380"/>
    <w:rsid w:val="00503B67"/>
    <w:rsid w:val="00503E67"/>
    <w:rsid w:val="00503F81"/>
    <w:rsid w:val="005048AA"/>
    <w:rsid w:val="005048E9"/>
    <w:rsid w:val="00504A34"/>
    <w:rsid w:val="00505366"/>
    <w:rsid w:val="0050537A"/>
    <w:rsid w:val="005059D6"/>
    <w:rsid w:val="00506F7F"/>
    <w:rsid w:val="0051015F"/>
    <w:rsid w:val="00510184"/>
    <w:rsid w:val="0051084F"/>
    <w:rsid w:val="00510973"/>
    <w:rsid w:val="00510A6C"/>
    <w:rsid w:val="00510D89"/>
    <w:rsid w:val="00510E4A"/>
    <w:rsid w:val="00511F6D"/>
    <w:rsid w:val="005130A4"/>
    <w:rsid w:val="0051326F"/>
    <w:rsid w:val="00513BCD"/>
    <w:rsid w:val="00513CBD"/>
    <w:rsid w:val="00513F33"/>
    <w:rsid w:val="005147FC"/>
    <w:rsid w:val="00514DD2"/>
    <w:rsid w:val="00514E1F"/>
    <w:rsid w:val="0051501C"/>
    <w:rsid w:val="00515606"/>
    <w:rsid w:val="005158BE"/>
    <w:rsid w:val="00515C82"/>
    <w:rsid w:val="00516835"/>
    <w:rsid w:val="00516FB8"/>
    <w:rsid w:val="00517613"/>
    <w:rsid w:val="00517AA9"/>
    <w:rsid w:val="00520017"/>
    <w:rsid w:val="0052031E"/>
    <w:rsid w:val="005204F9"/>
    <w:rsid w:val="00520B9E"/>
    <w:rsid w:val="00520C3B"/>
    <w:rsid w:val="00520C4B"/>
    <w:rsid w:val="0052156D"/>
    <w:rsid w:val="00521A4E"/>
    <w:rsid w:val="00522475"/>
    <w:rsid w:val="00522597"/>
    <w:rsid w:val="005227A0"/>
    <w:rsid w:val="0052289F"/>
    <w:rsid w:val="00522BEF"/>
    <w:rsid w:val="00522FC1"/>
    <w:rsid w:val="005232B5"/>
    <w:rsid w:val="005239EA"/>
    <w:rsid w:val="00523C70"/>
    <w:rsid w:val="00524289"/>
    <w:rsid w:val="00524F47"/>
    <w:rsid w:val="005250BC"/>
    <w:rsid w:val="00525145"/>
    <w:rsid w:val="005254F8"/>
    <w:rsid w:val="005259CE"/>
    <w:rsid w:val="00526053"/>
    <w:rsid w:val="005265D4"/>
    <w:rsid w:val="00526812"/>
    <w:rsid w:val="0052721A"/>
    <w:rsid w:val="00527B92"/>
    <w:rsid w:val="00527F31"/>
    <w:rsid w:val="00530147"/>
    <w:rsid w:val="0053022D"/>
    <w:rsid w:val="005308B4"/>
    <w:rsid w:val="005315AB"/>
    <w:rsid w:val="00532196"/>
    <w:rsid w:val="005324E4"/>
    <w:rsid w:val="005325F3"/>
    <w:rsid w:val="005326D9"/>
    <w:rsid w:val="00533572"/>
    <w:rsid w:val="00534021"/>
    <w:rsid w:val="00534126"/>
    <w:rsid w:val="005342AA"/>
    <w:rsid w:val="00534623"/>
    <w:rsid w:val="0053467B"/>
    <w:rsid w:val="005346A1"/>
    <w:rsid w:val="00534EB1"/>
    <w:rsid w:val="005352B7"/>
    <w:rsid w:val="00535691"/>
    <w:rsid w:val="00535CC6"/>
    <w:rsid w:val="00535D72"/>
    <w:rsid w:val="00536216"/>
    <w:rsid w:val="005369F8"/>
    <w:rsid w:val="00536D35"/>
    <w:rsid w:val="005373BF"/>
    <w:rsid w:val="005379CF"/>
    <w:rsid w:val="00537D3D"/>
    <w:rsid w:val="00537EE4"/>
    <w:rsid w:val="0054001C"/>
    <w:rsid w:val="005402FF"/>
    <w:rsid w:val="00540551"/>
    <w:rsid w:val="005408D0"/>
    <w:rsid w:val="00540A49"/>
    <w:rsid w:val="00540FF0"/>
    <w:rsid w:val="00541177"/>
    <w:rsid w:val="005413A3"/>
    <w:rsid w:val="00541A40"/>
    <w:rsid w:val="005421BE"/>
    <w:rsid w:val="00542B9E"/>
    <w:rsid w:val="00542C8D"/>
    <w:rsid w:val="00542CDA"/>
    <w:rsid w:val="00542EA3"/>
    <w:rsid w:val="0054365A"/>
    <w:rsid w:val="00543699"/>
    <w:rsid w:val="00543A22"/>
    <w:rsid w:val="00543F8A"/>
    <w:rsid w:val="0054509A"/>
    <w:rsid w:val="00545927"/>
    <w:rsid w:val="00546559"/>
    <w:rsid w:val="005474F6"/>
    <w:rsid w:val="00547C0F"/>
    <w:rsid w:val="005500D2"/>
    <w:rsid w:val="00550BA0"/>
    <w:rsid w:val="00550E94"/>
    <w:rsid w:val="00551B42"/>
    <w:rsid w:val="00551DB7"/>
    <w:rsid w:val="005529ED"/>
    <w:rsid w:val="00553469"/>
    <w:rsid w:val="00553B82"/>
    <w:rsid w:val="00554AAD"/>
    <w:rsid w:val="0055522D"/>
    <w:rsid w:val="005554C5"/>
    <w:rsid w:val="005556CA"/>
    <w:rsid w:val="005559D1"/>
    <w:rsid w:val="00555CE4"/>
    <w:rsid w:val="00555D63"/>
    <w:rsid w:val="00556192"/>
    <w:rsid w:val="005565B2"/>
    <w:rsid w:val="00556B7C"/>
    <w:rsid w:val="00556E6F"/>
    <w:rsid w:val="00556F6F"/>
    <w:rsid w:val="00557296"/>
    <w:rsid w:val="00557A6C"/>
    <w:rsid w:val="005608B2"/>
    <w:rsid w:val="0056099A"/>
    <w:rsid w:val="00560A43"/>
    <w:rsid w:val="00560B56"/>
    <w:rsid w:val="00561000"/>
    <w:rsid w:val="00561471"/>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75E"/>
    <w:rsid w:val="00571D67"/>
    <w:rsid w:val="00572DD3"/>
    <w:rsid w:val="00572E2F"/>
    <w:rsid w:val="00572E40"/>
    <w:rsid w:val="00573801"/>
    <w:rsid w:val="00574579"/>
    <w:rsid w:val="00574593"/>
    <w:rsid w:val="00574757"/>
    <w:rsid w:val="0057527E"/>
    <w:rsid w:val="00575403"/>
    <w:rsid w:val="00575554"/>
    <w:rsid w:val="00575A1D"/>
    <w:rsid w:val="00575A7F"/>
    <w:rsid w:val="005764A9"/>
    <w:rsid w:val="00576529"/>
    <w:rsid w:val="00576867"/>
    <w:rsid w:val="00576CCF"/>
    <w:rsid w:val="00576D2C"/>
    <w:rsid w:val="00576DFD"/>
    <w:rsid w:val="00576EFD"/>
    <w:rsid w:val="005771E2"/>
    <w:rsid w:val="00577BC4"/>
    <w:rsid w:val="00577C64"/>
    <w:rsid w:val="00580508"/>
    <w:rsid w:val="005806F9"/>
    <w:rsid w:val="00580C5C"/>
    <w:rsid w:val="00580DA8"/>
    <w:rsid w:val="00580F79"/>
    <w:rsid w:val="0058142E"/>
    <w:rsid w:val="00581795"/>
    <w:rsid w:val="00583B95"/>
    <w:rsid w:val="00583E34"/>
    <w:rsid w:val="00584FA4"/>
    <w:rsid w:val="005850FD"/>
    <w:rsid w:val="0058597D"/>
    <w:rsid w:val="00585BB5"/>
    <w:rsid w:val="00585F34"/>
    <w:rsid w:val="00586891"/>
    <w:rsid w:val="00586E4B"/>
    <w:rsid w:val="00587BE9"/>
    <w:rsid w:val="00587DC2"/>
    <w:rsid w:val="00590164"/>
    <w:rsid w:val="005906E5"/>
    <w:rsid w:val="00590AE1"/>
    <w:rsid w:val="00590EBE"/>
    <w:rsid w:val="00590F6B"/>
    <w:rsid w:val="0059185F"/>
    <w:rsid w:val="00591D34"/>
    <w:rsid w:val="00591F15"/>
    <w:rsid w:val="00592ABD"/>
    <w:rsid w:val="00592EAA"/>
    <w:rsid w:val="00592EBE"/>
    <w:rsid w:val="00593050"/>
    <w:rsid w:val="00593685"/>
    <w:rsid w:val="0059372F"/>
    <w:rsid w:val="0059393A"/>
    <w:rsid w:val="0059466A"/>
    <w:rsid w:val="00594734"/>
    <w:rsid w:val="005947CE"/>
    <w:rsid w:val="005950C8"/>
    <w:rsid w:val="0059531A"/>
    <w:rsid w:val="0059595B"/>
    <w:rsid w:val="00595A3D"/>
    <w:rsid w:val="00595D44"/>
    <w:rsid w:val="0059614A"/>
    <w:rsid w:val="005963B4"/>
    <w:rsid w:val="005977BF"/>
    <w:rsid w:val="0059796B"/>
    <w:rsid w:val="005A021D"/>
    <w:rsid w:val="005A0CEA"/>
    <w:rsid w:val="005A0D8C"/>
    <w:rsid w:val="005A1450"/>
    <w:rsid w:val="005A1852"/>
    <w:rsid w:val="005A190A"/>
    <w:rsid w:val="005A1A1B"/>
    <w:rsid w:val="005A20C9"/>
    <w:rsid w:val="005A2216"/>
    <w:rsid w:val="005A243D"/>
    <w:rsid w:val="005A24B5"/>
    <w:rsid w:val="005A2CFC"/>
    <w:rsid w:val="005A2F84"/>
    <w:rsid w:val="005A3347"/>
    <w:rsid w:val="005A35D0"/>
    <w:rsid w:val="005A40BA"/>
    <w:rsid w:val="005A504A"/>
    <w:rsid w:val="005A57D6"/>
    <w:rsid w:val="005A5A70"/>
    <w:rsid w:val="005A7389"/>
    <w:rsid w:val="005A78EE"/>
    <w:rsid w:val="005A7CA2"/>
    <w:rsid w:val="005A7DBA"/>
    <w:rsid w:val="005B02F2"/>
    <w:rsid w:val="005B095F"/>
    <w:rsid w:val="005B1071"/>
    <w:rsid w:val="005B1790"/>
    <w:rsid w:val="005B1F44"/>
    <w:rsid w:val="005B20D0"/>
    <w:rsid w:val="005B2AC2"/>
    <w:rsid w:val="005B3945"/>
    <w:rsid w:val="005B4811"/>
    <w:rsid w:val="005B4C75"/>
    <w:rsid w:val="005B529D"/>
    <w:rsid w:val="005B53E0"/>
    <w:rsid w:val="005B554D"/>
    <w:rsid w:val="005B5853"/>
    <w:rsid w:val="005B5E6C"/>
    <w:rsid w:val="005B63E4"/>
    <w:rsid w:val="005B6AB5"/>
    <w:rsid w:val="005B6CCC"/>
    <w:rsid w:val="005B71CE"/>
    <w:rsid w:val="005B74FB"/>
    <w:rsid w:val="005B757C"/>
    <w:rsid w:val="005B78A1"/>
    <w:rsid w:val="005C02D4"/>
    <w:rsid w:val="005C05FF"/>
    <w:rsid w:val="005C132E"/>
    <w:rsid w:val="005C14A0"/>
    <w:rsid w:val="005C198B"/>
    <w:rsid w:val="005C1CBD"/>
    <w:rsid w:val="005C23D7"/>
    <w:rsid w:val="005C26CE"/>
    <w:rsid w:val="005C2859"/>
    <w:rsid w:val="005C287F"/>
    <w:rsid w:val="005C2947"/>
    <w:rsid w:val="005C2D2D"/>
    <w:rsid w:val="005C438E"/>
    <w:rsid w:val="005C43F3"/>
    <w:rsid w:val="005C4B3B"/>
    <w:rsid w:val="005C52D5"/>
    <w:rsid w:val="005C552D"/>
    <w:rsid w:val="005C55B2"/>
    <w:rsid w:val="005C5648"/>
    <w:rsid w:val="005C5C16"/>
    <w:rsid w:val="005C608E"/>
    <w:rsid w:val="005C62D9"/>
    <w:rsid w:val="005C6E27"/>
    <w:rsid w:val="005C6EAD"/>
    <w:rsid w:val="005C7994"/>
    <w:rsid w:val="005C7CF3"/>
    <w:rsid w:val="005D00DB"/>
    <w:rsid w:val="005D07D2"/>
    <w:rsid w:val="005D0F46"/>
    <w:rsid w:val="005D14F8"/>
    <w:rsid w:val="005D1BB8"/>
    <w:rsid w:val="005D1FBA"/>
    <w:rsid w:val="005D24A9"/>
    <w:rsid w:val="005D25B7"/>
    <w:rsid w:val="005D293C"/>
    <w:rsid w:val="005D30B8"/>
    <w:rsid w:val="005D3986"/>
    <w:rsid w:val="005D3ED4"/>
    <w:rsid w:val="005D48FE"/>
    <w:rsid w:val="005D4DA2"/>
    <w:rsid w:val="005D5880"/>
    <w:rsid w:val="005D5DA2"/>
    <w:rsid w:val="005D5EAC"/>
    <w:rsid w:val="005D601C"/>
    <w:rsid w:val="005D66B0"/>
    <w:rsid w:val="005D6BA1"/>
    <w:rsid w:val="005D6C63"/>
    <w:rsid w:val="005D6E99"/>
    <w:rsid w:val="005D7598"/>
    <w:rsid w:val="005D7A1F"/>
    <w:rsid w:val="005E009F"/>
    <w:rsid w:val="005E0C21"/>
    <w:rsid w:val="005E143B"/>
    <w:rsid w:val="005E1528"/>
    <w:rsid w:val="005E2189"/>
    <w:rsid w:val="005E25F7"/>
    <w:rsid w:val="005E2A5A"/>
    <w:rsid w:val="005E2C15"/>
    <w:rsid w:val="005E2CBB"/>
    <w:rsid w:val="005E3B69"/>
    <w:rsid w:val="005E3DDA"/>
    <w:rsid w:val="005E4642"/>
    <w:rsid w:val="005E46DC"/>
    <w:rsid w:val="005E4A51"/>
    <w:rsid w:val="005E4C95"/>
    <w:rsid w:val="005E58A5"/>
    <w:rsid w:val="005E5E61"/>
    <w:rsid w:val="005E7491"/>
    <w:rsid w:val="005E78E7"/>
    <w:rsid w:val="005E79E8"/>
    <w:rsid w:val="005E7D9E"/>
    <w:rsid w:val="005F00DC"/>
    <w:rsid w:val="005F01BE"/>
    <w:rsid w:val="005F0224"/>
    <w:rsid w:val="005F038B"/>
    <w:rsid w:val="005F0908"/>
    <w:rsid w:val="005F0B3C"/>
    <w:rsid w:val="005F0E3E"/>
    <w:rsid w:val="005F14B1"/>
    <w:rsid w:val="005F16C0"/>
    <w:rsid w:val="005F1D95"/>
    <w:rsid w:val="005F1FA4"/>
    <w:rsid w:val="005F2122"/>
    <w:rsid w:val="005F2129"/>
    <w:rsid w:val="005F22F1"/>
    <w:rsid w:val="005F2430"/>
    <w:rsid w:val="005F27EF"/>
    <w:rsid w:val="005F30B1"/>
    <w:rsid w:val="005F3434"/>
    <w:rsid w:val="005F3AEF"/>
    <w:rsid w:val="005F3C03"/>
    <w:rsid w:val="005F4418"/>
    <w:rsid w:val="005F492A"/>
    <w:rsid w:val="005F49D2"/>
    <w:rsid w:val="005F4CED"/>
    <w:rsid w:val="005F5352"/>
    <w:rsid w:val="005F5527"/>
    <w:rsid w:val="005F6B5C"/>
    <w:rsid w:val="005F6D08"/>
    <w:rsid w:val="005F6F91"/>
    <w:rsid w:val="005F7321"/>
    <w:rsid w:val="005F7CC7"/>
    <w:rsid w:val="00600F74"/>
    <w:rsid w:val="00601269"/>
    <w:rsid w:val="00601462"/>
    <w:rsid w:val="00601C2F"/>
    <w:rsid w:val="00602BBC"/>
    <w:rsid w:val="00603ABE"/>
    <w:rsid w:val="00603F19"/>
    <w:rsid w:val="00604D69"/>
    <w:rsid w:val="006052E4"/>
    <w:rsid w:val="00605442"/>
    <w:rsid w:val="0060683C"/>
    <w:rsid w:val="00607532"/>
    <w:rsid w:val="00607C9B"/>
    <w:rsid w:val="00610319"/>
    <w:rsid w:val="006104FE"/>
    <w:rsid w:val="006105C2"/>
    <w:rsid w:val="00610930"/>
    <w:rsid w:val="00610B37"/>
    <w:rsid w:val="006111D5"/>
    <w:rsid w:val="00611216"/>
    <w:rsid w:val="006125B0"/>
    <w:rsid w:val="00612C20"/>
    <w:rsid w:val="00612E1B"/>
    <w:rsid w:val="00612E61"/>
    <w:rsid w:val="00612FC6"/>
    <w:rsid w:val="006139F2"/>
    <w:rsid w:val="00613D01"/>
    <w:rsid w:val="00613D28"/>
    <w:rsid w:val="0061404F"/>
    <w:rsid w:val="0061424C"/>
    <w:rsid w:val="00614C2B"/>
    <w:rsid w:val="00614C2C"/>
    <w:rsid w:val="00614E96"/>
    <w:rsid w:val="00614EA9"/>
    <w:rsid w:val="00615072"/>
    <w:rsid w:val="00615EA0"/>
    <w:rsid w:val="00615F30"/>
    <w:rsid w:val="00616E27"/>
    <w:rsid w:val="00617088"/>
    <w:rsid w:val="00617831"/>
    <w:rsid w:val="0062007E"/>
    <w:rsid w:val="00620205"/>
    <w:rsid w:val="006202CC"/>
    <w:rsid w:val="00620470"/>
    <w:rsid w:val="00620736"/>
    <w:rsid w:val="006212E4"/>
    <w:rsid w:val="00621649"/>
    <w:rsid w:val="0062166D"/>
    <w:rsid w:val="00621EF4"/>
    <w:rsid w:val="00622128"/>
    <w:rsid w:val="006229D3"/>
    <w:rsid w:val="00622C72"/>
    <w:rsid w:val="006241BE"/>
    <w:rsid w:val="0062441C"/>
    <w:rsid w:val="00624F8C"/>
    <w:rsid w:val="00625009"/>
    <w:rsid w:val="00625759"/>
    <w:rsid w:val="006259EF"/>
    <w:rsid w:val="00625B32"/>
    <w:rsid w:val="00625B8F"/>
    <w:rsid w:val="006261EC"/>
    <w:rsid w:val="006278CC"/>
    <w:rsid w:val="00630332"/>
    <w:rsid w:val="00630F2B"/>
    <w:rsid w:val="00631405"/>
    <w:rsid w:val="006315AC"/>
    <w:rsid w:val="0063189C"/>
    <w:rsid w:val="00632403"/>
    <w:rsid w:val="00632878"/>
    <w:rsid w:val="006328D1"/>
    <w:rsid w:val="00632C05"/>
    <w:rsid w:val="00633595"/>
    <w:rsid w:val="00634521"/>
    <w:rsid w:val="0063468C"/>
    <w:rsid w:val="00634DAD"/>
    <w:rsid w:val="006356A3"/>
    <w:rsid w:val="006356C7"/>
    <w:rsid w:val="006358A5"/>
    <w:rsid w:val="006358DD"/>
    <w:rsid w:val="006359D0"/>
    <w:rsid w:val="00635B2E"/>
    <w:rsid w:val="006364F7"/>
    <w:rsid w:val="00636C8D"/>
    <w:rsid w:val="00636E7A"/>
    <w:rsid w:val="00636EAC"/>
    <w:rsid w:val="0063728E"/>
    <w:rsid w:val="006372F2"/>
    <w:rsid w:val="0063730B"/>
    <w:rsid w:val="006373B0"/>
    <w:rsid w:val="00637630"/>
    <w:rsid w:val="00637810"/>
    <w:rsid w:val="00637918"/>
    <w:rsid w:val="0063799F"/>
    <w:rsid w:val="006379EE"/>
    <w:rsid w:val="00637E30"/>
    <w:rsid w:val="00637E67"/>
    <w:rsid w:val="00640147"/>
    <w:rsid w:val="00640391"/>
    <w:rsid w:val="0064090C"/>
    <w:rsid w:val="00640A83"/>
    <w:rsid w:val="00640D00"/>
    <w:rsid w:val="00642D42"/>
    <w:rsid w:val="00642E0E"/>
    <w:rsid w:val="00643044"/>
    <w:rsid w:val="006430ED"/>
    <w:rsid w:val="006432EA"/>
    <w:rsid w:val="006434BE"/>
    <w:rsid w:val="00643B35"/>
    <w:rsid w:val="00644879"/>
    <w:rsid w:val="00644C6D"/>
    <w:rsid w:val="00644F86"/>
    <w:rsid w:val="0064527F"/>
    <w:rsid w:val="006454AC"/>
    <w:rsid w:val="006457EB"/>
    <w:rsid w:val="00645A81"/>
    <w:rsid w:val="00646222"/>
    <w:rsid w:val="0064663D"/>
    <w:rsid w:val="00646944"/>
    <w:rsid w:val="00646CA0"/>
    <w:rsid w:val="00650191"/>
    <w:rsid w:val="00650351"/>
    <w:rsid w:val="006505DC"/>
    <w:rsid w:val="006509BB"/>
    <w:rsid w:val="00650BE0"/>
    <w:rsid w:val="00651032"/>
    <w:rsid w:val="00651361"/>
    <w:rsid w:val="006514C8"/>
    <w:rsid w:val="00651605"/>
    <w:rsid w:val="006516A6"/>
    <w:rsid w:val="00651A21"/>
    <w:rsid w:val="00651FD1"/>
    <w:rsid w:val="006531CB"/>
    <w:rsid w:val="00653453"/>
    <w:rsid w:val="00653E4D"/>
    <w:rsid w:val="00653F03"/>
    <w:rsid w:val="00654171"/>
    <w:rsid w:val="006541A6"/>
    <w:rsid w:val="00654347"/>
    <w:rsid w:val="006546E0"/>
    <w:rsid w:val="00654926"/>
    <w:rsid w:val="00654C6A"/>
    <w:rsid w:val="00655356"/>
    <w:rsid w:val="00655B41"/>
    <w:rsid w:val="00655C4D"/>
    <w:rsid w:val="00655C84"/>
    <w:rsid w:val="00656821"/>
    <w:rsid w:val="006569B1"/>
    <w:rsid w:val="006572F6"/>
    <w:rsid w:val="00657379"/>
    <w:rsid w:val="006576D8"/>
    <w:rsid w:val="00657A85"/>
    <w:rsid w:val="00657BBC"/>
    <w:rsid w:val="006600F5"/>
    <w:rsid w:val="0066027D"/>
    <w:rsid w:val="00660609"/>
    <w:rsid w:val="006609B1"/>
    <w:rsid w:val="00661109"/>
    <w:rsid w:val="00661D76"/>
    <w:rsid w:val="00661E8F"/>
    <w:rsid w:val="00662044"/>
    <w:rsid w:val="006623BF"/>
    <w:rsid w:val="006624F0"/>
    <w:rsid w:val="0066294A"/>
    <w:rsid w:val="0066318C"/>
    <w:rsid w:val="006637B9"/>
    <w:rsid w:val="00663AAC"/>
    <w:rsid w:val="00664533"/>
    <w:rsid w:val="0066498E"/>
    <w:rsid w:val="00664A6F"/>
    <w:rsid w:val="00664E9E"/>
    <w:rsid w:val="006653D3"/>
    <w:rsid w:val="006659DD"/>
    <w:rsid w:val="00665B84"/>
    <w:rsid w:val="006661AD"/>
    <w:rsid w:val="006662AD"/>
    <w:rsid w:val="006668CA"/>
    <w:rsid w:val="00666E99"/>
    <w:rsid w:val="006673DD"/>
    <w:rsid w:val="0066760C"/>
    <w:rsid w:val="00667834"/>
    <w:rsid w:val="00667ABB"/>
    <w:rsid w:val="006702ED"/>
    <w:rsid w:val="006708C9"/>
    <w:rsid w:val="00670B88"/>
    <w:rsid w:val="00670E84"/>
    <w:rsid w:val="006713F7"/>
    <w:rsid w:val="00671A22"/>
    <w:rsid w:val="0067240D"/>
    <w:rsid w:val="006726E0"/>
    <w:rsid w:val="006726E2"/>
    <w:rsid w:val="00672DBF"/>
    <w:rsid w:val="006742C5"/>
    <w:rsid w:val="00674A96"/>
    <w:rsid w:val="00674D18"/>
    <w:rsid w:val="006750F1"/>
    <w:rsid w:val="00675A81"/>
    <w:rsid w:val="00676022"/>
    <w:rsid w:val="006760D6"/>
    <w:rsid w:val="0067643D"/>
    <w:rsid w:val="0067675D"/>
    <w:rsid w:val="006774B4"/>
    <w:rsid w:val="00677A1C"/>
    <w:rsid w:val="00677C73"/>
    <w:rsid w:val="00677F7C"/>
    <w:rsid w:val="0068074C"/>
    <w:rsid w:val="006813F0"/>
    <w:rsid w:val="006819D0"/>
    <w:rsid w:val="0068285B"/>
    <w:rsid w:val="00682942"/>
    <w:rsid w:val="00682AE2"/>
    <w:rsid w:val="006834E5"/>
    <w:rsid w:val="00683564"/>
    <w:rsid w:val="006836FF"/>
    <w:rsid w:val="00683815"/>
    <w:rsid w:val="00683A28"/>
    <w:rsid w:val="00683FA5"/>
    <w:rsid w:val="00684959"/>
    <w:rsid w:val="00684DEA"/>
    <w:rsid w:val="006854F2"/>
    <w:rsid w:val="0068565C"/>
    <w:rsid w:val="00685CE0"/>
    <w:rsid w:val="0068620A"/>
    <w:rsid w:val="006862BE"/>
    <w:rsid w:val="00686E12"/>
    <w:rsid w:val="0069093D"/>
    <w:rsid w:val="00690E56"/>
    <w:rsid w:val="00690F46"/>
    <w:rsid w:val="00691B4D"/>
    <w:rsid w:val="0069225F"/>
    <w:rsid w:val="0069249C"/>
    <w:rsid w:val="00692613"/>
    <w:rsid w:val="006927F0"/>
    <w:rsid w:val="00692D60"/>
    <w:rsid w:val="00692E52"/>
    <w:rsid w:val="0069335D"/>
    <w:rsid w:val="00693370"/>
    <w:rsid w:val="00694C3C"/>
    <w:rsid w:val="00695274"/>
    <w:rsid w:val="0069547B"/>
    <w:rsid w:val="00696ADE"/>
    <w:rsid w:val="00697E8B"/>
    <w:rsid w:val="006A040F"/>
    <w:rsid w:val="006A1039"/>
    <w:rsid w:val="006A20D1"/>
    <w:rsid w:val="006A21AF"/>
    <w:rsid w:val="006A2D1D"/>
    <w:rsid w:val="006A49AE"/>
    <w:rsid w:val="006A4C49"/>
    <w:rsid w:val="006A4E1C"/>
    <w:rsid w:val="006A52FF"/>
    <w:rsid w:val="006A5A4C"/>
    <w:rsid w:val="006A6846"/>
    <w:rsid w:val="006A7121"/>
    <w:rsid w:val="006A75AC"/>
    <w:rsid w:val="006A7632"/>
    <w:rsid w:val="006A7897"/>
    <w:rsid w:val="006A7F23"/>
    <w:rsid w:val="006B0178"/>
    <w:rsid w:val="006B056A"/>
    <w:rsid w:val="006B0630"/>
    <w:rsid w:val="006B074C"/>
    <w:rsid w:val="006B0FA2"/>
    <w:rsid w:val="006B1475"/>
    <w:rsid w:val="006B1754"/>
    <w:rsid w:val="006B1A63"/>
    <w:rsid w:val="006B2242"/>
    <w:rsid w:val="006B2A03"/>
    <w:rsid w:val="006B2ABD"/>
    <w:rsid w:val="006B2E94"/>
    <w:rsid w:val="006B33D9"/>
    <w:rsid w:val="006B3858"/>
    <w:rsid w:val="006B3FAB"/>
    <w:rsid w:val="006B424E"/>
    <w:rsid w:val="006B5363"/>
    <w:rsid w:val="006B56D9"/>
    <w:rsid w:val="006B5FBD"/>
    <w:rsid w:val="006B657B"/>
    <w:rsid w:val="006B6AFA"/>
    <w:rsid w:val="006B709C"/>
    <w:rsid w:val="006B7AF5"/>
    <w:rsid w:val="006C0000"/>
    <w:rsid w:val="006C01B3"/>
    <w:rsid w:val="006C0671"/>
    <w:rsid w:val="006C0F3D"/>
    <w:rsid w:val="006C0F58"/>
    <w:rsid w:val="006C150F"/>
    <w:rsid w:val="006C1ABF"/>
    <w:rsid w:val="006C1BD3"/>
    <w:rsid w:val="006C1C44"/>
    <w:rsid w:val="006C1C92"/>
    <w:rsid w:val="006C1D80"/>
    <w:rsid w:val="006C2017"/>
    <w:rsid w:val="006C2C47"/>
    <w:rsid w:val="006C34ED"/>
    <w:rsid w:val="006C3A8A"/>
    <w:rsid w:val="006C3B12"/>
    <w:rsid w:val="006C3D2D"/>
    <w:rsid w:val="006C4023"/>
    <w:rsid w:val="006C4287"/>
    <w:rsid w:val="006C431D"/>
    <w:rsid w:val="006C4D54"/>
    <w:rsid w:val="006C4F59"/>
    <w:rsid w:val="006C51B3"/>
    <w:rsid w:val="006C58DF"/>
    <w:rsid w:val="006C6452"/>
    <w:rsid w:val="006C6CE3"/>
    <w:rsid w:val="006C7199"/>
    <w:rsid w:val="006C7422"/>
    <w:rsid w:val="006D0087"/>
    <w:rsid w:val="006D04D2"/>
    <w:rsid w:val="006D06CC"/>
    <w:rsid w:val="006D167F"/>
    <w:rsid w:val="006D176D"/>
    <w:rsid w:val="006D280F"/>
    <w:rsid w:val="006D2D73"/>
    <w:rsid w:val="006D32A1"/>
    <w:rsid w:val="006D383A"/>
    <w:rsid w:val="006D4161"/>
    <w:rsid w:val="006D4FED"/>
    <w:rsid w:val="006D5C6E"/>
    <w:rsid w:val="006D5CCE"/>
    <w:rsid w:val="006D60EF"/>
    <w:rsid w:val="006D6131"/>
    <w:rsid w:val="006D66B2"/>
    <w:rsid w:val="006D6CC0"/>
    <w:rsid w:val="006D6DC4"/>
    <w:rsid w:val="006D73C8"/>
    <w:rsid w:val="006D76F3"/>
    <w:rsid w:val="006D786C"/>
    <w:rsid w:val="006D795F"/>
    <w:rsid w:val="006D79E4"/>
    <w:rsid w:val="006D7BA7"/>
    <w:rsid w:val="006D7D82"/>
    <w:rsid w:val="006E07AA"/>
    <w:rsid w:val="006E08BF"/>
    <w:rsid w:val="006E123A"/>
    <w:rsid w:val="006E1791"/>
    <w:rsid w:val="006E24C0"/>
    <w:rsid w:val="006E2C4B"/>
    <w:rsid w:val="006E2C56"/>
    <w:rsid w:val="006E36C3"/>
    <w:rsid w:val="006E3C03"/>
    <w:rsid w:val="006E42E4"/>
    <w:rsid w:val="006E4684"/>
    <w:rsid w:val="006E4ABF"/>
    <w:rsid w:val="006E5281"/>
    <w:rsid w:val="006E52CE"/>
    <w:rsid w:val="006E57B4"/>
    <w:rsid w:val="006E585B"/>
    <w:rsid w:val="006E5FB1"/>
    <w:rsid w:val="006E6297"/>
    <w:rsid w:val="006E632D"/>
    <w:rsid w:val="006E6560"/>
    <w:rsid w:val="006E663F"/>
    <w:rsid w:val="006E675E"/>
    <w:rsid w:val="006E67D8"/>
    <w:rsid w:val="006E6CC2"/>
    <w:rsid w:val="006E6E66"/>
    <w:rsid w:val="006E787E"/>
    <w:rsid w:val="006F0215"/>
    <w:rsid w:val="006F0768"/>
    <w:rsid w:val="006F10E1"/>
    <w:rsid w:val="006F11DD"/>
    <w:rsid w:val="006F1422"/>
    <w:rsid w:val="006F161B"/>
    <w:rsid w:val="006F18DE"/>
    <w:rsid w:val="006F19AA"/>
    <w:rsid w:val="006F19AB"/>
    <w:rsid w:val="006F1C6E"/>
    <w:rsid w:val="006F26FB"/>
    <w:rsid w:val="006F281D"/>
    <w:rsid w:val="006F285F"/>
    <w:rsid w:val="006F3142"/>
    <w:rsid w:val="006F347B"/>
    <w:rsid w:val="006F3536"/>
    <w:rsid w:val="006F3A6E"/>
    <w:rsid w:val="006F4275"/>
    <w:rsid w:val="006F4A1E"/>
    <w:rsid w:val="006F713A"/>
    <w:rsid w:val="006F78A5"/>
    <w:rsid w:val="00700615"/>
    <w:rsid w:val="00701259"/>
    <w:rsid w:val="00701441"/>
    <w:rsid w:val="00701DC8"/>
    <w:rsid w:val="00701EDB"/>
    <w:rsid w:val="00701F32"/>
    <w:rsid w:val="007021CD"/>
    <w:rsid w:val="00702A1E"/>
    <w:rsid w:val="00702A70"/>
    <w:rsid w:val="00702E9B"/>
    <w:rsid w:val="0070320C"/>
    <w:rsid w:val="007033B5"/>
    <w:rsid w:val="00703549"/>
    <w:rsid w:val="00704670"/>
    <w:rsid w:val="00704E3E"/>
    <w:rsid w:val="00705DA7"/>
    <w:rsid w:val="00706400"/>
    <w:rsid w:val="00706474"/>
    <w:rsid w:val="007069D0"/>
    <w:rsid w:val="0070704B"/>
    <w:rsid w:val="00710131"/>
    <w:rsid w:val="00710AF8"/>
    <w:rsid w:val="00710BF9"/>
    <w:rsid w:val="00710F65"/>
    <w:rsid w:val="007123F2"/>
    <w:rsid w:val="00712ACD"/>
    <w:rsid w:val="0071327A"/>
    <w:rsid w:val="00713350"/>
    <w:rsid w:val="00713714"/>
    <w:rsid w:val="0071397B"/>
    <w:rsid w:val="007139D1"/>
    <w:rsid w:val="00713E05"/>
    <w:rsid w:val="0071481E"/>
    <w:rsid w:val="007149F9"/>
    <w:rsid w:val="00715002"/>
    <w:rsid w:val="007158E1"/>
    <w:rsid w:val="007163C0"/>
    <w:rsid w:val="00716B1B"/>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5154"/>
    <w:rsid w:val="007255AF"/>
    <w:rsid w:val="007264A6"/>
    <w:rsid w:val="00726680"/>
    <w:rsid w:val="00726C56"/>
    <w:rsid w:val="00727068"/>
    <w:rsid w:val="007270D6"/>
    <w:rsid w:val="007273AA"/>
    <w:rsid w:val="00727786"/>
    <w:rsid w:val="007278B3"/>
    <w:rsid w:val="00727AE5"/>
    <w:rsid w:val="00727E46"/>
    <w:rsid w:val="00730041"/>
    <w:rsid w:val="0073024E"/>
    <w:rsid w:val="00730D60"/>
    <w:rsid w:val="00731EC4"/>
    <w:rsid w:val="00731FA8"/>
    <w:rsid w:val="0073212E"/>
    <w:rsid w:val="00732E66"/>
    <w:rsid w:val="0073326F"/>
    <w:rsid w:val="0073378E"/>
    <w:rsid w:val="00733F2B"/>
    <w:rsid w:val="007343B1"/>
    <w:rsid w:val="00734516"/>
    <w:rsid w:val="00734D2F"/>
    <w:rsid w:val="00735043"/>
    <w:rsid w:val="007356CC"/>
    <w:rsid w:val="00736983"/>
    <w:rsid w:val="00737520"/>
    <w:rsid w:val="0074067F"/>
    <w:rsid w:val="007406F6"/>
    <w:rsid w:val="00740C3E"/>
    <w:rsid w:val="00740E0F"/>
    <w:rsid w:val="00742601"/>
    <w:rsid w:val="00743384"/>
    <w:rsid w:val="007433D0"/>
    <w:rsid w:val="00743463"/>
    <w:rsid w:val="0074450C"/>
    <w:rsid w:val="00744632"/>
    <w:rsid w:val="00744A32"/>
    <w:rsid w:val="00744A94"/>
    <w:rsid w:val="007452B3"/>
    <w:rsid w:val="007467DE"/>
    <w:rsid w:val="0074683C"/>
    <w:rsid w:val="00746F21"/>
    <w:rsid w:val="00746F99"/>
    <w:rsid w:val="00746FD3"/>
    <w:rsid w:val="0074714A"/>
    <w:rsid w:val="007474F0"/>
    <w:rsid w:val="00747AC3"/>
    <w:rsid w:val="00747B67"/>
    <w:rsid w:val="00750052"/>
    <w:rsid w:val="00750D7D"/>
    <w:rsid w:val="00750DEE"/>
    <w:rsid w:val="00750F58"/>
    <w:rsid w:val="00751B35"/>
    <w:rsid w:val="007524DB"/>
    <w:rsid w:val="007526C7"/>
    <w:rsid w:val="00753115"/>
    <w:rsid w:val="007536B9"/>
    <w:rsid w:val="00753941"/>
    <w:rsid w:val="00753A65"/>
    <w:rsid w:val="00753ADE"/>
    <w:rsid w:val="007542AC"/>
    <w:rsid w:val="00754D6C"/>
    <w:rsid w:val="007551D8"/>
    <w:rsid w:val="0075625B"/>
    <w:rsid w:val="00756E3A"/>
    <w:rsid w:val="0075719C"/>
    <w:rsid w:val="007578C1"/>
    <w:rsid w:val="00757B56"/>
    <w:rsid w:val="007604E4"/>
    <w:rsid w:val="00760601"/>
    <w:rsid w:val="007609B5"/>
    <w:rsid w:val="00760B67"/>
    <w:rsid w:val="00760F3C"/>
    <w:rsid w:val="0076115B"/>
    <w:rsid w:val="00761CE2"/>
    <w:rsid w:val="00761E1F"/>
    <w:rsid w:val="00761E43"/>
    <w:rsid w:val="00763CCF"/>
    <w:rsid w:val="00763E35"/>
    <w:rsid w:val="00764C13"/>
    <w:rsid w:val="007657FC"/>
    <w:rsid w:val="00765D28"/>
    <w:rsid w:val="0076677C"/>
    <w:rsid w:val="00766829"/>
    <w:rsid w:val="00766AEC"/>
    <w:rsid w:val="0076737F"/>
    <w:rsid w:val="00767B25"/>
    <w:rsid w:val="007702E5"/>
    <w:rsid w:val="0077170D"/>
    <w:rsid w:val="0077176D"/>
    <w:rsid w:val="00771BEC"/>
    <w:rsid w:val="00771F85"/>
    <w:rsid w:val="00772487"/>
    <w:rsid w:val="00772549"/>
    <w:rsid w:val="00772570"/>
    <w:rsid w:val="00772730"/>
    <w:rsid w:val="00772828"/>
    <w:rsid w:val="0077300F"/>
    <w:rsid w:val="00773308"/>
    <w:rsid w:val="007735FB"/>
    <w:rsid w:val="0077389E"/>
    <w:rsid w:val="00773F61"/>
    <w:rsid w:val="00774E68"/>
    <w:rsid w:val="00774E93"/>
    <w:rsid w:val="0077505C"/>
    <w:rsid w:val="0077594D"/>
    <w:rsid w:val="007761EE"/>
    <w:rsid w:val="007766C6"/>
    <w:rsid w:val="0077697F"/>
    <w:rsid w:val="0077727E"/>
    <w:rsid w:val="007772C8"/>
    <w:rsid w:val="00777388"/>
    <w:rsid w:val="00777BAD"/>
    <w:rsid w:val="00777D52"/>
    <w:rsid w:val="00777DAD"/>
    <w:rsid w:val="00780097"/>
    <w:rsid w:val="0078031D"/>
    <w:rsid w:val="007809A9"/>
    <w:rsid w:val="00780D40"/>
    <w:rsid w:val="00781125"/>
    <w:rsid w:val="00781F3B"/>
    <w:rsid w:val="007824AB"/>
    <w:rsid w:val="00783645"/>
    <w:rsid w:val="00783850"/>
    <w:rsid w:val="00784181"/>
    <w:rsid w:val="00784D2F"/>
    <w:rsid w:val="00784F53"/>
    <w:rsid w:val="00785632"/>
    <w:rsid w:val="00785D0A"/>
    <w:rsid w:val="00786364"/>
    <w:rsid w:val="00787591"/>
    <w:rsid w:val="007877E8"/>
    <w:rsid w:val="0078781C"/>
    <w:rsid w:val="00787AC0"/>
    <w:rsid w:val="00787BF8"/>
    <w:rsid w:val="00787EAD"/>
    <w:rsid w:val="0079068D"/>
    <w:rsid w:val="00790BF1"/>
    <w:rsid w:val="0079128A"/>
    <w:rsid w:val="00791581"/>
    <w:rsid w:val="00792831"/>
    <w:rsid w:val="00792B80"/>
    <w:rsid w:val="007938BB"/>
    <w:rsid w:val="0079415F"/>
    <w:rsid w:val="00794F46"/>
    <w:rsid w:val="00795121"/>
    <w:rsid w:val="00795C02"/>
    <w:rsid w:val="00795E68"/>
    <w:rsid w:val="00795F23"/>
    <w:rsid w:val="00796843"/>
    <w:rsid w:val="0079764A"/>
    <w:rsid w:val="007A0058"/>
    <w:rsid w:val="007A0926"/>
    <w:rsid w:val="007A156F"/>
    <w:rsid w:val="007A1E36"/>
    <w:rsid w:val="007A2FCF"/>
    <w:rsid w:val="007A3DF5"/>
    <w:rsid w:val="007A3F08"/>
    <w:rsid w:val="007A4B4D"/>
    <w:rsid w:val="007A4DFA"/>
    <w:rsid w:val="007A4EBD"/>
    <w:rsid w:val="007A521B"/>
    <w:rsid w:val="007A54C1"/>
    <w:rsid w:val="007A54D9"/>
    <w:rsid w:val="007A582C"/>
    <w:rsid w:val="007A696C"/>
    <w:rsid w:val="007A70F6"/>
    <w:rsid w:val="007A711B"/>
    <w:rsid w:val="007A75A0"/>
    <w:rsid w:val="007A7E74"/>
    <w:rsid w:val="007A7F2A"/>
    <w:rsid w:val="007B0184"/>
    <w:rsid w:val="007B06A5"/>
    <w:rsid w:val="007B0A01"/>
    <w:rsid w:val="007B0C46"/>
    <w:rsid w:val="007B112B"/>
    <w:rsid w:val="007B147A"/>
    <w:rsid w:val="007B1B57"/>
    <w:rsid w:val="007B21F2"/>
    <w:rsid w:val="007B328D"/>
    <w:rsid w:val="007B34D1"/>
    <w:rsid w:val="007B3FAA"/>
    <w:rsid w:val="007B4427"/>
    <w:rsid w:val="007B5433"/>
    <w:rsid w:val="007B566B"/>
    <w:rsid w:val="007B56BC"/>
    <w:rsid w:val="007B571D"/>
    <w:rsid w:val="007B5815"/>
    <w:rsid w:val="007B5B26"/>
    <w:rsid w:val="007B619F"/>
    <w:rsid w:val="007B6592"/>
    <w:rsid w:val="007B687A"/>
    <w:rsid w:val="007B691A"/>
    <w:rsid w:val="007B6942"/>
    <w:rsid w:val="007B6ABB"/>
    <w:rsid w:val="007B6CE2"/>
    <w:rsid w:val="007B6D25"/>
    <w:rsid w:val="007B6FD2"/>
    <w:rsid w:val="007B72DD"/>
    <w:rsid w:val="007B78B6"/>
    <w:rsid w:val="007C00A3"/>
    <w:rsid w:val="007C0288"/>
    <w:rsid w:val="007C02D5"/>
    <w:rsid w:val="007C07C2"/>
    <w:rsid w:val="007C07F6"/>
    <w:rsid w:val="007C0832"/>
    <w:rsid w:val="007C096F"/>
    <w:rsid w:val="007C1372"/>
    <w:rsid w:val="007C17FC"/>
    <w:rsid w:val="007C1C85"/>
    <w:rsid w:val="007C1E66"/>
    <w:rsid w:val="007C1FF6"/>
    <w:rsid w:val="007C2E02"/>
    <w:rsid w:val="007C2F86"/>
    <w:rsid w:val="007C4108"/>
    <w:rsid w:val="007C45FB"/>
    <w:rsid w:val="007C4A9A"/>
    <w:rsid w:val="007C553D"/>
    <w:rsid w:val="007C56CB"/>
    <w:rsid w:val="007C5CAC"/>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2D0"/>
    <w:rsid w:val="007D4382"/>
    <w:rsid w:val="007D4E0A"/>
    <w:rsid w:val="007D56D2"/>
    <w:rsid w:val="007D5787"/>
    <w:rsid w:val="007D5C47"/>
    <w:rsid w:val="007D5C93"/>
    <w:rsid w:val="007D61B8"/>
    <w:rsid w:val="007D6537"/>
    <w:rsid w:val="007D6945"/>
    <w:rsid w:val="007D6C89"/>
    <w:rsid w:val="007D6DE7"/>
    <w:rsid w:val="007D70B5"/>
    <w:rsid w:val="007D7181"/>
    <w:rsid w:val="007D7206"/>
    <w:rsid w:val="007D72D2"/>
    <w:rsid w:val="007D760B"/>
    <w:rsid w:val="007D77AF"/>
    <w:rsid w:val="007D7A6D"/>
    <w:rsid w:val="007D7E03"/>
    <w:rsid w:val="007D7EB3"/>
    <w:rsid w:val="007E01DB"/>
    <w:rsid w:val="007E10DE"/>
    <w:rsid w:val="007E128A"/>
    <w:rsid w:val="007E19A6"/>
    <w:rsid w:val="007E3217"/>
    <w:rsid w:val="007E36FC"/>
    <w:rsid w:val="007E3828"/>
    <w:rsid w:val="007E3B77"/>
    <w:rsid w:val="007E3C92"/>
    <w:rsid w:val="007E405F"/>
    <w:rsid w:val="007E4217"/>
    <w:rsid w:val="007E5629"/>
    <w:rsid w:val="007E5AD7"/>
    <w:rsid w:val="007E68C3"/>
    <w:rsid w:val="007E69A8"/>
    <w:rsid w:val="007E6E5C"/>
    <w:rsid w:val="007E750F"/>
    <w:rsid w:val="007E7CB0"/>
    <w:rsid w:val="007E7D7C"/>
    <w:rsid w:val="007F02E3"/>
    <w:rsid w:val="007F0CD0"/>
    <w:rsid w:val="007F1517"/>
    <w:rsid w:val="007F1621"/>
    <w:rsid w:val="007F16B7"/>
    <w:rsid w:val="007F1D4F"/>
    <w:rsid w:val="007F1E7A"/>
    <w:rsid w:val="007F272A"/>
    <w:rsid w:val="007F2A7E"/>
    <w:rsid w:val="007F34DE"/>
    <w:rsid w:val="007F34EB"/>
    <w:rsid w:val="007F3B2C"/>
    <w:rsid w:val="007F3C16"/>
    <w:rsid w:val="007F42D5"/>
    <w:rsid w:val="007F4A1B"/>
    <w:rsid w:val="007F4AD9"/>
    <w:rsid w:val="007F4C7A"/>
    <w:rsid w:val="007F4E99"/>
    <w:rsid w:val="007F53B3"/>
    <w:rsid w:val="007F572D"/>
    <w:rsid w:val="007F5D02"/>
    <w:rsid w:val="007F6056"/>
    <w:rsid w:val="007F7FF2"/>
    <w:rsid w:val="00800889"/>
    <w:rsid w:val="00800A64"/>
    <w:rsid w:val="00800C46"/>
    <w:rsid w:val="0080175F"/>
    <w:rsid w:val="00801F46"/>
    <w:rsid w:val="00802129"/>
    <w:rsid w:val="008024D4"/>
    <w:rsid w:val="008027B3"/>
    <w:rsid w:val="00802E55"/>
    <w:rsid w:val="00803382"/>
    <w:rsid w:val="00803CE5"/>
    <w:rsid w:val="00804642"/>
    <w:rsid w:val="008050AB"/>
    <w:rsid w:val="008059B4"/>
    <w:rsid w:val="00805B42"/>
    <w:rsid w:val="00805E4B"/>
    <w:rsid w:val="00805F58"/>
    <w:rsid w:val="00805F9E"/>
    <w:rsid w:val="00806C3B"/>
    <w:rsid w:val="00806D63"/>
    <w:rsid w:val="0080727D"/>
    <w:rsid w:val="00807409"/>
    <w:rsid w:val="0080798A"/>
    <w:rsid w:val="00807C14"/>
    <w:rsid w:val="00807FA7"/>
    <w:rsid w:val="008102AD"/>
    <w:rsid w:val="0081167C"/>
    <w:rsid w:val="00811E96"/>
    <w:rsid w:val="00811EF6"/>
    <w:rsid w:val="0081268F"/>
    <w:rsid w:val="0081297F"/>
    <w:rsid w:val="008141D0"/>
    <w:rsid w:val="00814318"/>
    <w:rsid w:val="008148B4"/>
    <w:rsid w:val="0081495F"/>
    <w:rsid w:val="008153A7"/>
    <w:rsid w:val="00815EB6"/>
    <w:rsid w:val="0081653B"/>
    <w:rsid w:val="008166A5"/>
    <w:rsid w:val="008168F8"/>
    <w:rsid w:val="00820133"/>
    <w:rsid w:val="00820393"/>
    <w:rsid w:val="008203CF"/>
    <w:rsid w:val="00820603"/>
    <w:rsid w:val="00820F52"/>
    <w:rsid w:val="00821122"/>
    <w:rsid w:val="0082350D"/>
    <w:rsid w:val="00823C5C"/>
    <w:rsid w:val="00823E80"/>
    <w:rsid w:val="00824505"/>
    <w:rsid w:val="008246BA"/>
    <w:rsid w:val="00824AA0"/>
    <w:rsid w:val="00824B1A"/>
    <w:rsid w:val="008255D0"/>
    <w:rsid w:val="0082565B"/>
    <w:rsid w:val="00825A14"/>
    <w:rsid w:val="00825A1B"/>
    <w:rsid w:val="00825AAA"/>
    <w:rsid w:val="00826222"/>
    <w:rsid w:val="008305B4"/>
    <w:rsid w:val="00830B48"/>
    <w:rsid w:val="0083121F"/>
    <w:rsid w:val="00831AF4"/>
    <w:rsid w:val="00831BC5"/>
    <w:rsid w:val="00831C86"/>
    <w:rsid w:val="00831FC5"/>
    <w:rsid w:val="00831FC6"/>
    <w:rsid w:val="008327D7"/>
    <w:rsid w:val="00832A1F"/>
    <w:rsid w:val="008332F5"/>
    <w:rsid w:val="00833AB7"/>
    <w:rsid w:val="00833E19"/>
    <w:rsid w:val="00834535"/>
    <w:rsid w:val="00834E18"/>
    <w:rsid w:val="00834E9C"/>
    <w:rsid w:val="00835707"/>
    <w:rsid w:val="00835B73"/>
    <w:rsid w:val="00835BF5"/>
    <w:rsid w:val="0083622F"/>
    <w:rsid w:val="00836462"/>
    <w:rsid w:val="008368AA"/>
    <w:rsid w:val="00836A5E"/>
    <w:rsid w:val="00836E6E"/>
    <w:rsid w:val="0083723D"/>
    <w:rsid w:val="00837276"/>
    <w:rsid w:val="008372A9"/>
    <w:rsid w:val="008375AA"/>
    <w:rsid w:val="00837997"/>
    <w:rsid w:val="00837FDB"/>
    <w:rsid w:val="00840057"/>
    <w:rsid w:val="00842138"/>
    <w:rsid w:val="00842561"/>
    <w:rsid w:val="008429C6"/>
    <w:rsid w:val="00842BBF"/>
    <w:rsid w:val="00842F70"/>
    <w:rsid w:val="00843348"/>
    <w:rsid w:val="00843C79"/>
    <w:rsid w:val="00843FE7"/>
    <w:rsid w:val="00844CA1"/>
    <w:rsid w:val="00844E79"/>
    <w:rsid w:val="00845656"/>
    <w:rsid w:val="00845894"/>
    <w:rsid w:val="008459A9"/>
    <w:rsid w:val="00845E79"/>
    <w:rsid w:val="00845E9A"/>
    <w:rsid w:val="0084668B"/>
    <w:rsid w:val="008474A5"/>
    <w:rsid w:val="008477E8"/>
    <w:rsid w:val="008478AA"/>
    <w:rsid w:val="00847B0A"/>
    <w:rsid w:val="00847B8A"/>
    <w:rsid w:val="00847C79"/>
    <w:rsid w:val="00847D4E"/>
    <w:rsid w:val="00850080"/>
    <w:rsid w:val="00850206"/>
    <w:rsid w:val="00850599"/>
    <w:rsid w:val="00850910"/>
    <w:rsid w:val="00851076"/>
    <w:rsid w:val="008511EC"/>
    <w:rsid w:val="00851C99"/>
    <w:rsid w:val="00851CD4"/>
    <w:rsid w:val="00851F62"/>
    <w:rsid w:val="00851FD3"/>
    <w:rsid w:val="00852213"/>
    <w:rsid w:val="0085238A"/>
    <w:rsid w:val="008524EB"/>
    <w:rsid w:val="00852890"/>
    <w:rsid w:val="0085318D"/>
    <w:rsid w:val="008547B9"/>
    <w:rsid w:val="00856248"/>
    <w:rsid w:val="008565BC"/>
    <w:rsid w:val="00856648"/>
    <w:rsid w:val="0085672F"/>
    <w:rsid w:val="00856A67"/>
    <w:rsid w:val="00856B26"/>
    <w:rsid w:val="00856B71"/>
    <w:rsid w:val="00856C93"/>
    <w:rsid w:val="00856DF0"/>
    <w:rsid w:val="008573F9"/>
    <w:rsid w:val="00857D59"/>
    <w:rsid w:val="00857E85"/>
    <w:rsid w:val="00861731"/>
    <w:rsid w:val="0086190F"/>
    <w:rsid w:val="0086219D"/>
    <w:rsid w:val="00862862"/>
    <w:rsid w:val="00862BAF"/>
    <w:rsid w:val="00862D12"/>
    <w:rsid w:val="00863B4F"/>
    <w:rsid w:val="00864147"/>
    <w:rsid w:val="008642D0"/>
    <w:rsid w:val="0086437F"/>
    <w:rsid w:val="00864795"/>
    <w:rsid w:val="00864A2A"/>
    <w:rsid w:val="00864DDA"/>
    <w:rsid w:val="0086524B"/>
    <w:rsid w:val="00865539"/>
    <w:rsid w:val="0086613E"/>
    <w:rsid w:val="00866F90"/>
    <w:rsid w:val="008674FE"/>
    <w:rsid w:val="008676E6"/>
    <w:rsid w:val="00867ECB"/>
    <w:rsid w:val="00867FC5"/>
    <w:rsid w:val="008714DB"/>
    <w:rsid w:val="00871578"/>
    <w:rsid w:val="00871B57"/>
    <w:rsid w:val="00871BB6"/>
    <w:rsid w:val="00871E21"/>
    <w:rsid w:val="0087223D"/>
    <w:rsid w:val="0087267C"/>
    <w:rsid w:val="008736E6"/>
    <w:rsid w:val="00873E3E"/>
    <w:rsid w:val="008747C9"/>
    <w:rsid w:val="00875402"/>
    <w:rsid w:val="00875449"/>
    <w:rsid w:val="00875858"/>
    <w:rsid w:val="00876359"/>
    <w:rsid w:val="00876705"/>
    <w:rsid w:val="00876ED9"/>
    <w:rsid w:val="00877544"/>
    <w:rsid w:val="00877E88"/>
    <w:rsid w:val="0088002F"/>
    <w:rsid w:val="008802A2"/>
    <w:rsid w:val="008804D7"/>
    <w:rsid w:val="008806EF"/>
    <w:rsid w:val="00880A80"/>
    <w:rsid w:val="0088105A"/>
    <w:rsid w:val="00881072"/>
    <w:rsid w:val="008816A3"/>
    <w:rsid w:val="00881DF7"/>
    <w:rsid w:val="008829F7"/>
    <w:rsid w:val="00882E18"/>
    <w:rsid w:val="00882EB6"/>
    <w:rsid w:val="008846E9"/>
    <w:rsid w:val="00884A24"/>
    <w:rsid w:val="00884B09"/>
    <w:rsid w:val="00885345"/>
    <w:rsid w:val="00885469"/>
    <w:rsid w:val="00885F99"/>
    <w:rsid w:val="0088627E"/>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BDA"/>
    <w:rsid w:val="00890D65"/>
    <w:rsid w:val="00890D9C"/>
    <w:rsid w:val="00891AC5"/>
    <w:rsid w:val="00892310"/>
    <w:rsid w:val="00892BA2"/>
    <w:rsid w:val="00892F80"/>
    <w:rsid w:val="00893560"/>
    <w:rsid w:val="00893A03"/>
    <w:rsid w:val="00894610"/>
    <w:rsid w:val="008947E7"/>
    <w:rsid w:val="00894E27"/>
    <w:rsid w:val="00894ECF"/>
    <w:rsid w:val="00895566"/>
    <w:rsid w:val="00895572"/>
    <w:rsid w:val="00895AFB"/>
    <w:rsid w:val="00895BAB"/>
    <w:rsid w:val="00895CB8"/>
    <w:rsid w:val="00895E96"/>
    <w:rsid w:val="00896315"/>
    <w:rsid w:val="0089661E"/>
    <w:rsid w:val="00896C38"/>
    <w:rsid w:val="0089704F"/>
    <w:rsid w:val="00897D19"/>
    <w:rsid w:val="00897F55"/>
    <w:rsid w:val="008A056C"/>
    <w:rsid w:val="008A0C03"/>
    <w:rsid w:val="008A0D84"/>
    <w:rsid w:val="008A12D8"/>
    <w:rsid w:val="008A14DB"/>
    <w:rsid w:val="008A1870"/>
    <w:rsid w:val="008A1A62"/>
    <w:rsid w:val="008A1D01"/>
    <w:rsid w:val="008A1DEE"/>
    <w:rsid w:val="008A1FFE"/>
    <w:rsid w:val="008A21D4"/>
    <w:rsid w:val="008A2348"/>
    <w:rsid w:val="008A2836"/>
    <w:rsid w:val="008A2944"/>
    <w:rsid w:val="008A2C51"/>
    <w:rsid w:val="008A342D"/>
    <w:rsid w:val="008A35F8"/>
    <w:rsid w:val="008A374A"/>
    <w:rsid w:val="008A45D1"/>
    <w:rsid w:val="008A4609"/>
    <w:rsid w:val="008A4780"/>
    <w:rsid w:val="008A4896"/>
    <w:rsid w:val="008A4C8C"/>
    <w:rsid w:val="008A5963"/>
    <w:rsid w:val="008A5ABF"/>
    <w:rsid w:val="008A5F82"/>
    <w:rsid w:val="008A5FD4"/>
    <w:rsid w:val="008A6337"/>
    <w:rsid w:val="008A6E78"/>
    <w:rsid w:val="008A747D"/>
    <w:rsid w:val="008A75EA"/>
    <w:rsid w:val="008A774D"/>
    <w:rsid w:val="008A78F7"/>
    <w:rsid w:val="008B05C0"/>
    <w:rsid w:val="008B0887"/>
    <w:rsid w:val="008B09E2"/>
    <w:rsid w:val="008B1542"/>
    <w:rsid w:val="008B17A0"/>
    <w:rsid w:val="008B22B0"/>
    <w:rsid w:val="008B2C01"/>
    <w:rsid w:val="008B2E28"/>
    <w:rsid w:val="008B31F7"/>
    <w:rsid w:val="008B33C0"/>
    <w:rsid w:val="008B3522"/>
    <w:rsid w:val="008B3869"/>
    <w:rsid w:val="008B3D4A"/>
    <w:rsid w:val="008B4256"/>
    <w:rsid w:val="008B468D"/>
    <w:rsid w:val="008B4F41"/>
    <w:rsid w:val="008B5847"/>
    <w:rsid w:val="008B5F0A"/>
    <w:rsid w:val="008B6972"/>
    <w:rsid w:val="008B7D7C"/>
    <w:rsid w:val="008C05F1"/>
    <w:rsid w:val="008C07C7"/>
    <w:rsid w:val="008C097F"/>
    <w:rsid w:val="008C09EB"/>
    <w:rsid w:val="008C0B8B"/>
    <w:rsid w:val="008C0E17"/>
    <w:rsid w:val="008C1006"/>
    <w:rsid w:val="008C2AB9"/>
    <w:rsid w:val="008C329B"/>
    <w:rsid w:val="008C3DBB"/>
    <w:rsid w:val="008C4092"/>
    <w:rsid w:val="008C5036"/>
    <w:rsid w:val="008C5D99"/>
    <w:rsid w:val="008C61AE"/>
    <w:rsid w:val="008C6F75"/>
    <w:rsid w:val="008C7151"/>
    <w:rsid w:val="008C7200"/>
    <w:rsid w:val="008C743B"/>
    <w:rsid w:val="008C7627"/>
    <w:rsid w:val="008D043E"/>
    <w:rsid w:val="008D0443"/>
    <w:rsid w:val="008D0D42"/>
    <w:rsid w:val="008D0E0F"/>
    <w:rsid w:val="008D111E"/>
    <w:rsid w:val="008D12BF"/>
    <w:rsid w:val="008D1B62"/>
    <w:rsid w:val="008D1B9E"/>
    <w:rsid w:val="008D1F9A"/>
    <w:rsid w:val="008D2082"/>
    <w:rsid w:val="008D2388"/>
    <w:rsid w:val="008D24C9"/>
    <w:rsid w:val="008D2AEF"/>
    <w:rsid w:val="008D4146"/>
    <w:rsid w:val="008D42F6"/>
    <w:rsid w:val="008D5013"/>
    <w:rsid w:val="008D59E9"/>
    <w:rsid w:val="008D6E4C"/>
    <w:rsid w:val="008D7367"/>
    <w:rsid w:val="008D73B9"/>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06F"/>
    <w:rsid w:val="008E65C3"/>
    <w:rsid w:val="008E6EF3"/>
    <w:rsid w:val="008E75D6"/>
    <w:rsid w:val="008E76F8"/>
    <w:rsid w:val="008E770B"/>
    <w:rsid w:val="008F080D"/>
    <w:rsid w:val="008F08C3"/>
    <w:rsid w:val="008F1056"/>
    <w:rsid w:val="008F1589"/>
    <w:rsid w:val="008F1873"/>
    <w:rsid w:val="008F18E5"/>
    <w:rsid w:val="008F2E02"/>
    <w:rsid w:val="008F3327"/>
    <w:rsid w:val="008F3549"/>
    <w:rsid w:val="008F39A8"/>
    <w:rsid w:val="008F49E7"/>
    <w:rsid w:val="008F4A43"/>
    <w:rsid w:val="008F4BA0"/>
    <w:rsid w:val="008F4C3B"/>
    <w:rsid w:val="008F4D58"/>
    <w:rsid w:val="008F4EBB"/>
    <w:rsid w:val="008F509D"/>
    <w:rsid w:val="008F5110"/>
    <w:rsid w:val="008F51BE"/>
    <w:rsid w:val="008F51FC"/>
    <w:rsid w:val="008F5B13"/>
    <w:rsid w:val="008F6006"/>
    <w:rsid w:val="008F62CE"/>
    <w:rsid w:val="008F71B1"/>
    <w:rsid w:val="008F71BC"/>
    <w:rsid w:val="008F7246"/>
    <w:rsid w:val="008F726A"/>
    <w:rsid w:val="008F7DE6"/>
    <w:rsid w:val="00900FAB"/>
    <w:rsid w:val="009015B2"/>
    <w:rsid w:val="00901881"/>
    <w:rsid w:val="00901D1D"/>
    <w:rsid w:val="009022AF"/>
    <w:rsid w:val="009022F5"/>
    <w:rsid w:val="00902914"/>
    <w:rsid w:val="00903496"/>
    <w:rsid w:val="009037F5"/>
    <w:rsid w:val="009040D4"/>
    <w:rsid w:val="00904723"/>
    <w:rsid w:val="00905ACD"/>
    <w:rsid w:val="00906209"/>
    <w:rsid w:val="0090659B"/>
    <w:rsid w:val="0090660F"/>
    <w:rsid w:val="00906736"/>
    <w:rsid w:val="00906D38"/>
    <w:rsid w:val="00906E90"/>
    <w:rsid w:val="00906F53"/>
    <w:rsid w:val="00907652"/>
    <w:rsid w:val="00907C3D"/>
    <w:rsid w:val="0091051D"/>
    <w:rsid w:val="00910533"/>
    <w:rsid w:val="00910C50"/>
    <w:rsid w:val="009117BF"/>
    <w:rsid w:val="00911F9B"/>
    <w:rsid w:val="009120C5"/>
    <w:rsid w:val="00912796"/>
    <w:rsid w:val="0091293D"/>
    <w:rsid w:val="00912CB8"/>
    <w:rsid w:val="00913863"/>
    <w:rsid w:val="00913B73"/>
    <w:rsid w:val="00913C62"/>
    <w:rsid w:val="00914212"/>
    <w:rsid w:val="009143C1"/>
    <w:rsid w:val="009147BA"/>
    <w:rsid w:val="00914E96"/>
    <w:rsid w:val="009155E5"/>
    <w:rsid w:val="0091566D"/>
    <w:rsid w:val="009160AC"/>
    <w:rsid w:val="00916484"/>
    <w:rsid w:val="00916920"/>
    <w:rsid w:val="00916B7D"/>
    <w:rsid w:val="00916F2F"/>
    <w:rsid w:val="00917575"/>
    <w:rsid w:val="009176BF"/>
    <w:rsid w:val="00917ABD"/>
    <w:rsid w:val="00920136"/>
    <w:rsid w:val="00920652"/>
    <w:rsid w:val="009209E3"/>
    <w:rsid w:val="009216EF"/>
    <w:rsid w:val="009216F3"/>
    <w:rsid w:val="00921847"/>
    <w:rsid w:val="00921EDE"/>
    <w:rsid w:val="0092228B"/>
    <w:rsid w:val="00923216"/>
    <w:rsid w:val="009234D0"/>
    <w:rsid w:val="00923A33"/>
    <w:rsid w:val="00923DB7"/>
    <w:rsid w:val="009261BF"/>
    <w:rsid w:val="009266A4"/>
    <w:rsid w:val="00926AD5"/>
    <w:rsid w:val="00926EC9"/>
    <w:rsid w:val="009272C6"/>
    <w:rsid w:val="0093107E"/>
    <w:rsid w:val="009313EE"/>
    <w:rsid w:val="00931A9D"/>
    <w:rsid w:val="00931E55"/>
    <w:rsid w:val="00932766"/>
    <w:rsid w:val="00932F82"/>
    <w:rsid w:val="009336A3"/>
    <w:rsid w:val="00933910"/>
    <w:rsid w:val="00933A3E"/>
    <w:rsid w:val="00934D39"/>
    <w:rsid w:val="00934DEB"/>
    <w:rsid w:val="0093548A"/>
    <w:rsid w:val="00935F94"/>
    <w:rsid w:val="00936381"/>
    <w:rsid w:val="00936F5C"/>
    <w:rsid w:val="00936F84"/>
    <w:rsid w:val="009376D7"/>
    <w:rsid w:val="00937A6E"/>
    <w:rsid w:val="00937FC1"/>
    <w:rsid w:val="0094006D"/>
    <w:rsid w:val="00940851"/>
    <w:rsid w:val="00940B1C"/>
    <w:rsid w:val="00941031"/>
    <w:rsid w:val="00941194"/>
    <w:rsid w:val="0094125B"/>
    <w:rsid w:val="00941352"/>
    <w:rsid w:val="0094160F"/>
    <w:rsid w:val="00942105"/>
    <w:rsid w:val="009422BC"/>
    <w:rsid w:val="0094287F"/>
    <w:rsid w:val="00942B51"/>
    <w:rsid w:val="009430E5"/>
    <w:rsid w:val="0094315F"/>
    <w:rsid w:val="009431A3"/>
    <w:rsid w:val="009432CB"/>
    <w:rsid w:val="009436D4"/>
    <w:rsid w:val="00943AFE"/>
    <w:rsid w:val="00943BD8"/>
    <w:rsid w:val="00943DE3"/>
    <w:rsid w:val="00944192"/>
    <w:rsid w:val="009462A7"/>
    <w:rsid w:val="0094678B"/>
    <w:rsid w:val="00946AB7"/>
    <w:rsid w:val="00946B07"/>
    <w:rsid w:val="00947A99"/>
    <w:rsid w:val="00950145"/>
    <w:rsid w:val="009505BB"/>
    <w:rsid w:val="00950944"/>
    <w:rsid w:val="009510AD"/>
    <w:rsid w:val="009513BE"/>
    <w:rsid w:val="00951973"/>
    <w:rsid w:val="00951B96"/>
    <w:rsid w:val="00951DAD"/>
    <w:rsid w:val="00951DBF"/>
    <w:rsid w:val="00951E28"/>
    <w:rsid w:val="00951EFA"/>
    <w:rsid w:val="00952259"/>
    <w:rsid w:val="0095242E"/>
    <w:rsid w:val="00953B97"/>
    <w:rsid w:val="00954408"/>
    <w:rsid w:val="00954B1C"/>
    <w:rsid w:val="00954D0E"/>
    <w:rsid w:val="00954EEC"/>
    <w:rsid w:val="00954FE1"/>
    <w:rsid w:val="0095542B"/>
    <w:rsid w:val="009556AE"/>
    <w:rsid w:val="00955DD9"/>
    <w:rsid w:val="009565BD"/>
    <w:rsid w:val="00956939"/>
    <w:rsid w:val="00956AAC"/>
    <w:rsid w:val="00956AB0"/>
    <w:rsid w:val="00956BC0"/>
    <w:rsid w:val="00956CA0"/>
    <w:rsid w:val="00957B14"/>
    <w:rsid w:val="00961878"/>
    <w:rsid w:val="00961DB0"/>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5C85"/>
    <w:rsid w:val="0096653F"/>
    <w:rsid w:val="009679D9"/>
    <w:rsid w:val="009703F8"/>
    <w:rsid w:val="0097067B"/>
    <w:rsid w:val="009712AE"/>
    <w:rsid w:val="0097174E"/>
    <w:rsid w:val="00971BE0"/>
    <w:rsid w:val="00971EFA"/>
    <w:rsid w:val="0097253D"/>
    <w:rsid w:val="009725A2"/>
    <w:rsid w:val="00972CE5"/>
    <w:rsid w:val="00973313"/>
    <w:rsid w:val="00973381"/>
    <w:rsid w:val="00973E62"/>
    <w:rsid w:val="00974915"/>
    <w:rsid w:val="009752C7"/>
    <w:rsid w:val="009759F2"/>
    <w:rsid w:val="00976190"/>
    <w:rsid w:val="00976469"/>
    <w:rsid w:val="00976532"/>
    <w:rsid w:val="0097654B"/>
    <w:rsid w:val="00976809"/>
    <w:rsid w:val="00976A43"/>
    <w:rsid w:val="00976B93"/>
    <w:rsid w:val="00976BC7"/>
    <w:rsid w:val="009770B8"/>
    <w:rsid w:val="00977265"/>
    <w:rsid w:val="00977C6D"/>
    <w:rsid w:val="00977F17"/>
    <w:rsid w:val="00980499"/>
    <w:rsid w:val="009805F0"/>
    <w:rsid w:val="00980BF6"/>
    <w:rsid w:val="00981469"/>
    <w:rsid w:val="00981AF3"/>
    <w:rsid w:val="00982497"/>
    <w:rsid w:val="00982885"/>
    <w:rsid w:val="00982C61"/>
    <w:rsid w:val="00982CD1"/>
    <w:rsid w:val="00982E57"/>
    <w:rsid w:val="0098342A"/>
    <w:rsid w:val="00983AE1"/>
    <w:rsid w:val="00983E85"/>
    <w:rsid w:val="00984109"/>
    <w:rsid w:val="009854B6"/>
    <w:rsid w:val="00985829"/>
    <w:rsid w:val="00985D36"/>
    <w:rsid w:val="00985DBA"/>
    <w:rsid w:val="00985F0E"/>
    <w:rsid w:val="009865D6"/>
    <w:rsid w:val="00986975"/>
    <w:rsid w:val="00986C5B"/>
    <w:rsid w:val="0098757B"/>
    <w:rsid w:val="00990506"/>
    <w:rsid w:val="00990E8D"/>
    <w:rsid w:val="00990F79"/>
    <w:rsid w:val="009910DC"/>
    <w:rsid w:val="00991584"/>
    <w:rsid w:val="0099172C"/>
    <w:rsid w:val="00991B19"/>
    <w:rsid w:val="00991F23"/>
    <w:rsid w:val="00992605"/>
    <w:rsid w:val="00992CD6"/>
    <w:rsid w:val="00993599"/>
    <w:rsid w:val="00994CCA"/>
    <w:rsid w:val="00996FFF"/>
    <w:rsid w:val="009974A8"/>
    <w:rsid w:val="009975C9"/>
    <w:rsid w:val="0099773C"/>
    <w:rsid w:val="009A0A09"/>
    <w:rsid w:val="009A1489"/>
    <w:rsid w:val="009A245B"/>
    <w:rsid w:val="009A2516"/>
    <w:rsid w:val="009A2FAA"/>
    <w:rsid w:val="009A349F"/>
    <w:rsid w:val="009A3852"/>
    <w:rsid w:val="009A4788"/>
    <w:rsid w:val="009A4A6E"/>
    <w:rsid w:val="009A5FDB"/>
    <w:rsid w:val="009A73F6"/>
    <w:rsid w:val="009A7D33"/>
    <w:rsid w:val="009B0A9C"/>
    <w:rsid w:val="009B10AE"/>
    <w:rsid w:val="009B1240"/>
    <w:rsid w:val="009B1690"/>
    <w:rsid w:val="009B18D7"/>
    <w:rsid w:val="009B23EE"/>
    <w:rsid w:val="009B3610"/>
    <w:rsid w:val="009B37D3"/>
    <w:rsid w:val="009B4C61"/>
    <w:rsid w:val="009B4C66"/>
    <w:rsid w:val="009B4CB0"/>
    <w:rsid w:val="009B4CE0"/>
    <w:rsid w:val="009B4E65"/>
    <w:rsid w:val="009B54CF"/>
    <w:rsid w:val="009B5A8C"/>
    <w:rsid w:val="009B5C74"/>
    <w:rsid w:val="009B6097"/>
    <w:rsid w:val="009B661E"/>
    <w:rsid w:val="009B68A4"/>
    <w:rsid w:val="009B6CF3"/>
    <w:rsid w:val="009B706D"/>
    <w:rsid w:val="009B75F0"/>
    <w:rsid w:val="009B7D1B"/>
    <w:rsid w:val="009C01B9"/>
    <w:rsid w:val="009C0342"/>
    <w:rsid w:val="009C0408"/>
    <w:rsid w:val="009C0B5E"/>
    <w:rsid w:val="009C12CC"/>
    <w:rsid w:val="009C161A"/>
    <w:rsid w:val="009C1E60"/>
    <w:rsid w:val="009C270A"/>
    <w:rsid w:val="009C3C12"/>
    <w:rsid w:val="009C4088"/>
    <w:rsid w:val="009C5471"/>
    <w:rsid w:val="009C5659"/>
    <w:rsid w:val="009C5D49"/>
    <w:rsid w:val="009C6BE2"/>
    <w:rsid w:val="009C718C"/>
    <w:rsid w:val="009C7345"/>
    <w:rsid w:val="009C745D"/>
    <w:rsid w:val="009C7B24"/>
    <w:rsid w:val="009C7BBD"/>
    <w:rsid w:val="009C7FE0"/>
    <w:rsid w:val="009D05CC"/>
    <w:rsid w:val="009D09AE"/>
    <w:rsid w:val="009D0EE8"/>
    <w:rsid w:val="009D10F3"/>
    <w:rsid w:val="009D11AB"/>
    <w:rsid w:val="009D1575"/>
    <w:rsid w:val="009D1B21"/>
    <w:rsid w:val="009D1EB0"/>
    <w:rsid w:val="009D2A1F"/>
    <w:rsid w:val="009D2BAC"/>
    <w:rsid w:val="009D41AC"/>
    <w:rsid w:val="009D5139"/>
    <w:rsid w:val="009D55EE"/>
    <w:rsid w:val="009D564D"/>
    <w:rsid w:val="009D5843"/>
    <w:rsid w:val="009D5970"/>
    <w:rsid w:val="009D5C32"/>
    <w:rsid w:val="009D73F5"/>
    <w:rsid w:val="009D740A"/>
    <w:rsid w:val="009D7D93"/>
    <w:rsid w:val="009E040E"/>
    <w:rsid w:val="009E15ED"/>
    <w:rsid w:val="009E1607"/>
    <w:rsid w:val="009E1A3F"/>
    <w:rsid w:val="009E21B7"/>
    <w:rsid w:val="009E2CF2"/>
    <w:rsid w:val="009E2EA7"/>
    <w:rsid w:val="009E312B"/>
    <w:rsid w:val="009E327E"/>
    <w:rsid w:val="009E3966"/>
    <w:rsid w:val="009E397E"/>
    <w:rsid w:val="009E3D6D"/>
    <w:rsid w:val="009E41D0"/>
    <w:rsid w:val="009E4844"/>
    <w:rsid w:val="009E4CC2"/>
    <w:rsid w:val="009E564F"/>
    <w:rsid w:val="009E6184"/>
    <w:rsid w:val="009E6333"/>
    <w:rsid w:val="009E655C"/>
    <w:rsid w:val="009E656B"/>
    <w:rsid w:val="009E6F2E"/>
    <w:rsid w:val="009E7475"/>
    <w:rsid w:val="009E752B"/>
    <w:rsid w:val="009E76A6"/>
    <w:rsid w:val="009F0A3A"/>
    <w:rsid w:val="009F0BD3"/>
    <w:rsid w:val="009F1F49"/>
    <w:rsid w:val="009F2467"/>
    <w:rsid w:val="009F3218"/>
    <w:rsid w:val="009F394C"/>
    <w:rsid w:val="009F3A44"/>
    <w:rsid w:val="009F47F9"/>
    <w:rsid w:val="009F4F93"/>
    <w:rsid w:val="009F556C"/>
    <w:rsid w:val="009F5DB9"/>
    <w:rsid w:val="009F63EE"/>
    <w:rsid w:val="009F711E"/>
    <w:rsid w:val="009F7D1F"/>
    <w:rsid w:val="009F7F2B"/>
    <w:rsid w:val="00A0001D"/>
    <w:rsid w:val="00A01037"/>
    <w:rsid w:val="00A0119C"/>
    <w:rsid w:val="00A017D4"/>
    <w:rsid w:val="00A01C9C"/>
    <w:rsid w:val="00A01F05"/>
    <w:rsid w:val="00A0287D"/>
    <w:rsid w:val="00A03332"/>
    <w:rsid w:val="00A0369C"/>
    <w:rsid w:val="00A03771"/>
    <w:rsid w:val="00A04024"/>
    <w:rsid w:val="00A04595"/>
    <w:rsid w:val="00A0541B"/>
    <w:rsid w:val="00A06208"/>
    <w:rsid w:val="00A0628B"/>
    <w:rsid w:val="00A068D9"/>
    <w:rsid w:val="00A06EB9"/>
    <w:rsid w:val="00A1016F"/>
    <w:rsid w:val="00A10996"/>
    <w:rsid w:val="00A10B74"/>
    <w:rsid w:val="00A10C18"/>
    <w:rsid w:val="00A10EC9"/>
    <w:rsid w:val="00A1130A"/>
    <w:rsid w:val="00A11E6B"/>
    <w:rsid w:val="00A11E8D"/>
    <w:rsid w:val="00A11F7F"/>
    <w:rsid w:val="00A12648"/>
    <w:rsid w:val="00A127BA"/>
    <w:rsid w:val="00A136A9"/>
    <w:rsid w:val="00A13855"/>
    <w:rsid w:val="00A139EC"/>
    <w:rsid w:val="00A140A3"/>
    <w:rsid w:val="00A14AAC"/>
    <w:rsid w:val="00A15500"/>
    <w:rsid w:val="00A155A6"/>
    <w:rsid w:val="00A15B34"/>
    <w:rsid w:val="00A1634E"/>
    <w:rsid w:val="00A16421"/>
    <w:rsid w:val="00A1647B"/>
    <w:rsid w:val="00A164C6"/>
    <w:rsid w:val="00A1708C"/>
    <w:rsid w:val="00A177A3"/>
    <w:rsid w:val="00A17907"/>
    <w:rsid w:val="00A2072F"/>
    <w:rsid w:val="00A20EFE"/>
    <w:rsid w:val="00A21076"/>
    <w:rsid w:val="00A21556"/>
    <w:rsid w:val="00A21903"/>
    <w:rsid w:val="00A22AF7"/>
    <w:rsid w:val="00A23211"/>
    <w:rsid w:val="00A23428"/>
    <w:rsid w:val="00A23621"/>
    <w:rsid w:val="00A2405B"/>
    <w:rsid w:val="00A25467"/>
    <w:rsid w:val="00A2551C"/>
    <w:rsid w:val="00A25C16"/>
    <w:rsid w:val="00A2617B"/>
    <w:rsid w:val="00A27672"/>
    <w:rsid w:val="00A27DBB"/>
    <w:rsid w:val="00A30028"/>
    <w:rsid w:val="00A301EF"/>
    <w:rsid w:val="00A3040F"/>
    <w:rsid w:val="00A31059"/>
    <w:rsid w:val="00A3123A"/>
    <w:rsid w:val="00A3168A"/>
    <w:rsid w:val="00A31CD2"/>
    <w:rsid w:val="00A32EFA"/>
    <w:rsid w:val="00A335F7"/>
    <w:rsid w:val="00A33696"/>
    <w:rsid w:val="00A339B5"/>
    <w:rsid w:val="00A339FB"/>
    <w:rsid w:val="00A348FE"/>
    <w:rsid w:val="00A34ED9"/>
    <w:rsid w:val="00A35AAA"/>
    <w:rsid w:val="00A35D28"/>
    <w:rsid w:val="00A35E53"/>
    <w:rsid w:val="00A36254"/>
    <w:rsid w:val="00A3635F"/>
    <w:rsid w:val="00A368B5"/>
    <w:rsid w:val="00A36905"/>
    <w:rsid w:val="00A36916"/>
    <w:rsid w:val="00A36941"/>
    <w:rsid w:val="00A36BA5"/>
    <w:rsid w:val="00A37146"/>
    <w:rsid w:val="00A3747B"/>
    <w:rsid w:val="00A37995"/>
    <w:rsid w:val="00A37BA5"/>
    <w:rsid w:val="00A408EB"/>
    <w:rsid w:val="00A4109A"/>
    <w:rsid w:val="00A4133B"/>
    <w:rsid w:val="00A4189A"/>
    <w:rsid w:val="00A41A4E"/>
    <w:rsid w:val="00A41A7C"/>
    <w:rsid w:val="00A42565"/>
    <w:rsid w:val="00A42621"/>
    <w:rsid w:val="00A436D2"/>
    <w:rsid w:val="00A43752"/>
    <w:rsid w:val="00A4391C"/>
    <w:rsid w:val="00A443B8"/>
    <w:rsid w:val="00A452B2"/>
    <w:rsid w:val="00A454E3"/>
    <w:rsid w:val="00A457AB"/>
    <w:rsid w:val="00A463F3"/>
    <w:rsid w:val="00A468B1"/>
    <w:rsid w:val="00A469C0"/>
    <w:rsid w:val="00A47100"/>
    <w:rsid w:val="00A472D1"/>
    <w:rsid w:val="00A47335"/>
    <w:rsid w:val="00A47902"/>
    <w:rsid w:val="00A47B8B"/>
    <w:rsid w:val="00A50258"/>
    <w:rsid w:val="00A50806"/>
    <w:rsid w:val="00A5085F"/>
    <w:rsid w:val="00A51149"/>
    <w:rsid w:val="00A51C4A"/>
    <w:rsid w:val="00A5289A"/>
    <w:rsid w:val="00A53632"/>
    <w:rsid w:val="00A53AB4"/>
    <w:rsid w:val="00A53DBB"/>
    <w:rsid w:val="00A53FB6"/>
    <w:rsid w:val="00A5498C"/>
    <w:rsid w:val="00A54D45"/>
    <w:rsid w:val="00A54FE4"/>
    <w:rsid w:val="00A5541A"/>
    <w:rsid w:val="00A56092"/>
    <w:rsid w:val="00A567CB"/>
    <w:rsid w:val="00A57263"/>
    <w:rsid w:val="00A57DEC"/>
    <w:rsid w:val="00A60040"/>
    <w:rsid w:val="00A6060D"/>
    <w:rsid w:val="00A60C13"/>
    <w:rsid w:val="00A615A6"/>
    <w:rsid w:val="00A61AD5"/>
    <w:rsid w:val="00A61C95"/>
    <w:rsid w:val="00A62ADC"/>
    <w:rsid w:val="00A62CDE"/>
    <w:rsid w:val="00A62DEF"/>
    <w:rsid w:val="00A6316A"/>
    <w:rsid w:val="00A63572"/>
    <w:rsid w:val="00A637C6"/>
    <w:rsid w:val="00A63824"/>
    <w:rsid w:val="00A63A5F"/>
    <w:rsid w:val="00A63D9A"/>
    <w:rsid w:val="00A63DBC"/>
    <w:rsid w:val="00A63FAB"/>
    <w:rsid w:val="00A6458B"/>
    <w:rsid w:val="00A64688"/>
    <w:rsid w:val="00A649B7"/>
    <w:rsid w:val="00A64C0E"/>
    <w:rsid w:val="00A6506D"/>
    <w:rsid w:val="00A65327"/>
    <w:rsid w:val="00A6533E"/>
    <w:rsid w:val="00A653AC"/>
    <w:rsid w:val="00A655B7"/>
    <w:rsid w:val="00A65632"/>
    <w:rsid w:val="00A65BF7"/>
    <w:rsid w:val="00A65C20"/>
    <w:rsid w:val="00A65DCD"/>
    <w:rsid w:val="00A664CD"/>
    <w:rsid w:val="00A66506"/>
    <w:rsid w:val="00A66E2A"/>
    <w:rsid w:val="00A6764D"/>
    <w:rsid w:val="00A6769C"/>
    <w:rsid w:val="00A67E6C"/>
    <w:rsid w:val="00A67FE1"/>
    <w:rsid w:val="00A70081"/>
    <w:rsid w:val="00A703C1"/>
    <w:rsid w:val="00A70642"/>
    <w:rsid w:val="00A7067D"/>
    <w:rsid w:val="00A7084B"/>
    <w:rsid w:val="00A712E0"/>
    <w:rsid w:val="00A7189A"/>
    <w:rsid w:val="00A71C9E"/>
    <w:rsid w:val="00A71DDE"/>
    <w:rsid w:val="00A7201A"/>
    <w:rsid w:val="00A7228B"/>
    <w:rsid w:val="00A72A7B"/>
    <w:rsid w:val="00A72B75"/>
    <w:rsid w:val="00A73038"/>
    <w:rsid w:val="00A73256"/>
    <w:rsid w:val="00A7328F"/>
    <w:rsid w:val="00A73772"/>
    <w:rsid w:val="00A737C5"/>
    <w:rsid w:val="00A73F8D"/>
    <w:rsid w:val="00A749FD"/>
    <w:rsid w:val="00A74B8A"/>
    <w:rsid w:val="00A74C77"/>
    <w:rsid w:val="00A74D94"/>
    <w:rsid w:val="00A75387"/>
    <w:rsid w:val="00A758BE"/>
    <w:rsid w:val="00A75C2A"/>
    <w:rsid w:val="00A7668A"/>
    <w:rsid w:val="00A76BC8"/>
    <w:rsid w:val="00A76C99"/>
    <w:rsid w:val="00A76F14"/>
    <w:rsid w:val="00A775D5"/>
    <w:rsid w:val="00A800C8"/>
    <w:rsid w:val="00A801F8"/>
    <w:rsid w:val="00A80BAD"/>
    <w:rsid w:val="00A811CB"/>
    <w:rsid w:val="00A81D00"/>
    <w:rsid w:val="00A81D2F"/>
    <w:rsid w:val="00A81E59"/>
    <w:rsid w:val="00A81EBE"/>
    <w:rsid w:val="00A826F1"/>
    <w:rsid w:val="00A82712"/>
    <w:rsid w:val="00A82D02"/>
    <w:rsid w:val="00A83369"/>
    <w:rsid w:val="00A83A27"/>
    <w:rsid w:val="00A8428C"/>
    <w:rsid w:val="00A84364"/>
    <w:rsid w:val="00A84CD0"/>
    <w:rsid w:val="00A858E9"/>
    <w:rsid w:val="00A85E5B"/>
    <w:rsid w:val="00A85E73"/>
    <w:rsid w:val="00A85EC0"/>
    <w:rsid w:val="00A86473"/>
    <w:rsid w:val="00A86ED1"/>
    <w:rsid w:val="00A86F9B"/>
    <w:rsid w:val="00A915F4"/>
    <w:rsid w:val="00A917A9"/>
    <w:rsid w:val="00A91C36"/>
    <w:rsid w:val="00A91D41"/>
    <w:rsid w:val="00A926F4"/>
    <w:rsid w:val="00A929F5"/>
    <w:rsid w:val="00A9331F"/>
    <w:rsid w:val="00A93F51"/>
    <w:rsid w:val="00A96010"/>
    <w:rsid w:val="00A9684D"/>
    <w:rsid w:val="00A97402"/>
    <w:rsid w:val="00A974C9"/>
    <w:rsid w:val="00A97873"/>
    <w:rsid w:val="00AA0B30"/>
    <w:rsid w:val="00AA0EFF"/>
    <w:rsid w:val="00AA0F61"/>
    <w:rsid w:val="00AA1265"/>
    <w:rsid w:val="00AA1D97"/>
    <w:rsid w:val="00AA1E6C"/>
    <w:rsid w:val="00AA29DC"/>
    <w:rsid w:val="00AA2B4F"/>
    <w:rsid w:val="00AA321D"/>
    <w:rsid w:val="00AA3259"/>
    <w:rsid w:val="00AA383C"/>
    <w:rsid w:val="00AA3BBB"/>
    <w:rsid w:val="00AA3C4B"/>
    <w:rsid w:val="00AA3F4F"/>
    <w:rsid w:val="00AA4B32"/>
    <w:rsid w:val="00AA4CFF"/>
    <w:rsid w:val="00AA4D52"/>
    <w:rsid w:val="00AA4F04"/>
    <w:rsid w:val="00AA5773"/>
    <w:rsid w:val="00AA6669"/>
    <w:rsid w:val="00AA690A"/>
    <w:rsid w:val="00AA6AB3"/>
    <w:rsid w:val="00AA6D26"/>
    <w:rsid w:val="00AA6DB2"/>
    <w:rsid w:val="00AA74C0"/>
    <w:rsid w:val="00AB0541"/>
    <w:rsid w:val="00AB09EE"/>
    <w:rsid w:val="00AB1310"/>
    <w:rsid w:val="00AB19B4"/>
    <w:rsid w:val="00AB2400"/>
    <w:rsid w:val="00AB25DF"/>
    <w:rsid w:val="00AB2CE6"/>
    <w:rsid w:val="00AB5377"/>
    <w:rsid w:val="00AB5B77"/>
    <w:rsid w:val="00AB5C1D"/>
    <w:rsid w:val="00AB7D08"/>
    <w:rsid w:val="00AB7F4B"/>
    <w:rsid w:val="00AB7F83"/>
    <w:rsid w:val="00AC0B81"/>
    <w:rsid w:val="00AC2300"/>
    <w:rsid w:val="00AC3451"/>
    <w:rsid w:val="00AC3506"/>
    <w:rsid w:val="00AC387E"/>
    <w:rsid w:val="00AC49E6"/>
    <w:rsid w:val="00AC4DD2"/>
    <w:rsid w:val="00AC5210"/>
    <w:rsid w:val="00AC5710"/>
    <w:rsid w:val="00AC5BDF"/>
    <w:rsid w:val="00AC5DA2"/>
    <w:rsid w:val="00AC662A"/>
    <w:rsid w:val="00AC6903"/>
    <w:rsid w:val="00AC6B95"/>
    <w:rsid w:val="00AC722F"/>
    <w:rsid w:val="00AC7669"/>
    <w:rsid w:val="00AC79C9"/>
    <w:rsid w:val="00AD043B"/>
    <w:rsid w:val="00AD0AF6"/>
    <w:rsid w:val="00AD0E4F"/>
    <w:rsid w:val="00AD1A93"/>
    <w:rsid w:val="00AD277E"/>
    <w:rsid w:val="00AD343E"/>
    <w:rsid w:val="00AD4267"/>
    <w:rsid w:val="00AD476A"/>
    <w:rsid w:val="00AD47AA"/>
    <w:rsid w:val="00AD4ABF"/>
    <w:rsid w:val="00AD4C67"/>
    <w:rsid w:val="00AD4F08"/>
    <w:rsid w:val="00AD52D1"/>
    <w:rsid w:val="00AD54E1"/>
    <w:rsid w:val="00AD5632"/>
    <w:rsid w:val="00AD6222"/>
    <w:rsid w:val="00AD6306"/>
    <w:rsid w:val="00AD67DE"/>
    <w:rsid w:val="00AD6AAF"/>
    <w:rsid w:val="00AD7076"/>
    <w:rsid w:val="00AD739C"/>
    <w:rsid w:val="00AE0764"/>
    <w:rsid w:val="00AE090E"/>
    <w:rsid w:val="00AE14B5"/>
    <w:rsid w:val="00AE16D1"/>
    <w:rsid w:val="00AE1BC1"/>
    <w:rsid w:val="00AE1BD1"/>
    <w:rsid w:val="00AE1DBE"/>
    <w:rsid w:val="00AE276C"/>
    <w:rsid w:val="00AE340A"/>
    <w:rsid w:val="00AE3DF4"/>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E7F0C"/>
    <w:rsid w:val="00AF0329"/>
    <w:rsid w:val="00AF0774"/>
    <w:rsid w:val="00AF0B7B"/>
    <w:rsid w:val="00AF11B5"/>
    <w:rsid w:val="00AF1F48"/>
    <w:rsid w:val="00AF1FE8"/>
    <w:rsid w:val="00AF2612"/>
    <w:rsid w:val="00AF3889"/>
    <w:rsid w:val="00AF39DC"/>
    <w:rsid w:val="00AF3BD3"/>
    <w:rsid w:val="00AF3F13"/>
    <w:rsid w:val="00AF3FE3"/>
    <w:rsid w:val="00AF4A53"/>
    <w:rsid w:val="00AF4F33"/>
    <w:rsid w:val="00AF52DC"/>
    <w:rsid w:val="00AF6305"/>
    <w:rsid w:val="00AF6A0B"/>
    <w:rsid w:val="00AF6A68"/>
    <w:rsid w:val="00AF72F9"/>
    <w:rsid w:val="00AF7938"/>
    <w:rsid w:val="00B001C6"/>
    <w:rsid w:val="00B008DF"/>
    <w:rsid w:val="00B00BB3"/>
    <w:rsid w:val="00B00E5C"/>
    <w:rsid w:val="00B011D8"/>
    <w:rsid w:val="00B0131B"/>
    <w:rsid w:val="00B014AD"/>
    <w:rsid w:val="00B01819"/>
    <w:rsid w:val="00B0182F"/>
    <w:rsid w:val="00B018F4"/>
    <w:rsid w:val="00B022D8"/>
    <w:rsid w:val="00B02540"/>
    <w:rsid w:val="00B02836"/>
    <w:rsid w:val="00B02AF0"/>
    <w:rsid w:val="00B039AB"/>
    <w:rsid w:val="00B039E9"/>
    <w:rsid w:val="00B03B7D"/>
    <w:rsid w:val="00B04DC3"/>
    <w:rsid w:val="00B04EED"/>
    <w:rsid w:val="00B0529B"/>
    <w:rsid w:val="00B05E03"/>
    <w:rsid w:val="00B0644E"/>
    <w:rsid w:val="00B1077D"/>
    <w:rsid w:val="00B10841"/>
    <w:rsid w:val="00B10B1F"/>
    <w:rsid w:val="00B11176"/>
    <w:rsid w:val="00B11B4E"/>
    <w:rsid w:val="00B123B7"/>
    <w:rsid w:val="00B13CB1"/>
    <w:rsid w:val="00B14997"/>
    <w:rsid w:val="00B14BEA"/>
    <w:rsid w:val="00B167CE"/>
    <w:rsid w:val="00B16B62"/>
    <w:rsid w:val="00B16CED"/>
    <w:rsid w:val="00B17902"/>
    <w:rsid w:val="00B17A2E"/>
    <w:rsid w:val="00B17C66"/>
    <w:rsid w:val="00B20292"/>
    <w:rsid w:val="00B206B1"/>
    <w:rsid w:val="00B22004"/>
    <w:rsid w:val="00B229D6"/>
    <w:rsid w:val="00B22C0A"/>
    <w:rsid w:val="00B22F42"/>
    <w:rsid w:val="00B22FF9"/>
    <w:rsid w:val="00B23F87"/>
    <w:rsid w:val="00B24213"/>
    <w:rsid w:val="00B242E1"/>
    <w:rsid w:val="00B24371"/>
    <w:rsid w:val="00B244B0"/>
    <w:rsid w:val="00B24980"/>
    <w:rsid w:val="00B24BDA"/>
    <w:rsid w:val="00B250B5"/>
    <w:rsid w:val="00B25B42"/>
    <w:rsid w:val="00B2635D"/>
    <w:rsid w:val="00B26451"/>
    <w:rsid w:val="00B267F1"/>
    <w:rsid w:val="00B269E7"/>
    <w:rsid w:val="00B2725F"/>
    <w:rsid w:val="00B2779E"/>
    <w:rsid w:val="00B27998"/>
    <w:rsid w:val="00B308E1"/>
    <w:rsid w:val="00B30FEF"/>
    <w:rsid w:val="00B316BA"/>
    <w:rsid w:val="00B31D3D"/>
    <w:rsid w:val="00B32623"/>
    <w:rsid w:val="00B331DC"/>
    <w:rsid w:val="00B33BCF"/>
    <w:rsid w:val="00B3444E"/>
    <w:rsid w:val="00B35546"/>
    <w:rsid w:val="00B3556A"/>
    <w:rsid w:val="00B35594"/>
    <w:rsid w:val="00B3580D"/>
    <w:rsid w:val="00B35E2D"/>
    <w:rsid w:val="00B36B6D"/>
    <w:rsid w:val="00B3756E"/>
    <w:rsid w:val="00B401AE"/>
    <w:rsid w:val="00B402BB"/>
    <w:rsid w:val="00B4127B"/>
    <w:rsid w:val="00B414AF"/>
    <w:rsid w:val="00B41708"/>
    <w:rsid w:val="00B42626"/>
    <w:rsid w:val="00B42998"/>
    <w:rsid w:val="00B42DF1"/>
    <w:rsid w:val="00B4301A"/>
    <w:rsid w:val="00B43B6A"/>
    <w:rsid w:val="00B43FF7"/>
    <w:rsid w:val="00B4438B"/>
    <w:rsid w:val="00B453BE"/>
    <w:rsid w:val="00B46241"/>
    <w:rsid w:val="00B46422"/>
    <w:rsid w:val="00B46735"/>
    <w:rsid w:val="00B468A0"/>
    <w:rsid w:val="00B47896"/>
    <w:rsid w:val="00B47C72"/>
    <w:rsid w:val="00B47D36"/>
    <w:rsid w:val="00B507E9"/>
    <w:rsid w:val="00B50878"/>
    <w:rsid w:val="00B50D0F"/>
    <w:rsid w:val="00B50F95"/>
    <w:rsid w:val="00B51496"/>
    <w:rsid w:val="00B51503"/>
    <w:rsid w:val="00B51EF7"/>
    <w:rsid w:val="00B5205A"/>
    <w:rsid w:val="00B522D0"/>
    <w:rsid w:val="00B52363"/>
    <w:rsid w:val="00B524C0"/>
    <w:rsid w:val="00B52693"/>
    <w:rsid w:val="00B52AB7"/>
    <w:rsid w:val="00B52CF9"/>
    <w:rsid w:val="00B52D9E"/>
    <w:rsid w:val="00B52E12"/>
    <w:rsid w:val="00B530F8"/>
    <w:rsid w:val="00B53C31"/>
    <w:rsid w:val="00B5445A"/>
    <w:rsid w:val="00B550A0"/>
    <w:rsid w:val="00B555A9"/>
    <w:rsid w:val="00B55A15"/>
    <w:rsid w:val="00B55E82"/>
    <w:rsid w:val="00B55F13"/>
    <w:rsid w:val="00B5617C"/>
    <w:rsid w:val="00B563AF"/>
    <w:rsid w:val="00B563E9"/>
    <w:rsid w:val="00B56902"/>
    <w:rsid w:val="00B56922"/>
    <w:rsid w:val="00B56B70"/>
    <w:rsid w:val="00B56ECB"/>
    <w:rsid w:val="00B57983"/>
    <w:rsid w:val="00B6036B"/>
    <w:rsid w:val="00B604C8"/>
    <w:rsid w:val="00B60ED0"/>
    <w:rsid w:val="00B62189"/>
    <w:rsid w:val="00B627E7"/>
    <w:rsid w:val="00B6283F"/>
    <w:rsid w:val="00B62F33"/>
    <w:rsid w:val="00B630AC"/>
    <w:rsid w:val="00B63611"/>
    <w:rsid w:val="00B644F9"/>
    <w:rsid w:val="00B64726"/>
    <w:rsid w:val="00B65066"/>
    <w:rsid w:val="00B6668D"/>
    <w:rsid w:val="00B666B9"/>
    <w:rsid w:val="00B66A94"/>
    <w:rsid w:val="00B66F81"/>
    <w:rsid w:val="00B67145"/>
    <w:rsid w:val="00B677F1"/>
    <w:rsid w:val="00B67914"/>
    <w:rsid w:val="00B70767"/>
    <w:rsid w:val="00B707AF"/>
    <w:rsid w:val="00B70882"/>
    <w:rsid w:val="00B709B8"/>
    <w:rsid w:val="00B70B98"/>
    <w:rsid w:val="00B70DC2"/>
    <w:rsid w:val="00B717DC"/>
    <w:rsid w:val="00B72D75"/>
    <w:rsid w:val="00B72F97"/>
    <w:rsid w:val="00B73165"/>
    <w:rsid w:val="00B741EF"/>
    <w:rsid w:val="00B742B8"/>
    <w:rsid w:val="00B747A2"/>
    <w:rsid w:val="00B74D67"/>
    <w:rsid w:val="00B75001"/>
    <w:rsid w:val="00B75086"/>
    <w:rsid w:val="00B7532D"/>
    <w:rsid w:val="00B7568D"/>
    <w:rsid w:val="00B75D6E"/>
    <w:rsid w:val="00B75F72"/>
    <w:rsid w:val="00B76DC1"/>
    <w:rsid w:val="00B77C89"/>
    <w:rsid w:val="00B77CFD"/>
    <w:rsid w:val="00B800B7"/>
    <w:rsid w:val="00B80425"/>
    <w:rsid w:val="00B805C4"/>
    <w:rsid w:val="00B80D1E"/>
    <w:rsid w:val="00B80EF7"/>
    <w:rsid w:val="00B81548"/>
    <w:rsid w:val="00B81633"/>
    <w:rsid w:val="00B81EDF"/>
    <w:rsid w:val="00B81F81"/>
    <w:rsid w:val="00B82A85"/>
    <w:rsid w:val="00B82FF5"/>
    <w:rsid w:val="00B8385E"/>
    <w:rsid w:val="00B83A38"/>
    <w:rsid w:val="00B83D46"/>
    <w:rsid w:val="00B84193"/>
    <w:rsid w:val="00B84A84"/>
    <w:rsid w:val="00B850CE"/>
    <w:rsid w:val="00B862C0"/>
    <w:rsid w:val="00B863D9"/>
    <w:rsid w:val="00B864BA"/>
    <w:rsid w:val="00B86C03"/>
    <w:rsid w:val="00B86E98"/>
    <w:rsid w:val="00B90192"/>
    <w:rsid w:val="00B90A49"/>
    <w:rsid w:val="00B90B9B"/>
    <w:rsid w:val="00B90C7D"/>
    <w:rsid w:val="00B91455"/>
    <w:rsid w:val="00B9197F"/>
    <w:rsid w:val="00B919E1"/>
    <w:rsid w:val="00B92313"/>
    <w:rsid w:val="00B933BC"/>
    <w:rsid w:val="00B933E3"/>
    <w:rsid w:val="00B93791"/>
    <w:rsid w:val="00B93921"/>
    <w:rsid w:val="00B93AFE"/>
    <w:rsid w:val="00B945A2"/>
    <w:rsid w:val="00B946C4"/>
    <w:rsid w:val="00B94702"/>
    <w:rsid w:val="00B947BF"/>
    <w:rsid w:val="00B94912"/>
    <w:rsid w:val="00B94EE8"/>
    <w:rsid w:val="00B95427"/>
    <w:rsid w:val="00B962AB"/>
    <w:rsid w:val="00B966B6"/>
    <w:rsid w:val="00B96717"/>
    <w:rsid w:val="00B96C66"/>
    <w:rsid w:val="00B97B6F"/>
    <w:rsid w:val="00BA0482"/>
    <w:rsid w:val="00BA05AF"/>
    <w:rsid w:val="00BA0622"/>
    <w:rsid w:val="00BA096B"/>
    <w:rsid w:val="00BA0C0B"/>
    <w:rsid w:val="00BA1387"/>
    <w:rsid w:val="00BA13D0"/>
    <w:rsid w:val="00BA1C0C"/>
    <w:rsid w:val="00BA1C65"/>
    <w:rsid w:val="00BA1F66"/>
    <w:rsid w:val="00BA23AE"/>
    <w:rsid w:val="00BA2A52"/>
    <w:rsid w:val="00BA2B2C"/>
    <w:rsid w:val="00BA2F50"/>
    <w:rsid w:val="00BA3293"/>
    <w:rsid w:val="00BA35C3"/>
    <w:rsid w:val="00BA3C29"/>
    <w:rsid w:val="00BA3F2E"/>
    <w:rsid w:val="00BA403D"/>
    <w:rsid w:val="00BA4357"/>
    <w:rsid w:val="00BA4760"/>
    <w:rsid w:val="00BA4DB3"/>
    <w:rsid w:val="00BA4FF0"/>
    <w:rsid w:val="00BA58D9"/>
    <w:rsid w:val="00BA5FB5"/>
    <w:rsid w:val="00BA62FB"/>
    <w:rsid w:val="00BA6E60"/>
    <w:rsid w:val="00BA7003"/>
    <w:rsid w:val="00BA71ED"/>
    <w:rsid w:val="00BA7CCE"/>
    <w:rsid w:val="00BB065D"/>
    <w:rsid w:val="00BB14CF"/>
    <w:rsid w:val="00BB17C8"/>
    <w:rsid w:val="00BB1CF9"/>
    <w:rsid w:val="00BB2101"/>
    <w:rsid w:val="00BB2133"/>
    <w:rsid w:val="00BB26DC"/>
    <w:rsid w:val="00BB271E"/>
    <w:rsid w:val="00BB27D3"/>
    <w:rsid w:val="00BB2C04"/>
    <w:rsid w:val="00BB30F3"/>
    <w:rsid w:val="00BB315F"/>
    <w:rsid w:val="00BB3186"/>
    <w:rsid w:val="00BB325E"/>
    <w:rsid w:val="00BB3D90"/>
    <w:rsid w:val="00BB48F1"/>
    <w:rsid w:val="00BB5036"/>
    <w:rsid w:val="00BB5BAF"/>
    <w:rsid w:val="00BB5F46"/>
    <w:rsid w:val="00BB6888"/>
    <w:rsid w:val="00BB6EFD"/>
    <w:rsid w:val="00BB75F8"/>
    <w:rsid w:val="00BB7709"/>
    <w:rsid w:val="00BB779D"/>
    <w:rsid w:val="00BB7A4D"/>
    <w:rsid w:val="00BB7B6E"/>
    <w:rsid w:val="00BC003A"/>
    <w:rsid w:val="00BC068E"/>
    <w:rsid w:val="00BC0DBB"/>
    <w:rsid w:val="00BC107E"/>
    <w:rsid w:val="00BC17CA"/>
    <w:rsid w:val="00BC1C7C"/>
    <w:rsid w:val="00BC205F"/>
    <w:rsid w:val="00BC227B"/>
    <w:rsid w:val="00BC31E2"/>
    <w:rsid w:val="00BC3D44"/>
    <w:rsid w:val="00BC4213"/>
    <w:rsid w:val="00BC4C7F"/>
    <w:rsid w:val="00BC59BE"/>
    <w:rsid w:val="00BC5C80"/>
    <w:rsid w:val="00BC5D5B"/>
    <w:rsid w:val="00BC5F08"/>
    <w:rsid w:val="00BC6161"/>
    <w:rsid w:val="00BC65A4"/>
    <w:rsid w:val="00BC65B2"/>
    <w:rsid w:val="00BC717C"/>
    <w:rsid w:val="00BC75B3"/>
    <w:rsid w:val="00BC7B04"/>
    <w:rsid w:val="00BC7E15"/>
    <w:rsid w:val="00BC7E36"/>
    <w:rsid w:val="00BD020B"/>
    <w:rsid w:val="00BD09B1"/>
    <w:rsid w:val="00BD0FE8"/>
    <w:rsid w:val="00BD16D6"/>
    <w:rsid w:val="00BD1816"/>
    <w:rsid w:val="00BD1B72"/>
    <w:rsid w:val="00BD206C"/>
    <w:rsid w:val="00BD22B5"/>
    <w:rsid w:val="00BD31B3"/>
    <w:rsid w:val="00BD38B1"/>
    <w:rsid w:val="00BD3BB5"/>
    <w:rsid w:val="00BD41C0"/>
    <w:rsid w:val="00BD485C"/>
    <w:rsid w:val="00BD4AA0"/>
    <w:rsid w:val="00BD521B"/>
    <w:rsid w:val="00BD6053"/>
    <w:rsid w:val="00BD6593"/>
    <w:rsid w:val="00BD66B2"/>
    <w:rsid w:val="00BD71AD"/>
    <w:rsid w:val="00BD7633"/>
    <w:rsid w:val="00BD76B1"/>
    <w:rsid w:val="00BD7725"/>
    <w:rsid w:val="00BD782C"/>
    <w:rsid w:val="00BD786C"/>
    <w:rsid w:val="00BD78AD"/>
    <w:rsid w:val="00BD78F4"/>
    <w:rsid w:val="00BE0154"/>
    <w:rsid w:val="00BE04EC"/>
    <w:rsid w:val="00BE0722"/>
    <w:rsid w:val="00BE0F6C"/>
    <w:rsid w:val="00BE1821"/>
    <w:rsid w:val="00BE1877"/>
    <w:rsid w:val="00BE1D73"/>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94F"/>
    <w:rsid w:val="00BF1C55"/>
    <w:rsid w:val="00BF224A"/>
    <w:rsid w:val="00BF28A4"/>
    <w:rsid w:val="00BF293F"/>
    <w:rsid w:val="00BF37C5"/>
    <w:rsid w:val="00BF3AAA"/>
    <w:rsid w:val="00BF42FD"/>
    <w:rsid w:val="00BF497A"/>
    <w:rsid w:val="00BF4AC8"/>
    <w:rsid w:val="00BF5BF6"/>
    <w:rsid w:val="00BF5E37"/>
    <w:rsid w:val="00BF5FE4"/>
    <w:rsid w:val="00BF6983"/>
    <w:rsid w:val="00BF70D4"/>
    <w:rsid w:val="00BF71E4"/>
    <w:rsid w:val="00BF7831"/>
    <w:rsid w:val="00BF7B13"/>
    <w:rsid w:val="00C010A6"/>
    <w:rsid w:val="00C0163D"/>
    <w:rsid w:val="00C017CA"/>
    <w:rsid w:val="00C01D63"/>
    <w:rsid w:val="00C02152"/>
    <w:rsid w:val="00C0264E"/>
    <w:rsid w:val="00C03CE8"/>
    <w:rsid w:val="00C0494D"/>
    <w:rsid w:val="00C0531C"/>
    <w:rsid w:val="00C05806"/>
    <w:rsid w:val="00C05FA3"/>
    <w:rsid w:val="00C06A1F"/>
    <w:rsid w:val="00C0709F"/>
    <w:rsid w:val="00C07158"/>
    <w:rsid w:val="00C108A9"/>
    <w:rsid w:val="00C10D63"/>
    <w:rsid w:val="00C10DE2"/>
    <w:rsid w:val="00C123A3"/>
    <w:rsid w:val="00C12466"/>
    <w:rsid w:val="00C12724"/>
    <w:rsid w:val="00C1367A"/>
    <w:rsid w:val="00C141FB"/>
    <w:rsid w:val="00C143BD"/>
    <w:rsid w:val="00C1441B"/>
    <w:rsid w:val="00C14FB5"/>
    <w:rsid w:val="00C1512F"/>
    <w:rsid w:val="00C151EC"/>
    <w:rsid w:val="00C1544B"/>
    <w:rsid w:val="00C15A04"/>
    <w:rsid w:val="00C1656A"/>
    <w:rsid w:val="00C166FD"/>
    <w:rsid w:val="00C16815"/>
    <w:rsid w:val="00C16951"/>
    <w:rsid w:val="00C17D4D"/>
    <w:rsid w:val="00C205F8"/>
    <w:rsid w:val="00C2100C"/>
    <w:rsid w:val="00C2106B"/>
    <w:rsid w:val="00C21175"/>
    <w:rsid w:val="00C226C2"/>
    <w:rsid w:val="00C2297F"/>
    <w:rsid w:val="00C22CC3"/>
    <w:rsid w:val="00C2305A"/>
    <w:rsid w:val="00C23CC9"/>
    <w:rsid w:val="00C24114"/>
    <w:rsid w:val="00C248DB"/>
    <w:rsid w:val="00C248DD"/>
    <w:rsid w:val="00C2492B"/>
    <w:rsid w:val="00C2557A"/>
    <w:rsid w:val="00C255F6"/>
    <w:rsid w:val="00C256E7"/>
    <w:rsid w:val="00C25831"/>
    <w:rsid w:val="00C2605E"/>
    <w:rsid w:val="00C26EDD"/>
    <w:rsid w:val="00C27400"/>
    <w:rsid w:val="00C27BF6"/>
    <w:rsid w:val="00C27C80"/>
    <w:rsid w:val="00C30577"/>
    <w:rsid w:val="00C30B3D"/>
    <w:rsid w:val="00C30BEF"/>
    <w:rsid w:val="00C30DC6"/>
    <w:rsid w:val="00C31631"/>
    <w:rsid w:val="00C316BC"/>
    <w:rsid w:val="00C31E11"/>
    <w:rsid w:val="00C31E72"/>
    <w:rsid w:val="00C32004"/>
    <w:rsid w:val="00C323BD"/>
    <w:rsid w:val="00C33180"/>
    <w:rsid w:val="00C33462"/>
    <w:rsid w:val="00C33AE2"/>
    <w:rsid w:val="00C34138"/>
    <w:rsid w:val="00C34324"/>
    <w:rsid w:val="00C344E9"/>
    <w:rsid w:val="00C3492B"/>
    <w:rsid w:val="00C34B08"/>
    <w:rsid w:val="00C35315"/>
    <w:rsid w:val="00C3555A"/>
    <w:rsid w:val="00C3626C"/>
    <w:rsid w:val="00C36CE9"/>
    <w:rsid w:val="00C37741"/>
    <w:rsid w:val="00C37E3D"/>
    <w:rsid w:val="00C4041E"/>
    <w:rsid w:val="00C40C64"/>
    <w:rsid w:val="00C433C4"/>
    <w:rsid w:val="00C43FBA"/>
    <w:rsid w:val="00C441CC"/>
    <w:rsid w:val="00C44475"/>
    <w:rsid w:val="00C44E8D"/>
    <w:rsid w:val="00C44F87"/>
    <w:rsid w:val="00C451F2"/>
    <w:rsid w:val="00C45757"/>
    <w:rsid w:val="00C4609E"/>
    <w:rsid w:val="00C46807"/>
    <w:rsid w:val="00C47D44"/>
    <w:rsid w:val="00C506AC"/>
    <w:rsid w:val="00C50B1E"/>
    <w:rsid w:val="00C51780"/>
    <w:rsid w:val="00C51C72"/>
    <w:rsid w:val="00C51CB1"/>
    <w:rsid w:val="00C521B4"/>
    <w:rsid w:val="00C52914"/>
    <w:rsid w:val="00C544CC"/>
    <w:rsid w:val="00C546E7"/>
    <w:rsid w:val="00C549BF"/>
    <w:rsid w:val="00C55114"/>
    <w:rsid w:val="00C55963"/>
    <w:rsid w:val="00C56262"/>
    <w:rsid w:val="00C567A5"/>
    <w:rsid w:val="00C57198"/>
    <w:rsid w:val="00C578CE"/>
    <w:rsid w:val="00C61597"/>
    <w:rsid w:val="00C617BF"/>
    <w:rsid w:val="00C62692"/>
    <w:rsid w:val="00C62791"/>
    <w:rsid w:val="00C62FA1"/>
    <w:rsid w:val="00C632D6"/>
    <w:rsid w:val="00C63E6F"/>
    <w:rsid w:val="00C63F9B"/>
    <w:rsid w:val="00C64069"/>
    <w:rsid w:val="00C6477F"/>
    <w:rsid w:val="00C64871"/>
    <w:rsid w:val="00C64B36"/>
    <w:rsid w:val="00C64C87"/>
    <w:rsid w:val="00C653BA"/>
    <w:rsid w:val="00C657B4"/>
    <w:rsid w:val="00C6774F"/>
    <w:rsid w:val="00C677AA"/>
    <w:rsid w:val="00C67EA3"/>
    <w:rsid w:val="00C70669"/>
    <w:rsid w:val="00C7079E"/>
    <w:rsid w:val="00C70A37"/>
    <w:rsid w:val="00C70F72"/>
    <w:rsid w:val="00C71914"/>
    <w:rsid w:val="00C7263B"/>
    <w:rsid w:val="00C727EF"/>
    <w:rsid w:val="00C72D01"/>
    <w:rsid w:val="00C72F2F"/>
    <w:rsid w:val="00C73290"/>
    <w:rsid w:val="00C736A7"/>
    <w:rsid w:val="00C74181"/>
    <w:rsid w:val="00C742F7"/>
    <w:rsid w:val="00C74636"/>
    <w:rsid w:val="00C74AF1"/>
    <w:rsid w:val="00C74E4A"/>
    <w:rsid w:val="00C752C9"/>
    <w:rsid w:val="00C759F1"/>
    <w:rsid w:val="00C7613A"/>
    <w:rsid w:val="00C761B9"/>
    <w:rsid w:val="00C77225"/>
    <w:rsid w:val="00C77315"/>
    <w:rsid w:val="00C77AEB"/>
    <w:rsid w:val="00C77C98"/>
    <w:rsid w:val="00C80069"/>
    <w:rsid w:val="00C805DA"/>
    <w:rsid w:val="00C8096C"/>
    <w:rsid w:val="00C80A78"/>
    <w:rsid w:val="00C80B25"/>
    <w:rsid w:val="00C80F33"/>
    <w:rsid w:val="00C80FD0"/>
    <w:rsid w:val="00C8100B"/>
    <w:rsid w:val="00C81168"/>
    <w:rsid w:val="00C816BC"/>
    <w:rsid w:val="00C825DD"/>
    <w:rsid w:val="00C82DDB"/>
    <w:rsid w:val="00C8458B"/>
    <w:rsid w:val="00C852AC"/>
    <w:rsid w:val="00C857F9"/>
    <w:rsid w:val="00C860BC"/>
    <w:rsid w:val="00C8614D"/>
    <w:rsid w:val="00C86543"/>
    <w:rsid w:val="00C8683F"/>
    <w:rsid w:val="00C86967"/>
    <w:rsid w:val="00C87CC8"/>
    <w:rsid w:val="00C87D19"/>
    <w:rsid w:val="00C9091D"/>
    <w:rsid w:val="00C90FA2"/>
    <w:rsid w:val="00C91207"/>
    <w:rsid w:val="00C914A4"/>
    <w:rsid w:val="00C91CA5"/>
    <w:rsid w:val="00C91D26"/>
    <w:rsid w:val="00C92267"/>
    <w:rsid w:val="00C94857"/>
    <w:rsid w:val="00C94863"/>
    <w:rsid w:val="00C94F83"/>
    <w:rsid w:val="00C959C2"/>
    <w:rsid w:val="00C95BC5"/>
    <w:rsid w:val="00C95DEA"/>
    <w:rsid w:val="00C95FCA"/>
    <w:rsid w:val="00C9633F"/>
    <w:rsid w:val="00C974ED"/>
    <w:rsid w:val="00C976AC"/>
    <w:rsid w:val="00C97A8D"/>
    <w:rsid w:val="00CA0083"/>
    <w:rsid w:val="00CA04C0"/>
    <w:rsid w:val="00CA0837"/>
    <w:rsid w:val="00CA0BD9"/>
    <w:rsid w:val="00CA12B2"/>
    <w:rsid w:val="00CA140F"/>
    <w:rsid w:val="00CA14DD"/>
    <w:rsid w:val="00CA4064"/>
    <w:rsid w:val="00CA41D2"/>
    <w:rsid w:val="00CA4753"/>
    <w:rsid w:val="00CA4D91"/>
    <w:rsid w:val="00CA4F20"/>
    <w:rsid w:val="00CA525B"/>
    <w:rsid w:val="00CA5908"/>
    <w:rsid w:val="00CA5D21"/>
    <w:rsid w:val="00CA6512"/>
    <w:rsid w:val="00CA7A61"/>
    <w:rsid w:val="00CA7F72"/>
    <w:rsid w:val="00CB0C16"/>
    <w:rsid w:val="00CB1327"/>
    <w:rsid w:val="00CB149F"/>
    <w:rsid w:val="00CB1EAE"/>
    <w:rsid w:val="00CB1F5B"/>
    <w:rsid w:val="00CB2147"/>
    <w:rsid w:val="00CB22A1"/>
    <w:rsid w:val="00CB28EA"/>
    <w:rsid w:val="00CB30F5"/>
    <w:rsid w:val="00CB315D"/>
    <w:rsid w:val="00CB38FE"/>
    <w:rsid w:val="00CB3B4E"/>
    <w:rsid w:val="00CB3EC6"/>
    <w:rsid w:val="00CB4AEE"/>
    <w:rsid w:val="00CB4BEE"/>
    <w:rsid w:val="00CB4F56"/>
    <w:rsid w:val="00CB598E"/>
    <w:rsid w:val="00CB68CC"/>
    <w:rsid w:val="00CB6BB5"/>
    <w:rsid w:val="00CB6D6A"/>
    <w:rsid w:val="00CB7873"/>
    <w:rsid w:val="00CC0309"/>
    <w:rsid w:val="00CC07DB"/>
    <w:rsid w:val="00CC0A26"/>
    <w:rsid w:val="00CC0AB1"/>
    <w:rsid w:val="00CC0E84"/>
    <w:rsid w:val="00CC129B"/>
    <w:rsid w:val="00CC1838"/>
    <w:rsid w:val="00CC341C"/>
    <w:rsid w:val="00CC3645"/>
    <w:rsid w:val="00CC379D"/>
    <w:rsid w:val="00CC37FC"/>
    <w:rsid w:val="00CC3B15"/>
    <w:rsid w:val="00CC3F55"/>
    <w:rsid w:val="00CC4116"/>
    <w:rsid w:val="00CC54B1"/>
    <w:rsid w:val="00CC55AE"/>
    <w:rsid w:val="00CC5932"/>
    <w:rsid w:val="00CC64AC"/>
    <w:rsid w:val="00CC7253"/>
    <w:rsid w:val="00CC79A2"/>
    <w:rsid w:val="00CC7D66"/>
    <w:rsid w:val="00CD0153"/>
    <w:rsid w:val="00CD022B"/>
    <w:rsid w:val="00CD02C6"/>
    <w:rsid w:val="00CD092E"/>
    <w:rsid w:val="00CD0A75"/>
    <w:rsid w:val="00CD11DE"/>
    <w:rsid w:val="00CD143E"/>
    <w:rsid w:val="00CD1963"/>
    <w:rsid w:val="00CD19CA"/>
    <w:rsid w:val="00CD1AC2"/>
    <w:rsid w:val="00CD29D6"/>
    <w:rsid w:val="00CD29FC"/>
    <w:rsid w:val="00CD34FD"/>
    <w:rsid w:val="00CD3E17"/>
    <w:rsid w:val="00CD3EFC"/>
    <w:rsid w:val="00CD4033"/>
    <w:rsid w:val="00CD467E"/>
    <w:rsid w:val="00CD4860"/>
    <w:rsid w:val="00CD4B86"/>
    <w:rsid w:val="00CD50A4"/>
    <w:rsid w:val="00CD51ED"/>
    <w:rsid w:val="00CD5CFC"/>
    <w:rsid w:val="00CD6C4D"/>
    <w:rsid w:val="00CD7357"/>
    <w:rsid w:val="00CD7B3A"/>
    <w:rsid w:val="00CD7E37"/>
    <w:rsid w:val="00CE0199"/>
    <w:rsid w:val="00CE0440"/>
    <w:rsid w:val="00CE0448"/>
    <w:rsid w:val="00CE05E1"/>
    <w:rsid w:val="00CE0620"/>
    <w:rsid w:val="00CE0B3A"/>
    <w:rsid w:val="00CE1146"/>
    <w:rsid w:val="00CE16F2"/>
    <w:rsid w:val="00CE178F"/>
    <w:rsid w:val="00CE18AA"/>
    <w:rsid w:val="00CE1CC5"/>
    <w:rsid w:val="00CE1CF3"/>
    <w:rsid w:val="00CE1E16"/>
    <w:rsid w:val="00CE253C"/>
    <w:rsid w:val="00CE291E"/>
    <w:rsid w:val="00CE2920"/>
    <w:rsid w:val="00CE2D0B"/>
    <w:rsid w:val="00CE2EE4"/>
    <w:rsid w:val="00CE3346"/>
    <w:rsid w:val="00CE3797"/>
    <w:rsid w:val="00CE3ADA"/>
    <w:rsid w:val="00CE4025"/>
    <w:rsid w:val="00CE41CB"/>
    <w:rsid w:val="00CE42E6"/>
    <w:rsid w:val="00CE4850"/>
    <w:rsid w:val="00CE48D3"/>
    <w:rsid w:val="00CE498F"/>
    <w:rsid w:val="00CE4A8C"/>
    <w:rsid w:val="00CE5B42"/>
    <w:rsid w:val="00CE5D42"/>
    <w:rsid w:val="00CE5FE1"/>
    <w:rsid w:val="00CE6803"/>
    <w:rsid w:val="00CE6D99"/>
    <w:rsid w:val="00CE7351"/>
    <w:rsid w:val="00CE7987"/>
    <w:rsid w:val="00CF0777"/>
    <w:rsid w:val="00CF0FF4"/>
    <w:rsid w:val="00CF155E"/>
    <w:rsid w:val="00CF1622"/>
    <w:rsid w:val="00CF1747"/>
    <w:rsid w:val="00CF1CCE"/>
    <w:rsid w:val="00CF1EB5"/>
    <w:rsid w:val="00CF26D0"/>
    <w:rsid w:val="00CF28B5"/>
    <w:rsid w:val="00CF291D"/>
    <w:rsid w:val="00CF34DB"/>
    <w:rsid w:val="00CF3CAD"/>
    <w:rsid w:val="00CF3DED"/>
    <w:rsid w:val="00CF3E28"/>
    <w:rsid w:val="00CF425F"/>
    <w:rsid w:val="00CF4635"/>
    <w:rsid w:val="00CF46ED"/>
    <w:rsid w:val="00CF5173"/>
    <w:rsid w:val="00CF51E8"/>
    <w:rsid w:val="00CF5BA3"/>
    <w:rsid w:val="00CF5F43"/>
    <w:rsid w:val="00CF637A"/>
    <w:rsid w:val="00CF6719"/>
    <w:rsid w:val="00CF6A48"/>
    <w:rsid w:val="00CF7C31"/>
    <w:rsid w:val="00CF7E25"/>
    <w:rsid w:val="00D00450"/>
    <w:rsid w:val="00D00CF6"/>
    <w:rsid w:val="00D012B9"/>
    <w:rsid w:val="00D013E2"/>
    <w:rsid w:val="00D0152F"/>
    <w:rsid w:val="00D01F80"/>
    <w:rsid w:val="00D0208A"/>
    <w:rsid w:val="00D025CC"/>
    <w:rsid w:val="00D028B3"/>
    <w:rsid w:val="00D0293C"/>
    <w:rsid w:val="00D02DA7"/>
    <w:rsid w:val="00D0304E"/>
    <w:rsid w:val="00D03F68"/>
    <w:rsid w:val="00D04EC9"/>
    <w:rsid w:val="00D053C2"/>
    <w:rsid w:val="00D05E0E"/>
    <w:rsid w:val="00D06218"/>
    <w:rsid w:val="00D06B21"/>
    <w:rsid w:val="00D07CAE"/>
    <w:rsid w:val="00D104AC"/>
    <w:rsid w:val="00D10566"/>
    <w:rsid w:val="00D11B5C"/>
    <w:rsid w:val="00D11C6E"/>
    <w:rsid w:val="00D11D11"/>
    <w:rsid w:val="00D12AD5"/>
    <w:rsid w:val="00D136C3"/>
    <w:rsid w:val="00D138B4"/>
    <w:rsid w:val="00D13D12"/>
    <w:rsid w:val="00D140C2"/>
    <w:rsid w:val="00D149DF"/>
    <w:rsid w:val="00D152AA"/>
    <w:rsid w:val="00D15500"/>
    <w:rsid w:val="00D15C15"/>
    <w:rsid w:val="00D15E24"/>
    <w:rsid w:val="00D1621C"/>
    <w:rsid w:val="00D1662B"/>
    <w:rsid w:val="00D16725"/>
    <w:rsid w:val="00D16D23"/>
    <w:rsid w:val="00D17570"/>
    <w:rsid w:val="00D17643"/>
    <w:rsid w:val="00D17911"/>
    <w:rsid w:val="00D17FB4"/>
    <w:rsid w:val="00D20188"/>
    <w:rsid w:val="00D201E3"/>
    <w:rsid w:val="00D2026B"/>
    <w:rsid w:val="00D2027A"/>
    <w:rsid w:val="00D20B23"/>
    <w:rsid w:val="00D20C94"/>
    <w:rsid w:val="00D218EF"/>
    <w:rsid w:val="00D22433"/>
    <w:rsid w:val="00D22748"/>
    <w:rsid w:val="00D22E55"/>
    <w:rsid w:val="00D232AE"/>
    <w:rsid w:val="00D233E0"/>
    <w:rsid w:val="00D2347F"/>
    <w:rsid w:val="00D23626"/>
    <w:rsid w:val="00D242C0"/>
    <w:rsid w:val="00D242E5"/>
    <w:rsid w:val="00D2490A"/>
    <w:rsid w:val="00D24AAE"/>
    <w:rsid w:val="00D24B4F"/>
    <w:rsid w:val="00D25371"/>
    <w:rsid w:val="00D25F9E"/>
    <w:rsid w:val="00D2615B"/>
    <w:rsid w:val="00D26918"/>
    <w:rsid w:val="00D27015"/>
    <w:rsid w:val="00D27734"/>
    <w:rsid w:val="00D27BED"/>
    <w:rsid w:val="00D3182A"/>
    <w:rsid w:val="00D31EC4"/>
    <w:rsid w:val="00D32136"/>
    <w:rsid w:val="00D3222B"/>
    <w:rsid w:val="00D3227D"/>
    <w:rsid w:val="00D323CB"/>
    <w:rsid w:val="00D330D8"/>
    <w:rsid w:val="00D33197"/>
    <w:rsid w:val="00D33567"/>
    <w:rsid w:val="00D33EEE"/>
    <w:rsid w:val="00D341A7"/>
    <w:rsid w:val="00D34B4B"/>
    <w:rsid w:val="00D35236"/>
    <w:rsid w:val="00D352F1"/>
    <w:rsid w:val="00D35305"/>
    <w:rsid w:val="00D3579C"/>
    <w:rsid w:val="00D37121"/>
    <w:rsid w:val="00D376AA"/>
    <w:rsid w:val="00D40043"/>
    <w:rsid w:val="00D40A47"/>
    <w:rsid w:val="00D40BB1"/>
    <w:rsid w:val="00D40C19"/>
    <w:rsid w:val="00D41051"/>
    <w:rsid w:val="00D410F8"/>
    <w:rsid w:val="00D417AE"/>
    <w:rsid w:val="00D41B6F"/>
    <w:rsid w:val="00D446AE"/>
    <w:rsid w:val="00D455CC"/>
    <w:rsid w:val="00D457ED"/>
    <w:rsid w:val="00D458A6"/>
    <w:rsid w:val="00D464F2"/>
    <w:rsid w:val="00D468B0"/>
    <w:rsid w:val="00D46AEF"/>
    <w:rsid w:val="00D46D32"/>
    <w:rsid w:val="00D46EB7"/>
    <w:rsid w:val="00D46F56"/>
    <w:rsid w:val="00D476EB"/>
    <w:rsid w:val="00D478AA"/>
    <w:rsid w:val="00D47F55"/>
    <w:rsid w:val="00D50A23"/>
    <w:rsid w:val="00D50FBA"/>
    <w:rsid w:val="00D5134A"/>
    <w:rsid w:val="00D51372"/>
    <w:rsid w:val="00D5162F"/>
    <w:rsid w:val="00D51AD6"/>
    <w:rsid w:val="00D51C50"/>
    <w:rsid w:val="00D523B2"/>
    <w:rsid w:val="00D5266D"/>
    <w:rsid w:val="00D52BBA"/>
    <w:rsid w:val="00D52C1C"/>
    <w:rsid w:val="00D53BD6"/>
    <w:rsid w:val="00D543EE"/>
    <w:rsid w:val="00D546D9"/>
    <w:rsid w:val="00D54AEA"/>
    <w:rsid w:val="00D54E4B"/>
    <w:rsid w:val="00D55A96"/>
    <w:rsid w:val="00D56796"/>
    <w:rsid w:val="00D56D40"/>
    <w:rsid w:val="00D56D85"/>
    <w:rsid w:val="00D57A84"/>
    <w:rsid w:val="00D60345"/>
    <w:rsid w:val="00D606FC"/>
    <w:rsid w:val="00D60B6B"/>
    <w:rsid w:val="00D60D72"/>
    <w:rsid w:val="00D60D80"/>
    <w:rsid w:val="00D61918"/>
    <w:rsid w:val="00D62F54"/>
    <w:rsid w:val="00D63019"/>
    <w:rsid w:val="00D631BD"/>
    <w:rsid w:val="00D64502"/>
    <w:rsid w:val="00D64812"/>
    <w:rsid w:val="00D64E31"/>
    <w:rsid w:val="00D65360"/>
    <w:rsid w:val="00D65604"/>
    <w:rsid w:val="00D656B6"/>
    <w:rsid w:val="00D657BB"/>
    <w:rsid w:val="00D65F9D"/>
    <w:rsid w:val="00D666E7"/>
    <w:rsid w:val="00D66C52"/>
    <w:rsid w:val="00D675FB"/>
    <w:rsid w:val="00D678F8"/>
    <w:rsid w:val="00D67C66"/>
    <w:rsid w:val="00D67E37"/>
    <w:rsid w:val="00D705C5"/>
    <w:rsid w:val="00D706C6"/>
    <w:rsid w:val="00D712E7"/>
    <w:rsid w:val="00D721EC"/>
    <w:rsid w:val="00D726CE"/>
    <w:rsid w:val="00D73677"/>
    <w:rsid w:val="00D73943"/>
    <w:rsid w:val="00D74912"/>
    <w:rsid w:val="00D74A6E"/>
    <w:rsid w:val="00D75805"/>
    <w:rsid w:val="00D75B50"/>
    <w:rsid w:val="00D75BE2"/>
    <w:rsid w:val="00D76480"/>
    <w:rsid w:val="00D779F7"/>
    <w:rsid w:val="00D80754"/>
    <w:rsid w:val="00D8099D"/>
    <w:rsid w:val="00D80CD9"/>
    <w:rsid w:val="00D81912"/>
    <w:rsid w:val="00D81F77"/>
    <w:rsid w:val="00D823AA"/>
    <w:rsid w:val="00D82459"/>
    <w:rsid w:val="00D82F54"/>
    <w:rsid w:val="00D83026"/>
    <w:rsid w:val="00D83045"/>
    <w:rsid w:val="00D8314F"/>
    <w:rsid w:val="00D83354"/>
    <w:rsid w:val="00D83DEB"/>
    <w:rsid w:val="00D844D3"/>
    <w:rsid w:val="00D8476A"/>
    <w:rsid w:val="00D857E6"/>
    <w:rsid w:val="00D85885"/>
    <w:rsid w:val="00D8653A"/>
    <w:rsid w:val="00D871CE"/>
    <w:rsid w:val="00D87542"/>
    <w:rsid w:val="00D87D77"/>
    <w:rsid w:val="00D90174"/>
    <w:rsid w:val="00D90555"/>
    <w:rsid w:val="00D906F0"/>
    <w:rsid w:val="00D916CC"/>
    <w:rsid w:val="00D91AF5"/>
    <w:rsid w:val="00D920CA"/>
    <w:rsid w:val="00D92BFA"/>
    <w:rsid w:val="00D935D1"/>
    <w:rsid w:val="00D9375F"/>
    <w:rsid w:val="00D937F8"/>
    <w:rsid w:val="00D93883"/>
    <w:rsid w:val="00D93A88"/>
    <w:rsid w:val="00D93AF5"/>
    <w:rsid w:val="00D93B43"/>
    <w:rsid w:val="00D93D76"/>
    <w:rsid w:val="00D93D78"/>
    <w:rsid w:val="00D93F6A"/>
    <w:rsid w:val="00D93FAF"/>
    <w:rsid w:val="00D94046"/>
    <w:rsid w:val="00D940D3"/>
    <w:rsid w:val="00D945EB"/>
    <w:rsid w:val="00D94DB5"/>
    <w:rsid w:val="00D95202"/>
    <w:rsid w:val="00D95458"/>
    <w:rsid w:val="00D95B44"/>
    <w:rsid w:val="00D95C20"/>
    <w:rsid w:val="00D961B5"/>
    <w:rsid w:val="00D961C7"/>
    <w:rsid w:val="00D96BFE"/>
    <w:rsid w:val="00D96F7E"/>
    <w:rsid w:val="00D9778A"/>
    <w:rsid w:val="00D979D0"/>
    <w:rsid w:val="00D97B59"/>
    <w:rsid w:val="00D97C16"/>
    <w:rsid w:val="00D97D49"/>
    <w:rsid w:val="00DA025F"/>
    <w:rsid w:val="00DA0755"/>
    <w:rsid w:val="00DA08A5"/>
    <w:rsid w:val="00DA19B5"/>
    <w:rsid w:val="00DA1C74"/>
    <w:rsid w:val="00DA2219"/>
    <w:rsid w:val="00DA23AB"/>
    <w:rsid w:val="00DA2B4B"/>
    <w:rsid w:val="00DA4011"/>
    <w:rsid w:val="00DA4512"/>
    <w:rsid w:val="00DA4D03"/>
    <w:rsid w:val="00DA4EAF"/>
    <w:rsid w:val="00DA5929"/>
    <w:rsid w:val="00DA5A16"/>
    <w:rsid w:val="00DA6949"/>
    <w:rsid w:val="00DA778B"/>
    <w:rsid w:val="00DA7D0B"/>
    <w:rsid w:val="00DB0639"/>
    <w:rsid w:val="00DB07CA"/>
    <w:rsid w:val="00DB0823"/>
    <w:rsid w:val="00DB0E2A"/>
    <w:rsid w:val="00DB111E"/>
    <w:rsid w:val="00DB19F5"/>
    <w:rsid w:val="00DB2629"/>
    <w:rsid w:val="00DB2718"/>
    <w:rsid w:val="00DB2773"/>
    <w:rsid w:val="00DB27E9"/>
    <w:rsid w:val="00DB2A06"/>
    <w:rsid w:val="00DB383F"/>
    <w:rsid w:val="00DB3A50"/>
    <w:rsid w:val="00DB532F"/>
    <w:rsid w:val="00DB53D6"/>
    <w:rsid w:val="00DB5CC0"/>
    <w:rsid w:val="00DB5FF0"/>
    <w:rsid w:val="00DB63F1"/>
    <w:rsid w:val="00DB65D7"/>
    <w:rsid w:val="00DB6791"/>
    <w:rsid w:val="00DB6B4A"/>
    <w:rsid w:val="00DB6C38"/>
    <w:rsid w:val="00DB6E76"/>
    <w:rsid w:val="00DB736F"/>
    <w:rsid w:val="00DB7445"/>
    <w:rsid w:val="00DB7D53"/>
    <w:rsid w:val="00DC0464"/>
    <w:rsid w:val="00DC0632"/>
    <w:rsid w:val="00DC0787"/>
    <w:rsid w:val="00DC0F18"/>
    <w:rsid w:val="00DC1303"/>
    <w:rsid w:val="00DC1403"/>
    <w:rsid w:val="00DC1D24"/>
    <w:rsid w:val="00DC20FE"/>
    <w:rsid w:val="00DC389B"/>
    <w:rsid w:val="00DC3904"/>
    <w:rsid w:val="00DC394C"/>
    <w:rsid w:val="00DC42A4"/>
    <w:rsid w:val="00DC42EA"/>
    <w:rsid w:val="00DC4933"/>
    <w:rsid w:val="00DC558C"/>
    <w:rsid w:val="00DC5ED6"/>
    <w:rsid w:val="00DC6513"/>
    <w:rsid w:val="00DC693E"/>
    <w:rsid w:val="00DC6BD8"/>
    <w:rsid w:val="00DC7C31"/>
    <w:rsid w:val="00DD01BE"/>
    <w:rsid w:val="00DD0C3F"/>
    <w:rsid w:val="00DD1F41"/>
    <w:rsid w:val="00DD26CC"/>
    <w:rsid w:val="00DD3543"/>
    <w:rsid w:val="00DD3766"/>
    <w:rsid w:val="00DD380F"/>
    <w:rsid w:val="00DD503F"/>
    <w:rsid w:val="00DD514C"/>
    <w:rsid w:val="00DD5B43"/>
    <w:rsid w:val="00DD5BE3"/>
    <w:rsid w:val="00DD60E2"/>
    <w:rsid w:val="00DD650B"/>
    <w:rsid w:val="00DD691A"/>
    <w:rsid w:val="00DD6DE7"/>
    <w:rsid w:val="00DD71D6"/>
    <w:rsid w:val="00DD73A8"/>
    <w:rsid w:val="00DD7687"/>
    <w:rsid w:val="00DD7849"/>
    <w:rsid w:val="00DD7B55"/>
    <w:rsid w:val="00DE0797"/>
    <w:rsid w:val="00DE08C3"/>
    <w:rsid w:val="00DE094A"/>
    <w:rsid w:val="00DE17FA"/>
    <w:rsid w:val="00DE1ACD"/>
    <w:rsid w:val="00DE1DAB"/>
    <w:rsid w:val="00DE20A2"/>
    <w:rsid w:val="00DE261E"/>
    <w:rsid w:val="00DE269B"/>
    <w:rsid w:val="00DE269D"/>
    <w:rsid w:val="00DE3288"/>
    <w:rsid w:val="00DE3C7B"/>
    <w:rsid w:val="00DE3ECA"/>
    <w:rsid w:val="00DE43A8"/>
    <w:rsid w:val="00DE52B7"/>
    <w:rsid w:val="00DE59EE"/>
    <w:rsid w:val="00DE6636"/>
    <w:rsid w:val="00DE6C5F"/>
    <w:rsid w:val="00DE70EA"/>
    <w:rsid w:val="00DF0175"/>
    <w:rsid w:val="00DF0B89"/>
    <w:rsid w:val="00DF0CFA"/>
    <w:rsid w:val="00DF131B"/>
    <w:rsid w:val="00DF1325"/>
    <w:rsid w:val="00DF152E"/>
    <w:rsid w:val="00DF164A"/>
    <w:rsid w:val="00DF2527"/>
    <w:rsid w:val="00DF2808"/>
    <w:rsid w:val="00DF299E"/>
    <w:rsid w:val="00DF2BC6"/>
    <w:rsid w:val="00DF3044"/>
    <w:rsid w:val="00DF340F"/>
    <w:rsid w:val="00DF353C"/>
    <w:rsid w:val="00DF3DF8"/>
    <w:rsid w:val="00DF4216"/>
    <w:rsid w:val="00DF46B7"/>
    <w:rsid w:val="00DF46C8"/>
    <w:rsid w:val="00DF476B"/>
    <w:rsid w:val="00DF4978"/>
    <w:rsid w:val="00DF55D6"/>
    <w:rsid w:val="00DF58F4"/>
    <w:rsid w:val="00DF5AAF"/>
    <w:rsid w:val="00DF5AB2"/>
    <w:rsid w:val="00DF6074"/>
    <w:rsid w:val="00DF6BF4"/>
    <w:rsid w:val="00DF73B6"/>
    <w:rsid w:val="00DF781C"/>
    <w:rsid w:val="00E00270"/>
    <w:rsid w:val="00E008D8"/>
    <w:rsid w:val="00E00C6B"/>
    <w:rsid w:val="00E00D29"/>
    <w:rsid w:val="00E02A3C"/>
    <w:rsid w:val="00E02F70"/>
    <w:rsid w:val="00E032F6"/>
    <w:rsid w:val="00E03467"/>
    <w:rsid w:val="00E03E5D"/>
    <w:rsid w:val="00E03F4C"/>
    <w:rsid w:val="00E03F4E"/>
    <w:rsid w:val="00E0439C"/>
    <w:rsid w:val="00E049A5"/>
    <w:rsid w:val="00E051FB"/>
    <w:rsid w:val="00E056B0"/>
    <w:rsid w:val="00E05984"/>
    <w:rsid w:val="00E05C27"/>
    <w:rsid w:val="00E063DE"/>
    <w:rsid w:val="00E0671B"/>
    <w:rsid w:val="00E06E82"/>
    <w:rsid w:val="00E07453"/>
    <w:rsid w:val="00E07E7B"/>
    <w:rsid w:val="00E07F6A"/>
    <w:rsid w:val="00E118AB"/>
    <w:rsid w:val="00E11C81"/>
    <w:rsid w:val="00E11E0F"/>
    <w:rsid w:val="00E11E5E"/>
    <w:rsid w:val="00E12077"/>
    <w:rsid w:val="00E121E9"/>
    <w:rsid w:val="00E12644"/>
    <w:rsid w:val="00E129D1"/>
    <w:rsid w:val="00E12F2F"/>
    <w:rsid w:val="00E12FBA"/>
    <w:rsid w:val="00E1319F"/>
    <w:rsid w:val="00E13A48"/>
    <w:rsid w:val="00E13FB6"/>
    <w:rsid w:val="00E14ACF"/>
    <w:rsid w:val="00E14BAD"/>
    <w:rsid w:val="00E14D14"/>
    <w:rsid w:val="00E159EC"/>
    <w:rsid w:val="00E15C68"/>
    <w:rsid w:val="00E16E4C"/>
    <w:rsid w:val="00E173EF"/>
    <w:rsid w:val="00E20A78"/>
    <w:rsid w:val="00E20AFC"/>
    <w:rsid w:val="00E20B50"/>
    <w:rsid w:val="00E20B5E"/>
    <w:rsid w:val="00E20F69"/>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D4"/>
    <w:rsid w:val="00E30AF9"/>
    <w:rsid w:val="00E31781"/>
    <w:rsid w:val="00E31FB7"/>
    <w:rsid w:val="00E32363"/>
    <w:rsid w:val="00E32488"/>
    <w:rsid w:val="00E327E4"/>
    <w:rsid w:val="00E328FF"/>
    <w:rsid w:val="00E32E77"/>
    <w:rsid w:val="00E33575"/>
    <w:rsid w:val="00E344FA"/>
    <w:rsid w:val="00E34C86"/>
    <w:rsid w:val="00E34DB8"/>
    <w:rsid w:val="00E35369"/>
    <w:rsid w:val="00E35682"/>
    <w:rsid w:val="00E35DF9"/>
    <w:rsid w:val="00E361F1"/>
    <w:rsid w:val="00E3649B"/>
    <w:rsid w:val="00E3697A"/>
    <w:rsid w:val="00E3745E"/>
    <w:rsid w:val="00E37A35"/>
    <w:rsid w:val="00E37B12"/>
    <w:rsid w:val="00E37BEF"/>
    <w:rsid w:val="00E37D65"/>
    <w:rsid w:val="00E41042"/>
    <w:rsid w:val="00E41074"/>
    <w:rsid w:val="00E4127C"/>
    <w:rsid w:val="00E41B14"/>
    <w:rsid w:val="00E41DD4"/>
    <w:rsid w:val="00E4219A"/>
    <w:rsid w:val="00E424A0"/>
    <w:rsid w:val="00E4255F"/>
    <w:rsid w:val="00E425C4"/>
    <w:rsid w:val="00E42698"/>
    <w:rsid w:val="00E4274A"/>
    <w:rsid w:val="00E433FB"/>
    <w:rsid w:val="00E43B12"/>
    <w:rsid w:val="00E43E66"/>
    <w:rsid w:val="00E443AB"/>
    <w:rsid w:val="00E444BC"/>
    <w:rsid w:val="00E4510E"/>
    <w:rsid w:val="00E45294"/>
    <w:rsid w:val="00E45D97"/>
    <w:rsid w:val="00E46906"/>
    <w:rsid w:val="00E46EA3"/>
    <w:rsid w:val="00E47D3D"/>
    <w:rsid w:val="00E50223"/>
    <w:rsid w:val="00E5059B"/>
    <w:rsid w:val="00E509F8"/>
    <w:rsid w:val="00E50F61"/>
    <w:rsid w:val="00E51502"/>
    <w:rsid w:val="00E51C1B"/>
    <w:rsid w:val="00E52FD1"/>
    <w:rsid w:val="00E52FDB"/>
    <w:rsid w:val="00E5332C"/>
    <w:rsid w:val="00E53353"/>
    <w:rsid w:val="00E535A6"/>
    <w:rsid w:val="00E53C45"/>
    <w:rsid w:val="00E53CE0"/>
    <w:rsid w:val="00E53DA7"/>
    <w:rsid w:val="00E540FC"/>
    <w:rsid w:val="00E54C11"/>
    <w:rsid w:val="00E55D57"/>
    <w:rsid w:val="00E55DB0"/>
    <w:rsid w:val="00E56E3F"/>
    <w:rsid w:val="00E5703B"/>
    <w:rsid w:val="00E577EC"/>
    <w:rsid w:val="00E57C4D"/>
    <w:rsid w:val="00E602BD"/>
    <w:rsid w:val="00E60783"/>
    <w:rsid w:val="00E61000"/>
    <w:rsid w:val="00E61671"/>
    <w:rsid w:val="00E61A8C"/>
    <w:rsid w:val="00E61A8D"/>
    <w:rsid w:val="00E62337"/>
    <w:rsid w:val="00E62809"/>
    <w:rsid w:val="00E63321"/>
    <w:rsid w:val="00E634AD"/>
    <w:rsid w:val="00E635BD"/>
    <w:rsid w:val="00E63675"/>
    <w:rsid w:val="00E638A7"/>
    <w:rsid w:val="00E63FAC"/>
    <w:rsid w:val="00E64141"/>
    <w:rsid w:val="00E645E9"/>
    <w:rsid w:val="00E646D8"/>
    <w:rsid w:val="00E64716"/>
    <w:rsid w:val="00E64C9D"/>
    <w:rsid w:val="00E65367"/>
    <w:rsid w:val="00E6537A"/>
    <w:rsid w:val="00E65567"/>
    <w:rsid w:val="00E65B31"/>
    <w:rsid w:val="00E65B3E"/>
    <w:rsid w:val="00E65F2E"/>
    <w:rsid w:val="00E65FF3"/>
    <w:rsid w:val="00E660EC"/>
    <w:rsid w:val="00E6618A"/>
    <w:rsid w:val="00E66819"/>
    <w:rsid w:val="00E67038"/>
    <w:rsid w:val="00E67470"/>
    <w:rsid w:val="00E67A24"/>
    <w:rsid w:val="00E67C62"/>
    <w:rsid w:val="00E67D62"/>
    <w:rsid w:val="00E7025B"/>
    <w:rsid w:val="00E70552"/>
    <w:rsid w:val="00E706F8"/>
    <w:rsid w:val="00E712A0"/>
    <w:rsid w:val="00E712F8"/>
    <w:rsid w:val="00E71336"/>
    <w:rsid w:val="00E71416"/>
    <w:rsid w:val="00E7174D"/>
    <w:rsid w:val="00E72B05"/>
    <w:rsid w:val="00E72E0E"/>
    <w:rsid w:val="00E72FE7"/>
    <w:rsid w:val="00E73D0E"/>
    <w:rsid w:val="00E749FE"/>
    <w:rsid w:val="00E74A39"/>
    <w:rsid w:val="00E75609"/>
    <w:rsid w:val="00E75790"/>
    <w:rsid w:val="00E75BCD"/>
    <w:rsid w:val="00E76031"/>
    <w:rsid w:val="00E76714"/>
    <w:rsid w:val="00E80437"/>
    <w:rsid w:val="00E80EE6"/>
    <w:rsid w:val="00E81031"/>
    <w:rsid w:val="00E81525"/>
    <w:rsid w:val="00E8184C"/>
    <w:rsid w:val="00E81B55"/>
    <w:rsid w:val="00E82CEF"/>
    <w:rsid w:val="00E83A79"/>
    <w:rsid w:val="00E83B1E"/>
    <w:rsid w:val="00E83D05"/>
    <w:rsid w:val="00E83DC4"/>
    <w:rsid w:val="00E83DCE"/>
    <w:rsid w:val="00E842A8"/>
    <w:rsid w:val="00E84360"/>
    <w:rsid w:val="00E847B3"/>
    <w:rsid w:val="00E84E89"/>
    <w:rsid w:val="00E858B2"/>
    <w:rsid w:val="00E86804"/>
    <w:rsid w:val="00E86871"/>
    <w:rsid w:val="00E8691F"/>
    <w:rsid w:val="00E870BF"/>
    <w:rsid w:val="00E871BC"/>
    <w:rsid w:val="00E87A23"/>
    <w:rsid w:val="00E90229"/>
    <w:rsid w:val="00E90ABA"/>
    <w:rsid w:val="00E91899"/>
    <w:rsid w:val="00E91A6F"/>
    <w:rsid w:val="00E92268"/>
    <w:rsid w:val="00E9246B"/>
    <w:rsid w:val="00E92604"/>
    <w:rsid w:val="00E927A2"/>
    <w:rsid w:val="00E92819"/>
    <w:rsid w:val="00E936C2"/>
    <w:rsid w:val="00E93B8A"/>
    <w:rsid w:val="00E942AE"/>
    <w:rsid w:val="00E94469"/>
    <w:rsid w:val="00E949C6"/>
    <w:rsid w:val="00E96274"/>
    <w:rsid w:val="00E96D36"/>
    <w:rsid w:val="00E974B7"/>
    <w:rsid w:val="00E97DD3"/>
    <w:rsid w:val="00EA00A6"/>
    <w:rsid w:val="00EA1134"/>
    <w:rsid w:val="00EA1192"/>
    <w:rsid w:val="00EA1489"/>
    <w:rsid w:val="00EA148E"/>
    <w:rsid w:val="00EA151C"/>
    <w:rsid w:val="00EA1A6D"/>
    <w:rsid w:val="00EA21DA"/>
    <w:rsid w:val="00EA28D1"/>
    <w:rsid w:val="00EA335A"/>
    <w:rsid w:val="00EA3D63"/>
    <w:rsid w:val="00EA3E05"/>
    <w:rsid w:val="00EA3EB1"/>
    <w:rsid w:val="00EA4DBA"/>
    <w:rsid w:val="00EA4F3D"/>
    <w:rsid w:val="00EA55C1"/>
    <w:rsid w:val="00EA57A8"/>
    <w:rsid w:val="00EA5AC0"/>
    <w:rsid w:val="00EA61F0"/>
    <w:rsid w:val="00EA6854"/>
    <w:rsid w:val="00EA7391"/>
    <w:rsid w:val="00EA7C1F"/>
    <w:rsid w:val="00EB0265"/>
    <w:rsid w:val="00EB09C3"/>
    <w:rsid w:val="00EB0AA6"/>
    <w:rsid w:val="00EB0DC5"/>
    <w:rsid w:val="00EB1273"/>
    <w:rsid w:val="00EB1C22"/>
    <w:rsid w:val="00EB1ED2"/>
    <w:rsid w:val="00EB223C"/>
    <w:rsid w:val="00EB22C0"/>
    <w:rsid w:val="00EB37A8"/>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13CB"/>
    <w:rsid w:val="00EC1828"/>
    <w:rsid w:val="00EC1B2E"/>
    <w:rsid w:val="00EC2514"/>
    <w:rsid w:val="00EC287C"/>
    <w:rsid w:val="00EC2AB4"/>
    <w:rsid w:val="00EC2B87"/>
    <w:rsid w:val="00EC2DA4"/>
    <w:rsid w:val="00EC3089"/>
    <w:rsid w:val="00EC4214"/>
    <w:rsid w:val="00EC4338"/>
    <w:rsid w:val="00EC4966"/>
    <w:rsid w:val="00EC4ABA"/>
    <w:rsid w:val="00EC4FF0"/>
    <w:rsid w:val="00EC6229"/>
    <w:rsid w:val="00EC6B44"/>
    <w:rsid w:val="00EC73C2"/>
    <w:rsid w:val="00EC749B"/>
    <w:rsid w:val="00EC760C"/>
    <w:rsid w:val="00EC7CED"/>
    <w:rsid w:val="00ED0541"/>
    <w:rsid w:val="00ED0A14"/>
    <w:rsid w:val="00ED0D39"/>
    <w:rsid w:val="00ED0EA7"/>
    <w:rsid w:val="00ED172E"/>
    <w:rsid w:val="00ED19D4"/>
    <w:rsid w:val="00ED1EDF"/>
    <w:rsid w:val="00ED1F4F"/>
    <w:rsid w:val="00ED353C"/>
    <w:rsid w:val="00ED3C66"/>
    <w:rsid w:val="00ED3E4C"/>
    <w:rsid w:val="00ED41B5"/>
    <w:rsid w:val="00ED41CA"/>
    <w:rsid w:val="00ED41DC"/>
    <w:rsid w:val="00ED42A0"/>
    <w:rsid w:val="00ED5433"/>
    <w:rsid w:val="00ED6D2B"/>
    <w:rsid w:val="00ED78DB"/>
    <w:rsid w:val="00ED7DE0"/>
    <w:rsid w:val="00EE0BC0"/>
    <w:rsid w:val="00EE11C7"/>
    <w:rsid w:val="00EE123E"/>
    <w:rsid w:val="00EE298D"/>
    <w:rsid w:val="00EE2B5D"/>
    <w:rsid w:val="00EE2BB3"/>
    <w:rsid w:val="00EE37A3"/>
    <w:rsid w:val="00EE3A7F"/>
    <w:rsid w:val="00EE40BF"/>
    <w:rsid w:val="00EE47BA"/>
    <w:rsid w:val="00EE4E61"/>
    <w:rsid w:val="00EE4F91"/>
    <w:rsid w:val="00EE6737"/>
    <w:rsid w:val="00EE6D5C"/>
    <w:rsid w:val="00EE7093"/>
    <w:rsid w:val="00EE70C3"/>
    <w:rsid w:val="00EE7375"/>
    <w:rsid w:val="00EE7465"/>
    <w:rsid w:val="00EE75B5"/>
    <w:rsid w:val="00EE76ED"/>
    <w:rsid w:val="00EE7D83"/>
    <w:rsid w:val="00EE7E8F"/>
    <w:rsid w:val="00EF0DF3"/>
    <w:rsid w:val="00EF21B7"/>
    <w:rsid w:val="00EF2215"/>
    <w:rsid w:val="00EF24CF"/>
    <w:rsid w:val="00EF302F"/>
    <w:rsid w:val="00EF3061"/>
    <w:rsid w:val="00EF3179"/>
    <w:rsid w:val="00EF3B49"/>
    <w:rsid w:val="00EF45CF"/>
    <w:rsid w:val="00EF4B52"/>
    <w:rsid w:val="00EF5517"/>
    <w:rsid w:val="00EF5CDA"/>
    <w:rsid w:val="00EF613D"/>
    <w:rsid w:val="00EF6CDF"/>
    <w:rsid w:val="00EF6DC4"/>
    <w:rsid w:val="00EF70BA"/>
    <w:rsid w:val="00F0000A"/>
    <w:rsid w:val="00F002A4"/>
    <w:rsid w:val="00F0031B"/>
    <w:rsid w:val="00F005E5"/>
    <w:rsid w:val="00F0071E"/>
    <w:rsid w:val="00F00B5D"/>
    <w:rsid w:val="00F00CF5"/>
    <w:rsid w:val="00F01071"/>
    <w:rsid w:val="00F013CB"/>
    <w:rsid w:val="00F018BF"/>
    <w:rsid w:val="00F0195F"/>
    <w:rsid w:val="00F01B1E"/>
    <w:rsid w:val="00F01FA5"/>
    <w:rsid w:val="00F02214"/>
    <w:rsid w:val="00F02230"/>
    <w:rsid w:val="00F0267C"/>
    <w:rsid w:val="00F03360"/>
    <w:rsid w:val="00F03379"/>
    <w:rsid w:val="00F03425"/>
    <w:rsid w:val="00F0345E"/>
    <w:rsid w:val="00F03FC4"/>
    <w:rsid w:val="00F04065"/>
    <w:rsid w:val="00F04BF2"/>
    <w:rsid w:val="00F05790"/>
    <w:rsid w:val="00F05CF9"/>
    <w:rsid w:val="00F06960"/>
    <w:rsid w:val="00F06967"/>
    <w:rsid w:val="00F0755E"/>
    <w:rsid w:val="00F07E52"/>
    <w:rsid w:val="00F106E4"/>
    <w:rsid w:val="00F10ECA"/>
    <w:rsid w:val="00F11011"/>
    <w:rsid w:val="00F115D6"/>
    <w:rsid w:val="00F1171C"/>
    <w:rsid w:val="00F119FB"/>
    <w:rsid w:val="00F11F70"/>
    <w:rsid w:val="00F12333"/>
    <w:rsid w:val="00F1255D"/>
    <w:rsid w:val="00F12F5F"/>
    <w:rsid w:val="00F145D4"/>
    <w:rsid w:val="00F14AEC"/>
    <w:rsid w:val="00F14ED0"/>
    <w:rsid w:val="00F15F5B"/>
    <w:rsid w:val="00F15FE6"/>
    <w:rsid w:val="00F16210"/>
    <w:rsid w:val="00F164D5"/>
    <w:rsid w:val="00F16C06"/>
    <w:rsid w:val="00F1792F"/>
    <w:rsid w:val="00F17A56"/>
    <w:rsid w:val="00F20474"/>
    <w:rsid w:val="00F209A2"/>
    <w:rsid w:val="00F21AB6"/>
    <w:rsid w:val="00F223D4"/>
    <w:rsid w:val="00F223D5"/>
    <w:rsid w:val="00F2283A"/>
    <w:rsid w:val="00F22A84"/>
    <w:rsid w:val="00F22A8F"/>
    <w:rsid w:val="00F22ED6"/>
    <w:rsid w:val="00F23EB4"/>
    <w:rsid w:val="00F24BD2"/>
    <w:rsid w:val="00F25094"/>
    <w:rsid w:val="00F2529A"/>
    <w:rsid w:val="00F25333"/>
    <w:rsid w:val="00F2565F"/>
    <w:rsid w:val="00F25A72"/>
    <w:rsid w:val="00F25BCF"/>
    <w:rsid w:val="00F25F5E"/>
    <w:rsid w:val="00F260CB"/>
    <w:rsid w:val="00F26C19"/>
    <w:rsid w:val="00F27A70"/>
    <w:rsid w:val="00F27B0A"/>
    <w:rsid w:val="00F3192A"/>
    <w:rsid w:val="00F31E2D"/>
    <w:rsid w:val="00F322C3"/>
    <w:rsid w:val="00F32553"/>
    <w:rsid w:val="00F32690"/>
    <w:rsid w:val="00F32691"/>
    <w:rsid w:val="00F327CE"/>
    <w:rsid w:val="00F332ED"/>
    <w:rsid w:val="00F33552"/>
    <w:rsid w:val="00F335AB"/>
    <w:rsid w:val="00F33A18"/>
    <w:rsid w:val="00F33C8D"/>
    <w:rsid w:val="00F34371"/>
    <w:rsid w:val="00F348D1"/>
    <w:rsid w:val="00F35955"/>
    <w:rsid w:val="00F35EA4"/>
    <w:rsid w:val="00F3669D"/>
    <w:rsid w:val="00F36C33"/>
    <w:rsid w:val="00F37462"/>
    <w:rsid w:val="00F37660"/>
    <w:rsid w:val="00F378C1"/>
    <w:rsid w:val="00F37B03"/>
    <w:rsid w:val="00F4045E"/>
    <w:rsid w:val="00F40730"/>
    <w:rsid w:val="00F40CC5"/>
    <w:rsid w:val="00F40E48"/>
    <w:rsid w:val="00F410B5"/>
    <w:rsid w:val="00F41836"/>
    <w:rsid w:val="00F41AF4"/>
    <w:rsid w:val="00F41DE0"/>
    <w:rsid w:val="00F425B9"/>
    <w:rsid w:val="00F42FBC"/>
    <w:rsid w:val="00F4385E"/>
    <w:rsid w:val="00F43B0D"/>
    <w:rsid w:val="00F43BFB"/>
    <w:rsid w:val="00F43F5D"/>
    <w:rsid w:val="00F4401D"/>
    <w:rsid w:val="00F44086"/>
    <w:rsid w:val="00F44398"/>
    <w:rsid w:val="00F448C3"/>
    <w:rsid w:val="00F44C53"/>
    <w:rsid w:val="00F45085"/>
    <w:rsid w:val="00F450F4"/>
    <w:rsid w:val="00F45564"/>
    <w:rsid w:val="00F4632F"/>
    <w:rsid w:val="00F463F1"/>
    <w:rsid w:val="00F46892"/>
    <w:rsid w:val="00F469B2"/>
    <w:rsid w:val="00F47200"/>
    <w:rsid w:val="00F47953"/>
    <w:rsid w:val="00F501CD"/>
    <w:rsid w:val="00F50572"/>
    <w:rsid w:val="00F505BC"/>
    <w:rsid w:val="00F50E5A"/>
    <w:rsid w:val="00F50EC6"/>
    <w:rsid w:val="00F511FB"/>
    <w:rsid w:val="00F51333"/>
    <w:rsid w:val="00F51AA7"/>
    <w:rsid w:val="00F52456"/>
    <w:rsid w:val="00F5281E"/>
    <w:rsid w:val="00F531AA"/>
    <w:rsid w:val="00F536B7"/>
    <w:rsid w:val="00F537AD"/>
    <w:rsid w:val="00F53A7D"/>
    <w:rsid w:val="00F53BDD"/>
    <w:rsid w:val="00F53FEE"/>
    <w:rsid w:val="00F5467A"/>
    <w:rsid w:val="00F549B3"/>
    <w:rsid w:val="00F54DAB"/>
    <w:rsid w:val="00F54DC4"/>
    <w:rsid w:val="00F55102"/>
    <w:rsid w:val="00F553B5"/>
    <w:rsid w:val="00F55CC6"/>
    <w:rsid w:val="00F55CDC"/>
    <w:rsid w:val="00F56161"/>
    <w:rsid w:val="00F561CC"/>
    <w:rsid w:val="00F563CD"/>
    <w:rsid w:val="00F56862"/>
    <w:rsid w:val="00F56FE5"/>
    <w:rsid w:val="00F575AF"/>
    <w:rsid w:val="00F57925"/>
    <w:rsid w:val="00F57A83"/>
    <w:rsid w:val="00F57C29"/>
    <w:rsid w:val="00F604F4"/>
    <w:rsid w:val="00F60AFA"/>
    <w:rsid w:val="00F61098"/>
    <w:rsid w:val="00F619AB"/>
    <w:rsid w:val="00F62542"/>
    <w:rsid w:val="00F62588"/>
    <w:rsid w:val="00F627EB"/>
    <w:rsid w:val="00F629BF"/>
    <w:rsid w:val="00F633D8"/>
    <w:rsid w:val="00F6431B"/>
    <w:rsid w:val="00F64B3B"/>
    <w:rsid w:val="00F64BF7"/>
    <w:rsid w:val="00F64C76"/>
    <w:rsid w:val="00F64CCC"/>
    <w:rsid w:val="00F64ED6"/>
    <w:rsid w:val="00F650D5"/>
    <w:rsid w:val="00F65747"/>
    <w:rsid w:val="00F659C1"/>
    <w:rsid w:val="00F65AD5"/>
    <w:rsid w:val="00F65F15"/>
    <w:rsid w:val="00F66072"/>
    <w:rsid w:val="00F660F7"/>
    <w:rsid w:val="00F6638A"/>
    <w:rsid w:val="00F6652C"/>
    <w:rsid w:val="00F66673"/>
    <w:rsid w:val="00F6692A"/>
    <w:rsid w:val="00F66E97"/>
    <w:rsid w:val="00F67360"/>
    <w:rsid w:val="00F6754F"/>
    <w:rsid w:val="00F6755D"/>
    <w:rsid w:val="00F675B0"/>
    <w:rsid w:val="00F67AB4"/>
    <w:rsid w:val="00F70564"/>
    <w:rsid w:val="00F7076A"/>
    <w:rsid w:val="00F707C9"/>
    <w:rsid w:val="00F70A95"/>
    <w:rsid w:val="00F70DE9"/>
    <w:rsid w:val="00F70E58"/>
    <w:rsid w:val="00F710FE"/>
    <w:rsid w:val="00F71BEA"/>
    <w:rsid w:val="00F721D4"/>
    <w:rsid w:val="00F7318F"/>
    <w:rsid w:val="00F73DA6"/>
    <w:rsid w:val="00F73E69"/>
    <w:rsid w:val="00F74498"/>
    <w:rsid w:val="00F744F4"/>
    <w:rsid w:val="00F7451E"/>
    <w:rsid w:val="00F74887"/>
    <w:rsid w:val="00F74A01"/>
    <w:rsid w:val="00F74AA8"/>
    <w:rsid w:val="00F74B25"/>
    <w:rsid w:val="00F74F89"/>
    <w:rsid w:val="00F75A10"/>
    <w:rsid w:val="00F75D9F"/>
    <w:rsid w:val="00F76063"/>
    <w:rsid w:val="00F76490"/>
    <w:rsid w:val="00F76D11"/>
    <w:rsid w:val="00F77276"/>
    <w:rsid w:val="00F7759D"/>
    <w:rsid w:val="00F77A8D"/>
    <w:rsid w:val="00F77D27"/>
    <w:rsid w:val="00F77E98"/>
    <w:rsid w:val="00F80013"/>
    <w:rsid w:val="00F8095A"/>
    <w:rsid w:val="00F80E7E"/>
    <w:rsid w:val="00F81308"/>
    <w:rsid w:val="00F8143C"/>
    <w:rsid w:val="00F81441"/>
    <w:rsid w:val="00F81476"/>
    <w:rsid w:val="00F81681"/>
    <w:rsid w:val="00F81E11"/>
    <w:rsid w:val="00F8260F"/>
    <w:rsid w:val="00F8279D"/>
    <w:rsid w:val="00F83228"/>
    <w:rsid w:val="00F834A7"/>
    <w:rsid w:val="00F847A0"/>
    <w:rsid w:val="00F85ABF"/>
    <w:rsid w:val="00F85D19"/>
    <w:rsid w:val="00F860A3"/>
    <w:rsid w:val="00F864FC"/>
    <w:rsid w:val="00F86808"/>
    <w:rsid w:val="00F87176"/>
    <w:rsid w:val="00F8760E"/>
    <w:rsid w:val="00F8773E"/>
    <w:rsid w:val="00F9082B"/>
    <w:rsid w:val="00F9142D"/>
    <w:rsid w:val="00F915A4"/>
    <w:rsid w:val="00F91EF0"/>
    <w:rsid w:val="00F92104"/>
    <w:rsid w:val="00F9227B"/>
    <w:rsid w:val="00F93676"/>
    <w:rsid w:val="00F939EC"/>
    <w:rsid w:val="00F93A3D"/>
    <w:rsid w:val="00F93C72"/>
    <w:rsid w:val="00F93C99"/>
    <w:rsid w:val="00F93DCD"/>
    <w:rsid w:val="00F94009"/>
    <w:rsid w:val="00F9412A"/>
    <w:rsid w:val="00F94C16"/>
    <w:rsid w:val="00F94D3F"/>
    <w:rsid w:val="00F94EB4"/>
    <w:rsid w:val="00F9591A"/>
    <w:rsid w:val="00F9689E"/>
    <w:rsid w:val="00F96F26"/>
    <w:rsid w:val="00F970A3"/>
    <w:rsid w:val="00F97356"/>
    <w:rsid w:val="00F97F91"/>
    <w:rsid w:val="00FA03A6"/>
    <w:rsid w:val="00FA03D6"/>
    <w:rsid w:val="00FA066D"/>
    <w:rsid w:val="00FA0956"/>
    <w:rsid w:val="00FA0FB3"/>
    <w:rsid w:val="00FA1126"/>
    <w:rsid w:val="00FA1816"/>
    <w:rsid w:val="00FA1B03"/>
    <w:rsid w:val="00FA214C"/>
    <w:rsid w:val="00FA24F3"/>
    <w:rsid w:val="00FA263E"/>
    <w:rsid w:val="00FA2798"/>
    <w:rsid w:val="00FA3051"/>
    <w:rsid w:val="00FA3679"/>
    <w:rsid w:val="00FA3A4D"/>
    <w:rsid w:val="00FA41F1"/>
    <w:rsid w:val="00FA42BC"/>
    <w:rsid w:val="00FA45C2"/>
    <w:rsid w:val="00FA4635"/>
    <w:rsid w:val="00FA4E06"/>
    <w:rsid w:val="00FA509C"/>
    <w:rsid w:val="00FA5180"/>
    <w:rsid w:val="00FA55B2"/>
    <w:rsid w:val="00FA5C21"/>
    <w:rsid w:val="00FA5FCE"/>
    <w:rsid w:val="00FA6B30"/>
    <w:rsid w:val="00FA6C13"/>
    <w:rsid w:val="00FA761A"/>
    <w:rsid w:val="00FA786A"/>
    <w:rsid w:val="00FA7DA0"/>
    <w:rsid w:val="00FB0515"/>
    <w:rsid w:val="00FB0EE9"/>
    <w:rsid w:val="00FB0EFB"/>
    <w:rsid w:val="00FB0F8A"/>
    <w:rsid w:val="00FB1300"/>
    <w:rsid w:val="00FB186A"/>
    <w:rsid w:val="00FB19BF"/>
    <w:rsid w:val="00FB20F3"/>
    <w:rsid w:val="00FB238A"/>
    <w:rsid w:val="00FB252E"/>
    <w:rsid w:val="00FB2585"/>
    <w:rsid w:val="00FB2EB5"/>
    <w:rsid w:val="00FB2ED0"/>
    <w:rsid w:val="00FB30F6"/>
    <w:rsid w:val="00FB3425"/>
    <w:rsid w:val="00FB34E4"/>
    <w:rsid w:val="00FB38ED"/>
    <w:rsid w:val="00FB3DE3"/>
    <w:rsid w:val="00FB3F26"/>
    <w:rsid w:val="00FB4C8E"/>
    <w:rsid w:val="00FB4D15"/>
    <w:rsid w:val="00FB4D9E"/>
    <w:rsid w:val="00FB4E84"/>
    <w:rsid w:val="00FB50AA"/>
    <w:rsid w:val="00FB6302"/>
    <w:rsid w:val="00FB63D1"/>
    <w:rsid w:val="00FB68DD"/>
    <w:rsid w:val="00FB6BC5"/>
    <w:rsid w:val="00FB7718"/>
    <w:rsid w:val="00FB7957"/>
    <w:rsid w:val="00FB7F99"/>
    <w:rsid w:val="00FC02F4"/>
    <w:rsid w:val="00FC2683"/>
    <w:rsid w:val="00FC2810"/>
    <w:rsid w:val="00FC299F"/>
    <w:rsid w:val="00FC3213"/>
    <w:rsid w:val="00FC3C6C"/>
    <w:rsid w:val="00FC4453"/>
    <w:rsid w:val="00FC48C6"/>
    <w:rsid w:val="00FC4A91"/>
    <w:rsid w:val="00FC4E0B"/>
    <w:rsid w:val="00FC6141"/>
    <w:rsid w:val="00FC623A"/>
    <w:rsid w:val="00FC646D"/>
    <w:rsid w:val="00FC64C9"/>
    <w:rsid w:val="00FC65E5"/>
    <w:rsid w:val="00FC6C78"/>
    <w:rsid w:val="00FC6CEF"/>
    <w:rsid w:val="00FC6E1D"/>
    <w:rsid w:val="00FC740E"/>
    <w:rsid w:val="00FD01D3"/>
    <w:rsid w:val="00FD138F"/>
    <w:rsid w:val="00FD1AA4"/>
    <w:rsid w:val="00FD1BD4"/>
    <w:rsid w:val="00FD1EA8"/>
    <w:rsid w:val="00FD2DBC"/>
    <w:rsid w:val="00FD2FA7"/>
    <w:rsid w:val="00FD3133"/>
    <w:rsid w:val="00FD3B87"/>
    <w:rsid w:val="00FD3BE1"/>
    <w:rsid w:val="00FD4B79"/>
    <w:rsid w:val="00FD5465"/>
    <w:rsid w:val="00FD58EF"/>
    <w:rsid w:val="00FD5BC9"/>
    <w:rsid w:val="00FD6110"/>
    <w:rsid w:val="00FD620D"/>
    <w:rsid w:val="00FD64B8"/>
    <w:rsid w:val="00FD667B"/>
    <w:rsid w:val="00FD7165"/>
    <w:rsid w:val="00FE00CF"/>
    <w:rsid w:val="00FE013B"/>
    <w:rsid w:val="00FE0207"/>
    <w:rsid w:val="00FE1303"/>
    <w:rsid w:val="00FE1ABB"/>
    <w:rsid w:val="00FE1E6E"/>
    <w:rsid w:val="00FE2173"/>
    <w:rsid w:val="00FE291B"/>
    <w:rsid w:val="00FE30A6"/>
    <w:rsid w:val="00FE330C"/>
    <w:rsid w:val="00FE3B4E"/>
    <w:rsid w:val="00FE3CE2"/>
    <w:rsid w:val="00FE40C1"/>
    <w:rsid w:val="00FE410C"/>
    <w:rsid w:val="00FE546C"/>
    <w:rsid w:val="00FE54AE"/>
    <w:rsid w:val="00FE5671"/>
    <w:rsid w:val="00FE59BB"/>
    <w:rsid w:val="00FE5D99"/>
    <w:rsid w:val="00FE5E25"/>
    <w:rsid w:val="00FE6AE8"/>
    <w:rsid w:val="00FE70D5"/>
    <w:rsid w:val="00FE7127"/>
    <w:rsid w:val="00FF041F"/>
    <w:rsid w:val="00FF0C67"/>
    <w:rsid w:val="00FF0E6A"/>
    <w:rsid w:val="00FF0F69"/>
    <w:rsid w:val="00FF1623"/>
    <w:rsid w:val="00FF16F4"/>
    <w:rsid w:val="00FF21EF"/>
    <w:rsid w:val="00FF2A34"/>
    <w:rsid w:val="00FF3437"/>
    <w:rsid w:val="00FF364B"/>
    <w:rsid w:val="00FF44A2"/>
    <w:rsid w:val="00FF4A4D"/>
    <w:rsid w:val="00FF5813"/>
    <w:rsid w:val="00FF5E54"/>
    <w:rsid w:val="00FF5E85"/>
    <w:rsid w:val="00FF6317"/>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8B5"/>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 תו תו1,כותרת תחתונה תו תו תו תו1"/>
    <w:basedOn w:val="DefaultParagraphFont"/>
    <w:link w:val="Footer"/>
    <w:uiPriority w:val="99"/>
    <w:rsid w:val="000501A4"/>
  </w:style>
  <w:style w:type="paragraph" w:styleId="Date">
    <w:name w:val="Date"/>
    <w:basedOn w:val="Normal"/>
    <w:next w:val="Normal"/>
    <w:link w:val="20"/>
    <w:uiPriority w:val="99"/>
    <w:unhideWhenUsed/>
    <w:rsid w:val="000501A4"/>
    <w:pPr>
      <w:spacing w:before="120" w:line="240" w:lineRule="auto"/>
    </w:pPr>
  </w:style>
  <w:style w:type="character" w:customStyle="1" w:styleId="20">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fr"/>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3"/>
    <w:uiPriority w:val="99"/>
    <w:unhideWhenUsed/>
    <w:rsid w:val="00AF6305"/>
    <w:pPr>
      <w:spacing w:line="240" w:lineRule="auto"/>
    </w:pPr>
    <w:rPr>
      <w:rFonts w:ascii="Tahoma" w:hAnsi="Tahoma" w:cs="Tahoma"/>
      <w:sz w:val="18"/>
      <w:szCs w:val="18"/>
    </w:rPr>
  </w:style>
  <w:style w:type="character" w:customStyle="1" w:styleId="13">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4"/>
    <w:uiPriority w:val="99"/>
    <w:unhideWhenUsed/>
    <w:rsid w:val="005F492A"/>
    <w:pPr>
      <w:spacing w:line="240" w:lineRule="auto"/>
    </w:pPr>
    <w:rPr>
      <w:szCs w:val="20"/>
    </w:rPr>
  </w:style>
  <w:style w:type="character" w:customStyle="1" w:styleId="14">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1"/>
    <w:uiPriority w:val="99"/>
    <w:unhideWhenUsed/>
    <w:rsid w:val="005F492A"/>
    <w:rPr>
      <w:b/>
      <w:bCs/>
    </w:rPr>
  </w:style>
  <w:style w:type="character" w:customStyle="1" w:styleId="21">
    <w:name w:val="נושא הערה תו2"/>
    <w:basedOn w:val="14"/>
    <w:link w:val="CommentSubject"/>
    <w:uiPriority w:val="99"/>
    <w:rsid w:val="005F492A"/>
    <w:rPr>
      <w:b/>
      <w:bCs/>
      <w:szCs w:val="20"/>
    </w:rPr>
  </w:style>
  <w:style w:type="paragraph" w:styleId="ListParagraph">
    <w:name w:val="List Paragraph"/>
    <w:aliases w:val="Dell,LP1,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link w:val="RESHETChar"/>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5">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3">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6">
    <w:name w:val="נושא הערה תו1"/>
    <w:basedOn w:val="14"/>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Char2"/>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Dell תו,LP1 תו,פיסקת bullets תו"/>
    <w:link w:val="ListParagraph"/>
    <w:uiPriority w:val="34"/>
    <w:rsid w:val="00DD7B55"/>
  </w:style>
  <w:style w:type="paragraph" w:customStyle="1" w:styleId="712">
    <w:name w:val="71ג הזחה ראשונה מספר"/>
    <w:basedOn w:val="ListParagraph"/>
    <w:link w:val="71Char7"/>
    <w:qFormat/>
    <w:rsid w:val="00882EB6"/>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3"/>
    <w:qFormat/>
    <w:rsid w:val="00916920"/>
    <w:pPr>
      <w:spacing w:before="120" w:after="240" w:line="260" w:lineRule="exact"/>
      <w:ind w:left="0" w:firstLine="0"/>
    </w:pPr>
    <w:rPr>
      <w:sz w:val="16"/>
      <w:szCs w:val="16"/>
    </w:rPr>
  </w:style>
  <w:style w:type="paragraph" w:customStyle="1" w:styleId="716">
    <w:name w:val="71ג קוביה כחולה הזחה שנייה"/>
    <w:basedOn w:val="RESHET"/>
    <w:link w:val="71Char10"/>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link w:val="71Char11"/>
    <w:qFormat/>
    <w:rsid w:val="007C00A3"/>
    <w:pPr>
      <w:ind w:left="964"/>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F16C06"/>
    <w:pPr>
      <w:spacing w:before="120" w:after="120" w:line="240" w:lineRule="exact"/>
      <w:jc w:val="left"/>
    </w:pPr>
    <w:rPr>
      <w:rFonts w:ascii="Tahoma" w:hAnsi="Tahoma" w:eastAsiaTheme="minorEastAsia" w:cs="Tahoma"/>
      <w:color w:val="000000" w:themeColor="text1"/>
      <w:sz w:val="16"/>
      <w:szCs w:val="16"/>
    </w:rPr>
  </w:style>
  <w:style w:type="paragraph" w:customStyle="1" w:styleId="71B">
    <w:name w:val="71ג טבלה טקסט B"/>
    <w:basedOn w:val="Normal"/>
    <w:qFormat/>
    <w:rsid w:val="00890BDA"/>
    <w:pPr>
      <w:spacing w:before="120" w:after="120" w:line="240" w:lineRule="exact"/>
      <w:jc w:val="left"/>
    </w:pPr>
    <w:rPr>
      <w:rFonts w:ascii="Tahoma" w:hAnsi="Tahoma" w:eastAsiaTheme="minorEastAsia" w:cs="Tahoma"/>
      <w:b/>
      <w:bCs/>
      <w:color w:val="000000" w:themeColor="text1"/>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2"/>
      </w:numPr>
      <w:spacing w:after="120"/>
    </w:pPr>
    <w:rPr>
      <w:rFonts w:ascii="Tahoma" w:hAnsi="Tahoma" w:cs="Tahoma"/>
      <w:szCs w:val="20"/>
    </w:rPr>
  </w:style>
  <w:style w:type="paragraph" w:customStyle="1" w:styleId="7110">
    <w:name w:val="71ג הזחה שלישית"/>
    <w:basedOn w:val="718"/>
    <w:qFormat/>
    <w:rsid w:val="00DF2527"/>
    <w:pPr>
      <w:ind w:left="1021"/>
    </w:pPr>
  </w:style>
  <w:style w:type="paragraph" w:customStyle="1" w:styleId="7111">
    <w:name w:val="71ג קוביה כחולה הזחה שלישית"/>
    <w:basedOn w:val="716"/>
    <w:qFormat/>
    <w:rsid w:val="00976B93"/>
    <w:pPr>
      <w:ind w:left="1474"/>
    </w:pPr>
  </w:style>
  <w:style w:type="paragraph" w:customStyle="1" w:styleId="17">
    <w:name w:val="קוביה הזחה 1"/>
    <w:basedOn w:val="716"/>
    <w:qFormat/>
    <w:rsid w:val="005C2859"/>
    <w:pPr>
      <w:ind w:left="680"/>
    </w:pPr>
  </w:style>
  <w:style w:type="paragraph" w:customStyle="1" w:styleId="7112">
    <w:name w:val="71ג הזחה ראשונה ללא מספר"/>
    <w:basedOn w:val="718"/>
    <w:qFormat/>
    <w:rsid w:val="00A6316A"/>
    <w:pPr>
      <w:ind w:left="397"/>
    </w:pPr>
  </w:style>
  <w:style w:type="paragraph" w:customStyle="1" w:styleId="7113">
    <w:name w:val="71ג קוביה רצה"/>
    <w:basedOn w:val="717"/>
    <w:link w:val="71Char12"/>
    <w:qFormat/>
    <w:rsid w:val="00E4255F"/>
    <w:pPr>
      <w:pBdr>
        <w:top w:val="single" w:sz="18" w:space="4" w:color="CEEAF5"/>
        <w:left w:val="single" w:sz="18" w:space="11" w:color="CEEAF5"/>
        <w:bottom w:val="single" w:sz="18" w:space="6" w:color="CEEAF5"/>
        <w:right w:val="single" w:sz="18" w:space="11" w:color="CEEAF5"/>
      </w:pBdr>
      <w:shd w:val="solid" w:color="CEEAF5" w:fill="auto"/>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ind w:left="0"/>
    </w:pPr>
  </w:style>
  <w:style w:type="paragraph" w:customStyle="1" w:styleId="71512">
    <w:name w:val="71ג כותרת 5_12"/>
    <w:basedOn w:val="100"/>
    <w:link w:val="71512Char"/>
    <w:qFormat/>
    <w:rsid w:val="00DE43A8"/>
    <w:pPr>
      <w:spacing w:before="240" w:after="180" w:line="240" w:lineRule="atLeast"/>
      <w:jc w:val="left"/>
      <w:outlineLvl w:val="4"/>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ind w:left="397" w:hanging="397"/>
    </w:pPr>
  </w:style>
  <w:style w:type="numbering" w:customStyle="1" w:styleId="-">
    <w:name w:val="משרד האוצר - מדורג"/>
    <w:uiPriority w:val="99"/>
    <w:rsid w:val="006D5CCE"/>
    <w:pPr>
      <w:numPr>
        <w:numId w:val="3"/>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4">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9"/>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5"/>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9">
    <w:name w:val="כותרת 1 תו"/>
    <w:link w:val="110"/>
    <w:uiPriority w:val="1"/>
    <w:rsid w:val="002516DF"/>
    <w:rPr>
      <w:rFonts w:eastAsia="Times New Roman"/>
      <w:bCs/>
      <w:szCs w:val="36"/>
      <w:u w:val="single"/>
    </w:rPr>
  </w:style>
  <w:style w:type="character" w:customStyle="1" w:styleId="25">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11">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11"/>
    <w:uiPriority w:val="99"/>
    <w:rsid w:val="002516DF"/>
    <w:rPr>
      <w:rFonts w:eastAsia="Calibri"/>
    </w:rPr>
  </w:style>
  <w:style w:type="paragraph" w:customStyle="1" w:styleId="112">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12"/>
    <w:uiPriority w:val="99"/>
    <w:rsid w:val="002516DF"/>
    <w:rPr>
      <w:rFonts w:eastAsia="Calibri"/>
    </w:rPr>
  </w:style>
  <w:style w:type="paragraph" w:customStyle="1" w:styleId="113">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13"/>
    <w:uiPriority w:val="99"/>
    <w:rsid w:val="002516DF"/>
    <w:rPr>
      <w:rFonts w:eastAsia="Calibri"/>
    </w:rPr>
  </w:style>
  <w:style w:type="character" w:customStyle="1" w:styleId="a9">
    <w:name w:val="טקסט הערת שוליים תו"/>
    <w:aliases w:val=" Char תו, תו תו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4">
    <w:name w:val="הפניה להערת שוליים1"/>
    <w:semiHidden/>
    <w:unhideWhenUsed/>
    <w:rsid w:val="002516DF"/>
    <w:rPr>
      <w:vertAlign w:val="superscript"/>
    </w:rPr>
  </w:style>
  <w:style w:type="paragraph" w:customStyle="1" w:styleId="115">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6">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6"/>
    <w:uiPriority w:val="99"/>
    <w:semiHidden/>
    <w:rsid w:val="002516DF"/>
    <w:rPr>
      <w:rFonts w:ascii="Tahoma" w:eastAsia="Calibri" w:hAnsi="Tahoma" w:cs="Tahoma"/>
      <w:sz w:val="18"/>
      <w:szCs w:val="18"/>
    </w:rPr>
  </w:style>
  <w:style w:type="paragraph" w:customStyle="1" w:styleId="117">
    <w:name w:val="גוף טקסט1"/>
    <w:basedOn w:val="Normal"/>
    <w:link w:val="118"/>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semiHidden/>
    <w:rsid w:val="002516DF"/>
  </w:style>
  <w:style w:type="character" w:customStyle="1" w:styleId="118">
    <w:name w:val="גוף טקסט תו1"/>
    <w:link w:val="117"/>
    <w:uiPriority w:val="99"/>
    <w:rsid w:val="002516DF"/>
    <w:rPr>
      <w:rFonts w:eastAsia="Times New Roman" w:cs="FrankRuehl"/>
      <w:sz w:val="22"/>
      <w:szCs w:val="22"/>
    </w:rPr>
  </w:style>
  <w:style w:type="character" w:customStyle="1" w:styleId="119">
    <w:name w:val="כותרת תחתונה תו1"/>
    <w:aliases w:val="כותרת תחתונה תו תו,כותרת תחתונה תו תו תו תו,כותרת תחתונה תו תו תו תו תו תו"/>
    <w:uiPriority w:val="99"/>
    <w:rsid w:val="002516DF"/>
    <w:rPr>
      <w:rFonts w:cs="David"/>
      <w:sz w:val="24"/>
      <w:szCs w:val="24"/>
    </w:rPr>
  </w:style>
  <w:style w:type="character" w:customStyle="1" w:styleId="120">
    <w:name w:val="טקסט הערת שוליים תו1"/>
    <w:aliases w:val="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4"/>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5"/>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5"/>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5"/>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5"/>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22">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3">
    <w:name w:val="הפניה להערה1"/>
    <w:uiPriority w:val="99"/>
    <w:semiHidden/>
    <w:unhideWhenUsed/>
    <w:rsid w:val="002516DF"/>
    <w:rPr>
      <w:sz w:val="16"/>
      <w:szCs w:val="16"/>
    </w:rPr>
  </w:style>
  <w:style w:type="paragraph" w:customStyle="1" w:styleId="124">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4"/>
    <w:uiPriority w:val="99"/>
    <w:rsid w:val="002516DF"/>
    <w:rPr>
      <w:rFonts w:eastAsia="Calibri"/>
      <w:szCs w:val="20"/>
    </w:rPr>
  </w:style>
  <w:style w:type="paragraph" w:customStyle="1" w:styleId="125">
    <w:name w:val="נושא הערה1"/>
    <w:basedOn w:val="124"/>
    <w:next w:val="124"/>
    <w:link w:val="a14"/>
    <w:uiPriority w:val="99"/>
    <w:semiHidden/>
    <w:unhideWhenUsed/>
    <w:rsid w:val="002516DF"/>
    <w:rPr>
      <w:b/>
      <w:bCs/>
    </w:rPr>
  </w:style>
  <w:style w:type="character" w:customStyle="1" w:styleId="a14">
    <w:name w:val="נושא הערה תו"/>
    <w:link w:val="125"/>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6">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uiPriority w:val="99"/>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A1634E"/>
    <w:pPr>
      <w:numPr>
        <w:numId w:val="6"/>
      </w:numPr>
      <w:spacing w:after="180" w:line="260" w:lineRule="exact"/>
      <w:contextualSpacing w:val="0"/>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1F0BBB"/>
    <w:pPr>
      <w:numPr>
        <w:numId w:val="7"/>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link w:val="129"/>
    <w:rsid w:val="00114E4E"/>
    <w:pPr>
      <w:widowControl w:val="0"/>
      <w:ind w:left="-567"/>
    </w:pPr>
    <w:rPr>
      <w:rFonts w:eastAsia="Times New Roman"/>
      <w:sz w:val="24"/>
      <w:szCs w:val="20"/>
      <w:lang w:eastAsia="he-IL"/>
    </w:rPr>
  </w:style>
  <w:style w:type="paragraph" w:styleId="BodyText">
    <w:name w:val="Body Text"/>
    <w:basedOn w:val="Normal"/>
    <w:link w:val="26"/>
    <w:uiPriority w:val="99"/>
    <w:unhideWhenUsed/>
    <w:rsid w:val="00114E4E"/>
    <w:pPr>
      <w:spacing w:after="120"/>
    </w:pPr>
  </w:style>
  <w:style w:type="character" w:customStyle="1" w:styleId="26">
    <w:name w:val="גוף טקסט תו2"/>
    <w:basedOn w:val="DefaultParagraphFont"/>
    <w:link w:val="BodyText"/>
    <w:uiPriority w:val="99"/>
    <w:rsid w:val="00114E4E"/>
  </w:style>
  <w:style w:type="character" w:customStyle="1" w:styleId="Bodytext5">
    <w:name w:val="Body text (5)_"/>
    <w:basedOn w:val="DefaultParagraphFont"/>
    <w:link w:val="Bodytext50"/>
    <w:uiPriority w:val="99"/>
    <w:rsid w:val="00114E4E"/>
    <w:rPr>
      <w:rFonts w:ascii="David" w:eastAsia="David" w:hAnsi="David"/>
      <w:sz w:val="21"/>
      <w:szCs w:val="21"/>
      <w:shd w:val="clear" w:color="auto" w:fill="FFFFFF"/>
    </w:rPr>
  </w:style>
  <w:style w:type="paragraph" w:customStyle="1" w:styleId="Bodytext50">
    <w:name w:val="Body text (5)"/>
    <w:basedOn w:val="Normal"/>
    <w:link w:val="Bodytext5"/>
    <w:uiPriority w:val="99"/>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uiPriority w:val="11"/>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כניסה 1"/>
    <w:basedOn w:val="ListParagraph"/>
    <w:qFormat/>
    <w:rsid w:val="00310AC6"/>
    <w:pPr>
      <w:widowControl w:val="0"/>
      <w:numPr>
        <w:numId w:val="8"/>
      </w:numPr>
      <w:spacing w:after="180" w:line="260" w:lineRule="exact"/>
      <w:contextualSpacing w:val="0"/>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9"/>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2">
    <w:name w:val="ציטוט בג&quot;צ Char"/>
    <w:link w:val="a22"/>
    <w:locked/>
    <w:rsid w:val="00CF1EB5"/>
    <w:rPr>
      <w:bCs/>
      <w:noProof/>
      <w:sz w:val="24"/>
      <w:lang w:eastAsia="he-IL"/>
    </w:rPr>
  </w:style>
  <w:style w:type="paragraph" w:customStyle="1" w:styleId="a22">
    <w:name w:val="ציטוט בג&quot;צ"/>
    <w:basedOn w:val="Normal"/>
    <w:link w:val="Char2"/>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8">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10"/>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1"/>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11">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uiPriority w:val="99"/>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3"/>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3">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5B554D"/>
    <w:pPr>
      <w:outlineLvl w:val="3"/>
    </w:pPr>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3"/>
    <w:link w:val="7190"/>
    <w:rsid w:val="005B554D"/>
    <w:rPr>
      <w:rFonts w:ascii="Tahoma" w:hAnsi="Tahoma" w:cs="Tahoma"/>
      <w:color w:val="0D0D0D" w:themeColor="text1" w:themeTint="F2"/>
      <w:sz w:val="18"/>
      <w:szCs w:val="18"/>
    </w:rPr>
  </w:style>
  <w:style w:type="paragraph" w:customStyle="1" w:styleId="a25">
    <w:name w:val="אייקון טורקיז רקע"/>
    <w:basedOn w:val="121"/>
    <w:link w:val="Char4"/>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4">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4">
    <w:name w:val="סיכום תקציר 21"/>
    <w:basedOn w:val="Style2"/>
    <w:link w:val="21Char0"/>
    <w:qFormat/>
    <w:rsid w:val="00EC6229"/>
    <w:pPr>
      <w:spacing w:before="0" w:after="180" w:line="240" w:lineRule="atLeast"/>
    </w:pPr>
  </w:style>
  <w:style w:type="paragraph" w:customStyle="1" w:styleId="215">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2"/>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Char2">
    <w:name w:val="71ג הערות שוליים Char"/>
    <w:basedOn w:val="3"/>
    <w:link w:val="710"/>
    <w:rsid w:val="005C02D4"/>
    <w:rPr>
      <w:rFonts w:ascii="Tahoma" w:hAnsi="Tahoma" w:cs="Tahoma"/>
      <w:color w:val="0D0D0D" w:themeColor="text1" w:themeTint="F2"/>
      <w:sz w:val="14"/>
      <w:szCs w:val="14"/>
    </w:rPr>
  </w:style>
  <w:style w:type="character" w:customStyle="1" w:styleId="Style5Char">
    <w:name w:val="Style5 Char"/>
    <w:basedOn w:val="71Char2"/>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pPr>
  </w:style>
  <w:style w:type="character" w:customStyle="1" w:styleId="71Char3">
    <w:name w:val="71ג מקרא+הערות לתרשים/לוח/תמונה Char"/>
    <w:basedOn w:val="71Char2"/>
    <w:link w:val="715"/>
    <w:rsid w:val="00916920"/>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6">
    <w:name w:val="71ג כותרת באותיות לבנות באדום בתקציר"/>
    <w:basedOn w:val="Normal"/>
    <w:link w:val="71Char4"/>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4">
    <w:name w:val="71ג כותרת באותיות לבנות באדום בתקציר Char"/>
    <w:basedOn w:val="DefaultParagraphFont"/>
    <w:link w:val="7126"/>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27">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27">
    <w:name w:val="71ג כותרת לבנה בתוך תבנית אדומה בתקציר"/>
    <w:basedOn w:val="a27"/>
    <w:link w:val="71Char5"/>
    <w:qFormat/>
    <w:rsid w:val="009D41AC"/>
  </w:style>
  <w:style w:type="character" w:customStyle="1" w:styleId="Char5">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5"/>
    <w:link w:val="7127"/>
    <w:rsid w:val="009D41AC"/>
    <w:rPr>
      <w:rFonts w:ascii="Tahoma" w:hAnsi="Tahoma" w:cs="Tahoma"/>
      <w:b/>
      <w:bCs/>
      <w:color w:val="FFFFFF" w:themeColor="background1"/>
      <w:sz w:val="22"/>
      <w:szCs w:val="22"/>
    </w:rPr>
  </w:style>
  <w:style w:type="paragraph" w:customStyle="1" w:styleId="71111">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UnresolvedMention">
    <w:name w:val="Unresolved Mention"/>
    <w:basedOn w:val="DefaultParagraphFont"/>
    <w:uiPriority w:val="99"/>
    <w:semiHidden/>
    <w:unhideWhenUsed/>
    <w:rsid w:val="00965248"/>
    <w:rPr>
      <w:color w:val="605E5C"/>
      <w:shd w:val="clear" w:color="auto" w:fill="E1DFDD"/>
    </w:rPr>
  </w:style>
  <w:style w:type="paragraph" w:customStyle="1" w:styleId="7128">
    <w:name w:val="71ג היפרלינק"/>
    <w:basedOn w:val="710"/>
    <w:link w:val="71Char6"/>
    <w:qFormat/>
    <w:rsid w:val="00973E62"/>
    <w:pPr>
      <w:bidi w:val="0"/>
    </w:pPr>
    <w:rPr>
      <w:color w:val="0000FF"/>
      <w:u w:val="single"/>
    </w:rPr>
  </w:style>
  <w:style w:type="character" w:customStyle="1" w:styleId="71Char6">
    <w:name w:val="71ג היפרלינק Char"/>
    <w:basedOn w:val="71Char2"/>
    <w:link w:val="7128"/>
    <w:rsid w:val="00973E62"/>
    <w:rPr>
      <w:rFonts w:ascii="Tahoma" w:hAnsi="Tahoma" w:cs="Tahoma"/>
      <w:color w:val="0000FF"/>
      <w:sz w:val="14"/>
      <w:szCs w:val="14"/>
      <w:u w:val="single"/>
    </w:rPr>
  </w:style>
  <w:style w:type="paragraph" w:customStyle="1" w:styleId="7129">
    <w:name w:val="71ג קוביה כחולה עם מספר מוזח"/>
    <w:basedOn w:val="712"/>
    <w:link w:val="71Char8"/>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7">
    <w:name w:val="71ג הזחה ראשונה מספר Char"/>
    <w:basedOn w:val="a2"/>
    <w:link w:val="712"/>
    <w:rsid w:val="00882EB6"/>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29"/>
    <w:rsid w:val="00BE57E3"/>
    <w:rPr>
      <w:rFonts w:ascii="Tahoma" w:hAnsi="Tahoma" w:cs="Tahoma"/>
      <w:color w:val="0D0D0D" w:themeColor="text1" w:themeTint="F2"/>
      <w:sz w:val="18"/>
      <w:szCs w:val="18"/>
      <w:shd w:val="clear" w:color="auto" w:fill="EDF1FA"/>
    </w:rPr>
  </w:style>
  <w:style w:type="paragraph" w:customStyle="1" w:styleId="7131">
    <w:name w:val="71ג כותרת טקסט רץ מודגשת"/>
    <w:basedOn w:val="7190"/>
    <w:link w:val="71Char9"/>
    <w:qFormat/>
    <w:rsid w:val="00CA12B2"/>
    <w:rPr>
      <w:b/>
      <w:bCs/>
    </w:rPr>
  </w:style>
  <w:style w:type="paragraph" w:customStyle="1" w:styleId="7170">
    <w:name w:val="71ג כותרת 7 טקסט מודגש"/>
    <w:basedOn w:val="7131"/>
    <w:link w:val="717Char"/>
    <w:qFormat/>
    <w:rsid w:val="008F39A8"/>
    <w:pPr>
      <w:bidi w:val="0"/>
      <w:jc w:val="left"/>
    </w:pPr>
  </w:style>
  <w:style w:type="character" w:customStyle="1" w:styleId="71Char9">
    <w:name w:val="71ג כותרת טקסט רץ מודגשת Char"/>
    <w:basedOn w:val="719Char"/>
    <w:link w:val="7131"/>
    <w:rsid w:val="00CA12B2"/>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A368B5"/>
    <w:rPr>
      <w:bCs/>
    </w:rPr>
  </w:style>
  <w:style w:type="character" w:customStyle="1" w:styleId="717Char">
    <w:name w:val="71ג כותרת 7 טקסט מודגש Char"/>
    <w:basedOn w:val="71Char9"/>
    <w:link w:val="7170"/>
    <w:rsid w:val="008F39A8"/>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uiPriority w:val="99"/>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a29">
    <w:name w:val="נבנצאל"/>
    <w:basedOn w:val="Normal"/>
    <w:next w:val="Normal"/>
    <w:link w:val="a30"/>
    <w:uiPriority w:val="99"/>
    <w:rsid w:val="00A6060D"/>
    <w:pPr>
      <w:ind w:left="-567"/>
    </w:pPr>
    <w:rPr>
      <w:szCs w:val="20"/>
    </w:rPr>
  </w:style>
  <w:style w:type="character" w:customStyle="1" w:styleId="a30">
    <w:name w:val="נבנצאל תו"/>
    <w:basedOn w:val="DefaultParagraphFont"/>
    <w:link w:val="a29"/>
    <w:uiPriority w:val="99"/>
    <w:rsid w:val="00A6060D"/>
    <w:rPr>
      <w:szCs w:val="20"/>
    </w:rPr>
  </w:style>
  <w:style w:type="table" w:styleId="TableGrid5">
    <w:name w:val="Table Grid 5"/>
    <w:basedOn w:val="TableNormal"/>
    <w:uiPriority w:val="99"/>
    <w:semiHidden/>
    <w:unhideWhenUsed/>
    <w:rsid w:val="00A6060D"/>
    <w:pPr>
      <w:bidi/>
      <w:spacing w:after="160" w:line="259" w:lineRule="auto"/>
      <w:jc w:val="lef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stTable3Accent5">
    <w:name w:val="List Table 3 Accent 5"/>
    <w:basedOn w:val="TableNormal"/>
    <w:uiPriority w:val="48"/>
    <w:rsid w:val="00A606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5">
    <w:name w:val="List Table 4 Accent 5"/>
    <w:basedOn w:val="TableNormal"/>
    <w:uiPriority w:val="49"/>
    <w:rsid w:val="00A606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4">
    <w:name w:val="Grid Table 1 Light Accent 4"/>
    <w:basedOn w:val="TableNormal"/>
    <w:uiPriority w:val="46"/>
    <w:rsid w:val="00A606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A606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Accent3">
    <w:name w:val="Grid Table 6 Colorful Accent 3"/>
    <w:basedOn w:val="TableNormal"/>
    <w:uiPriority w:val="51"/>
    <w:rsid w:val="00A606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606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29">
    <w:name w:val="נבנצלים תו1"/>
    <w:link w:val="a15"/>
    <w:rsid w:val="00A6060D"/>
    <w:rPr>
      <w:rFonts w:eastAsia="Times New Roman"/>
      <w:sz w:val="24"/>
      <w:szCs w:val="20"/>
      <w:lang w:eastAsia="he-IL"/>
    </w:rPr>
  </w:style>
  <w:style w:type="paragraph" w:customStyle="1" w:styleId="KOT6">
    <w:name w:val="KOT6"/>
    <w:basedOn w:val="KOT5"/>
    <w:uiPriority w:val="99"/>
    <w:locked/>
    <w:rsid w:val="00A6060D"/>
    <w:pPr>
      <w:outlineLvl w:val="5"/>
    </w:pPr>
    <w:rPr>
      <w:rFonts w:cs="FrankRuehl"/>
      <w:spacing w:val="40"/>
      <w:sz w:val="20"/>
    </w:rPr>
  </w:style>
  <w:style w:type="character" w:customStyle="1" w:styleId="412">
    <w:name w:val="כותרת 41 תו"/>
    <w:rsid w:val="00A6060D"/>
    <w:rPr>
      <w:rFonts w:eastAsia="Times New Roman"/>
      <w:b/>
      <w:bCs/>
      <w:sz w:val="22"/>
      <w:szCs w:val="26"/>
    </w:rPr>
  </w:style>
  <w:style w:type="paragraph" w:customStyle="1" w:styleId="KOT2">
    <w:name w:val="KOT2"/>
    <w:basedOn w:val="Normal"/>
    <w:uiPriority w:val="99"/>
    <w:rsid w:val="00A6060D"/>
    <w:pPr>
      <w:keepNext/>
      <w:spacing w:after="360" w:line="360" w:lineRule="exact"/>
      <w:jc w:val="center"/>
      <w:outlineLvl w:val="0"/>
    </w:pPr>
    <w:rPr>
      <w:rFonts w:eastAsia="Times New Roman"/>
      <w:b/>
      <w:bCs/>
      <w:sz w:val="32"/>
      <w:szCs w:val="32"/>
      <w:lang w:eastAsia="he-IL"/>
    </w:rPr>
  </w:style>
  <w:style w:type="table" w:styleId="GridTable5DarkAccent4">
    <w:name w:val="Grid Table 5 Dark Accent 4"/>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3">
    <w:name w:val="Grid Table 5 Dark Accent 3"/>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3Accent3">
    <w:name w:val="List Table 3 Accent 3"/>
    <w:basedOn w:val="TableNormal"/>
    <w:uiPriority w:val="48"/>
    <w:rsid w:val="00A606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A606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2">
    <w:name w:val="Grid Table 5 Dark Accent 2"/>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1LightAccent5">
    <w:name w:val="Grid Table 1 Light Accent 5"/>
    <w:basedOn w:val="TableNormal"/>
    <w:uiPriority w:val="46"/>
    <w:rsid w:val="00A606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7132">
    <w:name w:val="71ג מקרא+הערות לתרשים/לוח/תמונה כוכבית"/>
    <w:basedOn w:val="715"/>
    <w:qFormat/>
    <w:rsid w:val="00882EB6"/>
    <w:pPr>
      <w:spacing w:after="180"/>
    </w:pPr>
  </w:style>
  <w:style w:type="paragraph" w:styleId="Title">
    <w:name w:val="Title"/>
    <w:basedOn w:val="Normal"/>
    <w:link w:val="a31"/>
    <w:uiPriority w:val="10"/>
    <w:qFormat/>
    <w:rsid w:val="00C91207"/>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rPr>
  </w:style>
  <w:style w:type="character" w:customStyle="1" w:styleId="a31">
    <w:name w:val="כותרת טקסט תו"/>
    <w:basedOn w:val="DefaultParagraphFont"/>
    <w:link w:val="Title"/>
    <w:uiPriority w:val="10"/>
    <w:rsid w:val="00C91207"/>
    <w:rPr>
      <w:rFonts w:ascii="Arial" w:eastAsia="Times New Roman" w:hAnsi="Arial" w:cs="Arial"/>
      <w:b/>
      <w:bCs/>
      <w:kern w:val="28"/>
      <w:sz w:val="32"/>
      <w:szCs w:val="32"/>
    </w:rPr>
  </w:style>
  <w:style w:type="table" w:styleId="GridTable1Light">
    <w:name w:val="Grid Table 1 Light"/>
    <w:basedOn w:val="TableNormal"/>
    <w:uiPriority w:val="46"/>
    <w:rsid w:val="00C912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Block">
    <w:name w:val="Table Block"/>
    <w:basedOn w:val="Normal"/>
    <w:uiPriority w:val="99"/>
    <w:rsid w:val="00C91207"/>
    <w:pPr>
      <w:keepLines/>
      <w:widowControl w:val="0"/>
      <w:tabs>
        <w:tab w:val="left" w:pos="624"/>
        <w:tab w:val="left" w:pos="1247"/>
      </w:tabs>
      <w:autoSpaceDE w:val="0"/>
      <w:autoSpaceDN w:val="0"/>
      <w:adjustRightInd w:val="0"/>
      <w:snapToGrid w:val="0"/>
      <w:spacing w:line="360" w:lineRule="auto"/>
    </w:pPr>
    <w:rPr>
      <w:rFonts w:ascii="Arial" w:eastAsia="Arial Unicode MS" w:hAnsi="Arial"/>
      <w:color w:val="000000"/>
      <w:szCs w:val="26"/>
      <w:lang w:eastAsia="ja-JP"/>
    </w:rPr>
  </w:style>
  <w:style w:type="paragraph" w:customStyle="1" w:styleId="iv">
    <w:name w:val="iv"/>
    <w:basedOn w:val="Normal"/>
    <w:uiPriority w:val="99"/>
    <w:rsid w:val="00C91207"/>
    <w:pPr>
      <w:bidi w:val="0"/>
      <w:spacing w:before="100" w:beforeAutospacing="1" w:after="100" w:afterAutospacing="1" w:line="240" w:lineRule="auto"/>
      <w:jc w:val="left"/>
    </w:pPr>
    <w:rPr>
      <w:rFonts w:eastAsia="Times New Roman" w:cs="Times New Roman"/>
      <w:sz w:val="24"/>
    </w:rPr>
  </w:style>
  <w:style w:type="table" w:styleId="MediumList2Accent1">
    <w:name w:val="Medium List 2 Accent 1"/>
    <w:basedOn w:val="TableNormal"/>
    <w:uiPriority w:val="66"/>
    <w:rsid w:val="00C91207"/>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C91207"/>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Table3Accent1">
    <w:name w:val="List Table 3 Accent 1"/>
    <w:basedOn w:val="TableNormal"/>
    <w:uiPriority w:val="48"/>
    <w:rsid w:val="00C9120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5">
    <w:name w:val="Grid Table 2 Accent 5"/>
    <w:basedOn w:val="TableNormal"/>
    <w:uiPriority w:val="47"/>
    <w:rsid w:val="00C9120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C912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6ColorfulAccent4">
    <w:name w:val="List Table 6 Colorful Accent 4"/>
    <w:basedOn w:val="TableNormal"/>
    <w:uiPriority w:val="51"/>
    <w:rsid w:val="00C9120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3Accent4">
    <w:name w:val="Grid Table 3 Accent 4"/>
    <w:basedOn w:val="TableNormal"/>
    <w:uiPriority w:val="48"/>
    <w:rsid w:val="00C9120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ListTable3Accent4">
    <w:name w:val="List Table 3 Accent 4"/>
    <w:basedOn w:val="TableNormal"/>
    <w:uiPriority w:val="48"/>
    <w:rsid w:val="00C9120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msonormal">
    <w:name w:val="msonormal"/>
    <w:basedOn w:val="Normal"/>
    <w:uiPriority w:val="99"/>
    <w:rsid w:val="00C91207"/>
    <w:rPr>
      <w:rFonts w:cs="Times New Roman"/>
      <w:sz w:val="24"/>
    </w:rPr>
  </w:style>
  <w:style w:type="paragraph" w:customStyle="1" w:styleId="71210">
    <w:name w:val="71ג אותיות רשימה כניסה 2"/>
    <w:basedOn w:val="7122"/>
    <w:qFormat/>
    <w:rsid w:val="005947CE"/>
  </w:style>
  <w:style w:type="paragraph" w:customStyle="1" w:styleId="Style6">
    <w:name w:val="Style6"/>
    <w:qFormat/>
    <w:rsid w:val="00222FD7"/>
    <w:pPr>
      <w:numPr>
        <w:numId w:val="13"/>
      </w:numPr>
      <w:shd w:val="solid" w:color="EDF1FA" w:fill="auto"/>
      <w:spacing w:after="180" w:line="260" w:lineRule="exact"/>
      <w:ind w:left="1191" w:hanging="397"/>
    </w:pPr>
    <w:rPr>
      <w:rFonts w:ascii="Tahoma" w:hAnsi="Tahoma" w:eastAsiaTheme="majorEastAsia" w:cs="Tahoma"/>
      <w:bCs/>
      <w:color w:val="0D0D0D" w:themeColor="text1" w:themeTint="F2"/>
      <w:sz w:val="18"/>
      <w:szCs w:val="18"/>
    </w:rPr>
  </w:style>
  <w:style w:type="paragraph" w:customStyle="1" w:styleId="71211">
    <w:name w:val="71ג הזחה אותיות כניסה 2"/>
    <w:qFormat/>
    <w:rsid w:val="00535CC6"/>
    <w:pPr>
      <w:numPr>
        <w:numId w:val="15"/>
      </w:numPr>
      <w:pBdr>
        <w:top w:val="single" w:sz="18" w:space="4" w:color="EDF1FA"/>
        <w:left w:val="single" w:sz="18" w:space="11" w:color="EDF1FA"/>
        <w:bottom w:val="single" w:sz="18" w:space="6" w:color="EDF1FA"/>
        <w:right w:val="single" w:sz="18" w:space="11" w:color="EDF1FA"/>
      </w:pBdr>
      <w:shd w:val="solid" w:color="EDF1FA" w:fill="auto"/>
      <w:bidi/>
      <w:jc w:val="left"/>
    </w:pPr>
    <w:rPr>
      <w:rFonts w:ascii="Tahoma" w:hAnsi="Tahoma" w:eastAsiaTheme="majorEastAsia" w:cs="Tahoma"/>
      <w:color w:val="0D0D0D" w:themeColor="text1" w:themeTint="F2"/>
      <w:sz w:val="18"/>
      <w:szCs w:val="18"/>
    </w:rPr>
  </w:style>
  <w:style w:type="paragraph" w:customStyle="1" w:styleId="7133">
    <w:name w:val="71ג הזחה מספר בסוגריים"/>
    <w:basedOn w:val="ListParagraph"/>
    <w:qFormat/>
    <w:rsid w:val="00DF2527"/>
    <w:pPr>
      <w:numPr>
        <w:numId w:val="14"/>
      </w:numPr>
      <w:spacing w:after="180" w:line="260" w:lineRule="exact"/>
      <w:ind w:left="1191" w:hanging="397"/>
      <w:contextualSpacing w:val="0"/>
    </w:pPr>
    <w:rPr>
      <w:rFonts w:ascii="Tahoma" w:hAnsi="Tahoma" w:cs="Tahoma"/>
      <w:sz w:val="18"/>
      <w:szCs w:val="18"/>
    </w:rPr>
  </w:style>
  <w:style w:type="paragraph" w:customStyle="1" w:styleId="712021">
    <w:name w:val="71ג כיתוב בתוך טבלת תקציר 2021"/>
    <w:basedOn w:val="20210"/>
    <w:link w:val="712021Char"/>
    <w:qFormat/>
    <w:rsid w:val="00BD22B5"/>
  </w:style>
  <w:style w:type="character" w:customStyle="1" w:styleId="712021Char">
    <w:name w:val="71ג כיתוב בתוך טבלת תקציר 2021 Char"/>
    <w:basedOn w:val="2021Char0"/>
    <w:link w:val="712021"/>
    <w:rsid w:val="00BD22B5"/>
    <w:rPr>
      <w:rFonts w:ascii="Tahoma" w:hAnsi="Tahoma" w:eastAsiaTheme="minorEastAsia" w:cs="Tahoma"/>
      <w:color w:val="0D0D0D" w:themeColor="text1" w:themeTint="F2"/>
      <w:w w:val="90"/>
      <w:sz w:val="18"/>
      <w:szCs w:val="18"/>
    </w:rPr>
  </w:style>
  <w:style w:type="paragraph" w:customStyle="1" w:styleId="7150">
    <w:name w:val="71ג כותרת 5 עם מספר"/>
    <w:basedOn w:val="71512"/>
    <w:qFormat/>
    <w:rsid w:val="00B63611"/>
    <w:pPr>
      <w:numPr>
        <w:numId w:val="16"/>
      </w:numPr>
      <w:ind w:left="397" w:hanging="397"/>
    </w:pPr>
  </w:style>
  <w:style w:type="paragraph" w:customStyle="1" w:styleId="7151">
    <w:name w:val="71ג כותרת 5 עם אותיות כניסה שנייה"/>
    <w:basedOn w:val="7150"/>
    <w:qFormat/>
    <w:rsid w:val="00A139EC"/>
    <w:pPr>
      <w:numPr>
        <w:numId w:val="17"/>
      </w:numPr>
      <w:ind w:left="850" w:hanging="340"/>
      <w:jc w:val="both"/>
    </w:pPr>
  </w:style>
  <w:style w:type="paragraph" w:customStyle="1" w:styleId="7134">
    <w:name w:val="71ג מספר בתוך סוגריים מוזח"/>
    <w:basedOn w:val="712"/>
    <w:qFormat/>
    <w:rsid w:val="00EC13CB"/>
    <w:pPr>
      <w:numPr>
        <w:ilvl w:val="2"/>
        <w:numId w:val="6"/>
      </w:numPr>
      <w:ind w:left="397"/>
    </w:pPr>
  </w:style>
  <w:style w:type="paragraph" w:customStyle="1" w:styleId="7160">
    <w:name w:val="71ג כותרת 6 עם אותיות"/>
    <w:basedOn w:val="7120"/>
    <w:qFormat/>
    <w:rsid w:val="00750D7D"/>
    <w:pPr>
      <w:ind w:left="794" w:hanging="397"/>
    </w:pPr>
    <w:rPr>
      <w:color w:val="00305F"/>
      <w:szCs w:val="24"/>
    </w:rPr>
  </w:style>
  <w:style w:type="paragraph" w:customStyle="1" w:styleId="7135">
    <w:name w:val="71ג כותרת אחרי אות צבע לא מודגש"/>
    <w:basedOn w:val="7120"/>
    <w:qFormat/>
    <w:rsid w:val="008E65C3"/>
    <w:pPr>
      <w:ind w:left="794" w:hanging="397"/>
    </w:pPr>
    <w:rPr>
      <w:color w:val="00305F"/>
    </w:rPr>
  </w:style>
  <w:style w:type="paragraph" w:customStyle="1" w:styleId="7136">
    <w:name w:val="71ג קוביה כחולה  לאחר מספר בסוגריים"/>
    <w:basedOn w:val="7111"/>
    <w:qFormat/>
    <w:rsid w:val="006432EA"/>
    <w:pPr>
      <w:ind w:left="1361"/>
    </w:pPr>
  </w:style>
  <w:style w:type="paragraph" w:customStyle="1" w:styleId="7137">
    <w:name w:val="71ג כותרת סעיף כחול לא מודגש"/>
    <w:basedOn w:val="7120"/>
    <w:qFormat/>
    <w:rsid w:val="00B73165"/>
    <w:pPr>
      <w:ind w:left="794" w:hanging="397"/>
    </w:pPr>
    <w:rPr>
      <w:color w:val="00305F"/>
    </w:rPr>
  </w:style>
  <w:style w:type="paragraph" w:customStyle="1" w:styleId="7138">
    <w:name w:val="71ג כותרת סעיף כחול לא מודגש ב"/>
    <w:basedOn w:val="7137"/>
    <w:qFormat/>
    <w:rsid w:val="00B73165"/>
  </w:style>
  <w:style w:type="paragraph" w:customStyle="1" w:styleId="71120">
    <w:name w:val="71ג כותרת 12 כחולה בולד עם אות"/>
    <w:basedOn w:val="71512"/>
    <w:link w:val="7112Char"/>
    <w:qFormat/>
    <w:rsid w:val="003818F7"/>
    <w:pPr>
      <w:numPr>
        <w:numId w:val="18"/>
      </w:numPr>
      <w:ind w:left="397" w:hanging="397"/>
    </w:pPr>
  </w:style>
  <w:style w:type="paragraph" w:customStyle="1" w:styleId="71112">
    <w:name w:val="71ג קוביה חדשה הזחה 1"/>
    <w:basedOn w:val="717"/>
    <w:link w:val="711Char0"/>
    <w:qFormat/>
    <w:rsid w:val="003818F7"/>
    <w:pPr>
      <w:ind w:left="680"/>
    </w:pPr>
  </w:style>
  <w:style w:type="character" w:customStyle="1" w:styleId="71512Char">
    <w:name w:val="71ג כותרת 5_12 Char"/>
    <w:basedOn w:val="10Char"/>
    <w:link w:val="71512"/>
    <w:rsid w:val="00DE43A8"/>
    <w:rPr>
      <w:rFonts w:ascii="Tahoma" w:hAnsi="Tahoma" w:cs="Tahoma"/>
      <w:b/>
      <w:bCs/>
      <w:color w:val="00305F"/>
      <w:sz w:val="24"/>
      <w:szCs w:val="20"/>
    </w:rPr>
  </w:style>
  <w:style w:type="character" w:customStyle="1" w:styleId="7112Char">
    <w:name w:val="71ג כותרת 12 כחולה בולד עם אות Char"/>
    <w:basedOn w:val="71512Char"/>
    <w:link w:val="71120"/>
    <w:rsid w:val="003818F7"/>
    <w:rPr>
      <w:rFonts w:ascii="Tahoma" w:hAnsi="Tahoma" w:cs="Tahoma"/>
      <w:b/>
      <w:bCs/>
      <w:color w:val="00305F"/>
      <w:sz w:val="24"/>
      <w:szCs w:val="20"/>
    </w:rPr>
  </w:style>
  <w:style w:type="paragraph" w:customStyle="1" w:styleId="7139">
    <w:name w:val="71ג החצי השני של קוביה כחולה"/>
    <w:basedOn w:val="7113"/>
    <w:link w:val="71Char13"/>
    <w:qFormat/>
    <w:rsid w:val="00961DB0"/>
    <w:pPr>
      <w:pBdr>
        <w:top w:val="single" w:sz="18" w:space="5" w:color="EDF1FA"/>
        <w:bottom w:val="single" w:sz="18" w:space="5" w:color="EDF1FA"/>
      </w:pBdr>
    </w:pPr>
  </w:style>
  <w:style w:type="character" w:customStyle="1" w:styleId="RESHETChar">
    <w:name w:val="RESHET Char"/>
    <w:basedOn w:val="DefaultParagraphFont"/>
    <w:link w:val="RESHET"/>
    <w:rsid w:val="003818F7"/>
    <w:rPr>
      <w:rFonts w:eastAsia="Times New Roman" w:cs="FrankRuehl"/>
      <w:b/>
      <w:bCs/>
      <w:sz w:val="24"/>
      <w:szCs w:val="22"/>
      <w:shd w:val="pct25" w:color="00FF00" w:fill="auto"/>
      <w:lang w:eastAsia="he-IL"/>
    </w:rPr>
  </w:style>
  <w:style w:type="character" w:customStyle="1" w:styleId="71Char10">
    <w:name w:val="71ג קוביה כחולה הזחה שנייה Char"/>
    <w:basedOn w:val="RESHETChar"/>
    <w:link w:val="716"/>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11">
    <w:name w:val="71ג קוביה כחולה בתוך הזחה ראשונה Char"/>
    <w:basedOn w:val="71Char10"/>
    <w:link w:val="717"/>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1Char0">
    <w:name w:val="71ג קוביה חדשה הזחה 1 Char"/>
    <w:basedOn w:val="71Char11"/>
    <w:link w:val="71112"/>
    <w:rsid w:val="003818F7"/>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7140">
    <w:name w:val="71ג קוביה לאחר מספר בסוגריים"/>
    <w:basedOn w:val="7113"/>
    <w:link w:val="71Char14"/>
    <w:qFormat/>
    <w:rsid w:val="000557B4"/>
    <w:pPr>
      <w:ind w:left="680"/>
    </w:pPr>
  </w:style>
  <w:style w:type="character" w:customStyle="1" w:styleId="71Char12">
    <w:name w:val="71ג קוביה רצה Char"/>
    <w:basedOn w:val="71Char11"/>
    <w:link w:val="7113"/>
    <w:rsid w:val="00E4255F"/>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Char13">
    <w:name w:val="71ג החצי השני של קוביה כחולה Char"/>
    <w:basedOn w:val="71Char12"/>
    <w:link w:val="7139"/>
    <w:rsid w:val="00961DB0"/>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14">
    <w:name w:val="71ג קוביה לאחר מספר בסוגריים Char"/>
    <w:basedOn w:val="71Char12"/>
    <w:link w:val="7140"/>
    <w:rsid w:val="000557B4"/>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shortt">
    <w:name w:val="shortt"/>
    <w:basedOn w:val="Normal"/>
    <w:rsid w:val="00746FD3"/>
    <w:pPr>
      <w:bidi w:val="0"/>
      <w:spacing w:before="100" w:beforeAutospacing="1" w:after="100" w:afterAutospacing="1" w:line="240" w:lineRule="auto"/>
      <w:jc w:val="left"/>
    </w:pPr>
    <w:rPr>
      <w:rFonts w:eastAsia="Times New Roman" w:cs="Times New Roman"/>
      <w:sz w:val="24"/>
    </w:rPr>
  </w:style>
  <w:style w:type="character" w:customStyle="1" w:styleId="Heading40">
    <w:name w:val="Heading #4_"/>
    <w:basedOn w:val="DefaultParagraphFont"/>
    <w:link w:val="Heading41"/>
    <w:rsid w:val="00746FD3"/>
    <w:rPr>
      <w:rFonts w:ascii="Tahoma" w:eastAsia="Tahoma" w:hAnsi="Tahoma" w:cs="Tahoma"/>
      <w:b/>
      <w:bCs/>
      <w:sz w:val="15"/>
      <w:szCs w:val="15"/>
      <w:shd w:val="clear" w:color="auto" w:fill="FFFFFF"/>
    </w:rPr>
  </w:style>
  <w:style w:type="paragraph" w:customStyle="1" w:styleId="Heading41">
    <w:name w:val="Heading #4"/>
    <w:basedOn w:val="Normal"/>
    <w:link w:val="Heading40"/>
    <w:rsid w:val="00746FD3"/>
    <w:pPr>
      <w:widowControl w:val="0"/>
      <w:shd w:val="clear" w:color="auto" w:fill="FFFFFF"/>
      <w:spacing w:before="240" w:after="180" w:line="240" w:lineRule="exact"/>
      <w:outlineLvl w:val="3"/>
    </w:pPr>
    <w:rPr>
      <w:rFonts w:ascii="Tahoma" w:eastAsia="Tahoma" w:hAnsi="Tahoma" w:cs="Tahoma"/>
      <w:b/>
      <w:bCs/>
      <w:sz w:val="15"/>
      <w:szCs w:val="15"/>
    </w:rPr>
  </w:style>
  <w:style w:type="character" w:customStyle="1" w:styleId="Footnote">
    <w:name w:val="Footnote_"/>
    <w:basedOn w:val="DefaultParagraphFont"/>
    <w:link w:val="Footnote0"/>
    <w:rsid w:val="00746FD3"/>
    <w:rPr>
      <w:rFonts w:ascii="David" w:eastAsia="David" w:hAnsi="David"/>
      <w:szCs w:val="20"/>
      <w:shd w:val="clear" w:color="auto" w:fill="FFFFFF"/>
    </w:rPr>
  </w:style>
  <w:style w:type="character" w:customStyle="1" w:styleId="Footnote95pt">
    <w:name w:val="Footnote + 9.5 pt"/>
    <w:aliases w:val="Footnote (2) + 9.5 pt,Small Caps"/>
    <w:basedOn w:val="Footnote"/>
    <w:rsid w:val="00746FD3"/>
    <w:rPr>
      <w:rFonts w:ascii="David" w:eastAsia="David" w:hAnsi="David"/>
      <w:smallCaps/>
      <w:color w:val="000000"/>
      <w:spacing w:val="0"/>
      <w:w w:val="100"/>
      <w:position w:val="0"/>
      <w:sz w:val="19"/>
      <w:szCs w:val="19"/>
      <w:shd w:val="clear" w:color="auto" w:fill="FFFFFF"/>
      <w:lang w:val="en-US" w:eastAsia="en-US" w:bidi="en-US"/>
    </w:rPr>
  </w:style>
  <w:style w:type="character" w:customStyle="1" w:styleId="Footnote2">
    <w:name w:val="Footnote (2)_"/>
    <w:basedOn w:val="DefaultParagraphFont"/>
    <w:link w:val="Footnote20"/>
    <w:rsid w:val="00746FD3"/>
    <w:rPr>
      <w:rFonts w:ascii="David" w:eastAsia="David" w:hAnsi="David"/>
      <w:szCs w:val="20"/>
      <w:shd w:val="clear" w:color="auto" w:fill="FFFFFF"/>
      <w:lang w:bidi="en-US"/>
    </w:rPr>
  </w:style>
  <w:style w:type="character" w:customStyle="1" w:styleId="Footnote3">
    <w:name w:val="Footnote (3)_"/>
    <w:basedOn w:val="DefaultParagraphFont"/>
    <w:link w:val="Footnote30"/>
    <w:rsid w:val="00746FD3"/>
    <w:rPr>
      <w:rFonts w:ascii="David" w:eastAsia="David" w:hAnsi="David"/>
      <w:sz w:val="19"/>
      <w:szCs w:val="19"/>
      <w:shd w:val="clear" w:color="auto" w:fill="FFFFFF"/>
      <w:lang w:bidi="en-US"/>
    </w:rPr>
  </w:style>
  <w:style w:type="character" w:customStyle="1" w:styleId="Footnote310pt">
    <w:name w:val="Footnote (3) + 10 pt"/>
    <w:basedOn w:val="Footnote3"/>
    <w:rsid w:val="00746FD3"/>
    <w:rPr>
      <w:rFonts w:ascii="David" w:eastAsia="David" w:hAnsi="David"/>
      <w:color w:val="000000"/>
      <w:spacing w:val="0"/>
      <w:w w:val="100"/>
      <w:position w:val="0"/>
      <w:sz w:val="20"/>
      <w:szCs w:val="20"/>
      <w:shd w:val="clear" w:color="auto" w:fill="FFFFFF"/>
      <w:lang w:bidi="en-US"/>
    </w:rPr>
  </w:style>
  <w:style w:type="character" w:customStyle="1" w:styleId="Footnote3SmallCaps">
    <w:name w:val="Footnote (3) + Small Caps"/>
    <w:basedOn w:val="Footnote3"/>
    <w:rsid w:val="00746FD3"/>
    <w:rPr>
      <w:rFonts w:ascii="David" w:eastAsia="David" w:hAnsi="David"/>
      <w:smallCaps/>
      <w:color w:val="000000"/>
      <w:spacing w:val="0"/>
      <w:w w:val="100"/>
      <w:position w:val="0"/>
      <w:sz w:val="19"/>
      <w:szCs w:val="19"/>
      <w:shd w:val="clear" w:color="auto" w:fill="FFFFFF"/>
      <w:lang w:bidi="en-US"/>
    </w:rPr>
  </w:style>
  <w:style w:type="character" w:customStyle="1" w:styleId="FootnoteBold">
    <w:name w:val="Footnote + Bold"/>
    <w:basedOn w:val="Footnote"/>
    <w:rsid w:val="00746FD3"/>
    <w:rPr>
      <w:rFonts w:ascii="David" w:eastAsia="David" w:hAnsi="David"/>
      <w:b/>
      <w:bCs/>
      <w:color w:val="000000"/>
      <w:spacing w:val="0"/>
      <w:w w:val="100"/>
      <w:position w:val="0"/>
      <w:szCs w:val="20"/>
      <w:shd w:val="clear" w:color="auto" w:fill="FFFFFF"/>
      <w:lang w:val="he-IL" w:eastAsia="he-IL" w:bidi="he-IL"/>
    </w:rPr>
  </w:style>
  <w:style w:type="character" w:customStyle="1" w:styleId="FootnoteSmallCaps">
    <w:name w:val="Footnote + Small Caps"/>
    <w:basedOn w:val="Footnote"/>
    <w:rsid w:val="00746FD3"/>
    <w:rPr>
      <w:rFonts w:ascii="David" w:eastAsia="David" w:hAnsi="David"/>
      <w:smallCaps/>
      <w:color w:val="000000"/>
      <w:spacing w:val="0"/>
      <w:w w:val="100"/>
      <w:position w:val="0"/>
      <w:szCs w:val="20"/>
      <w:shd w:val="clear" w:color="auto" w:fill="FFFFFF"/>
      <w:lang w:val="en-US" w:eastAsia="en-US" w:bidi="en-US"/>
    </w:rPr>
  </w:style>
  <w:style w:type="paragraph" w:customStyle="1" w:styleId="Footnote0">
    <w:name w:val="Footnote"/>
    <w:basedOn w:val="Normal"/>
    <w:link w:val="Footnote"/>
    <w:rsid w:val="00746FD3"/>
    <w:pPr>
      <w:widowControl w:val="0"/>
      <w:shd w:val="clear" w:color="auto" w:fill="FFFFFF"/>
      <w:spacing w:line="235" w:lineRule="exact"/>
    </w:pPr>
    <w:rPr>
      <w:rFonts w:ascii="David" w:eastAsia="David" w:hAnsi="David"/>
      <w:szCs w:val="20"/>
    </w:rPr>
  </w:style>
  <w:style w:type="paragraph" w:customStyle="1" w:styleId="Footnote20">
    <w:name w:val="Footnote (2)"/>
    <w:basedOn w:val="Normal"/>
    <w:link w:val="Footnote2"/>
    <w:rsid w:val="00746FD3"/>
    <w:pPr>
      <w:widowControl w:val="0"/>
      <w:shd w:val="clear" w:color="auto" w:fill="FFFFFF"/>
      <w:bidi w:val="0"/>
      <w:spacing w:line="230" w:lineRule="exact"/>
      <w:jc w:val="right"/>
    </w:pPr>
    <w:rPr>
      <w:rFonts w:ascii="David" w:eastAsia="David" w:hAnsi="David"/>
      <w:szCs w:val="20"/>
      <w:lang w:bidi="en-US"/>
    </w:rPr>
  </w:style>
  <w:style w:type="paragraph" w:customStyle="1" w:styleId="Footnote30">
    <w:name w:val="Footnote (3)"/>
    <w:basedOn w:val="Normal"/>
    <w:link w:val="Footnote3"/>
    <w:rsid w:val="00746FD3"/>
    <w:pPr>
      <w:widowControl w:val="0"/>
      <w:shd w:val="clear" w:color="auto" w:fill="FFFFFF"/>
      <w:bidi w:val="0"/>
      <w:spacing w:line="230" w:lineRule="exact"/>
      <w:jc w:val="right"/>
    </w:pPr>
    <w:rPr>
      <w:rFonts w:ascii="David" w:eastAsia="David" w:hAnsi="David"/>
      <w:sz w:val="19"/>
      <w:szCs w:val="19"/>
      <w:lang w:bidi="en-US"/>
    </w:rPr>
  </w:style>
  <w:style w:type="table" w:customStyle="1" w:styleId="230">
    <w:name w:val="_23"/>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table" w:customStyle="1" w:styleId="40">
    <w:name w:val="_4"/>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paragraph" w:styleId="Quote">
    <w:name w:val="Quote"/>
    <w:basedOn w:val="Normal"/>
    <w:next w:val="Normal"/>
    <w:link w:val="a32"/>
    <w:uiPriority w:val="29"/>
    <w:qFormat/>
    <w:rsid w:val="00746FD3"/>
    <w:pPr>
      <w:widowControl w:val="0"/>
      <w:spacing w:before="200" w:after="160" w:line="240" w:lineRule="auto"/>
      <w:ind w:left="864" w:right="864"/>
      <w:jc w:val="center"/>
    </w:pPr>
    <w:rPr>
      <w:rFonts w:eastAsia="Times New Roman"/>
      <w:i/>
      <w:iCs/>
      <w:color w:val="404040" w:themeColor="text1" w:themeTint="BF"/>
      <w:sz w:val="24"/>
    </w:rPr>
  </w:style>
  <w:style w:type="character" w:customStyle="1" w:styleId="a32">
    <w:name w:val="ציטוט תו"/>
    <w:basedOn w:val="DefaultParagraphFont"/>
    <w:link w:val="Quote"/>
    <w:uiPriority w:val="29"/>
    <w:rsid w:val="00746FD3"/>
    <w:rPr>
      <w:rFonts w:eastAsia="Times New Roman"/>
      <w:i/>
      <w:iCs/>
      <w:color w:val="404040" w:themeColor="text1" w:themeTint="BF"/>
      <w:sz w:val="24"/>
    </w:rPr>
  </w:style>
  <w:style w:type="paragraph" w:customStyle="1" w:styleId="7141">
    <w:name w:val="71ג טבלה בולטים"/>
    <w:basedOn w:val="71R"/>
    <w:qFormat/>
    <w:rsid w:val="0043581E"/>
    <w:pPr>
      <w:numPr>
        <w:numId w:val="19"/>
      </w:numPr>
      <w:ind w:left="284" w:hanging="284"/>
    </w:pPr>
  </w:style>
  <w:style w:type="table" w:customStyle="1" w:styleId="2-61">
    <w:name w:val="טבלת רשת 2 - הדגשה 61"/>
    <w:basedOn w:val="TableNormal"/>
    <w:uiPriority w:val="47"/>
    <w:rsid w:val="002927E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SubtleEmphasis">
    <w:name w:val="Subtle Emphasis"/>
    <w:basedOn w:val="DefaultParagraphFont"/>
    <w:uiPriority w:val="19"/>
    <w:qFormat/>
    <w:rsid w:val="00583E34"/>
    <w:rPr>
      <w:rFonts w:hint="default"/>
      <w:i/>
      <w:iCs/>
      <w:color w:val="808080"/>
    </w:rPr>
  </w:style>
  <w:style w:type="character" w:styleId="IntenseEmphasis">
    <w:name w:val="Intense Emphasis"/>
    <w:basedOn w:val="DefaultParagraphFont"/>
    <w:uiPriority w:val="21"/>
    <w:qFormat/>
    <w:rsid w:val="00583E34"/>
    <w:rPr>
      <w:rFonts w:hint="default"/>
      <w:b/>
      <w:bCs/>
      <w:i/>
      <w:iCs/>
      <w:color w:val="4F81BD"/>
    </w:rPr>
  </w:style>
  <w:style w:type="paragraph" w:styleId="IntenseQuote">
    <w:name w:val="Intense Quote"/>
    <w:basedOn w:val="Normal"/>
    <w:next w:val="Normal"/>
    <w:link w:val="a33"/>
    <w:uiPriority w:val="30"/>
    <w:qFormat/>
    <w:rsid w:val="00583E34"/>
    <w:pPr>
      <w:pBdr>
        <w:bottom w:val="single" w:sz="4" w:space="4" w:color="4F81BD"/>
      </w:pBdr>
      <w:spacing w:before="200" w:after="280"/>
      <w:ind w:left="936" w:right="936"/>
    </w:pPr>
    <w:rPr>
      <w:rFonts w:eastAsia="Calibri"/>
      <w:b/>
      <w:bCs/>
      <w:i/>
      <w:iCs/>
      <w:color w:val="4F81BD"/>
    </w:rPr>
  </w:style>
  <w:style w:type="character" w:customStyle="1" w:styleId="a33">
    <w:name w:val="ציטוט חזק תו"/>
    <w:basedOn w:val="DefaultParagraphFont"/>
    <w:link w:val="IntenseQuote"/>
    <w:uiPriority w:val="30"/>
    <w:rsid w:val="00583E34"/>
    <w:rPr>
      <w:rFonts w:eastAsia="Calibri"/>
      <w:b/>
      <w:bCs/>
      <w:i/>
      <w:iCs/>
      <w:color w:val="4F81BD"/>
    </w:rPr>
  </w:style>
  <w:style w:type="character" w:styleId="SubtleReference">
    <w:name w:val="Subtle Reference"/>
    <w:basedOn w:val="DefaultParagraphFont"/>
    <w:uiPriority w:val="31"/>
    <w:qFormat/>
    <w:rsid w:val="00583E34"/>
    <w:rPr>
      <w:rFonts w:hint="default"/>
      <w:smallCaps/>
      <w:color w:val="C0504D"/>
      <w:u w:val="single"/>
    </w:rPr>
  </w:style>
  <w:style w:type="character" w:styleId="IntenseReference">
    <w:name w:val="Intense Reference"/>
    <w:basedOn w:val="DefaultParagraphFont"/>
    <w:uiPriority w:val="32"/>
    <w:qFormat/>
    <w:rsid w:val="00583E34"/>
    <w:rPr>
      <w:rFonts w:hint="default"/>
      <w:b/>
      <w:bCs/>
      <w:smallCaps/>
      <w:color w:val="C0504D"/>
      <w:spacing w:val="5"/>
      <w:u w:val="single"/>
    </w:rPr>
  </w:style>
  <w:style w:type="character" w:styleId="BookTitle">
    <w:name w:val="Book Title"/>
    <w:basedOn w:val="DefaultParagraphFont"/>
    <w:uiPriority w:val="33"/>
    <w:qFormat/>
    <w:rsid w:val="00583E34"/>
    <w:rPr>
      <w:rFonts w:hint="default"/>
      <w:b/>
      <w:bCs/>
      <w:smallCaps/>
      <w:spacing w:val="5"/>
    </w:rPr>
  </w:style>
  <w:style w:type="character" w:customStyle="1" w:styleId="Heading1Char1">
    <w:name w:val="Heading 1 Char1"/>
    <w:basedOn w:val="DefaultParagraphFont"/>
    <w:uiPriority w:val="1"/>
    <w:rsid w:val="00583E34"/>
    <w:rPr>
      <w:rFonts w:eastAsia="Helvetica Neue" w:hint="default"/>
      <w:bCs/>
      <w:szCs w:val="36"/>
      <w:u w:val="single"/>
    </w:rPr>
  </w:style>
  <w:style w:type="character" w:customStyle="1" w:styleId="Heading2Char1">
    <w:name w:val="Heading 2 Char1"/>
    <w:basedOn w:val="DefaultParagraphFont"/>
    <w:uiPriority w:val="1"/>
    <w:rsid w:val="00583E34"/>
    <w:rPr>
      <w:rFonts w:eastAsia="Helvetica Neue" w:hint="default"/>
      <w:bCs/>
      <w:szCs w:val="32"/>
    </w:rPr>
  </w:style>
  <w:style w:type="character" w:customStyle="1" w:styleId="Heading3Char1">
    <w:name w:val="Heading 3 Char1"/>
    <w:basedOn w:val="DefaultParagraphFont"/>
    <w:uiPriority w:val="1"/>
    <w:rsid w:val="00583E34"/>
    <w:rPr>
      <w:rFonts w:eastAsia="Helvetica Neue" w:hint="default"/>
      <w:bCs/>
      <w:szCs w:val="28"/>
      <w:u w:val="single"/>
    </w:rPr>
  </w:style>
  <w:style w:type="character" w:customStyle="1" w:styleId="Heading4Char1">
    <w:name w:val="Heading 4 Char1"/>
    <w:basedOn w:val="DefaultParagraphFont"/>
    <w:uiPriority w:val="1"/>
    <w:rsid w:val="00583E34"/>
    <w:rPr>
      <w:rFonts w:eastAsia="Helvetica Neue" w:hint="default"/>
      <w:bCs/>
      <w:szCs w:val="26"/>
    </w:rPr>
  </w:style>
  <w:style w:type="character" w:customStyle="1" w:styleId="Heading5Char1">
    <w:name w:val="Heading 5 Char1"/>
    <w:basedOn w:val="DefaultParagraphFont"/>
    <w:uiPriority w:val="1"/>
    <w:rsid w:val="00583E34"/>
    <w:rPr>
      <w:rFonts w:eastAsia="Helvetica Neue" w:hint="default"/>
      <w:bCs/>
      <w:spacing w:val="40"/>
    </w:rPr>
  </w:style>
  <w:style w:type="character" w:customStyle="1" w:styleId="Heading6Char1">
    <w:name w:val="Heading 6 Char1"/>
    <w:basedOn w:val="DefaultParagraphFont"/>
    <w:uiPriority w:val="1"/>
    <w:rsid w:val="00583E34"/>
    <w:rPr>
      <w:rFonts w:eastAsia="Helvetica Neue" w:hint="default"/>
      <w:spacing w:val="40"/>
    </w:rPr>
  </w:style>
  <w:style w:type="character" w:customStyle="1" w:styleId="Heading7Char1">
    <w:name w:val="Heading 7 Char1"/>
    <w:basedOn w:val="DefaultParagraphFont"/>
    <w:uiPriority w:val="1"/>
    <w:rsid w:val="00583E34"/>
    <w:rPr>
      <w:rFonts w:eastAsia="Helvetica Neue" w:hint="default"/>
      <w:bCs/>
      <w:spacing w:val="40"/>
    </w:rPr>
  </w:style>
  <w:style w:type="character" w:customStyle="1" w:styleId="Heading8Char1">
    <w:name w:val="Heading 8 Char1"/>
    <w:basedOn w:val="DefaultParagraphFont"/>
    <w:uiPriority w:val="1"/>
    <w:rsid w:val="00583E34"/>
    <w:rPr>
      <w:rFonts w:eastAsia="Helvetica Neue" w:hint="default"/>
      <w:spacing w:val="40"/>
    </w:rPr>
  </w:style>
  <w:style w:type="character" w:customStyle="1" w:styleId="HeaderChar1">
    <w:name w:val="Header Char1"/>
    <w:basedOn w:val="DefaultParagraphFont"/>
    <w:uiPriority w:val="99"/>
    <w:rsid w:val="00583E34"/>
  </w:style>
  <w:style w:type="character" w:customStyle="1" w:styleId="FooterChar1">
    <w:name w:val="Footer Char1"/>
    <w:basedOn w:val="DefaultParagraphFont"/>
    <w:uiPriority w:val="99"/>
    <w:rsid w:val="00583E34"/>
  </w:style>
  <w:style w:type="character" w:customStyle="1" w:styleId="FootnoteTextChar1">
    <w:name w:val="Footnote Text Char1"/>
    <w:basedOn w:val="DefaultParagraphFont"/>
    <w:uiPriority w:val="99"/>
    <w:rsid w:val="00583E34"/>
    <w:rPr>
      <w:rFonts w:hint="default"/>
      <w:szCs w:val="20"/>
    </w:rPr>
  </w:style>
  <w:style w:type="paragraph" w:customStyle="1" w:styleId="Font8">
    <w:name w:val="Font_8"/>
    <w:basedOn w:val="Normal"/>
    <w:uiPriority w:val="99"/>
    <w:rsid w:val="00583E34"/>
    <w:pPr>
      <w:bidi w:val="0"/>
      <w:spacing w:before="100" w:after="100" w:line="240" w:lineRule="auto"/>
      <w:jc w:val="left"/>
    </w:pPr>
    <w:rPr>
      <w:rFonts w:eastAsia="Times New Roman" w:cs="Times New Roman"/>
      <w:sz w:val="24"/>
    </w:rPr>
  </w:style>
  <w:style w:type="paragraph" w:customStyle="1" w:styleId="Xmsonormal">
    <w:name w:val="X_msonormal"/>
    <w:basedOn w:val="Normal"/>
    <w:uiPriority w:val="99"/>
    <w:rsid w:val="00583E34"/>
    <w:pPr>
      <w:bidi w:val="0"/>
      <w:spacing w:line="240" w:lineRule="auto"/>
      <w:jc w:val="left"/>
    </w:pPr>
    <w:rPr>
      <w:rFonts w:eastAsia="Calibri" w:cs="Times New Roman"/>
      <w:sz w:val="24"/>
    </w:rPr>
  </w:style>
  <w:style w:type="character" w:customStyle="1" w:styleId="Big-number0">
    <w:name w:val="Big-number"/>
    <w:basedOn w:val="DefaultParagraphFont"/>
    <w:uiPriority w:val="99"/>
    <w:rsid w:val="00583E34"/>
  </w:style>
  <w:style w:type="character" w:customStyle="1" w:styleId="Ms-rtefontsize-20">
    <w:name w:val="Ms-rtefontsize-2"/>
    <w:basedOn w:val="DefaultParagraphFont"/>
    <w:uiPriority w:val="99"/>
    <w:rsid w:val="00583E34"/>
  </w:style>
  <w:style w:type="table" w:customStyle="1" w:styleId="TableGrid0">
    <w:name w:val="TableGrid"/>
    <w:uiPriority w:val="99"/>
    <w:rsid w:val="00583E34"/>
    <w:pPr>
      <w:spacing w:after="0" w:line="240" w:lineRule="auto"/>
      <w:jc w:val="left"/>
    </w:pPr>
    <w:rPr>
      <w:rFonts w:ascii="Calibri" w:eastAsia="Times New Roman" w:hAnsi="Calibri" w:cs="Arial"/>
      <w:sz w:val="22"/>
      <w:szCs w:val="22"/>
      <w:lang w:bidi="ar-SA"/>
    </w:rPr>
    <w:tblPr>
      <w:tblCellMar>
        <w:top w:w="0" w:type="dxa"/>
        <w:left w:w="0" w:type="dxa"/>
        <w:bottom w:w="0" w:type="dxa"/>
        <w:right w:w="0" w:type="dxa"/>
      </w:tblCellMar>
    </w:tblPr>
  </w:style>
  <w:style w:type="paragraph" w:customStyle="1" w:styleId="BulletedList">
    <w:name w:val="Bulleted List"/>
    <w:uiPriority w:val="12"/>
    <w:qFormat/>
    <w:rsid w:val="007C1E66"/>
    <w:pPr>
      <w:numPr>
        <w:numId w:val="20"/>
      </w:numPr>
      <w:spacing w:after="60" w:line="260" w:lineRule="exact"/>
    </w:pPr>
    <w:rPr>
      <w:rFonts w:asciiTheme="minorHAnsi" w:hAnsiTheme="minorHAnsi" w:cstheme="minorBidi"/>
      <w:color w:val="000000" w:themeColor="text1"/>
      <w:szCs w:val="22"/>
      <w:lang w:val="en-GB" w:bidi="ar-SA"/>
    </w:rPr>
  </w:style>
  <w:style w:type="character" w:styleId="PageNumber">
    <w:name w:val="page number"/>
    <w:basedOn w:val="DefaultParagraphFont"/>
    <w:uiPriority w:val="99"/>
    <w:rsid w:val="007C1E66"/>
    <w:rPr>
      <w:rFonts w:asciiTheme="minorHAnsi" w:hAnsiTheme="minorHAnsi"/>
      <w:b/>
      <w:sz w:val="22"/>
    </w:rPr>
  </w:style>
  <w:style w:type="table" w:customStyle="1" w:styleId="1112">
    <w:name w:val="רשת טבלה11"/>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רשת טבלה3"/>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C1E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34">
    <w:name w:val="הערות שוליים"/>
    <w:basedOn w:val="FootnoteText"/>
    <w:uiPriority w:val="99"/>
    <w:qFormat/>
    <w:rsid w:val="007C1E66"/>
    <w:pPr>
      <w:spacing w:after="60" w:line="312" w:lineRule="auto"/>
      <w:ind w:left="397" w:hanging="397"/>
    </w:pPr>
    <w:rPr>
      <w:rFonts w:ascii="Tahoma" w:hAnsi="Tahoma" w:cs="Tahoma"/>
      <w:sz w:val="16"/>
      <w:szCs w:val="16"/>
    </w:rPr>
  </w:style>
  <w:style w:type="table" w:customStyle="1" w:styleId="42">
    <w:name w:val="רשת טבלה4"/>
    <w:basedOn w:val="TableNormal"/>
    <w:next w:val="TableGrid"/>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רשת טבלה5"/>
    <w:basedOn w:val="TableNormal"/>
    <w:next w:val="TableGrid"/>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5">
    <w:name w:val="טקסט"/>
    <w:basedOn w:val="Normal"/>
    <w:link w:val="a36"/>
    <w:rsid w:val="007C1E66"/>
    <w:pPr>
      <w:tabs>
        <w:tab w:val="left" w:pos="567"/>
      </w:tabs>
      <w:spacing w:after="120" w:line="280" w:lineRule="exact"/>
    </w:pPr>
    <w:rPr>
      <w:rFonts w:eastAsia="Times New Roman"/>
      <w:sz w:val="22"/>
    </w:rPr>
  </w:style>
  <w:style w:type="character" w:customStyle="1" w:styleId="a36">
    <w:name w:val="טקסט תו"/>
    <w:link w:val="a35"/>
    <w:rsid w:val="007C1E66"/>
    <w:rPr>
      <w:rFonts w:eastAsia="Times New Roman"/>
      <w:sz w:val="22"/>
    </w:rPr>
  </w:style>
  <w:style w:type="table" w:customStyle="1" w:styleId="60">
    <w:name w:val="רשת טבלה6"/>
    <w:basedOn w:val="TableNormal"/>
    <w:next w:val="TableGrid"/>
    <w:uiPriority w:val="59"/>
    <w:rsid w:val="007C1E66"/>
    <w:pPr>
      <w:widowControl w:val="0"/>
      <w:bidi/>
      <w:spacing w:after="0" w:line="312" w:lineRule="auto"/>
    </w:pPr>
    <w:rPr>
      <w:rFonts w:eastAsia="Times New Roman" w:cs="Miriam"/>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רשת טבלה12"/>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5pt">
    <w:name w:val="Body text (2) + 11.5 pt"/>
    <w:aliases w:val="Bold"/>
    <w:basedOn w:val="Bodytext2"/>
    <w:rsid w:val="007C1E66"/>
    <w:rPr>
      <w:rFonts w:ascii="David" w:eastAsia="David" w:hAnsi="David" w:cs="David"/>
      <w:b/>
      <w:bCs/>
      <w:i w:val="0"/>
      <w:iCs w:val="0"/>
      <w:smallCaps w:val="0"/>
      <w:strike w:val="0"/>
      <w:color w:val="000000"/>
      <w:spacing w:val="0"/>
      <w:w w:val="100"/>
      <w:position w:val="0"/>
      <w:sz w:val="23"/>
      <w:szCs w:val="23"/>
      <w:u w:val="none"/>
      <w:shd w:val="clear" w:color="auto" w:fill="FFFFFF"/>
      <w:lang w:val="he-IL" w:eastAsia="he-IL" w:bidi="he-IL"/>
    </w:rPr>
  </w:style>
  <w:style w:type="character" w:customStyle="1" w:styleId="Heading31">
    <w:name w:val="Heading #3_"/>
    <w:basedOn w:val="DefaultParagraphFont"/>
    <w:rsid w:val="007C1E66"/>
    <w:rPr>
      <w:rFonts w:ascii="David" w:eastAsia="David" w:hAnsi="David"/>
      <w:b/>
      <w:bCs/>
      <w:sz w:val="23"/>
      <w:szCs w:val="23"/>
      <w:shd w:val="clear" w:color="auto" w:fill="FFFFFF"/>
    </w:rPr>
  </w:style>
  <w:style w:type="character" w:customStyle="1" w:styleId="Bodytext311pt">
    <w:name w:val="Body text (3) + 11 pt"/>
    <w:aliases w:val="Heading #3 + 11 pt,Not Bold"/>
    <w:basedOn w:val="Bodytext3"/>
    <w:rsid w:val="007C1E66"/>
    <w:rPr>
      <w:rFonts w:ascii="David" w:eastAsia="David" w:hAnsi="David" w:cs="Lucida Sans Unicode"/>
      <w:b/>
      <w:bCs/>
      <w:i w:val="0"/>
      <w:iCs w:val="0"/>
      <w:smallCaps w:val="0"/>
      <w:strike w:val="0"/>
      <w:color w:val="000000"/>
      <w:spacing w:val="0"/>
      <w:w w:val="100"/>
      <w:position w:val="0"/>
      <w:sz w:val="22"/>
      <w:szCs w:val="22"/>
      <w:u w:val="none"/>
      <w:shd w:val="clear" w:color="auto" w:fill="FFFFFF"/>
      <w:lang w:val="he-IL" w:eastAsia="he-IL" w:bidi="he-IL"/>
    </w:rPr>
  </w:style>
  <w:style w:type="paragraph" w:customStyle="1" w:styleId="ruller50">
    <w:name w:val="ruller50"/>
    <w:basedOn w:val="Normal"/>
    <w:rsid w:val="00CA525B"/>
    <w:pPr>
      <w:bidi w:val="0"/>
      <w:spacing w:before="100" w:beforeAutospacing="1" w:after="100" w:afterAutospacing="1" w:line="240" w:lineRule="auto"/>
      <w:jc w:val="left"/>
    </w:pPr>
    <w:rPr>
      <w:rFonts w:eastAsia="Times New Roman" w:cs="Times New Roman"/>
      <w:sz w:val="24"/>
    </w:rPr>
  </w:style>
  <w:style w:type="character" w:customStyle="1" w:styleId="130">
    <w:name w:val="אזכור לא מזוהה1"/>
    <w:basedOn w:val="DefaultParagraphFont"/>
    <w:uiPriority w:val="99"/>
    <w:semiHidden/>
    <w:unhideWhenUsed/>
    <w:rsid w:val="00CA5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jpe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header" Target="header3.xml" /><Relationship Id="rId15" Type="http://schemas.openxmlformats.org/officeDocument/2006/relationships/image" Target="media/image5.jpeg" /><Relationship Id="rId16" Type="http://schemas.openxmlformats.org/officeDocument/2006/relationships/image" Target="media/image6.jpeg" /><Relationship Id="rId17" Type="http://schemas.openxmlformats.org/officeDocument/2006/relationships/image" Target="media/image7.jpeg" /><Relationship Id="rId18" Type="http://schemas.openxmlformats.org/officeDocument/2006/relationships/image" Target="media/image8.jpeg" /><Relationship Id="rId19" Type="http://schemas.openxmlformats.org/officeDocument/2006/relationships/image" Target="media/image9.jpeg" /><Relationship Id="rId2" Type="http://schemas.openxmlformats.org/officeDocument/2006/relationships/settings" Target="settings.xml" /><Relationship Id="rId20" Type="http://schemas.openxmlformats.org/officeDocument/2006/relationships/image" Target="media/image10.jpeg" /><Relationship Id="rId21" Type="http://schemas.openxmlformats.org/officeDocument/2006/relationships/image" Target="media/image11.jpeg" /><Relationship Id="rId22" Type="http://schemas.openxmlformats.org/officeDocument/2006/relationships/footer" Target="footer2.xml" /><Relationship Id="rId23" Type="http://schemas.openxmlformats.org/officeDocument/2006/relationships/footer" Target="footer3.xml" /><Relationship Id="rId24" Type="http://schemas.openxmlformats.org/officeDocument/2006/relationships/header" Target="header4.xml" /><Relationship Id="rId25" Type="http://schemas.openxmlformats.org/officeDocument/2006/relationships/footer" Target="footer4.xml" /><Relationship Id="rId26" Type="http://schemas.openxmlformats.org/officeDocument/2006/relationships/header" Target="header5.xml" /><Relationship Id="rId27" Type="http://schemas.openxmlformats.org/officeDocument/2006/relationships/header" Target="header6.xml" /><Relationship Id="rId28" Type="http://schemas.openxmlformats.org/officeDocument/2006/relationships/image" Target="media/image14.jpeg" /><Relationship Id="rId29" Type="http://schemas.openxmlformats.org/officeDocument/2006/relationships/image" Target="media/image15.png" /><Relationship Id="rId3" Type="http://schemas.openxmlformats.org/officeDocument/2006/relationships/webSettings" Target="webSettings.xml" /><Relationship Id="rId30" Type="http://schemas.openxmlformats.org/officeDocument/2006/relationships/image" Target="media/image16.emf" /><Relationship Id="rId31" Type="http://schemas.openxmlformats.org/officeDocument/2006/relationships/header" Target="header7.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jpeg" /></Relationships>
</file>

<file path=word/_rels/head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2.xml.rels>&#65279;<?xml version="1.0" encoding="utf-8" standalone="yes"?><Relationships xmlns="http://schemas.openxmlformats.org/package/2006/relationships"><Relationship Id="rId1" Type="http://schemas.openxmlformats.org/officeDocument/2006/relationships/image" Target="media/image4.jpeg" /></Relationships>
</file>

<file path=word/_rels/header3.xml.rels>&#65279;<?xml version="1.0" encoding="utf-8" standalone="yes"?><Relationships xmlns="http://schemas.openxmlformats.org/package/2006/relationships"><Relationship Id="rId1" Type="http://schemas.openxmlformats.org/officeDocument/2006/relationships/image" Target="media/image3.jpeg" /></Relationships>
</file>

<file path=word/_rels/header4.xml.rels>&#65279;<?xml version="1.0" encoding="utf-8" standalone="yes"?><Relationships xmlns="http://schemas.openxmlformats.org/package/2006/relationships"><Relationship Id="rId1" Type="http://schemas.openxmlformats.org/officeDocument/2006/relationships/image" Target="media/image12.jpeg" /><Relationship Id="rId2" Type="http://schemas.openxmlformats.org/officeDocument/2006/relationships/image" Target="media/image13.jpeg" /></Relationships>
</file>

<file path=word/_rels/header5.xml.rels>&#65279;<?xml version="1.0" encoding="utf-8" standalone="yes"?><Relationships xmlns="http://schemas.openxmlformats.org/package/2006/relationships"><Relationship Id="rId1" Type="http://schemas.openxmlformats.org/officeDocument/2006/relationships/image" Target="media/image3.jpeg" /></Relationships>
</file>

<file path=word/_rels/header6.xml.rels>&#65279;<?xml version="1.0" encoding="utf-8" standalone="yes"?><Relationships xmlns="http://schemas.openxmlformats.org/package/2006/relationships"><Relationship Id="rId1" Type="http://schemas.openxmlformats.org/officeDocument/2006/relationships/image" Target="media/image4.jpeg" /></Relationships>
</file>

<file path=word/_rels/header7.xml.rels>&#65279;<?xml version="1.0" encoding="utf-8" standalone="yes"?><Relationships xmlns="http://schemas.openxmlformats.org/package/2006/relationships"><Relationship Id="rId1" Type="http://schemas.openxmlformats.org/officeDocument/2006/relationships/image" Target="media/image4.jpeg" /></Relationships>
</file>

<file path=word/_rels/numbering.xml.rels>&#65279;<?xml version="1.0" encoding="utf-8" standalone="yes"?><Relationships xmlns="http://schemas.openxmlformats.org/package/2006/relationships"><Relationship Id="rId1" Type="http://schemas.openxmlformats.org/officeDocument/2006/relationships/image" Target="media/image17.jpe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23265-E400-467A-8E9E-4DE11AEE280D}"/>
</file>

<file path=customXml/itemProps2.xml><?xml version="1.0" encoding="utf-8"?>
<ds:datastoreItem xmlns:ds="http://schemas.openxmlformats.org/officeDocument/2006/customXml" ds:itemID="{2BF7931A-1720-4A9B-8D37-300E1A7E0E6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8CBA43C-3E84-4125-9640-1F0A75C37D8C}">
  <ds:schemaRefs>
    <ds:schemaRef ds:uri="http://schemas.microsoft.com/sharepoint/v3/contenttype/forms"/>
  </ds:schemaRefs>
</ds:datastoreItem>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