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8B2E28" w:rsidP="008D2388" w14:paraId="1815C0C8" w14:textId="2C639457">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8588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2956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08F6AF67">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3056321</wp:posOffset>
                </wp:positionH>
                <wp:positionV relativeFrom="paragraph">
                  <wp:posOffset>356738</wp:posOffset>
                </wp:positionV>
                <wp:extent cx="0" cy="3884623"/>
                <wp:effectExtent l="25400" t="0" r="25400" b="273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8462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0.65pt,28.1pt" to="240.65pt,334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-178940</wp:posOffset>
                </wp:positionH>
                <wp:positionV relativeFrom="paragraph">
                  <wp:posOffset>2091033</wp:posOffset>
                </wp:positionV>
                <wp:extent cx="3033987" cy="0"/>
                <wp:effectExtent l="12700" t="12700" r="190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3398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14.1pt,164.65pt" to="224.8pt,164.65pt" strokecolor="white" strokeweight="1.5pt"/>
            </w:pict>
          </mc:Fallback>
        </mc:AlternateContent>
      </w:r>
      <w:r w:rsidRPr="0030415A" w:rsidR="0093023E">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-248285</wp:posOffset>
                </wp:positionH>
                <wp:positionV relativeFrom="paragraph">
                  <wp:posOffset>257175</wp:posOffset>
                </wp:positionV>
                <wp:extent cx="466407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407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5B14CC" w:rsidRPr="0052031E" w:rsidP="005B14CC"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93023E" w:rsidP="0052031E" w14:textId="77777777">
                            <w:pPr>
                              <w:ind w:left="2268"/>
                              <w:rPr>
                                <w:rtl/>
                              </w:rPr>
                            </w:pPr>
                          </w:p>
                          <w:p w:rsidR="0093023E" w:rsidP="0052031E" w14:textId="77777777">
                            <w:pPr>
                              <w:ind w:left="2268"/>
                              <w:rPr>
                                <w:rtl/>
                              </w:rPr>
                            </w:pPr>
                          </w:p>
                          <w:p w:rsidR="00741709" w:rsidRPr="00876ED9" w:rsidP="00741709" w14:textId="77777777">
                            <w:pPr>
                              <w:ind w:left="2268"/>
                              <w:jc w:val="left"/>
                              <w:rPr>
                                <w:rFonts w:ascii="Tahoma" w:hAnsi="Tahoma" w:eastAsiaTheme="minorEastAsia" w:cs="Tahoma"/>
                                <w:color w:val="FFFFFF" w:themeColor="background1"/>
                                <w:sz w:val="28"/>
                                <w:szCs w:val="28"/>
                                <w:rtl/>
                              </w:rPr>
                            </w:pPr>
                            <w:r w:rsidRPr="00143329">
                              <w:rPr>
                                <w:rFonts w:ascii="Tahoma" w:hAnsi="Tahoma" w:eastAsiaTheme="minorEastAsia" w:cs="Tahoma"/>
                                <w:color w:val="FFFFFF" w:themeColor="background1"/>
                                <w:sz w:val="28"/>
                                <w:szCs w:val="28"/>
                                <w:rtl/>
                              </w:rPr>
                              <w:t>המשרד לביטחון הפנים -</w:t>
                            </w:r>
                            <w:r>
                              <w:rPr>
                                <w:rFonts w:ascii="Tahoma" w:hAnsi="Tahoma" w:eastAsiaTheme="minorEastAsia" w:cs="Tahoma" w:hint="cs"/>
                                <w:color w:val="FFFFFF" w:themeColor="background1"/>
                                <w:sz w:val="28"/>
                                <w:szCs w:val="28"/>
                                <w:rtl/>
                              </w:rPr>
                              <w:t xml:space="preserve"> </w:t>
                            </w:r>
                            <w:r>
                              <w:rPr>
                                <w:rFonts w:ascii="Tahoma" w:hAnsi="Tahoma" w:eastAsiaTheme="minorEastAsia" w:cs="Tahoma"/>
                                <w:color w:val="FFFFFF" w:themeColor="background1"/>
                                <w:sz w:val="28"/>
                                <w:szCs w:val="28"/>
                                <w:rtl/>
                              </w:rPr>
                              <w:br/>
                            </w:r>
                            <w:r>
                              <w:rPr>
                                <w:rFonts w:ascii="Tahoma" w:hAnsi="Tahoma" w:eastAsiaTheme="minorEastAsia" w:cs="Tahoma" w:hint="cs"/>
                                <w:color w:val="FFFFFF" w:themeColor="background1"/>
                                <w:sz w:val="28"/>
                                <w:szCs w:val="28"/>
                                <w:rtl/>
                              </w:rPr>
                              <w:t xml:space="preserve">שירות בתי הסוהר </w:t>
                            </w:r>
                          </w:p>
                          <w:p w:rsidR="00CB22A1" w:rsidP="002D268F" w14:textId="6FBAF165">
                            <w:pPr>
                              <w:spacing w:before="360" w:line="600" w:lineRule="exact"/>
                              <w:ind w:left="2268"/>
                              <w:jc w:val="left"/>
                              <w:rPr>
                                <w:rFonts w:ascii="Tahoma" w:hAnsi="Tahoma" w:cs="Tahoma"/>
                                <w:b/>
                                <w:bCs/>
                                <w:color w:val="FFFFFF" w:themeColor="background1"/>
                                <w:sz w:val="44"/>
                                <w:szCs w:val="44"/>
                              </w:rPr>
                            </w:pPr>
                            <w:r w:rsidRPr="000B5681">
                              <w:rPr>
                                <w:rFonts w:ascii="Tahoma" w:hAnsi="Tahoma" w:cs="Tahoma"/>
                                <w:b/>
                                <w:bCs/>
                                <w:color w:val="FFFFFF" w:themeColor="background1"/>
                                <w:sz w:val="44"/>
                                <w:szCs w:val="44"/>
                                <w:rtl/>
                              </w:rPr>
                              <w:t>המערך הרפואי לטיפול בכלואים בשירות בתי הסוהר - ביקורת מעקב</w:t>
                            </w:r>
                          </w:p>
                          <w:p w:rsidR="00A57CC9" w:rsidRPr="00A57CC9"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67.25pt;height:336.5pt;margin-top:20.25pt;margin-left:-19.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5B14CC" w:rsidRPr="0052031E" w:rsidP="005B14CC" w14:paraId="5D7867C7"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93023E" w:rsidP="0052031E" w14:paraId="7B843906" w14:textId="77777777">
                      <w:pPr>
                        <w:ind w:left="2268"/>
                        <w:rPr>
                          <w:rtl/>
                        </w:rPr>
                      </w:pPr>
                    </w:p>
                    <w:p w:rsidR="0093023E" w:rsidP="0052031E" w14:paraId="1E3EEB51" w14:textId="77777777">
                      <w:pPr>
                        <w:ind w:left="2268"/>
                        <w:rPr>
                          <w:rtl/>
                        </w:rPr>
                      </w:pPr>
                    </w:p>
                    <w:p w:rsidR="00741709" w:rsidRPr="00876ED9" w:rsidP="00741709" w14:paraId="4EAC1947" w14:textId="77777777">
                      <w:pPr>
                        <w:ind w:left="2268"/>
                        <w:jc w:val="left"/>
                        <w:rPr>
                          <w:rFonts w:ascii="Tahoma" w:hAnsi="Tahoma" w:eastAsiaTheme="minorEastAsia" w:cs="Tahoma"/>
                          <w:color w:val="FFFFFF" w:themeColor="background1"/>
                          <w:sz w:val="28"/>
                          <w:szCs w:val="28"/>
                          <w:rtl/>
                        </w:rPr>
                      </w:pPr>
                      <w:r w:rsidRPr="00143329">
                        <w:rPr>
                          <w:rFonts w:ascii="Tahoma" w:hAnsi="Tahoma" w:eastAsiaTheme="minorEastAsia" w:cs="Tahoma"/>
                          <w:color w:val="FFFFFF" w:themeColor="background1"/>
                          <w:sz w:val="28"/>
                          <w:szCs w:val="28"/>
                          <w:rtl/>
                        </w:rPr>
                        <w:t>המשרד לביטחון הפנים -</w:t>
                      </w:r>
                      <w:r>
                        <w:rPr>
                          <w:rFonts w:ascii="Tahoma" w:hAnsi="Tahoma" w:eastAsiaTheme="minorEastAsia" w:cs="Tahoma" w:hint="cs"/>
                          <w:color w:val="FFFFFF" w:themeColor="background1"/>
                          <w:sz w:val="28"/>
                          <w:szCs w:val="28"/>
                          <w:rtl/>
                        </w:rPr>
                        <w:t xml:space="preserve"> </w:t>
                      </w:r>
                      <w:r>
                        <w:rPr>
                          <w:rFonts w:ascii="Tahoma" w:hAnsi="Tahoma" w:eastAsiaTheme="minorEastAsia" w:cs="Tahoma"/>
                          <w:color w:val="FFFFFF" w:themeColor="background1"/>
                          <w:sz w:val="28"/>
                          <w:szCs w:val="28"/>
                          <w:rtl/>
                        </w:rPr>
                        <w:br/>
                      </w:r>
                      <w:r>
                        <w:rPr>
                          <w:rFonts w:ascii="Tahoma" w:hAnsi="Tahoma" w:eastAsiaTheme="minorEastAsia" w:cs="Tahoma" w:hint="cs"/>
                          <w:color w:val="FFFFFF" w:themeColor="background1"/>
                          <w:sz w:val="28"/>
                          <w:szCs w:val="28"/>
                          <w:rtl/>
                        </w:rPr>
                        <w:t xml:space="preserve">שירות בתי הסוהר </w:t>
                      </w:r>
                    </w:p>
                    <w:p w:rsidR="00CB22A1" w:rsidP="002D268F" w14:paraId="5464BE8D" w14:textId="6FBAF165">
                      <w:pPr>
                        <w:spacing w:before="360" w:line="600" w:lineRule="exact"/>
                        <w:ind w:left="2268"/>
                        <w:jc w:val="left"/>
                        <w:rPr>
                          <w:rFonts w:ascii="Tahoma" w:hAnsi="Tahoma" w:cs="Tahoma"/>
                          <w:b/>
                          <w:bCs/>
                          <w:color w:val="FFFFFF" w:themeColor="background1"/>
                          <w:sz w:val="44"/>
                          <w:szCs w:val="44"/>
                        </w:rPr>
                      </w:pPr>
                      <w:r w:rsidRPr="000B5681">
                        <w:rPr>
                          <w:rFonts w:ascii="Tahoma" w:hAnsi="Tahoma" w:cs="Tahoma"/>
                          <w:b/>
                          <w:bCs/>
                          <w:color w:val="FFFFFF" w:themeColor="background1"/>
                          <w:sz w:val="44"/>
                          <w:szCs w:val="44"/>
                          <w:rtl/>
                        </w:rPr>
                        <w:t>המערך הרפואי לטיפול בכלואים בשירות בתי הסוהר - ביקורת מעקב</w:t>
                      </w:r>
                    </w:p>
                    <w:p w:rsidR="00A57CC9" w:rsidRPr="00A57CC9" w:rsidP="002D268F" w14:paraId="71CBA720"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9160016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79081"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27424D" w:rsidRPr="000D2FE7" w:rsidP="00C51CB1" w14:paraId="0165F9FB" w14:textId="2FEF1705">
      <w:pPr>
        <w:pStyle w:val="a25"/>
        <w:rPr>
          <w:rtl/>
        </w:rPr>
      </w:pPr>
      <w:r>
        <w:rPr>
          <w:rtl/>
        </w:rPr>
        <mc:AlternateContent>
          <mc:Choice Requires="wps">
            <w:drawing>
              <wp:anchor distT="0" distB="0" distL="114300" distR="114300" simplePos="0" relativeHeight="251722752" behindDoc="0" locked="0" layoutInCell="1" allowOverlap="1">
                <wp:simplePos x="0" y="0"/>
                <wp:positionH relativeFrom="column">
                  <wp:posOffset>-640968</wp:posOffset>
                </wp:positionH>
                <wp:positionV relativeFrom="paragraph">
                  <wp:posOffset>331949</wp:posOffset>
                </wp:positionV>
                <wp:extent cx="173536" cy="4802287"/>
                <wp:effectExtent l="12700" t="12700" r="17145" b="11430"/>
                <wp:wrapNone/>
                <wp:docPr id="24785207" name="מלבן 24785207"/>
                <wp:cNvGraphicFramePr/>
                <a:graphic xmlns:a="http://schemas.openxmlformats.org/drawingml/2006/main">
                  <a:graphicData uri="http://schemas.microsoft.com/office/word/2010/wordprocessingShape">
                    <wps:wsp xmlns:wps="http://schemas.microsoft.com/office/word/2010/wordprocessingShape">
                      <wps:cNvSpPr/>
                      <wps:spPr>
                        <a:xfrm>
                          <a:off x="0" y="0"/>
                          <a:ext cx="173536" cy="4802287"/>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4785207" o:spid="_x0000_s1033" style="width:13.65pt;height:378.15pt;margin-top:26.15pt;margin-left:-50.45pt;mso-height-percent:0;mso-height-relative:margin;mso-wrap-distance-bottom:0;mso-wrap-distance-left:9pt;mso-wrap-distance-right:9pt;mso-wrap-distance-top:0;mso-wrap-style:square;position:absolute;visibility:visible;v-text-anchor:middle;z-index:251723776" fillcolor="#00305f" strokecolor="#00305f" strokeweight="2pt"/>
            </w:pict>
          </mc:Fallback>
        </mc:AlternateContent>
      </w:r>
      <w:r w:rsidR="008255D0">
        <w:rPr>
          <w:rtl/>
        </w:rPr>
        <w:drawing>
          <wp:anchor distT="0" distB="0" distL="114300" distR="114300" simplePos="0" relativeHeight="251670528" behindDoc="0" locked="0" layoutInCell="1" allowOverlap="1">
            <wp:simplePos x="0" y="0"/>
            <wp:positionH relativeFrom="margin">
              <wp:posOffset>3289300</wp:posOffset>
            </wp:positionH>
            <wp:positionV relativeFrom="paragraph">
              <wp:posOffset>939165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91656"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0B5681" w:rsidR="000B5681">
        <w:rPr>
          <w:rFonts w:eastAsiaTheme="minorHAnsi"/>
          <w:noProof w:val="0"/>
          <w:sz w:val="40"/>
          <w:szCs w:val="34"/>
          <w:rtl/>
          <w:lang w:val="en-US"/>
        </w:rPr>
        <w:t>המערך הרפואי לטיפול בכלואים בשירות בתי הסוהר - ביקורת מעקב</w:t>
      </w:r>
    </w:p>
    <w:p w:rsidR="009E3D6D" w:rsidP="009E3D6D" w14:paraId="32190477" w14:textId="74425681">
      <w:pPr>
        <w:pStyle w:val="7190"/>
        <w:rPr>
          <w:rtl/>
        </w:rPr>
      </w:pPr>
    </w:p>
    <w:p w:rsidR="008255D0" w:rsidP="009E3D6D" w14:paraId="0C0FDA6E" w14:textId="77777777">
      <w:pPr>
        <w:pStyle w:val="7190"/>
        <w:rPr>
          <w:rtl/>
        </w:rPr>
      </w:pPr>
    </w:p>
    <w:p w:rsidR="009E3D6D" w:rsidP="008A2A7C" w14:paraId="438CAA5E" w14:textId="6C332389">
      <w:pPr>
        <w:pStyle w:val="7190"/>
        <w:rPr>
          <w:b/>
          <w:bCs/>
          <w:rtl/>
        </w:rPr>
      </w:pPr>
      <w:r w:rsidRPr="007A0A2C">
        <w:rPr>
          <w:rtl/>
        </w:rPr>
        <w:t>מערך הרפואה</w:t>
      </w:r>
      <w:r w:rsidRPr="007A0A2C">
        <w:rPr>
          <w:rFonts w:hint="cs"/>
          <w:rtl/>
        </w:rPr>
        <w:t xml:space="preserve"> של שירות בתי הסוהר (שב"ס) </w:t>
      </w:r>
      <w:r w:rsidRPr="007A0A2C">
        <w:rPr>
          <w:rtl/>
        </w:rPr>
        <w:t>עוסק ב</w:t>
      </w:r>
      <w:r w:rsidRPr="007A0A2C">
        <w:rPr>
          <w:rFonts w:hint="cs"/>
          <w:rtl/>
        </w:rPr>
        <w:t>ין השאר ב</w:t>
      </w:r>
      <w:r w:rsidRPr="007A0A2C">
        <w:rPr>
          <w:rtl/>
        </w:rPr>
        <w:t>מתן שירותי בריאות כוללניים לכלואים</w:t>
      </w:r>
      <w:r w:rsidRPr="007A0A2C">
        <w:rPr>
          <w:rFonts w:hint="cs"/>
          <w:rtl/>
        </w:rPr>
        <w:t>, באמצעות מרפאות ב-32 מתקני הכליאה של שב"ס</w:t>
      </w:r>
      <w:r>
        <w:rPr>
          <w:vertAlign w:val="superscript"/>
          <w:rtl/>
        </w:rPr>
        <w:footnoteReference w:id="2"/>
      </w:r>
      <w:r w:rsidRPr="007A0A2C">
        <w:rPr>
          <w:rFonts w:hint="cs"/>
          <w:rtl/>
        </w:rPr>
        <w:t xml:space="preserve"> ובאמצעות חמישה מרכזים רפואיים, ובהם שירותי רפואת מומחים. </w:t>
      </w:r>
      <w:r w:rsidRPr="007A0A2C">
        <w:rPr>
          <w:rtl/>
        </w:rPr>
        <w:t xml:space="preserve">המרכז הרפואי של שב"ס </w:t>
      </w:r>
      <w:r w:rsidRPr="007A0A2C">
        <w:rPr>
          <w:rFonts w:hint="cs"/>
          <w:rtl/>
        </w:rPr>
        <w:t>הוא</w:t>
      </w:r>
      <w:r w:rsidRPr="007A0A2C">
        <w:rPr>
          <w:rtl/>
        </w:rPr>
        <w:t xml:space="preserve"> מתקן כליאה המשמש מסגרת רפואית אשפוזית לכלואים, והמרכז לבריאות הנפש שבאחריות משרד הבריאות</w:t>
      </w:r>
      <w:r w:rsidRPr="007A0A2C">
        <w:rPr>
          <w:rFonts w:hint="cs"/>
          <w:rtl/>
        </w:rPr>
        <w:t xml:space="preserve"> (</w:t>
      </w:r>
      <w:r w:rsidRPr="007A0A2C">
        <w:rPr>
          <w:rFonts w:hint="cs"/>
          <w:rtl/>
        </w:rPr>
        <w:t>מב"ן</w:t>
      </w:r>
      <w:r w:rsidRPr="007A0A2C">
        <w:rPr>
          <w:rFonts w:hint="cs"/>
          <w:rtl/>
        </w:rPr>
        <w:t>)</w:t>
      </w:r>
      <w:r w:rsidRPr="007A0A2C">
        <w:rPr>
          <w:rtl/>
        </w:rPr>
        <w:t xml:space="preserve"> </w:t>
      </w:r>
      <w:r w:rsidRPr="007A0A2C">
        <w:rPr>
          <w:rFonts w:hint="cs"/>
          <w:rtl/>
        </w:rPr>
        <w:t>המהווה מסגרת אשפוז פסיכיאטרית לכלואים. שני המתקנים ממוקמים במתחם בתי הכלא ברמלה. בשנת 2020 הוחזקו במתקני הכליאה של שב"ס כ-14,000 כלואים. בשנת 2015 פרסם משרד מבקר המדינה דוח ביקורת בנושא "המערך הרפואי לטיפול בכלואים בשירות בתי הסוהר" (הדוח הקודם)</w:t>
      </w:r>
      <w:r>
        <w:rPr>
          <w:vertAlign w:val="superscript"/>
          <w:rtl/>
        </w:rPr>
        <w:footnoteReference w:id="3"/>
      </w:r>
      <w:r w:rsidRPr="007A0A2C">
        <w:rPr>
          <w:rFonts w:hint="cs"/>
          <w:rtl/>
        </w:rPr>
        <w:t>, לאחר שביצע ביקורת בנושא (הביקורת הקודמת). הדוח הנוכחי מסכם ביקורת מעקב אחר תיקון הליקויים שצוינו בדוח הקודם</w:t>
      </w:r>
      <w:r w:rsidRPr="009E3D6D" w:rsidR="00CD022B">
        <w:rPr>
          <w:rtl/>
        </w:rPr>
        <w:t>.</w:t>
      </w:r>
      <w:r w:rsidRPr="00DD5B43"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92032" behindDoc="0" locked="0" layoutInCell="1" allowOverlap="1">
            <wp:simplePos x="0" y="0"/>
            <wp:positionH relativeFrom="column">
              <wp:posOffset>3268345</wp:posOffset>
            </wp:positionH>
            <wp:positionV relativeFrom="paragraph">
              <wp:posOffset>213</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26231"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79FAC953">
      <w:pPr>
        <w:pStyle w:val="7190"/>
        <w:rPr>
          <w:rtl/>
        </w:rPr>
      </w:pPr>
    </w:p>
    <w:tbl>
      <w:tblPr>
        <w:tblStyle w:val="TableGrid"/>
        <w:bidiVisual/>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9"/>
        <w:gridCol w:w="1843"/>
        <w:gridCol w:w="1843"/>
        <w:gridCol w:w="1844"/>
      </w:tblGrid>
      <w:tr w14:paraId="7597E23C" w14:textId="77777777" w:rsidTr="008A2A7C">
        <w:tblPrEx>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9" w:type="dxa"/>
            <w:vAlign w:val="bottom"/>
          </w:tcPr>
          <w:p w:rsidR="008A2A7C" w:rsidRPr="008A2A7C" w:rsidP="008A2A7C" w14:paraId="1E1AF3C6" w14:textId="30ACDBBE">
            <w:pPr>
              <w:pStyle w:val="2021"/>
              <w:rPr>
                <w:rtl/>
              </w:rPr>
            </w:pPr>
            <w:r>
              <w:rPr>
                <w:rFonts w:hint="cs"/>
                <w:spacing w:val="-12"/>
                <w:rtl/>
              </w:rPr>
              <w:t>57</w:t>
            </w:r>
            <w:r w:rsidRPr="008A2A7C">
              <w:rPr>
                <w:rFonts w:hint="cs"/>
                <w:spacing w:val="-12"/>
                <w:sz w:val="26"/>
                <w:szCs w:val="26"/>
                <w:rtl/>
              </w:rPr>
              <w:t xml:space="preserve"> </w:t>
            </w:r>
            <w:r w:rsidRPr="008A2A7C">
              <w:rPr>
                <w:spacing w:val="-12"/>
                <w:sz w:val="26"/>
                <w:szCs w:val="26"/>
                <w:rtl/>
              </w:rPr>
              <w:br/>
            </w:r>
            <w:r w:rsidRPr="00614B9F">
              <w:rPr>
                <w:spacing w:val="-12"/>
                <w:sz w:val="26"/>
                <w:szCs w:val="26"/>
                <w:rtl/>
              </w:rPr>
              <w:t xml:space="preserve">מיליון </w:t>
            </w:r>
            <w:r w:rsidRPr="008A2A7C">
              <w:rPr>
                <w:spacing w:val="-12"/>
                <w:sz w:val="26"/>
                <w:szCs w:val="26"/>
                <w:rtl/>
              </w:rPr>
              <w:t>ש"ח</w:t>
            </w:r>
          </w:p>
        </w:tc>
        <w:tc>
          <w:tcPr>
            <w:tcW w:w="1843" w:type="dxa"/>
            <w:vAlign w:val="bottom"/>
          </w:tcPr>
          <w:p w:rsidR="00CD29D6" w:rsidRPr="00864A2A" w:rsidP="008A2A7C" w14:paraId="1D9D023E" w14:textId="70C279E6">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38%</w:t>
            </w:r>
            <w:r w:rsidRPr="00614B9F" w:rsidR="008A2A7C">
              <w:rPr>
                <w:rFonts w:ascii="Tahoma" w:hAnsi="Tahoma" w:eastAsiaTheme="minorEastAsia" w:cs="Tahoma"/>
                <w:b/>
                <w:bCs/>
                <w:color w:val="0D0D0D" w:themeColor="text1" w:themeTint="F2"/>
                <w:spacing w:val="-12"/>
                <w:sz w:val="26"/>
                <w:szCs w:val="26"/>
                <w:rtl/>
              </w:rPr>
              <w:t xml:space="preserve"> </w:t>
            </w:r>
          </w:p>
        </w:tc>
        <w:tc>
          <w:tcPr>
            <w:tcW w:w="1843" w:type="dxa"/>
            <w:vAlign w:val="bottom"/>
          </w:tcPr>
          <w:p w:rsidR="00CD29D6" w:rsidRPr="00864A2A" w:rsidP="008A2A7C" w14:paraId="6113CBED" w14:textId="758AF68C">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274,600</w:t>
            </w:r>
          </w:p>
        </w:tc>
        <w:tc>
          <w:tcPr>
            <w:tcW w:w="1844" w:type="dxa"/>
            <w:vAlign w:val="bottom"/>
          </w:tcPr>
          <w:p w:rsidR="00CD29D6" w:rsidRPr="008A2A7C" w:rsidP="008A2A7C" w14:paraId="4F8327BA" w14:textId="40171E68">
            <w:pPr>
              <w:pStyle w:val="2021"/>
              <w:spacing w:before="360"/>
              <w:rPr>
                <w:spacing w:val="-26"/>
                <w:rtl/>
              </w:rPr>
            </w:pPr>
            <w:r>
              <w:rPr>
                <w:rFonts w:hint="cs"/>
                <w:spacing w:val="-12"/>
                <w:rtl/>
              </w:rPr>
              <w:t>16%</w:t>
            </w:r>
            <w:r w:rsidRPr="008A2A7C" w:rsidR="008A2A7C">
              <w:rPr>
                <w:spacing w:val="-12"/>
                <w:sz w:val="26"/>
                <w:szCs w:val="26"/>
                <w:rtl/>
              </w:rPr>
              <w:t xml:space="preserve"> </w:t>
            </w:r>
          </w:p>
        </w:tc>
      </w:tr>
      <w:tr w14:paraId="5AD4AD14" w14:textId="77777777" w:rsidTr="008A2A7C">
        <w:tblPrEx>
          <w:tblW w:w="7369" w:type="dxa"/>
          <w:tblInd w:w="517" w:type="dxa"/>
          <w:tblLook w:val="04A0"/>
        </w:tblPrEx>
        <w:tc>
          <w:tcPr>
            <w:tcW w:w="1839"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94080"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96128" from="1.35pt,4.1pt" to="80.1pt,4.1pt" strokecolor="#0d0d0d" strokeweight="1pt"/>
                  </w:pict>
                </mc:Fallback>
              </mc:AlternateContent>
            </w:r>
          </w:p>
        </w:tc>
        <w:tc>
          <w:tcPr>
            <w:tcW w:w="1843"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97152"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98176"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9200"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700224" from="2.7pt,4.1pt" to="81.45pt,4.1pt" strokecolor="#0d0d0d" strokeweight="1pt"/>
                  </w:pict>
                </mc:Fallback>
              </mc:AlternateContent>
            </w:r>
          </w:p>
        </w:tc>
      </w:tr>
      <w:tr w14:paraId="7ECC4220" w14:textId="77777777" w:rsidTr="008A2A7C">
        <w:tblPrEx>
          <w:tblW w:w="7369" w:type="dxa"/>
          <w:tblInd w:w="517" w:type="dxa"/>
          <w:tblLook w:val="04A0"/>
        </w:tblPrEx>
        <w:tc>
          <w:tcPr>
            <w:tcW w:w="1839" w:type="dxa"/>
          </w:tcPr>
          <w:p w:rsidR="00CD29D6" w:rsidRPr="009A73F6" w:rsidP="007542AC" w14:paraId="5ECF0591" w14:textId="5175F06B">
            <w:pPr>
              <w:pStyle w:val="20211"/>
              <w:rPr>
                <w:rtl/>
              </w:rPr>
            </w:pPr>
            <w:r w:rsidRPr="007A0A2C">
              <w:rPr>
                <w:rFonts w:hint="cs"/>
                <w:rtl/>
              </w:rPr>
              <w:t>תקציב מערך הרפואה בשב"ס בשנת 2021</w:t>
            </w:r>
          </w:p>
        </w:tc>
        <w:tc>
          <w:tcPr>
            <w:tcW w:w="1843" w:type="dxa"/>
          </w:tcPr>
          <w:p w:rsidR="00CD29D6" w:rsidRPr="00864A2A" w:rsidP="00864A2A" w14:paraId="47156990" w14:textId="52482C88">
            <w:pPr>
              <w:spacing w:line="240" w:lineRule="auto"/>
              <w:ind w:right="23"/>
              <w:jc w:val="left"/>
              <w:rPr>
                <w:rFonts w:ascii="Tahoma" w:hAnsi="Tahoma" w:eastAsiaTheme="minorEastAsia" w:cs="Tahoma"/>
                <w:color w:val="0D0D0D" w:themeColor="text1" w:themeTint="F2"/>
                <w:w w:val="90"/>
                <w:sz w:val="18"/>
                <w:szCs w:val="18"/>
                <w:rtl/>
              </w:rPr>
            </w:pPr>
            <w:r w:rsidRPr="007A0A2C">
              <w:rPr>
                <w:rFonts w:ascii="Tahoma" w:hAnsi="Tahoma" w:cs="Tahoma" w:hint="cs"/>
                <w:sz w:val="18"/>
                <w:szCs w:val="18"/>
                <w:rtl/>
              </w:rPr>
              <w:t>מהכלואים בשנת 2020 (5,369 כלואים) הוגדרו חולים כרוניים</w:t>
            </w:r>
          </w:p>
        </w:tc>
        <w:tc>
          <w:tcPr>
            <w:tcW w:w="1843" w:type="dxa"/>
          </w:tcPr>
          <w:p w:rsidR="00CD29D6" w:rsidRPr="00EB223C" w:rsidP="007542AC" w14:paraId="1B7F83A5" w14:textId="5F05987B">
            <w:pPr>
              <w:pStyle w:val="20211"/>
              <w:rPr>
                <w:rtl/>
              </w:rPr>
            </w:pPr>
            <w:r w:rsidRPr="007A0A2C">
              <w:rPr>
                <w:rFonts w:hint="cs"/>
                <w:rtl/>
              </w:rPr>
              <w:t xml:space="preserve">מספר בדיקות האסירים שבוצעו בשנת 2020. </w:t>
            </w:r>
            <w:r w:rsidRPr="007A0A2C">
              <w:rPr>
                <w:rtl/>
              </w:rPr>
              <w:br/>
            </w:r>
            <w:r w:rsidRPr="007A0A2C">
              <w:rPr>
                <w:rFonts w:hint="cs"/>
                <w:rtl/>
              </w:rPr>
              <w:t xml:space="preserve">כ-15,480 מהן (כ-5.6%) בוצעו על ידי רופאים פסיכיאטרים. בממוצע כלוא ביקר בשנת 2020 </w:t>
            </w:r>
            <w:r w:rsidRPr="007A0A2C">
              <w:rPr>
                <w:rtl/>
              </w:rPr>
              <w:br/>
            </w:r>
            <w:r w:rsidRPr="007A0A2C">
              <w:rPr>
                <w:rFonts w:hint="cs"/>
                <w:rtl/>
              </w:rPr>
              <w:t>כ-19 פעמים אצל רופא כללי</w:t>
            </w:r>
          </w:p>
        </w:tc>
        <w:tc>
          <w:tcPr>
            <w:tcW w:w="1844" w:type="dxa"/>
          </w:tcPr>
          <w:p w:rsidR="000B5681" w:rsidRPr="007A0A2C" w:rsidP="000B5681" w14:paraId="27211768" w14:textId="77777777">
            <w:pPr>
              <w:pStyle w:val="20211"/>
              <w:rPr>
                <w:rtl/>
              </w:rPr>
            </w:pPr>
            <w:r w:rsidRPr="007A0A2C">
              <w:rPr>
                <w:rFonts w:hint="cs"/>
                <w:rtl/>
              </w:rPr>
              <w:t>מתלונות האסירים המגיעות לצוות פניות ותלונות הציבור בשב"ס עוסקות בנושאים רפואיים</w:t>
            </w:r>
          </w:p>
          <w:p w:rsidR="00CD29D6" w:rsidRPr="009A73F6" w:rsidP="007542AC" w14:paraId="05EA0B9D" w14:textId="71460B01">
            <w:pPr>
              <w:pStyle w:val="20211"/>
              <w:rPr>
                <w:rtl/>
              </w:rPr>
            </w:pPr>
          </w:p>
        </w:tc>
      </w:tr>
      <w:tr w14:paraId="0D862A0C"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vAlign w:val="bottom"/>
          </w:tcPr>
          <w:p w:rsidR="008A2A7C" w:rsidRPr="008A2A7C" w:rsidP="008A2A7C" w14:paraId="632665CC" w14:textId="7192A0A5">
            <w:pPr>
              <w:pStyle w:val="2021"/>
              <w:rPr>
                <w:rtl/>
              </w:rPr>
            </w:pPr>
            <w:r>
              <w:rPr>
                <w:rFonts w:hint="cs"/>
                <w:spacing w:val="-12"/>
                <w:rtl/>
              </w:rPr>
              <w:t>16</w:t>
            </w:r>
          </w:p>
        </w:tc>
        <w:tc>
          <w:tcPr>
            <w:tcW w:w="1843" w:type="dxa"/>
            <w:tcBorders>
              <w:top w:val="nil"/>
              <w:left w:val="nil"/>
              <w:bottom w:val="nil"/>
              <w:right w:val="nil"/>
            </w:tcBorders>
            <w:vAlign w:val="bottom"/>
          </w:tcPr>
          <w:p w:rsidR="008A2A7C" w:rsidRPr="00864A2A" w:rsidP="008A2A7C" w14:paraId="531C24F7" w14:textId="4A481DBC">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43</w:t>
            </w:r>
          </w:p>
        </w:tc>
        <w:tc>
          <w:tcPr>
            <w:tcW w:w="1843" w:type="dxa"/>
            <w:tcBorders>
              <w:top w:val="nil"/>
              <w:left w:val="nil"/>
              <w:bottom w:val="nil"/>
              <w:right w:val="nil"/>
            </w:tcBorders>
            <w:vAlign w:val="bottom"/>
          </w:tcPr>
          <w:p w:rsidR="008A2A7C" w:rsidRPr="00864A2A" w:rsidP="008A2A7C" w14:paraId="79C2FA1C" w14:textId="5F2B263E">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50%</w:t>
            </w:r>
            <w:r w:rsidRPr="00614B9F">
              <w:rPr>
                <w:rFonts w:ascii="Tahoma" w:hAnsi="Tahoma" w:eastAsiaTheme="minorEastAsia" w:cs="Tahoma"/>
                <w:b/>
                <w:bCs/>
                <w:color w:val="0D0D0D" w:themeColor="text1" w:themeTint="F2"/>
                <w:spacing w:val="-12"/>
                <w:sz w:val="36"/>
                <w:szCs w:val="36"/>
                <w:rtl/>
              </w:rPr>
              <w:t xml:space="preserve"> </w:t>
            </w:r>
          </w:p>
        </w:tc>
        <w:tc>
          <w:tcPr>
            <w:tcW w:w="1844" w:type="dxa"/>
            <w:tcBorders>
              <w:top w:val="nil"/>
              <w:left w:val="nil"/>
              <w:bottom w:val="nil"/>
              <w:right w:val="nil"/>
            </w:tcBorders>
            <w:vAlign w:val="bottom"/>
          </w:tcPr>
          <w:p w:rsidR="008A2A7C" w:rsidRPr="008A2A7C" w:rsidP="008A2A7C" w14:paraId="4801F0F8" w14:textId="7452098A">
            <w:pPr>
              <w:pStyle w:val="2021"/>
              <w:spacing w:before="360"/>
              <w:rPr>
                <w:spacing w:val="-26"/>
                <w:rtl/>
              </w:rPr>
            </w:pPr>
            <w:r w:rsidRPr="008A2A7C">
              <w:rPr>
                <w:spacing w:val="-12"/>
                <w:rtl/>
              </w:rPr>
              <w:t>71</w:t>
            </w:r>
          </w:p>
        </w:tc>
      </w:tr>
      <w:tr w14:paraId="05BB7783"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tcPr>
          <w:p w:rsidR="008A2A7C" w:rsidRPr="00664A6F" w:rsidP="008B5847" w14:paraId="6F07BA91"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124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30"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702272" from="0.7pt,4.1pt" to="81.7pt,4.1pt" strokecolor="#0d0d0d" strokeweight="1pt"/>
                  </w:pict>
                </mc:Fallback>
              </mc:AlternateContent>
            </w:r>
          </w:p>
        </w:tc>
        <w:tc>
          <w:tcPr>
            <w:tcW w:w="1843" w:type="dxa"/>
            <w:tcBorders>
              <w:top w:val="nil"/>
              <w:left w:val="nil"/>
              <w:bottom w:val="nil"/>
              <w:right w:val="nil"/>
            </w:tcBorders>
          </w:tcPr>
          <w:p w:rsidR="008A2A7C" w:rsidRPr="00664A6F" w:rsidP="008B5847" w14:paraId="168D2CF6"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329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3"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704320" from="1.35pt,4.1pt" to="80.1pt,4.1pt" strokecolor="#0d0d0d" strokeweight="1pt"/>
                  </w:pict>
                </mc:Fallback>
              </mc:AlternateContent>
            </w:r>
          </w:p>
        </w:tc>
        <w:tc>
          <w:tcPr>
            <w:tcW w:w="1843" w:type="dxa"/>
            <w:tcBorders>
              <w:top w:val="nil"/>
              <w:left w:val="nil"/>
              <w:bottom w:val="nil"/>
              <w:right w:val="nil"/>
            </w:tcBorders>
          </w:tcPr>
          <w:p w:rsidR="008A2A7C" w:rsidRPr="00664A6F" w:rsidP="008B5847" w14:paraId="41029C94"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534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35"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706368" from="-4pt,4.1pt" to="80pt,4.1pt" strokecolor="#0d0d0d" strokeweight="1pt"/>
                  </w:pict>
                </mc:Fallback>
              </mc:AlternateContent>
            </w:r>
          </w:p>
        </w:tc>
        <w:tc>
          <w:tcPr>
            <w:tcW w:w="1844" w:type="dxa"/>
            <w:tcBorders>
              <w:top w:val="nil"/>
              <w:left w:val="nil"/>
              <w:bottom w:val="nil"/>
              <w:right w:val="nil"/>
            </w:tcBorders>
          </w:tcPr>
          <w:p w:rsidR="008A2A7C" w:rsidRPr="00664A6F" w:rsidP="008B5847" w14:paraId="1C3DB0FC"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739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37"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708416" from="2.7pt,4.1pt" to="81.45pt,4.1pt" strokecolor="#0d0d0d" strokeweight="1pt"/>
                  </w:pict>
                </mc:Fallback>
              </mc:AlternateContent>
            </w:r>
          </w:p>
        </w:tc>
      </w:tr>
      <w:tr w14:paraId="0F783CFB"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tcPr>
          <w:p w:rsidR="008A2A7C" w:rsidRPr="009A73F6" w:rsidP="008B5847" w14:paraId="03E48667" w14:textId="26DFF941">
            <w:pPr>
              <w:pStyle w:val="20211"/>
              <w:rPr>
                <w:rtl/>
              </w:rPr>
            </w:pPr>
            <w:r w:rsidRPr="007A0A2C">
              <w:rPr>
                <w:rFonts w:hint="cs"/>
                <w:rtl/>
              </w:rPr>
              <w:t>מספר המרפאות שבהן נדרש לבצע שיפוץ או התאמת נגישות לאנשים עם מוגבלות</w:t>
            </w:r>
          </w:p>
        </w:tc>
        <w:tc>
          <w:tcPr>
            <w:tcW w:w="1843" w:type="dxa"/>
            <w:tcBorders>
              <w:top w:val="nil"/>
              <w:left w:val="nil"/>
              <w:bottom w:val="nil"/>
              <w:right w:val="nil"/>
            </w:tcBorders>
          </w:tcPr>
          <w:p w:rsidR="008A2A7C" w:rsidRPr="00864A2A" w:rsidP="000B5681" w14:paraId="7104DE87" w14:textId="4DB8BC8C">
            <w:pPr>
              <w:pStyle w:val="20211"/>
              <w:rPr>
                <w:rtl/>
              </w:rPr>
            </w:pPr>
            <w:r w:rsidRPr="007A0A2C">
              <w:rPr>
                <w:rFonts w:hint="cs"/>
                <w:rtl/>
              </w:rPr>
              <w:t>מספר הרופאים שעבדו בשנת 2020 במרפאות במתקני הכליאה בשב"ס, מהם רק שלושה רופאים מומחים</w:t>
            </w:r>
          </w:p>
        </w:tc>
        <w:tc>
          <w:tcPr>
            <w:tcW w:w="1843" w:type="dxa"/>
            <w:tcBorders>
              <w:top w:val="nil"/>
              <w:left w:val="nil"/>
              <w:bottom w:val="nil"/>
              <w:right w:val="nil"/>
            </w:tcBorders>
          </w:tcPr>
          <w:p w:rsidR="008A2A7C" w:rsidRPr="00EB223C" w:rsidP="008B5847" w14:paraId="62D9DB53" w14:textId="616338B7">
            <w:pPr>
              <w:pStyle w:val="20211"/>
              <w:rPr>
                <w:rtl/>
              </w:rPr>
            </w:pPr>
            <w:r w:rsidRPr="007A0A2C">
              <w:rPr>
                <w:rFonts w:hint="cs"/>
                <w:rtl/>
              </w:rPr>
              <w:t>מהרופאים בשב"ס הם בני יותר מ-57, שהוא גיל הפרישה הנהוג בשב"ס, ויש צפי למחסור ברופאים בשנים הבאות</w:t>
            </w:r>
          </w:p>
        </w:tc>
        <w:tc>
          <w:tcPr>
            <w:tcW w:w="1844" w:type="dxa"/>
            <w:tcBorders>
              <w:top w:val="nil"/>
              <w:left w:val="nil"/>
              <w:bottom w:val="nil"/>
              <w:right w:val="nil"/>
            </w:tcBorders>
          </w:tcPr>
          <w:p w:rsidR="008A2A7C" w:rsidRPr="009A73F6" w:rsidP="008B5847" w14:paraId="5ABFE9C6" w14:textId="08834CA0">
            <w:pPr>
              <w:pStyle w:val="20211"/>
              <w:rPr>
                <w:rtl/>
              </w:rPr>
            </w:pPr>
            <w:r w:rsidRPr="007A0A2C">
              <w:rPr>
                <w:rFonts w:hint="cs"/>
                <w:rtl/>
              </w:rPr>
              <w:t xml:space="preserve">מספר משרות הרופאים בשב"ס שלא היו מאוישות באוגוסט 2021 </w:t>
            </w:r>
            <w:r w:rsidRPr="007A0A2C">
              <w:rPr>
                <w:rtl/>
              </w:rPr>
              <w:br/>
            </w:r>
            <w:r w:rsidRPr="007A0A2C">
              <w:rPr>
                <w:rFonts w:hint="cs"/>
                <w:rtl/>
              </w:rPr>
              <w:t>(כ-23% מהמשרות)</w:t>
            </w:r>
          </w:p>
        </w:tc>
      </w:tr>
    </w:tbl>
    <w:p w:rsidR="00825A14" w:rsidP="00F9227B" w14:paraId="34F47115" w14:textId="77777777">
      <w:pPr>
        <w:pStyle w:val="100"/>
        <w:tabs>
          <w:tab w:val="center" w:pos="3685"/>
        </w:tabs>
        <w:spacing w:after="0" w:line="240" w:lineRule="exact"/>
        <w:rPr>
          <w:b/>
          <w:bCs/>
          <w:color w:val="00305F"/>
          <w:sz w:val="32"/>
          <w:szCs w:val="32"/>
          <w:rtl/>
        </w:rPr>
      </w:pPr>
    </w:p>
    <w:p w:rsidR="00645C45" w:rsidP="00645C45" w14:paraId="2A4D4754" w14:textId="3E6D912F">
      <w:pPr>
        <w:rPr>
          <w:rFonts w:ascii="Tahoma" w:hAnsi="Tahoma" w:cs="Tahoma"/>
          <w:b/>
          <w:bCs/>
          <w:color w:val="00305F"/>
          <w:sz w:val="32"/>
          <w:szCs w:val="32"/>
          <w:rtl/>
        </w:rPr>
      </w:pPr>
    </w:p>
    <w:p w:rsidR="00645C45" w:rsidP="00645C45" w14:paraId="5623FB13" w14:textId="0C679F67">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-33655</wp:posOffset>
                </wp:positionH>
                <wp:positionV relativeFrom="paragraph">
                  <wp:posOffset>34925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2.75pt;margin-left:-2.65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645C45" w:rsidP="00645C45" w14:paraId="3D63DAEC" w14:textId="11C2B4AC">
      <w:pPr>
        <w:pStyle w:val="216"/>
        <w:rPr>
          <w:rtl/>
        </w:rPr>
      </w:pPr>
      <w:r w:rsidRPr="00C62692">
        <w:rPr>
          <w:rFonts w:hint="cs"/>
          <w:rtl/>
        </w:rPr>
        <w:t>פעולות הביקורת</w:t>
      </w:r>
    </w:p>
    <w:p w:rsidR="000B5681" w:rsidP="00645C45" w14:paraId="7599E107" w14:textId="66C474F0">
      <w:pPr>
        <w:pStyle w:val="7190"/>
        <w:ind w:left="424" w:hanging="142"/>
        <w:rPr>
          <w:rtl/>
        </w:rPr>
      </w:pPr>
      <w:r w:rsidRPr="00666E99">
        <w:rPr>
          <w:noProof/>
        </w:rPr>
        <w:drawing>
          <wp:anchor distT="0" distB="0" distL="114300" distR="114300" simplePos="0" relativeHeight="251709440" behindDoc="0" locked="0" layoutInCell="1" allowOverlap="1">
            <wp:simplePos x="0" y="0"/>
            <wp:positionH relativeFrom="column">
              <wp:posOffset>4530381</wp:posOffset>
            </wp:positionH>
            <wp:positionV relativeFrom="paragraph">
              <wp:posOffset>58420</wp:posOffset>
            </wp:positionV>
            <wp:extent cx="162000" cy="162000"/>
            <wp:effectExtent l="0" t="0" r="3175" b="3175"/>
            <wp:wrapSquare wrapText="bothSides"/>
            <wp:docPr id="765912916"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Pr>
          <w:rFonts w:hint="cs"/>
          <w:rtl/>
        </w:rPr>
        <w:t>בחודשים מרץ עד יוני 2021 בדק משרד מבקר המדינה את פעולות שב"ס לתיקון הליקויים העיקריים שנמצאו בביקורת הקודמת. בדיקות השלמה נעשו במשרד לביטחון הפנים (</w:t>
      </w:r>
      <w:r w:rsidRPr="007A0A2C">
        <w:rPr>
          <w:rFonts w:hint="cs"/>
          <w:rtl/>
        </w:rPr>
        <w:t>בט"פ</w:t>
      </w:r>
      <w:r w:rsidRPr="007A0A2C">
        <w:rPr>
          <w:rFonts w:hint="cs"/>
          <w:rtl/>
        </w:rPr>
        <w:t xml:space="preserve">), במשרד הבריאות ואצל הממונה על השכר במשרד האוצר (הממונה על השכר), וכן במרחבים - המרכז הרפואי </w:t>
      </w:r>
      <w:r w:rsidRPr="007A0A2C">
        <w:rPr>
          <w:rtl/>
        </w:rPr>
        <w:t>ל</w:t>
      </w:r>
      <w:r w:rsidRPr="007A0A2C">
        <w:rPr>
          <w:rFonts w:hint="cs"/>
          <w:rtl/>
        </w:rPr>
        <w:t xml:space="preserve">טיפול במוח ובנפש, </w:t>
      </w:r>
      <w:r w:rsidRPr="007A0A2C">
        <w:rPr>
          <w:rtl/>
        </w:rPr>
        <w:t>באר יעקב</w:t>
      </w:r>
      <w:r w:rsidRPr="007A0A2C">
        <w:rPr>
          <w:rFonts w:hint="cs"/>
          <w:rtl/>
        </w:rPr>
        <w:t>/</w:t>
      </w:r>
      <w:r w:rsidRPr="007A0A2C">
        <w:rPr>
          <w:rtl/>
        </w:rPr>
        <w:t>נס ציונה</w:t>
      </w:r>
      <w:r w:rsidRPr="000E68EF">
        <w:rPr>
          <w:rtl/>
        </w:rPr>
        <w:t>.</w:t>
      </w:r>
    </w:p>
    <w:p w:rsidR="00645C45" w:rsidP="0004642E" w14:paraId="48D126BD" w14:textId="68C56390">
      <w:pPr>
        <w:bidi w:val="0"/>
        <w:spacing w:after="200" w:line="276" w:lineRule="auto"/>
        <w:rPr>
          <w:rFonts w:ascii="Tahoma" w:hAnsi="Tahoma" w:cs="Tahoma"/>
          <w:color w:val="0D0D0D" w:themeColor="text1" w:themeTint="F2"/>
          <w:sz w:val="18"/>
          <w:szCs w:val="18"/>
          <w:rtl/>
        </w:rPr>
      </w:pPr>
      <w:r>
        <w:rPr>
          <w:rtl/>
        </w:rPr>
        <w:br w:type="page"/>
      </w:r>
    </w:p>
    <w:p w:rsidR="00645C45" w:rsidP="00645C45" w14:paraId="41B5F3EF" w14:textId="77777777">
      <w:pPr>
        <w:pStyle w:val="7190"/>
        <w:rPr>
          <w:rtl/>
        </w:rPr>
      </w:pPr>
      <w:r w:rsidRPr="00362C00">
        <w:rPr>
          <w:noProof/>
          <w:rtl/>
        </w:rPr>
        <w:drawing>
          <wp:anchor distT="0" distB="0" distL="114300" distR="114300" simplePos="0" relativeHeight="251710464"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12512"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645C45" w:rsidRPr="00A25467" w:rsidP="00645C4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645C45" w:rsidP="00645C4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13536" strokecolor="white">
                <v:textbox>
                  <w:txbxContent>
                    <w:p w:rsidR="00645C45" w:rsidRPr="00A25467" w:rsidP="00645C45" w14:paraId="33666D5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645C45" w:rsidP="00645C45" w14:paraId="7B7E920D" w14:textId="77777777"/>
                  </w:txbxContent>
                </v:textbox>
                <w10:wrap type="square"/>
              </v:shape>
            </w:pict>
          </mc:Fallback>
        </mc:AlternateContent>
      </w:r>
      <w:r>
        <w:rPr>
          <w:noProof/>
          <w:sz w:val="22"/>
          <w:szCs w:val="22"/>
        </w:rPr>
        <mc:AlternateContent>
          <mc:Choice Requires="wps">
            <w:drawing>
              <wp:anchor distT="0" distB="0" distL="114300" distR="114300" simplePos="0" relativeHeight="251714560"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715584" from="-2.4pt,4.45pt" to="370.35pt,4.45pt" strokecolor="black" strokeweight="2pt"/>
            </w:pict>
          </mc:Fallback>
        </mc:AlternateContent>
      </w:r>
    </w:p>
    <w:p w:rsidR="00645C45" w:rsidRPr="00716B1B" w:rsidP="00645C45" w14:paraId="7C5BF15C" w14:textId="7265C590">
      <w:pPr>
        <w:pStyle w:val="7112"/>
      </w:pPr>
      <w:r w:rsidRPr="00645C45">
        <w:rPr>
          <w:rStyle w:val="717Char0"/>
          <w:rFonts w:hint="cs"/>
          <w:noProof/>
          <w:rtl/>
        </w:rPr>
        <w:drawing>
          <wp:anchor distT="0" distB="3600450" distL="114300" distR="114300" simplePos="0" relativeHeight="251716608"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4944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cs"/>
          <w:rtl/>
        </w:rPr>
        <w:t>אסירים קשישים</w:t>
      </w:r>
      <w:r w:rsidRPr="007A0A2C" w:rsidR="000B5681">
        <w:rPr>
          <w:rFonts w:hint="cs"/>
          <w:rtl/>
        </w:rPr>
        <w:t xml:space="preserve"> </w:t>
      </w:r>
      <w:r w:rsidRPr="007A0A2C" w:rsidR="000B5681">
        <w:rPr>
          <w:rtl/>
        </w:rPr>
        <w:t>-</w:t>
      </w:r>
      <w:r w:rsidRPr="007A0A2C" w:rsidR="000B5681">
        <w:rPr>
          <w:rFonts w:hint="cs"/>
          <w:rtl/>
        </w:rPr>
        <w:t xml:space="preserve"> בשנת 2020 היו כ-300 אסירים קשישים בני יותר מ-65 בבתי הכלא של שב"ס. בביקורת הקודמת עלה כי שב"ס לא בנה תוכנית מערכתית המותאמת לשינוי שחל בהרכב אוכלוסיית האסירים, בגיל האסירים ובמצבם הרפואי. בביקורת המעקב עלה כי צוות שבחן בשנת 2020 את המענה לאוכלוסיית הקשישים בבתי הכלא של שב"ס לא סיים את עבודתו: </w:t>
      </w:r>
      <w:r w:rsidRPr="007A0A2C" w:rsidR="000B5681">
        <w:rPr>
          <w:rFonts w:hint="eastAsia"/>
          <w:rtl/>
        </w:rPr>
        <w:t>לא</w:t>
      </w:r>
      <w:r w:rsidRPr="007A0A2C" w:rsidR="000B5681">
        <w:rPr>
          <w:rtl/>
        </w:rPr>
        <w:t xml:space="preserve"> </w:t>
      </w:r>
      <w:r w:rsidRPr="007A0A2C" w:rsidR="000B5681">
        <w:rPr>
          <w:rFonts w:hint="eastAsia"/>
          <w:rtl/>
        </w:rPr>
        <w:t>הוכן</w:t>
      </w:r>
      <w:r w:rsidRPr="007A0A2C" w:rsidR="000B5681">
        <w:rPr>
          <w:rtl/>
        </w:rPr>
        <w:t xml:space="preserve"> </w:t>
      </w:r>
      <w:r w:rsidRPr="007A0A2C" w:rsidR="000B5681">
        <w:rPr>
          <w:rFonts w:hint="eastAsia"/>
          <w:rtl/>
        </w:rPr>
        <w:t>תחשיב</w:t>
      </w:r>
      <w:r w:rsidRPr="007A0A2C" w:rsidR="000B5681">
        <w:rPr>
          <w:rtl/>
        </w:rPr>
        <w:t xml:space="preserve"> </w:t>
      </w:r>
      <w:r w:rsidRPr="007A0A2C" w:rsidR="000B5681">
        <w:rPr>
          <w:rFonts w:hint="cs"/>
          <w:rtl/>
        </w:rPr>
        <w:t>ש</w:t>
      </w:r>
      <w:r w:rsidRPr="007A0A2C" w:rsidR="000B5681">
        <w:rPr>
          <w:rFonts w:hint="eastAsia"/>
          <w:rtl/>
        </w:rPr>
        <w:t>ל</w:t>
      </w:r>
      <w:r w:rsidRPr="007A0A2C" w:rsidR="000B5681">
        <w:rPr>
          <w:rFonts w:hint="cs"/>
          <w:rtl/>
        </w:rPr>
        <w:t xml:space="preserve"> </w:t>
      </w:r>
      <w:r w:rsidRPr="007A0A2C" w:rsidR="000B5681">
        <w:rPr>
          <w:rFonts w:hint="eastAsia"/>
          <w:rtl/>
        </w:rPr>
        <w:t>עלות</w:t>
      </w:r>
      <w:r w:rsidRPr="007A0A2C" w:rsidR="000B5681">
        <w:rPr>
          <w:rtl/>
        </w:rPr>
        <w:t xml:space="preserve"> </w:t>
      </w:r>
      <w:r w:rsidRPr="007A0A2C" w:rsidR="000B5681">
        <w:rPr>
          <w:rFonts w:hint="eastAsia"/>
          <w:rtl/>
        </w:rPr>
        <w:t>החזקת</w:t>
      </w:r>
      <w:r w:rsidRPr="007A0A2C" w:rsidR="000B5681">
        <w:rPr>
          <w:rFonts w:hint="cs"/>
          <w:rtl/>
        </w:rPr>
        <w:t xml:space="preserve"> אסיר קשיש לעומת אסיר רגיל,</w:t>
      </w:r>
      <w:r w:rsidRPr="007A0A2C" w:rsidR="000B5681">
        <w:rPr>
          <w:rtl/>
        </w:rPr>
        <w:t xml:space="preserve"> </w:t>
      </w:r>
      <w:r w:rsidRPr="007A0A2C" w:rsidR="000B5681">
        <w:rPr>
          <w:rFonts w:hint="cs"/>
          <w:rtl/>
        </w:rPr>
        <w:t>לא הופץ נוהל להחזקת קשישים, לא הוכנה תוכנית שיקום ייחודית</w:t>
      </w:r>
      <w:r w:rsidRPr="007A0A2C" w:rsidR="000B5681">
        <w:rPr>
          <w:rtl/>
        </w:rPr>
        <w:t xml:space="preserve"> </w:t>
      </w:r>
      <w:r w:rsidRPr="007A0A2C" w:rsidR="000B5681">
        <w:rPr>
          <w:rFonts w:hint="cs"/>
          <w:rtl/>
        </w:rPr>
        <w:t xml:space="preserve">המותאמת לקשישים, </w:t>
      </w:r>
      <w:r w:rsidRPr="007A0A2C" w:rsidR="000B5681">
        <w:rPr>
          <w:rtl/>
        </w:rPr>
        <w:t>ועבודת המטה בעניין זה הופסקה בלי שנבחרה חלופה מועדפת.</w:t>
      </w:r>
      <w:r w:rsidRPr="007A0A2C" w:rsidR="000B5681">
        <w:rPr>
          <w:rFonts w:hint="cs"/>
          <w:rtl/>
        </w:rPr>
        <w:t xml:space="preserve"> הליקוי בנושא זה תוקן במידה מועטה</w:t>
      </w:r>
      <w:r w:rsidRPr="00716B1B">
        <w:rPr>
          <w:rtl/>
        </w:rPr>
        <w:t>.</w:t>
      </w:r>
    </w:p>
    <w:p w:rsidR="00645C45" w:rsidRPr="00951B96" w:rsidP="00645C45" w14:paraId="6E4758F2" w14:textId="236A57CA">
      <w:pPr>
        <w:pStyle w:val="ListParagraph"/>
        <w:spacing w:after="120" w:line="288" w:lineRule="auto"/>
        <w:ind w:left="454"/>
        <w:contextualSpacing w:val="0"/>
        <w:rPr>
          <w:rFonts w:ascii="Tahoma" w:hAnsi="Tahoma" w:cs="Tahoma"/>
          <w:color w:val="0D0D0D" w:themeColor="text1" w:themeTint="F2"/>
          <w:sz w:val="18"/>
          <w:szCs w:val="18"/>
        </w:rPr>
      </w:pPr>
      <w:r w:rsidRPr="000B5681">
        <w:rPr>
          <w:rStyle w:val="717Char0"/>
          <w:rFonts w:hint="cs"/>
          <w:noProof/>
          <w:rtl/>
        </w:rPr>
        <w:drawing>
          <wp:anchor distT="0" distB="3600450" distL="114300" distR="114300" simplePos="0" relativeHeight="251717632" behindDoc="0" locked="0" layoutInCell="1" allowOverlap="1">
            <wp:simplePos x="0" y="0"/>
            <wp:positionH relativeFrom="column">
              <wp:posOffset>4521771</wp:posOffset>
            </wp:positionH>
            <wp:positionV relativeFrom="paragraph">
              <wp:posOffset>20320</wp:posOffset>
            </wp:positionV>
            <wp:extent cx="161925" cy="161925"/>
            <wp:effectExtent l="0" t="0" r="3175" b="317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47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eastAsia"/>
          <w:rtl/>
        </w:rPr>
        <w:t>מערך</w:t>
      </w:r>
      <w:r w:rsidRPr="000B5681" w:rsidR="000B5681">
        <w:rPr>
          <w:rStyle w:val="717Char0"/>
          <w:rtl/>
        </w:rPr>
        <w:t xml:space="preserve"> </w:t>
      </w:r>
      <w:r w:rsidRPr="000B5681" w:rsidR="000B5681">
        <w:rPr>
          <w:rStyle w:val="717Char0"/>
          <w:rFonts w:hint="eastAsia"/>
          <w:rtl/>
        </w:rPr>
        <w:t>החובשים</w:t>
      </w:r>
      <w:r w:rsidRPr="007A0A2C" w:rsidR="000B5681">
        <w:rPr>
          <w:rFonts w:ascii="Tahoma" w:hAnsi="Tahoma" w:cs="Tahoma" w:hint="cs"/>
          <w:color w:val="0D0D0D" w:themeColor="text1" w:themeTint="F2"/>
          <w:sz w:val="18"/>
          <w:szCs w:val="18"/>
          <w:rtl/>
        </w:rPr>
        <w:t xml:space="preserve"> - בביקורת הקודמת </w:t>
      </w:r>
      <w:r w:rsidRPr="007A0A2C" w:rsidR="000B5681">
        <w:rPr>
          <w:rFonts w:ascii="Tahoma" w:hAnsi="Tahoma" w:cs="Tahoma"/>
          <w:color w:val="0D0D0D" w:themeColor="text1" w:themeTint="F2"/>
          <w:sz w:val="18"/>
          <w:szCs w:val="18"/>
          <w:rtl/>
        </w:rPr>
        <w:t>עלה כי חובשי העתודה</w:t>
      </w:r>
      <w:r>
        <w:rPr>
          <w:rFonts w:ascii="Tahoma" w:hAnsi="Tahoma" w:cs="Tahoma"/>
          <w:color w:val="0D0D0D" w:themeColor="text1" w:themeTint="F2"/>
          <w:sz w:val="18"/>
          <w:szCs w:val="18"/>
          <w:vertAlign w:val="superscript"/>
          <w:rtl/>
        </w:rPr>
        <w:footnoteReference w:id="4"/>
      </w:r>
      <w:r w:rsidRPr="007A0A2C" w:rsidR="000B5681">
        <w:rPr>
          <w:rFonts w:ascii="Tahoma" w:hAnsi="Tahoma" w:cs="Tahoma"/>
          <w:color w:val="0D0D0D" w:themeColor="text1" w:themeTint="F2"/>
          <w:sz w:val="18"/>
          <w:szCs w:val="18"/>
          <w:rtl/>
        </w:rPr>
        <w:t xml:space="preserve"> לא שובצו באופן סדיר </w:t>
      </w:r>
      <w:r w:rsidRPr="007A0A2C" w:rsidR="000B5681">
        <w:rPr>
          <w:rFonts w:ascii="Tahoma" w:hAnsi="Tahoma" w:cs="Tahoma" w:hint="cs"/>
          <w:color w:val="0D0D0D" w:themeColor="text1" w:themeTint="F2"/>
          <w:sz w:val="18"/>
          <w:szCs w:val="18"/>
          <w:rtl/>
        </w:rPr>
        <w:t>בכל</w:t>
      </w:r>
      <w:r w:rsidRPr="007A0A2C" w:rsidR="000B5681">
        <w:rPr>
          <w:rFonts w:ascii="Tahoma" w:hAnsi="Tahoma" w:cs="Tahoma"/>
          <w:color w:val="0D0D0D" w:themeColor="text1" w:themeTint="F2"/>
          <w:sz w:val="18"/>
          <w:szCs w:val="18"/>
          <w:rtl/>
        </w:rPr>
        <w:t xml:space="preserve"> חודש </w:t>
      </w:r>
      <w:r w:rsidRPr="007A0A2C" w:rsidR="000B5681">
        <w:rPr>
          <w:rFonts w:ascii="Tahoma" w:hAnsi="Tahoma" w:cs="Tahoma" w:hint="cs"/>
          <w:color w:val="0D0D0D" w:themeColor="text1" w:themeTint="F2"/>
          <w:sz w:val="18"/>
          <w:szCs w:val="18"/>
          <w:rtl/>
        </w:rPr>
        <w:t>למשמרות במרפאות, לצורך שמירה על כשירותם המקצועית ובהתאם לנוהל שב"ס</w:t>
      </w:r>
      <w:r w:rsidRPr="007A0A2C" w:rsidR="000B5681">
        <w:rPr>
          <w:rFonts w:ascii="Tahoma" w:hAnsi="Tahoma" w:cs="Tahoma"/>
          <w:color w:val="0D0D0D" w:themeColor="text1" w:themeTint="F2"/>
          <w:sz w:val="18"/>
          <w:szCs w:val="18"/>
          <w:rtl/>
        </w:rPr>
        <w:t xml:space="preserve">. </w:t>
      </w:r>
      <w:r w:rsidRPr="007A0A2C" w:rsidR="000B5681">
        <w:rPr>
          <w:rFonts w:ascii="Tahoma" w:hAnsi="Tahoma" w:cs="Tahoma" w:hint="cs"/>
          <w:color w:val="0D0D0D" w:themeColor="text1" w:themeTint="F2"/>
          <w:sz w:val="18"/>
          <w:szCs w:val="18"/>
          <w:rtl/>
        </w:rPr>
        <w:t>בביקורת המעקב עלה כי בשנים 2018 - 2020 שב"ס לא שיבץ בממוצע 62 חובשי עתודה (מ-111 בממוצע) למשמרות במרפאות מתקני הכליאה כדי לשמור על כשירותם המקצועית. נוסף על כך, ב</w:t>
      </w:r>
      <w:r w:rsidRPr="007A0A2C" w:rsidR="000B5681">
        <w:rPr>
          <w:rFonts w:ascii="Tahoma" w:hAnsi="Tahoma" w:cs="Tahoma"/>
          <w:color w:val="0D0D0D" w:themeColor="text1" w:themeTint="F2"/>
          <w:sz w:val="18"/>
          <w:szCs w:val="18"/>
          <w:rtl/>
        </w:rPr>
        <w:t>מתקני הכליאה</w:t>
      </w:r>
      <w:r w:rsidRPr="007A0A2C" w:rsidR="000B5681">
        <w:rPr>
          <w:rFonts w:ascii="Tahoma" w:hAnsi="Tahoma" w:cs="Tahoma" w:hint="cs"/>
          <w:color w:val="0D0D0D" w:themeColor="text1" w:themeTint="F2"/>
          <w:sz w:val="18"/>
          <w:szCs w:val="18"/>
          <w:rtl/>
        </w:rPr>
        <w:t>,</w:t>
      </w:r>
      <w:r w:rsidRPr="007A0A2C" w:rsidR="000B5681">
        <w:rPr>
          <w:rFonts w:ascii="Tahoma" w:hAnsi="Tahoma" w:cs="Tahoma"/>
          <w:color w:val="0D0D0D" w:themeColor="text1" w:themeTint="F2"/>
          <w:sz w:val="18"/>
          <w:szCs w:val="18"/>
          <w:rtl/>
        </w:rPr>
        <w:t xml:space="preserve"> למעט </w:t>
      </w:r>
      <w:r w:rsidRPr="007A0A2C" w:rsidR="000B5681">
        <w:rPr>
          <w:rFonts w:ascii="Tahoma" w:hAnsi="Tahoma" w:cs="Tahoma" w:hint="cs"/>
          <w:color w:val="0D0D0D" w:themeColor="text1" w:themeTint="F2"/>
          <w:sz w:val="18"/>
          <w:szCs w:val="18"/>
          <w:rtl/>
        </w:rPr>
        <w:t>ב</w:t>
      </w:r>
      <w:r w:rsidRPr="007A0A2C" w:rsidR="000B5681">
        <w:rPr>
          <w:rFonts w:ascii="Tahoma" w:hAnsi="Tahoma" w:cs="Tahoma"/>
          <w:color w:val="0D0D0D" w:themeColor="text1" w:themeTint="F2"/>
          <w:sz w:val="18"/>
          <w:szCs w:val="18"/>
          <w:rtl/>
        </w:rPr>
        <w:t xml:space="preserve">מתקן כליאה אחד, לא היו </w:t>
      </w:r>
      <w:r w:rsidRPr="007A0A2C" w:rsidR="000B5681">
        <w:rPr>
          <w:rFonts w:ascii="Tahoma" w:hAnsi="Tahoma" w:cs="Tahoma" w:hint="cs"/>
          <w:color w:val="0D0D0D" w:themeColor="text1" w:themeTint="F2"/>
          <w:sz w:val="18"/>
          <w:szCs w:val="18"/>
          <w:rtl/>
        </w:rPr>
        <w:t>תשעה</w:t>
      </w:r>
      <w:r w:rsidRPr="007A0A2C" w:rsidR="000B5681">
        <w:rPr>
          <w:rFonts w:ascii="Tahoma" w:hAnsi="Tahoma" w:cs="Tahoma"/>
          <w:color w:val="0D0D0D" w:themeColor="text1" w:themeTint="F2"/>
          <w:sz w:val="18"/>
          <w:szCs w:val="18"/>
          <w:rtl/>
        </w:rPr>
        <w:t xml:space="preserve"> חובשי עתודה,</w:t>
      </w:r>
      <w:r w:rsidRPr="007A0A2C" w:rsidR="000B5681">
        <w:rPr>
          <w:rFonts w:ascii="Tahoma" w:hAnsi="Tahoma" w:cs="Tahoma" w:hint="cs"/>
          <w:color w:val="0D0D0D" w:themeColor="text1" w:themeTint="F2"/>
          <w:sz w:val="18"/>
          <w:szCs w:val="18"/>
          <w:rtl/>
        </w:rPr>
        <w:t xml:space="preserve"> </w:t>
      </w:r>
      <w:r w:rsidRPr="007A0A2C" w:rsidR="000B5681">
        <w:rPr>
          <w:rFonts w:ascii="Tahoma" w:hAnsi="Tahoma" w:cs="Tahoma"/>
          <w:color w:val="0D0D0D" w:themeColor="text1" w:themeTint="F2"/>
          <w:sz w:val="18"/>
          <w:szCs w:val="18"/>
          <w:rtl/>
        </w:rPr>
        <w:t>כנדרש בנוהל שב"ס.</w:t>
      </w:r>
      <w:r w:rsidRPr="007A0A2C" w:rsidR="000B5681">
        <w:rPr>
          <w:rFonts w:ascii="Tahoma" w:hAnsi="Tahoma" w:cs="Tahoma" w:hint="cs"/>
          <w:color w:val="0D0D0D" w:themeColor="text1" w:themeTint="F2"/>
          <w:sz w:val="18"/>
          <w:szCs w:val="18"/>
          <w:rtl/>
        </w:rPr>
        <w:t xml:space="preserve"> הליקוי בנושא זה תוקן במידה מועטה</w:t>
      </w:r>
      <w:r w:rsidRPr="00951B96">
        <w:rPr>
          <w:rFonts w:ascii="Tahoma" w:hAnsi="Tahoma" w:cs="Tahoma"/>
          <w:color w:val="0D0D0D" w:themeColor="text1" w:themeTint="F2"/>
          <w:sz w:val="18"/>
          <w:szCs w:val="18"/>
          <w:rtl/>
        </w:rPr>
        <w:t xml:space="preserve">. </w:t>
      </w:r>
    </w:p>
    <w:p w:rsidR="00645C45" w:rsidRPr="00201FA5" w:rsidP="000B5681" w14:paraId="66A5FAF2" w14:textId="41B69C53">
      <w:pPr>
        <w:pStyle w:val="7190"/>
        <w:rPr>
          <w:rtl/>
        </w:rPr>
      </w:pPr>
      <w:r w:rsidRPr="000B5681">
        <w:rPr>
          <w:rStyle w:val="717Char0"/>
          <w:rFonts w:hint="cs"/>
          <w:noProof/>
          <w:rtl/>
        </w:rPr>
        <w:drawing>
          <wp:anchor distT="0" distB="3600450" distL="114300" distR="114300" simplePos="0" relativeHeight="251725824" behindDoc="0" locked="0" layoutInCell="1" allowOverlap="1">
            <wp:simplePos x="0" y="0"/>
            <wp:positionH relativeFrom="column">
              <wp:posOffset>4527550</wp:posOffset>
            </wp:positionH>
            <wp:positionV relativeFrom="paragraph">
              <wp:posOffset>36131</wp:posOffset>
            </wp:positionV>
            <wp:extent cx="161925" cy="161925"/>
            <wp:effectExtent l="0" t="0" r="3175" b="3175"/>
            <wp:wrapSquare wrapText="bothSides"/>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5915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cs"/>
          <w:rtl/>
        </w:rPr>
        <w:t>מערך הרופאים</w:t>
      </w:r>
      <w:r w:rsidRPr="007A0A2C" w:rsidR="000B5681">
        <w:rPr>
          <w:rFonts w:hint="cs"/>
          <w:rtl/>
        </w:rPr>
        <w:t xml:space="preserve"> - בביקורת הקודמת נמצא כי שבע משרות של רופאים בשב"ס לא היו מאוישות. בביקורת המעקב עלה </w:t>
      </w:r>
      <w:r w:rsidRPr="007A0A2C" w:rsidR="000B5681">
        <w:rPr>
          <w:rtl/>
        </w:rPr>
        <w:t xml:space="preserve">כי </w:t>
      </w:r>
      <w:r w:rsidRPr="007A0A2C" w:rsidR="000B5681">
        <w:rPr>
          <w:rFonts w:hint="cs"/>
          <w:rtl/>
        </w:rPr>
        <w:t xml:space="preserve">17.25 </w:t>
      </w:r>
      <w:r w:rsidRPr="007A0A2C" w:rsidR="000B5681">
        <w:rPr>
          <w:rFonts w:hint="eastAsia"/>
          <w:rtl/>
        </w:rPr>
        <w:t>משרות</w:t>
      </w:r>
      <w:r w:rsidRPr="007A0A2C" w:rsidR="000B5681">
        <w:rPr>
          <w:rtl/>
        </w:rPr>
        <w:t xml:space="preserve"> רופאים</w:t>
      </w:r>
      <w:r w:rsidRPr="007A0A2C" w:rsidR="000B5681">
        <w:rPr>
          <w:rFonts w:hint="cs"/>
          <w:rtl/>
        </w:rPr>
        <w:t xml:space="preserve"> (כ-23</w:t>
      </w:r>
      <w:r w:rsidRPr="007A0A2C" w:rsidR="000B5681">
        <w:rPr>
          <w:rtl/>
        </w:rPr>
        <w:t>%</w:t>
      </w:r>
      <w:r w:rsidRPr="007A0A2C" w:rsidR="000B5681">
        <w:rPr>
          <w:rFonts w:hint="cs"/>
          <w:rtl/>
        </w:rPr>
        <w:t xml:space="preserve"> ממספר המשרות הנדרש) לא אוישו, וכי</w:t>
      </w:r>
      <w:r w:rsidRPr="007A0A2C" w:rsidR="000B5681">
        <w:rPr>
          <w:rtl/>
        </w:rPr>
        <w:t xml:space="preserve"> הפער בין </w:t>
      </w:r>
      <w:r w:rsidRPr="007A0A2C" w:rsidR="000B5681">
        <w:rPr>
          <w:rFonts w:hint="eastAsia"/>
          <w:rtl/>
        </w:rPr>
        <w:t>התק</w:t>
      </w:r>
      <w:r w:rsidRPr="007A0A2C" w:rsidR="000B5681">
        <w:rPr>
          <w:rFonts w:hint="cs"/>
          <w:rtl/>
        </w:rPr>
        <w:t>ן</w:t>
      </w:r>
      <w:r w:rsidRPr="007A0A2C" w:rsidR="000B5681">
        <w:rPr>
          <w:rtl/>
        </w:rPr>
        <w:t xml:space="preserve"> </w:t>
      </w:r>
      <w:r w:rsidRPr="007A0A2C" w:rsidR="000B5681">
        <w:rPr>
          <w:rFonts w:hint="eastAsia"/>
          <w:rtl/>
        </w:rPr>
        <w:t>ו</w:t>
      </w:r>
      <w:r w:rsidRPr="007A0A2C" w:rsidR="000B5681">
        <w:rPr>
          <w:rFonts w:hint="cs"/>
          <w:rtl/>
        </w:rPr>
        <w:t xml:space="preserve">בין </w:t>
      </w:r>
      <w:r w:rsidRPr="007A0A2C" w:rsidR="000B5681">
        <w:rPr>
          <w:rFonts w:hint="eastAsia"/>
          <w:rtl/>
        </w:rPr>
        <w:t>המצבה</w:t>
      </w:r>
      <w:r w:rsidRPr="007A0A2C" w:rsidR="000B5681">
        <w:rPr>
          <w:rtl/>
        </w:rPr>
        <w:t xml:space="preserve"> </w:t>
      </w:r>
      <w:r w:rsidRPr="007A0A2C" w:rsidR="000B5681">
        <w:rPr>
          <w:rFonts w:hint="eastAsia"/>
          <w:rtl/>
        </w:rPr>
        <w:t>העמיק</w:t>
      </w:r>
      <w:r w:rsidRPr="007A0A2C" w:rsidR="000B5681">
        <w:rPr>
          <w:rFonts w:hint="cs"/>
          <w:rtl/>
        </w:rPr>
        <w:t>,</w:t>
      </w:r>
      <w:r w:rsidRPr="007A0A2C" w:rsidR="000B5681">
        <w:rPr>
          <w:rtl/>
        </w:rPr>
        <w:t xml:space="preserve"> </w:t>
      </w:r>
      <w:r w:rsidRPr="007A0A2C" w:rsidR="000B5681">
        <w:rPr>
          <w:rFonts w:hint="eastAsia"/>
          <w:rtl/>
        </w:rPr>
        <w:t>ל</w:t>
      </w:r>
      <w:r w:rsidRPr="007A0A2C" w:rsidR="000B5681">
        <w:rPr>
          <w:rFonts w:hint="cs"/>
          <w:rtl/>
        </w:rPr>
        <w:t>עומת ה</w:t>
      </w:r>
      <w:r w:rsidRPr="007A0A2C" w:rsidR="000B5681">
        <w:rPr>
          <w:rFonts w:hint="eastAsia"/>
          <w:rtl/>
        </w:rPr>
        <w:t>פער</w:t>
      </w:r>
      <w:r w:rsidRPr="007A0A2C" w:rsidR="000B5681">
        <w:rPr>
          <w:rtl/>
        </w:rPr>
        <w:t xml:space="preserve"> </w:t>
      </w:r>
      <w:r w:rsidRPr="007A0A2C" w:rsidR="000B5681">
        <w:rPr>
          <w:rFonts w:hint="eastAsia"/>
          <w:rtl/>
        </w:rPr>
        <w:t>שנמצא</w:t>
      </w:r>
      <w:r w:rsidRPr="007A0A2C" w:rsidR="000B5681">
        <w:rPr>
          <w:rtl/>
        </w:rPr>
        <w:t xml:space="preserve"> </w:t>
      </w:r>
      <w:r w:rsidRPr="007A0A2C" w:rsidR="000B5681">
        <w:rPr>
          <w:rFonts w:hint="eastAsia"/>
          <w:rtl/>
        </w:rPr>
        <w:t>בביקורת</w:t>
      </w:r>
      <w:r w:rsidRPr="007A0A2C" w:rsidR="000B5681">
        <w:rPr>
          <w:rtl/>
        </w:rPr>
        <w:t xml:space="preserve"> </w:t>
      </w:r>
      <w:r w:rsidRPr="007A0A2C" w:rsidR="000B5681">
        <w:rPr>
          <w:rFonts w:hint="eastAsia"/>
          <w:rtl/>
        </w:rPr>
        <w:t>הקודמת</w:t>
      </w:r>
      <w:r w:rsidRPr="007A0A2C" w:rsidR="000B5681">
        <w:rPr>
          <w:rFonts w:hint="cs"/>
          <w:rtl/>
        </w:rPr>
        <w:t>. הליקוי בנושא זה לא תוקן</w:t>
      </w:r>
      <w:r w:rsidRPr="00201FA5">
        <w:rPr>
          <w:rtl/>
        </w:rPr>
        <w:t xml:space="preserve">. </w:t>
      </w:r>
    </w:p>
    <w:p w:rsidR="00645C45" w:rsidRPr="00903496" w:rsidP="00645C45" w14:paraId="32B842ED" w14:textId="7D729282">
      <w:pPr>
        <w:pStyle w:val="7112"/>
      </w:pPr>
      <w:r w:rsidRPr="00642202">
        <w:rPr>
          <w:rStyle w:val="717Char0"/>
          <w:rFonts w:hint="cs"/>
          <w:noProof/>
          <w:rtl/>
        </w:rPr>
        <w:drawing>
          <wp:anchor distT="0" distB="3600450" distL="114300" distR="114300" simplePos="0" relativeHeight="25171865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6402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cs"/>
          <w:rtl/>
        </w:rPr>
        <w:t>אשפוז פסיכיאטרי במסגרת שב"</w:t>
      </w:r>
      <w:r w:rsidRPr="0080121D" w:rsidR="000B5681">
        <w:rPr>
          <w:rFonts w:hint="cs"/>
          <w:b/>
          <w:bCs/>
          <w:rtl/>
        </w:rPr>
        <w:t>ס</w:t>
      </w:r>
      <w:r w:rsidRPr="007A0A2C" w:rsidR="000B5681">
        <w:rPr>
          <w:rFonts w:hint="cs"/>
          <w:rtl/>
        </w:rPr>
        <w:t xml:space="preserve"> - נמצא כי </w:t>
      </w:r>
      <w:r w:rsidRPr="007A0A2C" w:rsidR="000B5681">
        <w:rPr>
          <w:rtl/>
        </w:rPr>
        <w:t xml:space="preserve">אין </w:t>
      </w:r>
      <w:r w:rsidRPr="007A0A2C" w:rsidR="000B5681">
        <w:rPr>
          <w:rFonts w:hint="eastAsia"/>
          <w:rtl/>
        </w:rPr>
        <w:t>במב</w:t>
      </w:r>
      <w:r w:rsidRPr="007A0A2C" w:rsidR="000B5681">
        <w:rPr>
          <w:rtl/>
        </w:rPr>
        <w:t>"ן</w:t>
      </w:r>
      <w:r w:rsidRPr="007A0A2C" w:rsidR="000B5681">
        <w:rPr>
          <w:rtl/>
        </w:rPr>
        <w:t xml:space="preserve"> מחלק</w:t>
      </w:r>
      <w:r w:rsidRPr="007A0A2C" w:rsidR="000B5681">
        <w:rPr>
          <w:rFonts w:hint="cs"/>
          <w:rtl/>
        </w:rPr>
        <w:t>ות</w:t>
      </w:r>
      <w:r w:rsidRPr="007A0A2C" w:rsidR="000B5681">
        <w:rPr>
          <w:rtl/>
        </w:rPr>
        <w:t xml:space="preserve"> ייעודי</w:t>
      </w:r>
      <w:r w:rsidRPr="007A0A2C" w:rsidR="000B5681">
        <w:rPr>
          <w:rFonts w:hint="cs"/>
          <w:rtl/>
        </w:rPr>
        <w:t>ו</w:t>
      </w:r>
      <w:r w:rsidRPr="007A0A2C" w:rsidR="000B5681">
        <w:rPr>
          <w:rtl/>
        </w:rPr>
        <w:t>ת לנשים ול</w:t>
      </w:r>
      <w:r w:rsidRPr="007A0A2C" w:rsidR="000B5681">
        <w:rPr>
          <w:rFonts w:hint="cs"/>
          <w:rtl/>
        </w:rPr>
        <w:t xml:space="preserve">בני </w:t>
      </w:r>
      <w:r w:rsidRPr="007A0A2C" w:rsidR="000B5681">
        <w:rPr>
          <w:rtl/>
        </w:rPr>
        <w:t>נוער</w:t>
      </w:r>
      <w:r w:rsidRPr="007A0A2C" w:rsidR="000B5681">
        <w:rPr>
          <w:rFonts w:hint="cs"/>
          <w:rtl/>
        </w:rPr>
        <w:t xml:space="preserve"> הזקוקים לאשפוז פסיכיאטרי</w:t>
      </w:r>
      <w:r w:rsidRPr="00903496">
        <w:rPr>
          <w:rtl/>
        </w:rPr>
        <w:t>.</w:t>
      </w:r>
    </w:p>
    <w:p w:rsidR="00645C45" w:rsidRPr="00C80B25" w:rsidP="00645C45" w14:paraId="61EC56A9" w14:textId="0DF6C2B9">
      <w:pPr>
        <w:pStyle w:val="7112"/>
      </w:pPr>
      <w:r w:rsidRPr="000B5681">
        <w:rPr>
          <w:rStyle w:val="717Char0"/>
          <w:rFonts w:hint="cs"/>
          <w:noProof/>
          <w:rtl/>
        </w:rPr>
        <w:drawing>
          <wp:anchor distT="0" distB="3600450" distL="114300" distR="114300" simplePos="0" relativeHeight="25171968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7128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eastAsia"/>
          <w:rtl/>
        </w:rPr>
        <w:t>הסתכלות</w:t>
      </w:r>
      <w:r w:rsidRPr="000B5681" w:rsidR="000B5681">
        <w:rPr>
          <w:rStyle w:val="717Char0"/>
          <w:rtl/>
        </w:rPr>
        <w:t xml:space="preserve"> </w:t>
      </w:r>
      <w:r w:rsidRPr="000B5681" w:rsidR="000B5681">
        <w:rPr>
          <w:rStyle w:val="717Char0"/>
          <w:rFonts w:hint="eastAsia"/>
          <w:rtl/>
        </w:rPr>
        <w:t>על</w:t>
      </w:r>
      <w:r w:rsidRPr="000B5681" w:rsidR="000B5681">
        <w:rPr>
          <w:rStyle w:val="717Char0"/>
          <w:rtl/>
        </w:rPr>
        <w:t xml:space="preserve"> </w:t>
      </w:r>
      <w:r w:rsidRPr="000B5681" w:rsidR="000B5681">
        <w:rPr>
          <w:rStyle w:val="717Char0"/>
          <w:rFonts w:hint="eastAsia"/>
          <w:rtl/>
        </w:rPr>
        <w:t>עצורים</w:t>
      </w:r>
      <w:r w:rsidRPr="000B5681" w:rsidR="000B5681">
        <w:rPr>
          <w:rStyle w:val="717Char0"/>
          <w:rtl/>
        </w:rPr>
        <w:t xml:space="preserve"> </w:t>
      </w:r>
      <w:r w:rsidRPr="000B5681" w:rsidR="000B5681">
        <w:rPr>
          <w:rStyle w:val="717Char0"/>
          <w:rFonts w:hint="eastAsia"/>
          <w:rtl/>
        </w:rPr>
        <w:t>בעלי</w:t>
      </w:r>
      <w:r w:rsidRPr="000B5681" w:rsidR="000B5681">
        <w:rPr>
          <w:rStyle w:val="717Char0"/>
          <w:rtl/>
        </w:rPr>
        <w:t xml:space="preserve"> </w:t>
      </w:r>
      <w:r w:rsidRPr="000B5681" w:rsidR="000B5681">
        <w:rPr>
          <w:rStyle w:val="717Char0"/>
          <w:rFonts w:hint="eastAsia"/>
          <w:rtl/>
        </w:rPr>
        <w:t>רקע</w:t>
      </w:r>
      <w:r w:rsidRPr="000B5681" w:rsidR="000B5681">
        <w:rPr>
          <w:rStyle w:val="717Char0"/>
          <w:rtl/>
        </w:rPr>
        <w:t xml:space="preserve"> </w:t>
      </w:r>
      <w:r w:rsidRPr="000B5681" w:rsidR="000B5681">
        <w:rPr>
          <w:rStyle w:val="717Char0"/>
          <w:rFonts w:hint="eastAsia"/>
          <w:rtl/>
        </w:rPr>
        <w:t>פסיכיאטרי</w:t>
      </w:r>
      <w:r w:rsidRPr="007A0A2C" w:rsidR="000B5681">
        <w:rPr>
          <w:rFonts w:hint="cs"/>
          <w:rtl/>
        </w:rPr>
        <w:t xml:space="preserve"> - צוות בין-משרדי החליט בשנת 2018 לקדם פיילוט של הקמת מחלקה נפרדת ומאובטחת במרכז פסיכיאטרי בבאר שבע, כדי לאפשר הסתכלות מקצועית על עצורים פסיכיאטריים ולאבחן אותם. במועד סיום הביקורת הפיילוט טרם החל. כמו כן, לא נבחרה חלופה לגבי הסתכלות רופא פסיכיאטר על עצורים מבין החלופות שנבחנו לשם ייעול התהליך</w:t>
      </w:r>
      <w:r>
        <w:rPr>
          <w:rFonts w:hint="cs"/>
          <w:rtl/>
        </w:rPr>
        <w:t>.</w:t>
      </w:r>
    </w:p>
    <w:p w:rsidR="00645C45" w:rsidRPr="0069093D" w:rsidP="00645C45" w14:paraId="42C5860F" w14:textId="7BF084B9">
      <w:pPr>
        <w:pStyle w:val="7112"/>
      </w:pPr>
      <w:r w:rsidRPr="000B5681">
        <w:rPr>
          <w:rStyle w:val="717Char0"/>
          <w:rFonts w:hint="cs"/>
          <w:noProof/>
          <w:rtl/>
        </w:rPr>
        <w:drawing>
          <wp:anchor distT="0" distB="3600450" distL="114300" distR="114300" simplePos="0" relativeHeight="251720704"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9484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cs"/>
          <w:rtl/>
        </w:rPr>
        <w:t>הטיפול הרפואי לכלואים עד שנה</w:t>
      </w:r>
      <w:r w:rsidRPr="007A0A2C" w:rsidR="000B5681">
        <w:rPr>
          <w:rFonts w:hint="cs"/>
          <w:rtl/>
        </w:rPr>
        <w:t xml:space="preserve"> - בביקורת הקודמת נמצא כי שב"ס שילם עבור טיפולים לעצורים לתקופה של עד שנה אחת תשלומים שקופות החולים היו צריכות לשאת בהם</w:t>
      </w:r>
      <w:r>
        <w:rPr>
          <w:vertAlign w:val="superscript"/>
          <w:rtl/>
        </w:rPr>
        <w:footnoteReference w:id="5"/>
      </w:r>
      <w:r w:rsidRPr="007A0A2C" w:rsidR="000B5681">
        <w:rPr>
          <w:rFonts w:hint="cs"/>
          <w:rtl/>
        </w:rPr>
        <w:t xml:space="preserve">. בביקורת הנוכחית נמצא כי </w:t>
      </w:r>
      <w:r w:rsidRPr="007A0A2C" w:rsidR="000B5681">
        <w:rPr>
          <w:rtl/>
        </w:rPr>
        <w:t>אין בידי שב"ס מידע על כלל התשלומים שהוא משלם עבור טיפולים רפואיים לכלואים לתקופה של עד</w:t>
      </w:r>
      <w:r w:rsidRPr="007A0A2C" w:rsidR="000B5681">
        <w:rPr>
          <w:rFonts w:hint="cs"/>
          <w:rtl/>
        </w:rPr>
        <w:t xml:space="preserve"> ש</w:t>
      </w:r>
      <w:r w:rsidRPr="007A0A2C" w:rsidR="000B5681">
        <w:rPr>
          <w:rtl/>
        </w:rPr>
        <w:t>נה</w:t>
      </w:r>
      <w:r w:rsidRPr="007A0A2C" w:rsidR="000B5681">
        <w:rPr>
          <w:rFonts w:hint="cs"/>
          <w:rtl/>
        </w:rPr>
        <w:t xml:space="preserve">. בשנים </w:t>
      </w:r>
      <w:r w:rsidRPr="007A0A2C" w:rsidR="000B5681">
        <w:t>2020 - 2014</w:t>
      </w:r>
      <w:r w:rsidRPr="007A0A2C" w:rsidR="000B5681">
        <w:rPr>
          <w:rFonts w:hint="cs"/>
          <w:rtl/>
        </w:rPr>
        <w:t xml:space="preserve"> קיבל שב</w:t>
      </w:r>
      <w:r w:rsidRPr="007A0A2C" w:rsidR="000B5681">
        <w:t>"</w:t>
      </w:r>
      <w:r w:rsidRPr="007A0A2C" w:rsidR="000B5681">
        <w:rPr>
          <w:rFonts w:hint="cs"/>
          <w:rtl/>
        </w:rPr>
        <w:t>ס</w:t>
      </w:r>
      <w:r w:rsidRPr="007A0A2C" w:rsidR="000B5681">
        <w:t xml:space="preserve"> </w:t>
      </w:r>
      <w:r w:rsidRPr="007A0A2C" w:rsidR="000B5681">
        <w:rPr>
          <w:rFonts w:hint="cs"/>
          <w:rtl/>
        </w:rPr>
        <w:t>החזר</w:t>
      </w:r>
      <w:r w:rsidRPr="007A0A2C" w:rsidR="000B5681">
        <w:t xml:space="preserve"> </w:t>
      </w:r>
      <w:r w:rsidRPr="007A0A2C" w:rsidR="000B5681">
        <w:rPr>
          <w:rFonts w:hint="cs"/>
          <w:rtl/>
        </w:rPr>
        <w:t>של כ</w:t>
      </w:r>
      <w:r w:rsidRPr="007A0A2C" w:rsidR="000B5681">
        <w:t xml:space="preserve"> 6.5-</w:t>
      </w:r>
      <w:r w:rsidRPr="007A0A2C" w:rsidR="000B5681">
        <w:rPr>
          <w:rFonts w:hint="cs"/>
          <w:rtl/>
        </w:rPr>
        <w:t>מיליון</w:t>
      </w:r>
      <w:r w:rsidRPr="007A0A2C" w:rsidR="000B5681">
        <w:t xml:space="preserve"> </w:t>
      </w:r>
      <w:r w:rsidRPr="007A0A2C" w:rsidR="000B5681">
        <w:rPr>
          <w:rFonts w:hint="cs"/>
          <w:rtl/>
        </w:rPr>
        <w:t>ש</w:t>
      </w:r>
      <w:r w:rsidRPr="007A0A2C" w:rsidR="000B5681">
        <w:t>"</w:t>
      </w:r>
      <w:r w:rsidRPr="007A0A2C" w:rsidR="000B5681">
        <w:rPr>
          <w:rFonts w:hint="cs"/>
          <w:rtl/>
        </w:rPr>
        <w:t>ח</w:t>
      </w:r>
      <w:r w:rsidRPr="007A0A2C" w:rsidR="000B5681">
        <w:t xml:space="preserve"> </w:t>
      </w:r>
      <w:r w:rsidRPr="007A0A2C" w:rsidR="000B5681">
        <w:rPr>
          <w:rFonts w:hint="cs"/>
          <w:rtl/>
        </w:rPr>
        <w:t>עבור</w:t>
      </w:r>
      <w:r w:rsidRPr="007A0A2C" w:rsidR="000B5681">
        <w:t xml:space="preserve"> </w:t>
      </w:r>
      <w:r w:rsidRPr="007A0A2C" w:rsidR="000B5681">
        <w:rPr>
          <w:rFonts w:hint="cs"/>
          <w:rtl/>
        </w:rPr>
        <w:t>טיפולים</w:t>
      </w:r>
      <w:r w:rsidRPr="007A0A2C" w:rsidR="000B5681">
        <w:t xml:space="preserve"> </w:t>
      </w:r>
      <w:r w:rsidRPr="007A0A2C" w:rsidR="000B5681">
        <w:rPr>
          <w:rFonts w:hint="cs"/>
          <w:rtl/>
        </w:rPr>
        <w:t>רפואיים</w:t>
      </w:r>
      <w:r w:rsidRPr="007A0A2C" w:rsidR="000B5681">
        <w:t xml:space="preserve"> </w:t>
      </w:r>
      <w:r w:rsidRPr="007A0A2C" w:rsidR="000B5681">
        <w:rPr>
          <w:rFonts w:hint="cs"/>
          <w:rtl/>
        </w:rPr>
        <w:t>שנתנו</w:t>
      </w:r>
      <w:r w:rsidRPr="007A0A2C" w:rsidR="000B5681">
        <w:t xml:space="preserve"> </w:t>
      </w:r>
      <w:r w:rsidRPr="007A0A2C" w:rsidR="000B5681">
        <w:rPr>
          <w:rFonts w:hint="cs"/>
          <w:rtl/>
        </w:rPr>
        <w:t>מוסדות רפואיים</w:t>
      </w:r>
      <w:r w:rsidRPr="007A0A2C" w:rsidR="000B5681">
        <w:t xml:space="preserve"> </w:t>
      </w:r>
      <w:r w:rsidRPr="007A0A2C" w:rsidR="000B5681">
        <w:rPr>
          <w:rFonts w:hint="cs"/>
          <w:rtl/>
        </w:rPr>
        <w:t>ושההוצאות בגינם</w:t>
      </w:r>
      <w:r w:rsidRPr="007A0A2C" w:rsidR="000B5681">
        <w:t xml:space="preserve"> </w:t>
      </w:r>
      <w:r w:rsidRPr="007A0A2C" w:rsidR="000B5681">
        <w:rPr>
          <w:rFonts w:hint="cs"/>
          <w:rtl/>
        </w:rPr>
        <w:t>אמורות</w:t>
      </w:r>
      <w:r w:rsidRPr="007A0A2C" w:rsidR="000B5681">
        <w:t xml:space="preserve"> </w:t>
      </w:r>
      <w:r w:rsidRPr="007A0A2C" w:rsidR="000B5681">
        <w:rPr>
          <w:rFonts w:hint="cs"/>
          <w:rtl/>
        </w:rPr>
        <w:t>להיות</w:t>
      </w:r>
      <w:r w:rsidRPr="007A0A2C" w:rsidR="000B5681">
        <w:t xml:space="preserve"> </w:t>
      </w:r>
      <w:r w:rsidRPr="007A0A2C" w:rsidR="000B5681">
        <w:rPr>
          <w:rFonts w:hint="cs"/>
          <w:rtl/>
        </w:rPr>
        <w:t>משולמות</w:t>
      </w:r>
      <w:r w:rsidRPr="007A0A2C" w:rsidR="000B5681">
        <w:t xml:space="preserve"> </w:t>
      </w:r>
      <w:r w:rsidRPr="007A0A2C" w:rsidR="000B5681">
        <w:rPr>
          <w:rFonts w:hint="cs"/>
          <w:rtl/>
        </w:rPr>
        <w:t>על</w:t>
      </w:r>
      <w:r w:rsidRPr="007A0A2C" w:rsidR="000B5681">
        <w:t xml:space="preserve"> </w:t>
      </w:r>
      <w:r w:rsidRPr="007A0A2C" w:rsidR="000B5681">
        <w:rPr>
          <w:rFonts w:hint="cs"/>
          <w:rtl/>
        </w:rPr>
        <w:t>ידי קופות</w:t>
      </w:r>
      <w:r w:rsidRPr="007A0A2C" w:rsidR="000B5681">
        <w:t xml:space="preserve"> </w:t>
      </w:r>
      <w:r w:rsidRPr="007A0A2C" w:rsidR="000B5681">
        <w:rPr>
          <w:rFonts w:hint="cs"/>
          <w:rtl/>
        </w:rPr>
        <w:t>החולים. עוד</w:t>
      </w:r>
      <w:r w:rsidRPr="007A0A2C" w:rsidR="000B5681">
        <w:rPr>
          <w:rtl/>
        </w:rPr>
        <w:t xml:space="preserve"> נמצא כי </w:t>
      </w:r>
      <w:r w:rsidRPr="007A0A2C" w:rsidR="000B5681">
        <w:rPr>
          <w:rFonts w:hint="cs"/>
          <w:rtl/>
        </w:rPr>
        <w:t>מ</w:t>
      </w:r>
      <w:r w:rsidRPr="007A0A2C" w:rsidR="000B5681">
        <w:rPr>
          <w:rtl/>
        </w:rPr>
        <w:t xml:space="preserve">משקי ההתחשבנות </w:t>
      </w:r>
      <w:r w:rsidRPr="007A0A2C" w:rsidR="000B5681">
        <w:rPr>
          <w:rtl/>
        </w:rPr>
        <w:t xml:space="preserve">והעברת המידע בין שב"ס לבין הביטוח הלאומי והמוסדות הרפואיים לוקים בחסר. </w:t>
      </w:r>
      <w:r w:rsidRPr="007A0A2C" w:rsidR="000B5681">
        <w:rPr>
          <w:rFonts w:hint="cs"/>
          <w:rtl/>
        </w:rPr>
        <w:t>הליקוי בנושא זה תוקן במידה מועטה</w:t>
      </w:r>
      <w:r>
        <w:rPr>
          <w:rtl/>
        </w:rPr>
        <w:t>.</w:t>
      </w:r>
    </w:p>
    <w:p w:rsidR="00645C45" w:rsidRPr="0069093D" w:rsidP="00645C45" w14:paraId="2EB4C02C" w14:textId="54240B92">
      <w:pPr>
        <w:pStyle w:val="7112"/>
      </w:pPr>
      <w:r w:rsidRPr="000B5681">
        <w:rPr>
          <w:rStyle w:val="717Char0"/>
          <w:rFonts w:hint="cs"/>
          <w:noProof/>
          <w:rtl/>
        </w:rPr>
        <w:drawing>
          <wp:anchor distT="0" distB="3600450" distL="114300" distR="114300" simplePos="0" relativeHeight="251721728" behindDoc="0" locked="0" layoutInCell="1" allowOverlap="1">
            <wp:simplePos x="0" y="0"/>
            <wp:positionH relativeFrom="column">
              <wp:posOffset>4518025</wp:posOffset>
            </wp:positionH>
            <wp:positionV relativeFrom="paragraph">
              <wp:posOffset>16815</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8012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5681" w:rsidR="000B5681">
        <w:rPr>
          <w:rStyle w:val="717Char0"/>
          <w:rFonts w:hint="cs"/>
          <w:rtl/>
        </w:rPr>
        <w:t>מבני מרפאות</w:t>
      </w:r>
      <w:r w:rsidRPr="007A0A2C" w:rsidR="000B5681">
        <w:rPr>
          <w:rFonts w:hint="cs"/>
          <w:rtl/>
        </w:rPr>
        <w:t xml:space="preserve"> - בביקורת הקודמת נמצאו ליקויים במבני מרפאות בשלושה בתי מעצר שנבדקו. בביקורת הנוכחית עלה כי לפי עמדת שב"ס, ב-16 מ-30 מרפאות נדרש לבצע שיפוץ או התאמת נגישות לאנשים עם מוגבלות. אחת המרפאות שאינה נגישה היא מרפאת בית המעצר קישון, שצוינה גם בביקורת הקודמת בהקשר זה. נמצא כי המרפאה עדיין לא שופצה ולא הונגשה. יודגש כי אי-הנגשת מרפאות אינה עולה בקנה אחד עם דרישת חוק שוויון זכויות לאנשים עם מוגבלות, </w:t>
      </w:r>
      <w:r w:rsidRPr="007A0A2C" w:rsidR="000B5681">
        <w:rPr>
          <w:rFonts w:hint="cs"/>
          <w:rtl/>
        </w:rPr>
        <w:t>התשנ"ח</w:t>
      </w:r>
      <w:r w:rsidRPr="007A0A2C" w:rsidR="000B5681">
        <w:rPr>
          <w:rFonts w:hint="cs"/>
          <w:rtl/>
        </w:rPr>
        <w:t>-1998 (חוק הנגישות). הליקוי בנושא זה לא תוקן</w:t>
      </w:r>
      <w:r w:rsidRPr="0069093D">
        <w:rPr>
          <w:rFonts w:hint="cs"/>
          <w:rtl/>
        </w:rPr>
        <w:t>.</w:t>
      </w:r>
    </w:p>
    <w:p w:rsidR="00645C45" w:rsidRPr="00C74181" w:rsidP="00645C45" w14:paraId="06A9DC10" w14:textId="1A8CDC70">
      <w:pPr>
        <w:pStyle w:val="217"/>
        <w:ind w:left="0"/>
        <w:rPr>
          <w:rtl/>
        </w:rPr>
      </w:pPr>
      <w:r w:rsidRPr="00362C00">
        <w:rPr>
          <w:rFonts w:hint="cs"/>
          <w:noProof/>
          <w:sz w:val="19"/>
          <w:szCs w:val="19"/>
          <w:rtl/>
        </w:rPr>
        <w:drawing>
          <wp:anchor distT="0" distB="0" distL="114300" distR="114300" simplePos="0" relativeHeight="251711488" behindDoc="0" locked="0" layoutInCell="1" allowOverlap="1">
            <wp:simplePos x="0" y="0"/>
            <wp:positionH relativeFrom="column">
              <wp:posOffset>2073325</wp:posOffset>
            </wp:positionH>
            <wp:positionV relativeFrom="paragraph">
              <wp:posOffset>8255</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0B5681" w:rsidRPr="000B5681" w:rsidP="000B5681" w14:paraId="30923EEB" w14:textId="77777777">
      <w:pPr>
        <w:pStyle w:val="7112"/>
        <w:ind w:left="424"/>
        <w:rPr>
          <w:rtl/>
        </w:rPr>
      </w:pPr>
      <w:r w:rsidRPr="000B5681">
        <w:rPr>
          <w:rStyle w:val="717Char0"/>
          <w:rFonts w:hint="cs"/>
          <w:rtl/>
        </w:rPr>
        <w:t>ארגון מחדש של מערך הרפואה</w:t>
      </w:r>
      <w:r w:rsidRPr="000B5681">
        <w:rPr>
          <w:rFonts w:hint="cs"/>
          <w:rtl/>
        </w:rPr>
        <w:t xml:space="preserve"> - </w:t>
      </w:r>
      <w:r w:rsidRPr="000B5681">
        <w:rPr>
          <w:rtl/>
        </w:rPr>
        <w:t>בביקורת הקודמת נמצא כי בשנים 20</w:t>
      </w:r>
      <w:r w:rsidRPr="000B5681">
        <w:rPr>
          <w:rFonts w:hint="cs"/>
          <w:rtl/>
        </w:rPr>
        <w:t xml:space="preserve">02 </w:t>
      </w:r>
      <w:r w:rsidRPr="000B5681">
        <w:rPr>
          <w:rtl/>
        </w:rPr>
        <w:t>-</w:t>
      </w:r>
      <w:r w:rsidRPr="000B5681">
        <w:rPr>
          <w:rFonts w:hint="cs"/>
          <w:rtl/>
        </w:rPr>
        <w:t xml:space="preserve"> </w:t>
      </w:r>
      <w:r w:rsidRPr="000B5681">
        <w:rPr>
          <w:rtl/>
        </w:rPr>
        <w:t>20</w:t>
      </w:r>
      <w:r w:rsidRPr="000B5681">
        <w:rPr>
          <w:rFonts w:hint="cs"/>
          <w:rtl/>
        </w:rPr>
        <w:t>12</w:t>
      </w:r>
      <w:r w:rsidRPr="000B5681">
        <w:rPr>
          <w:rtl/>
        </w:rPr>
        <w:t xml:space="preserve"> הוקמו </w:t>
      </w:r>
      <w:r w:rsidRPr="000B5681">
        <w:rPr>
          <w:rFonts w:hint="cs"/>
          <w:rtl/>
        </w:rPr>
        <w:t>כמה</w:t>
      </w:r>
      <w:r w:rsidRPr="000B5681">
        <w:rPr>
          <w:rtl/>
        </w:rPr>
        <w:t xml:space="preserve"> ועדות לבחינת המערך הרפואי בשב"ס </w:t>
      </w:r>
      <w:r w:rsidRPr="000B5681">
        <w:rPr>
          <w:rFonts w:hint="cs"/>
          <w:rtl/>
        </w:rPr>
        <w:t xml:space="preserve">והוצגו </w:t>
      </w:r>
      <w:r w:rsidRPr="000B5681">
        <w:rPr>
          <w:rtl/>
        </w:rPr>
        <w:t>דוחות מקיפים בתחום</w:t>
      </w:r>
      <w:r w:rsidRPr="000B5681">
        <w:rPr>
          <w:rFonts w:hint="cs"/>
          <w:rtl/>
        </w:rPr>
        <w:t xml:space="preserve"> זה</w:t>
      </w:r>
      <w:r w:rsidRPr="000B5681">
        <w:rPr>
          <w:rtl/>
        </w:rPr>
        <w:t xml:space="preserve">. </w:t>
      </w:r>
      <w:r w:rsidRPr="000B5681">
        <w:rPr>
          <w:rFonts w:hint="cs"/>
          <w:rtl/>
        </w:rPr>
        <w:t>ו</w:t>
      </w:r>
      <w:r w:rsidRPr="000B5681">
        <w:rPr>
          <w:rtl/>
        </w:rPr>
        <w:t>אולם ה</w:t>
      </w:r>
      <w:r w:rsidRPr="000B5681">
        <w:rPr>
          <w:rFonts w:hint="cs"/>
          <w:rtl/>
        </w:rPr>
        <w:t>ה</w:t>
      </w:r>
      <w:r w:rsidRPr="000B5681">
        <w:rPr>
          <w:rtl/>
        </w:rPr>
        <w:t>מלצות</w:t>
      </w:r>
      <w:r w:rsidRPr="000B5681">
        <w:rPr>
          <w:rFonts w:hint="cs"/>
          <w:rtl/>
        </w:rPr>
        <w:t xml:space="preserve"> שצוינו בדוחות אלה</w:t>
      </w:r>
      <w:r w:rsidRPr="000B5681">
        <w:rPr>
          <w:rtl/>
        </w:rPr>
        <w:t xml:space="preserve"> לא הבשילו לכדי </w:t>
      </w:r>
      <w:r w:rsidRPr="000B5681">
        <w:rPr>
          <w:rFonts w:hint="cs"/>
          <w:rtl/>
        </w:rPr>
        <w:t>גיבוש ויישום של</w:t>
      </w:r>
      <w:r w:rsidRPr="000B5681">
        <w:rPr>
          <w:rtl/>
        </w:rPr>
        <w:t xml:space="preserve"> רפורמה מקיפה במערך הרפואה</w:t>
      </w:r>
      <w:r w:rsidRPr="000B5681">
        <w:rPr>
          <w:rFonts w:hint="cs"/>
          <w:rtl/>
        </w:rPr>
        <w:t>. בביקורת המעקב עלה כי בינואר 2015 "הוועדה לבדיקת המענה והשירות הרפואי לאסירים בשירות בתי הסוהר"</w:t>
      </w:r>
      <w:r>
        <w:rPr>
          <w:vertAlign w:val="superscript"/>
          <w:rtl/>
        </w:rPr>
        <w:footnoteReference w:id="6"/>
      </w:r>
      <w:r w:rsidRPr="000B5681">
        <w:rPr>
          <w:rFonts w:hint="cs"/>
          <w:rtl/>
        </w:rPr>
        <w:t xml:space="preserve"> (ועדת </w:t>
      </w:r>
      <w:r w:rsidRPr="000B5681">
        <w:rPr>
          <w:rFonts w:hint="cs"/>
          <w:rtl/>
        </w:rPr>
        <w:t>ברלוביץ</w:t>
      </w:r>
      <w:r w:rsidRPr="000B5681">
        <w:rPr>
          <w:rFonts w:hint="cs"/>
          <w:rtl/>
        </w:rPr>
        <w:t xml:space="preserve">) הגישה את המלצותיה, ובעקבותיהן </w:t>
      </w:r>
      <w:r w:rsidRPr="000B5681">
        <w:rPr>
          <w:rtl/>
        </w:rPr>
        <w:t>גיבש שב"ס ת</w:t>
      </w:r>
      <w:r w:rsidRPr="000B5681">
        <w:rPr>
          <w:rFonts w:hint="cs"/>
          <w:rtl/>
        </w:rPr>
        <w:t>ו</w:t>
      </w:r>
      <w:r w:rsidRPr="000B5681">
        <w:rPr>
          <w:rtl/>
        </w:rPr>
        <w:t xml:space="preserve">כנית לארגון </w:t>
      </w:r>
      <w:r w:rsidRPr="000B5681">
        <w:rPr>
          <w:rFonts w:hint="cs"/>
          <w:rtl/>
        </w:rPr>
        <w:t xml:space="preserve">מחדש </w:t>
      </w:r>
      <w:r w:rsidRPr="000B5681">
        <w:rPr>
          <w:rtl/>
        </w:rPr>
        <w:t>של מערך הרפואה</w:t>
      </w:r>
      <w:r w:rsidRPr="000B5681">
        <w:rPr>
          <w:rFonts w:hint="cs"/>
          <w:rtl/>
        </w:rPr>
        <w:t xml:space="preserve">. רוב המלצות הוועדה (שש משמונה המלצות) וכן רוב המרכיבים בתוכנית הארגון מחדש (13 מ-18) יושמו. משרד מבקר המדינה מציין לחיוב את פעולת מערך הרפואה בשב"ס לגבש וליישם תוכנית הנותנת מענה לפערים שהוצגו בדוח הקודם ובדוח ועדת </w:t>
      </w:r>
      <w:r w:rsidRPr="000B5681">
        <w:rPr>
          <w:rFonts w:hint="cs"/>
          <w:rtl/>
        </w:rPr>
        <w:t>ברלוביץ</w:t>
      </w:r>
      <w:r w:rsidRPr="000B5681">
        <w:rPr>
          <w:rFonts w:hint="cs"/>
          <w:rtl/>
        </w:rPr>
        <w:t>.</w:t>
      </w:r>
    </w:p>
    <w:p w:rsidR="000B5681" w:rsidRPr="000B5681" w:rsidP="000B5681" w14:paraId="75848E37" w14:textId="4D741C12">
      <w:pPr>
        <w:pStyle w:val="7112"/>
        <w:ind w:left="424"/>
        <w:rPr>
          <w:rtl/>
        </w:rPr>
      </w:pPr>
      <w:r w:rsidRPr="000B5681">
        <w:rPr>
          <w:rStyle w:val="717Char0"/>
          <w:rtl/>
        </w:rPr>
        <w:t>רפואה</w:t>
      </w:r>
      <w:r w:rsidRPr="000B5681">
        <w:rPr>
          <w:rStyle w:val="717Char0"/>
          <w:rFonts w:hint="cs"/>
          <w:rtl/>
        </w:rPr>
        <w:t xml:space="preserve"> מרחוק</w:t>
      </w:r>
      <w:r w:rsidRPr="000B5681">
        <w:rPr>
          <w:rStyle w:val="717Char0"/>
          <w:rFonts w:hint="eastAsia"/>
          <w:rtl/>
        </w:rPr>
        <w:t xml:space="preserve"> </w:t>
      </w:r>
      <w:r w:rsidRPr="000B5681">
        <w:rPr>
          <w:rStyle w:val="717Char0"/>
          <w:rFonts w:hint="cs"/>
          <w:rtl/>
        </w:rPr>
        <w:t>(</w:t>
      </w:r>
      <w:r w:rsidRPr="000B5681">
        <w:rPr>
          <w:rStyle w:val="717Char0"/>
          <w:rFonts w:hint="eastAsia"/>
          <w:rtl/>
        </w:rPr>
        <w:t>טלה</w:t>
      </w:r>
      <w:r w:rsidR="00A1771C">
        <w:rPr>
          <w:rStyle w:val="717Char0"/>
          <w:rFonts w:hint="cs"/>
          <w:rtl/>
        </w:rPr>
        <w:t>-</w:t>
      </w:r>
      <w:r w:rsidRPr="000B5681">
        <w:rPr>
          <w:rStyle w:val="717Char0"/>
          <w:rFonts w:hint="eastAsia"/>
          <w:rtl/>
        </w:rPr>
        <w:t>רפואה</w:t>
      </w:r>
      <w:r w:rsidRPr="000B5681">
        <w:rPr>
          <w:rStyle w:val="717Char0"/>
          <w:rFonts w:hint="cs"/>
          <w:rtl/>
        </w:rPr>
        <w:t>)</w:t>
      </w:r>
      <w:r w:rsidRPr="000B5681">
        <w:rPr>
          <w:rFonts w:hint="cs"/>
          <w:rtl/>
        </w:rPr>
        <w:t xml:space="preserve"> </w:t>
      </w:r>
      <w:r w:rsidRPr="000B5681">
        <w:rPr>
          <w:rtl/>
        </w:rPr>
        <w:t>-</w:t>
      </w:r>
      <w:r w:rsidRPr="000B5681">
        <w:rPr>
          <w:rFonts w:hint="cs"/>
          <w:rtl/>
        </w:rPr>
        <w:t xml:space="preserve"> בתקופת</w:t>
      </w:r>
      <w:r w:rsidRPr="000B5681">
        <w:t xml:space="preserve"> </w:t>
      </w:r>
      <w:r w:rsidRPr="000B5681">
        <w:rPr>
          <w:rFonts w:hint="cs"/>
          <w:rtl/>
        </w:rPr>
        <w:t>הקורונה</w:t>
      </w:r>
      <w:r w:rsidRPr="000B5681">
        <w:t xml:space="preserve"> </w:t>
      </w:r>
      <w:r w:rsidRPr="000B5681">
        <w:rPr>
          <w:rFonts w:hint="cs"/>
          <w:rtl/>
        </w:rPr>
        <w:t>נעשה</w:t>
      </w:r>
      <w:r w:rsidRPr="000B5681">
        <w:t xml:space="preserve"> </w:t>
      </w:r>
      <w:r w:rsidRPr="000B5681">
        <w:rPr>
          <w:rFonts w:hint="cs"/>
          <w:rtl/>
        </w:rPr>
        <w:t>שימוש</w:t>
      </w:r>
      <w:r w:rsidRPr="000B5681">
        <w:t xml:space="preserve"> </w:t>
      </w:r>
      <w:r w:rsidRPr="000B5681">
        <w:rPr>
          <w:rFonts w:hint="cs"/>
          <w:rtl/>
        </w:rPr>
        <w:t>רב</w:t>
      </w:r>
      <w:r w:rsidRPr="000B5681">
        <w:t xml:space="preserve"> </w:t>
      </w:r>
      <w:r w:rsidRPr="000B5681">
        <w:rPr>
          <w:rFonts w:hint="cs"/>
          <w:rtl/>
        </w:rPr>
        <w:t>בטלה</w:t>
      </w:r>
      <w:r w:rsidRPr="000B5681">
        <w:t>-</w:t>
      </w:r>
      <w:r w:rsidRPr="000B5681">
        <w:rPr>
          <w:rFonts w:hint="cs"/>
          <w:rtl/>
        </w:rPr>
        <w:t>רפואה. במועד</w:t>
      </w:r>
      <w:r w:rsidRPr="000B5681">
        <w:t xml:space="preserve"> </w:t>
      </w:r>
      <w:r w:rsidRPr="000B5681">
        <w:rPr>
          <w:rFonts w:hint="cs"/>
          <w:rtl/>
        </w:rPr>
        <w:t>הביקורת היה שב"ס בעיצומו של</w:t>
      </w:r>
      <w:r w:rsidRPr="000B5681">
        <w:t xml:space="preserve"> </w:t>
      </w:r>
      <w:r w:rsidRPr="000B5681">
        <w:rPr>
          <w:rFonts w:hint="cs"/>
          <w:rtl/>
        </w:rPr>
        <w:t>גיבוש</w:t>
      </w:r>
      <w:r w:rsidRPr="000B5681">
        <w:t xml:space="preserve"> </w:t>
      </w:r>
      <w:r w:rsidRPr="000B5681">
        <w:rPr>
          <w:rFonts w:hint="cs"/>
          <w:rtl/>
        </w:rPr>
        <w:t>פיילוט</w:t>
      </w:r>
      <w:r w:rsidRPr="000B5681">
        <w:t xml:space="preserve"> </w:t>
      </w:r>
      <w:r w:rsidRPr="000B5681">
        <w:rPr>
          <w:rFonts w:hint="cs"/>
          <w:rtl/>
        </w:rPr>
        <w:t>לשדרוג</w:t>
      </w:r>
      <w:r w:rsidRPr="000B5681">
        <w:t xml:space="preserve"> </w:t>
      </w:r>
      <w:r w:rsidRPr="000B5681">
        <w:rPr>
          <w:rFonts w:hint="cs"/>
          <w:rtl/>
        </w:rPr>
        <w:t>מערך הטלה</w:t>
      </w:r>
      <w:r w:rsidRPr="000B5681">
        <w:t>-</w:t>
      </w:r>
      <w:r w:rsidRPr="000B5681">
        <w:rPr>
          <w:rFonts w:hint="cs"/>
          <w:rtl/>
        </w:rPr>
        <w:t>רפואה,</w:t>
      </w:r>
      <w:r w:rsidRPr="000B5681">
        <w:t xml:space="preserve"> </w:t>
      </w:r>
      <w:r w:rsidRPr="000B5681">
        <w:rPr>
          <w:rFonts w:hint="cs"/>
          <w:rtl/>
        </w:rPr>
        <w:t>בשיתוף</w:t>
      </w:r>
      <w:r w:rsidRPr="000B5681">
        <w:t xml:space="preserve"> </w:t>
      </w:r>
      <w:r w:rsidRPr="000B5681">
        <w:rPr>
          <w:rFonts w:hint="cs"/>
          <w:rtl/>
        </w:rPr>
        <w:t>משרד</w:t>
      </w:r>
      <w:r w:rsidRPr="000B5681">
        <w:t xml:space="preserve"> </w:t>
      </w:r>
      <w:r w:rsidRPr="000B5681">
        <w:rPr>
          <w:rFonts w:hint="cs"/>
          <w:rtl/>
        </w:rPr>
        <w:t>הבריאות, שיאפשר</w:t>
      </w:r>
      <w:r w:rsidRPr="000B5681">
        <w:t xml:space="preserve"> </w:t>
      </w:r>
      <w:r w:rsidRPr="000B5681">
        <w:rPr>
          <w:rFonts w:hint="cs"/>
          <w:rtl/>
        </w:rPr>
        <w:t>התקשרות</w:t>
      </w:r>
      <w:r w:rsidRPr="000B5681">
        <w:t xml:space="preserve"> </w:t>
      </w:r>
      <w:r w:rsidRPr="000B5681">
        <w:rPr>
          <w:rFonts w:hint="cs"/>
          <w:rtl/>
        </w:rPr>
        <w:t>עם</w:t>
      </w:r>
      <w:r w:rsidRPr="000B5681">
        <w:t xml:space="preserve"> </w:t>
      </w:r>
      <w:r w:rsidRPr="000B5681">
        <w:rPr>
          <w:rFonts w:hint="cs"/>
          <w:rtl/>
        </w:rPr>
        <w:t>רופא</w:t>
      </w:r>
      <w:r w:rsidRPr="000B5681">
        <w:t xml:space="preserve"> </w:t>
      </w:r>
      <w:r w:rsidRPr="000B5681">
        <w:rPr>
          <w:rFonts w:hint="cs"/>
          <w:rtl/>
        </w:rPr>
        <w:t>מומחה</w:t>
      </w:r>
      <w:r w:rsidRPr="000B5681">
        <w:t xml:space="preserve"> </w:t>
      </w:r>
      <w:r w:rsidRPr="000B5681">
        <w:rPr>
          <w:rFonts w:hint="cs"/>
          <w:rtl/>
        </w:rPr>
        <w:t>אשר</w:t>
      </w:r>
      <w:r w:rsidRPr="000B5681">
        <w:t xml:space="preserve"> </w:t>
      </w:r>
      <w:r w:rsidRPr="000B5681">
        <w:rPr>
          <w:rFonts w:hint="cs"/>
          <w:rtl/>
        </w:rPr>
        <w:t>לא</w:t>
      </w:r>
      <w:r w:rsidRPr="000B5681">
        <w:t xml:space="preserve"> </w:t>
      </w:r>
      <w:r w:rsidRPr="000B5681">
        <w:rPr>
          <w:rFonts w:hint="cs"/>
          <w:rtl/>
        </w:rPr>
        <w:t>תצריך</w:t>
      </w:r>
      <w:r w:rsidRPr="000B5681">
        <w:t xml:space="preserve"> </w:t>
      </w:r>
      <w:r w:rsidRPr="000B5681">
        <w:rPr>
          <w:rFonts w:hint="cs"/>
          <w:rtl/>
        </w:rPr>
        <w:t>את</w:t>
      </w:r>
      <w:r w:rsidRPr="000B5681">
        <w:t xml:space="preserve"> </w:t>
      </w:r>
      <w:r w:rsidRPr="000B5681">
        <w:rPr>
          <w:rFonts w:hint="cs"/>
          <w:rtl/>
        </w:rPr>
        <w:t>הגעתו לשב</w:t>
      </w:r>
      <w:r w:rsidRPr="000B5681">
        <w:t>"</w:t>
      </w:r>
      <w:r w:rsidRPr="000B5681">
        <w:rPr>
          <w:rFonts w:hint="cs"/>
          <w:rtl/>
        </w:rPr>
        <w:t>ס, אלא תוכל</w:t>
      </w:r>
      <w:r w:rsidRPr="000B5681">
        <w:t xml:space="preserve"> </w:t>
      </w:r>
      <w:r w:rsidRPr="000B5681">
        <w:rPr>
          <w:rFonts w:hint="cs"/>
          <w:rtl/>
        </w:rPr>
        <w:t>להתבצע</w:t>
      </w:r>
      <w:r w:rsidRPr="000B5681">
        <w:t xml:space="preserve"> </w:t>
      </w:r>
      <w:r w:rsidRPr="000B5681">
        <w:rPr>
          <w:rFonts w:hint="cs"/>
          <w:rtl/>
        </w:rPr>
        <w:t>כשהוא בבית</w:t>
      </w:r>
      <w:r w:rsidRPr="000B5681">
        <w:t xml:space="preserve"> </w:t>
      </w:r>
      <w:r w:rsidRPr="000B5681">
        <w:rPr>
          <w:rFonts w:hint="cs"/>
          <w:rtl/>
        </w:rPr>
        <w:t xml:space="preserve">החולים. </w:t>
      </w:r>
    </w:p>
    <w:p w:rsidR="000B5681" w:rsidRPr="000B5681" w:rsidP="000B5681" w14:paraId="7950D3CE" w14:textId="77777777">
      <w:pPr>
        <w:pStyle w:val="7112"/>
        <w:ind w:left="424"/>
        <w:rPr>
          <w:rtl/>
        </w:rPr>
      </w:pPr>
      <w:r w:rsidRPr="000B5681">
        <w:rPr>
          <w:rStyle w:val="717Char0"/>
          <w:rFonts w:hint="cs"/>
          <w:rtl/>
        </w:rPr>
        <w:t>הכשרת אחראי מרפאה</w:t>
      </w:r>
      <w:r w:rsidRPr="000B5681">
        <w:rPr>
          <w:rFonts w:hint="cs"/>
          <w:rtl/>
        </w:rPr>
        <w:t xml:space="preserve"> - בדוח הקודם צוין</w:t>
      </w:r>
      <w:r w:rsidRPr="000B5681">
        <w:rPr>
          <w:rtl/>
        </w:rPr>
        <w:t xml:space="preserve"> כי האחראים למרפאות לא נדרשו לעבור, וממילא לא עברו, הכשרות או השתלמויות</w:t>
      </w:r>
      <w:r w:rsidRPr="000B5681">
        <w:rPr>
          <w:rFonts w:hint="cs"/>
          <w:rtl/>
        </w:rPr>
        <w:t xml:space="preserve"> </w:t>
      </w:r>
      <w:r w:rsidRPr="000B5681">
        <w:rPr>
          <w:rtl/>
        </w:rPr>
        <w:t>הקשורות לניהול בכלל, ולניהול מרפאות בפרט</w:t>
      </w:r>
      <w:r w:rsidRPr="000B5681">
        <w:rPr>
          <w:rFonts w:hint="cs"/>
          <w:rtl/>
        </w:rPr>
        <w:t>. בביקורת המעקב נמצא כי הליקוי תוקן, וכי מנהלי המרפאות נדרשים לעבור קורס מנהלי מרפאות ולהשתתף בהשתלמויות מדי שנה בשנה.</w:t>
      </w:r>
    </w:p>
    <w:p w:rsidR="00645C45" w:rsidRPr="000B5681" w:rsidP="000B5681" w14:paraId="53462C16" w14:textId="2CDA818B">
      <w:pPr>
        <w:pStyle w:val="7112"/>
        <w:ind w:left="424"/>
        <w:rPr>
          <w:rtl/>
        </w:rPr>
      </w:pPr>
      <w:r w:rsidRPr="000B5681">
        <w:rPr>
          <w:rStyle w:val="717Char0"/>
          <w:rFonts w:hint="eastAsia"/>
          <w:rtl/>
        </w:rPr>
        <w:t>רפואה</w:t>
      </w:r>
      <w:r w:rsidRPr="000B5681">
        <w:rPr>
          <w:rtl/>
        </w:rPr>
        <w:t xml:space="preserve"> </w:t>
      </w:r>
      <w:r w:rsidRPr="000B5681">
        <w:rPr>
          <w:rStyle w:val="717Char0"/>
          <w:rFonts w:hint="eastAsia"/>
          <w:rtl/>
        </w:rPr>
        <w:t>יועצת</w:t>
      </w:r>
      <w:r w:rsidRPr="000B5681">
        <w:rPr>
          <w:rFonts w:hint="cs"/>
          <w:rtl/>
        </w:rPr>
        <w:t xml:space="preserve"> - </w:t>
      </w:r>
      <w:r w:rsidRPr="000B5681">
        <w:rPr>
          <w:rtl/>
        </w:rPr>
        <w:t xml:space="preserve">בדוח הקודם נכתב כי </w:t>
      </w:r>
      <w:r w:rsidRPr="000B5681">
        <w:rPr>
          <w:rFonts w:hint="cs"/>
          <w:rtl/>
        </w:rPr>
        <w:t>אחת מ</w:t>
      </w:r>
      <w:r w:rsidRPr="000B5681">
        <w:rPr>
          <w:rtl/>
        </w:rPr>
        <w:t xml:space="preserve">מרפאות </w:t>
      </w:r>
      <w:r w:rsidRPr="000B5681">
        <w:rPr>
          <w:rFonts w:hint="cs"/>
          <w:rtl/>
        </w:rPr>
        <w:t>ה</w:t>
      </w:r>
      <w:r w:rsidRPr="000B5681">
        <w:rPr>
          <w:rtl/>
        </w:rPr>
        <w:t>מומחים</w:t>
      </w:r>
      <w:r w:rsidRPr="000B5681">
        <w:rPr>
          <w:rFonts w:hint="cs"/>
          <w:rtl/>
        </w:rPr>
        <w:t xml:space="preserve"> </w:t>
      </w:r>
      <w:r w:rsidRPr="000B5681">
        <w:rPr>
          <w:rtl/>
        </w:rPr>
        <w:t xml:space="preserve">הופעלה על ידי </w:t>
      </w:r>
      <w:r w:rsidRPr="000B5681">
        <w:rPr>
          <w:rFonts w:hint="cs"/>
          <w:rtl/>
        </w:rPr>
        <w:t>תאגיד בריאות</w:t>
      </w:r>
      <w:r w:rsidRPr="000B5681">
        <w:rPr>
          <w:rtl/>
        </w:rPr>
        <w:t xml:space="preserve"> באמצעות הסכם</w:t>
      </w:r>
      <w:r w:rsidRPr="000B5681">
        <w:rPr>
          <w:rFonts w:hint="cs"/>
          <w:rtl/>
        </w:rPr>
        <w:t xml:space="preserve"> התקשרות שלא התקיים לפניו הליך תחרותי פומבי ובלי שהוארך. בביקורת המעקב נמצא ששב</w:t>
      </w:r>
      <w:r w:rsidRPr="000B5681">
        <w:t>"</w:t>
      </w:r>
      <w:r w:rsidRPr="000B5681">
        <w:rPr>
          <w:rFonts w:hint="cs"/>
          <w:rtl/>
        </w:rPr>
        <w:t>ס התקשר</w:t>
      </w:r>
      <w:r w:rsidRPr="000B5681">
        <w:t xml:space="preserve"> </w:t>
      </w:r>
      <w:r w:rsidRPr="000B5681">
        <w:rPr>
          <w:rFonts w:hint="cs"/>
          <w:rtl/>
        </w:rPr>
        <w:t>עם ארבעה</w:t>
      </w:r>
      <w:r w:rsidRPr="000B5681">
        <w:t xml:space="preserve"> </w:t>
      </w:r>
      <w:r w:rsidRPr="000B5681">
        <w:rPr>
          <w:rFonts w:hint="cs"/>
          <w:rtl/>
        </w:rPr>
        <w:t>בתי</w:t>
      </w:r>
      <w:r w:rsidRPr="000B5681">
        <w:t xml:space="preserve"> </w:t>
      </w:r>
      <w:r w:rsidRPr="000B5681">
        <w:rPr>
          <w:rFonts w:hint="cs"/>
          <w:rtl/>
        </w:rPr>
        <w:t>חולים</w:t>
      </w:r>
      <w:r w:rsidRPr="000B5681">
        <w:t xml:space="preserve"> </w:t>
      </w:r>
      <w:r w:rsidRPr="000B5681">
        <w:rPr>
          <w:rFonts w:hint="cs"/>
          <w:rtl/>
        </w:rPr>
        <w:t>בהתקשרות</w:t>
      </w:r>
      <w:r w:rsidRPr="000B5681">
        <w:t xml:space="preserve"> </w:t>
      </w:r>
      <w:r w:rsidRPr="000B5681">
        <w:rPr>
          <w:rFonts w:hint="cs"/>
          <w:rtl/>
        </w:rPr>
        <w:t>ארוכת</w:t>
      </w:r>
      <w:r w:rsidRPr="000B5681">
        <w:t xml:space="preserve"> </w:t>
      </w:r>
      <w:r w:rsidRPr="000B5681">
        <w:rPr>
          <w:rFonts w:hint="cs"/>
          <w:rtl/>
        </w:rPr>
        <w:t>טווח</w:t>
      </w:r>
      <w:r w:rsidRPr="000B5681">
        <w:t xml:space="preserve"> </w:t>
      </w:r>
      <w:r w:rsidRPr="000B5681">
        <w:rPr>
          <w:rFonts w:hint="cs"/>
          <w:rtl/>
        </w:rPr>
        <w:t>לצורך</w:t>
      </w:r>
      <w:r w:rsidRPr="000B5681">
        <w:t xml:space="preserve"> </w:t>
      </w:r>
      <w:r w:rsidRPr="000B5681">
        <w:rPr>
          <w:rFonts w:hint="cs"/>
          <w:rtl/>
        </w:rPr>
        <w:t>מתן שירותי</w:t>
      </w:r>
      <w:r w:rsidRPr="000B5681">
        <w:t xml:space="preserve"> </w:t>
      </w:r>
      <w:r w:rsidRPr="000B5681">
        <w:rPr>
          <w:rFonts w:hint="cs"/>
          <w:rtl/>
        </w:rPr>
        <w:t>רפואת</w:t>
      </w:r>
      <w:r w:rsidRPr="000B5681">
        <w:t xml:space="preserve"> </w:t>
      </w:r>
      <w:r w:rsidRPr="000B5681">
        <w:rPr>
          <w:rFonts w:hint="cs"/>
          <w:rtl/>
        </w:rPr>
        <w:t>מומחים, לאחר</w:t>
      </w:r>
      <w:r w:rsidRPr="000B5681">
        <w:t xml:space="preserve"> </w:t>
      </w:r>
      <w:r w:rsidRPr="000B5681">
        <w:rPr>
          <w:rFonts w:hint="cs"/>
          <w:rtl/>
        </w:rPr>
        <w:t>הליך</w:t>
      </w:r>
      <w:r w:rsidRPr="000B5681">
        <w:t xml:space="preserve"> </w:t>
      </w:r>
      <w:r w:rsidRPr="000B5681">
        <w:rPr>
          <w:rFonts w:hint="cs"/>
          <w:rtl/>
        </w:rPr>
        <w:t>מכרזי</w:t>
      </w:r>
      <w:r w:rsidRPr="000B5681">
        <w:rPr>
          <w:rtl/>
        </w:rPr>
        <w:t xml:space="preserve">. </w:t>
      </w:r>
    </w:p>
    <w:p w:rsidR="00645C45" w:rsidP="00645C45" w14:paraId="04189B3B" w14:textId="77777777">
      <w:pPr>
        <w:rPr>
          <w:rFonts w:ascii="Tahoma" w:hAnsi="Tahoma" w:cs="Tahoma"/>
          <w:color w:val="0D0D0D" w:themeColor="text1" w:themeTint="F2"/>
          <w:sz w:val="18"/>
          <w:szCs w:val="18"/>
          <w:rtl/>
        </w:rPr>
      </w:pPr>
    </w:p>
    <w:p w:rsidR="00645C45" w:rsidP="00645C45" w14:paraId="286B31E9" w14:textId="77777777">
      <w:pPr>
        <w:rPr>
          <w:rFonts w:ascii="Tahoma" w:hAnsi="Tahoma" w:cs="Tahoma"/>
          <w:color w:val="0D0D0D" w:themeColor="text1" w:themeTint="F2"/>
          <w:sz w:val="18"/>
          <w:szCs w:val="18"/>
          <w:rtl/>
        </w:rPr>
      </w:pPr>
    </w:p>
    <w:p w:rsidR="00645C45" w:rsidRPr="00645C45" w:rsidP="00645C45" w14:paraId="3CC61AEA" w14:textId="3F07C707">
      <w:pPr>
        <w:rPr>
          <w:rtl/>
        </w:rPr>
        <w:sectPr w:rsidSect="00E01352">
          <w:footerReference w:type="even" r:id="rId21"/>
          <w:footerReference w:type="default" r:id="rId22"/>
          <w:headerReference w:type="first" r:id="rId23"/>
          <w:footerReference w:type="first" r:id="rId24"/>
          <w:pgSz w:w="11906" w:h="16838" w:code="9"/>
          <w:pgMar w:top="3062" w:right="2268" w:bottom="2552" w:left="2268" w:header="1134" w:footer="1361" w:gutter="0"/>
          <w:pgNumType w:start="1623"/>
          <w:cols w:space="708"/>
          <w:bidi/>
          <w:rtlGutter/>
          <w:docGrid w:linePitch="360"/>
        </w:sectPr>
      </w:pPr>
    </w:p>
    <w:p w:rsidR="003A3978" w:rsidRPr="003A3978" w:rsidP="001868AE" w14:paraId="5B460EE4" w14:textId="0038E621">
      <w:pPr>
        <w:pStyle w:val="7112"/>
      </w:pPr>
      <w:r w:rsidRPr="004232CF">
        <w:rPr>
          <w:noProof/>
        </w:rPr>
        <w:drawing>
          <wp:anchor distT="0" distB="3600450" distL="114300" distR="114300" simplePos="0" relativeHeight="251680768"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84741934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sidR="006659DD">
        <w:rPr>
          <w:rStyle w:val="21Char1"/>
          <w:noProof/>
          <w:rtl/>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678720" from="-9pt,0.5pt" to="363.75pt,0.5pt" strokecolor="black" strokeweight="2pt"/>
            </w:pict>
          </mc:Fallback>
        </mc:AlternateContent>
      </w:r>
      <w:r w:rsidRPr="004232CF" w:rsidR="007B571D">
        <w:rPr>
          <w:rStyle w:val="21Char1"/>
          <w:noProof/>
          <w:rtl/>
        </w:rPr>
        <mc:AlternateContent>
          <mc:Choice Requires="wps">
            <w:drawing>
              <wp:anchor distT="45720" distB="45720" distL="114300" distR="114300" simplePos="0" relativeHeight="251675648"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B22A1" w:rsidRPr="00A25467" w:rsidP="007B571D" w14:textId="4103E1B1">
                            <w:pPr>
                              <w:pStyle w:val="216"/>
                              <w:rPr>
                                <w:rtl/>
                              </w:rPr>
                            </w:pPr>
                            <w:r>
                              <w:rPr>
                                <w:rFonts w:hint="cs"/>
                                <w:rtl/>
                              </w:rPr>
                              <w:t>עיקרי המלצות הביקורת</w:t>
                            </w:r>
                          </w:p>
                          <w:p w:rsidR="00CB22A1" w:rsidP="007B571D"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CB22A1" w:rsidRPr="00A25467" w:rsidP="007B571D" w14:paraId="02FF5A58" w14:textId="4103E1B1">
                      <w:pPr>
                        <w:pStyle w:val="216"/>
                        <w:rPr>
                          <w:rtl/>
                        </w:rPr>
                      </w:pPr>
                      <w:r>
                        <w:rPr>
                          <w:rFonts w:hint="cs"/>
                          <w:rtl/>
                        </w:rPr>
                        <w:t>עיקרי המלצות הביקורת</w:t>
                      </w:r>
                    </w:p>
                    <w:p w:rsidR="00CB22A1" w:rsidP="007B571D" w14:paraId="19399FDD" w14:textId="77777777"/>
                  </w:txbxContent>
                </v:textbox>
                <w10:wrap type="square"/>
              </v:shape>
            </w:pict>
          </mc:Fallback>
        </mc:AlternateContent>
      </w:r>
      <w:r w:rsidRPr="007A0A2C" w:rsidR="000B5681">
        <w:rPr>
          <w:rFonts w:hint="cs"/>
          <w:rtl/>
        </w:rPr>
        <w:t xml:space="preserve">בשנת 2019 </w:t>
      </w:r>
      <w:r w:rsidRPr="007A0A2C" w:rsidR="000B5681">
        <w:rPr>
          <w:rtl/>
        </w:rPr>
        <w:t>העביר שב"ס לממונה על השכר במשרד האוצר ת</w:t>
      </w:r>
      <w:r w:rsidRPr="007A0A2C" w:rsidR="000B5681">
        <w:rPr>
          <w:rFonts w:hint="cs"/>
          <w:rtl/>
        </w:rPr>
        <w:t>ו</w:t>
      </w:r>
      <w:r w:rsidRPr="007A0A2C" w:rsidR="000B5681">
        <w:rPr>
          <w:rtl/>
        </w:rPr>
        <w:t>כנית להכשרה ו</w:t>
      </w:r>
      <w:r w:rsidRPr="007A0A2C" w:rsidR="000B5681">
        <w:rPr>
          <w:rFonts w:hint="cs"/>
          <w:rtl/>
        </w:rPr>
        <w:t xml:space="preserve">לעידוד </w:t>
      </w:r>
      <w:r w:rsidRPr="007A0A2C" w:rsidR="000B5681">
        <w:rPr>
          <w:rtl/>
        </w:rPr>
        <w:t>גיוס של מומחים ברפואת משפחה</w:t>
      </w:r>
      <w:r w:rsidRPr="007A0A2C" w:rsidR="000B5681">
        <w:rPr>
          <w:rFonts w:hint="cs"/>
          <w:rtl/>
        </w:rPr>
        <w:t xml:space="preserve"> לשב"ס</w:t>
      </w:r>
      <w:r w:rsidRPr="007A0A2C" w:rsidR="000B5681">
        <w:rPr>
          <w:rtl/>
        </w:rPr>
        <w:t xml:space="preserve">. </w:t>
      </w:r>
      <w:r w:rsidRPr="007A0A2C" w:rsidR="000B5681">
        <w:rPr>
          <w:rFonts w:hint="cs"/>
          <w:rtl/>
        </w:rPr>
        <w:t>נוכח מציאות שבה 40 מ-43 הרופאים המועסקים במרפאות שבמתקני הכליאה הם רופאים שאינם מומחים, ומאחר שמחצית רופאי שב"</w:t>
      </w:r>
      <w:r w:rsidRPr="007A0A2C" w:rsidR="000B5681">
        <w:rPr>
          <w:rFonts w:hint="eastAsia"/>
          <w:rtl/>
        </w:rPr>
        <w:t>ס</w:t>
      </w:r>
      <w:r w:rsidRPr="007A0A2C" w:rsidR="000B5681">
        <w:rPr>
          <w:rtl/>
        </w:rPr>
        <w:t xml:space="preserve"> עברו את גיל הפרישה</w:t>
      </w:r>
      <w:r w:rsidRPr="007A0A2C" w:rsidR="000B5681">
        <w:rPr>
          <w:rFonts w:hint="cs"/>
          <w:rtl/>
        </w:rPr>
        <w:t xml:space="preserve"> הנהוג בשב"ס (57) -</w:t>
      </w:r>
      <w:r w:rsidRPr="007A0A2C" w:rsidR="000B5681">
        <w:rPr>
          <w:rtl/>
        </w:rPr>
        <w:t xml:space="preserve"> מוצע ש</w:t>
      </w:r>
      <w:r w:rsidRPr="007A0A2C" w:rsidR="000B5681">
        <w:rPr>
          <w:rFonts w:hint="cs"/>
          <w:rtl/>
        </w:rPr>
        <w:t xml:space="preserve">הממונה על השכר </w:t>
      </w:r>
      <w:r w:rsidRPr="007A0A2C" w:rsidR="000B5681">
        <w:rPr>
          <w:rtl/>
        </w:rPr>
        <w:t>ישלים את בחינת הת</w:t>
      </w:r>
      <w:r w:rsidRPr="007A0A2C" w:rsidR="000B5681">
        <w:rPr>
          <w:rFonts w:hint="cs"/>
          <w:rtl/>
        </w:rPr>
        <w:t>ו</w:t>
      </w:r>
      <w:r w:rsidRPr="007A0A2C" w:rsidR="000B5681">
        <w:rPr>
          <w:rtl/>
        </w:rPr>
        <w:t xml:space="preserve">כנית האמורה </w:t>
      </w:r>
      <w:r w:rsidRPr="007A0A2C" w:rsidR="000B5681">
        <w:rPr>
          <w:rFonts w:hint="cs"/>
          <w:rtl/>
        </w:rPr>
        <w:t>כדי ל</w:t>
      </w:r>
      <w:r w:rsidRPr="007A0A2C" w:rsidR="000B5681">
        <w:rPr>
          <w:rtl/>
        </w:rPr>
        <w:t>סייע לשב"ס לגייס רופאים מומחים לשורותיו</w:t>
      </w:r>
      <w:r w:rsidRPr="003A3978" w:rsidR="003A3978">
        <w:rPr>
          <w:rtl/>
        </w:rPr>
        <w:t>.</w:t>
      </w:r>
    </w:p>
    <w:p w:rsidR="0083723D" w:rsidRPr="003A3978" w:rsidP="001868AE" w14:paraId="524E991B" w14:textId="0C9BFB8A">
      <w:pPr>
        <w:pStyle w:val="7112"/>
      </w:pPr>
      <w:r w:rsidRPr="004232CF">
        <w:rPr>
          <w:noProof/>
        </w:rPr>
        <w:drawing>
          <wp:anchor distT="0" distB="3600450" distL="114300" distR="114300" simplePos="0" relativeHeight="25167974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89772457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sidR="000B5681">
        <w:rPr>
          <w:rFonts w:hint="cs"/>
          <w:rtl/>
        </w:rPr>
        <w:t>מומלץ כי שב"ס יסיים את עבודת המטה משנת 2020 בנושא המענה לאוכלוסיית הקשישים ויגבש תוכנית מותאמת לשינוי שחל בהרכב אוכלוסיית האסירים, בגיל האסירים ובמצבם הרפואי. כן מומלץ לבחון את התאמתם של מתקני הכליאה ומתקני הרפואה לאוכלוסייה זו, ולקבוע את תנאי המאסר של אוכלוסייה זו ואת</w:t>
      </w:r>
      <w:r w:rsidRPr="007A0A2C" w:rsidR="000B5681">
        <w:rPr>
          <w:rtl/>
        </w:rPr>
        <w:t xml:space="preserve"> דרכי הטיפול</w:t>
      </w:r>
      <w:r w:rsidRPr="007A0A2C" w:rsidR="000B5681">
        <w:rPr>
          <w:rFonts w:hint="cs"/>
          <w:rtl/>
        </w:rPr>
        <w:t xml:space="preserve"> בה בהתאם לכך</w:t>
      </w:r>
      <w:r w:rsidRPr="003A3978" w:rsidR="003A3978">
        <w:rPr>
          <w:rtl/>
        </w:rPr>
        <w:t>.</w:t>
      </w:r>
      <w:r w:rsidRPr="003A3978">
        <w:rPr>
          <w:rFonts w:hint="cs"/>
          <w:rtl/>
        </w:rPr>
        <w:t xml:space="preserve"> </w:t>
      </w:r>
    </w:p>
    <w:p w:rsidR="00351AD0" w:rsidRPr="00003EBB" w:rsidP="001868AE" w14:paraId="13AF705A" w14:textId="54112DB7">
      <w:pPr>
        <w:pStyle w:val="7112"/>
        <w:rPr>
          <w:rtl/>
        </w:rPr>
      </w:pPr>
      <w:r w:rsidRPr="004232CF">
        <w:rPr>
          <w:noProof/>
        </w:rPr>
        <w:drawing>
          <wp:anchor distT="0" distB="3600450" distL="114300" distR="114300" simplePos="0" relativeHeight="25168179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28771018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sidR="002D2D9D">
        <w:rPr>
          <w:rFonts w:hint="cs"/>
          <w:rtl/>
        </w:rPr>
        <w:t>על שב"ס להכשיר סוהרים נוספים שישמשו חובשי עתודה בהתאם לנהלים התקפים ולהסדיר את הצבתם במשמרת במרפאה לפחות פעם בחודש. כמו כן, מוצע ל</w:t>
      </w:r>
      <w:r w:rsidRPr="007A0A2C" w:rsidR="002D2D9D">
        <w:rPr>
          <w:rFonts w:hint="eastAsia"/>
          <w:rtl/>
        </w:rPr>
        <w:t>שב</w:t>
      </w:r>
      <w:r w:rsidRPr="007A0A2C" w:rsidR="002D2D9D">
        <w:rPr>
          <w:rtl/>
        </w:rPr>
        <w:t xml:space="preserve">"ס </w:t>
      </w:r>
      <w:r w:rsidRPr="007A0A2C" w:rsidR="002D2D9D">
        <w:rPr>
          <w:rFonts w:hint="cs"/>
          <w:rtl/>
        </w:rPr>
        <w:t xml:space="preserve">לתקף </w:t>
      </w:r>
      <w:r w:rsidRPr="007A0A2C" w:rsidR="002D2D9D">
        <w:rPr>
          <w:rtl/>
        </w:rPr>
        <w:t>את הנוהל בנושא</w:t>
      </w:r>
      <w:r w:rsidRPr="007A0A2C" w:rsidR="002D2D9D">
        <w:rPr>
          <w:rFonts w:hint="cs"/>
          <w:rtl/>
        </w:rPr>
        <w:t>,</w:t>
      </w:r>
      <w:r w:rsidRPr="007A0A2C" w:rsidR="002D2D9D">
        <w:rPr>
          <w:rtl/>
        </w:rPr>
        <w:t xml:space="preserve"> ובכלל זה </w:t>
      </w:r>
      <w:r w:rsidRPr="007A0A2C" w:rsidR="002D2D9D">
        <w:rPr>
          <w:rFonts w:hint="cs"/>
          <w:rtl/>
        </w:rPr>
        <w:t>בנוגע</w:t>
      </w:r>
      <w:r w:rsidRPr="007A0A2C" w:rsidR="002D2D9D">
        <w:rPr>
          <w:rtl/>
        </w:rPr>
        <w:t xml:space="preserve"> </w:t>
      </w:r>
      <w:r w:rsidRPr="007A0A2C" w:rsidR="002D2D9D">
        <w:rPr>
          <w:rFonts w:hint="cs"/>
          <w:rtl/>
        </w:rPr>
        <w:t>ל</w:t>
      </w:r>
      <w:r w:rsidRPr="007A0A2C" w:rsidR="002D2D9D">
        <w:rPr>
          <w:rtl/>
        </w:rPr>
        <w:t>תקינת חובשי העתודה</w:t>
      </w:r>
      <w:r w:rsidRPr="00003EBB" w:rsidR="00003EBB">
        <w:rPr>
          <w:rtl/>
        </w:rPr>
        <w:t>.</w:t>
      </w:r>
    </w:p>
    <w:p w:rsidR="00003EBB" w:rsidRPr="00577C64" w:rsidP="001868AE" w14:paraId="1F9FE37C" w14:textId="3A3925EC">
      <w:pPr>
        <w:pStyle w:val="7112"/>
      </w:pPr>
      <w:r w:rsidRPr="004232CF">
        <w:rPr>
          <w:noProof/>
        </w:rPr>
        <w:drawing>
          <wp:anchor distT="0" distB="3600450" distL="114300" distR="114300" simplePos="0" relativeHeight="25168281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92330127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sidR="002D2D9D">
        <w:rPr>
          <w:rFonts w:hint="cs"/>
          <w:rtl/>
        </w:rPr>
        <w:t xml:space="preserve">מומלץ כי </w:t>
      </w:r>
      <w:r w:rsidRPr="007A0A2C" w:rsidR="002D2D9D">
        <w:rPr>
          <w:rtl/>
        </w:rPr>
        <w:t>משרד הבריאות</w:t>
      </w:r>
      <w:r w:rsidRPr="007A0A2C" w:rsidR="002D2D9D">
        <w:rPr>
          <w:rFonts w:hint="cs"/>
          <w:rtl/>
        </w:rPr>
        <w:t>,</w:t>
      </w:r>
      <w:r w:rsidRPr="007A0A2C" w:rsidR="002D2D9D">
        <w:rPr>
          <w:rtl/>
        </w:rPr>
        <w:t xml:space="preserve"> בשיתוף שב"ס</w:t>
      </w:r>
      <w:r w:rsidRPr="007A0A2C" w:rsidR="002D2D9D">
        <w:rPr>
          <w:rFonts w:hint="cs"/>
          <w:rtl/>
        </w:rPr>
        <w:t>,</w:t>
      </w:r>
      <w:r w:rsidRPr="007A0A2C" w:rsidR="002D2D9D">
        <w:rPr>
          <w:rtl/>
        </w:rPr>
        <w:t xml:space="preserve"> </w:t>
      </w:r>
      <w:r w:rsidRPr="007A0A2C" w:rsidR="002D2D9D">
        <w:rPr>
          <w:rFonts w:hint="cs"/>
          <w:rtl/>
        </w:rPr>
        <w:t xml:space="preserve">יפעל </w:t>
      </w:r>
      <w:r w:rsidRPr="007A0A2C" w:rsidR="002D2D9D">
        <w:rPr>
          <w:rtl/>
        </w:rPr>
        <w:t xml:space="preserve">למפות את מספר הנשים ובני הנוער הכלואים שנזקקו לאשפוז פסיכיאטרי בשנים האחרונות, ולאור מידע זה </w:t>
      </w:r>
      <w:r w:rsidRPr="007A0A2C" w:rsidR="002D2D9D">
        <w:rPr>
          <w:rFonts w:hint="cs"/>
          <w:rtl/>
        </w:rPr>
        <w:t>י</w:t>
      </w:r>
      <w:r w:rsidRPr="007A0A2C" w:rsidR="002D2D9D">
        <w:rPr>
          <w:rtl/>
        </w:rPr>
        <w:t>בחן מהי חלופת האשפוז המיטבית אשר</w:t>
      </w:r>
      <w:r w:rsidRPr="007A0A2C" w:rsidR="002D2D9D">
        <w:rPr>
          <w:rFonts w:hint="cs"/>
          <w:rtl/>
        </w:rPr>
        <w:t xml:space="preserve"> </w:t>
      </w:r>
      <w:r w:rsidRPr="007A0A2C" w:rsidR="002D2D9D">
        <w:rPr>
          <w:rtl/>
        </w:rPr>
        <w:t>תיתן מענה לצורכיהם הייחודיים של אוכלוסיות אלו</w:t>
      </w:r>
      <w:r w:rsidR="00577C64">
        <w:rPr>
          <w:rFonts w:hint="cs"/>
          <w:rtl/>
        </w:rPr>
        <w:t>.</w:t>
      </w:r>
    </w:p>
    <w:p w:rsidR="00003EBB" w:rsidRPr="003C4222" w:rsidP="003C4222" w14:paraId="3F10CC9C" w14:textId="2F6C8200">
      <w:pPr>
        <w:pStyle w:val="7112"/>
      </w:pPr>
      <w:r w:rsidRPr="003C4222">
        <w:rPr>
          <w:noProof/>
        </w:rPr>
        <w:drawing>
          <wp:anchor distT="0" distB="3600450" distL="114300" distR="114300" simplePos="0" relativeHeight="251683840"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 xmlns:a="http://schemas.openxmlformats.org/drawingml/2006/main">
              <a:graphicData uri="http://schemas.openxmlformats.org/drawingml/2006/picture">
                <pic:pic xmlns:pic="http://schemas.openxmlformats.org/drawingml/2006/picture">
                  <pic:nvPicPr>
                    <pic:cNvPr id="121502919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sidR="002D2D9D">
        <w:rPr>
          <w:rFonts w:hint="cs"/>
          <w:rtl/>
        </w:rPr>
        <w:t xml:space="preserve">מומלץ כי משרדי הבריאות </w:t>
      </w:r>
      <w:r w:rsidRPr="007A0A2C" w:rsidR="002D2D9D">
        <w:rPr>
          <w:rFonts w:hint="cs"/>
          <w:rtl/>
        </w:rPr>
        <w:t>והבט"פ</w:t>
      </w:r>
      <w:r w:rsidRPr="007A0A2C" w:rsidR="002D2D9D">
        <w:rPr>
          <w:rFonts w:hint="cs"/>
          <w:rtl/>
        </w:rPr>
        <w:t>, בשיתוף שב"ס, ישלימו את עבודת המטה לבחינת החלופות בנוגע להסתכלות רופא פסיכיאטר על עצורים, תוך שמירה על איזון בין הצרכים הרפואיים לבין דרישות הביטחון המחויבות, ויפעלו ליישום החלופה שהם יבחרו בה</w:t>
      </w:r>
      <w:r w:rsidRPr="003C4222">
        <w:rPr>
          <w:rtl/>
        </w:rPr>
        <w:t>.</w:t>
      </w:r>
    </w:p>
    <w:p w:rsidR="00577C64" w:rsidRPr="003C4222" w:rsidP="003C4222" w14:paraId="408E8A6A" w14:textId="131E08E2">
      <w:pPr>
        <w:pStyle w:val="7112"/>
        <w:rPr>
          <w:rtl/>
        </w:rPr>
      </w:pPr>
      <w:r w:rsidRPr="003C4222">
        <w:rPr>
          <w:noProof/>
        </w:rPr>
        <w:drawing>
          <wp:anchor distT="0" distB="3600450" distL="114300" distR="114300" simplePos="0" relativeHeight="25168486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 xmlns:a="http://schemas.openxmlformats.org/drawingml/2006/main">
              <a:graphicData uri="http://schemas.openxmlformats.org/drawingml/2006/picture">
                <pic:pic xmlns:pic="http://schemas.openxmlformats.org/drawingml/2006/picture">
                  <pic:nvPicPr>
                    <pic:cNvPr id="154035300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sidR="002D2D9D">
        <w:rPr>
          <w:rFonts w:hint="cs"/>
          <w:rtl/>
        </w:rPr>
        <w:t xml:space="preserve">מוצע כי </w:t>
      </w:r>
      <w:r w:rsidRPr="007A0A2C" w:rsidR="002D2D9D">
        <w:rPr>
          <w:rtl/>
        </w:rPr>
        <w:t xml:space="preserve">שב"ס </w:t>
      </w:r>
      <w:r w:rsidRPr="007A0A2C" w:rsidR="002D2D9D">
        <w:rPr>
          <w:rFonts w:hint="cs"/>
          <w:rtl/>
        </w:rPr>
        <w:t>יבחן פיתוח מ</w:t>
      </w:r>
      <w:r w:rsidR="00C63D73">
        <w:rPr>
          <w:rFonts w:hint="cs"/>
          <w:rtl/>
        </w:rPr>
        <w:t>ִ</w:t>
      </w:r>
      <w:r w:rsidRPr="007A0A2C" w:rsidR="002D2D9D">
        <w:rPr>
          <w:rFonts w:hint="cs"/>
          <w:rtl/>
        </w:rPr>
        <w:t xml:space="preserve">חשובי שיאפשר בדיקה ממוכנת אוטומטית של סטטוס הכלוא לעניין מימון ההוצאות הרפואיות של </w:t>
      </w:r>
      <w:r w:rsidRPr="007A0A2C" w:rsidR="002D2D9D">
        <w:rPr>
          <w:rtl/>
        </w:rPr>
        <w:t>עצורים ואסירים המוחזקים ב</w:t>
      </w:r>
      <w:r w:rsidRPr="007A0A2C" w:rsidR="002D2D9D">
        <w:rPr>
          <w:rFonts w:hint="cs"/>
          <w:rtl/>
        </w:rPr>
        <w:t xml:space="preserve">בתי הכלא של </w:t>
      </w:r>
      <w:r w:rsidRPr="007A0A2C" w:rsidR="002D2D9D">
        <w:rPr>
          <w:rtl/>
        </w:rPr>
        <w:t>שב"ס לתקופה קצרה</w:t>
      </w:r>
      <w:r w:rsidRPr="007A0A2C" w:rsidR="002D2D9D">
        <w:rPr>
          <w:rFonts w:hint="cs"/>
          <w:rtl/>
        </w:rPr>
        <w:t xml:space="preserve"> יותר</w:t>
      </w:r>
      <w:r w:rsidRPr="007A0A2C" w:rsidR="002D2D9D">
        <w:rPr>
          <w:rtl/>
        </w:rPr>
        <w:t xml:space="preserve"> משנה אחת</w:t>
      </w:r>
      <w:r w:rsidRPr="007A0A2C" w:rsidR="002D2D9D">
        <w:rPr>
          <w:rFonts w:hint="cs"/>
          <w:rtl/>
        </w:rPr>
        <w:t xml:space="preserve">, וייתן חיווי על כך עם הזנת החשבונית שהתקבלה ממוסד רפואי למערכת. עוד </w:t>
      </w:r>
      <w:r w:rsidRPr="007A0A2C" w:rsidR="002D2D9D">
        <w:rPr>
          <w:rtl/>
        </w:rPr>
        <w:t xml:space="preserve">מוצע </w:t>
      </w:r>
      <w:r w:rsidRPr="007A0A2C" w:rsidR="002D2D9D">
        <w:rPr>
          <w:rFonts w:hint="cs"/>
          <w:rtl/>
        </w:rPr>
        <w:t xml:space="preserve">לשב"ס ולמוסד לביטוח לאומי להשלים את </w:t>
      </w:r>
      <w:r w:rsidRPr="007A0A2C" w:rsidR="002D2D9D">
        <w:rPr>
          <w:rtl/>
        </w:rPr>
        <w:t xml:space="preserve">יצירת </w:t>
      </w:r>
      <w:r w:rsidRPr="007A0A2C" w:rsidR="002D2D9D">
        <w:rPr>
          <w:rFonts w:hint="cs"/>
          <w:rtl/>
        </w:rPr>
        <w:t>ה</w:t>
      </w:r>
      <w:r w:rsidRPr="007A0A2C" w:rsidR="002D2D9D">
        <w:rPr>
          <w:rtl/>
        </w:rPr>
        <w:t xml:space="preserve">ממשק </w:t>
      </w:r>
      <w:r w:rsidRPr="007A0A2C" w:rsidR="002D2D9D">
        <w:rPr>
          <w:rFonts w:hint="cs"/>
          <w:rtl/>
        </w:rPr>
        <w:t>המ</w:t>
      </w:r>
      <w:r w:rsidRPr="007A0A2C" w:rsidR="002D2D9D">
        <w:rPr>
          <w:rtl/>
        </w:rPr>
        <w:t>מוחשב</w:t>
      </w:r>
      <w:r w:rsidRPr="007A0A2C" w:rsidR="002D2D9D">
        <w:rPr>
          <w:rFonts w:hint="cs"/>
          <w:rtl/>
        </w:rPr>
        <w:t xml:space="preserve"> המשודרג </w:t>
      </w:r>
      <w:r w:rsidRPr="007A0A2C" w:rsidR="002D2D9D">
        <w:rPr>
          <w:rtl/>
        </w:rPr>
        <w:t>להעברת נתונים על כלואים המוחזקים על ידי שב"ס</w:t>
      </w:r>
      <w:r w:rsidRPr="007A0A2C" w:rsidR="002D2D9D">
        <w:rPr>
          <w:rFonts w:hint="cs"/>
          <w:rtl/>
        </w:rPr>
        <w:t xml:space="preserve">, בהתאם להסכם שנחתם בין הצדדים במאי 2021. שדרוג הממשק </w:t>
      </w:r>
      <w:r w:rsidRPr="007A0A2C" w:rsidR="002D2D9D">
        <w:rPr>
          <w:rFonts w:hint="eastAsia"/>
          <w:rtl/>
        </w:rPr>
        <w:t>עשוי</w:t>
      </w:r>
      <w:r w:rsidRPr="007A0A2C" w:rsidR="002D2D9D">
        <w:rPr>
          <w:rtl/>
        </w:rPr>
        <w:t xml:space="preserve"> </w:t>
      </w:r>
      <w:r w:rsidRPr="007A0A2C" w:rsidR="002D2D9D">
        <w:rPr>
          <w:rFonts w:hint="eastAsia"/>
          <w:rtl/>
        </w:rPr>
        <w:t>לדייק</w:t>
      </w:r>
      <w:r w:rsidRPr="007A0A2C" w:rsidR="002D2D9D">
        <w:rPr>
          <w:rtl/>
        </w:rPr>
        <w:t xml:space="preserve"> </w:t>
      </w:r>
      <w:r w:rsidRPr="007A0A2C" w:rsidR="002D2D9D">
        <w:rPr>
          <w:rFonts w:hint="eastAsia"/>
          <w:rtl/>
        </w:rPr>
        <w:t>את</w:t>
      </w:r>
      <w:r w:rsidRPr="007A0A2C" w:rsidR="002D2D9D">
        <w:rPr>
          <w:rtl/>
        </w:rPr>
        <w:t xml:space="preserve"> </w:t>
      </w:r>
      <w:r w:rsidRPr="007A0A2C" w:rsidR="002D2D9D">
        <w:rPr>
          <w:rFonts w:hint="eastAsia"/>
          <w:rtl/>
        </w:rPr>
        <w:t>המידע</w:t>
      </w:r>
      <w:r w:rsidRPr="007A0A2C" w:rsidR="002D2D9D">
        <w:rPr>
          <w:rtl/>
        </w:rPr>
        <w:t xml:space="preserve"> </w:t>
      </w:r>
      <w:r w:rsidRPr="007A0A2C" w:rsidR="002D2D9D">
        <w:rPr>
          <w:rFonts w:hint="eastAsia"/>
          <w:rtl/>
        </w:rPr>
        <w:t>המועבר</w:t>
      </w:r>
      <w:r w:rsidRPr="007A0A2C" w:rsidR="002D2D9D">
        <w:rPr>
          <w:rtl/>
        </w:rPr>
        <w:t xml:space="preserve"> </w:t>
      </w:r>
      <w:r w:rsidRPr="007A0A2C" w:rsidR="002D2D9D">
        <w:rPr>
          <w:rFonts w:hint="eastAsia"/>
          <w:rtl/>
        </w:rPr>
        <w:t>בין</w:t>
      </w:r>
      <w:r w:rsidRPr="007A0A2C" w:rsidR="002D2D9D">
        <w:rPr>
          <w:rtl/>
        </w:rPr>
        <w:t xml:space="preserve"> </w:t>
      </w:r>
      <w:r w:rsidRPr="007A0A2C" w:rsidR="002D2D9D">
        <w:rPr>
          <w:rFonts w:hint="eastAsia"/>
          <w:rtl/>
        </w:rPr>
        <w:t>הגופים</w:t>
      </w:r>
      <w:r w:rsidRPr="007A0A2C" w:rsidR="002D2D9D">
        <w:rPr>
          <w:rtl/>
        </w:rPr>
        <w:t xml:space="preserve"> </w:t>
      </w:r>
      <w:r w:rsidRPr="007A0A2C" w:rsidR="002D2D9D">
        <w:rPr>
          <w:rFonts w:hint="eastAsia"/>
          <w:rtl/>
        </w:rPr>
        <w:t>ולמנוע</w:t>
      </w:r>
      <w:r w:rsidRPr="007A0A2C" w:rsidR="002D2D9D">
        <w:rPr>
          <w:rtl/>
        </w:rPr>
        <w:t xml:space="preserve"> </w:t>
      </w:r>
      <w:r w:rsidRPr="007A0A2C" w:rsidR="002D2D9D">
        <w:rPr>
          <w:rFonts w:hint="eastAsia"/>
          <w:rtl/>
        </w:rPr>
        <w:t>רישומים</w:t>
      </w:r>
      <w:r w:rsidRPr="007A0A2C" w:rsidR="002D2D9D">
        <w:rPr>
          <w:rtl/>
        </w:rPr>
        <w:t xml:space="preserve"> </w:t>
      </w:r>
      <w:r w:rsidRPr="007A0A2C" w:rsidR="002D2D9D">
        <w:rPr>
          <w:rFonts w:hint="eastAsia"/>
          <w:rtl/>
        </w:rPr>
        <w:t>שגויים</w:t>
      </w:r>
      <w:r w:rsidRPr="003C4222">
        <w:rPr>
          <w:rFonts w:hint="cs"/>
          <w:rtl/>
        </w:rPr>
        <w:t>.</w:t>
      </w:r>
    </w:p>
    <w:p w:rsidR="002D2D9D" w:rsidRPr="003C4222" w:rsidP="002D2D9D" w14:paraId="15BA4D10" w14:textId="48EABB8A">
      <w:pPr>
        <w:pStyle w:val="7112"/>
      </w:pPr>
      <w:r w:rsidRPr="003C4222">
        <w:rPr>
          <w:noProof/>
        </w:rPr>
        <w:drawing>
          <wp:anchor distT="0" distB="3600450" distL="114300" distR="114300" simplePos="0" relativeHeight="251724800"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58624770" name="תמונה 33"/>
            <wp:cNvGraphicFramePr/>
            <a:graphic xmlns:a="http://schemas.openxmlformats.org/drawingml/2006/main">
              <a:graphicData uri="http://schemas.openxmlformats.org/drawingml/2006/picture">
                <pic:pic xmlns:pic="http://schemas.openxmlformats.org/drawingml/2006/picture">
                  <pic:nvPicPr>
                    <pic:cNvPr id="127936101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2C">
        <w:rPr>
          <w:rFonts w:hint="eastAsia"/>
          <w:rtl/>
        </w:rPr>
        <w:t>על</w:t>
      </w:r>
      <w:r w:rsidRPr="007A0A2C">
        <w:rPr>
          <w:rtl/>
        </w:rPr>
        <w:t xml:space="preserve"> שב"ס לפעול להכנת ת</w:t>
      </w:r>
      <w:r w:rsidRPr="007A0A2C">
        <w:rPr>
          <w:rFonts w:hint="cs"/>
          <w:rtl/>
        </w:rPr>
        <w:t>ו</w:t>
      </w:r>
      <w:r w:rsidRPr="007A0A2C">
        <w:rPr>
          <w:rtl/>
        </w:rPr>
        <w:t>כנית סדורה לשיפוץ מבני המרפאות</w:t>
      </w:r>
      <w:r w:rsidRPr="007A0A2C">
        <w:rPr>
          <w:rFonts w:hint="cs"/>
          <w:rtl/>
        </w:rPr>
        <w:t>,</w:t>
      </w:r>
      <w:r w:rsidRPr="007A0A2C">
        <w:rPr>
          <w:rtl/>
        </w:rPr>
        <w:t xml:space="preserve"> </w:t>
      </w:r>
      <w:r w:rsidRPr="007A0A2C">
        <w:rPr>
          <w:rFonts w:hint="cs"/>
          <w:rtl/>
        </w:rPr>
        <w:t xml:space="preserve">כדי שיהיה ניתן לספק בהם טיפול רפואי בתנאים פיזיים וסניטריים הולמים, וכן לדאוג </w:t>
      </w:r>
      <w:r w:rsidRPr="007A0A2C">
        <w:rPr>
          <w:rFonts w:hint="cs"/>
          <w:rtl/>
        </w:rPr>
        <w:t>להנגשתם</w:t>
      </w:r>
      <w:r w:rsidRPr="007A0A2C">
        <w:rPr>
          <w:rFonts w:hint="cs"/>
          <w:rtl/>
        </w:rPr>
        <w:t xml:space="preserve"> לאנשים עם מוגבלות </w:t>
      </w:r>
      <w:r w:rsidRPr="007A0A2C">
        <w:rPr>
          <w:rtl/>
        </w:rPr>
        <w:t>בהתאם לחוק</w:t>
      </w:r>
      <w:r w:rsidRPr="007A0A2C">
        <w:rPr>
          <w:rFonts w:hint="cs"/>
          <w:rtl/>
        </w:rPr>
        <w:t xml:space="preserve"> הנגישות</w:t>
      </w:r>
      <w:r w:rsidRPr="003C4222">
        <w:rPr>
          <w:rtl/>
        </w:rPr>
        <w:t>.</w:t>
      </w:r>
    </w:p>
    <w:p w:rsidR="002D2D9D" w:rsidRPr="002D2D9D" w:rsidP="00644F86" w14:paraId="26ED2D32" w14:textId="220B1154">
      <w:pPr>
        <w:spacing w:line="360" w:lineRule="auto"/>
        <w:rPr>
          <w:szCs w:val="20"/>
          <w:rtl/>
        </w:rPr>
        <w:sectPr w:rsidSect="00F619AB">
          <w:headerReference w:type="even" r:id="rId26"/>
          <w:headerReference w:type="default" r:id="rId27"/>
          <w:pgSz w:w="11906" w:h="16838" w:code="9"/>
          <w:pgMar w:top="3062" w:right="2268" w:bottom="2552" w:left="2268" w:header="1134" w:footer="1361" w:gutter="0"/>
          <w:cols w:space="708"/>
          <w:bidi/>
          <w:rtlGutter/>
          <w:docGrid w:linePitch="360"/>
        </w:sectPr>
      </w:pPr>
    </w:p>
    <w:p w:rsidR="003C4222" w14:paraId="7892D351" w14:textId="77777777">
      <w:pPr>
        <w:bidi w:val="0"/>
        <w:spacing w:after="200" w:line="276" w:lineRule="auto"/>
        <w:rPr>
          <w:szCs w:val="20"/>
          <w:rtl/>
        </w:rPr>
      </w:pPr>
      <w:r>
        <w:rPr>
          <w:szCs w:val="20"/>
          <w:rtl/>
        </w:rPr>
        <w:br w:type="page"/>
      </w:r>
    </w:p>
    <w:p w:rsidR="00C63D73" w:rsidP="00C63D73" w14:paraId="66164243" w14:textId="77777777">
      <w:pPr>
        <w:bidi w:val="0"/>
        <w:spacing w:line="276" w:lineRule="auto"/>
        <w:jc w:val="center"/>
        <w:rPr>
          <w:szCs w:val="20"/>
          <w:rtl/>
        </w:rPr>
      </w:pPr>
      <w:r>
        <w:rPr>
          <w:noProof/>
          <w:rtl/>
          <w:lang w:val="he-IL"/>
        </w:rPr>
        <mc:AlternateContent>
          <mc:Choice Requires="wpg">
            <w:drawing>
              <wp:anchor distT="0" distB="0" distL="114300" distR="114300" simplePos="0" relativeHeight="251687936" behindDoc="0" locked="0" layoutInCell="1" allowOverlap="1">
                <wp:simplePos x="0" y="0"/>
                <wp:positionH relativeFrom="margin">
                  <wp:posOffset>-64770</wp:posOffset>
                </wp:positionH>
                <wp:positionV relativeFrom="paragraph">
                  <wp:posOffset>0</wp:posOffset>
                </wp:positionV>
                <wp:extent cx="4848860" cy="661670"/>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48860" cy="661670"/>
                          <a:chOff x="0" y="108021"/>
                          <a:chExt cx="4787900" cy="662380"/>
                        </a:xfrm>
                      </wpg:grpSpPr>
                      <pic:pic xmlns:pic="http://schemas.openxmlformats.org/drawingml/2006/picture">
                        <pic:nvPicPr>
                          <pic:cNvPr id="23" name="Picture 23"/>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662380"/>
                          </a:xfrm>
                          <a:prstGeom prst="rect">
                            <a:avLst/>
                          </a:prstGeom>
                        </pic:spPr>
                      </pic:pic>
                      <wps:wsp xmlns:wps="http://schemas.microsoft.com/office/word/2010/wordprocessingShape">
                        <wps:cNvPr id="36" name="Text Box 2"/>
                        <wps:cNvSpPr txBox="1">
                          <a:spLocks noChangeArrowheads="1"/>
                        </wps:cNvSpPr>
                        <wps:spPr bwMode="auto">
                          <a:xfrm>
                            <a:off x="276225" y="230893"/>
                            <a:ext cx="4428490" cy="316800"/>
                          </a:xfrm>
                          <a:prstGeom prst="rect">
                            <a:avLst/>
                          </a:prstGeom>
                          <a:solidFill>
                            <a:srgbClr val="F05260"/>
                          </a:solidFill>
                          <a:ln w="9525">
                            <a:noFill/>
                            <a:miter lim="800000"/>
                            <a:headEnd/>
                            <a:tailEnd/>
                          </a:ln>
                        </wps:spPr>
                        <wps:txbx>
                          <w:txbxContent>
                            <w:p w:rsidR="002D2D9D" w:rsidRPr="00231C18" w:rsidP="002D2D9D" w14:textId="77777777">
                              <w:pPr>
                                <w:pStyle w:val="7126"/>
                                <w:spacing w:before="0"/>
                                <w:rPr>
                                  <w:b w:val="0"/>
                                  <w:bCs/>
                                </w:rPr>
                              </w:pPr>
                              <w:r w:rsidRPr="00231C18">
                                <w:rPr>
                                  <w:rFonts w:hint="cs"/>
                                  <w:b w:val="0"/>
                                  <w:bCs/>
                                  <w:rtl/>
                                </w:rPr>
                                <w:t>מידת תיקון עיקרי הליקויים שעלו בדוח הקודם</w:t>
                              </w:r>
                              <w:r w:rsidRPr="00231C18">
                                <w:rPr>
                                  <w:b w:val="0"/>
                                  <w:bCs/>
                                  <w:rtl/>
                                </w:rPr>
                                <w:t xml:space="preserve">  </w:t>
                              </w:r>
                            </w:p>
                            <w:p w:rsidR="00CB22A1" w:rsidRPr="002D2D9D" w:rsidP="00361AA2" w14:textId="435248F4">
                              <w:pPr>
                                <w:pStyle w:val="7126"/>
                                <w:spacing w:before="0"/>
                                <w:rPr>
                                  <w:b w:val="0"/>
                                  <w:bCs/>
                                </w:rPr>
                              </w:pP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9" style="width:381.8pt;height:52.1pt;margin-top:0;margin-left:-5.1pt;mso-height-relative:margin;mso-position-horizontal-relative:margin;mso-width-relative:margin;position:absolute;z-index:251688960" coordorigin="0,1080" coordsize="47879,6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6624;mso-wrap-style:square;position:absolute;top:1080;visibility:visible">
                  <v:imagedata r:id="rId29" o:title=""/>
                </v:shape>
                <v:shape id="_x0000_s1051" type="#_x0000_t202" style="width:44285;height:3168;left:2762;mso-wrap-style:square;position:absolute;top:2308;visibility:visible;v-text-anchor:middle" fillcolor="#f05260" stroked="f">
                  <v:textbox>
                    <w:txbxContent>
                      <w:p w:rsidR="002D2D9D" w:rsidRPr="00231C18" w:rsidP="002D2D9D" w14:paraId="46C591BB" w14:textId="77777777">
                        <w:pPr>
                          <w:pStyle w:val="7126"/>
                          <w:spacing w:before="0"/>
                          <w:rPr>
                            <w:b w:val="0"/>
                            <w:bCs/>
                          </w:rPr>
                        </w:pPr>
                        <w:r w:rsidRPr="00231C18">
                          <w:rPr>
                            <w:rFonts w:hint="cs"/>
                            <w:b w:val="0"/>
                            <w:bCs/>
                            <w:rtl/>
                          </w:rPr>
                          <w:t>מידת תיקון עיקרי הליקויים שעלו בדוח הקודם</w:t>
                        </w:r>
                        <w:r w:rsidRPr="00231C18">
                          <w:rPr>
                            <w:b w:val="0"/>
                            <w:bCs/>
                            <w:rtl/>
                          </w:rPr>
                          <w:t xml:space="preserve">  </w:t>
                        </w:r>
                      </w:p>
                      <w:p w:rsidR="00CB22A1" w:rsidRPr="002D2D9D" w:rsidP="00361AA2" w14:paraId="7C0CF9BB" w14:textId="435248F4">
                        <w:pPr>
                          <w:pStyle w:val="7126"/>
                          <w:spacing w:before="0"/>
                          <w:rPr>
                            <w:b w:val="0"/>
                            <w:bCs/>
                          </w:rPr>
                        </w:pPr>
                      </w:p>
                    </w:txbxContent>
                  </v:textbox>
                </v:shape>
                <w10:wrap type="square"/>
              </v:group>
            </w:pict>
          </mc:Fallback>
        </mc:AlternateContent>
      </w:r>
    </w:p>
    <w:tbl>
      <w:tblPr>
        <w:tblStyle w:val="TableGrid"/>
        <w:bidiVisual/>
        <w:tblW w:w="5056" w:type="pct"/>
        <w:tblBorders>
          <w:top w:val="none" w:sz="0" w:space="0" w:color="auto"/>
          <w:bottom w:val="none" w:sz="0" w:space="0" w:color="auto"/>
          <w:insideH w:val="none" w:sz="0" w:space="0" w:color="auto"/>
        </w:tblBorders>
        <w:tblLook w:val="04A0"/>
      </w:tblPr>
      <w:tblGrid>
        <w:gridCol w:w="1463"/>
        <w:gridCol w:w="3118"/>
        <w:gridCol w:w="644"/>
        <w:gridCol w:w="758"/>
        <w:gridCol w:w="733"/>
        <w:gridCol w:w="726"/>
      </w:tblGrid>
      <w:tr w14:paraId="30CC86C4" w14:textId="77777777" w:rsidTr="00C63D73">
        <w:tblPrEx>
          <w:tblW w:w="5056" w:type="pct"/>
          <w:tblBorders>
            <w:top w:val="none" w:sz="0" w:space="0" w:color="auto"/>
            <w:bottom w:val="none" w:sz="0" w:space="0" w:color="auto"/>
            <w:insideH w:val="none" w:sz="0" w:space="0" w:color="auto"/>
          </w:tblBorders>
          <w:tblLook w:val="04A0"/>
        </w:tblPrEx>
        <w:trPr>
          <w:cantSplit/>
          <w:tblHeader/>
        </w:trPr>
        <w:tc>
          <w:tcPr>
            <w:tcW w:w="5000" w:type="pct"/>
            <w:gridSpan w:val="6"/>
            <w:shd w:val="clear" w:color="auto" w:fill="2683C6"/>
            <w:vAlign w:val="bottom"/>
          </w:tcPr>
          <w:p w:rsidR="00C63D73" w:rsidRPr="00C63D73" w:rsidP="001E5452" w14:paraId="2E5FEB24" w14:textId="0A854AA4">
            <w:pPr>
              <w:pStyle w:val="71B"/>
              <w:jc w:val="center"/>
              <w:rPr>
                <w:color w:val="FFFFFF" w:themeColor="background1"/>
                <w:rtl/>
              </w:rPr>
            </w:pPr>
            <w:r w:rsidRPr="00C63D73">
              <w:rPr>
                <w:color w:val="FFFFFF" w:themeColor="background1"/>
                <w:rtl/>
              </w:rPr>
              <w:t>המערך הרפואי לטיפול בכלואים בשירות בתי הסוהר - עיקרי ממצאי ביקורת המעקב</w:t>
            </w:r>
          </w:p>
        </w:tc>
      </w:tr>
      <w:tr w14:paraId="1A9E0A2B" w14:textId="77777777" w:rsidTr="001E5452">
        <w:tblPrEx>
          <w:tblW w:w="5056" w:type="pct"/>
          <w:tblLook w:val="04A0"/>
        </w:tblPrEx>
        <w:trPr>
          <w:cantSplit/>
          <w:tblHeader/>
        </w:trPr>
        <w:tc>
          <w:tcPr>
            <w:tcW w:w="983" w:type="pct"/>
            <w:vMerge w:val="restart"/>
            <w:shd w:val="clear" w:color="auto" w:fill="C7DCE4"/>
            <w:vAlign w:val="bottom"/>
          </w:tcPr>
          <w:p w:rsidR="00C63D73" w:rsidRPr="00AF4515" w:rsidP="001E5452" w14:paraId="7EF8FE9F" w14:textId="77777777">
            <w:pPr>
              <w:pStyle w:val="71B"/>
              <w:rPr>
                <w:rtl/>
              </w:rPr>
            </w:pPr>
            <w:r w:rsidRPr="00AF4515">
              <w:rPr>
                <w:rtl/>
              </w:rPr>
              <w:t>פרק הביקורת</w:t>
            </w:r>
          </w:p>
        </w:tc>
        <w:tc>
          <w:tcPr>
            <w:tcW w:w="2095" w:type="pct"/>
            <w:vMerge w:val="restart"/>
            <w:shd w:val="clear" w:color="auto" w:fill="C7DCE4"/>
            <w:vAlign w:val="bottom"/>
          </w:tcPr>
          <w:p w:rsidR="00C63D73" w:rsidRPr="00AF4515" w:rsidP="001E5452" w14:paraId="314D0463" w14:textId="77777777">
            <w:pPr>
              <w:pStyle w:val="71B"/>
              <w:rPr>
                <w:rtl/>
              </w:rPr>
            </w:pPr>
            <w:r w:rsidRPr="00AF4515">
              <w:rPr>
                <w:rtl/>
              </w:rPr>
              <w:t>הליקוי בדוח הביקורת הקודם</w:t>
            </w:r>
          </w:p>
        </w:tc>
        <w:tc>
          <w:tcPr>
            <w:tcW w:w="1922" w:type="pct"/>
            <w:gridSpan w:val="4"/>
            <w:shd w:val="clear" w:color="auto" w:fill="C7DCE4"/>
            <w:vAlign w:val="center"/>
          </w:tcPr>
          <w:p w:rsidR="00C63D73" w:rsidRPr="00AF4515" w:rsidP="001E5452" w14:paraId="72AE0FB8" w14:textId="77777777">
            <w:pPr>
              <w:pStyle w:val="71B"/>
              <w:jc w:val="center"/>
              <w:rPr>
                <w:rtl/>
              </w:rPr>
            </w:pPr>
            <w:r w:rsidRPr="00AF4515">
              <w:rPr>
                <w:rtl/>
              </w:rPr>
              <w:t>מידת תיקון הליקוי</w:t>
            </w:r>
          </w:p>
        </w:tc>
      </w:tr>
      <w:tr w14:paraId="554C0778" w14:textId="77777777" w:rsidTr="001E5452">
        <w:tblPrEx>
          <w:tblW w:w="5056" w:type="pct"/>
          <w:tblLook w:val="04A0"/>
        </w:tblPrEx>
        <w:trPr>
          <w:cantSplit/>
          <w:tblHeader/>
        </w:trPr>
        <w:tc>
          <w:tcPr>
            <w:tcW w:w="983" w:type="pct"/>
            <w:vMerge/>
            <w:shd w:val="clear" w:color="auto" w:fill="C7DCE4"/>
            <w:vAlign w:val="bottom"/>
          </w:tcPr>
          <w:p w:rsidR="00C63D73" w:rsidRPr="00AF4515" w:rsidP="001E5452" w14:paraId="3BF8E512" w14:textId="77777777">
            <w:pPr>
              <w:pStyle w:val="71B"/>
              <w:rPr>
                <w:rtl/>
              </w:rPr>
            </w:pPr>
          </w:p>
        </w:tc>
        <w:tc>
          <w:tcPr>
            <w:tcW w:w="2095" w:type="pct"/>
            <w:vMerge/>
            <w:shd w:val="clear" w:color="auto" w:fill="C7DCE4"/>
            <w:vAlign w:val="bottom"/>
          </w:tcPr>
          <w:p w:rsidR="00C63D73" w:rsidRPr="00AF4515" w:rsidP="001E5452" w14:paraId="5678A806" w14:textId="77777777">
            <w:pPr>
              <w:pStyle w:val="71B"/>
              <w:rPr>
                <w:rtl/>
              </w:rPr>
            </w:pPr>
          </w:p>
        </w:tc>
        <w:tc>
          <w:tcPr>
            <w:tcW w:w="433" w:type="pct"/>
            <w:shd w:val="clear" w:color="auto" w:fill="FF0100"/>
            <w:vAlign w:val="bottom"/>
          </w:tcPr>
          <w:p w:rsidR="00C63D73" w:rsidRPr="00AF4515" w:rsidP="001E5452" w14:paraId="6DD2C8C4" w14:textId="77777777">
            <w:pPr>
              <w:pStyle w:val="71B"/>
              <w:spacing w:line="240" w:lineRule="auto"/>
              <w:rPr>
                <w:rtl/>
              </w:rPr>
            </w:pPr>
            <w:r w:rsidRPr="00AF4515">
              <w:rPr>
                <w:color w:val="FFFFFF" w:themeColor="background1"/>
                <w:rtl/>
              </w:rPr>
              <w:t>לא תוקן</w:t>
            </w:r>
          </w:p>
        </w:tc>
        <w:tc>
          <w:tcPr>
            <w:tcW w:w="509" w:type="pct"/>
            <w:shd w:val="clear" w:color="auto" w:fill="FFC000"/>
            <w:vAlign w:val="bottom"/>
          </w:tcPr>
          <w:p w:rsidR="00C63D73" w:rsidRPr="00AF4515" w:rsidP="001E5452" w14:paraId="4A6CF832" w14:textId="77777777">
            <w:pPr>
              <w:pStyle w:val="71B"/>
              <w:spacing w:line="240" w:lineRule="auto"/>
              <w:rPr>
                <w:rtl/>
              </w:rPr>
            </w:pPr>
            <w:r w:rsidRPr="00AF4515">
              <w:rPr>
                <w:rtl/>
              </w:rPr>
              <w:t>תוקן במידה מועטה</w:t>
            </w:r>
            <w:r>
              <w:rPr>
                <w:rFonts w:hint="cs"/>
                <w:rtl/>
              </w:rPr>
              <w:t xml:space="preserve"> או חלקית</w:t>
            </w:r>
          </w:p>
        </w:tc>
        <w:tc>
          <w:tcPr>
            <w:tcW w:w="492" w:type="pct"/>
            <w:shd w:val="clear" w:color="auto" w:fill="FFFF00"/>
            <w:vAlign w:val="bottom"/>
          </w:tcPr>
          <w:p w:rsidR="00C63D73" w:rsidRPr="00AF4515" w:rsidP="001E5452" w14:paraId="517A6CB5" w14:textId="77777777">
            <w:pPr>
              <w:pStyle w:val="71B"/>
              <w:spacing w:line="240" w:lineRule="auto"/>
              <w:rPr>
                <w:rtl/>
              </w:rPr>
            </w:pPr>
            <w:r w:rsidRPr="00AF4515">
              <w:rPr>
                <w:rtl/>
              </w:rPr>
              <w:t>תוקן במידה רבה</w:t>
            </w:r>
          </w:p>
        </w:tc>
        <w:tc>
          <w:tcPr>
            <w:tcW w:w="488" w:type="pct"/>
            <w:shd w:val="clear" w:color="auto" w:fill="92D150"/>
            <w:vAlign w:val="bottom"/>
          </w:tcPr>
          <w:p w:rsidR="00C63D73" w:rsidRPr="00AF4515" w:rsidP="001E5452" w14:paraId="60A92DB9" w14:textId="77777777">
            <w:pPr>
              <w:pStyle w:val="71B"/>
              <w:spacing w:line="240" w:lineRule="auto"/>
              <w:rPr>
                <w:rtl/>
              </w:rPr>
            </w:pPr>
            <w:r w:rsidRPr="00AF4515">
              <w:rPr>
                <w:rtl/>
              </w:rPr>
              <w:t>תוקן באופן מלא</w:t>
            </w:r>
          </w:p>
        </w:tc>
      </w:tr>
      <w:tr w14:paraId="096B7840" w14:textId="77777777" w:rsidTr="001E5452">
        <w:tblPrEx>
          <w:tblW w:w="5056" w:type="pct"/>
          <w:tblLook w:val="04A0"/>
        </w:tblPrEx>
        <w:trPr>
          <w:cantSplit/>
        </w:trPr>
        <w:tc>
          <w:tcPr>
            <w:tcW w:w="983" w:type="pct"/>
            <w:shd w:val="clear" w:color="auto" w:fill="DCE9EE"/>
          </w:tcPr>
          <w:p w:rsidR="00C63D73" w:rsidRPr="0046538F" w:rsidP="001E5452" w14:paraId="60C76AB2" w14:textId="52C71991">
            <w:pPr>
              <w:pStyle w:val="71R"/>
              <w:spacing w:line="276" w:lineRule="auto"/>
              <w:rPr>
                <w:sz w:val="15"/>
                <w:szCs w:val="15"/>
                <w:rtl/>
              </w:rPr>
            </w:pPr>
            <w:r w:rsidRPr="00C63D73">
              <w:rPr>
                <w:rtl/>
              </w:rPr>
              <w:t>ועדות לבחינת המערך הרפואי</w:t>
            </w:r>
          </w:p>
        </w:tc>
        <w:tc>
          <w:tcPr>
            <w:tcW w:w="2095" w:type="pct"/>
            <w:shd w:val="clear" w:color="auto" w:fill="DCE9EE"/>
            <w:vAlign w:val="center"/>
          </w:tcPr>
          <w:p w:rsidR="00C63D73" w:rsidRPr="0046538F" w:rsidP="001E5452" w14:paraId="5D552247" w14:textId="24949079">
            <w:pPr>
              <w:pStyle w:val="71R"/>
              <w:spacing w:line="276" w:lineRule="auto"/>
              <w:rPr>
                <w:sz w:val="15"/>
                <w:szCs w:val="15"/>
                <w:rtl/>
              </w:rPr>
            </w:pPr>
            <w:r w:rsidRPr="00C63D73">
              <w:rPr>
                <w:rtl/>
              </w:rPr>
              <w:t>אי-יישום מסקנות ועדות קודמות שעסקו במערך הרפואה ואי-ביצוע רפורמה</w:t>
            </w:r>
          </w:p>
        </w:tc>
        <w:tc>
          <w:tcPr>
            <w:tcW w:w="433" w:type="pct"/>
            <w:shd w:val="clear" w:color="auto" w:fill="DCE9EE"/>
          </w:tcPr>
          <w:p w:rsidR="00C63D73" w:rsidRPr="00CF4A5C" w:rsidP="001E5452" w14:paraId="2610E20D" w14:textId="6F893E1A">
            <w:pPr>
              <w:pStyle w:val="71R"/>
              <w:rPr>
                <w:rtl/>
              </w:rPr>
            </w:pPr>
          </w:p>
        </w:tc>
        <w:tc>
          <w:tcPr>
            <w:tcW w:w="509" w:type="pct"/>
            <w:shd w:val="clear" w:color="auto" w:fill="DCE9EE"/>
          </w:tcPr>
          <w:p w:rsidR="00C63D73" w:rsidRPr="00CF4A5C" w:rsidP="001E5452" w14:paraId="70BCC18B" w14:textId="45AD1B68">
            <w:pPr>
              <w:pStyle w:val="71R"/>
              <w:rPr>
                <w:rtl/>
              </w:rPr>
            </w:pPr>
          </w:p>
        </w:tc>
        <w:tc>
          <w:tcPr>
            <w:tcW w:w="492" w:type="pct"/>
            <w:shd w:val="clear" w:color="auto" w:fill="DCE9EE"/>
          </w:tcPr>
          <w:p w:rsidR="00C63D73" w:rsidRPr="00CF4A5C" w:rsidP="001E5452" w14:paraId="1459F3E0" w14:textId="128C22FF">
            <w:pPr>
              <w:pStyle w:val="71R"/>
              <w:rPr>
                <w:rtl/>
              </w:rPr>
            </w:pPr>
            <w:r w:rsidRPr="00C0561C">
              <w:rPr>
                <w:noProof/>
                <w:rtl/>
              </w:rPr>
              <mc:AlternateContent>
                <mc:Choice Requires="wps">
                  <w:drawing>
                    <wp:anchor distT="0" distB="0" distL="114300" distR="114300" simplePos="0" relativeHeight="251745280" behindDoc="0" locked="0" layoutInCell="1" allowOverlap="1">
                      <wp:simplePos x="0" y="0"/>
                      <wp:positionH relativeFrom="column">
                        <wp:posOffset>-504825</wp:posOffset>
                      </wp:positionH>
                      <wp:positionV relativeFrom="paragraph">
                        <wp:posOffset>4447540</wp:posOffset>
                      </wp:positionV>
                      <wp:extent cx="1774190" cy="240030"/>
                      <wp:effectExtent l="12700" t="12700" r="16510" b="13970"/>
                      <wp:wrapNone/>
                      <wp:docPr id="765912921" name="חץ שמאלה 765912921"/>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40030"/>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765912921" o:spid="_x0000_s1052" type="#_x0000_t66" style="width:139.7pt;height:18.9pt;margin-top:350.2pt;margin-left:-39.75pt;mso-height-percent:0;mso-height-relative:margin;mso-width-percent:0;mso-width-relative:margin;mso-wrap-distance-bottom:0;mso-wrap-distance-left:9pt;mso-wrap-distance-right:9pt;mso-wrap-distance-top:0;mso-wrap-style:square;position:absolute;visibility:visible;v-text-anchor:middle;z-index:251746304" adj="1461" fillcolor="#92d250" strokecolor="#92d250" strokeweight="2pt"/>
                  </w:pict>
                </mc:Fallback>
              </mc:AlternateContent>
            </w:r>
            <w:r w:rsidRPr="00C0561C">
              <w:rPr>
                <w:noProof/>
                <w:rtl/>
              </w:rPr>
              <mc:AlternateContent>
                <mc:Choice Requires="wps">
                  <w:drawing>
                    <wp:anchor distT="0" distB="0" distL="114300" distR="114300" simplePos="0" relativeHeight="251743232" behindDoc="0" locked="0" layoutInCell="1" allowOverlap="1">
                      <wp:simplePos x="0" y="0"/>
                      <wp:positionH relativeFrom="column">
                        <wp:posOffset>897890</wp:posOffset>
                      </wp:positionH>
                      <wp:positionV relativeFrom="paragraph">
                        <wp:posOffset>3947795</wp:posOffset>
                      </wp:positionV>
                      <wp:extent cx="371475" cy="215900"/>
                      <wp:effectExtent l="12700" t="12700" r="9525" b="12700"/>
                      <wp:wrapNone/>
                      <wp:docPr id="765912920" name="חץ שמאלה 76591292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21590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20" o:spid="_x0000_s1053" type="#_x0000_t66" style="width:29.25pt;height:17pt;margin-top:310.85pt;margin-left:70.7pt;mso-height-percent:0;mso-height-relative:margin;mso-width-percent:0;mso-width-relative:margin;mso-wrap-distance-bottom:0;mso-wrap-distance-left:9pt;mso-wrap-distance-right:9pt;mso-wrap-distance-top:0;mso-wrap-style:square;position:absolute;visibility:visible;v-text-anchor:middle;z-index:251744256" adj="6277" fillcolor="red" strokecolor="red" strokeweight="2pt"/>
                  </w:pict>
                </mc:Fallback>
              </mc:AlternateContent>
            </w:r>
            <w:r w:rsidRPr="00C0561C">
              <w:rPr>
                <w:noProof/>
                <w:rtl/>
              </w:rPr>
              <mc:AlternateContent>
                <mc:Choice Requires="wps">
                  <w:drawing>
                    <wp:anchor distT="0" distB="0" distL="114300" distR="114300" simplePos="0" relativeHeight="251730944" behindDoc="0" locked="0" layoutInCell="1" allowOverlap="1">
                      <wp:simplePos x="0" y="0"/>
                      <wp:positionH relativeFrom="column">
                        <wp:posOffset>-44450</wp:posOffset>
                      </wp:positionH>
                      <wp:positionV relativeFrom="paragraph">
                        <wp:posOffset>3483610</wp:posOffset>
                      </wp:positionV>
                      <wp:extent cx="1313815" cy="240030"/>
                      <wp:effectExtent l="12700" t="12700" r="6985" b="13970"/>
                      <wp:wrapNone/>
                      <wp:docPr id="765912914" name="חץ שמאלה 765912914"/>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4" o:spid="_x0000_s1054" type="#_x0000_t66" style="width:103.45pt;height:18.9pt;margin-top:274.3pt;margin-left:-3.5pt;mso-height-percent:0;mso-height-relative:margin;mso-width-percent:0;mso-width-relative:margin;mso-wrap-distance-bottom:0;mso-wrap-distance-left:9pt;mso-wrap-distance-right:9pt;mso-wrap-distance-top:0;mso-wrap-style:square;position:absolute;visibility:visible;v-text-anchor:middle;z-index:251731968" adj="1973" fillcolor="yellow" strokecolor="yellow" strokeweight="2pt"/>
                  </w:pict>
                </mc:Fallback>
              </mc:AlternateContent>
            </w:r>
            <w:r w:rsidRPr="00C0561C">
              <w:rPr>
                <w:noProof/>
                <w:rtl/>
              </w:rPr>
              <mc:AlternateContent>
                <mc:Choice Requires="wps">
                  <w:drawing>
                    <wp:anchor distT="0" distB="0" distL="114300" distR="114300" simplePos="0" relativeHeight="251739136" behindDoc="0" locked="0" layoutInCell="1" allowOverlap="1">
                      <wp:simplePos x="0" y="0"/>
                      <wp:positionH relativeFrom="column">
                        <wp:posOffset>897890</wp:posOffset>
                      </wp:positionH>
                      <wp:positionV relativeFrom="paragraph">
                        <wp:posOffset>3068320</wp:posOffset>
                      </wp:positionV>
                      <wp:extent cx="371475" cy="215900"/>
                      <wp:effectExtent l="12700" t="12700" r="9525" b="12700"/>
                      <wp:wrapNone/>
                      <wp:docPr id="24785155" name="חץ שמאלה 24785155"/>
                      <wp:cNvGraphicFramePr/>
                      <a:graphic xmlns:a="http://schemas.openxmlformats.org/drawingml/2006/main">
                        <a:graphicData uri="http://schemas.microsoft.com/office/word/2010/wordprocessingShape">
                          <wps:wsp xmlns:wps="http://schemas.microsoft.com/office/word/2010/wordprocessingShape">
                            <wps:cNvSpPr/>
                            <wps:spPr>
                              <a:xfrm>
                                <a:off x="0" y="0"/>
                                <a:ext cx="371475" cy="21590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5" o:spid="_x0000_s1055" type="#_x0000_t66" style="width:29.25pt;height:17pt;margin-top:241.6pt;margin-left:70.7pt;mso-height-percent:0;mso-height-relative:margin;mso-width-percent:0;mso-width-relative:margin;mso-wrap-distance-bottom:0;mso-wrap-distance-left:9pt;mso-wrap-distance-right:9pt;mso-wrap-distance-top:0;mso-wrap-style:square;position:absolute;visibility:visible;v-text-anchor:middle;z-index:251740160" adj="6277" fillcolor="red" strokecolor="red" strokeweight="2pt"/>
                  </w:pict>
                </mc:Fallback>
              </mc:AlternateContent>
            </w:r>
            <w:r w:rsidRPr="00C0561C">
              <w:rPr>
                <w:noProof/>
                <w:rtl/>
              </w:rPr>
              <mc:AlternateContent>
                <mc:Choice Requires="wps">
                  <w:drawing>
                    <wp:anchor distT="0" distB="0" distL="114300" distR="114300" simplePos="0" relativeHeight="251726848" behindDoc="0" locked="0" layoutInCell="1" allowOverlap="1">
                      <wp:simplePos x="0" y="0"/>
                      <wp:positionH relativeFrom="column">
                        <wp:posOffset>-504825</wp:posOffset>
                      </wp:positionH>
                      <wp:positionV relativeFrom="paragraph">
                        <wp:posOffset>2196465</wp:posOffset>
                      </wp:positionV>
                      <wp:extent cx="1774190" cy="240030"/>
                      <wp:effectExtent l="12700" t="12700" r="16510" b="13970"/>
                      <wp:wrapNone/>
                      <wp:docPr id="24785159" name="חץ שמאלה 24785159"/>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40030"/>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9" o:spid="_x0000_s1056" type="#_x0000_t66" style="width:139.7pt;height:18.9pt;margin-top:172.95pt;margin-left:-39.75pt;mso-height-percent:0;mso-height-relative:margin;mso-width-percent:0;mso-width-relative:margin;mso-wrap-distance-bottom:0;mso-wrap-distance-left:9pt;mso-wrap-distance-right:9pt;mso-wrap-distance-top:0;mso-wrap-style:square;position:absolute;visibility:visible;v-text-anchor:middle;z-index:251727872" adj="1461" fillcolor="#92d250" strokecolor="#92d250" strokeweight="2pt"/>
                  </w:pict>
                </mc:Fallback>
              </mc:AlternateContent>
            </w:r>
            <w:r w:rsidRPr="00C0561C">
              <w:rPr>
                <w:noProof/>
                <w:rtl/>
              </w:rPr>
              <mc:AlternateContent>
                <mc:Choice Requires="wps">
                  <w:drawing>
                    <wp:anchor distT="0" distB="0" distL="114300" distR="114300" simplePos="0" relativeHeight="251728896" behindDoc="0" locked="0" layoutInCell="1" allowOverlap="1">
                      <wp:simplePos x="0" y="0"/>
                      <wp:positionH relativeFrom="column">
                        <wp:posOffset>-44450</wp:posOffset>
                      </wp:positionH>
                      <wp:positionV relativeFrom="paragraph">
                        <wp:posOffset>1711325</wp:posOffset>
                      </wp:positionV>
                      <wp:extent cx="1313815" cy="240030"/>
                      <wp:effectExtent l="12700" t="12700" r="6985" b="13970"/>
                      <wp:wrapNone/>
                      <wp:docPr id="765912913" name="חץ שמאלה 765912913"/>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3" o:spid="_x0000_s1057" type="#_x0000_t66" style="width:103.45pt;height:18.9pt;margin-top:134.75pt;margin-left:-3.5pt;mso-height-percent:0;mso-height-relative:margin;mso-width-percent:0;mso-width-relative:margin;mso-wrap-distance-bottom:0;mso-wrap-distance-left:9pt;mso-wrap-distance-right:9pt;mso-wrap-distance-top:0;mso-wrap-style:square;position:absolute;visibility:visible;v-text-anchor:middle;z-index:251729920" adj="1973" fillcolor="yellow" strokecolor="yellow" strokeweight="2pt"/>
                  </w:pict>
                </mc:Fallback>
              </mc:AlternateContent>
            </w:r>
            <w:r w:rsidRPr="00C0561C">
              <w:rPr>
                <w:noProof/>
                <w:rtl/>
              </w:rPr>
              <mc:AlternateContent>
                <mc:Choice Requires="wps">
                  <w:drawing>
                    <wp:anchor distT="0" distB="0" distL="114300" distR="114300" simplePos="0" relativeHeight="251735040" behindDoc="0" locked="0" layoutInCell="1" allowOverlap="1">
                      <wp:simplePos x="0" y="0"/>
                      <wp:positionH relativeFrom="column">
                        <wp:posOffset>416560</wp:posOffset>
                      </wp:positionH>
                      <wp:positionV relativeFrom="paragraph">
                        <wp:posOffset>1169670</wp:posOffset>
                      </wp:positionV>
                      <wp:extent cx="852805" cy="240030"/>
                      <wp:effectExtent l="12700" t="12700" r="10795" b="13970"/>
                      <wp:wrapNone/>
                      <wp:docPr id="24785166" name="חץ שמאלה 24785166"/>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4003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6" o:spid="_x0000_s1058" type="#_x0000_t66" style="width:67.15pt;height:18.9pt;margin-top:92.1pt;margin-left:32.8pt;mso-height-percent:0;mso-height-relative:margin;mso-width-percent:0;mso-width-relative:margin;mso-wrap-distance-bottom:0;mso-wrap-distance-left:9pt;mso-wrap-distance-right:9pt;mso-wrap-distance-top:0;mso-wrap-style:square;position:absolute;visibility:visible;v-text-anchor:middle;z-index:251736064" adj="3040" fillcolor="#ffc000" strokecolor="#ffc000" strokeweight="2pt"/>
                  </w:pict>
                </mc:Fallback>
              </mc:AlternateContent>
            </w:r>
            <w:r w:rsidRPr="00C0561C">
              <w:rPr>
                <w:noProof/>
                <w:rtl/>
              </w:rPr>
              <mc:AlternateContent>
                <mc:Choice Requires="wps">
                  <w:drawing>
                    <wp:anchor distT="0" distB="0" distL="114300" distR="114300" simplePos="0" relativeHeight="251741184" behindDoc="0" locked="0" layoutInCell="1" allowOverlap="1">
                      <wp:simplePos x="0" y="0"/>
                      <wp:positionH relativeFrom="column">
                        <wp:posOffset>-44450</wp:posOffset>
                      </wp:positionH>
                      <wp:positionV relativeFrom="paragraph">
                        <wp:posOffset>635000</wp:posOffset>
                      </wp:positionV>
                      <wp:extent cx="1313815" cy="240030"/>
                      <wp:effectExtent l="12700" t="12700" r="6985" b="13970"/>
                      <wp:wrapNone/>
                      <wp:docPr id="765912919" name="חץ שמאלה 765912919"/>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9" o:spid="_x0000_s1059" type="#_x0000_t66" style="width:103.45pt;height:18.9pt;margin-top:50pt;margin-left:-3.5pt;mso-height-percent:0;mso-height-relative:margin;mso-width-percent:0;mso-width-relative:margin;mso-wrap-distance-bottom:0;mso-wrap-distance-left:9pt;mso-wrap-distance-right:9pt;mso-wrap-distance-top:0;mso-wrap-style:square;position:absolute;visibility:visible;v-text-anchor:middle;z-index:251742208" adj="1973" fillcolor="yellow" strokecolor="yellow" strokeweight="2pt"/>
                  </w:pict>
                </mc:Fallback>
              </mc:AlternateContent>
            </w:r>
            <w:r w:rsidRPr="00C0561C">
              <w:rPr>
                <w:noProof/>
                <w:rtl/>
              </w:rPr>
              <mc:AlternateContent>
                <mc:Choice Requires="wps">
                  <w:drawing>
                    <wp:anchor distT="0" distB="0" distL="114300" distR="114300" simplePos="0" relativeHeight="251732992" behindDoc="0" locked="0" layoutInCell="1" allowOverlap="1">
                      <wp:simplePos x="0" y="0"/>
                      <wp:positionH relativeFrom="column">
                        <wp:posOffset>-44450</wp:posOffset>
                      </wp:positionH>
                      <wp:positionV relativeFrom="paragraph">
                        <wp:posOffset>100330</wp:posOffset>
                      </wp:positionV>
                      <wp:extent cx="1313815" cy="240030"/>
                      <wp:effectExtent l="12700" t="12700" r="6985" b="13970"/>
                      <wp:wrapNone/>
                      <wp:docPr id="24785160" name="חץ שמאלה 24785160"/>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0" o:spid="_x0000_s1060" type="#_x0000_t66" style="width:103.45pt;height:18.9pt;margin-top:7.9pt;margin-left:-3.5pt;mso-height-percent:0;mso-height-relative:margin;mso-width-percent:0;mso-width-relative:margin;mso-wrap-distance-bottom:0;mso-wrap-distance-left:9pt;mso-wrap-distance-right:9pt;mso-wrap-distance-top:0;mso-wrap-style:square;position:absolute;visibility:visible;v-text-anchor:middle;z-index:251734016" adj="1973" fillcolor="yellow" strokecolor="yellow" strokeweight="2pt"/>
                  </w:pict>
                </mc:Fallback>
              </mc:AlternateContent>
            </w:r>
          </w:p>
        </w:tc>
        <w:tc>
          <w:tcPr>
            <w:tcW w:w="488" w:type="pct"/>
            <w:shd w:val="clear" w:color="auto" w:fill="DCE9EE"/>
          </w:tcPr>
          <w:p w:rsidR="00C63D73" w:rsidRPr="00CF4A5C" w:rsidP="001E5452" w14:paraId="59ED8DF3" w14:textId="77777777">
            <w:pPr>
              <w:pStyle w:val="71R"/>
              <w:rPr>
                <w:rtl/>
              </w:rPr>
            </w:pPr>
          </w:p>
        </w:tc>
      </w:tr>
      <w:tr w14:paraId="1962CADE" w14:textId="77777777" w:rsidTr="00A37BEA">
        <w:tblPrEx>
          <w:tblW w:w="5056" w:type="pct"/>
          <w:tblLook w:val="04A0"/>
        </w:tblPrEx>
        <w:trPr>
          <w:cantSplit/>
        </w:trPr>
        <w:tc>
          <w:tcPr>
            <w:tcW w:w="983" w:type="pct"/>
            <w:vMerge w:val="restart"/>
            <w:tcBorders>
              <w:bottom w:val="single" w:sz="2" w:space="0" w:color="auto"/>
            </w:tcBorders>
            <w:shd w:val="clear" w:color="auto" w:fill="F2FAFB"/>
          </w:tcPr>
          <w:p w:rsidR="00AB4B76" w:rsidRPr="004A45B1" w:rsidP="001E5452" w14:paraId="7AF0E1F9" w14:textId="2C5A9E08">
            <w:pPr>
              <w:pStyle w:val="71R"/>
              <w:rPr>
                <w:rtl/>
              </w:rPr>
            </w:pPr>
            <w:r w:rsidRPr="00C63D73">
              <w:rPr>
                <w:rtl/>
              </w:rPr>
              <w:t>אסירים קשישים וחולים כרוניים</w:t>
            </w:r>
          </w:p>
        </w:tc>
        <w:tc>
          <w:tcPr>
            <w:tcW w:w="2095" w:type="pct"/>
            <w:tcBorders>
              <w:bottom w:val="single" w:sz="2" w:space="0" w:color="BBCDD5"/>
            </w:tcBorders>
            <w:shd w:val="clear" w:color="auto" w:fill="F2FAFB"/>
            <w:vAlign w:val="center"/>
          </w:tcPr>
          <w:p w:rsidR="00AB4B76" w:rsidRPr="004A45B1" w:rsidP="001E5452" w14:paraId="061A0C8A" w14:textId="2665B4BC">
            <w:pPr>
              <w:pStyle w:val="71R"/>
              <w:rPr>
                <w:rtl/>
              </w:rPr>
            </w:pPr>
            <w:r w:rsidRPr="00C63D73">
              <w:rPr>
                <w:rtl/>
              </w:rPr>
              <w:t xml:space="preserve">אי-התאמת אגף הקשישים ומרפאת </w:t>
            </w:r>
            <w:r w:rsidRPr="00C63D73">
              <w:rPr>
                <w:rtl/>
              </w:rPr>
              <w:t>ביס"ר</w:t>
            </w:r>
            <w:r w:rsidRPr="00C63D73">
              <w:rPr>
                <w:rtl/>
              </w:rPr>
              <w:t xml:space="preserve"> מעשיהו לשהיית אסירים קשישים וחולים כרוניים</w:t>
            </w:r>
          </w:p>
        </w:tc>
        <w:tc>
          <w:tcPr>
            <w:tcW w:w="433" w:type="pct"/>
            <w:tcBorders>
              <w:bottom w:val="single" w:sz="2" w:space="0" w:color="BBCDD5"/>
            </w:tcBorders>
            <w:shd w:val="clear" w:color="auto" w:fill="F2FAFB"/>
          </w:tcPr>
          <w:p w:rsidR="00AB4B76" w:rsidRPr="00CF4A5C" w:rsidP="001E5452" w14:paraId="305FC002" w14:textId="28F689D4">
            <w:pPr>
              <w:pStyle w:val="71R"/>
              <w:rPr>
                <w:rtl/>
              </w:rPr>
            </w:pPr>
          </w:p>
        </w:tc>
        <w:tc>
          <w:tcPr>
            <w:tcW w:w="509" w:type="pct"/>
            <w:tcBorders>
              <w:bottom w:val="single" w:sz="2" w:space="0" w:color="BBCDD5"/>
            </w:tcBorders>
            <w:shd w:val="clear" w:color="auto" w:fill="F2FAFB"/>
          </w:tcPr>
          <w:p w:rsidR="00AB4B76" w:rsidRPr="00CF4A5C" w:rsidP="001E5452" w14:paraId="6455D734" w14:textId="4C285116">
            <w:pPr>
              <w:pStyle w:val="71R"/>
              <w:rPr>
                <w:rtl/>
              </w:rPr>
            </w:pPr>
          </w:p>
        </w:tc>
        <w:tc>
          <w:tcPr>
            <w:tcW w:w="492" w:type="pct"/>
            <w:tcBorders>
              <w:bottom w:val="single" w:sz="2" w:space="0" w:color="BBCDD5"/>
            </w:tcBorders>
            <w:shd w:val="clear" w:color="auto" w:fill="F2FAFB"/>
          </w:tcPr>
          <w:p w:rsidR="00AB4B76" w:rsidRPr="00CF4A5C" w:rsidP="001E5452" w14:paraId="4C2DD4DC" w14:textId="6FEC3CE3">
            <w:pPr>
              <w:pStyle w:val="71R"/>
              <w:rPr>
                <w:rtl/>
              </w:rPr>
            </w:pPr>
          </w:p>
        </w:tc>
        <w:tc>
          <w:tcPr>
            <w:tcW w:w="488" w:type="pct"/>
            <w:tcBorders>
              <w:bottom w:val="single" w:sz="2" w:space="0" w:color="BBCDD5"/>
            </w:tcBorders>
            <w:shd w:val="clear" w:color="auto" w:fill="F2FAFB"/>
          </w:tcPr>
          <w:p w:rsidR="00AB4B76" w:rsidRPr="00CF4A5C" w:rsidP="001E5452" w14:paraId="154BD623" w14:textId="22102819">
            <w:pPr>
              <w:pStyle w:val="71R"/>
              <w:rPr>
                <w:rtl/>
              </w:rPr>
            </w:pPr>
          </w:p>
        </w:tc>
      </w:tr>
      <w:tr w14:paraId="3D57F04A" w14:textId="77777777" w:rsidTr="00A37BEA">
        <w:tblPrEx>
          <w:tblW w:w="5056" w:type="pct"/>
          <w:tblLook w:val="04A0"/>
        </w:tblPrEx>
        <w:trPr>
          <w:cantSplit/>
        </w:trPr>
        <w:tc>
          <w:tcPr>
            <w:tcW w:w="983" w:type="pct"/>
            <w:vMerge/>
            <w:tcBorders>
              <w:top w:val="single" w:sz="2" w:space="0" w:color="auto"/>
            </w:tcBorders>
            <w:shd w:val="clear" w:color="auto" w:fill="E0EDF0"/>
          </w:tcPr>
          <w:p w:rsidR="00AB4B76" w:rsidRPr="004A45B1" w:rsidP="001E5452" w14:paraId="7E0D6B6E" w14:textId="2B6D6B41">
            <w:pPr>
              <w:pStyle w:val="71R"/>
              <w:rPr>
                <w:rtl/>
              </w:rPr>
            </w:pPr>
          </w:p>
        </w:tc>
        <w:tc>
          <w:tcPr>
            <w:tcW w:w="2095" w:type="pct"/>
            <w:tcBorders>
              <w:top w:val="single" w:sz="2" w:space="0" w:color="BBCDD5"/>
            </w:tcBorders>
            <w:shd w:val="clear" w:color="auto" w:fill="F2FAFB"/>
            <w:vAlign w:val="center"/>
          </w:tcPr>
          <w:p w:rsidR="00AB4B76" w:rsidRPr="004A45B1" w:rsidP="001E5452" w14:paraId="63DF516C" w14:textId="1702E232">
            <w:pPr>
              <w:pStyle w:val="71R"/>
              <w:rPr>
                <w:rtl/>
              </w:rPr>
            </w:pPr>
            <w:r w:rsidRPr="00C63D73">
              <w:rPr>
                <w:rtl/>
              </w:rPr>
              <w:t>לא נבנתה תוכנית לטיפול באסירים קשישים או חולים כרוניים</w:t>
            </w:r>
          </w:p>
        </w:tc>
        <w:tc>
          <w:tcPr>
            <w:tcW w:w="433" w:type="pct"/>
            <w:tcBorders>
              <w:top w:val="single" w:sz="2" w:space="0" w:color="BBCDD5"/>
            </w:tcBorders>
            <w:shd w:val="clear" w:color="auto" w:fill="F2FAFB"/>
          </w:tcPr>
          <w:p w:rsidR="00AB4B76" w:rsidRPr="00CF4A5C" w:rsidP="001E5452" w14:paraId="09437CD2" w14:textId="735D1B56">
            <w:pPr>
              <w:pStyle w:val="71R"/>
              <w:rPr>
                <w:rtl/>
              </w:rPr>
            </w:pPr>
          </w:p>
        </w:tc>
        <w:tc>
          <w:tcPr>
            <w:tcW w:w="509" w:type="pct"/>
            <w:tcBorders>
              <w:top w:val="single" w:sz="2" w:space="0" w:color="BBCDD5"/>
            </w:tcBorders>
            <w:shd w:val="clear" w:color="auto" w:fill="F2FAFB"/>
          </w:tcPr>
          <w:p w:rsidR="00AB4B76" w:rsidRPr="00CF4A5C" w:rsidP="001E5452" w14:paraId="7D183CEE" w14:textId="359EE361">
            <w:pPr>
              <w:pStyle w:val="71R"/>
              <w:rPr>
                <w:rtl/>
              </w:rPr>
            </w:pPr>
          </w:p>
        </w:tc>
        <w:tc>
          <w:tcPr>
            <w:tcW w:w="492" w:type="pct"/>
            <w:tcBorders>
              <w:top w:val="single" w:sz="2" w:space="0" w:color="BBCDD5"/>
            </w:tcBorders>
            <w:shd w:val="clear" w:color="auto" w:fill="F2FAFB"/>
          </w:tcPr>
          <w:p w:rsidR="00AB4B76" w:rsidRPr="00CF4A5C" w:rsidP="001E5452" w14:paraId="25E682F4" w14:textId="77777777">
            <w:pPr>
              <w:pStyle w:val="71R"/>
              <w:rPr>
                <w:rtl/>
              </w:rPr>
            </w:pPr>
          </w:p>
        </w:tc>
        <w:tc>
          <w:tcPr>
            <w:tcW w:w="488" w:type="pct"/>
            <w:tcBorders>
              <w:top w:val="single" w:sz="2" w:space="0" w:color="BBCDD5"/>
            </w:tcBorders>
            <w:shd w:val="clear" w:color="auto" w:fill="F2FAFB"/>
          </w:tcPr>
          <w:p w:rsidR="00AB4B76" w:rsidRPr="00CF4A5C" w:rsidP="001E5452" w14:paraId="173A944C" w14:textId="77777777">
            <w:pPr>
              <w:pStyle w:val="71R"/>
              <w:rPr>
                <w:rtl/>
              </w:rPr>
            </w:pPr>
          </w:p>
        </w:tc>
      </w:tr>
      <w:tr w14:paraId="66A1ED3A" w14:textId="77777777" w:rsidTr="00A37BEA">
        <w:tblPrEx>
          <w:tblW w:w="5056" w:type="pct"/>
          <w:tblLook w:val="04A0"/>
        </w:tblPrEx>
        <w:trPr>
          <w:cantSplit/>
        </w:trPr>
        <w:tc>
          <w:tcPr>
            <w:tcW w:w="983" w:type="pct"/>
            <w:vMerge w:val="restart"/>
            <w:shd w:val="clear" w:color="auto" w:fill="E0EDF0"/>
          </w:tcPr>
          <w:p w:rsidR="00AB4B76" w:rsidRPr="004A45B1" w:rsidP="001E5452" w14:paraId="71AA2810" w14:textId="4952926C">
            <w:pPr>
              <w:pStyle w:val="71R"/>
              <w:rPr>
                <w:rtl/>
              </w:rPr>
            </w:pPr>
            <w:r w:rsidRPr="00AB4B76">
              <w:rPr>
                <w:rtl/>
              </w:rPr>
              <w:t>הצוות הרפואי</w:t>
            </w:r>
          </w:p>
        </w:tc>
        <w:tc>
          <w:tcPr>
            <w:tcW w:w="2095" w:type="pct"/>
            <w:tcBorders>
              <w:bottom w:val="single" w:sz="2" w:space="0" w:color="BBCDD5"/>
            </w:tcBorders>
            <w:shd w:val="clear" w:color="auto" w:fill="E0EDF0"/>
          </w:tcPr>
          <w:p w:rsidR="00AB4B76" w:rsidRPr="004A45B1" w:rsidP="001E5452" w14:paraId="27CFDE35" w14:textId="382F0AB7">
            <w:pPr>
              <w:pStyle w:val="71R"/>
              <w:rPr>
                <w:rtl/>
              </w:rPr>
            </w:pPr>
            <w:r w:rsidRPr="00AB4B76">
              <w:rPr>
                <w:rtl/>
              </w:rPr>
              <w:t>מערך החובשים - לא נבחנה תקינת החובשים לאור הגידול במספר הכלואים ולאור מצבם הבריאותי</w:t>
            </w:r>
          </w:p>
        </w:tc>
        <w:tc>
          <w:tcPr>
            <w:tcW w:w="433" w:type="pct"/>
            <w:tcBorders>
              <w:bottom w:val="single" w:sz="2" w:space="0" w:color="BBCDD5"/>
            </w:tcBorders>
            <w:shd w:val="clear" w:color="auto" w:fill="E0EDF0"/>
          </w:tcPr>
          <w:p w:rsidR="00AB4B76" w:rsidRPr="00CF4A5C" w:rsidP="001E5452" w14:paraId="6C8C5C69" w14:textId="76A55612">
            <w:pPr>
              <w:pStyle w:val="71R"/>
              <w:rPr>
                <w:rtl/>
              </w:rPr>
            </w:pPr>
          </w:p>
        </w:tc>
        <w:tc>
          <w:tcPr>
            <w:tcW w:w="509" w:type="pct"/>
            <w:tcBorders>
              <w:bottom w:val="single" w:sz="2" w:space="0" w:color="BBCDD5"/>
            </w:tcBorders>
            <w:shd w:val="clear" w:color="auto" w:fill="E0EDF0"/>
          </w:tcPr>
          <w:p w:rsidR="00AB4B76" w:rsidRPr="00CF4A5C" w:rsidP="001E5452" w14:paraId="5FC21B15" w14:textId="260DCBB6">
            <w:pPr>
              <w:pStyle w:val="71R"/>
              <w:rPr>
                <w:rtl/>
              </w:rPr>
            </w:pPr>
          </w:p>
        </w:tc>
        <w:tc>
          <w:tcPr>
            <w:tcW w:w="492" w:type="pct"/>
            <w:tcBorders>
              <w:bottom w:val="single" w:sz="2" w:space="0" w:color="BBCDD5"/>
            </w:tcBorders>
            <w:shd w:val="clear" w:color="auto" w:fill="E0EDF0"/>
          </w:tcPr>
          <w:p w:rsidR="00AB4B76" w:rsidRPr="00CF4A5C" w:rsidP="001E5452" w14:paraId="3495E70C" w14:textId="2F678FA7">
            <w:pPr>
              <w:pStyle w:val="71R"/>
              <w:rPr>
                <w:rtl/>
              </w:rPr>
            </w:pPr>
          </w:p>
        </w:tc>
        <w:tc>
          <w:tcPr>
            <w:tcW w:w="488" w:type="pct"/>
            <w:tcBorders>
              <w:bottom w:val="single" w:sz="2" w:space="0" w:color="BBCDD5"/>
            </w:tcBorders>
            <w:shd w:val="clear" w:color="auto" w:fill="E0EDF0"/>
          </w:tcPr>
          <w:p w:rsidR="00AB4B76" w:rsidRPr="00CF4A5C" w:rsidP="001E5452" w14:paraId="75CD78D8" w14:textId="77777777">
            <w:pPr>
              <w:pStyle w:val="71R"/>
              <w:rPr>
                <w:rtl/>
              </w:rPr>
            </w:pPr>
          </w:p>
        </w:tc>
      </w:tr>
      <w:tr w14:paraId="2BB6215C" w14:textId="77777777" w:rsidTr="00A37BEA">
        <w:tblPrEx>
          <w:tblW w:w="5056" w:type="pct"/>
          <w:tblLook w:val="04A0"/>
        </w:tblPrEx>
        <w:trPr>
          <w:cantSplit/>
        </w:trPr>
        <w:tc>
          <w:tcPr>
            <w:tcW w:w="983" w:type="pct"/>
            <w:vMerge/>
            <w:shd w:val="clear" w:color="auto" w:fill="E0EDF0"/>
          </w:tcPr>
          <w:p w:rsidR="00AB4B76" w:rsidRPr="004A45B1" w:rsidP="001E5452" w14:paraId="6D16C686" w14:textId="7FBAD330">
            <w:pPr>
              <w:pStyle w:val="71R"/>
              <w:rPr>
                <w:rtl/>
              </w:rPr>
            </w:pPr>
          </w:p>
        </w:tc>
        <w:tc>
          <w:tcPr>
            <w:tcW w:w="2095" w:type="pct"/>
            <w:tcBorders>
              <w:top w:val="single" w:sz="2" w:space="0" w:color="BBCDD5"/>
              <w:bottom w:val="single" w:sz="2" w:space="0" w:color="BBCDD5"/>
            </w:tcBorders>
            <w:shd w:val="clear" w:color="auto" w:fill="E0EDF0"/>
          </w:tcPr>
          <w:p w:rsidR="00AB4B76" w:rsidRPr="004A45B1" w:rsidP="00E47833" w14:paraId="1DCAF792" w14:textId="3177B996">
            <w:pPr>
              <w:pStyle w:val="71R"/>
              <w:spacing w:before="180" w:after="180"/>
              <w:rPr>
                <w:rtl/>
              </w:rPr>
            </w:pPr>
            <w:r w:rsidRPr="00AB4B76">
              <w:rPr>
                <w:rtl/>
              </w:rPr>
              <w:t>אי-הכשרת אחראי מרפאה</w:t>
            </w:r>
          </w:p>
        </w:tc>
        <w:tc>
          <w:tcPr>
            <w:tcW w:w="433" w:type="pct"/>
            <w:tcBorders>
              <w:top w:val="single" w:sz="2" w:space="0" w:color="BBCDD5"/>
              <w:bottom w:val="single" w:sz="2" w:space="0" w:color="BBCDD5"/>
            </w:tcBorders>
            <w:shd w:val="clear" w:color="auto" w:fill="E0EDF0"/>
          </w:tcPr>
          <w:p w:rsidR="00AB4B76" w:rsidRPr="00AF4515" w:rsidP="00E47833" w14:paraId="0E885D4E" w14:textId="1A2380C7">
            <w:pPr>
              <w:pStyle w:val="71R"/>
              <w:spacing w:before="180" w:after="180"/>
              <w:rPr>
                <w:rtl/>
              </w:rPr>
            </w:pPr>
          </w:p>
        </w:tc>
        <w:tc>
          <w:tcPr>
            <w:tcW w:w="509" w:type="pct"/>
            <w:tcBorders>
              <w:top w:val="single" w:sz="2" w:space="0" w:color="BBCDD5"/>
              <w:bottom w:val="single" w:sz="2" w:space="0" w:color="BBCDD5"/>
            </w:tcBorders>
            <w:shd w:val="clear" w:color="auto" w:fill="E0EDF0"/>
          </w:tcPr>
          <w:p w:rsidR="00AB4B76" w:rsidRPr="00AF4515" w:rsidP="00E47833" w14:paraId="207034D5" w14:textId="13A80B31">
            <w:pPr>
              <w:pStyle w:val="71R"/>
              <w:spacing w:before="180" w:after="180"/>
              <w:rPr>
                <w:rtl/>
              </w:rPr>
            </w:pPr>
          </w:p>
        </w:tc>
        <w:tc>
          <w:tcPr>
            <w:tcW w:w="492" w:type="pct"/>
            <w:tcBorders>
              <w:top w:val="single" w:sz="2" w:space="0" w:color="BBCDD5"/>
              <w:bottom w:val="single" w:sz="2" w:space="0" w:color="BBCDD5"/>
            </w:tcBorders>
            <w:shd w:val="clear" w:color="auto" w:fill="E0EDF0"/>
          </w:tcPr>
          <w:p w:rsidR="00AB4B76" w:rsidRPr="00AF4515" w:rsidP="00E47833" w14:paraId="0BA78B66" w14:textId="77777777">
            <w:pPr>
              <w:pStyle w:val="71R"/>
              <w:spacing w:before="180" w:after="180"/>
              <w:rPr>
                <w:rtl/>
              </w:rPr>
            </w:pPr>
          </w:p>
        </w:tc>
        <w:tc>
          <w:tcPr>
            <w:tcW w:w="488" w:type="pct"/>
            <w:tcBorders>
              <w:top w:val="single" w:sz="2" w:space="0" w:color="BBCDD5"/>
              <w:bottom w:val="single" w:sz="2" w:space="0" w:color="BBCDD5"/>
            </w:tcBorders>
            <w:shd w:val="clear" w:color="auto" w:fill="E0EDF0"/>
          </w:tcPr>
          <w:p w:rsidR="00AB4B76" w:rsidRPr="00AF4515" w:rsidP="00E47833" w14:paraId="359B8E7D" w14:textId="436143FB">
            <w:pPr>
              <w:pStyle w:val="71R"/>
              <w:spacing w:before="180" w:after="180"/>
              <w:rPr>
                <w:rtl/>
              </w:rPr>
            </w:pPr>
          </w:p>
        </w:tc>
      </w:tr>
      <w:tr w14:paraId="416BB9D9" w14:textId="77777777" w:rsidTr="00A37BEA">
        <w:tblPrEx>
          <w:tblW w:w="5056" w:type="pct"/>
          <w:tblLook w:val="04A0"/>
        </w:tblPrEx>
        <w:trPr>
          <w:cantSplit/>
        </w:trPr>
        <w:tc>
          <w:tcPr>
            <w:tcW w:w="983" w:type="pct"/>
            <w:vMerge/>
            <w:shd w:val="clear" w:color="auto" w:fill="E0EDF0"/>
          </w:tcPr>
          <w:p w:rsidR="00AB4B76" w:rsidRPr="004A45B1" w:rsidP="001E5452" w14:paraId="052A98FF" w14:textId="59178D4D">
            <w:pPr>
              <w:pStyle w:val="71R"/>
              <w:rPr>
                <w:rtl/>
              </w:rPr>
            </w:pPr>
          </w:p>
        </w:tc>
        <w:tc>
          <w:tcPr>
            <w:tcW w:w="2095" w:type="pct"/>
            <w:tcBorders>
              <w:top w:val="single" w:sz="2" w:space="0" w:color="BBCDD5"/>
            </w:tcBorders>
            <w:shd w:val="clear" w:color="auto" w:fill="E0EDF0"/>
          </w:tcPr>
          <w:p w:rsidR="00AB4B76" w:rsidRPr="004A45B1" w:rsidP="001E5452" w14:paraId="4E3C288E" w14:textId="013EF665">
            <w:pPr>
              <w:pStyle w:val="71R"/>
              <w:rPr>
                <w:rtl/>
              </w:rPr>
            </w:pPr>
            <w:r w:rsidRPr="00AB4B76">
              <w:rPr>
                <w:rtl/>
              </w:rPr>
              <w:t>אי-שמירת הכשירות המקצועית של חובשי העתודה</w:t>
            </w:r>
          </w:p>
        </w:tc>
        <w:tc>
          <w:tcPr>
            <w:tcW w:w="433" w:type="pct"/>
            <w:tcBorders>
              <w:top w:val="single" w:sz="2" w:space="0" w:color="BBCDD5"/>
            </w:tcBorders>
            <w:shd w:val="clear" w:color="auto" w:fill="E0EDF0"/>
          </w:tcPr>
          <w:p w:rsidR="00AB4B76" w:rsidRPr="00AF4515" w:rsidP="001E5452" w14:paraId="74ECB915" w14:textId="1A8BC8F3">
            <w:pPr>
              <w:pStyle w:val="71R"/>
              <w:rPr>
                <w:rtl/>
              </w:rPr>
            </w:pPr>
          </w:p>
        </w:tc>
        <w:tc>
          <w:tcPr>
            <w:tcW w:w="509" w:type="pct"/>
            <w:tcBorders>
              <w:top w:val="single" w:sz="2" w:space="0" w:color="BBCDD5"/>
            </w:tcBorders>
            <w:shd w:val="clear" w:color="auto" w:fill="E0EDF0"/>
          </w:tcPr>
          <w:p w:rsidR="00AB4B76" w:rsidRPr="00AF4515" w:rsidP="001E5452" w14:paraId="3885513E" w14:textId="19CD27C4">
            <w:pPr>
              <w:pStyle w:val="71R"/>
              <w:rPr>
                <w:rtl/>
              </w:rPr>
            </w:pPr>
            <w:r w:rsidRPr="00C0561C">
              <w:rPr>
                <w:noProof/>
                <w:rtl/>
              </w:rPr>
              <mc:AlternateContent>
                <mc:Choice Requires="wps">
                  <w:drawing>
                    <wp:anchor distT="0" distB="0" distL="114300" distR="114300" simplePos="0" relativeHeight="251737088" behindDoc="0" locked="0" layoutInCell="1" allowOverlap="1">
                      <wp:simplePos x="0" y="0"/>
                      <wp:positionH relativeFrom="column">
                        <wp:posOffset>-48944</wp:posOffset>
                      </wp:positionH>
                      <wp:positionV relativeFrom="paragraph">
                        <wp:posOffset>124460</wp:posOffset>
                      </wp:positionV>
                      <wp:extent cx="852805" cy="240030"/>
                      <wp:effectExtent l="12700" t="12700" r="10795" b="13970"/>
                      <wp:wrapNone/>
                      <wp:docPr id="24785167" name="חץ שמאלה 24785167"/>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4003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7" o:spid="_x0000_s1061" type="#_x0000_t66" style="width:67.15pt;height:18.9pt;margin-top:9.8pt;margin-left:-3.85pt;mso-height-percent:0;mso-height-relative:margin;mso-width-percent:0;mso-width-relative:margin;mso-wrap-distance-bottom:0;mso-wrap-distance-left:9pt;mso-wrap-distance-right:9pt;mso-wrap-distance-top:0;mso-wrap-style:square;position:absolute;visibility:visible;v-text-anchor:middle;z-index:251738112" adj="3040" fillcolor="#ffc000" strokecolor="#ffc000" strokeweight="2pt"/>
                  </w:pict>
                </mc:Fallback>
              </mc:AlternateContent>
            </w:r>
          </w:p>
        </w:tc>
        <w:tc>
          <w:tcPr>
            <w:tcW w:w="492" w:type="pct"/>
            <w:tcBorders>
              <w:top w:val="single" w:sz="2" w:space="0" w:color="BBCDD5"/>
            </w:tcBorders>
            <w:shd w:val="clear" w:color="auto" w:fill="E0EDF0"/>
          </w:tcPr>
          <w:p w:rsidR="00AB4B76" w:rsidRPr="00AF4515" w:rsidP="001E5452" w14:paraId="6D8A7FAD" w14:textId="77777777">
            <w:pPr>
              <w:pStyle w:val="71R"/>
              <w:rPr>
                <w:rtl/>
              </w:rPr>
            </w:pPr>
          </w:p>
        </w:tc>
        <w:tc>
          <w:tcPr>
            <w:tcW w:w="488" w:type="pct"/>
            <w:tcBorders>
              <w:top w:val="single" w:sz="2" w:space="0" w:color="BBCDD5"/>
            </w:tcBorders>
            <w:shd w:val="clear" w:color="auto" w:fill="E0EDF0"/>
          </w:tcPr>
          <w:p w:rsidR="00AB4B76" w:rsidRPr="00AF4515" w:rsidP="001E5452" w14:paraId="75510CFA" w14:textId="77777777">
            <w:pPr>
              <w:pStyle w:val="71R"/>
              <w:rPr>
                <w:rtl/>
              </w:rPr>
            </w:pPr>
          </w:p>
        </w:tc>
      </w:tr>
      <w:tr w14:paraId="751F9C0C" w14:textId="77777777" w:rsidTr="00A37BEA">
        <w:tblPrEx>
          <w:tblW w:w="5056" w:type="pct"/>
          <w:tblLook w:val="04A0"/>
        </w:tblPrEx>
        <w:trPr>
          <w:cantSplit/>
        </w:trPr>
        <w:tc>
          <w:tcPr>
            <w:tcW w:w="983" w:type="pct"/>
            <w:vMerge w:val="restart"/>
            <w:shd w:val="clear" w:color="auto" w:fill="F1F9FA"/>
          </w:tcPr>
          <w:p w:rsidR="00AB4B76" w:rsidRPr="004A45B1" w:rsidP="001E5452" w14:paraId="215A8F32" w14:textId="06C4B839">
            <w:pPr>
              <w:pStyle w:val="71R"/>
              <w:rPr>
                <w:rtl/>
              </w:rPr>
            </w:pPr>
            <w:r w:rsidRPr="00AB4B76">
              <w:rPr>
                <w:rtl/>
              </w:rPr>
              <w:t>מערך הרופאים</w:t>
            </w:r>
          </w:p>
        </w:tc>
        <w:tc>
          <w:tcPr>
            <w:tcW w:w="2095" w:type="pct"/>
            <w:tcBorders>
              <w:bottom w:val="single" w:sz="2" w:space="0" w:color="BBCDD5"/>
            </w:tcBorders>
            <w:shd w:val="clear" w:color="auto" w:fill="F1F9FA"/>
          </w:tcPr>
          <w:p w:rsidR="00AB4B76" w:rsidRPr="004A45B1" w:rsidP="00E47833" w14:paraId="2A34307B" w14:textId="01174028">
            <w:pPr>
              <w:pStyle w:val="71R"/>
              <w:spacing w:before="180" w:after="180"/>
              <w:rPr>
                <w:rtl/>
              </w:rPr>
            </w:pPr>
            <w:r w:rsidRPr="00AB4B76">
              <w:rPr>
                <w:rtl/>
              </w:rPr>
              <w:t>אי-איוש משרות רופאים</w:t>
            </w:r>
          </w:p>
        </w:tc>
        <w:tc>
          <w:tcPr>
            <w:tcW w:w="433" w:type="pct"/>
            <w:tcBorders>
              <w:bottom w:val="single" w:sz="2" w:space="0" w:color="BBCDD5"/>
            </w:tcBorders>
            <w:shd w:val="clear" w:color="auto" w:fill="F1F9FA"/>
          </w:tcPr>
          <w:p w:rsidR="00AB4B76" w:rsidRPr="00AF4515" w:rsidP="00E47833" w14:paraId="2F34A4D1" w14:textId="3D0725DC">
            <w:pPr>
              <w:pStyle w:val="71R"/>
              <w:spacing w:before="180" w:after="180"/>
              <w:rPr>
                <w:rtl/>
              </w:rPr>
            </w:pPr>
          </w:p>
        </w:tc>
        <w:tc>
          <w:tcPr>
            <w:tcW w:w="509" w:type="pct"/>
            <w:tcBorders>
              <w:bottom w:val="single" w:sz="2" w:space="0" w:color="BBCDD5"/>
            </w:tcBorders>
            <w:shd w:val="clear" w:color="auto" w:fill="F1F9FA"/>
          </w:tcPr>
          <w:p w:rsidR="00AB4B76" w:rsidRPr="00AF4515" w:rsidP="00E47833" w14:paraId="11A3C05E" w14:textId="53C654A2">
            <w:pPr>
              <w:pStyle w:val="71R"/>
              <w:spacing w:before="180" w:after="180"/>
              <w:rPr>
                <w:rtl/>
              </w:rPr>
            </w:pPr>
          </w:p>
        </w:tc>
        <w:tc>
          <w:tcPr>
            <w:tcW w:w="492" w:type="pct"/>
            <w:tcBorders>
              <w:bottom w:val="single" w:sz="2" w:space="0" w:color="BBCDD5"/>
            </w:tcBorders>
            <w:shd w:val="clear" w:color="auto" w:fill="F1F9FA"/>
          </w:tcPr>
          <w:p w:rsidR="00AB4B76" w:rsidRPr="00AF4515" w:rsidP="00E47833" w14:paraId="521792D7" w14:textId="77777777">
            <w:pPr>
              <w:pStyle w:val="71R"/>
              <w:spacing w:before="180" w:after="180"/>
              <w:rPr>
                <w:rtl/>
              </w:rPr>
            </w:pPr>
          </w:p>
        </w:tc>
        <w:tc>
          <w:tcPr>
            <w:tcW w:w="488" w:type="pct"/>
            <w:tcBorders>
              <w:bottom w:val="single" w:sz="2" w:space="0" w:color="BBCDD5"/>
            </w:tcBorders>
            <w:shd w:val="clear" w:color="auto" w:fill="F1F9FA"/>
          </w:tcPr>
          <w:p w:rsidR="00AB4B76" w:rsidRPr="00AF4515" w:rsidP="00E47833" w14:paraId="6D6920E3" w14:textId="77777777">
            <w:pPr>
              <w:pStyle w:val="71R"/>
              <w:spacing w:before="180" w:after="180"/>
              <w:rPr>
                <w:rtl/>
              </w:rPr>
            </w:pPr>
          </w:p>
        </w:tc>
      </w:tr>
      <w:tr w14:paraId="02350930" w14:textId="77777777" w:rsidTr="00A37BEA">
        <w:tblPrEx>
          <w:tblW w:w="5056" w:type="pct"/>
          <w:tblLook w:val="04A0"/>
        </w:tblPrEx>
        <w:trPr>
          <w:cantSplit/>
        </w:trPr>
        <w:tc>
          <w:tcPr>
            <w:tcW w:w="983" w:type="pct"/>
            <w:vMerge/>
            <w:shd w:val="clear" w:color="auto" w:fill="F1F9FA"/>
          </w:tcPr>
          <w:p w:rsidR="00AB4B76" w:rsidRPr="004A45B1" w:rsidP="001E5452" w14:paraId="58B274AA" w14:textId="43DC16A2">
            <w:pPr>
              <w:pStyle w:val="71R"/>
              <w:rPr>
                <w:rtl/>
              </w:rPr>
            </w:pPr>
          </w:p>
        </w:tc>
        <w:tc>
          <w:tcPr>
            <w:tcW w:w="2095" w:type="pct"/>
            <w:tcBorders>
              <w:top w:val="single" w:sz="2" w:space="0" w:color="BBCDD5"/>
              <w:bottom w:val="single" w:sz="2" w:space="0" w:color="BBCDD5"/>
            </w:tcBorders>
            <w:shd w:val="clear" w:color="auto" w:fill="F1F9FA"/>
          </w:tcPr>
          <w:p w:rsidR="00AB4B76" w:rsidRPr="004A45B1" w:rsidP="00AB4B76" w14:paraId="513284C9" w14:textId="4ED6C1DF">
            <w:pPr>
              <w:pStyle w:val="71R"/>
              <w:ind w:left="62" w:hanging="62"/>
              <w:rPr>
                <w:rtl/>
              </w:rPr>
            </w:pPr>
            <w:r w:rsidRPr="00AB4B76">
              <w:rPr>
                <w:rtl/>
              </w:rPr>
              <w:t>קיום לא מספק של השתלמויות מקצועיות</w:t>
            </w:r>
            <w:r>
              <w:rPr>
                <w:rFonts w:hint="cs"/>
                <w:rtl/>
              </w:rPr>
              <w:t xml:space="preserve"> </w:t>
            </w:r>
            <w:r w:rsidRPr="00AB4B76">
              <w:rPr>
                <w:rtl/>
              </w:rPr>
              <w:t>לרופאים</w:t>
            </w:r>
          </w:p>
        </w:tc>
        <w:tc>
          <w:tcPr>
            <w:tcW w:w="433" w:type="pct"/>
            <w:tcBorders>
              <w:top w:val="single" w:sz="2" w:space="0" w:color="BBCDD5"/>
              <w:bottom w:val="single" w:sz="2" w:space="0" w:color="BBCDD5"/>
            </w:tcBorders>
            <w:shd w:val="clear" w:color="auto" w:fill="F1F9FA"/>
          </w:tcPr>
          <w:p w:rsidR="00AB4B76" w:rsidRPr="00AF4515" w:rsidP="001E5452" w14:paraId="1A1CE37F" w14:textId="136C196A">
            <w:pPr>
              <w:pStyle w:val="71R"/>
              <w:rPr>
                <w:rtl/>
              </w:rPr>
            </w:pPr>
          </w:p>
        </w:tc>
        <w:tc>
          <w:tcPr>
            <w:tcW w:w="509" w:type="pct"/>
            <w:tcBorders>
              <w:top w:val="single" w:sz="2" w:space="0" w:color="BBCDD5"/>
              <w:bottom w:val="single" w:sz="2" w:space="0" w:color="BBCDD5"/>
            </w:tcBorders>
            <w:shd w:val="clear" w:color="auto" w:fill="F1F9FA"/>
          </w:tcPr>
          <w:p w:rsidR="00AB4B76" w:rsidRPr="00AF4515" w:rsidP="001E5452" w14:paraId="615035C2" w14:textId="2DD25E6B">
            <w:pPr>
              <w:pStyle w:val="71R"/>
              <w:rPr>
                <w:rtl/>
              </w:rPr>
            </w:pPr>
          </w:p>
        </w:tc>
        <w:tc>
          <w:tcPr>
            <w:tcW w:w="492" w:type="pct"/>
            <w:tcBorders>
              <w:top w:val="single" w:sz="2" w:space="0" w:color="BBCDD5"/>
              <w:bottom w:val="single" w:sz="2" w:space="0" w:color="BBCDD5"/>
            </w:tcBorders>
            <w:shd w:val="clear" w:color="auto" w:fill="F1F9FA"/>
          </w:tcPr>
          <w:p w:rsidR="00AB4B76" w:rsidRPr="00AF4515" w:rsidP="001E5452" w14:paraId="5D2B3D46" w14:textId="6F84C909">
            <w:pPr>
              <w:pStyle w:val="71R"/>
              <w:rPr>
                <w:rtl/>
              </w:rPr>
            </w:pPr>
          </w:p>
        </w:tc>
        <w:tc>
          <w:tcPr>
            <w:tcW w:w="488" w:type="pct"/>
            <w:tcBorders>
              <w:top w:val="single" w:sz="2" w:space="0" w:color="BBCDD5"/>
              <w:bottom w:val="single" w:sz="2" w:space="0" w:color="BBCDD5"/>
            </w:tcBorders>
            <w:shd w:val="clear" w:color="auto" w:fill="F1F9FA"/>
          </w:tcPr>
          <w:p w:rsidR="00AB4B76" w:rsidRPr="00AF4515" w:rsidP="001E5452" w14:paraId="5EDA928D" w14:textId="77777777">
            <w:pPr>
              <w:pStyle w:val="71R"/>
              <w:rPr>
                <w:rtl/>
              </w:rPr>
            </w:pPr>
          </w:p>
        </w:tc>
      </w:tr>
      <w:tr w14:paraId="04F8FF12" w14:textId="77777777" w:rsidTr="00A37BEA">
        <w:tblPrEx>
          <w:tblW w:w="5056" w:type="pct"/>
          <w:tblLook w:val="04A0"/>
        </w:tblPrEx>
        <w:trPr>
          <w:cantSplit/>
        </w:trPr>
        <w:tc>
          <w:tcPr>
            <w:tcW w:w="983" w:type="pct"/>
            <w:vMerge/>
            <w:shd w:val="clear" w:color="auto" w:fill="F1F9FA"/>
          </w:tcPr>
          <w:p w:rsidR="00AB4B76" w:rsidRPr="004A45B1" w:rsidP="001E5452" w14:paraId="47AE215F" w14:textId="34A02FAA">
            <w:pPr>
              <w:pStyle w:val="71R"/>
              <w:rPr>
                <w:rtl/>
              </w:rPr>
            </w:pPr>
          </w:p>
        </w:tc>
        <w:tc>
          <w:tcPr>
            <w:tcW w:w="2095" w:type="pct"/>
            <w:tcBorders>
              <w:top w:val="single" w:sz="2" w:space="0" w:color="BBCDD5"/>
              <w:bottom w:val="single" w:sz="2" w:space="0" w:color="BBCDD5"/>
            </w:tcBorders>
            <w:shd w:val="clear" w:color="auto" w:fill="F1F9FA"/>
          </w:tcPr>
          <w:p w:rsidR="00AB4B76" w:rsidRPr="004A45B1" w:rsidP="001E5452" w14:paraId="7E43166C" w14:textId="1D04B76D">
            <w:pPr>
              <w:pStyle w:val="71R"/>
              <w:rPr>
                <w:rtl/>
              </w:rPr>
            </w:pPr>
            <w:r w:rsidRPr="00AB4B76">
              <w:rPr>
                <w:rtl/>
              </w:rPr>
              <w:t>היעדר נגישות שוטפת למידע מקצועי עדכני</w:t>
            </w:r>
          </w:p>
        </w:tc>
        <w:tc>
          <w:tcPr>
            <w:tcW w:w="433" w:type="pct"/>
            <w:tcBorders>
              <w:top w:val="single" w:sz="2" w:space="0" w:color="BBCDD5"/>
              <w:bottom w:val="single" w:sz="2" w:space="0" w:color="BBCDD5"/>
            </w:tcBorders>
            <w:shd w:val="clear" w:color="auto" w:fill="F1F9FA"/>
          </w:tcPr>
          <w:p w:rsidR="00AB4B76" w:rsidRPr="00AF4515" w:rsidP="001E5452" w14:paraId="6EC02711" w14:textId="05E475AC">
            <w:pPr>
              <w:pStyle w:val="71R"/>
              <w:rPr>
                <w:rtl/>
              </w:rPr>
            </w:pPr>
          </w:p>
        </w:tc>
        <w:tc>
          <w:tcPr>
            <w:tcW w:w="509" w:type="pct"/>
            <w:tcBorders>
              <w:top w:val="single" w:sz="2" w:space="0" w:color="BBCDD5"/>
              <w:bottom w:val="single" w:sz="2" w:space="0" w:color="BBCDD5"/>
            </w:tcBorders>
            <w:shd w:val="clear" w:color="auto" w:fill="F1F9FA"/>
          </w:tcPr>
          <w:p w:rsidR="00AB4B76" w:rsidRPr="00AF4515" w:rsidP="001E5452" w14:paraId="5CA79E80" w14:textId="6AAAF160">
            <w:pPr>
              <w:pStyle w:val="71R"/>
              <w:rPr>
                <w:rtl/>
              </w:rPr>
            </w:pPr>
          </w:p>
        </w:tc>
        <w:tc>
          <w:tcPr>
            <w:tcW w:w="492" w:type="pct"/>
            <w:tcBorders>
              <w:top w:val="single" w:sz="2" w:space="0" w:color="BBCDD5"/>
              <w:bottom w:val="single" w:sz="2" w:space="0" w:color="BBCDD5"/>
            </w:tcBorders>
            <w:shd w:val="clear" w:color="auto" w:fill="F1F9FA"/>
          </w:tcPr>
          <w:p w:rsidR="00AB4B76" w:rsidRPr="00AF4515" w:rsidP="001E5452" w14:paraId="257880EC" w14:textId="36189EFF">
            <w:pPr>
              <w:pStyle w:val="71R"/>
              <w:rPr>
                <w:rtl/>
              </w:rPr>
            </w:pPr>
          </w:p>
        </w:tc>
        <w:tc>
          <w:tcPr>
            <w:tcW w:w="488" w:type="pct"/>
            <w:tcBorders>
              <w:top w:val="single" w:sz="2" w:space="0" w:color="BBCDD5"/>
              <w:bottom w:val="single" w:sz="2" w:space="0" w:color="BBCDD5"/>
            </w:tcBorders>
            <w:shd w:val="clear" w:color="auto" w:fill="F1F9FA"/>
          </w:tcPr>
          <w:p w:rsidR="00AB4B76" w:rsidRPr="00AF4515" w:rsidP="001E5452" w14:paraId="1AF6B135" w14:textId="77777777">
            <w:pPr>
              <w:pStyle w:val="71R"/>
              <w:rPr>
                <w:rtl/>
              </w:rPr>
            </w:pPr>
          </w:p>
        </w:tc>
      </w:tr>
      <w:tr w14:paraId="165AF310" w14:textId="77777777" w:rsidTr="00A37BEA">
        <w:tblPrEx>
          <w:tblW w:w="5056" w:type="pct"/>
          <w:tblLook w:val="04A0"/>
        </w:tblPrEx>
        <w:trPr>
          <w:cantSplit/>
          <w:trHeight w:val="964"/>
        </w:trPr>
        <w:tc>
          <w:tcPr>
            <w:tcW w:w="983" w:type="pct"/>
            <w:vMerge/>
            <w:shd w:val="clear" w:color="auto" w:fill="F1F9FA"/>
          </w:tcPr>
          <w:p w:rsidR="00AB4B76" w:rsidRPr="004A45B1" w:rsidP="001E5452" w14:paraId="5F5E0D95" w14:textId="12CBC70A">
            <w:pPr>
              <w:pStyle w:val="71R"/>
              <w:spacing w:line="276" w:lineRule="auto"/>
              <w:rPr>
                <w:rtl/>
              </w:rPr>
            </w:pPr>
          </w:p>
        </w:tc>
        <w:tc>
          <w:tcPr>
            <w:tcW w:w="2095" w:type="pct"/>
            <w:tcBorders>
              <w:top w:val="single" w:sz="2" w:space="0" w:color="BBCDD5"/>
            </w:tcBorders>
            <w:shd w:val="clear" w:color="auto" w:fill="F1F9FA"/>
          </w:tcPr>
          <w:p w:rsidR="00AB4B76" w:rsidRPr="004A45B1" w:rsidP="001E5452" w14:paraId="363C083D" w14:textId="7DAABF90">
            <w:pPr>
              <w:pStyle w:val="71R"/>
              <w:rPr>
                <w:rtl/>
              </w:rPr>
            </w:pPr>
            <w:r w:rsidRPr="00AB4B76">
              <w:rPr>
                <w:rtl/>
              </w:rPr>
              <w:t>רפואה יועצת - התקשרות עם מוסדות לצורך מתן רפואת מומחים</w:t>
            </w:r>
          </w:p>
        </w:tc>
        <w:tc>
          <w:tcPr>
            <w:tcW w:w="433" w:type="pct"/>
            <w:tcBorders>
              <w:top w:val="single" w:sz="2" w:space="0" w:color="BBCDD5"/>
            </w:tcBorders>
            <w:shd w:val="clear" w:color="auto" w:fill="F1F9FA"/>
          </w:tcPr>
          <w:p w:rsidR="00AB4B76" w:rsidRPr="00367792" w:rsidP="001E5452" w14:paraId="3814D059" w14:textId="57BD41A4">
            <w:pPr>
              <w:pStyle w:val="71R"/>
              <w:spacing w:line="240" w:lineRule="auto"/>
              <w:rPr>
                <w:sz w:val="15"/>
                <w:szCs w:val="15"/>
                <w:rtl/>
              </w:rPr>
            </w:pPr>
          </w:p>
        </w:tc>
        <w:tc>
          <w:tcPr>
            <w:tcW w:w="509" w:type="pct"/>
            <w:tcBorders>
              <w:top w:val="single" w:sz="2" w:space="0" w:color="BBCDD5"/>
            </w:tcBorders>
            <w:shd w:val="clear" w:color="auto" w:fill="F1F9FA"/>
          </w:tcPr>
          <w:p w:rsidR="00AB4B76" w:rsidRPr="00367792" w:rsidP="001E5452" w14:paraId="1189A50D" w14:textId="74098653">
            <w:pPr>
              <w:pStyle w:val="71R"/>
              <w:spacing w:line="240" w:lineRule="auto"/>
              <w:rPr>
                <w:sz w:val="15"/>
                <w:szCs w:val="15"/>
                <w:rtl/>
              </w:rPr>
            </w:pPr>
          </w:p>
        </w:tc>
        <w:tc>
          <w:tcPr>
            <w:tcW w:w="492" w:type="pct"/>
            <w:tcBorders>
              <w:top w:val="single" w:sz="2" w:space="0" w:color="BBCDD5"/>
            </w:tcBorders>
            <w:shd w:val="clear" w:color="auto" w:fill="F1F9FA"/>
          </w:tcPr>
          <w:p w:rsidR="00AB4B76" w:rsidRPr="00367792" w:rsidP="001E5452" w14:paraId="688D9878" w14:textId="77777777">
            <w:pPr>
              <w:pStyle w:val="71R"/>
              <w:spacing w:line="240" w:lineRule="auto"/>
              <w:rPr>
                <w:sz w:val="15"/>
                <w:szCs w:val="15"/>
                <w:rtl/>
              </w:rPr>
            </w:pPr>
          </w:p>
        </w:tc>
        <w:tc>
          <w:tcPr>
            <w:tcW w:w="488" w:type="pct"/>
            <w:tcBorders>
              <w:top w:val="single" w:sz="2" w:space="0" w:color="BBCDD5"/>
            </w:tcBorders>
            <w:shd w:val="clear" w:color="auto" w:fill="F1F9FA"/>
          </w:tcPr>
          <w:p w:rsidR="00AB4B76" w:rsidRPr="00367792" w:rsidP="001E5452" w14:paraId="1B1F2F01" w14:textId="077C04B2">
            <w:pPr>
              <w:pStyle w:val="71R"/>
              <w:spacing w:line="240" w:lineRule="auto"/>
              <w:rPr>
                <w:sz w:val="15"/>
                <w:szCs w:val="15"/>
                <w:rtl/>
              </w:rPr>
            </w:pPr>
          </w:p>
        </w:tc>
      </w:tr>
      <w:tr w14:paraId="7AECA0DC" w14:textId="77777777" w:rsidTr="006F3616">
        <w:tblPrEx>
          <w:tblW w:w="5056" w:type="pct"/>
          <w:tblLook w:val="04A0"/>
        </w:tblPrEx>
        <w:trPr>
          <w:cantSplit/>
        </w:trPr>
        <w:tc>
          <w:tcPr>
            <w:tcW w:w="983" w:type="pct"/>
            <w:shd w:val="clear" w:color="auto" w:fill="E0EDF0"/>
          </w:tcPr>
          <w:p w:rsidR="00C63D73" w:rsidRPr="004A45B1" w:rsidP="001E5452" w14:paraId="2C50919C" w14:textId="5AB6BC9A">
            <w:pPr>
              <w:pStyle w:val="71R"/>
              <w:rPr>
                <w:rtl/>
              </w:rPr>
            </w:pPr>
            <w:r w:rsidRPr="00AB4B76">
              <w:rPr>
                <w:rtl/>
              </w:rPr>
              <w:t>פסיכיאטריה בשב"ס</w:t>
            </w:r>
          </w:p>
        </w:tc>
        <w:tc>
          <w:tcPr>
            <w:tcW w:w="2095" w:type="pct"/>
            <w:shd w:val="clear" w:color="auto" w:fill="E0EDF0"/>
          </w:tcPr>
          <w:p w:rsidR="00C63D73" w:rsidRPr="004A45B1" w:rsidP="001E5452" w14:paraId="29EED4A1" w14:textId="0F4AFCA2">
            <w:pPr>
              <w:pStyle w:val="71R"/>
              <w:rPr>
                <w:rtl/>
              </w:rPr>
            </w:pPr>
            <w:r w:rsidRPr="00AB4B76">
              <w:rPr>
                <w:rtl/>
              </w:rPr>
              <w:t>היעדר נתונים בשב"ס על השירות האמבולטורי הפסיכיאטרי לאסירים</w:t>
            </w:r>
          </w:p>
        </w:tc>
        <w:tc>
          <w:tcPr>
            <w:tcW w:w="433" w:type="pct"/>
            <w:shd w:val="clear" w:color="auto" w:fill="E0EDF0"/>
          </w:tcPr>
          <w:p w:rsidR="00C63D73" w:rsidRPr="00AF4515" w:rsidP="001E5452" w14:paraId="4A5FFEDA" w14:textId="32FD896B">
            <w:pPr>
              <w:pStyle w:val="71R"/>
              <w:rPr>
                <w:rtl/>
              </w:rPr>
            </w:pPr>
          </w:p>
        </w:tc>
        <w:tc>
          <w:tcPr>
            <w:tcW w:w="509" w:type="pct"/>
            <w:shd w:val="clear" w:color="auto" w:fill="E0EDF0"/>
          </w:tcPr>
          <w:p w:rsidR="00C63D73" w:rsidRPr="00AF4515" w:rsidP="001E5452" w14:paraId="5FC0CD48" w14:textId="1943512A">
            <w:pPr>
              <w:pStyle w:val="71R"/>
              <w:rPr>
                <w:rtl/>
              </w:rPr>
            </w:pPr>
          </w:p>
        </w:tc>
        <w:tc>
          <w:tcPr>
            <w:tcW w:w="492" w:type="pct"/>
            <w:shd w:val="clear" w:color="auto" w:fill="E0EDF0"/>
          </w:tcPr>
          <w:p w:rsidR="00C63D73" w:rsidRPr="00AF4515" w:rsidP="001E5452" w14:paraId="02902611" w14:textId="468D7134">
            <w:pPr>
              <w:pStyle w:val="71R"/>
              <w:rPr>
                <w:rtl/>
              </w:rPr>
            </w:pPr>
            <w:r w:rsidRPr="00C0561C">
              <w:rPr>
                <w:noProof/>
                <w:rtl/>
              </w:rPr>
              <mc:AlternateContent>
                <mc:Choice Requires="wps">
                  <w:drawing>
                    <wp:anchor distT="0" distB="0" distL="114300" distR="114300" simplePos="0" relativeHeight="251747328" behindDoc="0" locked="0" layoutInCell="1" allowOverlap="1">
                      <wp:simplePos x="0" y="0"/>
                      <wp:positionH relativeFrom="column">
                        <wp:posOffset>-41910</wp:posOffset>
                      </wp:positionH>
                      <wp:positionV relativeFrom="paragraph">
                        <wp:posOffset>85090</wp:posOffset>
                      </wp:positionV>
                      <wp:extent cx="1313815" cy="240030"/>
                      <wp:effectExtent l="12700" t="12700" r="6985" b="13970"/>
                      <wp:wrapNone/>
                      <wp:docPr id="21" name="חץ שמאלה 21"/>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 o:spid="_x0000_s1062" type="#_x0000_t66" style="width:103.45pt;height:18.9pt;margin-top:6.7pt;margin-left:-3.3pt;mso-height-percent:0;mso-height-relative:margin;mso-width-percent:0;mso-width-relative:margin;mso-wrap-distance-bottom:0;mso-wrap-distance-left:9pt;mso-wrap-distance-right:9pt;mso-wrap-distance-top:0;mso-wrap-style:square;position:absolute;visibility:visible;v-text-anchor:middle;z-index:251748352" adj="1973" fillcolor="yellow" strokecolor="yellow" strokeweight="2pt"/>
                  </w:pict>
                </mc:Fallback>
              </mc:AlternateContent>
            </w:r>
          </w:p>
        </w:tc>
        <w:tc>
          <w:tcPr>
            <w:tcW w:w="488" w:type="pct"/>
            <w:shd w:val="clear" w:color="auto" w:fill="E0EDF0"/>
          </w:tcPr>
          <w:p w:rsidR="00C63D73" w:rsidRPr="00AF4515" w:rsidP="001E5452" w14:paraId="6F1104A8" w14:textId="77777777">
            <w:pPr>
              <w:pStyle w:val="71R"/>
              <w:rPr>
                <w:rtl/>
              </w:rPr>
            </w:pPr>
          </w:p>
        </w:tc>
      </w:tr>
      <w:tr w14:paraId="03706716" w14:textId="77777777" w:rsidTr="006F3616">
        <w:tblPrEx>
          <w:tblW w:w="5056" w:type="pct"/>
          <w:tblLook w:val="04A0"/>
        </w:tblPrEx>
        <w:trPr>
          <w:cantSplit/>
        </w:trPr>
        <w:tc>
          <w:tcPr>
            <w:tcW w:w="983" w:type="pct"/>
            <w:shd w:val="clear" w:color="auto" w:fill="F1F9FA"/>
          </w:tcPr>
          <w:p w:rsidR="00C63D73" w:rsidRPr="004A45B1" w:rsidP="001E5452" w14:paraId="62E40431" w14:textId="53B61A8F">
            <w:pPr>
              <w:pStyle w:val="71R"/>
              <w:spacing w:line="276" w:lineRule="auto"/>
              <w:rPr>
                <w:rtl/>
              </w:rPr>
            </w:pPr>
            <w:r w:rsidRPr="00AB4B76">
              <w:rPr>
                <w:rtl/>
              </w:rPr>
              <w:t>הטיפול הרפואי בעצורים ובאסירים עד שנה</w:t>
            </w:r>
          </w:p>
        </w:tc>
        <w:tc>
          <w:tcPr>
            <w:tcW w:w="2095" w:type="pct"/>
            <w:shd w:val="clear" w:color="auto" w:fill="F1F9FA"/>
          </w:tcPr>
          <w:p w:rsidR="00C63D73" w:rsidRPr="004A45B1" w:rsidP="001E5452" w14:paraId="6081B7C5" w14:textId="42794263">
            <w:pPr>
              <w:pStyle w:val="71R"/>
              <w:spacing w:line="276" w:lineRule="auto"/>
              <w:rPr>
                <w:rtl/>
              </w:rPr>
            </w:pPr>
            <w:r w:rsidRPr="00AB4B76">
              <w:rPr>
                <w:rtl/>
              </w:rPr>
              <w:t>מימון הטיפול הרפואי לכלואים לתקופה של עד שנה על ידי שב"ס</w:t>
            </w:r>
          </w:p>
        </w:tc>
        <w:tc>
          <w:tcPr>
            <w:tcW w:w="433" w:type="pct"/>
            <w:shd w:val="clear" w:color="auto" w:fill="F1F9FA"/>
          </w:tcPr>
          <w:p w:rsidR="00C63D73" w:rsidRPr="00AF4515" w:rsidP="001E5452" w14:paraId="6B73F6F3" w14:textId="40F4B8B7">
            <w:pPr>
              <w:pStyle w:val="71R"/>
              <w:spacing w:line="276" w:lineRule="auto"/>
              <w:rPr>
                <w:rtl/>
              </w:rPr>
            </w:pPr>
            <w:r w:rsidRPr="00C0561C">
              <w:rPr>
                <w:noProof/>
                <w:rtl/>
              </w:rPr>
              <mc:AlternateContent>
                <mc:Choice Requires="wps">
                  <w:drawing>
                    <wp:anchor distT="0" distB="0" distL="114300" distR="114300" simplePos="0" relativeHeight="251749376" behindDoc="0" locked="0" layoutInCell="1" allowOverlap="1">
                      <wp:simplePos x="0" y="0"/>
                      <wp:positionH relativeFrom="column">
                        <wp:posOffset>-527685</wp:posOffset>
                      </wp:positionH>
                      <wp:positionV relativeFrom="paragraph">
                        <wp:posOffset>219710</wp:posOffset>
                      </wp:positionV>
                      <wp:extent cx="852805" cy="240030"/>
                      <wp:effectExtent l="12700" t="12700" r="10795" b="13970"/>
                      <wp:wrapNone/>
                      <wp:docPr id="29" name="חץ שמאלה 29"/>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4003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9" o:spid="_x0000_s1063" type="#_x0000_t66" style="width:67.15pt;height:18.9pt;margin-top:17.3pt;margin-left:-41.55pt;mso-height-percent:0;mso-height-relative:margin;mso-width-percent:0;mso-width-relative:margin;mso-wrap-distance-bottom:0;mso-wrap-distance-left:9pt;mso-wrap-distance-right:9pt;mso-wrap-distance-top:0;mso-wrap-style:square;position:absolute;visibility:visible;v-text-anchor:middle;z-index:251750400" adj="3040" fillcolor="#ffc000" strokecolor="#ffc000" strokeweight="2pt"/>
                  </w:pict>
                </mc:Fallback>
              </mc:AlternateContent>
            </w:r>
          </w:p>
        </w:tc>
        <w:tc>
          <w:tcPr>
            <w:tcW w:w="509" w:type="pct"/>
            <w:shd w:val="clear" w:color="auto" w:fill="F1F9FA"/>
          </w:tcPr>
          <w:p w:rsidR="00C63D73" w:rsidRPr="00AF4515" w:rsidP="001E5452" w14:paraId="5AD5C82E" w14:textId="3BEEA983">
            <w:pPr>
              <w:pStyle w:val="71R"/>
              <w:spacing w:line="276" w:lineRule="auto"/>
              <w:rPr>
                <w:rtl/>
              </w:rPr>
            </w:pPr>
          </w:p>
        </w:tc>
        <w:tc>
          <w:tcPr>
            <w:tcW w:w="492" w:type="pct"/>
            <w:shd w:val="clear" w:color="auto" w:fill="F1F9FA"/>
          </w:tcPr>
          <w:p w:rsidR="00C63D73" w:rsidRPr="00AF4515" w:rsidP="001E5452" w14:paraId="566D68F2" w14:textId="77777777">
            <w:pPr>
              <w:pStyle w:val="71R"/>
              <w:spacing w:line="276" w:lineRule="auto"/>
              <w:rPr>
                <w:rtl/>
              </w:rPr>
            </w:pPr>
          </w:p>
        </w:tc>
        <w:tc>
          <w:tcPr>
            <w:tcW w:w="488" w:type="pct"/>
            <w:shd w:val="clear" w:color="auto" w:fill="F1F9FA"/>
          </w:tcPr>
          <w:p w:rsidR="00C63D73" w:rsidRPr="00AF4515" w:rsidP="001E5452" w14:paraId="3E5FFCC2" w14:textId="77777777">
            <w:pPr>
              <w:pStyle w:val="71R"/>
              <w:spacing w:line="276" w:lineRule="auto"/>
              <w:rPr>
                <w:rtl/>
              </w:rPr>
            </w:pPr>
          </w:p>
        </w:tc>
      </w:tr>
      <w:tr w14:paraId="08B5AED1" w14:textId="77777777" w:rsidTr="006F3616">
        <w:tblPrEx>
          <w:tblW w:w="5056" w:type="pct"/>
          <w:tblLook w:val="04A0"/>
        </w:tblPrEx>
        <w:trPr>
          <w:cantSplit/>
        </w:trPr>
        <w:tc>
          <w:tcPr>
            <w:tcW w:w="983" w:type="pct"/>
            <w:shd w:val="clear" w:color="auto" w:fill="E0EDF0"/>
          </w:tcPr>
          <w:p w:rsidR="00C63D73" w:rsidRPr="00C0561C" w:rsidP="00A37BEA" w14:paraId="0A2F6AD9" w14:textId="1275B178">
            <w:pPr>
              <w:pStyle w:val="71R"/>
              <w:spacing w:before="240" w:after="240" w:line="276" w:lineRule="auto"/>
              <w:rPr>
                <w:rtl/>
              </w:rPr>
            </w:pPr>
            <w:r w:rsidRPr="00AB4B76">
              <w:rPr>
                <w:rtl/>
              </w:rPr>
              <w:t>מבני מרפאות</w:t>
            </w:r>
          </w:p>
        </w:tc>
        <w:tc>
          <w:tcPr>
            <w:tcW w:w="2095" w:type="pct"/>
            <w:shd w:val="clear" w:color="auto" w:fill="E0EDF0"/>
          </w:tcPr>
          <w:p w:rsidR="00C63D73" w:rsidRPr="00C0561C" w:rsidP="00A37BEA" w14:paraId="5822AE9E" w14:textId="40CC6BDC">
            <w:pPr>
              <w:pStyle w:val="71R"/>
              <w:spacing w:before="240" w:after="240" w:line="276" w:lineRule="auto"/>
              <w:rPr>
                <w:rtl/>
              </w:rPr>
            </w:pPr>
            <w:r w:rsidRPr="00AB4B76">
              <w:rPr>
                <w:rtl/>
              </w:rPr>
              <w:t>ליקויים במבנים ובנגישות מרפאות</w:t>
            </w:r>
          </w:p>
        </w:tc>
        <w:tc>
          <w:tcPr>
            <w:tcW w:w="433" w:type="pct"/>
            <w:shd w:val="clear" w:color="auto" w:fill="E0EDF0"/>
          </w:tcPr>
          <w:p w:rsidR="00C63D73" w:rsidRPr="00C0561C" w:rsidP="00A37BEA" w14:paraId="4591CE8C" w14:textId="4B4427F6">
            <w:pPr>
              <w:pStyle w:val="71R"/>
              <w:spacing w:before="240" w:after="240" w:line="276" w:lineRule="auto"/>
              <w:rPr>
                <w:rtl/>
              </w:rPr>
            </w:pPr>
            <w:r w:rsidRPr="00C0561C">
              <w:rPr>
                <w:noProof/>
                <w:rtl/>
              </w:rPr>
              <mc:AlternateContent>
                <mc:Choice Requires="wps">
                  <w:drawing>
                    <wp:anchor distT="0" distB="0" distL="114300" distR="114300" simplePos="0" relativeHeight="251751424" behindDoc="0" locked="0" layoutInCell="1" allowOverlap="1">
                      <wp:simplePos x="0" y="0"/>
                      <wp:positionH relativeFrom="column">
                        <wp:posOffset>-47625</wp:posOffset>
                      </wp:positionH>
                      <wp:positionV relativeFrom="paragraph">
                        <wp:posOffset>90170</wp:posOffset>
                      </wp:positionV>
                      <wp:extent cx="371475" cy="215900"/>
                      <wp:effectExtent l="12700" t="12700" r="9525" b="12700"/>
                      <wp:wrapNone/>
                      <wp:docPr id="52" name="חץ שמאלה 52"/>
                      <wp:cNvGraphicFramePr/>
                      <a:graphic xmlns:a="http://schemas.openxmlformats.org/drawingml/2006/main">
                        <a:graphicData uri="http://schemas.microsoft.com/office/word/2010/wordprocessingShape">
                          <wps:wsp xmlns:wps="http://schemas.microsoft.com/office/word/2010/wordprocessingShape">
                            <wps:cNvSpPr/>
                            <wps:spPr>
                              <a:xfrm>
                                <a:off x="0" y="0"/>
                                <a:ext cx="371475" cy="21590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2" o:spid="_x0000_s1064" type="#_x0000_t66" style="width:29.25pt;height:17pt;margin-top:7.1pt;margin-left:-3.75pt;mso-height-percent:0;mso-height-relative:margin;mso-width-percent:0;mso-width-relative:margin;mso-wrap-distance-bottom:0;mso-wrap-distance-left:9pt;mso-wrap-distance-right:9pt;mso-wrap-distance-top:0;mso-wrap-style:square;position:absolute;visibility:visible;v-text-anchor:middle;z-index:251752448" adj="6277" fillcolor="red" strokecolor="red" strokeweight="2pt"/>
                  </w:pict>
                </mc:Fallback>
              </mc:AlternateContent>
            </w:r>
          </w:p>
        </w:tc>
        <w:tc>
          <w:tcPr>
            <w:tcW w:w="509" w:type="pct"/>
            <w:shd w:val="clear" w:color="auto" w:fill="E0EDF0"/>
          </w:tcPr>
          <w:p w:rsidR="00C63D73" w:rsidRPr="00AF4515" w:rsidP="00A37BEA" w14:paraId="05ADA0F6" w14:textId="77777777">
            <w:pPr>
              <w:pStyle w:val="71R"/>
              <w:spacing w:before="240" w:after="240" w:line="276" w:lineRule="auto"/>
              <w:rPr>
                <w:rtl/>
              </w:rPr>
            </w:pPr>
          </w:p>
        </w:tc>
        <w:tc>
          <w:tcPr>
            <w:tcW w:w="492" w:type="pct"/>
            <w:shd w:val="clear" w:color="auto" w:fill="E0EDF0"/>
          </w:tcPr>
          <w:p w:rsidR="00C63D73" w:rsidRPr="00AF4515" w:rsidP="00A37BEA" w14:paraId="7104B782" w14:textId="77777777">
            <w:pPr>
              <w:pStyle w:val="71R"/>
              <w:spacing w:before="240" w:after="240" w:line="276" w:lineRule="auto"/>
              <w:rPr>
                <w:rtl/>
              </w:rPr>
            </w:pPr>
          </w:p>
        </w:tc>
        <w:tc>
          <w:tcPr>
            <w:tcW w:w="488" w:type="pct"/>
            <w:shd w:val="clear" w:color="auto" w:fill="E0EDF0"/>
          </w:tcPr>
          <w:p w:rsidR="00C63D73" w:rsidRPr="00AF4515" w:rsidP="00A37BEA" w14:paraId="5D00F4A1" w14:textId="77777777">
            <w:pPr>
              <w:pStyle w:val="71R"/>
              <w:spacing w:before="240" w:after="240" w:line="276" w:lineRule="auto"/>
              <w:rPr>
                <w:rtl/>
              </w:rPr>
            </w:pPr>
          </w:p>
        </w:tc>
      </w:tr>
    </w:tbl>
    <w:p w:rsidR="00C94863" w:rsidP="00DB1676" w14:paraId="0B68703B" w14:textId="0228FA5C">
      <w:pPr>
        <w:bidi w:val="0"/>
        <w:spacing w:after="200" w:line="276" w:lineRule="auto"/>
        <w:jc w:val="center"/>
        <w:rPr>
          <w:szCs w:val="20"/>
          <w:rtl/>
        </w:rPr>
      </w:pPr>
      <w:r>
        <w:rPr>
          <w:szCs w:val="20"/>
          <w:rtl/>
        </w:rPr>
        <w:br w:type="page"/>
      </w:r>
    </w:p>
    <w:p w:rsidR="00F27A70" w:rsidRPr="00C94863" w:rsidP="00C94863" w14:paraId="5E9C70D4" w14:textId="5C79236D">
      <w:pPr>
        <w:pStyle w:val="7123"/>
        <w:spacing w:before="360"/>
        <w:rPr>
          <w:rtl/>
        </w:rPr>
      </w:pPr>
      <w:r>
        <w:rPr>
          <w:noProof/>
          <w:rtl/>
          <w:lang w:val="he-IL"/>
        </w:rPr>
        <mc:AlternateContent>
          <mc:Choice Requires="wpg">
            <w:drawing>
              <wp:anchor distT="0" distB="0" distL="114300" distR="114300" simplePos="0" relativeHeight="251689984"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65" style="width:368.5pt;height:2.95pt;margin-top:1pt;margin-left:-0.4pt;mso-position-horizontal-relative:margin;position:absolute;z-index:251691008" coordsize="47244,381">
                <v:line id="Straight Connector 56" o:spid="_x0000_s1066" style="flip:x;mso-wrap-style:square;position:absolute;visibility:visible" from="0,381" to="47244,381" o:connectortype="straight" strokecolor="#0d0d0d" strokeweight="1.5pt"/>
                <v:line id="Straight Connector 57" o:spid="_x0000_s1067"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2D2D9D" w:rsidRPr="00231C18" w:rsidP="002D2D9D" w14:paraId="2AAED7F0" w14:textId="77777777">
      <w:pPr>
        <w:pStyle w:val="7190"/>
        <w:rPr>
          <w:rtl/>
        </w:rPr>
      </w:pPr>
      <w:r w:rsidRPr="00231C18">
        <w:rPr>
          <w:rFonts w:hint="eastAsia"/>
          <w:rtl/>
        </w:rPr>
        <w:t>הזכות</w:t>
      </w:r>
      <w:r w:rsidRPr="00231C18">
        <w:rPr>
          <w:rtl/>
        </w:rPr>
        <w:t xml:space="preserve"> </w:t>
      </w:r>
      <w:r w:rsidRPr="00231C18">
        <w:rPr>
          <w:rFonts w:hint="eastAsia"/>
          <w:rtl/>
        </w:rPr>
        <w:t>לבריאות</w:t>
      </w:r>
      <w:r w:rsidRPr="00231C18">
        <w:rPr>
          <w:rtl/>
        </w:rPr>
        <w:t xml:space="preserve"> </w:t>
      </w:r>
      <w:r w:rsidRPr="00231C18">
        <w:rPr>
          <w:rFonts w:hint="cs"/>
          <w:rtl/>
        </w:rPr>
        <w:t>נגזרת</w:t>
      </w:r>
      <w:r w:rsidRPr="00231C18">
        <w:rPr>
          <w:rtl/>
        </w:rPr>
        <w:t xml:space="preserve"> </w:t>
      </w:r>
      <w:r w:rsidRPr="00231C18">
        <w:rPr>
          <w:rFonts w:hint="cs"/>
          <w:rtl/>
        </w:rPr>
        <w:t>מ</w:t>
      </w:r>
      <w:r w:rsidRPr="00231C18">
        <w:rPr>
          <w:rFonts w:hint="eastAsia"/>
          <w:rtl/>
        </w:rPr>
        <w:t>ערך</w:t>
      </w:r>
      <w:r w:rsidRPr="00231C18">
        <w:rPr>
          <w:rtl/>
        </w:rPr>
        <w:t xml:space="preserve"> </w:t>
      </w:r>
      <w:r w:rsidRPr="00231C18">
        <w:rPr>
          <w:rFonts w:hint="eastAsia"/>
          <w:rtl/>
        </w:rPr>
        <w:t>כבוד</w:t>
      </w:r>
      <w:r w:rsidRPr="00231C18">
        <w:rPr>
          <w:rtl/>
        </w:rPr>
        <w:t xml:space="preserve"> </w:t>
      </w:r>
      <w:r w:rsidRPr="00231C18">
        <w:rPr>
          <w:rFonts w:hint="eastAsia"/>
          <w:rtl/>
        </w:rPr>
        <w:t>האדם</w:t>
      </w:r>
      <w:r w:rsidRPr="00231C18">
        <w:rPr>
          <w:rtl/>
        </w:rPr>
        <w:t xml:space="preserve"> </w:t>
      </w:r>
      <w:r w:rsidRPr="00231C18">
        <w:rPr>
          <w:rFonts w:hint="cs"/>
          <w:rtl/>
        </w:rPr>
        <w:t xml:space="preserve">ומהמטריה החוקתית של </w:t>
      </w:r>
      <w:r w:rsidRPr="00231C18">
        <w:rPr>
          <w:rFonts w:hint="eastAsia"/>
          <w:rtl/>
        </w:rPr>
        <w:t>חוק</w:t>
      </w:r>
      <w:r w:rsidRPr="00231C18">
        <w:rPr>
          <w:rtl/>
        </w:rPr>
        <w:t xml:space="preserve"> </w:t>
      </w:r>
      <w:r w:rsidRPr="00231C18">
        <w:rPr>
          <w:rFonts w:hint="eastAsia"/>
          <w:rtl/>
        </w:rPr>
        <w:t>יסוד</w:t>
      </w:r>
      <w:r w:rsidRPr="00231C18">
        <w:rPr>
          <w:rtl/>
        </w:rPr>
        <w:t xml:space="preserve">: </w:t>
      </w:r>
      <w:r w:rsidRPr="00231C18">
        <w:rPr>
          <w:rFonts w:hint="eastAsia"/>
          <w:rtl/>
        </w:rPr>
        <w:t>כבוד</w:t>
      </w:r>
      <w:r w:rsidRPr="00231C18">
        <w:rPr>
          <w:rtl/>
        </w:rPr>
        <w:t xml:space="preserve"> </w:t>
      </w:r>
      <w:r w:rsidRPr="00231C18">
        <w:rPr>
          <w:rFonts w:hint="eastAsia"/>
          <w:rtl/>
        </w:rPr>
        <w:t>האדם</w:t>
      </w:r>
      <w:r w:rsidRPr="00231C18">
        <w:rPr>
          <w:rtl/>
        </w:rPr>
        <w:t xml:space="preserve"> </w:t>
      </w:r>
      <w:r w:rsidRPr="00231C18">
        <w:rPr>
          <w:rFonts w:hint="eastAsia"/>
          <w:rtl/>
        </w:rPr>
        <w:t>וחירותו</w:t>
      </w:r>
      <w:r w:rsidRPr="00231C18">
        <w:rPr>
          <w:rFonts w:hint="cs"/>
          <w:rtl/>
        </w:rPr>
        <w:t>. שירות בתי הסוהר מחזיק במתקניו אסירים, ומתוקף כך עליו לספק להם גם את הטיפול הרפואי שהם זקוקים לו, בהתאם לרמה המקובלת ברפואה בקהילה.</w:t>
      </w:r>
      <w:r w:rsidRPr="00231C18">
        <w:rPr>
          <w:rtl/>
        </w:rPr>
        <w:t xml:space="preserve"> </w:t>
      </w:r>
      <w:r w:rsidRPr="00231C18">
        <w:rPr>
          <w:rFonts w:hint="cs"/>
          <w:rtl/>
        </w:rPr>
        <w:t>בביקורת הקודמת עלו ליקויים בפעולות שירות בתי סוהר לגיוס וקליטה של כוח האדם הרפואי, שמירה על התשתית הפיזית של המרפאות ותפקוד המערך הפסיכיאטרי. נוסף על כך נסקרו בביקורת הקודמת המלצות ועדות וגורמים שונים בעניין בחינת מערך הרפואה בשירות בתי סוהר, וצוין שהמלצות אלה לא הבשילו לכדי גיבוש רפורמה מקיפה לשיפור מערך זה.</w:t>
      </w:r>
    </w:p>
    <w:p w:rsidR="002D2D9D" w:rsidRPr="00231C18" w:rsidP="002D2D9D" w14:paraId="109EE67C" w14:textId="77777777">
      <w:pPr>
        <w:pStyle w:val="7190"/>
        <w:rPr>
          <w:rtl/>
        </w:rPr>
      </w:pPr>
      <w:r w:rsidRPr="00231C18">
        <w:rPr>
          <w:rFonts w:hint="cs"/>
          <w:rtl/>
        </w:rPr>
        <w:t>בביקורת המעקב עלה כי חלק מהליקויים טרם תוקנו: עדיין יש מרפאות שלא שופצו או שאינן נגישות לכלואים עם מוגבלות; ו</w:t>
      </w:r>
      <w:r w:rsidRPr="00231C18">
        <w:rPr>
          <w:rtl/>
        </w:rPr>
        <w:t>הפער בין תק</w:t>
      </w:r>
      <w:r w:rsidRPr="00231C18">
        <w:rPr>
          <w:rFonts w:hint="cs"/>
          <w:rtl/>
        </w:rPr>
        <w:t>ן הרופאים</w:t>
      </w:r>
      <w:r w:rsidRPr="00231C18">
        <w:rPr>
          <w:rtl/>
        </w:rPr>
        <w:t xml:space="preserve"> </w:t>
      </w:r>
      <w:r w:rsidRPr="00231C18">
        <w:rPr>
          <w:rFonts w:hint="cs"/>
          <w:rtl/>
        </w:rPr>
        <w:t>לאיוש המשרות בפועל לא צומצם ואף ה</w:t>
      </w:r>
      <w:r w:rsidRPr="00231C18">
        <w:rPr>
          <w:rtl/>
        </w:rPr>
        <w:t>עמיק</w:t>
      </w:r>
      <w:r w:rsidRPr="00231C18">
        <w:rPr>
          <w:rFonts w:hint="cs"/>
          <w:rtl/>
        </w:rPr>
        <w:t>,</w:t>
      </w:r>
      <w:r w:rsidRPr="00231C18">
        <w:rPr>
          <w:rtl/>
        </w:rPr>
        <w:t xml:space="preserve"> ל</w:t>
      </w:r>
      <w:r w:rsidRPr="00231C18">
        <w:rPr>
          <w:rFonts w:hint="cs"/>
          <w:rtl/>
        </w:rPr>
        <w:t>עומת ה</w:t>
      </w:r>
      <w:r w:rsidRPr="00231C18">
        <w:rPr>
          <w:rtl/>
        </w:rPr>
        <w:t>פער שנמצא בביקורת הקודמת.</w:t>
      </w:r>
      <w:r w:rsidRPr="00231C18">
        <w:rPr>
          <w:rFonts w:hint="cs"/>
          <w:rtl/>
        </w:rPr>
        <w:t xml:space="preserve"> פער זה עלול אף להחריף מאחר שכמחצית הרופאים בשירות בתי סוהר הם בגיל פרישה, ומאחר שלשירות בתי הסוהר יש קושי ניכר לגייס רופאים למערך הרפואה. עם זאת, שירות בתי סוהר ביצע גם פעולות שונות לתיקון הליקויים שצוינו בדוח הקודם. למשל, יושמו רוב מסקנות ועדה בין-משרדית משנת 2015 ורוב ההיבטים בתוכנית לארגון מחדש של מערך הרפואה. </w:t>
      </w:r>
    </w:p>
    <w:p w:rsidR="00BD22B5" w:rsidP="002D2D9D" w14:paraId="73BFF308" w14:textId="3AFCE3C9">
      <w:pPr>
        <w:pStyle w:val="7190"/>
        <w:rPr>
          <w:rtl/>
        </w:rPr>
      </w:pPr>
      <w:r w:rsidRPr="00231C18">
        <w:rPr>
          <w:rFonts w:hint="cs"/>
          <w:rtl/>
        </w:rPr>
        <w:t>על שירות בתי סוהר להמשיך לפעול לחיזוק ולטיוב השירות הרפואי הניתן לכלואים, לשמור על כשירותם של צוותי הרפואה, להתאים את שירותי הרפואה לצרכים של כלואים קשישים וחולים כרוניים ולפעול להנגשה ושיפוץ של כלל המרפאות. על הממונה על השכר במשרד האוצר לפעול עם המשרד לביטחון פנים ועם שירות בתי סוהר, כדי לה</w:t>
      </w:r>
      <w:r w:rsidRPr="00231C18">
        <w:rPr>
          <w:rtl/>
        </w:rPr>
        <w:t xml:space="preserve">שלים את בחינת </w:t>
      </w:r>
      <w:r w:rsidRPr="00231C18">
        <w:rPr>
          <w:rtl/>
        </w:rPr>
        <w:t>התכנית</w:t>
      </w:r>
      <w:r w:rsidRPr="00231C18">
        <w:rPr>
          <w:rtl/>
        </w:rPr>
        <w:t xml:space="preserve"> </w:t>
      </w:r>
      <w:r w:rsidRPr="00231C18">
        <w:rPr>
          <w:rFonts w:hint="cs"/>
          <w:rtl/>
        </w:rPr>
        <w:t>לעידוד גיוס רופאים</w:t>
      </w:r>
      <w:r w:rsidRPr="00231C18">
        <w:rPr>
          <w:rtl/>
        </w:rPr>
        <w:t xml:space="preserve"> מומחים ל</w:t>
      </w:r>
      <w:r w:rsidRPr="00231C18">
        <w:rPr>
          <w:rFonts w:hint="cs"/>
          <w:rtl/>
        </w:rPr>
        <w:t>שירות בתי סוהר</w:t>
      </w:r>
      <w:r w:rsidRPr="00BD7633" w:rsidR="00BD7633">
        <w:rPr>
          <w:rtl/>
        </w:rPr>
        <w:t>.</w:t>
      </w:r>
    </w:p>
    <w:p w:rsidR="00F96F26" w:rsidP="002D2D9D" w14:paraId="1A2D546B" w14:textId="1BADEE67">
      <w:pPr>
        <w:pStyle w:val="7190"/>
        <w:bidi w:val="0"/>
        <w:sectPr w:rsidSect="00F74498">
          <w:type w:val="continuous"/>
          <w:pgSz w:w="11906" w:h="16838" w:code="9"/>
          <w:pgMar w:top="3062" w:right="2268" w:bottom="2552" w:left="2268" w:header="1134" w:footer="1361" w:gutter="0"/>
          <w:cols w:space="708"/>
          <w:bidi/>
          <w:rtlGutter/>
          <w:docGrid w:linePitch="360"/>
        </w:sectPr>
      </w:pPr>
    </w:p>
    <w:p w:rsidR="004D47C8" w:rsidP="002D2D9D" w14:paraId="66430899" w14:textId="3A3F00A8">
      <w:pPr>
        <w:pStyle w:val="7190"/>
        <w:bidi w:val="0"/>
        <w:rPr>
          <w:rFonts w:eastAsia="Times New Roman"/>
          <w:b/>
          <w:bCs/>
          <w:color w:val="00305F"/>
          <w:sz w:val="32"/>
          <w:szCs w:val="32"/>
          <w:rtl/>
        </w:rPr>
      </w:pPr>
    </w:p>
    <w:sectPr w:rsidSect="00F619AB">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02C29" w:rsidP="00C23CC9" w14:paraId="616488CD" w14:textId="77777777">
      <w:pPr>
        <w:spacing w:line="240" w:lineRule="auto"/>
      </w:pPr>
      <w:r>
        <w:separator/>
      </w:r>
    </w:p>
  </w:footnote>
  <w:footnote w:type="continuationSeparator" w:id="1">
    <w:p w:rsidR="00C02C29" w:rsidP="00C23CC9" w14:paraId="1CAFE10D" w14:textId="77777777">
      <w:pPr>
        <w:spacing w:line="240" w:lineRule="auto"/>
      </w:pPr>
      <w:r>
        <w:continuationSeparator/>
      </w:r>
    </w:p>
    <w:p w:rsidR="00C02C29" w14:paraId="22597CE7" w14:textId="77777777"/>
  </w:footnote>
  <w:footnote w:id="2">
    <w:p w:rsidR="000B5681" w:rsidRPr="0080121D" w:rsidP="0080121D" w14:paraId="00E72713" w14:textId="77777777">
      <w:pPr>
        <w:pStyle w:val="710"/>
      </w:pPr>
      <w:r w:rsidRPr="0080121D">
        <w:rPr>
          <w:rStyle w:val="71Char2"/>
        </w:rPr>
        <w:footnoteRef/>
      </w:r>
      <w:r w:rsidRPr="0080121D">
        <w:rPr>
          <w:rStyle w:val="71Char2"/>
          <w:rtl/>
        </w:rPr>
        <w:t xml:space="preserve"> </w:t>
      </w:r>
      <w:r w:rsidRPr="0080121D">
        <w:rPr>
          <w:rtl/>
        </w:rPr>
        <w:tab/>
        <w:t xml:space="preserve">הדוח עוסק ב-30 מרפאות, ללא השלוחות בפתח תקווה ובעכו. </w:t>
      </w:r>
    </w:p>
  </w:footnote>
  <w:footnote w:id="3">
    <w:p w:rsidR="000B5681" w:rsidRPr="0080121D" w:rsidP="0080121D" w14:paraId="3ED2B162" w14:textId="77777777">
      <w:pPr>
        <w:pStyle w:val="710"/>
      </w:pPr>
      <w:r w:rsidRPr="0080121D">
        <w:rPr>
          <w:rStyle w:val="71Char2"/>
        </w:rPr>
        <w:footnoteRef/>
      </w:r>
      <w:r w:rsidRPr="0080121D">
        <w:rPr>
          <w:rStyle w:val="71Char2"/>
          <w:rtl/>
        </w:rPr>
        <w:t xml:space="preserve"> </w:t>
      </w:r>
      <w:r w:rsidRPr="0080121D">
        <w:rPr>
          <w:rtl/>
        </w:rPr>
        <w:tab/>
        <w:t xml:space="preserve">מבקר המדינה, </w:t>
      </w:r>
      <w:r w:rsidRPr="0080121D">
        <w:rPr>
          <w:b/>
          <w:bCs/>
          <w:rtl/>
        </w:rPr>
        <w:t xml:space="preserve">דוח שנתי </w:t>
      </w:r>
      <w:r w:rsidRPr="0080121D">
        <w:rPr>
          <w:b/>
          <w:bCs/>
          <w:rtl/>
        </w:rPr>
        <w:t>65ג</w:t>
      </w:r>
      <w:r w:rsidRPr="0080121D">
        <w:rPr>
          <w:rtl/>
        </w:rPr>
        <w:t xml:space="preserve"> (2015)</w:t>
      </w:r>
      <w:r w:rsidRPr="0080121D">
        <w:rPr>
          <w:rFonts w:hint="cs"/>
          <w:rtl/>
        </w:rPr>
        <w:t>,</w:t>
      </w:r>
      <w:r w:rsidRPr="0080121D">
        <w:rPr>
          <w:rtl/>
        </w:rPr>
        <w:t xml:space="preserve"> "המערך הרפואי לטיפול בכלואים בשירות בתי הסוהר"</w:t>
      </w:r>
      <w:r w:rsidRPr="0080121D">
        <w:rPr>
          <w:rFonts w:hint="cs"/>
          <w:rtl/>
        </w:rPr>
        <w:t>,</w:t>
      </w:r>
      <w:r w:rsidRPr="0080121D">
        <w:rPr>
          <w:rtl/>
        </w:rPr>
        <w:t xml:space="preserve"> עמ' 385 - 430. </w:t>
      </w:r>
    </w:p>
  </w:footnote>
  <w:footnote w:id="4">
    <w:p w:rsidR="000B5681" w:rsidRPr="0080121D" w:rsidP="0080121D" w14:paraId="6B71362E" w14:textId="77777777">
      <w:pPr>
        <w:pStyle w:val="710"/>
        <w:rPr>
          <w:rtl/>
        </w:rPr>
      </w:pPr>
      <w:r w:rsidRPr="0080121D">
        <w:rPr>
          <w:rStyle w:val="71Char2"/>
        </w:rPr>
        <w:footnoteRef/>
      </w:r>
      <w:r w:rsidRPr="0080121D">
        <w:rPr>
          <w:rtl/>
        </w:rPr>
        <w:t xml:space="preserve"> </w:t>
      </w:r>
      <w:r w:rsidRPr="0080121D">
        <w:rPr>
          <w:rtl/>
        </w:rPr>
        <w:tab/>
        <w:t>חובשי עתודה הם סוהרים שסיימו קורס חובשים ייעודי ובעת הצורך משמשים גם כחובשים.</w:t>
      </w:r>
    </w:p>
  </w:footnote>
  <w:footnote w:id="5">
    <w:p w:rsidR="000B5681" w:rsidRPr="0080121D" w:rsidP="0080121D" w14:paraId="5520AD1C" w14:textId="77777777">
      <w:pPr>
        <w:pStyle w:val="710"/>
      </w:pPr>
      <w:r w:rsidRPr="0080121D">
        <w:rPr>
          <w:rStyle w:val="FootnoteReference0"/>
          <w:vertAlign w:val="baseline"/>
        </w:rPr>
        <w:footnoteRef/>
      </w:r>
      <w:r w:rsidRPr="0080121D">
        <w:rPr>
          <w:rtl/>
        </w:rPr>
        <w:t xml:space="preserve"> </w:t>
      </w:r>
      <w:r w:rsidRPr="0080121D">
        <w:rPr>
          <w:rtl/>
        </w:rPr>
        <w:tab/>
      </w:r>
      <w:r w:rsidRPr="0080121D">
        <w:rPr>
          <w:rFonts w:hint="eastAsia"/>
          <w:rtl/>
        </w:rPr>
        <w:t>בהתאם</w:t>
      </w:r>
      <w:r w:rsidRPr="0080121D">
        <w:rPr>
          <w:rtl/>
        </w:rPr>
        <w:t xml:space="preserve"> לתקנות ביטוח בריאות ממלכתי (הקצאה לקופות החולים), </w:t>
      </w:r>
      <w:r w:rsidRPr="0080121D">
        <w:rPr>
          <w:rtl/>
        </w:rPr>
        <w:t>התשנ"ה</w:t>
      </w:r>
      <w:r w:rsidRPr="0080121D">
        <w:rPr>
          <w:rtl/>
        </w:rPr>
        <w:t xml:space="preserve">-1995, לא ייכללו במבוטחים בקופות החולים תושבי ישראל שנמצאים במעצר או במאסר יותר משנה.  </w:t>
      </w:r>
    </w:p>
  </w:footnote>
  <w:footnote w:id="6">
    <w:p w:rsidR="000B5681" w:rsidRPr="0080121D" w:rsidP="0080121D" w14:paraId="55A88723" w14:textId="77777777">
      <w:pPr>
        <w:pStyle w:val="710"/>
        <w:rPr>
          <w:rtl/>
        </w:rPr>
      </w:pPr>
      <w:r w:rsidRPr="0080121D">
        <w:rPr>
          <w:rStyle w:val="FootnoteReference0"/>
          <w:vertAlign w:val="baseline"/>
        </w:rPr>
        <w:footnoteRef/>
      </w:r>
      <w:r w:rsidRPr="0080121D">
        <w:rPr>
          <w:rtl/>
        </w:rPr>
        <w:t xml:space="preserve"> </w:t>
      </w:r>
      <w:r w:rsidRPr="0080121D">
        <w:rPr>
          <w:rtl/>
        </w:rPr>
        <w:tab/>
        <w:t xml:space="preserve">ועדה בין-משרדית המשותפת למשרדי הבריאות </w:t>
      </w:r>
      <w:r w:rsidRPr="0080121D">
        <w:rPr>
          <w:rFonts w:hint="eastAsia"/>
          <w:rtl/>
        </w:rPr>
        <w:t>והבט</w:t>
      </w:r>
      <w:r w:rsidRPr="0080121D">
        <w:rPr>
          <w:rtl/>
        </w:rPr>
        <w:t>"פ</w:t>
      </w:r>
      <w:r w:rsidRPr="0080121D">
        <w:rPr>
          <w:rtl/>
        </w:rPr>
        <w:t xml:space="preserve"> בראשות ד"ר יצחק </w:t>
      </w:r>
      <w:r w:rsidRPr="0080121D">
        <w:rPr>
          <w:rFonts w:hint="eastAsia"/>
          <w:rtl/>
        </w:rPr>
        <w:t>ברלוביץ</w:t>
      </w:r>
      <w:r w:rsidRPr="0080121D">
        <w:rPr>
          <w:rtl/>
        </w:rPr>
        <w:t xml:space="preserve">, שניהל את </w:t>
      </w:r>
      <w:r w:rsidRPr="0080121D">
        <w:rPr>
          <w:rFonts w:hint="eastAsia"/>
          <w:rtl/>
        </w:rPr>
        <w:t>המרכז</w:t>
      </w:r>
      <w:r w:rsidRPr="0080121D">
        <w:rPr>
          <w:rtl/>
        </w:rPr>
        <w:t xml:space="preserve"> הרפואי על שם </w:t>
      </w:r>
      <w:r w:rsidRPr="0080121D">
        <w:rPr>
          <w:rFonts w:hint="eastAsia"/>
          <w:rtl/>
        </w:rPr>
        <w:t>אדית</w:t>
      </w:r>
      <w:r w:rsidRPr="0080121D">
        <w:rPr>
          <w:rtl/>
        </w:rPr>
        <w:t xml:space="preserve"> </w:t>
      </w:r>
      <w:r w:rsidRPr="0080121D">
        <w:rPr>
          <w:rFonts w:hint="eastAsia"/>
          <w:rtl/>
        </w:rPr>
        <w:t>וולפסון</w:t>
      </w:r>
      <w:r w:rsidRPr="0080121D">
        <w:rPr>
          <w:rtl/>
        </w:rPr>
        <w:t xml:space="preserve"> </w:t>
      </w:r>
      <w:r w:rsidRPr="0080121D">
        <w:rPr>
          <w:rFonts w:hint="eastAsia"/>
          <w:rtl/>
        </w:rPr>
        <w:t>בחולון</w:t>
      </w:r>
      <w:r w:rsidRPr="0080121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0B5681" w14:textId="7D45A96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93023E">
                            <w:rPr>
                              <w:rFonts w:ascii="Tahoma" w:hAnsi="Tahoma" w:cs="Tahoma" w:hint="cs"/>
                              <w:b/>
                              <w:bCs/>
                              <w:rtl/>
                            </w:rPr>
                            <w:t xml:space="preserve"> </w:t>
                          </w:r>
                          <w:r w:rsidR="000B5681">
                            <w:rPr>
                              <w:rFonts w:ascii="Tahoma" w:hAnsi="Tahoma" w:cs="Tahoma" w:hint="cs"/>
                              <w:b/>
                              <w:bCs/>
                              <w:rtl/>
                            </w:rPr>
                            <w:t xml:space="preserve"> </w:t>
                          </w:r>
                          <w:r w:rsidRPr="000B5681" w:rsidR="000B5681">
                            <w:rPr>
                              <w:rFonts w:ascii="Tahoma" w:hAnsi="Tahoma" w:cs="Tahoma"/>
                              <w:b/>
                              <w:bCs/>
                              <w:rtl/>
                            </w:rPr>
                            <w:t>המערך הרפואי לטיפול בכלואים בשירות בתי הסוהר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0B5681" w14:paraId="77809697" w14:textId="7D45A96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93023E">
                      <w:rPr>
                        <w:rFonts w:ascii="Tahoma" w:hAnsi="Tahoma" w:cs="Tahoma" w:hint="cs"/>
                        <w:b/>
                        <w:bCs/>
                        <w:rtl/>
                      </w:rPr>
                      <w:t xml:space="preserve"> </w:t>
                    </w:r>
                    <w:r w:rsidR="000B5681">
                      <w:rPr>
                        <w:rFonts w:ascii="Tahoma" w:hAnsi="Tahoma" w:cs="Tahoma" w:hint="cs"/>
                        <w:b/>
                        <w:bCs/>
                        <w:rtl/>
                      </w:rPr>
                      <w:t xml:space="preserve"> </w:t>
                    </w:r>
                    <w:r w:rsidRPr="000B5681" w:rsidR="000B5681">
                      <w:rPr>
                        <w:rFonts w:ascii="Tahoma" w:hAnsi="Tahoma" w:cs="Tahoma"/>
                        <w:b/>
                        <w:bCs/>
                        <w:rtl/>
                      </w:rPr>
                      <w:t>המערך הרפואי לטיפול בכלואים בשירות בתי הסוהר - ביקורת מעקב</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2D0ECD" w:rsidRPr="004D562B" w:rsidP="002D0E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2D0ECD" w:rsidRPr="004D562B" w:rsidP="002D0ECD" w14:paraId="08D5283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009B8952">
                          <w:pPr>
                            <w:jc w:val="left"/>
                            <w:rPr>
                              <w:color w:val="0D0D0D"/>
                              <w:sz w:val="16"/>
                              <w:szCs w:val="16"/>
                            </w:rPr>
                          </w:pPr>
                          <w:r w:rsidRPr="000B5681">
                            <w:rPr>
                              <w:rFonts w:ascii="Tahoma" w:hAnsi="Tahoma" w:cs="Tahoma"/>
                              <w:color w:val="0D0D0D" w:themeColor="text1" w:themeTint="F2"/>
                              <w:sz w:val="16"/>
                              <w:szCs w:val="16"/>
                              <w:rtl/>
                            </w:rPr>
                            <w:t>המערך הרפואי לטיפול בכלואים בשירות בתי הסוהר -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009B8952">
                    <w:pPr>
                      <w:jc w:val="left"/>
                      <w:rPr>
                        <w:color w:val="0D0D0D"/>
                        <w:sz w:val="16"/>
                        <w:szCs w:val="16"/>
                      </w:rPr>
                    </w:pPr>
                    <w:r w:rsidRPr="000B5681">
                      <w:rPr>
                        <w:rFonts w:ascii="Tahoma" w:hAnsi="Tahoma" w:cs="Tahoma"/>
                        <w:color w:val="0D0D0D" w:themeColor="text1" w:themeTint="F2"/>
                        <w:sz w:val="16"/>
                        <w:szCs w:val="16"/>
                        <w:rtl/>
                      </w:rPr>
                      <w:t>המערך הרפואי לטיפול בכלואים בשירות בתי הסוהר - ביקורת מעקב</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43726"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765912896"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7B83DC77">
                          <w:pPr>
                            <w:jc w:val="left"/>
                            <w:rPr>
                              <w:color w:val="0D0D0D"/>
                              <w:sz w:val="16"/>
                              <w:szCs w:val="16"/>
                            </w:rPr>
                          </w:pPr>
                          <w:r w:rsidRPr="000B5681">
                            <w:rPr>
                              <w:rFonts w:ascii="Tahoma" w:hAnsi="Tahoma" w:cs="Tahoma"/>
                              <w:color w:val="0D0D0D" w:themeColor="text1" w:themeTint="F2"/>
                              <w:sz w:val="16"/>
                              <w:szCs w:val="16"/>
                              <w:rtl/>
                            </w:rPr>
                            <w:t>המערך הרפואי לטיפול בכלואים בשירות בתי הסוהר -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7B83DC77">
                    <w:pPr>
                      <w:jc w:val="left"/>
                      <w:rPr>
                        <w:color w:val="0D0D0D"/>
                        <w:sz w:val="16"/>
                        <w:szCs w:val="16"/>
                      </w:rPr>
                    </w:pPr>
                    <w:r w:rsidRPr="000B5681">
                      <w:rPr>
                        <w:rFonts w:ascii="Tahoma" w:hAnsi="Tahoma" w:cs="Tahoma"/>
                        <w:color w:val="0D0D0D" w:themeColor="text1" w:themeTint="F2"/>
                        <w:sz w:val="16"/>
                        <w:szCs w:val="16"/>
                        <w:rtl/>
                      </w:rPr>
                      <w:t>המערך הרפואי לטיפול בכלואים בשירות בתי הסוהר - ביקורת מעקב</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10590"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3B76A6" w14:textId="57F2AC8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0B5681">
                            <w:rPr>
                              <w:rFonts w:hint="cs"/>
                              <w:sz w:val="24"/>
                              <w:szCs w:val="24"/>
                              <w:rtl/>
                            </w:rPr>
                            <w:t xml:space="preserve"> </w:t>
                          </w:r>
                          <w:r w:rsidRPr="000B5681" w:rsidR="000B5681">
                            <w:rPr>
                              <w:rFonts w:ascii="Tahoma" w:hAnsi="Tahoma" w:cs="Tahoma"/>
                              <w:b/>
                              <w:bCs/>
                              <w:rtl/>
                            </w:rPr>
                            <w:t>המערך הרפואי לטיפול בכלואים בשירות בתי הסוהר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3B76A6" w14:paraId="2873DE67" w14:textId="57F2AC8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0B5681">
                      <w:rPr>
                        <w:rFonts w:hint="cs"/>
                        <w:sz w:val="24"/>
                        <w:szCs w:val="24"/>
                        <w:rtl/>
                      </w:rPr>
                      <w:t xml:space="preserve"> </w:t>
                    </w:r>
                    <w:r w:rsidRPr="000B5681" w:rsidR="000B5681">
                      <w:rPr>
                        <w:rFonts w:ascii="Tahoma" w:hAnsi="Tahoma" w:cs="Tahoma"/>
                        <w:b/>
                        <w:bCs/>
                        <w:rtl/>
                      </w:rPr>
                      <w:t>המערך הרפואי לטיפול בכלואים בשירות בתי הסוהר -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2D0ECD" w:rsidRPr="004D562B" w:rsidP="002D0E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2D0ECD" w:rsidRPr="004D562B" w:rsidP="002D0ECD" w14:paraId="6CF9E45E"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3"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303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167E36" w14:textId="716165F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0B5681" w:rsidR="00167E36">
                            <w:rPr>
                              <w:rFonts w:ascii="Tahoma" w:hAnsi="Tahoma" w:cs="Tahoma"/>
                              <w:b/>
                              <w:bCs/>
                              <w:rtl/>
                            </w:rPr>
                            <w:t>המערך הרפואי לטיפול בכלואים בשירות בתי הסוהר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167E36" w14:paraId="1C12FDA0" w14:textId="716165F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0B5681" w:rsidR="00167E36">
                      <w:rPr>
                        <w:rFonts w:ascii="Tahoma" w:hAnsi="Tahoma" w:cs="Tahoma"/>
                        <w:b/>
                        <w:bCs/>
                        <w:rtl/>
                      </w:rPr>
                      <w:t>המערך הרפואי לטיפול בכלואים בשירות בתי הסוהר - ביקורת מעקב</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2D0ECD" w:rsidRPr="004D562B" w:rsidP="002D0E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57CC9"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2D0ECD" w:rsidRPr="004D562B" w:rsidP="002D0ECD" w14:paraId="113F252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57CC9"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8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0126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9A6466D"/>
    <w:multiLevelType w:val="hybridMultilevel"/>
    <w:tmpl w:val="479CABCA"/>
    <w:lvl w:ilvl="0">
      <w:start w:val="1"/>
      <w:numFmt w:val="decimal"/>
      <w:pStyle w:val="a38"/>
      <w:suff w:val="nothing"/>
      <w:lvlText w:val="תרשים %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D269EC"/>
    <w:multiLevelType w:val="multilevel"/>
    <w:tmpl w:val="B840205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25664E"/>
    <w:multiLevelType w:val="multilevel"/>
    <w:tmpl w:val="1D90A5DC"/>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3E55A8"/>
    <w:multiLevelType w:val="multilevel"/>
    <w:tmpl w:val="9FECA850"/>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25CF3C24"/>
    <w:multiLevelType w:val="multilevel"/>
    <w:tmpl w:val="C3BEF5D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26252031"/>
    <w:multiLevelType w:val="multilevel"/>
    <w:tmpl w:val="51D6044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BC00D50"/>
    <w:multiLevelType w:val="multilevel"/>
    <w:tmpl w:val="ED8A595A"/>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0EF0053"/>
    <w:multiLevelType w:val="multilevel"/>
    <w:tmpl w:val="18BC3ADC"/>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C722F2"/>
    <w:multiLevelType w:val="multilevel"/>
    <w:tmpl w:val="AFE8D04C"/>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2">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CED38E2"/>
    <w:multiLevelType w:val="multilevel"/>
    <w:tmpl w:val="F3FCCC70"/>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03646BC"/>
    <w:multiLevelType w:val="multilevel"/>
    <w:tmpl w:val="B484C4AC"/>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3D444E"/>
    <w:multiLevelType w:val="hybridMultilevel"/>
    <w:tmpl w:val="6C243EE8"/>
    <w:lvl w:ilvl="0">
      <w:start w:val="1"/>
      <w:numFmt w:val="decimal"/>
      <w:pStyle w:val="a39"/>
      <w:lvlText w:val="לוח %1"/>
      <w:lvlJc w:val="left"/>
      <w:pPr>
        <w:ind w:left="179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30">
    <w:nsid w:val="79BA399D"/>
    <w:multiLevelType w:val="hybridMultilevel"/>
    <w:tmpl w:val="140425C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2">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9"/>
  </w:num>
  <w:num w:numId="3">
    <w:abstractNumId w:val="23"/>
  </w:num>
  <w:num w:numId="4">
    <w:abstractNumId w:val="14"/>
  </w:num>
  <w:num w:numId="5">
    <w:abstractNumId w:val="18"/>
  </w:num>
  <w:num w:numId="6">
    <w:abstractNumId w:val="32"/>
  </w:num>
  <w:num w:numId="7">
    <w:abstractNumId w:val="0"/>
  </w:num>
  <w:num w:numId="8">
    <w:abstractNumId w:val="20"/>
  </w:num>
  <w:num w:numId="9">
    <w:abstractNumId w:val="6"/>
  </w:num>
  <w:num w:numId="10">
    <w:abstractNumId w:val="26"/>
  </w:num>
  <w:num w:numId="11">
    <w:abstractNumId w:val="5"/>
  </w:num>
  <w:num w:numId="12">
    <w:abstractNumId w:val="7"/>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25"/>
  </w:num>
  <w:num w:numId="18">
    <w:abstractNumId w:val="28"/>
  </w:num>
  <w:num w:numId="19">
    <w:abstractNumId w:val="16"/>
  </w:num>
  <w:num w:numId="20">
    <w:abstractNumId w:val="21"/>
  </w:num>
  <w:num w:numId="21">
    <w:abstractNumId w:val="1"/>
  </w:num>
  <w:num w:numId="22">
    <w:abstractNumId w:val="29"/>
  </w:num>
  <w:num w:numId="23">
    <w:abstractNumId w:val="9"/>
  </w:num>
  <w:num w:numId="24">
    <w:abstractNumId w:val="24"/>
  </w:num>
  <w:num w:numId="25">
    <w:abstractNumId w:val="27"/>
  </w:num>
  <w:num w:numId="26">
    <w:abstractNumId w:val="12"/>
  </w:num>
  <w:num w:numId="27">
    <w:abstractNumId w:val="17"/>
  </w:num>
  <w:num w:numId="28">
    <w:abstractNumId w:val="2"/>
  </w:num>
  <w:num w:numId="29">
    <w:abstractNumId w:val="13"/>
  </w:num>
  <w:num w:numId="30">
    <w:abstractNumId w:val="30"/>
  </w:num>
  <w:num w:numId="31">
    <w:abstractNumId w:val="4"/>
  </w:num>
  <w:num w:numId="32">
    <w:abstractNumId w:val="11"/>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1"/>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C93"/>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42E"/>
    <w:rsid w:val="00046670"/>
    <w:rsid w:val="000470AE"/>
    <w:rsid w:val="00047455"/>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97E"/>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817"/>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681"/>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0A"/>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329"/>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CC1"/>
    <w:rsid w:val="00161124"/>
    <w:rsid w:val="00161278"/>
    <w:rsid w:val="00161717"/>
    <w:rsid w:val="00161C3F"/>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67E36"/>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87ED8"/>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616"/>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21F"/>
    <w:rsid w:val="001E23E2"/>
    <w:rsid w:val="001E3778"/>
    <w:rsid w:val="001E3F7F"/>
    <w:rsid w:val="001E41D1"/>
    <w:rsid w:val="001E475C"/>
    <w:rsid w:val="001E5452"/>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1FA5"/>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B9B"/>
    <w:rsid w:val="00227E88"/>
    <w:rsid w:val="0023004B"/>
    <w:rsid w:val="002301B6"/>
    <w:rsid w:val="0023064F"/>
    <w:rsid w:val="00230B94"/>
    <w:rsid w:val="00231C18"/>
    <w:rsid w:val="00231C3C"/>
    <w:rsid w:val="00231DC5"/>
    <w:rsid w:val="00232836"/>
    <w:rsid w:val="002338F8"/>
    <w:rsid w:val="00234167"/>
    <w:rsid w:val="00234A15"/>
    <w:rsid w:val="00234AB5"/>
    <w:rsid w:val="00234F9B"/>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A59"/>
    <w:rsid w:val="00270C99"/>
    <w:rsid w:val="0027101D"/>
    <w:rsid w:val="0027121E"/>
    <w:rsid w:val="0027188F"/>
    <w:rsid w:val="00272237"/>
    <w:rsid w:val="002739B2"/>
    <w:rsid w:val="002739CF"/>
    <w:rsid w:val="00273D43"/>
    <w:rsid w:val="0027424D"/>
    <w:rsid w:val="00275A79"/>
    <w:rsid w:val="002763F9"/>
    <w:rsid w:val="00276D55"/>
    <w:rsid w:val="00277114"/>
    <w:rsid w:val="00277D6C"/>
    <w:rsid w:val="0028138F"/>
    <w:rsid w:val="002813A0"/>
    <w:rsid w:val="00281F46"/>
    <w:rsid w:val="00282C5A"/>
    <w:rsid w:val="00283E18"/>
    <w:rsid w:val="00283FFC"/>
    <w:rsid w:val="00284131"/>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5915"/>
    <w:rsid w:val="002C65B3"/>
    <w:rsid w:val="002C6BEC"/>
    <w:rsid w:val="002C6C7D"/>
    <w:rsid w:val="002C6D22"/>
    <w:rsid w:val="002C70A2"/>
    <w:rsid w:val="002C7D35"/>
    <w:rsid w:val="002D05EC"/>
    <w:rsid w:val="002D0ECD"/>
    <w:rsid w:val="002D1688"/>
    <w:rsid w:val="002D268F"/>
    <w:rsid w:val="002D2963"/>
    <w:rsid w:val="002D2BFB"/>
    <w:rsid w:val="002D2D9D"/>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761"/>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6E88"/>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A30"/>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1F79"/>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21DD"/>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23C"/>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99B"/>
    <w:rsid w:val="00365C9E"/>
    <w:rsid w:val="00365D63"/>
    <w:rsid w:val="00365DC9"/>
    <w:rsid w:val="00365DE2"/>
    <w:rsid w:val="0036639F"/>
    <w:rsid w:val="003668A5"/>
    <w:rsid w:val="003675CC"/>
    <w:rsid w:val="00367792"/>
    <w:rsid w:val="00367921"/>
    <w:rsid w:val="00367E47"/>
    <w:rsid w:val="0037090C"/>
    <w:rsid w:val="00370D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0D"/>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6A6"/>
    <w:rsid w:val="003B7927"/>
    <w:rsid w:val="003B7A94"/>
    <w:rsid w:val="003B7F4E"/>
    <w:rsid w:val="003C0A02"/>
    <w:rsid w:val="003C2534"/>
    <w:rsid w:val="003C26AC"/>
    <w:rsid w:val="003C2A0B"/>
    <w:rsid w:val="003C2EC6"/>
    <w:rsid w:val="003C3154"/>
    <w:rsid w:val="003C32FE"/>
    <w:rsid w:val="003C3358"/>
    <w:rsid w:val="003C3E7A"/>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17C"/>
    <w:rsid w:val="0042151A"/>
    <w:rsid w:val="00421D2C"/>
    <w:rsid w:val="0042232C"/>
    <w:rsid w:val="0042242E"/>
    <w:rsid w:val="00422E1E"/>
    <w:rsid w:val="004232CF"/>
    <w:rsid w:val="0042407A"/>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38F"/>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00E"/>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5B1"/>
    <w:rsid w:val="004A5AE0"/>
    <w:rsid w:val="004A5D89"/>
    <w:rsid w:val="004A5F0F"/>
    <w:rsid w:val="004A5FCA"/>
    <w:rsid w:val="004A68B3"/>
    <w:rsid w:val="004A6B9E"/>
    <w:rsid w:val="004A6C9C"/>
    <w:rsid w:val="004A6CC0"/>
    <w:rsid w:val="004A6FE6"/>
    <w:rsid w:val="004A7203"/>
    <w:rsid w:val="004A77C4"/>
    <w:rsid w:val="004A7ABE"/>
    <w:rsid w:val="004A7F65"/>
    <w:rsid w:val="004B09A3"/>
    <w:rsid w:val="004B0CA0"/>
    <w:rsid w:val="004B117A"/>
    <w:rsid w:val="004B18AE"/>
    <w:rsid w:val="004B1924"/>
    <w:rsid w:val="004B21B0"/>
    <w:rsid w:val="004B2564"/>
    <w:rsid w:val="004B2751"/>
    <w:rsid w:val="004B2D77"/>
    <w:rsid w:val="004B2F85"/>
    <w:rsid w:val="004B3850"/>
    <w:rsid w:val="004B42DF"/>
    <w:rsid w:val="004B4756"/>
    <w:rsid w:val="004B4AC8"/>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CB1"/>
    <w:rsid w:val="004F4F1F"/>
    <w:rsid w:val="004F4F7A"/>
    <w:rsid w:val="004F4F85"/>
    <w:rsid w:val="004F539A"/>
    <w:rsid w:val="004F5524"/>
    <w:rsid w:val="004F5B56"/>
    <w:rsid w:val="004F679D"/>
    <w:rsid w:val="004F717A"/>
    <w:rsid w:val="004F7AE0"/>
    <w:rsid w:val="004F7C4F"/>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0F6"/>
    <w:rsid w:val="005A7389"/>
    <w:rsid w:val="005A78EE"/>
    <w:rsid w:val="005A7CA2"/>
    <w:rsid w:val="005A7DBA"/>
    <w:rsid w:val="005B02F2"/>
    <w:rsid w:val="005B095F"/>
    <w:rsid w:val="005B1071"/>
    <w:rsid w:val="005B14CC"/>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8FF"/>
    <w:rsid w:val="005F7CC7"/>
    <w:rsid w:val="00600F74"/>
    <w:rsid w:val="00601269"/>
    <w:rsid w:val="00601462"/>
    <w:rsid w:val="00601C2F"/>
    <w:rsid w:val="00602BBC"/>
    <w:rsid w:val="00603ABE"/>
    <w:rsid w:val="00603F19"/>
    <w:rsid w:val="00604023"/>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B9F"/>
    <w:rsid w:val="00614C2B"/>
    <w:rsid w:val="00614C2C"/>
    <w:rsid w:val="00614E96"/>
    <w:rsid w:val="00614EA9"/>
    <w:rsid w:val="00615072"/>
    <w:rsid w:val="00615EA0"/>
    <w:rsid w:val="00615F30"/>
    <w:rsid w:val="00616E27"/>
    <w:rsid w:val="00617088"/>
    <w:rsid w:val="006177D9"/>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1AC"/>
    <w:rsid w:val="00634521"/>
    <w:rsid w:val="0063468C"/>
    <w:rsid w:val="00634DAD"/>
    <w:rsid w:val="006356A3"/>
    <w:rsid w:val="006356C7"/>
    <w:rsid w:val="00635866"/>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182E"/>
    <w:rsid w:val="00642202"/>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5C45"/>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280"/>
    <w:rsid w:val="00661D76"/>
    <w:rsid w:val="00661E8F"/>
    <w:rsid w:val="00662044"/>
    <w:rsid w:val="00662340"/>
    <w:rsid w:val="006623BF"/>
    <w:rsid w:val="006624F0"/>
    <w:rsid w:val="0066294A"/>
    <w:rsid w:val="0066318C"/>
    <w:rsid w:val="006637B9"/>
    <w:rsid w:val="00663AAC"/>
    <w:rsid w:val="00663E36"/>
    <w:rsid w:val="00664533"/>
    <w:rsid w:val="0066498E"/>
    <w:rsid w:val="00664A6F"/>
    <w:rsid w:val="00664E9E"/>
    <w:rsid w:val="006653D3"/>
    <w:rsid w:val="006659DD"/>
    <w:rsid w:val="00665B84"/>
    <w:rsid w:val="006661AD"/>
    <w:rsid w:val="006662AD"/>
    <w:rsid w:val="006668CA"/>
    <w:rsid w:val="00666E99"/>
    <w:rsid w:val="006673DD"/>
    <w:rsid w:val="0066760C"/>
    <w:rsid w:val="00667ABB"/>
    <w:rsid w:val="006702ED"/>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488"/>
    <w:rsid w:val="006B1754"/>
    <w:rsid w:val="006B1A63"/>
    <w:rsid w:val="006B2242"/>
    <w:rsid w:val="006B2A03"/>
    <w:rsid w:val="006B2ABD"/>
    <w:rsid w:val="006B2E94"/>
    <w:rsid w:val="006B33D9"/>
    <w:rsid w:val="006B3858"/>
    <w:rsid w:val="006B424E"/>
    <w:rsid w:val="006B4953"/>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34"/>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4AE3"/>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9AA"/>
    <w:rsid w:val="006F19AB"/>
    <w:rsid w:val="006F1C6E"/>
    <w:rsid w:val="006F26FB"/>
    <w:rsid w:val="006F281D"/>
    <w:rsid w:val="006F285F"/>
    <w:rsid w:val="006F3142"/>
    <w:rsid w:val="006F347B"/>
    <w:rsid w:val="006F3536"/>
    <w:rsid w:val="006F361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1709"/>
    <w:rsid w:val="00741C8D"/>
    <w:rsid w:val="00742601"/>
    <w:rsid w:val="007429AC"/>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0CDD"/>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0A2C"/>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B7D99"/>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21D"/>
    <w:rsid w:val="0080175F"/>
    <w:rsid w:val="00801F46"/>
    <w:rsid w:val="00802129"/>
    <w:rsid w:val="008024D4"/>
    <w:rsid w:val="008027B3"/>
    <w:rsid w:val="00802E55"/>
    <w:rsid w:val="00803382"/>
    <w:rsid w:val="00803CE5"/>
    <w:rsid w:val="00804642"/>
    <w:rsid w:val="008050AB"/>
    <w:rsid w:val="00805475"/>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7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3B"/>
    <w:rsid w:val="00852890"/>
    <w:rsid w:val="0085318D"/>
    <w:rsid w:val="008547B9"/>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A2D"/>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A7C"/>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61C"/>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DC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023E"/>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53"/>
    <w:rsid w:val="00947A99"/>
    <w:rsid w:val="00947C8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BA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B6B"/>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4B8E"/>
    <w:rsid w:val="00A15500"/>
    <w:rsid w:val="00A155A6"/>
    <w:rsid w:val="00A15B34"/>
    <w:rsid w:val="00A1634E"/>
    <w:rsid w:val="00A16421"/>
    <w:rsid w:val="00A1647B"/>
    <w:rsid w:val="00A164C6"/>
    <w:rsid w:val="00A1708C"/>
    <w:rsid w:val="00A1771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37BEA"/>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CC9"/>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0F0"/>
    <w:rsid w:val="00AB2400"/>
    <w:rsid w:val="00AB25DF"/>
    <w:rsid w:val="00AB2CE6"/>
    <w:rsid w:val="00AB4B7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2D9D"/>
    <w:rsid w:val="00AF3889"/>
    <w:rsid w:val="00AF39DC"/>
    <w:rsid w:val="00AF3BD3"/>
    <w:rsid w:val="00AF3F13"/>
    <w:rsid w:val="00AF3FE3"/>
    <w:rsid w:val="00AF4515"/>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1D62"/>
    <w:rsid w:val="00B32623"/>
    <w:rsid w:val="00B331DC"/>
    <w:rsid w:val="00B33BCF"/>
    <w:rsid w:val="00B3444E"/>
    <w:rsid w:val="00B35546"/>
    <w:rsid w:val="00B3556A"/>
    <w:rsid w:val="00B35594"/>
    <w:rsid w:val="00B3580D"/>
    <w:rsid w:val="00B35E2D"/>
    <w:rsid w:val="00B36B6D"/>
    <w:rsid w:val="00B3756E"/>
    <w:rsid w:val="00B4017B"/>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5FC"/>
    <w:rsid w:val="00B507E9"/>
    <w:rsid w:val="00B50802"/>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5373"/>
    <w:rsid w:val="00B6668D"/>
    <w:rsid w:val="00B666B9"/>
    <w:rsid w:val="00B66A94"/>
    <w:rsid w:val="00B66F81"/>
    <w:rsid w:val="00B67145"/>
    <w:rsid w:val="00B677F1"/>
    <w:rsid w:val="00B67914"/>
    <w:rsid w:val="00B70767"/>
    <w:rsid w:val="00B707AF"/>
    <w:rsid w:val="00B70882"/>
    <w:rsid w:val="00B709B8"/>
    <w:rsid w:val="00B70DC2"/>
    <w:rsid w:val="00B717DC"/>
    <w:rsid w:val="00B72BC9"/>
    <w:rsid w:val="00B72D75"/>
    <w:rsid w:val="00B72F97"/>
    <w:rsid w:val="00B73165"/>
    <w:rsid w:val="00B738EA"/>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342"/>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83E"/>
    <w:rsid w:val="00BF5BF6"/>
    <w:rsid w:val="00BF5E37"/>
    <w:rsid w:val="00BF5FE4"/>
    <w:rsid w:val="00BF6983"/>
    <w:rsid w:val="00BF70D4"/>
    <w:rsid w:val="00BF71E4"/>
    <w:rsid w:val="00BF7831"/>
    <w:rsid w:val="00BF7B13"/>
    <w:rsid w:val="00C010A6"/>
    <w:rsid w:val="00C0163D"/>
    <w:rsid w:val="00C017CA"/>
    <w:rsid w:val="00C02152"/>
    <w:rsid w:val="00C0264E"/>
    <w:rsid w:val="00C02C29"/>
    <w:rsid w:val="00C03CE8"/>
    <w:rsid w:val="00C0494D"/>
    <w:rsid w:val="00C0531C"/>
    <w:rsid w:val="00C056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4A"/>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6B9"/>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D73"/>
    <w:rsid w:val="00C63E6F"/>
    <w:rsid w:val="00C63F9B"/>
    <w:rsid w:val="00C64069"/>
    <w:rsid w:val="00C6477F"/>
    <w:rsid w:val="00C64871"/>
    <w:rsid w:val="00C64B36"/>
    <w:rsid w:val="00C64C87"/>
    <w:rsid w:val="00C653BA"/>
    <w:rsid w:val="00C657B4"/>
    <w:rsid w:val="00C669AF"/>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30"/>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3C"/>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A5C"/>
    <w:rsid w:val="00CF5173"/>
    <w:rsid w:val="00CF51E8"/>
    <w:rsid w:val="00CF5BA3"/>
    <w:rsid w:val="00CF5F43"/>
    <w:rsid w:val="00CF637A"/>
    <w:rsid w:val="00CF6719"/>
    <w:rsid w:val="00CF6A48"/>
    <w:rsid w:val="00CF74F4"/>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515"/>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8D8"/>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06"/>
    <w:rsid w:val="00DA0755"/>
    <w:rsid w:val="00DA077C"/>
    <w:rsid w:val="00DA08A5"/>
    <w:rsid w:val="00DA19B5"/>
    <w:rsid w:val="00DA1C74"/>
    <w:rsid w:val="00DA2219"/>
    <w:rsid w:val="00DA23AB"/>
    <w:rsid w:val="00DA2B4B"/>
    <w:rsid w:val="00DA4512"/>
    <w:rsid w:val="00DA4D03"/>
    <w:rsid w:val="00DA4EAF"/>
    <w:rsid w:val="00DA5929"/>
    <w:rsid w:val="00DA5A16"/>
    <w:rsid w:val="00DA6949"/>
    <w:rsid w:val="00DA6FBC"/>
    <w:rsid w:val="00DA778B"/>
    <w:rsid w:val="00DA7D0B"/>
    <w:rsid w:val="00DB0639"/>
    <w:rsid w:val="00DB07CA"/>
    <w:rsid w:val="00DB0823"/>
    <w:rsid w:val="00DB0E2A"/>
    <w:rsid w:val="00DB111E"/>
    <w:rsid w:val="00DB1676"/>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6BD8"/>
    <w:rsid w:val="00DC7C31"/>
    <w:rsid w:val="00DD0C3F"/>
    <w:rsid w:val="00DD1F41"/>
    <w:rsid w:val="00DD26CC"/>
    <w:rsid w:val="00DD3543"/>
    <w:rsid w:val="00DD3544"/>
    <w:rsid w:val="00DD3766"/>
    <w:rsid w:val="00DD380F"/>
    <w:rsid w:val="00DD3FA7"/>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ECA"/>
    <w:rsid w:val="00DE42EA"/>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352"/>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7B"/>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7F3"/>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4E07"/>
    <w:rsid w:val="00E4510E"/>
    <w:rsid w:val="00E45294"/>
    <w:rsid w:val="00E45D97"/>
    <w:rsid w:val="00E46906"/>
    <w:rsid w:val="00E46EA3"/>
    <w:rsid w:val="00E4783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C32"/>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8C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235"/>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A74"/>
    <w:rsid w:val="00F15C5E"/>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61E"/>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12B"/>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56"/>
    <w:rsid w:val="00FB3DE3"/>
    <w:rsid w:val="00FB3F26"/>
    <w:rsid w:val="00FB4C8E"/>
    <w:rsid w:val="00FB4D15"/>
    <w:rsid w:val="00FB4D9E"/>
    <w:rsid w:val="00FB4E84"/>
    <w:rsid w:val="00FB50AA"/>
    <w:rsid w:val="00FB58B2"/>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pPr>
      <w:ind w:left="1191" w:hanging="397"/>
    </w:pPr>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character" w:customStyle="1" w:styleId="Headerorfooter11pt">
    <w:name w:val="Header or footer + 11 pt"/>
    <w:basedOn w:val="Headerorfooter"/>
    <w:rsid w:val="0064220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e-IL" w:eastAsia="he-IL" w:bidi="he-IL"/>
    </w:rPr>
  </w:style>
  <w:style w:type="character" w:customStyle="1" w:styleId="Bodytext7Bold">
    <w:name w:val="Body text (7) + Bold"/>
    <w:basedOn w:val="Bodytext7"/>
    <w:rsid w:val="00642202"/>
    <w:rPr>
      <w:rFonts w:eastAsia="Times New Roman" w:cs="Times New Roman"/>
      <w:b/>
      <w:bCs/>
      <w:color w:val="000000"/>
      <w:spacing w:val="0"/>
      <w:w w:val="100"/>
      <w:position w:val="0"/>
      <w:sz w:val="24"/>
      <w:szCs w:val="24"/>
      <w:shd w:val="clear" w:color="auto" w:fill="FFFFFF"/>
      <w:lang w:val="he-IL" w:eastAsia="he-IL" w:bidi="he-IL"/>
    </w:rPr>
  </w:style>
  <w:style w:type="table" w:styleId="PlainTable3">
    <w:name w:val="Plain Table 3"/>
    <w:basedOn w:val="TableNormal"/>
    <w:uiPriority w:val="43"/>
    <w:rsid w:val="006422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6422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37">
    <w:name w:val="סגנון בסיס"/>
    <w:basedOn w:val="Normal"/>
    <w:rsid w:val="00642202"/>
    <w:pPr>
      <w:spacing w:line="360" w:lineRule="auto"/>
      <w:ind w:right="360"/>
    </w:pPr>
    <w:rPr>
      <w:rFonts w:eastAsia="Times New Roman" w:cs="Narkisim"/>
      <w:sz w:val="24"/>
      <w:szCs w:val="25"/>
      <w:lang w:eastAsia="he-IL"/>
    </w:rPr>
  </w:style>
  <w:style w:type="character" w:customStyle="1" w:styleId="main">
    <w:name w:val="main"/>
    <w:basedOn w:val="DefaultParagraphFont"/>
    <w:rsid w:val="00642202"/>
  </w:style>
  <w:style w:type="character" w:customStyle="1" w:styleId="example">
    <w:name w:val="example"/>
    <w:basedOn w:val="DefaultParagraphFont"/>
    <w:rsid w:val="00642202"/>
  </w:style>
  <w:style w:type="character" w:customStyle="1" w:styleId="hebrewoption">
    <w:name w:val="hebrew_option"/>
    <w:basedOn w:val="DefaultParagraphFont"/>
    <w:rsid w:val="00642202"/>
  </w:style>
  <w:style w:type="character" w:customStyle="1" w:styleId="718Char">
    <w:name w:val="71ג כותרת 8 בתוך טקסט Char"/>
    <w:basedOn w:val="DefaultParagraphFont"/>
    <w:link w:val="7180"/>
    <w:rsid w:val="00331F79"/>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331F79"/>
    <w:pPr>
      <w:spacing w:after="180" w:line="260" w:lineRule="exact"/>
    </w:pPr>
    <w:rPr>
      <w:rFonts w:ascii="Tahoma" w:hAnsi="Tahoma" w:cs="Tahoma"/>
      <w:color w:val="0D0D0D" w:themeColor="text1" w:themeTint="F2"/>
      <w:spacing w:val="20"/>
      <w:sz w:val="19"/>
      <w:szCs w:val="19"/>
    </w:rPr>
  </w:style>
  <w:style w:type="table" w:styleId="GridTable4Accent5">
    <w:name w:val="Grid Table 4 Accent 5"/>
    <w:basedOn w:val="TableNormal"/>
    <w:uiPriority w:val="49"/>
    <w:rsid w:val="006B495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38">
    <w:name w:val="כותרת תרשים"/>
    <w:basedOn w:val="Normal"/>
    <w:next w:val="Normal"/>
    <w:link w:val="a40"/>
    <w:qFormat/>
    <w:rsid w:val="006B4953"/>
    <w:pPr>
      <w:keepNext/>
      <w:keepLines/>
      <w:numPr>
        <w:numId w:val="21"/>
      </w:numPr>
      <w:ind w:left="714" w:hanging="357"/>
      <w:jc w:val="center"/>
    </w:pPr>
    <w:rPr>
      <w:b/>
      <w:bCs/>
    </w:rPr>
  </w:style>
  <w:style w:type="paragraph" w:customStyle="1" w:styleId="a39">
    <w:name w:val="כותרת לוח"/>
    <w:basedOn w:val="Normal"/>
    <w:next w:val="Normal"/>
    <w:link w:val="a41"/>
    <w:qFormat/>
    <w:rsid w:val="006B4953"/>
    <w:pPr>
      <w:keepNext/>
      <w:keepLines/>
      <w:numPr>
        <w:numId w:val="22"/>
      </w:numPr>
      <w:jc w:val="center"/>
    </w:pPr>
    <w:rPr>
      <w:b/>
      <w:bCs/>
    </w:rPr>
  </w:style>
  <w:style w:type="character" w:customStyle="1" w:styleId="a40">
    <w:name w:val="כותרת תרשים תו"/>
    <w:basedOn w:val="DefaultParagraphFont"/>
    <w:link w:val="a38"/>
    <w:rsid w:val="006B4953"/>
    <w:rPr>
      <w:b/>
      <w:bCs/>
    </w:rPr>
  </w:style>
  <w:style w:type="character" w:customStyle="1" w:styleId="a41">
    <w:name w:val="כותרת לוח תו"/>
    <w:basedOn w:val="DefaultParagraphFont"/>
    <w:link w:val="a39"/>
    <w:rsid w:val="006B4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image" Target="media/image13.jpeg"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image" Target="media/image14.jpeg" /><Relationship Id="rId29" Type="http://schemas.openxmlformats.org/officeDocument/2006/relationships/image" Target="media/image15.png" /><Relationship Id="rId3" Type="http://schemas.openxmlformats.org/officeDocument/2006/relationships/webSettings" Target="webSettings.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1.jpeg" /><Relationship Id="rId2" Type="http://schemas.openxmlformats.org/officeDocument/2006/relationships/image" Target="media/image12.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6.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DDDF-2BF8-48D8-ABCD-73F54B0C0C66}"/>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