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2AC32F3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3068933</wp:posOffset>
                </wp:positionH>
                <wp:positionV relativeFrom="paragraph">
                  <wp:posOffset>369350</wp:posOffset>
                </wp:positionV>
                <wp:extent cx="0" cy="3556701"/>
                <wp:effectExtent l="25400" t="0" r="25400" b="2476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5670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8" style="mso-height-percent:0;mso-height-relative:margin;mso-wrap-distance-bottom:0;mso-wrap-distance-left:9pt;mso-wrap-distance-right:9pt;mso-wrap-distance-top:0;mso-wrap-style:square;position:absolute;visibility:visible;z-index:251667456" from="241.65pt,29.1pt" to="241.65pt,309.1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-475331</wp:posOffset>
                </wp:positionH>
                <wp:positionV relativeFrom="paragraph">
                  <wp:posOffset>2097339</wp:posOffset>
                </wp:positionV>
                <wp:extent cx="3331451" cy="0"/>
                <wp:effectExtent l="12700" t="12700" r="889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33145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37.45pt,165.15pt" to="224.85pt,165.1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-330835</wp:posOffset>
                </wp:positionH>
                <wp:positionV relativeFrom="paragraph">
                  <wp:posOffset>261620</wp:posOffset>
                </wp:positionV>
                <wp:extent cx="4743450" cy="4273550"/>
                <wp:effectExtent l="0" t="0" r="635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345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8A09DA" w:rsidRPr="0052031E" w:rsidP="008A09DA"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034E" w:rsidP="0052031E" w14:textId="77777777">
                            <w:pPr>
                              <w:ind w:left="2268"/>
                              <w:rPr>
                                <w:rtl/>
                              </w:rPr>
                            </w:pPr>
                          </w:p>
                          <w:p w:rsidR="0067034E" w:rsidP="0052031E" w14:textId="77777777">
                            <w:pPr>
                              <w:ind w:left="2268"/>
                              <w:rPr>
                                <w:rtl/>
                              </w:rPr>
                            </w:pPr>
                          </w:p>
                          <w:p w:rsidR="00CB22A1" w:rsidRPr="00876ED9" w:rsidP="00DC7B65" w14:textId="6720FF7D">
                            <w:pPr>
                              <w:ind w:left="2268"/>
                              <w:jc w:val="left"/>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עמידר, החברה הלאומית לשיכון בישראל בע״מ</w:t>
                            </w:r>
                          </w:p>
                          <w:p w:rsidR="00CB22A1" w:rsidP="002D268F" w14:textId="1D1657E7">
                            <w:pPr>
                              <w:spacing w:before="360" w:line="600" w:lineRule="exact"/>
                              <w:ind w:left="2268"/>
                              <w:jc w:val="left"/>
                              <w:rPr>
                                <w:rFonts w:ascii="Tahoma" w:hAnsi="Tahoma" w:cs="Tahoma"/>
                                <w:b/>
                                <w:bCs/>
                                <w:color w:val="FFFFFF" w:themeColor="background1"/>
                                <w:sz w:val="44"/>
                                <w:szCs w:val="44"/>
                              </w:rPr>
                            </w:pPr>
                            <w:r w:rsidRPr="002343D6">
                              <w:rPr>
                                <w:rFonts w:ascii="Tahoma" w:hAnsi="Tahoma" w:cs="Tahoma"/>
                                <w:b/>
                                <w:bCs/>
                                <w:color w:val="FFFFFF" w:themeColor="background1"/>
                                <w:sz w:val="44"/>
                                <w:szCs w:val="44"/>
                                <w:rtl/>
                              </w:rPr>
                              <w:t>תחזוקת דירות עמידר - החברה הלאומית לשיכון בישראל בע"מ</w:t>
                            </w:r>
                          </w:p>
                          <w:p w:rsidR="006225BB"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73.5pt;height:336.5pt;margin-top:20.6pt;margin-left:-26.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8A09DA" w:rsidRPr="0052031E" w:rsidP="008A09DA" w14:paraId="2774E9E1"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034E" w:rsidP="0052031E" w14:paraId="31D039FF" w14:textId="77777777">
                      <w:pPr>
                        <w:ind w:left="2268"/>
                        <w:rPr>
                          <w:rtl/>
                        </w:rPr>
                      </w:pPr>
                    </w:p>
                    <w:p w:rsidR="0067034E" w:rsidP="0052031E" w14:paraId="6B6D4FB8" w14:textId="77777777">
                      <w:pPr>
                        <w:ind w:left="2268"/>
                        <w:rPr>
                          <w:rtl/>
                        </w:rPr>
                      </w:pPr>
                    </w:p>
                    <w:p w:rsidR="00CB22A1" w:rsidRPr="00876ED9" w:rsidP="00DC7B65" w14:paraId="028C1DED" w14:textId="6720FF7D">
                      <w:pPr>
                        <w:ind w:left="2268"/>
                        <w:jc w:val="left"/>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עמידר, החברה הלאומית לשיכון בישראל בע״מ</w:t>
                      </w:r>
                    </w:p>
                    <w:p w:rsidR="00CB22A1" w:rsidP="002D268F" w14:paraId="5464BE8D" w14:textId="1D1657E7">
                      <w:pPr>
                        <w:spacing w:before="360" w:line="600" w:lineRule="exact"/>
                        <w:ind w:left="2268"/>
                        <w:jc w:val="left"/>
                        <w:rPr>
                          <w:rFonts w:ascii="Tahoma" w:hAnsi="Tahoma" w:cs="Tahoma"/>
                          <w:b/>
                          <w:bCs/>
                          <w:color w:val="FFFFFF" w:themeColor="background1"/>
                          <w:sz w:val="44"/>
                          <w:szCs w:val="44"/>
                        </w:rPr>
                      </w:pPr>
                      <w:r w:rsidRPr="002343D6">
                        <w:rPr>
                          <w:rFonts w:ascii="Tahoma" w:hAnsi="Tahoma" w:cs="Tahoma"/>
                          <w:b/>
                          <w:bCs/>
                          <w:color w:val="FFFFFF" w:themeColor="background1"/>
                          <w:sz w:val="44"/>
                          <w:szCs w:val="44"/>
                          <w:rtl/>
                        </w:rPr>
                        <w:t>תחזוקת דירות עמידר - החברה הלאומית לשיכון בישראל בע"מ</w:t>
                      </w:r>
                    </w:p>
                    <w:p w:rsidR="006225BB" w:rsidRPr="00344BBF" w:rsidP="002D268F" w14:paraId="7D36E951"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9849525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36241"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269B9DBF">
      <w:pPr>
        <w:pStyle w:val="7125"/>
        <w:rPr>
          <w:rtl/>
        </w:rPr>
      </w:pPr>
      <w:r>
        <w:rPr>
          <w:noProof/>
          <w:rtl/>
          <w:lang w:val="he-IL"/>
        </w:rPr>
        <mc:AlternateContent>
          <mc:Choice Requires="wps">
            <w:drawing>
              <wp:anchor distT="0" distB="0" distL="114300" distR="114300" simplePos="0" relativeHeight="251720704" behindDoc="0" locked="0" layoutInCell="1" allowOverlap="1">
                <wp:simplePos x="0" y="0"/>
                <wp:positionH relativeFrom="column">
                  <wp:posOffset>-662093</wp:posOffset>
                </wp:positionH>
                <wp:positionV relativeFrom="paragraph">
                  <wp:posOffset>317077</wp:posOffset>
                </wp:positionV>
                <wp:extent cx="186690" cy="4478020"/>
                <wp:effectExtent l="12700" t="12700" r="16510" b="17780"/>
                <wp:wrapNone/>
                <wp:docPr id="1063203515"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86690" cy="447802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6" o:spid="_x0000_s1032" style="width:14.7pt;height:352.6pt;margin-top:24.95pt;margin-left:-52.15pt;mso-height-percent:0;mso-height-relative:margin;mso-wrap-distance-bottom:0;mso-wrap-distance-left:9pt;mso-wrap-distance-right:9pt;mso-wrap-distance-top:0;mso-wrap-style:square;position:absolute;visibility:visible;v-text-anchor:middle;z-index:251721728" fillcolor="#00305f" strokecolor="#00305f" strokeweight="2pt"/>
            </w:pict>
          </mc:Fallback>
        </mc:AlternateContent>
      </w:r>
      <w:r w:rsidR="004A1CC3">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942340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45056"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2343D6" w:rsidR="002343D6">
        <w:rPr>
          <w:rtl/>
        </w:rPr>
        <w:t>תחזוקת דירות עמידר - החברה הלאומית לשיכון בישראל בע"מ</w:t>
      </w:r>
    </w:p>
    <w:p w:rsidR="008255D0" w:rsidP="000E71A5" w14:paraId="0C0FDA6E" w14:textId="3B12FDB5">
      <w:pPr>
        <w:pStyle w:val="7190"/>
        <w:spacing w:after="0"/>
        <w:rPr>
          <w:rtl/>
        </w:rPr>
      </w:pPr>
    </w:p>
    <w:p w:rsidR="002343D6" w:rsidRPr="004D1A74" w:rsidP="002343D6" w14:paraId="17F303BF" w14:textId="77777777">
      <w:pPr>
        <w:framePr w:hSpace="180" w:wrap="around" w:vAnchor="text" w:hAnchor="text" w:xAlign="center" w:y="1"/>
        <w:spacing w:after="120" w:line="276" w:lineRule="auto"/>
        <w:suppressOverlap/>
        <w:rPr>
          <w:rFonts w:ascii="Tahoma" w:hAnsi="Tahoma" w:cs="Tahoma"/>
          <w:color w:val="0D0D0D" w:themeColor="text1" w:themeTint="F2"/>
          <w:sz w:val="18"/>
          <w:szCs w:val="18"/>
          <w:rtl/>
        </w:rPr>
      </w:pPr>
      <w:r w:rsidRPr="004D1A74">
        <w:rPr>
          <w:rFonts w:ascii="Tahoma" w:hAnsi="Tahoma" w:cs="Tahoma"/>
          <w:color w:val="0D0D0D" w:themeColor="text1" w:themeTint="F2"/>
          <w:sz w:val="18"/>
          <w:szCs w:val="18"/>
          <w:rtl/>
        </w:rPr>
        <w:t xml:space="preserve">עמידר, החברה הלאומית לשיכון בישראל בע"מ, היא חברה ממשלתית כהגדרתה בחוק החברות הממשלתיות, </w:t>
      </w:r>
      <w:r w:rsidRPr="004D1A74">
        <w:rPr>
          <w:rFonts w:ascii="Tahoma" w:hAnsi="Tahoma" w:cs="Tahoma"/>
          <w:color w:val="0D0D0D" w:themeColor="text1" w:themeTint="F2"/>
          <w:sz w:val="18"/>
          <w:szCs w:val="18"/>
          <w:rtl/>
        </w:rPr>
        <w:t>התשל"ה</w:t>
      </w:r>
      <w:r w:rsidRPr="004D1A74">
        <w:rPr>
          <w:rFonts w:ascii="Tahoma" w:hAnsi="Tahoma" w:cs="Tahoma"/>
          <w:color w:val="0D0D0D" w:themeColor="text1" w:themeTint="F2"/>
          <w:sz w:val="18"/>
          <w:szCs w:val="18"/>
          <w:rtl/>
        </w:rPr>
        <w:t>-1975 והשליטה בה נמצאת במלואה בידי המדינה. עיקר פעילותה הוא ניהול, השכרה ומכירה של כ-38,000 דירות הדיור הציבורי, שברובן ככולן מתגוררים דיירים הנמנים עם אוכלוסיות במצב סוציו-אקונומי נמוך במדינת ישראל. את פעילותה זו עושה עמידר מכוח הסכמי ניהול שנחתמו עם משרד הבינוי והשיכון שהאחריות הכוללת על הדיור הציבורי מוטלת עליו והוא אמור לפקח על ניהולו. במסגרת הסכם הניהול התחייבה עמידר לנהל את מערך הדירות, לשכן את הדיירים ולטפל בהם במהלך מגוריהם, על פי כללים והנחיות של משרד הבינוי והשיכון. בהסכם נקבעו בין היתר השירותים שעל עמידר לספק וכן מדדי השירות.</w:t>
      </w:r>
    </w:p>
    <w:p w:rsidR="009E3D6D" w:rsidRPr="00F05330" w:rsidP="002343D6" w14:paraId="438CAA5E" w14:textId="44E53837">
      <w:pPr>
        <w:pStyle w:val="7190"/>
        <w:rPr>
          <w:rtl/>
        </w:rPr>
      </w:pPr>
      <w:r w:rsidRPr="004D1A74">
        <w:rPr>
          <w:rtl/>
        </w:rPr>
        <w:t>עמידר מנהלת את הדיור הציבורי באמצעות 15 מרכזי שירות המפוזרים בשלושה מחוזות (הצפון, המרכז והדרום). האחריות לביצוע עבודות תחזוקה ותיקון ליקויים מחולקת בין אגף השירות שאחראי להפעלת מוקד שירות טלפוני ארצי לקבלת פניות דיירים, ולטיפול בתיקון ליקויי תחזוקה שוטפים בדירות הדיור הציבורי, ואגף ההנדסה בעמידר שנושא באחריות המקצועית בתחומי ההנדסה והבינוי, כגון ביצוע התקשרויות עם קבלנים ופיקוח על פרויקטים שאינם תיקוני תחזוקה שוטפים</w:t>
      </w:r>
      <w:r w:rsidRPr="00F05330"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46080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08988"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60A985A1">
      <w:pPr>
        <w:pStyle w:val="7190"/>
        <w:rPr>
          <w:rtl/>
        </w:rPr>
      </w:pPr>
    </w:p>
    <w:tbl>
      <w:tblPr>
        <w:tblStyle w:val="TableGrid"/>
        <w:bidiVisual/>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757"/>
        <w:gridCol w:w="1844"/>
      </w:tblGrid>
      <w:tr w14:paraId="7597E23C" w14:textId="77777777" w:rsidTr="00A469C0">
        <w:tblPrEx>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CD29D6" w:rsidRPr="00864A2A" w:rsidP="00864A2A" w14:paraId="1E1AF3C6" w14:textId="1B79BB7C">
            <w:pPr>
              <w:pStyle w:val="2021"/>
              <w:rPr>
                <w:rtl/>
              </w:rPr>
            </w:pPr>
            <w:r w:rsidRPr="002343D6">
              <w:rPr>
                <w:rFonts w:hint="cs"/>
                <w:sz w:val="26"/>
                <w:szCs w:val="26"/>
                <w:rtl/>
              </w:rPr>
              <w:t>כ-</w:t>
            </w:r>
            <w:r>
              <w:rPr>
                <w:rFonts w:hint="cs"/>
                <w:rtl/>
              </w:rPr>
              <w:t>197</w:t>
            </w:r>
            <w:r>
              <w:rPr>
                <w:rtl/>
              </w:rPr>
              <w:br/>
            </w:r>
            <w:r w:rsidRPr="002343D6">
              <w:rPr>
                <w:rFonts w:hint="cs"/>
                <w:sz w:val="26"/>
                <w:szCs w:val="26"/>
                <w:rtl/>
              </w:rPr>
              <w:t>מיליון ש״ח</w:t>
            </w:r>
            <w:r w:rsidRPr="00864A2A" w:rsidR="00864A2A">
              <w:rPr>
                <w:rtl/>
              </w:rPr>
              <w:t xml:space="preserve"> </w:t>
            </w:r>
          </w:p>
        </w:tc>
        <w:tc>
          <w:tcPr>
            <w:tcW w:w="1843" w:type="dxa"/>
            <w:vAlign w:val="bottom"/>
          </w:tcPr>
          <w:p w:rsidR="00CD29D6" w:rsidRPr="00864A2A" w:rsidP="00864A2A" w14:paraId="1D9D023E" w14:textId="1479F732">
            <w:pPr>
              <w:spacing w:before="120" w:line="240" w:lineRule="auto"/>
              <w:jc w:val="left"/>
              <w:rPr>
                <w:rFonts w:ascii="Tahoma" w:hAnsi="Tahoma" w:cs="Tahoma"/>
                <w:spacing w:val="-10"/>
                <w:sz w:val="26"/>
                <w:szCs w:val="26"/>
                <w:rtl/>
              </w:rPr>
            </w:pPr>
            <w:r w:rsidRPr="002343D6">
              <w:rPr>
                <w:rFonts w:ascii="Tahoma" w:hAnsi="Tahoma" w:eastAsiaTheme="minorEastAsia" w:cs="Tahoma" w:hint="cs"/>
                <w:b/>
                <w:bCs/>
                <w:color w:val="0D0D0D" w:themeColor="text1" w:themeTint="F2"/>
                <w:spacing w:val="-12"/>
                <w:sz w:val="26"/>
                <w:szCs w:val="26"/>
                <w:rtl/>
              </w:rPr>
              <w:t>כ-</w:t>
            </w:r>
            <w:r>
              <w:rPr>
                <w:rFonts w:ascii="Tahoma" w:hAnsi="Tahoma" w:eastAsiaTheme="minorEastAsia" w:cs="Tahoma" w:hint="cs"/>
                <w:b/>
                <w:bCs/>
                <w:color w:val="0D0D0D" w:themeColor="text1" w:themeTint="F2"/>
                <w:spacing w:val="-12"/>
                <w:sz w:val="36"/>
                <w:szCs w:val="36"/>
                <w:rtl/>
              </w:rPr>
              <w:t>38,000</w:t>
            </w:r>
            <w:r>
              <w:rPr>
                <w:rFonts w:ascii="Tahoma" w:hAnsi="Tahoma" w:eastAsiaTheme="minorEastAsia" w:cs="Tahoma"/>
                <w:b/>
                <w:bCs/>
                <w:color w:val="0D0D0D" w:themeColor="text1" w:themeTint="F2"/>
                <w:spacing w:val="-12"/>
                <w:sz w:val="36"/>
                <w:szCs w:val="36"/>
                <w:rtl/>
              </w:rPr>
              <w:br/>
            </w:r>
            <w:r w:rsidRPr="002343D6">
              <w:rPr>
                <w:rFonts w:ascii="Tahoma" w:hAnsi="Tahoma" w:eastAsiaTheme="minorEastAsia" w:cs="Tahoma" w:hint="cs"/>
                <w:b/>
                <w:bCs/>
                <w:color w:val="0D0D0D" w:themeColor="text1" w:themeTint="F2"/>
                <w:spacing w:val="-12"/>
                <w:sz w:val="26"/>
                <w:szCs w:val="26"/>
                <w:rtl/>
              </w:rPr>
              <w:t>דירות</w:t>
            </w:r>
            <w:r w:rsidRPr="007F4E99" w:rsidR="00760601">
              <w:rPr>
                <w:rFonts w:ascii="Tahoma" w:hAnsi="Tahoma" w:eastAsiaTheme="minorEastAsia" w:cs="Tahoma"/>
                <w:b/>
                <w:bCs/>
                <w:color w:val="0D0D0D" w:themeColor="text1" w:themeTint="F2"/>
                <w:spacing w:val="-12"/>
                <w:sz w:val="26"/>
                <w:szCs w:val="26"/>
                <w:rtl/>
              </w:rPr>
              <w:t xml:space="preserve"> </w:t>
            </w:r>
          </w:p>
        </w:tc>
        <w:tc>
          <w:tcPr>
            <w:tcW w:w="1757" w:type="dxa"/>
            <w:vAlign w:val="bottom"/>
          </w:tcPr>
          <w:p w:rsidR="00CD29D6" w:rsidRPr="00864A2A" w:rsidP="00864A2A" w14:paraId="6113CBED" w14:textId="09AF29E2">
            <w:pPr>
              <w:spacing w:before="360" w:line="240" w:lineRule="auto"/>
              <w:jc w:val="left"/>
              <w:rPr>
                <w:rFonts w:ascii="Tahoma" w:hAnsi="Tahoma" w:cs="Tahoma"/>
                <w:spacing w:val="-10"/>
                <w:sz w:val="26"/>
                <w:szCs w:val="26"/>
                <w:rtl/>
              </w:rPr>
            </w:pPr>
            <w:r w:rsidRPr="0062077D">
              <w:rPr>
                <w:rFonts w:ascii="Tahoma" w:hAnsi="Tahoma" w:eastAsiaTheme="minorEastAsia" w:cs="Tahoma" w:hint="cs"/>
                <w:b/>
                <w:bCs/>
                <w:color w:val="0D0D0D" w:themeColor="text1" w:themeTint="F2"/>
                <w:spacing w:val="-12"/>
                <w:sz w:val="26"/>
                <w:szCs w:val="26"/>
                <w:rtl/>
              </w:rPr>
              <w:t>כ-</w:t>
            </w:r>
            <w:r>
              <w:rPr>
                <w:rFonts w:ascii="Tahoma" w:hAnsi="Tahoma" w:eastAsiaTheme="minorEastAsia" w:cs="Tahoma" w:hint="cs"/>
                <w:b/>
                <w:bCs/>
                <w:color w:val="0D0D0D" w:themeColor="text1" w:themeTint="F2"/>
                <w:spacing w:val="-12"/>
                <w:sz w:val="36"/>
                <w:szCs w:val="36"/>
                <w:rtl/>
              </w:rPr>
              <w:t>75</w:t>
            </w:r>
            <w:r w:rsidR="0062077D">
              <w:rPr>
                <w:rFonts w:ascii="Tahoma" w:hAnsi="Tahoma" w:eastAsiaTheme="minorEastAsia" w:cs="Tahoma" w:hint="cs"/>
                <w:b/>
                <w:bCs/>
                <w:color w:val="0D0D0D" w:themeColor="text1" w:themeTint="F2"/>
                <w:spacing w:val="-12"/>
                <w:sz w:val="36"/>
                <w:szCs w:val="36"/>
                <w:rtl/>
              </w:rPr>
              <w:t>%</w:t>
            </w:r>
            <w:r w:rsidRPr="007F4E99" w:rsidR="00760601">
              <w:rPr>
                <w:rFonts w:ascii="Tahoma" w:hAnsi="Tahoma" w:eastAsiaTheme="minorEastAsia" w:cs="Tahoma"/>
                <w:b/>
                <w:bCs/>
                <w:color w:val="0D0D0D" w:themeColor="text1" w:themeTint="F2"/>
                <w:spacing w:val="-12"/>
                <w:sz w:val="26"/>
                <w:szCs w:val="26"/>
                <w:rtl/>
              </w:rPr>
              <w:t xml:space="preserve"> </w:t>
            </w:r>
          </w:p>
        </w:tc>
        <w:tc>
          <w:tcPr>
            <w:tcW w:w="1844" w:type="dxa"/>
            <w:vAlign w:val="bottom"/>
          </w:tcPr>
          <w:p w:rsidR="00CD29D6" w:rsidRPr="00760601" w:rsidP="00864A2A" w14:paraId="4F8327BA" w14:textId="3D4E0382">
            <w:pPr>
              <w:pStyle w:val="2021"/>
              <w:spacing w:before="360"/>
              <w:rPr>
                <w:spacing w:val="-26"/>
                <w:rtl/>
              </w:rPr>
            </w:pPr>
            <w:r>
              <w:rPr>
                <w:rFonts w:hint="cs"/>
                <w:spacing w:val="-12"/>
                <w:rtl/>
              </w:rPr>
              <w:t>22.5</w:t>
            </w:r>
            <w:r w:rsidR="0067034E">
              <w:rPr>
                <w:rFonts w:hint="cs"/>
                <w:spacing w:val="-12"/>
                <w:rtl/>
              </w:rPr>
              <w:t xml:space="preserve"> </w:t>
            </w:r>
            <w:r w:rsidR="0067034E">
              <w:rPr>
                <w:spacing w:val="-12"/>
                <w:rtl/>
              </w:rPr>
              <w:br/>
            </w:r>
            <w:r w:rsidRPr="0067034E" w:rsidR="0067034E">
              <w:rPr>
                <w:rFonts w:hint="cs"/>
                <w:spacing w:val="-12"/>
                <w:sz w:val="26"/>
                <w:szCs w:val="26"/>
                <w:rtl/>
              </w:rPr>
              <w:t>מיליון ש״ח</w:t>
            </w:r>
          </w:p>
        </w:tc>
      </w:tr>
      <w:tr w14:paraId="5AD4AD14" w14:textId="77777777" w:rsidTr="00A469C0">
        <w:tblPrEx>
          <w:tblW w:w="7315" w:type="dxa"/>
          <w:tblInd w:w="517" w:type="dxa"/>
          <w:tblLook w:val="04A0"/>
        </w:tblPrEx>
        <w:tc>
          <w:tcPr>
            <w:tcW w:w="1871"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076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3" style="flip:x;mso-wrap-distance-bottom:0;mso-wrap-distance-left:9pt;mso-wrap-distance-right:9pt;mso-wrap-distance-top:0;mso-wrap-style:square;position:absolute;visibility:visible;z-index:251681792"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8281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4" style="flip:x;mso-wrap-distance-bottom:0;mso-wrap-distance-left:9pt;mso-wrap-distance-right:9pt;mso-wrap-distance-top:0;mso-wrap-style:square;position:absolute;visibility:visible;z-index:251683840" from="1.35pt,4.1pt" to="80.1pt,4.1pt" strokecolor="#0d0d0d" strokeweight="1pt"/>
                  </w:pict>
                </mc:Fallback>
              </mc:AlternateContent>
            </w:r>
          </w:p>
        </w:tc>
        <w:tc>
          <w:tcPr>
            <w:tcW w:w="1757"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8486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5" style="flip:x;mso-wrap-distance-bottom:0;mso-wrap-distance-left:9pt;mso-wrap-distance-right:9pt;mso-wrap-distance-top:0;mso-wrap-style:square;position:absolute;visibility:visible;z-index:251685888"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691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6" style="flip:x;mso-wrap-distance-bottom:0;mso-wrap-distance-left:9pt;mso-wrap-distance-right:9pt;mso-wrap-distance-top:0;mso-wrap-style:square;position:absolute;visibility:visible;z-index:251687936" from="2.7pt,4.1pt" to="81.45pt,4.1pt" strokecolor="#0d0d0d" strokeweight="1pt"/>
                  </w:pict>
                </mc:Fallback>
              </mc:AlternateContent>
            </w:r>
          </w:p>
        </w:tc>
      </w:tr>
      <w:tr w14:paraId="7ECC4220" w14:textId="77777777" w:rsidTr="00A469C0">
        <w:tblPrEx>
          <w:tblW w:w="7315" w:type="dxa"/>
          <w:tblInd w:w="517" w:type="dxa"/>
          <w:tblLook w:val="04A0"/>
        </w:tblPrEx>
        <w:tc>
          <w:tcPr>
            <w:tcW w:w="1871" w:type="dxa"/>
          </w:tcPr>
          <w:p w:rsidR="00CD29D6" w:rsidRPr="009A73F6" w:rsidP="007542AC" w14:paraId="5ECF0591" w14:textId="3021F33C">
            <w:pPr>
              <w:pStyle w:val="20211"/>
              <w:rPr>
                <w:rtl/>
              </w:rPr>
            </w:pPr>
            <w:r w:rsidRPr="009B03FA">
              <w:rPr>
                <w:rtl/>
              </w:rPr>
              <w:t>עמלת הניהול שמשרד הבינוי העביר לעמידר בגין ניהול הדיור הציבורי בשנת</w:t>
            </w:r>
            <w:r w:rsidRPr="003908B5">
              <w:rPr>
                <w:sz w:val="19"/>
                <w:szCs w:val="19"/>
                <w:rtl/>
              </w:rPr>
              <w:t xml:space="preserve"> </w:t>
            </w:r>
            <w:r w:rsidRPr="009B03FA">
              <w:rPr>
                <w:rtl/>
              </w:rPr>
              <w:t>2020</w:t>
            </w:r>
          </w:p>
        </w:tc>
        <w:tc>
          <w:tcPr>
            <w:tcW w:w="1843" w:type="dxa"/>
          </w:tcPr>
          <w:p w:rsidR="000E71A5" w:rsidRPr="001D564B" w:rsidP="000E71A5" w14:paraId="12474103" w14:textId="50CA8A97">
            <w:pPr>
              <w:pStyle w:val="20211"/>
              <w:rPr>
                <w:rtl/>
              </w:rPr>
            </w:pPr>
            <w:r w:rsidRPr="009B03FA">
              <w:rPr>
                <w:rtl/>
              </w:rPr>
              <w:t>דירות דיור ציבורי המנוהלות על ידי עמידר (מתוך סך של כ-50,000 דירות הדיור הציבורי)</w:t>
            </w:r>
          </w:p>
          <w:p w:rsidR="00A469C0" w:rsidRPr="00864A2A" w:rsidP="00864A2A" w14:paraId="47156990" w14:textId="356C3351">
            <w:pPr>
              <w:spacing w:line="240" w:lineRule="auto"/>
              <w:ind w:right="23"/>
              <w:jc w:val="left"/>
              <w:rPr>
                <w:rFonts w:ascii="Tahoma" w:hAnsi="Tahoma" w:eastAsiaTheme="minorEastAsia" w:cs="Tahoma"/>
                <w:color w:val="0D0D0D" w:themeColor="text1" w:themeTint="F2"/>
                <w:w w:val="90"/>
                <w:sz w:val="18"/>
                <w:szCs w:val="18"/>
                <w:rtl/>
              </w:rPr>
            </w:pPr>
          </w:p>
        </w:tc>
        <w:tc>
          <w:tcPr>
            <w:tcW w:w="1757" w:type="dxa"/>
          </w:tcPr>
          <w:p w:rsidR="00CD29D6" w:rsidRPr="00EB223C" w:rsidP="007542AC" w14:paraId="1B7F83A5" w14:textId="1710805A">
            <w:pPr>
              <w:pStyle w:val="20211"/>
              <w:rPr>
                <w:rtl/>
              </w:rPr>
            </w:pPr>
            <w:r w:rsidRPr="009B03FA">
              <w:rPr>
                <w:rtl/>
              </w:rPr>
              <w:t>מדירות הדיור הציבורי שבניהול עמידר הוקמו לפני יותר מ-40 שנים</w:t>
            </w:r>
          </w:p>
        </w:tc>
        <w:tc>
          <w:tcPr>
            <w:tcW w:w="1844" w:type="dxa"/>
          </w:tcPr>
          <w:p w:rsidR="00CD29D6" w:rsidRPr="009A73F6" w:rsidP="0067034E" w14:paraId="05EA0B9D" w14:textId="38B14A97">
            <w:pPr>
              <w:pStyle w:val="20211"/>
              <w:rPr>
                <w:rtl/>
              </w:rPr>
            </w:pPr>
            <w:r w:rsidRPr="009B03FA">
              <w:rPr>
                <w:rtl/>
              </w:rPr>
              <w:t>הסכום שעמידר הוציאה (לא כולל מע"מ) בשנים 2018 - 2020 בממוצע לשנה עבור תחזוקת שבר</w:t>
            </w:r>
            <w:r>
              <w:rPr>
                <w:vertAlign w:val="superscript"/>
                <w:rtl/>
              </w:rPr>
              <w:footnoteReference w:id="2"/>
            </w:r>
            <w:r w:rsidRPr="009B03FA">
              <w:rPr>
                <w:rtl/>
              </w:rPr>
              <w:t xml:space="preserve"> בדירות ובבניינים בעקבות פניות למוקד השירות</w:t>
            </w:r>
          </w:p>
        </w:tc>
      </w:tr>
      <w:tr w14:paraId="115EC27C"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760601" w:rsidRPr="00864A2A" w:rsidP="00A469C0" w14:paraId="5A88E868" w14:textId="277CB6FF">
            <w:pPr>
              <w:pStyle w:val="2021"/>
              <w:rPr>
                <w:rtl/>
              </w:rPr>
            </w:pPr>
            <w:r>
              <w:rPr>
                <w:rFonts w:hint="cs"/>
                <w:rtl/>
              </w:rPr>
              <w:t>54,973</w:t>
            </w:r>
            <w:r w:rsidR="000E71A5">
              <w:rPr>
                <w:rFonts w:hint="cs"/>
                <w:rtl/>
              </w:rPr>
              <w:t xml:space="preserve"> </w:t>
            </w:r>
          </w:p>
        </w:tc>
        <w:tc>
          <w:tcPr>
            <w:tcW w:w="1843" w:type="dxa"/>
            <w:tcBorders>
              <w:top w:val="nil"/>
              <w:left w:val="nil"/>
              <w:bottom w:val="nil"/>
              <w:right w:val="nil"/>
            </w:tcBorders>
            <w:vAlign w:val="bottom"/>
          </w:tcPr>
          <w:p w:rsidR="00760601" w:rsidRPr="00864A2A" w:rsidP="00A469C0" w14:paraId="5148B4EC" w14:textId="2F24908E">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1,757 </w:t>
            </w:r>
            <w:r w:rsidRPr="0062077D">
              <w:rPr>
                <w:rFonts w:ascii="Tahoma" w:hAnsi="Tahoma" w:eastAsiaTheme="minorEastAsia" w:cs="Tahoma" w:hint="cs"/>
                <w:b/>
                <w:bCs/>
                <w:color w:val="0D0D0D" w:themeColor="text1" w:themeTint="F2"/>
                <w:spacing w:val="-12"/>
                <w:sz w:val="26"/>
                <w:szCs w:val="26"/>
                <w:rtl/>
              </w:rPr>
              <w:t>דירות</w:t>
            </w:r>
            <w:r w:rsidR="000E71A5">
              <w:rPr>
                <w:rFonts w:ascii="Tahoma" w:hAnsi="Tahoma" w:eastAsiaTheme="minorEastAsia" w:cs="Tahoma" w:hint="cs"/>
                <w:b/>
                <w:bCs/>
                <w:color w:val="0D0D0D" w:themeColor="text1" w:themeTint="F2"/>
                <w:spacing w:val="-12"/>
                <w:sz w:val="36"/>
                <w:szCs w:val="36"/>
                <w:rtl/>
              </w:rPr>
              <w:t xml:space="preserve"> </w:t>
            </w:r>
          </w:p>
        </w:tc>
        <w:tc>
          <w:tcPr>
            <w:tcW w:w="1757" w:type="dxa"/>
            <w:tcBorders>
              <w:top w:val="nil"/>
              <w:left w:val="nil"/>
              <w:bottom w:val="nil"/>
              <w:right w:val="nil"/>
            </w:tcBorders>
            <w:vAlign w:val="bottom"/>
          </w:tcPr>
          <w:p w:rsidR="00760601" w:rsidRPr="00864A2A" w:rsidP="00A469C0" w14:paraId="6D51A516" w14:textId="2BEC0246">
            <w:pPr>
              <w:spacing w:before="360" w:line="240" w:lineRule="auto"/>
              <w:jc w:val="left"/>
              <w:rPr>
                <w:rFonts w:ascii="Tahoma" w:hAnsi="Tahoma" w:cs="Tahoma"/>
                <w:spacing w:val="-10"/>
                <w:sz w:val="26"/>
                <w:szCs w:val="26"/>
                <w:rtl/>
              </w:rPr>
            </w:pPr>
            <w:r w:rsidRPr="0062077D">
              <w:rPr>
                <w:rFonts w:ascii="Tahoma" w:hAnsi="Tahoma" w:eastAsiaTheme="minorEastAsia" w:cs="Tahoma" w:hint="cs"/>
                <w:b/>
                <w:bCs/>
                <w:color w:val="0D0D0D" w:themeColor="text1" w:themeTint="F2"/>
                <w:spacing w:val="-12"/>
                <w:sz w:val="26"/>
                <w:szCs w:val="26"/>
                <w:rtl/>
              </w:rPr>
              <w:t>כ-</w:t>
            </w:r>
            <w:r>
              <w:rPr>
                <w:rFonts w:ascii="Tahoma" w:hAnsi="Tahoma" w:eastAsiaTheme="minorEastAsia" w:cs="Tahoma" w:hint="cs"/>
                <w:b/>
                <w:bCs/>
                <w:color w:val="0D0D0D" w:themeColor="text1" w:themeTint="F2"/>
                <w:spacing w:val="-12"/>
                <w:sz w:val="36"/>
                <w:szCs w:val="36"/>
                <w:rtl/>
              </w:rPr>
              <w:t>13%</w:t>
            </w:r>
            <w:r w:rsidR="000E71A5">
              <w:rPr>
                <w:rFonts w:ascii="Tahoma" w:hAnsi="Tahoma" w:eastAsiaTheme="minorEastAsia" w:cs="Tahoma" w:hint="cs"/>
                <w:b/>
                <w:bCs/>
                <w:color w:val="0D0D0D" w:themeColor="text1" w:themeTint="F2"/>
                <w:spacing w:val="-12"/>
                <w:sz w:val="36"/>
                <w:szCs w:val="36"/>
                <w:rtl/>
              </w:rPr>
              <w:t xml:space="preserve"> </w:t>
            </w:r>
          </w:p>
        </w:tc>
        <w:tc>
          <w:tcPr>
            <w:tcW w:w="1844" w:type="dxa"/>
            <w:tcBorders>
              <w:top w:val="nil"/>
              <w:left w:val="nil"/>
              <w:bottom w:val="nil"/>
              <w:right w:val="nil"/>
            </w:tcBorders>
            <w:vAlign w:val="bottom"/>
          </w:tcPr>
          <w:p w:rsidR="00760601" w:rsidRPr="00A469C0" w:rsidP="00A469C0" w14:paraId="703737A6" w14:textId="18FDB037">
            <w:pPr>
              <w:pStyle w:val="2021"/>
              <w:spacing w:before="360"/>
              <w:rPr>
                <w:spacing w:val="-26"/>
                <w:rtl/>
              </w:rPr>
            </w:pPr>
            <w:r w:rsidRPr="0062077D">
              <w:rPr>
                <w:rFonts w:hint="cs"/>
                <w:spacing w:val="-12"/>
                <w:sz w:val="26"/>
                <w:szCs w:val="26"/>
                <w:rtl/>
              </w:rPr>
              <w:t>כ-</w:t>
            </w:r>
            <w:r>
              <w:rPr>
                <w:rFonts w:hint="cs"/>
                <w:spacing w:val="-12"/>
                <w:rtl/>
              </w:rPr>
              <w:t>177</w:t>
            </w:r>
            <w:r w:rsidR="0067034E">
              <w:rPr>
                <w:rFonts w:hint="cs"/>
                <w:spacing w:val="-12"/>
                <w:rtl/>
              </w:rPr>
              <w:t xml:space="preserve"> </w:t>
            </w:r>
            <w:r w:rsidR="0067034E">
              <w:rPr>
                <w:spacing w:val="-12"/>
                <w:sz w:val="26"/>
                <w:szCs w:val="26"/>
                <w:rtl/>
              </w:rPr>
              <w:br/>
            </w:r>
            <w:r w:rsidRPr="0067034E" w:rsidR="0067034E">
              <w:rPr>
                <w:rFonts w:hint="cs"/>
                <w:spacing w:val="-12"/>
                <w:sz w:val="26"/>
                <w:szCs w:val="26"/>
                <w:rtl/>
              </w:rPr>
              <w:t>מיליון ש״ח</w:t>
            </w:r>
          </w:p>
        </w:tc>
      </w:tr>
      <w:tr w14:paraId="60F510EB"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664A6F" w:rsidP="008B5847"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8960"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7" style="flip:x;mso-wrap-distance-bottom:0;mso-wrap-distance-left:9pt;mso-wrap-distance-right:9pt;mso-wrap-distance-top:0;mso-wrap-style:square;position:absolute;visibility:visible;z-index:251689984" from="0.7pt,4.1pt" to="81.7pt,4.1pt" strokecolor="#0d0d0d" strokeweight="1pt"/>
                  </w:pict>
                </mc:Fallback>
              </mc:AlternateContent>
            </w:r>
          </w:p>
        </w:tc>
        <w:tc>
          <w:tcPr>
            <w:tcW w:w="1843" w:type="dxa"/>
            <w:tcBorders>
              <w:top w:val="nil"/>
              <w:left w:val="nil"/>
              <w:bottom w:val="nil"/>
              <w:right w:val="nil"/>
            </w:tcBorders>
          </w:tcPr>
          <w:p w:rsidR="00760601" w:rsidRPr="00664A6F" w:rsidP="008B5847"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1008"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8" style="flip:x;mso-wrap-distance-bottom:0;mso-wrap-distance-left:9pt;mso-wrap-distance-right:9pt;mso-wrap-distance-top:0;mso-wrap-style:square;position:absolute;visibility:visible;z-index:251692032" from="1.35pt,4.1pt" to="80.1pt,4.1pt" strokecolor="#0d0d0d" strokeweight="1pt"/>
                  </w:pict>
                </mc:Fallback>
              </mc:AlternateContent>
            </w:r>
          </w:p>
        </w:tc>
        <w:tc>
          <w:tcPr>
            <w:tcW w:w="1757" w:type="dxa"/>
            <w:tcBorders>
              <w:top w:val="nil"/>
              <w:left w:val="nil"/>
              <w:bottom w:val="nil"/>
              <w:right w:val="nil"/>
            </w:tcBorders>
          </w:tcPr>
          <w:p w:rsidR="00760601" w:rsidRPr="00664A6F" w:rsidP="008B5847"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3056"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9" style="flip:x;mso-wrap-distance-bottom:0;mso-wrap-distance-left:9pt;mso-wrap-distance-right:9pt;mso-wrap-distance-top:0;mso-wrap-style:square;position:absolute;visibility:visible;z-index:251694080" from="-4pt,4.1pt" to="80pt,4.1pt" strokecolor="#0d0d0d" strokeweight="1pt"/>
                  </w:pict>
                </mc:Fallback>
              </mc:AlternateContent>
            </w:r>
          </w:p>
        </w:tc>
        <w:tc>
          <w:tcPr>
            <w:tcW w:w="1844" w:type="dxa"/>
            <w:tcBorders>
              <w:top w:val="nil"/>
              <w:left w:val="nil"/>
              <w:bottom w:val="nil"/>
              <w:right w:val="nil"/>
            </w:tcBorders>
          </w:tcPr>
          <w:p w:rsidR="00760601" w:rsidRPr="00664A6F" w:rsidP="008B5847" w14:paraId="37CA24D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5104"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0" style="flip:x;mso-wrap-distance-bottom:0;mso-wrap-distance-left:9pt;mso-wrap-distance-right:9pt;mso-wrap-distance-top:0;mso-wrap-style:square;position:absolute;visibility:visible;z-index:251696128" from="2.7pt,4.1pt" to="81.45pt,4.1pt" strokecolor="#0d0d0d" strokeweight="1pt"/>
                  </w:pict>
                </mc:Fallback>
              </mc:AlternateContent>
            </w:r>
          </w:p>
        </w:tc>
      </w:tr>
      <w:tr w14:paraId="0C7068B8"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9A73F6" w:rsidP="008B5847" w14:paraId="3496F105" w14:textId="67F00283">
            <w:pPr>
              <w:pStyle w:val="20211"/>
              <w:rPr>
                <w:rtl/>
              </w:rPr>
            </w:pPr>
            <w:r w:rsidRPr="009B03FA">
              <w:rPr>
                <w:rtl/>
              </w:rPr>
              <w:t>קריאות שירות לטיפול בתחזוקת שבר נפתחו וטופלו במוקד השירות בשנת 2020</w:t>
            </w:r>
          </w:p>
        </w:tc>
        <w:tc>
          <w:tcPr>
            <w:tcW w:w="1843" w:type="dxa"/>
            <w:tcBorders>
              <w:top w:val="nil"/>
              <w:left w:val="nil"/>
              <w:bottom w:val="nil"/>
              <w:right w:val="nil"/>
            </w:tcBorders>
          </w:tcPr>
          <w:p w:rsidR="00760601" w:rsidRPr="00864A2A" w:rsidP="008B5847" w14:paraId="1DA92B01" w14:textId="43AC93D4">
            <w:pPr>
              <w:spacing w:line="240" w:lineRule="auto"/>
              <w:ind w:right="23"/>
              <w:jc w:val="left"/>
              <w:rPr>
                <w:rFonts w:ascii="Tahoma" w:hAnsi="Tahoma" w:eastAsiaTheme="minorEastAsia" w:cs="Tahoma"/>
                <w:color w:val="0D0D0D" w:themeColor="text1" w:themeTint="F2"/>
                <w:w w:val="90"/>
                <w:sz w:val="18"/>
                <w:szCs w:val="18"/>
                <w:rtl/>
              </w:rPr>
            </w:pPr>
            <w:r w:rsidRPr="009B03FA">
              <w:rPr>
                <w:rFonts w:ascii="Tahoma" w:hAnsi="Tahoma" w:cs="Tahoma"/>
                <w:sz w:val="18"/>
                <w:szCs w:val="18"/>
                <w:rtl/>
              </w:rPr>
              <w:t>שעמידר שיפצה בשנת 2020 - 640 דירות עברו שיפוץ עמוק ו-1,117 דירות שופצו לפני אכלוס</w:t>
            </w:r>
          </w:p>
        </w:tc>
        <w:tc>
          <w:tcPr>
            <w:tcW w:w="1757" w:type="dxa"/>
            <w:tcBorders>
              <w:top w:val="nil"/>
              <w:left w:val="nil"/>
              <w:bottom w:val="nil"/>
              <w:right w:val="nil"/>
            </w:tcBorders>
          </w:tcPr>
          <w:sdt>
            <w:sdtPr>
              <w:rPr>
                <w:rtl/>
              </w:rPr>
              <w:id w:val="831954925"/>
              <w:placeholder>
                <w:docPart w:val="DBB0D2BFC7CF004B97800477E32D23D8"/>
              </w:placeholder>
              <w:richText/>
            </w:sdtPr>
            <w:sdtContent>
              <w:sdt>
                <w:sdtPr>
                  <w:rPr>
                    <w:rtl/>
                  </w:rPr>
                  <w:id w:val="870271703"/>
                  <w:placeholder>
                    <w:docPart w:val="87F2850E1406D244B04411660B52AE10"/>
                  </w:placeholder>
                  <w:richText/>
                </w:sdtPr>
                <w:sdtContent>
                  <w:p w:rsidR="00760601" w:rsidRPr="0067034E" w:rsidP="0067034E" w14:paraId="7DE38533" w14:textId="3E657D1F">
                    <w:pPr>
                      <w:pStyle w:val="20211"/>
                      <w:rPr>
                        <w:rFonts w:eastAsiaTheme="minorHAnsi"/>
                        <w:color w:val="auto"/>
                        <w:w w:val="100"/>
                        <w:rtl/>
                      </w:rPr>
                    </w:pPr>
                    <w:r w:rsidRPr="009B03FA">
                      <w:rPr>
                        <w:rtl/>
                      </w:rPr>
                      <w:t xml:space="preserve">מהדירות שאוכלסו </w:t>
                    </w:r>
                    <w:r w:rsidRPr="009B03FA">
                      <w:rPr>
                        <w:rtl/>
                      </w:rPr>
                      <w:br/>
                      <w:t>ב-2020 אוכלסו בפרק זמן ארוך מהנדרש (60 ימי עבודה ממועד עזיבת הדיירים הקודמים ועד סיום השיפוץ ואכלוס דייר חדש)</w:t>
                    </w:r>
                  </w:p>
                </w:sdtContent>
              </w:sdt>
            </w:sdtContent>
          </w:sdt>
        </w:tc>
        <w:tc>
          <w:tcPr>
            <w:tcW w:w="1844" w:type="dxa"/>
            <w:tcBorders>
              <w:top w:val="nil"/>
              <w:left w:val="nil"/>
              <w:bottom w:val="nil"/>
              <w:right w:val="nil"/>
            </w:tcBorders>
          </w:tcPr>
          <w:p w:rsidR="00760601" w:rsidRPr="009A73F6" w:rsidP="008B5847" w14:paraId="1C79EC71" w14:textId="3C1ADED6">
            <w:pPr>
              <w:pStyle w:val="20211"/>
              <w:rPr>
                <w:rtl/>
              </w:rPr>
            </w:pPr>
            <w:r w:rsidRPr="009B03FA">
              <w:rPr>
                <w:rtl/>
              </w:rPr>
              <w:t xml:space="preserve">שולמו לקבלנים עבור עבודות שיפוץ ותחזוקה בשנת 2020. 56% מסך התשלומים שולמו </w:t>
            </w:r>
            <w:r w:rsidRPr="009B03FA">
              <w:rPr>
                <w:rtl/>
              </w:rPr>
              <w:t>לכ</w:t>
            </w:r>
            <w:r w:rsidRPr="009B03FA">
              <w:rPr>
                <w:rtl/>
              </w:rPr>
              <w:t>-20% מהקבלנים (21 מתוך 101 קבלנים)</w:t>
            </w:r>
          </w:p>
        </w:tc>
      </w:tr>
    </w:tbl>
    <w:p w:rsidR="00825A14" w:rsidP="00F9227B" w14:paraId="64F9F305" w14:textId="595D62BE">
      <w:pPr>
        <w:pStyle w:val="100"/>
        <w:tabs>
          <w:tab w:val="center" w:pos="3685"/>
        </w:tabs>
        <w:spacing w:after="0" w:line="240" w:lineRule="exact"/>
        <w:rPr>
          <w:b/>
          <w:bCs/>
          <w:color w:val="00305F"/>
          <w:sz w:val="32"/>
          <w:szCs w:val="32"/>
          <w:rtl/>
        </w:rPr>
      </w:pPr>
    </w:p>
    <w:p w:rsidR="004A45B1" w:rsidP="00F9227B" w14:paraId="6EA209C8" w14:textId="77777777">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1" style="width:372pt;height:3pt;margin-top:7.5pt;margin-left:-4.6pt;mso-height-relative:margin;mso-width-relative:margin;position:absolute;z-index:251672576" coordsize="47244,381">
                <v:line id="Straight Connector 27" o:spid="_x0000_s1042" style="flip:x;mso-wrap-style:square;position:absolute;visibility:visible" from="0,381" to="47244,381" o:connectortype="straight" strokecolor="#0d0d0d" strokeweight="1.5pt"/>
                <v:line id="Straight Connector 28" o:spid="_x0000_s1043"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A469C0" w:rsidP="00A469C0" w14:paraId="5D469DC2" w14:textId="5815436D">
      <w:pPr>
        <w:pStyle w:val="7112"/>
        <w:rPr>
          <w:rtl/>
        </w:rPr>
      </w:pPr>
      <w:r w:rsidRPr="00666E99">
        <w:rPr>
          <w:noProof/>
        </w:rPr>
        <w:drawing>
          <wp:anchor distT="0" distB="0" distL="114300" distR="114300" simplePos="0" relativeHeight="251697152" behindDoc="0" locked="0" layoutInCell="1" allowOverlap="1">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בחודשים מרץ-ספטמבר 2021 בדק משרד מבקר המדינה את תחזוקת דירות הדיור הציבורי בעמידר. בין היתר, נבדקו ניהול תהליך תחזוקת הדיור הציבורי; יישום הפעלת הסכם הניהול; בקרת משרד הבינוי והשיכון על תחזוקת הדיור הציבורי; וההתקשרויות עם קבלני תחזוקה. הבדיקה נעשתה בעמידר ובמשרד הבינוי והשיכון</w:t>
      </w:r>
      <w:r w:rsidRPr="000E68EF">
        <w:rPr>
          <w:rtl/>
        </w:rPr>
        <w:t>.</w:t>
      </w:r>
    </w:p>
    <w:p w:rsidR="00A469C0" w:rsidP="004A45B1" w14:paraId="3F50DDDF" w14:textId="0C4E58EE">
      <w:pPr>
        <w:bidi w:val="0"/>
        <w:spacing w:after="200" w:line="276" w:lineRule="auto"/>
        <w:rPr>
          <w:rtl/>
        </w:rPr>
      </w:pPr>
      <w:r>
        <w:rPr>
          <w:rtl/>
        </w:rPr>
        <w:br w:type="page"/>
      </w:r>
    </w:p>
    <w:p w:rsidR="000E71A5" w:rsidP="000E71A5" w14:paraId="5FFC4203" w14:textId="34B65FC1">
      <w:pPr>
        <w:pStyle w:val="7190"/>
        <w:rPr>
          <w:rtl/>
        </w:rPr>
      </w:pPr>
      <w:r w:rsidRPr="00362C00">
        <w:rPr>
          <w:noProof/>
          <w:rtl/>
        </w:rPr>
        <w:drawing>
          <wp:anchor distT="0" distB="0" distL="114300" distR="114300" simplePos="0" relativeHeight="251698176" behindDoc="0" locked="0" layoutInCell="1" allowOverlap="1">
            <wp:simplePos x="0" y="0"/>
            <wp:positionH relativeFrom="column">
              <wp:posOffset>2394161</wp:posOffset>
            </wp:positionH>
            <wp:positionV relativeFrom="paragraph">
              <wp:posOffset>520065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99200"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5" style="mso-width-percent:0;mso-width-relative:margin;mso-wrap-distance-bottom:0;mso-wrap-distance-left:9pt;mso-wrap-distance-right:9pt;mso-wrap-distance-top:0;mso-wrap-style:square;position:absolute;visibility:visible;z-index:251702272" from="-2.4pt,4.45pt" to="370.35pt,4.45pt" strokecolor="black" strokeweight="2pt"/>
            </w:pict>
          </mc:Fallback>
        </mc:AlternateContent>
      </w:r>
    </w:p>
    <w:p w:rsidR="000E71A5" w:rsidRPr="00716B1B" w:rsidP="000E71A5" w14:paraId="738EF70B" w14:textId="392C8909">
      <w:pPr>
        <w:pStyle w:val="7112"/>
      </w:pPr>
      <w:r w:rsidRPr="0062077D">
        <w:rPr>
          <w:rStyle w:val="717Char0"/>
          <w:rFonts w:hint="cs"/>
          <w:noProof/>
          <w:rtl/>
        </w:rPr>
        <w:drawing>
          <wp:anchor distT="0" distB="3600450" distL="114300" distR="114300" simplePos="0" relativeHeight="251703296" behindDoc="0" locked="0" layoutInCell="1" allowOverlap="1">
            <wp:simplePos x="0" y="0"/>
            <wp:positionH relativeFrom="column">
              <wp:posOffset>4522258</wp:posOffset>
            </wp:positionH>
            <wp:positionV relativeFrom="paragraph">
              <wp:posOffset>29210</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4866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sidR="0062077D">
        <w:rPr>
          <w:rStyle w:val="717Char0"/>
          <w:rtl/>
        </w:rPr>
        <w:t>תקצוב תחזוקת הדיור הציבורי</w:t>
      </w:r>
      <w:r w:rsidRPr="009B03FA" w:rsidR="0062077D">
        <w:rPr>
          <w:rtl/>
        </w:rPr>
        <w:t xml:space="preserve"> - בשנים 2017 - 2019 תקציב ההרשאה להתחייב הבסיסי שנקבע בתחילת כל שנה (כ-86 מיליון ש"ח בשלוש השנים יחד), היה נמוך (בשיעורים של 320%-490%) מהתקציב שהוקצה עד סוף השנה (כ-444 מיליון ש"ח בשלוש השנים יחד), וזאת מאחר שלתקציב הבסיסי ניתנו במהלך כל שנה תוספות בעקבות פניות של משרד הבינוי. נתוני ביצוע מזומן בשנים 2019-2018 עמדו על כ-125 ועל כ-156 מיליון ש"ח לשנה בהתאמה שהם כ-30% </w:t>
      </w:r>
      <w:r w:rsidRPr="009B03FA" w:rsidR="0062077D">
        <w:rPr>
          <w:rtl/>
        </w:rPr>
        <w:t>וכ</w:t>
      </w:r>
      <w:r w:rsidRPr="009B03FA" w:rsidR="0062077D">
        <w:rPr>
          <w:rtl/>
        </w:rPr>
        <w:t>-40% מהצורך אותו העריכה עמידר עבור תחזוקה נאותה של דירות הדיור הציבורי העומד על כ-400 מיליון ש"ח לשנה</w:t>
      </w:r>
      <w:r w:rsidRPr="00716B1B">
        <w:rPr>
          <w:rtl/>
        </w:rPr>
        <w:t>.</w:t>
      </w:r>
    </w:p>
    <w:p w:rsidR="000E71A5" w:rsidRPr="00951B96" w:rsidP="000E71A5" w14:paraId="4EA85117" w14:textId="2FCB24CD">
      <w:pPr>
        <w:pStyle w:val="ListParagraph"/>
        <w:spacing w:after="120" w:line="288" w:lineRule="auto"/>
        <w:ind w:left="454"/>
        <w:contextualSpacing w:val="0"/>
        <w:rPr>
          <w:rFonts w:ascii="Tahoma" w:hAnsi="Tahoma" w:cs="Tahoma"/>
          <w:color w:val="0D0D0D" w:themeColor="text1" w:themeTint="F2"/>
          <w:sz w:val="18"/>
          <w:szCs w:val="18"/>
        </w:rPr>
      </w:pPr>
      <w:r w:rsidRPr="0078031D">
        <w:rPr>
          <w:rStyle w:val="717Char0"/>
          <w:rFonts w:hint="cs"/>
          <w:noProof/>
          <w:rtl/>
        </w:rPr>
        <w:drawing>
          <wp:anchor distT="0" distB="3600450" distL="114300" distR="114300" simplePos="0" relativeHeight="25170432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6144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sidR="0062077D">
        <w:rPr>
          <w:rStyle w:val="717Char0"/>
          <w:rtl/>
        </w:rPr>
        <w:t>תחזוקת שבר</w:t>
      </w:r>
      <w:r w:rsidRPr="009B03FA" w:rsidR="0062077D">
        <w:rPr>
          <w:rFonts w:ascii="Tahoma" w:hAnsi="Tahoma" w:cs="Tahoma"/>
          <w:color w:val="0D0D0D" w:themeColor="text1" w:themeTint="F2"/>
          <w:sz w:val="18"/>
          <w:szCs w:val="18"/>
          <w:rtl/>
        </w:rPr>
        <w:t xml:space="preserve"> - מתוך 755 מקרים של ליקויים בטיחותיים שעמידר דיווחה עליהם בשנת 2020 ב-146 (כ-19%) משך הטיפול חרג ממדד השירות ( </w:t>
      </w:r>
      <w:r w:rsidRPr="009B03FA" w:rsidR="0062077D">
        <w:rPr>
          <w:rFonts w:ascii="Tahoma" w:hAnsi="Tahoma" w:cs="Tahoma"/>
          <w:color w:val="0D0D0D" w:themeColor="text1" w:themeTint="F2"/>
          <w:sz w:val="18"/>
          <w:szCs w:val="18"/>
        </w:rPr>
        <w:t>SLA</w:t>
      </w:r>
      <w:r w:rsidRPr="009B03FA" w:rsidR="0062077D">
        <w:rPr>
          <w:rFonts w:ascii="Tahoma" w:hAnsi="Tahoma" w:cs="Tahoma"/>
          <w:color w:val="0D0D0D" w:themeColor="text1" w:themeTint="F2"/>
          <w:sz w:val="18"/>
          <w:szCs w:val="18"/>
          <w:rtl/>
        </w:rPr>
        <w:t xml:space="preserve">) שבהסכם - 48 שעות. כמו כן, </w:t>
      </w:r>
      <w:r w:rsidRPr="009B03FA" w:rsidR="0062077D">
        <w:rPr>
          <w:rFonts w:ascii="Tahoma" w:hAnsi="Tahoma" w:cs="Tahoma"/>
          <w:color w:val="0D0D0D" w:themeColor="text1" w:themeTint="F2"/>
          <w:sz w:val="18"/>
          <w:szCs w:val="18"/>
          <w:rtl/>
        </w:rPr>
        <w:t>בכ</w:t>
      </w:r>
      <w:r w:rsidRPr="009B03FA" w:rsidR="0062077D">
        <w:rPr>
          <w:rFonts w:ascii="Tahoma" w:hAnsi="Tahoma" w:cs="Tahoma"/>
          <w:color w:val="0D0D0D" w:themeColor="text1" w:themeTint="F2"/>
          <w:sz w:val="18"/>
          <w:szCs w:val="18"/>
          <w:rtl/>
        </w:rPr>
        <w:t>-15% מהדירות שבוצעו בהן עבודות (4,005 דירות), שהן כ-10% מכלל דירות עמידר, נפתחו עשר קריאות ויותר, וההוצאה על עבודות תחזוקת שבר בהן הייתה כ-38% מסך ההוצאה על תחזוקת שבר בכלל הדירות, ובממוצע כ-6,500 ש"ח לדירה על פני שלוש שנים. כלומר, חלק ניכר מן התקציב עבור תחזוקת שבר משמש לתחזוקה שוטפת של מעט דירות</w:t>
      </w:r>
      <w:r w:rsidRPr="00951B96">
        <w:rPr>
          <w:rFonts w:ascii="Tahoma" w:hAnsi="Tahoma" w:cs="Tahoma"/>
          <w:color w:val="0D0D0D" w:themeColor="text1" w:themeTint="F2"/>
          <w:sz w:val="18"/>
          <w:szCs w:val="18"/>
          <w:rtl/>
        </w:rPr>
        <w:t xml:space="preserve">. </w:t>
      </w:r>
    </w:p>
    <w:p w:rsidR="004A45B1" w:rsidRPr="00C0561C" w:rsidP="004A45B1" w14:paraId="042370BD" w14:textId="22EABDB8">
      <w:pPr>
        <w:pStyle w:val="ListParagraph"/>
        <w:spacing w:after="180" w:line="288" w:lineRule="auto"/>
        <w:ind w:left="-1"/>
        <w:contextualSpacing w:val="0"/>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05344"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2395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sidR="0062077D">
        <w:rPr>
          <w:rStyle w:val="717Char0"/>
          <w:rtl/>
        </w:rPr>
        <w:t>שיפוץ עמוק</w:t>
      </w:r>
      <w:r w:rsidRPr="009B03FA" w:rsidR="0062077D">
        <w:rPr>
          <w:rFonts w:ascii="Tahoma" w:hAnsi="Tahoma" w:cs="Tahoma"/>
          <w:color w:val="0D0D0D" w:themeColor="text1" w:themeTint="F2"/>
          <w:sz w:val="18"/>
          <w:szCs w:val="18"/>
          <w:rtl/>
        </w:rPr>
        <w:t xml:space="preserve"> - מספר הדירות שבוצע בהן שיפוץ עמוק פחת במהלך השנים 2018 - 2020, והיה נמוך מן הצורך שהעריכה עמידר (2,000) ובממוצע עמד על כ-970 דירות. כמו כן, </w:t>
      </w:r>
      <w:r w:rsidRPr="009B03FA" w:rsidR="0062077D">
        <w:rPr>
          <w:rFonts w:ascii="Tahoma" w:hAnsi="Tahoma" w:cs="Tahoma"/>
          <w:color w:val="0D0D0D" w:themeColor="text1" w:themeTint="F2"/>
          <w:sz w:val="18"/>
          <w:szCs w:val="18"/>
          <w:rtl/>
        </w:rPr>
        <w:t>בכ</w:t>
      </w:r>
      <w:r w:rsidRPr="009B03FA" w:rsidR="0062077D">
        <w:rPr>
          <w:rFonts w:ascii="Tahoma" w:hAnsi="Tahoma" w:cs="Tahoma"/>
          <w:color w:val="0D0D0D" w:themeColor="text1" w:themeTint="F2"/>
          <w:sz w:val="18"/>
          <w:szCs w:val="18"/>
          <w:rtl/>
        </w:rPr>
        <w:t xml:space="preserve">-92% מהדירות שבוצע בהן שיפוץ עמוק בשנים 2018 - 2020 הייתה ההוצאה נמוכה מהסכום של כ-55,000 ש"ח לדירה שעמידר העריכה כנחוץ על מנת לבצע תחזוקה שוטפת נאותה לדירה, </w:t>
      </w:r>
      <w:r w:rsidRPr="009B03FA" w:rsidR="0062077D">
        <w:rPr>
          <w:rFonts w:ascii="Tahoma" w:hAnsi="Tahoma" w:cs="Tahoma"/>
          <w:color w:val="0D0D0D" w:themeColor="text1" w:themeTint="F2"/>
          <w:sz w:val="18"/>
          <w:szCs w:val="18"/>
          <w:rtl/>
        </w:rPr>
        <w:t>ובכ</w:t>
      </w:r>
      <w:r w:rsidRPr="009B03FA" w:rsidR="0062077D">
        <w:rPr>
          <w:rFonts w:ascii="Tahoma" w:hAnsi="Tahoma" w:cs="Tahoma"/>
          <w:color w:val="0D0D0D" w:themeColor="text1" w:themeTint="F2"/>
          <w:sz w:val="18"/>
          <w:szCs w:val="18"/>
          <w:rtl/>
        </w:rPr>
        <w:t>-35% הייתה ההוצאה נמוכה מ-10,000 ש"ח לדירה. עוד עלה כי 59% מהדיירים (1,290 דיירים) שדירתם עברה שיפוץ עמוק בשנים 2018 - 2019 פנו בשנת 2020, כלומר בתוך שנה-שנתיים מסיום השיפוץ, למוקד השירות לצורך דיווח על ליקויי תחזוקה ופנייתם טופלה, ו-19% (409 דיירים) פנו ארבע פעמים ויותר. יצוין כי שיעורים אלה גבוהים משיעורי הפניות למוקד מקרב כלל הדיירים באותה שנה - 47% ו-13%, בהתאמה; כלומר, דווקא דיירים שבוצע שיפוץ עמוק בדירתם פנו יותר למוקד</w:t>
      </w:r>
      <w:r w:rsidRPr="00C0561C">
        <w:rPr>
          <w:rFonts w:ascii="Tahoma" w:hAnsi="Tahoma" w:cs="Tahoma"/>
          <w:color w:val="0D0D0D" w:themeColor="text1" w:themeTint="F2"/>
          <w:sz w:val="18"/>
          <w:szCs w:val="18"/>
          <w:rtl/>
        </w:rPr>
        <w:t xml:space="preserve">. </w:t>
      </w:r>
    </w:p>
    <w:p w:rsidR="000E71A5" w:rsidRPr="00903496" w:rsidP="000E71A5" w14:paraId="4EB5966C" w14:textId="58FF1A67">
      <w:pPr>
        <w:pStyle w:val="7112"/>
      </w:pPr>
      <w:r w:rsidRPr="0078031D">
        <w:rPr>
          <w:rStyle w:val="717Char0"/>
          <w:rFonts w:hint="cs"/>
          <w:noProof/>
          <w:rtl/>
        </w:rPr>
        <w:drawing>
          <wp:anchor distT="0" distB="3600450" distL="114300" distR="114300" simplePos="0" relativeHeight="25170636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3988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sidR="0062077D">
        <w:rPr>
          <w:rStyle w:val="717Char0"/>
          <w:rtl/>
        </w:rPr>
        <w:t>דירות לא ראויות למגורים</w:t>
      </w:r>
      <w:r w:rsidRPr="009B03FA" w:rsidR="0062077D">
        <w:rPr>
          <w:rtl/>
        </w:rPr>
        <w:t xml:space="preserve"> - נכון לנובמבר 2021 סיווגה עמידר 44 מהדירות שבניהולה כלא ראויות למגורים. לפי עמידר, הדירות מיועדות כולן לשיפוץ אך הוא טרם בוצע בעיקר עקב היעדר תקציב. קיומן של דירות שאינן ראויות למגורים אינו מתיישב עם חובתה של המדינה להבטיח רמה נאותה של דירות הדיור הציבורי ועם חובתה לשמור על נכסיה</w:t>
      </w:r>
      <w:r w:rsidRPr="00903496">
        <w:rPr>
          <w:rtl/>
        </w:rPr>
        <w:t>.</w:t>
      </w:r>
    </w:p>
    <w:p w:rsidR="000E71A5" w:rsidRPr="00C80B25" w:rsidP="000E71A5" w14:paraId="27589E01" w14:textId="49EBEF4B">
      <w:pPr>
        <w:pStyle w:val="7112"/>
      </w:pPr>
      <w:r w:rsidRPr="0078031D">
        <w:rPr>
          <w:rStyle w:val="717Char0"/>
          <w:rFonts w:hint="cs"/>
          <w:noProof/>
          <w:rtl/>
        </w:rPr>
        <w:drawing>
          <wp:anchor distT="0" distB="3600450" distL="114300" distR="114300" simplePos="0" relativeHeight="25170739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052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sidR="0062077D">
        <w:rPr>
          <w:rStyle w:val="717Char0"/>
          <w:rtl/>
        </w:rPr>
        <w:t>מבנים מסוכנים</w:t>
      </w:r>
      <w:r w:rsidRPr="009B03FA" w:rsidR="0062077D">
        <w:rPr>
          <w:rtl/>
        </w:rPr>
        <w:t xml:space="preserve"> - על פי נתוני עמידר, נכון למועד סיום הביקורת בספטמבר 2021 היו 35 מבנים שהיא סיווגה כמסוכנים, ובהם 417 דירות שמהן 138 הן דירות דיור ציבורי שבניהולה. בדיקה הנוגעת ל-23 מבנים שהוצא להם צו מבנה מסוכן מהרשות המקומית וטרם שופצו לצורך הסרת המפגע המסוכן, העלתה כי שבעה מהמבנים ממתינים עד שנה לתחילת השיפוץ; שישה מבנים ממתינים בין שנה לשנתיים; שישה מבנים נוספים ממתינים בין שנתיים לחמש שנים; וארבעה נוספים ממתינים מעל שש שנים</w:t>
      </w:r>
      <w:r>
        <w:rPr>
          <w:rFonts w:hint="cs"/>
          <w:rtl/>
        </w:rPr>
        <w:t>.</w:t>
      </w:r>
    </w:p>
    <w:p w:rsidR="000E71A5" w:rsidRPr="0069093D" w:rsidP="000E71A5" w14:paraId="0DB24E01" w14:textId="2D3CCCEF">
      <w:pPr>
        <w:pStyle w:val="7112"/>
      </w:pPr>
      <w:r w:rsidRPr="004A45B1">
        <w:rPr>
          <w:rStyle w:val="717Char0"/>
          <w:rFonts w:hint="cs"/>
          <w:noProof/>
          <w:rtl/>
        </w:rPr>
        <w:drawing>
          <wp:anchor distT="0" distB="3600450" distL="114300" distR="114300" simplePos="0" relativeHeight="251708416" behindDoc="0" locked="0" layoutInCell="1" allowOverlap="1">
            <wp:simplePos x="0" y="0"/>
            <wp:positionH relativeFrom="column">
              <wp:posOffset>4528864</wp:posOffset>
            </wp:positionH>
            <wp:positionV relativeFrom="paragraph">
              <wp:posOffset>43180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4657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sidR="0062077D">
        <w:rPr>
          <w:rStyle w:val="717Char0"/>
          <w:rtl/>
        </w:rPr>
        <w:t>אכלוס חוזר של דירות</w:t>
      </w:r>
      <w:r w:rsidRPr="009B03FA" w:rsidR="0062077D">
        <w:rPr>
          <w:rtl/>
        </w:rPr>
        <w:t xml:space="preserve"> - מספר זכאי משרד הבינוי והשיכון הממתינים לדיור ציבורי נכון למועד סיום הביקורת בספטמבר 2021 עמד על כ-5,700 משקי בית. כ-26% מהדירות המיועדות לאכלוס חוזר (291 דירות) אוכלסו בפרק זמן העולה על חצי שנה, </w:t>
      </w:r>
      <w:r w:rsidRPr="009B03FA" w:rsidR="0062077D">
        <w:rPr>
          <w:rtl/>
        </w:rPr>
        <w:t>וכ</w:t>
      </w:r>
      <w:r w:rsidRPr="009B03FA" w:rsidR="0062077D">
        <w:rPr>
          <w:rtl/>
        </w:rPr>
        <w:t>-39% מהדירות המיועדות לאכלוס דיירי עמידר המנוהלות על ידי עמידר עומדות ריקות למעלה מ-300 ימים. משרד הבינוי והשיכון לא ביצע בקרה בנוגע למידת עמידתה של עמידר במדד השירות לאכלוס חוזר של הדירות, הוא לא בדק את הסיבות לעיכובים בימי האכלוס החוזר מעבר לנקבע בנספח השירות, ולא קנס את עמידר בגין החריגות מהימים שנקבעו</w:t>
      </w:r>
      <w:r>
        <w:rPr>
          <w:rtl/>
        </w:rPr>
        <w:t>.</w:t>
      </w:r>
    </w:p>
    <w:p w:rsidR="000E71A5" w:rsidP="00C010B2" w14:paraId="0C673457" w14:textId="41AC904B">
      <w:pPr>
        <w:spacing w:after="180" w:line="288" w:lineRule="auto"/>
        <w:ind w:left="454"/>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09440" behindDoc="0" locked="0" layoutInCell="1" allowOverlap="1">
            <wp:simplePos x="0" y="0"/>
            <wp:positionH relativeFrom="column">
              <wp:posOffset>4524419</wp:posOffset>
            </wp:positionH>
            <wp:positionV relativeFrom="paragraph">
              <wp:posOffset>31750</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4489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sidR="0062077D">
        <w:rPr>
          <w:rStyle w:val="717Char0"/>
          <w:rtl/>
        </w:rPr>
        <w:t>בקרה על עבודות תחזוקה ושיפוצים</w:t>
      </w:r>
      <w:r w:rsidRPr="009B03FA" w:rsidR="0062077D">
        <w:rPr>
          <w:rFonts w:ascii="Tahoma" w:hAnsi="Tahoma" w:cs="Tahoma"/>
          <w:color w:val="0D0D0D" w:themeColor="text1" w:themeTint="F2"/>
          <w:sz w:val="18"/>
          <w:szCs w:val="18"/>
          <w:rtl/>
        </w:rPr>
        <w:t xml:space="preserve"> - שיעור הבקרות שביצעו מפקחי ההנדסה היה קטן משמעותית מהנדרש ועמד על כ-2% לעומת 5%. כמו כן, נמצאו אי-התאמות מהותיות בין ציונים שמפקחי ההנדסה המחוזיים נתנו לעבודות בכל הנוגע לרכיב העמידה בלוחות הזמנים (ממוצע של 94 נקודות מתוך 100) לבין מצב הדברים בפועל, וגם למול הציון שניתן בבקרות לקבלנים שמוקד התחזוקה העניק להם ציונים נמוכים בהערכה השנתית. אי-ההתאמות מעלות ספק בדבר האיכות והאפקטיביות של הבקרה הפנימית של עמידר על ביצוע עבודות המוקד</w:t>
      </w:r>
      <w:r w:rsidRPr="007F4E99">
        <w:rPr>
          <w:rFonts w:ascii="Tahoma" w:hAnsi="Tahoma" w:cs="Tahoma"/>
          <w:color w:val="0D0D0D" w:themeColor="text1" w:themeTint="F2"/>
          <w:sz w:val="18"/>
          <w:szCs w:val="18"/>
          <w:rtl/>
        </w:rPr>
        <w:t>.</w:t>
      </w:r>
    </w:p>
    <w:p w:rsidR="0062077D" w:rsidRPr="00C80B25" w:rsidP="0062077D" w14:paraId="7E68F45C" w14:textId="5C42E749">
      <w:pPr>
        <w:pStyle w:val="7112"/>
      </w:pPr>
      <w:r w:rsidRPr="0078031D">
        <w:rPr>
          <w:rStyle w:val="717Char0"/>
          <w:rFonts w:hint="cs"/>
          <w:noProof/>
          <w:rtl/>
        </w:rPr>
        <w:drawing>
          <wp:anchor distT="0" distB="3600450" distL="114300" distR="114300" simplePos="0" relativeHeight="25172787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2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5778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Pr>
          <w:rStyle w:val="717Char0"/>
          <w:rtl/>
        </w:rPr>
        <w:t>פיקוח ובקרה של משרד הבינוי והשיכון על הסכם הניהול</w:t>
      </w:r>
      <w:r w:rsidRPr="009B03FA">
        <w:rPr>
          <w:rtl/>
        </w:rPr>
        <w:t xml:space="preserve"> - משרד הבינוי והשיכון לא קיים הליך של בחינת ממצאי הבקרה והפקת לקחים על מנת לברר את ההסברים לחריגות ולליקויים שהועלו בבקרה כדי לפעול לצמצומם ולתיקונם. כמו כן, המשרד לא מינה מפקחים מטעמו לבדיקת הנכסים ורמת תחזוקתם, והוא לא ביצע בדיקה של הנכסים</w:t>
      </w:r>
      <w:r>
        <w:rPr>
          <w:rFonts w:hint="cs"/>
          <w:rtl/>
        </w:rPr>
        <w:t>.</w:t>
      </w:r>
    </w:p>
    <w:p w:rsidR="0062077D" w:rsidRPr="00C80B25" w:rsidP="0062077D" w14:paraId="0FE88519" w14:textId="11A2B88A">
      <w:pPr>
        <w:pStyle w:val="7112"/>
      </w:pPr>
      <w:r w:rsidRPr="0078031D">
        <w:rPr>
          <w:rStyle w:val="717Char0"/>
          <w:rFonts w:hint="cs"/>
          <w:noProof/>
          <w:rtl/>
        </w:rPr>
        <w:drawing>
          <wp:anchor distT="0" distB="3600450" distL="114300" distR="114300" simplePos="0" relativeHeight="251728896"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5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2739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2077D">
        <w:rPr>
          <w:rStyle w:val="717Char0"/>
          <w:rtl/>
        </w:rPr>
        <w:t>סדרי התקשרויות לביצוע עבודות</w:t>
      </w:r>
      <w:r w:rsidRPr="009B03FA">
        <w:rPr>
          <w:rtl/>
        </w:rPr>
        <w:t xml:space="preserve"> - ועדת המכרזים של עמידר לא פנתה לקבלת הצעות מכל ספקי המכרז כנדרש אף שמדובר היה בהזמנות ששווין מעל 200,000 ש"ח. כמו כן נמצאו פערים ניכרים בחלוקת העבודות בין הקבלנים שנבחרו: בשנת 2020 הועסקו 101 קבלני שיפוצים ששולמו להם 177 מיליון ש"ח, כאשר 100 מיליון ש"ח (כ-56%) שולמו ל-21 מהם (כ-20%). מחלקת אחזקה ומכרזים לא דיווחה לוועדת המכרזים על חלוקת העבודות בין הקבלנים בשנים שנבדקו (2018 - 2020). ועדת המכרזים מצידה לא דרשה לקבל את פרטי חלוקת העבודות ולא דנה בכך, וכפועל יוצא מכך לא נבחנו הסיבות לפערים בחלוקת העבודות בין קבלני השיפוצים השונים</w:t>
      </w:r>
      <w:r>
        <w:rPr>
          <w:rFonts w:hint="cs"/>
          <w:rtl/>
        </w:rPr>
        <w:t>.</w:t>
      </w:r>
    </w:p>
    <w:p w:rsidR="000E71A5" w:rsidP="00A469C0" w14:paraId="213D2C60" w14:textId="64C715BA">
      <w:pPr>
        <w:rPr>
          <w:rtl/>
        </w:rPr>
      </w:pPr>
      <w:r w:rsidRPr="00362C00">
        <w:rPr>
          <w:rFonts w:hint="cs"/>
          <w:noProof/>
          <w:sz w:val="19"/>
          <w:szCs w:val="19"/>
          <w:rtl/>
        </w:rPr>
        <w:drawing>
          <wp:anchor distT="0" distB="0" distL="114300" distR="114300" simplePos="0" relativeHeight="251710464" behindDoc="0" locked="0" layoutInCell="1" allowOverlap="1">
            <wp:simplePos x="0" y="0"/>
            <wp:positionH relativeFrom="column">
              <wp:posOffset>2120753</wp:posOffset>
            </wp:positionH>
            <wp:positionV relativeFrom="paragraph">
              <wp:posOffset>196215</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11B5C" w:rsidP="00A469C0" w14:paraId="695872ED" w14:textId="6E8AFADE">
      <w:pPr>
        <w:rPr>
          <w:rtl/>
        </w:rPr>
      </w:pPr>
    </w:p>
    <w:p w:rsidR="00D11B5C" w:rsidRPr="001D564B" w:rsidP="00D11B5C" w14:paraId="74204013" w14:textId="741521D6">
      <w:pPr>
        <w:spacing w:after="240" w:line="288" w:lineRule="auto"/>
        <w:ind w:left="397"/>
        <w:rPr>
          <w:rFonts w:ascii="Tahoma" w:hAnsi="Tahoma" w:cs="Tahoma"/>
          <w:color w:val="0D0D0D" w:themeColor="text1" w:themeTint="F2"/>
          <w:sz w:val="18"/>
          <w:szCs w:val="18"/>
          <w:rtl/>
        </w:rPr>
      </w:pPr>
      <w:r w:rsidRPr="0062077D">
        <w:rPr>
          <w:rStyle w:val="717Char0"/>
          <w:rtl/>
        </w:rPr>
        <w:t>תקני זמן לביצוע תיקונים</w:t>
      </w:r>
      <w:r w:rsidRPr="009B03FA">
        <w:rPr>
          <w:rFonts w:ascii="Tahoma" w:hAnsi="Tahoma" w:cs="Tahoma"/>
          <w:color w:val="0D0D0D" w:themeColor="text1" w:themeTint="F2"/>
          <w:sz w:val="18"/>
          <w:szCs w:val="18"/>
          <w:rtl/>
        </w:rPr>
        <w:t xml:space="preserve"> - עמידר קבעה לעצמה תקני זמן לביצוע תיקונים בדירות שהם מחמירים יותר מן התקן שנקבע לתיקונים אלה בהסכם הניהול</w:t>
      </w:r>
      <w:r w:rsidRPr="001D564B">
        <w:rPr>
          <w:rFonts w:ascii="Tahoma" w:hAnsi="Tahoma" w:cs="Tahoma"/>
          <w:color w:val="0D0D0D" w:themeColor="text1" w:themeTint="F2"/>
          <w:sz w:val="18"/>
          <w:szCs w:val="18"/>
          <w:rtl/>
        </w:rPr>
        <w:t xml:space="preserve">. </w:t>
      </w:r>
    </w:p>
    <w:p w:rsidR="00C010B2" w:rsidRPr="008A395D" w:rsidP="00C010B2" w14:paraId="7CAE5344" w14:textId="6526C10A">
      <w:pPr>
        <w:spacing w:after="240" w:line="288" w:lineRule="auto"/>
        <w:ind w:left="424"/>
        <w:rPr>
          <w:rFonts w:ascii="Tahoma" w:hAnsi="Tahoma" w:cs="Tahoma"/>
          <w:color w:val="0D0D0D" w:themeColor="text1" w:themeTint="F2"/>
          <w:sz w:val="18"/>
          <w:szCs w:val="18"/>
          <w:rtl/>
        </w:rPr>
      </w:pPr>
      <w:r w:rsidRPr="0062077D">
        <w:rPr>
          <w:rStyle w:val="717Char0"/>
          <w:rtl/>
        </w:rPr>
        <w:t>פורום שירות</w:t>
      </w:r>
      <w:r w:rsidRPr="009B03FA">
        <w:rPr>
          <w:rFonts w:ascii="Tahoma" w:hAnsi="Tahoma" w:cs="Tahoma"/>
          <w:color w:val="0D0D0D" w:themeColor="text1" w:themeTint="F2"/>
          <w:sz w:val="18"/>
          <w:szCs w:val="18"/>
          <w:rtl/>
        </w:rPr>
        <w:t xml:space="preserve"> - עמידר מפעילה פורום פנימי בתחום השירות הכולל חברי הנהלה ובכירים מאגפי השירות וההנדסה, שדן בפעילויות החברה בהקשר של השירות לדייר, כגון פעילות מוקד שירות הלקוחות הטלפוני, מוקד האחזקה, מועדי אכלוס דירות ועמידת החברה בלוחות זמנים הנוגעים לעבודות תחזוקה</w:t>
      </w:r>
      <w:r w:rsidRPr="008A395D">
        <w:rPr>
          <w:rFonts w:ascii="Tahoma" w:hAnsi="Tahoma" w:cs="Tahoma"/>
          <w:color w:val="0D0D0D" w:themeColor="text1" w:themeTint="F2"/>
          <w:sz w:val="18"/>
          <w:szCs w:val="18"/>
          <w:rtl/>
        </w:rPr>
        <w:t>.</w:t>
      </w:r>
    </w:p>
    <w:p w:rsidR="0062077D" w:rsidP="0062077D" w14:paraId="07D7118E" w14:textId="77777777">
      <w:pPr>
        <w:spacing w:after="240" w:line="288" w:lineRule="auto"/>
        <w:ind w:left="424"/>
        <w:rPr>
          <w:rFonts w:ascii="Tahoma" w:hAnsi="Tahoma" w:cs="Tahoma"/>
          <w:color w:val="0D0D0D" w:themeColor="text1" w:themeTint="F2"/>
          <w:sz w:val="18"/>
          <w:szCs w:val="18"/>
          <w:rtl/>
        </w:rPr>
      </w:pPr>
      <w:r w:rsidRPr="0062077D">
        <w:rPr>
          <w:rStyle w:val="717Char0"/>
          <w:rtl/>
        </w:rPr>
        <w:t>ביצוע משובים לאחר ביקורי מעגל</w:t>
      </w:r>
      <w:r w:rsidRPr="009B03FA">
        <w:rPr>
          <w:rFonts w:ascii="Tahoma" w:hAnsi="Tahoma" w:cs="Tahoma"/>
          <w:color w:val="0D0D0D" w:themeColor="text1" w:themeTint="F2"/>
          <w:sz w:val="18"/>
          <w:szCs w:val="18"/>
          <w:rtl/>
        </w:rPr>
        <w:t xml:space="preserve"> - עמידר עמדה בהיקף ביצוע משובים בעקבות ביקורי מעגל</w:t>
      </w:r>
      <w:r>
        <w:rPr>
          <w:rFonts w:ascii="Tahoma" w:hAnsi="Tahoma" w:cs="Tahoma"/>
          <w:color w:val="0D0D0D" w:themeColor="text1" w:themeTint="F2"/>
          <w:sz w:val="18"/>
          <w:szCs w:val="18"/>
          <w:vertAlign w:val="superscript"/>
          <w:rtl/>
        </w:rPr>
        <w:footnoteReference w:id="3"/>
      </w:r>
      <w:r w:rsidRPr="009B03FA">
        <w:rPr>
          <w:rFonts w:ascii="Tahoma" w:hAnsi="Tahoma" w:cs="Tahoma"/>
          <w:color w:val="0D0D0D" w:themeColor="text1" w:themeTint="F2"/>
          <w:sz w:val="18"/>
          <w:szCs w:val="18"/>
          <w:rtl/>
        </w:rPr>
        <w:t xml:space="preserve"> (10% - פי שניים מהנדרש</w:t>
      </w:r>
      <w:r>
        <w:rPr>
          <w:rFonts w:ascii="Tahoma" w:hAnsi="Tahoma" w:cs="Tahoma" w:hint="cs"/>
          <w:color w:val="0D0D0D" w:themeColor="text1" w:themeTint="F2"/>
          <w:sz w:val="18"/>
          <w:szCs w:val="18"/>
          <w:rtl/>
        </w:rPr>
        <w:t>)</w:t>
      </w:r>
      <w:r w:rsidRPr="008A395D" w:rsidR="00C010B2">
        <w:rPr>
          <w:rFonts w:ascii="Tahoma" w:hAnsi="Tahoma" w:cs="Tahoma"/>
          <w:color w:val="0D0D0D" w:themeColor="text1" w:themeTint="F2"/>
          <w:sz w:val="18"/>
          <w:szCs w:val="18"/>
          <w:rtl/>
        </w:rPr>
        <w:t>.</w:t>
      </w:r>
    </w:p>
    <w:p w:rsidR="00D11B5C" w:rsidRPr="001D564B" w:rsidP="0062077D" w14:paraId="1446FFA2" w14:textId="1C32E7B7">
      <w:pPr>
        <w:spacing w:after="240" w:line="288" w:lineRule="auto"/>
        <w:ind w:left="424"/>
        <w:rPr>
          <w:rFonts w:ascii="Tahoma" w:hAnsi="Tahoma" w:cs="Tahoma"/>
          <w:color w:val="0D0D0D" w:themeColor="text1" w:themeTint="F2"/>
          <w:sz w:val="18"/>
          <w:szCs w:val="18"/>
          <w:rtl/>
        </w:rPr>
      </w:pPr>
      <w:r w:rsidRPr="00C010B2">
        <w:rPr>
          <w:rStyle w:val="717Char0"/>
          <w:b/>
          <w:noProof/>
          <w:rtl/>
        </w:rPr>
        <mc:AlternateContent>
          <mc:Choice Requires="wps">
            <w:drawing>
              <wp:anchor distT="45720" distB="45720" distL="114300" distR="114300" simplePos="0" relativeHeight="251711488" behindDoc="0" locked="0" layoutInCell="1" allowOverlap="1">
                <wp:simplePos x="0" y="0"/>
                <wp:positionH relativeFrom="column">
                  <wp:posOffset>60325</wp:posOffset>
                </wp:positionH>
                <wp:positionV relativeFrom="paragraph">
                  <wp:posOffset>259550</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367.5pt;height:30.75pt;margin-top:20.45pt;margin-left:4.75pt;mso-height-percent:0;mso-height-relative:margin;mso-width-percent:0;mso-width-relative:margin;mso-wrap-distance-bottom:3.6pt;mso-wrap-distance-left:9pt;mso-wrap-distance-right:9pt;mso-wrap-distance-top:3.6pt;mso-wrap-style:square;position:absolute;visibility:visible;v-text-anchor:top;z-index:251712512"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C010B2">
        <w:rPr>
          <w:rStyle w:val="717Char0"/>
          <w:b/>
          <w:noProof/>
          <w:rtl/>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204214</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714560" from="-9pt,16.1pt" to="363.75pt,16.1pt" strokecolor="black" strokeweight="2pt"/>
            </w:pict>
          </mc:Fallback>
        </mc:AlternateContent>
      </w:r>
      <w:r w:rsidRPr="008A395D" w:rsidR="00C010B2">
        <w:rPr>
          <w:rFonts w:ascii="Tahoma" w:hAnsi="Tahoma" w:cs="Tahoma"/>
          <w:color w:val="0D0D0D" w:themeColor="text1" w:themeTint="F2"/>
          <w:sz w:val="18"/>
          <w:szCs w:val="18"/>
          <w:rtl/>
        </w:rPr>
        <w:t xml:space="preserve"> </w:t>
      </w:r>
    </w:p>
    <w:p w:rsidR="00C914A4" w:rsidRPr="003A3978" w:rsidP="00C914A4" w14:paraId="1813BEAE" w14:textId="3D236945">
      <w:pPr>
        <w:pStyle w:val="7112"/>
      </w:pPr>
      <w:r w:rsidRPr="00C010B2">
        <w:rPr>
          <w:rStyle w:val="717Char0"/>
          <w:noProof/>
        </w:rPr>
        <w:drawing>
          <wp:anchor distT="0" distB="3600450" distL="114300" distR="114300" simplePos="0" relativeHeight="251716608" behindDoc="0" locked="0" layoutInCell="1" allowOverlap="1">
            <wp:simplePos x="0" y="0"/>
            <wp:positionH relativeFrom="column">
              <wp:posOffset>4539615</wp:posOffset>
            </wp:positionH>
            <wp:positionV relativeFrom="paragraph">
              <wp:posOffset>459740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98027418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מומלץ כי משרד הבינוי והשיכון ומשרד האוצר יבחנו יחד את הצרכים הנדרשים לתחזוקה, תוך התייחסות למפרטים שנקבעו בחוק הדיור הציבורי ולכמות הדירות ומצבן, ויתאימו להם את התקצוב הראוי לכך</w:t>
      </w:r>
      <w:r w:rsidRPr="003A3978">
        <w:rPr>
          <w:rtl/>
        </w:rPr>
        <w:t>.</w:t>
      </w:r>
    </w:p>
    <w:p w:rsidR="00C914A4" w:rsidRPr="003A3978" w:rsidP="00C914A4" w14:paraId="4886D1DB" w14:textId="789062A4">
      <w:pPr>
        <w:pStyle w:val="7112"/>
      </w:pPr>
      <w:r w:rsidRPr="00C010B2">
        <w:rPr>
          <w:rStyle w:val="717Char0"/>
          <w:noProof/>
        </w:rPr>
        <w:drawing>
          <wp:anchor distT="0" distB="3600450" distL="114300" distR="114300" simplePos="0" relativeHeight="251715584" behindDoc="0" locked="0" layoutInCell="1" allowOverlap="1">
            <wp:simplePos x="0" y="0"/>
            <wp:positionH relativeFrom="column">
              <wp:posOffset>4539615</wp:posOffset>
            </wp:positionH>
            <wp:positionV relativeFrom="paragraph">
              <wp:posOffset>27261</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701140204"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מומלץ כי עמידר תבחן פרטנית מקרים שבהם יש מספר רב של קריאות למוקד השירות, ותבדוק אם נדרש מענה יסודי בעניינם, למשל - ביצוע שיפוץ נרחב יותר</w:t>
      </w:r>
      <w:r w:rsidRPr="003A3978">
        <w:rPr>
          <w:rtl/>
        </w:rPr>
        <w:t>.</w:t>
      </w:r>
      <w:r w:rsidRPr="003A3978">
        <w:rPr>
          <w:rFonts w:hint="cs"/>
          <w:rtl/>
        </w:rPr>
        <w:t xml:space="preserve"> </w:t>
      </w:r>
    </w:p>
    <w:p w:rsidR="00C914A4" w:rsidRPr="00003EBB" w:rsidP="00C914A4" w14:paraId="772DA4AF" w14:textId="5F8FB9E3">
      <w:pPr>
        <w:pStyle w:val="7112"/>
        <w:rPr>
          <w:rtl/>
        </w:rPr>
      </w:pPr>
      <w:r w:rsidRPr="00C010B2">
        <w:rPr>
          <w:rStyle w:val="717Char0"/>
          <w:noProof/>
        </w:rPr>
        <w:drawing>
          <wp:anchor distT="0" distB="3600450" distL="114300" distR="114300" simplePos="0" relativeHeight="25171763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90301354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על עמידר להקפיד על תיקון ליקויים בטיחותיים במועדים שנקבעו בהסכם הניהול</w:t>
      </w:r>
      <w:r w:rsidRPr="00003EBB">
        <w:rPr>
          <w:rtl/>
        </w:rPr>
        <w:t>.</w:t>
      </w:r>
    </w:p>
    <w:p w:rsidR="00C914A4" w:rsidRPr="00577C64" w:rsidP="00C914A4" w14:paraId="2D13BD85" w14:textId="4E5C41F2">
      <w:pPr>
        <w:pStyle w:val="7112"/>
      </w:pPr>
      <w:r w:rsidRPr="00C010B2">
        <w:rPr>
          <w:rStyle w:val="717Char0"/>
          <w:noProof/>
        </w:rPr>
        <w:drawing>
          <wp:anchor distT="0" distB="3600450" distL="114300" distR="114300" simplePos="0" relativeHeight="25171865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21970147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נוכח ריבוי פניות דיירים לאחר ביצוע שיפוץ עמוק בדירתם, מומלץ שעמידר תמפה ותבחן את הסיבות לכך שדיירים אלה המשיכו לפנות למוקד לצורך תיקון ליקויים ותפעל לצמצומן</w:t>
      </w:r>
      <w:r>
        <w:rPr>
          <w:rFonts w:hint="cs"/>
          <w:rtl/>
        </w:rPr>
        <w:t>.</w:t>
      </w:r>
    </w:p>
    <w:p w:rsidR="00C914A4" w:rsidP="00C914A4" w14:paraId="4F7E0D38" w14:textId="1502FADC">
      <w:pPr>
        <w:pStyle w:val="7112"/>
        <w:rPr>
          <w:rtl/>
        </w:rPr>
      </w:pPr>
      <w:r w:rsidRPr="00C010B2">
        <w:rPr>
          <w:rStyle w:val="717Char0"/>
          <w:noProof/>
        </w:rPr>
        <w:drawing>
          <wp:anchor distT="0" distB="3600450" distL="114300" distR="114300" simplePos="0" relativeHeight="251719680"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93530851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 xml:space="preserve">על משרד הבינוי והשיכון לגבש מתווה מגובה בתקציב לטיפול </w:t>
      </w:r>
      <w:r w:rsidRPr="009B03FA" w:rsidR="0062077D">
        <w:rPr>
          <w:rtl/>
        </w:rPr>
        <w:t>מיידי</w:t>
      </w:r>
      <w:r w:rsidRPr="009B03FA" w:rsidR="0062077D">
        <w:rPr>
          <w:rtl/>
        </w:rPr>
        <w:t xml:space="preserve"> בכלל המבנים המסוכנים. במסגרת זו מומלץ גם לשקול את הכדאיות בשיפוץ מבנה להסרת סכנות הבטיחות אל מול חלופות כמו מכירה או הריסה ובנייה מחדש, לרבות במסגרת התחדשות עירונית, מבלי לפגוע במלאי הדיור הציבורי</w:t>
      </w:r>
      <w:r w:rsidRPr="003A3978">
        <w:rPr>
          <w:rtl/>
        </w:rPr>
        <w:t>.</w:t>
      </w:r>
      <w:r w:rsidRPr="003A3978">
        <w:rPr>
          <w:rFonts w:hint="cs"/>
          <w:rtl/>
        </w:rPr>
        <w:t xml:space="preserve"> </w:t>
      </w:r>
    </w:p>
    <w:p w:rsidR="00C010B2" w:rsidRPr="00003EBB" w:rsidP="00C010B2" w14:paraId="62223CAF" w14:textId="431780C0">
      <w:pPr>
        <w:pStyle w:val="7112"/>
        <w:rPr>
          <w:rtl/>
        </w:rPr>
      </w:pPr>
      <w:r w:rsidRPr="00C010B2">
        <w:rPr>
          <w:rStyle w:val="717Char0"/>
          <w:noProof/>
        </w:rPr>
        <w:drawing>
          <wp:anchor distT="0" distB="3600450" distL="114300" distR="114300" simplePos="0" relativeHeight="251724800"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1264943606" name="תמונה 33"/>
            <wp:cNvGraphicFramePr/>
            <a:graphic xmlns:a="http://schemas.openxmlformats.org/drawingml/2006/main">
              <a:graphicData uri="http://schemas.openxmlformats.org/drawingml/2006/picture">
                <pic:pic xmlns:pic="http://schemas.openxmlformats.org/drawingml/2006/picture">
                  <pic:nvPicPr>
                    <pic:cNvPr id="201981135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על משרד הבינוי והשיכון לבצע בקרה על תהליך אכלוס חוזר ולהבטיח את האכלוס בפרק הזמן שנקבע בנספח השירות, וזאת בהתחשב בתור הממתינים הארוך הקיים (כ-5,700 משקי בית). אם מדובר בדירות שלא ניתן לאכלסן עקב חוסר ביקוש או חוסר כדאיות בשיפוץ, יש לשקול למכור אותן</w:t>
      </w:r>
      <w:r w:rsidRPr="00003EBB">
        <w:rPr>
          <w:rtl/>
        </w:rPr>
        <w:t>.</w:t>
      </w:r>
    </w:p>
    <w:p w:rsidR="00C010B2" w:rsidRPr="00003EBB" w:rsidP="00C010B2" w14:paraId="6AEA3588" w14:textId="5ED52545">
      <w:pPr>
        <w:pStyle w:val="7112"/>
        <w:rPr>
          <w:rtl/>
        </w:rPr>
      </w:pPr>
      <w:r w:rsidRPr="00C010B2">
        <w:rPr>
          <w:rStyle w:val="717Char0"/>
          <w:noProof/>
        </w:rPr>
        <w:drawing>
          <wp:anchor distT="0" distB="3600450" distL="114300" distR="114300" simplePos="0" relativeHeight="251725824"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29" name="תמונה 33"/>
            <wp:cNvGraphicFramePr/>
            <a:graphic xmlns:a="http://schemas.openxmlformats.org/drawingml/2006/main">
              <a:graphicData uri="http://schemas.openxmlformats.org/drawingml/2006/picture">
                <pic:pic xmlns:pic="http://schemas.openxmlformats.org/drawingml/2006/picture">
                  <pic:nvPicPr>
                    <pic:cNvPr id="55262668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על משרד הבינוי והשיכון לוודא את ביצוען של כל הבקרות שלו על עמידר, ומומלץ כי ישתמש בתוצרי הבקרות לצורך שיפור עבודתה של עמידר</w:t>
      </w:r>
      <w:r w:rsidRPr="00003EBB">
        <w:rPr>
          <w:rtl/>
        </w:rPr>
        <w:t>.</w:t>
      </w:r>
    </w:p>
    <w:p w:rsidR="00C010B2" w:rsidP="00C010B2" w14:paraId="3393BE49" w14:textId="28A0A375">
      <w:pPr>
        <w:pStyle w:val="7112"/>
        <w:rPr>
          <w:rtl/>
        </w:rPr>
      </w:pPr>
      <w:r w:rsidRPr="00C010B2">
        <w:rPr>
          <w:rStyle w:val="717Char0"/>
          <w:noProof/>
        </w:rPr>
        <w:drawing>
          <wp:anchor distT="0" distB="3600450" distL="114300" distR="114300" simplePos="0" relativeHeight="251726848"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30" name="תמונה 33"/>
            <wp:cNvGraphicFramePr/>
            <a:graphic xmlns:a="http://schemas.openxmlformats.org/drawingml/2006/main">
              <a:graphicData uri="http://schemas.openxmlformats.org/drawingml/2006/picture">
                <pic:pic xmlns:pic="http://schemas.openxmlformats.org/drawingml/2006/picture">
                  <pic:nvPicPr>
                    <pic:cNvPr id="60156986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3FA" w:rsidR="0062077D">
        <w:rPr>
          <w:rtl/>
        </w:rPr>
        <w:t>על ועדת המכרזים של עמידר לדון בנתונים של חלוקת העבודות לקבלנים כפי שהיא כיום, לבחון את הסיבות לפערים ולפעול לחלוקה שוויונית. מומלץ כי עמידר תבחן דרכים לעודד קבלנים נוספים להשתתף במכרזיה</w:t>
      </w:r>
      <w:r w:rsidRPr="00003EBB">
        <w:rPr>
          <w:rtl/>
        </w:rPr>
        <w:t>.</w:t>
      </w:r>
    </w:p>
    <w:p w:rsidR="00C010B2" w14:paraId="00D75410" w14:textId="77777777">
      <w:pPr>
        <w:bidi w:val="0"/>
        <w:spacing w:after="200" w:line="276" w:lineRule="auto"/>
        <w:rPr>
          <w:rFonts w:ascii="Tahoma" w:hAnsi="Tahoma" w:cs="Tahoma"/>
          <w:color w:val="0D0D0D" w:themeColor="text1" w:themeTint="F2"/>
          <w:sz w:val="18"/>
          <w:szCs w:val="18"/>
          <w:rtl/>
        </w:rPr>
      </w:pPr>
      <w:r>
        <w:rPr>
          <w:rtl/>
        </w:rPr>
        <w:br w:type="page"/>
      </w:r>
    </w:p>
    <w:p w:rsidR="00E0162D" w:rsidRPr="00C914A4" w:rsidP="00E0162D" w14:paraId="3CC61AEA" w14:textId="71159C1C">
      <w:pPr>
        <w:pStyle w:val="7112"/>
        <w:rPr>
          <w:rtl/>
        </w:rPr>
        <w:sectPr w:rsidSect="00147E0F">
          <w:footerReference w:type="even" r:id="rId22"/>
          <w:footerReference w:type="default" r:id="rId23"/>
          <w:headerReference w:type="first" r:id="rId24"/>
          <w:footerReference w:type="first" r:id="rId25"/>
          <w:pgSz w:w="11906" w:h="16838" w:code="9"/>
          <w:pgMar w:top="3062" w:right="2268" w:bottom="2552" w:left="2268" w:header="1134" w:footer="1361" w:gutter="0"/>
          <w:pgNumType w:start="2045"/>
          <w:cols w:space="708"/>
          <w:bidi/>
          <w:rtlGutter/>
          <w:docGrid w:linePitch="360"/>
        </w:sectPr>
      </w:pPr>
      <w:r w:rsidRPr="003908B5">
        <w:rPr>
          <w:noProof/>
          <w:sz w:val="19"/>
          <w:szCs w:val="19"/>
        </w:rPr>
        <w:drawing>
          <wp:anchor distT="0" distB="0" distL="114300" distR="114300" simplePos="0" relativeHeight="251729920" behindDoc="0" locked="0" layoutInCell="1" allowOverlap="1">
            <wp:simplePos x="0" y="0"/>
            <wp:positionH relativeFrom="column">
              <wp:posOffset>137160</wp:posOffset>
            </wp:positionH>
            <wp:positionV relativeFrom="paragraph">
              <wp:posOffset>810260</wp:posOffset>
            </wp:positionV>
            <wp:extent cx="4516755" cy="3839210"/>
            <wp:effectExtent l="0" t="0" r="4445" b="0"/>
            <wp:wrapTopAndBottom/>
            <wp:docPr id="58" name="תמונה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31193" name="תמונה 58"/>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16755" cy="383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D24">
        <w:rPr>
          <w:noProof/>
          <w:rtl/>
        </w:rPr>
        <mc:AlternateContent>
          <mc:Choice Requires="wpg">
            <w:drawing>
              <wp:anchor distT="0" distB="0" distL="114300" distR="114300" simplePos="0" relativeHeight="251722752" behindDoc="0" locked="0" layoutInCell="1" allowOverlap="1">
                <wp:simplePos x="0" y="0"/>
                <wp:positionH relativeFrom="margin">
                  <wp:posOffset>-9525</wp:posOffset>
                </wp:positionH>
                <wp:positionV relativeFrom="paragraph">
                  <wp:posOffset>0</wp:posOffset>
                </wp:positionV>
                <wp:extent cx="4787900" cy="78359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83590"/>
                          <a:chOff x="0" y="181532"/>
                          <a:chExt cx="4787900" cy="675155"/>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2"/>
                            <a:ext cx="4787900" cy="675155"/>
                          </a:xfrm>
                          <a:prstGeom prst="rect">
                            <a:avLst/>
                          </a:prstGeom>
                        </pic:spPr>
                      </pic:pic>
                      <wps:wsp xmlns:wps="http://schemas.microsoft.com/office/word/2010/wordprocessingShape">
                        <wps:cNvPr id="1113575892" name="Text Box 2"/>
                        <wps:cNvSpPr txBox="1">
                          <a:spLocks noChangeArrowheads="1"/>
                        </wps:cNvSpPr>
                        <wps:spPr bwMode="auto">
                          <a:xfrm>
                            <a:off x="276225" y="281776"/>
                            <a:ext cx="4428490" cy="375434"/>
                          </a:xfrm>
                          <a:prstGeom prst="rect">
                            <a:avLst/>
                          </a:prstGeom>
                          <a:solidFill>
                            <a:srgbClr val="F05260"/>
                          </a:solidFill>
                          <a:ln w="9525">
                            <a:noFill/>
                            <a:miter lim="800000"/>
                            <a:headEnd/>
                            <a:tailEnd/>
                          </a:ln>
                        </wps:spPr>
                        <wps:txbx>
                          <w:txbxContent>
                            <w:p w:rsidR="00E0162D" w:rsidRPr="00A47335" w:rsidP="00E0162D" w14:textId="7BE3DBE4">
                              <w:pPr>
                                <w:pStyle w:val="7126"/>
                                <w:spacing w:before="0"/>
                                <w:rPr>
                                  <w:b w:val="0"/>
                                  <w:bCs/>
                                </w:rPr>
                              </w:pPr>
                              <w:r w:rsidRPr="003908B5">
                                <w:rPr>
                                  <w:bCs/>
                                  <w:rtl/>
                                </w:rPr>
                                <w:t>מספר הדירות שבוצעה בהן תחזוקת שבר, לפי מספר הקריאות למוקד</w:t>
                              </w:r>
                              <w:r w:rsidRPr="003908B5">
                                <w:rPr>
                                  <w:bCs/>
                                  <w:rtl/>
                                </w:rPr>
                                <w:br/>
                                <w:t>השירות ולפי ההוצאה הכספית (במיליוני ש"ח), 2018 - 2020</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8" style="width:377pt;height:61.7pt;margin-top:0;margin-left:-0.75pt;mso-height-relative:margin;mso-position-horizontal-relative:margin;mso-width-relative:margin;position:absolute;z-index:251723776" coordorigin="0,1815" coordsize="47879,6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9" type="#_x0000_t75" style="width:47879;height:6751;mso-wrap-style:square;position:absolute;top:1815;visibility:visible">
                  <v:imagedata r:id="rId28" o:title=""/>
                </v:shape>
                <v:shape id="_x0000_s1050" type="#_x0000_t202" style="width:44285;height:3755;left:2762;mso-wrap-style:square;position:absolute;top:2817;visibility:visible;v-text-anchor:middle" fillcolor="#f05260" stroked="f">
                  <v:textbox>
                    <w:txbxContent>
                      <w:p w:rsidR="00E0162D" w:rsidRPr="00A47335" w:rsidP="00E0162D" w14:paraId="65E956B1" w14:textId="7BE3DBE4">
                        <w:pPr>
                          <w:pStyle w:val="7126"/>
                          <w:spacing w:before="0"/>
                          <w:rPr>
                            <w:b w:val="0"/>
                            <w:bCs/>
                          </w:rPr>
                        </w:pPr>
                        <w:r w:rsidRPr="003908B5">
                          <w:rPr>
                            <w:bCs/>
                            <w:rtl/>
                          </w:rPr>
                          <w:t>מספר הדירות שבוצעה בהן תחזוקת שבר, לפי מספר הקריאות למוקד</w:t>
                        </w:r>
                        <w:r w:rsidRPr="003908B5">
                          <w:rPr>
                            <w:bCs/>
                            <w:rtl/>
                          </w:rPr>
                          <w:br/>
                          <w:t>השירות ולפי ההוצאה הכספית (במיליוני ש"ח), 2018 - 2020</w:t>
                        </w:r>
                      </w:p>
                    </w:txbxContent>
                  </v:textbox>
                </v:shape>
                <w10:wrap type="square"/>
              </v:group>
            </w:pict>
          </mc:Fallback>
        </mc:AlternateContent>
      </w:r>
    </w:p>
    <w:p w:rsidR="00BE794C" w:rsidRPr="00BE794C" w:rsidP="00F05330" w14:paraId="7E78358C" w14:textId="177B9584">
      <w:pPr>
        <w:pStyle w:val="715"/>
        <w:spacing w:after="0"/>
        <w:ind w:left="397" w:hanging="397"/>
        <w:rPr>
          <w:rtl/>
        </w:rPr>
      </w:pPr>
      <w:r w:rsidRPr="009B03FA">
        <w:rPr>
          <w:rtl/>
        </w:rPr>
        <w:t>על פי נתוני עמידר, בעיבוד משרד מבקר המדינה</w:t>
      </w:r>
      <w:r w:rsidRPr="00BE794C">
        <w:rPr>
          <w:rtl/>
        </w:rPr>
        <w:t>.</w:t>
      </w:r>
    </w:p>
    <w:p w:rsidR="00BE794C" w14:paraId="3DB4E68C" w14:textId="77777777">
      <w:pPr>
        <w:bidi w:val="0"/>
        <w:spacing w:after="200" w:line="276" w:lineRule="auto"/>
        <w:rPr>
          <w:rFonts w:ascii="Tahoma" w:hAnsi="Tahoma" w:cs="Tahoma"/>
          <w:b/>
          <w:bCs/>
          <w:color w:val="00305F"/>
          <w:sz w:val="32"/>
          <w:szCs w:val="32"/>
          <w:rtl/>
        </w:rPr>
      </w:pPr>
      <w:r>
        <w:rPr>
          <w:rtl/>
        </w:rPr>
        <w:br w:type="page"/>
      </w:r>
    </w:p>
    <w:p w:rsidR="00F27A70" w:rsidRPr="00C94863" w:rsidP="00C94863" w14:paraId="5E9C70D4" w14:textId="2756883A">
      <w:pPr>
        <w:pStyle w:val="7123"/>
        <w:spacing w:before="360"/>
        <w:rPr>
          <w:rtl/>
        </w:rPr>
      </w:pPr>
      <w:r>
        <w:rPr>
          <w:noProof/>
          <w:rtl/>
          <w:lang w:val="he-IL"/>
        </w:rPr>
        <mc:AlternateContent>
          <mc:Choice Requires="wpg">
            <w:drawing>
              <wp:anchor distT="0" distB="0" distL="114300" distR="114300" simplePos="0" relativeHeight="251677696"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1" style="width:368.5pt;height:2.95pt;margin-top:1pt;margin-left:-0.4pt;mso-position-horizontal-relative:margin;position:absolute;z-index:251678720" coordsize="47244,381">
                <v:line id="Straight Connector 56" o:spid="_x0000_s1052" style="flip:x;mso-wrap-style:square;position:absolute;visibility:visible" from="0,381" to="47244,381" o:connectortype="straight" strokecolor="#0d0d0d" strokeweight="1.5pt"/>
                <v:line id="Straight Connector 57" o:spid="_x0000_s1053"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62077D" w:rsidRPr="009B03FA" w:rsidP="0062077D" w14:paraId="225F7BC9" w14:textId="5EEF06E7">
      <w:pPr>
        <w:framePr w:hSpace="180" w:wrap="around" w:vAnchor="text" w:hAnchor="text" w:xAlign="center" w:y="1"/>
        <w:spacing w:after="120" w:line="288" w:lineRule="auto"/>
        <w:ind w:left="-1"/>
        <w:suppressOverlap/>
        <w:rPr>
          <w:rFonts w:ascii="Tahoma" w:hAnsi="Tahoma" w:cs="Tahoma"/>
          <w:color w:val="0D0D0D" w:themeColor="text1" w:themeTint="F2"/>
          <w:sz w:val="18"/>
          <w:szCs w:val="18"/>
          <w:rtl/>
        </w:rPr>
      </w:pPr>
      <w:r w:rsidRPr="009B03FA">
        <w:rPr>
          <w:rFonts w:ascii="Tahoma" w:hAnsi="Tahoma" w:cs="Tahoma"/>
          <w:color w:val="0D0D0D" w:themeColor="text1" w:themeTint="F2"/>
          <w:sz w:val="18"/>
          <w:szCs w:val="18"/>
          <w:rtl/>
        </w:rPr>
        <w:t xml:space="preserve">עמידר מנהלת את מרבית דירות הדיור הציבורי (כ-38,000 מתוך כ-50,000). כ-75% מהן הוקמו לפני למעלה מ-40 שנים, ומתגוררים בהן דיירים הנמנים עם האוכלוסיות ברמה הסוציו-אקונומית הנמוכה בישראל. הסכם הניהול של עמידר עם משרד הבינוי והשיכון מסדיר את אופן ניהול מערך הדירות, ובכלל זה את אחריותה לתחזוקתן על מנת להבטיח את קיום זכויותיו וחובותיו של דייר זכאי, לפי חוק זכויות הדייר בדיור הציבורי, </w:t>
      </w:r>
      <w:r w:rsidRPr="009B03FA">
        <w:rPr>
          <w:rFonts w:ascii="Tahoma" w:hAnsi="Tahoma" w:cs="Tahoma"/>
          <w:color w:val="0D0D0D" w:themeColor="text1" w:themeTint="F2"/>
          <w:sz w:val="18"/>
          <w:szCs w:val="18"/>
          <w:rtl/>
        </w:rPr>
        <w:t>התשנ"ח</w:t>
      </w:r>
      <w:r w:rsidRPr="009B03FA">
        <w:rPr>
          <w:rFonts w:ascii="Tahoma" w:hAnsi="Tahoma" w:cs="Tahoma"/>
          <w:color w:val="0D0D0D" w:themeColor="text1" w:themeTint="F2"/>
          <w:sz w:val="18"/>
          <w:szCs w:val="18"/>
          <w:rtl/>
        </w:rPr>
        <w:t>-1998, ותקנותיו.</w:t>
      </w:r>
    </w:p>
    <w:p w:rsidR="0062077D" w:rsidRPr="009B03FA" w:rsidP="0062077D" w14:paraId="441C8551" w14:textId="77777777">
      <w:pPr>
        <w:framePr w:hSpace="180" w:wrap="around" w:vAnchor="text" w:hAnchor="text" w:xAlign="center" w:y="1"/>
        <w:spacing w:after="120" w:line="288" w:lineRule="auto"/>
        <w:ind w:left="-1"/>
        <w:suppressOverlap/>
        <w:rPr>
          <w:rFonts w:ascii="Tahoma" w:hAnsi="Tahoma" w:cs="Tahoma"/>
          <w:color w:val="0D0D0D" w:themeColor="text1" w:themeTint="F2"/>
          <w:sz w:val="18"/>
          <w:szCs w:val="18"/>
          <w:rtl/>
        </w:rPr>
      </w:pPr>
      <w:r w:rsidRPr="009B03FA">
        <w:rPr>
          <w:rFonts w:ascii="Tahoma" w:hAnsi="Tahoma" w:cs="Tahoma"/>
          <w:color w:val="0D0D0D" w:themeColor="text1" w:themeTint="F2"/>
          <w:sz w:val="18"/>
          <w:szCs w:val="18"/>
          <w:rtl/>
        </w:rPr>
        <w:t xml:space="preserve">במסגרת פעולותיה לתחזוקת הדירות מבצעת עמידר, באמצעות קבלנים חיצוניים, עבודות תחזוקה שוטפת, שיפוץ עמוק ושיפוצים לפני אכלוס. בדוח זה שבחן את הנעשה בנושא זה בשנים 2018 - 2020, הועלה כי עמידר ביצעה פעולות רבות שכללו עבודות תחזוקה ותיקון ליקויים </w:t>
      </w:r>
      <w:r w:rsidRPr="009B03FA">
        <w:rPr>
          <w:rFonts w:ascii="Tahoma" w:hAnsi="Tahoma" w:cs="Tahoma"/>
          <w:color w:val="0D0D0D" w:themeColor="text1" w:themeTint="F2"/>
          <w:sz w:val="18"/>
          <w:szCs w:val="18"/>
          <w:rtl/>
        </w:rPr>
        <w:t>בכ</w:t>
      </w:r>
      <w:r w:rsidRPr="009B03FA">
        <w:rPr>
          <w:rFonts w:ascii="Tahoma" w:hAnsi="Tahoma" w:cs="Tahoma"/>
          <w:color w:val="0D0D0D" w:themeColor="text1" w:themeTint="F2"/>
          <w:sz w:val="18"/>
          <w:szCs w:val="18"/>
          <w:rtl/>
        </w:rPr>
        <w:t>-27,600 דירות ושיפוץ של כ-6,800 דירות, אולם טיפולה טעון שיפור.</w:t>
      </w:r>
    </w:p>
    <w:p w:rsidR="0078031D" w:rsidRPr="00640147" w:rsidP="0062077D" w14:paraId="4F89ABD7" w14:textId="15335037">
      <w:pPr>
        <w:pStyle w:val="7190"/>
        <w:rPr>
          <w:rtl/>
        </w:rPr>
      </w:pPr>
      <w:r w:rsidRPr="009B03FA">
        <w:rPr>
          <w:rtl/>
        </w:rPr>
        <w:t>על משרד הבינוי והשיכון ועמידר לפעול לתיקון הליקויים שהועלו בדוח זה על מנת לשמור על רמה נאותה של דירות הדיור הציבורי</w:t>
      </w:r>
      <w:r w:rsidRPr="00640147">
        <w:rPr>
          <w:rtl/>
        </w:rPr>
        <w:t>.</w:t>
      </w:r>
    </w:p>
    <w:p w:rsidR="0078031D" w:rsidRPr="00640147" w:rsidP="0078031D" w14:paraId="6F92330A" w14:textId="77777777">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headerReference w:type="even" r:id="rId29"/>
          <w:headerReference w:type="default" r:id="rId30"/>
          <w:type w:val="continuous"/>
          <w:pgSz w:w="11906" w:h="16838" w:code="9"/>
          <w:pgMar w:top="3062" w:right="2268" w:bottom="2552" w:left="2268" w:header="1134" w:footer="1361" w:gutter="0"/>
          <w:cols w:space="708"/>
          <w:bidi/>
          <w:rtlGutter/>
          <w:docGrid w:linePitch="360"/>
        </w:sectPr>
      </w:pPr>
    </w:p>
    <w:p w:rsidR="008A09DA" w:rsidRPr="00E110D4" w:rsidP="00E110D4" w14:paraId="2A47B7B1" w14:textId="6895D226">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730944" behindDoc="0" locked="0" layoutInCell="1" allowOverlap="1">
                <wp:simplePos x="0" y="0"/>
                <wp:positionH relativeFrom="column">
                  <wp:posOffset>4267893</wp:posOffset>
                </wp:positionH>
                <wp:positionV relativeFrom="paragraph">
                  <wp:posOffset>6922539</wp:posOffset>
                </wp:positionV>
                <wp:extent cx="1071418" cy="951346"/>
                <wp:effectExtent l="12700" t="12700" r="8255" b="13970"/>
                <wp:wrapNone/>
                <wp:docPr id="37" name="מלבן 37"/>
                <wp:cNvGraphicFramePr/>
                <a:graphic xmlns:a="http://schemas.openxmlformats.org/drawingml/2006/main">
                  <a:graphicData uri="http://schemas.microsoft.com/office/word/2010/wordprocessingShape">
                    <wps:wsp xmlns:wps="http://schemas.microsoft.com/office/word/2010/wordprocessingShape">
                      <wps:cNvSpPr/>
                      <wps:spPr>
                        <a:xfrm>
                          <a:off x="0" y="0"/>
                          <a:ext cx="1071418" cy="9513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37" o:spid="_x0000_s1054" style="width:84.35pt;height:74.9pt;margin-top:545.1pt;margin-left:336.05pt;mso-wrap-distance-bottom:0;mso-wrap-distance-left:9pt;mso-wrap-distance-right:9pt;mso-wrap-distance-top:0;mso-wrap-style:square;position:absolute;visibility:visible;v-text-anchor:middle;z-index:251731968" fillcolor="white" strokecolor="white" strokeweight="2pt"/>
            </w:pict>
          </mc:Fallback>
        </mc:AlternateContent>
      </w:r>
    </w:p>
    <w:sectPr w:rsidSect="00F619AB">
      <w:headerReference w:type="default" r:id="rId31"/>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65C7" w:rsidP="00C23CC9" w14:paraId="554D887A" w14:textId="77777777">
      <w:pPr>
        <w:spacing w:line="240" w:lineRule="auto"/>
      </w:pPr>
      <w:r>
        <w:separator/>
      </w:r>
    </w:p>
  </w:footnote>
  <w:footnote w:type="continuationSeparator" w:id="1">
    <w:p w:rsidR="000A65C7" w:rsidP="00C23CC9" w14:paraId="43B61891" w14:textId="77777777">
      <w:pPr>
        <w:spacing w:line="240" w:lineRule="auto"/>
      </w:pPr>
      <w:r>
        <w:continuationSeparator/>
      </w:r>
    </w:p>
    <w:p w:rsidR="000A65C7" w14:paraId="3BD94C11" w14:textId="77777777"/>
  </w:footnote>
  <w:footnote w:id="2">
    <w:p w:rsidR="0062077D" w:rsidRPr="0062077D" w:rsidP="002416F4" w14:paraId="04876132" w14:textId="77777777">
      <w:pPr>
        <w:pStyle w:val="719"/>
      </w:pPr>
      <w:r w:rsidRPr="0062077D">
        <w:rPr>
          <w:rStyle w:val="FootnoteReference0"/>
          <w:vertAlign w:val="baseline"/>
        </w:rPr>
        <w:footnoteRef/>
      </w:r>
      <w:r w:rsidRPr="0062077D">
        <w:rPr>
          <w:rtl/>
        </w:rPr>
        <w:t xml:space="preserve"> </w:t>
      </w:r>
      <w:r w:rsidRPr="0062077D">
        <w:rPr>
          <w:rtl/>
        </w:rPr>
        <w:tab/>
        <w:t>עבודות תחזוקה שוטפות כגון: תיקוני צנרת מים גלויה או סמויה, אינסטלציה סניטרית (פתיחת סתימות בקווי ביוב) ותיקוני חשמל.</w:t>
      </w:r>
    </w:p>
  </w:footnote>
  <w:footnote w:id="3">
    <w:p w:rsidR="0062077D" w:rsidRPr="0062077D" w:rsidP="002416F4" w14:paraId="2451F3CD" w14:textId="77777777">
      <w:pPr>
        <w:pStyle w:val="719"/>
      </w:pPr>
      <w:r w:rsidRPr="0062077D">
        <w:rPr>
          <w:rStyle w:val="FootnoteReference0"/>
          <w:vertAlign w:val="baseline"/>
        </w:rPr>
        <w:footnoteRef/>
      </w:r>
      <w:r w:rsidRPr="0062077D">
        <w:rPr>
          <w:rtl/>
        </w:rPr>
        <w:t xml:space="preserve"> </w:t>
      </w:r>
      <w:r w:rsidRPr="0062077D">
        <w:rPr>
          <w:rtl/>
        </w:rPr>
        <w:tab/>
        <w:t>ביקור חד-שנתי של נציג עמידר לצורך בדיקת מצבו של הנכס.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2343D6" w14:textId="6E16D48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2343D6" w:rsidR="002343D6">
                            <w:rPr>
                              <w:rFonts w:ascii="Tahoma" w:hAnsi="Tahoma" w:cs="Tahoma"/>
                              <w:b/>
                              <w:bCs/>
                              <w:rtl/>
                            </w:rPr>
                            <w:t>תחזוקת דירות עמידר - החברה הלאומית לשיכון בישראל בע"מ</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2343D6" w14:paraId="77809697" w14:textId="6E16D48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2343D6" w:rsidR="002343D6">
                      <w:rPr>
                        <w:rFonts w:ascii="Tahoma" w:hAnsi="Tahoma" w:cs="Tahoma"/>
                        <w:b/>
                        <w:bCs/>
                        <w:rtl/>
                      </w:rPr>
                      <w:t>תחזוקת דירות עמידר - החברה הלאומית לשיכון בישראל בע"מ</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A09DA" w:rsidRPr="004D562B" w:rsidP="008A09D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A09DA"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8A09DA" w:rsidRPr="004D562B" w:rsidP="008A09DA" w14:paraId="58E01FE3"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A09DA"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19784E7D">
                          <w:pPr>
                            <w:jc w:val="left"/>
                            <w:rPr>
                              <w:color w:val="0D0D0D"/>
                              <w:sz w:val="16"/>
                              <w:szCs w:val="16"/>
                            </w:rPr>
                          </w:pPr>
                          <w:r w:rsidRPr="002343D6">
                            <w:rPr>
                              <w:rFonts w:ascii="Tahoma" w:hAnsi="Tahoma" w:cs="Tahoma"/>
                              <w:color w:val="0D0D0D" w:themeColor="text1" w:themeTint="F2"/>
                              <w:sz w:val="16"/>
                              <w:szCs w:val="16"/>
                              <w:rtl/>
                            </w:rPr>
                            <w:t>תחזוקת דירות עמידר - החברה הלאומית לשיכון בישראל בע"מ</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19784E7D">
                    <w:pPr>
                      <w:jc w:val="left"/>
                      <w:rPr>
                        <w:color w:val="0D0D0D"/>
                        <w:sz w:val="16"/>
                        <w:szCs w:val="16"/>
                      </w:rPr>
                    </w:pPr>
                    <w:r w:rsidRPr="002343D6">
                      <w:rPr>
                        <w:rFonts w:ascii="Tahoma" w:hAnsi="Tahoma" w:cs="Tahoma"/>
                        <w:color w:val="0D0D0D" w:themeColor="text1" w:themeTint="F2"/>
                        <w:sz w:val="16"/>
                        <w:szCs w:val="16"/>
                        <w:rtl/>
                      </w:rPr>
                      <w:t>תחזוקת דירות עמידר - החברה הלאומית לשיכון בישראל בע"מ</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0405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3B011686">
                          <w:pPr>
                            <w:jc w:val="left"/>
                            <w:rPr>
                              <w:color w:val="0D0D0D"/>
                              <w:sz w:val="16"/>
                              <w:szCs w:val="16"/>
                            </w:rPr>
                          </w:pPr>
                          <w:r w:rsidRPr="002343D6">
                            <w:rPr>
                              <w:rFonts w:ascii="Tahoma" w:hAnsi="Tahoma" w:cs="Tahoma"/>
                              <w:color w:val="0D0D0D" w:themeColor="text1" w:themeTint="F2"/>
                              <w:sz w:val="16"/>
                              <w:szCs w:val="16"/>
                              <w:rtl/>
                            </w:rPr>
                            <w:t>תחזוקת דירות עמידר - החברה הלאומית לשיכון בישראל בע"מ</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3B011686">
                    <w:pPr>
                      <w:jc w:val="left"/>
                      <w:rPr>
                        <w:color w:val="0D0D0D"/>
                        <w:sz w:val="16"/>
                        <w:szCs w:val="16"/>
                      </w:rPr>
                    </w:pPr>
                    <w:r w:rsidRPr="002343D6">
                      <w:rPr>
                        <w:rFonts w:ascii="Tahoma" w:hAnsi="Tahoma" w:cs="Tahoma"/>
                        <w:color w:val="0D0D0D" w:themeColor="text1" w:themeTint="F2"/>
                        <w:sz w:val="16"/>
                        <w:szCs w:val="16"/>
                        <w:rtl/>
                      </w:rPr>
                      <w:t>תחזוקת דירות עמידר - החברה הלאומית לשיכון בישראל בע"מ</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33"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92351"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2343D6" w14:textId="6328B3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2343D6" w:rsidR="002343D6">
                            <w:rPr>
                              <w:rFonts w:ascii="Tahoma" w:hAnsi="Tahoma" w:cs="Tahoma"/>
                              <w:b/>
                              <w:bCs/>
                              <w:rtl/>
                            </w:rPr>
                            <w:t>תחזוקת דירות עמידר - החברה הלאומית לשיכון בישראל בע"מ</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2343D6" w14:paraId="2873DE67" w14:textId="6328B3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2343D6" w:rsidR="002343D6">
                      <w:rPr>
                        <w:rFonts w:ascii="Tahoma" w:hAnsi="Tahoma" w:cs="Tahoma"/>
                        <w:b/>
                        <w:bCs/>
                        <w:rtl/>
                      </w:rPr>
                      <w:t>תחזוקת דירות עמידר - החברה הלאומית לשיכון בישראל בע"מ</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6225BB" w:rsidRPr="004D562B" w:rsidP="006225B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2022</w:t>
                          </w:r>
                          <w:r w:rsidRPr="004D562B">
                            <w:rPr>
                              <w:rFonts w:hint="cs"/>
                              <w:color w:val="0D0D0D"/>
                              <w:sz w:val="16"/>
                              <w:szCs w:val="16"/>
                              <w:rtl/>
                            </w:rPr>
                            <w:t xml:space="preserve">         </w:t>
                          </w:r>
                        </w:p>
                        <w:p w:rsidR="00CB22A1" w:rsidRPr="006225BB"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6225BB" w:rsidRPr="004D562B" w:rsidP="006225BB" w14:paraId="2E50E25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2022</w:t>
                    </w:r>
                    <w:r w:rsidRPr="004D562B">
                      <w:rPr>
                        <w:rFonts w:hint="cs"/>
                        <w:color w:val="0D0D0D"/>
                        <w:sz w:val="16"/>
                        <w:szCs w:val="16"/>
                        <w:rtl/>
                      </w:rPr>
                      <w:t xml:space="preserve">         </w:t>
                    </w:r>
                  </w:p>
                  <w:p w:rsidR="00CB22A1" w:rsidRPr="006225BB"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7434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2343D6" w14:textId="3041B6C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2343D6" w:rsidR="002343D6">
                            <w:rPr>
                              <w:rFonts w:ascii="Tahoma" w:hAnsi="Tahoma" w:cs="Tahoma"/>
                              <w:b/>
                              <w:bCs/>
                              <w:rtl/>
                            </w:rPr>
                            <w:t>תחזוקת דירות עמידר - החברה הלאומית לשיכון בישראל בע"מ</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2343D6" w14:paraId="1C12FDA0" w14:textId="3041B6C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2343D6" w:rsidR="002343D6">
                      <w:rPr>
                        <w:rFonts w:ascii="Tahoma" w:hAnsi="Tahoma" w:cs="Tahoma"/>
                        <w:b/>
                        <w:bCs/>
                        <w:rtl/>
                      </w:rPr>
                      <w:t>תחזוקת דירות עמידר - החברה הלאומית לשיכון בישראל בע"מ</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A09DA" w:rsidRPr="004D562B" w:rsidP="008A09D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A09DA"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8A09DA" w:rsidRPr="004D562B" w:rsidP="008A09DA" w14:paraId="65F2FE9E"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A09DA"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0143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468CC"/>
    <w:multiLevelType w:val="hybridMultilevel"/>
    <w:tmpl w:val="4F8E516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0F2153"/>
    <w:multiLevelType w:val="hybridMultilevel"/>
    <w:tmpl w:val="651092C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nsid w:val="2FB56774"/>
    <w:multiLevelType w:val="hybridMultilevel"/>
    <w:tmpl w:val="4F40E02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70053A"/>
    <w:multiLevelType w:val="multilevel"/>
    <w:tmpl w:val="5ADC3F7C"/>
    <w:lvl w:ilvl="0">
      <w:start w:val="3"/>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54361376"/>
    <w:lvl w:ilvl="0">
      <w:start w:val="1"/>
      <w:numFmt w:val="decimal"/>
      <w:lvlText w:val="%1."/>
      <w:lvlJc w:val="left"/>
      <w:pPr>
        <w:ind w:left="539"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907" w:hanging="340"/>
      </w:pPr>
      <w:rPr>
        <w:rFonts w:hint="default"/>
        <w:lang w:val="en-US"/>
      </w:rPr>
    </w:lvl>
    <w:lvl w:ilvl="2">
      <w:start w:val="1"/>
      <w:numFmt w:val="decimal"/>
      <w:pStyle w:val="a3"/>
      <w:lvlText w:val="(%3)"/>
      <w:lvlJc w:val="left"/>
      <w:pPr>
        <w:ind w:left="1219" w:hanging="397"/>
      </w:pPr>
      <w:rPr>
        <w:rFonts w:hint="default"/>
      </w:rPr>
    </w:lvl>
    <w:lvl w:ilvl="3">
      <w:start w:val="1"/>
      <w:numFmt w:val="hebrew1"/>
      <w:lvlText w:val="(%4)"/>
      <w:lvlJc w:val="left"/>
      <w:pPr>
        <w:ind w:left="1616" w:hanging="397"/>
      </w:pPr>
      <w:rPr>
        <w:rFonts w:hint="default"/>
      </w:rPr>
    </w:lvl>
    <w:lvl w:ilvl="4">
      <w:start w:val="1"/>
      <w:numFmt w:val="lowerLetter"/>
      <w:lvlText w:val="(%5)"/>
      <w:lvlJc w:val="left"/>
      <w:pPr>
        <w:ind w:left="1939" w:hanging="357"/>
      </w:pPr>
      <w:rPr>
        <w:rFonts w:hint="default"/>
      </w:rPr>
    </w:lvl>
    <w:lvl w:ilvl="5">
      <w:start w:val="1"/>
      <w:numFmt w:val="lowerRoman"/>
      <w:lvlText w:val="(%6)"/>
      <w:lvlJc w:val="left"/>
      <w:pPr>
        <w:ind w:left="2302" w:hanging="363"/>
      </w:pPr>
      <w:rPr>
        <w:rFonts w:hint="default"/>
      </w:rPr>
    </w:lvl>
    <w:lvl w:ilvl="6">
      <w:start w:val="1"/>
      <w:numFmt w:val="decimal"/>
      <w:lvlText w:val="%7."/>
      <w:lvlJc w:val="left"/>
      <w:pPr>
        <w:ind w:left="2659" w:hanging="357"/>
      </w:pPr>
      <w:rPr>
        <w:rFonts w:hint="default"/>
      </w:rPr>
    </w:lvl>
    <w:lvl w:ilvl="7">
      <w:start w:val="1"/>
      <w:numFmt w:val="lowerLetter"/>
      <w:lvlText w:val="%8."/>
      <w:lvlJc w:val="left"/>
      <w:pPr>
        <w:ind w:left="3022" w:hanging="363"/>
      </w:pPr>
      <w:rPr>
        <w:rFonts w:hint="default"/>
      </w:rPr>
    </w:lvl>
    <w:lvl w:ilvl="8">
      <w:start w:val="1"/>
      <w:numFmt w:val="lowerRoman"/>
      <w:lvlText w:val="%9."/>
      <w:lvlJc w:val="left"/>
      <w:pPr>
        <w:ind w:left="3379" w:hanging="357"/>
      </w:pPr>
      <w:rPr>
        <w:rFonts w:hint="default"/>
      </w:rPr>
    </w:lvl>
  </w:abstractNum>
  <w:abstractNum w:abstractNumId="15">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48122027"/>
    <w:multiLevelType w:val="hybridMultilevel"/>
    <w:tmpl w:val="32D6C9A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8">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4">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4"/>
  </w:num>
  <w:num w:numId="3">
    <w:abstractNumId w:val="19"/>
  </w:num>
  <w:num w:numId="4">
    <w:abstractNumId w:val="9"/>
  </w:num>
  <w:num w:numId="5">
    <w:abstractNumId w:val="13"/>
  </w:num>
  <w:num w:numId="6">
    <w:abstractNumId w:val="24"/>
  </w:num>
  <w:num w:numId="7">
    <w:abstractNumId w:val="1"/>
  </w:num>
  <w:num w:numId="8">
    <w:abstractNumId w:val="15"/>
  </w:num>
  <w:num w:numId="9">
    <w:abstractNumId w:val="5"/>
  </w:num>
  <w:num w:numId="10">
    <w:abstractNumId w:val="21"/>
  </w:num>
  <w:num w:numId="11">
    <w:abstractNumId w:val="4"/>
  </w:num>
  <w:num w:numId="12">
    <w:abstractNumId w:val="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20"/>
  </w:num>
  <w:num w:numId="18">
    <w:abstractNumId w:val="22"/>
  </w:num>
  <w:num w:numId="19">
    <w:abstractNumId w:val="12"/>
  </w:num>
  <w:num w:numId="20">
    <w:abstractNumId w:val="17"/>
  </w:num>
  <w:num w:numId="21">
    <w:abstractNumId w:val="11"/>
  </w:num>
  <w:num w:numId="22">
    <w:abstractNumId w:val="10"/>
  </w:num>
  <w:num w:numId="23">
    <w:abstractNumId w:val="3"/>
  </w:num>
  <w:num w:numId="24">
    <w:abstractNumId w:val="16"/>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201"/>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6B32"/>
    <w:rsid w:val="0001735B"/>
    <w:rsid w:val="000206F1"/>
    <w:rsid w:val="00021298"/>
    <w:rsid w:val="00021ED5"/>
    <w:rsid w:val="00021FFB"/>
    <w:rsid w:val="000224FF"/>
    <w:rsid w:val="00023E81"/>
    <w:rsid w:val="00024391"/>
    <w:rsid w:val="000246D2"/>
    <w:rsid w:val="00024C06"/>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877"/>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57E"/>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5C7"/>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2C7"/>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0244"/>
    <w:rsid w:val="00101157"/>
    <w:rsid w:val="00101681"/>
    <w:rsid w:val="00101BB0"/>
    <w:rsid w:val="00101D0F"/>
    <w:rsid w:val="0010231B"/>
    <w:rsid w:val="0010237C"/>
    <w:rsid w:val="001023B9"/>
    <w:rsid w:val="0010413A"/>
    <w:rsid w:val="00104FBC"/>
    <w:rsid w:val="00105970"/>
    <w:rsid w:val="00105B99"/>
    <w:rsid w:val="00106312"/>
    <w:rsid w:val="00106589"/>
    <w:rsid w:val="00106A59"/>
    <w:rsid w:val="00106B31"/>
    <w:rsid w:val="00106D37"/>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25DBE"/>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47E0F"/>
    <w:rsid w:val="00150611"/>
    <w:rsid w:val="00150A48"/>
    <w:rsid w:val="00150BE4"/>
    <w:rsid w:val="00150BE7"/>
    <w:rsid w:val="00150BEB"/>
    <w:rsid w:val="00150CC9"/>
    <w:rsid w:val="00150F89"/>
    <w:rsid w:val="00151B16"/>
    <w:rsid w:val="00152023"/>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5EC5"/>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23"/>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A50"/>
    <w:rsid w:val="001A2F47"/>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1FB"/>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31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64B"/>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3D6"/>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6F4"/>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ACF"/>
    <w:rsid w:val="002A4B57"/>
    <w:rsid w:val="002A4F87"/>
    <w:rsid w:val="002A53E2"/>
    <w:rsid w:val="002A57EB"/>
    <w:rsid w:val="002A598C"/>
    <w:rsid w:val="002A6418"/>
    <w:rsid w:val="002A64F8"/>
    <w:rsid w:val="002A68DE"/>
    <w:rsid w:val="002A6A8F"/>
    <w:rsid w:val="002A6B3B"/>
    <w:rsid w:val="002A7B2A"/>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5A31"/>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08B5"/>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4FF8"/>
    <w:rsid w:val="00405277"/>
    <w:rsid w:val="00406238"/>
    <w:rsid w:val="004064E0"/>
    <w:rsid w:val="00406E80"/>
    <w:rsid w:val="00406F61"/>
    <w:rsid w:val="00406FEF"/>
    <w:rsid w:val="004072FC"/>
    <w:rsid w:val="004078B5"/>
    <w:rsid w:val="0041045D"/>
    <w:rsid w:val="004105DF"/>
    <w:rsid w:val="00410935"/>
    <w:rsid w:val="00410A3A"/>
    <w:rsid w:val="00410D75"/>
    <w:rsid w:val="004113B7"/>
    <w:rsid w:val="00411671"/>
    <w:rsid w:val="0041180B"/>
    <w:rsid w:val="00411AFD"/>
    <w:rsid w:val="0041212D"/>
    <w:rsid w:val="0041284E"/>
    <w:rsid w:val="00412889"/>
    <w:rsid w:val="004129C2"/>
    <w:rsid w:val="0041334C"/>
    <w:rsid w:val="00413464"/>
    <w:rsid w:val="00413826"/>
    <w:rsid w:val="00413F20"/>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43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2F33"/>
    <w:rsid w:val="004930AA"/>
    <w:rsid w:val="004939B6"/>
    <w:rsid w:val="00493AE1"/>
    <w:rsid w:val="00493CBE"/>
    <w:rsid w:val="004945A4"/>
    <w:rsid w:val="00494B5A"/>
    <w:rsid w:val="00494C49"/>
    <w:rsid w:val="00495214"/>
    <w:rsid w:val="004955D7"/>
    <w:rsid w:val="004955ED"/>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CC3"/>
    <w:rsid w:val="004A1FF4"/>
    <w:rsid w:val="004A30DB"/>
    <w:rsid w:val="004A3415"/>
    <w:rsid w:val="004A3987"/>
    <w:rsid w:val="004A3A1C"/>
    <w:rsid w:val="004A45B1"/>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0947"/>
    <w:rsid w:val="004D102C"/>
    <w:rsid w:val="004D16BE"/>
    <w:rsid w:val="004D1983"/>
    <w:rsid w:val="004D1A74"/>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613"/>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A2"/>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87FD8"/>
    <w:rsid w:val="00590164"/>
    <w:rsid w:val="005902D5"/>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25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75F"/>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077D"/>
    <w:rsid w:val="006212E4"/>
    <w:rsid w:val="00621649"/>
    <w:rsid w:val="0062166D"/>
    <w:rsid w:val="00621EF4"/>
    <w:rsid w:val="00622128"/>
    <w:rsid w:val="006225BB"/>
    <w:rsid w:val="006229D3"/>
    <w:rsid w:val="00622C72"/>
    <w:rsid w:val="00622D0E"/>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34E"/>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93C"/>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A1B"/>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97D25"/>
    <w:rsid w:val="007A0926"/>
    <w:rsid w:val="007A156F"/>
    <w:rsid w:val="007A1E36"/>
    <w:rsid w:val="007A2FCF"/>
    <w:rsid w:val="007A3DF5"/>
    <w:rsid w:val="007A3F08"/>
    <w:rsid w:val="007A4B4D"/>
    <w:rsid w:val="007A4DFA"/>
    <w:rsid w:val="007A4EBD"/>
    <w:rsid w:val="007A521B"/>
    <w:rsid w:val="007A54C1"/>
    <w:rsid w:val="007A54D9"/>
    <w:rsid w:val="007A582C"/>
    <w:rsid w:val="007A5B3E"/>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2DEC"/>
    <w:rsid w:val="007D337B"/>
    <w:rsid w:val="007D42D0"/>
    <w:rsid w:val="007D4382"/>
    <w:rsid w:val="007D4934"/>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4E99"/>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1905"/>
    <w:rsid w:val="0082350D"/>
    <w:rsid w:val="00823E80"/>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229"/>
    <w:rsid w:val="0085238A"/>
    <w:rsid w:val="008524EB"/>
    <w:rsid w:val="0085250E"/>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E3F"/>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9DA"/>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95D"/>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CFD"/>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39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059F"/>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67B02"/>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99A"/>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154A"/>
    <w:rsid w:val="009A245B"/>
    <w:rsid w:val="009A2516"/>
    <w:rsid w:val="009A2FAA"/>
    <w:rsid w:val="009A349F"/>
    <w:rsid w:val="009A3852"/>
    <w:rsid w:val="009A4788"/>
    <w:rsid w:val="009A4A6E"/>
    <w:rsid w:val="009A5600"/>
    <w:rsid w:val="009A5CD2"/>
    <w:rsid w:val="009A5FDB"/>
    <w:rsid w:val="009A73F6"/>
    <w:rsid w:val="009A7D33"/>
    <w:rsid w:val="009B03FA"/>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3EA"/>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349"/>
    <w:rsid w:val="009F1F49"/>
    <w:rsid w:val="009F2467"/>
    <w:rsid w:val="009F3218"/>
    <w:rsid w:val="009F394C"/>
    <w:rsid w:val="009F3A44"/>
    <w:rsid w:val="009F4F93"/>
    <w:rsid w:val="009F556C"/>
    <w:rsid w:val="009F5DB9"/>
    <w:rsid w:val="009F6284"/>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07BE0"/>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4F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4BF"/>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87A08"/>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A7872"/>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875"/>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808"/>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48A7"/>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3CBF"/>
    <w:rsid w:val="00B5445A"/>
    <w:rsid w:val="00B550A0"/>
    <w:rsid w:val="00B555A9"/>
    <w:rsid w:val="00B55A15"/>
    <w:rsid w:val="00B55DBA"/>
    <w:rsid w:val="00B55E82"/>
    <w:rsid w:val="00B55F13"/>
    <w:rsid w:val="00B5617C"/>
    <w:rsid w:val="00B563AF"/>
    <w:rsid w:val="00B563E9"/>
    <w:rsid w:val="00B567B0"/>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DD"/>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564"/>
    <w:rsid w:val="00BB3D90"/>
    <w:rsid w:val="00BB48F1"/>
    <w:rsid w:val="00BB5036"/>
    <w:rsid w:val="00BB5BAF"/>
    <w:rsid w:val="00BB5F46"/>
    <w:rsid w:val="00BB6569"/>
    <w:rsid w:val="00BB66DA"/>
    <w:rsid w:val="00BB6888"/>
    <w:rsid w:val="00BB6EFD"/>
    <w:rsid w:val="00BB75F8"/>
    <w:rsid w:val="00BB7709"/>
    <w:rsid w:val="00BB779D"/>
    <w:rsid w:val="00BB7A4D"/>
    <w:rsid w:val="00BB7B6E"/>
    <w:rsid w:val="00BC0037"/>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32F"/>
    <w:rsid w:val="00BD485C"/>
    <w:rsid w:val="00BD4AA0"/>
    <w:rsid w:val="00BD521B"/>
    <w:rsid w:val="00BD6053"/>
    <w:rsid w:val="00BD6593"/>
    <w:rsid w:val="00BD66B2"/>
    <w:rsid w:val="00BD71AD"/>
    <w:rsid w:val="00BD7202"/>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94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0B2"/>
    <w:rsid w:val="00C0163D"/>
    <w:rsid w:val="00C017CA"/>
    <w:rsid w:val="00C01D63"/>
    <w:rsid w:val="00C02152"/>
    <w:rsid w:val="00C0264E"/>
    <w:rsid w:val="00C03CE8"/>
    <w:rsid w:val="00C0494D"/>
    <w:rsid w:val="00C0531C"/>
    <w:rsid w:val="00C056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2DE"/>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997"/>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931"/>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476A"/>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194"/>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620"/>
    <w:rsid w:val="00DC4933"/>
    <w:rsid w:val="00DC558C"/>
    <w:rsid w:val="00DC5ED6"/>
    <w:rsid w:val="00DC6513"/>
    <w:rsid w:val="00DC693E"/>
    <w:rsid w:val="00DC6BD8"/>
    <w:rsid w:val="00DC7B65"/>
    <w:rsid w:val="00DC7C31"/>
    <w:rsid w:val="00DD01BE"/>
    <w:rsid w:val="00DD0C3F"/>
    <w:rsid w:val="00DD1F41"/>
    <w:rsid w:val="00DD26CC"/>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071"/>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62D"/>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0D4"/>
    <w:rsid w:val="00E118AB"/>
    <w:rsid w:val="00E11C81"/>
    <w:rsid w:val="00E11E0F"/>
    <w:rsid w:val="00E11E5E"/>
    <w:rsid w:val="00E12077"/>
    <w:rsid w:val="00E121E9"/>
    <w:rsid w:val="00E129D1"/>
    <w:rsid w:val="00E12F2F"/>
    <w:rsid w:val="00E12FBA"/>
    <w:rsid w:val="00E1319F"/>
    <w:rsid w:val="00E13A48"/>
    <w:rsid w:val="00E13FB6"/>
    <w:rsid w:val="00E1478E"/>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02A8"/>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04"/>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0A8"/>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330"/>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6E95"/>
    <w:rsid w:val="00F1792F"/>
    <w:rsid w:val="00F17A56"/>
    <w:rsid w:val="00F20474"/>
    <w:rsid w:val="00F209A2"/>
    <w:rsid w:val="00F21AB6"/>
    <w:rsid w:val="00F223D4"/>
    <w:rsid w:val="00F223D5"/>
    <w:rsid w:val="00F2283A"/>
    <w:rsid w:val="00F22A84"/>
    <w:rsid w:val="00F22A8F"/>
    <w:rsid w:val="00F22ED6"/>
    <w:rsid w:val="00F236FE"/>
    <w:rsid w:val="00F23EB4"/>
    <w:rsid w:val="00F24BD2"/>
    <w:rsid w:val="00F25094"/>
    <w:rsid w:val="00F2529A"/>
    <w:rsid w:val="00F25333"/>
    <w:rsid w:val="00F2565F"/>
    <w:rsid w:val="00F25A72"/>
    <w:rsid w:val="00F25BCF"/>
    <w:rsid w:val="00F25F5E"/>
    <w:rsid w:val="00F25FC3"/>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B8"/>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67A"/>
    <w:rsid w:val="00F549B3"/>
    <w:rsid w:val="00F54DAB"/>
    <w:rsid w:val="00F54DC4"/>
    <w:rsid w:val="00F55102"/>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368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5D3"/>
    <w:rsid w:val="00FB7718"/>
    <w:rsid w:val="00FB78C2"/>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1,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1 תו,style 2 תו,פיסקת bullets תו"/>
    <w:link w:val="ListParagraph"/>
    <w:uiPriority w:val="34"/>
    <w:rsid w:val="00DD7B55"/>
  </w:style>
  <w:style w:type="paragraph" w:customStyle="1" w:styleId="712">
    <w:name w:val="71ג הזחה ראשונה מספר"/>
    <w:basedOn w:val="ListParagraph"/>
    <w:link w:val="71Char7"/>
    <w:qFormat/>
    <w:rsid w:val="00882EB6"/>
    <w:pPr>
      <w:spacing w:after="180" w:line="260" w:lineRule="exact"/>
      <w:ind w:left="0"/>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table" w:styleId="PlainTable2">
    <w:name w:val="Plain Table 2"/>
    <w:basedOn w:val="TableNormal"/>
    <w:uiPriority w:val="42"/>
    <w:rsid w:val="001B11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B11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7">
    <w:name w:val="Заголовок №2_"/>
    <w:basedOn w:val="DefaultParagraphFont"/>
    <w:link w:val="200"/>
    <w:rsid w:val="001B11FB"/>
    <w:rPr>
      <w:rFonts w:ascii="David" w:eastAsia="David" w:hAnsi="David"/>
      <w:b/>
      <w:bCs/>
      <w:shd w:val="clear" w:color="auto" w:fill="FFFFFF"/>
    </w:rPr>
  </w:style>
  <w:style w:type="character" w:customStyle="1" w:styleId="131">
    <w:name w:val="Основной текст (13)_"/>
    <w:basedOn w:val="DefaultParagraphFont"/>
    <w:link w:val="132"/>
    <w:rsid w:val="001B11FB"/>
    <w:rPr>
      <w:rFonts w:ascii="David" w:eastAsia="David" w:hAnsi="David"/>
      <w:b/>
      <w:bCs/>
      <w:shd w:val="clear" w:color="auto" w:fill="FFFFFF"/>
    </w:rPr>
  </w:style>
  <w:style w:type="paragraph" w:customStyle="1" w:styleId="200">
    <w:name w:val="Заголовок №2_0"/>
    <w:basedOn w:val="Normal"/>
    <w:link w:val="27"/>
    <w:rsid w:val="001B11FB"/>
    <w:pPr>
      <w:widowControl w:val="0"/>
      <w:shd w:val="clear" w:color="auto" w:fill="FFFFFF"/>
      <w:spacing w:before="480" w:after="240" w:line="0" w:lineRule="atLeast"/>
      <w:outlineLvl w:val="1"/>
    </w:pPr>
    <w:rPr>
      <w:rFonts w:ascii="David" w:eastAsia="David" w:hAnsi="David"/>
      <w:b/>
      <w:bCs/>
    </w:rPr>
  </w:style>
  <w:style w:type="paragraph" w:customStyle="1" w:styleId="132">
    <w:name w:val="Основной текст (13)"/>
    <w:basedOn w:val="Normal"/>
    <w:link w:val="131"/>
    <w:rsid w:val="001B11FB"/>
    <w:pPr>
      <w:widowControl w:val="0"/>
      <w:shd w:val="clear" w:color="auto" w:fill="FFFFFF"/>
      <w:spacing w:before="300" w:after="600" w:line="274" w:lineRule="exact"/>
      <w:ind w:hanging="600"/>
    </w:pPr>
    <w:rPr>
      <w:rFonts w:ascii="David" w:eastAsia="David" w:hAnsi="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header" Target="header4.xml" /><Relationship Id="rId25" Type="http://schemas.openxmlformats.org/officeDocument/2006/relationships/footer" Target="footer4.xml" /><Relationship Id="rId26" Type="http://schemas.openxmlformats.org/officeDocument/2006/relationships/image" Target="media/image14.jpeg" /><Relationship Id="rId27" Type="http://schemas.openxmlformats.org/officeDocument/2006/relationships/image" Target="media/image15.jpeg" /><Relationship Id="rId28" Type="http://schemas.openxmlformats.org/officeDocument/2006/relationships/image" Target="media/image16.png" /><Relationship Id="rId29" Type="http://schemas.openxmlformats.org/officeDocument/2006/relationships/header" Target="header5.xml" /><Relationship Id="rId3" Type="http://schemas.openxmlformats.org/officeDocument/2006/relationships/webSettings" Target="webSettings.xml" /><Relationship Id="rId30" Type="http://schemas.openxmlformats.org/officeDocument/2006/relationships/header" Target="header6.xml" /><Relationship Id="rId31" Type="http://schemas.openxmlformats.org/officeDocument/2006/relationships/header" Target="header7.xml" /><Relationship Id="rId32" Type="http://schemas.openxmlformats.org/officeDocument/2006/relationships/glossaryDocument" Target="glossary/document.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BB0D2BFC7CF004B97800477E32D23D8"/>
        <w:category>
          <w:name w:val="כללי"/>
          <w:gallery w:val="placeholder"/>
        </w:category>
        <w:types>
          <w:type w:val="bbPlcHdr"/>
        </w:types>
        <w:behaviors>
          <w:behavior w:val="content"/>
        </w:behaviors>
        <w:guid w:val="{B78E59EF-54BA-E946-9AFF-0998E476B674}"/>
      </w:docPartPr>
      <w:docPartBody>
        <w:p w:rsidR="0098099A" w:rsidP="00AA7872">
          <w:pPr>
            <w:pStyle w:val="DBB0D2BFC7CF004B97800477E32D23D8"/>
          </w:pPr>
          <w:r w:rsidRPr="00165EC5">
            <w:rPr>
              <w:rStyle w:val="PlaceholderText"/>
              <w:rtl/>
            </w:rPr>
            <w:t>לחץ או הקש כאן להזנת טקסט</w:t>
          </w:r>
          <w:r w:rsidRPr="00165EC5">
            <w:rPr>
              <w:rStyle w:val="PlaceholderText"/>
            </w:rPr>
            <w:t>.</w:t>
          </w:r>
        </w:p>
      </w:docPartBody>
    </w:docPart>
    <w:docPart>
      <w:docPartPr>
        <w:name w:val="87F2850E1406D244B04411660B52AE10"/>
        <w:category>
          <w:name w:val="כללי"/>
          <w:gallery w:val="placeholder"/>
        </w:category>
        <w:types>
          <w:type w:val="bbPlcHdr"/>
        </w:types>
        <w:behaviors>
          <w:behavior w:val="content"/>
        </w:behaviors>
        <w:guid w:val="{945B0602-6B13-1C41-8C9D-7A173E250E6F}"/>
      </w:docPartPr>
      <w:docPartBody>
        <w:p w:rsidR="00FB75D3" w:rsidP="0098099A">
          <w:pPr>
            <w:pStyle w:val="87F2850E1406D244B04411660B52AE10"/>
          </w:pPr>
          <w:r w:rsidRPr="00165EC5">
            <w:rPr>
              <w:rStyle w:val="PlaceholderText"/>
              <w:rtl/>
            </w:rPr>
            <w:t>לחץ או הקש כאן להזנת טקסט</w:t>
          </w:r>
          <w:r w:rsidRPr="00165EC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72"/>
    <w:rsid w:val="000E757E"/>
    <w:rsid w:val="00181FB2"/>
    <w:rsid w:val="00221512"/>
    <w:rsid w:val="00265327"/>
    <w:rsid w:val="00431CEF"/>
    <w:rsid w:val="0047179B"/>
    <w:rsid w:val="005C6994"/>
    <w:rsid w:val="005D59F4"/>
    <w:rsid w:val="0087524B"/>
    <w:rsid w:val="00877280"/>
    <w:rsid w:val="008A6F62"/>
    <w:rsid w:val="008C6359"/>
    <w:rsid w:val="00934EC7"/>
    <w:rsid w:val="009713D9"/>
    <w:rsid w:val="0098099A"/>
    <w:rsid w:val="009E5A45"/>
    <w:rsid w:val="00AA7872"/>
    <w:rsid w:val="00AC3584"/>
    <w:rsid w:val="00AE1E94"/>
    <w:rsid w:val="00BB142E"/>
    <w:rsid w:val="00C1703B"/>
    <w:rsid w:val="00C55C0E"/>
    <w:rsid w:val="00C650C1"/>
    <w:rsid w:val="00D46762"/>
    <w:rsid w:val="00FB75D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9A"/>
    <w:rPr>
      <w:color w:val="808080"/>
    </w:rPr>
  </w:style>
  <w:style w:type="paragraph" w:customStyle="1" w:styleId="DBB0D2BFC7CF004B97800477E32D23D8">
    <w:name w:val="DBB0D2BFC7CF004B97800477E32D23D8"/>
    <w:rsid w:val="00AA7872"/>
    <w:pPr>
      <w:bidi/>
    </w:pPr>
  </w:style>
  <w:style w:type="paragraph" w:customStyle="1" w:styleId="87F2850E1406D244B04411660B52AE10">
    <w:name w:val="87F2850E1406D244B04411660B52AE10"/>
    <w:rsid w:val="0098099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A63F158C-BA15-4D64-84E4-88D0352536B9}"/>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