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176D29F9">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444AB5">
        <w:t xml:space="preserve">   </w:t>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14775214">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1939078</wp:posOffset>
                </wp:positionV>
                <wp:extent cx="2877866" cy="0"/>
                <wp:effectExtent l="12700" t="12700" r="508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877866"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8480" from="4.8pt,152.7pt" to="231.4pt,152.7pt" strokecolor="white" strokeweight="1.5pt"/>
            </w:pict>
          </mc:Fallback>
        </mc:AlternateContent>
      </w:r>
      <w:r w:rsidR="001841CE">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3059943</wp:posOffset>
                </wp:positionH>
                <wp:positionV relativeFrom="paragraph">
                  <wp:posOffset>262498</wp:posOffset>
                </wp:positionV>
                <wp:extent cx="0" cy="4445000"/>
                <wp:effectExtent l="25400" t="0" r="25400" b="2540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4450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6432" from="240.95pt,20.65pt" to="240.95pt,370.65pt" strokecolor="white" strokeweight="4pt"/>
            </w:pict>
          </mc:Fallback>
        </mc:AlternateContent>
      </w:r>
      <w:r w:rsidRPr="0030415A" w:rsidR="00B925E2">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-85090</wp:posOffset>
                </wp:positionH>
                <wp:positionV relativeFrom="paragraph">
                  <wp:posOffset>346075</wp:posOffset>
                </wp:positionV>
                <wp:extent cx="4555490" cy="4767580"/>
                <wp:effectExtent l="0" t="0" r="3810" b="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5490" cy="476758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F73EE0" w:rsidRPr="00055A52" w:rsidP="0052031E" w14:textId="0FE149A9">
                            <w:pPr>
                              <w:ind w:left="2268"/>
                              <w:rPr>
                                <w:spacing w:val="-2"/>
                                <w:rtl/>
                              </w:rPr>
                            </w:pPr>
                            <w:r>
                              <w:rPr>
                                <w:rFonts w:ascii="Tahoma" w:hAnsi="Tahoma" w:cs="Tahoma" w:hint="cs"/>
                                <w:spacing w:val="-2"/>
                                <w:sz w:val="18"/>
                                <w:szCs w:val="18"/>
                                <w:rtl/>
                              </w:rPr>
                              <w:t xml:space="preserve">דוח </w:t>
                            </w:r>
                            <w:r w:rsidRPr="00055A52" w:rsidR="00055A52">
                              <w:rPr>
                                <w:rFonts w:ascii="Tahoma" w:hAnsi="Tahoma" w:cs="Tahoma"/>
                                <w:spacing w:val="-2"/>
                                <w:sz w:val="18"/>
                                <w:szCs w:val="18"/>
                                <w:rtl/>
                              </w:rPr>
                              <w:t>מבקר המדינה | סייבר ומערכות מידע | התשפ"ג-2022</w:t>
                            </w:r>
                          </w:p>
                          <w:p w:rsidR="00F01B25" w:rsidP="0052031E" w14:textId="77777777">
                            <w:pPr>
                              <w:ind w:left="2268"/>
                              <w:rPr>
                                <w:rtl/>
                              </w:rPr>
                            </w:pPr>
                          </w:p>
                          <w:p w:rsidR="00F73EE0" w:rsidP="0052031E" w14:textId="74581754">
                            <w:pPr>
                              <w:ind w:left="2268"/>
                            </w:pPr>
                          </w:p>
                          <w:p w:rsidR="00055A52" w:rsidP="0052031E" w14:textId="77777777">
                            <w:pPr>
                              <w:ind w:left="2268"/>
                              <w:rPr>
                                <w:rtl/>
                              </w:rPr>
                            </w:pPr>
                          </w:p>
                          <w:p w:rsidR="005D0F8C" w:rsidRPr="000A3ED4" w:rsidP="00230754" w14:textId="1940F9F9">
                            <w:pPr>
                              <w:pStyle w:val="-2"/>
                              <w:rPr>
                                <w:rtl/>
                              </w:rPr>
                            </w:pPr>
                            <w:r w:rsidRPr="00B925E2">
                              <w:rPr>
                                <w:rtl/>
                              </w:rPr>
                              <w:t>רשות המיסים בישראל</w:t>
                            </w:r>
                            <w:r>
                              <w:rPr>
                                <w:rFonts w:hint="cs"/>
                                <w:rtl/>
                              </w:rPr>
                              <w:t xml:space="preserve"> </w:t>
                            </w:r>
                          </w:p>
                          <w:p w:rsidR="00C30482" w:rsidP="005D0F8C" w14:textId="2CA0ACF3">
                            <w:pPr>
                              <w:spacing w:before="360" w:line="600" w:lineRule="exact"/>
                              <w:ind w:left="2268"/>
                              <w:jc w:val="left"/>
                              <w:rPr>
                                <w:rFonts w:ascii="Tahoma" w:hAnsi="Tahoma" w:cs="Tahoma"/>
                                <w:b/>
                                <w:bCs/>
                                <w:color w:val="FFFFFF" w:themeColor="background1"/>
                                <w:sz w:val="44"/>
                                <w:szCs w:val="44"/>
                                <w:rtl/>
                              </w:rPr>
                            </w:pPr>
                            <w:r w:rsidRPr="00B925E2">
                              <w:rPr>
                                <w:rFonts w:ascii="Tahoma" w:hAnsi="Tahoma" w:cs="Tahoma"/>
                                <w:b/>
                                <w:bCs/>
                                <w:sz w:val="44"/>
                                <w:szCs w:val="44"/>
                                <w:rtl/>
                              </w:rPr>
                              <w:t>הגנת סייבר והמשכיות עסקית ביחידת שירות עיבודים ממוכנים ברשות המיסים</w:t>
                            </w:r>
                          </w:p>
                          <w:p w:rsidR="00B925E2" w:rsidRPr="001F3363" w:rsidP="005D0F8C"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58.7pt;height:375.4pt;margin-top:27.25pt;margin-left:-6.7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F73EE0" w:rsidRPr="00055A52" w:rsidP="0052031E" w14:paraId="7A4F68DA" w14:textId="0FE149A9">
                      <w:pPr>
                        <w:ind w:left="2268"/>
                        <w:rPr>
                          <w:spacing w:val="-2"/>
                          <w:rtl/>
                        </w:rPr>
                      </w:pPr>
                      <w:r>
                        <w:rPr>
                          <w:rFonts w:ascii="Tahoma" w:hAnsi="Tahoma" w:cs="Tahoma" w:hint="cs"/>
                          <w:spacing w:val="-2"/>
                          <w:sz w:val="18"/>
                          <w:szCs w:val="18"/>
                          <w:rtl/>
                        </w:rPr>
                        <w:t xml:space="preserve">דוח </w:t>
                      </w:r>
                      <w:r w:rsidRPr="00055A52" w:rsidR="00055A52">
                        <w:rPr>
                          <w:rFonts w:ascii="Tahoma" w:hAnsi="Tahoma" w:cs="Tahoma"/>
                          <w:spacing w:val="-2"/>
                          <w:sz w:val="18"/>
                          <w:szCs w:val="18"/>
                          <w:rtl/>
                        </w:rPr>
                        <w:t>מבקר המדינה | סייבר ומערכות מידע | התשפ"ג-2022</w:t>
                      </w:r>
                    </w:p>
                    <w:p w:rsidR="00F01B25" w:rsidP="0052031E" w14:paraId="55A55087" w14:textId="77777777">
                      <w:pPr>
                        <w:ind w:left="2268"/>
                        <w:rPr>
                          <w:rtl/>
                        </w:rPr>
                      </w:pPr>
                    </w:p>
                    <w:p w:rsidR="00F73EE0" w:rsidP="0052031E" w14:paraId="537675A5" w14:textId="74581754">
                      <w:pPr>
                        <w:ind w:left="2268"/>
                      </w:pPr>
                    </w:p>
                    <w:p w:rsidR="00055A52" w:rsidP="0052031E" w14:paraId="7283F5B0" w14:textId="77777777">
                      <w:pPr>
                        <w:ind w:left="2268"/>
                        <w:rPr>
                          <w:rtl/>
                        </w:rPr>
                      </w:pPr>
                    </w:p>
                    <w:p w:rsidR="005D0F8C" w:rsidRPr="000A3ED4" w:rsidP="00230754" w14:paraId="361EED1E" w14:textId="1940F9F9">
                      <w:pPr>
                        <w:pStyle w:val="-2"/>
                        <w:rPr>
                          <w:rtl/>
                        </w:rPr>
                      </w:pPr>
                      <w:r w:rsidRPr="00B925E2">
                        <w:rPr>
                          <w:rtl/>
                        </w:rPr>
                        <w:t>רשות המיסים בישראל</w:t>
                      </w:r>
                      <w:r>
                        <w:rPr>
                          <w:rFonts w:hint="cs"/>
                          <w:rtl/>
                        </w:rPr>
                        <w:t xml:space="preserve"> </w:t>
                      </w:r>
                    </w:p>
                    <w:p w:rsidR="00C30482" w:rsidP="005D0F8C" w14:paraId="5BE5E625" w14:textId="2CA0ACF3">
                      <w:pPr>
                        <w:spacing w:before="360" w:line="600" w:lineRule="exact"/>
                        <w:ind w:left="2268"/>
                        <w:jc w:val="left"/>
                        <w:rPr>
                          <w:rFonts w:ascii="Tahoma" w:hAnsi="Tahoma" w:cs="Tahoma"/>
                          <w:b/>
                          <w:bCs/>
                          <w:color w:val="FFFFFF" w:themeColor="background1"/>
                          <w:sz w:val="44"/>
                          <w:szCs w:val="44"/>
                          <w:rtl/>
                        </w:rPr>
                      </w:pPr>
                      <w:r w:rsidRPr="00B925E2">
                        <w:rPr>
                          <w:rFonts w:ascii="Tahoma" w:hAnsi="Tahoma" w:cs="Tahoma"/>
                          <w:b/>
                          <w:bCs/>
                          <w:sz w:val="44"/>
                          <w:szCs w:val="44"/>
                          <w:rtl/>
                        </w:rPr>
                        <w:t>הגנת סייבר והמשכיות עסקית ביחידת שירות עיבודים ממוכנים ברשות המיסים</w:t>
                      </w:r>
                    </w:p>
                    <w:p w:rsidR="00B925E2" w:rsidRPr="001F3363" w:rsidP="005D0F8C" w14:paraId="2B17AFA2"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C83A7F">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3179445</wp:posOffset>
            </wp:positionH>
            <wp:positionV relativeFrom="paragraph">
              <wp:posOffset>512228</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-1603809</wp:posOffset>
                </wp:positionH>
                <wp:positionV relativeFrom="paragraph">
                  <wp:posOffset>-1395731</wp:posOffset>
                </wp:positionV>
                <wp:extent cx="7601578" cy="1713297"/>
                <wp:effectExtent l="0" t="0" r="6350" b="127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7132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34.9pt;margin-top:-109.9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291315C1" w14:textId="514133F9">
      <w:pPr>
        <w:jc w:val="left"/>
        <w:rPr>
          <w:rFonts w:ascii="Tahoma" w:hAnsi="Tahoma" w:cs="Tahoma"/>
          <w:sz w:val="22"/>
          <w:szCs w:val="22"/>
          <w:rtl/>
        </w:rPr>
        <w:sectPr w:rsidSect="00FF5807">
          <w:headerReference w:type="even" r:id="rId18"/>
          <w:pgSz w:w="11906" w:h="16838" w:code="9"/>
          <w:pgMar w:top="3062" w:right="2268" w:bottom="2552" w:left="2268" w:header="709" w:footer="709" w:gutter="0"/>
          <w:cols w:space="720"/>
          <w:bidi/>
          <w:rtlGutter/>
          <w:docGrid w:linePitch="272"/>
        </w:sectPr>
      </w:pPr>
    </w:p>
    <w:p w:rsidR="00B93C72" w:rsidRPr="00864200" w:rsidP="00864200" w14:paraId="4ED3AA37" w14:textId="0B263105">
      <w:pPr>
        <w:pStyle w:val="7329"/>
        <w:bidi/>
        <w:jc w:val="left"/>
        <w:rPr>
          <w:rtl/>
        </w:rPr>
      </w:pPr>
      <w:r w:rsidRPr="00864200">
        <w:rPr>
          <w:noProof/>
          <w:rtl/>
        </w:rPr>
        <w:drawing>
          <wp:anchor distT="0" distB="0" distL="114300" distR="114300" simplePos="0" relativeHeight="251676672" behindDoc="0" locked="0" layoutInCell="1" allowOverlap="1">
            <wp:simplePos x="0" y="0"/>
            <wp:positionH relativeFrom="column">
              <wp:posOffset>3293110</wp:posOffset>
            </wp:positionH>
            <wp:positionV relativeFrom="paragraph">
              <wp:posOffset>915110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64200" w:rsidR="00586851">
        <w:rPr>
          <w:noProof/>
          <w:rtl/>
        </w:rPr>
        <mc:AlternateContent>
          <mc:Choice Requires="wps">
            <w:drawing>
              <wp:anchor distT="0" distB="0" distL="114300" distR="114300" simplePos="0" relativeHeight="251673600" behindDoc="0" locked="0" layoutInCell="1" allowOverlap="1">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38.6pt;margin-top:25.05pt;margin-left:-51.4pt;flip:y;mso-height-percent:0;mso-height-relative:margin;mso-width-percent:0;mso-width-relative:margin;mso-wrap-distance-bottom:0;mso-wrap-distance-left:9pt;mso-wrap-distance-right:9pt;mso-wrap-distance-top:0;mso-wrap-style:square;position:absolute;visibility:visible;v-text-anchor:middle;z-index:251674624" fillcolor="#00305f" stroked="f" strokeweight="1.25pt"/>
            </w:pict>
          </mc:Fallback>
        </mc:AlternateContent>
      </w:r>
      <w:r w:rsidRPr="00B925E2" w:rsidR="00B925E2">
        <w:rPr>
          <w:noProof/>
          <w:rtl/>
        </w:rPr>
        <w:t>הגנת סייבר והמשכיות עסקית ביחידת שירות עיבודים ממוכנים ברשות המיסים</w:t>
      </w:r>
    </w:p>
    <w:p w:rsidR="00B925E2" w:rsidRPr="005122B5" w:rsidP="00B925E2" w14:paraId="20FD0C5D" w14:textId="77777777">
      <w:pPr>
        <w:pStyle w:val="7392"/>
        <w:spacing w:before="480"/>
        <w:rPr>
          <w:spacing w:val="4"/>
          <w:rtl/>
        </w:rPr>
      </w:pPr>
      <w:r w:rsidRPr="005122B5">
        <w:rPr>
          <w:spacing w:val="4"/>
          <w:rtl/>
        </w:rPr>
        <w:t>שירות עיבודים ממוכנים (שע"ם) הוא גוף המשמש מערך המחשוב של רשות המיסים בישראל</w:t>
      </w:r>
      <w:r w:rsidRPr="005122B5">
        <w:rPr>
          <w:rFonts w:hint="cs"/>
          <w:spacing w:val="4"/>
          <w:rtl/>
        </w:rPr>
        <w:t xml:space="preserve"> ונותן לה שירותי</w:t>
      </w:r>
      <w:r w:rsidRPr="005122B5">
        <w:rPr>
          <w:spacing w:val="4"/>
          <w:rtl/>
        </w:rPr>
        <w:t xml:space="preserve"> </w:t>
      </w:r>
      <w:r w:rsidRPr="005122B5">
        <w:rPr>
          <w:rFonts w:hint="cs"/>
          <w:spacing w:val="4"/>
          <w:rtl/>
        </w:rPr>
        <w:t xml:space="preserve">מחשוב </w:t>
      </w:r>
      <w:r w:rsidRPr="005122B5">
        <w:rPr>
          <w:spacing w:val="4"/>
          <w:rtl/>
        </w:rPr>
        <w:t xml:space="preserve">לצורך גבייה ואכיפה, ליצירת הרתעה ראויה ולמיצוי זכויותיהם של הנישומים. שע"ם משרת כ-1.3 מיליון "לקוחות": חברות, תאגידים מסוגים אחרים, עצמאים, בעלי שליטה, שכירים, מקבלי מענקי עבודה, שכירים המבצעים תיאומי מס והחזרי מס, 6,000 העובדים של רשות המיסים, 13,000 משרדי מייצגים ו-7,000 עורכי דין. שע"ם מנהל מאות פרויקטים בכל שנה, החל </w:t>
      </w:r>
      <w:r w:rsidRPr="005122B5">
        <w:rPr>
          <w:rFonts w:hint="cs"/>
          <w:spacing w:val="4"/>
          <w:rtl/>
        </w:rPr>
        <w:t>ב</w:t>
      </w:r>
      <w:r w:rsidRPr="005122B5">
        <w:rPr>
          <w:spacing w:val="4"/>
          <w:rtl/>
        </w:rPr>
        <w:t>פרויקטים לביצוע מיידי וכלה בפרויקטים שביצועם נמשך שנים מספר.</w:t>
      </w:r>
      <w:r w:rsidRPr="005122B5">
        <w:rPr>
          <w:rFonts w:hint="cs"/>
          <w:spacing w:val="4"/>
          <w:rtl/>
        </w:rPr>
        <w:t xml:space="preserve"> שע"ם מחזיק במערכותיו </w:t>
      </w:r>
      <w:r w:rsidRPr="005122B5">
        <w:rPr>
          <w:rFonts w:hint="eastAsia"/>
          <w:spacing w:val="4"/>
          <w:rtl/>
        </w:rPr>
        <w:t>מידע</w:t>
      </w:r>
      <w:r w:rsidRPr="005122B5">
        <w:rPr>
          <w:spacing w:val="4"/>
          <w:rtl/>
        </w:rPr>
        <w:t xml:space="preserve"> </w:t>
      </w:r>
      <w:r w:rsidRPr="005122B5">
        <w:rPr>
          <w:rFonts w:hint="cs"/>
          <w:spacing w:val="4"/>
          <w:rtl/>
        </w:rPr>
        <w:t>על אזרחים, נישומים, עוסקים וגופים נוספים.</w:t>
      </w:r>
    </w:p>
    <w:p w:rsidR="00B925E2" w:rsidRPr="005122B5" w:rsidP="00B925E2" w14:paraId="26D01EF5" w14:textId="1BF98CFE">
      <w:pPr>
        <w:pStyle w:val="7392"/>
        <w:rPr>
          <w:spacing w:val="4"/>
          <w:rtl/>
        </w:rPr>
      </w:pPr>
      <w:r w:rsidRPr="005122B5">
        <w:rPr>
          <w:spacing w:val="4"/>
          <w:rtl/>
        </w:rPr>
        <w:t>החוק להסדרת הביטחון בגופים ציבוריים, התשנ"ח-1998 קובע את תחומי הסמכויות והאחריות לאבטחה פיזית, לאבטחת מידע ולאבטחת מערכות מחשוב חיוניות של גופים ציבוריים שונים, לרבות גופי ממשלה וגופים בבעלות פרטית. החוק מגדיר מערכות ממוחשבות חיוניות כ"מערכות ממוחשבות שנקבעו כחיוניות על ידי הגוף שהסמיכה לכך הממשלה".</w:t>
      </w:r>
    </w:p>
    <w:p w:rsidR="007F4A20" w:rsidRPr="00864200" w:rsidP="00B925E2" w14:paraId="0B41EED6" w14:textId="4FA2A358">
      <w:pPr>
        <w:pStyle w:val="7392"/>
        <w:rPr>
          <w:spacing w:val="4"/>
          <w:rtl/>
        </w:rPr>
      </w:pPr>
      <w:r w:rsidRPr="005122B5">
        <w:rPr>
          <w:spacing w:val="4"/>
          <w:rtl/>
        </w:rPr>
        <w:t xml:space="preserve">בשנת 2010 החליטה ועדת היגוי עליונה כי שע"ם ייכלל בתוספת השנייה והחמישית לחוק הסדרת הביטחון. בהתאם לכך, </w:t>
      </w:r>
      <w:r w:rsidRPr="005122B5">
        <w:rPr>
          <w:rFonts w:hint="eastAsia"/>
          <w:spacing w:val="4"/>
          <w:rtl/>
        </w:rPr>
        <w:t>מערך</w:t>
      </w:r>
      <w:r w:rsidRPr="005122B5">
        <w:rPr>
          <w:spacing w:val="4"/>
          <w:rtl/>
        </w:rPr>
        <w:t xml:space="preserve"> </w:t>
      </w:r>
      <w:r w:rsidRPr="005122B5">
        <w:rPr>
          <w:rFonts w:hint="eastAsia"/>
          <w:spacing w:val="4"/>
          <w:rtl/>
        </w:rPr>
        <w:t>הסייבר</w:t>
      </w:r>
      <w:r w:rsidRPr="005122B5">
        <w:rPr>
          <w:spacing w:val="4"/>
          <w:rtl/>
        </w:rPr>
        <w:t xml:space="preserve"> </w:t>
      </w:r>
      <w:r w:rsidRPr="005122B5">
        <w:rPr>
          <w:rFonts w:hint="eastAsia"/>
          <w:spacing w:val="4"/>
          <w:rtl/>
        </w:rPr>
        <w:t>הלאומי</w:t>
      </w:r>
      <w:r w:rsidRPr="005122B5">
        <w:rPr>
          <w:spacing w:val="4"/>
          <w:rtl/>
        </w:rPr>
        <w:t xml:space="preserve"> הוסמך לתת הנחיות מקצועיות בתחום אבטחת מערכות מחשוב חיוניות </w:t>
      </w:r>
      <w:r w:rsidRPr="005122B5">
        <w:rPr>
          <w:rFonts w:hint="eastAsia"/>
          <w:spacing w:val="4"/>
          <w:rtl/>
        </w:rPr>
        <w:t>לשע</w:t>
      </w:r>
      <w:r w:rsidRPr="005122B5">
        <w:rPr>
          <w:spacing w:val="4"/>
          <w:rtl/>
        </w:rPr>
        <w:t>"ם</w:t>
      </w:r>
      <w:r w:rsidRPr="00864200" w:rsidR="0036097F">
        <w:rPr>
          <w:rFonts w:hint="cs"/>
          <w:spacing w:val="4"/>
          <w:rtl/>
        </w:rPr>
        <w:t>.</w:t>
      </w:r>
      <w:r w:rsidRPr="00864200" w:rsidR="00B61DE7">
        <w:rPr>
          <w:spacing w:val="4"/>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33D5943E">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3327400</wp:posOffset>
            </wp:positionH>
            <wp:positionV relativeFrom="paragraph">
              <wp:posOffset>8610</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7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02"/>
        <w:gridCol w:w="397"/>
        <w:gridCol w:w="3402"/>
      </w:tblGrid>
      <w:tr w14:paraId="58B4726B" w14:textId="77777777" w:rsidTr="00983620">
        <w:tblPrEx>
          <w:tblW w:w="7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402" w:type="dxa"/>
            <w:tcBorders>
              <w:bottom w:val="single" w:sz="12" w:space="0" w:color="000000" w:themeColor="text1"/>
            </w:tcBorders>
            <w:vAlign w:val="bottom"/>
          </w:tcPr>
          <w:p w:rsidR="00983620" w:rsidRPr="004562F8" w:rsidP="00983620" w14:paraId="23EB689E" w14:textId="63ADD728">
            <w:pPr>
              <w:spacing w:before="120" w:after="60" w:line="240" w:lineRule="auto"/>
              <w:jc w:val="left"/>
              <w:rPr>
                <w:b/>
                <w:bCs/>
                <w:spacing w:val="-28"/>
                <w:rtl/>
              </w:rPr>
            </w:pPr>
            <w:r>
              <w:rPr>
                <w:rFonts w:ascii="Tahoma" w:hAnsi="Tahoma" w:eastAsiaTheme="minorEastAsia" w:cs="Tahoma" w:hint="cs"/>
                <w:b/>
                <w:bCs/>
                <w:color w:val="0D0D0D" w:themeColor="text1" w:themeTint="F2"/>
                <w:spacing w:val="-14"/>
                <w:sz w:val="36"/>
                <w:szCs w:val="36"/>
                <w:rtl/>
              </w:rPr>
              <w:t>1.3</w:t>
            </w:r>
            <w:r w:rsidRPr="00FF0545">
              <w:rPr>
                <w:rFonts w:ascii="Tahoma" w:hAnsi="Tahoma" w:eastAsiaTheme="minorEastAsia" w:cs="Tahoma" w:hint="cs"/>
                <w:b/>
                <w:bCs/>
                <w:color w:val="0D0D0D" w:themeColor="text1" w:themeTint="F2"/>
                <w:spacing w:val="-14"/>
                <w:sz w:val="26"/>
                <w:szCs w:val="26"/>
                <w:rtl/>
              </w:rPr>
              <w:t xml:space="preserve"> </w:t>
            </w:r>
            <w:r>
              <w:rPr>
                <w:rFonts w:ascii="Tahoma" w:hAnsi="Tahoma" w:eastAsiaTheme="minorEastAsia" w:cs="Tahoma" w:hint="cs"/>
                <w:b/>
                <w:bCs/>
                <w:color w:val="0D0D0D" w:themeColor="text1" w:themeTint="F2"/>
                <w:spacing w:val="-14"/>
                <w:sz w:val="26"/>
                <w:szCs w:val="26"/>
                <w:rtl/>
              </w:rPr>
              <w:t>מיליון</w:t>
            </w:r>
            <w:r w:rsidRPr="00FF0545">
              <w:rPr>
                <w:rFonts w:ascii="Tahoma" w:hAnsi="Tahoma" w:eastAsiaTheme="minorEastAsia" w:cs="Tahoma"/>
                <w:b/>
                <w:bCs/>
                <w:color w:val="0D0D0D" w:themeColor="text1" w:themeTint="F2"/>
                <w:spacing w:val="-14"/>
                <w:sz w:val="26"/>
                <w:szCs w:val="26"/>
                <w:rtl/>
              </w:rPr>
              <w:t xml:space="preserve"> </w:t>
            </w:r>
          </w:p>
        </w:tc>
        <w:tc>
          <w:tcPr>
            <w:tcW w:w="397" w:type="dxa"/>
            <w:vAlign w:val="bottom"/>
          </w:tcPr>
          <w:p w:rsidR="00983620" w:rsidP="00983620" w14:paraId="19192EA5" w14:textId="77777777">
            <w:pPr>
              <w:spacing w:before="120" w:after="60" w:line="240" w:lineRule="auto"/>
              <w:jc w:val="left"/>
              <w:rPr>
                <w:rtl/>
              </w:rPr>
            </w:pPr>
          </w:p>
        </w:tc>
        <w:tc>
          <w:tcPr>
            <w:tcW w:w="3402" w:type="dxa"/>
            <w:tcBorders>
              <w:bottom w:val="single" w:sz="12" w:space="0" w:color="000000" w:themeColor="text1"/>
            </w:tcBorders>
            <w:vAlign w:val="bottom"/>
          </w:tcPr>
          <w:p w:rsidR="00983620" w:rsidRPr="003F6E07" w:rsidP="00983620" w14:paraId="761F4116" w14:textId="19473824">
            <w:pPr>
              <w:pStyle w:val="2021"/>
              <w:spacing w:after="60"/>
              <w:rPr>
                <w:spacing w:val="-14"/>
                <w:sz w:val="26"/>
                <w:szCs w:val="26"/>
                <w:rtl/>
              </w:rPr>
            </w:pPr>
            <w:r>
              <w:rPr>
                <w:rFonts w:hint="cs"/>
                <w:spacing w:val="-14"/>
                <w:rtl/>
              </w:rPr>
              <w:t>חלק</w:t>
            </w:r>
            <w:r w:rsidRPr="003F6E07">
              <w:rPr>
                <w:rFonts w:hint="cs"/>
                <w:spacing w:val="-14"/>
                <w:sz w:val="26"/>
                <w:szCs w:val="26"/>
                <w:rtl/>
              </w:rPr>
              <w:t xml:space="preserve"> </w:t>
            </w:r>
          </w:p>
        </w:tc>
      </w:tr>
      <w:tr w14:paraId="6DFAF81C" w14:textId="77777777" w:rsidTr="00983620">
        <w:tblPrEx>
          <w:tblW w:w="7201" w:type="dxa"/>
          <w:tblLayout w:type="fixed"/>
          <w:tblLook w:val="04A0"/>
        </w:tblPrEx>
        <w:tc>
          <w:tcPr>
            <w:tcW w:w="3402" w:type="dxa"/>
            <w:tcBorders>
              <w:top w:val="single" w:sz="12" w:space="0" w:color="000000" w:themeColor="text1"/>
            </w:tcBorders>
          </w:tcPr>
          <w:p w:rsidR="00983620" w:rsidP="00937056" w14:paraId="25664D81" w14:textId="77777777">
            <w:pPr>
              <w:pStyle w:val="732021"/>
              <w:spacing w:before="0"/>
            </w:pPr>
            <w:r w:rsidRPr="005122B5">
              <w:rPr>
                <w:rFonts w:hint="eastAsia"/>
                <w:rtl/>
              </w:rPr>
              <w:t>מקבלי</w:t>
            </w:r>
            <w:r w:rsidRPr="005122B5">
              <w:rPr>
                <w:rtl/>
              </w:rPr>
              <w:t xml:space="preserve"> </w:t>
            </w:r>
            <w:r w:rsidRPr="005122B5">
              <w:rPr>
                <w:rFonts w:hint="eastAsia"/>
                <w:rtl/>
              </w:rPr>
              <w:t>שירות</w:t>
            </w:r>
            <w:r w:rsidRPr="005122B5">
              <w:rPr>
                <w:rtl/>
              </w:rPr>
              <w:t xml:space="preserve"> </w:t>
            </w:r>
            <w:r w:rsidRPr="005122B5">
              <w:rPr>
                <w:rFonts w:hint="eastAsia"/>
                <w:rtl/>
              </w:rPr>
              <w:t>משע</w:t>
            </w:r>
            <w:r w:rsidRPr="005122B5">
              <w:rPr>
                <w:rtl/>
              </w:rPr>
              <w:t>"</w:t>
            </w:r>
            <w:r w:rsidRPr="005122B5">
              <w:rPr>
                <w:rFonts w:hint="eastAsia"/>
                <w:rtl/>
              </w:rPr>
              <w:t>ם</w:t>
            </w:r>
            <w:r w:rsidRPr="005122B5">
              <w:rPr>
                <w:rtl/>
              </w:rPr>
              <w:t xml:space="preserve">: </w:t>
            </w:r>
            <w:r w:rsidRPr="005122B5">
              <w:rPr>
                <w:rFonts w:hint="eastAsia"/>
                <w:rtl/>
              </w:rPr>
              <w:t>חברות</w:t>
            </w:r>
            <w:r w:rsidRPr="005122B5">
              <w:rPr>
                <w:rtl/>
              </w:rPr>
              <w:t xml:space="preserve">, </w:t>
            </w:r>
            <w:r w:rsidRPr="005122B5">
              <w:rPr>
                <w:rFonts w:hint="eastAsia"/>
                <w:rtl/>
              </w:rPr>
              <w:t>תאגידים</w:t>
            </w:r>
            <w:r w:rsidRPr="005122B5">
              <w:rPr>
                <w:rtl/>
              </w:rPr>
              <w:t xml:space="preserve">, </w:t>
            </w:r>
            <w:r w:rsidRPr="005122B5">
              <w:rPr>
                <w:rFonts w:hint="eastAsia"/>
                <w:rtl/>
              </w:rPr>
              <w:t>עצמאיים</w:t>
            </w:r>
            <w:r w:rsidRPr="005122B5">
              <w:rPr>
                <w:rtl/>
              </w:rPr>
              <w:t xml:space="preserve">, </w:t>
            </w:r>
            <w:r w:rsidRPr="005122B5">
              <w:rPr>
                <w:rFonts w:hint="eastAsia"/>
                <w:rtl/>
              </w:rPr>
              <w:t>שכירים</w:t>
            </w:r>
            <w:r w:rsidRPr="005122B5">
              <w:rPr>
                <w:rtl/>
              </w:rPr>
              <w:t xml:space="preserve"> </w:t>
            </w:r>
            <w:r w:rsidRPr="005122B5">
              <w:rPr>
                <w:rFonts w:hint="eastAsia"/>
                <w:rtl/>
              </w:rPr>
              <w:t>ועוד</w:t>
            </w:r>
          </w:p>
          <w:p w:rsidR="00983620" w:rsidRPr="00E52143" w:rsidP="00937056" w14:paraId="1D96599A" w14:textId="1E1BA3C4">
            <w:pPr>
              <w:pStyle w:val="732021"/>
              <w:spacing w:before="0"/>
              <w:rPr>
                <w:rtl/>
              </w:rPr>
            </w:pPr>
          </w:p>
        </w:tc>
        <w:tc>
          <w:tcPr>
            <w:tcW w:w="397" w:type="dxa"/>
          </w:tcPr>
          <w:p w:rsidR="00983620" w:rsidRPr="00E52143" w:rsidP="00937056" w14:paraId="2BF81D8C" w14:textId="77777777">
            <w:pPr>
              <w:pStyle w:val="732021"/>
              <w:spacing w:before="0"/>
              <w:rPr>
                <w:rtl/>
              </w:rPr>
            </w:pPr>
          </w:p>
        </w:tc>
        <w:tc>
          <w:tcPr>
            <w:tcW w:w="3402" w:type="dxa"/>
            <w:tcBorders>
              <w:top w:val="single" w:sz="12" w:space="0" w:color="000000" w:themeColor="text1"/>
            </w:tcBorders>
          </w:tcPr>
          <w:p w:rsidR="00983620" w:rsidRPr="00E52143" w:rsidP="00864200" w14:paraId="68924AF7" w14:textId="2B8F6E46">
            <w:pPr>
              <w:pStyle w:val="732021"/>
              <w:spacing w:before="0" w:after="360"/>
              <w:rPr>
                <w:rtl/>
              </w:rPr>
            </w:pPr>
            <w:r w:rsidRPr="005122B5">
              <w:rPr>
                <w:rFonts w:hint="eastAsia"/>
                <w:rtl/>
              </w:rPr>
              <w:t>מעובדי</w:t>
            </w:r>
            <w:r w:rsidRPr="005122B5">
              <w:rPr>
                <w:rtl/>
              </w:rPr>
              <w:t xml:space="preserve"> </w:t>
            </w:r>
            <w:r w:rsidRPr="005122B5">
              <w:rPr>
                <w:rFonts w:hint="eastAsia"/>
                <w:rtl/>
              </w:rPr>
              <w:t>שע</w:t>
            </w:r>
            <w:r w:rsidRPr="005122B5">
              <w:rPr>
                <w:rtl/>
              </w:rPr>
              <w:t>"</w:t>
            </w:r>
            <w:r w:rsidRPr="005122B5">
              <w:rPr>
                <w:rFonts w:hint="eastAsia"/>
                <w:rtl/>
              </w:rPr>
              <w:t>ם</w:t>
            </w:r>
            <w:r w:rsidRPr="005122B5">
              <w:rPr>
                <w:rtl/>
              </w:rPr>
              <w:t xml:space="preserve"> </w:t>
            </w:r>
            <w:r w:rsidRPr="005122B5">
              <w:rPr>
                <w:rFonts w:hint="eastAsia"/>
                <w:rtl/>
              </w:rPr>
              <w:t>הנדרשים</w:t>
            </w:r>
            <w:r w:rsidRPr="005122B5">
              <w:rPr>
                <w:rtl/>
              </w:rPr>
              <w:t xml:space="preserve"> </w:t>
            </w:r>
            <w:r w:rsidRPr="005122B5">
              <w:rPr>
                <w:rFonts w:hint="eastAsia"/>
                <w:rtl/>
              </w:rPr>
              <w:t>לסיווג</w:t>
            </w:r>
            <w:r w:rsidRPr="005122B5">
              <w:rPr>
                <w:rtl/>
              </w:rPr>
              <w:t xml:space="preserve"> </w:t>
            </w:r>
            <w:r w:rsidRPr="005122B5">
              <w:rPr>
                <w:rFonts w:hint="eastAsia"/>
                <w:rtl/>
              </w:rPr>
              <w:t>אינם</w:t>
            </w:r>
            <w:r w:rsidRPr="005122B5">
              <w:rPr>
                <w:rtl/>
              </w:rPr>
              <w:t xml:space="preserve"> </w:t>
            </w:r>
            <w:r w:rsidRPr="005122B5">
              <w:rPr>
                <w:rFonts w:hint="eastAsia"/>
                <w:rtl/>
              </w:rPr>
              <w:t>בעלי</w:t>
            </w:r>
            <w:r w:rsidRPr="005122B5">
              <w:rPr>
                <w:rtl/>
              </w:rPr>
              <w:t xml:space="preserve"> </w:t>
            </w:r>
            <w:r w:rsidRPr="005122B5">
              <w:rPr>
                <w:rFonts w:hint="eastAsia"/>
                <w:rtl/>
              </w:rPr>
              <w:t>סיווג</w:t>
            </w:r>
            <w:r w:rsidRPr="005122B5">
              <w:rPr>
                <w:rtl/>
              </w:rPr>
              <w:t xml:space="preserve"> </w:t>
            </w:r>
            <w:r w:rsidRPr="005122B5">
              <w:rPr>
                <w:rFonts w:hint="eastAsia"/>
                <w:rtl/>
              </w:rPr>
              <w:t>נדרש</w:t>
            </w:r>
          </w:p>
        </w:tc>
      </w:tr>
      <w:tr w14:paraId="3FE39694" w14:textId="77777777" w:rsidTr="00983620">
        <w:tblPrEx>
          <w:tblW w:w="7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402" w:type="dxa"/>
            <w:tcBorders>
              <w:top w:val="nil"/>
              <w:left w:val="nil"/>
              <w:bottom w:val="single" w:sz="12" w:space="0" w:color="auto"/>
              <w:right w:val="nil"/>
            </w:tcBorders>
            <w:vAlign w:val="bottom"/>
          </w:tcPr>
          <w:p w:rsidR="00983620" w:rsidRPr="004562F8" w:rsidP="00B925E2" w14:paraId="14516C57" w14:textId="078C6952">
            <w:pPr>
              <w:spacing w:after="60" w:line="240" w:lineRule="auto"/>
              <w:jc w:val="left"/>
              <w:rPr>
                <w:b/>
                <w:bCs/>
                <w:spacing w:val="-28"/>
                <w:rtl/>
              </w:rPr>
            </w:pPr>
            <w:r>
              <w:rPr>
                <w:rFonts w:ascii="Tahoma" w:hAnsi="Tahoma" w:eastAsiaTheme="minorEastAsia" w:cs="Tahoma" w:hint="cs"/>
                <w:b/>
                <w:bCs/>
                <w:color w:val="0D0D0D" w:themeColor="text1" w:themeTint="F2"/>
                <w:spacing w:val="-14"/>
                <w:sz w:val="36"/>
                <w:szCs w:val="36"/>
                <w:rtl/>
              </w:rPr>
              <w:t>11</w:t>
            </w:r>
            <w:r w:rsidRPr="00FF0545">
              <w:rPr>
                <w:rFonts w:ascii="Tahoma" w:hAnsi="Tahoma" w:eastAsiaTheme="minorEastAsia" w:cs="Tahoma" w:hint="cs"/>
                <w:b/>
                <w:bCs/>
                <w:color w:val="0D0D0D" w:themeColor="text1" w:themeTint="F2"/>
                <w:spacing w:val="-14"/>
                <w:sz w:val="26"/>
                <w:szCs w:val="26"/>
                <w:rtl/>
              </w:rPr>
              <w:t xml:space="preserve"> </w:t>
            </w:r>
          </w:p>
        </w:tc>
        <w:tc>
          <w:tcPr>
            <w:tcW w:w="397" w:type="dxa"/>
            <w:tcBorders>
              <w:top w:val="nil"/>
              <w:left w:val="nil"/>
              <w:bottom w:val="nil"/>
              <w:right w:val="nil"/>
            </w:tcBorders>
            <w:vAlign w:val="bottom"/>
          </w:tcPr>
          <w:p w:rsidR="00983620" w:rsidP="00B925E2" w14:paraId="12B5F9C2" w14:textId="77777777">
            <w:pPr>
              <w:spacing w:before="120" w:after="60" w:line="240" w:lineRule="auto"/>
              <w:jc w:val="left"/>
              <w:rPr>
                <w:rtl/>
              </w:rPr>
            </w:pPr>
          </w:p>
        </w:tc>
        <w:tc>
          <w:tcPr>
            <w:tcW w:w="3402" w:type="dxa"/>
            <w:tcBorders>
              <w:top w:val="nil"/>
              <w:left w:val="nil"/>
              <w:bottom w:val="single" w:sz="12" w:space="0" w:color="auto"/>
              <w:right w:val="nil"/>
            </w:tcBorders>
            <w:vAlign w:val="bottom"/>
          </w:tcPr>
          <w:p w:rsidR="00983620" w:rsidRPr="003F6E07" w:rsidP="00B925E2" w14:paraId="6A3B4B22" w14:textId="27EE5207">
            <w:pPr>
              <w:pStyle w:val="2021"/>
              <w:spacing w:before="0" w:after="60"/>
              <w:rPr>
                <w:spacing w:val="-14"/>
                <w:sz w:val="26"/>
                <w:szCs w:val="26"/>
                <w:rtl/>
              </w:rPr>
            </w:pPr>
            <w:r>
              <w:rPr>
                <w:rFonts w:hint="cs"/>
                <w:spacing w:val="-14"/>
                <w:rtl/>
              </w:rPr>
              <w:t>2014</w:t>
            </w:r>
            <w:r w:rsidRPr="003F6E07">
              <w:rPr>
                <w:rFonts w:hint="cs"/>
                <w:spacing w:val="-14"/>
                <w:sz w:val="26"/>
                <w:szCs w:val="26"/>
                <w:rtl/>
              </w:rPr>
              <w:t xml:space="preserve"> </w:t>
            </w:r>
          </w:p>
        </w:tc>
      </w:tr>
      <w:tr w14:paraId="2A4A8E17" w14:textId="77777777" w:rsidTr="00983620">
        <w:tblPrEx>
          <w:tblW w:w="7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402" w:type="dxa"/>
            <w:tcBorders>
              <w:top w:val="single" w:sz="12" w:space="0" w:color="auto"/>
              <w:left w:val="nil"/>
              <w:bottom w:val="nil"/>
              <w:right w:val="nil"/>
            </w:tcBorders>
          </w:tcPr>
          <w:p w:rsidR="00983620" w:rsidRPr="00E52143" w:rsidP="00983620" w14:paraId="19147BB8" w14:textId="1D7D6697">
            <w:pPr>
              <w:pStyle w:val="732021"/>
              <w:spacing w:before="0" w:after="240"/>
              <w:rPr>
                <w:rtl/>
              </w:rPr>
            </w:pPr>
            <w:r w:rsidRPr="005122B5">
              <w:rPr>
                <w:rtl/>
              </w:rPr>
              <w:t>מספר ממצאי מבדק החוסן שביצע יועץ חיצוני מטעמו של משרד מבקר המדינה</w:t>
            </w:r>
          </w:p>
        </w:tc>
        <w:tc>
          <w:tcPr>
            <w:tcW w:w="397" w:type="dxa"/>
            <w:tcBorders>
              <w:top w:val="nil"/>
              <w:left w:val="nil"/>
              <w:bottom w:val="nil"/>
              <w:right w:val="nil"/>
            </w:tcBorders>
          </w:tcPr>
          <w:p w:rsidR="00983620" w:rsidRPr="00E52143" w:rsidP="00D604D9" w14:paraId="41DAEE0D" w14:textId="77777777">
            <w:pPr>
              <w:pStyle w:val="732021"/>
              <w:spacing w:before="0"/>
              <w:rPr>
                <w:rtl/>
              </w:rPr>
            </w:pPr>
          </w:p>
        </w:tc>
        <w:tc>
          <w:tcPr>
            <w:tcW w:w="3402" w:type="dxa"/>
            <w:tcBorders>
              <w:top w:val="single" w:sz="12" w:space="0" w:color="auto"/>
              <w:left w:val="nil"/>
              <w:bottom w:val="nil"/>
              <w:right w:val="nil"/>
            </w:tcBorders>
          </w:tcPr>
          <w:p w:rsidR="00983620" w:rsidRPr="00E52143" w:rsidP="00D604D9" w14:paraId="06EB4902" w14:textId="64F27C51">
            <w:pPr>
              <w:pStyle w:val="732021"/>
              <w:spacing w:before="0"/>
              <w:rPr>
                <w:rtl/>
              </w:rPr>
            </w:pPr>
            <w:r w:rsidRPr="005122B5">
              <w:rPr>
                <w:rFonts w:hint="cs"/>
                <w:rtl/>
              </w:rPr>
              <w:t>השנה בה החלה הכנת תוכנית המשכיות עסקית בשע"ם, תהליך שטרם הסתיים</w:t>
            </w:r>
          </w:p>
        </w:tc>
      </w:tr>
    </w:tbl>
    <w:p w:rsidR="00420374" w:rsidRPr="00C62692" w:rsidP="00420374" w14:paraId="3FADD5EE" w14:textId="5DE094B2">
      <w:pPr>
        <w:pStyle w:val="73"/>
        <w:rPr>
          <w:rtl/>
        </w:rPr>
      </w:pPr>
      <w:r w:rsidRPr="00C62692">
        <w:rPr>
          <w:rtl/>
        </w:rPr>
        <w:t>פעולות הביקורת</w:t>
      </w:r>
    </w:p>
    <w:p w:rsidR="00B925E2" w:rsidRPr="00B925E2" w:rsidP="00B925E2" w14:paraId="7C42C30D" w14:textId="0BB55B37">
      <w:pPr>
        <w:pStyle w:val="7317"/>
        <w:rPr>
          <w:rtl/>
        </w:rPr>
      </w:pPr>
      <w:r w:rsidRPr="00864200">
        <w:rPr>
          <w:noProof/>
        </w:rPr>
        <w:drawing>
          <wp:anchor distT="0" distB="0" distL="114300" distR="114300" simplePos="0" relativeHeight="251695104" behindDoc="0" locked="0" layoutInCell="1" allowOverlap="1">
            <wp:simplePos x="0" y="0"/>
            <wp:positionH relativeFrom="column">
              <wp:posOffset>4546509</wp:posOffset>
            </wp:positionH>
            <wp:positionV relativeFrom="paragraph">
              <wp:posOffset>46990</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25E2">
        <w:rPr>
          <w:rtl/>
        </w:rPr>
        <w:t xml:space="preserve">בחודשים נובמבר 2021 - פברואר 2022 בדק משרד מבקר המדינה את אבטחת </w:t>
      </w:r>
      <w:r w:rsidRPr="00B925E2">
        <w:rPr>
          <w:rFonts w:hint="eastAsia"/>
          <w:rtl/>
        </w:rPr>
        <w:t>ה</w:t>
      </w:r>
      <w:r w:rsidRPr="00B925E2">
        <w:rPr>
          <w:rtl/>
        </w:rPr>
        <w:t>מידע והגנת הס</w:t>
      </w:r>
      <w:r w:rsidRPr="00B925E2">
        <w:rPr>
          <w:rFonts w:hint="eastAsia"/>
          <w:rtl/>
        </w:rPr>
        <w:t>יי</w:t>
      </w:r>
      <w:r w:rsidRPr="00B925E2">
        <w:rPr>
          <w:rtl/>
        </w:rPr>
        <w:t>בר בשע"ם. הביקורת נע</w:t>
      </w:r>
      <w:r w:rsidRPr="00B925E2">
        <w:rPr>
          <w:rFonts w:hint="eastAsia"/>
          <w:rtl/>
        </w:rPr>
        <w:t>שתה</w:t>
      </w:r>
      <w:r w:rsidRPr="00B925E2">
        <w:rPr>
          <w:rtl/>
        </w:rPr>
        <w:t xml:space="preserve"> בשע"ם, ובדיקות השלמה נע</w:t>
      </w:r>
      <w:r w:rsidRPr="00B925E2">
        <w:rPr>
          <w:rFonts w:hint="eastAsia"/>
          <w:rtl/>
        </w:rPr>
        <w:t>ש</w:t>
      </w:r>
      <w:r w:rsidRPr="00B925E2">
        <w:rPr>
          <w:rtl/>
        </w:rPr>
        <w:t>ו במערך הסייבר הלאומי.</w:t>
      </w:r>
    </w:p>
    <w:p w:rsidR="00B925E2" w:rsidRPr="00B925E2" w:rsidP="00B925E2" w14:paraId="2841B89E" w14:textId="2D615437">
      <w:pPr>
        <w:pStyle w:val="7317"/>
        <w:rPr>
          <w:rtl/>
        </w:rPr>
      </w:pPr>
      <w:r w:rsidRPr="00B925E2">
        <w:rPr>
          <w:rtl/>
        </w:rPr>
        <w:t xml:space="preserve">במסגרת </w:t>
      </w:r>
      <w:r w:rsidRPr="00B925E2">
        <w:rPr>
          <w:rFonts w:hint="cs"/>
          <w:rtl/>
        </w:rPr>
        <w:t>ה</w:t>
      </w:r>
      <w:r w:rsidRPr="00B925E2">
        <w:rPr>
          <w:rtl/>
        </w:rPr>
        <w:t xml:space="preserve">ביקורת נבדקו היבטים מסוימים בהגנת סייבר, </w:t>
      </w:r>
      <w:r w:rsidRPr="00B925E2">
        <w:rPr>
          <w:rFonts w:hint="eastAsia"/>
          <w:rtl/>
        </w:rPr>
        <w:t>נעשתה</w:t>
      </w:r>
      <w:r w:rsidRPr="00B925E2">
        <w:rPr>
          <w:rtl/>
        </w:rPr>
        <w:t xml:space="preserve"> בדיקת חוסן למערכת </w:t>
      </w:r>
      <w:r w:rsidRPr="00B925E2">
        <w:rPr>
          <w:rFonts w:hint="eastAsia"/>
          <w:rtl/>
        </w:rPr>
        <w:t>התומכת</w:t>
      </w:r>
      <w:r w:rsidRPr="00B925E2">
        <w:rPr>
          <w:rtl/>
        </w:rPr>
        <w:t xml:space="preserve"> בתהליך עסקי </w:t>
      </w:r>
      <w:r w:rsidRPr="00B925E2">
        <w:rPr>
          <w:rFonts w:hint="eastAsia"/>
          <w:rtl/>
        </w:rPr>
        <w:t>ברשות</w:t>
      </w:r>
      <w:r w:rsidRPr="00B925E2">
        <w:rPr>
          <w:rtl/>
        </w:rPr>
        <w:t xml:space="preserve"> </w:t>
      </w:r>
      <w:r w:rsidRPr="00B925E2">
        <w:rPr>
          <w:rFonts w:hint="eastAsia"/>
          <w:rtl/>
        </w:rPr>
        <w:t>המיסים</w:t>
      </w:r>
      <w:r w:rsidRPr="00B925E2">
        <w:rPr>
          <w:rtl/>
        </w:rPr>
        <w:t xml:space="preserve"> (מערכת א'), ונבדקה היערכות שע"ם להמשכיות הפעילות העסקית </w:t>
      </w:r>
      <w:r w:rsidRPr="00B925E2">
        <w:rPr>
          <w:rFonts w:hint="eastAsia"/>
          <w:rtl/>
        </w:rPr>
        <w:t>ו</w:t>
      </w:r>
      <w:r w:rsidRPr="00B925E2">
        <w:rPr>
          <w:rtl/>
        </w:rPr>
        <w:t>להתאוששות מאסון.</w:t>
      </w:r>
    </w:p>
    <w:p w:rsidR="00B925E2" w:rsidRPr="00B925E2" w:rsidP="00B925E2" w14:paraId="7C5458A4" w14:textId="77777777">
      <w:pPr>
        <w:pStyle w:val="7317"/>
        <w:rPr>
          <w:rtl/>
        </w:rPr>
      </w:pPr>
      <w:r w:rsidRPr="00B925E2">
        <w:rPr>
          <w:rtl/>
        </w:rPr>
        <w:t xml:space="preserve">הדוח שבנדון הומצא לראש הממשלה ביום 31.7.2022 והוטל עליו חיסיון עד לדיון בוועדת המשנה של הוועדה לענייני ביקורת המדינה. </w:t>
      </w:r>
    </w:p>
    <w:p w:rsidR="00B925E2" w:rsidRPr="00B925E2" w:rsidP="00B925E2" w14:paraId="4AD98436" w14:textId="02E2091F">
      <w:pPr>
        <w:pStyle w:val="7317"/>
        <w:rPr>
          <w:rtl/>
        </w:rPr>
      </w:pPr>
      <w:r w:rsidRPr="00B925E2">
        <w:rPr>
          <w:rtl/>
        </w:rPr>
        <w:t>מתוקף הסמכות הנתונה למבקר המדינה בסעיף 17(ג) לחוק מבקר המדינה, התשי"ח-1958 [נוסח משולב]</w:t>
      </w:r>
      <w:r w:rsidR="00514AB8">
        <w:rPr>
          <w:rFonts w:hint="cs"/>
          <w:rtl/>
        </w:rPr>
        <w:t>,</w:t>
      </w:r>
      <w:r w:rsidRPr="00B925E2">
        <w:rPr>
          <w:rtl/>
        </w:rPr>
        <w:t xml:space="preserve"> ובשים לב לנימוקי הממשלה, לאחר היוועצות עם הגופים האמונים על אבטחת המידע הביטחוני ובתיאום עם יו"ר הכנסת, משלא התכנסה ועדת המשנה האמורה, הוחלט לפרסם דוח זה תוך הטלת חיסיון על חלקים ממנו. חלקים אלה לא הונחו על שולחן הכנסת ולא יפורסמו.</w:t>
      </w:r>
    </w:p>
    <w:p w:rsidR="00983620" w:rsidP="00983620" w14:paraId="4E5F74EF" w14:textId="40E5B59B">
      <w:pPr>
        <w:pStyle w:val="7317"/>
        <w:rPr>
          <w:rtl/>
        </w:rPr>
      </w:pPr>
      <w:r w:rsidRPr="00B925E2">
        <w:rPr>
          <w:rtl/>
        </w:rPr>
        <w:t>ממצאי דוח הביקורת והמלצותיו נכונים למועד המצאתו האמור לעיל.</w:t>
      </w:r>
    </w:p>
    <w:p w:rsidR="00983620" w14:paraId="4774CB68" w14:textId="66AC3549">
      <w:pPr>
        <w:bidi w:val="0"/>
        <w:spacing w:after="200" w:line="276" w:lineRule="auto"/>
        <w:rPr>
          <w:rFonts w:ascii="Tahoma" w:hAnsi="Tahoma" w:cs="Tahoma"/>
          <w:color w:val="0D0D0D" w:themeColor="text1" w:themeTint="F2"/>
          <w:sz w:val="18"/>
          <w:szCs w:val="18"/>
          <w:rtl/>
        </w:rPr>
      </w:pPr>
      <w:r>
        <w:rPr>
          <w:rtl/>
        </w:rPr>
        <w:br w:type="page"/>
      </w:r>
    </w:p>
    <w:p w:rsidR="002753C7" w:rsidRPr="00662020" w:rsidP="002753C7" w14:paraId="690F076D" w14:textId="60DD9FB0">
      <w:pPr>
        <w:pStyle w:val="7327"/>
        <w:rPr>
          <w:rtl/>
        </w:rPr>
      </w:pPr>
      <w:r w:rsidRPr="00662020">
        <w:rPr>
          <w:rFonts w:hint="cs"/>
          <w:rtl/>
        </w:rPr>
        <w:t>תמונת המצב העולה מן הביקורת</w:t>
      </w:r>
    </w:p>
    <w:p w:rsidR="00420374" w:rsidRPr="002539B8" w:rsidP="00420374" w14:paraId="6CAF3371" w14:textId="31441C79">
      <w:pPr>
        <w:pStyle w:val="7317"/>
        <w:spacing w:after="240"/>
        <w:rPr>
          <w:sz w:val="10"/>
          <w:szCs w:val="10"/>
          <w:rtl/>
        </w:rPr>
      </w:pPr>
      <w:r w:rsidRPr="00362C00">
        <w:rPr>
          <w:noProof/>
          <w:rtl/>
        </w:rPr>
        <w:drawing>
          <wp:anchor distT="0" distB="0" distL="114300" distR="114300" simplePos="0" relativeHeight="251687936" behindDoc="0" locked="0" layoutInCell="1" allowOverlap="1">
            <wp:simplePos x="0" y="0"/>
            <wp:positionH relativeFrom="column">
              <wp:posOffset>2573655</wp:posOffset>
            </wp:positionH>
            <wp:positionV relativeFrom="paragraph">
              <wp:posOffset>28040</wp:posOffset>
            </wp:positionV>
            <wp:extent cx="2101215" cy="172085"/>
            <wp:effectExtent l="0" t="0" r="0" b="5715"/>
            <wp:wrapSquare wrapText="bothSides"/>
            <wp:docPr id="1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4633B8" w14:paraId="18555822" w14:textId="7F84454A">
      <w:pPr>
        <w:pStyle w:val="7392"/>
        <w:ind w:left="424"/>
        <w:rPr>
          <w:rtl/>
        </w:rPr>
      </w:pPr>
      <w:r w:rsidRPr="00AD30A8">
        <w:rPr>
          <w:rFonts w:hint="cs"/>
          <w:b/>
          <w:bCs/>
          <w:noProof/>
          <w:rtl/>
        </w:rPr>
        <w:drawing>
          <wp:anchor distT="0" distB="720090" distL="114300" distR="114300" simplePos="0" relativeHeight="251678720" behindDoc="1" locked="0" layoutInCell="1" allowOverlap="1">
            <wp:simplePos x="0" y="0"/>
            <wp:positionH relativeFrom="column">
              <wp:posOffset>4514850</wp:posOffset>
            </wp:positionH>
            <wp:positionV relativeFrom="paragraph">
              <wp:posOffset>38735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sidR="00004F7F">
        <w:rPr>
          <w:rFonts w:hint="eastAsia"/>
          <w:b/>
          <w:bCs/>
          <w:rtl/>
        </w:rPr>
        <w:t>תפקידי ועדת</w:t>
      </w:r>
      <w:r w:rsidRPr="00AD30A8" w:rsidR="00004F7F">
        <w:rPr>
          <w:b/>
          <w:bCs/>
          <w:rtl/>
        </w:rPr>
        <w:t xml:space="preserve"> היגוי לנושא </w:t>
      </w:r>
      <w:r w:rsidRPr="00AD30A8" w:rsidR="00004F7F">
        <w:rPr>
          <w:rFonts w:hint="eastAsia"/>
          <w:b/>
          <w:bCs/>
          <w:rtl/>
        </w:rPr>
        <w:t>התמ</w:t>
      </w:r>
      <w:r w:rsidRPr="00AD30A8" w:rsidR="00004F7F">
        <w:rPr>
          <w:b/>
          <w:bCs/>
          <w:rtl/>
        </w:rPr>
        <w:t>"ק</w:t>
      </w:r>
      <w:r w:rsidRPr="005122B5" w:rsidR="00004F7F">
        <w:rPr>
          <w:rtl/>
        </w:rPr>
        <w:t xml:space="preserve"> - עלה כי תפקידי הוועדה הוגדרו בכתב המינוי באופן כללי, והם לא פורטו כנדרש </w:t>
      </w:r>
      <w:r w:rsidRPr="005122B5" w:rsidR="00004F7F">
        <w:rPr>
          <w:rFonts w:hint="cs"/>
          <w:rtl/>
        </w:rPr>
        <w:t>בהנחיות הרגולטוריות</w:t>
      </w:r>
      <w:r w:rsidRPr="005122B5" w:rsidR="00004F7F">
        <w:rPr>
          <w:rtl/>
        </w:rPr>
        <w:t xml:space="preserve">. </w:t>
      </w:r>
      <w:r w:rsidRPr="005122B5" w:rsidR="00004F7F">
        <w:rPr>
          <w:rFonts w:hint="cs"/>
          <w:rtl/>
        </w:rPr>
        <w:t xml:space="preserve">עלה </w:t>
      </w:r>
      <w:r w:rsidRPr="005122B5" w:rsidR="00004F7F">
        <w:rPr>
          <w:rFonts w:hint="eastAsia"/>
          <w:rtl/>
        </w:rPr>
        <w:t>כי</w:t>
      </w:r>
      <w:r w:rsidRPr="005122B5" w:rsidR="00004F7F">
        <w:rPr>
          <w:rtl/>
        </w:rPr>
        <w:t xml:space="preserve"> דיוני הוועדה אינם עוסקים בפעולות שתנקוט הוועדה בהתאם לתפקידי</w:t>
      </w:r>
      <w:r w:rsidRPr="005122B5" w:rsidR="00004F7F">
        <w:rPr>
          <w:rFonts w:hint="eastAsia"/>
          <w:rtl/>
        </w:rPr>
        <w:t>ה</w:t>
      </w:r>
      <w:r w:rsidRPr="005122B5" w:rsidR="00004F7F">
        <w:rPr>
          <w:rtl/>
        </w:rPr>
        <w:t xml:space="preserve">, כפי שנדרש </w:t>
      </w:r>
      <w:r w:rsidRPr="005122B5" w:rsidR="00004F7F">
        <w:rPr>
          <w:rFonts w:hint="eastAsia"/>
          <w:rtl/>
        </w:rPr>
        <w:t>בהנחיות</w:t>
      </w:r>
      <w:r w:rsidR="00004F7F">
        <w:t>.</w:t>
      </w:r>
    </w:p>
    <w:p w:rsidR="00420374" w:rsidRPr="0093709F" w:rsidP="004633B8" w14:paraId="1D22E15A" w14:textId="1C0DDB4F">
      <w:pPr>
        <w:pStyle w:val="7392"/>
        <w:ind w:left="424"/>
      </w:pPr>
      <w:r w:rsidRPr="00AD30A8">
        <w:rPr>
          <w:rFonts w:hint="cs"/>
          <w:b/>
          <w:bCs/>
          <w:noProof/>
          <w:rtl/>
        </w:rPr>
        <w:drawing>
          <wp:anchor distT="0" distB="720090" distL="114300" distR="114300" simplePos="0" relativeHeight="251679744" behindDoc="1" locked="0" layoutInCell="1" allowOverlap="1">
            <wp:simplePos x="0" y="0"/>
            <wp:positionH relativeFrom="column">
              <wp:posOffset>4518025</wp:posOffset>
            </wp:positionH>
            <wp:positionV relativeFrom="paragraph">
              <wp:posOffset>11267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sidR="00004F7F">
        <w:rPr>
          <w:rFonts w:hint="eastAsia"/>
          <w:b/>
          <w:bCs/>
          <w:rtl/>
        </w:rPr>
        <w:t>מיפוי</w:t>
      </w:r>
      <w:r w:rsidRPr="00AD30A8" w:rsidR="00004F7F">
        <w:rPr>
          <w:b/>
          <w:bCs/>
          <w:rtl/>
        </w:rPr>
        <w:t xml:space="preserve"> </w:t>
      </w:r>
      <w:r w:rsidRPr="00AD30A8" w:rsidR="00004F7F">
        <w:rPr>
          <w:rFonts w:hint="eastAsia"/>
          <w:b/>
          <w:bCs/>
          <w:rtl/>
        </w:rPr>
        <w:t>תהליכים</w:t>
      </w:r>
      <w:r w:rsidRPr="00AD30A8" w:rsidR="00004F7F">
        <w:rPr>
          <w:b/>
          <w:bCs/>
          <w:rtl/>
        </w:rPr>
        <w:t xml:space="preserve"> </w:t>
      </w:r>
      <w:r w:rsidRPr="00AD30A8" w:rsidR="00004F7F">
        <w:rPr>
          <w:rFonts w:hint="eastAsia"/>
          <w:b/>
          <w:bCs/>
          <w:rtl/>
        </w:rPr>
        <w:t>ונכסי</w:t>
      </w:r>
      <w:r w:rsidRPr="00AD30A8" w:rsidR="00004F7F">
        <w:rPr>
          <w:b/>
          <w:bCs/>
          <w:rtl/>
        </w:rPr>
        <w:t xml:space="preserve"> </w:t>
      </w:r>
      <w:r w:rsidRPr="00AD30A8" w:rsidR="00004F7F">
        <w:rPr>
          <w:rFonts w:hint="eastAsia"/>
          <w:b/>
          <w:bCs/>
          <w:rtl/>
        </w:rPr>
        <w:t>מידע</w:t>
      </w:r>
      <w:r w:rsidRPr="005122B5" w:rsidR="00004F7F">
        <w:rPr>
          <w:rtl/>
        </w:rPr>
        <w:t xml:space="preserve"> - על פי ההנחיות הרגולטוריות, על הגוף למפות את נכסי המידע והגישות אליהם, כדי להתאים תוכנית אבטחה. על</w:t>
      </w:r>
      <w:r w:rsidRPr="005122B5" w:rsidR="00004F7F">
        <w:rPr>
          <w:rFonts w:hint="eastAsia"/>
          <w:rtl/>
        </w:rPr>
        <w:t>ו</w:t>
      </w:r>
      <w:r w:rsidRPr="005122B5" w:rsidR="00004F7F">
        <w:rPr>
          <w:rtl/>
        </w:rPr>
        <w:t xml:space="preserve"> </w:t>
      </w:r>
      <w:r w:rsidRPr="005122B5" w:rsidR="00004F7F">
        <w:rPr>
          <w:rFonts w:hint="eastAsia"/>
          <w:rtl/>
        </w:rPr>
        <w:t>פערים</w:t>
      </w:r>
      <w:r w:rsidRPr="005122B5" w:rsidR="00004F7F">
        <w:rPr>
          <w:rtl/>
        </w:rPr>
        <w:t xml:space="preserve"> </w:t>
      </w:r>
      <w:r w:rsidRPr="005122B5" w:rsidR="00004F7F">
        <w:rPr>
          <w:rFonts w:hint="eastAsia"/>
          <w:rtl/>
        </w:rPr>
        <w:t>ב</w:t>
      </w:r>
      <w:r w:rsidRPr="005122B5" w:rsidR="00004F7F">
        <w:rPr>
          <w:rtl/>
        </w:rPr>
        <w:t>מיפוי התהליכים ונכסי המידע שבוצע בשע"ם ו</w:t>
      </w:r>
      <w:r w:rsidRPr="005122B5" w:rsidR="00004F7F">
        <w:rPr>
          <w:rFonts w:hint="eastAsia"/>
          <w:rtl/>
        </w:rPr>
        <w:t>הוא</w:t>
      </w:r>
      <w:r w:rsidRPr="005122B5" w:rsidR="00004F7F">
        <w:rPr>
          <w:rtl/>
        </w:rPr>
        <w:t xml:space="preserve"> אינו עונה </w:t>
      </w:r>
      <w:r w:rsidRPr="005122B5" w:rsidR="00004F7F">
        <w:rPr>
          <w:rFonts w:hint="eastAsia"/>
          <w:rtl/>
        </w:rPr>
        <w:t>במלואו</w:t>
      </w:r>
      <w:r w:rsidRPr="005122B5" w:rsidR="00004F7F">
        <w:rPr>
          <w:rtl/>
        </w:rPr>
        <w:t xml:space="preserve"> על דרישות ההנחיות הרגולטוריות</w:t>
      </w:r>
      <w:r w:rsidRPr="0093709F">
        <w:rPr>
          <w:rFonts w:hint="cs"/>
          <w:rtl/>
        </w:rPr>
        <w:t xml:space="preserve">. </w:t>
      </w:r>
    </w:p>
    <w:p w:rsidR="00420374" w:rsidP="004633B8" w14:paraId="5E2BFABB" w14:textId="5A42D3B7">
      <w:pPr>
        <w:pStyle w:val="7392"/>
        <w:ind w:left="424"/>
      </w:pPr>
      <w:r w:rsidRPr="00AD30A8">
        <w:rPr>
          <w:rFonts w:hint="cs"/>
          <w:b/>
          <w:bCs/>
          <w:noProof/>
          <w:rtl/>
        </w:rPr>
        <w:drawing>
          <wp:anchor distT="0" distB="720090" distL="114300" distR="114300" simplePos="0" relativeHeight="251680768" behindDoc="1" locked="0" layoutInCell="1" allowOverlap="1">
            <wp:simplePos x="0" y="0"/>
            <wp:positionH relativeFrom="column">
              <wp:posOffset>4518025</wp:posOffset>
            </wp:positionH>
            <wp:positionV relativeFrom="paragraph">
              <wp:posOffset>11267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sidR="00004F7F">
        <w:rPr>
          <w:rFonts w:hint="eastAsia"/>
          <w:b/>
          <w:bCs/>
          <w:rtl/>
        </w:rPr>
        <w:t>פערים</w:t>
      </w:r>
      <w:r w:rsidRPr="00AD30A8" w:rsidR="00004F7F">
        <w:rPr>
          <w:b/>
          <w:bCs/>
          <w:rtl/>
        </w:rPr>
        <w:t xml:space="preserve"> בנ</w:t>
      </w:r>
      <w:r w:rsidRPr="00AD30A8" w:rsidR="00004F7F">
        <w:rPr>
          <w:rFonts w:hint="eastAsia"/>
          <w:b/>
          <w:bCs/>
          <w:rtl/>
        </w:rPr>
        <w:t>ו</w:t>
      </w:r>
      <w:r w:rsidRPr="00AD30A8" w:rsidR="00004F7F">
        <w:rPr>
          <w:b/>
          <w:bCs/>
          <w:rtl/>
        </w:rPr>
        <w:t xml:space="preserve">הלי </w:t>
      </w:r>
      <w:r w:rsidRPr="00AD30A8" w:rsidR="00004F7F">
        <w:rPr>
          <w:rFonts w:hint="eastAsia"/>
          <w:b/>
          <w:bCs/>
          <w:rtl/>
        </w:rPr>
        <w:t>שע</w:t>
      </w:r>
      <w:r w:rsidRPr="00AD30A8" w:rsidR="00004F7F">
        <w:rPr>
          <w:b/>
          <w:bCs/>
          <w:rtl/>
        </w:rPr>
        <w:t>"ם</w:t>
      </w:r>
      <w:r w:rsidRPr="005122B5" w:rsidR="00004F7F">
        <w:rPr>
          <w:rtl/>
        </w:rPr>
        <w:t xml:space="preserve"> - בביקורת עלה כי </w:t>
      </w:r>
      <w:r w:rsidRPr="005122B5" w:rsidR="00004F7F">
        <w:rPr>
          <w:rFonts w:hint="eastAsia"/>
          <w:rtl/>
        </w:rPr>
        <w:t>במספר</w:t>
      </w:r>
      <w:r w:rsidRPr="005122B5" w:rsidR="00004F7F">
        <w:rPr>
          <w:rtl/>
        </w:rPr>
        <w:t xml:space="preserve"> נהלים </w:t>
      </w:r>
      <w:r w:rsidRPr="005122B5" w:rsidR="00004F7F">
        <w:rPr>
          <w:rFonts w:hint="eastAsia"/>
          <w:rtl/>
        </w:rPr>
        <w:t>בשע</w:t>
      </w:r>
      <w:r w:rsidRPr="005122B5" w:rsidR="00004F7F">
        <w:rPr>
          <w:rtl/>
        </w:rPr>
        <w:t xml:space="preserve">"ם </w:t>
      </w:r>
      <w:r w:rsidRPr="005122B5" w:rsidR="00004F7F">
        <w:rPr>
          <w:rFonts w:hint="eastAsia"/>
          <w:rtl/>
        </w:rPr>
        <w:t>נמצאו</w:t>
      </w:r>
      <w:r w:rsidRPr="005122B5" w:rsidR="00004F7F">
        <w:rPr>
          <w:rtl/>
        </w:rPr>
        <w:t xml:space="preserve"> אי התאמות </w:t>
      </w:r>
      <w:r w:rsidRPr="005122B5" w:rsidR="00004F7F">
        <w:rPr>
          <w:rFonts w:hint="eastAsia"/>
          <w:rtl/>
        </w:rPr>
        <w:t>להנחיות</w:t>
      </w:r>
      <w:r w:rsidRPr="005122B5" w:rsidR="00004F7F">
        <w:rPr>
          <w:rtl/>
        </w:rPr>
        <w:t xml:space="preserve"> </w:t>
      </w:r>
      <w:r w:rsidRPr="005122B5" w:rsidR="00004F7F">
        <w:rPr>
          <w:rFonts w:hint="eastAsia"/>
          <w:rtl/>
        </w:rPr>
        <w:t>הרגולטוריות</w:t>
      </w:r>
      <w:r w:rsidR="00983620">
        <w:rPr>
          <w:rFonts w:hint="cs"/>
          <w:rtl/>
        </w:rPr>
        <w:t>,</w:t>
      </w:r>
      <w:r w:rsidRPr="005122B5" w:rsidR="00004F7F">
        <w:rPr>
          <w:rtl/>
        </w:rPr>
        <w:t xml:space="preserve"> </w:t>
      </w:r>
      <w:r w:rsidRPr="005122B5" w:rsidR="00004F7F">
        <w:rPr>
          <w:rFonts w:hint="eastAsia"/>
          <w:rtl/>
        </w:rPr>
        <w:t>בין</w:t>
      </w:r>
      <w:r w:rsidRPr="005122B5" w:rsidR="00004F7F">
        <w:rPr>
          <w:rtl/>
        </w:rPr>
        <w:t xml:space="preserve"> היתר, </w:t>
      </w:r>
      <w:r w:rsidRPr="005122B5" w:rsidR="00004F7F">
        <w:rPr>
          <w:rFonts w:hint="eastAsia"/>
          <w:rtl/>
        </w:rPr>
        <w:t>בנושא</w:t>
      </w:r>
      <w:r w:rsidRPr="005122B5" w:rsidR="00004F7F">
        <w:rPr>
          <w:rtl/>
        </w:rPr>
        <w:t xml:space="preserve"> </w:t>
      </w:r>
      <w:r w:rsidRPr="005122B5" w:rsidR="00004F7F">
        <w:rPr>
          <w:rFonts w:hint="eastAsia"/>
          <w:rtl/>
        </w:rPr>
        <w:t>ממשק</w:t>
      </w:r>
      <w:r w:rsidRPr="005122B5" w:rsidR="00004F7F">
        <w:rPr>
          <w:rtl/>
        </w:rPr>
        <w:t xml:space="preserve"> </w:t>
      </w:r>
      <w:r w:rsidRPr="005122B5" w:rsidR="00004F7F">
        <w:rPr>
          <w:rFonts w:hint="eastAsia"/>
          <w:rtl/>
        </w:rPr>
        <w:t>העבודה</w:t>
      </w:r>
      <w:r w:rsidRPr="005122B5" w:rsidR="00004F7F">
        <w:rPr>
          <w:rtl/>
        </w:rPr>
        <w:t xml:space="preserve"> </w:t>
      </w:r>
      <w:r w:rsidRPr="005122B5" w:rsidR="00004F7F">
        <w:rPr>
          <w:rFonts w:hint="eastAsia"/>
          <w:rtl/>
        </w:rPr>
        <w:t>מול</w:t>
      </w:r>
      <w:r w:rsidRPr="005122B5" w:rsidR="00004F7F">
        <w:rPr>
          <w:rtl/>
        </w:rPr>
        <w:t xml:space="preserve"> </w:t>
      </w:r>
      <w:r w:rsidRPr="005122B5" w:rsidR="00004F7F">
        <w:rPr>
          <w:rFonts w:hint="eastAsia"/>
          <w:rtl/>
        </w:rPr>
        <w:t>מערך</w:t>
      </w:r>
      <w:r w:rsidRPr="005122B5" w:rsidR="00004F7F">
        <w:rPr>
          <w:rtl/>
        </w:rPr>
        <w:t xml:space="preserve"> </w:t>
      </w:r>
      <w:r w:rsidRPr="005122B5" w:rsidR="00004F7F">
        <w:rPr>
          <w:rFonts w:hint="eastAsia"/>
          <w:rtl/>
        </w:rPr>
        <w:t>הסייבר</w:t>
      </w:r>
      <w:r w:rsidRPr="005122B5" w:rsidR="00004F7F">
        <w:rPr>
          <w:rtl/>
        </w:rPr>
        <w:t xml:space="preserve"> </w:t>
      </w:r>
      <w:r w:rsidRPr="005122B5" w:rsidR="00004F7F">
        <w:rPr>
          <w:rFonts w:hint="eastAsia"/>
          <w:rtl/>
        </w:rPr>
        <w:t>הלאומי</w:t>
      </w:r>
      <w:r w:rsidRPr="0093709F">
        <w:rPr>
          <w:rFonts w:hint="cs"/>
          <w:rtl/>
        </w:rPr>
        <w:t>.</w:t>
      </w:r>
    </w:p>
    <w:p w:rsidR="00AD30A8" w:rsidP="0032188F" w14:paraId="3505529C" w14:textId="77777777">
      <w:pPr>
        <w:pStyle w:val="ListParagraph"/>
        <w:numPr>
          <w:ilvl w:val="0"/>
          <w:numId w:val="31"/>
        </w:numPr>
        <w:spacing w:after="180" w:line="288" w:lineRule="auto"/>
        <w:rPr>
          <w:rFonts w:ascii="Tahoma" w:hAnsi="Tahoma" w:cs="Tahoma"/>
          <w:color w:val="0D0D0D" w:themeColor="text1" w:themeTint="F2"/>
          <w:sz w:val="18"/>
          <w:szCs w:val="18"/>
        </w:rPr>
      </w:pPr>
      <w:r w:rsidRPr="00AD30A8">
        <w:rPr>
          <w:rFonts w:ascii="Tahoma" w:hAnsi="Tahoma" w:cs="Tahoma" w:hint="eastAsia"/>
          <w:b/>
          <w:bCs/>
          <w:color w:val="0D0D0D" w:themeColor="text1" w:themeTint="F2"/>
          <w:sz w:val="18"/>
          <w:szCs w:val="18"/>
          <w:rtl/>
        </w:rPr>
        <w:t>ניהול</w:t>
      </w:r>
      <w:r w:rsidRPr="00AD30A8">
        <w:rPr>
          <w:rFonts w:ascii="Tahoma" w:hAnsi="Tahoma" w:cs="Tahoma"/>
          <w:b/>
          <w:bCs/>
          <w:color w:val="0D0D0D" w:themeColor="text1" w:themeTint="F2"/>
          <w:sz w:val="18"/>
          <w:szCs w:val="18"/>
          <w:rtl/>
        </w:rPr>
        <w:t xml:space="preserve"> </w:t>
      </w:r>
      <w:r w:rsidRPr="00AD30A8">
        <w:rPr>
          <w:rFonts w:ascii="Tahoma" w:hAnsi="Tahoma" w:cs="Tahoma" w:hint="eastAsia"/>
          <w:b/>
          <w:bCs/>
          <w:color w:val="0D0D0D" w:themeColor="text1" w:themeTint="F2"/>
          <w:sz w:val="18"/>
          <w:szCs w:val="18"/>
          <w:rtl/>
        </w:rPr>
        <w:t>שינויים</w:t>
      </w:r>
      <w:r w:rsidRPr="00AD30A8">
        <w:rPr>
          <w:rFonts w:ascii="Tahoma" w:hAnsi="Tahoma" w:cs="Tahoma"/>
          <w:color w:val="0D0D0D" w:themeColor="text1" w:themeTint="F2"/>
          <w:sz w:val="18"/>
          <w:szCs w:val="18"/>
          <w:rtl/>
        </w:rPr>
        <w:t xml:space="preserve"> - לא נמצא</w:t>
      </w:r>
      <w:r w:rsidRPr="00AD30A8">
        <w:rPr>
          <w:rFonts w:ascii="Tahoma" w:hAnsi="Tahoma" w:cs="Tahoma" w:hint="eastAsia"/>
          <w:color w:val="0D0D0D" w:themeColor="text1" w:themeTint="F2"/>
          <w:sz w:val="18"/>
          <w:szCs w:val="18"/>
          <w:rtl/>
        </w:rPr>
        <w:t>ה</w:t>
      </w:r>
      <w:r w:rsidRPr="00AD30A8">
        <w:rPr>
          <w:rFonts w:ascii="Tahoma" w:hAnsi="Tahoma" w:cs="Tahoma"/>
          <w:color w:val="0D0D0D" w:themeColor="text1" w:themeTint="F2"/>
          <w:sz w:val="18"/>
          <w:szCs w:val="18"/>
          <w:rtl/>
        </w:rPr>
        <w:t xml:space="preserve"> </w:t>
      </w:r>
      <w:r w:rsidRPr="00AD30A8">
        <w:rPr>
          <w:rFonts w:ascii="Tahoma" w:hAnsi="Tahoma" w:cs="Tahoma" w:hint="eastAsia"/>
          <w:color w:val="0D0D0D" w:themeColor="text1" w:themeTint="F2"/>
          <w:sz w:val="18"/>
          <w:szCs w:val="18"/>
          <w:rtl/>
        </w:rPr>
        <w:t>בנוהל</w:t>
      </w:r>
      <w:r w:rsidRPr="00AD30A8">
        <w:rPr>
          <w:rFonts w:ascii="Tahoma" w:hAnsi="Tahoma" w:cs="Tahoma"/>
          <w:color w:val="0D0D0D" w:themeColor="text1" w:themeTint="F2"/>
          <w:sz w:val="18"/>
          <w:szCs w:val="18"/>
          <w:rtl/>
        </w:rPr>
        <w:t xml:space="preserve"> </w:t>
      </w:r>
      <w:r w:rsidRPr="00AD30A8">
        <w:rPr>
          <w:rFonts w:ascii="Tahoma" w:hAnsi="Tahoma" w:cs="Tahoma" w:hint="eastAsia"/>
          <w:color w:val="0D0D0D" w:themeColor="text1" w:themeTint="F2"/>
          <w:sz w:val="18"/>
          <w:szCs w:val="18"/>
          <w:rtl/>
        </w:rPr>
        <w:t>הרלוונטי</w:t>
      </w:r>
      <w:r w:rsidRPr="00AD30A8">
        <w:rPr>
          <w:rFonts w:ascii="Tahoma" w:hAnsi="Tahoma" w:cs="Tahoma"/>
          <w:color w:val="0D0D0D" w:themeColor="text1" w:themeTint="F2"/>
          <w:sz w:val="18"/>
          <w:szCs w:val="18"/>
          <w:rtl/>
        </w:rPr>
        <w:t xml:space="preserve"> התייחסות לצורך לעדכן את </w:t>
      </w:r>
      <w:r w:rsidRPr="00AD30A8">
        <w:rPr>
          <w:rFonts w:ascii="Tahoma" w:hAnsi="Tahoma" w:cs="Tahoma" w:hint="eastAsia"/>
          <w:color w:val="0D0D0D" w:themeColor="text1" w:themeTint="F2"/>
          <w:sz w:val="18"/>
          <w:szCs w:val="18"/>
          <w:rtl/>
        </w:rPr>
        <w:t>הגורם</w:t>
      </w:r>
      <w:r w:rsidRPr="00AD30A8">
        <w:rPr>
          <w:rFonts w:ascii="Tahoma" w:hAnsi="Tahoma" w:cs="Tahoma"/>
          <w:color w:val="0D0D0D" w:themeColor="text1" w:themeTint="F2"/>
          <w:sz w:val="18"/>
          <w:szCs w:val="18"/>
          <w:rtl/>
        </w:rPr>
        <w:t xml:space="preserve"> </w:t>
      </w:r>
      <w:r w:rsidRPr="00AD30A8">
        <w:rPr>
          <w:rFonts w:ascii="Tahoma" w:hAnsi="Tahoma" w:cs="Tahoma" w:hint="eastAsia"/>
          <w:color w:val="0D0D0D" w:themeColor="text1" w:themeTint="F2"/>
          <w:sz w:val="18"/>
          <w:szCs w:val="18"/>
          <w:rtl/>
        </w:rPr>
        <w:t>הרלוונטי</w:t>
      </w:r>
      <w:r w:rsidRPr="00AD30A8">
        <w:rPr>
          <w:rFonts w:ascii="Tahoma" w:hAnsi="Tahoma" w:cs="Tahoma"/>
          <w:color w:val="0D0D0D" w:themeColor="text1" w:themeTint="F2"/>
          <w:sz w:val="18"/>
          <w:szCs w:val="18"/>
          <w:rtl/>
        </w:rPr>
        <w:t xml:space="preserve"> ולשתפו בניתוח הסיכונים ו</w:t>
      </w:r>
      <w:r w:rsidRPr="00AD30A8">
        <w:rPr>
          <w:rFonts w:ascii="Tahoma" w:hAnsi="Tahoma" w:cs="Tahoma" w:hint="eastAsia"/>
          <w:color w:val="0D0D0D" w:themeColor="text1" w:themeTint="F2"/>
          <w:sz w:val="18"/>
          <w:szCs w:val="18"/>
          <w:rtl/>
        </w:rPr>
        <w:t>ההשפעות</w:t>
      </w:r>
      <w:r w:rsidRPr="00AD30A8">
        <w:rPr>
          <w:rFonts w:ascii="Tahoma" w:hAnsi="Tahoma" w:cs="Tahoma"/>
          <w:color w:val="0D0D0D" w:themeColor="text1" w:themeTint="F2"/>
          <w:sz w:val="18"/>
          <w:szCs w:val="18"/>
          <w:rtl/>
        </w:rPr>
        <w:t xml:space="preserve"> הצפויות של השינויים כנדרש </w:t>
      </w:r>
      <w:r w:rsidRPr="00AD30A8">
        <w:rPr>
          <w:rFonts w:ascii="Tahoma" w:hAnsi="Tahoma" w:cs="Tahoma" w:hint="eastAsia"/>
          <w:color w:val="0D0D0D" w:themeColor="text1" w:themeTint="F2"/>
          <w:sz w:val="18"/>
          <w:szCs w:val="18"/>
          <w:rtl/>
        </w:rPr>
        <w:t>בהנחיות</w:t>
      </w:r>
      <w:r w:rsidRPr="00AD30A8">
        <w:rPr>
          <w:rFonts w:ascii="Tahoma" w:hAnsi="Tahoma" w:cs="Tahoma"/>
          <w:color w:val="0D0D0D" w:themeColor="text1" w:themeTint="F2"/>
          <w:sz w:val="18"/>
          <w:szCs w:val="18"/>
          <w:rtl/>
        </w:rPr>
        <w:t>.</w:t>
      </w:r>
    </w:p>
    <w:p w:rsidR="00004F7F" w:rsidRPr="00AD30A8" w:rsidP="0032188F" w14:paraId="05B093D4" w14:textId="21F3B9DC">
      <w:pPr>
        <w:pStyle w:val="ListParagraph"/>
        <w:numPr>
          <w:ilvl w:val="0"/>
          <w:numId w:val="31"/>
        </w:numPr>
        <w:spacing w:after="180" w:line="288" w:lineRule="auto"/>
        <w:rPr>
          <w:rFonts w:ascii="Tahoma" w:hAnsi="Tahoma" w:cs="Tahoma"/>
          <w:color w:val="0D0D0D" w:themeColor="text1" w:themeTint="F2"/>
          <w:sz w:val="18"/>
          <w:szCs w:val="18"/>
        </w:rPr>
      </w:pPr>
      <w:r w:rsidRPr="00AD30A8">
        <w:rPr>
          <w:rFonts w:ascii="Tahoma" w:hAnsi="Tahoma" w:cs="Tahoma" w:hint="eastAsia"/>
          <w:b/>
          <w:bCs/>
          <w:color w:val="0D0D0D" w:themeColor="text1" w:themeTint="F2"/>
          <w:sz w:val="18"/>
          <w:szCs w:val="18"/>
          <w:rtl/>
        </w:rPr>
        <w:t>נוהל</w:t>
      </w:r>
      <w:r w:rsidRPr="00AD30A8">
        <w:rPr>
          <w:rFonts w:ascii="Tahoma" w:hAnsi="Tahoma" w:cs="Tahoma"/>
          <w:b/>
          <w:bCs/>
          <w:color w:val="0D0D0D" w:themeColor="text1" w:themeTint="F2"/>
          <w:sz w:val="18"/>
          <w:szCs w:val="18"/>
          <w:rtl/>
        </w:rPr>
        <w:t xml:space="preserve"> </w:t>
      </w:r>
      <w:r w:rsidRPr="00AD30A8">
        <w:rPr>
          <w:rFonts w:ascii="Tahoma" w:hAnsi="Tahoma" w:cs="Tahoma" w:hint="eastAsia"/>
          <w:b/>
          <w:bCs/>
          <w:color w:val="0D0D0D" w:themeColor="text1" w:themeTint="F2"/>
          <w:sz w:val="18"/>
          <w:szCs w:val="18"/>
          <w:rtl/>
        </w:rPr>
        <w:t>טיפול</w:t>
      </w:r>
      <w:r w:rsidRPr="00AD30A8">
        <w:rPr>
          <w:rFonts w:ascii="Tahoma" w:hAnsi="Tahoma" w:cs="Tahoma"/>
          <w:b/>
          <w:bCs/>
          <w:color w:val="0D0D0D" w:themeColor="text1" w:themeTint="F2"/>
          <w:sz w:val="18"/>
          <w:szCs w:val="18"/>
          <w:rtl/>
        </w:rPr>
        <w:t xml:space="preserve"> </w:t>
      </w:r>
      <w:r w:rsidRPr="00AD30A8">
        <w:rPr>
          <w:rFonts w:ascii="Tahoma" w:hAnsi="Tahoma" w:cs="Tahoma" w:hint="eastAsia"/>
          <w:b/>
          <w:bCs/>
          <w:color w:val="0D0D0D" w:themeColor="text1" w:themeTint="F2"/>
          <w:sz w:val="18"/>
          <w:szCs w:val="18"/>
          <w:rtl/>
        </w:rPr>
        <w:t>באירועי</w:t>
      </w:r>
      <w:r w:rsidRPr="00AD30A8">
        <w:rPr>
          <w:rFonts w:ascii="Tahoma" w:hAnsi="Tahoma" w:cs="Tahoma"/>
          <w:b/>
          <w:bCs/>
          <w:color w:val="0D0D0D" w:themeColor="text1" w:themeTint="F2"/>
          <w:sz w:val="18"/>
          <w:szCs w:val="18"/>
          <w:rtl/>
        </w:rPr>
        <w:t xml:space="preserve"> </w:t>
      </w:r>
      <w:r w:rsidRPr="00AD30A8">
        <w:rPr>
          <w:rFonts w:ascii="Tahoma" w:hAnsi="Tahoma" w:cs="Tahoma" w:hint="eastAsia"/>
          <w:b/>
          <w:bCs/>
          <w:color w:val="0D0D0D" w:themeColor="text1" w:themeTint="F2"/>
          <w:sz w:val="18"/>
          <w:szCs w:val="18"/>
          <w:rtl/>
        </w:rPr>
        <w:t>אבטחת</w:t>
      </w:r>
      <w:r w:rsidRPr="00AD30A8">
        <w:rPr>
          <w:rFonts w:ascii="Tahoma" w:hAnsi="Tahoma" w:cs="Tahoma"/>
          <w:b/>
          <w:bCs/>
          <w:color w:val="0D0D0D" w:themeColor="text1" w:themeTint="F2"/>
          <w:sz w:val="18"/>
          <w:szCs w:val="18"/>
          <w:rtl/>
        </w:rPr>
        <w:t xml:space="preserve"> </w:t>
      </w:r>
      <w:r w:rsidRPr="00AD30A8">
        <w:rPr>
          <w:rFonts w:ascii="Tahoma" w:hAnsi="Tahoma" w:cs="Tahoma" w:hint="eastAsia"/>
          <w:b/>
          <w:bCs/>
          <w:color w:val="0D0D0D" w:themeColor="text1" w:themeTint="F2"/>
          <w:sz w:val="18"/>
          <w:szCs w:val="18"/>
          <w:rtl/>
        </w:rPr>
        <w:t>מידע</w:t>
      </w:r>
      <w:r w:rsidRPr="00AD30A8">
        <w:rPr>
          <w:rFonts w:ascii="Tahoma" w:hAnsi="Tahoma" w:cs="Tahoma"/>
          <w:color w:val="0D0D0D" w:themeColor="text1" w:themeTint="F2"/>
          <w:sz w:val="18"/>
          <w:szCs w:val="18"/>
          <w:rtl/>
        </w:rPr>
        <w:t xml:space="preserve"> - </w:t>
      </w:r>
      <w:r w:rsidRPr="00AD30A8">
        <w:rPr>
          <w:rFonts w:ascii="Tahoma" w:hAnsi="Tahoma" w:cs="Tahoma" w:hint="eastAsia"/>
          <w:color w:val="0D0D0D" w:themeColor="text1" w:themeTint="F2"/>
          <w:sz w:val="18"/>
          <w:szCs w:val="18"/>
          <w:rtl/>
        </w:rPr>
        <w:t>נמצא</w:t>
      </w:r>
      <w:r w:rsidRPr="00AD30A8">
        <w:rPr>
          <w:rFonts w:ascii="Tahoma" w:hAnsi="Tahoma" w:cs="Tahoma"/>
          <w:color w:val="0D0D0D" w:themeColor="text1" w:themeTint="F2"/>
          <w:sz w:val="18"/>
          <w:szCs w:val="18"/>
          <w:rtl/>
        </w:rPr>
        <w:t xml:space="preserve"> כי </w:t>
      </w:r>
      <w:r w:rsidRPr="00AD30A8">
        <w:rPr>
          <w:rFonts w:ascii="Tahoma" w:hAnsi="Tahoma" w:cs="Tahoma" w:hint="eastAsia"/>
          <w:color w:val="0D0D0D" w:themeColor="text1" w:themeTint="F2"/>
          <w:sz w:val="18"/>
          <w:szCs w:val="18"/>
          <w:rtl/>
        </w:rPr>
        <w:t>בשע</w:t>
      </w:r>
      <w:r w:rsidRPr="00AD30A8">
        <w:rPr>
          <w:rFonts w:ascii="Tahoma" w:hAnsi="Tahoma" w:cs="Tahoma"/>
          <w:color w:val="0D0D0D" w:themeColor="text1" w:themeTint="F2"/>
          <w:sz w:val="18"/>
          <w:szCs w:val="18"/>
          <w:rtl/>
        </w:rPr>
        <w:t>"ם קיים נוהל אך הוא אינו עוסק בחובה לדווח לגורם הרלוונט</w:t>
      </w:r>
      <w:r w:rsidRPr="00AD30A8">
        <w:rPr>
          <w:rFonts w:ascii="Tahoma" w:hAnsi="Tahoma" w:cs="Tahoma" w:hint="eastAsia"/>
          <w:color w:val="0D0D0D" w:themeColor="text1" w:themeTint="F2"/>
          <w:sz w:val="18"/>
          <w:szCs w:val="18"/>
          <w:rtl/>
        </w:rPr>
        <w:t>י</w:t>
      </w:r>
      <w:r w:rsidRPr="00AD30A8">
        <w:rPr>
          <w:rFonts w:ascii="Tahoma" w:hAnsi="Tahoma" w:cs="Tahoma"/>
          <w:color w:val="0D0D0D" w:themeColor="text1" w:themeTint="F2"/>
          <w:sz w:val="18"/>
          <w:szCs w:val="18"/>
          <w:rtl/>
        </w:rPr>
        <w:t xml:space="preserve"> ולצורך לשלבו בתחקור האירוע. בנוסף חסרה התייחסות רלוונטית לתחום מסוים </w:t>
      </w:r>
      <w:r w:rsidRPr="00AD30A8">
        <w:rPr>
          <w:rFonts w:ascii="Tahoma" w:hAnsi="Tahoma" w:cs="Tahoma" w:hint="eastAsia"/>
          <w:color w:val="0D0D0D" w:themeColor="text1" w:themeTint="F2"/>
          <w:sz w:val="18"/>
          <w:szCs w:val="18"/>
          <w:rtl/>
        </w:rPr>
        <w:t>הנדרש</w:t>
      </w:r>
      <w:r w:rsidRPr="00AD30A8">
        <w:rPr>
          <w:rFonts w:ascii="Tahoma" w:hAnsi="Tahoma" w:cs="Tahoma"/>
          <w:color w:val="0D0D0D" w:themeColor="text1" w:themeTint="F2"/>
          <w:sz w:val="18"/>
          <w:szCs w:val="18"/>
          <w:rtl/>
        </w:rPr>
        <w:t xml:space="preserve"> </w:t>
      </w:r>
      <w:r w:rsidRPr="00AD30A8">
        <w:rPr>
          <w:rFonts w:ascii="Tahoma" w:hAnsi="Tahoma" w:cs="Tahoma" w:hint="eastAsia"/>
          <w:color w:val="0D0D0D" w:themeColor="text1" w:themeTint="F2"/>
          <w:sz w:val="18"/>
          <w:szCs w:val="18"/>
          <w:rtl/>
        </w:rPr>
        <w:t>בהנחיות</w:t>
      </w:r>
      <w:r w:rsidRPr="00AD30A8">
        <w:rPr>
          <w:rFonts w:ascii="Tahoma" w:hAnsi="Tahoma" w:cs="Tahoma"/>
          <w:color w:val="0D0D0D" w:themeColor="text1" w:themeTint="F2"/>
          <w:sz w:val="18"/>
          <w:szCs w:val="18"/>
          <w:rtl/>
        </w:rPr>
        <w:t>.</w:t>
      </w:r>
    </w:p>
    <w:p w:rsidR="00420374" w:rsidRPr="0093709F" w:rsidP="004633B8" w14:paraId="583ECB3F" w14:textId="526B3D73">
      <w:pPr>
        <w:pStyle w:val="7392"/>
        <w:ind w:left="424"/>
      </w:pPr>
      <w:r w:rsidRPr="00AD30A8">
        <w:rPr>
          <w:rFonts w:hint="cs"/>
          <w:b/>
          <w:bCs/>
          <w:noProof/>
          <w:rtl/>
        </w:rPr>
        <w:drawing>
          <wp:anchor distT="1800225" distB="360045" distL="114300" distR="114300" simplePos="0" relativeHeight="251681792" behindDoc="1" locked="0" layoutInCell="1" allowOverlap="1">
            <wp:simplePos x="0" y="0"/>
            <wp:positionH relativeFrom="column">
              <wp:posOffset>4518025</wp:posOffset>
            </wp:positionH>
            <wp:positionV relativeFrom="paragraph">
              <wp:posOffset>39842</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sidR="00004F7F">
        <w:rPr>
          <w:b/>
          <w:bCs/>
          <w:rtl/>
        </w:rPr>
        <w:t>ריכוז מידע בדבר שרשרת אספקה</w:t>
      </w:r>
      <w:r w:rsidRPr="005122B5" w:rsidR="00004F7F">
        <w:rPr>
          <w:rtl/>
        </w:rPr>
        <w:t xml:space="preserve"> - עלו פערים בדבר המידע שנאסף על ידי אגף אבטחת מידע בשע"ם בנוגע לשרשרת האספקה. כמו כן, לא נעשה שימוש במודול שרשרת אספקה במערכת </w:t>
      </w:r>
      <w:r w:rsidRPr="005122B5" w:rsidR="00004F7F">
        <w:rPr>
          <w:rFonts w:hint="cs"/>
          <w:rtl/>
        </w:rPr>
        <w:t>ה</w:t>
      </w:r>
      <w:r w:rsidRPr="005122B5" w:rsidR="00004F7F">
        <w:rPr>
          <w:rtl/>
        </w:rPr>
        <w:t>ייעודית</w:t>
      </w:r>
      <w:r w:rsidRPr="005122B5" w:rsidR="00004F7F">
        <w:rPr>
          <w:rFonts w:hint="cs"/>
          <w:rtl/>
        </w:rPr>
        <w:t xml:space="preserve"> שפיתח מערך הסייבר הלאומי</w:t>
      </w:r>
      <w:r w:rsidRPr="0093709F">
        <w:rPr>
          <w:rFonts w:hint="cs"/>
          <w:rtl/>
        </w:rPr>
        <w:t xml:space="preserve">. </w:t>
      </w:r>
    </w:p>
    <w:p w:rsidR="00420374" w:rsidRPr="0093709F" w:rsidP="004633B8" w14:paraId="7C081EA1" w14:textId="5F4A3783">
      <w:pPr>
        <w:pStyle w:val="7392"/>
        <w:ind w:left="424"/>
      </w:pPr>
      <w:r w:rsidRPr="00AD30A8">
        <w:rPr>
          <w:rFonts w:hint="cs"/>
          <w:b/>
          <w:bCs/>
          <w:noProof/>
          <w:rtl/>
        </w:rPr>
        <w:drawing>
          <wp:anchor distT="0" distB="360045" distL="114300" distR="114300" simplePos="0" relativeHeight="251682816" behindDoc="1" locked="0" layoutInCell="1" allowOverlap="1">
            <wp:simplePos x="0" y="0"/>
            <wp:positionH relativeFrom="column">
              <wp:posOffset>4518025</wp:posOffset>
            </wp:positionH>
            <wp:positionV relativeFrom="paragraph">
              <wp:posOffset>1742</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sidR="00004F7F">
        <w:rPr>
          <w:b/>
          <w:bCs/>
          <w:rtl/>
        </w:rPr>
        <w:t xml:space="preserve">חולשה בשרת </w:t>
      </w:r>
      <w:r w:rsidRPr="00AD30A8" w:rsidR="00004F7F">
        <w:rPr>
          <w:rFonts w:hint="eastAsia"/>
          <w:b/>
          <w:bCs/>
          <w:rtl/>
        </w:rPr>
        <w:t>מסוים</w:t>
      </w:r>
      <w:r w:rsidRPr="005122B5" w:rsidR="00004F7F">
        <w:rPr>
          <w:rtl/>
        </w:rPr>
        <w:t xml:space="preserve"> - </w:t>
      </w:r>
      <w:r w:rsidRPr="005122B5" w:rsidR="00004F7F">
        <w:rPr>
          <w:rFonts w:hint="eastAsia"/>
          <w:rtl/>
        </w:rPr>
        <w:t>עלו</w:t>
      </w:r>
      <w:r w:rsidRPr="005122B5" w:rsidR="00004F7F">
        <w:rPr>
          <w:rtl/>
        </w:rPr>
        <w:t xml:space="preserve"> </w:t>
      </w:r>
      <w:r w:rsidRPr="005122B5" w:rsidR="00004F7F">
        <w:rPr>
          <w:rFonts w:hint="eastAsia"/>
          <w:rtl/>
        </w:rPr>
        <w:t>פערים</w:t>
      </w:r>
      <w:r w:rsidRPr="005122B5" w:rsidR="00004F7F">
        <w:rPr>
          <w:rtl/>
        </w:rPr>
        <w:t xml:space="preserve"> </w:t>
      </w:r>
      <w:r w:rsidRPr="005122B5" w:rsidR="00004F7F">
        <w:rPr>
          <w:rFonts w:hint="eastAsia"/>
          <w:rtl/>
        </w:rPr>
        <w:t>בבקרה</w:t>
      </w:r>
      <w:r w:rsidRPr="005122B5" w:rsidR="00004F7F">
        <w:rPr>
          <w:rtl/>
        </w:rPr>
        <w:t xml:space="preserve"> </w:t>
      </w:r>
      <w:r w:rsidRPr="005122B5" w:rsidR="00004F7F">
        <w:rPr>
          <w:rFonts w:hint="eastAsia"/>
          <w:rtl/>
        </w:rPr>
        <w:t>על</w:t>
      </w:r>
      <w:r w:rsidRPr="005122B5" w:rsidR="00004F7F">
        <w:rPr>
          <w:rtl/>
        </w:rPr>
        <w:t xml:space="preserve"> </w:t>
      </w:r>
      <w:r w:rsidRPr="005122B5" w:rsidR="00004F7F">
        <w:rPr>
          <w:rFonts w:hint="eastAsia"/>
          <w:rtl/>
        </w:rPr>
        <w:t>השרת</w:t>
      </w:r>
      <w:r w:rsidRPr="005122B5" w:rsidR="00004F7F">
        <w:rPr>
          <w:rtl/>
        </w:rPr>
        <w:t xml:space="preserve"> </w:t>
      </w:r>
      <w:r w:rsidRPr="005122B5" w:rsidR="00004F7F">
        <w:rPr>
          <w:rFonts w:hint="eastAsia"/>
          <w:rtl/>
        </w:rPr>
        <w:t>המסוים</w:t>
      </w:r>
      <w:r w:rsidR="00004F7F">
        <w:t>.</w:t>
      </w:r>
    </w:p>
    <w:p w:rsidR="00420374" w:rsidP="004633B8" w14:paraId="5E8BF229" w14:textId="2D9CBEF9">
      <w:pPr>
        <w:pStyle w:val="7392"/>
        <w:ind w:left="424"/>
      </w:pPr>
      <w:r w:rsidRPr="00AD30A8">
        <w:rPr>
          <w:rFonts w:hint="cs"/>
          <w:b/>
          <w:bCs/>
          <w:noProof/>
          <w:rtl/>
        </w:rPr>
        <w:drawing>
          <wp:anchor distT="0" distB="180340" distL="114300" distR="114300" simplePos="0" relativeHeight="251683840" behindDoc="1" locked="0" layoutInCell="1" allowOverlap="1">
            <wp:simplePos x="0" y="0"/>
            <wp:positionH relativeFrom="column">
              <wp:posOffset>4518025</wp:posOffset>
            </wp:positionH>
            <wp:positionV relativeFrom="paragraph">
              <wp:posOffset>35723</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sidR="00004F7F">
        <w:rPr>
          <w:rFonts w:hint="eastAsia"/>
          <w:b/>
          <w:bCs/>
          <w:rtl/>
        </w:rPr>
        <w:t>סיווג</w:t>
      </w:r>
      <w:r w:rsidRPr="00AD30A8" w:rsidR="00004F7F">
        <w:rPr>
          <w:b/>
          <w:bCs/>
          <w:rtl/>
        </w:rPr>
        <w:t xml:space="preserve"> </w:t>
      </w:r>
      <w:r w:rsidRPr="00AD30A8" w:rsidR="00004F7F">
        <w:rPr>
          <w:rFonts w:hint="eastAsia"/>
          <w:b/>
          <w:bCs/>
          <w:rtl/>
        </w:rPr>
        <w:t>נדרש</w:t>
      </w:r>
      <w:r w:rsidRPr="005122B5" w:rsidR="00004F7F">
        <w:rPr>
          <w:rtl/>
        </w:rPr>
        <w:t xml:space="preserve"> -הביקורת העלתה כי קיימים פערים בין רמת הסיווג הנדרשת בהתאם לתפקידיהם </w:t>
      </w:r>
      <w:r w:rsidRPr="005122B5" w:rsidR="00004F7F">
        <w:rPr>
          <w:rFonts w:hint="eastAsia"/>
          <w:rtl/>
        </w:rPr>
        <w:t>של</w:t>
      </w:r>
      <w:r w:rsidRPr="005122B5" w:rsidR="00004F7F">
        <w:rPr>
          <w:rtl/>
        </w:rPr>
        <w:t xml:space="preserve"> חלק מהעובדים </w:t>
      </w:r>
      <w:r w:rsidRPr="005122B5" w:rsidR="00004F7F">
        <w:rPr>
          <w:rFonts w:hint="eastAsia"/>
          <w:rtl/>
        </w:rPr>
        <w:t>בשע</w:t>
      </w:r>
      <w:r w:rsidRPr="005122B5" w:rsidR="00004F7F">
        <w:rPr>
          <w:rtl/>
        </w:rPr>
        <w:t>"</w:t>
      </w:r>
      <w:r w:rsidRPr="005122B5" w:rsidR="00004F7F">
        <w:rPr>
          <w:rFonts w:hint="eastAsia"/>
          <w:rtl/>
        </w:rPr>
        <w:t>ם</w:t>
      </w:r>
      <w:r w:rsidRPr="005122B5" w:rsidR="00004F7F">
        <w:rPr>
          <w:rtl/>
        </w:rPr>
        <w:t xml:space="preserve"> לבין רמת הסיווג שלהם בפועל</w:t>
      </w:r>
      <w:r w:rsidRPr="0093709F">
        <w:rPr>
          <w:rFonts w:hint="cs"/>
          <w:rtl/>
        </w:rPr>
        <w:t>.</w:t>
      </w:r>
    </w:p>
    <w:p w:rsidR="00004F7F" w:rsidRPr="00004F7F" w:rsidP="002F143B" w14:paraId="715730F8" w14:textId="1AC9D8A9">
      <w:pPr>
        <w:pStyle w:val="73610"/>
        <w:rPr>
          <w:rtl/>
        </w:rPr>
      </w:pPr>
      <w:r w:rsidRPr="00004F7F">
        <w:rPr>
          <w:rtl/>
        </w:rPr>
        <w:t xml:space="preserve">בדיקת חוסן </w:t>
      </w:r>
      <w:r w:rsidRPr="00004F7F">
        <w:rPr>
          <w:rFonts w:hint="eastAsia"/>
          <w:rtl/>
        </w:rPr>
        <w:t>מטעם</w:t>
      </w:r>
      <w:r w:rsidRPr="00004F7F">
        <w:rPr>
          <w:rtl/>
        </w:rPr>
        <w:t xml:space="preserve"> </w:t>
      </w:r>
      <w:r w:rsidRPr="00004F7F">
        <w:rPr>
          <w:rFonts w:hint="eastAsia"/>
          <w:rtl/>
        </w:rPr>
        <w:t>משרד</w:t>
      </w:r>
      <w:r w:rsidRPr="00004F7F">
        <w:rPr>
          <w:rtl/>
        </w:rPr>
        <w:t xml:space="preserve"> </w:t>
      </w:r>
      <w:r w:rsidRPr="00004F7F">
        <w:rPr>
          <w:rFonts w:hint="eastAsia"/>
          <w:rtl/>
        </w:rPr>
        <w:t>מבקר</w:t>
      </w:r>
      <w:r w:rsidRPr="00004F7F">
        <w:rPr>
          <w:rtl/>
        </w:rPr>
        <w:t xml:space="preserve"> </w:t>
      </w:r>
      <w:r w:rsidRPr="00004F7F">
        <w:rPr>
          <w:rFonts w:hint="eastAsia"/>
          <w:rtl/>
        </w:rPr>
        <w:t>המדינה</w:t>
      </w:r>
      <w:r w:rsidRPr="00004F7F">
        <w:rPr>
          <w:rtl/>
        </w:rPr>
        <w:t xml:space="preserve"> </w:t>
      </w:r>
      <w:r w:rsidRPr="00004F7F">
        <w:rPr>
          <w:rFonts w:hint="eastAsia"/>
          <w:rtl/>
        </w:rPr>
        <w:t>על</w:t>
      </w:r>
      <w:r w:rsidRPr="00004F7F">
        <w:rPr>
          <w:rtl/>
        </w:rPr>
        <w:t xml:space="preserve"> מערכת </w:t>
      </w:r>
      <w:r w:rsidRPr="00004F7F">
        <w:rPr>
          <w:rFonts w:hint="eastAsia"/>
          <w:rtl/>
        </w:rPr>
        <w:t>א</w:t>
      </w:r>
      <w:r w:rsidRPr="00004F7F">
        <w:rPr>
          <w:rtl/>
        </w:rPr>
        <w:t>'</w:t>
      </w:r>
    </w:p>
    <w:p w:rsidR="000E336A" w:rsidP="004633B8" w14:paraId="7B2A7394" w14:textId="0EA2B51D">
      <w:pPr>
        <w:pStyle w:val="7392"/>
        <w:ind w:left="424"/>
        <w:rPr>
          <w:noProof/>
        </w:rPr>
      </w:pPr>
      <w:r w:rsidRPr="00B02658">
        <w:rPr>
          <w:rFonts w:hint="cs"/>
          <w:b/>
          <w:bCs/>
          <w:noProof/>
          <w:rtl/>
        </w:rPr>
        <w:drawing>
          <wp:anchor distT="0" distB="144145" distL="114300" distR="114300" simplePos="0" relativeHeight="251684864" behindDoc="1" locked="0" layoutInCell="1" allowOverlap="1">
            <wp:simplePos x="0" y="0"/>
            <wp:positionH relativeFrom="column">
              <wp:posOffset>4518025</wp:posOffset>
            </wp:positionH>
            <wp:positionV relativeFrom="paragraph">
              <wp:posOffset>46990</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F07E5" w:rsidR="00AD30A8">
        <w:rPr>
          <w:rtl/>
        </w:rPr>
        <w:t xml:space="preserve">מערכת זו תומכת בתהליך עסקי </w:t>
      </w:r>
      <w:r w:rsidRPr="00FF07E5" w:rsidR="00AD30A8">
        <w:rPr>
          <w:rFonts w:hint="eastAsia"/>
          <w:rtl/>
        </w:rPr>
        <w:t>ברשות</w:t>
      </w:r>
      <w:r w:rsidRPr="00FF07E5" w:rsidR="00AD30A8">
        <w:rPr>
          <w:rtl/>
        </w:rPr>
        <w:t xml:space="preserve"> </w:t>
      </w:r>
      <w:r w:rsidRPr="00FF07E5" w:rsidR="00AD30A8">
        <w:rPr>
          <w:rFonts w:hint="eastAsia"/>
          <w:rtl/>
        </w:rPr>
        <w:t>המיסים</w:t>
      </w:r>
      <w:r w:rsidRPr="00FF07E5" w:rsidR="00AD30A8">
        <w:rPr>
          <w:rtl/>
        </w:rPr>
        <w:t>. במהלך הבדיקה הועלו ממצאים אשר מסכנים מהבחינה העסקית את המידע ואת מוניטין הארגון</w:t>
      </w:r>
      <w:r w:rsidRPr="0093709F" w:rsidR="00420374">
        <w:rPr>
          <w:rFonts w:hint="cs"/>
          <w:rtl/>
        </w:rPr>
        <w:t>.</w:t>
      </w:r>
    </w:p>
    <w:p w:rsidR="00AD30A8" w:rsidP="002F143B" w14:paraId="130AD5EE" w14:textId="1CB4387C">
      <w:pPr>
        <w:pStyle w:val="73610"/>
      </w:pPr>
      <w:r w:rsidRPr="00FF07E5">
        <w:rPr>
          <w:rFonts w:hint="cs"/>
          <w:rtl/>
        </w:rPr>
        <w:t>היערכות להמשכיות עסקית והתאוששות מאסון</w:t>
      </w:r>
    </w:p>
    <w:p w:rsidR="000E336A" w:rsidRPr="00AD30A8" w:rsidP="00AD30A8" w14:paraId="7C74CF71" w14:textId="78C9E658">
      <w:pPr>
        <w:pStyle w:val="7317"/>
      </w:pPr>
      <w:r w:rsidRPr="00AD30A8">
        <w:rPr>
          <w:rFonts w:hint="cs"/>
          <w:b/>
          <w:bCs/>
          <w:noProof/>
          <w:rtl/>
        </w:rPr>
        <w:drawing>
          <wp:anchor distT="0" distB="1800225" distL="114300" distR="114300" simplePos="0" relativeHeight="251685888" behindDoc="1" locked="0" layoutInCell="1" allowOverlap="1">
            <wp:simplePos x="0" y="0"/>
            <wp:positionH relativeFrom="column">
              <wp:posOffset>4518025</wp:posOffset>
            </wp:positionH>
            <wp:positionV relativeFrom="paragraph">
              <wp:posOffset>36358</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sidR="00AD30A8">
        <w:rPr>
          <w:rFonts w:hint="eastAsia"/>
          <w:b/>
          <w:bCs/>
          <w:rtl/>
        </w:rPr>
        <w:t>הסדרת</w:t>
      </w:r>
      <w:r w:rsidRPr="00AD30A8" w:rsidR="00AD30A8">
        <w:rPr>
          <w:b/>
          <w:bCs/>
          <w:rtl/>
        </w:rPr>
        <w:t xml:space="preserve"> פעילות האגף</w:t>
      </w:r>
      <w:r w:rsidRPr="00AD30A8" w:rsidR="00AD30A8">
        <w:rPr>
          <w:rtl/>
        </w:rPr>
        <w:t xml:space="preserve"> - </w:t>
      </w:r>
      <w:r w:rsidRPr="00AD30A8" w:rsidR="00AD30A8">
        <w:rPr>
          <w:rFonts w:hint="eastAsia"/>
          <w:rtl/>
        </w:rPr>
        <w:t>ב</w:t>
      </w:r>
      <w:r w:rsidRPr="00AD30A8" w:rsidR="00AD30A8">
        <w:rPr>
          <w:rtl/>
        </w:rPr>
        <w:t>נובמבר 2016 החליט מנהל שע"ם כי לצורך הקמת אגף איכות והמשכיות עסקית יתוכנן מבנה ארגוני לאגף בסיוע יועצים. נציבות שירות המדינה התנתה את אישור האגף באישור נחיצותו מטעם רשות התקשוב</w:t>
      </w:r>
      <w:r w:rsidR="00C1693E">
        <w:rPr>
          <w:rFonts w:hint="cs"/>
          <w:rtl/>
        </w:rPr>
        <w:t xml:space="preserve"> הממשלתי</w:t>
      </w:r>
      <w:r w:rsidRPr="00AD30A8" w:rsidR="00AD30A8">
        <w:rPr>
          <w:rtl/>
        </w:rPr>
        <w:t>. עלה כי האגף פועל מסוף שנת 2016, אף שהנציבות לא אישרה את שינוי</w:t>
      </w:r>
      <w:r w:rsidR="00983620">
        <w:rPr>
          <w:rFonts w:hint="cs"/>
          <w:rtl/>
        </w:rPr>
        <w:t xml:space="preserve"> המבנה הארגוני</w:t>
      </w:r>
      <w:r w:rsidRPr="00AD30A8" w:rsidR="00AD30A8">
        <w:rPr>
          <w:rtl/>
        </w:rPr>
        <w:t>. הגדרות התפקיד של עובדי האגף הן הגדרות תפקידיהם הקודמ</w:t>
      </w:r>
      <w:r w:rsidR="00C1693E">
        <w:rPr>
          <w:rFonts w:hint="cs"/>
          <w:rtl/>
        </w:rPr>
        <w:t>ים</w:t>
      </w:r>
      <w:r w:rsidRPr="00AD30A8" w:rsidR="00AD30A8">
        <w:rPr>
          <w:rtl/>
        </w:rPr>
        <w:t>, והם מועסקים ב</w:t>
      </w:r>
      <w:r w:rsidRPr="00AD30A8" w:rsidR="00AD30A8">
        <w:rPr>
          <w:rFonts w:hint="eastAsia"/>
          <w:rtl/>
        </w:rPr>
        <w:t>התאם</w:t>
      </w:r>
      <w:r w:rsidRPr="00AD30A8" w:rsidR="00AD30A8">
        <w:rPr>
          <w:rtl/>
        </w:rPr>
        <w:t xml:space="preserve"> </w:t>
      </w:r>
      <w:r w:rsidRPr="00AD30A8" w:rsidR="00AD30A8">
        <w:rPr>
          <w:rFonts w:hint="eastAsia"/>
          <w:rtl/>
        </w:rPr>
        <w:t>ל</w:t>
      </w:r>
      <w:r w:rsidRPr="00AD30A8" w:rsidR="00AD30A8">
        <w:rPr>
          <w:rtl/>
        </w:rPr>
        <w:t>תקנים שהוקצו לאגפים אחרים. בעקבות זאת סמכות האגף ותפקידיו אינם מוסדרים</w:t>
      </w:r>
      <w:r w:rsidRPr="00AD30A8">
        <w:rPr>
          <w:rFonts w:hint="cs"/>
          <w:rtl/>
        </w:rPr>
        <w:t>.</w:t>
      </w:r>
    </w:p>
    <w:p w:rsidR="00AD30A8" w:rsidRPr="00AD30A8" w:rsidP="00AD30A8" w14:paraId="0166D55B" w14:textId="7E520D9D">
      <w:pPr>
        <w:pStyle w:val="7317"/>
        <w:rPr>
          <w:rtl/>
        </w:rPr>
      </w:pPr>
      <w:r w:rsidRPr="00AD30A8">
        <w:rPr>
          <w:rFonts w:hint="cs"/>
          <w:b/>
          <w:bCs/>
          <w:noProof/>
          <w:rtl/>
        </w:rPr>
        <w:drawing>
          <wp:anchor distT="0" distB="720090" distL="114300" distR="114300" simplePos="0" relativeHeight="251686912" behindDoc="1" locked="0" layoutInCell="1" allowOverlap="1">
            <wp:simplePos x="0" y="0"/>
            <wp:positionH relativeFrom="column">
              <wp:posOffset>4518025</wp:posOffset>
            </wp:positionH>
            <wp:positionV relativeFrom="paragraph">
              <wp:posOffset>45883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Pr>
          <w:rFonts w:hint="eastAsia"/>
          <w:b/>
          <w:bCs/>
          <w:rtl/>
        </w:rPr>
        <w:t>תוכנית</w:t>
      </w:r>
      <w:r w:rsidRPr="00AD30A8">
        <w:rPr>
          <w:b/>
          <w:bCs/>
          <w:rtl/>
        </w:rPr>
        <w:t xml:space="preserve"> התאוששות מאסון</w:t>
      </w:r>
      <w:r w:rsidRPr="00AD30A8">
        <w:rPr>
          <w:rtl/>
        </w:rPr>
        <w:t xml:space="preserve"> - תוכנית התאוששות מאסון כוללת תוכנית להתאוששות המערך הטכנולוגי, תהליך הפעלת מצב החירום, תהליך החזרה ממצב החירום </w:t>
      </w:r>
      <w:r w:rsidRPr="00AD30A8">
        <w:rPr>
          <w:rFonts w:hint="eastAsia"/>
          <w:rtl/>
        </w:rPr>
        <w:t>לשיגרה</w:t>
      </w:r>
      <w:r w:rsidR="00983620">
        <w:rPr>
          <w:rFonts w:hint="cs"/>
          <w:rtl/>
        </w:rPr>
        <w:t>,</w:t>
      </w:r>
      <w:r w:rsidRPr="00AD30A8">
        <w:rPr>
          <w:rtl/>
        </w:rPr>
        <w:t xml:space="preserve"> תרגילי החירום ומדדים עיקריים להתאוששות:</w:t>
      </w:r>
    </w:p>
    <w:p w:rsidR="00AD30A8" w:rsidRPr="00AD30A8" w:rsidP="00AD30A8" w14:paraId="6113B210" w14:textId="77777777">
      <w:pPr>
        <w:pStyle w:val="7317"/>
        <w:rPr>
          <w:rtl/>
        </w:rPr>
      </w:pPr>
      <w:r w:rsidRPr="00AD30A8">
        <w:t>Return Point Objective (RPO)</w:t>
      </w:r>
      <w:r w:rsidRPr="00AD30A8">
        <w:rPr>
          <w:rtl/>
        </w:rPr>
        <w:t xml:space="preserve"> - כמות המידע שאבד בהתרחש אסון.</w:t>
      </w:r>
    </w:p>
    <w:p w:rsidR="00C1693E" w:rsidP="00AD30A8" w14:paraId="55F370C4" w14:textId="77777777">
      <w:pPr>
        <w:pStyle w:val="7317"/>
        <w:rPr>
          <w:rtl/>
        </w:rPr>
      </w:pPr>
      <w:r w:rsidRPr="00AD30A8">
        <w:t>Return Time Objective (RTO)</w:t>
      </w:r>
      <w:r w:rsidRPr="00AD30A8">
        <w:rPr>
          <w:rtl/>
        </w:rPr>
        <w:t xml:space="preserve"> - משך הזמן המרבי מרגע קבלת ההחלטה עד להפעלת אתר החירום. </w:t>
      </w:r>
    </w:p>
    <w:p w:rsidR="00420374" w:rsidP="00AD30A8" w14:paraId="39D5E97C" w14:textId="7496BD92">
      <w:pPr>
        <w:pStyle w:val="7317"/>
        <w:rPr>
          <w:rtl/>
        </w:rPr>
      </w:pPr>
      <w:r w:rsidRPr="00AD30A8">
        <w:rPr>
          <w:rFonts w:hint="eastAsia"/>
          <w:rtl/>
        </w:rPr>
        <w:t>נמצאו</w:t>
      </w:r>
      <w:r w:rsidRPr="00AD30A8">
        <w:rPr>
          <w:rtl/>
        </w:rPr>
        <w:t xml:space="preserve"> </w:t>
      </w:r>
      <w:r w:rsidRPr="00AD30A8">
        <w:rPr>
          <w:rFonts w:hint="eastAsia"/>
          <w:rtl/>
        </w:rPr>
        <w:t>פערים</w:t>
      </w:r>
      <w:r w:rsidRPr="00AD30A8">
        <w:rPr>
          <w:rtl/>
        </w:rPr>
        <w:t xml:space="preserve"> </w:t>
      </w:r>
      <w:r w:rsidRPr="00AD30A8">
        <w:rPr>
          <w:rFonts w:hint="eastAsia"/>
          <w:rtl/>
        </w:rPr>
        <w:t>בנוגע</w:t>
      </w:r>
      <w:r w:rsidRPr="00AD30A8">
        <w:rPr>
          <w:rtl/>
        </w:rPr>
        <w:t xml:space="preserve"> </w:t>
      </w:r>
      <w:r w:rsidRPr="00AD30A8">
        <w:rPr>
          <w:rFonts w:hint="eastAsia"/>
          <w:rtl/>
        </w:rPr>
        <w:t>להשלמת</w:t>
      </w:r>
      <w:r w:rsidRPr="00AD30A8">
        <w:rPr>
          <w:rtl/>
        </w:rPr>
        <w:t xml:space="preserve"> </w:t>
      </w:r>
      <w:r w:rsidRPr="00AD30A8">
        <w:rPr>
          <w:rFonts w:hint="eastAsia"/>
          <w:rtl/>
        </w:rPr>
        <w:t>תוכנית</w:t>
      </w:r>
      <w:r w:rsidRPr="00AD30A8">
        <w:rPr>
          <w:rtl/>
        </w:rPr>
        <w:t xml:space="preserve"> התאוששות מאסון</w:t>
      </w:r>
      <w:r w:rsidR="000E336A">
        <w:rPr>
          <w:rFonts w:hint="cs"/>
          <w:rtl/>
        </w:rPr>
        <w:t>.</w:t>
      </w:r>
      <w:r w:rsidRPr="0093709F">
        <w:rPr>
          <w:rFonts w:hint="cs"/>
          <w:rtl/>
        </w:rPr>
        <w:t xml:space="preserve"> </w:t>
      </w:r>
    </w:p>
    <w:p w:rsidR="00864200" w:rsidRPr="00AD30A8" w:rsidP="00AD30A8" w14:paraId="1E06D9DE" w14:textId="3D408E1B">
      <w:pPr>
        <w:pStyle w:val="7317"/>
        <w:rPr>
          <w:rtl/>
        </w:rPr>
      </w:pPr>
      <w:r w:rsidRPr="00AD30A8">
        <w:rPr>
          <w:rFonts w:hint="cs"/>
          <w:b/>
          <w:bCs/>
          <w:noProof/>
          <w:rtl/>
        </w:rPr>
        <w:drawing>
          <wp:anchor distT="0" distB="360045" distL="114300" distR="114300" simplePos="0" relativeHeight="251693056" behindDoc="1" locked="0" layoutInCell="1" allowOverlap="1">
            <wp:simplePos x="0" y="0"/>
            <wp:positionH relativeFrom="column">
              <wp:posOffset>4518025</wp:posOffset>
            </wp:positionH>
            <wp:positionV relativeFrom="paragraph">
              <wp:posOffset>36358</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2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D30A8" w:rsidR="00AD30A8">
        <w:rPr>
          <w:rFonts w:hint="eastAsia"/>
          <w:b/>
          <w:bCs/>
          <w:rtl/>
        </w:rPr>
        <w:t>תוכנית</w:t>
      </w:r>
      <w:r w:rsidRPr="00AD30A8" w:rsidR="00AD30A8">
        <w:rPr>
          <w:b/>
          <w:bCs/>
          <w:rtl/>
        </w:rPr>
        <w:t xml:space="preserve"> להמשכיות עסקית </w:t>
      </w:r>
      <w:r w:rsidRPr="00AD30A8" w:rsidR="00AD30A8">
        <w:rPr>
          <w:rtl/>
        </w:rPr>
        <w:t xml:space="preserve">- </w:t>
      </w:r>
      <w:r w:rsidRPr="00AD30A8" w:rsidR="00AD30A8">
        <w:rPr>
          <w:rFonts w:hint="eastAsia"/>
          <w:rtl/>
        </w:rPr>
        <w:t>נמצאו</w:t>
      </w:r>
      <w:r w:rsidRPr="00AD30A8" w:rsidR="00AD30A8">
        <w:rPr>
          <w:rtl/>
        </w:rPr>
        <w:t xml:space="preserve"> פערים בתהליך גיבוש </w:t>
      </w:r>
      <w:r w:rsidRPr="00AD30A8" w:rsidR="00AD30A8">
        <w:rPr>
          <w:rFonts w:hint="eastAsia"/>
          <w:rtl/>
        </w:rPr>
        <w:t>תוכנית</w:t>
      </w:r>
      <w:r w:rsidRPr="00AD30A8" w:rsidR="00AD30A8">
        <w:rPr>
          <w:rtl/>
        </w:rPr>
        <w:t xml:space="preserve"> </w:t>
      </w:r>
      <w:r w:rsidRPr="00AD30A8" w:rsidR="00AD30A8">
        <w:rPr>
          <w:rFonts w:hint="cs"/>
          <w:rtl/>
        </w:rPr>
        <w:t>ל</w:t>
      </w:r>
      <w:r w:rsidRPr="00AD30A8" w:rsidR="00AD30A8">
        <w:rPr>
          <w:rtl/>
        </w:rPr>
        <w:t>המשכיות עסקית ובהשלמתה</w:t>
      </w:r>
      <w:r w:rsidRPr="00AD30A8">
        <w:rPr>
          <w:rFonts w:hint="cs"/>
          <w:rtl/>
        </w:rPr>
        <w:t>.</w:t>
      </w:r>
    </w:p>
    <w:p w:rsidR="00864200" w:rsidP="00AD30A8" w14:paraId="6588B1BB" w14:textId="4F027509">
      <w:pPr>
        <w:pStyle w:val="7392"/>
        <w:rPr>
          <w:noProof/>
          <w:rtl/>
        </w:rPr>
      </w:pPr>
    </w:p>
    <w:p w:rsidR="002753C7" w:rsidRPr="00662020" w:rsidP="002B5D24" w14:paraId="7C748CCB" w14:textId="258E8C3B">
      <w:pPr>
        <w:pStyle w:val="7327"/>
        <w:spacing w:before="480" w:after="360"/>
        <w:rPr>
          <w:rtl/>
        </w:rPr>
      </w:pPr>
      <w:r w:rsidRPr="00662020">
        <w:rPr>
          <w:rFonts w:hint="cs"/>
          <w:rtl/>
        </w:rPr>
        <w:t>עיקרי המלצות הביקורת</w:t>
      </w:r>
    </w:p>
    <w:p w:rsidR="0093709F" w:rsidRPr="00514AB8" w:rsidP="00514AB8" w14:paraId="0466320B" w14:textId="47E1BE34">
      <w:pPr>
        <w:pStyle w:val="7317"/>
      </w:pPr>
      <w:r w:rsidRPr="00514AB8">
        <w:rPr>
          <w:rFonts w:hint="cs"/>
          <w:noProof/>
          <w:rtl/>
        </w:rPr>
        <w:drawing>
          <wp:anchor distT="0" distB="1440180" distL="107950" distR="114300" simplePos="0" relativeHeight="251688960" behindDoc="1" locked="0" layoutInCell="1" allowOverlap="1">
            <wp:simplePos x="0" y="0"/>
            <wp:positionH relativeFrom="column">
              <wp:posOffset>4549594</wp:posOffset>
            </wp:positionH>
            <wp:positionV relativeFrom="paragraph">
              <wp:posOffset>29210</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14AB8" w:rsidR="00AD30A8">
        <w:rPr>
          <w:rFonts w:hint="cs"/>
          <w:rtl/>
        </w:rPr>
        <w:t>מומלץ</w:t>
      </w:r>
      <w:r w:rsidRPr="00514AB8" w:rsidR="00AD30A8">
        <w:rPr>
          <w:rtl/>
        </w:rPr>
        <w:t xml:space="preserve"> כי שע"ם יתקן את הליקויים שנמצאו במיפוי התהליכים ונכסי המידע שנערך</w:t>
      </w:r>
      <w:r w:rsidRPr="00514AB8" w:rsidR="005D0F8C">
        <w:rPr>
          <w:rFonts w:hint="cs"/>
          <w:rtl/>
        </w:rPr>
        <w:t xml:space="preserve">. </w:t>
      </w:r>
    </w:p>
    <w:p w:rsidR="005D0F8C" w:rsidRPr="00514AB8" w:rsidP="00514AB8" w14:paraId="6C626C68" w14:textId="17EFDA3A">
      <w:pPr>
        <w:pStyle w:val="7317"/>
      </w:pPr>
      <w:r w:rsidRPr="00514AB8">
        <w:rPr>
          <w:rFonts w:hint="cs"/>
          <w:noProof/>
          <w:rtl/>
        </w:rPr>
        <w:drawing>
          <wp:anchor distT="0" distB="1440180" distL="107950" distR="114300" simplePos="0" relativeHeight="251689984" behindDoc="1" locked="0" layoutInCell="1" allowOverlap="1">
            <wp:simplePos x="0" y="0"/>
            <wp:positionH relativeFrom="column">
              <wp:posOffset>4561659</wp:posOffset>
            </wp:positionH>
            <wp:positionV relativeFrom="paragraph">
              <wp:posOffset>38735</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14AB8" w:rsidR="00AD30A8">
        <w:rPr>
          <w:rFonts w:hint="cs"/>
          <w:rtl/>
        </w:rPr>
        <w:t>מומלץ כי שע"ם יעדכן</w:t>
      </w:r>
      <w:r w:rsidRPr="00514AB8" w:rsidR="00AD30A8">
        <w:rPr>
          <w:rtl/>
        </w:rPr>
        <w:t xml:space="preserve"> את </w:t>
      </w:r>
      <w:r w:rsidRPr="00514AB8" w:rsidR="00AD30A8">
        <w:rPr>
          <w:rFonts w:hint="eastAsia"/>
          <w:rtl/>
        </w:rPr>
        <w:t>נהליו</w:t>
      </w:r>
      <w:r w:rsidRPr="00514AB8" w:rsidR="00AD30A8">
        <w:rPr>
          <w:rFonts w:hint="cs"/>
          <w:rtl/>
        </w:rPr>
        <w:t xml:space="preserve"> </w:t>
      </w:r>
      <w:r w:rsidRPr="00514AB8" w:rsidR="00AD30A8">
        <w:rPr>
          <w:rFonts w:hint="eastAsia"/>
          <w:rtl/>
        </w:rPr>
        <w:t>באופן</w:t>
      </w:r>
      <w:r w:rsidRPr="00514AB8" w:rsidR="00AD30A8">
        <w:rPr>
          <w:rtl/>
        </w:rPr>
        <w:t xml:space="preserve"> </w:t>
      </w:r>
      <w:r w:rsidRPr="00514AB8" w:rsidR="00AD30A8">
        <w:rPr>
          <w:rFonts w:hint="eastAsia"/>
          <w:rtl/>
        </w:rPr>
        <w:t>שיכללו</w:t>
      </w:r>
      <w:r w:rsidRPr="00514AB8" w:rsidR="00AD30A8">
        <w:rPr>
          <w:rtl/>
        </w:rPr>
        <w:t xml:space="preserve"> </w:t>
      </w:r>
      <w:r w:rsidRPr="00514AB8" w:rsidR="00AD30A8">
        <w:rPr>
          <w:rFonts w:hint="eastAsia"/>
          <w:rtl/>
        </w:rPr>
        <w:t>את</w:t>
      </w:r>
      <w:r w:rsidRPr="00514AB8" w:rsidR="00AD30A8">
        <w:rPr>
          <w:rtl/>
        </w:rPr>
        <w:t xml:space="preserve"> </w:t>
      </w:r>
      <w:r w:rsidRPr="00514AB8" w:rsidR="00AD30A8">
        <w:rPr>
          <w:rFonts w:hint="eastAsia"/>
          <w:rtl/>
        </w:rPr>
        <w:t>כל</w:t>
      </w:r>
      <w:r w:rsidRPr="00514AB8" w:rsidR="00AD30A8">
        <w:rPr>
          <w:rtl/>
        </w:rPr>
        <w:t xml:space="preserve"> </w:t>
      </w:r>
      <w:r w:rsidRPr="00514AB8" w:rsidR="00AD30A8">
        <w:rPr>
          <w:rFonts w:hint="eastAsia"/>
          <w:rtl/>
        </w:rPr>
        <w:t>הפעולות</w:t>
      </w:r>
      <w:r w:rsidRPr="00514AB8" w:rsidR="00AD30A8">
        <w:rPr>
          <w:rtl/>
        </w:rPr>
        <w:t xml:space="preserve"> </w:t>
      </w:r>
      <w:r w:rsidRPr="00514AB8" w:rsidR="00AD30A8">
        <w:rPr>
          <w:rFonts w:hint="eastAsia"/>
          <w:rtl/>
        </w:rPr>
        <w:t>הנדרשות</w:t>
      </w:r>
      <w:r w:rsidRPr="00514AB8" w:rsidR="00AD30A8">
        <w:rPr>
          <w:rtl/>
        </w:rPr>
        <w:t xml:space="preserve"> </w:t>
      </w:r>
      <w:r w:rsidRPr="00514AB8" w:rsidR="00AD30A8">
        <w:rPr>
          <w:rFonts w:hint="eastAsia"/>
          <w:rtl/>
        </w:rPr>
        <w:t>בהתאם</w:t>
      </w:r>
      <w:r w:rsidRPr="00514AB8" w:rsidR="00AD30A8">
        <w:rPr>
          <w:rtl/>
        </w:rPr>
        <w:t xml:space="preserve"> </w:t>
      </w:r>
      <w:r w:rsidRPr="00514AB8" w:rsidR="00AD30A8">
        <w:rPr>
          <w:rFonts w:hint="eastAsia"/>
          <w:rtl/>
        </w:rPr>
        <w:t>להנחיות</w:t>
      </w:r>
      <w:r w:rsidRPr="00514AB8" w:rsidR="00AD30A8">
        <w:rPr>
          <w:rtl/>
        </w:rPr>
        <w:t xml:space="preserve"> </w:t>
      </w:r>
      <w:r w:rsidRPr="00514AB8" w:rsidR="00AD30A8">
        <w:rPr>
          <w:rFonts w:hint="eastAsia"/>
          <w:rtl/>
        </w:rPr>
        <w:t>הרגולטוריות</w:t>
      </w:r>
      <w:r w:rsidRPr="00514AB8">
        <w:rPr>
          <w:rtl/>
        </w:rPr>
        <w:t xml:space="preserve">. </w:t>
      </w:r>
    </w:p>
    <w:p w:rsidR="005D0F8C" w:rsidRPr="00514AB8" w:rsidP="00514AB8" w14:paraId="16E5BFEE" w14:textId="232F72C5">
      <w:pPr>
        <w:pStyle w:val="7317"/>
        <w:rPr>
          <w:rtl/>
        </w:rPr>
      </w:pPr>
      <w:r w:rsidRPr="00514AB8">
        <w:rPr>
          <w:rFonts w:hint="cs"/>
          <w:noProof/>
          <w:rtl/>
        </w:rPr>
        <w:drawing>
          <wp:anchor distT="0" distB="1440180" distL="107950" distR="114300" simplePos="0" relativeHeight="251691008" behindDoc="1" locked="0" layoutInCell="1" allowOverlap="1">
            <wp:simplePos x="0" y="0"/>
            <wp:positionH relativeFrom="column">
              <wp:posOffset>4571819</wp:posOffset>
            </wp:positionH>
            <wp:positionV relativeFrom="paragraph">
              <wp:posOffset>15875</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14AB8" w:rsidR="00AD30A8">
        <w:rPr>
          <w:rtl/>
        </w:rPr>
        <w:t xml:space="preserve">מומלץ כי שע"ם ישתמש במערכת </w:t>
      </w:r>
      <w:r w:rsidRPr="00514AB8" w:rsidR="00AD30A8">
        <w:rPr>
          <w:rFonts w:hint="eastAsia"/>
          <w:rtl/>
        </w:rPr>
        <w:t>הייעודית</w:t>
      </w:r>
      <w:r w:rsidRPr="00514AB8" w:rsidR="00AD30A8">
        <w:rPr>
          <w:rtl/>
        </w:rPr>
        <w:t xml:space="preserve"> שפיתח מערך הסייבר הלאומי לבחינת </w:t>
      </w:r>
      <w:r w:rsidRPr="00514AB8" w:rsidR="00AD30A8">
        <w:rPr>
          <w:rFonts w:hint="eastAsia"/>
          <w:rtl/>
        </w:rPr>
        <w:t>שרשרת</w:t>
      </w:r>
      <w:r w:rsidRPr="00514AB8" w:rsidR="00AD30A8">
        <w:rPr>
          <w:rtl/>
        </w:rPr>
        <w:t xml:space="preserve"> האספקה</w:t>
      </w:r>
      <w:r w:rsidRPr="00514AB8">
        <w:rPr>
          <w:rFonts w:hint="cs"/>
          <w:rtl/>
        </w:rPr>
        <w:t>.</w:t>
      </w:r>
    </w:p>
    <w:p w:rsidR="00706096" w:rsidRPr="00514AB8" w:rsidP="00514AB8" w14:paraId="3F6A2BE4" w14:textId="24D93A02">
      <w:pPr>
        <w:pStyle w:val="7317"/>
        <w:rPr>
          <w:rtl/>
        </w:rPr>
      </w:pPr>
      <w:r w:rsidRPr="00514AB8">
        <w:rPr>
          <w:rFonts w:hint="cs"/>
          <w:noProof/>
          <w:rtl/>
        </w:rPr>
        <w:drawing>
          <wp:anchor distT="0" distB="1440180" distL="107950" distR="114300" simplePos="0" relativeHeight="251692032" behindDoc="1" locked="0" layoutInCell="1" allowOverlap="1">
            <wp:simplePos x="0" y="0"/>
            <wp:positionH relativeFrom="column">
              <wp:posOffset>4579439</wp:posOffset>
            </wp:positionH>
            <wp:positionV relativeFrom="paragraph">
              <wp:posOffset>25400</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14AB8" w:rsidR="00AD30A8">
        <w:rPr>
          <w:rFonts w:hint="cs"/>
          <w:rtl/>
        </w:rPr>
        <w:t>מומלץ כי שע"ם יפעל לכך</w:t>
      </w:r>
      <w:r w:rsidRPr="00514AB8" w:rsidR="00AD30A8">
        <w:rPr>
          <w:rtl/>
        </w:rPr>
        <w:t xml:space="preserve"> שרמת הסיווג של כלל העובדים בשע"ם תותאם לתפקידיהם</w:t>
      </w:r>
      <w:r w:rsidRPr="00514AB8">
        <w:rPr>
          <w:rFonts w:hint="cs"/>
          <w:rtl/>
        </w:rPr>
        <w:t>.</w:t>
      </w:r>
    </w:p>
    <w:p w:rsidR="00670C7D" w:rsidP="00514AB8" w14:paraId="3736116A" w14:textId="709882C3">
      <w:pPr>
        <w:pStyle w:val="7317"/>
        <w:rPr>
          <w:rtl/>
        </w:rPr>
      </w:pPr>
      <w:r w:rsidRPr="00514AB8">
        <w:rPr>
          <w:rFonts w:hint="cs"/>
          <w:noProof/>
          <w:rtl/>
        </w:rPr>
        <w:drawing>
          <wp:anchor distT="0" distB="1440180" distL="107950" distR="114300" simplePos="0" relativeHeight="251694080" behindDoc="1" locked="0" layoutInCell="1" allowOverlap="1">
            <wp:simplePos x="0" y="0"/>
            <wp:positionH relativeFrom="column">
              <wp:posOffset>4571819</wp:posOffset>
            </wp:positionH>
            <wp:positionV relativeFrom="paragraph">
              <wp:posOffset>15875</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3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14AB8" w:rsidR="00AD30A8">
        <w:rPr>
          <w:rtl/>
        </w:rPr>
        <w:t>מומלץ כי שע"ם יבחן את הממצאים שהועלו במבדק החוסן</w:t>
      </w:r>
      <w:r w:rsidRPr="00514AB8" w:rsidR="00AD30A8">
        <w:rPr>
          <w:rFonts w:hint="eastAsia"/>
          <w:rtl/>
        </w:rPr>
        <w:t xml:space="preserve"> שנערך</w:t>
      </w:r>
      <w:r w:rsidRPr="00514AB8" w:rsidR="00AD30A8">
        <w:rPr>
          <w:rtl/>
        </w:rPr>
        <w:t xml:space="preserve"> </w:t>
      </w:r>
      <w:r w:rsidRPr="00514AB8" w:rsidR="00AD30A8">
        <w:rPr>
          <w:rFonts w:hint="eastAsia"/>
          <w:rtl/>
        </w:rPr>
        <w:t>מטעם</w:t>
      </w:r>
      <w:r w:rsidRPr="00514AB8" w:rsidR="00AD30A8">
        <w:rPr>
          <w:rtl/>
        </w:rPr>
        <w:t xml:space="preserve"> </w:t>
      </w:r>
      <w:r w:rsidRPr="00514AB8" w:rsidR="00AD30A8">
        <w:rPr>
          <w:rFonts w:hint="eastAsia"/>
          <w:rtl/>
        </w:rPr>
        <w:t>משרד</w:t>
      </w:r>
      <w:r w:rsidRPr="00514AB8" w:rsidR="00AD30A8">
        <w:rPr>
          <w:rtl/>
        </w:rPr>
        <w:t xml:space="preserve"> </w:t>
      </w:r>
      <w:r w:rsidRPr="00514AB8" w:rsidR="00AD30A8">
        <w:rPr>
          <w:rFonts w:hint="eastAsia"/>
          <w:rtl/>
        </w:rPr>
        <w:t>המבקר</w:t>
      </w:r>
      <w:r w:rsidRPr="00514AB8" w:rsidR="00AD30A8">
        <w:rPr>
          <w:rtl/>
        </w:rPr>
        <w:t xml:space="preserve"> </w:t>
      </w:r>
      <w:r w:rsidRPr="00514AB8" w:rsidR="00AD30A8">
        <w:rPr>
          <w:rFonts w:hint="eastAsia"/>
          <w:rtl/>
        </w:rPr>
        <w:t>המדינה</w:t>
      </w:r>
      <w:r w:rsidRPr="00514AB8" w:rsidR="00AD30A8">
        <w:rPr>
          <w:rtl/>
        </w:rPr>
        <w:t xml:space="preserve"> </w:t>
      </w:r>
      <w:r w:rsidRPr="00514AB8" w:rsidR="00AD30A8">
        <w:rPr>
          <w:rFonts w:hint="eastAsia"/>
          <w:rtl/>
        </w:rPr>
        <w:t>ויתקן</w:t>
      </w:r>
      <w:r w:rsidRPr="00FF07E5" w:rsidR="00AD30A8">
        <w:rPr>
          <w:rtl/>
        </w:rPr>
        <w:t xml:space="preserve"> </w:t>
      </w:r>
      <w:r w:rsidRPr="00FF07E5" w:rsidR="00AD30A8">
        <w:rPr>
          <w:rFonts w:hint="eastAsia"/>
          <w:rtl/>
        </w:rPr>
        <w:t>את</w:t>
      </w:r>
      <w:r w:rsidRPr="00FF07E5" w:rsidR="00AD30A8">
        <w:rPr>
          <w:rtl/>
        </w:rPr>
        <w:t xml:space="preserve"> הליקויים שהועלו בדוח זה</w:t>
      </w:r>
      <w:r w:rsidRPr="008E57FE">
        <w:rPr>
          <w:rFonts w:hint="cs"/>
          <w:rtl/>
        </w:rPr>
        <w:t>.</w:t>
      </w:r>
    </w:p>
    <w:p w:rsidR="00670C7D" w:rsidP="00773517" w14:paraId="0872CD2E" w14:textId="77777777">
      <w:pPr>
        <w:pStyle w:val="7317"/>
        <w:ind w:left="566"/>
        <w:rPr>
          <w:rtl/>
        </w:rPr>
      </w:pPr>
    </w:p>
    <w:p w:rsidR="004028C2" w:rsidRPr="00AD30A8" w:rsidP="00AD30A8" w14:paraId="4F17E356" w14:textId="4F8FA399">
      <w:pPr>
        <w:bidi w:val="0"/>
        <w:spacing w:after="200" w:line="276" w:lineRule="auto"/>
        <w:rPr>
          <w:rFonts w:ascii="Tahoma" w:hAnsi="Tahoma" w:cs="Tahoma"/>
          <w:color w:val="0D0D0D" w:themeColor="text1" w:themeTint="F2"/>
          <w:sz w:val="18"/>
          <w:szCs w:val="18"/>
        </w:rPr>
      </w:pPr>
      <w:r>
        <w:rPr>
          <w:rFonts w:ascii="Tahoma" w:hAnsi="Tahoma" w:cs="Tahoma"/>
          <w:color w:val="0D0D0D" w:themeColor="text1" w:themeTint="F2"/>
          <w:sz w:val="18"/>
          <w:szCs w:val="18"/>
          <w:rtl/>
        </w:rPr>
        <w:br w:type="page"/>
      </w:r>
    </w:p>
    <w:p w:rsidR="002F07E0" w:rsidP="002F07E0" w14:paraId="454A99C1" w14:textId="77777777">
      <w:pPr>
        <w:pStyle w:val="73"/>
        <w:rPr>
          <w:rtl/>
        </w:rPr>
      </w:pPr>
      <w:r w:rsidRPr="00EF3061">
        <w:rPr>
          <w:rFonts w:hint="cs"/>
          <w:rtl/>
        </w:rPr>
        <w:t>סיכום</w:t>
      </w:r>
    </w:p>
    <w:p w:rsidR="00AD30A8" w:rsidRPr="00B325A6" w:rsidP="00AD30A8" w14:paraId="5B1C259E" w14:textId="77777777">
      <w:pPr>
        <w:pStyle w:val="7392"/>
        <w:rPr>
          <w:rtl/>
        </w:rPr>
      </w:pPr>
      <w:r w:rsidRPr="007F7540">
        <w:rPr>
          <w:rtl/>
        </w:rPr>
        <w:t>שע"ם הוא גוף ה-</w:t>
      </w:r>
      <w:r w:rsidRPr="007F7540">
        <w:t>IT</w:t>
      </w:r>
      <w:r w:rsidRPr="007F7540">
        <w:rPr>
          <w:rtl/>
        </w:rPr>
        <w:t xml:space="preserve"> של רשות המיסים, וככזה הוא מפתח מערכות מידע עבורה, מתחזק מערכות קיימות ומחזיק במידע. יש חשיבות גדולה לרמ</w:t>
      </w:r>
      <w:r w:rsidRPr="007F7540">
        <w:rPr>
          <w:rFonts w:hint="eastAsia"/>
          <w:rtl/>
        </w:rPr>
        <w:t>ה</w:t>
      </w:r>
      <w:r w:rsidRPr="007F7540">
        <w:rPr>
          <w:rtl/>
        </w:rPr>
        <w:t xml:space="preserve"> גבוהה של הגנת </w:t>
      </w:r>
      <w:r w:rsidRPr="007F7540">
        <w:rPr>
          <w:rFonts w:hint="eastAsia"/>
          <w:rtl/>
        </w:rPr>
        <w:t>סייבר</w:t>
      </w:r>
      <w:r w:rsidRPr="007F7540">
        <w:rPr>
          <w:rtl/>
        </w:rPr>
        <w:t xml:space="preserve"> בשע"ם וכן לתפקוד מלא של שע"ם בעתות משבר והתאוששות מהירה מאסון.</w:t>
      </w:r>
    </w:p>
    <w:p w:rsidR="00AD30A8" w:rsidRPr="00B325A6" w:rsidP="00AD30A8" w14:paraId="61DBF949" w14:textId="77777777">
      <w:pPr>
        <w:pStyle w:val="7392"/>
        <w:rPr>
          <w:rtl/>
        </w:rPr>
      </w:pPr>
      <w:r w:rsidRPr="007F7540">
        <w:rPr>
          <w:rFonts w:hint="eastAsia"/>
          <w:rtl/>
        </w:rPr>
        <w:t>ממצאי</w:t>
      </w:r>
      <w:r w:rsidRPr="007F7540">
        <w:rPr>
          <w:rtl/>
        </w:rPr>
        <w:t xml:space="preserve"> </w:t>
      </w:r>
      <w:r w:rsidRPr="007F7540">
        <w:rPr>
          <w:rFonts w:hint="eastAsia"/>
          <w:rtl/>
        </w:rPr>
        <w:t>הביקורת</w:t>
      </w:r>
      <w:r w:rsidRPr="007F7540">
        <w:rPr>
          <w:rtl/>
        </w:rPr>
        <w:t xml:space="preserve"> </w:t>
      </w:r>
      <w:r w:rsidRPr="007F7540">
        <w:rPr>
          <w:rFonts w:hint="eastAsia"/>
          <w:rtl/>
        </w:rPr>
        <w:t>מעלים</w:t>
      </w:r>
      <w:r w:rsidRPr="007F7540">
        <w:rPr>
          <w:rtl/>
        </w:rPr>
        <w:t xml:space="preserve"> כי על שע"ם לפעול </w:t>
      </w:r>
      <w:r w:rsidRPr="007F7540">
        <w:rPr>
          <w:rFonts w:hint="eastAsia"/>
          <w:rtl/>
        </w:rPr>
        <w:t>לשיפור</w:t>
      </w:r>
      <w:r w:rsidRPr="007F7540">
        <w:rPr>
          <w:rtl/>
        </w:rPr>
        <w:t xml:space="preserve"> </w:t>
      </w:r>
      <w:r w:rsidRPr="007F7540">
        <w:rPr>
          <w:rFonts w:hint="eastAsia"/>
          <w:rtl/>
        </w:rPr>
        <w:t>הגנת</w:t>
      </w:r>
      <w:r w:rsidRPr="007F7540">
        <w:rPr>
          <w:rtl/>
        </w:rPr>
        <w:t xml:space="preserve"> </w:t>
      </w:r>
      <w:r w:rsidRPr="007F7540">
        <w:rPr>
          <w:rFonts w:hint="eastAsia"/>
          <w:rtl/>
        </w:rPr>
        <w:t>הסייבר</w:t>
      </w:r>
      <w:r w:rsidRPr="007F7540">
        <w:rPr>
          <w:rtl/>
        </w:rPr>
        <w:t xml:space="preserve"> </w:t>
      </w:r>
      <w:r w:rsidRPr="007F7540">
        <w:rPr>
          <w:rFonts w:hint="eastAsia"/>
          <w:rtl/>
        </w:rPr>
        <w:t>על</w:t>
      </w:r>
      <w:r w:rsidRPr="007F7540">
        <w:rPr>
          <w:rtl/>
        </w:rPr>
        <w:t xml:space="preserve"> </w:t>
      </w:r>
      <w:r w:rsidRPr="007F7540">
        <w:rPr>
          <w:rFonts w:hint="eastAsia"/>
          <w:rtl/>
        </w:rPr>
        <w:t>מערכותיו</w:t>
      </w:r>
      <w:r w:rsidRPr="007F7540">
        <w:rPr>
          <w:rtl/>
        </w:rPr>
        <w:t>.</w:t>
      </w:r>
    </w:p>
    <w:p w:rsidR="00AB1717" w:rsidRPr="00DD4656" w:rsidP="00E64D36" w14:paraId="3CC61AEA" w14:textId="519C2EAD">
      <w:pPr>
        <w:pStyle w:val="7392"/>
        <w:sectPr w:rsidSect="008B2D52">
          <w:headerReference w:type="even" r:id="rId25"/>
          <w:headerReference w:type="default" r:id="rId26"/>
          <w:footerReference w:type="even" r:id="rId27"/>
          <w:footerReference w:type="default" r:id="rId28"/>
          <w:headerReference w:type="first" r:id="rId29"/>
          <w:footerReference w:type="first" r:id="rId30"/>
          <w:pgSz w:w="11906" w:h="16838" w:code="9"/>
          <w:pgMar w:top="3062" w:right="2268" w:bottom="2552" w:left="2268" w:header="1134" w:footer="1361" w:gutter="0"/>
          <w:cols w:space="708"/>
          <w:bidi/>
          <w:rtlGutter/>
          <w:docGrid w:linePitch="360"/>
        </w:sectPr>
      </w:pPr>
      <w:r w:rsidRPr="007F7540">
        <w:rPr>
          <w:rFonts w:hint="eastAsia"/>
          <w:rtl/>
        </w:rPr>
        <w:t>מומלץ</w:t>
      </w:r>
      <w:r w:rsidRPr="007F7540">
        <w:rPr>
          <w:rtl/>
        </w:rPr>
        <w:t xml:space="preserve"> </w:t>
      </w:r>
      <w:r w:rsidRPr="007F7540">
        <w:rPr>
          <w:rFonts w:hint="eastAsia"/>
          <w:rtl/>
        </w:rPr>
        <w:t>כי</w:t>
      </w:r>
      <w:r w:rsidRPr="007F7540">
        <w:rPr>
          <w:rtl/>
        </w:rPr>
        <w:t xml:space="preserve"> </w:t>
      </w:r>
      <w:r w:rsidRPr="007F7540">
        <w:rPr>
          <w:rFonts w:hint="eastAsia"/>
          <w:rtl/>
        </w:rPr>
        <w:t>שע</w:t>
      </w:r>
      <w:r w:rsidRPr="007F7540">
        <w:rPr>
          <w:rtl/>
        </w:rPr>
        <w:t xml:space="preserve">"ם </w:t>
      </w:r>
      <w:r w:rsidRPr="007F7540">
        <w:rPr>
          <w:rFonts w:hint="eastAsia"/>
          <w:rtl/>
        </w:rPr>
        <w:t>יפעל</w:t>
      </w:r>
      <w:r w:rsidRPr="007F7540">
        <w:rPr>
          <w:rtl/>
        </w:rPr>
        <w:t xml:space="preserve"> </w:t>
      </w:r>
      <w:r w:rsidRPr="007F7540">
        <w:rPr>
          <w:rFonts w:hint="eastAsia"/>
          <w:rtl/>
        </w:rPr>
        <w:t>בהקדם</w:t>
      </w:r>
      <w:r w:rsidRPr="007F7540">
        <w:rPr>
          <w:rtl/>
        </w:rPr>
        <w:t xml:space="preserve"> </w:t>
      </w:r>
      <w:r w:rsidRPr="007F7540">
        <w:rPr>
          <w:rFonts w:hint="eastAsia"/>
          <w:rtl/>
        </w:rPr>
        <w:t>לתיקון</w:t>
      </w:r>
      <w:r w:rsidRPr="007F7540">
        <w:rPr>
          <w:rtl/>
        </w:rPr>
        <w:t xml:space="preserve"> </w:t>
      </w:r>
      <w:r w:rsidRPr="007F7540">
        <w:rPr>
          <w:rFonts w:hint="eastAsia"/>
          <w:rtl/>
        </w:rPr>
        <w:t>הליקויים</w:t>
      </w:r>
      <w:r w:rsidRPr="007F7540">
        <w:rPr>
          <w:rtl/>
        </w:rPr>
        <w:t xml:space="preserve"> </w:t>
      </w:r>
      <w:r w:rsidRPr="007F7540">
        <w:rPr>
          <w:rFonts w:hint="eastAsia"/>
          <w:rtl/>
        </w:rPr>
        <w:t>שהועלו</w:t>
      </w:r>
      <w:r w:rsidRPr="007F7540">
        <w:rPr>
          <w:rtl/>
        </w:rPr>
        <w:t xml:space="preserve"> </w:t>
      </w:r>
      <w:r w:rsidRPr="007F7540">
        <w:rPr>
          <w:rFonts w:hint="eastAsia"/>
          <w:rtl/>
        </w:rPr>
        <w:t>בדוח</w:t>
      </w:r>
      <w:r w:rsidRPr="007F7540">
        <w:rPr>
          <w:rtl/>
        </w:rPr>
        <w:t xml:space="preserve"> </w:t>
      </w:r>
      <w:r w:rsidRPr="007F7540">
        <w:rPr>
          <w:rFonts w:hint="eastAsia"/>
          <w:rtl/>
        </w:rPr>
        <w:t>זה</w:t>
      </w:r>
      <w:r w:rsidRPr="007F7540">
        <w:rPr>
          <w:rtl/>
        </w:rPr>
        <w:t xml:space="preserve"> תוך </w:t>
      </w:r>
      <w:r w:rsidRPr="007F7540">
        <w:rPr>
          <w:rFonts w:hint="eastAsia"/>
          <w:rtl/>
        </w:rPr>
        <w:t>בחינת</w:t>
      </w:r>
      <w:r w:rsidRPr="007F7540">
        <w:rPr>
          <w:rtl/>
        </w:rPr>
        <w:t xml:space="preserve"> </w:t>
      </w:r>
      <w:r w:rsidRPr="007F7540">
        <w:rPr>
          <w:rFonts w:hint="eastAsia"/>
          <w:rtl/>
        </w:rPr>
        <w:t>יישום</w:t>
      </w:r>
      <w:r w:rsidRPr="007F7540">
        <w:rPr>
          <w:rtl/>
        </w:rPr>
        <w:t xml:space="preserve"> </w:t>
      </w:r>
      <w:r w:rsidRPr="007F7540">
        <w:rPr>
          <w:rFonts w:hint="eastAsia"/>
          <w:rtl/>
        </w:rPr>
        <w:t>המלצות</w:t>
      </w:r>
      <w:r w:rsidRPr="007F7540">
        <w:rPr>
          <w:rtl/>
        </w:rPr>
        <w:t xml:space="preserve"> </w:t>
      </w:r>
      <w:r w:rsidRPr="007F7540">
        <w:rPr>
          <w:rFonts w:hint="eastAsia"/>
          <w:rtl/>
        </w:rPr>
        <w:t>הדוח</w:t>
      </w:r>
      <w:r w:rsidRPr="009469DF" w:rsidR="002F07E0">
        <w:t>.</w:t>
      </w:r>
    </w:p>
    <w:p w:rsidR="00032B23" w:rsidRPr="00E64D36" w:rsidP="00E64D36" w14:paraId="7C1C5C2C" w14:textId="6D87B9FC">
      <w:pPr>
        <w:pStyle w:val="73414"/>
        <w:rPr>
          <w:rtl/>
        </w:rPr>
      </w:pPr>
      <w:r>
        <w:rPr>
          <w:noProof/>
          <w:rtl/>
          <w:lang w:val="he-IL"/>
        </w:rPr>
        <mc:AlternateContent>
          <mc:Choice Requires="wps">
            <w:drawing>
              <wp:anchor distT="0" distB="0" distL="114300" distR="114300" simplePos="0" relativeHeight="251696128" behindDoc="0" locked="0" layoutInCell="1" allowOverlap="1">
                <wp:simplePos x="0" y="0"/>
                <wp:positionH relativeFrom="column">
                  <wp:posOffset>-1394460</wp:posOffset>
                </wp:positionH>
                <wp:positionV relativeFrom="paragraph">
                  <wp:posOffset>-1265102</wp:posOffset>
                </wp:positionV>
                <wp:extent cx="7132320" cy="9398725"/>
                <wp:effectExtent l="0" t="0" r="17780" b="12065"/>
                <wp:wrapNone/>
                <wp:docPr id="15" name="מלבן 15"/>
                <wp:cNvGraphicFramePr/>
                <a:graphic xmlns:a="http://schemas.openxmlformats.org/drawingml/2006/main">
                  <a:graphicData uri="http://schemas.microsoft.com/office/word/2010/wordprocessingShape">
                    <wps:wsp xmlns:wps="http://schemas.microsoft.com/office/word/2010/wordprocessingShape">
                      <wps:cNvSpPr/>
                      <wps:spPr>
                        <a:xfrm>
                          <a:off x="0" y="0"/>
                          <a:ext cx="7132320" cy="9398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5" o:spid="_x0000_s1034" style="width:561.6pt;height:740.05pt;margin-top:-99.6pt;margin-left:-109.8pt;mso-height-percent:0;mso-height-relative:margin;mso-wrap-distance-bottom:0;mso-wrap-distance-left:9pt;mso-wrap-distance-right:9pt;mso-wrap-distance-top:0;mso-wrap-style:square;position:absolute;visibility:visible;v-text-anchor:middle;z-index:251697152" fillcolor="white" strokecolor="white" strokeweight="1.25pt"/>
            </w:pict>
          </mc:Fallback>
        </mc:AlternateContent>
      </w:r>
    </w:p>
    <w:sectPr w:rsidSect="008B2D52">
      <w:footerReference w:type="even" r:id="rId31"/>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20494" w14:paraId="20625AD1" w14:textId="77777777">
      <w:pPr>
        <w:spacing w:line="240" w:lineRule="auto"/>
      </w:pPr>
      <w:r>
        <w:separator/>
      </w:r>
    </w:p>
    <w:p w:rsidR="00A20494" w14:paraId="7842D046" w14:textId="77777777"/>
    <w:p w:rsidR="00A20494" w14:paraId="363D1128" w14:textId="77777777"/>
    <w:p w:rsidR="00A20494" w14:paraId="5FC7EB98" w14:textId="77777777"/>
  </w:endnote>
  <w:endnote w:type="continuationSeparator" w:id="1">
    <w:p w:rsidR="00A20494" w14:paraId="641A9D13" w14:textId="77777777">
      <w:pPr>
        <w:spacing w:line="240" w:lineRule="auto"/>
      </w:pPr>
      <w:r>
        <w:continuationSeparator/>
      </w:r>
    </w:p>
    <w:p w:rsidR="00A20494" w14:paraId="6C08C8B4" w14:textId="77777777"/>
    <w:p w:rsidR="00A20494" w14:paraId="28088353" w14:textId="77777777"/>
    <w:p w:rsidR="00A20494" w14:paraId="69A2CA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3" w:usb1="00000000" w:usb2="00000000" w:usb3="00000000" w:csb0="00000003"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693E" w14:paraId="4C3C19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9A1489" w14:paraId="78F1745A" w14:textId="77777777">
    <w:pPr>
      <w:pStyle w:val="Footer"/>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F73EE0"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693E" w14:paraId="28AE1F3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337C4E" w14:paraId="56186361" w14:textId="28EA07C9">
    <w:pPr>
      <w:pStyle w:val="Footer"/>
      <w:spacing w:after="120" w:line="312" w:lineRule="auto"/>
      <w:ind w:left="-510"/>
      <w:jc w:val="left"/>
      <w:rPr>
        <w:rFonts w:ascii="Tahoma" w:hAnsi="Tahoma" w:cs="Tahoma"/>
        <w:sz w:val="18"/>
        <w:szCs w:val="18"/>
        <w:rtl/>
      </w:rPr>
    </w:pPr>
  </w:p>
  <w:p w:rsidR="00F73EE0" w:rsidP="005D0F8C" w14:paraId="55F954A2" w14:textId="6FAB6609">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sidR="00DA1D77">
      <w:rPr>
        <w:rFonts w:ascii="Tahoma" w:hAnsi="Tahoma" w:cs="Tahoma"/>
        <w:color w:val="004E6C"/>
        <w:sz w:val="18"/>
        <w:szCs w:val="18"/>
        <w:rtl/>
      </w:rPr>
      <w:tab/>
    </w:r>
    <w:r w:rsidR="005D0F8C">
      <w:rPr>
        <w:rFonts w:ascii="Tahoma" w:hAnsi="Tahoma" w:cs="Tahoma"/>
        <w:color w:val="004E6C"/>
        <w:sz w:val="18"/>
        <w:szCs w:val="18"/>
        <w:rtl/>
      </w:rPr>
      <w:tab/>
    </w:r>
  </w:p>
  <w:p w:rsidR="00F73EE0"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E0306" w14:paraId="2C2A80D5" w14:textId="60A84A1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F73EE0" w:rsidP="00851F62" w14:paraId="12CBD4D4" w14:textId="6E77634B">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55B1" w:rsidP="00DE55B1" w14:paraId="08D6625F" w14:textId="77777777">
    <w:pPr>
      <w:pStyle w:val="Footer"/>
      <w:spacing w:after="120" w:line="312" w:lineRule="auto"/>
      <w:ind w:left="-510"/>
      <w:jc w:val="left"/>
      <w:rPr>
        <w:rFonts w:ascii="Tahoma" w:hAnsi="Tahoma" w:cs="Tahoma"/>
        <w:sz w:val="18"/>
        <w:szCs w:val="18"/>
        <w:rtl/>
      </w:rPr>
    </w:pPr>
  </w:p>
  <w:p w:rsidR="00DE55B1" w:rsidP="00DE55B1" w14:paraId="23888365"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1884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8B694B" w:rsidRPr="00DE55B1" w:rsidP="00DE55B1"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20494" w:rsidP="00E7235E" w14:paraId="3FEFE9C0" w14:textId="77777777">
      <w:pPr>
        <w:spacing w:line="240" w:lineRule="auto"/>
      </w:pPr>
      <w:r>
        <w:separator/>
      </w:r>
    </w:p>
  </w:footnote>
  <w:footnote w:type="continuationSeparator" w:id="1">
    <w:p w:rsidR="00A20494" w:rsidP="00C23CC9" w14:paraId="4D5C67C3" w14:textId="77777777">
      <w:pPr>
        <w:spacing w:line="240" w:lineRule="auto"/>
      </w:pPr>
      <w:r>
        <w:continuationSeparator/>
      </w:r>
    </w:p>
    <w:p w:rsidR="00A20494" w14:paraId="6D05949B" w14:textId="77777777"/>
    <w:p w:rsidR="00A20494" w14:paraId="0A22E650" w14:textId="77777777"/>
    <w:p w:rsidR="00A20494" w14:paraId="77EA430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2576"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1552"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B925E2" w14:textId="744B2B2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B925E2" w:rsidR="00B925E2">
                            <w:rPr>
                              <w:rFonts w:ascii="Tahoma" w:hAnsi="Tahoma" w:cs="Tahoma"/>
                              <w:b/>
                              <w:bCs/>
                              <w:rtl/>
                            </w:rPr>
                            <w:t>הגנת סייבר והמשכיות עסקית ביחידת שירות עיבודים ממוכנים ברשות המיסים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9504" fillcolor="#00305f" strokecolor="#00305f">
              <v:textbox style="layout-flow:vertical;mso-layout-flow-alt:bottom-to-top" inset="0,0,0,0">
                <w:txbxContent>
                  <w:p w:rsidR="00F73EE0" w:rsidRPr="009B7D1B" w:rsidP="00B925E2" w14:paraId="77809697" w14:textId="744B2B2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B925E2" w:rsidR="00B925E2">
                      <w:rPr>
                        <w:rFonts w:ascii="Tahoma" w:hAnsi="Tahoma" w:cs="Tahoma"/>
                        <w:b/>
                        <w:bCs/>
                        <w:rtl/>
                      </w:rPr>
                      <w:t>הגנת סייבר והמשכיות עסקית ביחידת שירות עיבודים ממוכנים ברשות המיסים</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25F6A139">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96128" behindDoc="0" locked="0" layoutInCell="1" allowOverlap="1">
          <wp:simplePos x="0" y="0"/>
          <wp:positionH relativeFrom="column">
            <wp:posOffset>-60020</wp:posOffset>
          </wp:positionH>
          <wp:positionV relativeFrom="paragraph">
            <wp:posOffset>358496</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457C3A" w:rsidRPr="00385E24" w:rsidP="00457C3A" w14:textId="77777777">
                          <w:pPr>
                            <w:jc w:val="right"/>
                            <w:rPr>
                              <w:color w:val="0D0D0D" w:themeColor="text1" w:themeTint="F2"/>
                              <w:sz w:val="16"/>
                              <w:szCs w:val="16"/>
                            </w:rPr>
                          </w:pPr>
                          <w:r>
                            <w:rPr>
                              <w:rFonts w:ascii="Tahoma" w:hAnsi="Tahoma" w:cs="Tahoma" w:hint="cs"/>
                              <w:color w:val="0D0D0D"/>
                              <w:sz w:val="16"/>
                              <w:szCs w:val="16"/>
                              <w:rtl/>
                            </w:rPr>
                            <w:t xml:space="preserve">דוח </w:t>
                          </w:r>
                          <w:r w:rsidRPr="00E637A5">
                            <w:rPr>
                              <w:rFonts w:ascii="Tahoma" w:hAnsi="Tahoma" w:cs="Tahoma"/>
                              <w:color w:val="0D0D0D"/>
                              <w:sz w:val="16"/>
                              <w:szCs w:val="16"/>
                              <w:rtl/>
                            </w:rPr>
                            <w:t>מבקר המדינה | סייבר ומערכות מידע | התשפ"ג-2022</w:t>
                          </w:r>
                        </w:p>
                        <w:p w:rsidR="00F73EE0" w:rsidRPr="00457C3A" w:rsidP="00B244B0" w14:textId="50D385F3">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457C3A" w:rsidRPr="00385E24" w:rsidP="00457C3A" w14:paraId="5DC6A5E6" w14:textId="77777777">
                    <w:pPr>
                      <w:jc w:val="right"/>
                      <w:rPr>
                        <w:color w:val="0D0D0D" w:themeColor="text1" w:themeTint="F2"/>
                        <w:sz w:val="16"/>
                        <w:szCs w:val="16"/>
                      </w:rPr>
                    </w:pPr>
                    <w:r>
                      <w:rPr>
                        <w:rFonts w:ascii="Tahoma" w:hAnsi="Tahoma" w:cs="Tahoma" w:hint="cs"/>
                        <w:color w:val="0D0D0D"/>
                        <w:sz w:val="16"/>
                        <w:szCs w:val="16"/>
                        <w:rtl/>
                      </w:rPr>
                      <w:t xml:space="preserve">דוח </w:t>
                    </w:r>
                    <w:r w:rsidRPr="00E637A5">
                      <w:rPr>
                        <w:rFonts w:ascii="Tahoma" w:hAnsi="Tahoma" w:cs="Tahoma"/>
                        <w:color w:val="0D0D0D"/>
                        <w:sz w:val="16"/>
                        <w:szCs w:val="16"/>
                        <w:rtl/>
                      </w:rPr>
                      <w:t>מבקר המדינה | סייבר ומערכות מידע | התשפ"ג-2022</w:t>
                    </w:r>
                  </w:p>
                  <w:p w:rsidR="00F73EE0" w:rsidRPr="00457C3A" w:rsidP="00B244B0" w14:paraId="1CF273F4" w14:textId="50D385F3">
                    <w:pPr>
                      <w:jc w:val="right"/>
                      <w:rPr>
                        <w:color w:val="0D0D0D" w:themeColor="text1" w:themeTint="F2"/>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7456"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974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571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69FD33A">
    <w:pPr>
      <w:pStyle w:val="Header"/>
      <w:rPr>
        <w:rtl/>
      </w:rPr>
    </w:pPr>
    <w:r>
      <w:rPr>
        <w:rFonts w:ascii="Tahoma" w:hAnsi="Tahoma" w:cs="Tahoma"/>
        <w:noProof/>
        <w:color w:val="002060"/>
        <w:sz w:val="18"/>
        <w:szCs w:val="18"/>
      </w:rPr>
      <w:drawing>
        <wp:anchor distT="0" distB="0" distL="114300" distR="114300" simplePos="0" relativeHeight="251699200" behindDoc="0" locked="0" layoutInCell="1" allowOverlap="1">
          <wp:simplePos x="0" y="0"/>
          <wp:positionH relativeFrom="column">
            <wp:posOffset>4380459</wp:posOffset>
          </wp:positionH>
          <wp:positionV relativeFrom="paragraph">
            <wp:posOffset>328676</wp:posOffset>
          </wp:positionV>
          <wp:extent cx="248285" cy="298450"/>
          <wp:effectExtent l="0" t="0" r="5715" b="6350"/>
          <wp:wrapNone/>
          <wp:docPr id="6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p>
  <w:p w:rsidR="00F73EE0" w14:paraId="1CB0A19A" w14:textId="1229C555">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564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274BF7F2">
                          <w:pPr>
                            <w:pStyle w:val="Heading1"/>
                            <w:spacing w:line="269" w:lineRule="auto"/>
                            <w:jc w:val="left"/>
                            <w:rPr>
                              <w:rFonts w:ascii="Tahoma" w:hAnsi="Tahoma" w:eastAsiaTheme="minorHAnsi" w:cs="Tahoma"/>
                              <w:bCs w:val="0"/>
                              <w:color w:val="0D0D0D" w:themeColor="text1" w:themeTint="F2"/>
                              <w:sz w:val="16"/>
                              <w:szCs w:val="16"/>
                              <w:u w:val="none"/>
                            </w:rPr>
                          </w:pPr>
                          <w:r w:rsidRPr="00B925E2">
                            <w:rPr>
                              <w:rFonts w:ascii="Tahoma" w:hAnsi="Tahoma" w:eastAsiaTheme="minorHAnsi" w:cs="Tahoma"/>
                              <w:bCs w:val="0"/>
                              <w:color w:val="0D0D0D" w:themeColor="text1" w:themeTint="F2"/>
                              <w:sz w:val="16"/>
                              <w:szCs w:val="16"/>
                              <w:u w:val="none"/>
                              <w:rtl/>
                            </w:rPr>
                            <w:t>הגנת סייבר והמשכיות עסקית ביחידת שירות עיבודים ממוכנים ברשות המיסים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6672" stroked="f">
              <v:textbox style="mso-fit-shape-to-text:t">
                <w:txbxContent>
                  <w:p w:rsidR="00F73EE0" w:rsidRPr="003D62C4" w:rsidP="00F559D6" w14:paraId="111D0894" w14:textId="274BF7F2">
                    <w:pPr>
                      <w:pStyle w:val="Heading1"/>
                      <w:spacing w:line="269" w:lineRule="auto"/>
                      <w:jc w:val="left"/>
                      <w:rPr>
                        <w:rFonts w:ascii="Tahoma" w:hAnsi="Tahoma" w:eastAsiaTheme="minorHAnsi" w:cs="Tahoma"/>
                        <w:bCs w:val="0"/>
                        <w:color w:val="0D0D0D" w:themeColor="text1" w:themeTint="F2"/>
                        <w:sz w:val="16"/>
                        <w:szCs w:val="16"/>
                        <w:u w:val="none"/>
                      </w:rPr>
                    </w:pPr>
                    <w:r w:rsidRPr="00B925E2">
                      <w:rPr>
                        <w:rFonts w:ascii="Tahoma" w:hAnsi="Tahoma" w:eastAsiaTheme="minorHAnsi" w:cs="Tahoma"/>
                        <w:bCs w:val="0"/>
                        <w:color w:val="0D0D0D" w:themeColor="text1" w:themeTint="F2"/>
                        <w:sz w:val="16"/>
                        <w:szCs w:val="16"/>
                        <w:u w:val="none"/>
                        <w:rtl/>
                      </w:rPr>
                      <w:t>הגנת סייבר והמשכיות עסקית ביחידת שירות עיבודים ממוכנים ברשות המיסים</w:t>
                    </w:r>
                  </w:p>
                </w:txbxContent>
              </v:textbox>
              <w10:wrap type="square"/>
            </v:shape>
          </w:pict>
        </mc:Fallback>
      </mc:AlternateContent>
    </w:r>
  </w:p>
  <w:p w:rsidR="00F73EE0" w:rsidP="009620E7" w14:paraId="53F52C1C" w14:textId="095B1777">
    <w:pPr>
      <w:pStyle w:val="Header"/>
      <w:rPr>
        <w:rtl/>
      </w:rPr>
    </w:pPr>
    <w:r>
      <w:rPr>
        <w:noProof/>
      </w:rPr>
      <mc:AlternateContent>
        <mc:Choice Requires="wps">
          <w:drawing>
            <wp:anchor distT="0" distB="0" distL="114300" distR="114300" simplePos="0" relativeHeight="25167360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4624"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0967" w14:paraId="5B3F5A34" w14:textId="77777777">
    <w:pPr>
      <w:pStyle w:val="Header"/>
      <w:rPr>
        <w:rtl/>
      </w:rPr>
    </w:pPr>
    <w:r>
      <w:rPr>
        <w:noProof/>
        <w:rtl/>
        <w:lang w:val="he-IL"/>
      </w:rPr>
      <mc:AlternateContent>
        <mc:Choice Requires="wps">
          <w:drawing>
            <wp:anchor distT="0" distB="0" distL="114300" distR="114300" simplePos="0" relativeHeight="25169408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52770944"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E0967"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1376" filled="f" strokecolor="#a5a5a5" strokeweight="0.25pt">
              <v:stroke dashstyle="longDash"/>
              <v:textbox>
                <w:txbxContent>
                  <w:p w:rsidR="00AE0967" w:rsidRPr="00FD02CC" w:rsidP="006E67D8" w14:paraId="639CB30D"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AE0967" w:rsidP="00FD02CC" w14:paraId="28746DA9" w14:textId="77777777">
    <w:pPr>
      <w:pStyle w:val="Header"/>
      <w:ind w:firstLine="720"/>
      <w:rPr>
        <w:rtl/>
      </w:rPr>
    </w:pPr>
  </w:p>
  <w:p w:rsidR="00AE0967" w14:paraId="159FC50A" w14:textId="77777777">
    <w:pPr>
      <w:pStyle w:val="Header"/>
      <w:rPr>
        <w:rtl/>
      </w:rPr>
    </w:pPr>
  </w:p>
  <w:p w:rsidR="00AE0967" w14:paraId="2D56BF8A" w14:textId="21418880">
    <w:pPr>
      <w:pStyle w:val="Header"/>
      <w:rPr>
        <w:rtl/>
      </w:rPr>
    </w:pPr>
    <w:r>
      <w:rPr>
        <w:rFonts w:ascii="Tahoma" w:hAnsi="Tahoma" w:cs="Tahoma"/>
        <w:noProof/>
        <w:color w:val="002060"/>
        <w:sz w:val="18"/>
        <w:szCs w:val="18"/>
      </w:rPr>
      <w:drawing>
        <wp:anchor distT="0" distB="0" distL="114300" distR="114300" simplePos="0" relativeHeight="251698176" behindDoc="0" locked="0" layoutInCell="1" allowOverlap="1">
          <wp:simplePos x="0" y="0"/>
          <wp:positionH relativeFrom="column">
            <wp:posOffset>4380458</wp:posOffset>
          </wp:positionH>
          <wp:positionV relativeFrom="paragraph">
            <wp:posOffset>151130</wp:posOffset>
          </wp:positionV>
          <wp:extent cx="248285" cy="298450"/>
          <wp:effectExtent l="0" t="0" r="5715" b="6350"/>
          <wp:wrapNone/>
          <wp:docPr id="59"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9203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20527709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AE0967" w:rsidRPr="003D62C4" w:rsidP="00F559D6" w14:textId="21531A4E">
                          <w:pPr>
                            <w:pStyle w:val="Heading1"/>
                            <w:spacing w:line="269" w:lineRule="auto"/>
                            <w:jc w:val="left"/>
                            <w:rPr>
                              <w:rFonts w:ascii="Tahoma" w:hAnsi="Tahoma" w:eastAsiaTheme="minorHAnsi" w:cs="Tahoma"/>
                              <w:bCs w:val="0"/>
                              <w:color w:val="0D0D0D" w:themeColor="text1" w:themeTint="F2"/>
                              <w:sz w:val="16"/>
                              <w:szCs w:val="16"/>
                              <w:u w:val="none"/>
                            </w:rPr>
                          </w:pPr>
                          <w:r w:rsidRPr="00CE5595">
                            <w:rPr>
                              <w:rFonts w:ascii="Tahoma" w:hAnsi="Tahoma" w:eastAsiaTheme="minorHAnsi" w:cs="Tahoma"/>
                              <w:bCs w:val="0"/>
                              <w:color w:val="0D0D0D" w:themeColor="text1" w:themeTint="F2"/>
                              <w:sz w:val="16"/>
                              <w:szCs w:val="16"/>
                              <w:u w:val="none"/>
                              <w:rtl/>
                            </w:rPr>
                            <w:t>הגנת סייבר והמשכיות עסקית ביחידת שירות עיבודים ממוכנים ברשות המיסים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93056" stroked="f">
              <v:textbox style="mso-fit-shape-to-text:t">
                <w:txbxContent>
                  <w:p w:rsidR="00AE0967" w:rsidRPr="003D62C4" w:rsidP="00F559D6" w14:paraId="16923A9F" w14:textId="21531A4E">
                    <w:pPr>
                      <w:pStyle w:val="Heading1"/>
                      <w:spacing w:line="269" w:lineRule="auto"/>
                      <w:jc w:val="left"/>
                      <w:rPr>
                        <w:rFonts w:ascii="Tahoma" w:hAnsi="Tahoma" w:eastAsiaTheme="minorHAnsi" w:cs="Tahoma"/>
                        <w:bCs w:val="0"/>
                        <w:color w:val="0D0D0D" w:themeColor="text1" w:themeTint="F2"/>
                        <w:sz w:val="16"/>
                        <w:szCs w:val="16"/>
                        <w:u w:val="none"/>
                      </w:rPr>
                    </w:pPr>
                    <w:r w:rsidRPr="00CE5595">
                      <w:rPr>
                        <w:rFonts w:ascii="Tahoma" w:hAnsi="Tahoma" w:eastAsiaTheme="minorHAnsi" w:cs="Tahoma"/>
                        <w:bCs w:val="0"/>
                        <w:color w:val="0D0D0D" w:themeColor="text1" w:themeTint="F2"/>
                        <w:sz w:val="16"/>
                        <w:szCs w:val="16"/>
                        <w:u w:val="none"/>
                        <w:rtl/>
                      </w:rPr>
                      <w:t>הגנת סייבר והמשכיות עסקית ביחידת שירות עיבודים ממוכנים ברשות המיסים</w:t>
                    </w:r>
                  </w:p>
                </w:txbxContent>
              </v:textbox>
              <w10:wrap type="square"/>
            </v:shape>
          </w:pict>
        </mc:Fallback>
      </mc:AlternateContent>
    </w:r>
  </w:p>
  <w:p w:rsidR="00AE0967" w:rsidP="009620E7" w14:paraId="73FEDFBB" w14:textId="53758329">
    <w:pPr>
      <w:pStyle w:val="Header"/>
      <w:rPr>
        <w:rtl/>
      </w:rPr>
    </w:pPr>
    <w:r>
      <w:rPr>
        <w:noProof/>
      </w:rPr>
      <mc:AlternateContent>
        <mc:Choice Requires="wps">
          <w:drawing>
            <wp:anchor distT="0" distB="0" distL="114300" distR="114300" simplePos="0" relativeHeight="25168998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052770946"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91008"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0967" w:rsidP="001526AC" w14:paraId="0C925539" w14:textId="5F835BDA">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85888" behindDoc="0" locked="0" layoutInCell="1" allowOverlap="1">
              <wp:simplePos x="0" y="0"/>
              <wp:positionH relativeFrom="column">
                <wp:posOffset>-714375</wp:posOffset>
              </wp:positionH>
              <wp:positionV relativeFrom="paragraph">
                <wp:posOffset>-726440</wp:posOffset>
              </wp:positionV>
              <wp:extent cx="304800" cy="8305800"/>
              <wp:effectExtent l="0" t="0" r="12700" b="12700"/>
              <wp:wrapSquare wrapText="bothSides"/>
              <wp:docPr id="49"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305800"/>
                      </a:xfrm>
                      <a:prstGeom prst="rect">
                        <a:avLst/>
                      </a:prstGeom>
                      <a:solidFill>
                        <a:srgbClr val="00305F"/>
                      </a:solidFill>
                      <a:ln>
                        <a:solidFill>
                          <a:srgbClr val="00305F"/>
                        </a:solidFill>
                      </a:ln>
                    </wps:spPr>
                    <wps:txbx>
                      <w:txbxContent>
                        <w:p w:rsidR="00AE0967" w:rsidRPr="00DE30DA" w:rsidP="00B925E2" w14:textId="7B53C0D2">
                          <w:pPr>
                            <w:pStyle w:val="Bodytext70"/>
                            <w:shd w:val="clear" w:color="auto" w:fill="003060"/>
                            <w:rPr>
                              <w:rFonts w:ascii="Tahoma" w:hAnsi="Tahoma" w:cs="Tahoma"/>
                              <w:rtl/>
                            </w:rPr>
                          </w:pPr>
                          <w:r>
                            <w:rPr>
                              <w:rStyle w:val="Bodytext7NotBoldExact"/>
                              <w:rFonts w:hint="cs"/>
                              <w:rtl/>
                            </w:rPr>
                            <w:t>....ה</w:t>
                          </w:r>
                          <w:r>
                            <w:rPr>
                              <w:rFonts w:hint="cs"/>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B925E2" w:rsidR="00B925E2">
                            <w:rPr>
                              <w:rFonts w:ascii="Tahoma" w:hAnsi="Tahoma" w:cs="Tahoma"/>
                              <w:b/>
                              <w:bCs/>
                              <w:rtl/>
                            </w:rPr>
                            <w:t>הגנת סייבר והמשכיות עסקית ביחידת שירות עיבודים ממוכנים ברשות המיסים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24pt;height:654pt;margin-top:-57.2pt;margin-left:-56.25pt;mso-height-percent:0;mso-height-relative:margin;mso-width-percent:0;mso-width-relative:margin;mso-wrap-distance-bottom:0;mso-wrap-distance-left:9pt;mso-wrap-distance-right:9pt;mso-wrap-distance-top:0;mso-wrap-style:square;position:absolute;visibility:visible;v-text-anchor:top;z-index:251686912" fillcolor="#00305f" strokecolor="#00305f">
              <v:textbox style="layout-flow:vertical;mso-layout-flow-alt:bottom-to-top" inset="0,0,0,0">
                <w:txbxContent>
                  <w:p w:rsidR="00AE0967" w:rsidRPr="00DE30DA" w:rsidP="00B925E2" w14:paraId="729CC74D" w14:textId="7B53C0D2">
                    <w:pPr>
                      <w:pStyle w:val="Bodytext70"/>
                      <w:shd w:val="clear" w:color="auto" w:fill="003060"/>
                      <w:rPr>
                        <w:rFonts w:ascii="Tahoma" w:hAnsi="Tahoma" w:cs="Tahoma"/>
                        <w:rtl/>
                      </w:rPr>
                    </w:pPr>
                    <w:r>
                      <w:rPr>
                        <w:rStyle w:val="Bodytext7NotBoldExact"/>
                        <w:rFonts w:hint="cs"/>
                        <w:rtl/>
                      </w:rPr>
                      <w:t>....ה</w:t>
                    </w:r>
                    <w:r>
                      <w:rPr>
                        <w:rFonts w:hint="cs"/>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B925E2" w:rsidR="00B925E2">
                      <w:rPr>
                        <w:rFonts w:ascii="Tahoma" w:hAnsi="Tahoma" w:cs="Tahoma"/>
                        <w:b/>
                        <w:bCs/>
                        <w:rtl/>
                      </w:rPr>
                      <w:t>הגנת סייבר והמשכיות עסקית ביחידת שירות עיבודים ממוכנים ברשות המיסים</w:t>
                    </w:r>
                  </w:p>
                </w:txbxContent>
              </v:textbox>
              <w10:wrap type="square"/>
            </v:shape>
          </w:pict>
        </mc:Fallback>
      </mc:AlternateContent>
    </w:r>
    <w:r>
      <w:rPr>
        <w:noProof/>
        <w:rtl/>
        <w:lang w:val="he-IL"/>
      </w:rPr>
      <mc:AlternateContent>
        <mc:Choice Requires="wps">
          <w:drawing>
            <wp:anchor distT="0" distB="0" distL="114300" distR="114300" simplePos="0" relativeHeight="25168793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44"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E0967"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7520" filled="f" strokecolor="#a5a5a5" strokeweight="0.25pt">
              <v:stroke dashstyle="longDash"/>
              <v:textbox>
                <w:txbxContent>
                  <w:p w:rsidR="00AE0967" w:rsidRPr="00FD02CC" w:rsidP="006E67D8" w14:paraId="3FF43572"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AE0967" w:rsidP="001526AC" w14:paraId="64DC27DF" w14:textId="77777777">
    <w:pPr>
      <w:pStyle w:val="Header"/>
      <w:tabs>
        <w:tab w:val="left" w:pos="493"/>
        <w:tab w:val="center" w:pos="4111"/>
        <w:tab w:val="clear" w:pos="4153"/>
        <w:tab w:val="right" w:pos="7478"/>
        <w:tab w:val="right" w:pos="8222"/>
        <w:tab w:val="clear" w:pos="8306"/>
      </w:tabs>
      <w:jc w:val="left"/>
      <w:rPr>
        <w:rtl/>
      </w:rPr>
    </w:pPr>
  </w:p>
  <w:p w:rsidR="00AE0967" w:rsidRPr="001526AC" w:rsidP="00005B23" w14:paraId="6CF290BE" w14:textId="1FC6F725">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97152" behindDoc="0" locked="0" layoutInCell="1" allowOverlap="1">
          <wp:simplePos x="0" y="0"/>
          <wp:positionH relativeFrom="column">
            <wp:posOffset>-60020</wp:posOffset>
          </wp:positionH>
          <wp:positionV relativeFrom="paragraph">
            <wp:posOffset>358496</wp:posOffset>
          </wp:positionV>
          <wp:extent cx="343535" cy="240030"/>
          <wp:effectExtent l="0" t="0" r="0" b="7620"/>
          <wp:wrapSquare wrapText="bothSides"/>
          <wp:docPr id="58"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B30F3">
      <w:rPr>
        <w:rFonts w:ascii="Tahoma" w:hAnsi="Tahoma" w:cs="Tahoma"/>
        <w:noProof/>
        <w:color w:val="002060"/>
        <w:sz w:val="18"/>
        <w:szCs w:val="18"/>
      </w:rPr>
      <mc:AlternateContent>
        <mc:Choice Requires="wps">
          <w:drawing>
            <wp:anchor distT="45720" distB="45720" distL="114300" distR="114300" simplePos="0" relativeHeight="251681792"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457C3A" w:rsidRPr="00385E24" w:rsidP="00457C3A" w14:textId="77777777">
                          <w:pPr>
                            <w:jc w:val="right"/>
                            <w:rPr>
                              <w:color w:val="0D0D0D" w:themeColor="text1" w:themeTint="F2"/>
                              <w:sz w:val="16"/>
                              <w:szCs w:val="16"/>
                            </w:rPr>
                          </w:pPr>
                          <w:r>
                            <w:rPr>
                              <w:rFonts w:ascii="Tahoma" w:hAnsi="Tahoma" w:cs="Tahoma" w:hint="cs"/>
                              <w:color w:val="0D0D0D"/>
                              <w:sz w:val="16"/>
                              <w:szCs w:val="16"/>
                              <w:rtl/>
                            </w:rPr>
                            <w:t xml:space="preserve">דוח </w:t>
                          </w:r>
                          <w:r w:rsidRPr="00E637A5">
                            <w:rPr>
                              <w:rFonts w:ascii="Tahoma" w:hAnsi="Tahoma" w:cs="Tahoma"/>
                              <w:color w:val="0D0D0D"/>
                              <w:sz w:val="16"/>
                              <w:szCs w:val="16"/>
                              <w:rtl/>
                            </w:rPr>
                            <w:t>מבקר המדינה | סייבר ומערכות מידע | התשפ"ג-2022</w:t>
                          </w:r>
                        </w:p>
                        <w:p w:rsidR="00AE0967" w:rsidRPr="00457C3A" w:rsidP="00136A3E" w14:textId="47784137">
                          <w:pPr>
                            <w:jc w:val="right"/>
                            <w:rPr>
                              <w:color w:val="0D0D0D"/>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2816" strokecolor="white">
              <v:textbox>
                <w:txbxContent>
                  <w:p w:rsidR="00457C3A" w:rsidRPr="00385E24" w:rsidP="00457C3A" w14:paraId="6B6AAC5A" w14:textId="77777777">
                    <w:pPr>
                      <w:jc w:val="right"/>
                      <w:rPr>
                        <w:color w:val="0D0D0D" w:themeColor="text1" w:themeTint="F2"/>
                        <w:sz w:val="16"/>
                        <w:szCs w:val="16"/>
                      </w:rPr>
                    </w:pPr>
                    <w:r>
                      <w:rPr>
                        <w:rFonts w:ascii="Tahoma" w:hAnsi="Tahoma" w:cs="Tahoma" w:hint="cs"/>
                        <w:color w:val="0D0D0D"/>
                        <w:sz w:val="16"/>
                        <w:szCs w:val="16"/>
                        <w:rtl/>
                      </w:rPr>
                      <w:t xml:space="preserve">דוח </w:t>
                    </w:r>
                    <w:r w:rsidRPr="00E637A5">
                      <w:rPr>
                        <w:rFonts w:ascii="Tahoma" w:hAnsi="Tahoma" w:cs="Tahoma"/>
                        <w:color w:val="0D0D0D"/>
                        <w:sz w:val="16"/>
                        <w:szCs w:val="16"/>
                        <w:rtl/>
                      </w:rPr>
                      <w:t>מבקר המדינה | סייבר ומערכות מידע | התשפ"ג-2022</w:t>
                    </w:r>
                  </w:p>
                  <w:p w:rsidR="00AE0967" w:rsidRPr="00457C3A" w:rsidP="00136A3E" w14:paraId="66B791C1" w14:textId="47784137">
                    <w:pPr>
                      <w:jc w:val="right"/>
                      <w:rPr>
                        <w:color w:val="0D0D0D"/>
                        <w:sz w:val="16"/>
                        <w:szCs w:val="16"/>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4864" from="-4.4pt,50.4pt" to="524.85pt,50.4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438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233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F73EE0"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65"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F73EE0"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F73EE0"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66"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F73EE0"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540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3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srael-blue.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D7047C0"/>
    <w:lvl w:ilvl="0">
      <w:start w:val="1"/>
      <w:numFmt w:val="decimal"/>
      <w:lvlText w:val="%1."/>
      <w:lvlJc w:val="left"/>
      <w:pPr>
        <w:tabs>
          <w:tab w:val="num" w:pos="1492"/>
        </w:tabs>
        <w:ind w:left="1492" w:hanging="360"/>
      </w:pPr>
    </w:lvl>
  </w:abstractNum>
  <w:abstractNum w:abstractNumId="1">
    <w:nsid w:val="FFFFFF7D"/>
    <w:multiLevelType w:val="singleLevel"/>
    <w:tmpl w:val="0A2A534C"/>
    <w:lvl w:ilvl="0">
      <w:start w:val="1"/>
      <w:numFmt w:val="decimal"/>
      <w:lvlText w:val="%1."/>
      <w:lvlJc w:val="left"/>
      <w:pPr>
        <w:tabs>
          <w:tab w:val="num" w:pos="1209"/>
        </w:tabs>
        <w:ind w:left="1209" w:hanging="360"/>
      </w:pPr>
    </w:lvl>
  </w:abstractNum>
  <w:abstractNum w:abstractNumId="2">
    <w:nsid w:val="FFFFFF7F"/>
    <w:multiLevelType w:val="singleLevel"/>
    <w:tmpl w:val="1F5C7E14"/>
    <w:lvl w:ilvl="0">
      <w:start w:val="1"/>
      <w:numFmt w:val="decimal"/>
      <w:lvlText w:val="%1."/>
      <w:lvlJc w:val="left"/>
      <w:pPr>
        <w:tabs>
          <w:tab w:val="num" w:pos="643"/>
        </w:tabs>
        <w:ind w:left="643" w:hanging="360"/>
      </w:pPr>
    </w:lvl>
  </w:abstractNum>
  <w:abstractNum w:abstractNumId="3">
    <w:nsid w:val="FFFFFF80"/>
    <w:multiLevelType w:val="singleLevel"/>
    <w:tmpl w:val="130E3DFA"/>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F61E785A"/>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B4C0A44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F70C44C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582CF736"/>
    <w:lvl w:ilvl="0">
      <w:start w:val="1"/>
      <w:numFmt w:val="bullet"/>
      <w:lvlText w:val=""/>
      <w:lvlJc w:val="left"/>
      <w:pPr>
        <w:tabs>
          <w:tab w:val="num" w:pos="360"/>
        </w:tabs>
        <w:ind w:left="360" w:hanging="360"/>
      </w:pPr>
      <w:rPr>
        <w:rFonts w:ascii="Symbol" w:hAnsi="Symbol" w:hint="default"/>
      </w:rPr>
    </w:lvl>
  </w:abstractNum>
  <w:abstractNum w:abstractNumId="8">
    <w:nsid w:val="04931B38"/>
    <w:multiLevelType w:val="hybridMultilevel"/>
    <w:tmpl w:val="47388E4C"/>
    <w:lvl w:ilvl="0">
      <w:start w:val="4"/>
      <w:numFmt w:val="decimal"/>
      <w:lvlText w:val="%1."/>
      <w:lvlJc w:val="right"/>
      <w:pPr>
        <w:ind w:left="357" w:hanging="357"/>
      </w:pPr>
      <w:rPr>
        <w:rFonts w:hint="default"/>
      </w:rPr>
    </w:lvl>
    <w:lvl w:ilvl="1" w:tentative="1">
      <w:start w:val="1"/>
      <w:numFmt w:val="lowerLetter"/>
      <w:lvlText w:val="%2."/>
      <w:lvlJc w:val="left"/>
      <w:pPr>
        <w:ind w:left="2234" w:hanging="360"/>
      </w:pPr>
    </w:lvl>
    <w:lvl w:ilvl="2" w:tentative="1">
      <w:start w:val="1"/>
      <w:numFmt w:val="lowerRoman"/>
      <w:lvlText w:val="%3."/>
      <w:lvlJc w:val="right"/>
      <w:pPr>
        <w:ind w:left="2954" w:hanging="180"/>
      </w:pPr>
    </w:lvl>
    <w:lvl w:ilvl="3" w:tentative="1">
      <w:start w:val="1"/>
      <w:numFmt w:val="decimal"/>
      <w:lvlText w:val="%4."/>
      <w:lvlJc w:val="left"/>
      <w:pPr>
        <w:ind w:left="3674" w:hanging="360"/>
      </w:pPr>
    </w:lvl>
    <w:lvl w:ilvl="4" w:tentative="1">
      <w:start w:val="1"/>
      <w:numFmt w:val="lowerLetter"/>
      <w:lvlText w:val="%5."/>
      <w:lvlJc w:val="left"/>
      <w:pPr>
        <w:ind w:left="4394" w:hanging="360"/>
      </w:pPr>
    </w:lvl>
    <w:lvl w:ilvl="5" w:tentative="1">
      <w:start w:val="1"/>
      <w:numFmt w:val="lowerRoman"/>
      <w:lvlText w:val="%6."/>
      <w:lvlJc w:val="right"/>
      <w:pPr>
        <w:ind w:left="5114" w:hanging="180"/>
      </w:pPr>
    </w:lvl>
    <w:lvl w:ilvl="6" w:tentative="1">
      <w:start w:val="1"/>
      <w:numFmt w:val="decimal"/>
      <w:lvlText w:val="%7."/>
      <w:lvlJc w:val="left"/>
      <w:pPr>
        <w:ind w:left="5834" w:hanging="360"/>
      </w:pPr>
    </w:lvl>
    <w:lvl w:ilvl="7" w:tentative="1">
      <w:start w:val="1"/>
      <w:numFmt w:val="lowerLetter"/>
      <w:lvlText w:val="%8."/>
      <w:lvlJc w:val="left"/>
      <w:pPr>
        <w:ind w:left="6554" w:hanging="360"/>
      </w:pPr>
    </w:lvl>
    <w:lvl w:ilvl="8" w:tentative="1">
      <w:start w:val="1"/>
      <w:numFmt w:val="lowerRoman"/>
      <w:lvlText w:val="%9."/>
      <w:lvlJc w:val="right"/>
      <w:pPr>
        <w:ind w:left="7274" w:hanging="180"/>
      </w:p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D2A31C3"/>
    <w:multiLevelType w:val="multilevel"/>
    <w:tmpl w:val="BEA431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CB5BF3"/>
    <w:multiLevelType w:val="multilevel"/>
    <w:tmpl w:val="646C0440"/>
    <w:lvl w:ilvl="0">
      <w:start w:val="1"/>
      <w:numFmt w:val="decimal"/>
      <w:lvlText w:val="%1."/>
      <w:lvlJc w:val="left"/>
      <w:pPr>
        <w:ind w:left="340" w:hanging="340"/>
      </w:pPr>
      <w:rPr>
        <w:rFonts w:hint="default"/>
      </w:rPr>
    </w:lvl>
    <w:lvl w:ilvl="1">
      <w:start w:val="1"/>
      <w:numFmt w:val="none"/>
      <w:pStyle w:val="737"/>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1D1F547A"/>
    <w:multiLevelType w:val="hybridMultilevel"/>
    <w:tmpl w:val="CA5EED8A"/>
    <w:lvl w:ilvl="0">
      <w:start w:val="1"/>
      <w:numFmt w:val="hebrew1"/>
      <w:lvlText w:val="%1."/>
      <w:lvlJc w:val="left"/>
      <w:pPr>
        <w:ind w:left="703" w:hanging="346"/>
      </w:pPr>
      <w:rPr>
        <w:rFonts w:ascii="Tahoma" w:hAnsi="Tahoma" w:eastAsiaTheme="minorHAnsi" w:cs="Tahoma" w:hint="default"/>
      </w:rPr>
    </w:lvl>
    <w:lvl w:ilvl="1" w:tentative="1">
      <w:start w:val="1"/>
      <w:numFmt w:val="lowerLetter"/>
      <w:lvlText w:val="%2."/>
      <w:lvlJc w:val="left"/>
      <w:pPr>
        <w:ind w:left="2234" w:hanging="360"/>
      </w:pPr>
    </w:lvl>
    <w:lvl w:ilvl="2" w:tentative="1">
      <w:start w:val="1"/>
      <w:numFmt w:val="lowerRoman"/>
      <w:lvlText w:val="%3."/>
      <w:lvlJc w:val="right"/>
      <w:pPr>
        <w:ind w:left="2954" w:hanging="180"/>
      </w:pPr>
    </w:lvl>
    <w:lvl w:ilvl="3" w:tentative="1">
      <w:start w:val="1"/>
      <w:numFmt w:val="decimal"/>
      <w:lvlText w:val="%4."/>
      <w:lvlJc w:val="left"/>
      <w:pPr>
        <w:ind w:left="3674" w:hanging="360"/>
      </w:pPr>
    </w:lvl>
    <w:lvl w:ilvl="4" w:tentative="1">
      <w:start w:val="1"/>
      <w:numFmt w:val="lowerLetter"/>
      <w:lvlText w:val="%5."/>
      <w:lvlJc w:val="left"/>
      <w:pPr>
        <w:ind w:left="4394" w:hanging="360"/>
      </w:pPr>
    </w:lvl>
    <w:lvl w:ilvl="5" w:tentative="1">
      <w:start w:val="1"/>
      <w:numFmt w:val="lowerRoman"/>
      <w:lvlText w:val="%6."/>
      <w:lvlJc w:val="right"/>
      <w:pPr>
        <w:ind w:left="5114" w:hanging="180"/>
      </w:pPr>
    </w:lvl>
    <w:lvl w:ilvl="6" w:tentative="1">
      <w:start w:val="1"/>
      <w:numFmt w:val="decimal"/>
      <w:lvlText w:val="%7."/>
      <w:lvlJc w:val="left"/>
      <w:pPr>
        <w:ind w:left="5834" w:hanging="360"/>
      </w:pPr>
    </w:lvl>
    <w:lvl w:ilvl="7" w:tentative="1">
      <w:start w:val="1"/>
      <w:numFmt w:val="lowerLetter"/>
      <w:lvlText w:val="%8."/>
      <w:lvlJc w:val="left"/>
      <w:pPr>
        <w:ind w:left="6554" w:hanging="360"/>
      </w:pPr>
    </w:lvl>
    <w:lvl w:ilvl="8" w:tentative="1">
      <w:start w:val="1"/>
      <w:numFmt w:val="lowerRoman"/>
      <w:lvlText w:val="%9."/>
      <w:lvlJc w:val="right"/>
      <w:pPr>
        <w:ind w:left="7274" w:hanging="180"/>
      </w:pPr>
    </w:lvl>
  </w:abstractNum>
  <w:abstractNum w:abstractNumId="14">
    <w:nsid w:val="265A7F01"/>
    <w:multiLevelType w:val="hybridMultilevel"/>
    <w:tmpl w:val="9B8E4368"/>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683759"/>
    <w:multiLevelType w:val="hybridMultilevel"/>
    <w:tmpl w:val="7D36FD82"/>
    <w:lvl w:ilvl="0">
      <w:start w:val="1"/>
      <w:numFmt w:val="bullet"/>
      <w:lvlText w:val=""/>
      <w:lvlJc w:val="left"/>
      <w:pPr>
        <w:ind w:left="720" w:hanging="360"/>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BC1088C"/>
    <w:multiLevelType w:val="multilevel"/>
    <w:tmpl w:val="1EAC27C8"/>
    <w:lvl w:ilvl="0">
      <w:start w:val="1"/>
      <w:numFmt w:val="decimal"/>
      <w:pStyle w:val="73110"/>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3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3C1F261F"/>
    <w:multiLevelType w:val="hybridMultilevel"/>
    <w:tmpl w:val="84B6BDA2"/>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7A47D9"/>
    <w:multiLevelType w:val="hybridMultilevel"/>
    <w:tmpl w:val="152207B2"/>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523222"/>
    <w:multiLevelType w:val="hybridMultilevel"/>
    <w:tmpl w:val="4240DD04"/>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4A2C3185"/>
    <w:multiLevelType w:val="hybridMultilevel"/>
    <w:tmpl w:val="EE88987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05B6728"/>
    <w:multiLevelType w:val="hybridMultilevel"/>
    <w:tmpl w:val="7BD4192A"/>
    <w:lvl w:ilvl="0">
      <w:start w:val="1"/>
      <w:numFmt w:val="bullet"/>
      <w:lvlText w:val=""/>
      <w:lvlJc w:val="left"/>
      <w:pPr>
        <w:ind w:left="720" w:hanging="360"/>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6">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7">
    <w:nsid w:val="5FD07B3B"/>
    <w:multiLevelType w:val="hybridMultilevel"/>
    <w:tmpl w:val="3A4E13FE"/>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center"/>
      <w:pPr>
        <w:ind w:left="1080" w:hanging="360"/>
      </w:pPr>
      <w:rPr>
        <w:b w:val="0"/>
        <w:bCs w:val="0"/>
        <w:i w:val="0"/>
        <w:iCs w:val="0"/>
        <w:sz w:val="24"/>
        <w:szCs w:val="24"/>
      </w:rPr>
    </w:lvl>
    <w:lvl w:ilvl="2">
      <w:start w:val="1"/>
      <w:numFmt w:val="decimal"/>
      <w:pStyle w:val="35"/>
      <w:lvlText w:val="%3)"/>
      <w:lvlJc w:val="left"/>
      <w:pPr>
        <w:ind w:left="1800" w:hanging="180"/>
      </w:pPr>
      <w:rPr>
        <w:b w:val="0"/>
        <w:bCs w:val="0"/>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6756F7D"/>
    <w:multiLevelType w:val="hybridMultilevel"/>
    <w:tmpl w:val="225458D8"/>
    <w:lvl w:ilvl="0">
      <w:start w:val="1"/>
      <w:numFmt w:val="decimal"/>
      <w:lvlText w:val="%1."/>
      <w:lvlJc w:val="left"/>
      <w:pPr>
        <w:ind w:left="357" w:hanging="357"/>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29E61EC"/>
    <w:multiLevelType w:val="hybridMultilevel"/>
    <w:tmpl w:val="78CA63FE"/>
    <w:lvl w:ilvl="0">
      <w:start w:val="1"/>
      <w:numFmt w:val="bullet"/>
      <w:lvlText w:val=""/>
      <w:lvlJc w:val="left"/>
      <w:pPr>
        <w:ind w:left="75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2"/>
  </w:num>
  <w:num w:numId="2">
    <w:abstractNumId w:val="18"/>
  </w:num>
  <w:num w:numId="3">
    <w:abstractNumId w:val="25"/>
  </w:num>
  <w:num w:numId="4">
    <w:abstractNumId w:val="16"/>
  </w:num>
  <w:num w:numId="5">
    <w:abstractNumId w:val="17"/>
  </w:num>
  <w:num w:numId="6">
    <w:abstractNumId w:val="30"/>
  </w:num>
  <w:num w:numId="7">
    <w:abstractNumId w:val="9"/>
  </w:num>
  <w:num w:numId="8">
    <w:abstractNumId w:val="22"/>
  </w:num>
  <w:num w:numId="9">
    <w:abstractNumId w:val="26"/>
  </w:num>
  <w:num w:numId="10">
    <w:abstractNumId w:val="11"/>
  </w:num>
  <w:num w:numId="11">
    <w:abstractNumId w:val="21"/>
  </w:num>
  <w:num w:numId="12">
    <w:abstractNumId w:val="27"/>
  </w:num>
  <w:num w:numId="13">
    <w:abstractNumId w:val="28"/>
  </w:num>
  <w:num w:numId="14">
    <w:abstractNumId w:val="19"/>
  </w:num>
  <w:num w:numId="15">
    <w:abstractNumId w:val="10"/>
  </w:num>
  <w:num w:numId="16">
    <w:abstractNumId w:val="13"/>
  </w:num>
  <w:num w:numId="17">
    <w:abstractNumId w:val="8"/>
  </w:num>
  <w:num w:numId="18">
    <w:abstractNumId w:val="23"/>
  </w:num>
  <w:num w:numId="19">
    <w:abstractNumId w:val="20"/>
  </w:num>
  <w:num w:numId="20">
    <w:abstractNumId w:val="3"/>
  </w:num>
  <w:num w:numId="21">
    <w:abstractNumId w:val="4"/>
  </w:num>
  <w:num w:numId="22">
    <w:abstractNumId w:val="5"/>
  </w:num>
  <w:num w:numId="23">
    <w:abstractNumId w:val="6"/>
  </w:num>
  <w:num w:numId="24">
    <w:abstractNumId w:val="7"/>
  </w:num>
  <w:num w:numId="25">
    <w:abstractNumId w:val="0"/>
  </w:num>
  <w:num w:numId="26">
    <w:abstractNumId w:val="1"/>
  </w:num>
  <w:num w:numId="27">
    <w:abstractNumId w:val="2"/>
  </w:num>
  <w:num w:numId="28">
    <w:abstractNumId w:val="15"/>
  </w:num>
  <w:num w:numId="29">
    <w:abstractNumId w:val="24"/>
  </w:num>
  <w:num w:numId="30">
    <w:abstractNumId w:val="14"/>
  </w:num>
  <w:num w:numId="31">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1"/>
  <w:displayBackgroundShape/>
  <w:gutterAtTop/>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4F7F"/>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4AF"/>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27D89"/>
    <w:rsid w:val="0003001D"/>
    <w:rsid w:val="000303C9"/>
    <w:rsid w:val="00031C68"/>
    <w:rsid w:val="00031C69"/>
    <w:rsid w:val="00031CEB"/>
    <w:rsid w:val="00032932"/>
    <w:rsid w:val="00032B23"/>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3F9D"/>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779"/>
    <w:rsid w:val="00052AE4"/>
    <w:rsid w:val="00052E94"/>
    <w:rsid w:val="000532AA"/>
    <w:rsid w:val="00053AA7"/>
    <w:rsid w:val="00053D09"/>
    <w:rsid w:val="00054562"/>
    <w:rsid w:val="00054B57"/>
    <w:rsid w:val="0005582D"/>
    <w:rsid w:val="0005596D"/>
    <w:rsid w:val="00055A52"/>
    <w:rsid w:val="00055CB5"/>
    <w:rsid w:val="00055E07"/>
    <w:rsid w:val="00055E4C"/>
    <w:rsid w:val="00055EC9"/>
    <w:rsid w:val="00056B3E"/>
    <w:rsid w:val="000571B9"/>
    <w:rsid w:val="0005725C"/>
    <w:rsid w:val="00057574"/>
    <w:rsid w:val="00057852"/>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1A43"/>
    <w:rsid w:val="000A22CF"/>
    <w:rsid w:val="000A26F1"/>
    <w:rsid w:val="000A2BD8"/>
    <w:rsid w:val="000A3690"/>
    <w:rsid w:val="000A3E74"/>
    <w:rsid w:val="000A3ED4"/>
    <w:rsid w:val="000A4686"/>
    <w:rsid w:val="000A4F64"/>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562"/>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586"/>
    <w:rsid w:val="000D0837"/>
    <w:rsid w:val="000D11EB"/>
    <w:rsid w:val="000D1714"/>
    <w:rsid w:val="000D2056"/>
    <w:rsid w:val="000D215D"/>
    <w:rsid w:val="000D22F0"/>
    <w:rsid w:val="000D2A57"/>
    <w:rsid w:val="000D2CDA"/>
    <w:rsid w:val="000D2F7F"/>
    <w:rsid w:val="000D2F93"/>
    <w:rsid w:val="000D2FE7"/>
    <w:rsid w:val="000D4B88"/>
    <w:rsid w:val="000D4CAB"/>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36A"/>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2C1"/>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052"/>
    <w:rsid w:val="00102185"/>
    <w:rsid w:val="0010231B"/>
    <w:rsid w:val="0010237C"/>
    <w:rsid w:val="0010413A"/>
    <w:rsid w:val="00104BF9"/>
    <w:rsid w:val="00104FBC"/>
    <w:rsid w:val="00105970"/>
    <w:rsid w:val="00106A59"/>
    <w:rsid w:val="00107175"/>
    <w:rsid w:val="0010747A"/>
    <w:rsid w:val="00107A35"/>
    <w:rsid w:val="00107D4A"/>
    <w:rsid w:val="0011021D"/>
    <w:rsid w:val="0011146E"/>
    <w:rsid w:val="0011186B"/>
    <w:rsid w:val="00111AD4"/>
    <w:rsid w:val="00111B30"/>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0E3"/>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0BCB"/>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25C"/>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41CE"/>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91C"/>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6450"/>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90C"/>
    <w:rsid w:val="001C3ED9"/>
    <w:rsid w:val="001C450A"/>
    <w:rsid w:val="001C45D9"/>
    <w:rsid w:val="001C49B8"/>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47C8"/>
    <w:rsid w:val="001D662B"/>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5F39"/>
    <w:rsid w:val="001E61C9"/>
    <w:rsid w:val="001E641F"/>
    <w:rsid w:val="001E657C"/>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D89"/>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754"/>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CBF"/>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4BE"/>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84A"/>
    <w:rsid w:val="00276D55"/>
    <w:rsid w:val="00277114"/>
    <w:rsid w:val="002774D4"/>
    <w:rsid w:val="0028138F"/>
    <w:rsid w:val="002813A0"/>
    <w:rsid w:val="00281F46"/>
    <w:rsid w:val="00282151"/>
    <w:rsid w:val="00282246"/>
    <w:rsid w:val="00282C5A"/>
    <w:rsid w:val="00282D4B"/>
    <w:rsid w:val="00283FFC"/>
    <w:rsid w:val="0028406A"/>
    <w:rsid w:val="002841CB"/>
    <w:rsid w:val="002844F7"/>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226"/>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2126"/>
    <w:rsid w:val="002B30DB"/>
    <w:rsid w:val="002B3A8C"/>
    <w:rsid w:val="002B55FA"/>
    <w:rsid w:val="002B5A1F"/>
    <w:rsid w:val="002B5C10"/>
    <w:rsid w:val="002B5C6F"/>
    <w:rsid w:val="002B5D24"/>
    <w:rsid w:val="002B5D65"/>
    <w:rsid w:val="002B5EF2"/>
    <w:rsid w:val="002B637F"/>
    <w:rsid w:val="002B65DC"/>
    <w:rsid w:val="002B6803"/>
    <w:rsid w:val="002B6FB4"/>
    <w:rsid w:val="002B730D"/>
    <w:rsid w:val="002C06EB"/>
    <w:rsid w:val="002C1BB5"/>
    <w:rsid w:val="002C1C4D"/>
    <w:rsid w:val="002C1D86"/>
    <w:rsid w:val="002C1EE0"/>
    <w:rsid w:val="002C28D3"/>
    <w:rsid w:val="002C2B0E"/>
    <w:rsid w:val="002C316A"/>
    <w:rsid w:val="002C3870"/>
    <w:rsid w:val="002C3B87"/>
    <w:rsid w:val="002C3D55"/>
    <w:rsid w:val="002C4139"/>
    <w:rsid w:val="002C4302"/>
    <w:rsid w:val="002C4F9F"/>
    <w:rsid w:val="002C54FF"/>
    <w:rsid w:val="002C58AD"/>
    <w:rsid w:val="002C65B3"/>
    <w:rsid w:val="002C6D22"/>
    <w:rsid w:val="002C70A2"/>
    <w:rsid w:val="002C7A5A"/>
    <w:rsid w:val="002C7D35"/>
    <w:rsid w:val="002C7D84"/>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07E0"/>
    <w:rsid w:val="002F1184"/>
    <w:rsid w:val="002F11D2"/>
    <w:rsid w:val="002F143B"/>
    <w:rsid w:val="002F1452"/>
    <w:rsid w:val="002F1610"/>
    <w:rsid w:val="002F2019"/>
    <w:rsid w:val="002F24F0"/>
    <w:rsid w:val="002F29CA"/>
    <w:rsid w:val="002F2C5D"/>
    <w:rsid w:val="002F3162"/>
    <w:rsid w:val="002F3B2B"/>
    <w:rsid w:val="002F42B0"/>
    <w:rsid w:val="002F430E"/>
    <w:rsid w:val="002F44B2"/>
    <w:rsid w:val="002F4761"/>
    <w:rsid w:val="002F5163"/>
    <w:rsid w:val="002F5293"/>
    <w:rsid w:val="002F5455"/>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188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3E8"/>
    <w:rsid w:val="00334708"/>
    <w:rsid w:val="00334A65"/>
    <w:rsid w:val="00334D20"/>
    <w:rsid w:val="00335267"/>
    <w:rsid w:val="0033564C"/>
    <w:rsid w:val="003356A2"/>
    <w:rsid w:val="0033582C"/>
    <w:rsid w:val="00335A0A"/>
    <w:rsid w:val="00335CDC"/>
    <w:rsid w:val="0033672B"/>
    <w:rsid w:val="00337048"/>
    <w:rsid w:val="003370BA"/>
    <w:rsid w:val="003372D0"/>
    <w:rsid w:val="003374BB"/>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162"/>
    <w:rsid w:val="00352339"/>
    <w:rsid w:val="003525D4"/>
    <w:rsid w:val="00352FE4"/>
    <w:rsid w:val="0035300F"/>
    <w:rsid w:val="00353EBE"/>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6F41"/>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D6"/>
    <w:rsid w:val="003843E4"/>
    <w:rsid w:val="00384988"/>
    <w:rsid w:val="00384EDD"/>
    <w:rsid w:val="00385426"/>
    <w:rsid w:val="003855E1"/>
    <w:rsid w:val="0038575C"/>
    <w:rsid w:val="00385CBB"/>
    <w:rsid w:val="00385E24"/>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4D4"/>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833"/>
    <w:rsid w:val="003B7A94"/>
    <w:rsid w:val="003B7CBC"/>
    <w:rsid w:val="003C0919"/>
    <w:rsid w:val="003C0A02"/>
    <w:rsid w:val="003C2143"/>
    <w:rsid w:val="003C22AC"/>
    <w:rsid w:val="003C2534"/>
    <w:rsid w:val="003C26AC"/>
    <w:rsid w:val="003C2701"/>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5A3"/>
    <w:rsid w:val="003F3D90"/>
    <w:rsid w:val="003F3E9D"/>
    <w:rsid w:val="003F4681"/>
    <w:rsid w:val="003F48CD"/>
    <w:rsid w:val="003F4A41"/>
    <w:rsid w:val="003F5B6A"/>
    <w:rsid w:val="003F5DEF"/>
    <w:rsid w:val="003F6A36"/>
    <w:rsid w:val="003F6CB2"/>
    <w:rsid w:val="003F6D65"/>
    <w:rsid w:val="003F6E07"/>
    <w:rsid w:val="003F7085"/>
    <w:rsid w:val="003F733D"/>
    <w:rsid w:val="003F782E"/>
    <w:rsid w:val="003F7B2B"/>
    <w:rsid w:val="004002DD"/>
    <w:rsid w:val="00400D5E"/>
    <w:rsid w:val="00401ED1"/>
    <w:rsid w:val="00402817"/>
    <w:rsid w:val="004028C2"/>
    <w:rsid w:val="004029F9"/>
    <w:rsid w:val="004031B5"/>
    <w:rsid w:val="00403EED"/>
    <w:rsid w:val="0040422D"/>
    <w:rsid w:val="004045D8"/>
    <w:rsid w:val="0040494A"/>
    <w:rsid w:val="00405277"/>
    <w:rsid w:val="0040531A"/>
    <w:rsid w:val="004064E0"/>
    <w:rsid w:val="00406518"/>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D25"/>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2B51"/>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4AB5"/>
    <w:rsid w:val="004453BB"/>
    <w:rsid w:val="00445522"/>
    <w:rsid w:val="0044619B"/>
    <w:rsid w:val="00446802"/>
    <w:rsid w:val="004470C5"/>
    <w:rsid w:val="00447106"/>
    <w:rsid w:val="004474BB"/>
    <w:rsid w:val="004475E5"/>
    <w:rsid w:val="004503E1"/>
    <w:rsid w:val="004506EE"/>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148"/>
    <w:rsid w:val="00455BC0"/>
    <w:rsid w:val="00455C7E"/>
    <w:rsid w:val="00455D98"/>
    <w:rsid w:val="004562F8"/>
    <w:rsid w:val="0045637F"/>
    <w:rsid w:val="00456A60"/>
    <w:rsid w:val="00456AD9"/>
    <w:rsid w:val="00456F88"/>
    <w:rsid w:val="00457ADE"/>
    <w:rsid w:val="00457C3A"/>
    <w:rsid w:val="00460179"/>
    <w:rsid w:val="00460B1C"/>
    <w:rsid w:val="00460FB8"/>
    <w:rsid w:val="004617CF"/>
    <w:rsid w:val="00461C51"/>
    <w:rsid w:val="004622BB"/>
    <w:rsid w:val="00462348"/>
    <w:rsid w:val="004626B6"/>
    <w:rsid w:val="004633B8"/>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C9B"/>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0E4"/>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A8E"/>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1BE2"/>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564"/>
    <w:rsid w:val="004E776C"/>
    <w:rsid w:val="004E7906"/>
    <w:rsid w:val="004E7A25"/>
    <w:rsid w:val="004E7F0D"/>
    <w:rsid w:val="004F01B0"/>
    <w:rsid w:val="004F05C6"/>
    <w:rsid w:val="004F1244"/>
    <w:rsid w:val="004F19E2"/>
    <w:rsid w:val="004F1D1F"/>
    <w:rsid w:val="004F1F0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425"/>
    <w:rsid w:val="005048AA"/>
    <w:rsid w:val="005048E9"/>
    <w:rsid w:val="00504A34"/>
    <w:rsid w:val="00505366"/>
    <w:rsid w:val="0050657A"/>
    <w:rsid w:val="00507986"/>
    <w:rsid w:val="00510184"/>
    <w:rsid w:val="00510973"/>
    <w:rsid w:val="00510A6C"/>
    <w:rsid w:val="00510D89"/>
    <w:rsid w:val="00511F6D"/>
    <w:rsid w:val="005122B5"/>
    <w:rsid w:val="005125A5"/>
    <w:rsid w:val="00512DCB"/>
    <w:rsid w:val="005130A4"/>
    <w:rsid w:val="0051326F"/>
    <w:rsid w:val="00513BCD"/>
    <w:rsid w:val="00513F33"/>
    <w:rsid w:val="005147FC"/>
    <w:rsid w:val="00514AB8"/>
    <w:rsid w:val="00514DD2"/>
    <w:rsid w:val="005158BE"/>
    <w:rsid w:val="00515C82"/>
    <w:rsid w:val="005164BC"/>
    <w:rsid w:val="00516835"/>
    <w:rsid w:val="005169B9"/>
    <w:rsid w:val="00516FB8"/>
    <w:rsid w:val="00517613"/>
    <w:rsid w:val="00517AA9"/>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1BF"/>
    <w:rsid w:val="00524289"/>
    <w:rsid w:val="00524F47"/>
    <w:rsid w:val="005250BC"/>
    <w:rsid w:val="005254F8"/>
    <w:rsid w:val="00525690"/>
    <w:rsid w:val="00525736"/>
    <w:rsid w:val="005259CE"/>
    <w:rsid w:val="00526053"/>
    <w:rsid w:val="005265D4"/>
    <w:rsid w:val="00526812"/>
    <w:rsid w:val="0052721A"/>
    <w:rsid w:val="0052795B"/>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4EE"/>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0C"/>
    <w:rsid w:val="00557A6C"/>
    <w:rsid w:val="005608B2"/>
    <w:rsid w:val="0056099A"/>
    <w:rsid w:val="00560A43"/>
    <w:rsid w:val="00560FD3"/>
    <w:rsid w:val="00561000"/>
    <w:rsid w:val="00561471"/>
    <w:rsid w:val="0056270E"/>
    <w:rsid w:val="00562ECE"/>
    <w:rsid w:val="00563749"/>
    <w:rsid w:val="00563A42"/>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26C"/>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4A63"/>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471"/>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310"/>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7E6"/>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5C17"/>
    <w:rsid w:val="006061F3"/>
    <w:rsid w:val="0060673F"/>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61"/>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47182"/>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0DB0"/>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C7D"/>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5A90"/>
    <w:rsid w:val="00696813"/>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534"/>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0AC6"/>
    <w:rsid w:val="006D14AC"/>
    <w:rsid w:val="006D167F"/>
    <w:rsid w:val="006D176D"/>
    <w:rsid w:val="006D280F"/>
    <w:rsid w:val="006D32A1"/>
    <w:rsid w:val="006D383A"/>
    <w:rsid w:val="006D3E35"/>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902"/>
    <w:rsid w:val="006E5FB1"/>
    <w:rsid w:val="006E6297"/>
    <w:rsid w:val="006E632D"/>
    <w:rsid w:val="006E6560"/>
    <w:rsid w:val="006E663F"/>
    <w:rsid w:val="006E67D8"/>
    <w:rsid w:val="006E6CC2"/>
    <w:rsid w:val="006E6E66"/>
    <w:rsid w:val="006E70B2"/>
    <w:rsid w:val="006E7235"/>
    <w:rsid w:val="006E787E"/>
    <w:rsid w:val="006E7A1D"/>
    <w:rsid w:val="006E7ED9"/>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08D"/>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416"/>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C1A"/>
    <w:rsid w:val="00742E54"/>
    <w:rsid w:val="00742F99"/>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303"/>
    <w:rsid w:val="00750E46"/>
    <w:rsid w:val="00750F58"/>
    <w:rsid w:val="0075243C"/>
    <w:rsid w:val="007524DB"/>
    <w:rsid w:val="007526C7"/>
    <w:rsid w:val="0075271C"/>
    <w:rsid w:val="00753115"/>
    <w:rsid w:val="00753512"/>
    <w:rsid w:val="007536B9"/>
    <w:rsid w:val="007538C4"/>
    <w:rsid w:val="00753941"/>
    <w:rsid w:val="00753A65"/>
    <w:rsid w:val="00753ADE"/>
    <w:rsid w:val="00754D6C"/>
    <w:rsid w:val="007551D8"/>
    <w:rsid w:val="0075625B"/>
    <w:rsid w:val="00756ABD"/>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517"/>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4E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7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0A6"/>
    <w:rsid w:val="007C1372"/>
    <w:rsid w:val="007C17FC"/>
    <w:rsid w:val="007C1C85"/>
    <w:rsid w:val="007C1C9A"/>
    <w:rsid w:val="007C1FF6"/>
    <w:rsid w:val="007C2E02"/>
    <w:rsid w:val="007C2F86"/>
    <w:rsid w:val="007C4108"/>
    <w:rsid w:val="007C4339"/>
    <w:rsid w:val="007C45FB"/>
    <w:rsid w:val="007C4A9A"/>
    <w:rsid w:val="007C514B"/>
    <w:rsid w:val="007C553D"/>
    <w:rsid w:val="007C56CB"/>
    <w:rsid w:val="007C5CAC"/>
    <w:rsid w:val="007C6847"/>
    <w:rsid w:val="007C6F80"/>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4EF5"/>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951"/>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375"/>
    <w:rsid w:val="007F7540"/>
    <w:rsid w:val="007F7FF2"/>
    <w:rsid w:val="00800889"/>
    <w:rsid w:val="00800A64"/>
    <w:rsid w:val="00800C46"/>
    <w:rsid w:val="0080175F"/>
    <w:rsid w:val="00801C4D"/>
    <w:rsid w:val="00801DFB"/>
    <w:rsid w:val="00801F46"/>
    <w:rsid w:val="00802129"/>
    <w:rsid w:val="008024D4"/>
    <w:rsid w:val="00802E55"/>
    <w:rsid w:val="00803382"/>
    <w:rsid w:val="00803CE5"/>
    <w:rsid w:val="00804642"/>
    <w:rsid w:val="008050AB"/>
    <w:rsid w:val="0080526F"/>
    <w:rsid w:val="008059B4"/>
    <w:rsid w:val="00805A57"/>
    <w:rsid w:val="00805B42"/>
    <w:rsid w:val="00805E4B"/>
    <w:rsid w:val="00805F58"/>
    <w:rsid w:val="00805F9E"/>
    <w:rsid w:val="00806D63"/>
    <w:rsid w:val="00807409"/>
    <w:rsid w:val="0080798A"/>
    <w:rsid w:val="00807C14"/>
    <w:rsid w:val="0081021F"/>
    <w:rsid w:val="008102AD"/>
    <w:rsid w:val="0081086F"/>
    <w:rsid w:val="0081167C"/>
    <w:rsid w:val="00811B73"/>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5A8"/>
    <w:rsid w:val="00831AF4"/>
    <w:rsid w:val="00831C86"/>
    <w:rsid w:val="00831FC6"/>
    <w:rsid w:val="008327D7"/>
    <w:rsid w:val="00832A1F"/>
    <w:rsid w:val="008330E7"/>
    <w:rsid w:val="00833E19"/>
    <w:rsid w:val="00834535"/>
    <w:rsid w:val="00834E18"/>
    <w:rsid w:val="00834E9C"/>
    <w:rsid w:val="00835707"/>
    <w:rsid w:val="00835CAC"/>
    <w:rsid w:val="00835EF0"/>
    <w:rsid w:val="0083610F"/>
    <w:rsid w:val="0083622F"/>
    <w:rsid w:val="00836462"/>
    <w:rsid w:val="0083646C"/>
    <w:rsid w:val="008364D5"/>
    <w:rsid w:val="008368AA"/>
    <w:rsid w:val="0083723D"/>
    <w:rsid w:val="00837276"/>
    <w:rsid w:val="008372A9"/>
    <w:rsid w:val="008375AA"/>
    <w:rsid w:val="00837997"/>
    <w:rsid w:val="0084108E"/>
    <w:rsid w:val="00842138"/>
    <w:rsid w:val="00842561"/>
    <w:rsid w:val="00842BBF"/>
    <w:rsid w:val="00842F70"/>
    <w:rsid w:val="00843FE7"/>
    <w:rsid w:val="0084464C"/>
    <w:rsid w:val="00844CA1"/>
    <w:rsid w:val="00844E79"/>
    <w:rsid w:val="00845656"/>
    <w:rsid w:val="00845894"/>
    <w:rsid w:val="008459A9"/>
    <w:rsid w:val="00845C15"/>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6D58"/>
    <w:rsid w:val="008573F9"/>
    <w:rsid w:val="00857D59"/>
    <w:rsid w:val="00861572"/>
    <w:rsid w:val="00861731"/>
    <w:rsid w:val="0086190F"/>
    <w:rsid w:val="00861EB1"/>
    <w:rsid w:val="0086219D"/>
    <w:rsid w:val="00862402"/>
    <w:rsid w:val="00862862"/>
    <w:rsid w:val="00862BAF"/>
    <w:rsid w:val="00862D12"/>
    <w:rsid w:val="00863B4F"/>
    <w:rsid w:val="00864147"/>
    <w:rsid w:val="00864200"/>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0D22"/>
    <w:rsid w:val="00881072"/>
    <w:rsid w:val="008813D3"/>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40"/>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D52"/>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1D7"/>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651"/>
    <w:rsid w:val="008D59E9"/>
    <w:rsid w:val="008D5EA9"/>
    <w:rsid w:val="008D66CC"/>
    <w:rsid w:val="008D70B6"/>
    <w:rsid w:val="008D7367"/>
    <w:rsid w:val="008D73F0"/>
    <w:rsid w:val="008D750B"/>
    <w:rsid w:val="008D7D2D"/>
    <w:rsid w:val="008E006F"/>
    <w:rsid w:val="008E0F0B"/>
    <w:rsid w:val="008E1159"/>
    <w:rsid w:val="008E1523"/>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1DB"/>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9DF"/>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1D1"/>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620"/>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62E"/>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A8A"/>
    <w:rsid w:val="009B23EE"/>
    <w:rsid w:val="009B257E"/>
    <w:rsid w:val="009B2D95"/>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44D"/>
    <w:rsid w:val="009C3C12"/>
    <w:rsid w:val="009C4088"/>
    <w:rsid w:val="009C47BA"/>
    <w:rsid w:val="009C4B23"/>
    <w:rsid w:val="009C5D49"/>
    <w:rsid w:val="009C6A52"/>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069"/>
    <w:rsid w:val="00A0287D"/>
    <w:rsid w:val="00A03332"/>
    <w:rsid w:val="00A0369C"/>
    <w:rsid w:val="00A03771"/>
    <w:rsid w:val="00A03EF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494"/>
    <w:rsid w:val="00A2072F"/>
    <w:rsid w:val="00A20EFE"/>
    <w:rsid w:val="00A21556"/>
    <w:rsid w:val="00A21903"/>
    <w:rsid w:val="00A22AF7"/>
    <w:rsid w:val="00A23211"/>
    <w:rsid w:val="00A23E24"/>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28CB"/>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9A7"/>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6010"/>
    <w:rsid w:val="00A960E9"/>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0A8"/>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0AB0"/>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6EE9"/>
    <w:rsid w:val="00AF72F9"/>
    <w:rsid w:val="00B001C6"/>
    <w:rsid w:val="00B008DF"/>
    <w:rsid w:val="00B00BB3"/>
    <w:rsid w:val="00B00E5C"/>
    <w:rsid w:val="00B011D8"/>
    <w:rsid w:val="00B0131B"/>
    <w:rsid w:val="00B014AD"/>
    <w:rsid w:val="00B01819"/>
    <w:rsid w:val="00B018F4"/>
    <w:rsid w:val="00B01EEB"/>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41B"/>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3AC"/>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5A6"/>
    <w:rsid w:val="00B32623"/>
    <w:rsid w:val="00B32BC9"/>
    <w:rsid w:val="00B331DC"/>
    <w:rsid w:val="00B33BCF"/>
    <w:rsid w:val="00B3520E"/>
    <w:rsid w:val="00B35546"/>
    <w:rsid w:val="00B3556A"/>
    <w:rsid w:val="00B35594"/>
    <w:rsid w:val="00B3580D"/>
    <w:rsid w:val="00B359BE"/>
    <w:rsid w:val="00B35D2D"/>
    <w:rsid w:val="00B366E5"/>
    <w:rsid w:val="00B36B6D"/>
    <w:rsid w:val="00B3756E"/>
    <w:rsid w:val="00B401AE"/>
    <w:rsid w:val="00B402BB"/>
    <w:rsid w:val="00B403A3"/>
    <w:rsid w:val="00B414AF"/>
    <w:rsid w:val="00B41708"/>
    <w:rsid w:val="00B41FB5"/>
    <w:rsid w:val="00B4206F"/>
    <w:rsid w:val="00B425F1"/>
    <w:rsid w:val="00B42642"/>
    <w:rsid w:val="00B42998"/>
    <w:rsid w:val="00B42DF1"/>
    <w:rsid w:val="00B4301A"/>
    <w:rsid w:val="00B43B6A"/>
    <w:rsid w:val="00B43FF7"/>
    <w:rsid w:val="00B4438B"/>
    <w:rsid w:val="00B4451E"/>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3D74"/>
    <w:rsid w:val="00B842EA"/>
    <w:rsid w:val="00B850CE"/>
    <w:rsid w:val="00B862C0"/>
    <w:rsid w:val="00B863D9"/>
    <w:rsid w:val="00B864BA"/>
    <w:rsid w:val="00B86C03"/>
    <w:rsid w:val="00B86C42"/>
    <w:rsid w:val="00B86E98"/>
    <w:rsid w:val="00B90192"/>
    <w:rsid w:val="00B90A49"/>
    <w:rsid w:val="00B90AC6"/>
    <w:rsid w:val="00B90B9B"/>
    <w:rsid w:val="00B90C7D"/>
    <w:rsid w:val="00B91455"/>
    <w:rsid w:val="00B919E1"/>
    <w:rsid w:val="00B91AD9"/>
    <w:rsid w:val="00B91E87"/>
    <w:rsid w:val="00B92313"/>
    <w:rsid w:val="00B925E2"/>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16E"/>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8D0"/>
    <w:rsid w:val="00BB5BAF"/>
    <w:rsid w:val="00BB5F46"/>
    <w:rsid w:val="00BB6218"/>
    <w:rsid w:val="00BB6598"/>
    <w:rsid w:val="00BB6888"/>
    <w:rsid w:val="00BB6EFD"/>
    <w:rsid w:val="00BB75DC"/>
    <w:rsid w:val="00BB75F8"/>
    <w:rsid w:val="00BB7709"/>
    <w:rsid w:val="00BB779D"/>
    <w:rsid w:val="00BB7899"/>
    <w:rsid w:val="00BB789F"/>
    <w:rsid w:val="00BB7A4D"/>
    <w:rsid w:val="00BC068E"/>
    <w:rsid w:val="00BC107E"/>
    <w:rsid w:val="00BC1C7C"/>
    <w:rsid w:val="00BC205F"/>
    <w:rsid w:val="00BC30B1"/>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801"/>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42B"/>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68B"/>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21"/>
    <w:rsid w:val="00C141FB"/>
    <w:rsid w:val="00C143BD"/>
    <w:rsid w:val="00C1441B"/>
    <w:rsid w:val="00C14558"/>
    <w:rsid w:val="00C14FB5"/>
    <w:rsid w:val="00C151EC"/>
    <w:rsid w:val="00C1544B"/>
    <w:rsid w:val="00C15A04"/>
    <w:rsid w:val="00C15D35"/>
    <w:rsid w:val="00C1656A"/>
    <w:rsid w:val="00C166FD"/>
    <w:rsid w:val="00C16815"/>
    <w:rsid w:val="00C1693E"/>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5C4C"/>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AB2"/>
    <w:rsid w:val="00C40C64"/>
    <w:rsid w:val="00C41011"/>
    <w:rsid w:val="00C42239"/>
    <w:rsid w:val="00C433C4"/>
    <w:rsid w:val="00C43B8B"/>
    <w:rsid w:val="00C43FBA"/>
    <w:rsid w:val="00C441CC"/>
    <w:rsid w:val="00C44475"/>
    <w:rsid w:val="00C445BA"/>
    <w:rsid w:val="00C44F87"/>
    <w:rsid w:val="00C451F2"/>
    <w:rsid w:val="00C45757"/>
    <w:rsid w:val="00C4609E"/>
    <w:rsid w:val="00C46807"/>
    <w:rsid w:val="00C47D44"/>
    <w:rsid w:val="00C50B1E"/>
    <w:rsid w:val="00C51C72"/>
    <w:rsid w:val="00C51CB1"/>
    <w:rsid w:val="00C521B4"/>
    <w:rsid w:val="00C52914"/>
    <w:rsid w:val="00C53449"/>
    <w:rsid w:val="00C539F2"/>
    <w:rsid w:val="00C544CC"/>
    <w:rsid w:val="00C546E7"/>
    <w:rsid w:val="00C55114"/>
    <w:rsid w:val="00C5625E"/>
    <w:rsid w:val="00C56262"/>
    <w:rsid w:val="00C57198"/>
    <w:rsid w:val="00C578CE"/>
    <w:rsid w:val="00C60CBB"/>
    <w:rsid w:val="00C61597"/>
    <w:rsid w:val="00C617BF"/>
    <w:rsid w:val="00C6235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02F"/>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A2"/>
    <w:rsid w:val="00C761B9"/>
    <w:rsid w:val="00C766FE"/>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3A7F"/>
    <w:rsid w:val="00C8460B"/>
    <w:rsid w:val="00C852AC"/>
    <w:rsid w:val="00C857F9"/>
    <w:rsid w:val="00C860BC"/>
    <w:rsid w:val="00C86543"/>
    <w:rsid w:val="00C8683F"/>
    <w:rsid w:val="00C86967"/>
    <w:rsid w:val="00C87D19"/>
    <w:rsid w:val="00C9003B"/>
    <w:rsid w:val="00C90536"/>
    <w:rsid w:val="00C9085E"/>
    <w:rsid w:val="00C9091D"/>
    <w:rsid w:val="00C90D2F"/>
    <w:rsid w:val="00C90FA2"/>
    <w:rsid w:val="00C91CA5"/>
    <w:rsid w:val="00C91D26"/>
    <w:rsid w:val="00C92141"/>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35"/>
    <w:rsid w:val="00CA0BD9"/>
    <w:rsid w:val="00CA11E9"/>
    <w:rsid w:val="00CA12B2"/>
    <w:rsid w:val="00CA14DD"/>
    <w:rsid w:val="00CA2FBE"/>
    <w:rsid w:val="00CA4064"/>
    <w:rsid w:val="00CA41D2"/>
    <w:rsid w:val="00CA4753"/>
    <w:rsid w:val="00CA4D91"/>
    <w:rsid w:val="00CA4F20"/>
    <w:rsid w:val="00CA5080"/>
    <w:rsid w:val="00CA53B9"/>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38E"/>
    <w:rsid w:val="00CC341C"/>
    <w:rsid w:val="00CC3645"/>
    <w:rsid w:val="00CC38C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0904"/>
    <w:rsid w:val="00CE1146"/>
    <w:rsid w:val="00CE16F2"/>
    <w:rsid w:val="00CE176D"/>
    <w:rsid w:val="00CE178F"/>
    <w:rsid w:val="00CE18AA"/>
    <w:rsid w:val="00CE1C38"/>
    <w:rsid w:val="00CE1CC5"/>
    <w:rsid w:val="00CE1E16"/>
    <w:rsid w:val="00CE253C"/>
    <w:rsid w:val="00CE2619"/>
    <w:rsid w:val="00CE291E"/>
    <w:rsid w:val="00CE2920"/>
    <w:rsid w:val="00CE2C34"/>
    <w:rsid w:val="00CE2C53"/>
    <w:rsid w:val="00CE2EE4"/>
    <w:rsid w:val="00CE3346"/>
    <w:rsid w:val="00CE3797"/>
    <w:rsid w:val="00CE3ADA"/>
    <w:rsid w:val="00CE3ECD"/>
    <w:rsid w:val="00CE4025"/>
    <w:rsid w:val="00CE41CB"/>
    <w:rsid w:val="00CE48D3"/>
    <w:rsid w:val="00CE498F"/>
    <w:rsid w:val="00CE5595"/>
    <w:rsid w:val="00CE5D42"/>
    <w:rsid w:val="00CE5FE1"/>
    <w:rsid w:val="00CE6803"/>
    <w:rsid w:val="00CE693D"/>
    <w:rsid w:val="00CE6D99"/>
    <w:rsid w:val="00CE7351"/>
    <w:rsid w:val="00CF0777"/>
    <w:rsid w:val="00CF0FF4"/>
    <w:rsid w:val="00CF1622"/>
    <w:rsid w:val="00CF1E5A"/>
    <w:rsid w:val="00CF1E8C"/>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5E"/>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4DD"/>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4D9"/>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0F22"/>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37"/>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5B1"/>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46"/>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D75"/>
    <w:rsid w:val="00E26F87"/>
    <w:rsid w:val="00E2710F"/>
    <w:rsid w:val="00E3047D"/>
    <w:rsid w:val="00E3066D"/>
    <w:rsid w:val="00E30AE6"/>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668"/>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A31"/>
    <w:rsid w:val="00E53C45"/>
    <w:rsid w:val="00E53CE0"/>
    <w:rsid w:val="00E53DA7"/>
    <w:rsid w:val="00E540FC"/>
    <w:rsid w:val="00E54C11"/>
    <w:rsid w:val="00E55DB0"/>
    <w:rsid w:val="00E563D8"/>
    <w:rsid w:val="00E5703B"/>
    <w:rsid w:val="00E577EC"/>
    <w:rsid w:val="00E57C4D"/>
    <w:rsid w:val="00E602BD"/>
    <w:rsid w:val="00E61A8D"/>
    <w:rsid w:val="00E62337"/>
    <w:rsid w:val="00E62809"/>
    <w:rsid w:val="00E63321"/>
    <w:rsid w:val="00E634AD"/>
    <w:rsid w:val="00E635BD"/>
    <w:rsid w:val="00E63675"/>
    <w:rsid w:val="00E637A5"/>
    <w:rsid w:val="00E638A7"/>
    <w:rsid w:val="00E63FAC"/>
    <w:rsid w:val="00E64141"/>
    <w:rsid w:val="00E645E9"/>
    <w:rsid w:val="00E646D8"/>
    <w:rsid w:val="00E64C9D"/>
    <w:rsid w:val="00E64D36"/>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9F1"/>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860"/>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F3B"/>
    <w:rsid w:val="00EB50F0"/>
    <w:rsid w:val="00EB5C40"/>
    <w:rsid w:val="00EB5DB5"/>
    <w:rsid w:val="00EB600D"/>
    <w:rsid w:val="00EB6A2C"/>
    <w:rsid w:val="00EB6B83"/>
    <w:rsid w:val="00EB6D53"/>
    <w:rsid w:val="00EB6DA9"/>
    <w:rsid w:val="00EB7804"/>
    <w:rsid w:val="00EC0343"/>
    <w:rsid w:val="00EC08AD"/>
    <w:rsid w:val="00EC0F29"/>
    <w:rsid w:val="00EC1828"/>
    <w:rsid w:val="00EC1B2E"/>
    <w:rsid w:val="00EC2250"/>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C2A"/>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823"/>
    <w:rsid w:val="00EF596F"/>
    <w:rsid w:val="00EF5CDA"/>
    <w:rsid w:val="00EF63E5"/>
    <w:rsid w:val="00EF6C6F"/>
    <w:rsid w:val="00EF6DC4"/>
    <w:rsid w:val="00EF70BA"/>
    <w:rsid w:val="00EF7F5E"/>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44"/>
    <w:rsid w:val="00F05790"/>
    <w:rsid w:val="00F05CF9"/>
    <w:rsid w:val="00F06960"/>
    <w:rsid w:val="00F06967"/>
    <w:rsid w:val="00F06A7F"/>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17EB1"/>
    <w:rsid w:val="00F20151"/>
    <w:rsid w:val="00F20474"/>
    <w:rsid w:val="00F209A2"/>
    <w:rsid w:val="00F20E9E"/>
    <w:rsid w:val="00F21AB6"/>
    <w:rsid w:val="00F223D4"/>
    <w:rsid w:val="00F223D5"/>
    <w:rsid w:val="00F2283A"/>
    <w:rsid w:val="00F22A84"/>
    <w:rsid w:val="00F22A8F"/>
    <w:rsid w:val="00F22ED6"/>
    <w:rsid w:val="00F23568"/>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48B"/>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BFA"/>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05F"/>
    <w:rsid w:val="00FA41F1"/>
    <w:rsid w:val="00FA42BC"/>
    <w:rsid w:val="00FA4635"/>
    <w:rsid w:val="00FA4940"/>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325"/>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90D"/>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545"/>
    <w:rsid w:val="00FF07E5"/>
    <w:rsid w:val="00FF0C67"/>
    <w:rsid w:val="00FF0E6A"/>
    <w:rsid w:val="00FF0F69"/>
    <w:rsid w:val="00FF1623"/>
    <w:rsid w:val="00FF21EF"/>
    <w:rsid w:val="00FF2A34"/>
    <w:rsid w:val="00FF2BA8"/>
    <w:rsid w:val="00FF364B"/>
    <w:rsid w:val="00FF3803"/>
    <w:rsid w:val="00FF4871"/>
    <w:rsid w:val="00FF4A4D"/>
    <w:rsid w:val="00FF556E"/>
    <w:rsid w:val="00FF5630"/>
    <w:rsid w:val="00FF5807"/>
    <w:rsid w:val="00FF5813"/>
    <w:rsid w:val="00FF5E54"/>
    <w:rsid w:val="00FF5E85"/>
    <w:rsid w:val="00FF6236"/>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 Mika,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203D89"/>
    <w:pPr>
      <w:keepNext/>
      <w:keepLines/>
      <w:pageBreakBefore/>
      <w:spacing w:before="360" w:after="240" w:line="440" w:lineRule="exact"/>
      <w:jc w:val="center"/>
      <w:outlineLvl w:val="0"/>
    </w:pPr>
    <w:rPr>
      <w:rFonts w:ascii="Tahoma" w:hAnsi="Tahoma" w:cs="Tahoma"/>
      <w:b/>
      <w:bCs/>
      <w:noProof/>
      <w:color w:val="00305F"/>
      <w:sz w:val="34"/>
      <w:szCs w:val="36"/>
    </w:rPr>
  </w:style>
  <w:style w:type="paragraph" w:customStyle="1" w:styleId="73">
    <w:name w:val="73א פעולות ביקורת"/>
    <w:basedOn w:val="216"/>
    <w:qFormat/>
    <w:rsid w:val="00845C15"/>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FF6AD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845C15"/>
    <w:pPr>
      <w:keepNext/>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 Mika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845C15"/>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845C15"/>
    <w:pPr>
      <w:ind w:left="397"/>
    </w:pPr>
  </w:style>
  <w:style w:type="paragraph" w:customStyle="1" w:styleId="7318">
    <w:name w:val="73א קוביה רצה"/>
    <w:basedOn w:val="7310"/>
    <w:link w:val="732"/>
    <w:qFormat/>
    <w:rsid w:val="00FF6AD9"/>
    <w:pPr>
      <w:ind w:left="227"/>
    </w:pPr>
  </w:style>
  <w:style w:type="paragraph" w:customStyle="1" w:styleId="73414">
    <w:name w:val="73א כותרת 4_14"/>
    <w:basedOn w:val="Heading4"/>
    <w:qFormat/>
    <w:rsid w:val="001F3363"/>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7"/>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qFormat/>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8"/>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2F143B"/>
    <w:pPr>
      <w:outlineLvl w:val="5"/>
    </w:pPr>
    <w:rPr>
      <w:rFonts w:eastAsiaTheme="majorEastAsia"/>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9"/>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845C15"/>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845C15"/>
    <w:rPr>
      <w:rFonts w:ascii="Tahoma" w:hAnsi="Tahoma" w:eastAsiaTheme="minorEastAsia" w:cs="Tahoma"/>
      <w:b w:val="0"/>
      <w:bCs/>
      <w:color w:val="00305F"/>
      <w:sz w:val="31"/>
      <w:szCs w:val="31"/>
    </w:rPr>
  </w:style>
  <w:style w:type="paragraph" w:customStyle="1" w:styleId="7329">
    <w:name w:val="73א כותרת 2"/>
    <w:link w:val="73210"/>
    <w:qFormat/>
    <w:rsid w:val="00203D89"/>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203D89"/>
    <w:rPr>
      <w:rFonts w:ascii="Tahoma" w:hAnsi="Tahoma" w:cs="Tahoma"/>
      <w:b/>
      <w:bCs/>
      <w:color w:val="00305F"/>
      <w:sz w:val="34"/>
      <w:szCs w:val="34"/>
    </w:rPr>
  </w:style>
  <w:style w:type="character" w:customStyle="1" w:styleId="7330">
    <w:name w:val="73א הערות שוליים תו"/>
    <w:basedOn w:val="3"/>
    <w:link w:val="733"/>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845C15"/>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37"/>
    <w:link w:val="7370"/>
    <w:rsid w:val="002E6467"/>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1F3363"/>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845C15"/>
    <w:rPr>
      <w:color w:val="0D0D0D" w:themeColor="text1" w:themeTint="F2"/>
      <w:sz w:val="18"/>
    </w:rPr>
  </w:style>
  <w:style w:type="character" w:customStyle="1" w:styleId="7393">
    <w:name w:val="73א טקסט רץ 9 תו"/>
    <w:basedOn w:val="Char4"/>
    <w:link w:val="7392"/>
    <w:rsid w:val="00845C15"/>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2F143B"/>
    <w:rPr>
      <w:rFonts w:ascii="Tahoma" w:hAnsi="Tahoma" w:eastAsiaTheme="majorEastAsia" w:cs="Tahoma"/>
      <w:b/>
      <w:bCs/>
      <w:color w:val="00305F"/>
      <w:sz w:val="24"/>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711">
    <w:name w:val="71ג מקרא+הערות לתרשים/לוח/תמונה"/>
    <w:basedOn w:val="Normal"/>
    <w:link w:val="71Char"/>
    <w:qFormat/>
    <w:rsid w:val="00D404DD"/>
    <w:pPr>
      <w:spacing w:before="120" w:after="240" w:line="260" w:lineRule="exact"/>
      <w:ind w:left="397" w:hanging="397"/>
    </w:pPr>
    <w:rPr>
      <w:rFonts w:ascii="Tahoma" w:hAnsi="Tahoma" w:cs="Tahoma"/>
      <w:color w:val="0D0D0D" w:themeColor="text1" w:themeTint="F2"/>
      <w:sz w:val="16"/>
      <w:szCs w:val="16"/>
    </w:rPr>
  </w:style>
  <w:style w:type="character" w:customStyle="1" w:styleId="71Char">
    <w:name w:val="71ג מקרא+הערות לתרשים/לוח/תמונה Char"/>
    <w:basedOn w:val="DefaultParagraphFont"/>
    <w:link w:val="711"/>
    <w:rsid w:val="00D404DD"/>
    <w:rPr>
      <w:rFonts w:ascii="Tahoma" w:hAnsi="Tahoma" w:cs="Tahoma"/>
      <w:color w:val="0D0D0D" w:themeColor="text1" w:themeTint="F2"/>
      <w:sz w:val="16"/>
      <w:szCs w:val="16"/>
    </w:rPr>
  </w:style>
  <w:style w:type="paragraph" w:customStyle="1" w:styleId="a35">
    <w:name w:val="תאריך הדוח"/>
    <w:qFormat/>
    <w:rsid w:val="00C5625E"/>
    <w:pPr>
      <w:ind w:left="2268"/>
      <w:jc w:val="left"/>
    </w:pPr>
    <w:rPr>
      <w:rFonts w:ascii="Tahoma" w:hAnsi="Tahoma" w:cs="Tahoma"/>
      <w:sz w:val="18"/>
      <w:szCs w:val="18"/>
    </w:rPr>
  </w:style>
  <w:style w:type="paragraph" w:customStyle="1" w:styleId="a36">
    <w:name w:val="כותרת ראשית לדוח"/>
    <w:qFormat/>
    <w:rsid w:val="00230754"/>
    <w:pPr>
      <w:spacing w:before="360" w:line="600" w:lineRule="exact"/>
      <w:ind w:left="2268"/>
      <w:jc w:val="left"/>
    </w:pPr>
    <w:rPr>
      <w:rFonts w:ascii="Tahoma" w:hAnsi="Tahoma" w:cs="Tahoma"/>
      <w:b/>
      <w:bCs/>
      <w:sz w:val="44"/>
      <w:szCs w:val="44"/>
    </w:rPr>
  </w:style>
  <w:style w:type="paragraph" w:customStyle="1" w:styleId="medium2-header">
    <w:name w:val="medium2-header"/>
    <w:basedOn w:val="Normal"/>
    <w:rsid w:val="002B2126"/>
    <w:pPr>
      <w:bidi w:val="0"/>
      <w:spacing w:before="100" w:beforeAutospacing="1" w:after="100" w:afterAutospacing="1" w:line="240" w:lineRule="auto"/>
      <w:jc w:val="left"/>
    </w:pPr>
    <w:rPr>
      <w:rFonts w:eastAsia="Times New Roman" w:cs="Times New Roman"/>
      <w:sz w:val="24"/>
    </w:rPr>
  </w:style>
  <w:style w:type="character" w:customStyle="1" w:styleId="articlebodysubtitle">
    <w:name w:val="article_body_subtitle"/>
    <w:basedOn w:val="DefaultParagraphFont"/>
    <w:rsid w:val="002B2126"/>
  </w:style>
  <w:style w:type="character" w:customStyle="1" w:styleId="articlebodytext">
    <w:name w:val="article_body_text"/>
    <w:basedOn w:val="DefaultParagraphFont"/>
    <w:rsid w:val="002B2126"/>
  </w:style>
  <w:style w:type="table" w:styleId="GridTableLight">
    <w:name w:val="Grid Table Light"/>
    <w:basedOn w:val="TableNormal"/>
    <w:uiPriority w:val="40"/>
    <w:rsid w:val="002B21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nhideWhenUsed/>
    <w:rsid w:val="002B2126"/>
    <w:pPr>
      <w:pBdr>
        <w:top w:val="single" w:sz="12" w:space="1" w:color="2A2AA6"/>
        <w:left w:val="single" w:sz="12" w:space="4" w:color="2A2AA6"/>
        <w:bottom w:val="single" w:sz="12" w:space="1" w:color="2A2AA6"/>
        <w:right w:val="single" w:sz="12" w:space="4" w:color="2A2AA6"/>
      </w:pBdr>
      <w:bidi w:val="0"/>
      <w:spacing w:after="120" w:line="240" w:lineRule="exact"/>
      <w:ind w:left="170" w:right="2268"/>
    </w:pPr>
    <w:rPr>
      <w:rFonts w:ascii="Tahoma" w:hAnsi="Tahoma" w:eastAsiaTheme="minorEastAsia" w:cs="Tahoma"/>
      <w:sz w:val="17"/>
      <w:szCs w:val="17"/>
    </w:rPr>
  </w:style>
  <w:style w:type="character" w:customStyle="1" w:styleId="apple-converted-space">
    <w:name w:val="apple-converted-space"/>
    <w:basedOn w:val="DefaultParagraphFont"/>
    <w:rsid w:val="00032B23"/>
  </w:style>
  <w:style w:type="table" w:styleId="MediumGrid1Accent1">
    <w:name w:val="Medium Grid 1 Accent 1"/>
    <w:basedOn w:val="TableNormal"/>
    <w:uiPriority w:val="67"/>
    <w:rsid w:val="00032B23"/>
    <w:pPr>
      <w:spacing w:after="0" w:line="240" w:lineRule="auto"/>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insideV w:val="single" w:sz="8" w:space="0" w:color="54C1EA" w:themeColor="accent1" w:themeTint="BF"/>
      </w:tblBorders>
    </w:tblPr>
    <w:tcPr>
      <w:shd w:val="clear" w:color="auto" w:fill="C6EAF8" w:themeFill="accent1" w:themeFillTint="3F"/>
    </w:tcPr>
    <w:tblStylePr w:type="firstRow">
      <w:rPr>
        <w:b/>
        <w:bCs/>
      </w:rPr>
    </w:tblStylePr>
    <w:tblStylePr w:type="lastRow">
      <w:rPr>
        <w:b/>
        <w:bCs/>
      </w:rPr>
      <w:tblPr/>
      <w:tcPr>
        <w:tcBorders>
          <w:top w:val="single" w:sz="18" w:space="0" w:color="54C1EA" w:themeColor="accent1" w:themeTint="BF"/>
        </w:tcBorders>
      </w:tcPr>
    </w:tblStylePr>
    <w:tblStylePr w:type="firstCol">
      <w:rPr>
        <w:b/>
        <w:bCs/>
      </w:rPr>
    </w:tblStylePr>
    <w:tblStylePr w:type="lastCol">
      <w:rPr>
        <w:b/>
        <w:bCs/>
      </w:r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LightListAccent2">
    <w:name w:val="Light List Accent 2"/>
    <w:basedOn w:val="TableNormal"/>
    <w:uiPriority w:val="61"/>
    <w:rsid w:val="00032B23"/>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table" w:styleId="LightShadingAccent4">
    <w:name w:val="Light Shading Accent 4"/>
    <w:basedOn w:val="TableNormal"/>
    <w:uiPriority w:val="60"/>
    <w:rsid w:val="00032B23"/>
    <w:pPr>
      <w:spacing w:after="0" w:line="240" w:lineRule="auto"/>
    </w:pPr>
    <w:rPr>
      <w:color w:val="318B70" w:themeColor="accent4" w:themeShade="BF"/>
    </w:rPr>
    <w:tblPr>
      <w:tblStyleRowBandSize w:val="1"/>
      <w:tblStyleColBandSize w:val="1"/>
      <w:tblBorders>
        <w:top w:val="single" w:sz="8" w:space="0" w:color="42BA97" w:themeColor="accent4"/>
        <w:bottom w:val="single" w:sz="8" w:space="0" w:color="42BA97" w:themeColor="accent4"/>
      </w:tblBorders>
    </w:tblPr>
    <w:tblStylePr w:type="fir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la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MediumShading2Accent4">
    <w:name w:val="Medium Shading 2 Accent 4"/>
    <w:basedOn w:val="TableNormal"/>
    <w:uiPriority w:val="64"/>
    <w:rsid w:val="00032B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BA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BA97" w:themeFill="accent4"/>
      </w:tcPr>
    </w:tblStylePr>
    <w:tblStylePr w:type="lastCol">
      <w:rPr>
        <w:b/>
        <w:bCs/>
        <w:color w:val="FFFFFF" w:themeColor="background1"/>
      </w:rPr>
      <w:tblPr/>
      <w:tcPr>
        <w:tcBorders>
          <w:left w:val="nil"/>
          <w:right w:val="nil"/>
          <w:insideH w:val="nil"/>
          <w:insideV w:val="nil"/>
        </w:tcBorders>
        <w:shd w:val="clear" w:color="auto" w:fill="42BA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032B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E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A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A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D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DCB" w:themeFill="accent4" w:themeFillTint="7F"/>
      </w:tcPr>
    </w:tblStylePr>
  </w:style>
  <w:style w:type="table" w:styleId="MediumGrid3Accent5">
    <w:name w:val="Medium Grid 3 Accent 5"/>
    <w:basedOn w:val="TableNormal"/>
    <w:uiPriority w:val="69"/>
    <w:rsid w:val="00032B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8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8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EA4" w:themeFill="accent5" w:themeFillTint="7F"/>
      </w:tcPr>
    </w:tblStylePr>
  </w:style>
  <w:style w:type="table" w:styleId="ColorfulGridAccent1">
    <w:name w:val="Colorful Grid Accent 1"/>
    <w:basedOn w:val="TableNormal"/>
    <w:uiPriority w:val="73"/>
    <w:rsid w:val="00032B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EF9" w:themeFill="accent1" w:themeFillTint="33"/>
    </w:tcPr>
    <w:tblStylePr w:type="firstRow">
      <w:rPr>
        <w:b/>
        <w:bCs/>
      </w:rPr>
      <w:tblPr/>
      <w:tcPr>
        <w:shd w:val="clear" w:color="auto" w:fill="A4DDF4" w:themeFill="accent1" w:themeFillTint="66"/>
      </w:tcPr>
    </w:tblStylePr>
    <w:tblStylePr w:type="lastRow">
      <w:rPr>
        <w:b/>
        <w:bCs/>
        <w:color w:val="000000" w:themeColor="text1"/>
      </w:rPr>
      <w:tblPr/>
      <w:tcPr>
        <w:shd w:val="clear" w:color="auto" w:fill="A4DDF4" w:themeFill="accent1" w:themeFillTint="66"/>
      </w:tcPr>
    </w:tblStylePr>
    <w:tblStylePr w:type="firstCol">
      <w:rPr>
        <w:color w:val="FFFFFF" w:themeColor="background1"/>
      </w:rPr>
      <w:tblPr/>
      <w:tcPr>
        <w:shd w:val="clear" w:color="auto" w:fill="1481AB" w:themeFill="accent1" w:themeFillShade="BF"/>
      </w:tcPr>
    </w:tblStylePr>
    <w:tblStylePr w:type="lastCol">
      <w:rPr>
        <w:color w:val="FFFFFF" w:themeColor="background1"/>
      </w:rPr>
      <w:tblPr/>
      <w:tcPr>
        <w:shd w:val="clear" w:color="auto" w:fill="1481AB" w:themeFill="accent1" w:themeFillShade="BF"/>
      </w:tc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LightListAccent4">
    <w:name w:val="Light List Accent 4"/>
    <w:basedOn w:val="TableNormal"/>
    <w:uiPriority w:val="61"/>
    <w:rsid w:val="00032B23"/>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LightShadingAccent1">
    <w:name w:val="Light Shading Accent 1"/>
    <w:basedOn w:val="TableNormal"/>
    <w:uiPriority w:val="60"/>
    <w:rsid w:val="00032B23"/>
    <w:pPr>
      <w:spacing w:after="0" w:line="240" w:lineRule="auto"/>
    </w:pPr>
    <w:rPr>
      <w:color w:val="1481AB" w:themeColor="accent1" w:themeShade="BF"/>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LightGridAccent4">
    <w:name w:val="Light Grid Accent 4"/>
    <w:basedOn w:val="TableNormal"/>
    <w:uiPriority w:val="62"/>
    <w:rsid w:val="00032B23"/>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customStyle="1" w:styleId="412">
    <w:name w:val="טבלה רגילה 41"/>
    <w:basedOn w:val="TableNormal"/>
    <w:uiPriority w:val="44"/>
    <w:rsid w:val="00032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9">
    <w:name w:val="לוח שנה 2"/>
    <w:basedOn w:val="TableNormal"/>
    <w:uiPriority w:val="99"/>
    <w:qFormat/>
    <w:rsid w:val="00032B23"/>
    <w:pPr>
      <w:bidi/>
      <w:spacing w:after="0" w:line="240" w:lineRule="auto"/>
      <w:jc w:val="center"/>
    </w:pPr>
    <w:rPr>
      <w:rFonts w:asciiTheme="minorHAnsi" w:eastAsiaTheme="minorEastAsia" w:hAnsiTheme="minorHAnsi" w:cstheme="minorBidi"/>
      <w:sz w:val="28"/>
      <w:szCs w:val="28"/>
      <w:rtl/>
      <w:cs/>
    </w:rPr>
    <w:tblPr>
      <w:tblBorders>
        <w:insideV w:val="single" w:sz="4" w:space="0" w:color="76CDEE" w:themeColor="accent1" w:themeTint="99"/>
      </w:tblBorders>
    </w:tblPr>
    <w:tblStylePr w:type="firstRow">
      <w:rPr>
        <w:rFonts w:asciiTheme="majorHAnsi" w:hAnsiTheme="majorHAnsi" w:cstheme="majorBidi"/>
        <w:b w:val="0"/>
        <w:bCs w:val="0"/>
        <w:i w:val="0"/>
        <w:iCs w:val="0"/>
        <w:caps/>
        <w:smallCaps w:val="0"/>
        <w:color w:val="1CADE4" w:themeColor="accent1"/>
        <w:spacing w:val="20"/>
        <w:sz w:val="32"/>
        <w:szCs w:val="32"/>
      </w:rPr>
      <w:tblPr/>
      <w:tcPr>
        <w:tcBorders>
          <w:top w:val="nil"/>
          <w:left w:val="nil"/>
          <w:bottom w:val="nil"/>
          <w:right w:val="nil"/>
          <w:insideH w:val="nil"/>
          <w:insideV w:val="nil"/>
          <w:tl2br w:val="nil"/>
          <w:tr2bl w:val="nil"/>
        </w:tcBorders>
      </w:tcPr>
    </w:tblStylePr>
  </w:style>
  <w:style w:type="table" w:styleId="MediumList2Accent1">
    <w:name w:val="Medium List 2 Accent 1"/>
    <w:basedOn w:val="TableNormal"/>
    <w:uiPriority w:val="66"/>
    <w:rsid w:val="00032B23"/>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single" w:sz="8" w:space="0" w:color="1CADE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32B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rPr>
        <w:sz w:val="24"/>
        <w:szCs w:val="24"/>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tblPr/>
      <w:tcPr>
        <w:tcBorders>
          <w:top w:val="single" w:sz="8" w:space="0" w:color="3E885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853" w:themeColor="accent5"/>
          <w:insideH w:val="nil"/>
          <w:insideV w:val="nil"/>
        </w:tcBorders>
        <w:shd w:val="clear" w:color="auto" w:fill="FFFFFF" w:themeFill="background1"/>
      </w:tcPr>
    </w:tblStylePr>
    <w:tblStylePr w:type="lastCol">
      <w:tblPr/>
      <w:tcPr>
        <w:tcBorders>
          <w:top w:val="nil"/>
          <w:left w:val="single" w:sz="8" w:space="0" w:color="3E885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top w:val="nil"/>
          <w:bottom w:val="nil"/>
          <w:insideH w:val="nil"/>
          <w:insideV w:val="nil"/>
        </w:tcBorders>
        <w:shd w:val="clear" w:color="auto" w:fill="C9E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5">
    <w:name w:val="Light Grid Accent 5"/>
    <w:basedOn w:val="TableNormal"/>
    <w:uiPriority w:val="62"/>
    <w:rsid w:val="00032B23"/>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customStyle="1" w:styleId="1111">
    <w:name w:val="רשת טבלה11"/>
    <w:basedOn w:val="TableNormal"/>
    <w:next w:val="TableGrid"/>
    <w:uiPriority w:val="59"/>
    <w:rsid w:val="00032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Normal"/>
    <w:rsid w:val="00032B23"/>
    <w:pPr>
      <w:spacing w:before="120" w:after="160" w:line="320" w:lineRule="exact"/>
      <w:ind w:left="720"/>
    </w:pPr>
    <w:rPr>
      <w:rFonts w:eastAsia="Times New Roman"/>
      <w:sz w:val="22"/>
      <w:lang w:eastAsia="he-IL"/>
    </w:rPr>
  </w:style>
  <w:style w:type="paragraph" w:customStyle="1" w:styleId="35">
    <w:name w:val="מספור 3"/>
    <w:basedOn w:val="Normal"/>
    <w:autoRedefine/>
    <w:qFormat/>
    <w:rsid w:val="00032B23"/>
    <w:pPr>
      <w:numPr>
        <w:ilvl w:val="2"/>
        <w:numId w:val="12"/>
      </w:numPr>
      <w:spacing w:line="360" w:lineRule="auto"/>
      <w:ind w:left="1700" w:hanging="425"/>
    </w:pPr>
    <w:rPr>
      <w:rFonts w:ascii="Calibri" w:eastAsia="Times New Roman" w:hAnsi="Calibri"/>
      <w:sz w:val="24"/>
    </w:rPr>
  </w:style>
  <w:style w:type="table" w:styleId="LightListAccent1">
    <w:name w:val="Light List Accent 1"/>
    <w:basedOn w:val="TableNormal"/>
    <w:uiPriority w:val="61"/>
    <w:rsid w:val="00032B23"/>
    <w:pPr>
      <w:spacing w:after="0" w:line="240" w:lineRule="auto"/>
      <w:jc w:val="left"/>
    </w:pPr>
    <w:rPr>
      <w:rFonts w:ascii="Calibri" w:eastAsia="Times New Roman" w:hAnsi="Calibri" w:cs="Arial"/>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27">
    <w:name w:val="ללא רשימה1"/>
    <w:next w:val="NoList"/>
    <w:uiPriority w:val="99"/>
    <w:semiHidden/>
    <w:unhideWhenUsed/>
    <w:rsid w:val="00032B23"/>
  </w:style>
  <w:style w:type="table" w:customStyle="1" w:styleId="36">
    <w:name w:val="רשת טבלה3"/>
    <w:basedOn w:val="TableNormal"/>
    <w:next w:val="TableGrid"/>
    <w:uiPriority w:val="39"/>
    <w:rsid w:val="00032B23"/>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רשת טבלה4"/>
    <w:basedOn w:val="TableNormal"/>
    <w:next w:val="TableGrid"/>
    <w:uiPriority w:val="59"/>
    <w:rsid w:val="00032B23"/>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רשת טבלה5"/>
    <w:basedOn w:val="TableNormal"/>
    <w:next w:val="TableGrid"/>
    <w:uiPriority w:val="59"/>
    <w:rsid w:val="00032B23"/>
    <w:pPr>
      <w:bidi/>
      <w:spacing w:after="0" w:line="312"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header" Target="header5.xml" /><Relationship Id="rId26" Type="http://schemas.openxmlformats.org/officeDocument/2006/relationships/header" Target="header6.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header" Target="header7.xml" /><Relationship Id="rId3" Type="http://schemas.openxmlformats.org/officeDocument/2006/relationships/settings" Target="settings.xml" /><Relationship Id="rId30" Type="http://schemas.openxmlformats.org/officeDocument/2006/relationships/footer" Target="footer6.xml" /><Relationship Id="rId31" Type="http://schemas.openxmlformats.org/officeDocument/2006/relationships/footer" Target="footer7.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header7.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9.2a947d5b-78b0-4703-8bcc-e04ec3c7ce2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BEB82D1-5EA2-4137-B711-2EE9CC33A41D}"/>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