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B3171" w14:textId="48873AD4" w:rsidR="006C5F46" w:rsidRPr="00E077B7" w:rsidRDefault="005D3420" w:rsidP="00DF1312">
      <w:pPr>
        <w:spacing w:line="240" w:lineRule="exact"/>
        <w:jc w:val="both"/>
        <w:rPr>
          <w:rtl/>
        </w:rPr>
        <w:sectPr w:rsidR="006C5F46" w:rsidRPr="00E077B7" w:rsidSect="00733D78">
          <w:footerReference w:type="even" r:id="rId8"/>
          <w:footerReference w:type="default" r:id="rId9"/>
          <w:pgSz w:w="11906" w:h="16838" w:code="9"/>
          <w:pgMar w:top="3119" w:right="2268" w:bottom="2268" w:left="2268" w:header="1985" w:footer="709" w:gutter="0"/>
          <w:pgNumType w:start="33"/>
          <w:cols w:space="708"/>
          <w:titlePg/>
          <w:bidi/>
          <w:rtlGutter/>
          <w:docGrid w:linePitch="360"/>
        </w:sectPr>
      </w:pPr>
      <w:bookmarkStart w:id="0" w:name="_Hlk94430955"/>
      <w:bookmarkStart w:id="1" w:name="_Toc349122061"/>
      <w:bookmarkStart w:id="2" w:name="_Toc349136480"/>
      <w:bookmarkStart w:id="3" w:name="_Toc352831083"/>
      <w:bookmarkStart w:id="4" w:name="_Toc354324568"/>
      <w:bookmarkStart w:id="5" w:name="_Toc354661923"/>
      <w:bookmarkEnd w:id="0"/>
      <w:r w:rsidRPr="00E539EA">
        <w:rPr>
          <w:rFonts w:ascii="Tahoma" w:hAnsi="Tahoma" w:cs="Tahoma"/>
          <w:noProof/>
          <w:sz w:val="17"/>
          <w:szCs w:val="18"/>
        </w:rPr>
        <mc:AlternateContent>
          <mc:Choice Requires="wps">
            <w:drawing>
              <wp:anchor distT="0" distB="0" distL="114300" distR="114300" simplePos="0" relativeHeight="251655680" behindDoc="0" locked="0" layoutInCell="1" allowOverlap="1" wp14:anchorId="0A0749AC" wp14:editId="6301947A">
                <wp:simplePos x="0" y="0"/>
                <wp:positionH relativeFrom="column">
                  <wp:posOffset>-252730</wp:posOffset>
                </wp:positionH>
                <wp:positionV relativeFrom="paragraph">
                  <wp:posOffset>2159635</wp:posOffset>
                </wp:positionV>
                <wp:extent cx="3160395" cy="337820"/>
                <wp:effectExtent l="0" t="0" r="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395" cy="337820"/>
                        </a:xfrm>
                        <a:prstGeom prst="rect">
                          <a:avLst/>
                        </a:prstGeom>
                        <a:noFill/>
                        <a:ln w="9525">
                          <a:noFill/>
                          <a:miter lim="800000"/>
                          <a:headEnd/>
                          <a:tailEnd/>
                        </a:ln>
                      </wps:spPr>
                      <wps:txbx>
                        <w:txbxContent>
                          <w:p w14:paraId="563185BD" w14:textId="56064867" w:rsidR="00E539EA" w:rsidRPr="00A75949" w:rsidRDefault="005D3420" w:rsidP="00E539EA">
                            <w:pPr>
                              <w:rPr>
                                <w:rFonts w:ascii="Tahoma" w:hAnsi="Tahoma" w:cs="Tahoma"/>
                                <w:color w:val="FFFFFF" w:themeColor="background1"/>
                                <w:spacing w:val="6"/>
                                <w:sz w:val="28"/>
                                <w:szCs w:val="28"/>
                                <w:rtl/>
                              </w:rPr>
                            </w:pPr>
                            <w:r>
                              <w:rPr>
                                <w:rFonts w:ascii="Tahoma" w:hAnsi="Tahoma" w:cs="Tahoma" w:hint="cs"/>
                                <w:color w:val="FFFFFF" w:themeColor="background1"/>
                                <w:spacing w:val="6"/>
                                <w:sz w:val="28"/>
                                <w:szCs w:val="28"/>
                                <w:rtl/>
                              </w:rPr>
                              <w:t>הגנה על קטינים במרחב המקוון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0749AC" id="_x0000_t202" coordsize="21600,21600" o:spt="202" path="m,l,21600r21600,l21600,xe">
                <v:stroke joinstyle="miter"/>
                <v:path gradientshapeok="t" o:connecttype="rect"/>
              </v:shapetype>
              <v:shape id="Text Box 2" o:spid="_x0000_s1026" type="#_x0000_t202" style="position:absolute;left:0;text-align:left;margin-left:-19.9pt;margin-top:170.05pt;width:248.85pt;height:2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" filled="f" stroked="f">
                <v:textbox>
                  <w:txbxContent>
                    <w:p w14:paraId="563185BD" w14:textId="56064867" w:rsidR="00E539EA" w:rsidRPr="00A75949" w:rsidRDefault="005D3420" w:rsidP="00E539EA">
                      <w:pPr>
                        <w:rPr>
                          <w:rFonts w:ascii="Tahoma" w:hAnsi="Tahoma" w:cs="Tahoma"/>
                          <w:color w:val="FFFFFF" w:themeColor="background1"/>
                          <w:spacing w:val="6"/>
                          <w:sz w:val="28"/>
                          <w:szCs w:val="28"/>
                          <w:rtl/>
                        </w:rPr>
                      </w:pPr>
                      <w:r>
                        <w:rPr>
                          <w:rFonts w:ascii="Tahoma" w:hAnsi="Tahoma" w:cs="Tahoma" w:hint="cs"/>
                          <w:color w:val="FFFFFF" w:themeColor="background1"/>
                          <w:spacing w:val="6"/>
                          <w:sz w:val="28"/>
                          <w:szCs w:val="28"/>
                          <w:rtl/>
                        </w:rPr>
                        <w:t>הגנה על קטינים במרחב המקוון</w:t>
                      </w:r>
                    </w:p>
                  </w:txbxContent>
                </v:textbox>
              </v:shape>
            </w:pict>
          </mc:Fallback>
        </mc:AlternateContent>
      </w:r>
      <w:r w:rsidR="00946475">
        <w:rPr>
          <w:rFonts w:ascii="Tahoma" w:hAnsi="Tahoma" w:cs="Tahoma"/>
          <w:noProof/>
          <w:sz w:val="17"/>
          <w:szCs w:val="18"/>
        </w:rPr>
        <mc:AlternateContent>
          <mc:Choice Requires="wps">
            <w:drawing>
              <wp:anchor distT="0" distB="0" distL="114300" distR="114300" simplePos="0" relativeHeight="251662848" behindDoc="0" locked="0" layoutInCell="1" allowOverlap="1" wp14:anchorId="6F0E2922" wp14:editId="1267ADEA">
                <wp:simplePos x="0" y="0"/>
                <wp:positionH relativeFrom="column">
                  <wp:posOffset>3148203</wp:posOffset>
                </wp:positionH>
                <wp:positionV relativeFrom="paragraph">
                  <wp:posOffset>1306322</wp:posOffset>
                </wp:positionV>
                <wp:extent cx="53975" cy="3347720"/>
                <wp:effectExtent l="0" t="0" r="3175" b="5080"/>
                <wp:wrapNone/>
                <wp:docPr id="1" name="Rectangle 1"/>
                <wp:cNvGraphicFramePr/>
                <a:graphic xmlns:a="http://schemas.openxmlformats.org/drawingml/2006/main">
                  <a:graphicData uri="http://schemas.microsoft.com/office/word/2010/wordprocessingShape">
                    <wps:wsp>
                      <wps:cNvSpPr/>
                      <wps:spPr>
                        <a:xfrm>
                          <a:off x="0" y="0"/>
                          <a:ext cx="53975" cy="3347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3EBE9" id="Rectangle 1" o:spid="_x0000_s1026" style="position:absolute;margin-left:247.9pt;margin-top:102.85pt;width:4.25pt;height:26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" fillcolor="white [3212]" stroked="f" strokeweight="1.5pt">
                <v:stroke endcap="round"/>
              </v:rect>
            </w:pict>
          </mc:Fallback>
        </mc:AlternateContent>
      </w:r>
      <w:r w:rsidR="00A40BC1" w:rsidRPr="00E539EA">
        <w:rPr>
          <w:rFonts w:ascii="Tahoma" w:hAnsi="Tahoma" w:cs="Tahoma"/>
          <w:noProof/>
          <w:sz w:val="17"/>
          <w:szCs w:val="18"/>
        </w:rPr>
        <mc:AlternateContent>
          <mc:Choice Requires="wps">
            <w:drawing>
              <wp:anchor distT="0" distB="0" distL="114300" distR="114300" simplePos="0" relativeHeight="251651584" behindDoc="0" locked="0" layoutInCell="1" allowOverlap="1" wp14:anchorId="63635032" wp14:editId="6E97FC0C">
                <wp:simplePos x="0" y="0"/>
                <wp:positionH relativeFrom="column">
                  <wp:posOffset>-576192</wp:posOffset>
                </wp:positionH>
                <wp:positionV relativeFrom="paragraph">
                  <wp:posOffset>1406691</wp:posOffset>
                </wp:positionV>
                <wp:extent cx="3478778" cy="337820"/>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778" cy="337820"/>
                        </a:xfrm>
                        <a:prstGeom prst="rect">
                          <a:avLst/>
                        </a:prstGeom>
                        <a:noFill/>
                        <a:ln w="9525">
                          <a:noFill/>
                          <a:miter lim="800000"/>
                          <a:headEnd/>
                          <a:tailEnd/>
                        </a:ln>
                      </wps:spPr>
                      <wps:txbx>
                        <w:txbxContent>
                          <w:p w14:paraId="0EDFEFF5" w14:textId="377220F5" w:rsidR="00E539EA" w:rsidRPr="00A75949" w:rsidRDefault="00E539EA" w:rsidP="00E539EA">
                            <w:pPr>
                              <w:rPr>
                                <w:rFonts w:ascii="Tahoma" w:hAnsi="Tahoma" w:cs="Tahoma"/>
                                <w:color w:val="FFFFFF" w:themeColor="background1"/>
                                <w:spacing w:val="6"/>
                                <w:sz w:val="18"/>
                                <w:szCs w:val="18"/>
                              </w:rPr>
                            </w:pPr>
                            <w:r w:rsidRPr="00A75949">
                              <w:rPr>
                                <w:rFonts w:ascii="Tahoma" w:hAnsi="Tahoma" w:cs="Tahoma"/>
                                <w:color w:val="FFFFFF" w:themeColor="background1"/>
                                <w:spacing w:val="6"/>
                                <w:sz w:val="18"/>
                                <w:szCs w:val="18"/>
                                <w:rtl/>
                              </w:rPr>
                              <w:t xml:space="preserve">מבקר המדינה </w:t>
                            </w:r>
                            <w:r w:rsidR="00A40BC1">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w:t>
                            </w:r>
                            <w:r w:rsidR="00A40BC1">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 xml:space="preserve"> דוח</w:t>
                            </w:r>
                            <w:r w:rsidR="00484D2D">
                              <w:rPr>
                                <w:rFonts w:ascii="Tahoma" w:hAnsi="Tahoma" w:cs="Tahoma" w:hint="cs"/>
                                <w:color w:val="FFFFFF" w:themeColor="background1"/>
                                <w:spacing w:val="6"/>
                                <w:sz w:val="18"/>
                                <w:szCs w:val="18"/>
                                <w:rtl/>
                              </w:rPr>
                              <w:t xml:space="preserve"> ביקורת</w:t>
                            </w:r>
                            <w:r w:rsidRPr="00A75949">
                              <w:rPr>
                                <w:rFonts w:ascii="Tahoma" w:hAnsi="Tahoma" w:cs="Tahoma"/>
                                <w:color w:val="FFFFFF" w:themeColor="background1"/>
                                <w:spacing w:val="6"/>
                                <w:sz w:val="18"/>
                                <w:szCs w:val="18"/>
                                <w:rtl/>
                              </w:rPr>
                              <w:t xml:space="preserve"> </w:t>
                            </w:r>
                            <w:r w:rsidR="005D3420">
                              <w:rPr>
                                <w:rFonts w:ascii="Tahoma" w:hAnsi="Tahoma" w:cs="Tahoma" w:hint="cs"/>
                                <w:color w:val="FFFFFF" w:themeColor="background1"/>
                                <w:spacing w:val="6"/>
                                <w:sz w:val="18"/>
                                <w:szCs w:val="18"/>
                                <w:rtl/>
                              </w:rPr>
                              <w:t>מיוחד</w:t>
                            </w:r>
                            <w:r w:rsidR="00485779">
                              <w:rPr>
                                <w:rFonts w:ascii="Tahoma" w:hAnsi="Tahoma" w:cs="Tahoma" w:hint="cs"/>
                                <w:color w:val="FFFFFF" w:themeColor="background1"/>
                                <w:spacing w:val="6"/>
                                <w:sz w:val="18"/>
                                <w:szCs w:val="18"/>
                                <w:rtl/>
                              </w:rPr>
                              <w:t xml:space="preserve">  |  התשפ"ב-2022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35032" id="_x0000_s1027" type="#_x0000_t202" style="position:absolute;left:0;text-align:left;margin-left:-45.35pt;margin-top:110.75pt;width:273.9pt;height:26.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" filled="f" stroked="f">
                <v:textbox>
                  <w:txbxContent>
                    <w:p w14:paraId="0EDFEFF5" w14:textId="377220F5" w:rsidR="00E539EA" w:rsidRPr="00A75949" w:rsidRDefault="00E539EA" w:rsidP="00E539EA">
                      <w:pPr>
                        <w:rPr>
                          <w:rFonts w:ascii="Tahoma" w:hAnsi="Tahoma" w:cs="Tahoma"/>
                          <w:color w:val="FFFFFF" w:themeColor="background1"/>
                          <w:spacing w:val="6"/>
                          <w:sz w:val="18"/>
                          <w:szCs w:val="18"/>
                        </w:rPr>
                      </w:pPr>
                      <w:r w:rsidRPr="00A75949">
                        <w:rPr>
                          <w:rFonts w:ascii="Tahoma" w:hAnsi="Tahoma" w:cs="Tahoma"/>
                          <w:color w:val="FFFFFF" w:themeColor="background1"/>
                          <w:spacing w:val="6"/>
                          <w:sz w:val="18"/>
                          <w:szCs w:val="18"/>
                          <w:rtl/>
                        </w:rPr>
                        <w:t xml:space="preserve">מבקר המדינה </w:t>
                      </w:r>
                      <w:r w:rsidR="00A40BC1">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w:t>
                      </w:r>
                      <w:r w:rsidR="00A40BC1">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 xml:space="preserve"> דוח</w:t>
                      </w:r>
                      <w:r w:rsidR="00484D2D">
                        <w:rPr>
                          <w:rFonts w:ascii="Tahoma" w:hAnsi="Tahoma" w:cs="Tahoma" w:hint="cs"/>
                          <w:color w:val="FFFFFF" w:themeColor="background1"/>
                          <w:spacing w:val="6"/>
                          <w:sz w:val="18"/>
                          <w:szCs w:val="18"/>
                          <w:rtl/>
                        </w:rPr>
                        <w:t xml:space="preserve"> ביקורת</w:t>
                      </w:r>
                      <w:r w:rsidRPr="00A75949">
                        <w:rPr>
                          <w:rFonts w:ascii="Tahoma" w:hAnsi="Tahoma" w:cs="Tahoma"/>
                          <w:color w:val="FFFFFF" w:themeColor="background1"/>
                          <w:spacing w:val="6"/>
                          <w:sz w:val="18"/>
                          <w:szCs w:val="18"/>
                          <w:rtl/>
                        </w:rPr>
                        <w:t xml:space="preserve"> </w:t>
                      </w:r>
                      <w:r w:rsidR="005D3420">
                        <w:rPr>
                          <w:rFonts w:ascii="Tahoma" w:hAnsi="Tahoma" w:cs="Tahoma" w:hint="cs"/>
                          <w:color w:val="FFFFFF" w:themeColor="background1"/>
                          <w:spacing w:val="6"/>
                          <w:sz w:val="18"/>
                          <w:szCs w:val="18"/>
                          <w:rtl/>
                        </w:rPr>
                        <w:t>מיוחד</w:t>
                      </w:r>
                      <w:r w:rsidR="00485779">
                        <w:rPr>
                          <w:rFonts w:ascii="Tahoma" w:hAnsi="Tahoma" w:cs="Tahoma" w:hint="cs"/>
                          <w:color w:val="FFFFFF" w:themeColor="background1"/>
                          <w:spacing w:val="6"/>
                          <w:sz w:val="18"/>
                          <w:szCs w:val="18"/>
                          <w:rtl/>
                        </w:rPr>
                        <w:t xml:space="preserve">  |  התשפ"ב-2022</w:t>
                      </w:r>
                    </w:p>
                  </w:txbxContent>
                </v:textbox>
              </v:shape>
            </w:pict>
          </mc:Fallback>
        </mc:AlternateContent>
      </w:r>
      <w:r w:rsidR="00E539EA" w:rsidRPr="00E539EA">
        <w:rPr>
          <w:rFonts w:ascii="Tahoma" w:hAnsi="Tahoma" w:cs="Tahoma"/>
          <w:noProof/>
          <w:sz w:val="17"/>
          <w:szCs w:val="18"/>
        </w:rPr>
        <mc:AlternateContent>
          <mc:Choice Requires="wps">
            <w:drawing>
              <wp:anchor distT="0" distB="0" distL="114300" distR="114300" simplePos="0" relativeHeight="251659776" behindDoc="0" locked="0" layoutInCell="1" allowOverlap="1" wp14:anchorId="72B37D26" wp14:editId="7C0440A7">
                <wp:simplePos x="0" y="0"/>
                <wp:positionH relativeFrom="column">
                  <wp:posOffset>-641350</wp:posOffset>
                </wp:positionH>
                <wp:positionV relativeFrom="paragraph">
                  <wp:posOffset>2553335</wp:posOffset>
                </wp:positionV>
                <wp:extent cx="3550920" cy="21526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2152650"/>
                        </a:xfrm>
                        <a:prstGeom prst="rect">
                          <a:avLst/>
                        </a:prstGeom>
                        <a:noFill/>
                        <a:ln w="9525">
                          <a:noFill/>
                          <a:miter lim="800000"/>
                          <a:headEnd/>
                          <a:tailEnd/>
                        </a:ln>
                      </wps:spPr>
                      <wps:txbx>
                        <w:txbxContent>
                          <w:p w14:paraId="0040AB6F" w14:textId="104547C6" w:rsidR="00E539EA" w:rsidRPr="00A75949" w:rsidRDefault="00583E48" w:rsidP="006061A9">
                            <w:pPr>
                              <w:spacing w:after="0" w:line="600" w:lineRule="exact"/>
                              <w:rPr>
                                <w:rFonts w:ascii="Tahoma" w:hAnsi="Tahoma" w:cs="Tahoma"/>
                                <w:b/>
                                <w:bCs/>
                                <w:color w:val="FFFFFF" w:themeColor="background1"/>
                                <w:spacing w:val="6"/>
                                <w:sz w:val="44"/>
                                <w:szCs w:val="44"/>
                                <w:rtl/>
                              </w:rPr>
                            </w:pPr>
                            <w:r>
                              <w:rPr>
                                <w:rFonts w:ascii="Tahoma" w:hAnsi="Tahoma" w:cs="Tahoma" w:hint="cs"/>
                                <w:b/>
                                <w:bCs/>
                                <w:color w:val="FFFFFF" w:themeColor="background1"/>
                                <w:spacing w:val="6"/>
                                <w:sz w:val="44"/>
                                <w:szCs w:val="44"/>
                                <w:rtl/>
                              </w:rPr>
                              <w:t>מבוא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37D26" id="_x0000_s1028" type="#_x0000_t202" style="position:absolute;left:0;text-align:left;margin-left:-50.5pt;margin-top:201.05pt;width:279.6pt;height:16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" filled="f" stroked="f">
                <v:textbox>
                  <w:txbxContent>
                    <w:p w14:paraId="0040AB6F" w14:textId="104547C6" w:rsidR="00E539EA" w:rsidRPr="00A75949" w:rsidRDefault="00583E48" w:rsidP="006061A9">
                      <w:pPr>
                        <w:spacing w:after="0" w:line="600" w:lineRule="exact"/>
                        <w:rPr>
                          <w:rFonts w:ascii="Tahoma" w:hAnsi="Tahoma" w:cs="Tahoma"/>
                          <w:b/>
                          <w:bCs/>
                          <w:color w:val="FFFFFF" w:themeColor="background1"/>
                          <w:spacing w:val="6"/>
                          <w:sz w:val="44"/>
                          <w:szCs w:val="44"/>
                          <w:rtl/>
                        </w:rPr>
                      </w:pPr>
                      <w:r>
                        <w:rPr>
                          <w:rFonts w:ascii="Tahoma" w:hAnsi="Tahoma" w:cs="Tahoma" w:hint="cs"/>
                          <w:b/>
                          <w:bCs/>
                          <w:color w:val="FFFFFF" w:themeColor="background1"/>
                          <w:spacing w:val="6"/>
                          <w:sz w:val="44"/>
                          <w:szCs w:val="44"/>
                          <w:rtl/>
                        </w:rPr>
                        <w:t>מבוא</w:t>
                      </w:r>
                    </w:p>
                  </w:txbxContent>
                </v:textbox>
              </v:shape>
            </w:pict>
          </mc:Fallback>
        </mc:AlternateContent>
      </w:r>
      <w:r w:rsidR="00BE237A">
        <w:rPr>
          <w:rFonts w:ascii="Tahoma" w:hAnsi="Tahoma" w:cs="Tahoma"/>
          <w:noProof/>
          <w:sz w:val="17"/>
          <w:szCs w:val="18"/>
          <w:rtl/>
          <w:lang w:val="he-IL"/>
        </w:rPr>
        <w:drawing>
          <wp:anchor distT="0" distB="0" distL="114300" distR="114300" simplePos="0" relativeHeight="251663872" behindDoc="1" locked="0" layoutInCell="1" allowOverlap="1" wp14:anchorId="1D5BF6A3" wp14:editId="75AA1A50">
            <wp:simplePos x="1432560" y="1981200"/>
            <wp:positionH relativeFrom="page">
              <wp:align>center</wp:align>
            </wp:positionH>
            <wp:positionV relativeFrom="page">
              <wp:align>center</wp:align>
            </wp:positionV>
            <wp:extent cx="6840000" cy="935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40000" cy="9356400"/>
                    </a:xfrm>
                    <a:prstGeom prst="rect">
                      <a:avLst/>
                    </a:prstGeom>
                  </pic:spPr>
                </pic:pic>
              </a:graphicData>
            </a:graphic>
            <wp14:sizeRelH relativeFrom="margin">
              <wp14:pctWidth>0</wp14:pctWidth>
            </wp14:sizeRelH>
            <wp14:sizeRelV relativeFrom="margin">
              <wp14:pctHeight>0</wp14:pctHeight>
            </wp14:sizeRelV>
          </wp:anchor>
        </w:drawing>
      </w:r>
    </w:p>
    <w:bookmarkEnd w:id="1"/>
    <w:bookmarkEnd w:id="2"/>
    <w:bookmarkEnd w:id="3"/>
    <w:bookmarkEnd w:id="4"/>
    <w:bookmarkEnd w:id="5"/>
    <w:p w14:paraId="2BB4256A" w14:textId="77777777" w:rsidR="005C33A1" w:rsidRPr="0010599F" w:rsidDel="00660660" w:rsidRDefault="005C33A1" w:rsidP="006522FF">
      <w:pPr>
        <w:pStyle w:val="running-text"/>
        <w:bidi/>
        <w:ind w:right="0"/>
        <w:rPr>
          <w:rtl/>
        </w:rPr>
      </w:pPr>
    </w:p>
    <w:p w14:paraId="390C1047" w14:textId="77777777" w:rsidR="003C0AAE" w:rsidRDefault="003C0AAE" w:rsidP="006522FF">
      <w:pPr>
        <w:spacing w:before="360" w:line="240" w:lineRule="atLeast"/>
        <w:rPr>
          <w:rFonts w:ascii="Tahoma" w:hAnsi="Tahoma" w:cs="Tahoma"/>
          <w:b/>
          <w:bCs/>
          <w:color w:val="003364"/>
          <w:w w:val="85"/>
          <w:sz w:val="36"/>
          <w:szCs w:val="36"/>
          <w:rtl/>
        </w:rPr>
        <w:sectPr w:rsidR="003C0AAE" w:rsidSect="00045345">
          <w:headerReference w:type="even" r:id="rId11"/>
          <w:headerReference w:type="default" r:id="rId12"/>
          <w:pgSz w:w="11906" w:h="16838" w:code="9"/>
          <w:pgMar w:top="2892" w:right="2268" w:bottom="2438" w:left="2268" w:header="1871" w:footer="1928" w:gutter="0"/>
          <w:cols w:space="708"/>
          <w:titlePg/>
          <w:bidi/>
          <w:rtlGutter/>
          <w:docGrid w:linePitch="360"/>
        </w:sectPr>
      </w:pPr>
    </w:p>
    <w:p w14:paraId="54D03581" w14:textId="49BAFFD2" w:rsidR="007F4A31" w:rsidRDefault="007F4A31" w:rsidP="007F4A31">
      <w:pPr>
        <w:pStyle w:val="KOT3N"/>
        <w:rPr>
          <w:rtl/>
        </w:rPr>
      </w:pPr>
      <w:bookmarkStart w:id="6" w:name="copyNevSelection"/>
      <w:r>
        <w:rPr>
          <w:rFonts w:hint="cs"/>
          <w:rtl/>
        </w:rPr>
        <w:lastRenderedPageBreak/>
        <w:t>מבוא</w:t>
      </w:r>
    </w:p>
    <w:p w14:paraId="2E4E6DE6" w14:textId="2F555AC8"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 xml:space="preserve">העולם המקוון הוא חלק בלתי נפרד מהמציאות הסובבת אותנו. האינטרנט עיצב מחדש את התפיסה לגבי תקשורת בין-אישית, לימוד ואיתור מידע, תעסוקה, בידור ופנאי, צריכה ועוד. הנגישות לעולם המקוון אפשרית באופן </w:t>
      </w:r>
      <w:proofErr w:type="spellStart"/>
      <w:r w:rsidRPr="00740A8D">
        <w:rPr>
          <w:rFonts w:ascii="Tahoma" w:hAnsi="Tahoma" w:cs="Tahoma" w:hint="cs"/>
          <w:sz w:val="18"/>
          <w:szCs w:val="18"/>
          <w:rtl/>
        </w:rPr>
        <w:t>מיידי</w:t>
      </w:r>
      <w:proofErr w:type="spellEnd"/>
      <w:r w:rsidRPr="00740A8D">
        <w:rPr>
          <w:rFonts w:ascii="Tahoma" w:hAnsi="Tahoma" w:cs="Tahoma" w:hint="cs"/>
          <w:sz w:val="18"/>
          <w:szCs w:val="18"/>
          <w:rtl/>
        </w:rPr>
        <w:t xml:space="preserve"> כמעט מכל מקום ובכל זמן</w:t>
      </w:r>
      <w:r w:rsidR="00781D99">
        <w:rPr>
          <w:rFonts w:ascii="Tahoma" w:hAnsi="Tahoma" w:cs="Tahoma" w:hint="cs"/>
          <w:sz w:val="18"/>
          <w:szCs w:val="18"/>
          <w:rtl/>
        </w:rPr>
        <w:t>.</w:t>
      </w:r>
      <w:r w:rsidRPr="00740A8D">
        <w:rPr>
          <w:rFonts w:ascii="Tahoma" w:hAnsi="Tahoma" w:cs="Tahoma" w:hint="cs"/>
          <w:sz w:val="18"/>
          <w:szCs w:val="18"/>
          <w:rtl/>
        </w:rPr>
        <w:t xml:space="preserve"> עולם זה מתפתח במהירות ומציע אפשרויות חדשות כל העת. נכון לינואר 2021 היו ברחבי העולם 4.66 מיליארד משתמשי אינטרנט פעילים (כ-60% מאוכלוסיית העולם), מהם כ-93% באמצעות טלפונים ניידים</w:t>
      </w:r>
      <w:r w:rsidRPr="00740A8D">
        <w:rPr>
          <w:rStyle w:val="FootnoteReference"/>
          <w:rFonts w:ascii="Tahoma" w:hAnsi="Tahoma" w:cs="Tahoma"/>
          <w:sz w:val="18"/>
          <w:szCs w:val="18"/>
          <w:rtl/>
        </w:rPr>
        <w:footnoteReference w:id="1"/>
      </w:r>
      <w:r w:rsidRPr="00740A8D">
        <w:rPr>
          <w:rFonts w:ascii="Tahoma" w:hAnsi="Tahoma" w:cs="Tahoma" w:hint="cs"/>
          <w:sz w:val="18"/>
          <w:szCs w:val="18"/>
          <w:rtl/>
        </w:rPr>
        <w:t xml:space="preserve">. </w:t>
      </w:r>
    </w:p>
    <w:p w14:paraId="11DAE2AE" w14:textId="77777777"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 xml:space="preserve">הסביבה המקוונת היא זירת פעילות מרכזית בעולמם של הילדים ובני הנוער, וההפרדה בינה לבין הסביבה הפיזית הולכת ומיטשטשת. הם פעילים בה לצרכים מגוונים, לפרקי זמן הולכים וגדלים, והחל מגילים צעירים יותר </w:t>
      </w:r>
      <w:proofErr w:type="spellStart"/>
      <w:r w:rsidRPr="00740A8D">
        <w:rPr>
          <w:rFonts w:ascii="Tahoma" w:hAnsi="Tahoma" w:cs="Tahoma" w:hint="cs"/>
          <w:sz w:val="18"/>
          <w:szCs w:val="18"/>
          <w:rtl/>
        </w:rPr>
        <w:t>מבעבר</w:t>
      </w:r>
      <w:proofErr w:type="spellEnd"/>
      <w:r w:rsidRPr="00740A8D">
        <w:rPr>
          <w:rFonts w:ascii="Tahoma" w:hAnsi="Tahoma" w:cs="Tahoma" w:hint="cs"/>
          <w:sz w:val="18"/>
          <w:szCs w:val="18"/>
          <w:rtl/>
        </w:rPr>
        <w:t xml:space="preserve">. העולם המקוון מציע שפע של הזדמנויות לילדים ולבני נוער, ובכלל זה אפשרויות בלתי נדלות ללימוד בכל תחום, ליצירת קשרים חברתיים ללא מגבלה של זמן או מקום, לביטוי עצמי במגוון פלטפורמות, למשחק ולהנאה. </w:t>
      </w:r>
    </w:p>
    <w:p w14:paraId="1536E3B0" w14:textId="1C30FD5C"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 xml:space="preserve">בהתאם לנתוני ארגון </w:t>
      </w:r>
      <w:proofErr w:type="spellStart"/>
      <w:r w:rsidRPr="00740A8D">
        <w:rPr>
          <w:rFonts w:ascii="Tahoma" w:hAnsi="Tahoma" w:cs="Tahoma" w:hint="cs"/>
          <w:sz w:val="18"/>
          <w:szCs w:val="18"/>
        </w:rPr>
        <w:t>U</w:t>
      </w:r>
      <w:r w:rsidRPr="00740A8D">
        <w:rPr>
          <w:rFonts w:ascii="Tahoma" w:hAnsi="Tahoma" w:cs="Tahoma"/>
          <w:sz w:val="18"/>
          <w:szCs w:val="18"/>
        </w:rPr>
        <w:t>nicef</w:t>
      </w:r>
      <w:proofErr w:type="spellEnd"/>
      <w:r w:rsidR="00781D99" w:rsidRPr="00781D99">
        <w:rPr>
          <w:rFonts w:ascii="Tahoma" w:hAnsi="Tahoma" w:cs="Tahoma" w:hint="cs"/>
          <w:sz w:val="4"/>
          <w:szCs w:val="4"/>
          <w:rtl/>
        </w:rPr>
        <w:t xml:space="preserve"> </w:t>
      </w:r>
      <w:r w:rsidRPr="00740A8D">
        <w:rPr>
          <w:rStyle w:val="FootnoteReference"/>
          <w:rFonts w:ascii="Tahoma" w:hAnsi="Tahoma" w:cs="Tahoma"/>
          <w:sz w:val="18"/>
          <w:szCs w:val="18"/>
        </w:rPr>
        <w:footnoteReference w:id="2"/>
      </w:r>
      <w:r w:rsidRPr="00740A8D">
        <w:rPr>
          <w:rFonts w:ascii="Tahoma" w:hAnsi="Tahoma" w:cs="Tahoma" w:hint="cs"/>
          <w:sz w:val="18"/>
          <w:szCs w:val="18"/>
          <w:rtl/>
        </w:rPr>
        <w:t>, נכון לשנת 2020 לכשליש מהילדים ובני הנוער בעולם הייתה גישה לאינטרנט מבתיהם, כאשר ישנו פער ניכר בין מדינות בעלות רמות הכנסה גבוהות למדינות בעלות רמות הכנסה נמוכות</w:t>
      </w:r>
      <w:r w:rsidRPr="00740A8D">
        <w:rPr>
          <w:rStyle w:val="FootnoteReference"/>
          <w:rFonts w:ascii="Tahoma" w:hAnsi="Tahoma" w:cs="Tahoma"/>
          <w:sz w:val="18"/>
          <w:szCs w:val="18"/>
          <w:rtl/>
        </w:rPr>
        <w:footnoteReference w:id="3"/>
      </w:r>
      <w:r w:rsidRPr="00740A8D">
        <w:rPr>
          <w:rFonts w:ascii="Tahoma" w:hAnsi="Tahoma" w:cs="Tahoma" w:hint="cs"/>
          <w:sz w:val="18"/>
          <w:szCs w:val="18"/>
          <w:rtl/>
        </w:rPr>
        <w:t>. לפי נתוני ארגון ה-</w:t>
      </w:r>
      <w:r w:rsidRPr="00740A8D">
        <w:rPr>
          <w:rFonts w:ascii="Tahoma" w:hAnsi="Tahoma" w:cs="Tahoma" w:hint="cs"/>
          <w:sz w:val="18"/>
          <w:szCs w:val="18"/>
        </w:rPr>
        <w:t>OECD</w:t>
      </w:r>
      <w:r w:rsidR="00781D99" w:rsidRPr="00781D99">
        <w:rPr>
          <w:rFonts w:ascii="Tahoma" w:hAnsi="Tahoma" w:cs="Tahoma" w:hint="cs"/>
          <w:sz w:val="4"/>
          <w:szCs w:val="4"/>
          <w:rtl/>
        </w:rPr>
        <w:t xml:space="preserve"> </w:t>
      </w:r>
      <w:r w:rsidRPr="00740A8D">
        <w:rPr>
          <w:rStyle w:val="FootnoteReference"/>
          <w:rFonts w:ascii="Tahoma" w:hAnsi="Tahoma" w:cs="Tahoma"/>
          <w:sz w:val="18"/>
          <w:szCs w:val="18"/>
        </w:rPr>
        <w:footnoteReference w:id="4"/>
      </w:r>
      <w:r w:rsidRPr="00740A8D">
        <w:rPr>
          <w:rFonts w:ascii="Tahoma" w:hAnsi="Tahoma" w:cs="Tahoma" w:hint="cs"/>
          <w:sz w:val="18"/>
          <w:szCs w:val="18"/>
          <w:rtl/>
        </w:rPr>
        <w:t xml:space="preserve">, </w:t>
      </w:r>
      <w:r w:rsidRPr="00740A8D">
        <w:rPr>
          <w:rFonts w:ascii="Tahoma" w:hAnsi="Tahoma" w:cs="Tahoma"/>
          <w:sz w:val="18"/>
          <w:szCs w:val="18"/>
          <w:rtl/>
        </w:rPr>
        <w:t xml:space="preserve">מספר הילדים </w:t>
      </w:r>
      <w:r w:rsidRPr="00740A8D">
        <w:rPr>
          <w:rFonts w:ascii="Tahoma" w:hAnsi="Tahoma" w:cs="Tahoma" w:hint="cs"/>
          <w:sz w:val="18"/>
          <w:szCs w:val="18"/>
          <w:rtl/>
        </w:rPr>
        <w:t>שיש להם</w:t>
      </w:r>
      <w:r w:rsidRPr="00740A8D">
        <w:rPr>
          <w:rFonts w:ascii="Tahoma" w:hAnsi="Tahoma" w:cs="Tahoma"/>
          <w:sz w:val="18"/>
          <w:szCs w:val="18"/>
          <w:rtl/>
        </w:rPr>
        <w:t xml:space="preserve"> גישה לאינטרנט בבית ולמגוון מכשירים דיגיטליים גדל בהתמדה במדינות ה</w:t>
      </w:r>
      <w:r w:rsidRPr="00740A8D">
        <w:rPr>
          <w:rFonts w:ascii="Tahoma" w:hAnsi="Tahoma" w:cs="Tahoma" w:hint="cs"/>
          <w:sz w:val="18"/>
          <w:szCs w:val="18"/>
          <w:rtl/>
        </w:rPr>
        <w:t>חברות בו</w:t>
      </w:r>
      <w:r w:rsidRPr="00740A8D">
        <w:rPr>
          <w:rFonts w:ascii="Tahoma" w:hAnsi="Tahoma" w:cs="Tahoma"/>
          <w:sz w:val="18"/>
          <w:szCs w:val="18"/>
          <w:rtl/>
        </w:rPr>
        <w:t>. בין השנים 2006 ל</w:t>
      </w:r>
      <w:r w:rsidRPr="00740A8D">
        <w:rPr>
          <w:rFonts w:ascii="Tahoma" w:hAnsi="Tahoma" w:cs="Tahoma" w:hint="cs"/>
          <w:sz w:val="18"/>
          <w:szCs w:val="18"/>
          <w:rtl/>
        </w:rPr>
        <w:t>-</w:t>
      </w:r>
      <w:r w:rsidRPr="00740A8D">
        <w:rPr>
          <w:rFonts w:ascii="Tahoma" w:hAnsi="Tahoma" w:cs="Tahoma"/>
          <w:sz w:val="18"/>
          <w:szCs w:val="18"/>
          <w:rtl/>
        </w:rPr>
        <w:t xml:space="preserve">2015 עלה שיעור בני </w:t>
      </w:r>
      <w:r w:rsidRPr="00740A8D">
        <w:rPr>
          <w:rFonts w:ascii="Tahoma" w:hAnsi="Tahoma" w:cs="Tahoma" w:hint="cs"/>
          <w:sz w:val="18"/>
          <w:szCs w:val="18"/>
          <w:rtl/>
        </w:rPr>
        <w:t>ה-</w:t>
      </w:r>
      <w:r w:rsidRPr="00740A8D">
        <w:rPr>
          <w:rFonts w:ascii="Tahoma" w:hAnsi="Tahoma" w:cs="Tahoma"/>
          <w:sz w:val="18"/>
          <w:szCs w:val="18"/>
          <w:rtl/>
        </w:rPr>
        <w:t>15 במדינות ה-</w:t>
      </w:r>
      <w:r w:rsidRPr="00740A8D">
        <w:rPr>
          <w:rFonts w:ascii="Tahoma" w:hAnsi="Tahoma" w:cs="Tahoma"/>
          <w:sz w:val="18"/>
          <w:szCs w:val="18"/>
        </w:rPr>
        <w:t>OECD</w:t>
      </w:r>
      <w:r w:rsidRPr="00740A8D">
        <w:rPr>
          <w:rFonts w:ascii="Tahoma" w:hAnsi="Tahoma" w:cs="Tahoma"/>
          <w:sz w:val="18"/>
          <w:szCs w:val="18"/>
          <w:rtl/>
        </w:rPr>
        <w:t xml:space="preserve"> </w:t>
      </w:r>
      <w:r w:rsidRPr="00740A8D">
        <w:rPr>
          <w:rFonts w:ascii="Tahoma" w:hAnsi="Tahoma" w:cs="Tahoma" w:hint="cs"/>
          <w:sz w:val="18"/>
          <w:szCs w:val="18"/>
          <w:rtl/>
        </w:rPr>
        <w:t>ש</w:t>
      </w:r>
      <w:r w:rsidRPr="00740A8D">
        <w:rPr>
          <w:rFonts w:ascii="Tahoma" w:hAnsi="Tahoma" w:cs="Tahoma"/>
          <w:sz w:val="18"/>
          <w:szCs w:val="18"/>
          <w:rtl/>
        </w:rPr>
        <w:t>בבית</w:t>
      </w:r>
      <w:r w:rsidRPr="00740A8D">
        <w:rPr>
          <w:rFonts w:ascii="Tahoma" w:hAnsi="Tahoma" w:cs="Tahoma" w:hint="cs"/>
          <w:sz w:val="18"/>
          <w:szCs w:val="18"/>
          <w:rtl/>
        </w:rPr>
        <w:t>ם</w:t>
      </w:r>
      <w:r w:rsidRPr="00740A8D">
        <w:rPr>
          <w:rFonts w:ascii="Tahoma" w:hAnsi="Tahoma" w:cs="Tahoma"/>
          <w:sz w:val="18"/>
          <w:szCs w:val="18"/>
          <w:rtl/>
        </w:rPr>
        <w:t xml:space="preserve"> גישה לאינטרנט מ</w:t>
      </w:r>
      <w:r w:rsidRPr="00740A8D">
        <w:rPr>
          <w:rFonts w:ascii="Tahoma" w:hAnsi="Tahoma" w:cs="Tahoma" w:hint="cs"/>
          <w:sz w:val="18"/>
          <w:szCs w:val="18"/>
          <w:rtl/>
        </w:rPr>
        <w:t xml:space="preserve">-75% ל-95%. באופן דומה, גם במדינות האיחוד האירופי נרשמה עלייה בגישה לאינטרנט מ-55% </w:t>
      </w:r>
      <w:r w:rsidRPr="00740A8D">
        <w:rPr>
          <w:rFonts w:ascii="Tahoma" w:hAnsi="Tahoma" w:cs="Tahoma"/>
          <w:sz w:val="18"/>
          <w:szCs w:val="18"/>
          <w:rtl/>
        </w:rPr>
        <w:t>בשנת 2007 ל</w:t>
      </w:r>
      <w:r w:rsidRPr="00740A8D">
        <w:rPr>
          <w:rFonts w:ascii="Tahoma" w:hAnsi="Tahoma" w:cs="Tahoma" w:hint="cs"/>
          <w:sz w:val="18"/>
          <w:szCs w:val="18"/>
          <w:rtl/>
        </w:rPr>
        <w:t>-</w:t>
      </w:r>
      <w:r w:rsidRPr="00740A8D">
        <w:rPr>
          <w:rFonts w:ascii="Tahoma" w:hAnsi="Tahoma" w:cs="Tahoma"/>
          <w:sz w:val="18"/>
          <w:szCs w:val="18"/>
          <w:rtl/>
        </w:rPr>
        <w:t>87% בשנת 2017</w:t>
      </w:r>
      <w:r w:rsidRPr="00740A8D">
        <w:rPr>
          <w:rStyle w:val="FootnoteReference"/>
          <w:rFonts w:ascii="Tahoma" w:hAnsi="Tahoma" w:cs="Tahoma"/>
          <w:sz w:val="18"/>
          <w:szCs w:val="18"/>
          <w:rtl/>
        </w:rPr>
        <w:footnoteReference w:id="5"/>
      </w:r>
      <w:r w:rsidRPr="00740A8D">
        <w:rPr>
          <w:rFonts w:ascii="Tahoma" w:hAnsi="Tahoma" w:cs="Tahoma" w:hint="cs"/>
          <w:sz w:val="18"/>
          <w:szCs w:val="18"/>
          <w:rtl/>
        </w:rPr>
        <w:t>. להלן נתונים על השימוש במכשירים ניידים חכמים בקרב ילדים ובני נוער ב-34 מדינות</w:t>
      </w:r>
      <w:r w:rsidRPr="00740A8D">
        <w:rPr>
          <w:rStyle w:val="FootnoteReference"/>
          <w:rFonts w:ascii="Tahoma" w:hAnsi="Tahoma" w:cs="Tahoma"/>
          <w:sz w:val="18"/>
          <w:szCs w:val="18"/>
          <w:rtl/>
        </w:rPr>
        <w:footnoteReference w:id="6"/>
      </w:r>
      <w:r w:rsidRPr="00740A8D">
        <w:rPr>
          <w:rFonts w:ascii="Tahoma" w:hAnsi="Tahoma" w:cs="Tahoma" w:hint="cs"/>
          <w:sz w:val="18"/>
          <w:szCs w:val="18"/>
          <w:rtl/>
        </w:rPr>
        <w:t>:</w:t>
      </w:r>
    </w:p>
    <w:p w14:paraId="75C98C6F" w14:textId="59CFB8F6" w:rsidR="00583E48" w:rsidRPr="00740A8D" w:rsidRDefault="00E64444" w:rsidP="00781D99">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E64444">
        <w:rPr>
          <w:rFonts w:ascii="Tahoma" w:hAnsi="Tahoma" w:cs="Tahoma" w:hint="cs"/>
          <w:color w:val="0D0D0D" w:themeColor="text1" w:themeTint="F2"/>
          <w:sz w:val="20"/>
          <w:szCs w:val="20"/>
          <w:rtl/>
        </w:rPr>
        <w:lastRenderedPageBreak/>
        <w:t xml:space="preserve">תרשים 1: </w:t>
      </w:r>
      <w:r w:rsidR="00583E48" w:rsidRPr="00740A8D">
        <w:rPr>
          <w:rFonts w:ascii="Tahoma" w:hAnsi="Tahoma" w:cs="Tahoma" w:hint="cs"/>
          <w:b/>
          <w:bCs/>
          <w:color w:val="0D0D0D" w:themeColor="text1" w:themeTint="F2"/>
          <w:sz w:val="20"/>
          <w:szCs w:val="20"/>
          <w:rtl/>
        </w:rPr>
        <w:t>שיעור שימוש בטלפונים ניידים חכמים בקרב ילדים ובני נוער בגילי 17-5 במדינות שונות, 2019</w:t>
      </w:r>
    </w:p>
    <w:p w14:paraId="501D72B0" w14:textId="322D9E35" w:rsidR="00583E48" w:rsidRDefault="00E64444" w:rsidP="00E64444">
      <w:pPr>
        <w:keepNext/>
        <w:spacing w:after="0" w:line="240" w:lineRule="atLeast"/>
        <w:jc w:val="center"/>
        <w:rPr>
          <w:rFonts w:ascii="Tahoma" w:hAnsi="Tahoma" w:cs="Tahoma"/>
          <w:sz w:val="18"/>
          <w:szCs w:val="18"/>
        </w:rPr>
      </w:pPr>
      <w:r>
        <w:rPr>
          <w:rFonts w:ascii="Tahoma" w:hAnsi="Tahoma" w:cs="Tahoma"/>
          <w:noProof/>
          <w:sz w:val="18"/>
          <w:szCs w:val="18"/>
          <w:rtl/>
          <w:lang w:val="he-IL"/>
        </w:rPr>
        <mc:AlternateContent>
          <mc:Choice Requires="wps">
            <w:drawing>
              <wp:anchor distT="0" distB="0" distL="114300" distR="114300" simplePos="0" relativeHeight="251664896" behindDoc="0" locked="0" layoutInCell="1" allowOverlap="1" wp14:anchorId="1B1B2987" wp14:editId="3D88E115">
                <wp:simplePos x="0" y="0"/>
                <wp:positionH relativeFrom="column">
                  <wp:posOffset>-113030</wp:posOffset>
                </wp:positionH>
                <wp:positionV relativeFrom="paragraph">
                  <wp:posOffset>1986280</wp:posOffset>
                </wp:positionV>
                <wp:extent cx="622300" cy="222250"/>
                <wp:effectExtent l="0" t="0" r="25400" b="25400"/>
                <wp:wrapNone/>
                <wp:docPr id="21" name="Oval 21"/>
                <wp:cNvGraphicFramePr/>
                <a:graphic xmlns:a="http://schemas.openxmlformats.org/drawingml/2006/main">
                  <a:graphicData uri="http://schemas.microsoft.com/office/word/2010/wordprocessingShape">
                    <wps:wsp>
                      <wps:cNvSpPr/>
                      <wps:spPr>
                        <a:xfrm>
                          <a:off x="0" y="0"/>
                          <a:ext cx="622300" cy="222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3A50D00" id="Oval 21" o:spid="_x0000_s1026" style="position:absolute;margin-left:-8.9pt;margin-top:156.4pt;width:49pt;height:17.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" filled="f" strokecolor="#073662 [1604]" strokeweight="1.5pt">
                <v:stroke endcap="round"/>
              </v:oval>
            </w:pict>
          </mc:Fallback>
        </mc:AlternateContent>
      </w:r>
      <w:r w:rsidRPr="00740A8D">
        <w:rPr>
          <w:rFonts w:ascii="Tahoma" w:hAnsi="Tahoma" w:cs="Tahoma"/>
          <w:noProof/>
          <w:sz w:val="18"/>
          <w:szCs w:val="18"/>
          <w:rtl/>
        </w:rPr>
        <w:drawing>
          <wp:inline distT="0" distB="0" distL="0" distR="0" wp14:anchorId="603E17EA" wp14:editId="3E8356D1">
            <wp:extent cx="4733254" cy="6184900"/>
            <wp:effectExtent l="0" t="0" r="0" b="635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09130" name=""/>
                    <pic:cNvPicPr/>
                  </pic:nvPicPr>
                  <pic:blipFill>
                    <a:blip r:embed="rId13"/>
                    <a:stretch>
                      <a:fillRect/>
                    </a:stretch>
                  </pic:blipFill>
                  <pic:spPr>
                    <a:xfrm>
                      <a:off x="0" y="0"/>
                      <a:ext cx="4733254" cy="6184900"/>
                    </a:xfrm>
                    <a:prstGeom prst="rect">
                      <a:avLst/>
                    </a:prstGeom>
                  </pic:spPr>
                </pic:pic>
              </a:graphicData>
            </a:graphic>
          </wp:inline>
        </w:drawing>
      </w:r>
    </w:p>
    <w:p w14:paraId="14C5A73A" w14:textId="77777777" w:rsidR="00583E48" w:rsidRDefault="00583E48" w:rsidP="00E64444">
      <w:pPr>
        <w:pStyle w:val="a9"/>
        <w:spacing w:after="240" w:line="240" w:lineRule="atLeast"/>
        <w:ind w:left="0"/>
        <w:jc w:val="center"/>
        <w:rPr>
          <w:rtl/>
        </w:rPr>
      </w:pPr>
      <w:r>
        <w:rPr>
          <w:noProof/>
        </w:rPr>
        <w:drawing>
          <wp:inline distT="0" distB="0" distL="0" distR="0" wp14:anchorId="7F011EDC" wp14:editId="7661823F">
            <wp:extent cx="1630908" cy="290747"/>
            <wp:effectExtent l="0" t="0" r="0" b="0"/>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2505" name=""/>
                    <pic:cNvPicPr/>
                  </pic:nvPicPr>
                  <pic:blipFill>
                    <a:blip r:embed="rId14">
                      <a:extLst>
                        <a:ext uri="{28A0092B-C50C-407E-A947-70E740481C1C}">
                          <a14:useLocalDpi xmlns:a14="http://schemas.microsoft.com/office/drawing/2010/main" val="0"/>
                        </a:ext>
                      </a:extLst>
                    </a:blip>
                    <a:stretch>
                      <a:fillRect/>
                    </a:stretch>
                  </pic:blipFill>
                  <pic:spPr>
                    <a:xfrm>
                      <a:off x="0" y="0"/>
                      <a:ext cx="1630908" cy="290747"/>
                    </a:xfrm>
                    <a:prstGeom prst="rect">
                      <a:avLst/>
                    </a:prstGeom>
                  </pic:spPr>
                </pic:pic>
              </a:graphicData>
            </a:graphic>
          </wp:inline>
        </w:drawing>
      </w:r>
    </w:p>
    <w:p w14:paraId="740C1616" w14:textId="77777777" w:rsidR="00583E48" w:rsidRPr="00E64444" w:rsidRDefault="00583E48" w:rsidP="00E64444">
      <w:pPr>
        <w:tabs>
          <w:tab w:val="left" w:pos="424"/>
        </w:tabs>
        <w:spacing w:after="240" w:line="260" w:lineRule="exact"/>
        <w:jc w:val="both"/>
        <w:rPr>
          <w:rFonts w:ascii="Tahoma" w:hAnsi="Tahoma" w:cs="Tahoma"/>
          <w:color w:val="0D0D0D" w:themeColor="text1" w:themeTint="F2"/>
          <w:sz w:val="16"/>
          <w:szCs w:val="16"/>
          <w:rtl/>
        </w:rPr>
      </w:pPr>
      <w:r w:rsidRPr="00E64444">
        <w:rPr>
          <w:rFonts w:ascii="Tahoma" w:hAnsi="Tahoma" w:cs="Tahoma" w:hint="cs"/>
          <w:color w:val="0D0D0D" w:themeColor="text1" w:themeTint="F2"/>
          <w:sz w:val="16"/>
          <w:szCs w:val="16"/>
          <w:rtl/>
        </w:rPr>
        <w:t>ה</w:t>
      </w:r>
      <w:r w:rsidRPr="00E64444">
        <w:rPr>
          <w:rFonts w:ascii="Tahoma" w:hAnsi="Tahoma" w:cs="Tahoma" w:hint="eastAsia"/>
          <w:color w:val="0D0D0D" w:themeColor="text1" w:themeTint="F2"/>
          <w:sz w:val="16"/>
          <w:szCs w:val="16"/>
          <w:rtl/>
        </w:rPr>
        <w:t>מקור</w:t>
      </w:r>
      <w:r w:rsidRPr="00E64444">
        <w:rPr>
          <w:rFonts w:ascii="Tahoma" w:hAnsi="Tahoma" w:cs="Tahoma"/>
          <w:color w:val="0D0D0D" w:themeColor="text1" w:themeTint="F2"/>
          <w:sz w:val="16"/>
          <w:szCs w:val="16"/>
          <w:rtl/>
        </w:rPr>
        <w:t xml:space="preserve">: </w:t>
      </w:r>
      <w:r w:rsidRPr="00E64444">
        <w:rPr>
          <w:rFonts w:ascii="Tahoma" w:hAnsi="Tahoma" w:cs="Tahoma"/>
          <w:color w:val="0D0D0D" w:themeColor="text1" w:themeTint="F2"/>
          <w:sz w:val="16"/>
          <w:szCs w:val="16"/>
        </w:rPr>
        <w:t>Broadband Commission for Sustainable Development, 2019</w:t>
      </w:r>
      <w:r w:rsidRPr="00E64444">
        <w:rPr>
          <w:rFonts w:ascii="Tahoma" w:hAnsi="Tahoma" w:cs="Tahoma" w:hint="cs"/>
          <w:color w:val="0D0D0D" w:themeColor="text1" w:themeTint="F2"/>
          <w:sz w:val="16"/>
          <w:szCs w:val="16"/>
          <w:rtl/>
        </w:rPr>
        <w:t>.</w:t>
      </w:r>
    </w:p>
    <w:p w14:paraId="0EB84FE4" w14:textId="2C1BA6E5" w:rsidR="00583E48" w:rsidRPr="00EB0D54" w:rsidRDefault="00217EB4" w:rsidP="00EB0D54">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Pr>
      </w:pPr>
      <w:r w:rsidRPr="00EB0D54">
        <w:rPr>
          <w:rFonts w:ascii="Tahoma" w:hAnsi="Tahoma" w:cs="Tahoma" w:hint="cs"/>
          <w:b/>
          <w:color w:val="0D0D0D" w:themeColor="text1" w:themeTint="F2"/>
          <w:sz w:val="18"/>
          <w:szCs w:val="18"/>
          <w:rtl/>
        </w:rPr>
        <w:lastRenderedPageBreak/>
        <w:t>מהתרשים עולה כי ברוב המדינות שנבדקו (21 מתוך 34), למעלה מ-70% מהילדים ובני הנוער עושים שימוש בטלפונים חכמים. עוד עולה כי ישראל נמצאת במקום ה-12 מתוך 34 המדינות שנבדקו, כאשר ש</w:t>
      </w:r>
      <w:r>
        <w:rPr>
          <w:rFonts w:ascii="Tahoma" w:hAnsi="Tahoma" w:cs="Tahoma" w:hint="cs"/>
          <w:b/>
          <w:color w:val="0D0D0D" w:themeColor="text1" w:themeTint="F2"/>
          <w:sz w:val="18"/>
          <w:szCs w:val="18"/>
          <w:rtl/>
        </w:rPr>
        <w:t>י</w:t>
      </w:r>
      <w:r w:rsidRPr="00EB0D54">
        <w:rPr>
          <w:rFonts w:ascii="Tahoma" w:hAnsi="Tahoma" w:cs="Tahoma" w:hint="cs"/>
          <w:b/>
          <w:color w:val="0D0D0D" w:themeColor="text1" w:themeTint="F2"/>
          <w:sz w:val="18"/>
          <w:szCs w:val="18"/>
          <w:rtl/>
        </w:rPr>
        <w:t xml:space="preserve">עור הילדים בגילי </w:t>
      </w:r>
      <w:r w:rsidRPr="00EB0D54">
        <w:rPr>
          <w:rFonts w:ascii="Tahoma" w:hAnsi="Tahoma" w:cs="Tahoma"/>
          <w:b/>
          <w:color w:val="0D0D0D" w:themeColor="text1" w:themeTint="F2"/>
          <w:sz w:val="18"/>
          <w:szCs w:val="18"/>
          <w:rtl/>
        </w:rPr>
        <w:t>17-5</w:t>
      </w:r>
      <w:r w:rsidRPr="00EB0D54">
        <w:rPr>
          <w:rFonts w:ascii="Tahoma" w:hAnsi="Tahoma" w:cs="Tahoma" w:hint="cs"/>
          <w:b/>
          <w:color w:val="0D0D0D" w:themeColor="text1" w:themeTint="F2"/>
          <w:sz w:val="18"/>
          <w:szCs w:val="18"/>
          <w:rtl/>
        </w:rPr>
        <w:t xml:space="preserve"> המשתמשים בטלפונים חכמים עמד בשנת 2019 על כ-81%.</w:t>
      </w:r>
    </w:p>
    <w:p w14:paraId="6D84F8A3" w14:textId="77777777" w:rsidR="00E64444" w:rsidRPr="00740A8D" w:rsidRDefault="00E64444" w:rsidP="00740A8D">
      <w:pPr>
        <w:spacing w:line="260" w:lineRule="exact"/>
        <w:jc w:val="both"/>
        <w:rPr>
          <w:rFonts w:ascii="Tahoma" w:hAnsi="Tahoma" w:cs="Tahoma"/>
          <w:b/>
          <w:bCs/>
          <w:sz w:val="18"/>
          <w:szCs w:val="18"/>
          <w:rtl/>
        </w:rPr>
      </w:pPr>
    </w:p>
    <w:p w14:paraId="4FDDA815" w14:textId="77777777" w:rsidR="00583E48" w:rsidRDefault="00583E48" w:rsidP="00583E48">
      <w:pPr>
        <w:pStyle w:val="KOT5N"/>
        <w:rPr>
          <w:rtl/>
        </w:rPr>
      </w:pPr>
      <w:r>
        <w:rPr>
          <w:rFonts w:hint="cs"/>
          <w:rtl/>
        </w:rPr>
        <w:t>י</w:t>
      </w:r>
      <w:r w:rsidRPr="009E0D2E">
        <w:rPr>
          <w:rFonts w:hint="cs"/>
          <w:rtl/>
        </w:rPr>
        <w:t>לדים ובני</w:t>
      </w:r>
      <w:r>
        <w:rPr>
          <w:rFonts w:hint="cs"/>
          <w:rtl/>
        </w:rPr>
        <w:t xml:space="preserve"> </w:t>
      </w:r>
      <w:r w:rsidRPr="009E0D2E">
        <w:rPr>
          <w:rFonts w:hint="cs"/>
          <w:rtl/>
        </w:rPr>
        <w:t xml:space="preserve">נוער </w:t>
      </w:r>
      <w:r>
        <w:rPr>
          <w:rFonts w:hint="cs"/>
          <w:rtl/>
        </w:rPr>
        <w:t xml:space="preserve">- </w:t>
      </w:r>
      <w:r w:rsidRPr="009E0D2E">
        <w:rPr>
          <w:rFonts w:hint="cs"/>
          <w:rtl/>
        </w:rPr>
        <w:t>סיכונים בעולם המקוון</w:t>
      </w:r>
      <w:r>
        <w:rPr>
          <w:rFonts w:hint="cs"/>
          <w:rtl/>
        </w:rPr>
        <w:t xml:space="preserve"> והשלכותיהם</w:t>
      </w:r>
    </w:p>
    <w:p w14:paraId="058607B2" w14:textId="746CF3CE" w:rsidR="00583E48" w:rsidRPr="00740A8D" w:rsidRDefault="00217EB4" w:rsidP="00740A8D">
      <w:pPr>
        <w:spacing w:line="260" w:lineRule="exact"/>
        <w:jc w:val="both"/>
        <w:rPr>
          <w:rFonts w:ascii="Tahoma" w:hAnsi="Tahoma" w:cs="Tahoma"/>
          <w:sz w:val="18"/>
          <w:szCs w:val="18"/>
          <w:rtl/>
        </w:rPr>
      </w:pPr>
      <w:r w:rsidRPr="00217EB4">
        <w:rPr>
          <w:rFonts w:ascii="Tahoma" w:hAnsi="Tahoma" w:cs="Tahoma" w:hint="eastAsia"/>
          <w:sz w:val="18"/>
          <w:szCs w:val="18"/>
          <w:rtl/>
        </w:rPr>
        <w:t>העולם</w:t>
      </w:r>
      <w:r w:rsidRPr="00217EB4">
        <w:rPr>
          <w:rFonts w:ascii="Tahoma" w:hAnsi="Tahoma" w:cs="Tahoma"/>
          <w:sz w:val="18"/>
          <w:szCs w:val="18"/>
          <w:rtl/>
        </w:rPr>
        <w:t xml:space="preserve"> </w:t>
      </w:r>
      <w:r w:rsidRPr="00217EB4">
        <w:rPr>
          <w:rFonts w:ascii="Tahoma" w:hAnsi="Tahoma" w:cs="Tahoma" w:hint="eastAsia"/>
          <w:sz w:val="18"/>
          <w:szCs w:val="18"/>
          <w:rtl/>
        </w:rPr>
        <w:t>המקוון</w:t>
      </w:r>
      <w:r w:rsidRPr="00217EB4">
        <w:rPr>
          <w:rFonts w:ascii="Tahoma" w:hAnsi="Tahoma" w:cs="Tahoma"/>
          <w:sz w:val="18"/>
          <w:szCs w:val="18"/>
          <w:rtl/>
        </w:rPr>
        <w:t xml:space="preserve"> </w:t>
      </w:r>
      <w:r w:rsidRPr="00217EB4">
        <w:rPr>
          <w:rFonts w:ascii="Tahoma" w:hAnsi="Tahoma" w:cs="Tahoma" w:hint="eastAsia"/>
          <w:sz w:val="18"/>
          <w:szCs w:val="18"/>
          <w:rtl/>
        </w:rPr>
        <w:t>עבר</w:t>
      </w:r>
      <w:r w:rsidRPr="00217EB4">
        <w:rPr>
          <w:rFonts w:ascii="Tahoma" w:hAnsi="Tahoma" w:cs="Tahoma"/>
          <w:sz w:val="18"/>
          <w:szCs w:val="18"/>
          <w:rtl/>
        </w:rPr>
        <w:t xml:space="preserve"> </w:t>
      </w:r>
      <w:r w:rsidRPr="00217EB4">
        <w:rPr>
          <w:rFonts w:ascii="Tahoma" w:hAnsi="Tahoma" w:cs="Tahoma" w:hint="eastAsia"/>
          <w:sz w:val="18"/>
          <w:szCs w:val="18"/>
          <w:rtl/>
        </w:rPr>
        <w:t>תמורות</w:t>
      </w:r>
      <w:r w:rsidRPr="00217EB4">
        <w:rPr>
          <w:rFonts w:ascii="Tahoma" w:hAnsi="Tahoma" w:cs="Tahoma"/>
          <w:sz w:val="18"/>
          <w:szCs w:val="18"/>
          <w:rtl/>
        </w:rPr>
        <w:t xml:space="preserve"> </w:t>
      </w:r>
      <w:r w:rsidRPr="00217EB4">
        <w:rPr>
          <w:rFonts w:ascii="Tahoma" w:hAnsi="Tahoma" w:cs="Tahoma" w:hint="eastAsia"/>
          <w:sz w:val="18"/>
          <w:szCs w:val="18"/>
          <w:rtl/>
        </w:rPr>
        <w:t>משמעותיות</w:t>
      </w:r>
      <w:r w:rsidRPr="00217EB4">
        <w:rPr>
          <w:rFonts w:ascii="Tahoma" w:hAnsi="Tahoma" w:cs="Tahoma"/>
          <w:sz w:val="18"/>
          <w:szCs w:val="18"/>
          <w:rtl/>
        </w:rPr>
        <w:t xml:space="preserve"> </w:t>
      </w:r>
      <w:r w:rsidRPr="00217EB4">
        <w:rPr>
          <w:rFonts w:ascii="Tahoma" w:hAnsi="Tahoma" w:cs="Tahoma" w:hint="eastAsia"/>
          <w:sz w:val="18"/>
          <w:szCs w:val="18"/>
          <w:rtl/>
        </w:rPr>
        <w:t>בשנים</w:t>
      </w:r>
      <w:r w:rsidRPr="00217EB4">
        <w:rPr>
          <w:rFonts w:ascii="Tahoma" w:hAnsi="Tahoma" w:cs="Tahoma"/>
          <w:sz w:val="18"/>
          <w:szCs w:val="18"/>
          <w:rtl/>
        </w:rPr>
        <w:t xml:space="preserve"> </w:t>
      </w:r>
      <w:r w:rsidRPr="00217EB4">
        <w:rPr>
          <w:rFonts w:ascii="Tahoma" w:hAnsi="Tahoma" w:cs="Tahoma" w:hint="eastAsia"/>
          <w:sz w:val="18"/>
          <w:szCs w:val="18"/>
          <w:rtl/>
        </w:rPr>
        <w:t>האחרונות</w:t>
      </w:r>
      <w:r w:rsidRPr="00217EB4">
        <w:rPr>
          <w:rFonts w:ascii="Tahoma" w:hAnsi="Tahoma" w:cs="Tahoma"/>
          <w:sz w:val="18"/>
          <w:szCs w:val="18"/>
          <w:rtl/>
        </w:rPr>
        <w:t xml:space="preserve"> - </w:t>
      </w:r>
      <w:r w:rsidRPr="00217EB4">
        <w:rPr>
          <w:rFonts w:ascii="Tahoma" w:hAnsi="Tahoma" w:cs="Tahoma" w:hint="eastAsia"/>
          <w:sz w:val="18"/>
          <w:szCs w:val="18"/>
          <w:rtl/>
        </w:rPr>
        <w:t>זמן</w:t>
      </w:r>
      <w:r w:rsidRPr="00217EB4">
        <w:rPr>
          <w:rFonts w:ascii="Tahoma" w:hAnsi="Tahoma" w:cs="Tahoma"/>
          <w:sz w:val="18"/>
          <w:szCs w:val="18"/>
          <w:rtl/>
        </w:rPr>
        <w:t xml:space="preserve"> </w:t>
      </w:r>
      <w:r w:rsidRPr="00217EB4">
        <w:rPr>
          <w:rFonts w:ascii="Tahoma" w:hAnsi="Tahoma" w:cs="Tahoma" w:hint="eastAsia"/>
          <w:sz w:val="18"/>
          <w:szCs w:val="18"/>
          <w:rtl/>
        </w:rPr>
        <w:t>השימוש</w:t>
      </w:r>
      <w:r w:rsidRPr="00217EB4">
        <w:rPr>
          <w:rFonts w:ascii="Tahoma" w:hAnsi="Tahoma" w:cs="Tahoma"/>
          <w:sz w:val="18"/>
          <w:szCs w:val="18"/>
          <w:rtl/>
        </w:rPr>
        <w:t xml:space="preserve"> </w:t>
      </w:r>
      <w:r w:rsidRPr="00217EB4">
        <w:rPr>
          <w:rFonts w:ascii="Tahoma" w:hAnsi="Tahoma" w:cs="Tahoma" w:hint="eastAsia"/>
          <w:sz w:val="18"/>
          <w:szCs w:val="18"/>
          <w:rtl/>
        </w:rPr>
        <w:t>במסכים</w:t>
      </w:r>
      <w:r w:rsidRPr="00217EB4">
        <w:rPr>
          <w:rFonts w:ascii="Tahoma" w:hAnsi="Tahoma" w:cs="Tahoma"/>
          <w:sz w:val="18"/>
          <w:szCs w:val="18"/>
          <w:rtl/>
        </w:rPr>
        <w:t xml:space="preserve"> </w:t>
      </w:r>
      <w:r w:rsidRPr="00217EB4">
        <w:rPr>
          <w:rFonts w:ascii="Tahoma" w:hAnsi="Tahoma" w:cs="Tahoma" w:hint="eastAsia"/>
          <w:sz w:val="18"/>
          <w:szCs w:val="18"/>
          <w:rtl/>
        </w:rPr>
        <w:t>עלה</w:t>
      </w:r>
      <w:r w:rsidRPr="00217EB4">
        <w:rPr>
          <w:rFonts w:ascii="Tahoma" w:hAnsi="Tahoma" w:cs="Tahoma"/>
          <w:sz w:val="18"/>
          <w:szCs w:val="18"/>
          <w:rtl/>
        </w:rPr>
        <w:t xml:space="preserve"> </w:t>
      </w:r>
      <w:r w:rsidRPr="00217EB4">
        <w:rPr>
          <w:rFonts w:ascii="Tahoma" w:hAnsi="Tahoma" w:cs="Tahoma" w:hint="eastAsia"/>
          <w:sz w:val="18"/>
          <w:szCs w:val="18"/>
          <w:rtl/>
        </w:rPr>
        <w:t>בצורה</w:t>
      </w:r>
      <w:r w:rsidRPr="00217EB4">
        <w:rPr>
          <w:rFonts w:ascii="Tahoma" w:hAnsi="Tahoma" w:cs="Tahoma"/>
          <w:sz w:val="18"/>
          <w:szCs w:val="18"/>
          <w:rtl/>
        </w:rPr>
        <w:t xml:space="preserve"> </w:t>
      </w:r>
      <w:r w:rsidRPr="00217EB4">
        <w:rPr>
          <w:rFonts w:ascii="Tahoma" w:hAnsi="Tahoma" w:cs="Tahoma" w:hint="eastAsia"/>
          <w:sz w:val="18"/>
          <w:szCs w:val="18"/>
          <w:rtl/>
        </w:rPr>
        <w:t>ניכרת</w:t>
      </w:r>
      <w:r w:rsidRPr="00217EB4">
        <w:rPr>
          <w:rFonts w:ascii="Tahoma" w:hAnsi="Tahoma" w:cs="Tahoma"/>
          <w:sz w:val="18"/>
          <w:szCs w:val="18"/>
          <w:rtl/>
        </w:rPr>
        <w:t xml:space="preserve">, </w:t>
      </w:r>
      <w:r w:rsidRPr="00217EB4">
        <w:rPr>
          <w:rFonts w:ascii="Tahoma" w:hAnsi="Tahoma" w:cs="Tahoma" w:hint="eastAsia"/>
          <w:sz w:val="18"/>
          <w:szCs w:val="18"/>
          <w:rtl/>
        </w:rPr>
        <w:t>גיל</w:t>
      </w:r>
      <w:r w:rsidRPr="00217EB4">
        <w:rPr>
          <w:rFonts w:ascii="Tahoma" w:hAnsi="Tahoma" w:cs="Tahoma"/>
          <w:sz w:val="18"/>
          <w:szCs w:val="18"/>
          <w:rtl/>
        </w:rPr>
        <w:t xml:space="preserve"> </w:t>
      </w:r>
      <w:r w:rsidRPr="00217EB4">
        <w:rPr>
          <w:rFonts w:ascii="Tahoma" w:hAnsi="Tahoma" w:cs="Tahoma" w:hint="eastAsia"/>
          <w:sz w:val="18"/>
          <w:szCs w:val="18"/>
          <w:rtl/>
        </w:rPr>
        <w:t>המשתמשים</w:t>
      </w:r>
      <w:r w:rsidRPr="00217EB4">
        <w:rPr>
          <w:rFonts w:ascii="Tahoma" w:hAnsi="Tahoma" w:cs="Tahoma"/>
          <w:sz w:val="18"/>
          <w:szCs w:val="18"/>
          <w:rtl/>
        </w:rPr>
        <w:t xml:space="preserve"> </w:t>
      </w:r>
      <w:r w:rsidRPr="00217EB4">
        <w:rPr>
          <w:rFonts w:ascii="Tahoma" w:hAnsi="Tahoma" w:cs="Tahoma" w:hint="eastAsia"/>
          <w:sz w:val="18"/>
          <w:szCs w:val="18"/>
          <w:rtl/>
        </w:rPr>
        <w:t>ירד</w:t>
      </w:r>
      <w:r w:rsidRPr="00217EB4">
        <w:rPr>
          <w:rFonts w:ascii="Tahoma" w:hAnsi="Tahoma" w:cs="Tahoma"/>
          <w:sz w:val="18"/>
          <w:szCs w:val="18"/>
          <w:rtl/>
        </w:rPr>
        <w:t xml:space="preserve">, </w:t>
      </w:r>
      <w:r w:rsidRPr="00217EB4">
        <w:rPr>
          <w:rFonts w:ascii="Tahoma" w:hAnsi="Tahoma" w:cs="Tahoma" w:hint="eastAsia"/>
          <w:sz w:val="18"/>
          <w:szCs w:val="18"/>
          <w:rtl/>
        </w:rPr>
        <w:t>השימוש</w:t>
      </w:r>
      <w:r w:rsidRPr="00217EB4">
        <w:rPr>
          <w:rFonts w:ascii="Tahoma" w:hAnsi="Tahoma" w:cs="Tahoma"/>
          <w:sz w:val="18"/>
          <w:szCs w:val="18"/>
          <w:rtl/>
        </w:rPr>
        <w:t xml:space="preserve"> </w:t>
      </w:r>
      <w:r w:rsidRPr="00217EB4">
        <w:rPr>
          <w:rFonts w:ascii="Tahoma" w:hAnsi="Tahoma" w:cs="Tahoma" w:hint="eastAsia"/>
          <w:sz w:val="18"/>
          <w:szCs w:val="18"/>
          <w:rtl/>
        </w:rPr>
        <w:t>ברשתות</w:t>
      </w:r>
      <w:r w:rsidRPr="00217EB4">
        <w:rPr>
          <w:rFonts w:ascii="Tahoma" w:hAnsi="Tahoma" w:cs="Tahoma"/>
          <w:sz w:val="18"/>
          <w:szCs w:val="18"/>
          <w:rtl/>
        </w:rPr>
        <w:t xml:space="preserve"> </w:t>
      </w:r>
      <w:r w:rsidRPr="00217EB4">
        <w:rPr>
          <w:rFonts w:ascii="Tahoma" w:hAnsi="Tahoma" w:cs="Tahoma" w:hint="eastAsia"/>
          <w:sz w:val="18"/>
          <w:szCs w:val="18"/>
          <w:rtl/>
        </w:rPr>
        <w:t>החברתיות</w:t>
      </w:r>
      <w:r w:rsidRPr="00217EB4">
        <w:rPr>
          <w:rFonts w:ascii="Tahoma" w:hAnsi="Tahoma" w:cs="Tahoma"/>
          <w:sz w:val="18"/>
          <w:szCs w:val="18"/>
          <w:rtl/>
        </w:rPr>
        <w:t xml:space="preserve"> </w:t>
      </w:r>
      <w:r w:rsidRPr="00217EB4">
        <w:rPr>
          <w:rFonts w:ascii="Tahoma" w:hAnsi="Tahoma" w:cs="Tahoma" w:hint="eastAsia"/>
          <w:sz w:val="18"/>
          <w:szCs w:val="18"/>
          <w:rtl/>
        </w:rPr>
        <w:t>הלך</w:t>
      </w:r>
      <w:r w:rsidRPr="00217EB4">
        <w:rPr>
          <w:rFonts w:ascii="Tahoma" w:hAnsi="Tahoma" w:cs="Tahoma"/>
          <w:sz w:val="18"/>
          <w:szCs w:val="18"/>
          <w:rtl/>
        </w:rPr>
        <w:t xml:space="preserve"> </w:t>
      </w:r>
      <w:r w:rsidRPr="00217EB4">
        <w:rPr>
          <w:rFonts w:ascii="Tahoma" w:hAnsi="Tahoma" w:cs="Tahoma" w:hint="eastAsia"/>
          <w:sz w:val="18"/>
          <w:szCs w:val="18"/>
          <w:rtl/>
        </w:rPr>
        <w:t>וגבר</w:t>
      </w:r>
      <w:r w:rsidRPr="00217EB4">
        <w:rPr>
          <w:rFonts w:ascii="Tahoma" w:hAnsi="Tahoma" w:cs="Tahoma"/>
          <w:sz w:val="18"/>
          <w:szCs w:val="18"/>
          <w:rtl/>
        </w:rPr>
        <w:t xml:space="preserve">, </w:t>
      </w:r>
      <w:r w:rsidRPr="00217EB4">
        <w:rPr>
          <w:rFonts w:ascii="Tahoma" w:hAnsi="Tahoma" w:cs="Tahoma" w:hint="eastAsia"/>
          <w:sz w:val="18"/>
          <w:szCs w:val="18"/>
          <w:rtl/>
        </w:rPr>
        <w:t>וילדים</w:t>
      </w:r>
      <w:r w:rsidRPr="00217EB4">
        <w:rPr>
          <w:rFonts w:ascii="Tahoma" w:hAnsi="Tahoma" w:cs="Tahoma"/>
          <w:sz w:val="18"/>
          <w:szCs w:val="18"/>
          <w:rtl/>
        </w:rPr>
        <w:t xml:space="preserve"> </w:t>
      </w:r>
      <w:r w:rsidRPr="00217EB4">
        <w:rPr>
          <w:rFonts w:ascii="Tahoma" w:hAnsi="Tahoma" w:cs="Tahoma" w:hint="eastAsia"/>
          <w:sz w:val="18"/>
          <w:szCs w:val="18"/>
          <w:rtl/>
        </w:rPr>
        <w:t>ובני</w:t>
      </w:r>
      <w:r w:rsidRPr="00217EB4">
        <w:rPr>
          <w:rFonts w:ascii="Tahoma" w:hAnsi="Tahoma" w:cs="Tahoma"/>
          <w:sz w:val="18"/>
          <w:szCs w:val="18"/>
          <w:rtl/>
        </w:rPr>
        <w:t xml:space="preserve"> </w:t>
      </w:r>
      <w:r w:rsidRPr="00217EB4">
        <w:rPr>
          <w:rFonts w:ascii="Tahoma" w:hAnsi="Tahoma" w:cs="Tahoma" w:hint="eastAsia"/>
          <w:sz w:val="18"/>
          <w:szCs w:val="18"/>
          <w:rtl/>
        </w:rPr>
        <w:t>נוער</w:t>
      </w:r>
      <w:r w:rsidRPr="00217EB4">
        <w:rPr>
          <w:rFonts w:ascii="Tahoma" w:hAnsi="Tahoma" w:cs="Tahoma"/>
          <w:sz w:val="18"/>
          <w:szCs w:val="18"/>
          <w:rtl/>
        </w:rPr>
        <w:t xml:space="preserve"> </w:t>
      </w:r>
      <w:r w:rsidRPr="00217EB4">
        <w:rPr>
          <w:rFonts w:ascii="Tahoma" w:hAnsi="Tahoma" w:cs="Tahoma" w:hint="eastAsia"/>
          <w:sz w:val="18"/>
          <w:szCs w:val="18"/>
          <w:rtl/>
        </w:rPr>
        <w:t>חשופים</w:t>
      </w:r>
      <w:r w:rsidRPr="00217EB4">
        <w:rPr>
          <w:rFonts w:ascii="Tahoma" w:hAnsi="Tahoma" w:cs="Tahoma"/>
          <w:sz w:val="18"/>
          <w:szCs w:val="18"/>
          <w:rtl/>
        </w:rPr>
        <w:t xml:space="preserve"> </w:t>
      </w:r>
      <w:r w:rsidRPr="00217EB4">
        <w:rPr>
          <w:rFonts w:ascii="Tahoma" w:hAnsi="Tahoma" w:cs="Tahoma" w:hint="eastAsia"/>
          <w:sz w:val="18"/>
          <w:szCs w:val="18"/>
          <w:rtl/>
        </w:rPr>
        <w:t>יותר</w:t>
      </w:r>
      <w:r w:rsidRPr="00217EB4">
        <w:rPr>
          <w:rFonts w:ascii="Tahoma" w:hAnsi="Tahoma" w:cs="Tahoma"/>
          <w:sz w:val="18"/>
          <w:szCs w:val="18"/>
          <w:rtl/>
        </w:rPr>
        <w:t xml:space="preserve"> </w:t>
      </w:r>
      <w:r w:rsidRPr="00217EB4">
        <w:rPr>
          <w:rFonts w:ascii="Tahoma" w:hAnsi="Tahoma" w:cs="Tahoma" w:hint="eastAsia"/>
          <w:sz w:val="18"/>
          <w:szCs w:val="18"/>
          <w:rtl/>
        </w:rPr>
        <w:t>לתכנים</w:t>
      </w:r>
      <w:r w:rsidRPr="00217EB4">
        <w:rPr>
          <w:rFonts w:ascii="Tahoma" w:hAnsi="Tahoma" w:cs="Tahoma"/>
          <w:sz w:val="18"/>
          <w:szCs w:val="18"/>
          <w:rtl/>
        </w:rPr>
        <w:t xml:space="preserve"> </w:t>
      </w:r>
      <w:r w:rsidRPr="00217EB4">
        <w:rPr>
          <w:rFonts w:ascii="Tahoma" w:hAnsi="Tahoma" w:cs="Tahoma" w:hint="eastAsia"/>
          <w:sz w:val="18"/>
          <w:szCs w:val="18"/>
          <w:rtl/>
        </w:rPr>
        <w:t>שאינם</w:t>
      </w:r>
      <w:r w:rsidRPr="00217EB4">
        <w:rPr>
          <w:rFonts w:ascii="Tahoma" w:hAnsi="Tahoma" w:cs="Tahoma"/>
          <w:sz w:val="18"/>
          <w:szCs w:val="18"/>
          <w:rtl/>
        </w:rPr>
        <w:t xml:space="preserve"> </w:t>
      </w:r>
      <w:r w:rsidRPr="00217EB4">
        <w:rPr>
          <w:rFonts w:ascii="Tahoma" w:hAnsi="Tahoma" w:cs="Tahoma" w:hint="eastAsia"/>
          <w:sz w:val="18"/>
          <w:szCs w:val="18"/>
          <w:rtl/>
        </w:rPr>
        <w:t>מתאימים</w:t>
      </w:r>
      <w:r w:rsidRPr="00217EB4">
        <w:rPr>
          <w:rFonts w:ascii="Tahoma" w:hAnsi="Tahoma" w:cs="Tahoma"/>
          <w:sz w:val="18"/>
          <w:szCs w:val="18"/>
          <w:rtl/>
        </w:rPr>
        <w:t xml:space="preserve"> </w:t>
      </w:r>
      <w:r w:rsidRPr="00217EB4">
        <w:rPr>
          <w:rFonts w:ascii="Tahoma" w:hAnsi="Tahoma" w:cs="Tahoma" w:hint="eastAsia"/>
          <w:sz w:val="18"/>
          <w:szCs w:val="18"/>
          <w:rtl/>
        </w:rPr>
        <w:t>לגילם</w:t>
      </w:r>
      <w:r w:rsidRPr="00217EB4">
        <w:rPr>
          <w:rFonts w:ascii="Tahoma" w:hAnsi="Tahoma" w:cs="Tahoma"/>
          <w:sz w:val="18"/>
          <w:szCs w:val="18"/>
          <w:rtl/>
        </w:rPr>
        <w:t xml:space="preserve"> </w:t>
      </w:r>
      <w:r w:rsidRPr="00217EB4">
        <w:rPr>
          <w:rFonts w:ascii="Tahoma" w:hAnsi="Tahoma" w:cs="Tahoma" w:hint="eastAsia"/>
          <w:sz w:val="18"/>
          <w:szCs w:val="18"/>
          <w:rtl/>
        </w:rPr>
        <w:t>ולפגיעות</w:t>
      </w:r>
      <w:r w:rsidRPr="00217EB4">
        <w:rPr>
          <w:rFonts w:ascii="Tahoma" w:hAnsi="Tahoma" w:cs="Tahoma"/>
          <w:sz w:val="18"/>
          <w:szCs w:val="18"/>
          <w:rtl/>
        </w:rPr>
        <w:t xml:space="preserve"> </w:t>
      </w:r>
      <w:r w:rsidRPr="00217EB4">
        <w:rPr>
          <w:rFonts w:ascii="Tahoma" w:hAnsi="Tahoma" w:cs="Tahoma" w:hint="eastAsia"/>
          <w:sz w:val="18"/>
          <w:szCs w:val="18"/>
          <w:rtl/>
        </w:rPr>
        <w:t>הנובעות</w:t>
      </w:r>
      <w:r w:rsidRPr="00217EB4">
        <w:rPr>
          <w:rFonts w:ascii="Tahoma" w:hAnsi="Tahoma" w:cs="Tahoma"/>
          <w:sz w:val="18"/>
          <w:szCs w:val="18"/>
          <w:rtl/>
        </w:rPr>
        <w:t xml:space="preserve"> </w:t>
      </w:r>
      <w:r w:rsidRPr="00217EB4">
        <w:rPr>
          <w:rFonts w:ascii="Tahoma" w:hAnsi="Tahoma" w:cs="Tahoma" w:hint="eastAsia"/>
          <w:sz w:val="18"/>
          <w:szCs w:val="18"/>
          <w:rtl/>
        </w:rPr>
        <w:t>מתקשורת</w:t>
      </w:r>
      <w:r w:rsidRPr="00217EB4">
        <w:rPr>
          <w:rFonts w:ascii="Tahoma" w:hAnsi="Tahoma" w:cs="Tahoma"/>
          <w:sz w:val="18"/>
          <w:szCs w:val="18"/>
          <w:rtl/>
        </w:rPr>
        <w:t xml:space="preserve"> </w:t>
      </w:r>
      <w:r w:rsidRPr="00217EB4">
        <w:rPr>
          <w:rFonts w:ascii="Tahoma" w:hAnsi="Tahoma" w:cs="Tahoma" w:hint="eastAsia"/>
          <w:sz w:val="18"/>
          <w:szCs w:val="18"/>
          <w:rtl/>
        </w:rPr>
        <w:t>עם</w:t>
      </w:r>
      <w:r w:rsidRPr="00217EB4">
        <w:rPr>
          <w:rFonts w:ascii="Tahoma" w:hAnsi="Tahoma" w:cs="Tahoma"/>
          <w:sz w:val="18"/>
          <w:szCs w:val="18"/>
          <w:rtl/>
        </w:rPr>
        <w:t xml:space="preserve"> </w:t>
      </w:r>
      <w:r w:rsidRPr="00217EB4">
        <w:rPr>
          <w:rFonts w:ascii="Tahoma" w:hAnsi="Tahoma" w:cs="Tahoma" w:hint="eastAsia"/>
          <w:sz w:val="18"/>
          <w:szCs w:val="18"/>
          <w:rtl/>
        </w:rPr>
        <w:t>גולשים</w:t>
      </w:r>
      <w:r w:rsidRPr="00217EB4">
        <w:rPr>
          <w:rFonts w:ascii="Tahoma" w:hAnsi="Tahoma" w:cs="Tahoma"/>
          <w:sz w:val="18"/>
          <w:szCs w:val="18"/>
          <w:rtl/>
        </w:rPr>
        <w:t xml:space="preserve"> </w:t>
      </w:r>
      <w:r w:rsidRPr="00217EB4">
        <w:rPr>
          <w:rFonts w:ascii="Tahoma" w:hAnsi="Tahoma" w:cs="Tahoma" w:hint="eastAsia"/>
          <w:sz w:val="18"/>
          <w:szCs w:val="18"/>
          <w:rtl/>
        </w:rPr>
        <w:t>אחרים</w:t>
      </w:r>
      <w:r w:rsidRPr="00217EB4">
        <w:rPr>
          <w:rFonts w:ascii="Tahoma" w:hAnsi="Tahoma" w:cs="Tahoma"/>
          <w:sz w:val="18"/>
          <w:szCs w:val="18"/>
          <w:rtl/>
        </w:rPr>
        <w:t xml:space="preserve">. </w:t>
      </w:r>
      <w:r w:rsidRPr="00217EB4">
        <w:rPr>
          <w:rFonts w:ascii="Tahoma" w:hAnsi="Tahoma" w:cs="Tahoma" w:hint="eastAsia"/>
          <w:sz w:val="18"/>
          <w:szCs w:val="18"/>
          <w:rtl/>
        </w:rPr>
        <w:t>לצד</w:t>
      </w:r>
      <w:r w:rsidRPr="00217EB4">
        <w:rPr>
          <w:rFonts w:ascii="Tahoma" w:hAnsi="Tahoma" w:cs="Tahoma"/>
          <w:sz w:val="18"/>
          <w:szCs w:val="18"/>
          <w:rtl/>
        </w:rPr>
        <w:t xml:space="preserve"> </w:t>
      </w:r>
      <w:r w:rsidRPr="00217EB4">
        <w:rPr>
          <w:rFonts w:ascii="Tahoma" w:hAnsi="Tahoma" w:cs="Tahoma" w:hint="eastAsia"/>
          <w:sz w:val="18"/>
          <w:szCs w:val="18"/>
          <w:rtl/>
        </w:rPr>
        <w:t>זאת</w:t>
      </w:r>
      <w:r w:rsidRPr="00217EB4">
        <w:rPr>
          <w:rFonts w:ascii="Tahoma" w:hAnsi="Tahoma" w:cs="Tahoma"/>
          <w:sz w:val="18"/>
          <w:szCs w:val="18"/>
          <w:rtl/>
        </w:rPr>
        <w:t xml:space="preserve">, </w:t>
      </w:r>
      <w:r w:rsidRPr="00217EB4">
        <w:rPr>
          <w:rFonts w:ascii="Tahoma" w:hAnsi="Tahoma" w:cs="Tahoma" w:hint="eastAsia"/>
          <w:sz w:val="18"/>
          <w:szCs w:val="18"/>
          <w:rtl/>
        </w:rPr>
        <w:t>תחומי</w:t>
      </w:r>
      <w:r w:rsidRPr="00217EB4">
        <w:rPr>
          <w:rFonts w:ascii="Tahoma" w:hAnsi="Tahoma" w:cs="Tahoma"/>
          <w:sz w:val="18"/>
          <w:szCs w:val="18"/>
          <w:rtl/>
        </w:rPr>
        <w:t xml:space="preserve"> </w:t>
      </w:r>
      <w:r w:rsidRPr="00217EB4">
        <w:rPr>
          <w:rFonts w:ascii="Tahoma" w:hAnsi="Tahoma" w:cs="Tahoma" w:hint="eastAsia"/>
          <w:sz w:val="18"/>
          <w:szCs w:val="18"/>
          <w:rtl/>
        </w:rPr>
        <w:t>פשיעה</w:t>
      </w:r>
      <w:r w:rsidRPr="00217EB4">
        <w:rPr>
          <w:rFonts w:ascii="Tahoma" w:hAnsi="Tahoma" w:cs="Tahoma"/>
          <w:sz w:val="18"/>
          <w:szCs w:val="18"/>
          <w:rtl/>
        </w:rPr>
        <w:t xml:space="preserve"> </w:t>
      </w:r>
      <w:r w:rsidRPr="00217EB4">
        <w:rPr>
          <w:rFonts w:ascii="Tahoma" w:hAnsi="Tahoma" w:cs="Tahoma" w:hint="eastAsia"/>
          <w:sz w:val="18"/>
          <w:szCs w:val="18"/>
          <w:rtl/>
        </w:rPr>
        <w:t>נרחבים</w:t>
      </w:r>
      <w:r w:rsidRPr="00217EB4">
        <w:rPr>
          <w:rFonts w:ascii="Tahoma" w:hAnsi="Tahoma" w:cs="Tahoma"/>
          <w:sz w:val="18"/>
          <w:szCs w:val="18"/>
          <w:rtl/>
        </w:rPr>
        <w:t xml:space="preserve"> </w:t>
      </w:r>
      <w:r w:rsidRPr="00217EB4">
        <w:rPr>
          <w:rFonts w:ascii="Tahoma" w:hAnsi="Tahoma" w:cs="Tahoma" w:hint="eastAsia"/>
          <w:sz w:val="18"/>
          <w:szCs w:val="18"/>
          <w:rtl/>
        </w:rPr>
        <w:t>כגון</w:t>
      </w:r>
      <w:r w:rsidRPr="00217EB4">
        <w:rPr>
          <w:rFonts w:ascii="Tahoma" w:hAnsi="Tahoma" w:cs="Tahoma"/>
          <w:sz w:val="18"/>
          <w:szCs w:val="18"/>
          <w:rtl/>
        </w:rPr>
        <w:t xml:space="preserve"> </w:t>
      </w:r>
      <w:r w:rsidRPr="00217EB4">
        <w:rPr>
          <w:rFonts w:ascii="Tahoma" w:hAnsi="Tahoma" w:cs="Tahoma" w:hint="eastAsia"/>
          <w:sz w:val="18"/>
          <w:szCs w:val="18"/>
          <w:rtl/>
        </w:rPr>
        <w:t>הימורים</w:t>
      </w:r>
      <w:r w:rsidRPr="00217EB4">
        <w:rPr>
          <w:rFonts w:ascii="Tahoma" w:hAnsi="Tahoma" w:cs="Tahoma"/>
          <w:sz w:val="18"/>
          <w:szCs w:val="18"/>
          <w:rtl/>
        </w:rPr>
        <w:t xml:space="preserve">, </w:t>
      </w:r>
      <w:r w:rsidRPr="00217EB4">
        <w:rPr>
          <w:rFonts w:ascii="Tahoma" w:hAnsi="Tahoma" w:cs="Tahoma" w:hint="eastAsia"/>
          <w:sz w:val="18"/>
          <w:szCs w:val="18"/>
          <w:rtl/>
        </w:rPr>
        <w:t>סחר</w:t>
      </w:r>
      <w:r w:rsidRPr="00217EB4">
        <w:rPr>
          <w:rFonts w:ascii="Tahoma" w:hAnsi="Tahoma" w:cs="Tahoma"/>
          <w:sz w:val="18"/>
          <w:szCs w:val="18"/>
          <w:rtl/>
        </w:rPr>
        <w:t xml:space="preserve"> </w:t>
      </w:r>
      <w:r w:rsidRPr="00217EB4">
        <w:rPr>
          <w:rFonts w:ascii="Tahoma" w:hAnsi="Tahoma" w:cs="Tahoma" w:hint="eastAsia"/>
          <w:sz w:val="18"/>
          <w:szCs w:val="18"/>
          <w:rtl/>
        </w:rPr>
        <w:t>בסמים</w:t>
      </w:r>
      <w:r w:rsidRPr="00217EB4">
        <w:rPr>
          <w:rFonts w:ascii="Tahoma" w:hAnsi="Tahoma" w:cs="Tahoma"/>
          <w:sz w:val="18"/>
          <w:szCs w:val="18"/>
          <w:rtl/>
        </w:rPr>
        <w:t xml:space="preserve">, </w:t>
      </w:r>
      <w:r w:rsidRPr="00217EB4">
        <w:rPr>
          <w:rFonts w:ascii="Tahoma" w:hAnsi="Tahoma" w:cs="Tahoma" w:hint="eastAsia"/>
          <w:sz w:val="18"/>
          <w:szCs w:val="18"/>
          <w:rtl/>
        </w:rPr>
        <w:t>עבירות</w:t>
      </w:r>
      <w:r w:rsidRPr="00217EB4">
        <w:rPr>
          <w:rFonts w:ascii="Tahoma" w:hAnsi="Tahoma" w:cs="Tahoma"/>
          <w:sz w:val="18"/>
          <w:szCs w:val="18"/>
          <w:rtl/>
        </w:rPr>
        <w:t xml:space="preserve"> </w:t>
      </w:r>
      <w:r w:rsidRPr="00217EB4">
        <w:rPr>
          <w:rFonts w:ascii="Tahoma" w:hAnsi="Tahoma" w:cs="Tahoma" w:hint="eastAsia"/>
          <w:sz w:val="18"/>
          <w:szCs w:val="18"/>
          <w:rtl/>
        </w:rPr>
        <w:t>מין</w:t>
      </w:r>
      <w:r w:rsidRPr="00217EB4">
        <w:rPr>
          <w:rFonts w:ascii="Tahoma" w:hAnsi="Tahoma" w:cs="Tahoma"/>
          <w:sz w:val="18"/>
          <w:szCs w:val="18"/>
          <w:rtl/>
        </w:rPr>
        <w:t xml:space="preserve"> </w:t>
      </w:r>
      <w:r w:rsidRPr="00217EB4">
        <w:rPr>
          <w:rFonts w:ascii="Tahoma" w:hAnsi="Tahoma" w:cs="Tahoma" w:hint="eastAsia"/>
          <w:sz w:val="18"/>
          <w:szCs w:val="18"/>
          <w:rtl/>
        </w:rPr>
        <w:t>ועוד</w:t>
      </w:r>
      <w:r w:rsidRPr="00217EB4">
        <w:rPr>
          <w:rFonts w:ascii="Tahoma" w:hAnsi="Tahoma" w:cs="Tahoma"/>
          <w:sz w:val="18"/>
          <w:szCs w:val="18"/>
          <w:rtl/>
        </w:rPr>
        <w:t xml:space="preserve">, </w:t>
      </w:r>
      <w:r w:rsidRPr="00217EB4">
        <w:rPr>
          <w:rFonts w:ascii="Tahoma" w:hAnsi="Tahoma" w:cs="Tahoma" w:hint="eastAsia"/>
          <w:sz w:val="18"/>
          <w:szCs w:val="18"/>
          <w:rtl/>
        </w:rPr>
        <w:t>הועתקו</w:t>
      </w:r>
      <w:r w:rsidRPr="00217EB4">
        <w:rPr>
          <w:rFonts w:ascii="Tahoma" w:hAnsi="Tahoma" w:cs="Tahoma"/>
          <w:sz w:val="18"/>
          <w:szCs w:val="18"/>
          <w:rtl/>
        </w:rPr>
        <w:t xml:space="preserve"> </w:t>
      </w:r>
      <w:r w:rsidRPr="00217EB4">
        <w:rPr>
          <w:rFonts w:ascii="Tahoma" w:hAnsi="Tahoma" w:cs="Tahoma" w:hint="eastAsia"/>
          <w:sz w:val="18"/>
          <w:szCs w:val="18"/>
          <w:rtl/>
        </w:rPr>
        <w:t>מהמרחב</w:t>
      </w:r>
      <w:r w:rsidRPr="00217EB4">
        <w:rPr>
          <w:rFonts w:ascii="Tahoma" w:hAnsi="Tahoma" w:cs="Tahoma"/>
          <w:sz w:val="18"/>
          <w:szCs w:val="18"/>
          <w:rtl/>
        </w:rPr>
        <w:t xml:space="preserve"> </w:t>
      </w:r>
      <w:r w:rsidRPr="00217EB4">
        <w:rPr>
          <w:rFonts w:ascii="Tahoma" w:hAnsi="Tahoma" w:cs="Tahoma" w:hint="eastAsia"/>
          <w:sz w:val="18"/>
          <w:szCs w:val="18"/>
          <w:rtl/>
        </w:rPr>
        <w:t>הפיזי</w:t>
      </w:r>
      <w:r w:rsidRPr="00217EB4">
        <w:rPr>
          <w:rFonts w:ascii="Tahoma" w:hAnsi="Tahoma" w:cs="Tahoma"/>
          <w:sz w:val="18"/>
          <w:szCs w:val="18"/>
          <w:rtl/>
        </w:rPr>
        <w:t xml:space="preserve"> </w:t>
      </w:r>
      <w:r w:rsidRPr="00217EB4">
        <w:rPr>
          <w:rFonts w:ascii="Tahoma" w:hAnsi="Tahoma" w:cs="Tahoma" w:hint="eastAsia"/>
          <w:sz w:val="18"/>
          <w:szCs w:val="18"/>
          <w:rtl/>
        </w:rPr>
        <w:t>למרחב</w:t>
      </w:r>
      <w:r w:rsidRPr="00217EB4">
        <w:rPr>
          <w:rFonts w:ascii="Tahoma" w:hAnsi="Tahoma" w:cs="Tahoma"/>
          <w:sz w:val="18"/>
          <w:szCs w:val="18"/>
          <w:rtl/>
        </w:rPr>
        <w:t xml:space="preserve"> </w:t>
      </w:r>
      <w:r w:rsidRPr="00217EB4">
        <w:rPr>
          <w:rFonts w:ascii="Tahoma" w:hAnsi="Tahoma" w:cs="Tahoma" w:hint="eastAsia"/>
          <w:sz w:val="18"/>
          <w:szCs w:val="18"/>
          <w:rtl/>
        </w:rPr>
        <w:t>המקוון</w:t>
      </w:r>
      <w:r w:rsidRPr="00217EB4">
        <w:rPr>
          <w:rFonts w:ascii="Tahoma" w:hAnsi="Tahoma" w:cs="Tahoma"/>
          <w:sz w:val="18"/>
          <w:szCs w:val="18"/>
          <w:rtl/>
        </w:rPr>
        <w:t xml:space="preserve">, </w:t>
      </w:r>
      <w:r w:rsidRPr="00217EB4">
        <w:rPr>
          <w:rFonts w:ascii="Tahoma" w:hAnsi="Tahoma" w:cs="Tahoma" w:hint="eastAsia"/>
          <w:sz w:val="18"/>
          <w:szCs w:val="18"/>
          <w:rtl/>
        </w:rPr>
        <w:t>תוך</w:t>
      </w:r>
      <w:r w:rsidRPr="00217EB4">
        <w:rPr>
          <w:rFonts w:ascii="Tahoma" w:hAnsi="Tahoma" w:cs="Tahoma"/>
          <w:sz w:val="18"/>
          <w:szCs w:val="18"/>
          <w:rtl/>
        </w:rPr>
        <w:t xml:space="preserve"> </w:t>
      </w:r>
      <w:r w:rsidRPr="00217EB4">
        <w:rPr>
          <w:rFonts w:ascii="Tahoma" w:hAnsi="Tahoma" w:cs="Tahoma" w:hint="eastAsia"/>
          <w:sz w:val="18"/>
          <w:szCs w:val="18"/>
          <w:rtl/>
        </w:rPr>
        <w:t>ניצול</w:t>
      </w:r>
      <w:r w:rsidRPr="00217EB4">
        <w:rPr>
          <w:rFonts w:ascii="Tahoma" w:hAnsi="Tahoma" w:cs="Tahoma"/>
          <w:sz w:val="18"/>
          <w:szCs w:val="18"/>
          <w:rtl/>
        </w:rPr>
        <w:t xml:space="preserve"> </w:t>
      </w:r>
      <w:r w:rsidRPr="00217EB4">
        <w:rPr>
          <w:rFonts w:ascii="Tahoma" w:hAnsi="Tahoma" w:cs="Tahoma" w:hint="eastAsia"/>
          <w:sz w:val="18"/>
          <w:szCs w:val="18"/>
          <w:rtl/>
        </w:rPr>
        <w:t>מאפייניו</w:t>
      </w:r>
      <w:r w:rsidRPr="00217EB4">
        <w:rPr>
          <w:rFonts w:ascii="Tahoma" w:hAnsi="Tahoma" w:cs="Tahoma"/>
          <w:sz w:val="18"/>
          <w:szCs w:val="18"/>
          <w:rtl/>
        </w:rPr>
        <w:t xml:space="preserve">, </w:t>
      </w:r>
      <w:r w:rsidRPr="00217EB4">
        <w:rPr>
          <w:rFonts w:ascii="Tahoma" w:hAnsi="Tahoma" w:cs="Tahoma" w:hint="eastAsia"/>
          <w:sz w:val="18"/>
          <w:szCs w:val="18"/>
          <w:rtl/>
        </w:rPr>
        <w:t>ובכללם</w:t>
      </w:r>
      <w:r w:rsidRPr="00217EB4">
        <w:rPr>
          <w:rFonts w:ascii="Tahoma" w:hAnsi="Tahoma" w:cs="Tahoma"/>
          <w:sz w:val="18"/>
          <w:szCs w:val="18"/>
          <w:rtl/>
        </w:rPr>
        <w:t xml:space="preserve"> </w:t>
      </w:r>
      <w:r w:rsidRPr="00217EB4">
        <w:rPr>
          <w:rFonts w:ascii="Tahoma" w:hAnsi="Tahoma" w:cs="Tahoma" w:hint="eastAsia"/>
          <w:sz w:val="18"/>
          <w:szCs w:val="18"/>
          <w:rtl/>
        </w:rPr>
        <w:t>הנגשה</w:t>
      </w:r>
      <w:r w:rsidRPr="00217EB4">
        <w:rPr>
          <w:rFonts w:ascii="Tahoma" w:hAnsi="Tahoma" w:cs="Tahoma"/>
          <w:sz w:val="18"/>
          <w:szCs w:val="18"/>
          <w:rtl/>
        </w:rPr>
        <w:t xml:space="preserve"> </w:t>
      </w:r>
      <w:r w:rsidRPr="00217EB4">
        <w:rPr>
          <w:rFonts w:ascii="Tahoma" w:hAnsi="Tahoma" w:cs="Tahoma" w:hint="eastAsia"/>
          <w:sz w:val="18"/>
          <w:szCs w:val="18"/>
          <w:rtl/>
        </w:rPr>
        <w:t>גוברת</w:t>
      </w:r>
      <w:r w:rsidRPr="00217EB4">
        <w:rPr>
          <w:rFonts w:ascii="Tahoma" w:hAnsi="Tahoma" w:cs="Tahoma"/>
          <w:sz w:val="18"/>
          <w:szCs w:val="18"/>
          <w:rtl/>
        </w:rPr>
        <w:t xml:space="preserve"> </w:t>
      </w:r>
      <w:r w:rsidRPr="00217EB4">
        <w:rPr>
          <w:rFonts w:ascii="Tahoma" w:hAnsi="Tahoma" w:cs="Tahoma" w:hint="eastAsia"/>
          <w:sz w:val="18"/>
          <w:szCs w:val="18"/>
          <w:rtl/>
        </w:rPr>
        <w:t>של</w:t>
      </w:r>
      <w:r w:rsidRPr="00217EB4">
        <w:rPr>
          <w:rFonts w:ascii="Tahoma" w:hAnsi="Tahoma" w:cs="Tahoma"/>
          <w:sz w:val="18"/>
          <w:szCs w:val="18"/>
          <w:rtl/>
        </w:rPr>
        <w:t xml:space="preserve"> </w:t>
      </w:r>
      <w:r w:rsidRPr="00217EB4">
        <w:rPr>
          <w:rFonts w:ascii="Tahoma" w:hAnsi="Tahoma" w:cs="Tahoma" w:hint="eastAsia"/>
          <w:sz w:val="18"/>
          <w:szCs w:val="18"/>
          <w:rtl/>
        </w:rPr>
        <w:t>אמצעי</w:t>
      </w:r>
      <w:r w:rsidRPr="00217EB4">
        <w:rPr>
          <w:rFonts w:ascii="Tahoma" w:hAnsi="Tahoma" w:cs="Tahoma"/>
          <w:sz w:val="18"/>
          <w:szCs w:val="18"/>
          <w:rtl/>
        </w:rPr>
        <w:t xml:space="preserve"> </w:t>
      </w:r>
      <w:r w:rsidRPr="00217EB4">
        <w:rPr>
          <w:rFonts w:ascii="Tahoma" w:hAnsi="Tahoma" w:cs="Tahoma" w:hint="eastAsia"/>
          <w:sz w:val="18"/>
          <w:szCs w:val="18"/>
          <w:rtl/>
        </w:rPr>
        <w:t>הצפנה</w:t>
      </w:r>
      <w:r w:rsidRPr="00217EB4">
        <w:rPr>
          <w:rFonts w:ascii="Tahoma" w:hAnsi="Tahoma" w:cs="Tahoma"/>
          <w:sz w:val="18"/>
          <w:szCs w:val="18"/>
          <w:rtl/>
        </w:rPr>
        <w:t xml:space="preserve"> </w:t>
      </w:r>
      <w:proofErr w:type="spellStart"/>
      <w:r w:rsidRPr="00217EB4">
        <w:rPr>
          <w:rFonts w:ascii="Tahoma" w:hAnsi="Tahoma" w:cs="Tahoma" w:hint="eastAsia"/>
          <w:sz w:val="18"/>
          <w:szCs w:val="18"/>
          <w:rtl/>
        </w:rPr>
        <w:t>ואנונימיזציה</w:t>
      </w:r>
      <w:proofErr w:type="spellEnd"/>
      <w:r w:rsidRPr="00217EB4">
        <w:rPr>
          <w:rFonts w:ascii="Tahoma" w:hAnsi="Tahoma" w:cs="Tahoma"/>
          <w:sz w:val="18"/>
          <w:szCs w:val="18"/>
          <w:rtl/>
        </w:rPr>
        <w:t xml:space="preserve">. </w:t>
      </w:r>
      <w:r w:rsidRPr="00217EB4">
        <w:rPr>
          <w:rFonts w:ascii="Tahoma" w:hAnsi="Tahoma" w:cs="Tahoma" w:hint="eastAsia"/>
          <w:sz w:val="18"/>
          <w:szCs w:val="18"/>
          <w:rtl/>
        </w:rPr>
        <w:t>אמצעים</w:t>
      </w:r>
      <w:r w:rsidRPr="00217EB4">
        <w:rPr>
          <w:rFonts w:ascii="Tahoma" w:hAnsi="Tahoma" w:cs="Tahoma"/>
          <w:sz w:val="18"/>
          <w:szCs w:val="18"/>
          <w:rtl/>
        </w:rPr>
        <w:t xml:space="preserve"> </w:t>
      </w:r>
      <w:r w:rsidRPr="00217EB4">
        <w:rPr>
          <w:rFonts w:ascii="Tahoma" w:hAnsi="Tahoma" w:cs="Tahoma" w:hint="eastAsia"/>
          <w:sz w:val="18"/>
          <w:szCs w:val="18"/>
          <w:rtl/>
        </w:rPr>
        <w:t>אלו</w:t>
      </w:r>
      <w:r w:rsidRPr="00217EB4">
        <w:rPr>
          <w:rFonts w:ascii="Tahoma" w:hAnsi="Tahoma" w:cs="Tahoma"/>
          <w:sz w:val="18"/>
          <w:szCs w:val="18"/>
          <w:rtl/>
        </w:rPr>
        <w:t xml:space="preserve"> </w:t>
      </w:r>
      <w:r w:rsidRPr="00217EB4">
        <w:rPr>
          <w:rFonts w:ascii="Tahoma" w:hAnsi="Tahoma" w:cs="Tahoma" w:hint="eastAsia"/>
          <w:sz w:val="18"/>
          <w:szCs w:val="18"/>
          <w:rtl/>
        </w:rPr>
        <w:t>הפכו</w:t>
      </w:r>
      <w:r w:rsidRPr="00217EB4">
        <w:rPr>
          <w:rFonts w:ascii="Tahoma" w:hAnsi="Tahoma" w:cs="Tahoma"/>
          <w:sz w:val="18"/>
          <w:szCs w:val="18"/>
          <w:rtl/>
        </w:rPr>
        <w:t xml:space="preserve"> </w:t>
      </w:r>
      <w:r w:rsidRPr="00217EB4">
        <w:rPr>
          <w:rFonts w:ascii="Tahoma" w:hAnsi="Tahoma" w:cs="Tahoma" w:hint="eastAsia"/>
          <w:sz w:val="18"/>
          <w:szCs w:val="18"/>
          <w:rtl/>
        </w:rPr>
        <w:t>את</w:t>
      </w:r>
      <w:r w:rsidRPr="00217EB4">
        <w:rPr>
          <w:rFonts w:ascii="Tahoma" w:hAnsi="Tahoma" w:cs="Tahoma"/>
          <w:sz w:val="18"/>
          <w:szCs w:val="18"/>
          <w:rtl/>
        </w:rPr>
        <w:t xml:space="preserve"> </w:t>
      </w:r>
      <w:r w:rsidRPr="00217EB4">
        <w:rPr>
          <w:rFonts w:ascii="Tahoma" w:hAnsi="Tahoma" w:cs="Tahoma" w:hint="eastAsia"/>
          <w:sz w:val="18"/>
          <w:szCs w:val="18"/>
          <w:rtl/>
        </w:rPr>
        <w:t>הפשיעה</w:t>
      </w:r>
      <w:r w:rsidRPr="00217EB4">
        <w:rPr>
          <w:rFonts w:ascii="Tahoma" w:hAnsi="Tahoma" w:cs="Tahoma"/>
          <w:sz w:val="18"/>
          <w:szCs w:val="18"/>
          <w:rtl/>
        </w:rPr>
        <w:t xml:space="preserve"> </w:t>
      </w:r>
      <w:r w:rsidRPr="00217EB4">
        <w:rPr>
          <w:rFonts w:ascii="Tahoma" w:hAnsi="Tahoma" w:cs="Tahoma" w:hint="eastAsia"/>
          <w:sz w:val="18"/>
          <w:szCs w:val="18"/>
          <w:rtl/>
        </w:rPr>
        <w:t>להמונית</w:t>
      </w:r>
      <w:r w:rsidRPr="00217EB4">
        <w:rPr>
          <w:rFonts w:ascii="Tahoma" w:hAnsi="Tahoma" w:cs="Tahoma"/>
          <w:sz w:val="18"/>
          <w:szCs w:val="18"/>
          <w:rtl/>
        </w:rPr>
        <w:t xml:space="preserve">, </w:t>
      </w:r>
      <w:r w:rsidRPr="00217EB4">
        <w:rPr>
          <w:rFonts w:ascii="Tahoma" w:hAnsi="Tahoma" w:cs="Tahoma" w:hint="eastAsia"/>
          <w:sz w:val="18"/>
          <w:szCs w:val="18"/>
          <w:rtl/>
        </w:rPr>
        <w:t>אנונימית</w:t>
      </w:r>
      <w:r w:rsidRPr="00217EB4">
        <w:rPr>
          <w:rFonts w:ascii="Tahoma" w:hAnsi="Tahoma" w:cs="Tahoma"/>
          <w:sz w:val="18"/>
          <w:szCs w:val="18"/>
          <w:rtl/>
        </w:rPr>
        <w:t xml:space="preserve"> </w:t>
      </w:r>
      <w:r w:rsidRPr="00217EB4">
        <w:rPr>
          <w:rFonts w:ascii="Tahoma" w:hAnsi="Tahoma" w:cs="Tahoma" w:hint="eastAsia"/>
          <w:sz w:val="18"/>
          <w:szCs w:val="18"/>
          <w:rtl/>
        </w:rPr>
        <w:t>ומונגשת</w:t>
      </w:r>
      <w:r w:rsidRPr="00217EB4">
        <w:rPr>
          <w:rFonts w:ascii="Tahoma" w:hAnsi="Tahoma" w:cs="Tahoma"/>
          <w:sz w:val="18"/>
          <w:szCs w:val="18"/>
          <w:rtl/>
        </w:rPr>
        <w:t xml:space="preserve">, </w:t>
      </w:r>
      <w:r w:rsidRPr="00217EB4">
        <w:rPr>
          <w:rFonts w:ascii="Tahoma" w:hAnsi="Tahoma" w:cs="Tahoma" w:hint="eastAsia"/>
          <w:sz w:val="18"/>
          <w:szCs w:val="18"/>
          <w:rtl/>
        </w:rPr>
        <w:t>והם</w:t>
      </w:r>
      <w:r w:rsidRPr="00217EB4">
        <w:rPr>
          <w:rFonts w:ascii="Tahoma" w:hAnsi="Tahoma" w:cs="Tahoma"/>
          <w:sz w:val="18"/>
          <w:szCs w:val="18"/>
          <w:rtl/>
        </w:rPr>
        <w:t xml:space="preserve"> </w:t>
      </w:r>
      <w:r w:rsidRPr="00217EB4">
        <w:rPr>
          <w:rFonts w:ascii="Tahoma" w:hAnsi="Tahoma" w:cs="Tahoma" w:hint="eastAsia"/>
          <w:sz w:val="18"/>
          <w:szCs w:val="18"/>
          <w:rtl/>
        </w:rPr>
        <w:t>מקשים</w:t>
      </w:r>
      <w:r w:rsidRPr="00217EB4">
        <w:rPr>
          <w:rFonts w:ascii="Tahoma" w:hAnsi="Tahoma" w:cs="Tahoma"/>
          <w:sz w:val="18"/>
          <w:szCs w:val="18"/>
          <w:rtl/>
        </w:rPr>
        <w:t xml:space="preserve"> </w:t>
      </w:r>
      <w:r w:rsidRPr="00217EB4">
        <w:rPr>
          <w:rFonts w:ascii="Tahoma" w:hAnsi="Tahoma" w:cs="Tahoma" w:hint="eastAsia"/>
          <w:sz w:val="18"/>
          <w:szCs w:val="18"/>
          <w:rtl/>
        </w:rPr>
        <w:t>על</w:t>
      </w:r>
      <w:r w:rsidRPr="00217EB4">
        <w:rPr>
          <w:rFonts w:ascii="Tahoma" w:hAnsi="Tahoma" w:cs="Tahoma"/>
          <w:sz w:val="18"/>
          <w:szCs w:val="18"/>
          <w:rtl/>
        </w:rPr>
        <w:t xml:space="preserve"> </w:t>
      </w:r>
      <w:r w:rsidRPr="00217EB4">
        <w:rPr>
          <w:rFonts w:ascii="Tahoma" w:hAnsi="Tahoma" w:cs="Tahoma" w:hint="eastAsia"/>
          <w:sz w:val="18"/>
          <w:szCs w:val="18"/>
          <w:rtl/>
        </w:rPr>
        <w:t>גורמי</w:t>
      </w:r>
      <w:r w:rsidRPr="00217EB4">
        <w:rPr>
          <w:rFonts w:ascii="Tahoma" w:hAnsi="Tahoma" w:cs="Tahoma"/>
          <w:sz w:val="18"/>
          <w:szCs w:val="18"/>
          <w:rtl/>
        </w:rPr>
        <w:t xml:space="preserve"> </w:t>
      </w:r>
      <w:r w:rsidRPr="00217EB4">
        <w:rPr>
          <w:rFonts w:ascii="Tahoma" w:hAnsi="Tahoma" w:cs="Tahoma" w:hint="eastAsia"/>
          <w:sz w:val="18"/>
          <w:szCs w:val="18"/>
          <w:rtl/>
        </w:rPr>
        <w:t>המודיעין</w:t>
      </w:r>
      <w:r w:rsidRPr="00217EB4">
        <w:rPr>
          <w:rFonts w:ascii="Tahoma" w:hAnsi="Tahoma" w:cs="Tahoma"/>
          <w:sz w:val="18"/>
          <w:szCs w:val="18"/>
          <w:rtl/>
        </w:rPr>
        <w:t xml:space="preserve"> </w:t>
      </w:r>
      <w:r w:rsidRPr="00217EB4">
        <w:rPr>
          <w:rFonts w:ascii="Tahoma" w:hAnsi="Tahoma" w:cs="Tahoma" w:hint="eastAsia"/>
          <w:sz w:val="18"/>
          <w:szCs w:val="18"/>
          <w:rtl/>
        </w:rPr>
        <w:t>וגורמי</w:t>
      </w:r>
      <w:r w:rsidRPr="00217EB4">
        <w:rPr>
          <w:rFonts w:ascii="Tahoma" w:hAnsi="Tahoma" w:cs="Tahoma"/>
          <w:sz w:val="18"/>
          <w:szCs w:val="18"/>
          <w:rtl/>
        </w:rPr>
        <w:t xml:space="preserve"> </w:t>
      </w:r>
      <w:r w:rsidRPr="00217EB4">
        <w:rPr>
          <w:rFonts w:ascii="Tahoma" w:hAnsi="Tahoma" w:cs="Tahoma" w:hint="eastAsia"/>
          <w:sz w:val="18"/>
          <w:szCs w:val="18"/>
          <w:rtl/>
        </w:rPr>
        <w:t>אכיפת</w:t>
      </w:r>
      <w:r w:rsidRPr="00217EB4">
        <w:rPr>
          <w:rFonts w:ascii="Tahoma" w:hAnsi="Tahoma" w:cs="Tahoma"/>
          <w:sz w:val="18"/>
          <w:szCs w:val="18"/>
          <w:rtl/>
        </w:rPr>
        <w:t xml:space="preserve"> </w:t>
      </w:r>
      <w:r w:rsidRPr="00217EB4">
        <w:rPr>
          <w:rFonts w:ascii="Tahoma" w:hAnsi="Tahoma" w:cs="Tahoma" w:hint="eastAsia"/>
          <w:sz w:val="18"/>
          <w:szCs w:val="18"/>
          <w:rtl/>
        </w:rPr>
        <w:t>החוק</w:t>
      </w:r>
      <w:r w:rsidRPr="00217EB4">
        <w:rPr>
          <w:rFonts w:ascii="Tahoma" w:hAnsi="Tahoma" w:cs="Tahoma"/>
          <w:sz w:val="18"/>
          <w:szCs w:val="18"/>
          <w:rtl/>
        </w:rPr>
        <w:t xml:space="preserve"> </w:t>
      </w:r>
      <w:r w:rsidRPr="00217EB4">
        <w:rPr>
          <w:rFonts w:ascii="Tahoma" w:hAnsi="Tahoma" w:cs="Tahoma" w:hint="eastAsia"/>
          <w:sz w:val="18"/>
          <w:szCs w:val="18"/>
          <w:rtl/>
        </w:rPr>
        <w:t>להשיג</w:t>
      </w:r>
      <w:r w:rsidRPr="00217EB4">
        <w:rPr>
          <w:rFonts w:ascii="Tahoma" w:hAnsi="Tahoma" w:cs="Tahoma"/>
          <w:sz w:val="18"/>
          <w:szCs w:val="18"/>
          <w:rtl/>
        </w:rPr>
        <w:t xml:space="preserve"> </w:t>
      </w:r>
      <w:r w:rsidRPr="00217EB4">
        <w:rPr>
          <w:rFonts w:ascii="Tahoma" w:hAnsi="Tahoma" w:cs="Tahoma" w:hint="eastAsia"/>
          <w:sz w:val="18"/>
          <w:szCs w:val="18"/>
          <w:rtl/>
        </w:rPr>
        <w:t>גישה</w:t>
      </w:r>
      <w:r w:rsidRPr="00217EB4">
        <w:rPr>
          <w:rFonts w:ascii="Tahoma" w:hAnsi="Tahoma" w:cs="Tahoma"/>
          <w:sz w:val="18"/>
          <w:szCs w:val="18"/>
          <w:rtl/>
        </w:rPr>
        <w:t xml:space="preserve"> </w:t>
      </w:r>
      <w:r w:rsidRPr="00217EB4">
        <w:rPr>
          <w:rFonts w:ascii="Tahoma" w:hAnsi="Tahoma" w:cs="Tahoma" w:hint="eastAsia"/>
          <w:sz w:val="18"/>
          <w:szCs w:val="18"/>
          <w:rtl/>
        </w:rPr>
        <w:t>לחומרי</w:t>
      </w:r>
      <w:r w:rsidRPr="00217EB4">
        <w:rPr>
          <w:rFonts w:ascii="Tahoma" w:hAnsi="Tahoma" w:cs="Tahoma"/>
          <w:sz w:val="18"/>
          <w:szCs w:val="18"/>
          <w:rtl/>
        </w:rPr>
        <w:t xml:space="preserve"> </w:t>
      </w:r>
      <w:r w:rsidRPr="00217EB4">
        <w:rPr>
          <w:rFonts w:ascii="Tahoma" w:hAnsi="Tahoma" w:cs="Tahoma" w:hint="eastAsia"/>
          <w:sz w:val="18"/>
          <w:szCs w:val="18"/>
          <w:rtl/>
        </w:rPr>
        <w:t>חקירה</w:t>
      </w:r>
      <w:r w:rsidRPr="00217EB4">
        <w:rPr>
          <w:rFonts w:ascii="Tahoma" w:hAnsi="Tahoma" w:cs="Tahoma"/>
          <w:sz w:val="18"/>
          <w:szCs w:val="18"/>
          <w:rtl/>
        </w:rPr>
        <w:t xml:space="preserve">, </w:t>
      </w:r>
      <w:r w:rsidRPr="00217EB4">
        <w:rPr>
          <w:rFonts w:ascii="Tahoma" w:hAnsi="Tahoma" w:cs="Tahoma" w:hint="eastAsia"/>
          <w:sz w:val="18"/>
          <w:szCs w:val="18"/>
          <w:rtl/>
        </w:rPr>
        <w:t>לגלות</w:t>
      </w:r>
      <w:r w:rsidRPr="00217EB4">
        <w:rPr>
          <w:rFonts w:ascii="Tahoma" w:hAnsi="Tahoma" w:cs="Tahoma"/>
          <w:sz w:val="18"/>
          <w:szCs w:val="18"/>
          <w:rtl/>
        </w:rPr>
        <w:t xml:space="preserve"> </w:t>
      </w:r>
      <w:r w:rsidRPr="00217EB4">
        <w:rPr>
          <w:rFonts w:ascii="Tahoma" w:hAnsi="Tahoma" w:cs="Tahoma" w:hint="eastAsia"/>
          <w:sz w:val="18"/>
          <w:szCs w:val="18"/>
          <w:rtl/>
        </w:rPr>
        <w:t>עבריינים</w:t>
      </w:r>
      <w:r w:rsidRPr="00217EB4">
        <w:rPr>
          <w:rFonts w:ascii="Tahoma" w:hAnsi="Tahoma" w:cs="Tahoma"/>
          <w:sz w:val="18"/>
          <w:szCs w:val="18"/>
          <w:rtl/>
        </w:rPr>
        <w:t xml:space="preserve"> </w:t>
      </w:r>
      <w:r w:rsidRPr="00217EB4">
        <w:rPr>
          <w:rFonts w:ascii="Tahoma" w:hAnsi="Tahoma" w:cs="Tahoma" w:hint="eastAsia"/>
          <w:sz w:val="18"/>
          <w:szCs w:val="18"/>
          <w:rtl/>
        </w:rPr>
        <w:t>הפועלים</w:t>
      </w:r>
      <w:r w:rsidRPr="00217EB4">
        <w:rPr>
          <w:rFonts w:ascii="Tahoma" w:hAnsi="Tahoma" w:cs="Tahoma"/>
          <w:sz w:val="18"/>
          <w:szCs w:val="18"/>
          <w:rtl/>
        </w:rPr>
        <w:t xml:space="preserve"> </w:t>
      </w:r>
      <w:r w:rsidRPr="00217EB4">
        <w:rPr>
          <w:rFonts w:ascii="Tahoma" w:hAnsi="Tahoma" w:cs="Tahoma" w:hint="eastAsia"/>
          <w:sz w:val="18"/>
          <w:szCs w:val="18"/>
          <w:rtl/>
        </w:rPr>
        <w:t>בתווך</w:t>
      </w:r>
      <w:r w:rsidRPr="00217EB4">
        <w:rPr>
          <w:rFonts w:ascii="Tahoma" w:hAnsi="Tahoma" w:cs="Tahoma"/>
          <w:sz w:val="18"/>
          <w:szCs w:val="18"/>
          <w:rtl/>
        </w:rPr>
        <w:t xml:space="preserve"> </w:t>
      </w:r>
      <w:r w:rsidRPr="00217EB4">
        <w:rPr>
          <w:rFonts w:ascii="Tahoma" w:hAnsi="Tahoma" w:cs="Tahoma" w:hint="eastAsia"/>
          <w:sz w:val="18"/>
          <w:szCs w:val="18"/>
          <w:rtl/>
        </w:rPr>
        <w:t>האינטרנטי</w:t>
      </w:r>
      <w:r w:rsidRPr="00217EB4">
        <w:rPr>
          <w:rFonts w:ascii="Tahoma" w:hAnsi="Tahoma" w:cs="Tahoma"/>
          <w:sz w:val="18"/>
          <w:szCs w:val="18"/>
          <w:rtl/>
        </w:rPr>
        <w:t xml:space="preserve">, </w:t>
      </w:r>
      <w:r w:rsidRPr="00217EB4">
        <w:rPr>
          <w:rFonts w:ascii="Tahoma" w:hAnsi="Tahoma" w:cs="Tahoma" w:hint="eastAsia"/>
          <w:sz w:val="18"/>
          <w:szCs w:val="18"/>
          <w:rtl/>
        </w:rPr>
        <w:t>ולמנוע</w:t>
      </w:r>
      <w:r w:rsidRPr="00217EB4">
        <w:rPr>
          <w:rFonts w:ascii="Tahoma" w:hAnsi="Tahoma" w:cs="Tahoma"/>
          <w:sz w:val="18"/>
          <w:szCs w:val="18"/>
          <w:rtl/>
        </w:rPr>
        <w:t xml:space="preserve"> </w:t>
      </w:r>
      <w:r w:rsidRPr="00217EB4">
        <w:rPr>
          <w:rFonts w:ascii="Tahoma" w:hAnsi="Tahoma" w:cs="Tahoma" w:hint="eastAsia"/>
          <w:sz w:val="18"/>
          <w:szCs w:val="18"/>
          <w:rtl/>
        </w:rPr>
        <w:t>את</w:t>
      </w:r>
      <w:r w:rsidRPr="00217EB4">
        <w:rPr>
          <w:rFonts w:ascii="Tahoma" w:hAnsi="Tahoma" w:cs="Tahoma"/>
          <w:sz w:val="18"/>
          <w:szCs w:val="18"/>
          <w:rtl/>
        </w:rPr>
        <w:t xml:space="preserve"> </w:t>
      </w:r>
      <w:r w:rsidRPr="00217EB4">
        <w:rPr>
          <w:rFonts w:ascii="Tahoma" w:hAnsi="Tahoma" w:cs="Tahoma" w:hint="eastAsia"/>
          <w:sz w:val="18"/>
          <w:szCs w:val="18"/>
          <w:rtl/>
        </w:rPr>
        <w:t>פעילותן</w:t>
      </w:r>
      <w:r w:rsidRPr="00217EB4">
        <w:rPr>
          <w:rFonts w:ascii="Tahoma" w:hAnsi="Tahoma" w:cs="Tahoma"/>
          <w:sz w:val="18"/>
          <w:szCs w:val="18"/>
          <w:rtl/>
        </w:rPr>
        <w:t xml:space="preserve"> </w:t>
      </w:r>
      <w:r w:rsidRPr="00217EB4">
        <w:rPr>
          <w:rFonts w:ascii="Tahoma" w:hAnsi="Tahoma" w:cs="Tahoma" w:hint="eastAsia"/>
          <w:sz w:val="18"/>
          <w:szCs w:val="18"/>
          <w:rtl/>
        </w:rPr>
        <w:t>של</w:t>
      </w:r>
      <w:r w:rsidRPr="00217EB4">
        <w:rPr>
          <w:rFonts w:ascii="Tahoma" w:hAnsi="Tahoma" w:cs="Tahoma"/>
          <w:sz w:val="18"/>
          <w:szCs w:val="18"/>
          <w:rtl/>
        </w:rPr>
        <w:t xml:space="preserve"> </w:t>
      </w:r>
      <w:r w:rsidRPr="00217EB4">
        <w:rPr>
          <w:rFonts w:ascii="Tahoma" w:hAnsi="Tahoma" w:cs="Tahoma" w:hint="eastAsia"/>
          <w:sz w:val="18"/>
          <w:szCs w:val="18"/>
          <w:rtl/>
        </w:rPr>
        <w:t>זירות</w:t>
      </w:r>
      <w:r w:rsidRPr="00217EB4">
        <w:rPr>
          <w:rFonts w:ascii="Tahoma" w:hAnsi="Tahoma" w:cs="Tahoma"/>
          <w:sz w:val="18"/>
          <w:szCs w:val="18"/>
          <w:rtl/>
        </w:rPr>
        <w:t xml:space="preserve"> </w:t>
      </w:r>
      <w:r w:rsidRPr="00217EB4">
        <w:rPr>
          <w:rFonts w:ascii="Tahoma" w:hAnsi="Tahoma" w:cs="Tahoma" w:hint="eastAsia"/>
          <w:sz w:val="18"/>
          <w:szCs w:val="18"/>
          <w:rtl/>
        </w:rPr>
        <w:t>פליליות</w:t>
      </w:r>
      <w:r w:rsidRPr="00217EB4">
        <w:rPr>
          <w:rFonts w:ascii="Tahoma" w:hAnsi="Tahoma" w:cs="Tahoma"/>
          <w:sz w:val="18"/>
          <w:szCs w:val="18"/>
          <w:rtl/>
        </w:rPr>
        <w:t xml:space="preserve"> </w:t>
      </w:r>
      <w:r w:rsidRPr="00217EB4">
        <w:rPr>
          <w:rFonts w:ascii="Tahoma" w:hAnsi="Tahoma" w:cs="Tahoma" w:hint="eastAsia"/>
          <w:sz w:val="18"/>
          <w:szCs w:val="18"/>
          <w:rtl/>
        </w:rPr>
        <w:t>על</w:t>
      </w:r>
      <w:r w:rsidRPr="00217EB4">
        <w:rPr>
          <w:rFonts w:ascii="Tahoma" w:hAnsi="Tahoma" w:cs="Tahoma"/>
          <w:sz w:val="18"/>
          <w:szCs w:val="18"/>
          <w:rtl/>
        </w:rPr>
        <w:t xml:space="preserve"> </w:t>
      </w:r>
      <w:r w:rsidRPr="00217EB4">
        <w:rPr>
          <w:rFonts w:ascii="Tahoma" w:hAnsi="Tahoma" w:cs="Tahoma" w:hint="eastAsia"/>
          <w:sz w:val="18"/>
          <w:szCs w:val="18"/>
          <w:rtl/>
        </w:rPr>
        <w:t>גבי</w:t>
      </w:r>
      <w:r w:rsidRPr="00217EB4">
        <w:rPr>
          <w:rFonts w:ascii="Tahoma" w:hAnsi="Tahoma" w:cs="Tahoma"/>
          <w:sz w:val="18"/>
          <w:szCs w:val="18"/>
          <w:rtl/>
        </w:rPr>
        <w:t xml:space="preserve"> </w:t>
      </w:r>
      <w:r w:rsidRPr="00217EB4">
        <w:rPr>
          <w:rFonts w:ascii="Tahoma" w:hAnsi="Tahoma" w:cs="Tahoma" w:hint="eastAsia"/>
          <w:sz w:val="18"/>
          <w:szCs w:val="18"/>
          <w:rtl/>
        </w:rPr>
        <w:t>הפלטפורמות</w:t>
      </w:r>
      <w:r w:rsidRPr="00217EB4">
        <w:rPr>
          <w:rFonts w:ascii="Tahoma" w:hAnsi="Tahoma" w:cs="Tahoma"/>
          <w:sz w:val="18"/>
          <w:szCs w:val="18"/>
          <w:rtl/>
        </w:rPr>
        <w:t xml:space="preserve"> </w:t>
      </w:r>
      <w:r w:rsidRPr="00217EB4">
        <w:rPr>
          <w:rFonts w:ascii="Tahoma" w:hAnsi="Tahoma" w:cs="Tahoma" w:hint="eastAsia"/>
          <w:sz w:val="18"/>
          <w:szCs w:val="18"/>
          <w:rtl/>
        </w:rPr>
        <w:t>המוצפנות</w:t>
      </w:r>
      <w:r w:rsidRPr="00217EB4">
        <w:rPr>
          <w:rFonts w:ascii="Tahoma" w:hAnsi="Tahoma" w:cs="Tahoma"/>
          <w:sz w:val="18"/>
          <w:szCs w:val="18"/>
          <w:rtl/>
        </w:rPr>
        <w:t xml:space="preserve">. </w:t>
      </w:r>
      <w:r w:rsidRPr="00217EB4">
        <w:rPr>
          <w:rFonts w:ascii="Tahoma" w:hAnsi="Tahoma" w:cs="Tahoma" w:hint="eastAsia"/>
          <w:sz w:val="18"/>
          <w:szCs w:val="18"/>
          <w:rtl/>
        </w:rPr>
        <w:t>הדבר</w:t>
      </w:r>
      <w:r w:rsidRPr="00217EB4">
        <w:rPr>
          <w:rFonts w:ascii="Tahoma" w:hAnsi="Tahoma" w:cs="Tahoma"/>
          <w:sz w:val="18"/>
          <w:szCs w:val="18"/>
          <w:rtl/>
        </w:rPr>
        <w:t xml:space="preserve"> </w:t>
      </w:r>
      <w:r w:rsidRPr="00217EB4">
        <w:rPr>
          <w:rFonts w:ascii="Tahoma" w:hAnsi="Tahoma" w:cs="Tahoma" w:hint="eastAsia"/>
          <w:sz w:val="18"/>
          <w:szCs w:val="18"/>
          <w:rtl/>
        </w:rPr>
        <w:t>משתקף</w:t>
      </w:r>
      <w:r w:rsidRPr="00217EB4">
        <w:rPr>
          <w:rFonts w:ascii="Tahoma" w:hAnsi="Tahoma" w:cs="Tahoma"/>
          <w:sz w:val="18"/>
          <w:szCs w:val="18"/>
          <w:rtl/>
        </w:rPr>
        <w:t xml:space="preserve"> </w:t>
      </w:r>
      <w:r w:rsidRPr="00217EB4">
        <w:rPr>
          <w:rFonts w:ascii="Tahoma" w:hAnsi="Tahoma" w:cs="Tahoma" w:hint="eastAsia"/>
          <w:sz w:val="18"/>
          <w:szCs w:val="18"/>
          <w:rtl/>
        </w:rPr>
        <w:t>גם</w:t>
      </w:r>
      <w:r w:rsidRPr="00217EB4">
        <w:rPr>
          <w:rFonts w:ascii="Tahoma" w:hAnsi="Tahoma" w:cs="Tahoma"/>
          <w:sz w:val="18"/>
          <w:szCs w:val="18"/>
          <w:rtl/>
        </w:rPr>
        <w:t xml:space="preserve"> </w:t>
      </w:r>
      <w:r w:rsidRPr="00217EB4">
        <w:rPr>
          <w:rFonts w:ascii="Tahoma" w:hAnsi="Tahoma" w:cs="Tahoma" w:hint="eastAsia"/>
          <w:sz w:val="18"/>
          <w:szCs w:val="18"/>
          <w:rtl/>
        </w:rPr>
        <w:t>בכניסת</w:t>
      </w:r>
      <w:r w:rsidRPr="00217EB4">
        <w:rPr>
          <w:rFonts w:ascii="Tahoma" w:hAnsi="Tahoma" w:cs="Tahoma"/>
          <w:sz w:val="18"/>
          <w:szCs w:val="18"/>
          <w:rtl/>
        </w:rPr>
        <w:t xml:space="preserve"> </w:t>
      </w:r>
      <w:r w:rsidRPr="00217EB4">
        <w:rPr>
          <w:rFonts w:ascii="Tahoma" w:hAnsi="Tahoma" w:cs="Tahoma" w:hint="eastAsia"/>
          <w:sz w:val="18"/>
          <w:szCs w:val="18"/>
          <w:rtl/>
        </w:rPr>
        <w:t>קטינים</w:t>
      </w:r>
      <w:r w:rsidRPr="00217EB4">
        <w:rPr>
          <w:rFonts w:ascii="Tahoma" w:hAnsi="Tahoma" w:cs="Tahoma"/>
          <w:sz w:val="18"/>
          <w:szCs w:val="18"/>
          <w:rtl/>
        </w:rPr>
        <w:t xml:space="preserve"> </w:t>
      </w:r>
      <w:r w:rsidRPr="00217EB4">
        <w:rPr>
          <w:rFonts w:ascii="Tahoma" w:hAnsi="Tahoma" w:cs="Tahoma" w:hint="eastAsia"/>
          <w:sz w:val="18"/>
          <w:szCs w:val="18"/>
          <w:rtl/>
        </w:rPr>
        <w:t>הולכת</w:t>
      </w:r>
      <w:r w:rsidRPr="00217EB4">
        <w:rPr>
          <w:rFonts w:ascii="Tahoma" w:hAnsi="Tahoma" w:cs="Tahoma"/>
          <w:sz w:val="18"/>
          <w:szCs w:val="18"/>
          <w:rtl/>
        </w:rPr>
        <w:t xml:space="preserve"> </w:t>
      </w:r>
      <w:r w:rsidRPr="00217EB4">
        <w:rPr>
          <w:rFonts w:ascii="Tahoma" w:hAnsi="Tahoma" w:cs="Tahoma" w:hint="eastAsia"/>
          <w:sz w:val="18"/>
          <w:szCs w:val="18"/>
          <w:rtl/>
        </w:rPr>
        <w:t>וגוברת</w:t>
      </w:r>
      <w:r w:rsidRPr="00217EB4">
        <w:rPr>
          <w:rFonts w:ascii="Tahoma" w:hAnsi="Tahoma" w:cs="Tahoma"/>
          <w:sz w:val="18"/>
          <w:szCs w:val="18"/>
          <w:rtl/>
        </w:rPr>
        <w:t xml:space="preserve"> </w:t>
      </w:r>
      <w:r w:rsidRPr="00217EB4">
        <w:rPr>
          <w:rFonts w:ascii="Tahoma" w:hAnsi="Tahoma" w:cs="Tahoma" w:hint="eastAsia"/>
          <w:sz w:val="18"/>
          <w:szCs w:val="18"/>
          <w:rtl/>
        </w:rPr>
        <w:t>למעגלי</w:t>
      </w:r>
      <w:r w:rsidRPr="00217EB4">
        <w:rPr>
          <w:rFonts w:ascii="Tahoma" w:hAnsi="Tahoma" w:cs="Tahoma"/>
          <w:sz w:val="18"/>
          <w:szCs w:val="18"/>
          <w:rtl/>
        </w:rPr>
        <w:t xml:space="preserve"> </w:t>
      </w:r>
      <w:r w:rsidRPr="00217EB4">
        <w:rPr>
          <w:rFonts w:ascii="Tahoma" w:hAnsi="Tahoma" w:cs="Tahoma" w:hint="eastAsia"/>
          <w:sz w:val="18"/>
          <w:szCs w:val="18"/>
          <w:rtl/>
        </w:rPr>
        <w:t>הפשיעה</w:t>
      </w:r>
      <w:r w:rsidRPr="00217EB4">
        <w:rPr>
          <w:rFonts w:ascii="Tahoma" w:hAnsi="Tahoma" w:cs="Tahoma"/>
          <w:sz w:val="18"/>
          <w:szCs w:val="18"/>
          <w:rtl/>
        </w:rPr>
        <w:t xml:space="preserve">, </w:t>
      </w:r>
      <w:r w:rsidRPr="00217EB4">
        <w:rPr>
          <w:rFonts w:ascii="Tahoma" w:hAnsi="Tahoma" w:cs="Tahoma" w:hint="eastAsia"/>
          <w:sz w:val="18"/>
          <w:szCs w:val="18"/>
          <w:rtl/>
        </w:rPr>
        <w:t>הן</w:t>
      </w:r>
      <w:r w:rsidRPr="00217EB4">
        <w:rPr>
          <w:rFonts w:ascii="Tahoma" w:hAnsi="Tahoma" w:cs="Tahoma"/>
          <w:sz w:val="18"/>
          <w:szCs w:val="18"/>
          <w:rtl/>
        </w:rPr>
        <w:t xml:space="preserve"> </w:t>
      </w:r>
      <w:r w:rsidRPr="00217EB4">
        <w:rPr>
          <w:rFonts w:ascii="Tahoma" w:hAnsi="Tahoma" w:cs="Tahoma" w:hint="eastAsia"/>
          <w:sz w:val="18"/>
          <w:szCs w:val="18"/>
          <w:rtl/>
        </w:rPr>
        <w:t>כקורבנות</w:t>
      </w:r>
      <w:r w:rsidRPr="00217EB4">
        <w:rPr>
          <w:rFonts w:ascii="Tahoma" w:hAnsi="Tahoma" w:cs="Tahoma"/>
          <w:sz w:val="18"/>
          <w:szCs w:val="18"/>
          <w:rtl/>
        </w:rPr>
        <w:t xml:space="preserve"> </w:t>
      </w:r>
      <w:r w:rsidRPr="00217EB4">
        <w:rPr>
          <w:rFonts w:ascii="Tahoma" w:hAnsi="Tahoma" w:cs="Tahoma" w:hint="eastAsia"/>
          <w:sz w:val="18"/>
          <w:szCs w:val="18"/>
          <w:rtl/>
        </w:rPr>
        <w:t>והן</w:t>
      </w:r>
      <w:r w:rsidRPr="00217EB4">
        <w:rPr>
          <w:rFonts w:ascii="Tahoma" w:hAnsi="Tahoma" w:cs="Tahoma"/>
          <w:sz w:val="18"/>
          <w:szCs w:val="18"/>
          <w:rtl/>
        </w:rPr>
        <w:t xml:space="preserve"> </w:t>
      </w:r>
      <w:r w:rsidR="00583E48" w:rsidRPr="00740A8D">
        <w:rPr>
          <w:rFonts w:ascii="Tahoma" w:hAnsi="Tahoma" w:cs="Tahoma" w:hint="cs"/>
          <w:sz w:val="18"/>
          <w:szCs w:val="18"/>
          <w:rtl/>
        </w:rPr>
        <w:t xml:space="preserve">כמבצעים. </w:t>
      </w:r>
    </w:p>
    <w:p w14:paraId="01E1F7E2" w14:textId="168837A1" w:rsidR="00583E48" w:rsidRPr="00EB0D54" w:rsidRDefault="00583E48" w:rsidP="00EB0D54">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EB0D54">
        <w:rPr>
          <w:rFonts w:ascii="Tahoma" w:hAnsi="Tahoma" w:cs="Tahoma" w:hint="cs"/>
          <w:b/>
          <w:color w:val="0D0D0D" w:themeColor="text1" w:themeTint="F2"/>
          <w:sz w:val="18"/>
          <w:szCs w:val="18"/>
          <w:rtl/>
        </w:rPr>
        <w:t xml:space="preserve">המרחב המקוון הוא </w:t>
      </w:r>
      <w:r w:rsidRPr="00EB0D54">
        <w:rPr>
          <w:rFonts w:ascii="Tahoma" w:hAnsi="Tahoma" w:cs="Tahoma"/>
          <w:b/>
          <w:color w:val="0D0D0D" w:themeColor="text1" w:themeTint="F2"/>
          <w:sz w:val="18"/>
          <w:szCs w:val="18"/>
          <w:rtl/>
        </w:rPr>
        <w:t>"מגרש משחקים" חדש</w:t>
      </w:r>
      <w:r w:rsidRPr="00EB0D54">
        <w:rPr>
          <w:rFonts w:ascii="Tahoma" w:hAnsi="Tahoma" w:cs="Tahoma" w:hint="cs"/>
          <w:b/>
          <w:color w:val="0D0D0D" w:themeColor="text1" w:themeTint="F2"/>
          <w:sz w:val="18"/>
          <w:szCs w:val="18"/>
          <w:rtl/>
        </w:rPr>
        <w:t xml:space="preserve"> המתנהל ללא נוכחות "מבוגר אחראי", המקנה לילדים ולבני</w:t>
      </w:r>
      <w:r w:rsidRPr="00EB0D54">
        <w:rPr>
          <w:rFonts w:ascii="Tahoma" w:hAnsi="Tahoma" w:cs="Tahoma"/>
          <w:b/>
          <w:color w:val="0D0D0D" w:themeColor="text1" w:themeTint="F2"/>
          <w:sz w:val="18"/>
          <w:szCs w:val="18"/>
          <w:rtl/>
        </w:rPr>
        <w:t xml:space="preserve"> </w:t>
      </w:r>
      <w:r w:rsidRPr="00EB0D54">
        <w:rPr>
          <w:rFonts w:ascii="Tahoma" w:hAnsi="Tahoma" w:cs="Tahoma" w:hint="cs"/>
          <w:b/>
          <w:color w:val="0D0D0D" w:themeColor="text1" w:themeTint="F2"/>
          <w:sz w:val="18"/>
          <w:szCs w:val="18"/>
          <w:rtl/>
        </w:rPr>
        <w:t>נוער הזדמנויות</w:t>
      </w:r>
      <w:r w:rsidRPr="00EB0D54">
        <w:rPr>
          <w:rFonts w:ascii="Tahoma" w:hAnsi="Tahoma" w:cs="Tahoma"/>
          <w:b/>
          <w:color w:val="0D0D0D" w:themeColor="text1" w:themeTint="F2"/>
          <w:sz w:val="18"/>
          <w:szCs w:val="18"/>
          <w:rtl/>
        </w:rPr>
        <w:t xml:space="preserve"> להכיר, לתקשר, לשחק, </w:t>
      </w:r>
      <w:r w:rsidRPr="00EB0D54">
        <w:rPr>
          <w:rFonts w:ascii="Tahoma" w:hAnsi="Tahoma" w:cs="Tahoma" w:hint="cs"/>
          <w:b/>
          <w:color w:val="0D0D0D" w:themeColor="text1" w:themeTint="F2"/>
          <w:sz w:val="18"/>
          <w:szCs w:val="18"/>
          <w:rtl/>
        </w:rPr>
        <w:t xml:space="preserve">אך גם </w:t>
      </w:r>
      <w:r w:rsidRPr="00EB0D54">
        <w:rPr>
          <w:rFonts w:ascii="Tahoma" w:hAnsi="Tahoma" w:cs="Tahoma"/>
          <w:b/>
          <w:color w:val="0D0D0D" w:themeColor="text1" w:themeTint="F2"/>
          <w:sz w:val="18"/>
          <w:szCs w:val="18"/>
          <w:rtl/>
        </w:rPr>
        <w:t>לפגוע ולהיפגע</w:t>
      </w:r>
      <w:r w:rsidR="00EB0D54" w:rsidRPr="00EB0D54">
        <w:rPr>
          <w:color w:val="0D0D0D" w:themeColor="text1" w:themeTint="F2"/>
          <w:vertAlign w:val="superscript"/>
          <w:rtl/>
        </w:rPr>
        <w:footnoteReference w:id="7"/>
      </w:r>
      <w:r w:rsidRPr="00EB0D54">
        <w:rPr>
          <w:rFonts w:ascii="Tahoma" w:hAnsi="Tahoma" w:cs="Tahoma"/>
          <w:b/>
          <w:color w:val="0D0D0D" w:themeColor="text1" w:themeTint="F2"/>
          <w:sz w:val="18"/>
          <w:szCs w:val="18"/>
          <w:rtl/>
        </w:rPr>
        <w:t>.</w:t>
      </w:r>
      <w:r w:rsidRPr="00EB0D54">
        <w:rPr>
          <w:rFonts w:ascii="Tahoma" w:hAnsi="Tahoma" w:cs="Tahoma" w:hint="cs"/>
          <w:b/>
          <w:color w:val="0D0D0D" w:themeColor="text1" w:themeTint="F2"/>
          <w:sz w:val="18"/>
          <w:szCs w:val="18"/>
          <w:rtl/>
        </w:rPr>
        <w:t xml:space="preserve"> לצד היתרונות הגלומים בעולם המקוון, הוא טומן בחובו סיכונים רבים. קיימת קשת נרחבת מאוד של פגיעות בעולם המקוון. בחלק מהמקרים מדובר בעבירות פליליות קשות. במקרים אחרים אין מדובר בעבירה פלילית, אולם הפגיעה הנגרמת לקטין עלולה להיות קשה מאוד. בין פגיעות אלה: פגיעות מיניות, בריונות, חרם, הפצת תמונות בעלות אופי מיני ללא הסכמת המצולם, היחשפות לחומרים פוגעניים ועוד. </w:t>
      </w:r>
    </w:p>
    <w:p w14:paraId="54EF3FC3" w14:textId="0D47F1EA" w:rsidR="00583E48" w:rsidRPr="00740A8D" w:rsidRDefault="00E64444" w:rsidP="00A059BD">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E64444">
        <w:rPr>
          <w:rFonts w:ascii="Tahoma" w:hAnsi="Tahoma" w:cs="Tahoma" w:hint="cs"/>
          <w:color w:val="0D0D0D" w:themeColor="text1" w:themeTint="F2"/>
          <w:sz w:val="20"/>
          <w:szCs w:val="20"/>
          <w:rtl/>
        </w:rPr>
        <w:lastRenderedPageBreak/>
        <w:t xml:space="preserve">תרשים 2: </w:t>
      </w:r>
      <w:r w:rsidR="00583E48" w:rsidRPr="00740A8D">
        <w:rPr>
          <w:rFonts w:ascii="Tahoma" w:hAnsi="Tahoma" w:cs="Tahoma" w:hint="cs"/>
          <w:b/>
          <w:bCs/>
          <w:color w:val="0D0D0D" w:themeColor="text1" w:themeTint="F2"/>
          <w:sz w:val="20"/>
          <w:szCs w:val="20"/>
          <w:rtl/>
        </w:rPr>
        <w:t>סיכונים ופגיעות בעולם המקוון</w:t>
      </w:r>
    </w:p>
    <w:p w14:paraId="1ECBCBE7" w14:textId="1C80DE58" w:rsidR="00EB0D54" w:rsidRPr="00740A8D" w:rsidRDefault="00EB0D54" w:rsidP="007F4A31">
      <w:pPr>
        <w:keepNext/>
        <w:spacing w:after="240"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16DE9908" wp14:editId="4F413F77">
            <wp:extent cx="4679950" cy="31115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79950" cy="3111500"/>
                    </a:xfrm>
                    <a:prstGeom prst="rect">
                      <a:avLst/>
                    </a:prstGeom>
                  </pic:spPr>
                </pic:pic>
              </a:graphicData>
            </a:graphic>
          </wp:inline>
        </w:drawing>
      </w:r>
    </w:p>
    <w:p w14:paraId="0EA44CC8" w14:textId="77777777"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במקרים רבים היכולות הטכנולוגיות של ההורים מוגבלות ונמוכות בהשוואה לאלו של בני הנוער. הפער הטכנולוגי מקשה על ההורים להיות מודעים ומעורבים במעשי ילדיהם בעולם המקוון, לייעץ להם בהיבטי גלישה בטוחה ולשמש כתובת עבורם במקרה שנפגעו. הורים רבים מעידים כי הם מוטרדים מכך שילדיהם ייפגעו בעולם המקוון. להלן תוצאות סקר בעניין זה שערך משרד מבקר המדינה בקרב הורים</w:t>
      </w:r>
      <w:r w:rsidRPr="00740A8D">
        <w:rPr>
          <w:rStyle w:val="FootnoteReference"/>
          <w:rFonts w:ascii="Tahoma" w:hAnsi="Tahoma" w:cs="Tahoma"/>
          <w:sz w:val="18"/>
          <w:szCs w:val="18"/>
          <w:rtl/>
        </w:rPr>
        <w:footnoteReference w:id="8"/>
      </w:r>
      <w:r w:rsidRPr="00740A8D">
        <w:rPr>
          <w:rFonts w:ascii="Tahoma" w:hAnsi="Tahoma" w:cs="Tahoma" w:hint="cs"/>
          <w:sz w:val="18"/>
          <w:szCs w:val="18"/>
          <w:rtl/>
        </w:rPr>
        <w:t xml:space="preserve">: </w:t>
      </w:r>
    </w:p>
    <w:p w14:paraId="50224030" w14:textId="1C185C47" w:rsidR="00583E48" w:rsidRPr="00740A8D" w:rsidRDefault="00E64444" w:rsidP="00A059BD">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E64444">
        <w:rPr>
          <w:rFonts w:ascii="Tahoma" w:hAnsi="Tahoma" w:cs="Tahoma" w:hint="cs"/>
          <w:color w:val="0D0D0D" w:themeColor="text1" w:themeTint="F2"/>
          <w:sz w:val="20"/>
          <w:szCs w:val="20"/>
          <w:rtl/>
        </w:rPr>
        <w:lastRenderedPageBreak/>
        <w:t xml:space="preserve">תרשים 3: </w:t>
      </w:r>
      <w:r w:rsidR="00583E48" w:rsidRPr="00740A8D">
        <w:rPr>
          <w:rFonts w:ascii="Tahoma" w:hAnsi="Tahoma" w:cs="Tahoma" w:hint="cs"/>
          <w:b/>
          <w:bCs/>
          <w:color w:val="0D0D0D" w:themeColor="text1" w:themeTint="F2"/>
          <w:sz w:val="20"/>
          <w:szCs w:val="20"/>
          <w:rtl/>
        </w:rPr>
        <w:t>דירוג הנושאים המטרידים הורים בפעילות המקוונת של ילדיהם</w:t>
      </w:r>
    </w:p>
    <w:p w14:paraId="568BB339" w14:textId="467B1EA8" w:rsidR="00EB0D54" w:rsidRPr="00740A8D" w:rsidRDefault="00EB0D54" w:rsidP="00E64444">
      <w:pPr>
        <w:keepNext/>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7C53E1DA" wp14:editId="282FE933">
            <wp:extent cx="4679950" cy="36576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6" cstate="print">
                      <a:extLst>
                        <a:ext uri="{28A0092B-C50C-407E-A947-70E740481C1C}">
                          <a14:useLocalDpi xmlns:a14="http://schemas.microsoft.com/office/drawing/2010/main" val="0"/>
                        </a:ext>
                      </a:extLst>
                    </a:blip>
                    <a:srcRect t="3818" b="4550"/>
                    <a:stretch/>
                  </pic:blipFill>
                  <pic:spPr bwMode="auto">
                    <a:xfrm>
                      <a:off x="0" y="0"/>
                      <a:ext cx="4679950" cy="3657600"/>
                    </a:xfrm>
                    <a:prstGeom prst="rect">
                      <a:avLst/>
                    </a:prstGeom>
                    <a:ln>
                      <a:noFill/>
                    </a:ln>
                    <a:extLst>
                      <a:ext uri="{53640926-AAD7-44D8-BBD7-CCE9431645EC}">
                        <a14:shadowObscured xmlns:a14="http://schemas.microsoft.com/office/drawing/2010/main"/>
                      </a:ext>
                    </a:extLst>
                  </pic:spPr>
                </pic:pic>
              </a:graphicData>
            </a:graphic>
          </wp:inline>
        </w:drawing>
      </w:r>
    </w:p>
    <w:p w14:paraId="62367128" w14:textId="77777777" w:rsidR="00583E48" w:rsidRPr="00EB0D54" w:rsidRDefault="00583E48" w:rsidP="00EB0D54">
      <w:pPr>
        <w:tabs>
          <w:tab w:val="left" w:pos="424"/>
        </w:tabs>
        <w:spacing w:after="240" w:line="260" w:lineRule="exact"/>
        <w:jc w:val="both"/>
        <w:rPr>
          <w:rFonts w:ascii="Tahoma" w:hAnsi="Tahoma" w:cs="Tahoma"/>
          <w:color w:val="0D0D0D" w:themeColor="text1" w:themeTint="F2"/>
          <w:sz w:val="16"/>
          <w:szCs w:val="16"/>
        </w:rPr>
      </w:pPr>
      <w:bookmarkStart w:id="7" w:name="_Hlk86673513"/>
      <w:r w:rsidRPr="00EB0D54">
        <w:rPr>
          <w:rFonts w:ascii="Tahoma" w:hAnsi="Tahoma" w:cs="Tahoma"/>
          <w:color w:val="0D0D0D" w:themeColor="text1" w:themeTint="F2"/>
          <w:sz w:val="16"/>
          <w:szCs w:val="16"/>
          <w:rtl/>
        </w:rPr>
        <w:t xml:space="preserve">על פי נתוני </w:t>
      </w:r>
      <w:bookmarkEnd w:id="7"/>
      <w:r w:rsidRPr="00EB0D54">
        <w:rPr>
          <w:rFonts w:ascii="Tahoma" w:hAnsi="Tahoma" w:cs="Tahoma"/>
          <w:color w:val="0D0D0D" w:themeColor="text1" w:themeTint="F2"/>
          <w:sz w:val="16"/>
          <w:szCs w:val="16"/>
          <w:rtl/>
        </w:rPr>
        <w:t xml:space="preserve">סקר הורים </w:t>
      </w:r>
      <w:r w:rsidRPr="00EB0D54">
        <w:rPr>
          <w:rFonts w:ascii="Tahoma" w:hAnsi="Tahoma" w:cs="Tahoma" w:hint="eastAsia"/>
          <w:color w:val="0D0D0D" w:themeColor="text1" w:themeTint="F2"/>
          <w:sz w:val="16"/>
          <w:szCs w:val="16"/>
          <w:rtl/>
        </w:rPr>
        <w:t>מיולי</w:t>
      </w:r>
      <w:r w:rsidRPr="00EB0D54">
        <w:rPr>
          <w:rFonts w:ascii="Tahoma" w:hAnsi="Tahoma" w:cs="Tahoma"/>
          <w:color w:val="0D0D0D" w:themeColor="text1" w:themeTint="F2"/>
          <w:sz w:val="16"/>
          <w:szCs w:val="16"/>
          <w:rtl/>
        </w:rPr>
        <w:t xml:space="preserve"> 2021, בעיבוד משרד מבקר המדינה</w:t>
      </w:r>
      <w:r w:rsidRPr="00EB0D54">
        <w:rPr>
          <w:rFonts w:ascii="Tahoma" w:hAnsi="Tahoma" w:cs="Tahoma" w:hint="cs"/>
          <w:color w:val="0D0D0D" w:themeColor="text1" w:themeTint="F2"/>
          <w:sz w:val="16"/>
          <w:szCs w:val="16"/>
          <w:rtl/>
        </w:rPr>
        <w:t xml:space="preserve"> (ניתן היה לסמן יותר מנושא אחד)</w:t>
      </w:r>
      <w:r w:rsidRPr="00EB0D54">
        <w:rPr>
          <w:rFonts w:ascii="Tahoma" w:hAnsi="Tahoma" w:cs="Tahoma"/>
          <w:color w:val="0D0D0D" w:themeColor="text1" w:themeTint="F2"/>
          <w:sz w:val="16"/>
          <w:szCs w:val="16"/>
          <w:rtl/>
        </w:rPr>
        <w:t>.</w:t>
      </w:r>
    </w:p>
    <w:p w14:paraId="5D9FFEC5" w14:textId="77777777"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נושא הסיכונים לילדים ולבני נוער בעולם המקוון נמצא זה כעשור על סדר היום ברחבי העולם. בשנת 2011 סיווג ארגון ה-</w:t>
      </w:r>
      <w:r w:rsidRPr="00740A8D">
        <w:rPr>
          <w:rFonts w:ascii="Tahoma" w:hAnsi="Tahoma" w:cs="Tahoma" w:hint="cs"/>
          <w:sz w:val="18"/>
          <w:szCs w:val="18"/>
        </w:rPr>
        <w:t>OE</w:t>
      </w:r>
      <w:r w:rsidRPr="00740A8D">
        <w:rPr>
          <w:rFonts w:ascii="Tahoma" w:hAnsi="Tahoma" w:cs="Tahoma"/>
          <w:sz w:val="18"/>
          <w:szCs w:val="18"/>
        </w:rPr>
        <w:t>CD</w:t>
      </w:r>
      <w:r w:rsidRPr="00740A8D">
        <w:rPr>
          <w:rFonts w:ascii="Tahoma" w:hAnsi="Tahoma" w:cs="Tahoma" w:hint="cs"/>
          <w:sz w:val="18"/>
          <w:szCs w:val="18"/>
          <w:rtl/>
        </w:rPr>
        <w:t xml:space="preserve"> את הסיכונים לכמה קטגוריות, כדי לטייב את אופן ההתמודדות עימם. הסיווג מעודכן מעת לעת בהתאם להתפתחויות הטכנולוגיות. להלן סיווג הסיכונים כפי שנערך לאחרונה בשנת 2021</w:t>
      </w:r>
      <w:r w:rsidRPr="00740A8D">
        <w:rPr>
          <w:rStyle w:val="FootnoteReference"/>
          <w:rFonts w:ascii="Tahoma" w:hAnsi="Tahoma" w:cs="Tahoma"/>
          <w:sz w:val="18"/>
          <w:szCs w:val="18"/>
          <w:rtl/>
        </w:rPr>
        <w:footnoteReference w:id="9"/>
      </w:r>
      <w:r w:rsidRPr="00740A8D">
        <w:rPr>
          <w:rFonts w:ascii="Tahoma" w:hAnsi="Tahoma" w:cs="Tahoma" w:hint="cs"/>
          <w:sz w:val="18"/>
          <w:szCs w:val="18"/>
          <w:rtl/>
        </w:rPr>
        <w:t xml:space="preserve">: </w:t>
      </w:r>
    </w:p>
    <w:p w14:paraId="5DFDB357" w14:textId="4462C077" w:rsidR="00583E48" w:rsidRPr="00740A8D" w:rsidRDefault="00E64444" w:rsidP="00A059BD">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E64444">
        <w:rPr>
          <w:rFonts w:ascii="Tahoma" w:hAnsi="Tahoma" w:cs="Tahoma" w:hint="cs"/>
          <w:color w:val="0D0D0D" w:themeColor="text1" w:themeTint="F2"/>
          <w:sz w:val="20"/>
          <w:szCs w:val="20"/>
          <w:rtl/>
        </w:rPr>
        <w:lastRenderedPageBreak/>
        <w:t xml:space="preserve">תרשים 4: </w:t>
      </w:r>
      <w:r w:rsidR="00583E48" w:rsidRPr="00740A8D">
        <w:rPr>
          <w:rFonts w:ascii="Tahoma" w:hAnsi="Tahoma" w:cs="Tahoma" w:hint="cs"/>
          <w:b/>
          <w:bCs/>
          <w:color w:val="0D0D0D" w:themeColor="text1" w:themeTint="F2"/>
          <w:sz w:val="20"/>
          <w:szCs w:val="20"/>
          <w:rtl/>
        </w:rPr>
        <w:t>סיווג הסיכונים על פי ארגון ה-</w:t>
      </w:r>
      <w:r w:rsidR="00583E48" w:rsidRPr="00740A8D">
        <w:rPr>
          <w:rFonts w:ascii="Tahoma" w:hAnsi="Tahoma" w:cs="Tahoma" w:hint="cs"/>
          <w:b/>
          <w:bCs/>
          <w:color w:val="0D0D0D" w:themeColor="text1" w:themeTint="F2"/>
          <w:sz w:val="20"/>
          <w:szCs w:val="20"/>
        </w:rPr>
        <w:t>OECD</w:t>
      </w:r>
    </w:p>
    <w:p w14:paraId="577280CE" w14:textId="28071ECC" w:rsidR="00EB0D54" w:rsidRPr="00740A8D" w:rsidRDefault="00EB0D54" w:rsidP="00E64444">
      <w:pPr>
        <w:keepNext/>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34354CB4" wp14:editId="7EBDC24A">
            <wp:extent cx="4679950" cy="41148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7" cstate="print">
                      <a:extLst>
                        <a:ext uri="{28A0092B-C50C-407E-A947-70E740481C1C}">
                          <a14:useLocalDpi xmlns:a14="http://schemas.microsoft.com/office/drawing/2010/main" val="0"/>
                        </a:ext>
                      </a:extLst>
                    </a:blip>
                    <a:srcRect b="8254"/>
                    <a:stretch/>
                  </pic:blipFill>
                  <pic:spPr bwMode="auto">
                    <a:xfrm>
                      <a:off x="0" y="0"/>
                      <a:ext cx="4679950" cy="4114800"/>
                    </a:xfrm>
                    <a:prstGeom prst="rect">
                      <a:avLst/>
                    </a:prstGeom>
                    <a:ln>
                      <a:noFill/>
                    </a:ln>
                    <a:extLst>
                      <a:ext uri="{53640926-AAD7-44D8-BBD7-CCE9431645EC}">
                        <a14:shadowObscured xmlns:a14="http://schemas.microsoft.com/office/drawing/2010/main"/>
                      </a:ext>
                    </a:extLst>
                  </pic:spPr>
                </pic:pic>
              </a:graphicData>
            </a:graphic>
          </wp:inline>
        </w:drawing>
      </w:r>
    </w:p>
    <w:p w14:paraId="74DA2331" w14:textId="77777777" w:rsidR="00583E48" w:rsidRPr="00EB0D54" w:rsidRDefault="00583E48" w:rsidP="00EB0D54">
      <w:pPr>
        <w:tabs>
          <w:tab w:val="left" w:pos="424"/>
        </w:tabs>
        <w:spacing w:after="240" w:line="260" w:lineRule="exact"/>
        <w:jc w:val="both"/>
        <w:rPr>
          <w:rFonts w:ascii="Tahoma" w:hAnsi="Tahoma" w:cs="Tahoma"/>
          <w:color w:val="0D0D0D" w:themeColor="text1" w:themeTint="F2"/>
          <w:sz w:val="16"/>
          <w:szCs w:val="16"/>
          <w:rtl/>
        </w:rPr>
      </w:pPr>
      <w:r w:rsidRPr="00EB0D54">
        <w:rPr>
          <w:rFonts w:ascii="Tahoma" w:hAnsi="Tahoma" w:cs="Tahoma"/>
          <w:color w:val="0D0D0D" w:themeColor="text1" w:themeTint="F2"/>
          <w:sz w:val="16"/>
          <w:szCs w:val="16"/>
          <w:rtl/>
        </w:rPr>
        <w:t>על פי נתוני ארגון ה-</w:t>
      </w:r>
      <w:r w:rsidRPr="00EB0D54">
        <w:rPr>
          <w:rFonts w:ascii="Tahoma" w:hAnsi="Tahoma" w:cs="Tahoma"/>
          <w:color w:val="0D0D0D" w:themeColor="text1" w:themeTint="F2"/>
          <w:sz w:val="16"/>
          <w:szCs w:val="16"/>
        </w:rPr>
        <w:t>OECD</w:t>
      </w:r>
      <w:r w:rsidRPr="00EB0D54">
        <w:rPr>
          <w:rFonts w:ascii="Tahoma" w:hAnsi="Tahoma" w:cs="Tahoma"/>
          <w:color w:val="0D0D0D" w:themeColor="text1" w:themeTint="F2"/>
          <w:sz w:val="16"/>
          <w:szCs w:val="16"/>
          <w:rtl/>
        </w:rPr>
        <w:t xml:space="preserve">, </w:t>
      </w:r>
      <w:r w:rsidRPr="00EB0D54">
        <w:rPr>
          <w:rFonts w:ascii="Tahoma" w:hAnsi="Tahoma" w:cs="Tahoma" w:hint="eastAsia"/>
          <w:color w:val="0D0D0D" w:themeColor="text1" w:themeTint="F2"/>
          <w:sz w:val="16"/>
          <w:szCs w:val="16"/>
          <w:rtl/>
        </w:rPr>
        <w:t>בעיבוד</w:t>
      </w:r>
      <w:r w:rsidRPr="00EB0D54">
        <w:rPr>
          <w:rFonts w:ascii="Tahoma" w:hAnsi="Tahoma" w:cs="Tahoma"/>
          <w:color w:val="0D0D0D" w:themeColor="text1" w:themeTint="F2"/>
          <w:sz w:val="16"/>
          <w:szCs w:val="16"/>
          <w:rtl/>
        </w:rPr>
        <w:t xml:space="preserve"> </w:t>
      </w:r>
      <w:r w:rsidRPr="00EB0D54">
        <w:rPr>
          <w:rFonts w:ascii="Tahoma" w:hAnsi="Tahoma" w:cs="Tahoma" w:hint="eastAsia"/>
          <w:color w:val="0D0D0D" w:themeColor="text1" w:themeTint="F2"/>
          <w:sz w:val="16"/>
          <w:szCs w:val="16"/>
          <w:rtl/>
        </w:rPr>
        <w:t>משרד</w:t>
      </w:r>
      <w:r w:rsidRPr="00EB0D54">
        <w:rPr>
          <w:rFonts w:ascii="Tahoma" w:hAnsi="Tahoma" w:cs="Tahoma"/>
          <w:color w:val="0D0D0D" w:themeColor="text1" w:themeTint="F2"/>
          <w:sz w:val="16"/>
          <w:szCs w:val="16"/>
          <w:rtl/>
        </w:rPr>
        <w:t xml:space="preserve"> </w:t>
      </w:r>
      <w:r w:rsidRPr="00EB0D54">
        <w:rPr>
          <w:rFonts w:ascii="Tahoma" w:hAnsi="Tahoma" w:cs="Tahoma" w:hint="eastAsia"/>
          <w:color w:val="0D0D0D" w:themeColor="text1" w:themeTint="F2"/>
          <w:sz w:val="16"/>
          <w:szCs w:val="16"/>
          <w:rtl/>
        </w:rPr>
        <w:t>מבקר</w:t>
      </w:r>
      <w:r w:rsidRPr="00EB0D54">
        <w:rPr>
          <w:rFonts w:ascii="Tahoma" w:hAnsi="Tahoma" w:cs="Tahoma"/>
          <w:color w:val="0D0D0D" w:themeColor="text1" w:themeTint="F2"/>
          <w:sz w:val="16"/>
          <w:szCs w:val="16"/>
          <w:rtl/>
        </w:rPr>
        <w:t xml:space="preserve"> </w:t>
      </w:r>
      <w:r w:rsidRPr="00EB0D54">
        <w:rPr>
          <w:rFonts w:ascii="Tahoma" w:hAnsi="Tahoma" w:cs="Tahoma" w:hint="eastAsia"/>
          <w:color w:val="0D0D0D" w:themeColor="text1" w:themeTint="F2"/>
          <w:sz w:val="16"/>
          <w:szCs w:val="16"/>
          <w:rtl/>
        </w:rPr>
        <w:t>המדינה</w:t>
      </w:r>
      <w:r w:rsidRPr="00EB0D54">
        <w:rPr>
          <w:rFonts w:ascii="Tahoma" w:hAnsi="Tahoma" w:cs="Tahoma"/>
          <w:color w:val="0D0D0D" w:themeColor="text1" w:themeTint="F2"/>
          <w:sz w:val="16"/>
          <w:szCs w:val="16"/>
          <w:rtl/>
        </w:rPr>
        <w:t>.</w:t>
      </w:r>
    </w:p>
    <w:p w14:paraId="6F84FC58" w14:textId="77777777" w:rsidR="00583E48" w:rsidRPr="00740A8D" w:rsidRDefault="00583E48" w:rsidP="00740A8D">
      <w:pPr>
        <w:spacing w:line="260" w:lineRule="exact"/>
        <w:jc w:val="both"/>
        <w:rPr>
          <w:rFonts w:ascii="Tahoma" w:hAnsi="Tahoma" w:cs="Tahoma"/>
          <w:sz w:val="18"/>
          <w:szCs w:val="18"/>
        </w:rPr>
      </w:pPr>
      <w:r w:rsidRPr="00740A8D">
        <w:rPr>
          <w:rFonts w:ascii="Tahoma" w:hAnsi="Tahoma" w:cs="Tahoma" w:hint="cs"/>
          <w:sz w:val="18"/>
          <w:szCs w:val="18"/>
          <w:rtl/>
        </w:rPr>
        <w:t>להלן דוגמאות לסיכונים הקיימים במרחב המקוון:</w:t>
      </w:r>
    </w:p>
    <w:p w14:paraId="5BD1AB63" w14:textId="77777777" w:rsidR="00583E48" w:rsidRPr="00EB0D54" w:rsidRDefault="00583E48" w:rsidP="00EB0D54">
      <w:pPr>
        <w:pStyle w:val="ListParagraph"/>
        <w:numPr>
          <w:ilvl w:val="0"/>
          <w:numId w:val="39"/>
        </w:numPr>
        <w:autoSpaceDE/>
        <w:autoSpaceDN/>
        <w:adjustRightInd/>
        <w:spacing w:line="260" w:lineRule="exact"/>
        <w:ind w:left="397" w:hanging="397"/>
        <w:rPr>
          <w:sz w:val="18"/>
          <w:szCs w:val="18"/>
        </w:rPr>
      </w:pPr>
      <w:r w:rsidRPr="00EB0D54">
        <w:rPr>
          <w:rFonts w:hint="cs"/>
          <w:b/>
          <w:bCs/>
          <w:sz w:val="18"/>
          <w:szCs w:val="18"/>
          <w:rtl/>
        </w:rPr>
        <w:t>בריונות ברשת (</w:t>
      </w:r>
      <w:r w:rsidRPr="00EB0D54">
        <w:rPr>
          <w:rFonts w:hint="cs"/>
          <w:b/>
          <w:bCs/>
          <w:sz w:val="18"/>
          <w:szCs w:val="18"/>
        </w:rPr>
        <w:t>C</w:t>
      </w:r>
      <w:r w:rsidRPr="00EB0D54">
        <w:rPr>
          <w:b/>
          <w:bCs/>
          <w:sz w:val="18"/>
          <w:szCs w:val="18"/>
        </w:rPr>
        <w:t xml:space="preserve">yber </w:t>
      </w:r>
      <w:r w:rsidRPr="00EB0D54">
        <w:rPr>
          <w:rFonts w:hint="cs"/>
          <w:b/>
          <w:bCs/>
          <w:sz w:val="18"/>
          <w:szCs w:val="18"/>
        </w:rPr>
        <w:t>B</w:t>
      </w:r>
      <w:r w:rsidRPr="00EB0D54">
        <w:rPr>
          <w:b/>
          <w:bCs/>
          <w:sz w:val="18"/>
          <w:szCs w:val="18"/>
        </w:rPr>
        <w:t>ullying</w:t>
      </w:r>
      <w:r w:rsidRPr="00EB0D54">
        <w:rPr>
          <w:rFonts w:hint="cs"/>
          <w:b/>
          <w:bCs/>
          <w:sz w:val="18"/>
          <w:szCs w:val="18"/>
          <w:rtl/>
        </w:rPr>
        <w:t>)</w:t>
      </w:r>
      <w:r w:rsidRPr="00EB0D54">
        <w:rPr>
          <w:rStyle w:val="FootnoteReference"/>
          <w:sz w:val="18"/>
          <w:szCs w:val="18"/>
          <w:rtl/>
        </w:rPr>
        <w:footnoteReference w:id="10"/>
      </w:r>
      <w:r w:rsidRPr="00EB0D54">
        <w:rPr>
          <w:rFonts w:hint="cs"/>
          <w:sz w:val="18"/>
          <w:szCs w:val="18"/>
          <w:rtl/>
        </w:rPr>
        <w:t xml:space="preserve"> - פגיעה או התנהגות אלימה מכוונת וחוזרת שמטרתה לפגוע והיא מתבצעת בפלטפורמות ובאמצעים דיגיטליים, כדוגמת הטלפון החכם (</w:t>
      </w:r>
      <w:proofErr w:type="spellStart"/>
      <w:r w:rsidRPr="00EB0D54">
        <w:rPr>
          <w:rFonts w:hint="cs"/>
          <w:sz w:val="18"/>
          <w:szCs w:val="18"/>
          <w:rtl/>
        </w:rPr>
        <w:t>סמארטפון</w:t>
      </w:r>
      <w:proofErr w:type="spellEnd"/>
      <w:r w:rsidRPr="00EB0D54">
        <w:rPr>
          <w:rFonts w:hint="cs"/>
          <w:sz w:val="18"/>
          <w:szCs w:val="18"/>
          <w:rtl/>
        </w:rPr>
        <w:t xml:space="preserve">) והמחשב הביתי - דרך מסרונים, הודעות וקבוצות </w:t>
      </w:r>
      <w:proofErr w:type="spellStart"/>
      <w:r w:rsidRPr="00EB0D54">
        <w:rPr>
          <w:rFonts w:hint="cs"/>
          <w:sz w:val="18"/>
          <w:szCs w:val="18"/>
          <w:rtl/>
        </w:rPr>
        <w:t>ווטסאפ</w:t>
      </w:r>
      <w:proofErr w:type="spellEnd"/>
      <w:r w:rsidRPr="00EB0D54">
        <w:rPr>
          <w:rFonts w:hint="cs"/>
          <w:sz w:val="18"/>
          <w:szCs w:val="18"/>
          <w:rtl/>
        </w:rPr>
        <w:t>, פורומים, רשתות חברתיות ועוד. אלו משמשים בהקשר זה לביוש, להשפלה, ללעג, להתחזות לאחר, להשמצה, להטרדה, לחרם, לאיומים ולסחיטה</w:t>
      </w:r>
      <w:r w:rsidRPr="00EB0D54">
        <w:rPr>
          <w:rStyle w:val="FootnoteReference"/>
          <w:sz w:val="18"/>
          <w:szCs w:val="18"/>
          <w:rtl/>
        </w:rPr>
        <w:footnoteReference w:id="11"/>
      </w:r>
      <w:r w:rsidRPr="00EB0D54">
        <w:rPr>
          <w:rFonts w:hint="cs"/>
          <w:sz w:val="18"/>
          <w:szCs w:val="18"/>
          <w:rtl/>
        </w:rPr>
        <w:t>.</w:t>
      </w:r>
    </w:p>
    <w:p w14:paraId="15A8D2B4" w14:textId="77777777" w:rsidR="00583E48" w:rsidRPr="00EB0D54" w:rsidRDefault="00583E48" w:rsidP="00EB0D54">
      <w:pPr>
        <w:pStyle w:val="ListParagraph"/>
        <w:numPr>
          <w:ilvl w:val="0"/>
          <w:numId w:val="39"/>
        </w:numPr>
        <w:autoSpaceDE/>
        <w:autoSpaceDN/>
        <w:adjustRightInd/>
        <w:spacing w:line="260" w:lineRule="exact"/>
        <w:ind w:left="397" w:hanging="397"/>
        <w:rPr>
          <w:sz w:val="18"/>
          <w:szCs w:val="18"/>
        </w:rPr>
      </w:pPr>
      <w:r w:rsidRPr="00EB0D54">
        <w:rPr>
          <w:rFonts w:hint="cs"/>
          <w:b/>
          <w:bCs/>
          <w:sz w:val="18"/>
          <w:szCs w:val="18"/>
          <w:rtl/>
        </w:rPr>
        <w:t xml:space="preserve">פגיעות מיניות - </w:t>
      </w:r>
      <w:r w:rsidRPr="00EB0D54">
        <w:rPr>
          <w:rFonts w:hint="cs"/>
          <w:sz w:val="18"/>
          <w:szCs w:val="18"/>
          <w:rtl/>
        </w:rPr>
        <w:t>שימוש במרחב המקוון לצורך ביצוע עבירות מין, בהן: הטרדה מינית, ניצול מיני, אינוס וירטואלי, שידול, סחיטה מינית (</w:t>
      </w:r>
      <w:r w:rsidRPr="00EB0D54">
        <w:rPr>
          <w:sz w:val="18"/>
          <w:szCs w:val="18"/>
        </w:rPr>
        <w:t>Sextortion</w:t>
      </w:r>
      <w:r w:rsidRPr="00EB0D54">
        <w:rPr>
          <w:rFonts w:hint="cs"/>
          <w:sz w:val="18"/>
          <w:szCs w:val="18"/>
          <w:rtl/>
        </w:rPr>
        <w:t xml:space="preserve">) ואיומים, והפצת תמונות </w:t>
      </w:r>
      <w:r w:rsidRPr="00EB0D54">
        <w:rPr>
          <w:rFonts w:hint="cs"/>
          <w:sz w:val="18"/>
          <w:szCs w:val="18"/>
          <w:rtl/>
        </w:rPr>
        <w:lastRenderedPageBreak/>
        <w:t>וסרטונים. השימוש בממשקים אינטרנטיים הוא בגדר "שדה ציד" עבור עברייני מין ובהם פדופילים. השימוש במרחב המקוון יכול להיעשות לצורך ביצוע העבירה או לצורך איתור קורבנות ובהמשך - פגיעה בהם במרחב הפיזי. "</w:t>
      </w:r>
      <w:r w:rsidRPr="00EB0D54">
        <w:rPr>
          <w:sz w:val="18"/>
          <w:szCs w:val="18"/>
          <w:rtl/>
        </w:rPr>
        <w:t>בקלות בלתי-נסבלת, בחסות האנונימיות, ובזמינות המתאפשרת ברשת האינטרנט</w:t>
      </w:r>
      <w:r w:rsidRPr="00EB0D54">
        <w:rPr>
          <w:rFonts w:hint="cs"/>
          <w:sz w:val="18"/>
          <w:szCs w:val="18"/>
          <w:rtl/>
        </w:rPr>
        <w:t xml:space="preserve"> </w:t>
      </w:r>
      <w:r w:rsidRPr="00EB0D54">
        <w:rPr>
          <w:sz w:val="18"/>
          <w:szCs w:val="18"/>
          <w:rtl/>
        </w:rPr>
        <w:t>ובחדרי הצ'אט, יוצרים עברייני-מין קשרים, גם עם קטינים וקטינות שדעתם קלה, אישיותם עדיין לא מגובשת, והם ניתנים</w:t>
      </w:r>
      <w:r w:rsidRPr="00EB0D54">
        <w:rPr>
          <w:rFonts w:hint="cs"/>
          <w:sz w:val="18"/>
          <w:szCs w:val="18"/>
          <w:rtl/>
        </w:rPr>
        <w:t xml:space="preserve"> </w:t>
      </w:r>
      <w:r w:rsidRPr="00EB0D54">
        <w:rPr>
          <w:sz w:val="18"/>
          <w:szCs w:val="18"/>
          <w:rtl/>
        </w:rPr>
        <w:t>להשפעה בקלות. עברייני-המין, מונּעים מרצון לסיפוק מיני, מפעילים מניפולציות כלפי אותם קטינים וקטינות, משכנעים</w:t>
      </w:r>
      <w:r w:rsidRPr="00EB0D54">
        <w:rPr>
          <w:rFonts w:hint="cs"/>
          <w:sz w:val="18"/>
          <w:szCs w:val="18"/>
          <w:rtl/>
        </w:rPr>
        <w:t xml:space="preserve"> </w:t>
      </w:r>
      <w:r w:rsidRPr="00EB0D54">
        <w:rPr>
          <w:sz w:val="18"/>
          <w:szCs w:val="18"/>
          <w:rtl/>
        </w:rPr>
        <w:t>אותם לשתף פעולה, לבצע בעצמם מעשים מיניים, להפיץ תמונות עירום, וכיוצא באלה</w:t>
      </w:r>
      <w:r w:rsidRPr="00EB0D54">
        <w:rPr>
          <w:rFonts w:hint="cs"/>
          <w:sz w:val="18"/>
          <w:szCs w:val="18"/>
          <w:rtl/>
        </w:rPr>
        <w:t>"</w:t>
      </w:r>
      <w:r w:rsidRPr="00EB0D54">
        <w:rPr>
          <w:rStyle w:val="FootnoteReference"/>
          <w:sz w:val="18"/>
          <w:szCs w:val="18"/>
          <w:rtl/>
        </w:rPr>
        <w:footnoteReference w:id="12"/>
      </w:r>
      <w:r w:rsidRPr="00EB0D54">
        <w:rPr>
          <w:rFonts w:hint="cs"/>
          <w:sz w:val="18"/>
          <w:szCs w:val="18"/>
          <w:rtl/>
        </w:rPr>
        <w:t xml:space="preserve">. </w:t>
      </w:r>
    </w:p>
    <w:p w14:paraId="08A7FFC9" w14:textId="36509CCB" w:rsidR="00583E48" w:rsidRPr="00EB0D54" w:rsidRDefault="00583E48" w:rsidP="00EB0D54">
      <w:pPr>
        <w:pStyle w:val="ListParagraph"/>
        <w:numPr>
          <w:ilvl w:val="0"/>
          <w:numId w:val="39"/>
        </w:numPr>
        <w:autoSpaceDE/>
        <w:autoSpaceDN/>
        <w:adjustRightInd/>
        <w:spacing w:line="260" w:lineRule="exact"/>
        <w:ind w:left="397" w:hanging="397"/>
        <w:rPr>
          <w:sz w:val="18"/>
          <w:szCs w:val="18"/>
        </w:rPr>
      </w:pPr>
      <w:proofErr w:type="spellStart"/>
      <w:r w:rsidRPr="00EB0D54">
        <w:rPr>
          <w:rFonts w:hint="eastAsia"/>
          <w:b/>
          <w:bCs/>
          <w:sz w:val="18"/>
          <w:szCs w:val="18"/>
          <w:rtl/>
        </w:rPr>
        <w:t>סקסטינג</w:t>
      </w:r>
      <w:proofErr w:type="spellEnd"/>
      <w:r w:rsidRPr="00EB0D54">
        <w:rPr>
          <w:b/>
          <w:bCs/>
          <w:sz w:val="18"/>
          <w:szCs w:val="18"/>
          <w:rtl/>
        </w:rPr>
        <w:t xml:space="preserve"> (</w:t>
      </w:r>
      <w:r w:rsidRPr="00EB0D54">
        <w:rPr>
          <w:b/>
          <w:bCs/>
          <w:sz w:val="18"/>
          <w:szCs w:val="18"/>
        </w:rPr>
        <w:t>Sexting</w:t>
      </w:r>
      <w:r w:rsidRPr="00EB0D54">
        <w:rPr>
          <w:b/>
          <w:bCs/>
          <w:sz w:val="18"/>
          <w:szCs w:val="18"/>
          <w:rtl/>
        </w:rPr>
        <w:t>)</w:t>
      </w:r>
      <w:r w:rsidRPr="00EB0D54">
        <w:rPr>
          <w:b/>
          <w:bCs/>
          <w:sz w:val="18"/>
          <w:szCs w:val="18"/>
        </w:rPr>
        <w:t xml:space="preserve"> -</w:t>
      </w:r>
      <w:r w:rsidRPr="00EB0D54">
        <w:rPr>
          <w:rFonts w:hint="cs"/>
          <w:sz w:val="18"/>
          <w:szCs w:val="18"/>
        </w:rPr>
        <w:t xml:space="preserve"> </w:t>
      </w:r>
      <w:r w:rsidR="00217EB4" w:rsidRPr="00217EB4">
        <w:rPr>
          <w:rFonts w:hint="eastAsia"/>
          <w:sz w:val="18"/>
          <w:szCs w:val="18"/>
          <w:rtl/>
        </w:rPr>
        <w:t>משלוח</w:t>
      </w:r>
      <w:r w:rsidR="00217EB4" w:rsidRPr="00217EB4">
        <w:rPr>
          <w:sz w:val="18"/>
          <w:szCs w:val="18"/>
          <w:rtl/>
        </w:rPr>
        <w:t xml:space="preserve"> </w:t>
      </w:r>
      <w:r w:rsidR="00217EB4" w:rsidRPr="00217EB4">
        <w:rPr>
          <w:rFonts w:hint="eastAsia"/>
          <w:sz w:val="18"/>
          <w:szCs w:val="18"/>
          <w:rtl/>
        </w:rPr>
        <w:t>הודעות</w:t>
      </w:r>
      <w:r w:rsidR="00217EB4" w:rsidRPr="00217EB4">
        <w:rPr>
          <w:sz w:val="18"/>
          <w:szCs w:val="18"/>
          <w:rtl/>
        </w:rPr>
        <w:t xml:space="preserve"> </w:t>
      </w:r>
      <w:r w:rsidR="00217EB4" w:rsidRPr="00217EB4">
        <w:rPr>
          <w:rFonts w:hint="eastAsia"/>
          <w:sz w:val="18"/>
          <w:szCs w:val="18"/>
          <w:rtl/>
        </w:rPr>
        <w:t>טקסט</w:t>
      </w:r>
      <w:r w:rsidR="00217EB4" w:rsidRPr="00217EB4">
        <w:rPr>
          <w:sz w:val="18"/>
          <w:szCs w:val="18"/>
          <w:rtl/>
        </w:rPr>
        <w:t xml:space="preserve">, </w:t>
      </w:r>
      <w:r w:rsidR="00217EB4" w:rsidRPr="00217EB4">
        <w:rPr>
          <w:rFonts w:hint="eastAsia"/>
          <w:sz w:val="18"/>
          <w:szCs w:val="18"/>
          <w:rtl/>
        </w:rPr>
        <w:t>תמונות</w:t>
      </w:r>
      <w:r w:rsidR="00217EB4" w:rsidRPr="00217EB4">
        <w:rPr>
          <w:sz w:val="18"/>
          <w:szCs w:val="18"/>
          <w:rtl/>
        </w:rPr>
        <w:t xml:space="preserve"> </w:t>
      </w:r>
      <w:r w:rsidR="00217EB4" w:rsidRPr="00217EB4">
        <w:rPr>
          <w:rFonts w:hint="eastAsia"/>
          <w:sz w:val="18"/>
          <w:szCs w:val="18"/>
          <w:rtl/>
        </w:rPr>
        <w:t>או</w:t>
      </w:r>
      <w:r w:rsidR="00217EB4" w:rsidRPr="00217EB4">
        <w:rPr>
          <w:sz w:val="18"/>
          <w:szCs w:val="18"/>
          <w:rtl/>
        </w:rPr>
        <w:t xml:space="preserve"> </w:t>
      </w:r>
      <w:r w:rsidR="00217EB4" w:rsidRPr="00217EB4">
        <w:rPr>
          <w:rFonts w:hint="eastAsia"/>
          <w:sz w:val="18"/>
          <w:szCs w:val="18"/>
          <w:rtl/>
        </w:rPr>
        <w:t>סרטונים</w:t>
      </w:r>
      <w:r w:rsidR="00217EB4" w:rsidRPr="00217EB4">
        <w:rPr>
          <w:sz w:val="18"/>
          <w:szCs w:val="18"/>
          <w:rtl/>
        </w:rPr>
        <w:t xml:space="preserve"> </w:t>
      </w:r>
      <w:r w:rsidR="00217EB4" w:rsidRPr="00217EB4">
        <w:rPr>
          <w:rFonts w:hint="eastAsia"/>
          <w:sz w:val="18"/>
          <w:szCs w:val="18"/>
          <w:rtl/>
        </w:rPr>
        <w:t>בעלי</w:t>
      </w:r>
      <w:r w:rsidR="00217EB4" w:rsidRPr="00217EB4">
        <w:rPr>
          <w:sz w:val="18"/>
          <w:szCs w:val="18"/>
          <w:rtl/>
        </w:rPr>
        <w:t xml:space="preserve"> </w:t>
      </w:r>
      <w:r w:rsidR="00217EB4" w:rsidRPr="00217EB4">
        <w:rPr>
          <w:rFonts w:hint="eastAsia"/>
          <w:sz w:val="18"/>
          <w:szCs w:val="18"/>
          <w:rtl/>
        </w:rPr>
        <w:t>אופי</w:t>
      </w:r>
      <w:r w:rsidR="00217EB4" w:rsidRPr="00217EB4">
        <w:rPr>
          <w:sz w:val="18"/>
          <w:szCs w:val="18"/>
          <w:rtl/>
        </w:rPr>
        <w:t xml:space="preserve"> </w:t>
      </w:r>
      <w:r w:rsidR="00217EB4" w:rsidRPr="00217EB4">
        <w:rPr>
          <w:rFonts w:hint="eastAsia"/>
          <w:sz w:val="18"/>
          <w:szCs w:val="18"/>
          <w:rtl/>
        </w:rPr>
        <w:t>מיני</w:t>
      </w:r>
      <w:r w:rsidR="00217EB4" w:rsidRPr="00217EB4">
        <w:rPr>
          <w:sz w:val="18"/>
          <w:szCs w:val="18"/>
          <w:rtl/>
        </w:rPr>
        <w:t xml:space="preserve">, </w:t>
      </w:r>
      <w:r w:rsidR="00217EB4" w:rsidRPr="00217EB4">
        <w:rPr>
          <w:rFonts w:hint="eastAsia"/>
          <w:sz w:val="18"/>
          <w:szCs w:val="18"/>
          <w:rtl/>
        </w:rPr>
        <w:t>מבלי</w:t>
      </w:r>
      <w:r w:rsidR="00217EB4" w:rsidRPr="00217EB4">
        <w:rPr>
          <w:sz w:val="18"/>
          <w:szCs w:val="18"/>
          <w:rtl/>
        </w:rPr>
        <w:t xml:space="preserve"> </w:t>
      </w:r>
      <w:r w:rsidR="00217EB4" w:rsidRPr="00217EB4">
        <w:rPr>
          <w:rFonts w:hint="eastAsia"/>
          <w:sz w:val="18"/>
          <w:szCs w:val="18"/>
          <w:rtl/>
        </w:rPr>
        <w:t>לקחת</w:t>
      </w:r>
      <w:r w:rsidR="00217EB4" w:rsidRPr="00217EB4">
        <w:rPr>
          <w:sz w:val="18"/>
          <w:szCs w:val="18"/>
          <w:rtl/>
        </w:rPr>
        <w:t xml:space="preserve"> </w:t>
      </w:r>
      <w:r w:rsidR="00217EB4" w:rsidRPr="00217EB4">
        <w:rPr>
          <w:rFonts w:hint="eastAsia"/>
          <w:sz w:val="18"/>
          <w:szCs w:val="18"/>
          <w:rtl/>
        </w:rPr>
        <w:t>בחשבון</w:t>
      </w:r>
      <w:r w:rsidR="00217EB4" w:rsidRPr="00217EB4">
        <w:rPr>
          <w:sz w:val="18"/>
          <w:szCs w:val="18"/>
          <w:rtl/>
        </w:rPr>
        <w:t xml:space="preserve"> </w:t>
      </w:r>
      <w:r w:rsidR="00217EB4" w:rsidRPr="00217EB4">
        <w:rPr>
          <w:rFonts w:hint="eastAsia"/>
          <w:sz w:val="18"/>
          <w:szCs w:val="18"/>
          <w:rtl/>
        </w:rPr>
        <w:t>את</w:t>
      </w:r>
      <w:r w:rsidR="00217EB4" w:rsidRPr="00217EB4">
        <w:rPr>
          <w:sz w:val="18"/>
          <w:szCs w:val="18"/>
          <w:rtl/>
        </w:rPr>
        <w:t xml:space="preserve"> </w:t>
      </w:r>
      <w:r w:rsidR="00217EB4" w:rsidRPr="00217EB4">
        <w:rPr>
          <w:rFonts w:hint="eastAsia"/>
          <w:sz w:val="18"/>
          <w:szCs w:val="18"/>
          <w:rtl/>
        </w:rPr>
        <w:t>האפשרות</w:t>
      </w:r>
      <w:r w:rsidR="00217EB4" w:rsidRPr="00217EB4">
        <w:rPr>
          <w:sz w:val="18"/>
          <w:szCs w:val="18"/>
          <w:rtl/>
        </w:rPr>
        <w:t xml:space="preserve"> </w:t>
      </w:r>
      <w:r w:rsidR="00217EB4" w:rsidRPr="00217EB4">
        <w:rPr>
          <w:rFonts w:hint="eastAsia"/>
          <w:sz w:val="18"/>
          <w:szCs w:val="18"/>
          <w:rtl/>
        </w:rPr>
        <w:t>שיופצו</w:t>
      </w:r>
      <w:r w:rsidR="00217EB4" w:rsidRPr="00217EB4">
        <w:rPr>
          <w:sz w:val="18"/>
          <w:szCs w:val="18"/>
          <w:rtl/>
        </w:rPr>
        <w:t xml:space="preserve"> </w:t>
      </w:r>
      <w:r w:rsidR="00217EB4" w:rsidRPr="00217EB4">
        <w:rPr>
          <w:rFonts w:hint="eastAsia"/>
          <w:sz w:val="18"/>
          <w:szCs w:val="18"/>
          <w:rtl/>
        </w:rPr>
        <w:t>לגורמים</w:t>
      </w:r>
      <w:r w:rsidR="00217EB4" w:rsidRPr="00217EB4">
        <w:rPr>
          <w:sz w:val="18"/>
          <w:szCs w:val="18"/>
          <w:rtl/>
        </w:rPr>
        <w:t xml:space="preserve"> </w:t>
      </w:r>
      <w:r w:rsidR="00217EB4" w:rsidRPr="00217EB4">
        <w:rPr>
          <w:rFonts w:hint="eastAsia"/>
          <w:sz w:val="18"/>
          <w:szCs w:val="18"/>
          <w:rtl/>
        </w:rPr>
        <w:t>נוספים</w:t>
      </w:r>
      <w:r w:rsidR="00217EB4" w:rsidRPr="00217EB4">
        <w:rPr>
          <w:sz w:val="18"/>
          <w:szCs w:val="18"/>
          <w:rtl/>
        </w:rPr>
        <w:t xml:space="preserve">. </w:t>
      </w:r>
      <w:r w:rsidR="00217EB4" w:rsidRPr="00217EB4">
        <w:rPr>
          <w:rFonts w:hint="eastAsia"/>
          <w:sz w:val="18"/>
          <w:szCs w:val="18"/>
          <w:rtl/>
        </w:rPr>
        <w:t>מחקר</w:t>
      </w:r>
      <w:r w:rsidR="00217EB4" w:rsidRPr="00217EB4">
        <w:rPr>
          <w:sz w:val="18"/>
          <w:szCs w:val="18"/>
          <w:rtl/>
        </w:rPr>
        <w:t xml:space="preserve"> </w:t>
      </w:r>
      <w:r w:rsidR="00217EB4" w:rsidRPr="00217EB4">
        <w:rPr>
          <w:rFonts w:hint="eastAsia"/>
          <w:sz w:val="18"/>
          <w:szCs w:val="18"/>
          <w:rtl/>
        </w:rPr>
        <w:t>שבדק</w:t>
      </w:r>
      <w:r w:rsidR="00217EB4" w:rsidRPr="00217EB4">
        <w:rPr>
          <w:sz w:val="18"/>
          <w:szCs w:val="18"/>
          <w:rtl/>
        </w:rPr>
        <w:t xml:space="preserve"> </w:t>
      </w:r>
      <w:r w:rsidR="00217EB4" w:rsidRPr="00217EB4">
        <w:rPr>
          <w:rFonts w:hint="eastAsia"/>
          <w:sz w:val="18"/>
          <w:szCs w:val="18"/>
          <w:rtl/>
        </w:rPr>
        <w:t>את</w:t>
      </w:r>
      <w:r w:rsidR="00217EB4" w:rsidRPr="00217EB4">
        <w:rPr>
          <w:sz w:val="18"/>
          <w:szCs w:val="18"/>
          <w:rtl/>
        </w:rPr>
        <w:t xml:space="preserve"> </w:t>
      </w:r>
      <w:r w:rsidR="00217EB4" w:rsidRPr="00217EB4">
        <w:rPr>
          <w:rFonts w:hint="eastAsia"/>
          <w:sz w:val="18"/>
          <w:szCs w:val="18"/>
          <w:rtl/>
        </w:rPr>
        <w:t>תופעת</w:t>
      </w:r>
      <w:r w:rsidR="00217EB4" w:rsidRPr="00217EB4">
        <w:rPr>
          <w:sz w:val="18"/>
          <w:szCs w:val="18"/>
          <w:rtl/>
        </w:rPr>
        <w:t xml:space="preserve"> </w:t>
      </w:r>
      <w:proofErr w:type="spellStart"/>
      <w:r w:rsidR="00217EB4" w:rsidRPr="00217EB4">
        <w:rPr>
          <w:rFonts w:hint="eastAsia"/>
          <w:sz w:val="18"/>
          <w:szCs w:val="18"/>
          <w:rtl/>
        </w:rPr>
        <w:t>הסקסטינג</w:t>
      </w:r>
      <w:proofErr w:type="spellEnd"/>
      <w:r w:rsidR="00217EB4" w:rsidRPr="00217EB4">
        <w:rPr>
          <w:sz w:val="18"/>
          <w:szCs w:val="18"/>
          <w:rtl/>
        </w:rPr>
        <w:t xml:space="preserve"> </w:t>
      </w:r>
      <w:r w:rsidR="00217EB4" w:rsidRPr="00217EB4">
        <w:rPr>
          <w:rFonts w:hint="eastAsia"/>
          <w:sz w:val="18"/>
          <w:szCs w:val="18"/>
          <w:rtl/>
        </w:rPr>
        <w:t>של</w:t>
      </w:r>
      <w:r w:rsidR="00217EB4" w:rsidRPr="00217EB4">
        <w:rPr>
          <w:sz w:val="18"/>
          <w:szCs w:val="18"/>
          <w:rtl/>
        </w:rPr>
        <w:t xml:space="preserve"> </w:t>
      </w:r>
      <w:r w:rsidR="00217EB4" w:rsidRPr="00217EB4">
        <w:rPr>
          <w:rFonts w:hint="eastAsia"/>
          <w:sz w:val="18"/>
          <w:szCs w:val="18"/>
          <w:rtl/>
        </w:rPr>
        <w:t>מתבגרים</w:t>
      </w:r>
      <w:r w:rsidR="00217EB4" w:rsidRPr="00217EB4">
        <w:rPr>
          <w:sz w:val="18"/>
          <w:szCs w:val="18"/>
          <w:rtl/>
        </w:rPr>
        <w:t xml:space="preserve"> (</w:t>
      </w:r>
      <w:r w:rsidR="00217EB4" w:rsidRPr="00217EB4">
        <w:rPr>
          <w:rFonts w:hint="eastAsia"/>
          <w:sz w:val="18"/>
          <w:szCs w:val="18"/>
          <w:rtl/>
        </w:rPr>
        <w:t>כיתות</w:t>
      </w:r>
      <w:r w:rsidR="00217EB4" w:rsidRPr="00217EB4">
        <w:rPr>
          <w:sz w:val="18"/>
          <w:szCs w:val="18"/>
          <w:rtl/>
        </w:rPr>
        <w:t xml:space="preserve"> </w:t>
      </w:r>
      <w:r w:rsidR="00217EB4" w:rsidRPr="00217EB4">
        <w:rPr>
          <w:rFonts w:hint="eastAsia"/>
          <w:sz w:val="18"/>
          <w:szCs w:val="18"/>
          <w:rtl/>
        </w:rPr>
        <w:t>ז</w:t>
      </w:r>
      <w:r w:rsidR="00217EB4" w:rsidRPr="00217EB4">
        <w:rPr>
          <w:sz w:val="18"/>
          <w:szCs w:val="18"/>
          <w:rtl/>
        </w:rPr>
        <w:t>'-</w:t>
      </w:r>
      <w:r w:rsidR="00217EB4" w:rsidRPr="00217EB4">
        <w:rPr>
          <w:rFonts w:hint="eastAsia"/>
          <w:sz w:val="18"/>
          <w:szCs w:val="18"/>
          <w:rtl/>
        </w:rPr>
        <w:t>י</w:t>
      </w:r>
      <w:r w:rsidR="00217EB4" w:rsidRPr="00217EB4">
        <w:rPr>
          <w:sz w:val="18"/>
          <w:szCs w:val="18"/>
          <w:rtl/>
        </w:rPr>
        <w:t>"</w:t>
      </w:r>
      <w:r w:rsidR="00217EB4" w:rsidRPr="00217EB4">
        <w:rPr>
          <w:rFonts w:hint="eastAsia"/>
          <w:sz w:val="18"/>
          <w:szCs w:val="18"/>
          <w:rtl/>
        </w:rPr>
        <w:t>ב</w:t>
      </w:r>
      <w:r w:rsidR="00217EB4" w:rsidRPr="00217EB4">
        <w:rPr>
          <w:sz w:val="18"/>
          <w:szCs w:val="18"/>
          <w:rtl/>
        </w:rPr>
        <w:t xml:space="preserve">) </w:t>
      </w:r>
      <w:r w:rsidR="00217EB4" w:rsidRPr="00217EB4">
        <w:rPr>
          <w:rFonts w:hint="eastAsia"/>
          <w:sz w:val="18"/>
          <w:szCs w:val="18"/>
          <w:rtl/>
        </w:rPr>
        <w:t>בישראל</w:t>
      </w:r>
      <w:r w:rsidR="00217EB4" w:rsidRPr="00217EB4">
        <w:rPr>
          <w:sz w:val="18"/>
          <w:szCs w:val="18"/>
          <w:rtl/>
        </w:rPr>
        <w:t xml:space="preserve"> </w:t>
      </w:r>
      <w:r w:rsidR="00217EB4" w:rsidRPr="00217EB4">
        <w:rPr>
          <w:rFonts w:hint="eastAsia"/>
          <w:sz w:val="18"/>
          <w:szCs w:val="18"/>
          <w:rtl/>
        </w:rPr>
        <w:t>בשנת</w:t>
      </w:r>
      <w:r w:rsidR="00217EB4" w:rsidRPr="00217EB4">
        <w:rPr>
          <w:sz w:val="18"/>
          <w:szCs w:val="18"/>
          <w:rtl/>
        </w:rPr>
        <w:t xml:space="preserve"> 2017 </w:t>
      </w:r>
      <w:r w:rsidR="00217EB4" w:rsidRPr="00217EB4">
        <w:rPr>
          <w:rFonts w:hint="eastAsia"/>
          <w:sz w:val="18"/>
          <w:szCs w:val="18"/>
          <w:rtl/>
        </w:rPr>
        <w:t>העלה</w:t>
      </w:r>
      <w:r w:rsidR="00217EB4" w:rsidRPr="00217EB4">
        <w:rPr>
          <w:sz w:val="18"/>
          <w:szCs w:val="18"/>
          <w:rtl/>
        </w:rPr>
        <w:t xml:space="preserve"> </w:t>
      </w:r>
      <w:r w:rsidR="00217EB4" w:rsidRPr="00217EB4">
        <w:rPr>
          <w:rFonts w:hint="eastAsia"/>
          <w:sz w:val="18"/>
          <w:szCs w:val="18"/>
          <w:rtl/>
        </w:rPr>
        <w:t>כי</w:t>
      </w:r>
      <w:r w:rsidR="00217EB4" w:rsidRPr="00217EB4">
        <w:rPr>
          <w:sz w:val="18"/>
          <w:szCs w:val="18"/>
          <w:rtl/>
        </w:rPr>
        <w:t xml:space="preserve"> </w:t>
      </w:r>
      <w:r w:rsidR="00217EB4" w:rsidRPr="00217EB4">
        <w:rPr>
          <w:rFonts w:hint="eastAsia"/>
          <w:sz w:val="18"/>
          <w:szCs w:val="18"/>
          <w:rtl/>
        </w:rPr>
        <w:t>כרבע</w:t>
      </w:r>
      <w:r w:rsidR="00217EB4" w:rsidRPr="00217EB4">
        <w:rPr>
          <w:sz w:val="18"/>
          <w:szCs w:val="18"/>
          <w:rtl/>
        </w:rPr>
        <w:t xml:space="preserve"> </w:t>
      </w:r>
      <w:r w:rsidR="00217EB4" w:rsidRPr="00217EB4">
        <w:rPr>
          <w:rFonts w:hint="eastAsia"/>
          <w:sz w:val="18"/>
          <w:szCs w:val="18"/>
          <w:rtl/>
        </w:rPr>
        <w:t>מהנשאלים</w:t>
      </w:r>
      <w:r w:rsidR="00217EB4" w:rsidRPr="00217EB4">
        <w:rPr>
          <w:sz w:val="18"/>
          <w:szCs w:val="18"/>
          <w:rtl/>
        </w:rPr>
        <w:t xml:space="preserve"> </w:t>
      </w:r>
      <w:r w:rsidR="00217EB4" w:rsidRPr="00217EB4">
        <w:rPr>
          <w:rFonts w:hint="eastAsia"/>
          <w:sz w:val="18"/>
          <w:szCs w:val="18"/>
          <w:rtl/>
        </w:rPr>
        <w:t>דיווחו</w:t>
      </w:r>
      <w:r w:rsidR="00217EB4" w:rsidRPr="00217EB4">
        <w:rPr>
          <w:sz w:val="18"/>
          <w:szCs w:val="18"/>
          <w:rtl/>
        </w:rPr>
        <w:t xml:space="preserve"> </w:t>
      </w:r>
      <w:r w:rsidR="00217EB4" w:rsidRPr="00217EB4">
        <w:rPr>
          <w:rFonts w:hint="eastAsia"/>
          <w:sz w:val="18"/>
          <w:szCs w:val="18"/>
          <w:rtl/>
        </w:rPr>
        <w:t>על</w:t>
      </w:r>
      <w:r w:rsidR="00217EB4" w:rsidRPr="00217EB4">
        <w:rPr>
          <w:sz w:val="18"/>
          <w:szCs w:val="18"/>
          <w:rtl/>
        </w:rPr>
        <w:t xml:space="preserve"> </w:t>
      </w:r>
      <w:r w:rsidR="00217EB4" w:rsidRPr="00217EB4">
        <w:rPr>
          <w:rFonts w:hint="eastAsia"/>
          <w:sz w:val="18"/>
          <w:szCs w:val="18"/>
          <w:rtl/>
        </w:rPr>
        <w:t>משלוח</w:t>
      </w:r>
      <w:r w:rsidR="00217EB4" w:rsidRPr="00217EB4">
        <w:rPr>
          <w:sz w:val="18"/>
          <w:szCs w:val="18"/>
          <w:rtl/>
        </w:rPr>
        <w:t xml:space="preserve"> </w:t>
      </w:r>
      <w:proofErr w:type="spellStart"/>
      <w:r w:rsidR="00217EB4" w:rsidRPr="00217EB4">
        <w:rPr>
          <w:rFonts w:hint="eastAsia"/>
          <w:sz w:val="18"/>
          <w:szCs w:val="18"/>
          <w:rtl/>
        </w:rPr>
        <w:t>סקסטינג</w:t>
      </w:r>
      <w:proofErr w:type="spellEnd"/>
      <w:r w:rsidR="00217EB4" w:rsidRPr="00217EB4">
        <w:rPr>
          <w:sz w:val="18"/>
          <w:szCs w:val="18"/>
          <w:rtl/>
        </w:rPr>
        <w:t xml:space="preserve"> </w:t>
      </w:r>
      <w:r w:rsidR="00217EB4" w:rsidRPr="00217EB4">
        <w:rPr>
          <w:rFonts w:hint="eastAsia"/>
          <w:sz w:val="18"/>
          <w:szCs w:val="18"/>
          <w:rtl/>
        </w:rPr>
        <w:t>לאחר</w:t>
      </w:r>
      <w:r w:rsidR="00217EB4" w:rsidRPr="00217EB4">
        <w:rPr>
          <w:sz w:val="18"/>
          <w:szCs w:val="18"/>
          <w:rtl/>
        </w:rPr>
        <w:t xml:space="preserve"> </w:t>
      </w:r>
      <w:r w:rsidR="00217EB4" w:rsidRPr="00217EB4">
        <w:rPr>
          <w:rFonts w:hint="eastAsia"/>
          <w:sz w:val="18"/>
          <w:szCs w:val="18"/>
          <w:rtl/>
        </w:rPr>
        <w:t>ושליש</w:t>
      </w:r>
      <w:r w:rsidR="00217EB4" w:rsidRPr="00217EB4">
        <w:rPr>
          <w:sz w:val="18"/>
          <w:szCs w:val="18"/>
          <w:rtl/>
        </w:rPr>
        <w:t xml:space="preserve"> </w:t>
      </w:r>
      <w:r w:rsidR="00217EB4" w:rsidRPr="00217EB4">
        <w:rPr>
          <w:rFonts w:hint="eastAsia"/>
          <w:sz w:val="18"/>
          <w:szCs w:val="18"/>
          <w:rtl/>
        </w:rPr>
        <w:t>מהם</w:t>
      </w:r>
      <w:r w:rsidR="00217EB4" w:rsidRPr="00217EB4">
        <w:rPr>
          <w:sz w:val="18"/>
          <w:szCs w:val="18"/>
          <w:rtl/>
        </w:rPr>
        <w:t xml:space="preserve"> </w:t>
      </w:r>
      <w:r w:rsidR="00217EB4" w:rsidRPr="00217EB4">
        <w:rPr>
          <w:rFonts w:hint="eastAsia"/>
          <w:sz w:val="18"/>
          <w:szCs w:val="18"/>
          <w:rtl/>
        </w:rPr>
        <w:t>דיווחו</w:t>
      </w:r>
      <w:r w:rsidR="00217EB4" w:rsidRPr="00217EB4">
        <w:rPr>
          <w:sz w:val="18"/>
          <w:szCs w:val="18"/>
          <w:rtl/>
        </w:rPr>
        <w:t xml:space="preserve"> </w:t>
      </w:r>
      <w:r w:rsidR="00217EB4" w:rsidRPr="00217EB4">
        <w:rPr>
          <w:rFonts w:hint="eastAsia"/>
          <w:sz w:val="18"/>
          <w:szCs w:val="18"/>
          <w:rtl/>
        </w:rPr>
        <w:t>כי</w:t>
      </w:r>
      <w:r w:rsidR="00217EB4" w:rsidRPr="00217EB4">
        <w:rPr>
          <w:sz w:val="18"/>
          <w:szCs w:val="18"/>
          <w:rtl/>
        </w:rPr>
        <w:t xml:space="preserve"> </w:t>
      </w:r>
      <w:r w:rsidR="00217EB4" w:rsidRPr="00217EB4">
        <w:rPr>
          <w:rFonts w:hint="eastAsia"/>
          <w:sz w:val="18"/>
          <w:szCs w:val="18"/>
          <w:rtl/>
        </w:rPr>
        <w:t>התבקשו</w:t>
      </w:r>
      <w:r w:rsidR="00217EB4" w:rsidRPr="00217EB4">
        <w:rPr>
          <w:sz w:val="18"/>
          <w:szCs w:val="18"/>
          <w:rtl/>
        </w:rPr>
        <w:t xml:space="preserve"> </w:t>
      </w:r>
      <w:r w:rsidR="00217EB4" w:rsidRPr="00217EB4">
        <w:rPr>
          <w:rFonts w:hint="eastAsia"/>
          <w:sz w:val="18"/>
          <w:szCs w:val="18"/>
          <w:rtl/>
        </w:rPr>
        <w:t>מאחרים</w:t>
      </w:r>
      <w:r w:rsidR="00217EB4" w:rsidRPr="00217EB4">
        <w:rPr>
          <w:sz w:val="18"/>
          <w:szCs w:val="18"/>
          <w:rtl/>
        </w:rPr>
        <w:t xml:space="preserve"> </w:t>
      </w:r>
      <w:r w:rsidR="00217EB4" w:rsidRPr="00217EB4">
        <w:rPr>
          <w:rFonts w:hint="eastAsia"/>
          <w:sz w:val="18"/>
          <w:szCs w:val="18"/>
          <w:rtl/>
        </w:rPr>
        <w:t>לשלוח</w:t>
      </w:r>
      <w:r w:rsidR="00217EB4" w:rsidRPr="00217EB4">
        <w:rPr>
          <w:sz w:val="18"/>
          <w:szCs w:val="18"/>
          <w:rtl/>
        </w:rPr>
        <w:t xml:space="preserve"> </w:t>
      </w:r>
      <w:r w:rsidR="00217EB4" w:rsidRPr="00217EB4">
        <w:rPr>
          <w:rFonts w:hint="eastAsia"/>
          <w:sz w:val="18"/>
          <w:szCs w:val="18"/>
          <w:rtl/>
        </w:rPr>
        <w:t>תמונות</w:t>
      </w:r>
      <w:r w:rsidR="00217EB4" w:rsidRPr="00217EB4">
        <w:rPr>
          <w:sz w:val="18"/>
          <w:szCs w:val="18"/>
          <w:rtl/>
        </w:rPr>
        <w:t xml:space="preserve"> </w:t>
      </w:r>
      <w:r w:rsidR="00217EB4" w:rsidRPr="00217EB4">
        <w:rPr>
          <w:rFonts w:hint="eastAsia"/>
          <w:sz w:val="18"/>
          <w:szCs w:val="18"/>
          <w:rtl/>
        </w:rPr>
        <w:t>עירום</w:t>
      </w:r>
      <w:r w:rsidR="00217EB4" w:rsidRPr="00217EB4">
        <w:rPr>
          <w:sz w:val="18"/>
          <w:szCs w:val="18"/>
          <w:rtl/>
        </w:rPr>
        <w:t xml:space="preserve"> </w:t>
      </w:r>
      <w:r w:rsidR="00217EB4" w:rsidRPr="00217EB4">
        <w:rPr>
          <w:rFonts w:hint="eastAsia"/>
          <w:sz w:val="18"/>
          <w:szCs w:val="18"/>
          <w:rtl/>
        </w:rPr>
        <w:t>שלהם</w:t>
      </w:r>
      <w:r w:rsidR="00217EB4" w:rsidRPr="00217EB4">
        <w:rPr>
          <w:sz w:val="18"/>
          <w:szCs w:val="18"/>
          <w:rtl/>
        </w:rPr>
        <w:t xml:space="preserve">, </w:t>
      </w:r>
      <w:r w:rsidR="00217EB4" w:rsidRPr="00217EB4">
        <w:rPr>
          <w:rFonts w:hint="eastAsia"/>
          <w:sz w:val="18"/>
          <w:szCs w:val="18"/>
          <w:rtl/>
        </w:rPr>
        <w:t>וכי</w:t>
      </w:r>
      <w:r w:rsidR="00217EB4" w:rsidRPr="00217EB4">
        <w:rPr>
          <w:sz w:val="18"/>
          <w:szCs w:val="18"/>
          <w:rtl/>
        </w:rPr>
        <w:t xml:space="preserve"> </w:t>
      </w:r>
      <w:r w:rsidR="00217EB4" w:rsidRPr="00217EB4">
        <w:rPr>
          <w:rFonts w:hint="eastAsia"/>
          <w:sz w:val="18"/>
          <w:szCs w:val="18"/>
          <w:rtl/>
        </w:rPr>
        <w:t>מחצית</w:t>
      </w:r>
      <w:r w:rsidR="00217EB4" w:rsidRPr="00217EB4">
        <w:rPr>
          <w:sz w:val="18"/>
          <w:szCs w:val="18"/>
          <w:rtl/>
        </w:rPr>
        <w:t xml:space="preserve"> </w:t>
      </w:r>
      <w:r w:rsidR="00217EB4" w:rsidRPr="00217EB4">
        <w:rPr>
          <w:rFonts w:hint="eastAsia"/>
          <w:sz w:val="18"/>
          <w:szCs w:val="18"/>
          <w:rtl/>
        </w:rPr>
        <w:t>מהבקשות</w:t>
      </w:r>
      <w:r w:rsidR="00217EB4" w:rsidRPr="00217EB4">
        <w:rPr>
          <w:sz w:val="18"/>
          <w:szCs w:val="18"/>
          <w:rtl/>
        </w:rPr>
        <w:t xml:space="preserve"> </w:t>
      </w:r>
      <w:r w:rsidR="00217EB4" w:rsidRPr="00217EB4">
        <w:rPr>
          <w:rFonts w:hint="eastAsia"/>
          <w:sz w:val="18"/>
          <w:szCs w:val="18"/>
          <w:rtl/>
        </w:rPr>
        <w:t>נתקבלו</w:t>
      </w:r>
      <w:r w:rsidRPr="00EB0D54">
        <w:rPr>
          <w:rFonts w:hint="cs"/>
          <w:noProof/>
          <w:sz w:val="18"/>
          <w:szCs w:val="18"/>
          <w:rtl/>
        </w:rPr>
        <w:t xml:space="preserve"> מזרים</w:t>
      </w:r>
      <w:r w:rsidRPr="00EB0D54">
        <w:rPr>
          <w:rStyle w:val="FootnoteReference"/>
          <w:noProof/>
          <w:sz w:val="18"/>
          <w:szCs w:val="18"/>
          <w:rtl/>
        </w:rPr>
        <w:footnoteReference w:id="13"/>
      </w:r>
      <w:r w:rsidRPr="00EB0D54">
        <w:rPr>
          <w:rFonts w:hint="cs"/>
          <w:noProof/>
          <w:sz w:val="18"/>
          <w:szCs w:val="18"/>
          <w:rtl/>
        </w:rPr>
        <w:t xml:space="preserve">. </w:t>
      </w:r>
    </w:p>
    <w:p w14:paraId="300C84EF" w14:textId="77777777" w:rsidR="00583E48" w:rsidRPr="00EB0D54" w:rsidRDefault="00583E48" w:rsidP="00EB0D54">
      <w:pPr>
        <w:pStyle w:val="ListParagraph"/>
        <w:numPr>
          <w:ilvl w:val="0"/>
          <w:numId w:val="39"/>
        </w:numPr>
        <w:autoSpaceDE/>
        <w:autoSpaceDN/>
        <w:adjustRightInd/>
        <w:spacing w:line="260" w:lineRule="exact"/>
        <w:ind w:left="397" w:hanging="397"/>
        <w:rPr>
          <w:sz w:val="18"/>
          <w:szCs w:val="18"/>
          <w:rtl/>
        </w:rPr>
      </w:pPr>
      <w:r w:rsidRPr="00EB0D54">
        <w:rPr>
          <w:rFonts w:hint="cs"/>
          <w:b/>
          <w:bCs/>
          <w:sz w:val="18"/>
          <w:szCs w:val="18"/>
          <w:rtl/>
        </w:rPr>
        <w:t xml:space="preserve">עידוד פגיעה עצמית - </w:t>
      </w:r>
      <w:r w:rsidRPr="00EB0D54">
        <w:rPr>
          <w:rFonts w:hint="cs"/>
          <w:sz w:val="18"/>
          <w:szCs w:val="18"/>
          <w:rtl/>
        </w:rPr>
        <w:t>רשת האינטרנט כוללת אתרים ומשחקים המעודדים פגיעה עצמית. אחת הדוגמאות לכך היא קהילות "פרו-אנה" ו"פרו-מיה", העוסקות בהפרעות אכילה. החברים בקהילות חולקים</w:t>
      </w:r>
      <w:r w:rsidRPr="00EB0D54">
        <w:rPr>
          <w:sz w:val="18"/>
          <w:szCs w:val="18"/>
          <w:rtl/>
        </w:rPr>
        <w:t xml:space="preserve"> טיפים להרזיה</w:t>
      </w:r>
      <w:r w:rsidRPr="00EB0D54">
        <w:rPr>
          <w:rFonts w:hint="cs"/>
          <w:sz w:val="18"/>
          <w:szCs w:val="18"/>
          <w:rtl/>
        </w:rPr>
        <w:t>, משתפים</w:t>
      </w:r>
      <w:r w:rsidRPr="00EB0D54">
        <w:rPr>
          <w:sz w:val="18"/>
          <w:szCs w:val="18"/>
          <w:rtl/>
        </w:rPr>
        <w:t xml:space="preserve"> תמונות</w:t>
      </w:r>
      <w:r w:rsidRPr="00EB0D54">
        <w:rPr>
          <w:rFonts w:hint="cs"/>
          <w:sz w:val="18"/>
          <w:szCs w:val="18"/>
          <w:rtl/>
        </w:rPr>
        <w:t xml:space="preserve"> ומספקים תמיכה להמשך "אורח החיים" המסוכן</w:t>
      </w:r>
      <w:r w:rsidRPr="00EB0D54">
        <w:rPr>
          <w:rStyle w:val="FootnoteReference"/>
          <w:sz w:val="18"/>
          <w:szCs w:val="18"/>
          <w:rtl/>
        </w:rPr>
        <w:footnoteReference w:id="14"/>
      </w:r>
      <w:r w:rsidRPr="00EB0D54">
        <w:rPr>
          <w:rFonts w:hint="cs"/>
          <w:sz w:val="18"/>
          <w:szCs w:val="18"/>
          <w:rtl/>
        </w:rPr>
        <w:t>.</w:t>
      </w:r>
      <w:r w:rsidRPr="00EB0D54">
        <w:rPr>
          <w:sz w:val="18"/>
          <w:szCs w:val="18"/>
          <w:rtl/>
        </w:rPr>
        <w:t xml:space="preserve"> </w:t>
      </w:r>
      <w:r w:rsidRPr="00EB0D54">
        <w:rPr>
          <w:rFonts w:hint="cs"/>
          <w:sz w:val="18"/>
          <w:szCs w:val="18"/>
          <w:rtl/>
        </w:rPr>
        <w:t>קבוצות אחרות מעודדות פגיעה עצמית באמצעות שורה של אתגרים שבהם נדרש המשתתף לעמוד, דוגמת "</w:t>
      </w:r>
      <w:r w:rsidRPr="00EB0D54">
        <w:rPr>
          <w:sz w:val="18"/>
          <w:szCs w:val="18"/>
          <w:rtl/>
        </w:rPr>
        <w:t>אתגר</w:t>
      </w:r>
      <w:r w:rsidRPr="00EB0D54">
        <w:rPr>
          <w:rFonts w:hint="cs"/>
          <w:sz w:val="18"/>
          <w:szCs w:val="18"/>
          <w:rtl/>
        </w:rPr>
        <w:t xml:space="preserve"> </w:t>
      </w:r>
      <w:r w:rsidRPr="00EB0D54">
        <w:rPr>
          <w:sz w:val="18"/>
          <w:szCs w:val="18"/>
          <w:rtl/>
        </w:rPr>
        <w:t>הלוויתן</w:t>
      </w:r>
      <w:r w:rsidRPr="00EB0D54">
        <w:rPr>
          <w:rFonts w:hint="cs"/>
          <w:sz w:val="18"/>
          <w:szCs w:val="18"/>
          <w:rtl/>
        </w:rPr>
        <w:t xml:space="preserve"> </w:t>
      </w:r>
      <w:r w:rsidRPr="00EB0D54">
        <w:rPr>
          <w:sz w:val="18"/>
          <w:szCs w:val="18"/>
          <w:rtl/>
        </w:rPr>
        <w:t>הכחול</w:t>
      </w:r>
      <w:r w:rsidRPr="00EB0D54">
        <w:rPr>
          <w:rFonts w:hint="cs"/>
          <w:sz w:val="18"/>
          <w:szCs w:val="18"/>
          <w:rtl/>
        </w:rPr>
        <w:t xml:space="preserve">", במסגרתו כלולות משימות כגון </w:t>
      </w:r>
      <w:r w:rsidRPr="00EB0D54">
        <w:rPr>
          <w:sz w:val="18"/>
          <w:szCs w:val="18"/>
          <w:rtl/>
        </w:rPr>
        <w:t>חריטה</w:t>
      </w:r>
      <w:r w:rsidRPr="00EB0D54">
        <w:rPr>
          <w:rFonts w:hint="cs"/>
          <w:sz w:val="18"/>
          <w:szCs w:val="18"/>
          <w:rtl/>
        </w:rPr>
        <w:t xml:space="preserve"> </w:t>
      </w:r>
      <w:r w:rsidRPr="00EB0D54">
        <w:rPr>
          <w:sz w:val="18"/>
          <w:szCs w:val="18"/>
          <w:rtl/>
        </w:rPr>
        <w:t>על הגוף, צפייה בסרטי אימה, דרישה</w:t>
      </w:r>
      <w:r w:rsidRPr="00EB0D54">
        <w:rPr>
          <w:rFonts w:hint="cs"/>
          <w:sz w:val="18"/>
          <w:szCs w:val="18"/>
          <w:rtl/>
        </w:rPr>
        <w:t xml:space="preserve"> </w:t>
      </w:r>
      <w:r w:rsidRPr="00EB0D54">
        <w:rPr>
          <w:sz w:val="18"/>
          <w:szCs w:val="18"/>
          <w:rtl/>
        </w:rPr>
        <w:t xml:space="preserve">שלא לשוחח עם איש במשך </w:t>
      </w:r>
      <w:r w:rsidRPr="00EB0D54">
        <w:rPr>
          <w:rFonts w:hint="cs"/>
          <w:sz w:val="18"/>
          <w:szCs w:val="18"/>
          <w:rtl/>
        </w:rPr>
        <w:t>זמן ממושך, הימנעות משינה ואף אובדנות</w:t>
      </w:r>
      <w:r w:rsidRPr="00EB0D54">
        <w:rPr>
          <w:rStyle w:val="FootnoteReference"/>
          <w:sz w:val="18"/>
          <w:szCs w:val="18"/>
          <w:rtl/>
        </w:rPr>
        <w:footnoteReference w:id="15"/>
      </w:r>
      <w:r w:rsidRPr="00EB0D54">
        <w:rPr>
          <w:sz w:val="18"/>
          <w:szCs w:val="18"/>
          <w:rtl/>
        </w:rPr>
        <w:t xml:space="preserve">. </w:t>
      </w:r>
    </w:p>
    <w:p w14:paraId="6B54802A" w14:textId="6BD869BE" w:rsidR="00583E48" w:rsidRPr="00EB0D54" w:rsidRDefault="00583E48" w:rsidP="00EB0D54">
      <w:pPr>
        <w:pStyle w:val="ListParagraph"/>
        <w:numPr>
          <w:ilvl w:val="0"/>
          <w:numId w:val="39"/>
        </w:numPr>
        <w:autoSpaceDE/>
        <w:autoSpaceDN/>
        <w:adjustRightInd/>
        <w:spacing w:line="260" w:lineRule="exact"/>
        <w:ind w:left="397" w:hanging="397"/>
        <w:rPr>
          <w:b/>
          <w:bCs/>
          <w:sz w:val="18"/>
          <w:szCs w:val="18"/>
        </w:rPr>
      </w:pPr>
      <w:r w:rsidRPr="00EB0D54">
        <w:rPr>
          <w:rFonts w:hint="cs"/>
          <w:b/>
          <w:bCs/>
          <w:sz w:val="18"/>
          <w:szCs w:val="18"/>
          <w:rtl/>
        </w:rPr>
        <w:t xml:space="preserve">רכישת סמים ברשת - </w:t>
      </w:r>
      <w:r w:rsidRPr="00EB0D54">
        <w:rPr>
          <w:rFonts w:hint="cs"/>
          <w:sz w:val="18"/>
          <w:szCs w:val="18"/>
          <w:rtl/>
        </w:rPr>
        <w:t xml:space="preserve">בשנים האחרונות התבססה פעילות ענפה של סחר בסמים ברשת, ובפרט ביישומים (אפליקציות) המאפשרים אנונימיות. במסגרת זו התרחבה הנגישות לסמים מסוגים שונים לאוכלוסיות שונות, ובהן בני נוער. </w:t>
      </w:r>
    </w:p>
    <w:p w14:paraId="23C5C611" w14:textId="77777777" w:rsidR="00583E48" w:rsidRPr="00EB0D54" w:rsidRDefault="00583E48" w:rsidP="00EB0D54">
      <w:pPr>
        <w:pStyle w:val="ListParagraph"/>
        <w:numPr>
          <w:ilvl w:val="0"/>
          <w:numId w:val="39"/>
        </w:numPr>
        <w:autoSpaceDE/>
        <w:autoSpaceDN/>
        <w:adjustRightInd/>
        <w:spacing w:line="260" w:lineRule="exact"/>
        <w:ind w:left="397" w:hanging="397"/>
        <w:rPr>
          <w:b/>
          <w:bCs/>
          <w:sz w:val="18"/>
          <w:szCs w:val="18"/>
          <w:rtl/>
        </w:rPr>
      </w:pPr>
      <w:r w:rsidRPr="00EB0D54">
        <w:rPr>
          <w:rFonts w:hint="cs"/>
          <w:b/>
          <w:bCs/>
          <w:sz w:val="18"/>
          <w:szCs w:val="18"/>
          <w:rtl/>
        </w:rPr>
        <w:t xml:space="preserve">חשיפה לתכנים פוגעניים - </w:t>
      </w:r>
      <w:r w:rsidRPr="00EB0D54">
        <w:rPr>
          <w:rFonts w:hint="eastAsia"/>
          <w:sz w:val="18"/>
          <w:szCs w:val="18"/>
          <w:rtl/>
        </w:rPr>
        <w:t>ל</w:t>
      </w:r>
      <w:r w:rsidRPr="00EB0D54">
        <w:rPr>
          <w:rFonts w:ascii="David" w:hAnsi="David"/>
          <w:sz w:val="18"/>
          <w:szCs w:val="18"/>
          <w:rtl/>
        </w:rPr>
        <w:t xml:space="preserve">חשיפה מתמשכת לתכנים </w:t>
      </w:r>
      <w:r w:rsidRPr="00EB0D54">
        <w:rPr>
          <w:rFonts w:ascii="David" w:hAnsi="David" w:hint="cs"/>
          <w:sz w:val="18"/>
          <w:szCs w:val="18"/>
          <w:rtl/>
        </w:rPr>
        <w:t xml:space="preserve">פוגעניים </w:t>
      </w:r>
      <w:r w:rsidRPr="00EB0D54">
        <w:rPr>
          <w:rFonts w:ascii="David" w:hAnsi="David"/>
          <w:sz w:val="18"/>
          <w:szCs w:val="18"/>
          <w:rtl/>
        </w:rPr>
        <w:t>עלול</w:t>
      </w:r>
      <w:r w:rsidRPr="00EB0D54">
        <w:rPr>
          <w:rFonts w:ascii="David" w:hAnsi="David" w:hint="cs"/>
          <w:sz w:val="18"/>
          <w:szCs w:val="18"/>
          <w:rtl/>
        </w:rPr>
        <w:t>ות</w:t>
      </w:r>
      <w:r w:rsidRPr="00EB0D54">
        <w:rPr>
          <w:rFonts w:ascii="David" w:hAnsi="David"/>
          <w:sz w:val="18"/>
          <w:szCs w:val="18"/>
          <w:rtl/>
        </w:rPr>
        <w:t xml:space="preserve"> להיות השלכות על ההתפתחות החברתית של ילדים ובני</w:t>
      </w:r>
      <w:r w:rsidRPr="00EB0D54">
        <w:rPr>
          <w:rFonts w:ascii="David" w:hAnsi="David" w:hint="cs"/>
          <w:sz w:val="18"/>
          <w:szCs w:val="18"/>
          <w:rtl/>
        </w:rPr>
        <w:t xml:space="preserve"> </w:t>
      </w:r>
      <w:r w:rsidRPr="00EB0D54">
        <w:rPr>
          <w:rFonts w:ascii="David" w:hAnsi="David"/>
          <w:sz w:val="18"/>
          <w:szCs w:val="18"/>
          <w:rtl/>
        </w:rPr>
        <w:t>נוער, להגביר נטייה לאלימות, ו</w:t>
      </w:r>
      <w:r w:rsidRPr="00EB0D54">
        <w:rPr>
          <w:rFonts w:ascii="David" w:hAnsi="David" w:hint="cs"/>
          <w:sz w:val="18"/>
          <w:szCs w:val="18"/>
          <w:rtl/>
        </w:rPr>
        <w:t xml:space="preserve">היא </w:t>
      </w:r>
      <w:r w:rsidRPr="00EB0D54">
        <w:rPr>
          <w:rFonts w:ascii="David" w:hAnsi="David"/>
          <w:sz w:val="18"/>
          <w:szCs w:val="18"/>
          <w:rtl/>
        </w:rPr>
        <w:t xml:space="preserve">אף עלולה </w:t>
      </w:r>
      <w:r w:rsidRPr="00EB0D54">
        <w:rPr>
          <w:rFonts w:ascii="David" w:hAnsi="David" w:hint="cs"/>
          <w:sz w:val="18"/>
          <w:szCs w:val="18"/>
          <w:rtl/>
        </w:rPr>
        <w:t>להביא</w:t>
      </w:r>
      <w:r w:rsidRPr="00EB0D54">
        <w:rPr>
          <w:rFonts w:ascii="David" w:hAnsi="David"/>
          <w:sz w:val="18"/>
          <w:szCs w:val="18"/>
          <w:rtl/>
        </w:rPr>
        <w:t xml:space="preserve"> </w:t>
      </w:r>
      <w:r w:rsidRPr="00EB0D54">
        <w:rPr>
          <w:rFonts w:ascii="David" w:hAnsi="David" w:hint="cs"/>
          <w:sz w:val="18"/>
          <w:szCs w:val="18"/>
          <w:rtl/>
        </w:rPr>
        <w:t>ל</w:t>
      </w:r>
      <w:r w:rsidRPr="00EB0D54">
        <w:rPr>
          <w:rFonts w:ascii="David" w:hAnsi="David"/>
          <w:sz w:val="18"/>
          <w:szCs w:val="18"/>
          <w:rtl/>
        </w:rPr>
        <w:t>בניית מודלים מעוותים של יחסים בין</w:t>
      </w:r>
      <w:r w:rsidRPr="00EB0D54">
        <w:rPr>
          <w:rFonts w:ascii="David" w:hAnsi="David" w:hint="cs"/>
          <w:sz w:val="18"/>
          <w:szCs w:val="18"/>
          <w:rtl/>
        </w:rPr>
        <w:t>-</w:t>
      </w:r>
      <w:r w:rsidRPr="00EB0D54">
        <w:rPr>
          <w:rFonts w:ascii="David" w:hAnsi="David"/>
          <w:sz w:val="18"/>
          <w:szCs w:val="18"/>
          <w:rtl/>
        </w:rPr>
        <w:t>אישיים</w:t>
      </w:r>
      <w:r w:rsidRPr="00EB0D54">
        <w:rPr>
          <w:rStyle w:val="FootnoteReference"/>
          <w:rFonts w:ascii="David" w:hAnsi="David"/>
          <w:sz w:val="18"/>
          <w:szCs w:val="18"/>
          <w:rtl/>
        </w:rPr>
        <w:footnoteReference w:id="16"/>
      </w:r>
      <w:r w:rsidRPr="00EB0D54">
        <w:rPr>
          <w:rFonts w:ascii="David" w:hAnsi="David"/>
          <w:sz w:val="18"/>
          <w:szCs w:val="18"/>
          <w:rtl/>
        </w:rPr>
        <w:t>.</w:t>
      </w:r>
    </w:p>
    <w:p w14:paraId="754C48EC" w14:textId="77777777" w:rsidR="00583E48" w:rsidRPr="00EB0D54" w:rsidRDefault="00583E48" w:rsidP="00EB0D54">
      <w:pPr>
        <w:pStyle w:val="ListParagraph"/>
        <w:numPr>
          <w:ilvl w:val="0"/>
          <w:numId w:val="39"/>
        </w:numPr>
        <w:autoSpaceDE/>
        <w:autoSpaceDN/>
        <w:adjustRightInd/>
        <w:spacing w:line="260" w:lineRule="exact"/>
        <w:ind w:left="397" w:hanging="397"/>
        <w:rPr>
          <w:sz w:val="18"/>
          <w:szCs w:val="18"/>
        </w:rPr>
      </w:pPr>
      <w:r w:rsidRPr="00EB0D54">
        <w:rPr>
          <w:rFonts w:hint="cs"/>
          <w:b/>
          <w:bCs/>
          <w:sz w:val="18"/>
          <w:szCs w:val="18"/>
          <w:rtl/>
        </w:rPr>
        <w:t>שימוש יתר באינטרנט</w:t>
      </w:r>
      <w:r w:rsidRPr="00EB0D54">
        <w:rPr>
          <w:rFonts w:hint="cs"/>
          <w:sz w:val="18"/>
          <w:szCs w:val="18"/>
          <w:rtl/>
        </w:rPr>
        <w:t xml:space="preserve"> - </w:t>
      </w:r>
      <w:r w:rsidRPr="00EB0D54">
        <w:rPr>
          <w:sz w:val="18"/>
          <w:szCs w:val="18"/>
          <w:rtl/>
        </w:rPr>
        <w:t xml:space="preserve">גלישה </w:t>
      </w:r>
      <w:r w:rsidRPr="00EB0D54">
        <w:rPr>
          <w:rFonts w:hint="cs"/>
          <w:sz w:val="18"/>
          <w:szCs w:val="18"/>
          <w:rtl/>
        </w:rPr>
        <w:t xml:space="preserve">ברשת במשך פרקי זמן ארוכים </w:t>
      </w:r>
      <w:r w:rsidRPr="00EB0D54">
        <w:rPr>
          <w:sz w:val="18"/>
          <w:szCs w:val="18"/>
          <w:rtl/>
        </w:rPr>
        <w:t>תוך ויתור על קשרים חברתיים או מטלות יומיומיות, אובדן עניין בעיסוקים אחרים, חוסר יכולת לחדול משימוש במחשבים ו</w:t>
      </w:r>
      <w:r w:rsidRPr="00EB0D54">
        <w:rPr>
          <w:rFonts w:hint="cs"/>
          <w:sz w:val="18"/>
          <w:szCs w:val="18"/>
          <w:rtl/>
        </w:rPr>
        <w:t>בטלפונים חכמים</w:t>
      </w:r>
      <w:r w:rsidRPr="00EB0D54">
        <w:rPr>
          <w:sz w:val="18"/>
          <w:szCs w:val="18"/>
          <w:rtl/>
        </w:rPr>
        <w:t xml:space="preserve">, ושימוש באינטרנט לשיפור מצב רוח ירוד או לבריחה </w:t>
      </w:r>
      <w:r w:rsidRPr="00EB0D54">
        <w:rPr>
          <w:sz w:val="18"/>
          <w:szCs w:val="18"/>
          <w:rtl/>
        </w:rPr>
        <w:lastRenderedPageBreak/>
        <w:t>מהמציאות</w:t>
      </w:r>
      <w:r w:rsidRPr="00EB0D54">
        <w:rPr>
          <w:rStyle w:val="FootnoteReference"/>
          <w:sz w:val="18"/>
          <w:szCs w:val="18"/>
          <w:rtl/>
        </w:rPr>
        <w:footnoteReference w:id="17"/>
      </w:r>
      <w:r w:rsidRPr="00EB0D54">
        <w:rPr>
          <w:sz w:val="18"/>
          <w:szCs w:val="18"/>
          <w:rtl/>
        </w:rPr>
        <w:t>.</w:t>
      </w:r>
      <w:r w:rsidRPr="00EB0D54">
        <w:rPr>
          <w:rFonts w:hint="cs"/>
          <w:sz w:val="18"/>
          <w:szCs w:val="18"/>
          <w:rtl/>
        </w:rPr>
        <w:t xml:space="preserve"> ב</w:t>
      </w:r>
      <w:r w:rsidRPr="00EB0D54">
        <w:rPr>
          <w:sz w:val="18"/>
          <w:szCs w:val="18"/>
          <w:rtl/>
        </w:rPr>
        <w:t xml:space="preserve">מהדורה </w:t>
      </w:r>
      <w:r w:rsidRPr="00EB0D54">
        <w:rPr>
          <w:rFonts w:hint="cs"/>
          <w:sz w:val="18"/>
          <w:szCs w:val="18"/>
          <w:rtl/>
        </w:rPr>
        <w:t>ה</w:t>
      </w:r>
      <w:r w:rsidRPr="00EB0D54">
        <w:rPr>
          <w:sz w:val="18"/>
          <w:szCs w:val="18"/>
          <w:rtl/>
        </w:rPr>
        <w:t>עדכנית של סיווג המחלות הבין-לאומי</w:t>
      </w:r>
      <w:r w:rsidRPr="00EB0D54">
        <w:rPr>
          <w:rFonts w:hint="cs"/>
          <w:sz w:val="18"/>
          <w:szCs w:val="18"/>
          <w:rtl/>
        </w:rPr>
        <w:t xml:space="preserve"> שפרסם ארגון הבריאות העולמי בשנת 2018 נכללות הפרעות שמקורן בהתמכרות התנהגותית, ובהן התמכרות למשחקי מחשב (</w:t>
      </w:r>
      <w:r w:rsidRPr="00EB0D54">
        <w:rPr>
          <w:sz w:val="18"/>
          <w:szCs w:val="18"/>
        </w:rPr>
        <w:t>Gaming disorder</w:t>
      </w:r>
      <w:r w:rsidRPr="00EB0D54">
        <w:rPr>
          <w:rFonts w:hint="cs"/>
          <w:sz w:val="18"/>
          <w:szCs w:val="18"/>
          <w:rtl/>
        </w:rPr>
        <w:t>)</w:t>
      </w:r>
      <w:r w:rsidRPr="00EB0D54">
        <w:rPr>
          <w:rStyle w:val="FootnoteReference"/>
          <w:sz w:val="18"/>
          <w:szCs w:val="18"/>
          <w:rtl/>
        </w:rPr>
        <w:footnoteReference w:id="18"/>
      </w:r>
      <w:r w:rsidRPr="00EB0D54">
        <w:rPr>
          <w:rFonts w:hint="cs"/>
          <w:sz w:val="18"/>
          <w:szCs w:val="18"/>
          <w:rtl/>
        </w:rPr>
        <w:t>.</w:t>
      </w:r>
    </w:p>
    <w:p w14:paraId="0A968245" w14:textId="77777777" w:rsidR="00583E48" w:rsidRPr="00EB0D54" w:rsidRDefault="00583E48" w:rsidP="00EB0D54">
      <w:pPr>
        <w:spacing w:line="260" w:lineRule="exact"/>
        <w:jc w:val="both"/>
        <w:rPr>
          <w:rFonts w:ascii="Tahoma" w:hAnsi="Tahoma" w:cs="Tahoma"/>
          <w:sz w:val="18"/>
          <w:szCs w:val="18"/>
          <w:rtl/>
        </w:rPr>
      </w:pPr>
      <w:r w:rsidRPr="00EB0D54">
        <w:rPr>
          <w:rFonts w:ascii="Tahoma" w:hAnsi="Tahoma" w:cs="Tahoma" w:hint="cs"/>
          <w:b/>
          <w:sz w:val="18"/>
          <w:szCs w:val="18"/>
          <w:rtl/>
        </w:rPr>
        <w:t>קיים</w:t>
      </w:r>
      <w:r w:rsidRPr="00EB0D54">
        <w:rPr>
          <w:rFonts w:ascii="Tahoma" w:hAnsi="Tahoma" w:cs="Tahoma"/>
          <w:b/>
          <w:sz w:val="18"/>
          <w:szCs w:val="18"/>
          <w:rtl/>
        </w:rPr>
        <w:t xml:space="preserve"> ק</w:t>
      </w:r>
      <w:r w:rsidRPr="00EB0D54">
        <w:rPr>
          <w:rFonts w:ascii="Tahoma" w:hAnsi="Tahoma" w:cs="Tahoma" w:hint="eastAsia"/>
          <w:b/>
          <w:sz w:val="18"/>
          <w:szCs w:val="18"/>
          <w:rtl/>
        </w:rPr>
        <w:t>ושי</w:t>
      </w:r>
      <w:r w:rsidRPr="00EB0D54">
        <w:rPr>
          <w:rFonts w:ascii="Tahoma" w:hAnsi="Tahoma" w:cs="Tahoma"/>
          <w:b/>
          <w:sz w:val="18"/>
          <w:szCs w:val="18"/>
          <w:rtl/>
        </w:rPr>
        <w:t xml:space="preserve"> </w:t>
      </w:r>
      <w:proofErr w:type="spellStart"/>
      <w:r w:rsidRPr="00EB0D54">
        <w:rPr>
          <w:rFonts w:ascii="Tahoma" w:hAnsi="Tahoma" w:cs="Tahoma"/>
          <w:b/>
          <w:sz w:val="18"/>
          <w:szCs w:val="18"/>
          <w:rtl/>
        </w:rPr>
        <w:t>לאמוד</w:t>
      </w:r>
      <w:proofErr w:type="spellEnd"/>
      <w:r w:rsidRPr="00EB0D54">
        <w:rPr>
          <w:rFonts w:ascii="Tahoma" w:hAnsi="Tahoma" w:cs="Tahoma"/>
          <w:b/>
          <w:sz w:val="18"/>
          <w:szCs w:val="18"/>
          <w:rtl/>
        </w:rPr>
        <w:t xml:space="preserve"> </w:t>
      </w:r>
      <w:r w:rsidRPr="00EB0D54">
        <w:rPr>
          <w:rFonts w:ascii="Tahoma" w:hAnsi="Tahoma" w:cs="Tahoma" w:hint="eastAsia"/>
          <w:b/>
          <w:sz w:val="18"/>
          <w:szCs w:val="18"/>
          <w:rtl/>
        </w:rPr>
        <w:t>את</w:t>
      </w:r>
      <w:r w:rsidRPr="00EB0D54">
        <w:rPr>
          <w:rFonts w:ascii="Tahoma" w:hAnsi="Tahoma" w:cs="Tahoma"/>
          <w:b/>
          <w:sz w:val="18"/>
          <w:szCs w:val="18"/>
          <w:rtl/>
        </w:rPr>
        <w:t xml:space="preserve"> היקפי </w:t>
      </w:r>
      <w:r w:rsidRPr="00EB0D54">
        <w:rPr>
          <w:rFonts w:ascii="Tahoma" w:hAnsi="Tahoma" w:cs="Tahoma" w:hint="eastAsia"/>
          <w:b/>
          <w:sz w:val="18"/>
          <w:szCs w:val="18"/>
          <w:rtl/>
        </w:rPr>
        <w:t>ה</w:t>
      </w:r>
      <w:r w:rsidRPr="00EB0D54">
        <w:rPr>
          <w:rFonts w:ascii="Tahoma" w:hAnsi="Tahoma" w:cs="Tahoma"/>
          <w:b/>
          <w:sz w:val="18"/>
          <w:szCs w:val="18"/>
          <w:rtl/>
        </w:rPr>
        <w:t xml:space="preserve">תופעות המתרחשות במרחב המקוון, </w:t>
      </w:r>
      <w:r w:rsidRPr="00EB0D54">
        <w:rPr>
          <w:rFonts w:ascii="Tahoma" w:hAnsi="Tahoma" w:cs="Tahoma" w:hint="eastAsia"/>
          <w:b/>
          <w:sz w:val="18"/>
          <w:szCs w:val="18"/>
          <w:rtl/>
        </w:rPr>
        <w:t>בין</w:t>
      </w:r>
      <w:r w:rsidRPr="00EB0D54">
        <w:rPr>
          <w:rFonts w:ascii="Tahoma" w:hAnsi="Tahoma" w:cs="Tahoma"/>
          <w:b/>
          <w:sz w:val="18"/>
          <w:szCs w:val="18"/>
          <w:rtl/>
        </w:rPr>
        <w:t xml:space="preserve"> </w:t>
      </w:r>
      <w:r w:rsidRPr="00EB0D54">
        <w:rPr>
          <w:rFonts w:ascii="Tahoma" w:hAnsi="Tahoma" w:cs="Tahoma" w:hint="eastAsia"/>
          <w:b/>
          <w:sz w:val="18"/>
          <w:szCs w:val="18"/>
          <w:rtl/>
        </w:rPr>
        <w:t>היתר</w:t>
      </w:r>
      <w:r w:rsidRPr="00EB0D54">
        <w:rPr>
          <w:rFonts w:ascii="Tahoma" w:hAnsi="Tahoma" w:cs="Tahoma"/>
          <w:b/>
          <w:sz w:val="18"/>
          <w:szCs w:val="18"/>
          <w:rtl/>
        </w:rPr>
        <w:t xml:space="preserve"> </w:t>
      </w:r>
      <w:r w:rsidRPr="00EB0D54">
        <w:rPr>
          <w:rFonts w:ascii="Tahoma" w:hAnsi="Tahoma" w:cs="Tahoma" w:hint="eastAsia"/>
          <w:b/>
          <w:sz w:val="18"/>
          <w:szCs w:val="18"/>
          <w:rtl/>
        </w:rPr>
        <w:t>בשל</w:t>
      </w:r>
      <w:r w:rsidRPr="00EB0D54">
        <w:rPr>
          <w:rFonts w:ascii="Tahoma" w:hAnsi="Tahoma" w:cs="Tahoma"/>
          <w:b/>
          <w:sz w:val="18"/>
          <w:szCs w:val="18"/>
          <w:rtl/>
        </w:rPr>
        <w:t xml:space="preserve"> תת-דיווח על פ</w:t>
      </w:r>
      <w:r w:rsidRPr="00EB0D54">
        <w:rPr>
          <w:rFonts w:ascii="Tahoma" w:hAnsi="Tahoma" w:cs="Tahoma" w:hint="eastAsia"/>
          <w:b/>
          <w:sz w:val="18"/>
          <w:szCs w:val="18"/>
          <w:rtl/>
        </w:rPr>
        <w:t>גיעות</w:t>
      </w:r>
      <w:r w:rsidRPr="00EB0D54">
        <w:rPr>
          <w:rFonts w:ascii="Tahoma" w:hAnsi="Tahoma" w:cs="Tahoma"/>
          <w:b/>
          <w:sz w:val="18"/>
          <w:szCs w:val="18"/>
          <w:rtl/>
        </w:rPr>
        <w:t xml:space="preserve"> </w:t>
      </w:r>
      <w:r w:rsidRPr="00EB0D54">
        <w:rPr>
          <w:rFonts w:ascii="Tahoma" w:hAnsi="Tahoma" w:cs="Tahoma" w:hint="eastAsia"/>
          <w:b/>
          <w:sz w:val="18"/>
          <w:szCs w:val="18"/>
          <w:rtl/>
        </w:rPr>
        <w:t>בתחום</w:t>
      </w:r>
      <w:r w:rsidRPr="00EB0D54">
        <w:rPr>
          <w:rFonts w:ascii="Tahoma" w:hAnsi="Tahoma" w:cs="Tahoma"/>
          <w:b/>
          <w:sz w:val="18"/>
          <w:szCs w:val="18"/>
          <w:rtl/>
        </w:rPr>
        <w:t xml:space="preserve"> </w:t>
      </w:r>
      <w:r w:rsidRPr="00EB0D54">
        <w:rPr>
          <w:rFonts w:ascii="Tahoma" w:hAnsi="Tahoma" w:cs="Tahoma" w:hint="eastAsia"/>
          <w:b/>
          <w:sz w:val="18"/>
          <w:szCs w:val="18"/>
          <w:rtl/>
        </w:rPr>
        <w:t>זה</w:t>
      </w:r>
      <w:r w:rsidRPr="00EB0D54">
        <w:rPr>
          <w:rStyle w:val="FootnoteReference"/>
          <w:rFonts w:ascii="Tahoma" w:hAnsi="Tahoma" w:cs="Tahoma"/>
          <w:b/>
          <w:sz w:val="18"/>
          <w:szCs w:val="18"/>
          <w:rtl/>
        </w:rPr>
        <w:footnoteReference w:id="19"/>
      </w:r>
      <w:r w:rsidRPr="00EB0D54">
        <w:rPr>
          <w:rFonts w:ascii="Tahoma" w:hAnsi="Tahoma" w:cs="Tahoma"/>
          <w:b/>
          <w:sz w:val="18"/>
          <w:szCs w:val="18"/>
          <w:rtl/>
        </w:rPr>
        <w:t xml:space="preserve"> </w:t>
      </w:r>
      <w:r w:rsidRPr="00EB0D54">
        <w:rPr>
          <w:rFonts w:ascii="Tahoma" w:hAnsi="Tahoma" w:cs="Tahoma" w:hint="cs"/>
          <w:b/>
          <w:sz w:val="18"/>
          <w:szCs w:val="18"/>
          <w:rtl/>
        </w:rPr>
        <w:t>וחוסר</w:t>
      </w:r>
      <w:r w:rsidRPr="00EB0D54">
        <w:rPr>
          <w:rFonts w:ascii="Tahoma" w:hAnsi="Tahoma" w:cs="Tahoma"/>
          <w:b/>
          <w:sz w:val="18"/>
          <w:szCs w:val="18"/>
          <w:rtl/>
        </w:rPr>
        <w:t xml:space="preserve"> </w:t>
      </w:r>
      <w:r w:rsidRPr="00EB0D54">
        <w:rPr>
          <w:rFonts w:ascii="Tahoma" w:hAnsi="Tahoma" w:cs="Tahoma" w:hint="eastAsia"/>
          <w:b/>
          <w:sz w:val="18"/>
          <w:szCs w:val="18"/>
          <w:rtl/>
        </w:rPr>
        <w:t>מודעות</w:t>
      </w:r>
      <w:r w:rsidRPr="00EB0D54">
        <w:rPr>
          <w:rFonts w:ascii="Tahoma" w:hAnsi="Tahoma" w:cs="Tahoma"/>
          <w:b/>
          <w:sz w:val="18"/>
          <w:szCs w:val="18"/>
          <w:rtl/>
        </w:rPr>
        <w:t xml:space="preserve"> </w:t>
      </w:r>
      <w:r w:rsidRPr="00EB0D54">
        <w:rPr>
          <w:rFonts w:ascii="Tahoma" w:hAnsi="Tahoma" w:cs="Tahoma" w:hint="eastAsia"/>
          <w:b/>
          <w:sz w:val="18"/>
          <w:szCs w:val="18"/>
          <w:rtl/>
        </w:rPr>
        <w:t>של</w:t>
      </w:r>
      <w:r w:rsidRPr="00EB0D54">
        <w:rPr>
          <w:rFonts w:ascii="Tahoma" w:hAnsi="Tahoma" w:cs="Tahoma"/>
          <w:b/>
          <w:sz w:val="18"/>
          <w:szCs w:val="18"/>
          <w:rtl/>
        </w:rPr>
        <w:t xml:space="preserve"> </w:t>
      </w:r>
      <w:r w:rsidRPr="00EB0D54">
        <w:rPr>
          <w:rFonts w:ascii="Tahoma" w:hAnsi="Tahoma" w:cs="Tahoma" w:hint="eastAsia"/>
          <w:b/>
          <w:sz w:val="18"/>
          <w:szCs w:val="18"/>
          <w:rtl/>
        </w:rPr>
        <w:t>ילדים</w:t>
      </w:r>
      <w:r w:rsidRPr="00EB0D54">
        <w:rPr>
          <w:rFonts w:ascii="Tahoma" w:hAnsi="Tahoma" w:cs="Tahoma"/>
          <w:b/>
          <w:sz w:val="18"/>
          <w:szCs w:val="18"/>
          <w:rtl/>
        </w:rPr>
        <w:t xml:space="preserve"> </w:t>
      </w:r>
      <w:r w:rsidRPr="00EB0D54">
        <w:rPr>
          <w:rFonts w:ascii="Tahoma" w:hAnsi="Tahoma" w:cs="Tahoma" w:hint="eastAsia"/>
          <w:b/>
          <w:sz w:val="18"/>
          <w:szCs w:val="18"/>
          <w:rtl/>
        </w:rPr>
        <w:t>ובני</w:t>
      </w:r>
      <w:r w:rsidRPr="00EB0D54">
        <w:rPr>
          <w:rFonts w:ascii="Tahoma" w:hAnsi="Tahoma" w:cs="Tahoma" w:hint="cs"/>
          <w:b/>
          <w:sz w:val="18"/>
          <w:szCs w:val="18"/>
          <w:rtl/>
        </w:rPr>
        <w:t xml:space="preserve"> </w:t>
      </w:r>
      <w:r w:rsidRPr="00EB0D54">
        <w:rPr>
          <w:rFonts w:ascii="Tahoma" w:hAnsi="Tahoma" w:cs="Tahoma"/>
          <w:b/>
          <w:sz w:val="18"/>
          <w:szCs w:val="18"/>
          <w:rtl/>
        </w:rPr>
        <w:t xml:space="preserve">נוער </w:t>
      </w:r>
      <w:r w:rsidRPr="00EB0D54">
        <w:rPr>
          <w:rFonts w:ascii="Tahoma" w:hAnsi="Tahoma" w:cs="Tahoma" w:hint="eastAsia"/>
          <w:b/>
          <w:sz w:val="18"/>
          <w:szCs w:val="18"/>
          <w:rtl/>
        </w:rPr>
        <w:t>לסכנות</w:t>
      </w:r>
      <w:r w:rsidRPr="00EB0D54">
        <w:rPr>
          <w:rFonts w:ascii="Tahoma" w:hAnsi="Tahoma" w:cs="Tahoma"/>
          <w:b/>
          <w:sz w:val="18"/>
          <w:szCs w:val="18"/>
          <w:rtl/>
        </w:rPr>
        <w:t xml:space="preserve"> </w:t>
      </w:r>
      <w:r w:rsidRPr="00EB0D54">
        <w:rPr>
          <w:rFonts w:ascii="Tahoma" w:hAnsi="Tahoma" w:cs="Tahoma" w:hint="eastAsia"/>
          <w:b/>
          <w:sz w:val="18"/>
          <w:szCs w:val="18"/>
          <w:rtl/>
        </w:rPr>
        <w:t>ולעיתים</w:t>
      </w:r>
      <w:r w:rsidRPr="00EB0D54">
        <w:rPr>
          <w:rFonts w:ascii="Tahoma" w:hAnsi="Tahoma" w:cs="Tahoma"/>
          <w:b/>
          <w:sz w:val="18"/>
          <w:szCs w:val="18"/>
          <w:rtl/>
        </w:rPr>
        <w:t xml:space="preserve"> </w:t>
      </w:r>
      <w:r w:rsidRPr="00EB0D54">
        <w:rPr>
          <w:rFonts w:ascii="Tahoma" w:hAnsi="Tahoma" w:cs="Tahoma" w:hint="eastAsia"/>
          <w:b/>
          <w:sz w:val="18"/>
          <w:szCs w:val="18"/>
          <w:rtl/>
        </w:rPr>
        <w:t>אף</w:t>
      </w:r>
      <w:r w:rsidRPr="00EB0D54">
        <w:rPr>
          <w:rFonts w:ascii="Tahoma" w:hAnsi="Tahoma" w:cs="Tahoma"/>
          <w:b/>
          <w:sz w:val="18"/>
          <w:szCs w:val="18"/>
          <w:rtl/>
        </w:rPr>
        <w:t xml:space="preserve"> </w:t>
      </w:r>
      <w:r w:rsidRPr="00EB0D54">
        <w:rPr>
          <w:rFonts w:ascii="Tahoma" w:hAnsi="Tahoma" w:cs="Tahoma" w:hint="eastAsia"/>
          <w:b/>
          <w:sz w:val="18"/>
          <w:szCs w:val="18"/>
          <w:rtl/>
        </w:rPr>
        <w:t>לעצם</w:t>
      </w:r>
      <w:r w:rsidRPr="00EB0D54">
        <w:rPr>
          <w:rFonts w:ascii="Tahoma" w:hAnsi="Tahoma" w:cs="Tahoma"/>
          <w:b/>
          <w:sz w:val="18"/>
          <w:szCs w:val="18"/>
          <w:rtl/>
        </w:rPr>
        <w:t xml:space="preserve"> </w:t>
      </w:r>
      <w:r w:rsidRPr="00EB0D54">
        <w:rPr>
          <w:rFonts w:ascii="Tahoma" w:hAnsi="Tahoma" w:cs="Tahoma" w:hint="eastAsia"/>
          <w:b/>
          <w:sz w:val="18"/>
          <w:szCs w:val="18"/>
          <w:rtl/>
        </w:rPr>
        <w:t>הפגיעה</w:t>
      </w:r>
      <w:r w:rsidRPr="00EB0D54">
        <w:rPr>
          <w:rFonts w:ascii="Tahoma" w:hAnsi="Tahoma" w:cs="Tahoma"/>
          <w:b/>
          <w:sz w:val="18"/>
          <w:szCs w:val="18"/>
          <w:rtl/>
        </w:rPr>
        <w:t xml:space="preserve"> </w:t>
      </w:r>
      <w:r w:rsidRPr="00EB0D54">
        <w:rPr>
          <w:rFonts w:ascii="Tahoma" w:hAnsi="Tahoma" w:cs="Tahoma" w:hint="eastAsia"/>
          <w:b/>
          <w:sz w:val="18"/>
          <w:szCs w:val="18"/>
          <w:rtl/>
        </w:rPr>
        <w:t>בהם</w:t>
      </w:r>
      <w:r w:rsidRPr="00EB0D54">
        <w:rPr>
          <w:rFonts w:ascii="Tahoma" w:hAnsi="Tahoma" w:cs="Tahoma"/>
          <w:b/>
          <w:sz w:val="18"/>
          <w:szCs w:val="18"/>
          <w:rtl/>
        </w:rPr>
        <w:t>. מ</w:t>
      </w:r>
      <w:r w:rsidRPr="00EB0D54">
        <w:rPr>
          <w:rFonts w:ascii="Tahoma" w:hAnsi="Tahoma" w:cs="Tahoma" w:hint="eastAsia"/>
          <w:b/>
          <w:sz w:val="18"/>
          <w:szCs w:val="18"/>
          <w:rtl/>
        </w:rPr>
        <w:t>חקר</w:t>
      </w:r>
      <w:r w:rsidRPr="00EB0D54">
        <w:rPr>
          <w:rFonts w:ascii="Tahoma" w:hAnsi="Tahoma" w:cs="Tahoma" w:hint="cs"/>
          <w:b/>
          <w:sz w:val="18"/>
          <w:szCs w:val="18"/>
          <w:rtl/>
        </w:rPr>
        <w:t xml:space="preserve"> בין-לאומי</w:t>
      </w:r>
      <w:r w:rsidRPr="00EB0D54">
        <w:rPr>
          <w:rStyle w:val="FootnoteReference"/>
          <w:rFonts w:ascii="Tahoma" w:hAnsi="Tahoma" w:cs="Tahoma"/>
          <w:b/>
          <w:sz w:val="18"/>
          <w:szCs w:val="18"/>
          <w:rtl/>
        </w:rPr>
        <w:footnoteReference w:id="20"/>
      </w:r>
      <w:r w:rsidRPr="00EB0D54">
        <w:rPr>
          <w:rFonts w:ascii="Tahoma" w:hAnsi="Tahoma" w:cs="Tahoma"/>
          <w:b/>
          <w:sz w:val="18"/>
          <w:szCs w:val="18"/>
          <w:rtl/>
        </w:rPr>
        <w:t xml:space="preserve"> </w:t>
      </w:r>
      <w:r w:rsidRPr="00EB0D54">
        <w:rPr>
          <w:rFonts w:ascii="Tahoma" w:hAnsi="Tahoma" w:cs="Tahoma" w:hint="eastAsia"/>
          <w:b/>
          <w:sz w:val="18"/>
          <w:szCs w:val="18"/>
          <w:rtl/>
        </w:rPr>
        <w:t>שנערך</w:t>
      </w:r>
      <w:r w:rsidRPr="00EB0D54">
        <w:rPr>
          <w:rFonts w:ascii="Tahoma" w:hAnsi="Tahoma" w:cs="Tahoma"/>
          <w:b/>
          <w:sz w:val="18"/>
          <w:szCs w:val="18"/>
          <w:rtl/>
        </w:rPr>
        <w:t xml:space="preserve"> </w:t>
      </w:r>
      <w:r w:rsidRPr="00EB0D54">
        <w:rPr>
          <w:rFonts w:ascii="Tahoma" w:hAnsi="Tahoma" w:cs="Tahoma" w:hint="eastAsia"/>
          <w:b/>
          <w:sz w:val="18"/>
          <w:szCs w:val="18"/>
          <w:rtl/>
        </w:rPr>
        <w:t>ב</w:t>
      </w:r>
      <w:r w:rsidRPr="00EB0D54">
        <w:rPr>
          <w:rFonts w:ascii="Tahoma" w:hAnsi="Tahoma" w:cs="Tahoma" w:hint="cs"/>
          <w:b/>
          <w:sz w:val="18"/>
          <w:szCs w:val="18"/>
          <w:rtl/>
        </w:rPr>
        <w:t>שנים 2019-2017 ב-30 מדינות</w:t>
      </w:r>
      <w:r w:rsidRPr="00EB0D54">
        <w:rPr>
          <w:rFonts w:ascii="Tahoma" w:hAnsi="Tahoma" w:cs="Tahoma"/>
          <w:b/>
          <w:sz w:val="18"/>
          <w:szCs w:val="18"/>
          <w:rtl/>
        </w:rPr>
        <w:t xml:space="preserve"> וניסה </w:t>
      </w:r>
      <w:proofErr w:type="spellStart"/>
      <w:r w:rsidRPr="00EB0D54">
        <w:rPr>
          <w:rFonts w:ascii="Tahoma" w:hAnsi="Tahoma" w:cs="Tahoma"/>
          <w:b/>
          <w:sz w:val="18"/>
          <w:szCs w:val="18"/>
          <w:rtl/>
        </w:rPr>
        <w:t>ל</w:t>
      </w:r>
      <w:r w:rsidRPr="00EB0D54">
        <w:rPr>
          <w:rFonts w:ascii="Tahoma" w:hAnsi="Tahoma" w:cs="Tahoma" w:hint="cs"/>
          <w:b/>
          <w:sz w:val="18"/>
          <w:szCs w:val="18"/>
          <w:rtl/>
        </w:rPr>
        <w:t>א</w:t>
      </w:r>
      <w:r w:rsidRPr="00EB0D54">
        <w:rPr>
          <w:rFonts w:ascii="Tahoma" w:hAnsi="Tahoma" w:cs="Tahoma"/>
          <w:b/>
          <w:sz w:val="18"/>
          <w:szCs w:val="18"/>
          <w:rtl/>
        </w:rPr>
        <w:t>מוד</w:t>
      </w:r>
      <w:proofErr w:type="spellEnd"/>
      <w:r w:rsidRPr="00EB0D54">
        <w:rPr>
          <w:rFonts w:ascii="Tahoma" w:hAnsi="Tahoma" w:cs="Tahoma"/>
          <w:b/>
          <w:sz w:val="18"/>
          <w:szCs w:val="18"/>
          <w:rtl/>
        </w:rPr>
        <w:t xml:space="preserve"> את היקפי התופעה העלה את הנתונים ה</w:t>
      </w:r>
      <w:r w:rsidRPr="00EB0D54">
        <w:rPr>
          <w:rFonts w:ascii="Tahoma" w:hAnsi="Tahoma" w:cs="Tahoma" w:hint="cs"/>
          <w:b/>
          <w:sz w:val="18"/>
          <w:szCs w:val="18"/>
          <w:rtl/>
        </w:rPr>
        <w:t>אלה</w:t>
      </w:r>
      <w:r w:rsidRPr="00EB0D54">
        <w:rPr>
          <w:rFonts w:ascii="Tahoma" w:hAnsi="Tahoma" w:cs="Tahoma"/>
          <w:b/>
          <w:sz w:val="18"/>
          <w:szCs w:val="18"/>
          <w:rtl/>
        </w:rPr>
        <w:t>:</w:t>
      </w:r>
    </w:p>
    <w:p w14:paraId="4B104059" w14:textId="2E72831D" w:rsidR="00583E48" w:rsidRPr="00740A8D" w:rsidRDefault="00E64444" w:rsidP="00D10254">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E64444">
        <w:rPr>
          <w:rFonts w:ascii="Tahoma" w:hAnsi="Tahoma" w:cs="Tahoma" w:hint="eastAsia"/>
          <w:color w:val="0D0D0D" w:themeColor="text1" w:themeTint="F2"/>
          <w:sz w:val="20"/>
          <w:szCs w:val="20"/>
          <w:rtl/>
        </w:rPr>
        <w:lastRenderedPageBreak/>
        <w:t>תרשים</w:t>
      </w:r>
      <w:r w:rsidRPr="00E64444">
        <w:rPr>
          <w:rFonts w:ascii="Tahoma" w:hAnsi="Tahoma" w:cs="Tahoma"/>
          <w:color w:val="0D0D0D" w:themeColor="text1" w:themeTint="F2"/>
          <w:sz w:val="20"/>
          <w:szCs w:val="20"/>
          <w:rtl/>
        </w:rPr>
        <w:t xml:space="preserve"> </w:t>
      </w:r>
      <w:r w:rsidRPr="00E64444">
        <w:rPr>
          <w:rFonts w:ascii="Tahoma" w:hAnsi="Tahoma" w:cs="Tahoma" w:hint="cs"/>
          <w:color w:val="0D0D0D" w:themeColor="text1" w:themeTint="F2"/>
          <w:sz w:val="20"/>
          <w:szCs w:val="20"/>
          <w:rtl/>
        </w:rPr>
        <w:t>5</w:t>
      </w:r>
      <w:r w:rsidRPr="00E64444">
        <w:rPr>
          <w:rFonts w:ascii="Tahoma" w:hAnsi="Tahoma" w:cs="Tahoma"/>
          <w:color w:val="0D0D0D" w:themeColor="text1" w:themeTint="F2"/>
          <w:sz w:val="20"/>
          <w:szCs w:val="20"/>
          <w:rtl/>
        </w:rPr>
        <w:t xml:space="preserve">: </w:t>
      </w:r>
      <w:r w:rsidR="00583E48" w:rsidRPr="00740A8D">
        <w:rPr>
          <w:rFonts w:ascii="Tahoma" w:hAnsi="Tahoma" w:cs="Tahoma" w:hint="eastAsia"/>
          <w:b/>
          <w:bCs/>
          <w:color w:val="0D0D0D" w:themeColor="text1" w:themeTint="F2"/>
          <w:sz w:val="20"/>
          <w:szCs w:val="20"/>
          <w:rtl/>
        </w:rPr>
        <w:t>נתונים</w:t>
      </w:r>
      <w:r w:rsidR="00583E48" w:rsidRPr="00740A8D">
        <w:rPr>
          <w:rFonts w:ascii="Tahoma" w:hAnsi="Tahoma" w:cs="Tahoma"/>
          <w:b/>
          <w:bCs/>
          <w:color w:val="0D0D0D" w:themeColor="text1" w:themeTint="F2"/>
          <w:sz w:val="20"/>
          <w:szCs w:val="20"/>
          <w:rtl/>
        </w:rPr>
        <w:t xml:space="preserve"> </w:t>
      </w:r>
      <w:r w:rsidR="00583E48" w:rsidRPr="00740A8D">
        <w:rPr>
          <w:rFonts w:ascii="Tahoma" w:hAnsi="Tahoma" w:cs="Tahoma" w:hint="cs"/>
          <w:b/>
          <w:bCs/>
          <w:color w:val="0D0D0D" w:themeColor="text1" w:themeTint="F2"/>
          <w:sz w:val="20"/>
          <w:szCs w:val="20"/>
          <w:rtl/>
        </w:rPr>
        <w:t>על</w:t>
      </w:r>
      <w:r w:rsidR="00583E48" w:rsidRPr="00740A8D">
        <w:rPr>
          <w:rFonts w:ascii="Tahoma" w:hAnsi="Tahoma" w:cs="Tahoma"/>
          <w:b/>
          <w:bCs/>
          <w:color w:val="0D0D0D" w:themeColor="text1" w:themeTint="F2"/>
          <w:sz w:val="20"/>
          <w:szCs w:val="20"/>
          <w:rtl/>
        </w:rPr>
        <w:t xml:space="preserve"> </w:t>
      </w:r>
      <w:r w:rsidR="00583E48" w:rsidRPr="00740A8D">
        <w:rPr>
          <w:rFonts w:ascii="Tahoma" w:hAnsi="Tahoma" w:cs="Tahoma" w:hint="eastAsia"/>
          <w:b/>
          <w:bCs/>
          <w:color w:val="0D0D0D" w:themeColor="text1" w:themeTint="F2"/>
          <w:sz w:val="20"/>
          <w:szCs w:val="20"/>
          <w:rtl/>
        </w:rPr>
        <w:t>היחשפות</w:t>
      </w:r>
      <w:r w:rsidR="00583E48" w:rsidRPr="00740A8D">
        <w:rPr>
          <w:rFonts w:ascii="Tahoma" w:hAnsi="Tahoma" w:cs="Tahoma"/>
          <w:b/>
          <w:bCs/>
          <w:color w:val="0D0D0D" w:themeColor="text1" w:themeTint="F2"/>
          <w:sz w:val="20"/>
          <w:szCs w:val="20"/>
          <w:rtl/>
        </w:rPr>
        <w:t xml:space="preserve"> </w:t>
      </w:r>
      <w:r w:rsidR="00583E48" w:rsidRPr="00740A8D">
        <w:rPr>
          <w:rFonts w:ascii="Tahoma" w:hAnsi="Tahoma" w:cs="Tahoma" w:hint="eastAsia"/>
          <w:b/>
          <w:bCs/>
          <w:color w:val="0D0D0D" w:themeColor="text1" w:themeTint="F2"/>
          <w:sz w:val="20"/>
          <w:szCs w:val="20"/>
          <w:rtl/>
        </w:rPr>
        <w:t>לפגיעות</w:t>
      </w:r>
      <w:r w:rsidR="00583E48" w:rsidRPr="00740A8D">
        <w:rPr>
          <w:rFonts w:ascii="Tahoma" w:hAnsi="Tahoma" w:cs="Tahoma"/>
          <w:b/>
          <w:bCs/>
          <w:color w:val="0D0D0D" w:themeColor="text1" w:themeTint="F2"/>
          <w:sz w:val="20"/>
          <w:szCs w:val="20"/>
          <w:rtl/>
        </w:rPr>
        <w:t xml:space="preserve"> </w:t>
      </w:r>
      <w:r w:rsidR="00583E48" w:rsidRPr="00740A8D">
        <w:rPr>
          <w:rFonts w:ascii="Tahoma" w:hAnsi="Tahoma" w:cs="Tahoma" w:hint="cs"/>
          <w:b/>
          <w:bCs/>
          <w:color w:val="0D0D0D" w:themeColor="text1" w:themeTint="F2"/>
          <w:sz w:val="20"/>
          <w:szCs w:val="20"/>
          <w:rtl/>
        </w:rPr>
        <w:t>ול</w:t>
      </w:r>
      <w:r w:rsidR="00583E48" w:rsidRPr="00740A8D">
        <w:rPr>
          <w:rFonts w:ascii="Tahoma" w:hAnsi="Tahoma" w:cs="Tahoma" w:hint="eastAsia"/>
          <w:b/>
          <w:bCs/>
          <w:color w:val="0D0D0D" w:themeColor="text1" w:themeTint="F2"/>
          <w:sz w:val="20"/>
          <w:szCs w:val="20"/>
          <w:rtl/>
        </w:rPr>
        <w:t>סיכונים</w:t>
      </w:r>
      <w:r w:rsidR="00583E48" w:rsidRPr="00740A8D">
        <w:rPr>
          <w:rFonts w:ascii="Tahoma" w:hAnsi="Tahoma" w:cs="Tahoma" w:hint="cs"/>
          <w:b/>
          <w:bCs/>
          <w:color w:val="0D0D0D" w:themeColor="text1" w:themeTint="F2"/>
          <w:sz w:val="20"/>
          <w:szCs w:val="20"/>
          <w:rtl/>
        </w:rPr>
        <w:t xml:space="preserve"> במרחב המקוון</w:t>
      </w:r>
      <w:r w:rsidR="00583E48" w:rsidRPr="00740A8D">
        <w:rPr>
          <w:rFonts w:ascii="Tahoma" w:hAnsi="Tahoma" w:cs="Tahoma"/>
          <w:b/>
          <w:bCs/>
          <w:color w:val="0D0D0D" w:themeColor="text1" w:themeTint="F2"/>
          <w:sz w:val="20"/>
          <w:szCs w:val="20"/>
          <w:rtl/>
        </w:rPr>
        <w:t xml:space="preserve"> - </w:t>
      </w:r>
      <w:r w:rsidR="00583E48" w:rsidRPr="00740A8D">
        <w:rPr>
          <w:rFonts w:ascii="Tahoma" w:hAnsi="Tahoma" w:cs="Tahoma" w:hint="eastAsia"/>
          <w:b/>
          <w:bCs/>
          <w:color w:val="0D0D0D" w:themeColor="text1" w:themeTint="F2"/>
          <w:sz w:val="20"/>
          <w:szCs w:val="20"/>
          <w:rtl/>
        </w:rPr>
        <w:t>ילדים</w:t>
      </w:r>
      <w:r w:rsidR="00583E48" w:rsidRPr="00740A8D">
        <w:rPr>
          <w:rFonts w:ascii="Tahoma" w:hAnsi="Tahoma" w:cs="Tahoma"/>
          <w:b/>
          <w:bCs/>
          <w:color w:val="0D0D0D" w:themeColor="text1" w:themeTint="F2"/>
          <w:sz w:val="20"/>
          <w:szCs w:val="20"/>
          <w:rtl/>
        </w:rPr>
        <w:t xml:space="preserve"> </w:t>
      </w:r>
      <w:r w:rsidR="00583E48" w:rsidRPr="00740A8D">
        <w:rPr>
          <w:rFonts w:ascii="Tahoma" w:hAnsi="Tahoma" w:cs="Tahoma" w:hint="eastAsia"/>
          <w:b/>
          <w:bCs/>
          <w:color w:val="0D0D0D" w:themeColor="text1" w:themeTint="F2"/>
          <w:sz w:val="20"/>
          <w:szCs w:val="20"/>
          <w:rtl/>
        </w:rPr>
        <w:t>בגילי</w:t>
      </w:r>
      <w:r w:rsidR="00583E48" w:rsidRPr="00740A8D">
        <w:rPr>
          <w:rFonts w:ascii="Tahoma" w:hAnsi="Tahoma" w:cs="Tahoma"/>
          <w:b/>
          <w:bCs/>
          <w:color w:val="0D0D0D" w:themeColor="text1" w:themeTint="F2"/>
          <w:sz w:val="20"/>
          <w:szCs w:val="20"/>
          <w:rtl/>
        </w:rPr>
        <w:t xml:space="preserve"> </w:t>
      </w:r>
      <w:r w:rsidR="00583E48" w:rsidRPr="00740A8D">
        <w:rPr>
          <w:rFonts w:ascii="Tahoma" w:hAnsi="Tahoma" w:cs="Tahoma" w:hint="cs"/>
          <w:b/>
          <w:bCs/>
          <w:color w:val="0D0D0D" w:themeColor="text1" w:themeTint="F2"/>
          <w:sz w:val="20"/>
          <w:szCs w:val="20"/>
          <w:rtl/>
        </w:rPr>
        <w:t>12</w:t>
      </w:r>
      <w:r w:rsidR="00583E48" w:rsidRPr="00740A8D">
        <w:rPr>
          <w:rFonts w:ascii="Tahoma" w:hAnsi="Tahoma" w:cs="Tahoma"/>
          <w:b/>
          <w:bCs/>
          <w:color w:val="0D0D0D" w:themeColor="text1" w:themeTint="F2"/>
          <w:sz w:val="20"/>
          <w:szCs w:val="20"/>
          <w:rtl/>
        </w:rPr>
        <w:t>-</w:t>
      </w:r>
      <w:r w:rsidR="00583E48" w:rsidRPr="00740A8D">
        <w:rPr>
          <w:rFonts w:ascii="Tahoma" w:hAnsi="Tahoma" w:cs="Tahoma" w:hint="cs"/>
          <w:b/>
          <w:bCs/>
          <w:color w:val="0D0D0D" w:themeColor="text1" w:themeTint="F2"/>
          <w:sz w:val="20"/>
          <w:szCs w:val="20"/>
          <w:rtl/>
        </w:rPr>
        <w:t>8, 2017 - 2019</w:t>
      </w:r>
    </w:p>
    <w:p w14:paraId="7E0BC1FC" w14:textId="2B07431F" w:rsidR="00EB0D54" w:rsidRPr="00740A8D" w:rsidRDefault="00EB0D54" w:rsidP="00E64444">
      <w:pPr>
        <w:keepNext/>
        <w:spacing w:line="240" w:lineRule="atLeast"/>
        <w:jc w:val="center"/>
        <w:rPr>
          <w:rFonts w:ascii="Tahoma" w:hAnsi="Tahoma" w:cs="Tahoma"/>
          <w:b/>
          <w:noProof/>
          <w:sz w:val="18"/>
          <w:szCs w:val="18"/>
          <w:rtl/>
        </w:rPr>
      </w:pPr>
      <w:r>
        <w:rPr>
          <w:rFonts w:ascii="Tahoma" w:hAnsi="Tahoma" w:cs="Tahoma"/>
          <w:b/>
          <w:noProof/>
          <w:sz w:val="18"/>
          <w:szCs w:val="18"/>
          <w:rtl/>
          <w:lang w:val="he-IL"/>
        </w:rPr>
        <w:drawing>
          <wp:inline distT="0" distB="0" distL="0" distR="0" wp14:anchorId="50A6B475" wp14:editId="0A87FB0B">
            <wp:extent cx="4679950" cy="367411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79950" cy="3674110"/>
                    </a:xfrm>
                    <a:prstGeom prst="rect">
                      <a:avLst/>
                    </a:prstGeom>
                  </pic:spPr>
                </pic:pic>
              </a:graphicData>
            </a:graphic>
          </wp:inline>
        </w:drawing>
      </w:r>
    </w:p>
    <w:p w14:paraId="0382D323" w14:textId="7367C596" w:rsidR="00583E48" w:rsidRPr="00EB0D54" w:rsidRDefault="00583E48" w:rsidP="00EB0D54">
      <w:pPr>
        <w:tabs>
          <w:tab w:val="left" w:pos="424"/>
        </w:tabs>
        <w:spacing w:after="240" w:line="260" w:lineRule="exact"/>
        <w:jc w:val="both"/>
        <w:rPr>
          <w:rFonts w:ascii="Tahoma" w:hAnsi="Tahoma" w:cs="Tahoma"/>
          <w:color w:val="0D0D0D" w:themeColor="text1" w:themeTint="F2"/>
          <w:sz w:val="16"/>
          <w:szCs w:val="16"/>
          <w:rtl/>
        </w:rPr>
      </w:pPr>
      <w:r w:rsidRPr="00EB0D54">
        <w:rPr>
          <w:rFonts w:ascii="Tahoma" w:hAnsi="Tahoma" w:cs="Tahoma" w:hint="cs"/>
          <w:color w:val="0D0D0D" w:themeColor="text1" w:themeTint="F2"/>
          <w:sz w:val="16"/>
          <w:szCs w:val="16"/>
          <w:rtl/>
        </w:rPr>
        <w:t>ה</w:t>
      </w:r>
      <w:r w:rsidRPr="00EB0D54">
        <w:rPr>
          <w:rFonts w:ascii="Tahoma" w:hAnsi="Tahoma" w:cs="Tahoma"/>
          <w:color w:val="0D0D0D" w:themeColor="text1" w:themeTint="F2"/>
          <w:sz w:val="16"/>
          <w:szCs w:val="16"/>
          <w:rtl/>
        </w:rPr>
        <w:t xml:space="preserve">מקור: </w:t>
      </w:r>
      <w:r w:rsidRPr="00EB0D54">
        <w:rPr>
          <w:rFonts w:ascii="Tahoma" w:hAnsi="Tahoma" w:cs="Tahoma" w:hint="cs"/>
          <w:color w:val="0D0D0D" w:themeColor="text1" w:themeTint="F2"/>
          <w:sz w:val="16"/>
          <w:szCs w:val="16"/>
          <w:rtl/>
        </w:rPr>
        <w:t xml:space="preserve">אתר האינטרנט של </w:t>
      </w:r>
      <w:r w:rsidRPr="00EB0D54">
        <w:rPr>
          <w:rFonts w:ascii="Tahoma" w:hAnsi="Tahoma" w:cs="Tahoma"/>
          <w:color w:val="0D0D0D" w:themeColor="text1" w:themeTint="F2"/>
          <w:sz w:val="16"/>
          <w:szCs w:val="16"/>
          <w:rtl/>
        </w:rPr>
        <w:t>ארגון ה-</w:t>
      </w:r>
      <w:r w:rsidRPr="00EB0D54">
        <w:rPr>
          <w:rFonts w:ascii="Tahoma" w:hAnsi="Tahoma" w:cs="Tahoma"/>
          <w:color w:val="0D0D0D" w:themeColor="text1" w:themeTint="F2"/>
          <w:sz w:val="16"/>
          <w:szCs w:val="16"/>
        </w:rPr>
        <w:t>DQ Institute</w:t>
      </w:r>
      <w:r w:rsidR="008274C2" w:rsidRPr="008274C2">
        <w:rPr>
          <w:rFonts w:ascii="Tahoma" w:hAnsi="Tahoma" w:cs="Tahoma" w:hint="cs"/>
          <w:color w:val="0D0D0D" w:themeColor="text1" w:themeTint="F2"/>
          <w:sz w:val="4"/>
          <w:szCs w:val="4"/>
          <w:rtl/>
        </w:rPr>
        <w:t xml:space="preserve"> </w:t>
      </w:r>
      <w:r w:rsidR="008274C2" w:rsidRPr="00EB0D54">
        <w:rPr>
          <w:color w:val="0D0D0D" w:themeColor="text1" w:themeTint="F2"/>
          <w:sz w:val="16"/>
          <w:szCs w:val="16"/>
          <w:vertAlign w:val="superscript"/>
          <w:rtl/>
        </w:rPr>
        <w:footnoteReference w:id="21"/>
      </w:r>
      <w:r w:rsidRPr="00EB0D54">
        <w:rPr>
          <w:rFonts w:ascii="Tahoma" w:hAnsi="Tahoma" w:cs="Tahoma" w:hint="cs"/>
          <w:color w:val="0D0D0D" w:themeColor="text1" w:themeTint="F2"/>
          <w:sz w:val="16"/>
          <w:szCs w:val="16"/>
          <w:rtl/>
        </w:rPr>
        <w:t xml:space="preserve"> (התרשים תורגם על ידי</w:t>
      </w:r>
      <w:r w:rsidRPr="00EB0D54">
        <w:rPr>
          <w:rFonts w:ascii="Tahoma" w:hAnsi="Tahoma" w:cs="Tahoma"/>
          <w:color w:val="0D0D0D" w:themeColor="text1" w:themeTint="F2"/>
          <w:sz w:val="16"/>
          <w:szCs w:val="16"/>
          <w:rtl/>
        </w:rPr>
        <w:t xml:space="preserve"> </w:t>
      </w:r>
      <w:r w:rsidRPr="00EB0D54">
        <w:rPr>
          <w:rFonts w:ascii="Tahoma" w:hAnsi="Tahoma" w:cs="Tahoma" w:hint="eastAsia"/>
          <w:color w:val="0D0D0D" w:themeColor="text1" w:themeTint="F2"/>
          <w:sz w:val="16"/>
          <w:szCs w:val="16"/>
          <w:rtl/>
        </w:rPr>
        <w:t>משרד</w:t>
      </w:r>
      <w:r w:rsidRPr="00EB0D54">
        <w:rPr>
          <w:rFonts w:ascii="Tahoma" w:hAnsi="Tahoma" w:cs="Tahoma"/>
          <w:color w:val="0D0D0D" w:themeColor="text1" w:themeTint="F2"/>
          <w:sz w:val="16"/>
          <w:szCs w:val="16"/>
          <w:rtl/>
        </w:rPr>
        <w:t xml:space="preserve"> </w:t>
      </w:r>
      <w:r w:rsidRPr="00EB0D54">
        <w:rPr>
          <w:rFonts w:ascii="Tahoma" w:hAnsi="Tahoma" w:cs="Tahoma" w:hint="eastAsia"/>
          <w:color w:val="0D0D0D" w:themeColor="text1" w:themeTint="F2"/>
          <w:sz w:val="16"/>
          <w:szCs w:val="16"/>
          <w:rtl/>
        </w:rPr>
        <w:t>מבקר</w:t>
      </w:r>
      <w:r w:rsidRPr="00EB0D54">
        <w:rPr>
          <w:rFonts w:ascii="Tahoma" w:hAnsi="Tahoma" w:cs="Tahoma"/>
          <w:color w:val="0D0D0D" w:themeColor="text1" w:themeTint="F2"/>
          <w:sz w:val="16"/>
          <w:szCs w:val="16"/>
          <w:rtl/>
        </w:rPr>
        <w:t xml:space="preserve"> </w:t>
      </w:r>
      <w:r w:rsidRPr="00EB0D54">
        <w:rPr>
          <w:rFonts w:ascii="Tahoma" w:hAnsi="Tahoma" w:cs="Tahoma" w:hint="eastAsia"/>
          <w:color w:val="0D0D0D" w:themeColor="text1" w:themeTint="F2"/>
          <w:sz w:val="16"/>
          <w:szCs w:val="16"/>
          <w:rtl/>
        </w:rPr>
        <w:t>המדינה</w:t>
      </w:r>
      <w:r w:rsidRPr="00EB0D54">
        <w:rPr>
          <w:rFonts w:ascii="Tahoma" w:hAnsi="Tahoma" w:cs="Tahoma" w:hint="cs"/>
          <w:color w:val="0D0D0D" w:themeColor="text1" w:themeTint="F2"/>
          <w:sz w:val="16"/>
          <w:szCs w:val="16"/>
          <w:rtl/>
        </w:rPr>
        <w:t>).</w:t>
      </w:r>
    </w:p>
    <w:p w14:paraId="4CEA9EF6" w14:textId="77777777"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הסיכונים במרחב המקוון קיימים לעיתים גם במרחב הפיזי, אולם בשל המאפיינים הטכנולוגיי</w:t>
      </w:r>
      <w:r w:rsidRPr="00740A8D">
        <w:rPr>
          <w:rFonts w:ascii="Tahoma" w:hAnsi="Tahoma" w:cs="Tahoma" w:hint="eastAsia"/>
          <w:sz w:val="18"/>
          <w:szCs w:val="18"/>
          <w:rtl/>
        </w:rPr>
        <w:t>ם</w:t>
      </w:r>
      <w:r w:rsidRPr="00740A8D">
        <w:rPr>
          <w:rFonts w:ascii="Tahoma" w:hAnsi="Tahoma" w:cs="Tahoma" w:hint="cs"/>
          <w:sz w:val="18"/>
          <w:szCs w:val="18"/>
          <w:rtl/>
        </w:rPr>
        <w:t>-הארכיטקטוניים של המרחב המקוון, עוצמת פגיעתם עלולה להיות קשה יותר כאשר הם מתרחשים בו</w:t>
      </w:r>
      <w:r w:rsidRPr="00740A8D">
        <w:rPr>
          <w:rStyle w:val="FootnoteReference"/>
          <w:rFonts w:ascii="Tahoma" w:hAnsi="Tahoma" w:cs="Tahoma"/>
          <w:sz w:val="18"/>
          <w:szCs w:val="18"/>
          <w:rtl/>
        </w:rPr>
        <w:footnoteReference w:id="22"/>
      </w:r>
      <w:r w:rsidRPr="00740A8D">
        <w:rPr>
          <w:rFonts w:ascii="Tahoma" w:hAnsi="Tahoma" w:cs="Tahoma" w:hint="cs"/>
          <w:sz w:val="18"/>
          <w:szCs w:val="18"/>
          <w:rtl/>
        </w:rPr>
        <w:t>. הדבר נכון במיוחד בכל הנוגע לפגיעה המתרחשת ברשתות החברתיות.</w:t>
      </w:r>
    </w:p>
    <w:p w14:paraId="5FE11483" w14:textId="6D98C118" w:rsidR="00583E48" w:rsidRPr="00740A8D" w:rsidRDefault="00E64444" w:rsidP="00A059BD">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E64444">
        <w:rPr>
          <w:rFonts w:ascii="Tahoma" w:hAnsi="Tahoma" w:cs="Tahoma" w:hint="cs"/>
          <w:color w:val="0D0D0D" w:themeColor="text1" w:themeTint="F2"/>
          <w:sz w:val="20"/>
          <w:szCs w:val="20"/>
          <w:rtl/>
        </w:rPr>
        <w:lastRenderedPageBreak/>
        <w:t xml:space="preserve">תרשים 6: </w:t>
      </w:r>
      <w:r w:rsidR="00583E48" w:rsidRPr="00740A8D">
        <w:rPr>
          <w:rFonts w:ascii="Tahoma" w:hAnsi="Tahoma" w:cs="Tahoma" w:hint="cs"/>
          <w:b/>
          <w:bCs/>
          <w:color w:val="0D0D0D" w:themeColor="text1" w:themeTint="F2"/>
          <w:sz w:val="20"/>
          <w:szCs w:val="20"/>
          <w:rtl/>
        </w:rPr>
        <w:t>מאפייני המרחב המקוון</w:t>
      </w:r>
    </w:p>
    <w:p w14:paraId="7C5F757E" w14:textId="1978C57D" w:rsidR="00817649" w:rsidRPr="00740A8D" w:rsidRDefault="00817649" w:rsidP="007F4A31">
      <w:pPr>
        <w:keepNext/>
        <w:spacing w:after="240"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493D06A1" wp14:editId="00814363">
            <wp:extent cx="4679950" cy="543306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9950" cy="5433060"/>
                    </a:xfrm>
                    <a:prstGeom prst="rect">
                      <a:avLst/>
                    </a:prstGeom>
                  </pic:spPr>
                </pic:pic>
              </a:graphicData>
            </a:graphic>
          </wp:inline>
        </w:drawing>
      </w:r>
    </w:p>
    <w:p w14:paraId="2BC7A12C" w14:textId="13C4356B"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 xml:space="preserve">הערכות משטרת ישראל (להלן גם - המשטרה) מצביעות על כך שהשימוש הגובר במרחב המקוון בעת משבר הקורונה בשנת 2020 הביא להתגברות הפעילות הפלילית ברשת האינטרנט. בין השאר השימוש ההולך וגובר של ילדים ובני נוער ברשת בתקופה זו יצר הזדמנות לפעילות נרחבת עבור עברייני מין וחשף קטינים רבים לפגיעה מתופעות שונות כגון בריונות ברשת, ביוש, עבירות מין, ורכישת סמים באינטרנט. </w:t>
      </w:r>
    </w:p>
    <w:p w14:paraId="247EDE1E" w14:textId="77777777"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 xml:space="preserve">הסיכונים הטמונים בעולם המקוון רלוונטיים לכלל האוכלוסייה, אך הם מתעצמים כאשר מדובר בילדים ובני נוער. הסיבות לכך הן בין היתר השימוש הנרחב בגילים אלה ברשת האינטרנט, חשיבותן של מערכות היחסים החברתיות בגילים אלה ומרכזיות הרשתות </w:t>
      </w:r>
      <w:r w:rsidRPr="00740A8D">
        <w:rPr>
          <w:rFonts w:ascii="Tahoma" w:hAnsi="Tahoma" w:cs="Tahoma" w:hint="cs"/>
          <w:sz w:val="18"/>
          <w:szCs w:val="18"/>
          <w:rtl/>
        </w:rPr>
        <w:lastRenderedPageBreak/>
        <w:t xml:space="preserve">החברתיות לניהולן, וחוסר בשלותה של היכולת הרגשית בגילים אלה להתמודד עם הסיכונים והפגיעות. </w:t>
      </w:r>
    </w:p>
    <w:p w14:paraId="321BE32A" w14:textId="3DD1A8C1" w:rsidR="00583E48" w:rsidRPr="00817649" w:rsidRDefault="00583E48" w:rsidP="00817649">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817649">
        <w:rPr>
          <w:rFonts w:ascii="Tahoma" w:hAnsi="Tahoma" w:cs="Tahoma"/>
          <w:b/>
          <w:color w:val="0D0D0D" w:themeColor="text1" w:themeTint="F2"/>
          <w:sz w:val="18"/>
          <w:szCs w:val="18"/>
          <w:rtl/>
        </w:rPr>
        <w:t>לפגיעות ברשת</w:t>
      </w:r>
      <w:r w:rsidRPr="00817649">
        <w:rPr>
          <w:rFonts w:ascii="Tahoma" w:hAnsi="Tahoma" w:cs="Tahoma" w:hint="cs"/>
          <w:b/>
          <w:color w:val="0D0D0D" w:themeColor="text1" w:themeTint="F2"/>
          <w:sz w:val="18"/>
          <w:szCs w:val="18"/>
          <w:rtl/>
        </w:rPr>
        <w:t xml:space="preserve"> בילדים ובבני נוער</w:t>
      </w:r>
      <w:r w:rsidRPr="00817649">
        <w:rPr>
          <w:rFonts w:ascii="Tahoma" w:hAnsi="Tahoma" w:cs="Tahoma"/>
          <w:b/>
          <w:color w:val="0D0D0D" w:themeColor="text1" w:themeTint="F2"/>
          <w:sz w:val="18"/>
          <w:szCs w:val="18"/>
          <w:rtl/>
        </w:rPr>
        <w:t xml:space="preserve"> </w:t>
      </w:r>
      <w:r w:rsidRPr="00817649">
        <w:rPr>
          <w:rFonts w:ascii="Tahoma" w:hAnsi="Tahoma" w:cs="Tahoma" w:hint="cs"/>
          <w:b/>
          <w:color w:val="0D0D0D" w:themeColor="text1" w:themeTint="F2"/>
          <w:sz w:val="18"/>
          <w:szCs w:val="18"/>
          <w:rtl/>
        </w:rPr>
        <w:t>עלולות להיות השלכות קשות ביותר:</w:t>
      </w:r>
      <w:r w:rsidRPr="00817649">
        <w:rPr>
          <w:rFonts w:ascii="Tahoma" w:hAnsi="Tahoma" w:cs="Tahoma"/>
          <w:b/>
          <w:color w:val="0D0D0D" w:themeColor="text1" w:themeTint="F2"/>
          <w:sz w:val="18"/>
          <w:szCs w:val="18"/>
          <w:rtl/>
        </w:rPr>
        <w:t xml:space="preserve"> מחקרים שנערכו בעולם העלו כי התחומים המושפעים ביותר </w:t>
      </w:r>
      <w:r w:rsidRPr="00817649">
        <w:rPr>
          <w:rFonts w:ascii="Tahoma" w:hAnsi="Tahoma" w:cs="Tahoma" w:hint="cs"/>
          <w:b/>
          <w:color w:val="0D0D0D" w:themeColor="text1" w:themeTint="F2"/>
          <w:sz w:val="18"/>
          <w:szCs w:val="18"/>
          <w:rtl/>
        </w:rPr>
        <w:t xml:space="preserve">הם </w:t>
      </w:r>
      <w:r w:rsidRPr="00817649">
        <w:rPr>
          <w:rFonts w:ascii="Tahoma" w:hAnsi="Tahoma" w:cs="Tahoma"/>
          <w:b/>
          <w:color w:val="0D0D0D" w:themeColor="text1" w:themeTint="F2"/>
          <w:sz w:val="18"/>
          <w:szCs w:val="18"/>
          <w:rtl/>
        </w:rPr>
        <w:t>החברתיים, הרגשיים וההתנהגותיים</w:t>
      </w:r>
      <w:r w:rsidR="00817649" w:rsidRPr="00817649">
        <w:rPr>
          <w:rFonts w:ascii="Tahoma" w:hAnsi="Tahoma" w:cs="Tahoma"/>
          <w:color w:val="0D0D0D" w:themeColor="text1" w:themeTint="F2"/>
          <w:sz w:val="18"/>
          <w:szCs w:val="18"/>
          <w:vertAlign w:val="superscript"/>
          <w:rtl/>
        </w:rPr>
        <w:footnoteReference w:id="23"/>
      </w:r>
      <w:r w:rsidRPr="00817649">
        <w:rPr>
          <w:rFonts w:ascii="Tahoma" w:hAnsi="Tahoma" w:cs="Tahoma" w:hint="cs"/>
          <w:b/>
          <w:color w:val="0D0D0D" w:themeColor="text1" w:themeTint="F2"/>
          <w:sz w:val="18"/>
          <w:szCs w:val="18"/>
          <w:rtl/>
        </w:rPr>
        <w:t>. השלכות הפגיעות כוללות פגיעה בביטחון העצמי, עלייה בסיכויים לצריכת סמים ואלכוהול, בעיות בלימודים ובמסגרות חברתיות, מתח ולחץ, הימנעות מהשתתפות במסגרות חברתיות ועוד</w:t>
      </w:r>
      <w:r w:rsidR="00817649" w:rsidRPr="00817649">
        <w:rPr>
          <w:rFonts w:ascii="Tahoma" w:hAnsi="Tahoma" w:cs="Tahoma"/>
          <w:color w:val="0D0D0D" w:themeColor="text1" w:themeTint="F2"/>
          <w:sz w:val="18"/>
          <w:szCs w:val="18"/>
          <w:vertAlign w:val="superscript"/>
          <w:rtl/>
        </w:rPr>
        <w:footnoteReference w:id="24"/>
      </w:r>
      <w:r w:rsidRPr="00817649">
        <w:rPr>
          <w:rFonts w:ascii="Tahoma" w:hAnsi="Tahoma" w:cs="Tahoma" w:hint="cs"/>
          <w:b/>
          <w:color w:val="0D0D0D" w:themeColor="text1" w:themeTint="F2"/>
          <w:sz w:val="18"/>
          <w:szCs w:val="18"/>
          <w:rtl/>
        </w:rPr>
        <w:t xml:space="preserve">. </w:t>
      </w:r>
    </w:p>
    <w:p w14:paraId="72E699EC" w14:textId="1834A37E" w:rsidR="00583E48" w:rsidRPr="00740A8D" w:rsidRDefault="00E64444" w:rsidP="00A059BD">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E64444">
        <w:rPr>
          <w:rFonts w:ascii="Tahoma" w:hAnsi="Tahoma" w:cs="Tahoma" w:hint="cs"/>
          <w:color w:val="0D0D0D" w:themeColor="text1" w:themeTint="F2"/>
          <w:sz w:val="20"/>
          <w:szCs w:val="20"/>
          <w:rtl/>
        </w:rPr>
        <w:t xml:space="preserve">תרשים 7: </w:t>
      </w:r>
      <w:r w:rsidR="00583E48" w:rsidRPr="00740A8D">
        <w:rPr>
          <w:rFonts w:ascii="Tahoma" w:hAnsi="Tahoma" w:cs="Tahoma" w:hint="cs"/>
          <w:b/>
          <w:bCs/>
          <w:color w:val="0D0D0D" w:themeColor="text1" w:themeTint="F2"/>
          <w:sz w:val="20"/>
          <w:szCs w:val="20"/>
          <w:rtl/>
        </w:rPr>
        <w:t>השלכות של פגיעות בעולם המקוון</w:t>
      </w:r>
    </w:p>
    <w:p w14:paraId="6583AF20" w14:textId="0D8B942C" w:rsidR="00817649" w:rsidRPr="00740A8D" w:rsidRDefault="00817649" w:rsidP="007F4A31">
      <w:pPr>
        <w:keepNext/>
        <w:spacing w:after="240"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3EC0123C" wp14:editId="505888B0">
            <wp:extent cx="4679950" cy="340360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79950" cy="3403600"/>
                    </a:xfrm>
                    <a:prstGeom prst="rect">
                      <a:avLst/>
                    </a:prstGeom>
                  </pic:spPr>
                </pic:pic>
              </a:graphicData>
            </a:graphic>
          </wp:inline>
        </w:drawing>
      </w:r>
    </w:p>
    <w:p w14:paraId="43D092C0" w14:textId="77777777"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מחקרים שנערכו מצביעים על כך שלפגיעות בילדים ובבני-נוער עלולות להיות השלכות ארוכות טווח. כך למשל, אנשים שעברו חרם בילדותם מדווחים בחלקם על חוסר אמון באחרים ועל כך שהם סובלים מבדידות ומחרדה חברתית. הדבר מתחדד בשל כך שה</w:t>
      </w:r>
      <w:r w:rsidRPr="00740A8D">
        <w:rPr>
          <w:rFonts w:ascii="Tahoma" w:hAnsi="Tahoma" w:cs="Tahoma"/>
          <w:sz w:val="18"/>
          <w:szCs w:val="18"/>
          <w:rtl/>
        </w:rPr>
        <w:t xml:space="preserve">שפעת </w:t>
      </w:r>
      <w:r w:rsidRPr="00740A8D">
        <w:rPr>
          <w:rFonts w:ascii="Tahoma" w:hAnsi="Tahoma" w:cs="Tahoma"/>
          <w:sz w:val="18"/>
          <w:szCs w:val="18"/>
          <w:rtl/>
        </w:rPr>
        <w:lastRenderedPageBreak/>
        <w:t>הבריונות ברשת "מלווה" את הנפגע לאורך תקופת זמן</w:t>
      </w:r>
      <w:r w:rsidRPr="00740A8D">
        <w:rPr>
          <w:rFonts w:ascii="Tahoma" w:hAnsi="Tahoma" w:cs="Tahoma" w:hint="cs"/>
          <w:sz w:val="18"/>
          <w:szCs w:val="18"/>
          <w:rtl/>
        </w:rPr>
        <w:t xml:space="preserve"> </w:t>
      </w:r>
      <w:r w:rsidRPr="00740A8D">
        <w:rPr>
          <w:rFonts w:ascii="Tahoma" w:hAnsi="Tahoma" w:cs="Tahoma"/>
          <w:sz w:val="18"/>
          <w:szCs w:val="18"/>
          <w:rtl/>
        </w:rPr>
        <w:t xml:space="preserve">רב יותר </w:t>
      </w:r>
      <w:proofErr w:type="spellStart"/>
      <w:r w:rsidRPr="00740A8D">
        <w:rPr>
          <w:rFonts w:ascii="Tahoma" w:hAnsi="Tahoma" w:cs="Tahoma"/>
          <w:sz w:val="18"/>
          <w:szCs w:val="18"/>
          <w:rtl/>
        </w:rPr>
        <w:t>מבמקרים</w:t>
      </w:r>
      <w:proofErr w:type="spellEnd"/>
      <w:r w:rsidRPr="00740A8D">
        <w:rPr>
          <w:rFonts w:ascii="Tahoma" w:hAnsi="Tahoma" w:cs="Tahoma"/>
          <w:sz w:val="18"/>
          <w:szCs w:val="18"/>
          <w:rtl/>
        </w:rPr>
        <w:t xml:space="preserve"> של בריונות מסורתית משום שהמעשה זמין באינטרנט מכל מקום ו</w:t>
      </w:r>
      <w:r w:rsidRPr="00740A8D">
        <w:rPr>
          <w:rFonts w:ascii="Tahoma" w:hAnsi="Tahoma" w:cs="Tahoma" w:hint="cs"/>
          <w:sz w:val="18"/>
          <w:szCs w:val="18"/>
          <w:rtl/>
        </w:rPr>
        <w:t>לאורך</w:t>
      </w:r>
      <w:r w:rsidRPr="00740A8D">
        <w:rPr>
          <w:rFonts w:ascii="Tahoma" w:hAnsi="Tahoma" w:cs="Tahoma"/>
          <w:sz w:val="18"/>
          <w:szCs w:val="18"/>
          <w:rtl/>
        </w:rPr>
        <w:t xml:space="preserve"> זמ</w:t>
      </w:r>
      <w:r w:rsidRPr="00740A8D">
        <w:rPr>
          <w:rFonts w:ascii="Tahoma" w:hAnsi="Tahoma" w:cs="Tahoma" w:hint="cs"/>
          <w:sz w:val="18"/>
          <w:szCs w:val="18"/>
          <w:rtl/>
        </w:rPr>
        <w:t>ן</w:t>
      </w:r>
      <w:r w:rsidRPr="00740A8D">
        <w:rPr>
          <w:rStyle w:val="FootnoteReference"/>
          <w:rFonts w:ascii="Tahoma" w:hAnsi="Tahoma" w:cs="Tahoma"/>
          <w:sz w:val="18"/>
          <w:szCs w:val="18"/>
          <w:rtl/>
        </w:rPr>
        <w:footnoteReference w:id="25"/>
      </w:r>
      <w:r w:rsidRPr="00740A8D">
        <w:rPr>
          <w:rFonts w:ascii="Tahoma" w:hAnsi="Tahoma" w:cs="Tahoma" w:hint="cs"/>
          <w:sz w:val="18"/>
          <w:szCs w:val="18"/>
          <w:rtl/>
        </w:rPr>
        <w:t>.</w:t>
      </w:r>
    </w:p>
    <w:p w14:paraId="339A9A14" w14:textId="77777777" w:rsidR="00583E48" w:rsidRPr="00740A8D" w:rsidRDefault="00583E48" w:rsidP="00740A8D">
      <w:pPr>
        <w:spacing w:line="260" w:lineRule="exact"/>
        <w:jc w:val="both"/>
        <w:rPr>
          <w:rFonts w:ascii="Tahoma" w:hAnsi="Tahoma" w:cs="Tahoma"/>
          <w:sz w:val="18"/>
          <w:szCs w:val="18"/>
          <w:rtl/>
        </w:rPr>
      </w:pPr>
      <w:r w:rsidRPr="00740A8D">
        <w:rPr>
          <w:rFonts w:ascii="Tahoma" w:hAnsi="Tahoma" w:cs="Tahoma"/>
          <w:sz w:val="18"/>
          <w:szCs w:val="18"/>
          <w:rtl/>
        </w:rPr>
        <w:t xml:space="preserve">מאמרים </w:t>
      </w:r>
      <w:r w:rsidRPr="00740A8D">
        <w:rPr>
          <w:rFonts w:ascii="Tahoma" w:hAnsi="Tahoma" w:cs="Tahoma" w:hint="eastAsia"/>
          <w:sz w:val="18"/>
          <w:szCs w:val="18"/>
          <w:rtl/>
        </w:rPr>
        <w:t>אחרים</w:t>
      </w:r>
      <w:r w:rsidRPr="00740A8D">
        <w:rPr>
          <w:rStyle w:val="FootnoteReference"/>
          <w:rFonts w:ascii="Tahoma" w:hAnsi="Tahoma" w:cs="Tahoma"/>
          <w:sz w:val="18"/>
          <w:szCs w:val="18"/>
          <w:rtl/>
        </w:rPr>
        <w:footnoteReference w:id="26"/>
      </w:r>
      <w:r w:rsidRPr="00740A8D">
        <w:rPr>
          <w:rFonts w:ascii="Tahoma" w:hAnsi="Tahoma" w:cs="Tahoma"/>
          <w:sz w:val="18"/>
          <w:szCs w:val="18"/>
          <w:rtl/>
        </w:rPr>
        <w:t xml:space="preserve"> </w:t>
      </w:r>
      <w:r w:rsidRPr="00740A8D">
        <w:rPr>
          <w:rFonts w:ascii="Tahoma" w:hAnsi="Tahoma" w:cs="Tahoma" w:hint="cs"/>
          <w:sz w:val="18"/>
          <w:szCs w:val="18"/>
          <w:rtl/>
        </w:rPr>
        <w:t>מלמדים</w:t>
      </w:r>
      <w:r w:rsidRPr="00740A8D">
        <w:rPr>
          <w:rFonts w:ascii="Tahoma" w:hAnsi="Tahoma" w:cs="Tahoma"/>
          <w:sz w:val="18"/>
          <w:szCs w:val="18"/>
          <w:rtl/>
        </w:rPr>
        <w:t xml:space="preserve"> </w:t>
      </w:r>
      <w:r w:rsidRPr="00740A8D">
        <w:rPr>
          <w:rFonts w:ascii="Tahoma" w:hAnsi="Tahoma" w:cs="Tahoma" w:hint="cs"/>
          <w:sz w:val="18"/>
          <w:szCs w:val="18"/>
          <w:rtl/>
        </w:rPr>
        <w:t>שה</w:t>
      </w:r>
      <w:r w:rsidRPr="00740A8D">
        <w:rPr>
          <w:rFonts w:ascii="Tahoma" w:hAnsi="Tahoma" w:cs="Tahoma"/>
          <w:sz w:val="18"/>
          <w:szCs w:val="18"/>
          <w:rtl/>
        </w:rPr>
        <w:t>שפעות פגיעה מינית</w:t>
      </w:r>
      <w:r w:rsidRPr="00740A8D">
        <w:rPr>
          <w:rFonts w:ascii="Tahoma" w:hAnsi="Tahoma" w:cs="Tahoma" w:hint="cs"/>
          <w:sz w:val="18"/>
          <w:szCs w:val="18"/>
          <w:rtl/>
        </w:rPr>
        <w:t xml:space="preserve"> בקטינים</w:t>
      </w:r>
      <w:r w:rsidRPr="00740A8D">
        <w:rPr>
          <w:rFonts w:ascii="Tahoma" w:hAnsi="Tahoma" w:cs="Tahoma"/>
          <w:sz w:val="18"/>
          <w:szCs w:val="18"/>
          <w:rtl/>
        </w:rPr>
        <w:t xml:space="preserve"> </w:t>
      </w:r>
      <w:r w:rsidRPr="00740A8D">
        <w:rPr>
          <w:rFonts w:ascii="Tahoma" w:hAnsi="Tahoma" w:cs="Tahoma" w:hint="cs"/>
          <w:sz w:val="18"/>
          <w:szCs w:val="18"/>
          <w:rtl/>
        </w:rPr>
        <w:t>עלולות להיות</w:t>
      </w:r>
      <w:r w:rsidRPr="00740A8D">
        <w:rPr>
          <w:rFonts w:ascii="Tahoma" w:hAnsi="Tahoma" w:cs="Tahoma"/>
          <w:sz w:val="18"/>
          <w:szCs w:val="18"/>
          <w:rtl/>
        </w:rPr>
        <w:t xml:space="preserve"> ארוכות טווח</w:t>
      </w:r>
      <w:r w:rsidRPr="00740A8D">
        <w:rPr>
          <w:rFonts w:ascii="Tahoma" w:hAnsi="Tahoma" w:cs="Tahoma" w:hint="cs"/>
          <w:sz w:val="18"/>
          <w:szCs w:val="18"/>
          <w:rtl/>
        </w:rPr>
        <w:t>,</w:t>
      </w:r>
      <w:r w:rsidRPr="00740A8D">
        <w:rPr>
          <w:rFonts w:ascii="Tahoma" w:hAnsi="Tahoma" w:cs="Tahoma"/>
          <w:sz w:val="18"/>
          <w:szCs w:val="18"/>
          <w:rtl/>
        </w:rPr>
        <w:t xml:space="preserve"> ו</w:t>
      </w:r>
      <w:r w:rsidRPr="00740A8D">
        <w:rPr>
          <w:rFonts w:ascii="Tahoma" w:hAnsi="Tahoma" w:cs="Tahoma" w:hint="cs"/>
          <w:sz w:val="18"/>
          <w:szCs w:val="18"/>
          <w:rtl/>
        </w:rPr>
        <w:t>ל</w:t>
      </w:r>
      <w:r w:rsidRPr="00740A8D">
        <w:rPr>
          <w:rFonts w:ascii="Tahoma" w:hAnsi="Tahoma" w:cs="Tahoma"/>
          <w:sz w:val="18"/>
          <w:szCs w:val="18"/>
          <w:rtl/>
        </w:rPr>
        <w:t>לוות את הקטין גם</w:t>
      </w:r>
      <w:r w:rsidRPr="00740A8D">
        <w:rPr>
          <w:rFonts w:ascii="Tahoma" w:hAnsi="Tahoma" w:cs="Tahoma" w:hint="cs"/>
          <w:sz w:val="18"/>
          <w:szCs w:val="18"/>
          <w:rtl/>
        </w:rPr>
        <w:t xml:space="preserve"> </w:t>
      </w:r>
      <w:r w:rsidRPr="00740A8D">
        <w:rPr>
          <w:rFonts w:ascii="Tahoma" w:hAnsi="Tahoma" w:cs="Tahoma"/>
          <w:sz w:val="18"/>
          <w:szCs w:val="18"/>
          <w:rtl/>
        </w:rPr>
        <w:t>בבגרותו. הפגיעה</w:t>
      </w:r>
      <w:r w:rsidRPr="00740A8D">
        <w:rPr>
          <w:rFonts w:ascii="Tahoma" w:hAnsi="Tahoma" w:cs="Tahoma" w:hint="cs"/>
          <w:sz w:val="18"/>
          <w:szCs w:val="18"/>
          <w:rtl/>
        </w:rPr>
        <w:t xml:space="preserve"> </w:t>
      </w:r>
      <w:r w:rsidRPr="00740A8D">
        <w:rPr>
          <w:rFonts w:ascii="Tahoma" w:hAnsi="Tahoma" w:cs="Tahoma"/>
          <w:sz w:val="18"/>
          <w:szCs w:val="18"/>
          <w:rtl/>
        </w:rPr>
        <w:t>המינית פוגעת ברבדים נפשיים עמוקים המובילים בין היתר לתחושות אשמה,</w:t>
      </w:r>
      <w:r w:rsidRPr="00740A8D">
        <w:rPr>
          <w:rFonts w:ascii="Tahoma" w:hAnsi="Tahoma" w:cs="Tahoma" w:hint="cs"/>
          <w:sz w:val="18"/>
          <w:szCs w:val="18"/>
          <w:rtl/>
        </w:rPr>
        <w:t xml:space="preserve"> </w:t>
      </w:r>
      <w:r w:rsidRPr="00740A8D">
        <w:rPr>
          <w:rFonts w:ascii="Tahoma" w:hAnsi="Tahoma" w:cs="Tahoma"/>
          <w:sz w:val="18"/>
          <w:szCs w:val="18"/>
          <w:rtl/>
        </w:rPr>
        <w:t xml:space="preserve">חוסר אונים, השפלה, בלבול, כאב נפשי </w:t>
      </w:r>
      <w:r w:rsidRPr="00740A8D">
        <w:rPr>
          <w:rFonts w:ascii="Tahoma" w:hAnsi="Tahoma" w:cs="Tahoma" w:hint="cs"/>
          <w:sz w:val="18"/>
          <w:szCs w:val="18"/>
          <w:rtl/>
        </w:rPr>
        <w:t>ועוד.</w:t>
      </w:r>
      <w:r w:rsidRPr="00740A8D">
        <w:rPr>
          <w:rFonts w:ascii="Tahoma" w:hAnsi="Tahoma" w:cs="Tahoma"/>
          <w:sz w:val="18"/>
          <w:szCs w:val="18"/>
          <w:rtl/>
        </w:rPr>
        <w:t xml:space="preserve"> קורבנות עבירות אלה עלולים להתקשות בקיומן של מערכות</w:t>
      </w:r>
      <w:r w:rsidRPr="00740A8D">
        <w:rPr>
          <w:rFonts w:ascii="Tahoma" w:hAnsi="Tahoma" w:cs="Tahoma" w:hint="cs"/>
          <w:sz w:val="18"/>
          <w:szCs w:val="18"/>
          <w:rtl/>
        </w:rPr>
        <w:t xml:space="preserve"> </w:t>
      </w:r>
      <w:r w:rsidRPr="00740A8D">
        <w:rPr>
          <w:rFonts w:ascii="Tahoma" w:hAnsi="Tahoma" w:cs="Tahoma"/>
          <w:sz w:val="18"/>
          <w:szCs w:val="18"/>
          <w:rtl/>
        </w:rPr>
        <w:t>יחסים אינטימיות, לרבות זוגיות תקינה ויציבה.</w:t>
      </w:r>
    </w:p>
    <w:p w14:paraId="4D15D24C" w14:textId="77777777"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גם כאשר מדובר ב</w:t>
      </w:r>
      <w:r w:rsidRPr="00740A8D">
        <w:rPr>
          <w:rFonts w:ascii="Tahoma" w:hAnsi="Tahoma" w:cs="Tahoma"/>
          <w:sz w:val="18"/>
          <w:szCs w:val="18"/>
          <w:rtl/>
        </w:rPr>
        <w:t>הפצת תמונות וסרטונים</w:t>
      </w:r>
      <w:r w:rsidRPr="00740A8D">
        <w:rPr>
          <w:rFonts w:ascii="Tahoma" w:hAnsi="Tahoma" w:cs="Tahoma" w:hint="cs"/>
          <w:sz w:val="18"/>
          <w:szCs w:val="18"/>
          <w:rtl/>
        </w:rPr>
        <w:t xml:space="preserve"> אינטימיים ללא רשותו של אדם הנזק הנגרם הוא ארוך טווח: </w:t>
      </w:r>
      <w:r w:rsidRPr="00740A8D">
        <w:rPr>
          <w:rFonts w:ascii="Tahoma" w:hAnsi="Tahoma" w:cs="Tahoma"/>
          <w:sz w:val="18"/>
          <w:szCs w:val="18"/>
          <w:rtl/>
        </w:rPr>
        <w:t>"הנזק שנגרם לקורבנות עבירות אלו הוא מקיף ומתפשט הוא אינו סטטי. הנזק משנה באופן דרסטי את חוויות היומיום של הקורבנות, את מערכות היחסים הנוכחיות ואולי אף העתידיות שלהם. עוד מתבטא הנזק בפן המקצועי והתעסוקתי, כאשר פעמים רבות אותם קורבנות מאבדים את מקומות העבודה שלהם או מתקשים למצוא מקומות עבודה חדשים, שכן זהותם הדיגיטלית מוכתמת ומעסיקים פוטנציאליים נמנעים מהעסקתם</w:t>
      </w:r>
      <w:r w:rsidRPr="00740A8D">
        <w:rPr>
          <w:rFonts w:ascii="Tahoma" w:hAnsi="Tahoma" w:cs="Tahoma" w:hint="cs"/>
          <w:sz w:val="18"/>
          <w:szCs w:val="18"/>
          <w:rtl/>
        </w:rPr>
        <w:t>"</w:t>
      </w:r>
      <w:r w:rsidRPr="00740A8D">
        <w:rPr>
          <w:rStyle w:val="FootnoteReference"/>
          <w:rFonts w:ascii="Tahoma" w:hAnsi="Tahoma" w:cs="Tahoma"/>
          <w:sz w:val="18"/>
          <w:szCs w:val="18"/>
          <w:rtl/>
        </w:rPr>
        <w:footnoteReference w:id="27"/>
      </w:r>
      <w:r w:rsidRPr="00740A8D">
        <w:rPr>
          <w:rFonts w:ascii="Tahoma" w:hAnsi="Tahoma" w:cs="Tahoma"/>
          <w:sz w:val="18"/>
          <w:szCs w:val="18"/>
          <w:rtl/>
        </w:rPr>
        <w:t xml:space="preserve">. </w:t>
      </w:r>
    </w:p>
    <w:p w14:paraId="59319010" w14:textId="77777777" w:rsidR="00583E48" w:rsidRPr="00740A8D" w:rsidRDefault="00583E48" w:rsidP="00740A8D">
      <w:pPr>
        <w:spacing w:line="260" w:lineRule="exact"/>
        <w:jc w:val="both"/>
        <w:rPr>
          <w:rFonts w:ascii="Tahoma" w:hAnsi="Tahoma" w:cs="Tahoma"/>
          <w:sz w:val="18"/>
          <w:szCs w:val="18"/>
          <w:rtl/>
        </w:rPr>
      </w:pPr>
    </w:p>
    <w:p w14:paraId="5D70A993" w14:textId="77777777" w:rsidR="00583E48" w:rsidRPr="00A626B6" w:rsidRDefault="00583E48" w:rsidP="00583E48">
      <w:pPr>
        <w:pStyle w:val="KOT5N"/>
        <w:rPr>
          <w:rtl/>
        </w:rPr>
      </w:pPr>
      <w:r w:rsidRPr="00A626B6">
        <w:rPr>
          <w:rFonts w:hint="cs"/>
          <w:rtl/>
        </w:rPr>
        <w:t>מסמכי יסוד בי</w:t>
      </w:r>
      <w:r>
        <w:rPr>
          <w:rFonts w:hint="cs"/>
          <w:rtl/>
        </w:rPr>
        <w:t>ן-</w:t>
      </w:r>
      <w:r w:rsidRPr="00A626B6">
        <w:rPr>
          <w:rFonts w:hint="cs"/>
          <w:rtl/>
        </w:rPr>
        <w:t>לאומיים</w:t>
      </w:r>
    </w:p>
    <w:p w14:paraId="46265E98" w14:textId="77777777"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נושא הסיכונים לילדים ובני נוער ברשת נמצא על סדר היום הציבורי בארץ ובעולם, והצורך בהתמודדות עימו מעוגן במסמכי יסוד בין-לאומיים, בהם:</w:t>
      </w:r>
    </w:p>
    <w:p w14:paraId="4907C02A" w14:textId="5E388426"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בשנת 2021 פרסמה ו</w:t>
      </w:r>
      <w:r w:rsidRPr="00740A8D">
        <w:rPr>
          <w:rFonts w:ascii="Tahoma" w:hAnsi="Tahoma" w:cs="Tahoma"/>
          <w:sz w:val="18"/>
          <w:szCs w:val="18"/>
          <w:rtl/>
        </w:rPr>
        <w:t>עדת זכויות הילד של האו"ם</w:t>
      </w:r>
      <w:r w:rsidRPr="00740A8D">
        <w:rPr>
          <w:rFonts w:ascii="Tahoma" w:hAnsi="Tahoma" w:cs="Tahoma" w:hint="cs"/>
          <w:sz w:val="18"/>
          <w:szCs w:val="18"/>
          <w:rtl/>
        </w:rPr>
        <w:t xml:space="preserve"> </w:t>
      </w:r>
      <w:r w:rsidRPr="00740A8D">
        <w:rPr>
          <w:rFonts w:ascii="Tahoma" w:hAnsi="Tahoma" w:cs="Tahoma"/>
          <w:sz w:val="18"/>
          <w:szCs w:val="18"/>
          <w:rtl/>
        </w:rPr>
        <w:t>מסמך מנחה בנושא זכויות ילדים ביחס לסביבה הדיגיטלית,</w:t>
      </w:r>
      <w:r w:rsidRPr="00740A8D">
        <w:rPr>
          <w:rFonts w:ascii="Tahoma" w:hAnsi="Tahoma" w:cs="Tahoma" w:hint="cs"/>
          <w:sz w:val="18"/>
          <w:szCs w:val="18"/>
          <w:rtl/>
        </w:rPr>
        <w:t xml:space="preserve"> המשמש נדבך ב</w:t>
      </w:r>
      <w:r w:rsidRPr="00740A8D">
        <w:rPr>
          <w:rFonts w:ascii="Tahoma" w:hAnsi="Tahoma" w:cs="Tahoma"/>
          <w:sz w:val="18"/>
          <w:szCs w:val="18"/>
          <w:rtl/>
        </w:rPr>
        <w:t>אמנת האו"ם לזכויות הילד</w:t>
      </w:r>
      <w:r w:rsidRPr="00740A8D">
        <w:rPr>
          <w:rStyle w:val="FootnoteReference"/>
          <w:rFonts w:ascii="Tahoma" w:hAnsi="Tahoma" w:cs="Tahoma"/>
          <w:sz w:val="18"/>
          <w:szCs w:val="18"/>
          <w:rtl/>
        </w:rPr>
        <w:footnoteReference w:id="28"/>
      </w:r>
      <w:r w:rsidRPr="00740A8D">
        <w:rPr>
          <w:rFonts w:ascii="Tahoma" w:hAnsi="Tahoma" w:cs="Tahoma" w:hint="cs"/>
          <w:sz w:val="18"/>
          <w:szCs w:val="18"/>
          <w:rtl/>
        </w:rPr>
        <w:t xml:space="preserve"> (להלן - הנחיות האו"ם בדבר זכויות ילדים בסביבה הדיגיטלית)</w:t>
      </w:r>
      <w:r w:rsidRPr="00740A8D">
        <w:rPr>
          <w:rFonts w:ascii="Tahoma" w:hAnsi="Tahoma" w:cs="Tahoma"/>
          <w:sz w:val="18"/>
          <w:szCs w:val="18"/>
          <w:rtl/>
        </w:rPr>
        <w:t>.</w:t>
      </w:r>
      <w:r w:rsidRPr="00740A8D">
        <w:rPr>
          <w:rFonts w:ascii="Tahoma" w:hAnsi="Tahoma" w:cs="Tahoma" w:hint="cs"/>
          <w:sz w:val="18"/>
          <w:szCs w:val="18"/>
          <w:rtl/>
        </w:rPr>
        <w:t xml:space="preserve"> המסמך מדגיש את ההזדמנויות הטמונות בסביבה הדיגיטלית וכן את הסיכונים שבה, ומתווה דרכי פעולה להבטיח את זכויות הילדים בעולם המקוון. החובה להגן על ילדים ובני נוער מפני אלימות במרחב המקוון נגזרת גם מיעדי </w:t>
      </w:r>
      <w:r w:rsidR="00817649">
        <w:rPr>
          <w:rFonts w:ascii="Tahoma" w:hAnsi="Tahoma" w:cs="Tahoma"/>
          <w:sz w:val="18"/>
          <w:szCs w:val="18"/>
        </w:rPr>
        <w:br/>
      </w:r>
      <w:r w:rsidRPr="00740A8D">
        <w:rPr>
          <w:rFonts w:ascii="Tahoma" w:hAnsi="Tahoma" w:cs="Tahoma" w:hint="cs"/>
          <w:sz w:val="18"/>
          <w:szCs w:val="18"/>
          <w:rtl/>
        </w:rPr>
        <w:t>ה-</w:t>
      </w:r>
      <w:r w:rsidRPr="00740A8D">
        <w:rPr>
          <w:rFonts w:ascii="Tahoma" w:hAnsi="Tahoma" w:cs="Tahoma" w:hint="cs"/>
          <w:sz w:val="18"/>
          <w:szCs w:val="18"/>
        </w:rPr>
        <w:t>SDG</w:t>
      </w:r>
      <w:r w:rsidRPr="00740A8D">
        <w:rPr>
          <w:rFonts w:ascii="Tahoma" w:hAnsi="Tahoma" w:cs="Tahoma"/>
          <w:sz w:val="18"/>
          <w:szCs w:val="18"/>
        </w:rPr>
        <w:t>'s</w:t>
      </w:r>
      <w:r w:rsidRPr="00740A8D">
        <w:rPr>
          <w:rFonts w:ascii="Tahoma" w:hAnsi="Tahoma" w:cs="Tahoma" w:hint="cs"/>
          <w:sz w:val="18"/>
          <w:szCs w:val="18"/>
          <w:rtl/>
        </w:rPr>
        <w:t xml:space="preserve"> של האו"ם (</w:t>
      </w:r>
      <w:r w:rsidRPr="00740A8D">
        <w:rPr>
          <w:rFonts w:ascii="Tahoma" w:hAnsi="Tahoma" w:cs="Tahoma"/>
          <w:sz w:val="18"/>
          <w:szCs w:val="18"/>
        </w:rPr>
        <w:t>Sustainable Development Goals</w:t>
      </w:r>
      <w:r w:rsidRPr="00740A8D">
        <w:rPr>
          <w:rFonts w:ascii="Tahoma" w:hAnsi="Tahoma" w:cs="Tahoma" w:hint="cs"/>
          <w:sz w:val="18"/>
          <w:szCs w:val="18"/>
          <w:rtl/>
        </w:rPr>
        <w:t>), הכוללים התייחסות להפסקת כל סוגי האלימות כלפי ילדים (יעד 16.2)</w:t>
      </w:r>
      <w:r w:rsidRPr="00740A8D">
        <w:rPr>
          <w:rStyle w:val="FootnoteReference"/>
          <w:rFonts w:ascii="Tahoma" w:hAnsi="Tahoma" w:cs="Tahoma"/>
          <w:sz w:val="18"/>
          <w:szCs w:val="18"/>
          <w:rtl/>
        </w:rPr>
        <w:footnoteReference w:id="29"/>
      </w:r>
      <w:r w:rsidRPr="00740A8D">
        <w:rPr>
          <w:rFonts w:ascii="Tahoma" w:hAnsi="Tahoma" w:cs="Tahoma" w:hint="cs"/>
          <w:sz w:val="18"/>
          <w:szCs w:val="18"/>
          <w:rtl/>
        </w:rPr>
        <w:t>.</w:t>
      </w:r>
      <w:r w:rsidRPr="00740A8D">
        <w:rPr>
          <w:rFonts w:ascii="Tahoma" w:hAnsi="Tahoma" w:cs="Tahoma"/>
          <w:sz w:val="18"/>
          <w:szCs w:val="18"/>
          <w:rtl/>
        </w:rPr>
        <w:t xml:space="preserve"> </w:t>
      </w:r>
    </w:p>
    <w:p w14:paraId="4963E805" w14:textId="77777777"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בשנת 2012 פרסם ה-</w:t>
      </w:r>
      <w:r w:rsidRPr="00740A8D">
        <w:rPr>
          <w:rFonts w:ascii="Tahoma" w:hAnsi="Tahoma" w:cs="Tahoma" w:hint="cs"/>
          <w:sz w:val="18"/>
          <w:szCs w:val="18"/>
        </w:rPr>
        <w:t>OECD</w:t>
      </w:r>
      <w:r w:rsidRPr="00740A8D">
        <w:rPr>
          <w:rFonts w:ascii="Tahoma" w:hAnsi="Tahoma" w:cs="Tahoma" w:hint="cs"/>
          <w:sz w:val="18"/>
          <w:szCs w:val="18"/>
          <w:rtl/>
        </w:rPr>
        <w:t xml:space="preserve"> עקרונות להפיכת האינטרנט לסביבה בטוחה יותר לילדים, ולחינוך ילדים לפעילות אחראית בעולם הדיגיטלי</w:t>
      </w:r>
      <w:r w:rsidRPr="00740A8D">
        <w:rPr>
          <w:rStyle w:val="FootnoteReference"/>
          <w:rFonts w:ascii="Tahoma" w:hAnsi="Tahoma" w:cs="Tahoma"/>
          <w:sz w:val="18"/>
          <w:szCs w:val="18"/>
          <w:rtl/>
        </w:rPr>
        <w:footnoteReference w:id="30"/>
      </w:r>
      <w:r w:rsidRPr="00740A8D">
        <w:rPr>
          <w:rFonts w:ascii="Tahoma" w:hAnsi="Tahoma" w:cs="Tahoma" w:hint="cs"/>
          <w:sz w:val="18"/>
          <w:szCs w:val="18"/>
          <w:rtl/>
        </w:rPr>
        <w:t>. העקרונות נכתבו מתוך הבנה שילדים פגיעים יותר ביחס לסיכונים בעולם המקוון בהשוואה למבוגרים</w:t>
      </w:r>
      <w:r w:rsidRPr="00740A8D">
        <w:rPr>
          <w:rStyle w:val="FootnoteReference"/>
          <w:rFonts w:ascii="Tahoma" w:hAnsi="Tahoma" w:cs="Tahoma"/>
          <w:sz w:val="18"/>
          <w:szCs w:val="18"/>
          <w:rtl/>
        </w:rPr>
        <w:footnoteReference w:id="31"/>
      </w:r>
      <w:r w:rsidRPr="00740A8D">
        <w:rPr>
          <w:rFonts w:ascii="Tahoma" w:hAnsi="Tahoma" w:cs="Tahoma" w:hint="cs"/>
          <w:sz w:val="18"/>
          <w:szCs w:val="18"/>
          <w:rtl/>
        </w:rPr>
        <w:t>. העקרונות עודכנו לאחרונה במאי 2021 (להלן - עקרונות ה-</w:t>
      </w:r>
      <w:r w:rsidRPr="00740A8D">
        <w:rPr>
          <w:rFonts w:ascii="Tahoma" w:hAnsi="Tahoma" w:cs="Tahoma" w:hint="cs"/>
          <w:sz w:val="18"/>
          <w:szCs w:val="18"/>
        </w:rPr>
        <w:t>OECD</w:t>
      </w:r>
      <w:r w:rsidRPr="00740A8D">
        <w:rPr>
          <w:rFonts w:ascii="Tahoma" w:hAnsi="Tahoma" w:cs="Tahoma" w:hint="cs"/>
          <w:sz w:val="18"/>
          <w:szCs w:val="18"/>
          <w:rtl/>
        </w:rPr>
        <w:t xml:space="preserve"> משנת 2021), והודגש שמטרתם לסייע לממשלות בקביעת מדיניות שתגן על הילדים מפני הסיכונים הנשקפים להם בזירה המקוונת, מבלי לצמצם את ההזדמנויות </w:t>
      </w:r>
      <w:r w:rsidRPr="00740A8D">
        <w:rPr>
          <w:rFonts w:ascii="Tahoma" w:hAnsi="Tahoma" w:cs="Tahoma" w:hint="cs"/>
          <w:sz w:val="18"/>
          <w:szCs w:val="18"/>
          <w:rtl/>
        </w:rPr>
        <w:lastRenderedPageBreak/>
        <w:t>והיתרונות הגלומים בה. העקרונות מתייחסים בין היתר להבטחת סביבה דיגיטלית בטוחה ומועילה לילדים; ל</w:t>
      </w:r>
      <w:r w:rsidRPr="00740A8D">
        <w:rPr>
          <w:rFonts w:ascii="Tahoma" w:hAnsi="Tahoma" w:cs="Tahoma"/>
          <w:sz w:val="18"/>
          <w:szCs w:val="18"/>
          <w:rtl/>
        </w:rPr>
        <w:t>המלצות לממשלות בנוגע למסגרת המדיניות הכוללת שלהן</w:t>
      </w:r>
      <w:r w:rsidRPr="00740A8D">
        <w:rPr>
          <w:rFonts w:ascii="Tahoma" w:hAnsi="Tahoma" w:cs="Tahoma" w:hint="cs"/>
          <w:sz w:val="18"/>
          <w:szCs w:val="18"/>
          <w:rtl/>
        </w:rPr>
        <w:t>; להמלצות לק</w:t>
      </w:r>
      <w:r w:rsidRPr="00740A8D">
        <w:rPr>
          <w:rFonts w:ascii="Tahoma" w:hAnsi="Tahoma" w:cs="Tahoma"/>
          <w:sz w:val="18"/>
          <w:szCs w:val="18"/>
          <w:rtl/>
        </w:rPr>
        <w:t>ידום שיתוף פעולה בי</w:t>
      </w:r>
      <w:r w:rsidRPr="00740A8D">
        <w:rPr>
          <w:rFonts w:ascii="Tahoma" w:hAnsi="Tahoma" w:cs="Tahoma" w:hint="cs"/>
          <w:sz w:val="18"/>
          <w:szCs w:val="18"/>
          <w:rtl/>
        </w:rPr>
        <w:t>ן-</w:t>
      </w:r>
      <w:r w:rsidRPr="00740A8D">
        <w:rPr>
          <w:rFonts w:ascii="Tahoma" w:hAnsi="Tahoma" w:cs="Tahoma"/>
          <w:sz w:val="18"/>
          <w:szCs w:val="18"/>
          <w:rtl/>
        </w:rPr>
        <w:t>לאומי</w:t>
      </w:r>
      <w:r w:rsidRPr="00740A8D">
        <w:rPr>
          <w:rFonts w:ascii="Tahoma" w:hAnsi="Tahoma" w:cs="Tahoma" w:hint="cs"/>
          <w:sz w:val="18"/>
          <w:szCs w:val="18"/>
          <w:rtl/>
        </w:rPr>
        <w:t xml:space="preserve">; להמלצות </w:t>
      </w:r>
      <w:r w:rsidRPr="00740A8D">
        <w:rPr>
          <w:rFonts w:ascii="Tahoma" w:hAnsi="Tahoma" w:cs="Tahoma"/>
          <w:sz w:val="18"/>
          <w:szCs w:val="18"/>
          <w:rtl/>
        </w:rPr>
        <w:t>לק</w:t>
      </w:r>
      <w:r w:rsidRPr="00740A8D">
        <w:rPr>
          <w:rFonts w:ascii="Tahoma" w:hAnsi="Tahoma" w:cs="Tahoma" w:hint="cs"/>
          <w:sz w:val="18"/>
          <w:szCs w:val="18"/>
          <w:rtl/>
        </w:rPr>
        <w:t>י</w:t>
      </w:r>
      <w:r w:rsidRPr="00740A8D">
        <w:rPr>
          <w:rFonts w:ascii="Tahoma" w:hAnsi="Tahoma" w:cs="Tahoma"/>
          <w:sz w:val="18"/>
          <w:szCs w:val="18"/>
          <w:rtl/>
        </w:rPr>
        <w:t>ד</w:t>
      </w:r>
      <w:r w:rsidRPr="00740A8D">
        <w:rPr>
          <w:rFonts w:ascii="Tahoma" w:hAnsi="Tahoma" w:cs="Tahoma" w:hint="cs"/>
          <w:sz w:val="18"/>
          <w:szCs w:val="18"/>
          <w:rtl/>
        </w:rPr>
        <w:t>ו</w:t>
      </w:r>
      <w:r w:rsidRPr="00740A8D">
        <w:rPr>
          <w:rFonts w:ascii="Tahoma" w:hAnsi="Tahoma" w:cs="Tahoma"/>
          <w:sz w:val="18"/>
          <w:szCs w:val="18"/>
          <w:rtl/>
        </w:rPr>
        <w:t>ם הנחיות הקשורות לספקי שירותים דיגיטליים</w:t>
      </w:r>
      <w:r w:rsidRPr="00740A8D">
        <w:rPr>
          <w:rFonts w:ascii="Tahoma" w:hAnsi="Tahoma" w:cs="Tahoma" w:hint="cs"/>
          <w:sz w:val="18"/>
          <w:szCs w:val="18"/>
          <w:rtl/>
        </w:rPr>
        <w:t xml:space="preserve">. </w:t>
      </w:r>
    </w:p>
    <w:p w14:paraId="18C8DCB6" w14:textId="77777777"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אמנת בודפשט -</w:t>
      </w:r>
      <w:r w:rsidRPr="00740A8D">
        <w:rPr>
          <w:rFonts w:ascii="Tahoma" w:hAnsi="Tahoma" w:cs="Tahoma" w:hint="cs"/>
          <w:b/>
          <w:bCs/>
          <w:sz w:val="18"/>
          <w:szCs w:val="18"/>
          <w:rtl/>
        </w:rPr>
        <w:t xml:space="preserve"> </w:t>
      </w:r>
      <w:r w:rsidRPr="00740A8D">
        <w:rPr>
          <w:rFonts w:ascii="Tahoma" w:hAnsi="Tahoma" w:cs="Tahoma" w:hint="cs"/>
          <w:sz w:val="18"/>
          <w:szCs w:val="18"/>
          <w:rtl/>
        </w:rPr>
        <w:t>אמנה בין-לאומית העוסקת בפשיעה ברשת, ועניינה הוא תיאום בין מערכות החקיקה של המדינות החותמות והגברת שיתוף הפעולה ביניהן. האמנה נועדה בין היתר לשפר את הטיפול בעבירות פדופיליה ברשת. בשנת 2016 אישרה ממשלת ישראל את הצטרפות ישראל לאמנה</w:t>
      </w:r>
      <w:r w:rsidRPr="00740A8D">
        <w:rPr>
          <w:rStyle w:val="FootnoteReference"/>
          <w:rFonts w:ascii="Tahoma" w:hAnsi="Tahoma" w:cs="Tahoma"/>
          <w:sz w:val="18"/>
          <w:szCs w:val="18"/>
          <w:rtl/>
        </w:rPr>
        <w:footnoteReference w:id="32"/>
      </w:r>
      <w:r w:rsidRPr="00740A8D">
        <w:rPr>
          <w:rFonts w:ascii="Tahoma" w:hAnsi="Tahoma" w:cs="Tahoma" w:hint="cs"/>
          <w:sz w:val="18"/>
          <w:szCs w:val="18"/>
          <w:rtl/>
        </w:rPr>
        <w:t xml:space="preserve">. </w:t>
      </w:r>
    </w:p>
    <w:p w14:paraId="6CC8043C" w14:textId="77777777" w:rsidR="00583E48" w:rsidRPr="00740A8D" w:rsidRDefault="00583E48" w:rsidP="00740A8D">
      <w:pPr>
        <w:spacing w:line="260" w:lineRule="exact"/>
        <w:jc w:val="both"/>
        <w:rPr>
          <w:rFonts w:ascii="Tahoma" w:hAnsi="Tahoma" w:cs="Tahoma"/>
          <w:sz w:val="18"/>
          <w:szCs w:val="18"/>
          <w:rtl/>
        </w:rPr>
      </w:pPr>
    </w:p>
    <w:p w14:paraId="505774FF" w14:textId="77777777" w:rsidR="00583E48" w:rsidRPr="00070810" w:rsidRDefault="00583E48" w:rsidP="00583E48">
      <w:pPr>
        <w:pStyle w:val="KOT5N"/>
        <w:rPr>
          <w:rtl/>
        </w:rPr>
      </w:pPr>
      <w:r w:rsidRPr="00916B5A">
        <w:rPr>
          <w:rFonts w:hint="cs"/>
          <w:rtl/>
        </w:rPr>
        <w:t>פגי</w:t>
      </w:r>
      <w:r>
        <w:rPr>
          <w:rFonts w:hint="cs"/>
          <w:rtl/>
        </w:rPr>
        <w:t>ע</w:t>
      </w:r>
      <w:r w:rsidRPr="00916B5A">
        <w:rPr>
          <w:rFonts w:hint="cs"/>
          <w:rtl/>
        </w:rPr>
        <w:t>ה ב</w:t>
      </w:r>
      <w:r>
        <w:rPr>
          <w:rFonts w:hint="cs"/>
          <w:rtl/>
        </w:rPr>
        <w:t>ילדים ובני נוער ב</w:t>
      </w:r>
      <w:r w:rsidRPr="00916B5A">
        <w:rPr>
          <w:rFonts w:hint="cs"/>
          <w:rtl/>
        </w:rPr>
        <w:t>רשת - ישראל</w:t>
      </w:r>
    </w:p>
    <w:p w14:paraId="46303693" w14:textId="77777777"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 xml:space="preserve">ילדים ובני נוער בישראל נמצאים ברשת שעות רבות במהלך היממה. עקב מגפת הקורונה, שבמהלכה נמנעו ממפגשים חברתיים פנים אל פנים לתקופות ממושכות, והחינוך הפורמלי והבלתי פורמלי הועבר למדיה הדיגיטלית, עברו זירות פעילות נוספות לעולם המקוון, ומספר השעות שבהן עשו הילדים ובני הנוער שימוש ברשת גדל. להלן נתונים על </w:t>
      </w:r>
      <w:r w:rsidRPr="00740A8D">
        <w:rPr>
          <w:rFonts w:ascii="Tahoma" w:hAnsi="Tahoma" w:cs="Tahoma"/>
          <w:sz w:val="18"/>
          <w:szCs w:val="18"/>
          <w:rtl/>
        </w:rPr>
        <w:t xml:space="preserve">אודות </w:t>
      </w:r>
      <w:r w:rsidRPr="00740A8D">
        <w:rPr>
          <w:rFonts w:ascii="Tahoma" w:hAnsi="Tahoma" w:cs="Tahoma" w:hint="cs"/>
          <w:sz w:val="18"/>
          <w:szCs w:val="18"/>
          <w:rtl/>
        </w:rPr>
        <w:t xml:space="preserve">פעילות ילדים ובני נוער בישראל ברשת: </w:t>
      </w:r>
    </w:p>
    <w:p w14:paraId="42AA7A5F" w14:textId="7A8CA6B0" w:rsidR="00583E48" w:rsidRPr="00740A8D" w:rsidRDefault="00E64444" w:rsidP="00A059BD">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E64444">
        <w:rPr>
          <w:rFonts w:ascii="Tahoma" w:hAnsi="Tahoma" w:cs="Tahoma" w:hint="cs"/>
          <w:color w:val="0D0D0D" w:themeColor="text1" w:themeTint="F2"/>
          <w:sz w:val="20"/>
          <w:szCs w:val="20"/>
          <w:rtl/>
        </w:rPr>
        <w:lastRenderedPageBreak/>
        <w:t xml:space="preserve">תרשים 8: </w:t>
      </w:r>
      <w:r w:rsidR="00583E48" w:rsidRPr="00740A8D">
        <w:rPr>
          <w:rFonts w:ascii="Tahoma" w:hAnsi="Tahoma" w:cs="Tahoma" w:hint="cs"/>
          <w:b/>
          <w:bCs/>
          <w:color w:val="0D0D0D" w:themeColor="text1" w:themeTint="F2"/>
          <w:sz w:val="20"/>
          <w:szCs w:val="20"/>
          <w:rtl/>
        </w:rPr>
        <w:t xml:space="preserve">נתונים על ילדים ובני נוער במרחב המקוון בישראל, שנים </w:t>
      </w:r>
      <w:r w:rsidR="00817649">
        <w:rPr>
          <w:rFonts w:ascii="Tahoma" w:hAnsi="Tahoma" w:cs="Tahoma"/>
          <w:b/>
          <w:bCs/>
          <w:color w:val="0D0D0D" w:themeColor="text1" w:themeTint="F2"/>
          <w:sz w:val="20"/>
          <w:szCs w:val="20"/>
        </w:rPr>
        <w:br/>
      </w:r>
      <w:r w:rsidR="00583E48" w:rsidRPr="00740A8D">
        <w:rPr>
          <w:rFonts w:ascii="Tahoma" w:hAnsi="Tahoma" w:cs="Tahoma" w:hint="cs"/>
          <w:b/>
          <w:bCs/>
          <w:color w:val="0D0D0D" w:themeColor="text1" w:themeTint="F2"/>
          <w:sz w:val="20"/>
          <w:szCs w:val="20"/>
          <w:rtl/>
        </w:rPr>
        <w:t>2021-2019</w:t>
      </w:r>
    </w:p>
    <w:p w14:paraId="3D956944" w14:textId="5D18C171" w:rsidR="00E41EDF" w:rsidRPr="00740A8D" w:rsidRDefault="00E41EDF" w:rsidP="00E64444">
      <w:pPr>
        <w:keepNext/>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19C20703" wp14:editId="4EC48536">
            <wp:extent cx="4110579" cy="563880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21" cstate="print">
                      <a:extLst>
                        <a:ext uri="{28A0092B-C50C-407E-A947-70E740481C1C}">
                          <a14:useLocalDpi xmlns:a14="http://schemas.microsoft.com/office/drawing/2010/main" val="0"/>
                        </a:ext>
                      </a:extLst>
                    </a:blip>
                    <a:srcRect t="1630" b="1353"/>
                    <a:stretch/>
                  </pic:blipFill>
                  <pic:spPr bwMode="auto">
                    <a:xfrm>
                      <a:off x="0" y="0"/>
                      <a:ext cx="4134633" cy="5671797"/>
                    </a:xfrm>
                    <a:prstGeom prst="rect">
                      <a:avLst/>
                    </a:prstGeom>
                    <a:ln>
                      <a:noFill/>
                    </a:ln>
                    <a:extLst>
                      <a:ext uri="{53640926-AAD7-44D8-BBD7-CCE9431645EC}">
                        <a14:shadowObscured xmlns:a14="http://schemas.microsoft.com/office/drawing/2010/main"/>
                      </a:ext>
                    </a:extLst>
                  </pic:spPr>
                </pic:pic>
              </a:graphicData>
            </a:graphic>
          </wp:inline>
        </w:drawing>
      </w:r>
    </w:p>
    <w:p w14:paraId="330457A9" w14:textId="226B27A6" w:rsidR="00583E48" w:rsidRPr="008274C2" w:rsidRDefault="00583E48" w:rsidP="00A059BD">
      <w:pPr>
        <w:spacing w:after="0" w:line="240" w:lineRule="exact"/>
        <w:jc w:val="both"/>
        <w:rPr>
          <w:rFonts w:ascii="Tahoma" w:hAnsi="Tahoma" w:cs="Tahoma"/>
          <w:sz w:val="16"/>
          <w:szCs w:val="16"/>
          <w:rtl/>
        </w:rPr>
      </w:pPr>
      <w:r w:rsidRPr="008274C2">
        <w:rPr>
          <w:rFonts w:ascii="Tahoma" w:hAnsi="Tahoma" w:cs="Tahoma"/>
          <w:sz w:val="16"/>
          <w:szCs w:val="16"/>
          <w:rtl/>
        </w:rPr>
        <w:t xml:space="preserve">על פי נתוני מחקר </w:t>
      </w:r>
      <w:r w:rsidRPr="008274C2">
        <w:rPr>
          <w:rFonts w:ascii="Tahoma" w:hAnsi="Tahoma" w:cs="Tahoma"/>
          <w:sz w:val="16"/>
          <w:szCs w:val="16"/>
        </w:rPr>
        <w:t>HBSC</w:t>
      </w:r>
      <w:r w:rsidR="008274C2" w:rsidRPr="0096434B">
        <w:rPr>
          <w:rFonts w:ascii="Tahoma" w:hAnsi="Tahoma" w:cs="Tahoma" w:hint="cs"/>
          <w:sz w:val="4"/>
          <w:szCs w:val="4"/>
          <w:rtl/>
        </w:rPr>
        <w:t xml:space="preserve"> </w:t>
      </w:r>
      <w:r w:rsidRPr="008274C2">
        <w:rPr>
          <w:rStyle w:val="FootnoteReference"/>
          <w:rFonts w:ascii="Tahoma" w:hAnsi="Tahoma" w:cs="Tahoma"/>
          <w:sz w:val="16"/>
          <w:szCs w:val="16"/>
        </w:rPr>
        <w:footnoteReference w:id="33"/>
      </w:r>
      <w:r w:rsidRPr="008274C2">
        <w:rPr>
          <w:rFonts w:ascii="Tahoma" w:hAnsi="Tahoma" w:cs="Tahoma"/>
          <w:sz w:val="16"/>
          <w:szCs w:val="16"/>
          <w:rtl/>
        </w:rPr>
        <w:t xml:space="preserve">, </w:t>
      </w:r>
      <w:r w:rsidRPr="008274C2">
        <w:rPr>
          <w:rFonts w:ascii="Tahoma" w:hAnsi="Tahoma" w:cs="Tahoma" w:hint="eastAsia"/>
          <w:sz w:val="16"/>
          <w:szCs w:val="16"/>
          <w:rtl/>
        </w:rPr>
        <w:t>המטה</w:t>
      </w:r>
      <w:r w:rsidRPr="008274C2">
        <w:rPr>
          <w:rFonts w:ascii="Tahoma" w:hAnsi="Tahoma" w:cs="Tahoma"/>
          <w:sz w:val="16"/>
          <w:szCs w:val="16"/>
          <w:rtl/>
        </w:rPr>
        <w:t xml:space="preserve"> </w:t>
      </w:r>
      <w:r w:rsidRPr="008274C2">
        <w:rPr>
          <w:rFonts w:ascii="Tahoma" w:hAnsi="Tahoma" w:cs="Tahoma" w:hint="eastAsia"/>
          <w:sz w:val="16"/>
          <w:szCs w:val="16"/>
          <w:rtl/>
        </w:rPr>
        <w:t>הלאומי</w:t>
      </w:r>
      <w:r w:rsidRPr="008274C2">
        <w:rPr>
          <w:rFonts w:ascii="Tahoma" w:hAnsi="Tahoma" w:cs="Tahoma"/>
          <w:sz w:val="16"/>
          <w:szCs w:val="16"/>
          <w:rtl/>
        </w:rPr>
        <w:t xml:space="preserve"> </w:t>
      </w:r>
      <w:r w:rsidRPr="008274C2">
        <w:rPr>
          <w:rFonts w:ascii="Tahoma" w:hAnsi="Tahoma" w:cs="Tahoma" w:hint="eastAsia"/>
          <w:sz w:val="16"/>
          <w:szCs w:val="16"/>
          <w:rtl/>
        </w:rPr>
        <w:t>להגנה</w:t>
      </w:r>
      <w:r w:rsidRPr="008274C2">
        <w:rPr>
          <w:rFonts w:ascii="Tahoma" w:hAnsi="Tahoma" w:cs="Tahoma"/>
          <w:sz w:val="16"/>
          <w:szCs w:val="16"/>
          <w:rtl/>
        </w:rPr>
        <w:t xml:space="preserve"> </w:t>
      </w:r>
      <w:r w:rsidRPr="008274C2">
        <w:rPr>
          <w:rFonts w:ascii="Tahoma" w:hAnsi="Tahoma" w:cs="Tahoma" w:hint="eastAsia"/>
          <w:sz w:val="16"/>
          <w:szCs w:val="16"/>
          <w:rtl/>
        </w:rPr>
        <w:t>על</w:t>
      </w:r>
      <w:r w:rsidRPr="008274C2">
        <w:rPr>
          <w:rFonts w:ascii="Tahoma" w:hAnsi="Tahoma" w:cs="Tahoma"/>
          <w:sz w:val="16"/>
          <w:szCs w:val="16"/>
          <w:rtl/>
        </w:rPr>
        <w:t xml:space="preserve"> </w:t>
      </w:r>
      <w:r w:rsidRPr="008274C2">
        <w:rPr>
          <w:rFonts w:ascii="Tahoma" w:hAnsi="Tahoma" w:cs="Tahoma" w:hint="eastAsia"/>
          <w:sz w:val="16"/>
          <w:szCs w:val="16"/>
          <w:rtl/>
        </w:rPr>
        <w:t>ילדים</w:t>
      </w:r>
      <w:r w:rsidRPr="008274C2">
        <w:rPr>
          <w:rFonts w:ascii="Tahoma" w:hAnsi="Tahoma" w:cs="Tahoma"/>
          <w:sz w:val="16"/>
          <w:szCs w:val="16"/>
          <w:rtl/>
        </w:rPr>
        <w:t xml:space="preserve"> </w:t>
      </w:r>
      <w:r w:rsidRPr="008274C2">
        <w:rPr>
          <w:rFonts w:ascii="Tahoma" w:hAnsi="Tahoma" w:cs="Tahoma" w:hint="eastAsia"/>
          <w:sz w:val="16"/>
          <w:szCs w:val="16"/>
          <w:rtl/>
        </w:rPr>
        <w:t>ברשת</w:t>
      </w:r>
      <w:r w:rsidRPr="008274C2">
        <w:rPr>
          <w:rFonts w:ascii="Tahoma" w:hAnsi="Tahoma" w:cs="Tahoma"/>
          <w:sz w:val="16"/>
          <w:szCs w:val="16"/>
          <w:rtl/>
        </w:rPr>
        <w:t xml:space="preserve">, </w:t>
      </w:r>
      <w:r w:rsidRPr="008274C2">
        <w:rPr>
          <w:rFonts w:ascii="Tahoma" w:hAnsi="Tahoma" w:cs="Tahoma" w:hint="eastAsia"/>
          <w:sz w:val="16"/>
          <w:szCs w:val="16"/>
          <w:rtl/>
        </w:rPr>
        <w:t>דוחות</w:t>
      </w:r>
      <w:r w:rsidRPr="008274C2">
        <w:rPr>
          <w:rFonts w:ascii="Tahoma" w:hAnsi="Tahoma" w:cs="Tahoma"/>
          <w:sz w:val="16"/>
          <w:szCs w:val="16"/>
          <w:rtl/>
        </w:rPr>
        <w:t xml:space="preserve"> </w:t>
      </w:r>
      <w:r w:rsidRPr="008274C2">
        <w:rPr>
          <w:rFonts w:ascii="Tahoma" w:hAnsi="Tahoma" w:cs="Tahoma" w:hint="eastAsia"/>
          <w:sz w:val="16"/>
          <w:szCs w:val="16"/>
          <w:rtl/>
        </w:rPr>
        <w:t>בזק</w:t>
      </w:r>
      <w:r w:rsidRPr="008274C2">
        <w:rPr>
          <w:rFonts w:ascii="Tahoma" w:hAnsi="Tahoma" w:cs="Tahoma"/>
          <w:sz w:val="16"/>
          <w:szCs w:val="16"/>
          <w:rtl/>
        </w:rPr>
        <w:t xml:space="preserve"> </w:t>
      </w:r>
      <w:r w:rsidRPr="008274C2">
        <w:rPr>
          <w:rFonts w:ascii="Tahoma" w:hAnsi="Tahoma" w:cs="Tahoma" w:hint="eastAsia"/>
          <w:sz w:val="16"/>
          <w:szCs w:val="16"/>
          <w:rtl/>
        </w:rPr>
        <w:t>לשנים</w:t>
      </w:r>
      <w:r w:rsidRPr="008274C2">
        <w:rPr>
          <w:rFonts w:ascii="Tahoma" w:hAnsi="Tahoma" w:cs="Tahoma"/>
          <w:sz w:val="16"/>
          <w:szCs w:val="16"/>
          <w:rtl/>
        </w:rPr>
        <w:t xml:space="preserve"> 2019 - 2020</w:t>
      </w:r>
      <w:r w:rsidRPr="008274C2">
        <w:rPr>
          <w:rStyle w:val="FootnoteReference"/>
          <w:rFonts w:ascii="Tahoma" w:hAnsi="Tahoma" w:cs="Tahoma"/>
          <w:sz w:val="16"/>
          <w:szCs w:val="16"/>
          <w:rtl/>
        </w:rPr>
        <w:footnoteReference w:id="34"/>
      </w:r>
      <w:r w:rsidRPr="008274C2">
        <w:rPr>
          <w:rFonts w:ascii="Tahoma" w:hAnsi="Tahoma" w:cs="Tahoma" w:hint="cs"/>
          <w:sz w:val="16"/>
          <w:szCs w:val="16"/>
          <w:rtl/>
        </w:rPr>
        <w:t xml:space="preserve">, </w:t>
      </w:r>
      <w:r w:rsidRPr="008274C2">
        <w:rPr>
          <w:rFonts w:ascii="Tahoma" w:hAnsi="Tahoma" w:cs="Tahoma" w:hint="eastAsia"/>
          <w:sz w:val="16"/>
          <w:szCs w:val="16"/>
          <w:rtl/>
        </w:rPr>
        <w:t>בעיבוד</w:t>
      </w:r>
      <w:r w:rsidRPr="008274C2">
        <w:rPr>
          <w:rFonts w:ascii="Tahoma" w:hAnsi="Tahoma" w:cs="Tahoma"/>
          <w:sz w:val="16"/>
          <w:szCs w:val="16"/>
          <w:rtl/>
        </w:rPr>
        <w:t xml:space="preserve"> </w:t>
      </w:r>
      <w:r w:rsidRPr="008274C2">
        <w:rPr>
          <w:rFonts w:ascii="Tahoma" w:hAnsi="Tahoma" w:cs="Tahoma" w:hint="eastAsia"/>
          <w:sz w:val="16"/>
          <w:szCs w:val="16"/>
          <w:rtl/>
        </w:rPr>
        <w:t>משרד</w:t>
      </w:r>
      <w:r w:rsidRPr="008274C2">
        <w:rPr>
          <w:rFonts w:ascii="Tahoma" w:hAnsi="Tahoma" w:cs="Tahoma"/>
          <w:sz w:val="16"/>
          <w:szCs w:val="16"/>
          <w:rtl/>
        </w:rPr>
        <w:t xml:space="preserve"> </w:t>
      </w:r>
      <w:r w:rsidRPr="008274C2">
        <w:rPr>
          <w:rFonts w:ascii="Tahoma" w:hAnsi="Tahoma" w:cs="Tahoma" w:hint="eastAsia"/>
          <w:sz w:val="16"/>
          <w:szCs w:val="16"/>
          <w:rtl/>
        </w:rPr>
        <w:t>מבקר</w:t>
      </w:r>
      <w:r w:rsidRPr="008274C2">
        <w:rPr>
          <w:rFonts w:ascii="Tahoma" w:hAnsi="Tahoma" w:cs="Tahoma"/>
          <w:sz w:val="16"/>
          <w:szCs w:val="16"/>
          <w:rtl/>
        </w:rPr>
        <w:t xml:space="preserve"> </w:t>
      </w:r>
      <w:r w:rsidRPr="008274C2">
        <w:rPr>
          <w:rFonts w:ascii="Tahoma" w:hAnsi="Tahoma" w:cs="Tahoma" w:hint="eastAsia"/>
          <w:sz w:val="16"/>
          <w:szCs w:val="16"/>
          <w:rtl/>
        </w:rPr>
        <w:t>המדינה</w:t>
      </w:r>
      <w:r w:rsidRPr="008274C2">
        <w:rPr>
          <w:rFonts w:ascii="Tahoma" w:hAnsi="Tahoma" w:cs="Tahoma" w:hint="cs"/>
          <w:sz w:val="16"/>
          <w:szCs w:val="16"/>
          <w:rtl/>
        </w:rPr>
        <w:t>, וכן סקר שביצע משרד מבקר המדינה בקרב הורים, יולי 2021</w:t>
      </w:r>
      <w:r w:rsidRPr="008274C2">
        <w:rPr>
          <w:rFonts w:ascii="Tahoma" w:hAnsi="Tahoma" w:cs="Tahoma"/>
          <w:sz w:val="16"/>
          <w:szCs w:val="16"/>
          <w:rtl/>
        </w:rPr>
        <w:t>.</w:t>
      </w:r>
    </w:p>
    <w:p w14:paraId="48A3CAA2" w14:textId="77777777"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lastRenderedPageBreak/>
        <w:t>בשנים האחרונות נערכו כמה סקרים ומחקרים בנושא סיכונים ופגיעה בילדים ובבני נוער בישראל ברשת. להלן נתונים העולים מהם</w:t>
      </w:r>
      <w:r w:rsidRPr="00740A8D">
        <w:rPr>
          <w:rStyle w:val="FootnoteReference"/>
          <w:rFonts w:ascii="Tahoma" w:hAnsi="Tahoma" w:cs="Tahoma"/>
          <w:sz w:val="18"/>
          <w:szCs w:val="18"/>
          <w:rtl/>
        </w:rPr>
        <w:footnoteReference w:id="35"/>
      </w:r>
      <w:r w:rsidRPr="00740A8D">
        <w:rPr>
          <w:rFonts w:ascii="Tahoma" w:hAnsi="Tahoma" w:cs="Tahoma" w:hint="cs"/>
          <w:sz w:val="18"/>
          <w:szCs w:val="18"/>
          <w:rtl/>
        </w:rPr>
        <w:t>:</w:t>
      </w:r>
    </w:p>
    <w:p w14:paraId="4EA17354" w14:textId="77777777"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מסקר המשרד לביטחון הפנים בנושא התנהגויות אנטי-חברתיות בקרב בני נוער בשנת 2019</w:t>
      </w:r>
      <w:r w:rsidRPr="00740A8D">
        <w:rPr>
          <w:rStyle w:val="FootnoteReference"/>
          <w:rFonts w:ascii="Tahoma" w:hAnsi="Tahoma" w:cs="Tahoma"/>
          <w:sz w:val="18"/>
          <w:szCs w:val="18"/>
          <w:rtl/>
        </w:rPr>
        <w:footnoteReference w:id="36"/>
      </w:r>
      <w:r w:rsidRPr="00740A8D">
        <w:rPr>
          <w:rFonts w:ascii="Tahoma" w:hAnsi="Tahoma" w:cs="Tahoma" w:hint="cs"/>
          <w:sz w:val="18"/>
          <w:szCs w:val="18"/>
          <w:rtl/>
        </w:rPr>
        <w:t xml:space="preserve"> עולים הנתונים האלה: </w:t>
      </w:r>
    </w:p>
    <w:p w14:paraId="22D24C7D" w14:textId="3C27DA1F" w:rsidR="00583E48" w:rsidRPr="00740A8D" w:rsidRDefault="00E64444" w:rsidP="00A059BD">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E64444">
        <w:rPr>
          <w:rFonts w:ascii="Tahoma" w:hAnsi="Tahoma" w:cs="Tahoma"/>
          <w:color w:val="0D0D0D" w:themeColor="text1" w:themeTint="F2"/>
          <w:sz w:val="20"/>
          <w:szCs w:val="20"/>
          <w:rtl/>
        </w:rPr>
        <w:t xml:space="preserve">תרשים </w:t>
      </w:r>
      <w:r w:rsidRPr="00E64444">
        <w:rPr>
          <w:rFonts w:ascii="Tahoma" w:hAnsi="Tahoma" w:cs="Tahoma" w:hint="cs"/>
          <w:color w:val="0D0D0D" w:themeColor="text1" w:themeTint="F2"/>
          <w:sz w:val="20"/>
          <w:szCs w:val="20"/>
          <w:rtl/>
        </w:rPr>
        <w:t>9</w:t>
      </w:r>
      <w:r w:rsidRPr="00E64444">
        <w:rPr>
          <w:rFonts w:ascii="Tahoma" w:hAnsi="Tahoma" w:cs="Tahoma"/>
          <w:color w:val="0D0D0D" w:themeColor="text1" w:themeTint="F2"/>
          <w:sz w:val="20"/>
          <w:szCs w:val="20"/>
          <w:rtl/>
        </w:rPr>
        <w:t xml:space="preserve">: </w:t>
      </w:r>
      <w:r w:rsidR="00583E48" w:rsidRPr="00740A8D">
        <w:rPr>
          <w:rFonts w:ascii="Tahoma" w:hAnsi="Tahoma" w:cs="Tahoma"/>
          <w:b/>
          <w:bCs/>
          <w:color w:val="0D0D0D" w:themeColor="text1" w:themeTint="F2"/>
          <w:sz w:val="20"/>
          <w:szCs w:val="20"/>
          <w:rtl/>
        </w:rPr>
        <w:t xml:space="preserve">שיעור הנפגעים ברשתות החברתיות במהלך השנה האחרונה </w:t>
      </w:r>
      <w:r w:rsidR="00124912">
        <w:rPr>
          <w:rFonts w:ascii="Tahoma" w:hAnsi="Tahoma" w:cs="Tahoma"/>
          <w:b/>
          <w:bCs/>
          <w:color w:val="0D0D0D" w:themeColor="text1" w:themeTint="F2"/>
          <w:sz w:val="20"/>
          <w:szCs w:val="20"/>
          <w:rtl/>
        </w:rPr>
        <w:br/>
      </w:r>
      <w:r w:rsidR="00583E48" w:rsidRPr="00740A8D">
        <w:rPr>
          <w:rFonts w:ascii="Tahoma" w:hAnsi="Tahoma" w:cs="Tahoma"/>
          <w:b/>
          <w:bCs/>
          <w:color w:val="0D0D0D" w:themeColor="text1" w:themeTint="F2"/>
          <w:sz w:val="20"/>
          <w:szCs w:val="20"/>
          <w:rtl/>
        </w:rPr>
        <w:t>(פעם אחת או יותר)</w:t>
      </w:r>
    </w:p>
    <w:p w14:paraId="5BD9F51F" w14:textId="5B95FF22" w:rsidR="00E41EDF" w:rsidRPr="00740A8D" w:rsidRDefault="00E41EDF" w:rsidP="00E64444">
      <w:pPr>
        <w:keepNext/>
        <w:spacing w:line="240" w:lineRule="atLeast"/>
        <w:jc w:val="center"/>
        <w:rPr>
          <w:rFonts w:ascii="Tahoma" w:eastAsia="Times New Roman" w:hAnsi="Tahoma" w:cs="Tahoma"/>
          <w:color w:val="000000"/>
          <w:sz w:val="18"/>
          <w:szCs w:val="18"/>
        </w:rPr>
      </w:pPr>
      <w:r>
        <w:rPr>
          <w:rFonts w:ascii="Tahoma" w:eastAsia="Times New Roman" w:hAnsi="Tahoma" w:cs="Tahoma"/>
          <w:noProof/>
          <w:color w:val="000000"/>
          <w:sz w:val="18"/>
          <w:szCs w:val="18"/>
        </w:rPr>
        <w:drawing>
          <wp:inline distT="0" distB="0" distL="0" distR="0" wp14:anchorId="2469AE12" wp14:editId="3577CBE6">
            <wp:extent cx="4679950" cy="417322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22" cstate="print">
                      <a:extLst>
                        <a:ext uri="{28A0092B-C50C-407E-A947-70E740481C1C}">
                          <a14:useLocalDpi xmlns:a14="http://schemas.microsoft.com/office/drawing/2010/main" val="0"/>
                        </a:ext>
                      </a:extLst>
                    </a:blip>
                    <a:srcRect t="2377"/>
                    <a:stretch/>
                  </pic:blipFill>
                  <pic:spPr bwMode="auto">
                    <a:xfrm>
                      <a:off x="0" y="0"/>
                      <a:ext cx="4679950" cy="4173220"/>
                    </a:xfrm>
                    <a:prstGeom prst="rect">
                      <a:avLst/>
                    </a:prstGeom>
                    <a:ln>
                      <a:noFill/>
                    </a:ln>
                    <a:extLst>
                      <a:ext uri="{53640926-AAD7-44D8-BBD7-CCE9431645EC}">
                        <a14:shadowObscured xmlns:a14="http://schemas.microsoft.com/office/drawing/2010/main"/>
                      </a:ext>
                    </a:extLst>
                  </pic:spPr>
                </pic:pic>
              </a:graphicData>
            </a:graphic>
          </wp:inline>
        </w:drawing>
      </w:r>
    </w:p>
    <w:p w14:paraId="6D35D77D" w14:textId="77777777" w:rsidR="00583E48" w:rsidRPr="00E41EDF" w:rsidRDefault="00583E48" w:rsidP="00E41EDF">
      <w:pPr>
        <w:tabs>
          <w:tab w:val="left" w:pos="424"/>
        </w:tabs>
        <w:spacing w:after="240" w:line="260" w:lineRule="exact"/>
        <w:jc w:val="both"/>
        <w:rPr>
          <w:rFonts w:ascii="Tahoma" w:hAnsi="Tahoma" w:cs="Tahoma"/>
          <w:color w:val="0D0D0D" w:themeColor="text1" w:themeTint="F2"/>
          <w:sz w:val="16"/>
          <w:szCs w:val="16"/>
          <w:rtl/>
        </w:rPr>
      </w:pPr>
      <w:r w:rsidRPr="00E41EDF">
        <w:rPr>
          <w:rFonts w:ascii="Tahoma" w:hAnsi="Tahoma" w:cs="Tahoma"/>
          <w:color w:val="0D0D0D" w:themeColor="text1" w:themeTint="F2"/>
          <w:sz w:val="16"/>
          <w:szCs w:val="16"/>
          <w:rtl/>
        </w:rPr>
        <w:t xml:space="preserve">על פי נתוני </w:t>
      </w:r>
      <w:r w:rsidRPr="00E41EDF">
        <w:rPr>
          <w:rFonts w:ascii="Tahoma" w:hAnsi="Tahoma" w:cs="Tahoma" w:hint="eastAsia"/>
          <w:color w:val="0D0D0D" w:themeColor="text1" w:themeTint="F2"/>
          <w:sz w:val="16"/>
          <w:szCs w:val="16"/>
          <w:rtl/>
        </w:rPr>
        <w:t>המשרד</w:t>
      </w:r>
      <w:r w:rsidRPr="00E41EDF">
        <w:rPr>
          <w:rFonts w:ascii="Tahoma" w:hAnsi="Tahoma" w:cs="Tahoma"/>
          <w:color w:val="0D0D0D" w:themeColor="text1" w:themeTint="F2"/>
          <w:sz w:val="16"/>
          <w:szCs w:val="16"/>
          <w:rtl/>
        </w:rPr>
        <w:t xml:space="preserve"> </w:t>
      </w:r>
      <w:r w:rsidRPr="00E41EDF">
        <w:rPr>
          <w:rFonts w:ascii="Tahoma" w:hAnsi="Tahoma" w:cs="Tahoma" w:hint="eastAsia"/>
          <w:color w:val="0D0D0D" w:themeColor="text1" w:themeTint="F2"/>
          <w:sz w:val="16"/>
          <w:szCs w:val="16"/>
          <w:rtl/>
        </w:rPr>
        <w:t>לביטחון</w:t>
      </w:r>
      <w:r w:rsidRPr="00E41EDF">
        <w:rPr>
          <w:rFonts w:ascii="Tahoma" w:hAnsi="Tahoma" w:cs="Tahoma"/>
          <w:color w:val="0D0D0D" w:themeColor="text1" w:themeTint="F2"/>
          <w:sz w:val="16"/>
          <w:szCs w:val="16"/>
          <w:rtl/>
        </w:rPr>
        <w:t xml:space="preserve"> </w:t>
      </w:r>
      <w:r w:rsidRPr="00E41EDF">
        <w:rPr>
          <w:rFonts w:ascii="Tahoma" w:hAnsi="Tahoma" w:cs="Tahoma" w:hint="eastAsia"/>
          <w:color w:val="0D0D0D" w:themeColor="text1" w:themeTint="F2"/>
          <w:sz w:val="16"/>
          <w:szCs w:val="16"/>
          <w:rtl/>
        </w:rPr>
        <w:t>הפנים</w:t>
      </w:r>
      <w:r w:rsidRPr="00E41EDF">
        <w:rPr>
          <w:rFonts w:ascii="Tahoma" w:hAnsi="Tahoma" w:cs="Tahoma"/>
          <w:color w:val="0D0D0D" w:themeColor="text1" w:themeTint="F2"/>
          <w:sz w:val="16"/>
          <w:szCs w:val="16"/>
          <w:rtl/>
        </w:rPr>
        <w:t xml:space="preserve">, </w:t>
      </w:r>
      <w:r w:rsidRPr="00E41EDF">
        <w:rPr>
          <w:rFonts w:ascii="Tahoma" w:hAnsi="Tahoma" w:cs="Tahoma" w:hint="eastAsia"/>
          <w:color w:val="0D0D0D" w:themeColor="text1" w:themeTint="F2"/>
          <w:sz w:val="16"/>
          <w:szCs w:val="16"/>
          <w:rtl/>
        </w:rPr>
        <w:t>בעיבוד</w:t>
      </w:r>
      <w:r w:rsidRPr="00E41EDF">
        <w:rPr>
          <w:rFonts w:ascii="Tahoma" w:hAnsi="Tahoma" w:cs="Tahoma"/>
          <w:color w:val="0D0D0D" w:themeColor="text1" w:themeTint="F2"/>
          <w:sz w:val="16"/>
          <w:szCs w:val="16"/>
          <w:rtl/>
        </w:rPr>
        <w:t xml:space="preserve"> </w:t>
      </w:r>
      <w:r w:rsidRPr="00E41EDF">
        <w:rPr>
          <w:rFonts w:ascii="Tahoma" w:hAnsi="Tahoma" w:cs="Tahoma" w:hint="eastAsia"/>
          <w:color w:val="0D0D0D" w:themeColor="text1" w:themeTint="F2"/>
          <w:sz w:val="16"/>
          <w:szCs w:val="16"/>
          <w:rtl/>
        </w:rPr>
        <w:t>משרד</w:t>
      </w:r>
      <w:r w:rsidRPr="00E41EDF">
        <w:rPr>
          <w:rFonts w:ascii="Tahoma" w:hAnsi="Tahoma" w:cs="Tahoma"/>
          <w:color w:val="0D0D0D" w:themeColor="text1" w:themeTint="F2"/>
          <w:sz w:val="16"/>
          <w:szCs w:val="16"/>
          <w:rtl/>
        </w:rPr>
        <w:t xml:space="preserve"> </w:t>
      </w:r>
      <w:r w:rsidRPr="00E41EDF">
        <w:rPr>
          <w:rFonts w:ascii="Tahoma" w:hAnsi="Tahoma" w:cs="Tahoma" w:hint="eastAsia"/>
          <w:color w:val="0D0D0D" w:themeColor="text1" w:themeTint="F2"/>
          <w:sz w:val="16"/>
          <w:szCs w:val="16"/>
          <w:rtl/>
        </w:rPr>
        <w:t>מבקר</w:t>
      </w:r>
      <w:r w:rsidRPr="00E41EDF">
        <w:rPr>
          <w:rFonts w:ascii="Tahoma" w:hAnsi="Tahoma" w:cs="Tahoma"/>
          <w:color w:val="0D0D0D" w:themeColor="text1" w:themeTint="F2"/>
          <w:sz w:val="16"/>
          <w:szCs w:val="16"/>
          <w:rtl/>
        </w:rPr>
        <w:t xml:space="preserve"> </w:t>
      </w:r>
      <w:r w:rsidRPr="00E41EDF">
        <w:rPr>
          <w:rFonts w:ascii="Tahoma" w:hAnsi="Tahoma" w:cs="Tahoma" w:hint="eastAsia"/>
          <w:color w:val="0D0D0D" w:themeColor="text1" w:themeTint="F2"/>
          <w:sz w:val="16"/>
          <w:szCs w:val="16"/>
          <w:rtl/>
        </w:rPr>
        <w:t>המדינה</w:t>
      </w:r>
      <w:r w:rsidRPr="00E41EDF">
        <w:rPr>
          <w:rFonts w:ascii="Tahoma" w:hAnsi="Tahoma" w:cs="Tahoma" w:hint="cs"/>
          <w:color w:val="0D0D0D" w:themeColor="text1" w:themeTint="F2"/>
          <w:sz w:val="16"/>
          <w:szCs w:val="16"/>
          <w:rtl/>
        </w:rPr>
        <w:t>.</w:t>
      </w:r>
    </w:p>
    <w:p w14:paraId="4598C1A2" w14:textId="2EF8933E" w:rsidR="00583E48" w:rsidRPr="00E41EDF" w:rsidRDefault="00583E48" w:rsidP="00E41EDF">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E41EDF">
        <w:rPr>
          <w:rFonts w:ascii="Tahoma" w:hAnsi="Tahoma" w:cs="Tahoma" w:hint="cs"/>
          <w:b/>
          <w:color w:val="0D0D0D" w:themeColor="text1" w:themeTint="F2"/>
          <w:sz w:val="18"/>
          <w:szCs w:val="18"/>
          <w:rtl/>
        </w:rPr>
        <w:lastRenderedPageBreak/>
        <w:t>מהנתונים עולה כי הפגיעות הנפוצות ביותר ברשתות החברתיות היו איום או אלימות מילולית (23%), ביוש (</w:t>
      </w:r>
      <w:proofErr w:type="spellStart"/>
      <w:r w:rsidRPr="00E41EDF">
        <w:rPr>
          <w:rFonts w:ascii="Tahoma" w:hAnsi="Tahoma" w:cs="Tahoma" w:hint="cs"/>
          <w:b/>
          <w:color w:val="0D0D0D" w:themeColor="text1" w:themeTint="F2"/>
          <w:sz w:val="18"/>
          <w:szCs w:val="18"/>
          <w:rtl/>
        </w:rPr>
        <w:t>שיימינג</w:t>
      </w:r>
      <w:proofErr w:type="spellEnd"/>
      <w:r w:rsidRPr="00E41EDF">
        <w:rPr>
          <w:rFonts w:ascii="Tahoma" w:hAnsi="Tahoma" w:cs="Tahoma" w:hint="cs"/>
          <w:b/>
          <w:color w:val="0D0D0D" w:themeColor="text1" w:themeTint="F2"/>
          <w:sz w:val="18"/>
          <w:szCs w:val="18"/>
          <w:rtl/>
        </w:rPr>
        <w:t>), השפלה או חרם (19%) ופנייה או הודעה בעלת אופי מיני שגרמה לאי-נוחות (19%)</w:t>
      </w:r>
      <w:r w:rsidR="00E41EDF" w:rsidRPr="00E41EDF">
        <w:rPr>
          <w:rFonts w:ascii="Tahoma" w:hAnsi="Tahoma" w:cs="Tahoma"/>
          <w:color w:val="0D0D0D" w:themeColor="text1" w:themeTint="F2"/>
          <w:sz w:val="18"/>
          <w:szCs w:val="18"/>
          <w:vertAlign w:val="superscript"/>
          <w:rtl/>
        </w:rPr>
        <w:footnoteReference w:id="37"/>
      </w:r>
      <w:r w:rsidRPr="00E41EDF">
        <w:rPr>
          <w:rFonts w:ascii="Tahoma" w:hAnsi="Tahoma" w:cs="Tahoma" w:hint="cs"/>
          <w:b/>
          <w:color w:val="0D0D0D" w:themeColor="text1" w:themeTint="F2"/>
          <w:sz w:val="18"/>
          <w:szCs w:val="18"/>
          <w:rtl/>
        </w:rPr>
        <w:t xml:space="preserve">. </w:t>
      </w:r>
    </w:p>
    <w:p w14:paraId="10493AFF" w14:textId="77777777"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ממחקר בין-לאומי - מחקר ה-</w:t>
      </w:r>
      <w:r w:rsidRPr="00740A8D">
        <w:rPr>
          <w:rFonts w:ascii="Tahoma" w:hAnsi="Tahoma" w:cs="Tahoma" w:hint="cs"/>
          <w:sz w:val="18"/>
          <w:szCs w:val="18"/>
        </w:rPr>
        <w:t>HBSC</w:t>
      </w:r>
      <w:r w:rsidRPr="00740A8D">
        <w:rPr>
          <w:rFonts w:ascii="Tahoma" w:hAnsi="Tahoma" w:cs="Tahoma" w:hint="cs"/>
          <w:sz w:val="18"/>
          <w:szCs w:val="18"/>
          <w:rtl/>
        </w:rPr>
        <w:t xml:space="preserve"> של ארגון הבריאות העולמי, אשר מבוצע בישראל משנת 1994 במקביל לביצועו ב-47 מדינות ברחבי העולם</w:t>
      </w:r>
      <w:r w:rsidRPr="00740A8D">
        <w:rPr>
          <w:rStyle w:val="FootnoteReference"/>
          <w:rFonts w:ascii="Tahoma" w:hAnsi="Tahoma" w:cs="Tahoma"/>
          <w:sz w:val="18"/>
          <w:szCs w:val="18"/>
          <w:rtl/>
        </w:rPr>
        <w:footnoteReference w:id="38"/>
      </w:r>
      <w:r w:rsidRPr="00740A8D">
        <w:rPr>
          <w:rFonts w:ascii="Tahoma" w:hAnsi="Tahoma" w:cs="Tahoma" w:hint="cs"/>
          <w:sz w:val="18"/>
          <w:szCs w:val="18"/>
          <w:rtl/>
        </w:rPr>
        <w:t>, עולים הנתונים הבאים לגבי שנת 2019:</w:t>
      </w:r>
    </w:p>
    <w:p w14:paraId="2C09C5C9" w14:textId="571CC556" w:rsidR="00583E48" w:rsidRPr="00740A8D" w:rsidRDefault="00E64444" w:rsidP="00A059BD">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E64444">
        <w:rPr>
          <w:rFonts w:ascii="Tahoma" w:hAnsi="Tahoma" w:cs="Tahoma"/>
          <w:color w:val="0D0D0D" w:themeColor="text1" w:themeTint="F2"/>
          <w:sz w:val="20"/>
          <w:szCs w:val="20"/>
          <w:rtl/>
        </w:rPr>
        <w:t xml:space="preserve">תרשים </w:t>
      </w:r>
      <w:r w:rsidRPr="00E64444">
        <w:rPr>
          <w:rFonts w:ascii="Tahoma" w:hAnsi="Tahoma" w:cs="Tahoma" w:hint="cs"/>
          <w:color w:val="0D0D0D" w:themeColor="text1" w:themeTint="F2"/>
          <w:sz w:val="20"/>
          <w:szCs w:val="20"/>
          <w:rtl/>
        </w:rPr>
        <w:t>10</w:t>
      </w:r>
      <w:r w:rsidRPr="00E64444">
        <w:rPr>
          <w:rFonts w:ascii="Tahoma" w:hAnsi="Tahoma" w:cs="Tahoma"/>
          <w:color w:val="0D0D0D" w:themeColor="text1" w:themeTint="F2"/>
          <w:sz w:val="20"/>
          <w:szCs w:val="20"/>
          <w:rtl/>
        </w:rPr>
        <w:t xml:space="preserve">: </w:t>
      </w:r>
      <w:r w:rsidR="00583E48" w:rsidRPr="00740A8D">
        <w:rPr>
          <w:rFonts w:ascii="Tahoma" w:hAnsi="Tahoma" w:cs="Tahoma" w:hint="cs"/>
          <w:b/>
          <w:bCs/>
          <w:color w:val="0D0D0D" w:themeColor="text1" w:themeTint="F2"/>
          <w:sz w:val="20"/>
          <w:szCs w:val="20"/>
          <w:rtl/>
        </w:rPr>
        <w:t xml:space="preserve">ממצאי סקר </w:t>
      </w:r>
      <w:r w:rsidR="00583E48" w:rsidRPr="00740A8D">
        <w:rPr>
          <w:rFonts w:ascii="Tahoma" w:hAnsi="Tahoma" w:cs="Tahoma" w:hint="cs"/>
          <w:b/>
          <w:bCs/>
          <w:color w:val="0D0D0D" w:themeColor="text1" w:themeTint="F2"/>
          <w:sz w:val="20"/>
          <w:szCs w:val="20"/>
        </w:rPr>
        <w:t>HBSC</w:t>
      </w:r>
      <w:r w:rsidR="00583E48" w:rsidRPr="00740A8D">
        <w:rPr>
          <w:rFonts w:ascii="Tahoma" w:hAnsi="Tahoma" w:cs="Tahoma" w:hint="cs"/>
          <w:b/>
          <w:bCs/>
          <w:color w:val="0D0D0D" w:themeColor="text1" w:themeTint="F2"/>
          <w:sz w:val="20"/>
          <w:szCs w:val="20"/>
          <w:rtl/>
        </w:rPr>
        <w:t xml:space="preserve"> אודות אלימות תלמידים ברשת בחודשיים האחרונים (</w:t>
      </w:r>
      <w:r w:rsidR="00583E48" w:rsidRPr="00740A8D">
        <w:rPr>
          <w:rFonts w:ascii="Tahoma" w:hAnsi="Tahoma" w:cs="Tahoma"/>
          <w:b/>
          <w:bCs/>
          <w:color w:val="0D0D0D" w:themeColor="text1" w:themeTint="F2"/>
          <w:sz w:val="20"/>
          <w:szCs w:val="20"/>
          <w:rtl/>
        </w:rPr>
        <w:t>כיתות ו, ח, י, יא ו-</w:t>
      </w:r>
      <w:proofErr w:type="spellStart"/>
      <w:r w:rsidR="00583E48" w:rsidRPr="00740A8D">
        <w:rPr>
          <w:rFonts w:ascii="Tahoma" w:hAnsi="Tahoma" w:cs="Tahoma"/>
          <w:b/>
          <w:bCs/>
          <w:color w:val="0D0D0D" w:themeColor="text1" w:themeTint="F2"/>
          <w:sz w:val="20"/>
          <w:szCs w:val="20"/>
          <w:rtl/>
        </w:rPr>
        <w:t>יב</w:t>
      </w:r>
      <w:proofErr w:type="spellEnd"/>
      <w:r w:rsidR="00583E48" w:rsidRPr="00740A8D">
        <w:rPr>
          <w:rFonts w:ascii="Tahoma" w:hAnsi="Tahoma" w:cs="Tahoma"/>
          <w:b/>
          <w:bCs/>
          <w:color w:val="0D0D0D" w:themeColor="text1" w:themeTint="F2"/>
          <w:sz w:val="20"/>
          <w:szCs w:val="20"/>
          <w:rtl/>
        </w:rPr>
        <w:t>)</w:t>
      </w:r>
      <w:r w:rsidR="00583E48" w:rsidRPr="00740A8D">
        <w:rPr>
          <w:rFonts w:ascii="Tahoma" w:hAnsi="Tahoma" w:cs="Tahoma" w:hint="cs"/>
          <w:b/>
          <w:bCs/>
          <w:color w:val="0D0D0D" w:themeColor="text1" w:themeTint="F2"/>
          <w:sz w:val="20"/>
          <w:szCs w:val="20"/>
          <w:rtl/>
        </w:rPr>
        <w:t>, 2019</w:t>
      </w:r>
    </w:p>
    <w:p w14:paraId="30C609EA" w14:textId="0B093E4D" w:rsidR="00E41EDF" w:rsidRPr="00740A8D" w:rsidRDefault="007B73F6" w:rsidP="00953920">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7CA7D6ED" wp14:editId="61682334">
            <wp:extent cx="4679950" cy="474726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9950" cy="4747260"/>
                    </a:xfrm>
                    <a:prstGeom prst="rect">
                      <a:avLst/>
                    </a:prstGeom>
                  </pic:spPr>
                </pic:pic>
              </a:graphicData>
            </a:graphic>
          </wp:inline>
        </w:drawing>
      </w:r>
    </w:p>
    <w:p w14:paraId="4A3BD8A9" w14:textId="251D513D" w:rsidR="007B73F6" w:rsidRPr="00740A8D" w:rsidRDefault="009554B3" w:rsidP="00E64444">
      <w:pPr>
        <w:keepNext/>
        <w:spacing w:line="240" w:lineRule="atLeast"/>
        <w:jc w:val="center"/>
        <w:rPr>
          <w:rFonts w:ascii="Tahoma" w:hAnsi="Tahoma" w:cs="Tahoma"/>
          <w:sz w:val="18"/>
          <w:szCs w:val="18"/>
          <w:rtl/>
        </w:rPr>
      </w:pPr>
      <w:r>
        <w:rPr>
          <w:rFonts w:ascii="Tahoma" w:hAnsi="Tahoma" w:cs="Tahoma"/>
          <w:noProof/>
          <w:sz w:val="18"/>
          <w:szCs w:val="18"/>
          <w:rtl/>
          <w:lang w:val="he-IL"/>
        </w:rPr>
        <w:lastRenderedPageBreak/>
        <w:drawing>
          <wp:inline distT="0" distB="0" distL="0" distR="0" wp14:anchorId="70C24FB9" wp14:editId="37F54351">
            <wp:extent cx="4679950" cy="3826510"/>
            <wp:effectExtent l="0" t="0" r="635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79950" cy="3826510"/>
                    </a:xfrm>
                    <a:prstGeom prst="rect">
                      <a:avLst/>
                    </a:prstGeom>
                  </pic:spPr>
                </pic:pic>
              </a:graphicData>
            </a:graphic>
          </wp:inline>
        </w:drawing>
      </w:r>
    </w:p>
    <w:p w14:paraId="6B64A53C" w14:textId="77777777" w:rsidR="00583E48" w:rsidRPr="009554B3" w:rsidRDefault="00583E48" w:rsidP="009554B3">
      <w:pPr>
        <w:tabs>
          <w:tab w:val="left" w:pos="424"/>
        </w:tabs>
        <w:spacing w:after="240" w:line="260" w:lineRule="exact"/>
        <w:jc w:val="both"/>
        <w:rPr>
          <w:rFonts w:ascii="Tahoma" w:hAnsi="Tahoma" w:cs="Tahoma"/>
          <w:color w:val="0D0D0D" w:themeColor="text1" w:themeTint="F2"/>
          <w:sz w:val="16"/>
          <w:szCs w:val="16"/>
          <w:rtl/>
        </w:rPr>
      </w:pPr>
      <w:r w:rsidRPr="009554B3">
        <w:rPr>
          <w:rFonts w:ascii="Tahoma" w:hAnsi="Tahoma" w:cs="Tahoma"/>
          <w:color w:val="0D0D0D" w:themeColor="text1" w:themeTint="F2"/>
          <w:sz w:val="16"/>
          <w:szCs w:val="16"/>
          <w:rtl/>
        </w:rPr>
        <w:t xml:space="preserve">על פי נתוני </w:t>
      </w:r>
      <w:r w:rsidRPr="009554B3">
        <w:rPr>
          <w:rFonts w:ascii="Tahoma" w:hAnsi="Tahoma" w:cs="Tahoma" w:hint="eastAsia"/>
          <w:color w:val="0D0D0D" w:themeColor="text1" w:themeTint="F2"/>
          <w:sz w:val="16"/>
          <w:szCs w:val="16"/>
          <w:rtl/>
        </w:rPr>
        <w:t>סקר</w:t>
      </w:r>
      <w:r w:rsidRPr="009554B3">
        <w:rPr>
          <w:rFonts w:ascii="Tahoma" w:hAnsi="Tahoma" w:cs="Tahoma"/>
          <w:color w:val="0D0D0D" w:themeColor="text1" w:themeTint="F2"/>
          <w:sz w:val="16"/>
          <w:szCs w:val="16"/>
          <w:rtl/>
        </w:rPr>
        <w:t xml:space="preserve"> </w:t>
      </w:r>
      <w:r w:rsidRPr="009554B3">
        <w:rPr>
          <w:rFonts w:ascii="Tahoma" w:hAnsi="Tahoma" w:cs="Tahoma"/>
          <w:color w:val="0D0D0D" w:themeColor="text1" w:themeTint="F2"/>
          <w:sz w:val="16"/>
          <w:szCs w:val="16"/>
        </w:rPr>
        <w:t>HBSC</w:t>
      </w:r>
      <w:r w:rsidRPr="009554B3">
        <w:rPr>
          <w:rFonts w:ascii="Tahoma" w:hAnsi="Tahoma" w:cs="Tahoma"/>
          <w:color w:val="0D0D0D" w:themeColor="text1" w:themeTint="F2"/>
          <w:sz w:val="16"/>
          <w:szCs w:val="16"/>
          <w:rtl/>
        </w:rPr>
        <w:t xml:space="preserve">, </w:t>
      </w:r>
      <w:r w:rsidRPr="009554B3">
        <w:rPr>
          <w:rFonts w:ascii="Tahoma" w:hAnsi="Tahoma" w:cs="Tahoma" w:hint="eastAsia"/>
          <w:color w:val="0D0D0D" w:themeColor="text1" w:themeTint="F2"/>
          <w:sz w:val="16"/>
          <w:szCs w:val="16"/>
          <w:rtl/>
        </w:rPr>
        <w:t>בעיבוד</w:t>
      </w:r>
      <w:r w:rsidRPr="009554B3">
        <w:rPr>
          <w:rFonts w:ascii="Tahoma" w:hAnsi="Tahoma" w:cs="Tahoma"/>
          <w:color w:val="0D0D0D" w:themeColor="text1" w:themeTint="F2"/>
          <w:sz w:val="16"/>
          <w:szCs w:val="16"/>
          <w:rtl/>
        </w:rPr>
        <w:t xml:space="preserve"> </w:t>
      </w:r>
      <w:r w:rsidRPr="009554B3">
        <w:rPr>
          <w:rFonts w:ascii="Tahoma" w:hAnsi="Tahoma" w:cs="Tahoma" w:hint="eastAsia"/>
          <w:color w:val="0D0D0D" w:themeColor="text1" w:themeTint="F2"/>
          <w:sz w:val="16"/>
          <w:szCs w:val="16"/>
          <w:rtl/>
        </w:rPr>
        <w:t>משרד</w:t>
      </w:r>
      <w:r w:rsidRPr="009554B3">
        <w:rPr>
          <w:rFonts w:ascii="Tahoma" w:hAnsi="Tahoma" w:cs="Tahoma"/>
          <w:color w:val="0D0D0D" w:themeColor="text1" w:themeTint="F2"/>
          <w:sz w:val="16"/>
          <w:szCs w:val="16"/>
          <w:rtl/>
        </w:rPr>
        <w:t xml:space="preserve"> </w:t>
      </w:r>
      <w:r w:rsidRPr="009554B3">
        <w:rPr>
          <w:rFonts w:ascii="Tahoma" w:hAnsi="Tahoma" w:cs="Tahoma" w:hint="eastAsia"/>
          <w:color w:val="0D0D0D" w:themeColor="text1" w:themeTint="F2"/>
          <w:sz w:val="16"/>
          <w:szCs w:val="16"/>
          <w:rtl/>
        </w:rPr>
        <w:t>מבקר</w:t>
      </w:r>
      <w:r w:rsidRPr="009554B3">
        <w:rPr>
          <w:rFonts w:ascii="Tahoma" w:hAnsi="Tahoma" w:cs="Tahoma"/>
          <w:color w:val="0D0D0D" w:themeColor="text1" w:themeTint="F2"/>
          <w:sz w:val="16"/>
          <w:szCs w:val="16"/>
          <w:rtl/>
        </w:rPr>
        <w:t xml:space="preserve"> </w:t>
      </w:r>
      <w:r w:rsidRPr="009554B3">
        <w:rPr>
          <w:rFonts w:ascii="Tahoma" w:hAnsi="Tahoma" w:cs="Tahoma" w:hint="eastAsia"/>
          <w:color w:val="0D0D0D" w:themeColor="text1" w:themeTint="F2"/>
          <w:sz w:val="16"/>
          <w:szCs w:val="16"/>
          <w:rtl/>
        </w:rPr>
        <w:t>המדינה</w:t>
      </w:r>
      <w:r w:rsidRPr="009554B3">
        <w:rPr>
          <w:rFonts w:ascii="Tahoma" w:hAnsi="Tahoma" w:cs="Tahoma"/>
          <w:color w:val="0D0D0D" w:themeColor="text1" w:themeTint="F2"/>
          <w:sz w:val="16"/>
          <w:szCs w:val="16"/>
          <w:rtl/>
        </w:rPr>
        <w:t>.</w:t>
      </w:r>
    </w:p>
    <w:p w14:paraId="0F23D8F9" w14:textId="207DC17C" w:rsidR="00583E48" w:rsidRPr="009554B3" w:rsidRDefault="00583E48" w:rsidP="009554B3">
      <w:pPr>
        <w:keepLines/>
        <w:pBdr>
          <w:top w:val="single" w:sz="18" w:space="4" w:color="EDF1FA"/>
          <w:left w:val="single" w:sz="18" w:space="11" w:color="EDF1FA"/>
          <w:bottom w:val="single" w:sz="18" w:space="6" w:color="EDF1FA"/>
          <w:right w:val="single" w:sz="18" w:space="11" w:color="EDF1FA"/>
        </w:pBdr>
        <w:shd w:val="clear" w:color="auto" w:fill="EDF1FA"/>
        <w:spacing w:line="260" w:lineRule="exact"/>
        <w:ind w:left="227" w:right="227"/>
        <w:jc w:val="both"/>
        <w:rPr>
          <w:rFonts w:ascii="Tahoma" w:hAnsi="Tahoma" w:cs="Tahoma"/>
          <w:b/>
          <w:color w:val="0D0D0D" w:themeColor="text1" w:themeTint="F2"/>
          <w:sz w:val="18"/>
          <w:szCs w:val="18"/>
          <w:rtl/>
        </w:rPr>
      </w:pPr>
      <w:r w:rsidRPr="009554B3">
        <w:rPr>
          <w:rFonts w:ascii="Tahoma" w:hAnsi="Tahoma" w:cs="Tahoma" w:hint="cs"/>
          <w:b/>
          <w:color w:val="0D0D0D" w:themeColor="text1" w:themeTint="F2"/>
          <w:sz w:val="18"/>
          <w:szCs w:val="18"/>
          <w:rtl/>
        </w:rPr>
        <w:t xml:space="preserve">מהתרשים עולה כי שיעור </w:t>
      </w:r>
      <w:r w:rsidRPr="009554B3">
        <w:rPr>
          <w:rFonts w:ascii="Tahoma" w:hAnsi="Tahoma" w:cs="Tahoma" w:hint="eastAsia"/>
          <w:b/>
          <w:color w:val="0D0D0D" w:themeColor="text1" w:themeTint="F2"/>
          <w:sz w:val="18"/>
          <w:szCs w:val="18"/>
          <w:rtl/>
        </w:rPr>
        <w:t>כלל</w:t>
      </w:r>
      <w:r w:rsidRPr="009554B3">
        <w:rPr>
          <w:rFonts w:ascii="Tahoma" w:hAnsi="Tahoma" w:cs="Tahoma"/>
          <w:b/>
          <w:color w:val="0D0D0D" w:themeColor="text1" w:themeTint="F2"/>
          <w:sz w:val="18"/>
          <w:szCs w:val="18"/>
          <w:rtl/>
        </w:rPr>
        <w:t xml:space="preserve"> </w:t>
      </w:r>
      <w:r w:rsidRPr="009554B3">
        <w:rPr>
          <w:rFonts w:ascii="Tahoma" w:hAnsi="Tahoma" w:cs="Tahoma" w:hint="eastAsia"/>
          <w:b/>
          <w:color w:val="0D0D0D" w:themeColor="text1" w:themeTint="F2"/>
          <w:sz w:val="18"/>
          <w:szCs w:val="18"/>
          <w:rtl/>
        </w:rPr>
        <w:t>הפגיעות</w:t>
      </w:r>
      <w:r w:rsidRPr="009554B3">
        <w:rPr>
          <w:rFonts w:ascii="Tahoma" w:hAnsi="Tahoma" w:cs="Tahoma" w:hint="cs"/>
          <w:b/>
          <w:color w:val="0D0D0D" w:themeColor="text1" w:themeTint="F2"/>
          <w:sz w:val="18"/>
          <w:szCs w:val="18"/>
          <w:rtl/>
        </w:rPr>
        <w:t xml:space="preserve"> בקרב בנים במגזר הערבי גבוה בשיעור ניכר </w:t>
      </w:r>
      <w:r w:rsidR="009554B3">
        <w:rPr>
          <w:rFonts w:ascii="Tahoma" w:hAnsi="Tahoma" w:cs="Tahoma"/>
          <w:b/>
          <w:color w:val="0D0D0D" w:themeColor="text1" w:themeTint="F2"/>
          <w:sz w:val="18"/>
          <w:szCs w:val="18"/>
        </w:rPr>
        <w:br/>
      </w:r>
      <w:r w:rsidR="00A059BD" w:rsidRPr="00A059BD">
        <w:rPr>
          <w:rFonts w:ascii="Tahoma" w:hAnsi="Tahoma" w:cs="Tahoma"/>
          <w:b/>
          <w:color w:val="0D0D0D" w:themeColor="text1" w:themeTint="F2"/>
          <w:sz w:val="18"/>
          <w:szCs w:val="18"/>
          <w:rtl/>
        </w:rPr>
        <w:t>(</w:t>
      </w:r>
      <w:r w:rsidR="00A059BD" w:rsidRPr="00A059BD">
        <w:rPr>
          <w:rFonts w:ascii="Tahoma" w:hAnsi="Tahoma" w:cs="Tahoma" w:hint="eastAsia"/>
          <w:b/>
          <w:color w:val="0D0D0D" w:themeColor="text1" w:themeTint="F2"/>
          <w:sz w:val="18"/>
          <w:szCs w:val="18"/>
          <w:rtl/>
        </w:rPr>
        <w:t>כ</w:t>
      </w:r>
      <w:r w:rsidR="00A059BD" w:rsidRPr="00A059BD">
        <w:rPr>
          <w:rFonts w:ascii="Tahoma" w:hAnsi="Tahoma" w:cs="Tahoma"/>
          <w:b/>
          <w:color w:val="0D0D0D" w:themeColor="text1" w:themeTint="F2"/>
          <w:sz w:val="18"/>
          <w:szCs w:val="18"/>
          <w:rtl/>
        </w:rPr>
        <w:t xml:space="preserve">-12% </w:t>
      </w:r>
      <w:r w:rsidR="00A059BD" w:rsidRPr="00A059BD">
        <w:rPr>
          <w:rFonts w:ascii="Tahoma" w:hAnsi="Tahoma" w:cs="Tahoma" w:hint="eastAsia"/>
          <w:b/>
          <w:color w:val="0D0D0D" w:themeColor="text1" w:themeTint="F2"/>
          <w:sz w:val="18"/>
          <w:szCs w:val="18"/>
          <w:rtl/>
        </w:rPr>
        <w:t>במרבית</w:t>
      </w:r>
      <w:r w:rsidR="00A059BD" w:rsidRPr="00A059BD">
        <w:rPr>
          <w:rFonts w:ascii="Tahoma" w:hAnsi="Tahoma" w:cs="Tahoma"/>
          <w:b/>
          <w:color w:val="0D0D0D" w:themeColor="text1" w:themeTint="F2"/>
          <w:sz w:val="18"/>
          <w:szCs w:val="18"/>
          <w:rtl/>
        </w:rPr>
        <w:t xml:space="preserve"> </w:t>
      </w:r>
      <w:r w:rsidR="00A059BD" w:rsidRPr="00A059BD">
        <w:rPr>
          <w:rFonts w:ascii="Tahoma" w:hAnsi="Tahoma" w:cs="Tahoma" w:hint="eastAsia"/>
          <w:b/>
          <w:color w:val="0D0D0D" w:themeColor="text1" w:themeTint="F2"/>
          <w:sz w:val="18"/>
          <w:szCs w:val="18"/>
          <w:rtl/>
        </w:rPr>
        <w:t>הפגיעות</w:t>
      </w:r>
      <w:r w:rsidR="00A059BD" w:rsidRPr="00A059BD">
        <w:rPr>
          <w:rFonts w:ascii="Tahoma" w:hAnsi="Tahoma" w:cs="Tahoma"/>
          <w:b/>
          <w:color w:val="0D0D0D" w:themeColor="text1" w:themeTint="F2"/>
          <w:sz w:val="18"/>
          <w:szCs w:val="18"/>
          <w:rtl/>
        </w:rPr>
        <w:t xml:space="preserve">) </w:t>
      </w:r>
      <w:r w:rsidR="00A059BD" w:rsidRPr="00A059BD">
        <w:rPr>
          <w:rFonts w:ascii="Tahoma" w:hAnsi="Tahoma" w:cs="Tahoma" w:hint="eastAsia"/>
          <w:b/>
          <w:color w:val="0D0D0D" w:themeColor="text1" w:themeTint="F2"/>
          <w:sz w:val="18"/>
          <w:szCs w:val="18"/>
          <w:rtl/>
        </w:rPr>
        <w:t>למול</w:t>
      </w:r>
      <w:r w:rsidR="00A059BD" w:rsidRPr="00A059BD">
        <w:rPr>
          <w:rFonts w:ascii="Tahoma" w:hAnsi="Tahoma" w:cs="Tahoma"/>
          <w:b/>
          <w:color w:val="0D0D0D" w:themeColor="text1" w:themeTint="F2"/>
          <w:sz w:val="18"/>
          <w:szCs w:val="18"/>
          <w:rtl/>
        </w:rPr>
        <w:t xml:space="preserve"> </w:t>
      </w:r>
      <w:r w:rsidR="00A059BD" w:rsidRPr="00A059BD">
        <w:rPr>
          <w:rFonts w:ascii="Tahoma" w:hAnsi="Tahoma" w:cs="Tahoma" w:hint="eastAsia"/>
          <w:b/>
          <w:color w:val="0D0D0D" w:themeColor="text1" w:themeTint="F2"/>
          <w:sz w:val="18"/>
          <w:szCs w:val="18"/>
          <w:rtl/>
        </w:rPr>
        <w:t>שיעורי</w:t>
      </w:r>
      <w:r w:rsidR="00A059BD" w:rsidRPr="00A059BD">
        <w:rPr>
          <w:rFonts w:ascii="Tahoma" w:hAnsi="Tahoma" w:cs="Tahoma"/>
          <w:b/>
          <w:color w:val="0D0D0D" w:themeColor="text1" w:themeTint="F2"/>
          <w:sz w:val="18"/>
          <w:szCs w:val="18"/>
          <w:rtl/>
        </w:rPr>
        <w:t xml:space="preserve"> </w:t>
      </w:r>
      <w:r w:rsidR="00A059BD" w:rsidRPr="00A059BD">
        <w:rPr>
          <w:rFonts w:ascii="Tahoma" w:hAnsi="Tahoma" w:cs="Tahoma" w:hint="eastAsia"/>
          <w:b/>
          <w:color w:val="0D0D0D" w:themeColor="text1" w:themeTint="F2"/>
          <w:sz w:val="18"/>
          <w:szCs w:val="18"/>
          <w:rtl/>
        </w:rPr>
        <w:t>פגיעה</w:t>
      </w:r>
      <w:r w:rsidR="00A059BD" w:rsidRPr="00A059BD">
        <w:rPr>
          <w:rFonts w:ascii="Tahoma" w:hAnsi="Tahoma" w:cs="Tahoma"/>
          <w:b/>
          <w:color w:val="0D0D0D" w:themeColor="text1" w:themeTint="F2"/>
          <w:sz w:val="18"/>
          <w:szCs w:val="18"/>
          <w:rtl/>
        </w:rPr>
        <w:t xml:space="preserve"> </w:t>
      </w:r>
      <w:r w:rsidR="00A059BD" w:rsidRPr="00A059BD">
        <w:rPr>
          <w:rFonts w:ascii="Tahoma" w:hAnsi="Tahoma" w:cs="Tahoma" w:hint="eastAsia"/>
          <w:b/>
          <w:color w:val="0D0D0D" w:themeColor="text1" w:themeTint="F2"/>
          <w:sz w:val="18"/>
          <w:szCs w:val="18"/>
          <w:rtl/>
        </w:rPr>
        <w:t>נמוכים</w:t>
      </w:r>
      <w:r w:rsidR="00A059BD" w:rsidRPr="00A059BD">
        <w:rPr>
          <w:rFonts w:ascii="Tahoma" w:hAnsi="Tahoma" w:cs="Tahoma"/>
          <w:b/>
          <w:color w:val="0D0D0D" w:themeColor="text1" w:themeTint="F2"/>
          <w:sz w:val="18"/>
          <w:szCs w:val="18"/>
          <w:rtl/>
        </w:rPr>
        <w:t xml:space="preserve"> </w:t>
      </w:r>
      <w:r w:rsidR="00A059BD" w:rsidRPr="00A059BD">
        <w:rPr>
          <w:rFonts w:ascii="Tahoma" w:hAnsi="Tahoma" w:cs="Tahoma" w:hint="eastAsia"/>
          <w:b/>
          <w:color w:val="0D0D0D" w:themeColor="text1" w:themeTint="F2"/>
          <w:sz w:val="18"/>
          <w:szCs w:val="18"/>
          <w:rtl/>
        </w:rPr>
        <w:t>יותר</w:t>
      </w:r>
      <w:r w:rsidR="00A059BD" w:rsidRPr="00A059BD">
        <w:rPr>
          <w:rFonts w:ascii="Tahoma" w:hAnsi="Tahoma" w:cs="Tahoma"/>
          <w:b/>
          <w:color w:val="0D0D0D" w:themeColor="text1" w:themeTint="F2"/>
          <w:sz w:val="18"/>
          <w:szCs w:val="18"/>
          <w:rtl/>
        </w:rPr>
        <w:t xml:space="preserve"> </w:t>
      </w:r>
      <w:r w:rsidR="00A059BD" w:rsidRPr="00A059BD">
        <w:rPr>
          <w:rFonts w:ascii="Tahoma" w:hAnsi="Tahoma" w:cs="Tahoma" w:hint="eastAsia"/>
          <w:b/>
          <w:color w:val="0D0D0D" w:themeColor="text1" w:themeTint="F2"/>
          <w:sz w:val="18"/>
          <w:szCs w:val="18"/>
          <w:rtl/>
        </w:rPr>
        <w:t>בקרב</w:t>
      </w:r>
      <w:r w:rsidR="00A059BD" w:rsidRPr="00A059BD">
        <w:rPr>
          <w:rFonts w:ascii="Tahoma" w:hAnsi="Tahoma" w:cs="Tahoma"/>
          <w:b/>
          <w:color w:val="0D0D0D" w:themeColor="text1" w:themeTint="F2"/>
          <w:sz w:val="18"/>
          <w:szCs w:val="18"/>
          <w:rtl/>
        </w:rPr>
        <w:t xml:space="preserve"> </w:t>
      </w:r>
      <w:r w:rsidR="00A059BD" w:rsidRPr="00A059BD">
        <w:rPr>
          <w:rFonts w:ascii="Tahoma" w:hAnsi="Tahoma" w:cs="Tahoma" w:hint="eastAsia"/>
          <w:b/>
          <w:color w:val="0D0D0D" w:themeColor="text1" w:themeTint="F2"/>
          <w:sz w:val="18"/>
          <w:szCs w:val="18"/>
          <w:rtl/>
        </w:rPr>
        <w:t>המגזר</w:t>
      </w:r>
      <w:r w:rsidR="00A059BD" w:rsidRPr="00A059BD">
        <w:rPr>
          <w:rFonts w:ascii="Tahoma" w:hAnsi="Tahoma" w:cs="Tahoma"/>
          <w:b/>
          <w:color w:val="0D0D0D" w:themeColor="text1" w:themeTint="F2"/>
          <w:sz w:val="18"/>
          <w:szCs w:val="18"/>
          <w:rtl/>
        </w:rPr>
        <w:t xml:space="preserve"> </w:t>
      </w:r>
      <w:r w:rsidR="00A059BD" w:rsidRPr="00A059BD">
        <w:rPr>
          <w:rFonts w:ascii="Tahoma" w:hAnsi="Tahoma" w:cs="Tahoma" w:hint="eastAsia"/>
          <w:b/>
          <w:color w:val="0D0D0D" w:themeColor="text1" w:themeTint="F2"/>
          <w:sz w:val="18"/>
          <w:szCs w:val="18"/>
          <w:rtl/>
        </w:rPr>
        <w:t>היהודי</w:t>
      </w:r>
      <w:r w:rsidR="00A059BD" w:rsidRPr="00A059BD">
        <w:rPr>
          <w:rFonts w:ascii="Tahoma" w:hAnsi="Tahoma" w:cs="Tahoma"/>
          <w:b/>
          <w:color w:val="0D0D0D" w:themeColor="text1" w:themeTint="F2"/>
          <w:sz w:val="18"/>
          <w:szCs w:val="18"/>
          <w:rtl/>
        </w:rPr>
        <w:t xml:space="preserve"> </w:t>
      </w:r>
      <w:r w:rsidR="00A059BD" w:rsidRPr="00A059BD">
        <w:rPr>
          <w:rFonts w:ascii="Tahoma" w:hAnsi="Tahoma" w:cs="Tahoma" w:hint="eastAsia"/>
          <w:b/>
          <w:color w:val="0D0D0D" w:themeColor="text1" w:themeTint="F2"/>
          <w:sz w:val="18"/>
          <w:szCs w:val="18"/>
          <w:rtl/>
        </w:rPr>
        <w:t>ובקרב</w:t>
      </w:r>
      <w:r w:rsidR="00A059BD" w:rsidRPr="00A059BD">
        <w:rPr>
          <w:rFonts w:ascii="Tahoma" w:hAnsi="Tahoma" w:cs="Tahoma"/>
          <w:b/>
          <w:color w:val="0D0D0D" w:themeColor="text1" w:themeTint="F2"/>
          <w:sz w:val="18"/>
          <w:szCs w:val="18"/>
          <w:rtl/>
        </w:rPr>
        <w:t xml:space="preserve"> </w:t>
      </w:r>
      <w:r w:rsidR="00A059BD" w:rsidRPr="00A059BD">
        <w:rPr>
          <w:rFonts w:ascii="Tahoma" w:hAnsi="Tahoma" w:cs="Tahoma" w:hint="eastAsia"/>
          <w:b/>
          <w:color w:val="0D0D0D" w:themeColor="text1" w:themeTint="F2"/>
          <w:sz w:val="18"/>
          <w:szCs w:val="18"/>
          <w:rtl/>
        </w:rPr>
        <w:t>בנות</w:t>
      </w:r>
      <w:r w:rsidR="00A059BD" w:rsidRPr="00A059BD">
        <w:rPr>
          <w:rFonts w:ascii="Tahoma" w:hAnsi="Tahoma" w:cs="Tahoma"/>
          <w:b/>
          <w:color w:val="0D0D0D" w:themeColor="text1" w:themeTint="F2"/>
          <w:sz w:val="18"/>
          <w:szCs w:val="18"/>
          <w:rtl/>
        </w:rPr>
        <w:t xml:space="preserve"> </w:t>
      </w:r>
      <w:r w:rsidR="00A059BD" w:rsidRPr="00A059BD">
        <w:rPr>
          <w:rFonts w:ascii="Tahoma" w:hAnsi="Tahoma" w:cs="Tahoma" w:hint="eastAsia"/>
          <w:b/>
          <w:color w:val="0D0D0D" w:themeColor="text1" w:themeTint="F2"/>
          <w:sz w:val="18"/>
          <w:szCs w:val="18"/>
          <w:rtl/>
        </w:rPr>
        <w:t>במגזר</w:t>
      </w:r>
      <w:r w:rsidR="00A059BD" w:rsidRPr="00A059BD">
        <w:rPr>
          <w:rFonts w:ascii="Tahoma" w:hAnsi="Tahoma" w:cs="Tahoma"/>
          <w:b/>
          <w:color w:val="0D0D0D" w:themeColor="text1" w:themeTint="F2"/>
          <w:sz w:val="18"/>
          <w:szCs w:val="18"/>
          <w:rtl/>
        </w:rPr>
        <w:t xml:space="preserve"> </w:t>
      </w:r>
      <w:r w:rsidR="00A059BD" w:rsidRPr="00A059BD">
        <w:rPr>
          <w:rFonts w:ascii="Tahoma" w:hAnsi="Tahoma" w:cs="Tahoma" w:hint="eastAsia"/>
          <w:b/>
          <w:color w:val="0D0D0D" w:themeColor="text1" w:themeTint="F2"/>
          <w:sz w:val="18"/>
          <w:szCs w:val="18"/>
          <w:rtl/>
        </w:rPr>
        <w:t>הערבי</w:t>
      </w:r>
      <w:r w:rsidR="00A059BD" w:rsidRPr="00A059BD">
        <w:rPr>
          <w:rFonts w:ascii="Tahoma" w:hAnsi="Tahoma" w:cs="Tahoma"/>
          <w:b/>
          <w:color w:val="0D0D0D" w:themeColor="text1" w:themeTint="F2"/>
          <w:sz w:val="18"/>
          <w:szCs w:val="18"/>
          <w:rtl/>
        </w:rPr>
        <w:t xml:space="preserve"> (</w:t>
      </w:r>
      <w:r w:rsidR="00A059BD" w:rsidRPr="00A059BD">
        <w:rPr>
          <w:rFonts w:ascii="Tahoma" w:hAnsi="Tahoma" w:cs="Tahoma" w:hint="eastAsia"/>
          <w:b/>
          <w:color w:val="0D0D0D" w:themeColor="text1" w:themeTint="F2"/>
          <w:sz w:val="18"/>
          <w:szCs w:val="18"/>
          <w:rtl/>
        </w:rPr>
        <w:t>הנעים</w:t>
      </w:r>
      <w:r w:rsidR="00A059BD" w:rsidRPr="00A059BD">
        <w:rPr>
          <w:rFonts w:ascii="Tahoma" w:hAnsi="Tahoma" w:cs="Tahoma"/>
          <w:b/>
          <w:color w:val="0D0D0D" w:themeColor="text1" w:themeTint="F2"/>
          <w:sz w:val="18"/>
          <w:szCs w:val="18"/>
          <w:rtl/>
        </w:rPr>
        <w:t xml:space="preserve"> </w:t>
      </w:r>
      <w:r w:rsidR="00A059BD" w:rsidRPr="00A059BD">
        <w:rPr>
          <w:rFonts w:ascii="Tahoma" w:hAnsi="Tahoma" w:cs="Tahoma" w:hint="eastAsia"/>
          <w:b/>
          <w:color w:val="0D0D0D" w:themeColor="text1" w:themeTint="F2"/>
          <w:sz w:val="18"/>
          <w:szCs w:val="18"/>
          <w:rtl/>
        </w:rPr>
        <w:t>בין</w:t>
      </w:r>
      <w:r w:rsidR="00A059BD" w:rsidRPr="00A059BD">
        <w:rPr>
          <w:rFonts w:ascii="Tahoma" w:hAnsi="Tahoma" w:cs="Tahoma"/>
          <w:b/>
          <w:color w:val="0D0D0D" w:themeColor="text1" w:themeTint="F2"/>
          <w:sz w:val="18"/>
          <w:szCs w:val="18"/>
          <w:rtl/>
        </w:rPr>
        <w:t xml:space="preserve"> 0.6% </w:t>
      </w:r>
      <w:r w:rsidR="00A059BD" w:rsidRPr="00A059BD">
        <w:rPr>
          <w:rFonts w:ascii="Tahoma" w:hAnsi="Tahoma" w:cs="Tahoma" w:hint="eastAsia"/>
          <w:b/>
          <w:color w:val="0D0D0D" w:themeColor="text1" w:themeTint="F2"/>
          <w:sz w:val="18"/>
          <w:szCs w:val="18"/>
          <w:rtl/>
        </w:rPr>
        <w:t>ל</w:t>
      </w:r>
      <w:r w:rsidR="00A059BD" w:rsidRPr="00A059BD">
        <w:rPr>
          <w:rFonts w:ascii="Tahoma" w:hAnsi="Tahoma" w:cs="Tahoma"/>
          <w:b/>
          <w:color w:val="0D0D0D" w:themeColor="text1" w:themeTint="F2"/>
          <w:sz w:val="18"/>
          <w:szCs w:val="18"/>
          <w:rtl/>
        </w:rPr>
        <w:t xml:space="preserve">-4.9% </w:t>
      </w:r>
      <w:r w:rsidR="00A059BD" w:rsidRPr="00A059BD">
        <w:rPr>
          <w:rFonts w:ascii="Tahoma" w:hAnsi="Tahoma" w:cs="Tahoma" w:hint="eastAsia"/>
          <w:b/>
          <w:color w:val="0D0D0D" w:themeColor="text1" w:themeTint="F2"/>
          <w:sz w:val="18"/>
          <w:szCs w:val="18"/>
          <w:rtl/>
        </w:rPr>
        <w:t>במרבית</w:t>
      </w:r>
      <w:r w:rsidR="00A059BD" w:rsidRPr="00A059BD">
        <w:rPr>
          <w:rFonts w:ascii="Tahoma" w:hAnsi="Tahoma" w:cs="Tahoma"/>
          <w:b/>
          <w:color w:val="0D0D0D" w:themeColor="text1" w:themeTint="F2"/>
          <w:sz w:val="18"/>
          <w:szCs w:val="18"/>
          <w:rtl/>
        </w:rPr>
        <w:t xml:space="preserve"> </w:t>
      </w:r>
      <w:r w:rsidR="00A059BD" w:rsidRPr="00A059BD">
        <w:rPr>
          <w:rFonts w:ascii="Tahoma" w:hAnsi="Tahoma" w:cs="Tahoma" w:hint="eastAsia"/>
          <w:b/>
          <w:color w:val="0D0D0D" w:themeColor="text1" w:themeTint="F2"/>
          <w:sz w:val="18"/>
          <w:szCs w:val="18"/>
          <w:rtl/>
        </w:rPr>
        <w:t>הפגיעות</w:t>
      </w:r>
      <w:r w:rsidR="00A059BD" w:rsidRPr="00A059BD">
        <w:rPr>
          <w:rFonts w:ascii="Tahoma" w:hAnsi="Tahoma" w:cs="Tahoma"/>
          <w:b/>
          <w:color w:val="0D0D0D" w:themeColor="text1" w:themeTint="F2"/>
          <w:sz w:val="18"/>
          <w:szCs w:val="18"/>
          <w:rtl/>
        </w:rPr>
        <w:t xml:space="preserve">). </w:t>
      </w:r>
      <w:r w:rsidRPr="009554B3">
        <w:rPr>
          <w:rFonts w:ascii="Tahoma" w:hAnsi="Tahoma" w:cs="Tahoma" w:hint="cs"/>
          <w:b/>
          <w:color w:val="0D0D0D" w:themeColor="text1" w:themeTint="F2"/>
          <w:sz w:val="18"/>
          <w:szCs w:val="18"/>
          <w:rtl/>
        </w:rPr>
        <w:t>עוד עולה מנתוני המחקר כי כ-11.5% מהתלמידים נפלו קורבן לבריונות ברשת - השיעור גבוה יותר בקרב בנים ובקרב תלמידים במגזר הערבי</w:t>
      </w:r>
      <w:r w:rsidR="009554B3" w:rsidRPr="009554B3">
        <w:rPr>
          <w:rFonts w:ascii="Tahoma" w:hAnsi="Tahoma" w:cs="Tahoma"/>
          <w:color w:val="0D0D0D" w:themeColor="text1" w:themeTint="F2"/>
          <w:sz w:val="18"/>
          <w:szCs w:val="18"/>
          <w:vertAlign w:val="superscript"/>
          <w:rtl/>
        </w:rPr>
        <w:footnoteReference w:id="39"/>
      </w:r>
      <w:r w:rsidRPr="009554B3">
        <w:rPr>
          <w:rFonts w:ascii="Tahoma" w:hAnsi="Tahoma" w:cs="Tahoma" w:hint="cs"/>
          <w:b/>
          <w:color w:val="0D0D0D" w:themeColor="text1" w:themeTint="F2"/>
          <w:sz w:val="18"/>
          <w:szCs w:val="18"/>
          <w:rtl/>
        </w:rPr>
        <w:t xml:space="preserve">. משמעות הדבר היא שלמעלה מאחד מכל עשרה תלמידים בכיתות ו-י"ב נפל קורבן לבריונות ברשת. עוד עולה כי כ-11% מהתלמידים השתתפו בבריונות - השיעור גבוה יותר בקרב בנים ובקרב תלמידים במגזר הערבי. </w:t>
      </w:r>
    </w:p>
    <w:p w14:paraId="6D478AC4" w14:textId="77777777"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עוד עולה מהמחקר כי ישראל מדורגת במקום ה-25 (מתוך 45 המדינות שנבדקו) בשיעור הנפגעים מבריונות ברשת בקרב בני נוער (שיעור הפגיעה - 11.4%)</w:t>
      </w:r>
      <w:r w:rsidRPr="009554B3">
        <w:rPr>
          <w:rStyle w:val="FootnoteReference"/>
          <w:rFonts w:ascii="Tahoma" w:hAnsi="Tahoma" w:cs="Tahoma"/>
          <w:sz w:val="18"/>
          <w:szCs w:val="18"/>
          <w:rtl/>
        </w:rPr>
        <w:footnoteReference w:id="40"/>
      </w:r>
      <w:r w:rsidRPr="00740A8D">
        <w:rPr>
          <w:rFonts w:ascii="Tahoma" w:hAnsi="Tahoma" w:cs="Tahoma" w:hint="cs"/>
          <w:sz w:val="18"/>
          <w:szCs w:val="18"/>
          <w:rtl/>
        </w:rPr>
        <w:t>.</w:t>
      </w:r>
    </w:p>
    <w:p w14:paraId="6CA377E3" w14:textId="3C2D529A" w:rsidR="00583E48" w:rsidRPr="00740A8D" w:rsidRDefault="00E64444" w:rsidP="00A059BD">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E64444">
        <w:rPr>
          <w:rFonts w:ascii="Tahoma" w:hAnsi="Tahoma" w:cs="Tahoma"/>
          <w:color w:val="0D0D0D" w:themeColor="text1" w:themeTint="F2"/>
          <w:sz w:val="20"/>
          <w:szCs w:val="20"/>
          <w:rtl/>
        </w:rPr>
        <w:lastRenderedPageBreak/>
        <w:t xml:space="preserve">תרשים </w:t>
      </w:r>
      <w:r w:rsidRPr="00E64444">
        <w:rPr>
          <w:rFonts w:ascii="Tahoma" w:hAnsi="Tahoma" w:cs="Tahoma" w:hint="cs"/>
          <w:color w:val="0D0D0D" w:themeColor="text1" w:themeTint="F2"/>
          <w:sz w:val="20"/>
          <w:szCs w:val="20"/>
          <w:rtl/>
        </w:rPr>
        <w:t>11</w:t>
      </w:r>
      <w:r w:rsidRPr="00E64444">
        <w:rPr>
          <w:rFonts w:ascii="Tahoma" w:hAnsi="Tahoma" w:cs="Tahoma"/>
          <w:color w:val="0D0D0D" w:themeColor="text1" w:themeTint="F2"/>
          <w:sz w:val="20"/>
          <w:szCs w:val="20"/>
          <w:rtl/>
        </w:rPr>
        <w:t xml:space="preserve">: </w:t>
      </w:r>
      <w:r w:rsidR="00583E48" w:rsidRPr="00740A8D">
        <w:rPr>
          <w:rFonts w:ascii="Tahoma" w:hAnsi="Tahoma" w:cs="Tahoma" w:hint="cs"/>
          <w:b/>
          <w:bCs/>
          <w:color w:val="0D0D0D" w:themeColor="text1" w:themeTint="F2"/>
          <w:sz w:val="20"/>
          <w:szCs w:val="20"/>
          <w:rtl/>
        </w:rPr>
        <w:t>שיעור</w:t>
      </w:r>
      <w:r w:rsidR="00583E48" w:rsidRPr="00740A8D">
        <w:rPr>
          <w:rFonts w:ascii="Tahoma" w:hAnsi="Tahoma" w:cs="Tahoma"/>
          <w:b/>
          <w:bCs/>
          <w:color w:val="0D0D0D" w:themeColor="text1" w:themeTint="F2"/>
          <w:sz w:val="20"/>
          <w:szCs w:val="20"/>
          <w:rtl/>
        </w:rPr>
        <w:t xml:space="preserve"> התלמידים </w:t>
      </w:r>
      <w:r w:rsidR="00583E48" w:rsidRPr="00740A8D">
        <w:rPr>
          <w:rFonts w:ascii="Tahoma" w:hAnsi="Tahoma" w:cs="Tahoma" w:hint="cs"/>
          <w:b/>
          <w:bCs/>
          <w:color w:val="0D0D0D" w:themeColor="text1" w:themeTint="F2"/>
          <w:sz w:val="20"/>
          <w:szCs w:val="20"/>
          <w:rtl/>
        </w:rPr>
        <w:t xml:space="preserve">בגילי 11, 13, 15 שנפלו קורבן לבריונות ולפגיעה ברשת </w:t>
      </w:r>
      <w:r w:rsidR="00583E48" w:rsidRPr="00740A8D">
        <w:rPr>
          <w:rFonts w:ascii="Tahoma" w:hAnsi="Tahoma" w:cs="Tahoma"/>
          <w:b/>
          <w:bCs/>
          <w:color w:val="0D0D0D" w:themeColor="text1" w:themeTint="F2"/>
          <w:sz w:val="20"/>
          <w:szCs w:val="20"/>
          <w:rtl/>
        </w:rPr>
        <w:t>לפחות פעם אחת בחודשיים האחרונים</w:t>
      </w:r>
      <w:r w:rsidR="00583E48" w:rsidRPr="00740A8D">
        <w:rPr>
          <w:rFonts w:ascii="Tahoma" w:hAnsi="Tahoma" w:cs="Tahoma" w:hint="cs"/>
          <w:b/>
          <w:bCs/>
          <w:color w:val="0D0D0D" w:themeColor="text1" w:themeTint="F2"/>
          <w:sz w:val="20"/>
          <w:szCs w:val="20"/>
          <w:rtl/>
        </w:rPr>
        <w:t>,</w:t>
      </w:r>
      <w:r w:rsidR="00583E48" w:rsidRPr="00740A8D">
        <w:rPr>
          <w:rFonts w:ascii="Tahoma" w:hAnsi="Tahoma" w:cs="Tahoma"/>
          <w:b/>
          <w:bCs/>
          <w:color w:val="0D0D0D" w:themeColor="text1" w:themeTint="F2"/>
          <w:sz w:val="20"/>
          <w:szCs w:val="20"/>
          <w:rtl/>
        </w:rPr>
        <w:t xml:space="preserve"> לפי </w:t>
      </w:r>
      <w:r w:rsidR="00583E48" w:rsidRPr="00740A8D">
        <w:rPr>
          <w:rFonts w:ascii="Tahoma" w:hAnsi="Tahoma" w:cs="Tahoma" w:hint="cs"/>
          <w:b/>
          <w:bCs/>
          <w:color w:val="0D0D0D" w:themeColor="text1" w:themeTint="F2"/>
          <w:sz w:val="20"/>
          <w:szCs w:val="20"/>
          <w:rtl/>
        </w:rPr>
        <w:t>מדינה, 2019 (באחוזים)</w:t>
      </w:r>
    </w:p>
    <w:p w14:paraId="62BE0BEA" w14:textId="27B1A170" w:rsidR="009554B3" w:rsidRPr="00740A8D" w:rsidRDefault="009554B3" w:rsidP="00E64444">
      <w:pPr>
        <w:keepNext/>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648B1629" wp14:editId="43ECFD18">
            <wp:extent cx="4679950" cy="5245735"/>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25" cstate="print">
                      <a:extLst>
                        <a:ext uri="{28A0092B-C50C-407E-A947-70E740481C1C}">
                          <a14:useLocalDpi xmlns:a14="http://schemas.microsoft.com/office/drawing/2010/main" val="0"/>
                        </a:ext>
                      </a:extLst>
                    </a:blip>
                    <a:srcRect t="3505"/>
                    <a:stretch/>
                  </pic:blipFill>
                  <pic:spPr bwMode="auto">
                    <a:xfrm>
                      <a:off x="0" y="0"/>
                      <a:ext cx="4679950" cy="5245735"/>
                    </a:xfrm>
                    <a:prstGeom prst="rect">
                      <a:avLst/>
                    </a:prstGeom>
                    <a:ln>
                      <a:noFill/>
                    </a:ln>
                    <a:extLst>
                      <a:ext uri="{53640926-AAD7-44D8-BBD7-CCE9431645EC}">
                        <a14:shadowObscured xmlns:a14="http://schemas.microsoft.com/office/drawing/2010/main"/>
                      </a:ext>
                    </a:extLst>
                  </pic:spPr>
                </pic:pic>
              </a:graphicData>
            </a:graphic>
          </wp:inline>
        </w:drawing>
      </w:r>
    </w:p>
    <w:p w14:paraId="3868677E" w14:textId="77777777" w:rsidR="00583E48" w:rsidRPr="009554B3" w:rsidRDefault="00583E48" w:rsidP="009554B3">
      <w:pPr>
        <w:tabs>
          <w:tab w:val="left" w:pos="424"/>
        </w:tabs>
        <w:spacing w:after="240" w:line="260" w:lineRule="exact"/>
        <w:jc w:val="both"/>
        <w:rPr>
          <w:rFonts w:ascii="Tahoma" w:hAnsi="Tahoma" w:cs="Tahoma"/>
          <w:color w:val="0D0D0D" w:themeColor="text1" w:themeTint="F2"/>
          <w:sz w:val="16"/>
          <w:szCs w:val="16"/>
          <w:rtl/>
        </w:rPr>
      </w:pPr>
      <w:r w:rsidRPr="009554B3">
        <w:rPr>
          <w:rFonts w:ascii="Tahoma" w:hAnsi="Tahoma" w:cs="Tahoma"/>
          <w:color w:val="0D0D0D" w:themeColor="text1" w:themeTint="F2"/>
          <w:sz w:val="16"/>
          <w:szCs w:val="16"/>
          <w:rtl/>
        </w:rPr>
        <w:t xml:space="preserve">על פי נתוני </w:t>
      </w:r>
      <w:r w:rsidRPr="009554B3">
        <w:rPr>
          <w:rFonts w:ascii="Tahoma" w:hAnsi="Tahoma" w:cs="Tahoma" w:hint="eastAsia"/>
          <w:color w:val="0D0D0D" w:themeColor="text1" w:themeTint="F2"/>
          <w:sz w:val="16"/>
          <w:szCs w:val="16"/>
          <w:rtl/>
        </w:rPr>
        <w:t>מחקר</w:t>
      </w:r>
      <w:r w:rsidRPr="009554B3">
        <w:rPr>
          <w:rFonts w:ascii="Tahoma" w:hAnsi="Tahoma" w:cs="Tahoma"/>
          <w:color w:val="0D0D0D" w:themeColor="text1" w:themeTint="F2"/>
          <w:sz w:val="16"/>
          <w:szCs w:val="16"/>
          <w:rtl/>
        </w:rPr>
        <w:t xml:space="preserve"> </w:t>
      </w:r>
      <w:r w:rsidRPr="009554B3">
        <w:rPr>
          <w:rFonts w:ascii="Tahoma" w:hAnsi="Tahoma" w:cs="Tahoma" w:hint="eastAsia"/>
          <w:color w:val="0D0D0D" w:themeColor="text1" w:themeTint="F2"/>
          <w:sz w:val="16"/>
          <w:szCs w:val="16"/>
          <w:rtl/>
        </w:rPr>
        <w:t>ה</w:t>
      </w:r>
      <w:r w:rsidRPr="009554B3">
        <w:rPr>
          <w:rFonts w:ascii="Tahoma" w:hAnsi="Tahoma" w:cs="Tahoma"/>
          <w:color w:val="0D0D0D" w:themeColor="text1" w:themeTint="F2"/>
          <w:sz w:val="16"/>
          <w:szCs w:val="16"/>
          <w:rtl/>
        </w:rPr>
        <w:t>-</w:t>
      </w:r>
      <w:r w:rsidRPr="009554B3">
        <w:rPr>
          <w:rFonts w:ascii="Tahoma" w:hAnsi="Tahoma" w:cs="Tahoma"/>
          <w:color w:val="0D0D0D" w:themeColor="text1" w:themeTint="F2"/>
          <w:sz w:val="16"/>
          <w:szCs w:val="16"/>
        </w:rPr>
        <w:t>HBSC</w:t>
      </w:r>
      <w:r w:rsidRPr="009554B3">
        <w:rPr>
          <w:rFonts w:ascii="Tahoma" w:hAnsi="Tahoma" w:cs="Tahoma" w:hint="cs"/>
          <w:color w:val="0D0D0D" w:themeColor="text1" w:themeTint="F2"/>
          <w:sz w:val="16"/>
          <w:szCs w:val="16"/>
          <w:rtl/>
        </w:rPr>
        <w:t>,</w:t>
      </w:r>
      <w:r w:rsidRPr="009554B3">
        <w:rPr>
          <w:rFonts w:ascii="Tahoma" w:hAnsi="Tahoma" w:cs="Tahoma"/>
          <w:color w:val="0D0D0D" w:themeColor="text1" w:themeTint="F2"/>
          <w:sz w:val="16"/>
          <w:szCs w:val="16"/>
          <w:rtl/>
        </w:rPr>
        <w:t xml:space="preserve"> בעיבוד משרד מבקר המדינה</w:t>
      </w:r>
      <w:r w:rsidRPr="009554B3">
        <w:rPr>
          <w:rFonts w:ascii="Tahoma" w:hAnsi="Tahoma" w:cs="Tahoma" w:hint="cs"/>
          <w:color w:val="0D0D0D" w:themeColor="text1" w:themeTint="F2"/>
          <w:sz w:val="16"/>
          <w:szCs w:val="16"/>
          <w:rtl/>
        </w:rPr>
        <w:t>.</w:t>
      </w:r>
    </w:p>
    <w:p w14:paraId="185718C1" w14:textId="77777777"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 xml:space="preserve">מנתוני הרשות הארצית למדידה והערכה במשרד החינוך לשנת </w:t>
      </w:r>
      <w:proofErr w:type="spellStart"/>
      <w:r w:rsidRPr="00740A8D">
        <w:rPr>
          <w:rFonts w:ascii="Tahoma" w:hAnsi="Tahoma" w:cs="Tahoma" w:hint="cs"/>
          <w:sz w:val="18"/>
          <w:szCs w:val="18"/>
          <w:rtl/>
        </w:rPr>
        <w:t>תש"ף</w:t>
      </w:r>
      <w:proofErr w:type="spellEnd"/>
      <w:r w:rsidRPr="00740A8D">
        <w:rPr>
          <w:rFonts w:ascii="Tahoma" w:hAnsi="Tahoma" w:cs="Tahoma" w:hint="cs"/>
          <w:sz w:val="18"/>
          <w:szCs w:val="18"/>
          <w:rtl/>
        </w:rPr>
        <w:t xml:space="preserve"> עולה כי הפגיעה הנפוצה ביותר בחינוך היהודי והערבי מתוך כלל הפגיעות במרחב המקוון (עליה דיווחו 7% מהתלמידים) הייתה הוצאה מקבוצה ברשת החברתית או פתיחת קבוצה מבלי ששותפו בה. בנוסף, בכל הקטגוריות שבדקה הרשות, שיעורי הדיווח על פגיעה בחינוך במגזר הערבי היו גבוהים יותר לעומת החינוך במגזר היהודי. </w:t>
      </w:r>
    </w:p>
    <w:p w14:paraId="605D5EA1" w14:textId="77777777"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lastRenderedPageBreak/>
        <w:t>מסקר המוגנות השנתי של הנהגת ההורים הארצית, שנעשה בשיתוף גורמים מהאקדמיה ופורסם בינואר 2022</w:t>
      </w:r>
      <w:r w:rsidRPr="00740A8D">
        <w:rPr>
          <w:rStyle w:val="FootnoteReference"/>
          <w:rFonts w:ascii="Tahoma" w:hAnsi="Tahoma" w:cs="Tahoma"/>
          <w:sz w:val="18"/>
          <w:szCs w:val="18"/>
          <w:rtl/>
        </w:rPr>
        <w:footnoteReference w:id="41"/>
      </w:r>
      <w:r w:rsidRPr="00740A8D">
        <w:rPr>
          <w:rFonts w:ascii="Tahoma" w:hAnsi="Tahoma" w:cs="Tahoma" w:hint="cs"/>
          <w:sz w:val="18"/>
          <w:szCs w:val="18"/>
          <w:rtl/>
        </w:rPr>
        <w:t xml:space="preserve">, עולה כי 11.3% מהילדים ובני הנוער היו מושא </w:t>
      </w:r>
      <w:proofErr w:type="spellStart"/>
      <w:r w:rsidRPr="00740A8D">
        <w:rPr>
          <w:rFonts w:ascii="Tahoma" w:hAnsi="Tahoma" w:cs="Tahoma" w:hint="cs"/>
          <w:sz w:val="18"/>
          <w:szCs w:val="18"/>
          <w:rtl/>
        </w:rPr>
        <w:t>לשיימינג</w:t>
      </w:r>
      <w:proofErr w:type="spellEnd"/>
      <w:r w:rsidRPr="00740A8D">
        <w:rPr>
          <w:rFonts w:ascii="Tahoma" w:hAnsi="Tahoma" w:cs="Tahoma" w:hint="cs"/>
          <w:sz w:val="18"/>
          <w:szCs w:val="18"/>
          <w:rtl/>
        </w:rPr>
        <w:t xml:space="preserve"> (ביוש) ברשתות החברתיות. 30% מההורים הביעו חשש שילדים יפיצו תמונות של ילדיהם ברשת בכוונה לפגוע בהם. </w:t>
      </w:r>
    </w:p>
    <w:p w14:paraId="7904415E" w14:textId="77777777" w:rsidR="00583E48" w:rsidRPr="00740A8D" w:rsidRDefault="00583E48" w:rsidP="00740A8D">
      <w:pPr>
        <w:spacing w:line="260" w:lineRule="exact"/>
        <w:jc w:val="both"/>
        <w:rPr>
          <w:rFonts w:ascii="Tahoma" w:hAnsi="Tahoma" w:cs="Tahoma"/>
          <w:sz w:val="18"/>
          <w:szCs w:val="18"/>
        </w:rPr>
      </w:pPr>
      <w:r w:rsidRPr="00740A8D">
        <w:rPr>
          <w:rFonts w:ascii="Tahoma" w:hAnsi="Tahoma" w:cs="Tahoma" w:hint="cs"/>
          <w:sz w:val="18"/>
          <w:szCs w:val="18"/>
          <w:rtl/>
        </w:rPr>
        <w:t>מנתונים שמסר איגוד מרכזי</w:t>
      </w:r>
      <w:r w:rsidRPr="00740A8D">
        <w:rPr>
          <w:rFonts w:ascii="Tahoma" w:hAnsi="Tahoma" w:cs="Tahoma"/>
          <w:sz w:val="18"/>
          <w:szCs w:val="18"/>
          <w:rtl/>
        </w:rPr>
        <w:t xml:space="preserve"> הסיוע לנפגעות ולנפגעי תקיפה מינית</w:t>
      </w:r>
      <w:r w:rsidRPr="00740A8D">
        <w:rPr>
          <w:rFonts w:ascii="Tahoma" w:hAnsi="Tahoma" w:cs="Tahoma" w:hint="cs"/>
          <w:sz w:val="18"/>
          <w:szCs w:val="18"/>
          <w:rtl/>
        </w:rPr>
        <w:t xml:space="preserve"> (להלן - איגוד מרכזי הסיוע) למשרד מבקר המדינה עולה כי 6% מהפניות שהתקבלו על פגיעה בקטינים בשנת 2020 עסקו בפגיעה ברשת (שיעור הפניות שעסקו בפגיעה בבני נוער ברשת היה 9%)</w:t>
      </w:r>
      <w:r w:rsidRPr="00740A8D">
        <w:rPr>
          <w:rStyle w:val="FootnoteReference"/>
          <w:rFonts w:ascii="Tahoma" w:hAnsi="Tahoma" w:cs="Tahoma"/>
          <w:sz w:val="18"/>
          <w:szCs w:val="18"/>
          <w:rtl/>
        </w:rPr>
        <w:footnoteReference w:id="42"/>
      </w:r>
      <w:r w:rsidRPr="00740A8D">
        <w:rPr>
          <w:rFonts w:ascii="Tahoma" w:hAnsi="Tahoma" w:cs="Tahoma" w:hint="cs"/>
          <w:sz w:val="18"/>
          <w:szCs w:val="18"/>
          <w:rtl/>
        </w:rPr>
        <w:t xml:space="preserve">. </w:t>
      </w:r>
    </w:p>
    <w:p w14:paraId="334CAF28" w14:textId="789645BC"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סיכון נוסף נוגע לנגישות הגוברת לסמים ברשת: תמונת המודיעין של משטרת ישראל מצביעה על שימוש הולך וגובר בסמים בקרב בני-נוער וקטינים תוך שימוש בתווך האינטרנטי</w:t>
      </w:r>
      <w:r w:rsidRPr="00740A8D">
        <w:rPr>
          <w:rStyle w:val="FootnoteReference"/>
          <w:rFonts w:ascii="Tahoma" w:hAnsi="Tahoma" w:cs="Tahoma"/>
          <w:sz w:val="18"/>
          <w:szCs w:val="18"/>
          <w:rtl/>
        </w:rPr>
        <w:footnoteReference w:id="43"/>
      </w:r>
      <w:r w:rsidRPr="00740A8D">
        <w:rPr>
          <w:rFonts w:ascii="Tahoma" w:hAnsi="Tahoma" w:cs="Tahoma" w:hint="cs"/>
          <w:sz w:val="18"/>
          <w:szCs w:val="18"/>
          <w:rtl/>
        </w:rPr>
        <w:t xml:space="preserve">; עולה ממנה כי עקב הנגשת הסמים ברשת נוצרות רשתות משנה של קטינים הסוחרים מול קטינים בבתי ספר ותנועות הנוער, וכי סוחרי הסמים תרים אחרי בני נוער שישמשו כסוחרים מול לקוחות בני גילם. </w:t>
      </w:r>
    </w:p>
    <w:p w14:paraId="1FE85CB0" w14:textId="77777777" w:rsidR="00583E48" w:rsidRPr="00740A8D" w:rsidRDefault="00583E48" w:rsidP="00740A8D">
      <w:pPr>
        <w:spacing w:line="260" w:lineRule="exact"/>
        <w:jc w:val="both"/>
        <w:rPr>
          <w:rFonts w:ascii="Tahoma" w:hAnsi="Tahoma" w:cs="Tahoma"/>
          <w:sz w:val="18"/>
          <w:szCs w:val="18"/>
        </w:rPr>
      </w:pPr>
      <w:r w:rsidRPr="00740A8D">
        <w:rPr>
          <w:rFonts w:ascii="Tahoma" w:hAnsi="Tahoma" w:cs="Tahoma" w:hint="cs"/>
          <w:sz w:val="18"/>
          <w:szCs w:val="18"/>
          <w:rtl/>
        </w:rPr>
        <w:t xml:space="preserve">אשר לסיכונים לפרטיות ברשת: סקר שערכה </w:t>
      </w:r>
      <w:r w:rsidRPr="00740A8D">
        <w:rPr>
          <w:rFonts w:ascii="Tahoma" w:hAnsi="Tahoma" w:cs="Tahoma"/>
          <w:sz w:val="18"/>
          <w:szCs w:val="18"/>
          <w:rtl/>
        </w:rPr>
        <w:t>הרשות להגנת הפרטיות בשנת 2018</w:t>
      </w:r>
      <w:r w:rsidRPr="00740A8D">
        <w:rPr>
          <w:rStyle w:val="FootnoteReference"/>
          <w:rFonts w:ascii="Tahoma" w:hAnsi="Tahoma" w:cs="Tahoma"/>
          <w:sz w:val="18"/>
          <w:szCs w:val="18"/>
          <w:rtl/>
        </w:rPr>
        <w:footnoteReference w:id="44"/>
      </w:r>
      <w:r w:rsidRPr="00740A8D">
        <w:rPr>
          <w:rFonts w:ascii="Tahoma" w:hAnsi="Tahoma" w:cs="Tahoma" w:hint="cs"/>
          <w:sz w:val="18"/>
          <w:szCs w:val="18"/>
          <w:rtl/>
        </w:rPr>
        <w:t>,</w:t>
      </w:r>
      <w:r w:rsidRPr="00740A8D">
        <w:rPr>
          <w:rFonts w:ascii="Tahoma" w:hAnsi="Tahoma" w:cs="Tahoma"/>
          <w:sz w:val="18"/>
          <w:szCs w:val="18"/>
          <w:rtl/>
        </w:rPr>
        <w:t xml:space="preserve"> אשר נועד לבחון את מודעות הציבור לאיומים ולסיכונים לפרטיות ברשת</w:t>
      </w:r>
      <w:r w:rsidRPr="00740A8D">
        <w:rPr>
          <w:rFonts w:ascii="Tahoma" w:hAnsi="Tahoma" w:cs="Tahoma" w:hint="cs"/>
          <w:sz w:val="18"/>
          <w:szCs w:val="18"/>
          <w:rtl/>
        </w:rPr>
        <w:t>,</w:t>
      </w:r>
      <w:r w:rsidRPr="00740A8D">
        <w:rPr>
          <w:rFonts w:ascii="Tahoma" w:hAnsi="Tahoma" w:cs="Tahoma"/>
          <w:sz w:val="18"/>
          <w:szCs w:val="18"/>
          <w:rtl/>
        </w:rPr>
        <w:t xml:space="preserve"> </w:t>
      </w:r>
      <w:r w:rsidRPr="00740A8D">
        <w:rPr>
          <w:rFonts w:ascii="Tahoma" w:hAnsi="Tahoma" w:cs="Tahoma" w:hint="cs"/>
          <w:sz w:val="18"/>
          <w:szCs w:val="18"/>
          <w:rtl/>
        </w:rPr>
        <w:t>העלה</w:t>
      </w:r>
      <w:r w:rsidRPr="00740A8D">
        <w:rPr>
          <w:rFonts w:ascii="Tahoma" w:hAnsi="Tahoma" w:cs="Tahoma"/>
          <w:sz w:val="18"/>
          <w:szCs w:val="18"/>
          <w:rtl/>
        </w:rPr>
        <w:t xml:space="preserve"> פערים </w:t>
      </w:r>
      <w:r w:rsidRPr="00740A8D">
        <w:rPr>
          <w:rFonts w:ascii="Tahoma" w:hAnsi="Tahoma" w:cs="Tahoma" w:hint="cs"/>
          <w:sz w:val="18"/>
          <w:szCs w:val="18"/>
          <w:rtl/>
        </w:rPr>
        <w:t>ניכרים</w:t>
      </w:r>
      <w:r w:rsidRPr="00740A8D">
        <w:rPr>
          <w:rFonts w:ascii="Tahoma" w:hAnsi="Tahoma" w:cs="Tahoma"/>
          <w:sz w:val="18"/>
          <w:szCs w:val="18"/>
          <w:rtl/>
        </w:rPr>
        <w:t xml:space="preserve"> בין בני נוער</w:t>
      </w:r>
      <w:r w:rsidRPr="00740A8D">
        <w:rPr>
          <w:rFonts w:ascii="Tahoma" w:hAnsi="Tahoma" w:cs="Tahoma" w:hint="cs"/>
          <w:sz w:val="18"/>
          <w:szCs w:val="18"/>
          <w:rtl/>
        </w:rPr>
        <w:t xml:space="preserve"> (גילי 17-14)</w:t>
      </w:r>
      <w:r w:rsidRPr="00740A8D">
        <w:rPr>
          <w:rFonts w:ascii="Tahoma" w:hAnsi="Tahoma" w:cs="Tahoma"/>
          <w:sz w:val="18"/>
          <w:szCs w:val="18"/>
          <w:rtl/>
        </w:rPr>
        <w:t xml:space="preserve"> למבוגרים ב</w:t>
      </w:r>
      <w:r w:rsidRPr="00740A8D">
        <w:rPr>
          <w:rFonts w:ascii="Tahoma" w:hAnsi="Tahoma" w:cs="Tahoma" w:hint="cs"/>
          <w:sz w:val="18"/>
          <w:szCs w:val="18"/>
          <w:rtl/>
        </w:rPr>
        <w:t>עניין</w:t>
      </w:r>
      <w:r w:rsidRPr="00740A8D">
        <w:rPr>
          <w:rFonts w:ascii="Tahoma" w:hAnsi="Tahoma" w:cs="Tahoma"/>
          <w:sz w:val="18"/>
          <w:szCs w:val="18"/>
          <w:rtl/>
        </w:rPr>
        <w:t xml:space="preserve"> מודעות</w:t>
      </w:r>
      <w:r w:rsidRPr="00740A8D">
        <w:rPr>
          <w:rFonts w:ascii="Tahoma" w:hAnsi="Tahoma" w:cs="Tahoma" w:hint="cs"/>
          <w:sz w:val="18"/>
          <w:szCs w:val="18"/>
          <w:rtl/>
        </w:rPr>
        <w:t>ם</w:t>
      </w:r>
      <w:r w:rsidRPr="00740A8D">
        <w:rPr>
          <w:rFonts w:ascii="Tahoma" w:hAnsi="Tahoma" w:cs="Tahoma"/>
          <w:sz w:val="18"/>
          <w:szCs w:val="18"/>
          <w:rtl/>
        </w:rPr>
        <w:t xml:space="preserve"> </w:t>
      </w:r>
      <w:r w:rsidRPr="00740A8D">
        <w:rPr>
          <w:rFonts w:ascii="Tahoma" w:hAnsi="Tahoma" w:cs="Tahoma" w:hint="cs"/>
          <w:sz w:val="18"/>
          <w:szCs w:val="18"/>
          <w:rtl/>
        </w:rPr>
        <w:t>ל</w:t>
      </w:r>
      <w:r w:rsidRPr="00740A8D">
        <w:rPr>
          <w:rFonts w:ascii="Tahoma" w:hAnsi="Tahoma" w:cs="Tahoma"/>
          <w:sz w:val="18"/>
          <w:szCs w:val="18"/>
          <w:rtl/>
        </w:rPr>
        <w:t>חשיבות השמירה על הפרטיות</w:t>
      </w:r>
      <w:r w:rsidRPr="00740A8D">
        <w:rPr>
          <w:rFonts w:ascii="Tahoma" w:hAnsi="Tahoma" w:cs="Tahoma" w:hint="cs"/>
          <w:sz w:val="18"/>
          <w:szCs w:val="18"/>
          <w:rtl/>
        </w:rPr>
        <w:t xml:space="preserve"> באינטרנט</w:t>
      </w:r>
      <w:r w:rsidRPr="00740A8D">
        <w:rPr>
          <w:rFonts w:ascii="Tahoma" w:hAnsi="Tahoma" w:cs="Tahoma"/>
          <w:sz w:val="18"/>
          <w:szCs w:val="18"/>
          <w:rtl/>
        </w:rPr>
        <w:t>. כך למשל, נמצא כי כ-</w:t>
      </w:r>
      <w:r w:rsidRPr="00740A8D">
        <w:rPr>
          <w:rFonts w:ascii="Tahoma" w:hAnsi="Tahoma" w:cs="Tahoma" w:hint="cs"/>
          <w:sz w:val="18"/>
          <w:szCs w:val="18"/>
          <w:rtl/>
        </w:rPr>
        <w:t>50%</w:t>
      </w:r>
      <w:r w:rsidRPr="00740A8D">
        <w:rPr>
          <w:rFonts w:ascii="Tahoma" w:hAnsi="Tahoma" w:cs="Tahoma"/>
          <w:sz w:val="18"/>
          <w:szCs w:val="18"/>
          <w:rtl/>
        </w:rPr>
        <w:t xml:space="preserve"> מבני הנוער מעידים כי הם מאשרים אנשים שאינם מכירים ברשתות החברתיות. כמו כן, </w:t>
      </w:r>
      <w:r w:rsidRPr="00740A8D">
        <w:rPr>
          <w:rFonts w:ascii="Tahoma" w:hAnsi="Tahoma" w:cs="Tahoma" w:hint="cs"/>
          <w:sz w:val="18"/>
          <w:szCs w:val="18"/>
          <w:rtl/>
        </w:rPr>
        <w:t>נתגלו פערים בין בני נוער למבוגרים בהיבטי פרטיות הנוגעים ל</w:t>
      </w:r>
      <w:r w:rsidRPr="00740A8D">
        <w:rPr>
          <w:rFonts w:ascii="Tahoma" w:hAnsi="Tahoma" w:cs="Tahoma"/>
          <w:sz w:val="18"/>
          <w:szCs w:val="18"/>
          <w:rtl/>
        </w:rPr>
        <w:t>שימוש ב</w:t>
      </w:r>
      <w:bookmarkStart w:id="8" w:name="_Hlk86318739"/>
      <w:r w:rsidRPr="00740A8D">
        <w:rPr>
          <w:rFonts w:ascii="Tahoma" w:hAnsi="Tahoma" w:cs="Tahoma" w:hint="cs"/>
          <w:sz w:val="18"/>
          <w:szCs w:val="18"/>
          <w:rtl/>
        </w:rPr>
        <w:t>יישומים</w:t>
      </w:r>
      <w:bookmarkEnd w:id="8"/>
      <w:r w:rsidRPr="00740A8D">
        <w:rPr>
          <w:rFonts w:ascii="Tahoma" w:hAnsi="Tahoma" w:cs="Tahoma" w:hint="cs"/>
          <w:sz w:val="18"/>
          <w:szCs w:val="18"/>
          <w:rtl/>
        </w:rPr>
        <w:t xml:space="preserve"> - עלה</w:t>
      </w:r>
      <w:r w:rsidRPr="00740A8D">
        <w:rPr>
          <w:rFonts w:ascii="Tahoma" w:hAnsi="Tahoma" w:cs="Tahoma"/>
          <w:sz w:val="18"/>
          <w:szCs w:val="18"/>
          <w:rtl/>
        </w:rPr>
        <w:t xml:space="preserve"> </w:t>
      </w:r>
      <w:r w:rsidRPr="00740A8D">
        <w:rPr>
          <w:rFonts w:ascii="Tahoma" w:hAnsi="Tahoma" w:cs="Tahoma" w:hint="cs"/>
          <w:sz w:val="18"/>
          <w:szCs w:val="18"/>
          <w:rtl/>
        </w:rPr>
        <w:t xml:space="preserve">כי </w:t>
      </w:r>
      <w:r w:rsidRPr="00740A8D">
        <w:rPr>
          <w:rFonts w:ascii="Tahoma" w:hAnsi="Tahoma" w:cs="Tahoma"/>
          <w:sz w:val="18"/>
          <w:szCs w:val="18"/>
          <w:rtl/>
        </w:rPr>
        <w:t xml:space="preserve">בני הנוער מורידים </w:t>
      </w:r>
      <w:r w:rsidRPr="00740A8D">
        <w:rPr>
          <w:rFonts w:ascii="Tahoma" w:hAnsi="Tahoma" w:cs="Tahoma" w:hint="cs"/>
          <w:sz w:val="18"/>
          <w:szCs w:val="18"/>
          <w:rtl/>
        </w:rPr>
        <w:t>יישומים</w:t>
      </w:r>
      <w:bookmarkStart w:id="9" w:name="_Hlk86318544"/>
      <w:r w:rsidRPr="00740A8D">
        <w:rPr>
          <w:rFonts w:ascii="Tahoma" w:hAnsi="Tahoma" w:cs="Tahoma" w:hint="cs"/>
          <w:sz w:val="18"/>
          <w:szCs w:val="18"/>
          <w:rtl/>
        </w:rPr>
        <w:t xml:space="preserve"> למכשירים הדיגיטליים </w:t>
      </w:r>
      <w:bookmarkEnd w:id="9"/>
      <w:r w:rsidRPr="00740A8D">
        <w:rPr>
          <w:rFonts w:ascii="Tahoma" w:hAnsi="Tahoma" w:cs="Tahoma" w:hint="cs"/>
          <w:sz w:val="18"/>
          <w:szCs w:val="18"/>
          <w:rtl/>
        </w:rPr>
        <w:t xml:space="preserve">שלהם </w:t>
      </w:r>
      <w:r w:rsidRPr="00740A8D">
        <w:rPr>
          <w:rFonts w:ascii="Tahoma" w:hAnsi="Tahoma" w:cs="Tahoma"/>
          <w:sz w:val="18"/>
          <w:szCs w:val="18"/>
          <w:rtl/>
        </w:rPr>
        <w:t>מבלי להתייחס למדיניו</w:t>
      </w:r>
      <w:r w:rsidRPr="00740A8D">
        <w:rPr>
          <w:rFonts w:ascii="Tahoma" w:hAnsi="Tahoma" w:cs="Tahoma" w:hint="cs"/>
          <w:sz w:val="18"/>
          <w:szCs w:val="18"/>
          <w:rtl/>
        </w:rPr>
        <w:t xml:space="preserve">ת הפרטיות של בעלי היישומים. </w:t>
      </w:r>
      <w:r w:rsidRPr="00740A8D">
        <w:rPr>
          <w:rFonts w:ascii="Tahoma" w:hAnsi="Tahoma" w:cs="Tahoma"/>
          <w:sz w:val="18"/>
          <w:szCs w:val="18"/>
          <w:rtl/>
        </w:rPr>
        <w:t xml:space="preserve">רק 21% </w:t>
      </w:r>
      <w:r w:rsidRPr="00740A8D">
        <w:rPr>
          <w:rFonts w:ascii="Tahoma" w:hAnsi="Tahoma" w:cs="Tahoma" w:hint="cs"/>
          <w:sz w:val="18"/>
          <w:szCs w:val="18"/>
          <w:rtl/>
        </w:rPr>
        <w:t xml:space="preserve">מבני הנוער </w:t>
      </w:r>
      <w:r w:rsidRPr="00740A8D">
        <w:rPr>
          <w:rFonts w:ascii="Tahoma" w:hAnsi="Tahoma" w:cs="Tahoma"/>
          <w:sz w:val="18"/>
          <w:szCs w:val="18"/>
          <w:rtl/>
        </w:rPr>
        <w:t xml:space="preserve">ציינו שמדיניות הפרטיות </w:t>
      </w:r>
      <w:r w:rsidRPr="00740A8D">
        <w:rPr>
          <w:rFonts w:ascii="Tahoma" w:hAnsi="Tahoma" w:cs="Tahoma" w:hint="cs"/>
          <w:sz w:val="18"/>
          <w:szCs w:val="18"/>
          <w:rtl/>
        </w:rPr>
        <w:t>נכללת</w:t>
      </w:r>
      <w:r w:rsidRPr="00740A8D">
        <w:rPr>
          <w:rFonts w:ascii="Tahoma" w:hAnsi="Tahoma" w:cs="Tahoma"/>
          <w:sz w:val="18"/>
          <w:szCs w:val="18"/>
          <w:rtl/>
        </w:rPr>
        <w:t xml:space="preserve"> </w:t>
      </w:r>
      <w:r w:rsidRPr="00740A8D">
        <w:rPr>
          <w:rFonts w:ascii="Tahoma" w:hAnsi="Tahoma" w:cs="Tahoma" w:hint="cs"/>
          <w:sz w:val="18"/>
          <w:szCs w:val="18"/>
          <w:rtl/>
        </w:rPr>
        <w:t>ב</w:t>
      </w:r>
      <w:r w:rsidRPr="00740A8D">
        <w:rPr>
          <w:rFonts w:ascii="Tahoma" w:hAnsi="Tahoma" w:cs="Tahoma"/>
          <w:sz w:val="18"/>
          <w:szCs w:val="18"/>
          <w:rtl/>
        </w:rPr>
        <w:t>שיקול</w:t>
      </w:r>
      <w:r w:rsidRPr="00740A8D">
        <w:rPr>
          <w:rFonts w:ascii="Tahoma" w:hAnsi="Tahoma" w:cs="Tahoma" w:hint="cs"/>
          <w:sz w:val="18"/>
          <w:szCs w:val="18"/>
          <w:rtl/>
        </w:rPr>
        <w:t>יהם</w:t>
      </w:r>
      <w:r w:rsidRPr="00740A8D">
        <w:rPr>
          <w:rFonts w:ascii="Tahoma" w:hAnsi="Tahoma" w:cs="Tahoma"/>
          <w:sz w:val="18"/>
          <w:szCs w:val="18"/>
          <w:rtl/>
        </w:rPr>
        <w:t xml:space="preserve">. </w:t>
      </w:r>
      <w:r w:rsidRPr="00740A8D">
        <w:rPr>
          <w:rFonts w:ascii="Tahoma" w:hAnsi="Tahoma" w:cs="Tahoma" w:hint="cs"/>
          <w:sz w:val="18"/>
          <w:szCs w:val="18"/>
          <w:rtl/>
        </w:rPr>
        <w:t>עוד עלה ש</w:t>
      </w:r>
      <w:r w:rsidRPr="00740A8D">
        <w:rPr>
          <w:rFonts w:ascii="Tahoma" w:hAnsi="Tahoma" w:cs="Tahoma"/>
          <w:sz w:val="18"/>
          <w:szCs w:val="18"/>
          <w:rtl/>
        </w:rPr>
        <w:t xml:space="preserve">ככל שרף הגיל עולה כך מדיניות הפרטיות </w:t>
      </w:r>
      <w:r w:rsidRPr="00740A8D">
        <w:rPr>
          <w:rFonts w:ascii="Tahoma" w:hAnsi="Tahoma" w:cs="Tahoma" w:hint="cs"/>
          <w:sz w:val="18"/>
          <w:szCs w:val="18"/>
          <w:rtl/>
        </w:rPr>
        <w:t xml:space="preserve">מקבלת משקל רב </w:t>
      </w:r>
      <w:r w:rsidRPr="00740A8D">
        <w:rPr>
          <w:rFonts w:ascii="Tahoma" w:hAnsi="Tahoma" w:cs="Tahoma"/>
          <w:sz w:val="18"/>
          <w:szCs w:val="18"/>
          <w:rtl/>
        </w:rPr>
        <w:t xml:space="preserve">יותר </w:t>
      </w:r>
      <w:r w:rsidRPr="00740A8D">
        <w:rPr>
          <w:rFonts w:ascii="Tahoma" w:hAnsi="Tahoma" w:cs="Tahoma" w:hint="cs"/>
          <w:sz w:val="18"/>
          <w:szCs w:val="18"/>
          <w:rtl/>
        </w:rPr>
        <w:t>בשיקול אם להוריד יישומים למכשירים הדיגיטליים</w:t>
      </w:r>
      <w:r w:rsidRPr="00740A8D">
        <w:rPr>
          <w:rFonts w:ascii="Tahoma" w:hAnsi="Tahoma" w:cs="Tahoma"/>
          <w:sz w:val="18"/>
          <w:szCs w:val="18"/>
          <w:rtl/>
        </w:rPr>
        <w:t>.</w:t>
      </w:r>
    </w:p>
    <w:p w14:paraId="30388688" w14:textId="77777777"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 xml:space="preserve">שיח שקיים משרד מבקר המדינה עם נציגי מועצת התלמידים והנוער הארצית באוגוסט 2021 ממחיש את קשת הפגיעות הרחבה שבני נוער חשופים אליהן במרחב המקוון: </w:t>
      </w:r>
    </w:p>
    <w:p w14:paraId="038DEAE6" w14:textId="7021E299" w:rsidR="00583E48" w:rsidRPr="00740A8D" w:rsidRDefault="00E64444" w:rsidP="00A059BD">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E64444">
        <w:rPr>
          <w:rFonts w:ascii="Tahoma" w:hAnsi="Tahoma" w:cs="Tahoma" w:hint="cs"/>
          <w:color w:val="0D0D0D" w:themeColor="text1" w:themeTint="F2"/>
          <w:sz w:val="20"/>
          <w:szCs w:val="20"/>
          <w:rtl/>
        </w:rPr>
        <w:lastRenderedPageBreak/>
        <w:t xml:space="preserve">תרשים 12: </w:t>
      </w:r>
      <w:r w:rsidR="00583E48" w:rsidRPr="00740A8D">
        <w:rPr>
          <w:rFonts w:ascii="Tahoma" w:hAnsi="Tahoma" w:cs="Tahoma" w:hint="cs"/>
          <w:b/>
          <w:bCs/>
          <w:color w:val="0D0D0D" w:themeColor="text1" w:themeTint="F2"/>
          <w:sz w:val="20"/>
          <w:szCs w:val="20"/>
          <w:rtl/>
        </w:rPr>
        <w:t>היגדים משיח שהתקיים עם מועצת התלמידים והנוער הארצית, אוגוסט 2021</w:t>
      </w:r>
    </w:p>
    <w:p w14:paraId="6D7F0A2A" w14:textId="06A5E227" w:rsidR="009554B3" w:rsidRPr="00740A8D" w:rsidRDefault="009554B3" w:rsidP="00E64444">
      <w:pPr>
        <w:keepNext/>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24E1AF9C" wp14:editId="76E1DD18">
            <wp:extent cx="4679950" cy="358584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79950" cy="3585845"/>
                    </a:xfrm>
                    <a:prstGeom prst="rect">
                      <a:avLst/>
                    </a:prstGeom>
                  </pic:spPr>
                </pic:pic>
              </a:graphicData>
            </a:graphic>
          </wp:inline>
        </w:drawing>
      </w:r>
    </w:p>
    <w:p w14:paraId="20824BEF" w14:textId="77777777" w:rsidR="00583E48" w:rsidRPr="00740A8D" w:rsidRDefault="00583E48" w:rsidP="00740A8D">
      <w:pPr>
        <w:spacing w:line="260" w:lineRule="exact"/>
        <w:jc w:val="both"/>
        <w:rPr>
          <w:rFonts w:ascii="Tahoma" w:hAnsi="Tahoma" w:cs="Tahoma"/>
          <w:sz w:val="18"/>
          <w:szCs w:val="18"/>
          <w:rtl/>
        </w:rPr>
      </w:pPr>
    </w:p>
    <w:p w14:paraId="41A7E65E" w14:textId="77777777" w:rsidR="00583E48" w:rsidRDefault="00583E48" w:rsidP="00583E48">
      <w:pPr>
        <w:pStyle w:val="KOT5N"/>
        <w:rPr>
          <w:rtl/>
        </w:rPr>
      </w:pPr>
      <w:r>
        <w:rPr>
          <w:rFonts w:hint="cs"/>
          <w:rtl/>
        </w:rPr>
        <w:t xml:space="preserve">הגנה על קטינים במרחב המקוון בישראל - </w:t>
      </w:r>
      <w:r w:rsidRPr="009B4CA4">
        <w:rPr>
          <w:rFonts w:hint="cs"/>
          <w:rtl/>
        </w:rPr>
        <w:t>המטה הלאומי</w:t>
      </w:r>
      <w:r>
        <w:rPr>
          <w:rFonts w:hint="cs"/>
          <w:rtl/>
        </w:rPr>
        <w:t xml:space="preserve"> להגנה על ילדים ברשת </w:t>
      </w:r>
    </w:p>
    <w:p w14:paraId="613D761E" w14:textId="77777777"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על רקע הסיכונים הטמונים ברשת התקבלה בשנת 2016 החלטת ממשלה</w:t>
      </w:r>
      <w:r w:rsidRPr="00740A8D">
        <w:rPr>
          <w:rStyle w:val="FootnoteReference"/>
          <w:rFonts w:ascii="Tahoma" w:hAnsi="Tahoma" w:cs="Tahoma"/>
          <w:sz w:val="18"/>
          <w:szCs w:val="18"/>
          <w:rtl/>
        </w:rPr>
        <w:footnoteReference w:id="45"/>
      </w:r>
      <w:r w:rsidRPr="00740A8D">
        <w:rPr>
          <w:rFonts w:ascii="Tahoma" w:hAnsi="Tahoma" w:cs="Tahoma" w:hint="cs"/>
          <w:sz w:val="18"/>
          <w:szCs w:val="18"/>
          <w:rtl/>
        </w:rPr>
        <w:t xml:space="preserve"> על הקמת מטה לאומי להגנה על ילדים ברשת (להלן - המטה הלאומי). לאחר החלטת הממשלה נערכו פעולות להקמת המטה הלאומי, והוא הושק באופן מלא בנובמבר 2018. המטה הלאומי הוקם כמערך משולב משטרתי-אזרחי לטיפול בכלל ההיבטים של אלימות ופשיעה נגד ילדים ובני נוער ברשת האינטרנט, לרבות ברשתות החברתיות. בהחלטה נקבע כי מטרות המטה יהיו: אכיפת עבירות נגד קטינים ברשת האינטרנט; צמצום תופעות של אלימות ופשיעה במרחב המקוון בדגש על תופעות נגד ילדים ובני נוער; הגברת המודעות לגלישה בטוחה, ויצירת סביבה וירטואלית בטוחה; יצירת "כתובת אחידה" למתן מענה לפניות הציבור בנושא; הגברת ההרתעה מביצוע עבירות רשת נגד ילדים ובני נוער; הגברת הדיווח בנושא והעלאת אמון הציבור ותחושת הביטחון האישי. </w:t>
      </w:r>
    </w:p>
    <w:p w14:paraId="0DE9522A" w14:textId="77777777" w:rsidR="00583E48" w:rsidRPr="00740A8D" w:rsidRDefault="00583E48" w:rsidP="00740A8D">
      <w:pPr>
        <w:spacing w:line="260" w:lineRule="exact"/>
        <w:jc w:val="both"/>
        <w:rPr>
          <w:rFonts w:ascii="Tahoma" w:hAnsi="Tahoma" w:cs="Tahoma"/>
          <w:color w:val="272727"/>
          <w:sz w:val="18"/>
          <w:szCs w:val="18"/>
          <w:shd w:val="clear" w:color="auto" w:fill="FFFFFF"/>
          <w:rtl/>
        </w:rPr>
      </w:pPr>
      <w:r w:rsidRPr="00740A8D">
        <w:rPr>
          <w:rFonts w:ascii="Tahoma" w:hAnsi="Tahoma" w:cs="Tahoma" w:hint="cs"/>
          <w:sz w:val="18"/>
          <w:szCs w:val="18"/>
          <w:rtl/>
        </w:rPr>
        <w:lastRenderedPageBreak/>
        <w:t>בהתאם להחלטת הממשלה הוקמה ועדת היגוי בין-משרדית בראשות מנכ"ל המשרד לביטחון הפנים. בהחלטה נקבע כי ו</w:t>
      </w:r>
      <w:r w:rsidRPr="00740A8D">
        <w:rPr>
          <w:rFonts w:ascii="Tahoma" w:hAnsi="Tahoma" w:cs="Tahoma"/>
          <w:sz w:val="18"/>
          <w:szCs w:val="18"/>
          <w:rtl/>
        </w:rPr>
        <w:t>עדת ההיגוי תתווה את המדיניות הלאומית בנושא ההתמודדות עם תופעות אלימות ופשיעה ברשת האינטרנט ואת סדרי העדיפויות בנושא</w:t>
      </w:r>
      <w:r w:rsidRPr="00740A8D">
        <w:rPr>
          <w:rFonts w:ascii="Tahoma" w:hAnsi="Tahoma" w:cs="Tahoma" w:hint="cs"/>
          <w:sz w:val="18"/>
          <w:szCs w:val="18"/>
          <w:rtl/>
        </w:rPr>
        <w:t>,</w:t>
      </w:r>
      <w:r w:rsidRPr="00740A8D">
        <w:rPr>
          <w:rFonts w:ascii="Tahoma" w:hAnsi="Tahoma" w:cs="Tahoma"/>
          <w:sz w:val="18"/>
          <w:szCs w:val="18"/>
          <w:rtl/>
        </w:rPr>
        <w:t xml:space="preserve"> ותאשר את תפיסת ההפעלה, ת</w:t>
      </w:r>
      <w:r w:rsidRPr="00740A8D">
        <w:rPr>
          <w:rFonts w:ascii="Tahoma" w:hAnsi="Tahoma" w:cs="Tahoma" w:hint="cs"/>
          <w:sz w:val="18"/>
          <w:szCs w:val="18"/>
          <w:rtl/>
        </w:rPr>
        <w:t>ו</w:t>
      </w:r>
      <w:r w:rsidRPr="00740A8D">
        <w:rPr>
          <w:rFonts w:ascii="Tahoma" w:hAnsi="Tahoma" w:cs="Tahoma"/>
          <w:sz w:val="18"/>
          <w:szCs w:val="18"/>
          <w:rtl/>
        </w:rPr>
        <w:t>כניות העבודה והתקציב ליישומה.</w:t>
      </w:r>
    </w:p>
    <w:p w14:paraId="4B01D300" w14:textId="1E51290C"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בשנת 2020</w:t>
      </w:r>
      <w:r w:rsidRPr="00740A8D">
        <w:rPr>
          <w:rStyle w:val="FootnoteReference"/>
          <w:rFonts w:ascii="Tahoma" w:hAnsi="Tahoma" w:cs="Tahoma"/>
          <w:sz w:val="18"/>
          <w:szCs w:val="18"/>
          <w:rtl/>
        </w:rPr>
        <w:footnoteReference w:id="46"/>
      </w:r>
      <w:r w:rsidRPr="00740A8D">
        <w:rPr>
          <w:rFonts w:ascii="Tahoma" w:hAnsi="Tahoma" w:cs="Tahoma" w:hint="cs"/>
          <w:sz w:val="18"/>
          <w:szCs w:val="18"/>
          <w:rtl/>
        </w:rPr>
        <w:t xml:space="preserve"> הועבר שטח הפעולה הכולל את תחומי האחריות של המשרד לביטחון הפנים במטה המקצועי האזרחי של המטה הלאומי - מהמשרד לביטחון </w:t>
      </w:r>
      <w:r w:rsidR="00124912">
        <w:rPr>
          <w:rFonts w:ascii="Tahoma" w:hAnsi="Tahoma" w:cs="Tahoma" w:hint="cs"/>
          <w:sz w:val="18"/>
          <w:szCs w:val="18"/>
          <w:rtl/>
        </w:rPr>
        <w:t>ה</w:t>
      </w:r>
      <w:r w:rsidRPr="00740A8D">
        <w:rPr>
          <w:rFonts w:ascii="Tahoma" w:hAnsi="Tahoma" w:cs="Tahoma" w:hint="cs"/>
          <w:sz w:val="18"/>
          <w:szCs w:val="18"/>
          <w:rtl/>
        </w:rPr>
        <w:t>פנים למשרד לחיזוק וקידום קהילתי, ובראש ועדת ההיגוי הועמדה השרה לחיזוק וקידום קהילתי. ביולי 2021 הועבר המטה לאחריות המשרד לביטחון הפנים, ובראש ועדת ההיגוי הועמד מנכ"ל המשרד</w:t>
      </w:r>
      <w:r w:rsidRPr="00740A8D">
        <w:rPr>
          <w:rStyle w:val="FootnoteReference"/>
          <w:rFonts w:ascii="Tahoma" w:hAnsi="Tahoma" w:cs="Tahoma"/>
          <w:sz w:val="18"/>
          <w:szCs w:val="18"/>
          <w:rtl/>
        </w:rPr>
        <w:footnoteReference w:id="47"/>
      </w:r>
      <w:r w:rsidRPr="00740A8D">
        <w:rPr>
          <w:rFonts w:ascii="Tahoma" w:hAnsi="Tahoma" w:cs="Tahoma" w:hint="cs"/>
          <w:sz w:val="18"/>
          <w:szCs w:val="18"/>
          <w:rtl/>
        </w:rPr>
        <w:t>.</w:t>
      </w:r>
    </w:p>
    <w:p w14:paraId="20087441" w14:textId="77777777"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 xml:space="preserve">המטה הוא מערך אזרחי-משטרתי בו שותפים משטרת ישראל, המשרד לביטחון הפנים, משרד החינוך, משרד הבריאות, משרד הרווחה, ופעולתו מלווה על ידי משרד המשפטים. המטה מורכב מיחידה משטרתית (יחידה 105) הכוללת מפלג מודיעין ומפלג חקירות, ממוקד טלפוני-105 המאויש על ידי שוטרים לצד נציגים ממשרדי הממשלה השותפים ומאגף אזרחי </w:t>
      </w:r>
      <w:proofErr w:type="spellStart"/>
      <w:r w:rsidRPr="00740A8D">
        <w:rPr>
          <w:rFonts w:ascii="Tahoma" w:hAnsi="Tahoma" w:cs="Tahoma" w:hint="cs"/>
          <w:sz w:val="18"/>
          <w:szCs w:val="18"/>
          <w:rtl/>
        </w:rPr>
        <w:t>המתכלל</w:t>
      </w:r>
      <w:proofErr w:type="spellEnd"/>
      <w:r w:rsidRPr="00740A8D">
        <w:rPr>
          <w:rFonts w:ascii="Tahoma" w:hAnsi="Tahoma" w:cs="Tahoma" w:hint="cs"/>
          <w:sz w:val="18"/>
          <w:szCs w:val="18"/>
          <w:rtl/>
        </w:rPr>
        <w:t xml:space="preserve"> את כל הפעילות האזרחית של המערך. המערך האזרחי מורכב מעובדי המשרד לביטחון הפנים ולצידם, נציגי משרדי הממשלה השותפים. </w:t>
      </w:r>
    </w:p>
    <w:p w14:paraId="7F609F80" w14:textId="3670D04C" w:rsidR="00583E48" w:rsidRPr="00740A8D" w:rsidRDefault="00E64444" w:rsidP="00A059BD">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E64444">
        <w:rPr>
          <w:rFonts w:ascii="Tahoma" w:hAnsi="Tahoma" w:cs="Tahoma" w:hint="cs"/>
          <w:color w:val="0D0D0D" w:themeColor="text1" w:themeTint="F2"/>
          <w:sz w:val="20"/>
          <w:szCs w:val="20"/>
          <w:rtl/>
        </w:rPr>
        <w:lastRenderedPageBreak/>
        <w:t xml:space="preserve">תרשים 13: </w:t>
      </w:r>
      <w:r w:rsidR="00583E48" w:rsidRPr="00740A8D">
        <w:rPr>
          <w:rFonts w:ascii="Tahoma" w:hAnsi="Tahoma" w:cs="Tahoma" w:hint="cs"/>
          <w:b/>
          <w:bCs/>
          <w:color w:val="0D0D0D" w:themeColor="text1" w:themeTint="F2"/>
          <w:sz w:val="20"/>
          <w:szCs w:val="20"/>
          <w:rtl/>
        </w:rPr>
        <w:t>מבנה המטה הלאומי להגנה על ילדים ברשת</w:t>
      </w:r>
    </w:p>
    <w:p w14:paraId="406FD4E2" w14:textId="3F318C60" w:rsidR="009554B3" w:rsidRPr="009554B3" w:rsidRDefault="009554B3" w:rsidP="009554B3">
      <w:pPr>
        <w:rPr>
          <w:rtl/>
        </w:rPr>
      </w:pPr>
      <w:r>
        <w:rPr>
          <w:noProof/>
          <w:rtl/>
          <w:lang w:val="he-IL"/>
        </w:rPr>
        <w:drawing>
          <wp:inline distT="0" distB="0" distL="0" distR="0" wp14:anchorId="6AE31F01" wp14:editId="0FA2F0C6">
            <wp:extent cx="4679950" cy="4726305"/>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27" cstate="print">
                      <a:extLst>
                        <a:ext uri="{28A0092B-C50C-407E-A947-70E740481C1C}">
                          <a14:useLocalDpi xmlns:a14="http://schemas.microsoft.com/office/drawing/2010/main" val="0"/>
                        </a:ext>
                      </a:extLst>
                    </a:blip>
                    <a:srcRect t="4368"/>
                    <a:stretch/>
                  </pic:blipFill>
                  <pic:spPr bwMode="auto">
                    <a:xfrm>
                      <a:off x="0" y="0"/>
                      <a:ext cx="4679950" cy="4726305"/>
                    </a:xfrm>
                    <a:prstGeom prst="rect">
                      <a:avLst/>
                    </a:prstGeom>
                    <a:ln>
                      <a:noFill/>
                    </a:ln>
                    <a:extLst>
                      <a:ext uri="{53640926-AAD7-44D8-BBD7-CCE9431645EC}">
                        <a14:shadowObscured xmlns:a14="http://schemas.microsoft.com/office/drawing/2010/main"/>
                      </a:ext>
                    </a:extLst>
                  </pic:spPr>
                </pic:pic>
              </a:graphicData>
            </a:graphic>
          </wp:inline>
        </w:drawing>
      </w:r>
    </w:p>
    <w:p w14:paraId="362015CF" w14:textId="77777777"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 xml:space="preserve">בהתאם לנתוני משטרת ישראל, היקף הקצאות תקציב המטה הלאומי לשנים 2021-2017 עמד על כ-78 מיליון ש"ח (כולל הקמה ועלויות כ"א). </w:t>
      </w:r>
    </w:p>
    <w:p w14:paraId="07F1891C" w14:textId="485D4E81"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 xml:space="preserve">מאז החל המוקד את פעילותו, בפברואר 2018 (ובאופן מלא בסוף אותה השנה) ועד לסוף יוני 2021 טיפל המוקד ב-28,623 אירועים (להלן גם פניות). להלן נתונים על הפניות שנתקבלו במוקד 105: </w:t>
      </w:r>
    </w:p>
    <w:p w14:paraId="5825A1A8" w14:textId="12136311" w:rsidR="00583E48" w:rsidRPr="00740A8D" w:rsidRDefault="00E64444" w:rsidP="00A059BD">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E64444">
        <w:rPr>
          <w:rFonts w:ascii="Tahoma" w:hAnsi="Tahoma" w:cs="Tahoma" w:hint="cs"/>
          <w:color w:val="0D0D0D" w:themeColor="text1" w:themeTint="F2"/>
          <w:sz w:val="20"/>
          <w:szCs w:val="20"/>
          <w:rtl/>
        </w:rPr>
        <w:lastRenderedPageBreak/>
        <w:t xml:space="preserve">תרשים 14: </w:t>
      </w:r>
      <w:r w:rsidR="00583E48" w:rsidRPr="00740A8D">
        <w:rPr>
          <w:rFonts w:ascii="Tahoma" w:hAnsi="Tahoma" w:cs="Tahoma" w:hint="cs"/>
          <w:b/>
          <w:bCs/>
          <w:color w:val="0D0D0D" w:themeColor="text1" w:themeTint="F2"/>
          <w:sz w:val="20"/>
          <w:szCs w:val="20"/>
          <w:rtl/>
        </w:rPr>
        <w:t>נתונים על הפניות שהגיעו למוקד, פברואר 2018 - יוני 2021</w:t>
      </w:r>
    </w:p>
    <w:p w14:paraId="36B7837F" w14:textId="6CD78E6D" w:rsidR="00583E48" w:rsidRDefault="00CB7F08" w:rsidP="00E64444">
      <w:pPr>
        <w:keepNext/>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247FDF84" wp14:editId="4105A3C0">
            <wp:extent cx="4679950" cy="3637915"/>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79950" cy="3637915"/>
                    </a:xfrm>
                    <a:prstGeom prst="rect">
                      <a:avLst/>
                    </a:prstGeom>
                  </pic:spPr>
                </pic:pic>
              </a:graphicData>
            </a:graphic>
          </wp:inline>
        </w:drawing>
      </w:r>
    </w:p>
    <w:p w14:paraId="393C7455" w14:textId="77777777" w:rsidR="00583E48" w:rsidRPr="00124912" w:rsidRDefault="00583E48" w:rsidP="00124912">
      <w:pPr>
        <w:spacing w:after="240" w:line="260" w:lineRule="exact"/>
        <w:jc w:val="both"/>
        <w:rPr>
          <w:rFonts w:ascii="Tahoma" w:hAnsi="Tahoma" w:cs="Tahoma"/>
          <w:sz w:val="16"/>
          <w:szCs w:val="16"/>
          <w:rtl/>
        </w:rPr>
      </w:pPr>
      <w:r w:rsidRPr="00124912">
        <w:rPr>
          <w:rFonts w:ascii="Tahoma" w:hAnsi="Tahoma" w:cs="Tahoma"/>
          <w:sz w:val="16"/>
          <w:szCs w:val="16"/>
          <w:rtl/>
        </w:rPr>
        <w:t xml:space="preserve">על פי נתוני </w:t>
      </w:r>
      <w:r w:rsidRPr="00124912">
        <w:rPr>
          <w:rFonts w:ascii="Tahoma" w:hAnsi="Tahoma" w:cs="Tahoma" w:hint="eastAsia"/>
          <w:sz w:val="16"/>
          <w:szCs w:val="16"/>
          <w:rtl/>
        </w:rPr>
        <w:t>מוקד</w:t>
      </w:r>
      <w:r w:rsidRPr="00124912">
        <w:rPr>
          <w:rFonts w:ascii="Tahoma" w:hAnsi="Tahoma" w:cs="Tahoma"/>
          <w:sz w:val="16"/>
          <w:szCs w:val="16"/>
          <w:rtl/>
        </w:rPr>
        <w:t xml:space="preserve"> 105, </w:t>
      </w:r>
      <w:r w:rsidRPr="00124912">
        <w:rPr>
          <w:rFonts w:ascii="Tahoma" w:hAnsi="Tahoma" w:cs="Tahoma" w:hint="eastAsia"/>
          <w:sz w:val="16"/>
          <w:szCs w:val="16"/>
          <w:rtl/>
        </w:rPr>
        <w:t>בעיבוד</w:t>
      </w:r>
      <w:r w:rsidRPr="00124912">
        <w:rPr>
          <w:rFonts w:ascii="Tahoma" w:hAnsi="Tahoma" w:cs="Tahoma"/>
          <w:sz w:val="16"/>
          <w:szCs w:val="16"/>
          <w:rtl/>
        </w:rPr>
        <w:t xml:space="preserve"> </w:t>
      </w:r>
      <w:r w:rsidRPr="00124912">
        <w:rPr>
          <w:rFonts w:ascii="Tahoma" w:hAnsi="Tahoma" w:cs="Tahoma" w:hint="eastAsia"/>
          <w:sz w:val="16"/>
          <w:szCs w:val="16"/>
          <w:rtl/>
        </w:rPr>
        <w:t>משרד</w:t>
      </w:r>
      <w:r w:rsidRPr="00124912">
        <w:rPr>
          <w:rFonts w:ascii="Tahoma" w:hAnsi="Tahoma" w:cs="Tahoma"/>
          <w:sz w:val="16"/>
          <w:szCs w:val="16"/>
          <w:rtl/>
        </w:rPr>
        <w:t xml:space="preserve"> </w:t>
      </w:r>
      <w:r w:rsidRPr="00124912">
        <w:rPr>
          <w:rFonts w:ascii="Tahoma" w:hAnsi="Tahoma" w:cs="Tahoma" w:hint="eastAsia"/>
          <w:sz w:val="16"/>
          <w:szCs w:val="16"/>
          <w:rtl/>
        </w:rPr>
        <w:t>מבקר</w:t>
      </w:r>
      <w:r w:rsidRPr="00124912">
        <w:rPr>
          <w:rFonts w:ascii="Tahoma" w:hAnsi="Tahoma" w:cs="Tahoma"/>
          <w:sz w:val="16"/>
          <w:szCs w:val="16"/>
          <w:rtl/>
        </w:rPr>
        <w:t xml:space="preserve"> </w:t>
      </w:r>
      <w:r w:rsidRPr="00124912">
        <w:rPr>
          <w:rFonts w:ascii="Tahoma" w:hAnsi="Tahoma" w:cs="Tahoma" w:hint="eastAsia"/>
          <w:sz w:val="16"/>
          <w:szCs w:val="16"/>
          <w:rtl/>
        </w:rPr>
        <w:t>המדינה</w:t>
      </w:r>
      <w:r w:rsidRPr="00124912">
        <w:rPr>
          <w:rFonts w:ascii="Tahoma" w:hAnsi="Tahoma" w:cs="Tahoma" w:hint="cs"/>
          <w:sz w:val="16"/>
          <w:szCs w:val="16"/>
          <w:rtl/>
        </w:rPr>
        <w:t xml:space="preserve">. יובהר כי מספר הפניות על אודות אירועים בכל אחד מהיישומים נגזר גם משיעור השימוש בו. </w:t>
      </w:r>
    </w:p>
    <w:p w14:paraId="5F47A882" w14:textId="77777777"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יצוין כי לצד המטה הלאומי, פועלים משרדי ממשלה שונים וגופים אחרים בהיבטים הנוגעים להגנה על ילדים ובני נוער במרחב המקוון, בהיבטי המניעה, הטיפול והאכיפה</w:t>
      </w:r>
      <w:r w:rsidRPr="00740A8D">
        <w:rPr>
          <w:rStyle w:val="FootnoteReference"/>
          <w:rFonts w:ascii="Tahoma" w:hAnsi="Tahoma" w:cs="Tahoma"/>
          <w:sz w:val="18"/>
          <w:szCs w:val="18"/>
          <w:rtl/>
        </w:rPr>
        <w:footnoteReference w:id="48"/>
      </w:r>
      <w:r w:rsidRPr="00740A8D">
        <w:rPr>
          <w:rFonts w:ascii="Tahoma" w:hAnsi="Tahoma" w:cs="Tahoma" w:hint="cs"/>
          <w:sz w:val="18"/>
          <w:szCs w:val="18"/>
          <w:rtl/>
        </w:rPr>
        <w:t>, ובפרט משרד החינוך.</w:t>
      </w:r>
    </w:p>
    <w:p w14:paraId="5B1875F1" w14:textId="77777777" w:rsidR="00583E48" w:rsidRPr="00740A8D" w:rsidRDefault="00583E48" w:rsidP="00740A8D">
      <w:pPr>
        <w:spacing w:line="260" w:lineRule="exact"/>
        <w:jc w:val="both"/>
        <w:rPr>
          <w:rFonts w:ascii="Tahoma" w:hAnsi="Tahoma" w:cs="Tahoma"/>
          <w:sz w:val="18"/>
          <w:szCs w:val="18"/>
          <w:rtl/>
        </w:rPr>
      </w:pPr>
    </w:p>
    <w:p w14:paraId="54717BE9" w14:textId="77777777" w:rsidR="00583E48" w:rsidRPr="00A37C99" w:rsidRDefault="00583E48" w:rsidP="00583E48">
      <w:pPr>
        <w:pStyle w:val="KOT5N"/>
        <w:rPr>
          <w:rtl/>
        </w:rPr>
      </w:pPr>
      <w:r w:rsidRPr="009D2F6D">
        <w:rPr>
          <w:rFonts w:hint="cs"/>
          <w:rtl/>
        </w:rPr>
        <w:t xml:space="preserve">פעולות </w:t>
      </w:r>
      <w:r w:rsidRPr="00941727">
        <w:rPr>
          <w:rFonts w:hint="cs"/>
          <w:rtl/>
        </w:rPr>
        <w:t>משרד החינוך להתנהלות מיטבית ו</w:t>
      </w:r>
      <w:r>
        <w:rPr>
          <w:rFonts w:hint="cs"/>
          <w:rtl/>
        </w:rPr>
        <w:t>ל</w:t>
      </w:r>
      <w:r w:rsidRPr="00941727">
        <w:rPr>
          <w:rFonts w:hint="cs"/>
          <w:rtl/>
        </w:rPr>
        <w:t>מניעת פגיעה</w:t>
      </w:r>
      <w:r w:rsidRPr="00D500D7">
        <w:rPr>
          <w:rFonts w:eastAsiaTheme="minorHAnsi" w:hint="cs"/>
          <w:bCs w:val="0"/>
          <w:rtl/>
        </w:rPr>
        <w:t xml:space="preserve"> </w:t>
      </w:r>
      <w:r w:rsidRPr="00D500D7">
        <w:rPr>
          <w:rFonts w:hint="cs"/>
          <w:rtl/>
        </w:rPr>
        <w:t>ברשת</w:t>
      </w:r>
    </w:p>
    <w:p w14:paraId="20AB7FED" w14:textId="77777777"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אחד הגורמים המרכזיים הפועלים לחינוך להתנהלות מיטבית ברשת של תלמידים הוא משרד החינוך. פעולה לקידום חינוך ו</w:t>
      </w:r>
      <w:r w:rsidRPr="00740A8D">
        <w:rPr>
          <w:rFonts w:ascii="Tahoma" w:hAnsi="Tahoma" w:cs="Tahoma"/>
          <w:sz w:val="18"/>
          <w:szCs w:val="18"/>
          <w:rtl/>
        </w:rPr>
        <w:t xml:space="preserve">התפתחות הילד מוצהרת כמטרתם של חוקי חינוך שונים, בהם חוק חינוך ממלכתי, התשי"ג-1953, וחוק זכויות התלמיד, התשס"א-2000, שנועד לקבוע עקרונות לזכויות התלמיד ברוח כבוד האדם ועקרונות אמנת האומות המאוחדות בדבר זכויות הילד. חוקים אלו מטילים חובה על מערכת החינוך להביא לידי מימוש את זכותו של התלמיד </w:t>
      </w:r>
      <w:r w:rsidRPr="00740A8D">
        <w:rPr>
          <w:rFonts w:ascii="Tahoma" w:hAnsi="Tahoma" w:cs="Tahoma"/>
          <w:sz w:val="18"/>
          <w:szCs w:val="18"/>
          <w:rtl/>
        </w:rPr>
        <w:lastRenderedPageBreak/>
        <w:t>להתפתחות, ולהגן עליו מפני פגיעה בגופו, בנפשו, ברגשותיו וברכושו, לרבות מידי תלמידים אחרים.</w:t>
      </w:r>
    </w:p>
    <w:p w14:paraId="6E575840" w14:textId="77777777"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בעשור האחרון פעל משרד החינוך להתאמת מערכת החינוך לשינויים הטכנולוגיים המהירים, המציבים אתגרים מורכבים לתלמידיה ולבוגריה בעולם הדיגיטלי. משרד החינוך פועל להנחיל לתלמידים בסיס ידע, ערכים ומיומנויות הנדרשים להם במאה ה-21, במישורים הפדגוגי, החברתי והרגשי</w:t>
      </w:r>
      <w:r w:rsidRPr="00740A8D">
        <w:rPr>
          <w:rStyle w:val="FootnoteReference"/>
          <w:rFonts w:ascii="Tahoma" w:hAnsi="Tahoma" w:cs="Tahoma"/>
          <w:sz w:val="18"/>
          <w:szCs w:val="18"/>
          <w:rtl/>
        </w:rPr>
        <w:footnoteReference w:id="49"/>
      </w:r>
      <w:r w:rsidRPr="00740A8D">
        <w:rPr>
          <w:rFonts w:ascii="Tahoma" w:hAnsi="Tahoma" w:cs="Tahoma" w:hint="cs"/>
          <w:sz w:val="18"/>
          <w:szCs w:val="18"/>
          <w:rtl/>
        </w:rPr>
        <w:t xml:space="preserve">. נושא ההגנה על ילדים ובני נוער ברשת בא לידי ביטוי בכמה חוזרי מנכ"ל משרד החינוך, המתווים את מדיניות המשרד הנוגעת לתפקיד בית הספר ביצירת אקלים חינוכי מיטבי ברשת ובהתמודדות עם אירועי אלימות ברשת, וכן באשר לשיתוף ההורים בטיפולם. נוסף על כך, משרד החינוך גיבש תוכניות חינוכיות להתנהגות תלמידים נכונה ושקולה ברשת </w:t>
      </w:r>
      <w:r w:rsidRPr="00740A8D">
        <w:rPr>
          <w:rFonts w:ascii="Tahoma" w:hAnsi="Tahoma" w:cs="Tahoma"/>
          <w:sz w:val="18"/>
          <w:szCs w:val="18"/>
          <w:rtl/>
        </w:rPr>
        <w:t>והוא גם אחראי לפיתוח המקצועי ו</w:t>
      </w:r>
      <w:r w:rsidRPr="00740A8D">
        <w:rPr>
          <w:rFonts w:ascii="Tahoma" w:hAnsi="Tahoma" w:cs="Tahoma" w:hint="cs"/>
          <w:sz w:val="18"/>
          <w:szCs w:val="18"/>
          <w:rtl/>
        </w:rPr>
        <w:t>ל</w:t>
      </w:r>
      <w:r w:rsidRPr="00740A8D">
        <w:rPr>
          <w:rFonts w:ascii="Tahoma" w:hAnsi="Tahoma" w:cs="Tahoma"/>
          <w:sz w:val="18"/>
          <w:szCs w:val="18"/>
          <w:rtl/>
        </w:rPr>
        <w:t xml:space="preserve">מתן כלים לצוותי החינוך למימושה. </w:t>
      </w:r>
      <w:r w:rsidRPr="00740A8D">
        <w:rPr>
          <w:rFonts w:ascii="Tahoma" w:hAnsi="Tahoma" w:cs="Tahoma" w:hint="cs"/>
          <w:sz w:val="18"/>
          <w:szCs w:val="18"/>
          <w:rtl/>
        </w:rPr>
        <w:t xml:space="preserve">כמו כן, </w:t>
      </w:r>
      <w:r w:rsidRPr="00740A8D">
        <w:rPr>
          <w:rFonts w:ascii="Tahoma" w:hAnsi="Tahoma" w:cs="Tahoma"/>
          <w:sz w:val="18"/>
          <w:szCs w:val="18"/>
          <w:rtl/>
        </w:rPr>
        <w:t>המשרד פיתח כלים לניטור סוגי האלימות ואפיון האקלים החינוכי</w:t>
      </w:r>
      <w:r w:rsidRPr="00740A8D">
        <w:rPr>
          <w:rFonts w:ascii="Tahoma" w:hAnsi="Tahoma" w:cs="Tahoma" w:hint="cs"/>
          <w:sz w:val="18"/>
          <w:szCs w:val="18"/>
          <w:rtl/>
        </w:rPr>
        <w:t>,</w:t>
      </w:r>
      <w:r w:rsidRPr="00740A8D">
        <w:rPr>
          <w:rFonts w:ascii="Tahoma" w:hAnsi="Tahoma" w:cs="Tahoma"/>
          <w:sz w:val="18"/>
          <w:szCs w:val="18"/>
          <w:rtl/>
        </w:rPr>
        <w:t xml:space="preserve"> הכוללים גם התייחסות לפגיעות מקוונות ומצבי סיכון ברשת של תלמידים בבית הספר (להלן - ביה"ס) ומחוצה לו.</w:t>
      </w:r>
    </w:p>
    <w:p w14:paraId="27E16F16" w14:textId="77777777" w:rsidR="00583E48" w:rsidRPr="00740A8D" w:rsidRDefault="00583E48" w:rsidP="00740A8D">
      <w:pPr>
        <w:spacing w:line="260" w:lineRule="exact"/>
        <w:jc w:val="both"/>
        <w:rPr>
          <w:rFonts w:ascii="Tahoma" w:hAnsi="Tahoma" w:cs="Tahoma"/>
          <w:sz w:val="18"/>
          <w:szCs w:val="18"/>
          <w:rtl/>
        </w:rPr>
      </w:pPr>
    </w:p>
    <w:p w14:paraId="0E6F5EC2" w14:textId="77777777" w:rsidR="00583E48" w:rsidRDefault="00583E48" w:rsidP="00583E48">
      <w:pPr>
        <w:pStyle w:val="KOT4N"/>
        <w:rPr>
          <w:rtl/>
        </w:rPr>
      </w:pPr>
      <w:r>
        <w:rPr>
          <w:rFonts w:hint="cs"/>
          <w:rtl/>
        </w:rPr>
        <w:t>פעולות הביקורת</w:t>
      </w:r>
    </w:p>
    <w:p w14:paraId="6193020E" w14:textId="77777777"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 xml:space="preserve">בחודשים מרץ עד דצמבר 2021 בדק משרד מבקר המדינה היבטים הנוגעים להגנה על ילדים ובני נוער במרחב המקוון. הבדיקה בוצעה במטה הלאומי להגנה על ילדים ברשת - 105, במשרד החינוך, ובמשטרת ישראל. בדיקות השלמה בוצעו במשרד המשפטים, במשרד לביטחון הפנים, במשרד התקשורת, במשרד הרווחה </w:t>
      </w:r>
      <w:r w:rsidRPr="00740A8D">
        <w:rPr>
          <w:rFonts w:ascii="Tahoma" w:hAnsi="Tahoma" w:cs="Tahoma"/>
          <w:sz w:val="18"/>
          <w:szCs w:val="18"/>
          <w:rtl/>
        </w:rPr>
        <w:t>והביטחון החברתי</w:t>
      </w:r>
      <w:r w:rsidRPr="00740A8D">
        <w:rPr>
          <w:rFonts w:ascii="Tahoma" w:hAnsi="Tahoma" w:cs="Tahoma" w:hint="cs"/>
          <w:sz w:val="18"/>
          <w:szCs w:val="18"/>
          <w:rtl/>
        </w:rPr>
        <w:t>, במוסד לביטוח לאומי וביחידת צור בשירות בתי הסוהר. נוסף על כך התקיים שיח עם עמותות, ארגונים ומומחים שונים העוסקים בנושא. כמו כן, התקיים מפגש עם נציגי מועצת התלמידים והנוער הארצית, וכן בוצע הליך שיתוף ציבור עם הורים ומנהלים (להלן - סקר ההורים וסקר המנהלים שביצע משרד מבקר המדינה):</w:t>
      </w:r>
    </w:p>
    <w:p w14:paraId="5FC2BB29" w14:textId="77777777" w:rsidR="00583E48" w:rsidRPr="00976C9C" w:rsidRDefault="00583E48" w:rsidP="007F4A31">
      <w:pPr>
        <w:pStyle w:val="ListParagraph"/>
        <w:pageBreakBefore/>
        <w:numPr>
          <w:ilvl w:val="0"/>
          <w:numId w:val="40"/>
        </w:numPr>
        <w:autoSpaceDE/>
        <w:autoSpaceDN/>
        <w:adjustRightInd/>
        <w:spacing w:line="260" w:lineRule="exact"/>
        <w:ind w:left="397" w:hanging="397"/>
        <w:rPr>
          <w:sz w:val="18"/>
          <w:szCs w:val="18"/>
          <w:rtl/>
        </w:rPr>
      </w:pPr>
      <w:r w:rsidRPr="00976C9C">
        <w:rPr>
          <w:rFonts w:hint="cs"/>
          <w:b/>
          <w:bCs/>
          <w:color w:val="00305F"/>
          <w:spacing w:val="20"/>
          <w:sz w:val="18"/>
          <w:szCs w:val="18"/>
          <w:rtl/>
        </w:rPr>
        <w:lastRenderedPageBreak/>
        <w:t>שאלון המנהלים:</w:t>
      </w:r>
      <w:r w:rsidRPr="00976C9C">
        <w:rPr>
          <w:rFonts w:hint="cs"/>
          <w:sz w:val="18"/>
          <w:szCs w:val="18"/>
          <w:rtl/>
        </w:rPr>
        <w:t xml:space="preserve"> בחודשים יולי-אוגוסט 2021 ביצע משרד מבקר המדינה סקר בקרב מנהלי בתי ספר</w:t>
      </w:r>
      <w:r w:rsidRPr="00976C9C">
        <w:rPr>
          <w:rStyle w:val="FootnoteReference"/>
          <w:sz w:val="18"/>
          <w:szCs w:val="18"/>
          <w:rtl/>
        </w:rPr>
        <w:footnoteReference w:id="50"/>
      </w:r>
      <w:r w:rsidRPr="00976C9C">
        <w:rPr>
          <w:rFonts w:hint="cs"/>
          <w:sz w:val="18"/>
          <w:szCs w:val="18"/>
          <w:rtl/>
        </w:rPr>
        <w:t xml:space="preserve"> (להלן - סקר המנהלים שביצע משרד מבקר המדינה). השאלון נועד לקבל מהמנהלים מידע וללמוד על ה</w:t>
      </w:r>
      <w:r w:rsidRPr="00976C9C">
        <w:rPr>
          <w:sz w:val="18"/>
          <w:szCs w:val="18"/>
          <w:rtl/>
        </w:rPr>
        <w:t xml:space="preserve">תובנות </w:t>
      </w:r>
      <w:r w:rsidRPr="00976C9C">
        <w:rPr>
          <w:rFonts w:hint="cs"/>
          <w:sz w:val="18"/>
          <w:szCs w:val="18"/>
          <w:rtl/>
        </w:rPr>
        <w:t>שלהם</w:t>
      </w:r>
      <w:r w:rsidRPr="00976C9C">
        <w:rPr>
          <w:sz w:val="18"/>
          <w:szCs w:val="18"/>
          <w:rtl/>
        </w:rPr>
        <w:t xml:space="preserve"> </w:t>
      </w:r>
      <w:r w:rsidRPr="00976C9C">
        <w:rPr>
          <w:rFonts w:hint="cs"/>
          <w:sz w:val="18"/>
          <w:szCs w:val="18"/>
          <w:rtl/>
        </w:rPr>
        <w:t xml:space="preserve">לשנות הלימוד </w:t>
      </w:r>
      <w:proofErr w:type="spellStart"/>
      <w:r w:rsidRPr="00976C9C">
        <w:rPr>
          <w:rFonts w:hint="cs"/>
          <w:sz w:val="18"/>
          <w:szCs w:val="18"/>
          <w:rtl/>
        </w:rPr>
        <w:t>התשע"ט</w:t>
      </w:r>
      <w:proofErr w:type="spellEnd"/>
      <w:r w:rsidRPr="00976C9C">
        <w:rPr>
          <w:rFonts w:hint="cs"/>
          <w:sz w:val="18"/>
          <w:szCs w:val="18"/>
          <w:rtl/>
        </w:rPr>
        <w:t xml:space="preserve"> - </w:t>
      </w:r>
      <w:proofErr w:type="spellStart"/>
      <w:r w:rsidRPr="00976C9C">
        <w:rPr>
          <w:rFonts w:hint="cs"/>
          <w:sz w:val="18"/>
          <w:szCs w:val="18"/>
          <w:rtl/>
        </w:rPr>
        <w:t>התשפ"א</w:t>
      </w:r>
      <w:proofErr w:type="spellEnd"/>
      <w:r w:rsidRPr="00976C9C">
        <w:rPr>
          <w:rFonts w:hint="cs"/>
          <w:sz w:val="18"/>
          <w:szCs w:val="18"/>
          <w:rtl/>
        </w:rPr>
        <w:t xml:space="preserve"> </w:t>
      </w:r>
      <w:r w:rsidRPr="00976C9C">
        <w:rPr>
          <w:sz w:val="18"/>
          <w:szCs w:val="18"/>
          <w:rtl/>
        </w:rPr>
        <w:t>ב</w:t>
      </w:r>
      <w:r w:rsidRPr="00976C9C">
        <w:rPr>
          <w:rFonts w:hint="cs"/>
          <w:sz w:val="18"/>
          <w:szCs w:val="18"/>
          <w:rtl/>
        </w:rPr>
        <w:t>נוגע</w:t>
      </w:r>
      <w:r w:rsidRPr="00976C9C">
        <w:rPr>
          <w:sz w:val="18"/>
          <w:szCs w:val="18"/>
          <w:rtl/>
        </w:rPr>
        <w:t xml:space="preserve"> </w:t>
      </w:r>
      <w:r w:rsidRPr="00976C9C">
        <w:rPr>
          <w:rFonts w:hint="cs"/>
          <w:sz w:val="18"/>
          <w:szCs w:val="18"/>
          <w:rtl/>
        </w:rPr>
        <w:t xml:space="preserve">לבחינת פעילות ומידת המוכנות של </w:t>
      </w:r>
      <w:bookmarkStart w:id="10" w:name="_Hlk86323631"/>
      <w:r w:rsidRPr="00976C9C">
        <w:rPr>
          <w:rFonts w:hint="cs"/>
          <w:sz w:val="18"/>
          <w:szCs w:val="18"/>
          <w:rtl/>
        </w:rPr>
        <w:t xml:space="preserve">בתיה"ס </w:t>
      </w:r>
      <w:bookmarkEnd w:id="10"/>
      <w:r w:rsidRPr="00976C9C">
        <w:rPr>
          <w:rFonts w:hint="cs"/>
          <w:sz w:val="18"/>
          <w:szCs w:val="18"/>
          <w:rtl/>
        </w:rPr>
        <w:t>בנושא וכן, מנקודת המבט של בתיה"ס</w:t>
      </w:r>
      <w:bookmarkStart w:id="11" w:name="_Hlk86323948"/>
      <w:r w:rsidRPr="00976C9C">
        <w:rPr>
          <w:rFonts w:hint="cs"/>
          <w:sz w:val="18"/>
          <w:szCs w:val="18"/>
          <w:rtl/>
        </w:rPr>
        <w:t xml:space="preserve">, </w:t>
      </w:r>
      <w:bookmarkEnd w:id="11"/>
      <w:r w:rsidRPr="00976C9C">
        <w:rPr>
          <w:rFonts w:hint="cs"/>
          <w:sz w:val="18"/>
          <w:szCs w:val="18"/>
          <w:rtl/>
        </w:rPr>
        <w:t xml:space="preserve">ללמוד על טיב המענה שנותנות תוכניות מטה המשרד לגבי שימוש בטוח של תלמידים במרחב המקוון. </w:t>
      </w:r>
    </w:p>
    <w:p w14:paraId="4C92F932" w14:textId="77777777" w:rsidR="00583E48" w:rsidRPr="00740A8D" w:rsidRDefault="00583E48" w:rsidP="007F4A31">
      <w:pPr>
        <w:spacing w:line="260" w:lineRule="exact"/>
        <w:ind w:left="397"/>
        <w:jc w:val="both"/>
        <w:rPr>
          <w:rFonts w:ascii="Tahoma" w:hAnsi="Tahoma" w:cs="Tahoma"/>
          <w:sz w:val="18"/>
          <w:szCs w:val="18"/>
        </w:rPr>
      </w:pPr>
      <w:r w:rsidRPr="00740A8D">
        <w:rPr>
          <w:rFonts w:ascii="Tahoma" w:hAnsi="Tahoma" w:cs="Tahoma" w:hint="cs"/>
          <w:sz w:val="18"/>
          <w:szCs w:val="18"/>
          <w:rtl/>
        </w:rPr>
        <w:t xml:space="preserve">לסקר השיבו 668 מנהלים (16.4% מכלל מנהלי </w:t>
      </w:r>
      <w:bookmarkStart w:id="12" w:name="_Hlk86682043"/>
      <w:r w:rsidRPr="00740A8D">
        <w:rPr>
          <w:rFonts w:ascii="Tahoma" w:hAnsi="Tahoma" w:cs="Tahoma" w:hint="cs"/>
          <w:sz w:val="18"/>
          <w:szCs w:val="18"/>
          <w:rtl/>
        </w:rPr>
        <w:t>בתיה"ס</w:t>
      </w:r>
      <w:bookmarkEnd w:id="12"/>
      <w:r w:rsidRPr="00740A8D">
        <w:rPr>
          <w:rFonts w:ascii="Tahoma" w:hAnsi="Tahoma" w:cs="Tahoma" w:hint="cs"/>
          <w:sz w:val="18"/>
          <w:szCs w:val="18"/>
          <w:rtl/>
        </w:rPr>
        <w:t xml:space="preserve">). </w:t>
      </w:r>
      <w:r w:rsidRPr="00740A8D">
        <w:rPr>
          <w:rFonts w:ascii="Tahoma" w:hAnsi="Tahoma" w:cs="Tahoma"/>
          <w:sz w:val="18"/>
          <w:szCs w:val="18"/>
          <w:rtl/>
        </w:rPr>
        <w:t xml:space="preserve">מדגם מנהלי </w:t>
      </w:r>
      <w:r w:rsidRPr="00740A8D">
        <w:rPr>
          <w:rFonts w:ascii="Tahoma" w:hAnsi="Tahoma" w:cs="Tahoma" w:hint="cs"/>
          <w:sz w:val="18"/>
          <w:szCs w:val="18"/>
          <w:rtl/>
        </w:rPr>
        <w:t>בתיה"ס</w:t>
      </w:r>
      <w:r w:rsidRPr="00740A8D">
        <w:rPr>
          <w:rFonts w:ascii="Tahoma" w:hAnsi="Tahoma" w:cs="Tahoma"/>
          <w:sz w:val="18"/>
          <w:szCs w:val="18"/>
          <w:rtl/>
        </w:rPr>
        <w:t xml:space="preserve"> שהשיבו לסקר מייצג נאמנה את כלל </w:t>
      </w:r>
      <w:r w:rsidRPr="00740A8D">
        <w:rPr>
          <w:rFonts w:ascii="Tahoma" w:hAnsi="Tahoma" w:cs="Tahoma" w:hint="cs"/>
          <w:sz w:val="18"/>
          <w:szCs w:val="18"/>
          <w:rtl/>
        </w:rPr>
        <w:t>בתיה"ס</w:t>
      </w:r>
      <w:r w:rsidRPr="00740A8D">
        <w:rPr>
          <w:rFonts w:ascii="Tahoma" w:hAnsi="Tahoma" w:cs="Tahoma"/>
          <w:sz w:val="18"/>
          <w:szCs w:val="18"/>
          <w:rtl/>
        </w:rPr>
        <w:t xml:space="preserve"> בישראל</w:t>
      </w:r>
      <w:r w:rsidRPr="00740A8D">
        <w:rPr>
          <w:rFonts w:ascii="Tahoma" w:hAnsi="Tahoma" w:cs="Tahoma" w:hint="cs"/>
          <w:sz w:val="18"/>
          <w:szCs w:val="18"/>
          <w:rtl/>
        </w:rPr>
        <w:t xml:space="preserve"> </w:t>
      </w:r>
      <w:r w:rsidRPr="00740A8D">
        <w:rPr>
          <w:rFonts w:ascii="Tahoma" w:hAnsi="Tahoma" w:cs="Tahoma"/>
          <w:sz w:val="18"/>
          <w:szCs w:val="18"/>
          <w:rtl/>
        </w:rPr>
        <w:t>בכל הפרמטרים: פיקוח</w:t>
      </w:r>
      <w:r w:rsidRPr="00740A8D">
        <w:rPr>
          <w:rFonts w:ascii="Tahoma" w:hAnsi="Tahoma" w:cs="Tahoma" w:hint="cs"/>
          <w:sz w:val="18"/>
          <w:szCs w:val="18"/>
          <w:rtl/>
        </w:rPr>
        <w:t xml:space="preserve"> (ממלכתי, ממלכתי-דתי, ממלכתי-ערבי וחרדי)</w:t>
      </w:r>
      <w:r w:rsidRPr="00740A8D">
        <w:rPr>
          <w:rFonts w:ascii="Tahoma" w:hAnsi="Tahoma" w:cs="Tahoma"/>
          <w:sz w:val="18"/>
          <w:szCs w:val="18"/>
          <w:rtl/>
        </w:rPr>
        <w:t>, מגזר ושלב החינוך</w:t>
      </w:r>
      <w:r w:rsidRPr="00740A8D">
        <w:rPr>
          <w:rFonts w:ascii="Tahoma" w:hAnsi="Tahoma" w:cs="Tahoma" w:hint="cs"/>
          <w:sz w:val="18"/>
          <w:szCs w:val="18"/>
          <w:rtl/>
        </w:rPr>
        <w:t xml:space="preserve"> (יסודי, חטיבת ביניים וחטיבה עליונה), </w:t>
      </w:r>
      <w:r w:rsidRPr="00740A8D">
        <w:rPr>
          <w:rFonts w:ascii="Tahoma" w:hAnsi="Tahoma" w:cs="Tahoma"/>
          <w:sz w:val="18"/>
          <w:szCs w:val="18"/>
          <w:rtl/>
        </w:rPr>
        <w:t>טעות הדגימה 3.9%</w:t>
      </w:r>
      <w:r w:rsidRPr="00740A8D">
        <w:rPr>
          <w:rFonts w:ascii="Tahoma" w:hAnsi="Tahoma" w:cs="Tahoma"/>
          <w:sz w:val="18"/>
          <w:szCs w:val="18"/>
          <w:u w:val="single"/>
          <w:rtl/>
        </w:rPr>
        <w:t>+</w:t>
      </w:r>
      <w:r w:rsidRPr="00740A8D">
        <w:rPr>
          <w:rFonts w:ascii="Tahoma" w:hAnsi="Tahoma" w:cs="Tahoma" w:hint="cs"/>
          <w:sz w:val="18"/>
          <w:szCs w:val="18"/>
          <w:rtl/>
        </w:rPr>
        <w:t>. להלן אפיון מדגם מנהלי בתיה"ס שהשיבו לשאלון:</w:t>
      </w:r>
    </w:p>
    <w:p w14:paraId="3D6EE32F" w14:textId="18E790F5" w:rsidR="00583E48" w:rsidRPr="00740A8D" w:rsidRDefault="00E64444" w:rsidP="00A059BD">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E64444">
        <w:rPr>
          <w:rFonts w:ascii="Tahoma" w:hAnsi="Tahoma" w:cs="Tahoma" w:hint="cs"/>
          <w:color w:val="0D0D0D" w:themeColor="text1" w:themeTint="F2"/>
          <w:sz w:val="20"/>
          <w:szCs w:val="20"/>
          <w:rtl/>
        </w:rPr>
        <w:t xml:space="preserve">תרשים 15: </w:t>
      </w:r>
      <w:r w:rsidR="00583E48" w:rsidRPr="00740A8D">
        <w:rPr>
          <w:rFonts w:ascii="Tahoma" w:hAnsi="Tahoma" w:cs="Tahoma" w:hint="cs"/>
          <w:b/>
          <w:bCs/>
          <w:color w:val="0D0D0D" w:themeColor="text1" w:themeTint="F2"/>
          <w:sz w:val="20"/>
          <w:szCs w:val="20"/>
          <w:rtl/>
        </w:rPr>
        <w:t>אפיון מדגם מנהלי בתי הספר</w:t>
      </w:r>
      <w:r w:rsidR="00124912">
        <w:rPr>
          <w:rFonts w:ascii="Tahoma" w:hAnsi="Tahoma" w:cs="Tahoma" w:hint="cs"/>
          <w:b/>
          <w:bCs/>
          <w:color w:val="0D0D0D" w:themeColor="text1" w:themeTint="F2"/>
          <w:sz w:val="20"/>
          <w:szCs w:val="20"/>
          <w:rtl/>
        </w:rPr>
        <w:t>*</w:t>
      </w:r>
    </w:p>
    <w:p w14:paraId="66598C2B" w14:textId="40B8E8CF" w:rsidR="00976C9C" w:rsidRPr="00740A8D" w:rsidRDefault="00976C9C" w:rsidP="00E64444">
      <w:pPr>
        <w:keepNext/>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10C8161C" wp14:editId="57B31278">
            <wp:extent cx="4679950" cy="291592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79950" cy="2915920"/>
                    </a:xfrm>
                    <a:prstGeom prst="rect">
                      <a:avLst/>
                    </a:prstGeom>
                  </pic:spPr>
                </pic:pic>
              </a:graphicData>
            </a:graphic>
          </wp:inline>
        </w:drawing>
      </w:r>
    </w:p>
    <w:p w14:paraId="5956AF4B" w14:textId="11C3975C" w:rsidR="00583E48" w:rsidRPr="00976C9C" w:rsidRDefault="00583E48" w:rsidP="00976C9C">
      <w:pPr>
        <w:tabs>
          <w:tab w:val="left" w:pos="424"/>
        </w:tabs>
        <w:spacing w:after="240" w:line="260" w:lineRule="exact"/>
        <w:jc w:val="both"/>
        <w:rPr>
          <w:rFonts w:ascii="Tahoma" w:hAnsi="Tahoma" w:cs="Tahoma"/>
          <w:color w:val="0D0D0D" w:themeColor="text1" w:themeTint="F2"/>
          <w:sz w:val="16"/>
          <w:szCs w:val="16"/>
          <w:rtl/>
        </w:rPr>
      </w:pPr>
      <w:r w:rsidRPr="00976C9C">
        <w:rPr>
          <w:rFonts w:ascii="Tahoma" w:hAnsi="Tahoma" w:cs="Tahoma" w:hint="cs"/>
          <w:color w:val="0D0D0D" w:themeColor="text1" w:themeTint="F2"/>
          <w:sz w:val="16"/>
          <w:szCs w:val="16"/>
          <w:rtl/>
        </w:rPr>
        <w:t xml:space="preserve">* </w:t>
      </w:r>
      <w:r w:rsidR="00976C9C">
        <w:rPr>
          <w:rFonts w:ascii="Tahoma" w:hAnsi="Tahoma" w:cs="Tahoma"/>
          <w:color w:val="0D0D0D" w:themeColor="text1" w:themeTint="F2"/>
          <w:sz w:val="16"/>
          <w:szCs w:val="16"/>
        </w:rPr>
        <w:tab/>
      </w:r>
      <w:r w:rsidRPr="00976C9C">
        <w:rPr>
          <w:rFonts w:ascii="Tahoma" w:hAnsi="Tahoma" w:cs="Tahoma" w:hint="cs"/>
          <w:color w:val="0D0D0D" w:themeColor="text1" w:themeTint="F2"/>
          <w:sz w:val="16"/>
          <w:szCs w:val="16"/>
          <w:rtl/>
        </w:rPr>
        <w:t>השיעורים מקורבים</w:t>
      </w:r>
    </w:p>
    <w:p w14:paraId="6D8FC0A3" w14:textId="77777777" w:rsidR="00583E48" w:rsidRPr="00976C9C" w:rsidRDefault="00583E48" w:rsidP="007F4A31">
      <w:pPr>
        <w:pStyle w:val="ListParagraph"/>
        <w:pageBreakBefore/>
        <w:numPr>
          <w:ilvl w:val="0"/>
          <w:numId w:val="40"/>
        </w:numPr>
        <w:autoSpaceDE/>
        <w:autoSpaceDN/>
        <w:adjustRightInd/>
        <w:spacing w:line="260" w:lineRule="exact"/>
        <w:ind w:left="397" w:hanging="397"/>
        <w:rPr>
          <w:sz w:val="18"/>
          <w:szCs w:val="18"/>
          <w:rtl/>
        </w:rPr>
      </w:pPr>
      <w:r w:rsidRPr="00976C9C">
        <w:rPr>
          <w:rFonts w:hint="cs"/>
          <w:b/>
          <w:bCs/>
          <w:color w:val="00305F"/>
          <w:spacing w:val="20"/>
          <w:sz w:val="18"/>
          <w:szCs w:val="18"/>
          <w:rtl/>
        </w:rPr>
        <w:lastRenderedPageBreak/>
        <w:t>שאלון הורים:</w:t>
      </w:r>
      <w:r w:rsidRPr="00976C9C">
        <w:rPr>
          <w:sz w:val="18"/>
          <w:szCs w:val="18"/>
          <w:rtl/>
        </w:rPr>
        <w:t xml:space="preserve"> ביולי 2021 הפיץ משרד מבקר המדינה שאלון לבחינת עמדות ההורים בנוגע לשימוש בטוח של ילדיהם במרחב המקוון. לשאלון השיבו 530 הורים, המהווים מדגם ארצי מייצג של אוכלוסיית ההורים שלילדיהם גישה לרשת באמצעות מחשב או טלפון נייד</w:t>
      </w:r>
      <w:r w:rsidRPr="00976C9C">
        <w:rPr>
          <w:rStyle w:val="FootnoteReference"/>
          <w:sz w:val="18"/>
          <w:szCs w:val="18"/>
          <w:rtl/>
        </w:rPr>
        <w:footnoteReference w:id="51"/>
      </w:r>
      <w:r w:rsidRPr="00976C9C">
        <w:rPr>
          <w:sz w:val="18"/>
          <w:szCs w:val="18"/>
          <w:rtl/>
        </w:rPr>
        <w:t xml:space="preserve"> (להלן - סקר ההורים שביצע משרד מבקר המדינה). </w:t>
      </w:r>
    </w:p>
    <w:p w14:paraId="3EDE18BD" w14:textId="2EF46E6B" w:rsidR="00583E48" w:rsidRPr="00740A8D" w:rsidRDefault="00E64444" w:rsidP="00A059BD">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E64444">
        <w:rPr>
          <w:rFonts w:ascii="Tahoma" w:hAnsi="Tahoma" w:cs="Tahoma" w:hint="cs"/>
          <w:color w:val="0D0D0D" w:themeColor="text1" w:themeTint="F2"/>
          <w:sz w:val="20"/>
          <w:szCs w:val="20"/>
          <w:rtl/>
        </w:rPr>
        <w:t xml:space="preserve">תרשים 16: </w:t>
      </w:r>
      <w:r w:rsidR="00583E48" w:rsidRPr="00740A8D">
        <w:rPr>
          <w:rFonts w:ascii="Tahoma" w:hAnsi="Tahoma" w:cs="Tahoma" w:hint="cs"/>
          <w:b/>
          <w:bCs/>
          <w:color w:val="0D0D0D" w:themeColor="text1" w:themeTint="F2"/>
          <w:sz w:val="20"/>
          <w:szCs w:val="20"/>
          <w:rtl/>
        </w:rPr>
        <w:t>אפיון מדגם ההורים</w:t>
      </w:r>
    </w:p>
    <w:p w14:paraId="3DEAD11E" w14:textId="6A374C17" w:rsidR="00976C9C" w:rsidRPr="00740A8D" w:rsidRDefault="00976C9C" w:rsidP="00E64444">
      <w:pPr>
        <w:keepNext/>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666F0AA9" wp14:editId="188EFB43">
            <wp:extent cx="4679950" cy="231267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79950" cy="2312670"/>
                    </a:xfrm>
                    <a:prstGeom prst="rect">
                      <a:avLst/>
                    </a:prstGeom>
                  </pic:spPr>
                </pic:pic>
              </a:graphicData>
            </a:graphic>
          </wp:inline>
        </w:drawing>
      </w:r>
    </w:p>
    <w:p w14:paraId="20C18E6A" w14:textId="77777777" w:rsidR="00583E48" w:rsidRPr="00976C9C" w:rsidRDefault="00583E48" w:rsidP="00976C9C">
      <w:pPr>
        <w:pStyle w:val="ListParagraph"/>
        <w:numPr>
          <w:ilvl w:val="0"/>
          <w:numId w:val="40"/>
        </w:numPr>
        <w:autoSpaceDE/>
        <w:autoSpaceDN/>
        <w:adjustRightInd/>
        <w:spacing w:line="260" w:lineRule="exact"/>
        <w:ind w:left="397" w:hanging="397"/>
        <w:rPr>
          <w:sz w:val="18"/>
          <w:szCs w:val="18"/>
          <w:rtl/>
        </w:rPr>
      </w:pPr>
      <w:r w:rsidRPr="00976C9C">
        <w:rPr>
          <w:rFonts w:hint="cs"/>
          <w:sz w:val="18"/>
          <w:szCs w:val="18"/>
          <w:rtl/>
        </w:rPr>
        <w:t>באוגוסט 2021 קיים משרד מבקר המדינה מפגש עם נציגי מועצת התלמידים והנוער הארצית</w:t>
      </w:r>
      <w:r w:rsidRPr="00976C9C">
        <w:rPr>
          <w:rStyle w:val="FootnoteReference"/>
          <w:sz w:val="18"/>
          <w:szCs w:val="18"/>
          <w:rtl/>
        </w:rPr>
        <w:footnoteReference w:id="52"/>
      </w:r>
      <w:r w:rsidRPr="00976C9C">
        <w:rPr>
          <w:rFonts w:hint="cs"/>
          <w:sz w:val="18"/>
          <w:szCs w:val="18"/>
          <w:rtl/>
        </w:rPr>
        <w:t>, במטרה לשמוע באופן בלתי אמצעי על האופן שבו הם מתמודדים עם העולם המקוון - האופן שבו הם או חבריהם חווים את הסיכונים והפגיעות, דרכי ההתמודדו</w:t>
      </w:r>
      <w:r w:rsidRPr="00976C9C">
        <w:rPr>
          <w:rFonts w:hint="eastAsia"/>
          <w:sz w:val="18"/>
          <w:szCs w:val="18"/>
          <w:rtl/>
        </w:rPr>
        <w:t>ת</w:t>
      </w:r>
      <w:r w:rsidRPr="00976C9C">
        <w:rPr>
          <w:rFonts w:hint="cs"/>
          <w:sz w:val="18"/>
          <w:szCs w:val="18"/>
          <w:rtl/>
        </w:rPr>
        <w:t xml:space="preserve"> וההימנעות מפגיעה, והכלים שהוקנו להם בנושא זה (להלן - המפגש עם נציגי מועצת התלמידים).</w:t>
      </w:r>
    </w:p>
    <w:p w14:paraId="3C814A41" w14:textId="77777777"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 xml:space="preserve">משרד החינוך מסר בתשובתו למשרד מבקר המדינה מינואר 2022 (להלן - תשובת משרד החינוך) כי </w:t>
      </w:r>
      <w:r w:rsidRPr="00740A8D">
        <w:rPr>
          <w:rFonts w:ascii="Tahoma" w:hAnsi="Tahoma" w:cs="Tahoma"/>
          <w:sz w:val="18"/>
          <w:szCs w:val="18"/>
          <w:rtl/>
        </w:rPr>
        <w:t>הביקורת בנושא</w:t>
      </w:r>
      <w:r w:rsidRPr="00740A8D">
        <w:rPr>
          <w:rFonts w:ascii="Tahoma" w:hAnsi="Tahoma" w:cs="Tahoma" w:hint="cs"/>
          <w:sz w:val="18"/>
          <w:szCs w:val="18"/>
          <w:rtl/>
        </w:rPr>
        <w:t>, שבדקה מהלכים וכלים המתאימים לימי שגרה,</w:t>
      </w:r>
      <w:r w:rsidRPr="00740A8D">
        <w:rPr>
          <w:rFonts w:ascii="Tahoma" w:hAnsi="Tahoma" w:cs="Tahoma"/>
          <w:sz w:val="18"/>
          <w:szCs w:val="18"/>
          <w:rtl/>
        </w:rPr>
        <w:t xml:space="preserve"> נעשתה</w:t>
      </w:r>
      <w:r w:rsidRPr="00740A8D">
        <w:rPr>
          <w:rFonts w:ascii="Tahoma" w:hAnsi="Tahoma" w:cs="Tahoma" w:hint="cs"/>
          <w:sz w:val="18"/>
          <w:szCs w:val="18"/>
          <w:rtl/>
        </w:rPr>
        <w:t xml:space="preserve"> ב</w:t>
      </w:r>
      <w:r w:rsidRPr="00740A8D">
        <w:rPr>
          <w:rFonts w:ascii="Tahoma" w:hAnsi="Tahoma" w:cs="Tahoma"/>
          <w:sz w:val="18"/>
          <w:szCs w:val="18"/>
          <w:rtl/>
        </w:rPr>
        <w:t xml:space="preserve">תקופה </w:t>
      </w:r>
      <w:r w:rsidRPr="00740A8D">
        <w:rPr>
          <w:rFonts w:ascii="Tahoma" w:hAnsi="Tahoma" w:cs="Tahoma" w:hint="cs"/>
          <w:sz w:val="18"/>
          <w:szCs w:val="18"/>
          <w:rtl/>
        </w:rPr>
        <w:t>שבה</w:t>
      </w:r>
      <w:r w:rsidRPr="00740A8D">
        <w:rPr>
          <w:rFonts w:ascii="Tahoma" w:hAnsi="Tahoma" w:cs="Tahoma"/>
          <w:sz w:val="18"/>
          <w:szCs w:val="18"/>
          <w:rtl/>
        </w:rPr>
        <w:t xml:space="preserve"> מערכת החינוך </w:t>
      </w:r>
      <w:r w:rsidRPr="00740A8D">
        <w:rPr>
          <w:rFonts w:ascii="Tahoma" w:hAnsi="Tahoma" w:cs="Tahoma" w:hint="cs"/>
          <w:sz w:val="18"/>
          <w:szCs w:val="18"/>
          <w:rtl/>
        </w:rPr>
        <w:t>התמודדה עם מצב חירום, הן בשל מגפת הקורונה והן בשל אירועי מבצע "שומר החומות"</w:t>
      </w:r>
      <w:r w:rsidRPr="00740A8D">
        <w:rPr>
          <w:rStyle w:val="FootnoteReference"/>
          <w:rFonts w:ascii="Tahoma" w:hAnsi="Tahoma" w:cs="Tahoma"/>
          <w:sz w:val="18"/>
          <w:szCs w:val="18"/>
          <w:rtl/>
        </w:rPr>
        <w:footnoteReference w:id="53"/>
      </w:r>
      <w:r w:rsidRPr="00740A8D">
        <w:rPr>
          <w:rFonts w:ascii="Tahoma" w:hAnsi="Tahoma" w:cs="Tahoma" w:hint="cs"/>
          <w:sz w:val="18"/>
          <w:szCs w:val="18"/>
          <w:rtl/>
        </w:rPr>
        <w:t xml:space="preserve">. גם סקר המנהלים וסקר ההורים ביקשו לבדוק את הנושא בתקופת שגרה, אף שהתקופה שבה נעשה הסקר הייתה תקופת חירום. בשל כך המענה של המנהלים וההורים אינו מעיד על הכלל, אלא מתייחס לנקודת הזמן </w:t>
      </w:r>
      <w:proofErr w:type="spellStart"/>
      <w:r w:rsidRPr="00740A8D">
        <w:rPr>
          <w:rFonts w:ascii="Tahoma" w:hAnsi="Tahoma" w:cs="Tahoma" w:hint="cs"/>
          <w:sz w:val="18"/>
          <w:szCs w:val="18"/>
          <w:rtl/>
        </w:rPr>
        <w:t>המשברית</w:t>
      </w:r>
      <w:proofErr w:type="spellEnd"/>
      <w:r w:rsidRPr="00740A8D">
        <w:rPr>
          <w:rFonts w:ascii="Tahoma" w:hAnsi="Tahoma" w:cs="Tahoma" w:hint="cs"/>
          <w:sz w:val="18"/>
          <w:szCs w:val="18"/>
          <w:rtl/>
        </w:rPr>
        <w:t xml:space="preserve"> שבה נערך הסקר. עוד טען משרד החינוך כי ניסוח חלק מהשאלות למנהלים היה כללי ורחב, ולכן הוא נתון לפרשנות.</w:t>
      </w:r>
    </w:p>
    <w:p w14:paraId="470A7FF9" w14:textId="77777777"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 xml:space="preserve">לעניין זה מציין משרד מבקר המדינה כי הביקורת אומנם נעשתה בתקופת משבר הקורונה, אולם היא התייחסה להתמודדות הכללית והרב-שנתית של מערכת החינוך עם הנושא. גם ההסדרים שהתווה משרד החינוך בנושא, ואשר היוו את המסד לביצוע הביקורת ולניסוח השאלות שהופנו למנהלים, גובשו לפני שנים ונבדקה הטמעתם בבתיה"ס בדרך שיהוו תשתית </w:t>
      </w:r>
      <w:r w:rsidRPr="00740A8D">
        <w:rPr>
          <w:rFonts w:ascii="Tahoma" w:hAnsi="Tahoma" w:cs="Tahoma" w:hint="cs"/>
          <w:sz w:val="18"/>
          <w:szCs w:val="18"/>
          <w:rtl/>
        </w:rPr>
        <w:lastRenderedPageBreak/>
        <w:t xml:space="preserve">להתמודדות בתיה"ס עם פגיעות מקוונות ויתרמו להתנהלות מיטבית של תלמידים ברשת במצבי סיכון בעת חירום ובעת שגרה. עוד יצוין כי מרבית מנהלי בתיה"ס העריכו במענה לשאלון שהפיץ להם משרד מבקר המדינה, כי בעקבות מגפת הקורונה היה עיסוק רב יותר של ביה"ס בחינוך תלמידים </w:t>
      </w:r>
      <w:r w:rsidRPr="00740A8D">
        <w:rPr>
          <w:rFonts w:ascii="Tahoma" w:hAnsi="Tahoma" w:cs="Tahoma"/>
          <w:sz w:val="18"/>
          <w:szCs w:val="18"/>
          <w:rtl/>
        </w:rPr>
        <w:t xml:space="preserve">להתנהלות מיטבית </w:t>
      </w:r>
      <w:r w:rsidRPr="00740A8D">
        <w:rPr>
          <w:rFonts w:ascii="Tahoma" w:hAnsi="Tahoma" w:cs="Tahoma" w:hint="cs"/>
          <w:sz w:val="18"/>
          <w:szCs w:val="18"/>
          <w:rtl/>
        </w:rPr>
        <w:t>ברשת</w:t>
      </w:r>
      <w:r w:rsidRPr="00740A8D">
        <w:rPr>
          <w:rFonts w:ascii="Tahoma" w:hAnsi="Tahoma" w:cs="Tahoma"/>
          <w:sz w:val="18"/>
          <w:szCs w:val="18"/>
          <w:vertAlign w:val="superscript"/>
          <w:rtl/>
        </w:rPr>
        <w:footnoteReference w:id="54"/>
      </w:r>
      <w:r w:rsidRPr="00740A8D">
        <w:rPr>
          <w:rFonts w:ascii="Tahoma" w:hAnsi="Tahoma" w:cs="Tahoma" w:hint="cs"/>
          <w:sz w:val="18"/>
          <w:szCs w:val="18"/>
          <w:rtl/>
        </w:rPr>
        <w:t xml:space="preserve">. עוד יצוין כי התקופה שנבדקה בסקר המנהלים הייתה שנות הלימודים </w:t>
      </w:r>
      <w:proofErr w:type="spellStart"/>
      <w:r w:rsidRPr="00740A8D">
        <w:rPr>
          <w:rFonts w:ascii="Tahoma" w:hAnsi="Tahoma" w:cs="Tahoma" w:hint="cs"/>
          <w:sz w:val="18"/>
          <w:szCs w:val="18"/>
          <w:rtl/>
        </w:rPr>
        <w:t>התשע"ט</w:t>
      </w:r>
      <w:proofErr w:type="spellEnd"/>
      <w:r w:rsidRPr="00740A8D">
        <w:rPr>
          <w:rFonts w:ascii="Tahoma" w:hAnsi="Tahoma" w:cs="Tahoma" w:hint="cs"/>
          <w:sz w:val="18"/>
          <w:szCs w:val="18"/>
          <w:rtl/>
        </w:rPr>
        <w:t xml:space="preserve"> - </w:t>
      </w:r>
      <w:proofErr w:type="spellStart"/>
      <w:r w:rsidRPr="00740A8D">
        <w:rPr>
          <w:rFonts w:ascii="Tahoma" w:hAnsi="Tahoma" w:cs="Tahoma" w:hint="cs"/>
          <w:sz w:val="18"/>
          <w:szCs w:val="18"/>
          <w:rtl/>
        </w:rPr>
        <w:t>התשפ"א</w:t>
      </w:r>
      <w:proofErr w:type="spellEnd"/>
      <w:r w:rsidRPr="00740A8D">
        <w:rPr>
          <w:rFonts w:ascii="Tahoma" w:hAnsi="Tahoma" w:cs="Tahoma" w:hint="cs"/>
          <w:sz w:val="18"/>
          <w:szCs w:val="18"/>
          <w:rtl/>
        </w:rPr>
        <w:t xml:space="preserve"> (ספטמבר 2018 עד אוגוסט 2021), כך שהסקר כלל עמדות מנהלי בתיה"ס בנושא ההתמודדות עם הסיכונים לילדים במרחב המקוון בתקופה שקדמה למשבר הקורונה ובשנתיים שבהן התמודדה מערכת החינוך עם אירועי חירום.</w:t>
      </w:r>
    </w:p>
    <w:p w14:paraId="78DC3D8F" w14:textId="77777777"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 xml:space="preserve">אשר למפגש של צוות הביקורת עם נציגי מועצת התלמידים והנוער הארצית, מסר משרד החינוך בתשובתו כי לצד החשיבות הרבה שהמשרד רואה במעורבות של בני הנוער, גם השיח עם התלמידים נעשה בתקופת משבר מתמשכת, והוא נעדר התייחסות להקשר הייחודי של תקופת הקורונה. עוד ציין המשרד כי אף שהשיח נעשה עם נציגים נבחרים של התלמידים, בסופו של דבר מדובר ב-15 תלמידים שאינם מדגם מייצג של הילדים ובני הנוער במערכת החינוך. </w:t>
      </w:r>
    </w:p>
    <w:p w14:paraId="34328971" w14:textId="77777777"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eastAsia"/>
          <w:sz w:val="18"/>
          <w:szCs w:val="18"/>
          <w:rtl/>
        </w:rPr>
        <w:t>משרד</w:t>
      </w:r>
      <w:r w:rsidRPr="00740A8D">
        <w:rPr>
          <w:rFonts w:ascii="Tahoma" w:hAnsi="Tahoma" w:cs="Tahoma"/>
          <w:sz w:val="18"/>
          <w:szCs w:val="18"/>
          <w:rtl/>
        </w:rPr>
        <w:t xml:space="preserve"> </w:t>
      </w:r>
      <w:r w:rsidRPr="00740A8D">
        <w:rPr>
          <w:rFonts w:ascii="Tahoma" w:hAnsi="Tahoma" w:cs="Tahoma" w:hint="eastAsia"/>
          <w:sz w:val="18"/>
          <w:szCs w:val="18"/>
          <w:rtl/>
        </w:rPr>
        <w:t>מבקר</w:t>
      </w:r>
      <w:r w:rsidRPr="00740A8D">
        <w:rPr>
          <w:rFonts w:ascii="Tahoma" w:hAnsi="Tahoma" w:cs="Tahoma"/>
          <w:sz w:val="18"/>
          <w:szCs w:val="18"/>
          <w:rtl/>
        </w:rPr>
        <w:t xml:space="preserve"> </w:t>
      </w:r>
      <w:r w:rsidRPr="00740A8D">
        <w:rPr>
          <w:rFonts w:ascii="Tahoma" w:hAnsi="Tahoma" w:cs="Tahoma" w:hint="eastAsia"/>
          <w:sz w:val="18"/>
          <w:szCs w:val="18"/>
          <w:rtl/>
        </w:rPr>
        <w:t>המדינה</w:t>
      </w:r>
      <w:r w:rsidRPr="00740A8D">
        <w:rPr>
          <w:rFonts w:ascii="Tahoma" w:hAnsi="Tahoma" w:cs="Tahoma"/>
          <w:sz w:val="18"/>
          <w:szCs w:val="18"/>
          <w:rtl/>
        </w:rPr>
        <w:t xml:space="preserve"> </w:t>
      </w:r>
      <w:r w:rsidRPr="00740A8D">
        <w:rPr>
          <w:rFonts w:ascii="Tahoma" w:hAnsi="Tahoma" w:cs="Tahoma" w:hint="eastAsia"/>
          <w:sz w:val="18"/>
          <w:szCs w:val="18"/>
          <w:rtl/>
        </w:rPr>
        <w:t>מציין</w:t>
      </w:r>
      <w:r w:rsidRPr="00740A8D">
        <w:rPr>
          <w:rFonts w:ascii="Tahoma" w:hAnsi="Tahoma" w:cs="Tahoma"/>
          <w:sz w:val="18"/>
          <w:szCs w:val="18"/>
          <w:rtl/>
        </w:rPr>
        <w:t xml:space="preserve"> </w:t>
      </w:r>
      <w:r w:rsidRPr="00740A8D">
        <w:rPr>
          <w:rFonts w:ascii="Tahoma" w:hAnsi="Tahoma" w:cs="Tahoma" w:hint="eastAsia"/>
          <w:sz w:val="18"/>
          <w:szCs w:val="18"/>
          <w:rtl/>
        </w:rPr>
        <w:t>בהקשר</w:t>
      </w:r>
      <w:r w:rsidRPr="00740A8D">
        <w:rPr>
          <w:rFonts w:ascii="Tahoma" w:hAnsi="Tahoma" w:cs="Tahoma"/>
          <w:sz w:val="18"/>
          <w:szCs w:val="18"/>
          <w:rtl/>
        </w:rPr>
        <w:t xml:space="preserve"> </w:t>
      </w:r>
      <w:r w:rsidRPr="00740A8D">
        <w:rPr>
          <w:rFonts w:ascii="Tahoma" w:hAnsi="Tahoma" w:cs="Tahoma" w:hint="eastAsia"/>
          <w:sz w:val="18"/>
          <w:szCs w:val="18"/>
          <w:rtl/>
        </w:rPr>
        <w:t>זה</w:t>
      </w:r>
      <w:r w:rsidRPr="00740A8D">
        <w:rPr>
          <w:rFonts w:ascii="Tahoma" w:hAnsi="Tahoma" w:cs="Tahoma"/>
          <w:sz w:val="18"/>
          <w:szCs w:val="18"/>
          <w:rtl/>
        </w:rPr>
        <w:t xml:space="preserve"> </w:t>
      </w:r>
      <w:r w:rsidRPr="00740A8D">
        <w:rPr>
          <w:rFonts w:ascii="Tahoma" w:hAnsi="Tahoma" w:cs="Tahoma" w:hint="eastAsia"/>
          <w:sz w:val="18"/>
          <w:szCs w:val="18"/>
          <w:rtl/>
        </w:rPr>
        <w:t>כי</w:t>
      </w:r>
      <w:r w:rsidRPr="00740A8D">
        <w:rPr>
          <w:rFonts w:ascii="Tahoma" w:hAnsi="Tahoma" w:cs="Tahoma" w:hint="cs"/>
          <w:sz w:val="18"/>
          <w:szCs w:val="18"/>
          <w:rtl/>
        </w:rPr>
        <w:t xml:space="preserve"> הפנייה של משרד מבקר המדינה לתלמידים חברי מועצת התלמידים והנוער הארצית הייתה כאל נציגים של התלמידים שתפקידם הוא לבטא את עמדותיהם של התלמידים האחרים ולשקף חוויות של כלל התלמידים במערכת החינוך. לעניין זה מסר יו"ר מועצת התלמידים לצוות הביקורת ב-17.1.22 כי מועצת התלמידים והנוער הארצית פועלת בשיטת "גלגלי המועצות", שבעזרתה היא יכולה להיות מחוברת לקולות השטח ולעמוד על דעות בני הנוער בצורה המיטבית. יו"ר מועצת התלמידים ציין כי הפעולות שהמועצה יוזמת כדי ללמוד על דעת התלמידים כוללות בין היתר דיונים "במעגלים נרחבים בחלוקה לפי המחוזות הגיאוגרפיים והסיכומים והמסקנות מגיעים אליה". כמו כן, המועצה כגוף רשמי ומייצג מקבלת פניות ישירות ומקוונות מתלמידים בנושאים שונים, ובהם נושאים הקשורים לפגיעות ברשת. נוסף על כך, הנציגים במועצה שואפים להציג דעה מייצגת עד כמה שניתן ולהשמיע את דעת בני הנוער בצורה </w:t>
      </w:r>
      <w:r w:rsidRPr="00740A8D">
        <w:rPr>
          <w:rFonts w:ascii="Tahoma" w:hAnsi="Tahoma" w:cs="Tahoma" w:hint="eastAsia"/>
          <w:sz w:val="18"/>
          <w:szCs w:val="18"/>
          <w:rtl/>
        </w:rPr>
        <w:t>מקצועית</w:t>
      </w:r>
      <w:r w:rsidRPr="00740A8D">
        <w:rPr>
          <w:rFonts w:ascii="Tahoma" w:hAnsi="Tahoma" w:cs="Tahoma" w:hint="cs"/>
          <w:sz w:val="18"/>
          <w:szCs w:val="18"/>
          <w:rtl/>
        </w:rPr>
        <w:t xml:space="preserve"> ומכובדת.</w:t>
      </w:r>
    </w:p>
    <w:p w14:paraId="11CF7C82" w14:textId="77777777" w:rsidR="00583E48" w:rsidRPr="00740A8D" w:rsidRDefault="00583E48" w:rsidP="00740A8D">
      <w:pPr>
        <w:spacing w:line="260" w:lineRule="exact"/>
        <w:jc w:val="both"/>
        <w:rPr>
          <w:rFonts w:ascii="Tahoma" w:hAnsi="Tahoma" w:cs="Tahoma"/>
          <w:sz w:val="18"/>
          <w:szCs w:val="18"/>
          <w:rtl/>
        </w:rPr>
      </w:pPr>
      <w:r w:rsidRPr="00740A8D">
        <w:rPr>
          <w:rFonts w:ascii="Tahoma" w:hAnsi="Tahoma" w:cs="Tahoma" w:hint="cs"/>
          <w:sz w:val="18"/>
          <w:szCs w:val="18"/>
          <w:rtl/>
        </w:rPr>
        <w:t>יצוין כי דברי נציגי המועצה מובאים בדוח כדברי התרשמות של בני הנוער, והם נדבך נוסף שמבסס אינדיקציה לפערים במענה הקיים של משרד חינוך למניעת פגיעה בתלמידים במרחב המקוון.</w:t>
      </w:r>
    </w:p>
    <w:bookmarkEnd w:id="6"/>
    <w:p w14:paraId="17CA1300" w14:textId="77777777" w:rsidR="00733D78" w:rsidRDefault="00733D78" w:rsidP="00740A8D">
      <w:pPr>
        <w:spacing w:line="260" w:lineRule="exact"/>
        <w:jc w:val="both"/>
        <w:rPr>
          <w:rFonts w:ascii="Tahoma" w:hAnsi="Tahoma" w:cs="Tahoma"/>
          <w:sz w:val="18"/>
          <w:szCs w:val="18"/>
          <w:rtl/>
        </w:rPr>
        <w:sectPr w:rsidR="00733D78" w:rsidSect="007C438D">
          <w:headerReference w:type="default" r:id="rId31"/>
          <w:pgSz w:w="11906" w:h="16838" w:code="9"/>
          <w:pgMar w:top="2892" w:right="2268" w:bottom="2438" w:left="2268" w:header="1871" w:footer="1928" w:gutter="0"/>
          <w:cols w:space="708"/>
          <w:bidi/>
          <w:rtlGutter/>
          <w:docGrid w:linePitch="360"/>
        </w:sectPr>
      </w:pPr>
    </w:p>
    <w:p w14:paraId="0F58BACF" w14:textId="77777777" w:rsidR="00583E48" w:rsidRPr="00740A8D" w:rsidRDefault="00583E48" w:rsidP="00740A8D">
      <w:pPr>
        <w:spacing w:line="260" w:lineRule="exact"/>
        <w:jc w:val="both"/>
        <w:rPr>
          <w:rFonts w:ascii="Tahoma" w:hAnsi="Tahoma" w:cs="Tahoma"/>
          <w:sz w:val="18"/>
          <w:szCs w:val="18"/>
          <w:rtl/>
        </w:rPr>
      </w:pPr>
    </w:p>
    <w:sectPr w:rsidR="00583E48" w:rsidRPr="00740A8D" w:rsidSect="00733D78">
      <w:pgSz w:w="11906" w:h="16838" w:code="9"/>
      <w:pgMar w:top="2892" w:right="2268" w:bottom="2438" w:left="2268" w:header="1871" w:footer="192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56FA2" w14:textId="77777777" w:rsidR="00687E23" w:rsidRDefault="00687E23" w:rsidP="00CB3322">
      <w:pPr>
        <w:spacing w:after="0" w:line="240" w:lineRule="auto"/>
      </w:pPr>
      <w:r>
        <w:separator/>
      </w:r>
    </w:p>
    <w:p w14:paraId="26B86E4C" w14:textId="77777777" w:rsidR="00687E23" w:rsidRDefault="00687E23"/>
  </w:endnote>
  <w:endnote w:type="continuationSeparator" w:id="0">
    <w:p w14:paraId="2C5247B8" w14:textId="77777777" w:rsidR="00687E23" w:rsidRDefault="00687E23" w:rsidP="00CB3322">
      <w:pPr>
        <w:spacing w:after="0" w:line="240" w:lineRule="auto"/>
      </w:pPr>
      <w:r>
        <w:continuationSeparator/>
      </w:r>
    </w:p>
    <w:p w14:paraId="6B963775" w14:textId="77777777" w:rsidR="00687E23" w:rsidRDefault="00687E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altName w:val="Malgun Gothic Semilight"/>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6DC59" w14:textId="4BF36E61" w:rsidR="0029750A" w:rsidRPr="009507DB" w:rsidRDefault="0029750A" w:rsidP="0023014C">
    <w:pPr>
      <w:pStyle w:val="Footer"/>
      <w:tabs>
        <w:tab w:val="clear" w:pos="4320"/>
        <w:tab w:val="clear" w:pos="8640"/>
        <w:tab w:val="center" w:pos="-284"/>
        <w:tab w:val="right" w:pos="0"/>
      </w:tabs>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E306E0" w:rsidRPr="009507DB">
      <w:rPr>
        <w:rFonts w:ascii="Tahoma" w:hAnsi="Tahoma" w:cs="Tahoma"/>
        <w:noProof/>
        <w:color w:val="231F20"/>
        <w:sz w:val="18"/>
        <w:szCs w:val="18"/>
        <w:rtl/>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E58D" w14:textId="09067125" w:rsidR="003408F2" w:rsidRPr="009507DB" w:rsidRDefault="003408F2" w:rsidP="007C2833">
    <w:pPr>
      <w:pStyle w:val="Footer"/>
      <w:tabs>
        <w:tab w:val="clear" w:pos="4320"/>
        <w:tab w:val="clear" w:pos="8640"/>
        <w:tab w:val="center" w:pos="7654"/>
        <w:tab w:val="right" w:pos="7937"/>
      </w:tabs>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E306E0" w:rsidRPr="009507DB">
      <w:rPr>
        <w:rFonts w:ascii="Tahoma" w:hAnsi="Tahoma" w:cs="Tahoma"/>
        <w:noProof/>
        <w:color w:val="231F20"/>
        <w:sz w:val="18"/>
        <w:szCs w:val="18"/>
        <w:rtl/>
      </w:rPr>
      <w:t>17</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A01D8" w14:textId="77777777" w:rsidR="00687E23" w:rsidRPr="0029750A" w:rsidRDefault="00687E23" w:rsidP="0029750A">
      <w:pPr>
        <w:pStyle w:val="Footer"/>
        <w:tabs>
          <w:tab w:val="clear" w:pos="4320"/>
          <w:tab w:val="clear" w:pos="8640"/>
          <w:tab w:val="right" w:pos="1701"/>
        </w:tabs>
        <w:rPr>
          <w:u w:val="single"/>
        </w:rPr>
      </w:pPr>
      <w:r w:rsidRPr="0029750A">
        <w:rPr>
          <w:u w:val="single"/>
        </w:rPr>
        <w:tab/>
      </w:r>
    </w:p>
  </w:footnote>
  <w:footnote w:type="continuationSeparator" w:id="0">
    <w:p w14:paraId="7DDCC00E" w14:textId="77777777" w:rsidR="00687E23" w:rsidRDefault="00687E23" w:rsidP="00CB3322">
      <w:pPr>
        <w:spacing w:after="0" w:line="240" w:lineRule="auto"/>
      </w:pPr>
      <w:r>
        <w:continuationSeparator/>
      </w:r>
    </w:p>
    <w:p w14:paraId="18C0E308" w14:textId="77777777" w:rsidR="00687E23" w:rsidRDefault="00687E23"/>
  </w:footnote>
  <w:footnote w:id="1">
    <w:p w14:paraId="6F7AB837" w14:textId="0B7E9CDB" w:rsidR="00583E48" w:rsidRDefault="00583E48" w:rsidP="00583E48">
      <w:pPr>
        <w:pStyle w:val="FootnoteText"/>
        <w:ind w:right="0"/>
      </w:pPr>
      <w:r w:rsidRPr="00583E48">
        <w:rPr>
          <w:rStyle w:val="FootnoteReference"/>
          <w:vertAlign w:val="baseline"/>
        </w:rPr>
        <w:footnoteRef/>
      </w:r>
      <w:r>
        <w:rPr>
          <w:rtl/>
        </w:rPr>
        <w:t xml:space="preserve"> </w:t>
      </w:r>
      <w:r>
        <w:rPr>
          <w:rtl/>
        </w:rPr>
        <w:tab/>
      </w:r>
      <w:r w:rsidRPr="006D28B1">
        <w:t>https://www.statista.com/statistics/617136/digital-population-worldwide</w:t>
      </w:r>
    </w:p>
  </w:footnote>
  <w:footnote w:id="2">
    <w:p w14:paraId="51FA1475" w14:textId="5ECCEA33" w:rsidR="00583E48" w:rsidRPr="00583E48" w:rsidRDefault="00583E48" w:rsidP="00583E48">
      <w:pPr>
        <w:spacing w:after="40" w:line="200" w:lineRule="exact"/>
        <w:ind w:left="397" w:hanging="397"/>
        <w:jc w:val="both"/>
        <w:rPr>
          <w:rFonts w:ascii="Tahoma" w:hAnsi="Tahoma" w:cs="Tahoma"/>
          <w:sz w:val="14"/>
          <w:szCs w:val="14"/>
          <w:rtl/>
        </w:rPr>
      </w:pPr>
      <w:r w:rsidRPr="00583E48">
        <w:rPr>
          <w:rStyle w:val="FootnoteReference"/>
          <w:rFonts w:ascii="Tahoma" w:hAnsi="Tahoma" w:cs="Tahoma"/>
          <w:sz w:val="14"/>
          <w:szCs w:val="14"/>
          <w:vertAlign w:val="baseline"/>
        </w:rPr>
        <w:footnoteRef/>
      </w:r>
      <w:r w:rsidRPr="00583E48">
        <w:rPr>
          <w:rFonts w:ascii="Tahoma" w:hAnsi="Tahoma" w:cs="Tahoma"/>
          <w:sz w:val="14"/>
          <w:szCs w:val="14"/>
          <w:rtl/>
        </w:rPr>
        <w:t xml:space="preserve"> </w:t>
      </w:r>
      <w:r w:rsidRPr="00583E48">
        <w:rPr>
          <w:rFonts w:ascii="Tahoma" w:hAnsi="Tahoma" w:cs="Tahoma"/>
          <w:sz w:val="14"/>
          <w:szCs w:val="14"/>
          <w:rtl/>
        </w:rPr>
        <w:tab/>
        <w:t>קרן החירום הבין-לאומית של האומות המאוחדות לילדים.</w:t>
      </w:r>
      <w:r w:rsidRPr="00583E48">
        <w:rPr>
          <w:rFonts w:ascii="Tahoma" w:hAnsi="Tahoma" w:cs="Tahoma"/>
          <w:color w:val="4D5156"/>
          <w:sz w:val="14"/>
          <w:szCs w:val="14"/>
          <w:shd w:val="clear" w:color="auto" w:fill="FFFFFF"/>
          <w:rtl/>
        </w:rPr>
        <w:t xml:space="preserve"> </w:t>
      </w:r>
    </w:p>
  </w:footnote>
  <w:footnote w:id="3">
    <w:p w14:paraId="01EFBDBA" w14:textId="78888491" w:rsidR="00583E48" w:rsidRPr="00583E48" w:rsidRDefault="00583E48" w:rsidP="00583E48">
      <w:pPr>
        <w:pStyle w:val="FootnoteText"/>
        <w:ind w:right="0"/>
        <w:rPr>
          <w:rtl/>
        </w:rPr>
      </w:pPr>
      <w:r w:rsidRPr="00583E48">
        <w:rPr>
          <w:rStyle w:val="FootnoteReference"/>
          <w:vertAlign w:val="baseline"/>
        </w:rPr>
        <w:footnoteRef/>
      </w:r>
      <w:r w:rsidRPr="00583E48">
        <w:rPr>
          <w:rtl/>
        </w:rPr>
        <w:t xml:space="preserve"> </w:t>
      </w:r>
      <w:r w:rsidRPr="00583E48">
        <w:rPr>
          <w:rtl/>
        </w:rPr>
        <w:tab/>
      </w:r>
      <w:r w:rsidRPr="00583E48">
        <w:t>https://data.unicef.org/resources/children-and-young-people-internet-access-at-home-during-covid19</w:t>
      </w:r>
    </w:p>
  </w:footnote>
  <w:footnote w:id="4">
    <w:p w14:paraId="654E274A" w14:textId="553386F2" w:rsidR="00583E48" w:rsidRPr="00583E48" w:rsidRDefault="00583E48" w:rsidP="00583E48">
      <w:pPr>
        <w:pStyle w:val="FootnoteText"/>
        <w:ind w:right="0"/>
      </w:pPr>
      <w:r w:rsidRPr="00583E48">
        <w:rPr>
          <w:rStyle w:val="FootnoteReference"/>
          <w:vertAlign w:val="baseline"/>
        </w:rPr>
        <w:footnoteRef/>
      </w:r>
      <w:r w:rsidRPr="00583E48">
        <w:rPr>
          <w:rtl/>
        </w:rPr>
        <w:t xml:space="preserve"> </w:t>
      </w:r>
      <w:r w:rsidRPr="00583E48">
        <w:rPr>
          <w:rtl/>
        </w:rPr>
        <w:tab/>
      </w:r>
      <w:r w:rsidRPr="00583E48">
        <w:t xml:space="preserve">Burns, T. and F. Gottschalk (eds.) (2019), Educating 21st Century Children: Emotional Well-being in the Digital Age, Educational Research and Innovation, OECD Publishing, </w:t>
      </w:r>
      <w:proofErr w:type="gramStart"/>
      <w:r w:rsidRPr="00583E48">
        <w:t>Paris ,</w:t>
      </w:r>
      <w:proofErr w:type="gramEnd"/>
      <w:r w:rsidRPr="00583E48">
        <w:t>https://doi.org/10.1787/b7f33425-en, p. 34</w:t>
      </w:r>
    </w:p>
  </w:footnote>
  <w:footnote w:id="5">
    <w:p w14:paraId="02462DDC" w14:textId="3487543B" w:rsidR="00583E48" w:rsidRPr="00583E48" w:rsidRDefault="00583E48" w:rsidP="00583E48">
      <w:pPr>
        <w:pStyle w:val="FootnoteText"/>
        <w:ind w:right="0"/>
        <w:rPr>
          <w:rtl/>
        </w:rPr>
      </w:pPr>
      <w:r w:rsidRPr="00583E48">
        <w:rPr>
          <w:rStyle w:val="FootnoteReference"/>
          <w:vertAlign w:val="baseline"/>
        </w:rPr>
        <w:footnoteRef/>
      </w:r>
      <w:r w:rsidRPr="00583E48">
        <w:rPr>
          <w:rtl/>
        </w:rPr>
        <w:t xml:space="preserve"> </w:t>
      </w:r>
      <w:r w:rsidRPr="00583E48">
        <w:rPr>
          <w:rtl/>
        </w:rPr>
        <w:tab/>
        <w:t>שם.</w:t>
      </w:r>
    </w:p>
  </w:footnote>
  <w:footnote w:id="6">
    <w:p w14:paraId="595A1195" w14:textId="020DAD29" w:rsidR="00583E48" w:rsidRPr="00583E48" w:rsidRDefault="00583E48" w:rsidP="00583E48">
      <w:pPr>
        <w:pStyle w:val="FootnoteText"/>
        <w:ind w:right="0"/>
      </w:pPr>
      <w:r w:rsidRPr="00583E48">
        <w:rPr>
          <w:rStyle w:val="FootnoteReference"/>
          <w:vertAlign w:val="baseline"/>
        </w:rPr>
        <w:footnoteRef/>
      </w:r>
      <w:r w:rsidRPr="00583E48">
        <w:rPr>
          <w:rtl/>
        </w:rPr>
        <w:t xml:space="preserve"> </w:t>
      </w:r>
      <w:r w:rsidRPr="00583E48">
        <w:rPr>
          <w:rtl/>
        </w:rPr>
        <w:tab/>
      </w:r>
      <w:r w:rsidRPr="00583E48">
        <w:t xml:space="preserve">Broadband Commission for Sustainable Development, Child Online Safety: Minimizing the Risk of Violence, Abuse and Exploitation Online, 2019 </w:t>
      </w:r>
    </w:p>
  </w:footnote>
  <w:footnote w:id="7">
    <w:p w14:paraId="02CAC96C" w14:textId="77777777" w:rsidR="00EB0D54" w:rsidRPr="00583E48" w:rsidRDefault="00EB0D54" w:rsidP="00583E48">
      <w:pPr>
        <w:pStyle w:val="FootnoteText"/>
        <w:ind w:right="0"/>
        <w:rPr>
          <w:rtl/>
        </w:rPr>
      </w:pPr>
      <w:r w:rsidRPr="00583E48">
        <w:rPr>
          <w:rStyle w:val="FootnoteReference"/>
          <w:vertAlign w:val="baseline"/>
        </w:rPr>
        <w:footnoteRef/>
      </w:r>
      <w:r w:rsidRPr="00583E48">
        <w:rPr>
          <w:rtl/>
        </w:rPr>
        <w:t xml:space="preserve"> </w:t>
      </w:r>
      <w:r w:rsidRPr="00583E48">
        <w:rPr>
          <w:rtl/>
        </w:rPr>
        <w:tab/>
        <w:t xml:space="preserve">לימור </w:t>
      </w:r>
      <w:proofErr w:type="spellStart"/>
      <w:r w:rsidRPr="00583E48">
        <w:rPr>
          <w:rtl/>
        </w:rPr>
        <w:t>עציוני</w:t>
      </w:r>
      <w:proofErr w:type="spellEnd"/>
      <w:r w:rsidRPr="00583E48">
        <w:rPr>
          <w:rtl/>
        </w:rPr>
        <w:t xml:space="preserve">, "בריונות במגרש המשחקים המקוון - אחריות ספקיות התוכן ומפעילות האתרים על הנעשה בשטחן", המשפט </w:t>
      </w:r>
      <w:proofErr w:type="spellStart"/>
      <w:r w:rsidRPr="00583E48">
        <w:rPr>
          <w:rtl/>
        </w:rPr>
        <w:t>יז</w:t>
      </w:r>
      <w:proofErr w:type="spellEnd"/>
      <w:r w:rsidRPr="00583E48">
        <w:rPr>
          <w:rtl/>
        </w:rPr>
        <w:t>(2) תשע"ד, 463, עמ' 466.</w:t>
      </w:r>
    </w:p>
  </w:footnote>
  <w:footnote w:id="8">
    <w:p w14:paraId="185A9D94" w14:textId="2BF24175" w:rsidR="00583E48" w:rsidRPr="00583E48" w:rsidRDefault="00583E48" w:rsidP="00583E48">
      <w:pPr>
        <w:pStyle w:val="FootnoteText"/>
        <w:ind w:right="0"/>
      </w:pPr>
      <w:r w:rsidRPr="00583E48">
        <w:rPr>
          <w:rStyle w:val="FootnoteReference"/>
          <w:vertAlign w:val="baseline"/>
        </w:rPr>
        <w:footnoteRef/>
      </w:r>
      <w:r w:rsidRPr="00583E48">
        <w:rPr>
          <w:rtl/>
        </w:rPr>
        <w:t xml:space="preserve"> </w:t>
      </w:r>
      <w:r w:rsidRPr="00583E48">
        <w:rPr>
          <w:rtl/>
        </w:rPr>
        <w:tab/>
        <w:t>לסקר השיבו 530 הורים, המהווים מדגם ארצי מייצג של אוכלוסיית ההורים בעלי גישה לרשת (ראו הרחבה להלן).</w:t>
      </w:r>
    </w:p>
  </w:footnote>
  <w:footnote w:id="9">
    <w:p w14:paraId="4F131D37" w14:textId="68FED91A" w:rsidR="00583E48" w:rsidRPr="00583E48" w:rsidRDefault="00583E48" w:rsidP="00583E48">
      <w:pPr>
        <w:pStyle w:val="FootnoteText"/>
        <w:ind w:right="0"/>
        <w:rPr>
          <w:rtl/>
        </w:rPr>
      </w:pPr>
      <w:r w:rsidRPr="00583E48">
        <w:rPr>
          <w:rStyle w:val="FootnoteReference"/>
          <w:vertAlign w:val="baseline"/>
        </w:rPr>
        <w:footnoteRef/>
      </w:r>
      <w:r w:rsidRPr="00583E48">
        <w:rPr>
          <w:rtl/>
        </w:rPr>
        <w:t xml:space="preserve"> </w:t>
      </w:r>
      <w:r w:rsidRPr="00583E48">
        <w:rPr>
          <w:rtl/>
        </w:rPr>
        <w:tab/>
      </w:r>
      <w:r w:rsidR="00217EB4" w:rsidRPr="00217EB4">
        <w:t>CHILDREN IN THE DIGITAL ENVIRONMENT REVISED TYPOLOGY OF RISKS, OECD DIGITAL ECONOMY PAPERS, January 2021</w:t>
      </w:r>
    </w:p>
  </w:footnote>
  <w:footnote w:id="10">
    <w:p w14:paraId="2B54B7AD" w14:textId="3F8440B7" w:rsidR="00583E48" w:rsidRPr="00583E48" w:rsidRDefault="00583E48" w:rsidP="00583E48">
      <w:pPr>
        <w:pStyle w:val="FootnoteText"/>
        <w:ind w:right="0"/>
        <w:rPr>
          <w:rtl/>
        </w:rPr>
      </w:pPr>
      <w:r w:rsidRPr="00583E48">
        <w:rPr>
          <w:rStyle w:val="FootnoteReference"/>
          <w:vertAlign w:val="baseline"/>
        </w:rPr>
        <w:footnoteRef/>
      </w:r>
      <w:r w:rsidRPr="00583E48">
        <w:rPr>
          <w:rtl/>
        </w:rPr>
        <w:t xml:space="preserve"> </w:t>
      </w:r>
      <w:r w:rsidRPr="00583E48">
        <w:rPr>
          <w:rtl/>
        </w:rPr>
        <w:tab/>
        <w:t>ל"בריונות ברשת" הגדרות שונות. בעניין זה ראו למשל - עמיר גפן, "בריונות ברשת בקרב בני נוער, מאפייני הקורבנות, אפיונה כמצב דחק, משאבי חוסן ממתנים ובהתייחס לאוריינות דיגיטלית" חיבור לשם קבלת התואר "דוקטור לפילוסופיה</w:t>
      </w:r>
      <w:r w:rsidRPr="00583E48">
        <w:t>"</w:t>
      </w:r>
      <w:r w:rsidRPr="00583E48">
        <w:rPr>
          <w:rtl/>
        </w:rPr>
        <w:t>, תשע"ט.</w:t>
      </w:r>
    </w:p>
  </w:footnote>
  <w:footnote w:id="11">
    <w:p w14:paraId="6C172284" w14:textId="3309B28A" w:rsidR="00583E48" w:rsidRPr="00583E48" w:rsidRDefault="00583E48" w:rsidP="00583E48">
      <w:pPr>
        <w:pStyle w:val="FootnoteText"/>
        <w:ind w:right="0"/>
      </w:pPr>
      <w:r w:rsidRPr="00583E48">
        <w:rPr>
          <w:rStyle w:val="FootnoteReference"/>
          <w:vertAlign w:val="baseline"/>
        </w:rPr>
        <w:footnoteRef/>
      </w:r>
      <w:r w:rsidRPr="00583E48">
        <w:rPr>
          <w:rtl/>
        </w:rPr>
        <w:t xml:space="preserve"> </w:t>
      </w:r>
      <w:r w:rsidRPr="00583E48">
        <w:rPr>
          <w:rtl/>
        </w:rPr>
        <w:tab/>
        <w:t xml:space="preserve">ד"ר עידית </w:t>
      </w:r>
      <w:proofErr w:type="spellStart"/>
      <w:r w:rsidRPr="00583E48">
        <w:rPr>
          <w:rtl/>
        </w:rPr>
        <w:t>מניאיקן</w:t>
      </w:r>
      <w:proofErr w:type="spellEnd"/>
      <w:r w:rsidRPr="00583E48">
        <w:rPr>
          <w:rtl/>
        </w:rPr>
        <w:t xml:space="preserve">, דנה רוזן, ענת </w:t>
      </w:r>
      <w:proofErr w:type="spellStart"/>
      <w:r w:rsidRPr="00583E48">
        <w:rPr>
          <w:rtl/>
        </w:rPr>
        <w:t>מרמור</w:t>
      </w:r>
      <w:proofErr w:type="spellEnd"/>
      <w:r w:rsidRPr="00583E48">
        <w:rPr>
          <w:rtl/>
        </w:rPr>
        <w:t xml:space="preserve"> וטל ברגר-</w:t>
      </w:r>
      <w:proofErr w:type="spellStart"/>
      <w:r w:rsidRPr="00583E48">
        <w:rPr>
          <w:rtl/>
        </w:rPr>
        <w:t>טיקוצ'ינסקי</w:t>
      </w:r>
      <w:proofErr w:type="spellEnd"/>
      <w:r w:rsidRPr="00583E48">
        <w:rPr>
          <w:rtl/>
        </w:rPr>
        <w:t>, "בני נוער ברשת - מסוכנות והזדמנות לטיפול", המוסד לביטוח לאומי, ינואר 2017.</w:t>
      </w:r>
    </w:p>
  </w:footnote>
  <w:footnote w:id="12">
    <w:p w14:paraId="4E940469" w14:textId="76FE8B49" w:rsidR="00583E48" w:rsidRPr="00583E48" w:rsidRDefault="00583E48" w:rsidP="00583E48">
      <w:pPr>
        <w:pStyle w:val="FootnoteText"/>
        <w:ind w:right="0"/>
      </w:pPr>
      <w:r w:rsidRPr="00583E48">
        <w:rPr>
          <w:rStyle w:val="FootnoteReference"/>
          <w:vertAlign w:val="baseline"/>
        </w:rPr>
        <w:footnoteRef/>
      </w:r>
      <w:r w:rsidRPr="00583E48">
        <w:rPr>
          <w:rtl/>
        </w:rPr>
        <w:t xml:space="preserve"> </w:t>
      </w:r>
      <w:r w:rsidRPr="00583E48">
        <w:rPr>
          <w:rtl/>
        </w:rPr>
        <w:tab/>
        <w:t xml:space="preserve">ע"פ 6391/20 </w:t>
      </w:r>
      <w:r w:rsidRPr="00583E48">
        <w:rPr>
          <w:b/>
          <w:bCs/>
          <w:rtl/>
        </w:rPr>
        <w:t xml:space="preserve">מדינת ישראל נגד </w:t>
      </w:r>
      <w:proofErr w:type="spellStart"/>
      <w:r w:rsidRPr="00583E48">
        <w:rPr>
          <w:b/>
          <w:bCs/>
          <w:rtl/>
        </w:rPr>
        <w:t>בטיטו</w:t>
      </w:r>
      <w:proofErr w:type="spellEnd"/>
      <w:r w:rsidRPr="00583E48">
        <w:rPr>
          <w:rtl/>
        </w:rPr>
        <w:t xml:space="preserve">, פורסם במאגר ממוחשב מיום </w:t>
      </w:r>
      <w:r w:rsidRPr="00583E48">
        <w:t>1.8.2021</w:t>
      </w:r>
      <w:r w:rsidRPr="00583E48">
        <w:rPr>
          <w:rtl/>
        </w:rPr>
        <w:t xml:space="preserve">. </w:t>
      </w:r>
    </w:p>
  </w:footnote>
  <w:footnote w:id="13">
    <w:p w14:paraId="1F79FDB3" w14:textId="7319FDE6" w:rsidR="00583E48" w:rsidRPr="00583E48" w:rsidRDefault="00583E48" w:rsidP="00583E48">
      <w:pPr>
        <w:pStyle w:val="FootnoteText"/>
        <w:ind w:right="0"/>
        <w:rPr>
          <w:rtl/>
        </w:rPr>
      </w:pPr>
      <w:r w:rsidRPr="00583E48">
        <w:rPr>
          <w:rStyle w:val="FootnoteReference"/>
          <w:vertAlign w:val="baseline"/>
        </w:rPr>
        <w:footnoteRef/>
      </w:r>
      <w:r w:rsidRPr="00583E48">
        <w:rPr>
          <w:rtl/>
        </w:rPr>
        <w:t xml:space="preserve"> </w:t>
      </w:r>
      <w:r w:rsidRPr="00583E48">
        <w:rPr>
          <w:rtl/>
        </w:rPr>
        <w:tab/>
        <w:t>מיכל דולב-כהן וצמרת ריקון, "</w:t>
      </w:r>
      <w:proofErr w:type="spellStart"/>
      <w:r w:rsidRPr="00583E48">
        <w:rPr>
          <w:rtl/>
        </w:rPr>
        <w:t>סקסטינג</w:t>
      </w:r>
      <w:proofErr w:type="spellEnd"/>
      <w:r w:rsidRPr="00583E48">
        <w:rPr>
          <w:rtl/>
        </w:rPr>
        <w:t xml:space="preserve"> בקרב מתבגרים בישראל", הייעוץ החינוכי, כ, 403-384, 2017.</w:t>
      </w:r>
    </w:p>
  </w:footnote>
  <w:footnote w:id="14">
    <w:p w14:paraId="26066F6E" w14:textId="479A46E4" w:rsidR="00583E48" w:rsidRPr="00583E48" w:rsidRDefault="00583E48" w:rsidP="00583E48">
      <w:pPr>
        <w:pStyle w:val="FootnoteText"/>
        <w:ind w:right="0"/>
      </w:pPr>
      <w:r w:rsidRPr="00583E48">
        <w:rPr>
          <w:rStyle w:val="FootnoteReference"/>
          <w:vertAlign w:val="baseline"/>
        </w:rPr>
        <w:footnoteRef/>
      </w:r>
      <w:r w:rsidRPr="00583E48">
        <w:rPr>
          <w:rtl/>
        </w:rPr>
        <w:t xml:space="preserve"> </w:t>
      </w:r>
      <w:r w:rsidRPr="00583E48">
        <w:rPr>
          <w:rtl/>
        </w:rPr>
        <w:tab/>
        <w:t xml:space="preserve">מירן </w:t>
      </w:r>
      <w:proofErr w:type="spellStart"/>
      <w:r w:rsidRPr="00583E48">
        <w:rPr>
          <w:rtl/>
        </w:rPr>
        <w:t>בוניאל</w:t>
      </w:r>
      <w:proofErr w:type="spellEnd"/>
      <w:r w:rsidRPr="00583E48">
        <w:rPr>
          <w:rtl/>
        </w:rPr>
        <w:t xml:space="preserve">-ניסים ומיכל דולב-כהן, "גלישה אל מעמקי קהילת פרו-אנה באינטרנט: ניתוח תוכן של בלוגים", מפגש לעבודה חינוכית סוציאלית (2014); ד"ר </w:t>
      </w:r>
      <w:proofErr w:type="spellStart"/>
      <w:r w:rsidRPr="00583E48">
        <w:rPr>
          <w:rtl/>
        </w:rPr>
        <w:t>בוניאל</w:t>
      </w:r>
      <w:proofErr w:type="spellEnd"/>
      <w:r w:rsidRPr="00583E48">
        <w:rPr>
          <w:rtl/>
        </w:rPr>
        <w:t>-נסים, "קהילת פרו אנורקסיה: הצורך לתפוס מקום", בתוך: א. לב-און (עורך) קהילות מקוונות בישראל, תל אביב.</w:t>
      </w:r>
    </w:p>
  </w:footnote>
  <w:footnote w:id="15">
    <w:p w14:paraId="5FED99AA" w14:textId="4CDDF979" w:rsidR="00583E48" w:rsidRPr="00583E48" w:rsidRDefault="00583E48" w:rsidP="00583E48">
      <w:pPr>
        <w:pStyle w:val="FootnoteText"/>
        <w:ind w:right="0"/>
      </w:pPr>
      <w:r w:rsidRPr="00583E48">
        <w:rPr>
          <w:rStyle w:val="FootnoteReference"/>
          <w:vertAlign w:val="baseline"/>
        </w:rPr>
        <w:footnoteRef/>
      </w:r>
      <w:r w:rsidRPr="00583E48">
        <w:rPr>
          <w:rtl/>
        </w:rPr>
        <w:t xml:space="preserve"> </w:t>
      </w:r>
      <w:r w:rsidRPr="00583E48">
        <w:rPr>
          <w:rtl/>
        </w:rPr>
        <w:tab/>
        <w:t>ד"ר נאוה כהן-אביגדור, ראש תחום בכירה מידע, מחקר ושת"פ – המטה הלאומי להגנה על ילדים ברשת, "קטינים במרחב המקוון: המאפיינים, הזירות, האיומים והמענה הלאומי", במחשבה תחילה - כתב העת השנתי של מחלקת מחקר באגף לחקירות ולמודיעין 2019.</w:t>
      </w:r>
    </w:p>
  </w:footnote>
  <w:footnote w:id="16">
    <w:p w14:paraId="0B70E0EC" w14:textId="1268C362" w:rsidR="00583E48" w:rsidRPr="00583E48" w:rsidRDefault="00583E48" w:rsidP="00583E48">
      <w:pPr>
        <w:pStyle w:val="FootnoteText"/>
        <w:ind w:right="0"/>
        <w:rPr>
          <w:rtl/>
        </w:rPr>
      </w:pPr>
      <w:r w:rsidRPr="00583E48">
        <w:rPr>
          <w:rStyle w:val="FootnoteReference"/>
          <w:vertAlign w:val="baseline"/>
        </w:rPr>
        <w:footnoteRef/>
      </w:r>
      <w:r w:rsidRPr="00583E48">
        <w:rPr>
          <w:rtl/>
        </w:rPr>
        <w:t xml:space="preserve"> </w:t>
      </w:r>
      <w:r w:rsidRPr="00583E48">
        <w:rPr>
          <w:rtl/>
        </w:rPr>
        <w:tab/>
        <w:t xml:space="preserve">עו"ד ד"ר לימור </w:t>
      </w:r>
      <w:proofErr w:type="spellStart"/>
      <w:r w:rsidRPr="00583E48">
        <w:rPr>
          <w:rtl/>
        </w:rPr>
        <w:t>עציוני</w:t>
      </w:r>
      <w:proofErr w:type="spellEnd"/>
      <w:r w:rsidRPr="00583E48">
        <w:rPr>
          <w:rtl/>
        </w:rPr>
        <w:t>, "גניבת זהויות וחשיפה לתוכן פוגעני - סיכונים לבני נוער ברשת", סייבר, מודיעין וביטחון - כרך 2 גיליון 3, דצמבר 2018.</w:t>
      </w:r>
    </w:p>
  </w:footnote>
  <w:footnote w:id="17">
    <w:p w14:paraId="047166A6" w14:textId="523AE174" w:rsidR="00583E48" w:rsidRPr="00583E48" w:rsidRDefault="00583E48" w:rsidP="00583E48">
      <w:pPr>
        <w:pStyle w:val="FootnoteText"/>
        <w:ind w:right="0"/>
        <w:rPr>
          <w:rtl/>
        </w:rPr>
      </w:pPr>
      <w:r w:rsidRPr="00583E48">
        <w:rPr>
          <w:rStyle w:val="FootnoteReference"/>
          <w:vertAlign w:val="baseline"/>
        </w:rPr>
        <w:footnoteRef/>
      </w:r>
      <w:r w:rsidRPr="00583E48">
        <w:rPr>
          <w:rtl/>
        </w:rPr>
        <w:t xml:space="preserve"> </w:t>
      </w:r>
      <w:r w:rsidRPr="00583E48">
        <w:rPr>
          <w:rtl/>
        </w:rPr>
        <w:tab/>
        <w:t xml:space="preserve">בעניין זה ראו סיכום פעילות המחלקה לטיפול בהתמכרויות, האגף לבריאות הנפש, </w:t>
      </w:r>
      <w:r w:rsidRPr="00583E48">
        <w:t>2019</w:t>
      </w:r>
      <w:r w:rsidRPr="00583E48">
        <w:rPr>
          <w:rtl/>
        </w:rPr>
        <w:t>; וכן נייר עמדה בנושא "חשיפה למסכים בקטינים" מטעם המועצה הלאומית למניעת אובדנות, והמועצה הלאומית לבריאות הילד ופדיאטריה שם צוין כי קיימות הוכחות ראשוניות למתאם (קורלציה) בין משך החשיפה למדיה חברתית לעלייה בתסמינים דיכאוניים ומחשבות אובדניות במתבגרים אמריקנים, יותר בנערות. צוין כי המחקר מעיד על קשר סטטיסטי אך לא סיבתי, וכי העלייה הניכרת בתסמינים דיכאוניים מופיעה בהתאמה לשימוש העולה על ארבע שעות ביום. יצוין כי התופעה לא הוגדרה באופן רשמי כהפרעה נפשית במדריך לאבחון וסטטיסטיקה של הפרעות נפשיות של איגוד הפסיכיאטריה האמריקאי (</w:t>
      </w:r>
      <w:r w:rsidRPr="00583E48">
        <w:t>Diagnostic and Statistical Manual of Mental Disorders - DSM-5</w:t>
      </w:r>
      <w:r w:rsidRPr="00583E48">
        <w:rPr>
          <w:rtl/>
        </w:rPr>
        <w:t>) אולם צוין במדריך כי נושא ה"התמכרות למשחקי מחשב באינטרנט" דורש מחקר נוסף.</w:t>
      </w:r>
    </w:p>
  </w:footnote>
  <w:footnote w:id="18">
    <w:p w14:paraId="0D7BA887" w14:textId="4271487B" w:rsidR="00583E48" w:rsidRPr="00583E48" w:rsidRDefault="00583E48" w:rsidP="00583E48">
      <w:pPr>
        <w:pStyle w:val="FootnoteText"/>
        <w:ind w:right="0"/>
        <w:rPr>
          <w:rtl/>
        </w:rPr>
      </w:pPr>
      <w:r w:rsidRPr="00583E48">
        <w:rPr>
          <w:rStyle w:val="FootnoteReference"/>
          <w:vertAlign w:val="baseline"/>
        </w:rPr>
        <w:footnoteRef/>
      </w:r>
      <w:r w:rsidRPr="00583E48">
        <w:rPr>
          <w:rtl/>
        </w:rPr>
        <w:t xml:space="preserve"> </w:t>
      </w:r>
      <w:r w:rsidRPr="00583E48">
        <w:rPr>
          <w:rtl/>
        </w:rPr>
        <w:tab/>
      </w:r>
      <w:r w:rsidRPr="00583E48">
        <w:t xml:space="preserve">World Health Organization, ICD-11 for Mortality and </w:t>
      </w:r>
      <w:proofErr w:type="spellStart"/>
      <w:r w:rsidRPr="00583E48">
        <w:t>Norbidity</w:t>
      </w:r>
      <w:proofErr w:type="spellEnd"/>
      <w:r w:rsidRPr="00583E48">
        <w:t xml:space="preserve"> Statistics (version 9/2020)</w:t>
      </w:r>
      <w:r w:rsidR="00D10254">
        <w:rPr>
          <w:rFonts w:hint="cs"/>
          <w:rtl/>
        </w:rPr>
        <w:t xml:space="preserve">. </w:t>
      </w:r>
      <w:r w:rsidRPr="00583E48">
        <w:rPr>
          <w:rtl/>
        </w:rPr>
        <w:t xml:space="preserve">הסיווג צפוי להיות מיושם בשנת 2022. </w:t>
      </w:r>
    </w:p>
  </w:footnote>
  <w:footnote w:id="19">
    <w:p w14:paraId="5BFCFBB0" w14:textId="30226B3F" w:rsidR="00583E48" w:rsidRPr="00583E48" w:rsidRDefault="00583E48" w:rsidP="00583E48">
      <w:pPr>
        <w:pStyle w:val="FootnoteText"/>
        <w:ind w:right="0"/>
      </w:pPr>
      <w:r w:rsidRPr="00583E48">
        <w:rPr>
          <w:rStyle w:val="FootnoteReference"/>
          <w:vertAlign w:val="baseline"/>
        </w:rPr>
        <w:footnoteRef/>
      </w:r>
      <w:r w:rsidRPr="00583E48">
        <w:rPr>
          <w:rtl/>
        </w:rPr>
        <w:t xml:space="preserve"> </w:t>
      </w:r>
      <w:r w:rsidRPr="00583E48">
        <w:rPr>
          <w:rtl/>
        </w:rPr>
        <w:tab/>
        <w:t>ראו למשל, סקר הביטחון האישי של הלשכה המרכזית לסטטיסטיקה לשנת 2019, המצביע על שיעורי דיווח נמוכים בנוגע לעבירות מקוונות (שיעור אי דיווח של 86.8%), עמ' 20.</w:t>
      </w:r>
    </w:p>
  </w:footnote>
  <w:footnote w:id="20">
    <w:p w14:paraId="13507511" w14:textId="6D058993" w:rsidR="00583E48" w:rsidRPr="00583E48" w:rsidRDefault="00583E48" w:rsidP="00583E48">
      <w:pPr>
        <w:pStyle w:val="FootnoteText"/>
        <w:ind w:right="0"/>
        <w:rPr>
          <w:rtl/>
        </w:rPr>
      </w:pPr>
      <w:r w:rsidRPr="00583E48">
        <w:rPr>
          <w:rStyle w:val="FootnoteReference"/>
          <w:vertAlign w:val="baseline"/>
        </w:rPr>
        <w:footnoteRef/>
      </w:r>
      <w:r w:rsidRPr="00583E48">
        <w:rPr>
          <w:rtl/>
        </w:rPr>
        <w:t xml:space="preserve"> </w:t>
      </w:r>
      <w:r w:rsidRPr="00583E48">
        <w:rPr>
          <w:rtl/>
        </w:rPr>
        <w:tab/>
        <w:t>המחקר נערך על ידי ה-</w:t>
      </w:r>
      <w:r w:rsidRPr="00583E48">
        <w:t xml:space="preserve"> DQ Institute</w:t>
      </w:r>
      <w:r w:rsidRPr="00583E48">
        <w:rPr>
          <w:rtl/>
        </w:rPr>
        <w:t xml:space="preserve"> - ארגון בין-לאומי הפועל בתחום האזרחות הדיגיטלית - בין היתר לקידום החינוך הדיגיטלי ולקביעת סטנדרטיזציה בתחום.</w:t>
      </w:r>
    </w:p>
  </w:footnote>
  <w:footnote w:id="21">
    <w:p w14:paraId="6F1407CC" w14:textId="77777777" w:rsidR="008274C2" w:rsidRPr="00583E48" w:rsidRDefault="008274C2" w:rsidP="008274C2">
      <w:pPr>
        <w:pStyle w:val="FootnoteText"/>
        <w:ind w:right="0"/>
        <w:rPr>
          <w:rtl/>
        </w:rPr>
      </w:pPr>
      <w:r w:rsidRPr="00583E48">
        <w:rPr>
          <w:rStyle w:val="FootnoteReference"/>
          <w:vertAlign w:val="baseline"/>
        </w:rPr>
        <w:footnoteRef/>
      </w:r>
      <w:r w:rsidRPr="00583E48">
        <w:rPr>
          <w:rtl/>
        </w:rPr>
        <w:t xml:space="preserve"> </w:t>
      </w:r>
      <w:r w:rsidRPr="00583E48">
        <w:tab/>
        <w:t>https://www.dqinstitute.org/impact-measure/#cosi_page</w:t>
      </w:r>
    </w:p>
  </w:footnote>
  <w:footnote w:id="22">
    <w:p w14:paraId="558320BD" w14:textId="3315FB19" w:rsidR="00583E48" w:rsidRPr="00583E48" w:rsidRDefault="00583E48" w:rsidP="00583E48">
      <w:pPr>
        <w:pStyle w:val="FootnoteText"/>
        <w:ind w:right="0"/>
        <w:rPr>
          <w:rtl/>
        </w:rPr>
      </w:pPr>
      <w:r w:rsidRPr="00583E48">
        <w:rPr>
          <w:rStyle w:val="FootnoteReference"/>
          <w:vertAlign w:val="baseline"/>
        </w:rPr>
        <w:footnoteRef/>
      </w:r>
      <w:r w:rsidRPr="00583E48">
        <w:rPr>
          <w:rtl/>
        </w:rPr>
        <w:t xml:space="preserve"> </w:t>
      </w:r>
      <w:r w:rsidRPr="00583E48">
        <w:rPr>
          <w:rtl/>
        </w:rPr>
        <w:tab/>
        <w:t xml:space="preserve">לפירוט בעניין זה ראו חיים </w:t>
      </w:r>
      <w:proofErr w:type="spellStart"/>
      <w:r w:rsidRPr="00583E48">
        <w:rPr>
          <w:rtl/>
        </w:rPr>
        <w:t>ויסמונסקי</w:t>
      </w:r>
      <w:proofErr w:type="spellEnd"/>
      <w:r w:rsidRPr="00583E48">
        <w:rPr>
          <w:rtl/>
        </w:rPr>
        <w:t xml:space="preserve"> "אכיפה אלטרנטיבית כלפי עברות ביטוי במרחב המקוון", משפט צדק? ההליך הפלילי בישראל - כשלים ואתגרים (מסדרת "משפט, חברה ותרבות"), 2018, 691; וכן לימור </w:t>
      </w:r>
      <w:proofErr w:type="spellStart"/>
      <w:r w:rsidRPr="00583E48">
        <w:rPr>
          <w:rtl/>
        </w:rPr>
        <w:t>עציוני</w:t>
      </w:r>
      <w:proofErr w:type="spellEnd"/>
      <w:r w:rsidRPr="00583E48">
        <w:rPr>
          <w:rtl/>
        </w:rPr>
        <w:t xml:space="preserve">, "בריונות במגרש המשחקים המקוון - אחריות ספקיות התוכן ומפעילות האתרים על הנעשה בשטחן", המשפט </w:t>
      </w:r>
      <w:proofErr w:type="spellStart"/>
      <w:r w:rsidRPr="00583E48">
        <w:rPr>
          <w:rtl/>
        </w:rPr>
        <w:t>יז</w:t>
      </w:r>
      <w:proofErr w:type="spellEnd"/>
      <w:r w:rsidRPr="00583E48">
        <w:rPr>
          <w:rtl/>
        </w:rPr>
        <w:t>(2), תשע"ד, 513-463.</w:t>
      </w:r>
    </w:p>
  </w:footnote>
  <w:footnote w:id="23">
    <w:p w14:paraId="204DFF18" w14:textId="77777777" w:rsidR="00817649" w:rsidRPr="00583E48" w:rsidRDefault="00817649" w:rsidP="00583E48">
      <w:pPr>
        <w:pStyle w:val="FootnoteText"/>
        <w:ind w:right="0"/>
        <w:rPr>
          <w:rtl/>
        </w:rPr>
      </w:pPr>
      <w:r w:rsidRPr="00583E48">
        <w:rPr>
          <w:rStyle w:val="FootnoteReference"/>
          <w:vertAlign w:val="baseline"/>
        </w:rPr>
        <w:footnoteRef/>
      </w:r>
      <w:r w:rsidRPr="00583E48">
        <w:rPr>
          <w:rtl/>
        </w:rPr>
        <w:t xml:space="preserve"> </w:t>
      </w:r>
      <w:r w:rsidRPr="00583E48">
        <w:rPr>
          <w:rtl/>
        </w:rPr>
        <w:tab/>
        <w:t xml:space="preserve">אלימות ופגיעות ברשת האינטרנט: מאפיינים, דפוסים, גורמי סיכון וגורמים מגנים בקרב ילדים ובני נוער, ד"ר טלי היימן, ד"ר דורית </w:t>
      </w:r>
      <w:proofErr w:type="spellStart"/>
      <w:r w:rsidRPr="00583E48">
        <w:rPr>
          <w:rtl/>
        </w:rPr>
        <w:t>אולניק</w:t>
      </w:r>
      <w:proofErr w:type="spellEnd"/>
      <w:r w:rsidRPr="00583E48">
        <w:rPr>
          <w:rtl/>
        </w:rPr>
        <w:t xml:space="preserve"> שמש, ד"ר סיגל עדן, 2014, עמ' 11.</w:t>
      </w:r>
    </w:p>
  </w:footnote>
  <w:footnote w:id="24">
    <w:p w14:paraId="2F43B72D" w14:textId="77777777" w:rsidR="00817649" w:rsidRPr="00583E48" w:rsidRDefault="00817649" w:rsidP="00583E48">
      <w:pPr>
        <w:pStyle w:val="FootnoteText"/>
        <w:ind w:right="0"/>
      </w:pPr>
      <w:r w:rsidRPr="00583E48">
        <w:rPr>
          <w:rStyle w:val="FootnoteReference"/>
          <w:vertAlign w:val="baseline"/>
        </w:rPr>
        <w:footnoteRef/>
      </w:r>
      <w:r w:rsidRPr="00583E48">
        <w:rPr>
          <w:rtl/>
        </w:rPr>
        <w:t xml:space="preserve"> </w:t>
      </w:r>
      <w:r w:rsidRPr="00583E48">
        <w:rPr>
          <w:rtl/>
        </w:rPr>
        <w:tab/>
        <w:t xml:space="preserve">לימור </w:t>
      </w:r>
      <w:proofErr w:type="spellStart"/>
      <w:r w:rsidRPr="00583E48">
        <w:rPr>
          <w:rtl/>
        </w:rPr>
        <w:t>עציוני</w:t>
      </w:r>
      <w:proofErr w:type="spellEnd"/>
      <w:r w:rsidRPr="00583E48">
        <w:rPr>
          <w:rtl/>
        </w:rPr>
        <w:t xml:space="preserve">, בריונות במגרש המשחקים המקוון - אחריות ספקיות התוכן ומפעילות האתרים על הנעשה בשטחן, המשפט, </w:t>
      </w:r>
      <w:proofErr w:type="spellStart"/>
      <w:r w:rsidRPr="00583E48">
        <w:rPr>
          <w:rtl/>
        </w:rPr>
        <w:t>יז</w:t>
      </w:r>
      <w:proofErr w:type="spellEnd"/>
      <w:r w:rsidRPr="00583E48">
        <w:rPr>
          <w:rtl/>
        </w:rPr>
        <w:t>, 463, 478.</w:t>
      </w:r>
    </w:p>
  </w:footnote>
  <w:footnote w:id="25">
    <w:p w14:paraId="1868F632" w14:textId="1C1258D9" w:rsidR="00583E48" w:rsidRPr="00583E48" w:rsidRDefault="00583E48" w:rsidP="00583E48">
      <w:pPr>
        <w:pStyle w:val="FootnoteText"/>
        <w:ind w:right="0"/>
        <w:rPr>
          <w:rtl/>
        </w:rPr>
      </w:pPr>
      <w:r w:rsidRPr="00583E48">
        <w:rPr>
          <w:rStyle w:val="FootnoteReference"/>
          <w:vertAlign w:val="baseline"/>
        </w:rPr>
        <w:footnoteRef/>
      </w:r>
      <w:r w:rsidRPr="00583E48">
        <w:rPr>
          <w:rtl/>
        </w:rPr>
        <w:t xml:space="preserve"> </w:t>
      </w:r>
      <w:r w:rsidRPr="00583E48">
        <w:rPr>
          <w:rtl/>
        </w:rPr>
        <w:tab/>
        <w:t xml:space="preserve">ענת ליאור, "החלת הוראות הצעת חוק למניעת ביצוע עבירות באמצעות פרסום באינטרנט (הסרת תוכן) על תופעת </w:t>
      </w:r>
      <w:proofErr w:type="spellStart"/>
      <w:r w:rsidRPr="00583E48">
        <w:rPr>
          <w:rtl/>
        </w:rPr>
        <w:t>הביריונות</w:t>
      </w:r>
      <w:proofErr w:type="spellEnd"/>
      <w:r w:rsidRPr="00583E48">
        <w:rPr>
          <w:rtl/>
        </w:rPr>
        <w:t xml:space="preserve"> ברשת", חוקים </w:t>
      </w:r>
      <w:proofErr w:type="spellStart"/>
      <w:r w:rsidRPr="00583E48">
        <w:rPr>
          <w:rtl/>
        </w:rPr>
        <w:t>יג</w:t>
      </w:r>
      <w:proofErr w:type="spellEnd"/>
      <w:r w:rsidRPr="00583E48">
        <w:rPr>
          <w:rtl/>
        </w:rPr>
        <w:t xml:space="preserve">, 196-153, 2020. </w:t>
      </w:r>
    </w:p>
  </w:footnote>
  <w:footnote w:id="26">
    <w:p w14:paraId="0DB9A84B" w14:textId="1748EBC9" w:rsidR="00583E48" w:rsidRPr="00583E48" w:rsidRDefault="00583E48" w:rsidP="00583E48">
      <w:pPr>
        <w:pStyle w:val="FootnoteText"/>
        <w:ind w:right="0"/>
      </w:pPr>
      <w:r w:rsidRPr="00583E48">
        <w:rPr>
          <w:rStyle w:val="FootnoteReference"/>
          <w:vertAlign w:val="baseline"/>
        </w:rPr>
        <w:footnoteRef/>
      </w:r>
      <w:r w:rsidRPr="00583E48">
        <w:rPr>
          <w:rtl/>
        </w:rPr>
        <w:t xml:space="preserve"> </w:t>
      </w:r>
      <w:r w:rsidRPr="00583E48">
        <w:rPr>
          <w:rtl/>
        </w:rPr>
        <w:tab/>
        <w:t xml:space="preserve">המוסד לביטוח לאומי, משרד הרווחה וקרן רש"י, "תכנית ארצית בין משרדית לטיפול בקטינים שנפגעו מינית בישראל", 2011; ראו גם הוועדה הבין-משרדית בראשות השופטת (בדימוס) </w:t>
      </w:r>
      <w:proofErr w:type="spellStart"/>
      <w:r w:rsidRPr="00583E48">
        <w:rPr>
          <w:rtl/>
        </w:rPr>
        <w:t>ברלינר</w:t>
      </w:r>
      <w:proofErr w:type="spellEnd"/>
      <w:r w:rsidRPr="00583E48">
        <w:rPr>
          <w:rtl/>
        </w:rPr>
        <w:t xml:space="preserve"> לבחינת הטיפול בנפגעי עבירות מין בהליך הפלילי - דין וחשבון, דצמבר 2019.</w:t>
      </w:r>
    </w:p>
  </w:footnote>
  <w:footnote w:id="27">
    <w:p w14:paraId="267A0DB4" w14:textId="248BBDB3" w:rsidR="00583E48" w:rsidRPr="00583E48" w:rsidRDefault="00583E48" w:rsidP="00583E48">
      <w:pPr>
        <w:pStyle w:val="FootnoteText"/>
        <w:ind w:right="0"/>
      </w:pPr>
      <w:r w:rsidRPr="00583E48">
        <w:rPr>
          <w:rStyle w:val="FootnoteReference"/>
          <w:vertAlign w:val="baseline"/>
        </w:rPr>
        <w:footnoteRef/>
      </w:r>
      <w:r w:rsidRPr="00583E48">
        <w:rPr>
          <w:rtl/>
        </w:rPr>
        <w:t xml:space="preserve"> </w:t>
      </w:r>
      <w:r w:rsidRPr="00583E48">
        <w:rPr>
          <w:rtl/>
        </w:rPr>
        <w:tab/>
      </w:r>
      <w:proofErr w:type="spellStart"/>
      <w:r w:rsidRPr="00583E48">
        <w:rPr>
          <w:rtl/>
        </w:rPr>
        <w:t>תפ</w:t>
      </w:r>
      <w:proofErr w:type="spellEnd"/>
      <w:r w:rsidRPr="00583E48">
        <w:rPr>
          <w:rtl/>
        </w:rPr>
        <w:t xml:space="preserve"> (חי') 19991-07-20‏ ‏ </w:t>
      </w:r>
      <w:r w:rsidRPr="00583E48">
        <w:rPr>
          <w:b/>
          <w:bCs/>
          <w:rtl/>
        </w:rPr>
        <w:t xml:space="preserve">מדינת ישראל נ' רונן </w:t>
      </w:r>
      <w:proofErr w:type="spellStart"/>
      <w:r w:rsidRPr="00583E48">
        <w:rPr>
          <w:b/>
          <w:bCs/>
          <w:rtl/>
        </w:rPr>
        <w:t>שיך</w:t>
      </w:r>
      <w:proofErr w:type="spellEnd"/>
      <w:r w:rsidRPr="00583E48">
        <w:rPr>
          <w:rtl/>
        </w:rPr>
        <w:t>, (נבו, 25.4.21).</w:t>
      </w:r>
    </w:p>
  </w:footnote>
  <w:footnote w:id="28">
    <w:p w14:paraId="336C7EAB" w14:textId="6C9A794D" w:rsidR="00583E48" w:rsidRPr="00583E48" w:rsidRDefault="00583E48" w:rsidP="00583E48">
      <w:pPr>
        <w:pStyle w:val="FootnoteText"/>
        <w:ind w:right="0"/>
        <w:rPr>
          <w:rtl/>
        </w:rPr>
      </w:pPr>
      <w:r w:rsidRPr="00583E48">
        <w:rPr>
          <w:rStyle w:val="FootnoteReference"/>
          <w:vertAlign w:val="baseline"/>
        </w:rPr>
        <w:footnoteRef/>
      </w:r>
      <w:r w:rsidRPr="00583E48">
        <w:rPr>
          <w:rtl/>
        </w:rPr>
        <w:t xml:space="preserve"> </w:t>
      </w:r>
      <w:r w:rsidRPr="00583E48">
        <w:rPr>
          <w:rtl/>
        </w:rPr>
        <w:tab/>
      </w:r>
      <w:r w:rsidRPr="00583E48">
        <w:t>General comment No. 25 (2021) on children’s rights in relation to the digital environment, 2021</w:t>
      </w:r>
      <w:r w:rsidRPr="00583E48">
        <w:rPr>
          <w:rtl/>
        </w:rPr>
        <w:t>. "הערות כלליות" (</w:t>
      </w:r>
      <w:r w:rsidRPr="00583E48">
        <w:t>General comment</w:t>
      </w:r>
      <w:r w:rsidRPr="00583E48">
        <w:rPr>
          <w:rtl/>
        </w:rPr>
        <w:t>) הן פרשנות של הוראות האמנה בנושאים מסוימים, מטרתן לפרש ולהבהיר הוראות מהותיות, לרבות על דרך מתן הנחיות והצעות לאופן יישום הוראות האמנה.</w:t>
      </w:r>
    </w:p>
  </w:footnote>
  <w:footnote w:id="29">
    <w:p w14:paraId="64443C83" w14:textId="189FA460" w:rsidR="00583E48" w:rsidRPr="00583E48" w:rsidRDefault="00583E48" w:rsidP="00583E48">
      <w:pPr>
        <w:pStyle w:val="FootnoteText"/>
        <w:ind w:right="0"/>
        <w:rPr>
          <w:rtl/>
        </w:rPr>
      </w:pPr>
      <w:r w:rsidRPr="00583E48">
        <w:rPr>
          <w:rStyle w:val="FootnoteReference"/>
          <w:vertAlign w:val="baseline"/>
        </w:rPr>
        <w:footnoteRef/>
      </w:r>
      <w:r w:rsidRPr="00583E48">
        <w:rPr>
          <w:rtl/>
        </w:rPr>
        <w:t xml:space="preserve"> </w:t>
      </w:r>
      <w:r w:rsidRPr="00583E48">
        <w:rPr>
          <w:rtl/>
        </w:rPr>
        <w:tab/>
      </w:r>
      <w:r w:rsidRPr="00583E48">
        <w:t>Broadband Commission for Sustainable Development, Child Online Safety, universal declaration, 2019, https://www.broadbandcommission.org/Documents/working-groups/ChildOnlineSafety_Declaration.pdf</w:t>
      </w:r>
    </w:p>
  </w:footnote>
  <w:footnote w:id="30">
    <w:p w14:paraId="28D257FD" w14:textId="15A2D251" w:rsidR="00583E48" w:rsidRPr="00583E48" w:rsidRDefault="00583E48" w:rsidP="00583E48">
      <w:pPr>
        <w:pStyle w:val="FootnoteText"/>
        <w:ind w:right="0"/>
        <w:rPr>
          <w:rtl/>
        </w:rPr>
      </w:pPr>
      <w:r w:rsidRPr="00583E48">
        <w:rPr>
          <w:rStyle w:val="FootnoteReference"/>
          <w:vertAlign w:val="baseline"/>
        </w:rPr>
        <w:footnoteRef/>
      </w:r>
      <w:r w:rsidRPr="00583E48">
        <w:rPr>
          <w:rtl/>
        </w:rPr>
        <w:t xml:space="preserve"> </w:t>
      </w:r>
      <w:r w:rsidRPr="00583E48">
        <w:rPr>
          <w:rtl/>
        </w:rPr>
        <w:tab/>
      </w:r>
      <w:r w:rsidR="008274C2" w:rsidRPr="00583E48">
        <w:t>The</w:t>
      </w:r>
      <w:r w:rsidR="008274C2">
        <w:t xml:space="preserve"> </w:t>
      </w:r>
      <w:r w:rsidR="008274C2" w:rsidRPr="00583E48">
        <w:t>OECD Recommendation on the Protection of Children Online</w:t>
      </w:r>
      <w:r w:rsidR="008274C2">
        <w:t>, 2012</w:t>
      </w:r>
    </w:p>
  </w:footnote>
  <w:footnote w:id="31">
    <w:p w14:paraId="28865C0E" w14:textId="0DFA41BA" w:rsidR="00583E48" w:rsidRPr="00583E48" w:rsidRDefault="00583E48" w:rsidP="00583E48">
      <w:pPr>
        <w:pStyle w:val="FootnoteText"/>
        <w:ind w:right="0"/>
        <w:rPr>
          <w:rtl/>
        </w:rPr>
      </w:pPr>
      <w:r w:rsidRPr="00583E48">
        <w:rPr>
          <w:rStyle w:val="FootnoteReference"/>
          <w:vertAlign w:val="baseline"/>
        </w:rPr>
        <w:footnoteRef/>
      </w:r>
      <w:r w:rsidRPr="00583E48">
        <w:rPr>
          <w:rtl/>
        </w:rPr>
        <w:t xml:space="preserve"> </w:t>
      </w:r>
      <w:r w:rsidRPr="00583E48">
        <w:rPr>
          <w:rtl/>
        </w:rPr>
        <w:tab/>
        <w:t>שם.</w:t>
      </w:r>
    </w:p>
  </w:footnote>
  <w:footnote w:id="32">
    <w:p w14:paraId="45864214" w14:textId="6DA41249" w:rsidR="00583E48" w:rsidRPr="00583E48" w:rsidRDefault="00583E48" w:rsidP="00583E48">
      <w:pPr>
        <w:pStyle w:val="FootnoteText"/>
        <w:ind w:right="0"/>
        <w:rPr>
          <w:rtl/>
        </w:rPr>
      </w:pPr>
      <w:r w:rsidRPr="00583E48">
        <w:rPr>
          <w:rStyle w:val="FootnoteReference"/>
          <w:vertAlign w:val="baseline"/>
        </w:rPr>
        <w:footnoteRef/>
      </w:r>
      <w:r w:rsidRPr="00583E48">
        <w:rPr>
          <w:rtl/>
        </w:rPr>
        <w:t xml:space="preserve"> </w:t>
      </w:r>
      <w:r w:rsidRPr="00583E48">
        <w:rPr>
          <w:rtl/>
        </w:rPr>
        <w:tab/>
        <w:t xml:space="preserve">לצד אמנה זו, ישראל מצויה בהליכי בחינת הצטרפות לאמנת </w:t>
      </w:r>
      <w:proofErr w:type="spellStart"/>
      <w:r w:rsidRPr="00583E48">
        <w:rPr>
          <w:rtl/>
        </w:rPr>
        <w:t>לנזרוטה</w:t>
      </w:r>
      <w:proofErr w:type="spellEnd"/>
      <w:r w:rsidRPr="00583E48">
        <w:rPr>
          <w:rtl/>
        </w:rPr>
        <w:t xml:space="preserve">, אמנה אירופית להגנה על ילדים מפני ניצול והתעללות מינית, אשר חתומות עליה כ-50 מדינות. </w:t>
      </w:r>
    </w:p>
  </w:footnote>
  <w:footnote w:id="33">
    <w:p w14:paraId="4AA1CD8F" w14:textId="126F1FF9" w:rsidR="00583E48" w:rsidRPr="00583E48" w:rsidRDefault="00583E48" w:rsidP="00A059BD">
      <w:pPr>
        <w:pStyle w:val="FootnoteText"/>
        <w:spacing w:after="0" w:line="180" w:lineRule="exact"/>
        <w:ind w:right="0"/>
        <w:rPr>
          <w:rtl/>
        </w:rPr>
      </w:pPr>
      <w:r w:rsidRPr="00583E48">
        <w:rPr>
          <w:rStyle w:val="FootnoteReference"/>
          <w:vertAlign w:val="baseline"/>
        </w:rPr>
        <w:footnoteRef/>
      </w:r>
      <w:r w:rsidRPr="00583E48">
        <w:rPr>
          <w:rtl/>
        </w:rPr>
        <w:t xml:space="preserve"> </w:t>
      </w:r>
      <w:r w:rsidRPr="00583E48">
        <w:rPr>
          <w:rtl/>
        </w:rPr>
        <w:tab/>
        <w:t xml:space="preserve">יוסי הראל פיש, נועה </w:t>
      </w:r>
      <w:proofErr w:type="spellStart"/>
      <w:r w:rsidRPr="00583E48">
        <w:rPr>
          <w:rtl/>
        </w:rPr>
        <w:t>שטיינמץ</w:t>
      </w:r>
      <w:proofErr w:type="spellEnd"/>
      <w:r w:rsidRPr="00583E48">
        <w:rPr>
          <w:rtl/>
        </w:rPr>
        <w:t xml:space="preserve">, ריקי </w:t>
      </w:r>
      <w:proofErr w:type="spellStart"/>
      <w:r w:rsidRPr="00583E48">
        <w:rPr>
          <w:rtl/>
        </w:rPr>
        <w:t>טסלר</w:t>
      </w:r>
      <w:proofErr w:type="spellEnd"/>
      <w:r w:rsidRPr="00583E48">
        <w:rPr>
          <w:rtl/>
        </w:rPr>
        <w:t xml:space="preserve">, רותם מאור, מירן </w:t>
      </w:r>
      <w:proofErr w:type="spellStart"/>
      <w:r w:rsidRPr="00583E48">
        <w:rPr>
          <w:rtl/>
        </w:rPr>
        <w:t>בוניאל</w:t>
      </w:r>
      <w:proofErr w:type="spellEnd"/>
      <w:r w:rsidRPr="00583E48">
        <w:rPr>
          <w:rtl/>
        </w:rPr>
        <w:t xml:space="preserve">-נסים, סופי </w:t>
      </w:r>
      <w:proofErr w:type="spellStart"/>
      <w:r w:rsidRPr="00583E48">
        <w:rPr>
          <w:rtl/>
        </w:rPr>
        <w:t>וולש</w:t>
      </w:r>
      <w:proofErr w:type="spellEnd"/>
      <w:r w:rsidRPr="00583E48">
        <w:rPr>
          <w:rtl/>
        </w:rPr>
        <w:t>, "נוער בישראל: דפוסי שימוש בחומרים ממכרים ומעורבות באלימות ובאלימות ברשת - סיכום ממצאי הרחבת מחקר ה-</w:t>
      </w:r>
      <w:r w:rsidRPr="00583E48">
        <w:rPr>
          <w:highlight w:val="lightGray"/>
          <w:rtl/>
        </w:rPr>
        <w:t xml:space="preserve"> </w:t>
      </w:r>
      <w:r w:rsidRPr="00583E48">
        <w:t xml:space="preserve">Health Behaviors is School-Aged Children (HBSC) A World Health Organization Cross-National Study, </w:t>
      </w:r>
      <w:r w:rsidRPr="00583E48">
        <w:rPr>
          <w:rtl/>
        </w:rPr>
        <w:t xml:space="preserve">) ישראל לשנת 2019 בתחומי </w:t>
      </w:r>
      <w:proofErr w:type="spellStart"/>
      <w:r w:rsidRPr="00583E48">
        <w:rPr>
          <w:rtl/>
        </w:rPr>
        <w:t>בט"פ</w:t>
      </w:r>
      <w:proofErr w:type="spellEnd"/>
      <w:r w:rsidRPr="00583E48">
        <w:rPr>
          <w:rtl/>
        </w:rPr>
        <w:t xml:space="preserve">", אוניברסיטת בר-אילן, 2020, עמ' 139 (להלן - מחקר </w:t>
      </w:r>
      <w:r w:rsidRPr="00583E48">
        <w:t>HBSC</w:t>
      </w:r>
      <w:r w:rsidRPr="00583E48">
        <w:rPr>
          <w:rtl/>
        </w:rPr>
        <w:t xml:space="preserve">). </w:t>
      </w:r>
    </w:p>
  </w:footnote>
  <w:footnote w:id="34">
    <w:p w14:paraId="3C57CE0D" w14:textId="5D092343" w:rsidR="00583E48" w:rsidRPr="00583E48" w:rsidRDefault="00583E48" w:rsidP="00583E48">
      <w:pPr>
        <w:pStyle w:val="FootnoteText"/>
        <w:ind w:right="0"/>
      </w:pPr>
      <w:r w:rsidRPr="00583E48">
        <w:rPr>
          <w:rStyle w:val="FootnoteReference"/>
          <w:vertAlign w:val="baseline"/>
        </w:rPr>
        <w:footnoteRef/>
      </w:r>
      <w:r w:rsidRPr="00583E48">
        <w:rPr>
          <w:rtl/>
        </w:rPr>
        <w:t xml:space="preserve"> </w:t>
      </w:r>
      <w:r w:rsidRPr="00583E48">
        <w:rPr>
          <w:rtl/>
        </w:rPr>
        <w:tab/>
        <w:t>דו"ח מצב האינטרנט של בזק לשנים 2019 ו-2020.</w:t>
      </w:r>
    </w:p>
  </w:footnote>
  <w:footnote w:id="35">
    <w:p w14:paraId="0F88A02B" w14:textId="518D5804" w:rsidR="00583E48" w:rsidRPr="00583E48" w:rsidRDefault="00583E48" w:rsidP="00583E48">
      <w:pPr>
        <w:pStyle w:val="FootnoteText"/>
        <w:ind w:right="0"/>
      </w:pPr>
      <w:r w:rsidRPr="00583E48">
        <w:rPr>
          <w:rStyle w:val="FootnoteReference"/>
          <w:vertAlign w:val="baseline"/>
        </w:rPr>
        <w:footnoteRef/>
      </w:r>
      <w:r w:rsidRPr="00583E48">
        <w:rPr>
          <w:rtl/>
        </w:rPr>
        <w:t xml:space="preserve"> </w:t>
      </w:r>
      <w:r w:rsidRPr="00583E48">
        <w:rPr>
          <w:rtl/>
        </w:rPr>
        <w:tab/>
        <w:t>יצוין כי ישנה שונות בנתונים בין המחקרים השונים. הדבר יכול לנבוע מכמה סיבות, בהן שוני בהגדרת "בריונות" במחקרים שונים, אופן איסוף הנתונים (שאלוני דיווח עצמי, ראיון טלפוני), הגדרת השאלות, חוסר אחידות בתקופת הזמן שלגביה מתייחסת השאלה, הבדלים בגילי המשיבים ועוד. בעניין זה ראו עמיר גפן, "בריונות ברשת בקרב בני נוער, מאפייני הקורבנות, אפיונה כמצב דחק, משאבי חוסן ממתנים ובהתייחס לאוריינות דיגיטלית" חיבור לשם קבלת התואר "דוקטור לפילוסופיה</w:t>
      </w:r>
      <w:r w:rsidRPr="00583E48">
        <w:t>"</w:t>
      </w:r>
      <w:r w:rsidRPr="00583E48">
        <w:rPr>
          <w:rtl/>
        </w:rPr>
        <w:t>, תשע"ט.</w:t>
      </w:r>
    </w:p>
  </w:footnote>
  <w:footnote w:id="36">
    <w:p w14:paraId="07754420" w14:textId="6C5E0D43" w:rsidR="00583E48" w:rsidRPr="00583E48" w:rsidRDefault="00583E48" w:rsidP="00583E48">
      <w:pPr>
        <w:pStyle w:val="FootnoteText"/>
        <w:ind w:right="0"/>
        <w:rPr>
          <w:rtl/>
        </w:rPr>
      </w:pPr>
      <w:r w:rsidRPr="00583E48">
        <w:rPr>
          <w:rStyle w:val="FootnoteReference"/>
          <w:vertAlign w:val="baseline"/>
        </w:rPr>
        <w:footnoteRef/>
      </w:r>
      <w:r w:rsidRPr="00583E48">
        <w:rPr>
          <w:rtl/>
        </w:rPr>
        <w:t xml:space="preserve"> </w:t>
      </w:r>
      <w:r w:rsidRPr="00583E48">
        <w:rPr>
          <w:rtl/>
        </w:rPr>
        <w:tab/>
        <w:t>המשרד לביטחון הפנים, סקר דעת קהל בנושא התנהגויות אנטי-חברתיות בקרב בני נוער, 2019, עמ' 18.</w:t>
      </w:r>
    </w:p>
  </w:footnote>
  <w:footnote w:id="37">
    <w:p w14:paraId="11358EAA" w14:textId="77777777" w:rsidR="00E41EDF" w:rsidRPr="00583E48" w:rsidRDefault="00E41EDF" w:rsidP="00583E48">
      <w:pPr>
        <w:pStyle w:val="FootnoteText"/>
        <w:ind w:right="0"/>
        <w:rPr>
          <w:rtl/>
        </w:rPr>
      </w:pPr>
      <w:r w:rsidRPr="00583E48">
        <w:rPr>
          <w:rStyle w:val="FootnoteReference"/>
          <w:vertAlign w:val="baseline"/>
        </w:rPr>
        <w:footnoteRef/>
      </w:r>
      <w:r w:rsidRPr="00583E48">
        <w:rPr>
          <w:rtl/>
        </w:rPr>
        <w:t xml:space="preserve"> </w:t>
      </w:r>
      <w:r w:rsidRPr="00583E48">
        <w:rPr>
          <w:rtl/>
        </w:rPr>
        <w:tab/>
        <w:t>שם, עמ' 18.</w:t>
      </w:r>
    </w:p>
  </w:footnote>
  <w:footnote w:id="38">
    <w:p w14:paraId="35FEE1ED" w14:textId="6FAAD301" w:rsidR="00583E48" w:rsidRPr="00583E48" w:rsidRDefault="00583E48" w:rsidP="00583E48">
      <w:pPr>
        <w:pStyle w:val="FootnoteText"/>
        <w:ind w:right="0"/>
        <w:rPr>
          <w:rtl/>
        </w:rPr>
      </w:pPr>
      <w:r w:rsidRPr="00583E48">
        <w:rPr>
          <w:rStyle w:val="FootnoteReference"/>
          <w:vertAlign w:val="baseline"/>
        </w:rPr>
        <w:footnoteRef/>
      </w:r>
      <w:r w:rsidRPr="00583E48">
        <w:rPr>
          <w:rtl/>
        </w:rPr>
        <w:t xml:space="preserve"> </w:t>
      </w:r>
      <w:r w:rsidRPr="00583E48">
        <w:rPr>
          <w:rtl/>
        </w:rPr>
        <w:tab/>
        <w:t xml:space="preserve">המחקר בישראל נעשה בראשותו של פרופ' יוסי הראל-פיש באוניברסיטת בר-אילן, ובחסות ובמימון משרדי הבריאות והחינוך. במחקר שנערך בשנת 2019 בוצעה הרחבה של המחקר בתחומי ליבה של המשרד לביטחון הפנים, במימונו. </w:t>
      </w:r>
    </w:p>
  </w:footnote>
  <w:footnote w:id="39">
    <w:p w14:paraId="030D23C1" w14:textId="72DA2933" w:rsidR="009554B3" w:rsidRPr="00583E48" w:rsidRDefault="009554B3" w:rsidP="00583E48">
      <w:pPr>
        <w:pStyle w:val="FootnoteText"/>
        <w:ind w:right="0"/>
        <w:rPr>
          <w:rtl/>
        </w:rPr>
      </w:pPr>
      <w:r w:rsidRPr="00583E48">
        <w:rPr>
          <w:rStyle w:val="FootnoteReference"/>
          <w:vertAlign w:val="baseline"/>
        </w:rPr>
        <w:footnoteRef/>
      </w:r>
      <w:r w:rsidRPr="00583E48">
        <w:rPr>
          <w:rtl/>
        </w:rPr>
        <w:t xml:space="preserve"> </w:t>
      </w:r>
      <w:r w:rsidRPr="00583E48">
        <w:rPr>
          <w:rtl/>
        </w:rPr>
        <w:tab/>
      </w:r>
      <w:r w:rsidR="00A059BD" w:rsidRPr="00583E48">
        <w:rPr>
          <w:rtl/>
        </w:rPr>
        <w:t xml:space="preserve">סקר </w:t>
      </w:r>
      <w:r w:rsidR="00A059BD" w:rsidRPr="00583E48">
        <w:t>HBSC</w:t>
      </w:r>
      <w:r w:rsidR="00A059BD">
        <w:rPr>
          <w:rFonts w:hint="cs"/>
          <w:rtl/>
        </w:rPr>
        <w:t>,</w:t>
      </w:r>
      <w:r w:rsidR="00A059BD" w:rsidRPr="00583E48">
        <w:rPr>
          <w:rtl/>
        </w:rPr>
        <w:t xml:space="preserve"> עמ' 128-127.</w:t>
      </w:r>
    </w:p>
  </w:footnote>
  <w:footnote w:id="40">
    <w:p w14:paraId="1753D750" w14:textId="17692974" w:rsidR="00583E48" w:rsidRPr="00583E48" w:rsidRDefault="00583E48" w:rsidP="00583E48">
      <w:pPr>
        <w:pStyle w:val="FootnoteText"/>
        <w:ind w:right="0"/>
        <w:rPr>
          <w:rtl/>
        </w:rPr>
      </w:pPr>
      <w:r w:rsidRPr="00583E48">
        <w:rPr>
          <w:rStyle w:val="FootnoteReference"/>
          <w:vertAlign w:val="baseline"/>
        </w:rPr>
        <w:footnoteRef/>
      </w:r>
      <w:r w:rsidRPr="00583E48">
        <w:rPr>
          <w:rtl/>
        </w:rPr>
        <w:t xml:space="preserve"> </w:t>
      </w:r>
      <w:r w:rsidRPr="00583E48">
        <w:rPr>
          <w:rtl/>
        </w:rPr>
        <w:tab/>
        <w:t xml:space="preserve">סקר </w:t>
      </w:r>
      <w:r w:rsidRPr="00583E48">
        <w:t>HBSC</w:t>
      </w:r>
      <w:r w:rsidRPr="00583E48">
        <w:rPr>
          <w:rtl/>
        </w:rPr>
        <w:t xml:space="preserve">, עמ' 133. נתון זה מתייחס לגילי 11, 13 ו-15. </w:t>
      </w:r>
    </w:p>
  </w:footnote>
  <w:footnote w:id="41">
    <w:p w14:paraId="0677E35F" w14:textId="20C307D2" w:rsidR="00583E48" w:rsidRPr="00583E48" w:rsidRDefault="00583E48" w:rsidP="00583E48">
      <w:pPr>
        <w:pStyle w:val="FootnoteText"/>
        <w:ind w:right="0"/>
        <w:rPr>
          <w:rtl/>
        </w:rPr>
      </w:pPr>
      <w:r w:rsidRPr="00583E48">
        <w:rPr>
          <w:rStyle w:val="FootnoteReference"/>
          <w:vertAlign w:val="baseline"/>
        </w:rPr>
        <w:footnoteRef/>
      </w:r>
      <w:r w:rsidRPr="00583E48">
        <w:rPr>
          <w:rtl/>
        </w:rPr>
        <w:t xml:space="preserve"> </w:t>
      </w:r>
      <w:r w:rsidRPr="00583E48">
        <w:rPr>
          <w:rtl/>
        </w:rPr>
        <w:tab/>
        <w:t xml:space="preserve">הסקר נערך בחודשים נובמבר - דצמבר 2021 בקרב הורים שילדיהם לומדים במערכת החינוך (גן - י"ב). </w:t>
      </w:r>
    </w:p>
  </w:footnote>
  <w:footnote w:id="42">
    <w:p w14:paraId="405A55AE" w14:textId="44A2BC79" w:rsidR="00583E48" w:rsidRPr="00583E48" w:rsidRDefault="00583E48" w:rsidP="00583E48">
      <w:pPr>
        <w:pStyle w:val="FootnoteText"/>
        <w:ind w:right="0"/>
        <w:rPr>
          <w:rtl/>
        </w:rPr>
      </w:pPr>
      <w:r w:rsidRPr="00583E48">
        <w:rPr>
          <w:rStyle w:val="FootnoteReference"/>
          <w:vertAlign w:val="baseline"/>
        </w:rPr>
        <w:footnoteRef/>
      </w:r>
      <w:r w:rsidRPr="00583E48">
        <w:rPr>
          <w:rtl/>
        </w:rPr>
        <w:t xml:space="preserve"> </w:t>
      </w:r>
      <w:r w:rsidRPr="00583E48">
        <w:rPr>
          <w:rtl/>
        </w:rPr>
        <w:tab/>
        <w:t xml:space="preserve">לשם השוואה, מנתוני איגוד מרכזי הסיוע עולה ששיעור הפניות שעסקו בפגיעות ברשת בקרב צעירים (בני 19 - 25) בתקופה זו היה 7%, ושיעור הפניות כאמור בקרב בני יותר מ-25 היה 3% - 4%. </w:t>
      </w:r>
    </w:p>
  </w:footnote>
  <w:footnote w:id="43">
    <w:p w14:paraId="6111A5C6" w14:textId="43CCAE8D" w:rsidR="00583E48" w:rsidRPr="00583E48" w:rsidRDefault="00583E48" w:rsidP="00583E48">
      <w:pPr>
        <w:spacing w:after="40" w:line="200" w:lineRule="exact"/>
        <w:ind w:left="397" w:hanging="397"/>
        <w:jc w:val="both"/>
        <w:rPr>
          <w:rFonts w:ascii="Tahoma" w:hAnsi="Tahoma" w:cs="Tahoma"/>
          <w:sz w:val="14"/>
          <w:szCs w:val="14"/>
          <w:rtl/>
        </w:rPr>
      </w:pPr>
      <w:r w:rsidRPr="00583E48">
        <w:rPr>
          <w:rStyle w:val="FootnoteReference"/>
          <w:rFonts w:ascii="Tahoma" w:hAnsi="Tahoma" w:cs="Tahoma"/>
          <w:sz w:val="14"/>
          <w:szCs w:val="14"/>
          <w:vertAlign w:val="baseline"/>
        </w:rPr>
        <w:footnoteRef/>
      </w:r>
      <w:r w:rsidRPr="00583E48">
        <w:rPr>
          <w:rFonts w:ascii="Tahoma" w:hAnsi="Tahoma" w:cs="Tahoma"/>
          <w:sz w:val="14"/>
          <w:szCs w:val="14"/>
          <w:rtl/>
        </w:rPr>
        <w:t xml:space="preserve"> </w:t>
      </w:r>
      <w:r w:rsidRPr="00583E48">
        <w:rPr>
          <w:rFonts w:ascii="Tahoma" w:hAnsi="Tahoma" w:cs="Tahoma"/>
          <w:sz w:val="14"/>
          <w:szCs w:val="14"/>
          <w:rtl/>
        </w:rPr>
        <w:tab/>
      </w:r>
      <w:r w:rsidR="00124912" w:rsidRPr="00124912">
        <w:rPr>
          <w:rFonts w:ascii="Tahoma" w:hAnsi="Tahoma" w:cs="Tahoma" w:hint="eastAsia"/>
          <w:sz w:val="14"/>
          <w:szCs w:val="14"/>
          <w:rtl/>
        </w:rPr>
        <w:t>מנתוני</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סקר</w:t>
      </w:r>
      <w:r w:rsidR="00124912" w:rsidRPr="00124912">
        <w:rPr>
          <w:rFonts w:ascii="Tahoma" w:hAnsi="Tahoma" w:cs="Tahoma"/>
          <w:sz w:val="14"/>
          <w:szCs w:val="14"/>
          <w:rtl/>
        </w:rPr>
        <w:t xml:space="preserve"> </w:t>
      </w:r>
      <w:r w:rsidR="00124912" w:rsidRPr="00124912">
        <w:rPr>
          <w:rFonts w:ascii="Tahoma" w:hAnsi="Tahoma" w:cs="Tahoma"/>
          <w:sz w:val="14"/>
          <w:szCs w:val="14"/>
        </w:rPr>
        <w:t>HBSC</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עולה</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שכ</w:t>
      </w:r>
      <w:r w:rsidR="00124912" w:rsidRPr="00124912">
        <w:rPr>
          <w:rFonts w:ascii="Tahoma" w:hAnsi="Tahoma" w:cs="Tahoma"/>
          <w:sz w:val="14"/>
          <w:szCs w:val="14"/>
          <w:rtl/>
        </w:rPr>
        <w:t xml:space="preserve">-15% </w:t>
      </w:r>
      <w:r w:rsidR="00124912" w:rsidRPr="00124912">
        <w:rPr>
          <w:rFonts w:ascii="Tahoma" w:hAnsi="Tahoma" w:cs="Tahoma" w:hint="eastAsia"/>
          <w:sz w:val="14"/>
          <w:szCs w:val="14"/>
          <w:rtl/>
        </w:rPr>
        <w:t>מהבנים</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וכ</w:t>
      </w:r>
      <w:r w:rsidR="00124912" w:rsidRPr="00124912">
        <w:rPr>
          <w:rFonts w:ascii="Tahoma" w:hAnsi="Tahoma" w:cs="Tahoma"/>
          <w:sz w:val="14"/>
          <w:szCs w:val="14"/>
          <w:rtl/>
        </w:rPr>
        <w:t xml:space="preserve">-6% </w:t>
      </w:r>
      <w:r w:rsidR="00124912" w:rsidRPr="00124912">
        <w:rPr>
          <w:rFonts w:ascii="Tahoma" w:hAnsi="Tahoma" w:cs="Tahoma" w:hint="eastAsia"/>
          <w:sz w:val="14"/>
          <w:szCs w:val="14"/>
          <w:rtl/>
        </w:rPr>
        <w:t>מהבנות</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בכיתות</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י</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עד</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י</w:t>
      </w:r>
      <w:r w:rsidR="00124912" w:rsidRPr="00124912">
        <w:rPr>
          <w:rFonts w:ascii="Tahoma" w:hAnsi="Tahoma" w:cs="Tahoma"/>
          <w:sz w:val="14"/>
          <w:szCs w:val="14"/>
          <w:rtl/>
        </w:rPr>
        <w:t>"</w:t>
      </w:r>
      <w:r w:rsidR="00124912" w:rsidRPr="00124912">
        <w:rPr>
          <w:rFonts w:ascii="Tahoma" w:hAnsi="Tahoma" w:cs="Tahoma" w:hint="eastAsia"/>
          <w:sz w:val="14"/>
          <w:szCs w:val="14"/>
          <w:rtl/>
        </w:rPr>
        <w:t>ב</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דיווחו</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כי</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השתמשו</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בקנאביס</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לפחות</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פעם</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אחת</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בשנה</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שקדמה</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לסקר</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עוד</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עולה</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מהסקר</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כי</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ישנה</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מגמת</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עליה</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באחוז</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התלמידים</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שדיווחו</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על</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כך</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שהשתמשו</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בקנאביס</w:t>
      </w:r>
      <w:r w:rsidR="00124912" w:rsidRPr="00124912">
        <w:rPr>
          <w:rFonts w:ascii="Tahoma" w:hAnsi="Tahoma" w:cs="Tahoma"/>
          <w:sz w:val="14"/>
          <w:szCs w:val="14"/>
          <w:rtl/>
        </w:rPr>
        <w:t xml:space="preserve"> </w:t>
      </w:r>
      <w:r w:rsidR="00124912" w:rsidRPr="00124912">
        <w:rPr>
          <w:rFonts w:ascii="Tahoma" w:hAnsi="Tahoma" w:cs="Tahoma" w:hint="eastAsia"/>
          <w:sz w:val="14"/>
          <w:szCs w:val="14"/>
          <w:rtl/>
        </w:rPr>
        <w:t>אי</w:t>
      </w:r>
      <w:r w:rsidR="00124912" w:rsidRPr="00124912">
        <w:rPr>
          <w:rFonts w:ascii="Tahoma" w:hAnsi="Tahoma" w:cs="Tahoma"/>
          <w:sz w:val="14"/>
          <w:szCs w:val="14"/>
          <w:rtl/>
        </w:rPr>
        <w:t>-</w:t>
      </w:r>
      <w:r w:rsidR="00124912" w:rsidRPr="00124912">
        <w:rPr>
          <w:rFonts w:ascii="Tahoma" w:hAnsi="Tahoma" w:cs="Tahoma" w:hint="eastAsia"/>
          <w:sz w:val="14"/>
          <w:szCs w:val="14"/>
          <w:rtl/>
        </w:rPr>
        <w:t>פעם</w:t>
      </w:r>
      <w:r w:rsidR="00124912" w:rsidRPr="00124912">
        <w:rPr>
          <w:rFonts w:ascii="Tahoma" w:hAnsi="Tahoma" w:cs="Tahoma"/>
          <w:sz w:val="14"/>
          <w:szCs w:val="14"/>
          <w:rtl/>
        </w:rPr>
        <w:t>.</w:t>
      </w:r>
    </w:p>
  </w:footnote>
  <w:footnote w:id="44">
    <w:p w14:paraId="7D1187B3" w14:textId="75C26195" w:rsidR="00583E48" w:rsidRPr="00583E48" w:rsidRDefault="00583E48" w:rsidP="00583E48">
      <w:pPr>
        <w:pStyle w:val="FootnoteText"/>
        <w:ind w:right="0"/>
        <w:rPr>
          <w:rtl/>
        </w:rPr>
      </w:pPr>
      <w:r w:rsidRPr="00583E48">
        <w:rPr>
          <w:rStyle w:val="FootnoteReference"/>
          <w:vertAlign w:val="baseline"/>
        </w:rPr>
        <w:footnoteRef/>
      </w:r>
      <w:r w:rsidRPr="00583E48">
        <w:rPr>
          <w:rtl/>
        </w:rPr>
        <w:t xml:space="preserve"> </w:t>
      </w:r>
      <w:r w:rsidRPr="00583E48">
        <w:rPr>
          <w:rtl/>
        </w:rPr>
        <w:tab/>
        <w:t>הרשות להגנת הפרטיות, סקר בנושא שמירה על פרטיות באינטרנט ובאפליקציות, 2019.</w:t>
      </w:r>
    </w:p>
  </w:footnote>
  <w:footnote w:id="45">
    <w:p w14:paraId="248FD803" w14:textId="43D70B02" w:rsidR="00583E48" w:rsidRPr="00583E48" w:rsidRDefault="00583E48" w:rsidP="00583E48">
      <w:pPr>
        <w:pStyle w:val="FootnoteText"/>
        <w:ind w:right="0"/>
        <w:rPr>
          <w:rtl/>
        </w:rPr>
      </w:pPr>
      <w:r w:rsidRPr="00583E48">
        <w:rPr>
          <w:rStyle w:val="FootnoteReference"/>
          <w:vertAlign w:val="baseline"/>
        </w:rPr>
        <w:footnoteRef/>
      </w:r>
      <w:r w:rsidRPr="00583E48">
        <w:rPr>
          <w:rtl/>
        </w:rPr>
        <w:t xml:space="preserve"> </w:t>
      </w:r>
      <w:r w:rsidRPr="00583E48">
        <w:rPr>
          <w:rtl/>
        </w:rPr>
        <w:tab/>
        <w:t>החלטת ממשלה 1006 מיום 17.1.2016.</w:t>
      </w:r>
    </w:p>
  </w:footnote>
  <w:footnote w:id="46">
    <w:p w14:paraId="3D5EB9D7" w14:textId="2F3CA246" w:rsidR="00583E48" w:rsidRPr="00583E48" w:rsidRDefault="00583E48" w:rsidP="00583E48">
      <w:pPr>
        <w:pStyle w:val="FootnoteText"/>
        <w:ind w:right="0"/>
      </w:pPr>
      <w:r w:rsidRPr="00583E48">
        <w:rPr>
          <w:rStyle w:val="FootnoteReference"/>
          <w:vertAlign w:val="baseline"/>
        </w:rPr>
        <w:footnoteRef/>
      </w:r>
      <w:r w:rsidRPr="00583E48">
        <w:rPr>
          <w:rtl/>
        </w:rPr>
        <w:t xml:space="preserve"> </w:t>
      </w:r>
      <w:r w:rsidRPr="00583E48">
        <w:rPr>
          <w:rtl/>
        </w:rPr>
        <w:tab/>
        <w:t xml:space="preserve">החלטת הממשלה 31, "הקמת המשרד לחיזוק וקידום קהילתי ותיקון החלטת ממשלה", מיום 31.5.2020. </w:t>
      </w:r>
    </w:p>
  </w:footnote>
  <w:footnote w:id="47">
    <w:p w14:paraId="760C4345" w14:textId="2BCC763A" w:rsidR="00583E48" w:rsidRPr="00583E48" w:rsidRDefault="00583E48" w:rsidP="00583E48">
      <w:pPr>
        <w:pStyle w:val="FootnoteText"/>
        <w:ind w:right="0"/>
      </w:pPr>
      <w:r w:rsidRPr="00583E48">
        <w:rPr>
          <w:rStyle w:val="FootnoteReference"/>
          <w:vertAlign w:val="baseline"/>
        </w:rPr>
        <w:footnoteRef/>
      </w:r>
      <w:r w:rsidRPr="00583E48">
        <w:rPr>
          <w:rtl/>
        </w:rPr>
        <w:t xml:space="preserve"> </w:t>
      </w:r>
      <w:r w:rsidRPr="00583E48">
        <w:rPr>
          <w:rtl/>
        </w:rPr>
        <w:tab/>
        <w:t>החלטת הממשלה 137, "העברת שטח פעולה ממשרד למשרד; ביטול המשרד לחיזוק ולקידום קהילתי; שינוי חלוקת התפקידים בין השרים ותיקון החלטת ממשלה", מיום 19.7.21.</w:t>
      </w:r>
    </w:p>
  </w:footnote>
  <w:footnote w:id="48">
    <w:p w14:paraId="4F7DA9EC" w14:textId="37A6E6C0" w:rsidR="00583E48" w:rsidRPr="00583E48" w:rsidRDefault="00583E48" w:rsidP="00583E48">
      <w:pPr>
        <w:pStyle w:val="FootnoteText"/>
        <w:ind w:right="0"/>
      </w:pPr>
      <w:r w:rsidRPr="00583E48">
        <w:rPr>
          <w:rStyle w:val="FootnoteReference"/>
          <w:vertAlign w:val="baseline"/>
        </w:rPr>
        <w:footnoteRef/>
      </w:r>
      <w:r w:rsidRPr="00583E48">
        <w:rPr>
          <w:rtl/>
        </w:rPr>
        <w:t xml:space="preserve"> </w:t>
      </w:r>
      <w:r w:rsidRPr="00583E48">
        <w:rPr>
          <w:rtl/>
        </w:rPr>
        <w:tab/>
        <w:t>בכלל זה, לצד פעולות האכיפה שנעשות ביחידה 105 נעשות פעולות בעניין זה גם במחוזות ובתחנות המשטרה.</w:t>
      </w:r>
    </w:p>
  </w:footnote>
  <w:footnote w:id="49">
    <w:p w14:paraId="22ECA651" w14:textId="6073756D" w:rsidR="00583E48" w:rsidRPr="00583E48" w:rsidRDefault="00583E48" w:rsidP="00583E48">
      <w:pPr>
        <w:pStyle w:val="FootnoteText"/>
        <w:ind w:right="0"/>
      </w:pPr>
      <w:r w:rsidRPr="00583E48">
        <w:rPr>
          <w:rStyle w:val="FootnoteReference"/>
          <w:vertAlign w:val="baseline"/>
        </w:rPr>
        <w:footnoteRef/>
      </w:r>
      <w:r w:rsidRPr="00583E48">
        <w:rPr>
          <w:rtl/>
        </w:rPr>
        <w:t xml:space="preserve"> </w:t>
      </w:r>
      <w:r w:rsidRPr="00583E48">
        <w:rPr>
          <w:rtl/>
        </w:rPr>
        <w:tab/>
        <w:t xml:space="preserve">ראו דוחות מבקר המדינה "היערכות משרד החינוך לשוק העבודה המשתנה" ו"הקניית אוריינות דיגיטלית לאורך השנים", במסגרת מקבץ דוחות בנושא המוכנות לשוק העבודה המשתנה, שפורסם </w:t>
      </w:r>
      <w:r w:rsidRPr="00583E48">
        <w:rPr>
          <w:b/>
          <w:bCs/>
          <w:rtl/>
        </w:rPr>
        <w:t xml:space="preserve">בדוח שנתי 71ב </w:t>
      </w:r>
      <w:r w:rsidRPr="00583E48">
        <w:rPr>
          <w:rtl/>
        </w:rPr>
        <w:t>(מרץ 2021).</w:t>
      </w:r>
    </w:p>
  </w:footnote>
  <w:footnote w:id="50">
    <w:p w14:paraId="6BB53442" w14:textId="2EE06B5B" w:rsidR="00583E48" w:rsidRPr="00583E48" w:rsidRDefault="00583E48" w:rsidP="00583E48">
      <w:pPr>
        <w:pStyle w:val="FootnoteText"/>
        <w:ind w:right="0"/>
        <w:rPr>
          <w:rtl/>
        </w:rPr>
      </w:pPr>
      <w:r w:rsidRPr="00583E48">
        <w:rPr>
          <w:rStyle w:val="FootnoteReference"/>
          <w:vertAlign w:val="baseline"/>
        </w:rPr>
        <w:footnoteRef/>
      </w:r>
      <w:r w:rsidRPr="00583E48">
        <w:rPr>
          <w:rtl/>
        </w:rPr>
        <w:t xml:space="preserve"> </w:t>
      </w:r>
      <w:r w:rsidRPr="00583E48">
        <w:rPr>
          <w:rtl/>
        </w:rPr>
        <w:tab/>
        <w:t>משרד מבקר המדינה הסתייע בחברת "</w:t>
      </w:r>
      <w:proofErr w:type="spellStart"/>
      <w:r w:rsidRPr="00583E48">
        <w:rPr>
          <w:rtl/>
        </w:rPr>
        <w:t>סי.איי</w:t>
      </w:r>
      <w:proofErr w:type="spellEnd"/>
      <w:r w:rsidRPr="00583E48">
        <w:rPr>
          <w:rtl/>
        </w:rPr>
        <w:t>. מידע שיווקי" בגיבוש השאלון, בהפצתו למנהלים, באיסוף תשובותיהם ובעיבודן.</w:t>
      </w:r>
    </w:p>
  </w:footnote>
  <w:footnote w:id="51">
    <w:p w14:paraId="21A2C915" w14:textId="0D6C2681" w:rsidR="00583E48" w:rsidRPr="00583E48" w:rsidRDefault="00583E48" w:rsidP="00583E48">
      <w:pPr>
        <w:pStyle w:val="FootnoteText"/>
        <w:ind w:right="0"/>
        <w:rPr>
          <w:rtl/>
        </w:rPr>
      </w:pPr>
      <w:r w:rsidRPr="00583E48">
        <w:rPr>
          <w:rStyle w:val="FootnoteReference"/>
          <w:vertAlign w:val="baseline"/>
        </w:rPr>
        <w:footnoteRef/>
      </w:r>
      <w:r w:rsidRPr="00583E48">
        <w:rPr>
          <w:rtl/>
        </w:rPr>
        <w:t xml:space="preserve"> </w:t>
      </w:r>
      <w:r w:rsidRPr="00583E48">
        <w:rPr>
          <w:rtl/>
        </w:rPr>
        <w:tab/>
        <w:t xml:space="preserve">שיטת הדגימה הייתה הסתברותית אקראית; טכניקת הפצת השאלון ואיסוף המידע התבצעה על גבי הפאנל האינטרנטי של חברת </w:t>
      </w:r>
      <w:proofErr w:type="spellStart"/>
      <w:r w:rsidRPr="00583E48">
        <w:rPr>
          <w:rtl/>
        </w:rPr>
        <w:t>סי.איי</w:t>
      </w:r>
      <w:proofErr w:type="spellEnd"/>
      <w:r w:rsidR="00124912">
        <w:rPr>
          <w:rFonts w:hint="cs"/>
          <w:rtl/>
        </w:rPr>
        <w:t>.</w:t>
      </w:r>
      <w:r w:rsidRPr="00583E48">
        <w:rPr>
          <w:rtl/>
        </w:rPr>
        <w:t xml:space="preserve"> מידע שיווקי. טעות הדגימה 4.3%</w:t>
      </w:r>
      <w:r w:rsidRPr="00583E48">
        <w:rPr>
          <w:u w:val="single"/>
          <w:rtl/>
        </w:rPr>
        <w:t>+</w:t>
      </w:r>
      <w:r w:rsidRPr="00583E48">
        <w:rPr>
          <w:rtl/>
        </w:rPr>
        <w:t xml:space="preserve">. </w:t>
      </w:r>
    </w:p>
  </w:footnote>
  <w:footnote w:id="52">
    <w:p w14:paraId="7D08DCE7" w14:textId="2FD1C370" w:rsidR="00583E48" w:rsidRPr="00583E48" w:rsidRDefault="00583E48" w:rsidP="00583E48">
      <w:pPr>
        <w:pStyle w:val="FootnoteText"/>
        <w:ind w:right="0"/>
        <w:rPr>
          <w:rtl/>
        </w:rPr>
      </w:pPr>
      <w:r w:rsidRPr="00583E48">
        <w:rPr>
          <w:rStyle w:val="FootnoteReference"/>
          <w:vertAlign w:val="baseline"/>
        </w:rPr>
        <w:footnoteRef/>
      </w:r>
      <w:r w:rsidRPr="00583E48">
        <w:rPr>
          <w:rtl/>
        </w:rPr>
        <w:t xml:space="preserve"> </w:t>
      </w:r>
      <w:r w:rsidRPr="00583E48">
        <w:rPr>
          <w:rtl/>
        </w:rPr>
        <w:tab/>
        <w:t>במפגישה השתתפו 15 תלמידים בגילים 15 עד 17 מבתי"ס ומחוזות שונים.</w:t>
      </w:r>
    </w:p>
  </w:footnote>
  <w:footnote w:id="53">
    <w:p w14:paraId="580F858C" w14:textId="0D8DF38E" w:rsidR="00583E48" w:rsidRPr="00583E48" w:rsidRDefault="00583E48" w:rsidP="00583E48">
      <w:pPr>
        <w:pStyle w:val="FootnoteText"/>
        <w:ind w:right="0"/>
      </w:pPr>
      <w:r w:rsidRPr="00583E48">
        <w:rPr>
          <w:rStyle w:val="FootnoteReference"/>
          <w:vertAlign w:val="baseline"/>
        </w:rPr>
        <w:footnoteRef/>
      </w:r>
      <w:r w:rsidRPr="00583E48">
        <w:rPr>
          <w:rtl/>
        </w:rPr>
        <w:t xml:space="preserve"> </w:t>
      </w:r>
      <w:r w:rsidRPr="00583E48">
        <w:rPr>
          <w:rtl/>
        </w:rPr>
        <w:tab/>
        <w:t xml:space="preserve">מבצע צבאי ברצועת עזה שהחל ב-10.5.21 (יום ירושלים, כ"ח באייר </w:t>
      </w:r>
      <w:proofErr w:type="spellStart"/>
      <w:r w:rsidRPr="00583E48">
        <w:rPr>
          <w:rtl/>
        </w:rPr>
        <w:t>התשפ"א</w:t>
      </w:r>
      <w:proofErr w:type="spellEnd"/>
      <w:r w:rsidRPr="00583E48">
        <w:rPr>
          <w:rtl/>
        </w:rPr>
        <w:t>) ונמשך עד 21.5.21 בשעה 02:00.</w:t>
      </w:r>
    </w:p>
  </w:footnote>
  <w:footnote w:id="54">
    <w:p w14:paraId="668340F8" w14:textId="3A6957B3" w:rsidR="00583E48" w:rsidRPr="00583E48" w:rsidRDefault="00583E48" w:rsidP="00583E48">
      <w:pPr>
        <w:pStyle w:val="FootnoteText"/>
        <w:ind w:right="0"/>
      </w:pPr>
      <w:r w:rsidRPr="00583E48">
        <w:rPr>
          <w:rStyle w:val="FootnoteReference"/>
          <w:vertAlign w:val="baseline"/>
        </w:rPr>
        <w:footnoteRef/>
      </w:r>
      <w:r w:rsidRPr="00583E48">
        <w:rPr>
          <w:rtl/>
        </w:rPr>
        <w:t xml:space="preserve"> </w:t>
      </w:r>
      <w:r w:rsidRPr="00583E48">
        <w:rPr>
          <w:rtl/>
        </w:rPr>
        <w:tab/>
        <w:t>ראו להלן בדוח זה בפרק "יישום חוזר אח"ם, תוכנית 'חיים ברשת' ותוכנית 'כישורי חיים' בבתי הספר".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3E00B" w14:textId="614C71DA" w:rsidR="00E13A8C" w:rsidRDefault="00E13A8C" w:rsidP="00624B39">
    <w:pPr>
      <w:pStyle w:val="Header"/>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59776" behindDoc="1" locked="0" layoutInCell="1" allowOverlap="1" wp14:anchorId="0A36CDB5" wp14:editId="6D9BB6A9">
          <wp:simplePos x="1110343" y="1338943"/>
          <wp:positionH relativeFrom="page">
            <wp:align>center</wp:align>
          </wp:positionH>
          <wp:positionV relativeFrom="page">
            <wp:align>center</wp:align>
          </wp:positionV>
          <wp:extent cx="7549200" cy="1067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5D3420">
      <w:rPr>
        <w:rFonts w:ascii="Tahoma" w:eastAsiaTheme="majorEastAsia" w:hAnsi="Tahoma" w:cs="Tahoma" w:hint="eastAsia"/>
        <w:noProof/>
        <w:color w:val="0D0D0D" w:themeColor="text1" w:themeTint="F2"/>
        <w:sz w:val="16"/>
        <w:szCs w:val="16"/>
        <w:rtl/>
        <w:lang w:val="he-IL"/>
      </w:rPr>
      <w:t>הגנה</w:t>
    </w:r>
    <w:r w:rsidRPr="005D3420">
      <w:rPr>
        <w:rFonts w:ascii="Tahoma" w:eastAsiaTheme="majorEastAsia" w:hAnsi="Tahoma" w:cs="Tahoma"/>
        <w:noProof/>
        <w:color w:val="0D0D0D" w:themeColor="text1" w:themeTint="F2"/>
        <w:sz w:val="16"/>
        <w:szCs w:val="16"/>
        <w:rtl/>
        <w:lang w:val="he-IL"/>
      </w:rPr>
      <w:t xml:space="preserve"> </w:t>
    </w:r>
    <w:r w:rsidRPr="005D3420">
      <w:rPr>
        <w:rFonts w:ascii="Tahoma" w:eastAsiaTheme="majorEastAsia" w:hAnsi="Tahoma" w:cs="Tahoma" w:hint="eastAsia"/>
        <w:noProof/>
        <w:color w:val="0D0D0D" w:themeColor="text1" w:themeTint="F2"/>
        <w:sz w:val="16"/>
        <w:szCs w:val="16"/>
        <w:rtl/>
        <w:lang w:val="he-IL"/>
      </w:rPr>
      <w:t>על</w:t>
    </w:r>
    <w:r w:rsidRPr="005D3420">
      <w:rPr>
        <w:rFonts w:ascii="Tahoma" w:eastAsiaTheme="majorEastAsia" w:hAnsi="Tahoma" w:cs="Tahoma"/>
        <w:noProof/>
        <w:color w:val="0D0D0D" w:themeColor="text1" w:themeTint="F2"/>
        <w:sz w:val="16"/>
        <w:szCs w:val="16"/>
        <w:rtl/>
        <w:lang w:val="he-IL"/>
      </w:rPr>
      <w:t xml:space="preserve"> </w:t>
    </w:r>
    <w:r w:rsidRPr="005D3420">
      <w:rPr>
        <w:rFonts w:ascii="Tahoma" w:eastAsiaTheme="majorEastAsia" w:hAnsi="Tahoma" w:cs="Tahoma" w:hint="eastAsia"/>
        <w:noProof/>
        <w:color w:val="0D0D0D" w:themeColor="text1" w:themeTint="F2"/>
        <w:sz w:val="16"/>
        <w:szCs w:val="16"/>
        <w:rtl/>
        <w:lang w:val="he-IL"/>
      </w:rPr>
      <w:t>קטינים</w:t>
    </w:r>
    <w:r w:rsidRPr="005D3420">
      <w:rPr>
        <w:rFonts w:ascii="Tahoma" w:eastAsiaTheme="majorEastAsia" w:hAnsi="Tahoma" w:cs="Tahoma"/>
        <w:noProof/>
        <w:color w:val="0D0D0D" w:themeColor="text1" w:themeTint="F2"/>
        <w:sz w:val="16"/>
        <w:szCs w:val="16"/>
        <w:rtl/>
        <w:lang w:val="he-IL"/>
      </w:rPr>
      <w:t xml:space="preserve"> </w:t>
    </w:r>
    <w:r w:rsidRPr="005D3420">
      <w:rPr>
        <w:rFonts w:ascii="Tahoma" w:eastAsiaTheme="majorEastAsia" w:hAnsi="Tahoma" w:cs="Tahoma" w:hint="eastAsia"/>
        <w:noProof/>
        <w:color w:val="0D0D0D" w:themeColor="text1" w:themeTint="F2"/>
        <w:sz w:val="16"/>
        <w:szCs w:val="16"/>
        <w:rtl/>
        <w:lang w:val="he-IL"/>
      </w:rPr>
      <w:t>במרחב</w:t>
    </w:r>
    <w:r w:rsidRPr="005D3420">
      <w:rPr>
        <w:rFonts w:ascii="Tahoma" w:eastAsiaTheme="majorEastAsia" w:hAnsi="Tahoma" w:cs="Tahoma"/>
        <w:noProof/>
        <w:color w:val="0D0D0D" w:themeColor="text1" w:themeTint="F2"/>
        <w:sz w:val="16"/>
        <w:szCs w:val="16"/>
        <w:rtl/>
        <w:lang w:val="he-IL"/>
      </w:rPr>
      <w:t xml:space="preserve"> </w:t>
    </w:r>
    <w:r w:rsidRPr="005D3420">
      <w:rPr>
        <w:rFonts w:ascii="Tahoma" w:eastAsiaTheme="majorEastAsia" w:hAnsi="Tahoma" w:cs="Tahoma" w:hint="eastAsia"/>
        <w:noProof/>
        <w:color w:val="0D0D0D" w:themeColor="text1" w:themeTint="F2"/>
        <w:sz w:val="16"/>
        <w:szCs w:val="16"/>
        <w:rtl/>
        <w:lang w:val="he-IL"/>
      </w:rPr>
      <w:t>המקוון</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19474" w14:textId="5FB4AF92" w:rsidR="00D8333F" w:rsidRPr="007C237A" w:rsidRDefault="00D36866"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57728" behindDoc="1" locked="0" layoutInCell="1" allowOverlap="1" wp14:anchorId="31C06525" wp14:editId="09BB665C">
          <wp:simplePos x="0" y="0"/>
          <wp:positionH relativeFrom="page">
            <wp:align>center</wp:align>
          </wp:positionH>
          <wp:positionV relativeFrom="page">
            <wp:align>center</wp:align>
          </wp:positionV>
          <wp:extent cx="7549200" cy="10670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D8333F"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5680" behindDoc="0" locked="0" layoutInCell="1" allowOverlap="1" wp14:anchorId="5D025CBD" wp14:editId="75529FBA">
              <wp:simplePos x="0" y="0"/>
              <wp:positionH relativeFrom="column">
                <wp:posOffset>-763270</wp:posOffset>
              </wp:positionH>
              <wp:positionV relativeFrom="paragraph">
                <wp:posOffset>323215</wp:posOffset>
              </wp:positionV>
              <wp:extent cx="546100" cy="672465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3BE4BC81" w14:textId="5FA31B87" w:rsidR="00D8333F" w:rsidRPr="00D8333F" w:rsidRDefault="00D8333F"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sidR="00FB5154">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D8333F">
                            <w:rPr>
                              <w:rFonts w:ascii="Tahoma" w:hAnsi="Tahoma" w:cs="Tahoma" w:hint="eastAsia"/>
                              <w:b/>
                              <w:bCs/>
                              <w:color w:val="FFFFFF" w:themeColor="background1"/>
                              <w:w w:val="95"/>
                              <w:sz w:val="24"/>
                              <w:szCs w:val="24"/>
                              <w:rtl/>
                            </w:rPr>
                            <w:t>הסביבה</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הלימודית</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בבתי</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הספר</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העל</w:t>
                          </w:r>
                          <w:r w:rsidRPr="00D8333F">
                            <w:rPr>
                              <w:rFonts w:ascii="Tahoma" w:hAnsi="Tahoma" w:cs="Tahoma"/>
                              <w:b/>
                              <w:bCs/>
                              <w:color w:val="FFFFFF" w:themeColor="background1"/>
                              <w:w w:val="95"/>
                              <w:sz w:val="24"/>
                              <w:szCs w:val="24"/>
                              <w:rtl/>
                            </w:rPr>
                            <w:t>-</w:t>
                          </w:r>
                          <w:r w:rsidRPr="00D8333F">
                            <w:rPr>
                              <w:rFonts w:ascii="Tahoma" w:hAnsi="Tahoma" w:cs="Tahoma" w:hint="eastAsia"/>
                              <w:b/>
                              <w:bCs/>
                              <w:color w:val="FFFFFF" w:themeColor="background1"/>
                              <w:w w:val="95"/>
                              <w:sz w:val="24"/>
                              <w:szCs w:val="24"/>
                              <w:rtl/>
                            </w:rPr>
                            <w:t>יסודיים</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כתשתית</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להקניית</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מיומנויות</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המאה</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ה</w:t>
                          </w:r>
                          <w:r w:rsidRPr="00D8333F">
                            <w:rPr>
                              <w:rFonts w:ascii="Tahoma" w:hAnsi="Tahoma" w:cs="Tahoma"/>
                              <w:b/>
                              <w:bCs/>
                              <w:color w:val="FFFFFF" w:themeColor="background1"/>
                              <w:w w:val="95"/>
                              <w:sz w:val="24"/>
                              <w:szCs w:val="24"/>
                              <w:rtl/>
                            </w:rPr>
                            <w:t>-21</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025CBD" id="_x0000_t202" coordsize="21600,21600" o:spt="202" path="m,l,21600r21600,l21600,xe">
              <v:stroke joinstyle="miter"/>
              <v:path gradientshapeok="t" o:connecttype="rect"/>
            </v:shapetype>
            <v:shape id="_x0000_s1029" type="#_x0000_t202" style="position:absolute;margin-left:-60.1pt;margin-top:25.45pt;width:43pt;height:52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" filled="f" stroked="f">
              <v:textbox style="layout-flow:vertical;mso-layout-flow-alt:bottom-to-top">
                <w:txbxContent>
                  <w:p w14:paraId="3BE4BC81" w14:textId="5FA31B87" w:rsidR="00D8333F" w:rsidRPr="00D8333F" w:rsidRDefault="00D8333F"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sidR="00FB5154">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D8333F">
                      <w:rPr>
                        <w:rFonts w:ascii="Tahoma" w:hAnsi="Tahoma" w:cs="Tahoma" w:hint="eastAsia"/>
                        <w:b/>
                        <w:bCs/>
                        <w:color w:val="FFFFFF" w:themeColor="background1"/>
                        <w:w w:val="95"/>
                        <w:sz w:val="24"/>
                        <w:szCs w:val="24"/>
                        <w:rtl/>
                      </w:rPr>
                      <w:t>הסביבה</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הלימודית</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בבתי</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הספר</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העל</w:t>
                    </w:r>
                    <w:r w:rsidRPr="00D8333F">
                      <w:rPr>
                        <w:rFonts w:ascii="Tahoma" w:hAnsi="Tahoma" w:cs="Tahoma"/>
                        <w:b/>
                        <w:bCs/>
                        <w:color w:val="FFFFFF" w:themeColor="background1"/>
                        <w:w w:val="95"/>
                        <w:sz w:val="24"/>
                        <w:szCs w:val="24"/>
                        <w:rtl/>
                      </w:rPr>
                      <w:t>-</w:t>
                    </w:r>
                    <w:r w:rsidRPr="00D8333F">
                      <w:rPr>
                        <w:rFonts w:ascii="Tahoma" w:hAnsi="Tahoma" w:cs="Tahoma" w:hint="eastAsia"/>
                        <w:b/>
                        <w:bCs/>
                        <w:color w:val="FFFFFF" w:themeColor="background1"/>
                        <w:w w:val="95"/>
                        <w:sz w:val="24"/>
                        <w:szCs w:val="24"/>
                        <w:rtl/>
                      </w:rPr>
                      <w:t>יסודיים</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כתשתית</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להקניית</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מיומנויות</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המאה</w:t>
                    </w:r>
                    <w:r w:rsidRPr="00D8333F">
                      <w:rPr>
                        <w:rFonts w:ascii="Tahoma" w:hAnsi="Tahoma" w:cs="Tahoma"/>
                        <w:b/>
                        <w:bCs/>
                        <w:color w:val="FFFFFF" w:themeColor="background1"/>
                        <w:w w:val="95"/>
                        <w:sz w:val="24"/>
                        <w:szCs w:val="24"/>
                        <w:rtl/>
                      </w:rPr>
                      <w:t xml:space="preserve"> </w:t>
                    </w:r>
                    <w:r w:rsidRPr="00D8333F">
                      <w:rPr>
                        <w:rFonts w:ascii="Tahoma" w:hAnsi="Tahoma" w:cs="Tahoma" w:hint="eastAsia"/>
                        <w:b/>
                        <w:bCs/>
                        <w:color w:val="FFFFFF" w:themeColor="background1"/>
                        <w:w w:val="95"/>
                        <w:sz w:val="24"/>
                        <w:szCs w:val="24"/>
                        <w:rtl/>
                      </w:rPr>
                      <w:t>ה</w:t>
                    </w:r>
                    <w:r w:rsidRPr="00D8333F">
                      <w:rPr>
                        <w:rFonts w:ascii="Tahoma" w:hAnsi="Tahoma" w:cs="Tahoma"/>
                        <w:b/>
                        <w:bCs/>
                        <w:color w:val="FFFFFF" w:themeColor="background1"/>
                        <w:w w:val="95"/>
                        <w:sz w:val="24"/>
                        <w:szCs w:val="24"/>
                        <w:rtl/>
                      </w:rPr>
                      <w:t>-21</w:t>
                    </w:r>
                  </w:p>
                </w:txbxContent>
              </v:textbox>
            </v:shape>
          </w:pict>
        </mc:Fallback>
      </mc:AlternateContent>
    </w:r>
    <w:r w:rsidR="00253904" w:rsidRPr="006061A9">
      <w:rPr>
        <w:rFonts w:ascii="Tahoma" w:eastAsiaTheme="majorEastAsia" w:hAnsi="Tahoma" w:cs="Tahoma" w:hint="cs"/>
        <w:noProof/>
        <w:color w:val="0D0D0D" w:themeColor="text1" w:themeTint="F2"/>
        <w:sz w:val="16"/>
        <w:szCs w:val="16"/>
        <w:rtl/>
      </w:rPr>
      <w:t xml:space="preserve">מבקר המדינה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דוח </w:t>
    </w:r>
    <w:r w:rsidR="00253904">
      <w:rPr>
        <w:rFonts w:ascii="Tahoma" w:eastAsiaTheme="majorEastAsia" w:hAnsi="Tahoma" w:cs="Tahoma" w:hint="cs"/>
        <w:noProof/>
        <w:color w:val="0D0D0D" w:themeColor="text1" w:themeTint="F2"/>
        <w:sz w:val="16"/>
        <w:szCs w:val="16"/>
        <w:rtl/>
      </w:rPr>
      <w:t xml:space="preserve">ביקורת </w:t>
    </w:r>
    <w:r w:rsidR="00253904" w:rsidRPr="006061A9">
      <w:rPr>
        <w:rFonts w:ascii="Tahoma" w:eastAsiaTheme="majorEastAsia" w:hAnsi="Tahoma" w:cs="Tahoma" w:hint="cs"/>
        <w:noProof/>
        <w:color w:val="0D0D0D" w:themeColor="text1" w:themeTint="F2"/>
        <w:sz w:val="16"/>
        <w:szCs w:val="16"/>
        <w:rtl/>
      </w:rPr>
      <w:t xml:space="preserve">שנתי 70ב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התשפ"א-2021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DBF1" w14:textId="1C3F926C" w:rsidR="003C0AAE" w:rsidRPr="007C237A" w:rsidRDefault="00257AD2" w:rsidP="00624B39">
    <w:pPr>
      <w:pStyle w:val="Header"/>
      <w:spacing w:before="240" w:after="180"/>
      <w:ind w:right="624"/>
      <w:jc w:val="right"/>
      <w:rPr>
        <w:rFonts w:ascii="Tahoma" w:eastAsiaTheme="majorEastAsia" w:hAnsi="Tahoma" w:cs="Tahoma"/>
        <w:noProof/>
        <w:color w:val="231F20"/>
        <w:sz w:val="16"/>
        <w:szCs w:val="16"/>
      </w:rPr>
    </w:pP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7216" behindDoc="0" locked="0" layoutInCell="1" allowOverlap="1" wp14:anchorId="4A492120" wp14:editId="7DC68745">
              <wp:simplePos x="0" y="0"/>
              <wp:positionH relativeFrom="column">
                <wp:posOffset>-748030</wp:posOffset>
              </wp:positionH>
              <wp:positionV relativeFrom="paragraph">
                <wp:posOffset>323215</wp:posOffset>
              </wp:positionV>
              <wp:extent cx="590550" cy="6724650"/>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6724650"/>
                      </a:xfrm>
                      <a:prstGeom prst="rect">
                        <a:avLst/>
                      </a:prstGeom>
                      <a:noFill/>
                      <a:ln w="9525">
                        <a:noFill/>
                        <a:miter lim="800000"/>
                        <a:headEnd/>
                        <a:tailEnd/>
                      </a:ln>
                    </wps:spPr>
                    <wps:txbx>
                      <w:txbxContent>
                        <w:p w14:paraId="63BFF7B4" w14:textId="5AA694C5" w:rsidR="003C0AAE" w:rsidRPr="00D8333F" w:rsidRDefault="003C0AAE"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00583E48">
                            <w:rPr>
                              <w:rFonts w:ascii="Tahoma" w:hAnsi="Tahoma" w:cs="Tahoma" w:hint="cs"/>
                              <w:b/>
                              <w:bCs/>
                              <w:color w:val="FFFFFF" w:themeColor="background1"/>
                              <w:w w:val="95"/>
                              <w:sz w:val="24"/>
                              <w:szCs w:val="24"/>
                              <w:rtl/>
                            </w:rPr>
                            <w:t>מבוא</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92120" id="_x0000_t202" coordsize="21600,21600" o:spt="202" path="m,l,21600r21600,l21600,xe">
              <v:stroke joinstyle="miter"/>
              <v:path gradientshapeok="t" o:connecttype="rect"/>
            </v:shapetype>
            <v:shape id="_x0000_s1030" type="#_x0000_t202" style="position:absolute;margin-left:-58.9pt;margin-top:25.45pt;width:46.5pt;height:5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" filled="f" stroked="f">
              <v:textbox style="layout-flow:vertical;mso-layout-flow-alt:bottom-to-top">
                <w:txbxContent>
                  <w:p w14:paraId="63BFF7B4" w14:textId="5AA694C5" w:rsidR="003C0AAE" w:rsidRPr="00D8333F" w:rsidRDefault="003C0AAE"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00583E48">
                      <w:rPr>
                        <w:rFonts w:ascii="Tahoma" w:hAnsi="Tahoma" w:cs="Tahoma" w:hint="cs"/>
                        <w:b/>
                        <w:bCs/>
                        <w:color w:val="FFFFFF" w:themeColor="background1"/>
                        <w:w w:val="95"/>
                        <w:sz w:val="24"/>
                        <w:szCs w:val="24"/>
                        <w:rtl/>
                      </w:rPr>
                      <w:t>מבוא</w:t>
                    </w:r>
                  </w:p>
                </w:txbxContent>
              </v:textbox>
            </v:shape>
          </w:pict>
        </mc:Fallback>
      </mc:AlternateContent>
    </w:r>
    <w:r w:rsidR="00CF68E5">
      <w:rPr>
        <w:rFonts w:ascii="Tahoma" w:eastAsiaTheme="majorEastAsia" w:hAnsi="Tahoma" w:cs="Tahoma" w:hint="cs"/>
        <w:noProof/>
        <w:color w:val="0D0D0D" w:themeColor="text1" w:themeTint="F2"/>
        <w:sz w:val="16"/>
        <w:szCs w:val="16"/>
        <w:rtl/>
        <w:lang w:val="he-IL"/>
      </w:rPr>
      <w:drawing>
        <wp:anchor distT="0" distB="0" distL="114300" distR="114300" simplePos="0" relativeHeight="251659264" behindDoc="1" locked="0" layoutInCell="1" allowOverlap="1" wp14:anchorId="03048A31" wp14:editId="44406710">
          <wp:simplePos x="0" y="0"/>
          <wp:positionH relativeFrom="page">
            <wp:align>center</wp:align>
          </wp:positionH>
          <wp:positionV relativeFrom="page">
            <wp:align>center</wp:align>
          </wp:positionV>
          <wp:extent cx="7549200" cy="10670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51115F">
      <w:rPr>
        <w:rFonts w:ascii="Tahoma" w:eastAsiaTheme="majorEastAsia" w:hAnsi="Tahoma" w:cs="Tahoma" w:hint="cs"/>
        <w:noProof/>
        <w:color w:val="0D0D0D" w:themeColor="text1" w:themeTint="F2"/>
        <w:sz w:val="16"/>
        <w:szCs w:val="16"/>
        <w:rtl/>
      </w:rPr>
      <w:t>מב</w:t>
    </w:r>
    <w:r w:rsidR="00253904" w:rsidRPr="006061A9">
      <w:rPr>
        <w:rFonts w:ascii="Tahoma" w:eastAsiaTheme="majorEastAsia" w:hAnsi="Tahoma" w:cs="Tahoma" w:hint="cs"/>
        <w:noProof/>
        <w:color w:val="0D0D0D" w:themeColor="text1" w:themeTint="F2"/>
        <w:sz w:val="16"/>
        <w:szCs w:val="16"/>
        <w:rtl/>
      </w:rPr>
      <w:t xml:space="preserve">קר המדינה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דוח </w:t>
    </w:r>
    <w:r w:rsidR="00253904">
      <w:rPr>
        <w:rFonts w:ascii="Tahoma" w:eastAsiaTheme="majorEastAsia" w:hAnsi="Tahoma" w:cs="Tahoma" w:hint="cs"/>
        <w:noProof/>
        <w:color w:val="0D0D0D" w:themeColor="text1" w:themeTint="F2"/>
        <w:sz w:val="16"/>
        <w:szCs w:val="16"/>
        <w:rtl/>
      </w:rPr>
      <w:t xml:space="preserve">ביקורת </w:t>
    </w:r>
    <w:r w:rsidR="00E13A8C">
      <w:rPr>
        <w:rFonts w:ascii="Tahoma" w:eastAsiaTheme="majorEastAsia" w:hAnsi="Tahoma" w:cs="Tahoma" w:hint="cs"/>
        <w:noProof/>
        <w:color w:val="0D0D0D" w:themeColor="text1" w:themeTint="F2"/>
        <w:sz w:val="16"/>
        <w:szCs w:val="16"/>
        <w:rtl/>
      </w:rPr>
      <w:t>מיוחד</w:t>
    </w:r>
    <w:r>
      <w:rPr>
        <w:rFonts w:ascii="Tahoma" w:eastAsiaTheme="majorEastAsia" w:hAnsi="Tahoma" w:cs="Tahoma" w:hint="cs"/>
        <w:noProof/>
        <w:color w:val="0D0D0D" w:themeColor="text1" w:themeTint="F2"/>
        <w:sz w:val="16"/>
        <w:szCs w:val="16"/>
        <w:rtl/>
      </w:rPr>
      <w:t xml:space="preserve">  |  התשפ"ב-2022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92A7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94F5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4C2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4EE1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8E50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FEA2B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7060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A24D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46C2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38E2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76AED"/>
    <w:multiLevelType w:val="multilevel"/>
    <w:tmpl w:val="6A1E915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06B5046D"/>
    <w:multiLevelType w:val="multilevel"/>
    <w:tmpl w:val="F5A0B52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15:restartNumberingAfterBreak="0">
    <w:nsid w:val="07310D19"/>
    <w:multiLevelType w:val="multilevel"/>
    <w:tmpl w:val="B276CCF8"/>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15:restartNumberingAfterBreak="0">
    <w:nsid w:val="0A504E96"/>
    <w:multiLevelType w:val="multilevel"/>
    <w:tmpl w:val="80DE2CE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1AD46BEB"/>
    <w:multiLevelType w:val="multilevel"/>
    <w:tmpl w:val="F5A0B52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1D9D4D3F"/>
    <w:multiLevelType w:val="multilevel"/>
    <w:tmpl w:val="B4989DC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20B87838"/>
    <w:multiLevelType w:val="hybridMultilevel"/>
    <w:tmpl w:val="34A4D2B6"/>
    <w:lvl w:ilvl="0" w:tplc="211CB49A">
      <w:start w:val="1"/>
      <w:numFmt w:val="bullet"/>
      <w:lvlText w:val=""/>
      <w:lvlJc w:val="left"/>
      <w:pPr>
        <w:ind w:left="720" w:hanging="360"/>
      </w:pPr>
      <w:rPr>
        <w:rFonts w:ascii="Symbol" w:hAnsi="Symbol" w:hint="default"/>
      </w:rPr>
    </w:lvl>
    <w:lvl w:ilvl="1" w:tplc="E7DC6A06" w:tentative="1">
      <w:start w:val="1"/>
      <w:numFmt w:val="bullet"/>
      <w:lvlText w:val="o"/>
      <w:lvlJc w:val="left"/>
      <w:pPr>
        <w:ind w:left="1440" w:hanging="360"/>
      </w:pPr>
      <w:rPr>
        <w:rFonts w:ascii="Courier New" w:hAnsi="Courier New" w:cs="Courier New" w:hint="default"/>
      </w:rPr>
    </w:lvl>
    <w:lvl w:ilvl="2" w:tplc="C8804982" w:tentative="1">
      <w:start w:val="1"/>
      <w:numFmt w:val="bullet"/>
      <w:lvlText w:val=""/>
      <w:lvlJc w:val="left"/>
      <w:pPr>
        <w:ind w:left="2160" w:hanging="360"/>
      </w:pPr>
      <w:rPr>
        <w:rFonts w:ascii="Wingdings" w:hAnsi="Wingdings" w:hint="default"/>
      </w:rPr>
    </w:lvl>
    <w:lvl w:ilvl="3" w:tplc="6D1AF94A" w:tentative="1">
      <w:start w:val="1"/>
      <w:numFmt w:val="bullet"/>
      <w:lvlText w:val=""/>
      <w:lvlJc w:val="left"/>
      <w:pPr>
        <w:ind w:left="2880" w:hanging="360"/>
      </w:pPr>
      <w:rPr>
        <w:rFonts w:ascii="Symbol" w:hAnsi="Symbol" w:hint="default"/>
      </w:rPr>
    </w:lvl>
    <w:lvl w:ilvl="4" w:tplc="3DBE1EC8" w:tentative="1">
      <w:start w:val="1"/>
      <w:numFmt w:val="bullet"/>
      <w:lvlText w:val="o"/>
      <w:lvlJc w:val="left"/>
      <w:pPr>
        <w:ind w:left="3600" w:hanging="360"/>
      </w:pPr>
      <w:rPr>
        <w:rFonts w:ascii="Courier New" w:hAnsi="Courier New" w:cs="Courier New" w:hint="default"/>
      </w:rPr>
    </w:lvl>
    <w:lvl w:ilvl="5" w:tplc="50BCC7B2" w:tentative="1">
      <w:start w:val="1"/>
      <w:numFmt w:val="bullet"/>
      <w:lvlText w:val=""/>
      <w:lvlJc w:val="left"/>
      <w:pPr>
        <w:ind w:left="4320" w:hanging="360"/>
      </w:pPr>
      <w:rPr>
        <w:rFonts w:ascii="Wingdings" w:hAnsi="Wingdings" w:hint="default"/>
      </w:rPr>
    </w:lvl>
    <w:lvl w:ilvl="6" w:tplc="A8BCB1B8" w:tentative="1">
      <w:start w:val="1"/>
      <w:numFmt w:val="bullet"/>
      <w:lvlText w:val=""/>
      <w:lvlJc w:val="left"/>
      <w:pPr>
        <w:ind w:left="5040" w:hanging="360"/>
      </w:pPr>
      <w:rPr>
        <w:rFonts w:ascii="Symbol" w:hAnsi="Symbol" w:hint="default"/>
      </w:rPr>
    </w:lvl>
    <w:lvl w:ilvl="7" w:tplc="6024A7DE" w:tentative="1">
      <w:start w:val="1"/>
      <w:numFmt w:val="bullet"/>
      <w:lvlText w:val="o"/>
      <w:lvlJc w:val="left"/>
      <w:pPr>
        <w:ind w:left="5760" w:hanging="360"/>
      </w:pPr>
      <w:rPr>
        <w:rFonts w:ascii="Courier New" w:hAnsi="Courier New" w:cs="Courier New" w:hint="default"/>
      </w:rPr>
    </w:lvl>
    <w:lvl w:ilvl="8" w:tplc="5BD68CC4" w:tentative="1">
      <w:start w:val="1"/>
      <w:numFmt w:val="bullet"/>
      <w:lvlText w:val=""/>
      <w:lvlJc w:val="left"/>
      <w:pPr>
        <w:ind w:left="6480" w:hanging="360"/>
      </w:pPr>
      <w:rPr>
        <w:rFonts w:ascii="Wingdings" w:hAnsi="Wingdings" w:hint="default"/>
      </w:rPr>
    </w:lvl>
  </w:abstractNum>
  <w:abstractNum w:abstractNumId="17" w15:restartNumberingAfterBreak="0">
    <w:nsid w:val="20DF4A07"/>
    <w:multiLevelType w:val="hybridMultilevel"/>
    <w:tmpl w:val="537A00B0"/>
    <w:lvl w:ilvl="0" w:tplc="B8DEC5FA">
      <w:start w:val="1"/>
      <w:numFmt w:val="decimal"/>
      <w:pStyle w:val="takzir-list-paragraph"/>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8" w15:restartNumberingAfterBreak="0">
    <w:nsid w:val="235F1CDB"/>
    <w:multiLevelType w:val="hybridMultilevel"/>
    <w:tmpl w:val="8284614E"/>
    <w:lvl w:ilvl="0" w:tplc="94AC14E8">
      <w:start w:val="1"/>
      <w:numFmt w:val="decimal"/>
      <w:pStyle w:val="ListParagraph"/>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9B039A"/>
    <w:multiLevelType w:val="hybridMultilevel"/>
    <w:tmpl w:val="A9AA4B3C"/>
    <w:lvl w:ilvl="0" w:tplc="EC480CBC">
      <w:start w:val="1"/>
      <w:numFmt w:val="bullet"/>
      <w:lvlText w:val=""/>
      <w:lvlJc w:val="left"/>
      <w:pPr>
        <w:ind w:left="720" w:hanging="360"/>
      </w:pPr>
      <w:rPr>
        <w:rFonts w:ascii="Symbol" w:hAnsi="Symbol" w:hint="default"/>
      </w:rPr>
    </w:lvl>
    <w:lvl w:ilvl="1" w:tplc="04404644" w:tentative="1">
      <w:start w:val="1"/>
      <w:numFmt w:val="bullet"/>
      <w:lvlText w:val="o"/>
      <w:lvlJc w:val="left"/>
      <w:pPr>
        <w:ind w:left="1440" w:hanging="360"/>
      </w:pPr>
      <w:rPr>
        <w:rFonts w:ascii="Courier New" w:hAnsi="Courier New" w:cs="Courier New" w:hint="default"/>
      </w:rPr>
    </w:lvl>
    <w:lvl w:ilvl="2" w:tplc="F1CE3656" w:tentative="1">
      <w:start w:val="1"/>
      <w:numFmt w:val="bullet"/>
      <w:lvlText w:val=""/>
      <w:lvlJc w:val="left"/>
      <w:pPr>
        <w:ind w:left="2160" w:hanging="360"/>
      </w:pPr>
      <w:rPr>
        <w:rFonts w:ascii="Wingdings" w:hAnsi="Wingdings" w:hint="default"/>
      </w:rPr>
    </w:lvl>
    <w:lvl w:ilvl="3" w:tplc="C834F214" w:tentative="1">
      <w:start w:val="1"/>
      <w:numFmt w:val="bullet"/>
      <w:lvlText w:val=""/>
      <w:lvlJc w:val="left"/>
      <w:pPr>
        <w:ind w:left="2880" w:hanging="360"/>
      </w:pPr>
      <w:rPr>
        <w:rFonts w:ascii="Symbol" w:hAnsi="Symbol" w:hint="default"/>
      </w:rPr>
    </w:lvl>
    <w:lvl w:ilvl="4" w:tplc="A736451C" w:tentative="1">
      <w:start w:val="1"/>
      <w:numFmt w:val="bullet"/>
      <w:lvlText w:val="o"/>
      <w:lvlJc w:val="left"/>
      <w:pPr>
        <w:ind w:left="3600" w:hanging="360"/>
      </w:pPr>
      <w:rPr>
        <w:rFonts w:ascii="Courier New" w:hAnsi="Courier New" w:cs="Courier New" w:hint="default"/>
      </w:rPr>
    </w:lvl>
    <w:lvl w:ilvl="5" w:tplc="A28E89B4" w:tentative="1">
      <w:start w:val="1"/>
      <w:numFmt w:val="bullet"/>
      <w:lvlText w:val=""/>
      <w:lvlJc w:val="left"/>
      <w:pPr>
        <w:ind w:left="4320" w:hanging="360"/>
      </w:pPr>
      <w:rPr>
        <w:rFonts w:ascii="Wingdings" w:hAnsi="Wingdings" w:hint="default"/>
      </w:rPr>
    </w:lvl>
    <w:lvl w:ilvl="6" w:tplc="2A742CDC" w:tentative="1">
      <w:start w:val="1"/>
      <w:numFmt w:val="bullet"/>
      <w:lvlText w:val=""/>
      <w:lvlJc w:val="left"/>
      <w:pPr>
        <w:ind w:left="5040" w:hanging="360"/>
      </w:pPr>
      <w:rPr>
        <w:rFonts w:ascii="Symbol" w:hAnsi="Symbol" w:hint="default"/>
      </w:rPr>
    </w:lvl>
    <w:lvl w:ilvl="7" w:tplc="4AFC12F4" w:tentative="1">
      <w:start w:val="1"/>
      <w:numFmt w:val="bullet"/>
      <w:lvlText w:val="o"/>
      <w:lvlJc w:val="left"/>
      <w:pPr>
        <w:ind w:left="5760" w:hanging="360"/>
      </w:pPr>
      <w:rPr>
        <w:rFonts w:ascii="Courier New" w:hAnsi="Courier New" w:cs="Courier New" w:hint="default"/>
      </w:rPr>
    </w:lvl>
    <w:lvl w:ilvl="8" w:tplc="656A090C" w:tentative="1">
      <w:start w:val="1"/>
      <w:numFmt w:val="bullet"/>
      <w:lvlText w:val=""/>
      <w:lvlJc w:val="left"/>
      <w:pPr>
        <w:ind w:left="6480" w:hanging="360"/>
      </w:pPr>
      <w:rPr>
        <w:rFonts w:ascii="Wingdings" w:hAnsi="Wingdings" w:hint="default"/>
      </w:rPr>
    </w:lvl>
  </w:abstractNum>
  <w:abstractNum w:abstractNumId="20" w15:restartNumberingAfterBreak="0">
    <w:nsid w:val="2FC54E48"/>
    <w:multiLevelType w:val="multilevel"/>
    <w:tmpl w:val="22B4C01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33B13CF5"/>
    <w:multiLevelType w:val="hybridMultilevel"/>
    <w:tmpl w:val="4E6857EE"/>
    <w:lvl w:ilvl="0" w:tplc="FFFFFFFF">
      <w:start w:val="1"/>
      <w:numFmt w:val="decimal"/>
      <w:lvlText w:val="%1."/>
      <w:lvlJc w:val="left"/>
      <w:pPr>
        <w:ind w:left="947" w:hanging="360"/>
      </w:pPr>
      <w:rPr>
        <w:rFonts w:ascii="Tahoma" w:hAnsi="Tahoma" w:cs="Tahoma" w:hint="default"/>
        <w:b w:val="0"/>
        <w:bCs w:val="0"/>
        <w:i w:val="0"/>
        <w:iCs w:val="0"/>
        <w:color w:val="auto"/>
        <w:sz w:val="20"/>
        <w:szCs w:val="20"/>
      </w:rPr>
    </w:lvl>
    <w:lvl w:ilvl="1" w:tplc="FFFFFFFF" w:tentative="1">
      <w:start w:val="1"/>
      <w:numFmt w:val="lowerLetter"/>
      <w:lvlText w:val="%2."/>
      <w:lvlJc w:val="left"/>
      <w:pPr>
        <w:ind w:left="1667" w:hanging="360"/>
      </w:pPr>
    </w:lvl>
    <w:lvl w:ilvl="2" w:tplc="FFFFFFFF" w:tentative="1">
      <w:start w:val="1"/>
      <w:numFmt w:val="lowerRoman"/>
      <w:lvlText w:val="%3."/>
      <w:lvlJc w:val="right"/>
      <w:pPr>
        <w:ind w:left="2387" w:hanging="180"/>
      </w:pPr>
    </w:lvl>
    <w:lvl w:ilvl="3" w:tplc="FFFFFFFF" w:tentative="1">
      <w:start w:val="1"/>
      <w:numFmt w:val="decimal"/>
      <w:lvlText w:val="%4."/>
      <w:lvlJc w:val="left"/>
      <w:pPr>
        <w:ind w:left="3107" w:hanging="360"/>
      </w:pPr>
    </w:lvl>
    <w:lvl w:ilvl="4" w:tplc="FFFFFFFF" w:tentative="1">
      <w:start w:val="1"/>
      <w:numFmt w:val="lowerLetter"/>
      <w:lvlText w:val="%5."/>
      <w:lvlJc w:val="left"/>
      <w:pPr>
        <w:ind w:left="3827" w:hanging="360"/>
      </w:pPr>
    </w:lvl>
    <w:lvl w:ilvl="5" w:tplc="FFFFFFFF" w:tentative="1">
      <w:start w:val="1"/>
      <w:numFmt w:val="lowerRoman"/>
      <w:lvlText w:val="%6."/>
      <w:lvlJc w:val="right"/>
      <w:pPr>
        <w:ind w:left="4547" w:hanging="180"/>
      </w:pPr>
    </w:lvl>
    <w:lvl w:ilvl="6" w:tplc="FFFFFFFF" w:tentative="1">
      <w:start w:val="1"/>
      <w:numFmt w:val="decimal"/>
      <w:lvlText w:val="%7."/>
      <w:lvlJc w:val="left"/>
      <w:pPr>
        <w:ind w:left="5267" w:hanging="360"/>
      </w:pPr>
    </w:lvl>
    <w:lvl w:ilvl="7" w:tplc="FFFFFFFF" w:tentative="1">
      <w:start w:val="1"/>
      <w:numFmt w:val="lowerLetter"/>
      <w:lvlText w:val="%8."/>
      <w:lvlJc w:val="left"/>
      <w:pPr>
        <w:ind w:left="5987" w:hanging="360"/>
      </w:pPr>
    </w:lvl>
    <w:lvl w:ilvl="8" w:tplc="FFFFFFFF" w:tentative="1">
      <w:start w:val="1"/>
      <w:numFmt w:val="lowerRoman"/>
      <w:lvlText w:val="%9."/>
      <w:lvlJc w:val="right"/>
      <w:pPr>
        <w:ind w:left="6707" w:hanging="180"/>
      </w:pPr>
    </w:lvl>
  </w:abstractNum>
  <w:abstractNum w:abstractNumId="23" w15:restartNumberingAfterBreak="0">
    <w:nsid w:val="36A05A39"/>
    <w:multiLevelType w:val="hybridMultilevel"/>
    <w:tmpl w:val="2966900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3A7E38EE"/>
    <w:multiLevelType w:val="multilevel"/>
    <w:tmpl w:val="42E26B76"/>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15:restartNumberingAfterBreak="0">
    <w:nsid w:val="3BC1088C"/>
    <w:multiLevelType w:val="multilevel"/>
    <w:tmpl w:val="0970915E"/>
    <w:lvl w:ilvl="0">
      <w:start w:val="1"/>
      <w:numFmt w:val="decimal"/>
      <w:pStyle w:val="71"/>
      <w:lvlText w:val="%1."/>
      <w:lvlJc w:val="left"/>
      <w:pPr>
        <w:ind w:left="397" w:hanging="397"/>
      </w:pPr>
      <w:rPr>
        <w:rFonts w:hint="default"/>
        <w:b w:val="0"/>
        <w:bCs w:val="0"/>
        <w:i w:val="0"/>
        <w:iCs w:val="0"/>
        <w:caps w:val="0"/>
        <w:smallCaps w:val="0"/>
        <w:strike w:val="0"/>
        <w:dstrike w:val="0"/>
        <w:noProof w:val="0"/>
        <w:vanish w:val="0"/>
        <w:color w:val="auto"/>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pStyle w:val="71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6" w15:restartNumberingAfterBreak="0">
    <w:nsid w:val="47B65050"/>
    <w:multiLevelType w:val="multilevel"/>
    <w:tmpl w:val="C152171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15:restartNumberingAfterBreak="0">
    <w:nsid w:val="559D373C"/>
    <w:multiLevelType w:val="hybridMultilevel"/>
    <w:tmpl w:val="4E6857EE"/>
    <w:lvl w:ilvl="0" w:tplc="9D58D950">
      <w:start w:val="1"/>
      <w:numFmt w:val="decimal"/>
      <w:lvlText w:val="%1."/>
      <w:lvlJc w:val="left"/>
      <w:pPr>
        <w:ind w:left="947" w:hanging="360"/>
      </w:pPr>
      <w:rPr>
        <w:rFonts w:ascii="Tahoma" w:hAnsi="Tahoma" w:cs="Tahoma" w:hint="default"/>
        <w:b w:val="0"/>
        <w:bCs w:val="0"/>
        <w:i w:val="0"/>
        <w:iCs w:val="0"/>
        <w:color w:val="auto"/>
        <w:sz w:val="20"/>
        <w:szCs w:val="20"/>
      </w:rPr>
    </w:lvl>
    <w:lvl w:ilvl="1" w:tplc="20000019" w:tentative="1">
      <w:start w:val="1"/>
      <w:numFmt w:val="lowerLetter"/>
      <w:lvlText w:val="%2."/>
      <w:lvlJc w:val="left"/>
      <w:pPr>
        <w:ind w:left="1667" w:hanging="360"/>
      </w:pPr>
    </w:lvl>
    <w:lvl w:ilvl="2" w:tplc="2000001B" w:tentative="1">
      <w:start w:val="1"/>
      <w:numFmt w:val="lowerRoman"/>
      <w:lvlText w:val="%3."/>
      <w:lvlJc w:val="right"/>
      <w:pPr>
        <w:ind w:left="2387" w:hanging="180"/>
      </w:pPr>
    </w:lvl>
    <w:lvl w:ilvl="3" w:tplc="2000000F" w:tentative="1">
      <w:start w:val="1"/>
      <w:numFmt w:val="decimal"/>
      <w:lvlText w:val="%4."/>
      <w:lvlJc w:val="left"/>
      <w:pPr>
        <w:ind w:left="3107" w:hanging="360"/>
      </w:pPr>
    </w:lvl>
    <w:lvl w:ilvl="4" w:tplc="20000019" w:tentative="1">
      <w:start w:val="1"/>
      <w:numFmt w:val="lowerLetter"/>
      <w:lvlText w:val="%5."/>
      <w:lvlJc w:val="left"/>
      <w:pPr>
        <w:ind w:left="3827" w:hanging="360"/>
      </w:pPr>
    </w:lvl>
    <w:lvl w:ilvl="5" w:tplc="2000001B" w:tentative="1">
      <w:start w:val="1"/>
      <w:numFmt w:val="lowerRoman"/>
      <w:lvlText w:val="%6."/>
      <w:lvlJc w:val="right"/>
      <w:pPr>
        <w:ind w:left="4547" w:hanging="180"/>
      </w:pPr>
    </w:lvl>
    <w:lvl w:ilvl="6" w:tplc="2000000F" w:tentative="1">
      <w:start w:val="1"/>
      <w:numFmt w:val="decimal"/>
      <w:lvlText w:val="%7."/>
      <w:lvlJc w:val="left"/>
      <w:pPr>
        <w:ind w:left="5267" w:hanging="360"/>
      </w:pPr>
    </w:lvl>
    <w:lvl w:ilvl="7" w:tplc="20000019" w:tentative="1">
      <w:start w:val="1"/>
      <w:numFmt w:val="lowerLetter"/>
      <w:lvlText w:val="%8."/>
      <w:lvlJc w:val="left"/>
      <w:pPr>
        <w:ind w:left="5987" w:hanging="360"/>
      </w:pPr>
    </w:lvl>
    <w:lvl w:ilvl="8" w:tplc="2000001B" w:tentative="1">
      <w:start w:val="1"/>
      <w:numFmt w:val="lowerRoman"/>
      <w:lvlText w:val="%9."/>
      <w:lvlJc w:val="right"/>
      <w:pPr>
        <w:ind w:left="6707" w:hanging="180"/>
      </w:pPr>
    </w:lvl>
  </w:abstractNum>
  <w:abstractNum w:abstractNumId="28" w15:restartNumberingAfterBreak="0">
    <w:nsid w:val="59682C0B"/>
    <w:multiLevelType w:val="multilevel"/>
    <w:tmpl w:val="2FC4E3F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15:restartNumberingAfterBreak="0">
    <w:nsid w:val="5A4F43D2"/>
    <w:multiLevelType w:val="multilevel"/>
    <w:tmpl w:val="F5A0B52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0" w15:restartNumberingAfterBreak="0">
    <w:nsid w:val="5D583E75"/>
    <w:multiLevelType w:val="hybridMultilevel"/>
    <w:tmpl w:val="BC36E924"/>
    <w:lvl w:ilvl="0" w:tplc="20000001">
      <w:start w:val="1"/>
      <w:numFmt w:val="bullet"/>
      <w:lvlText w:val=""/>
      <w:lvlJc w:val="left"/>
      <w:pPr>
        <w:ind w:left="947" w:hanging="360"/>
      </w:pPr>
      <w:rPr>
        <w:rFonts w:ascii="Symbol" w:hAnsi="Symbol" w:hint="default"/>
      </w:rPr>
    </w:lvl>
    <w:lvl w:ilvl="1" w:tplc="20000003" w:tentative="1">
      <w:start w:val="1"/>
      <w:numFmt w:val="bullet"/>
      <w:lvlText w:val="o"/>
      <w:lvlJc w:val="left"/>
      <w:pPr>
        <w:ind w:left="1667" w:hanging="360"/>
      </w:pPr>
      <w:rPr>
        <w:rFonts w:ascii="Courier New" w:hAnsi="Courier New" w:cs="Courier New" w:hint="default"/>
      </w:rPr>
    </w:lvl>
    <w:lvl w:ilvl="2" w:tplc="20000005" w:tentative="1">
      <w:start w:val="1"/>
      <w:numFmt w:val="bullet"/>
      <w:lvlText w:val=""/>
      <w:lvlJc w:val="left"/>
      <w:pPr>
        <w:ind w:left="2387" w:hanging="360"/>
      </w:pPr>
      <w:rPr>
        <w:rFonts w:ascii="Wingdings" w:hAnsi="Wingdings" w:hint="default"/>
      </w:rPr>
    </w:lvl>
    <w:lvl w:ilvl="3" w:tplc="20000001" w:tentative="1">
      <w:start w:val="1"/>
      <w:numFmt w:val="bullet"/>
      <w:lvlText w:val=""/>
      <w:lvlJc w:val="left"/>
      <w:pPr>
        <w:ind w:left="3107" w:hanging="360"/>
      </w:pPr>
      <w:rPr>
        <w:rFonts w:ascii="Symbol" w:hAnsi="Symbol" w:hint="default"/>
      </w:rPr>
    </w:lvl>
    <w:lvl w:ilvl="4" w:tplc="20000003" w:tentative="1">
      <w:start w:val="1"/>
      <w:numFmt w:val="bullet"/>
      <w:lvlText w:val="o"/>
      <w:lvlJc w:val="left"/>
      <w:pPr>
        <w:ind w:left="3827" w:hanging="360"/>
      </w:pPr>
      <w:rPr>
        <w:rFonts w:ascii="Courier New" w:hAnsi="Courier New" w:cs="Courier New" w:hint="default"/>
      </w:rPr>
    </w:lvl>
    <w:lvl w:ilvl="5" w:tplc="20000005" w:tentative="1">
      <w:start w:val="1"/>
      <w:numFmt w:val="bullet"/>
      <w:lvlText w:val=""/>
      <w:lvlJc w:val="left"/>
      <w:pPr>
        <w:ind w:left="4547" w:hanging="360"/>
      </w:pPr>
      <w:rPr>
        <w:rFonts w:ascii="Wingdings" w:hAnsi="Wingdings" w:hint="default"/>
      </w:rPr>
    </w:lvl>
    <w:lvl w:ilvl="6" w:tplc="20000001" w:tentative="1">
      <w:start w:val="1"/>
      <w:numFmt w:val="bullet"/>
      <w:lvlText w:val=""/>
      <w:lvlJc w:val="left"/>
      <w:pPr>
        <w:ind w:left="5267" w:hanging="360"/>
      </w:pPr>
      <w:rPr>
        <w:rFonts w:ascii="Symbol" w:hAnsi="Symbol" w:hint="default"/>
      </w:rPr>
    </w:lvl>
    <w:lvl w:ilvl="7" w:tplc="20000003" w:tentative="1">
      <w:start w:val="1"/>
      <w:numFmt w:val="bullet"/>
      <w:lvlText w:val="o"/>
      <w:lvlJc w:val="left"/>
      <w:pPr>
        <w:ind w:left="5987" w:hanging="360"/>
      </w:pPr>
      <w:rPr>
        <w:rFonts w:ascii="Courier New" w:hAnsi="Courier New" w:cs="Courier New" w:hint="default"/>
      </w:rPr>
    </w:lvl>
    <w:lvl w:ilvl="8" w:tplc="20000005" w:tentative="1">
      <w:start w:val="1"/>
      <w:numFmt w:val="bullet"/>
      <w:lvlText w:val=""/>
      <w:lvlJc w:val="left"/>
      <w:pPr>
        <w:ind w:left="6707" w:hanging="360"/>
      </w:pPr>
      <w:rPr>
        <w:rFonts w:ascii="Wingdings" w:hAnsi="Wingdings" w:hint="default"/>
      </w:rPr>
    </w:lvl>
  </w:abstractNum>
  <w:abstractNum w:abstractNumId="31" w15:restartNumberingAfterBreak="0">
    <w:nsid w:val="66E65E9B"/>
    <w:multiLevelType w:val="multilevel"/>
    <w:tmpl w:val="7300695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2" w15:restartNumberingAfterBreak="0">
    <w:nsid w:val="67BF5139"/>
    <w:multiLevelType w:val="multilevel"/>
    <w:tmpl w:val="DC6C961C"/>
    <w:lvl w:ilvl="0">
      <w:start w:val="1"/>
      <w:numFmt w:val="decimal"/>
      <w:pStyle w:val="a0"/>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33" w15:restartNumberingAfterBreak="0">
    <w:nsid w:val="6B555BF0"/>
    <w:multiLevelType w:val="multilevel"/>
    <w:tmpl w:val="52FC04B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4" w15:restartNumberingAfterBreak="0">
    <w:nsid w:val="6E3A01BD"/>
    <w:multiLevelType w:val="hybridMultilevel"/>
    <w:tmpl w:val="0E2C338C"/>
    <w:lvl w:ilvl="0" w:tplc="958ED272">
      <w:start w:val="1"/>
      <w:numFmt w:val="hebrew1"/>
      <w:pStyle w:val="a1"/>
      <w:suff w:val="space"/>
      <w:lvlText w:val="%1."/>
      <w:lvlJc w:val="left"/>
      <w:pPr>
        <w:ind w:left="227" w:hanging="227"/>
      </w:pPr>
      <w:rPr>
        <w:rFonts w:hint="default"/>
        <w:lang w:val="en-US"/>
      </w:rPr>
    </w:lvl>
    <w:lvl w:ilvl="1" w:tplc="ECDEC120">
      <w:start w:val="1"/>
      <w:numFmt w:val="lowerLetter"/>
      <w:lvlText w:val="%2."/>
      <w:lvlJc w:val="left"/>
      <w:pPr>
        <w:ind w:left="1440" w:hanging="360"/>
      </w:pPr>
    </w:lvl>
    <w:lvl w:ilvl="2" w:tplc="76AAFBA4" w:tentative="1">
      <w:start w:val="1"/>
      <w:numFmt w:val="lowerRoman"/>
      <w:lvlText w:val="%3."/>
      <w:lvlJc w:val="right"/>
      <w:pPr>
        <w:ind w:left="2160" w:hanging="180"/>
      </w:pPr>
    </w:lvl>
    <w:lvl w:ilvl="3" w:tplc="85D48F5A" w:tentative="1">
      <w:start w:val="1"/>
      <w:numFmt w:val="decimal"/>
      <w:lvlText w:val="%4."/>
      <w:lvlJc w:val="left"/>
      <w:pPr>
        <w:ind w:left="2880" w:hanging="360"/>
      </w:pPr>
    </w:lvl>
    <w:lvl w:ilvl="4" w:tplc="E2A6831E" w:tentative="1">
      <w:start w:val="1"/>
      <w:numFmt w:val="lowerLetter"/>
      <w:lvlText w:val="%5."/>
      <w:lvlJc w:val="left"/>
      <w:pPr>
        <w:ind w:left="3600" w:hanging="360"/>
      </w:pPr>
    </w:lvl>
    <w:lvl w:ilvl="5" w:tplc="B3881EC0" w:tentative="1">
      <w:start w:val="1"/>
      <w:numFmt w:val="lowerRoman"/>
      <w:lvlText w:val="%6."/>
      <w:lvlJc w:val="right"/>
      <w:pPr>
        <w:ind w:left="4320" w:hanging="180"/>
      </w:pPr>
    </w:lvl>
    <w:lvl w:ilvl="6" w:tplc="22242190" w:tentative="1">
      <w:start w:val="1"/>
      <w:numFmt w:val="decimal"/>
      <w:lvlText w:val="%7."/>
      <w:lvlJc w:val="left"/>
      <w:pPr>
        <w:ind w:left="5040" w:hanging="360"/>
      </w:pPr>
    </w:lvl>
    <w:lvl w:ilvl="7" w:tplc="D2D6F984" w:tentative="1">
      <w:start w:val="1"/>
      <w:numFmt w:val="lowerLetter"/>
      <w:lvlText w:val="%8."/>
      <w:lvlJc w:val="left"/>
      <w:pPr>
        <w:ind w:left="5760" w:hanging="360"/>
      </w:pPr>
    </w:lvl>
    <w:lvl w:ilvl="8" w:tplc="DC926F06" w:tentative="1">
      <w:start w:val="1"/>
      <w:numFmt w:val="lowerRoman"/>
      <w:lvlText w:val="%9."/>
      <w:lvlJc w:val="right"/>
      <w:pPr>
        <w:ind w:left="6480" w:hanging="180"/>
      </w:pPr>
    </w:lvl>
  </w:abstractNum>
  <w:abstractNum w:abstractNumId="35" w15:restartNumberingAfterBreak="0">
    <w:nsid w:val="7E5D1ADB"/>
    <w:multiLevelType w:val="hybridMultilevel"/>
    <w:tmpl w:val="11F662C0"/>
    <w:lvl w:ilvl="0" w:tplc="FFFFFFFF">
      <w:start w:val="1"/>
      <w:numFmt w:val="decimal"/>
      <w:lvlText w:val="%1."/>
      <w:lvlJc w:val="left"/>
      <w:pPr>
        <w:ind w:left="1174" w:hanging="360"/>
      </w:pPr>
      <w:rPr>
        <w:rFonts w:ascii="Tahoma" w:hAnsi="Tahoma" w:cs="Tahoma" w:hint="default"/>
        <w:b w:val="0"/>
        <w:bCs w:val="0"/>
        <w:i w:val="0"/>
        <w:iCs w:val="0"/>
        <w:color w:val="auto"/>
        <w:sz w:val="20"/>
        <w:szCs w:val="20"/>
      </w:rPr>
    </w:lvl>
    <w:lvl w:ilvl="1" w:tplc="20000019" w:tentative="1">
      <w:start w:val="1"/>
      <w:numFmt w:val="lowerLetter"/>
      <w:lvlText w:val="%2."/>
      <w:lvlJc w:val="left"/>
      <w:pPr>
        <w:ind w:left="1667" w:hanging="360"/>
      </w:pPr>
    </w:lvl>
    <w:lvl w:ilvl="2" w:tplc="2000001B" w:tentative="1">
      <w:start w:val="1"/>
      <w:numFmt w:val="lowerRoman"/>
      <w:lvlText w:val="%3."/>
      <w:lvlJc w:val="right"/>
      <w:pPr>
        <w:ind w:left="2387" w:hanging="180"/>
      </w:pPr>
    </w:lvl>
    <w:lvl w:ilvl="3" w:tplc="2000000F" w:tentative="1">
      <w:start w:val="1"/>
      <w:numFmt w:val="decimal"/>
      <w:lvlText w:val="%4."/>
      <w:lvlJc w:val="left"/>
      <w:pPr>
        <w:ind w:left="3107" w:hanging="360"/>
      </w:pPr>
    </w:lvl>
    <w:lvl w:ilvl="4" w:tplc="20000019" w:tentative="1">
      <w:start w:val="1"/>
      <w:numFmt w:val="lowerLetter"/>
      <w:lvlText w:val="%5."/>
      <w:lvlJc w:val="left"/>
      <w:pPr>
        <w:ind w:left="3827" w:hanging="360"/>
      </w:pPr>
    </w:lvl>
    <w:lvl w:ilvl="5" w:tplc="2000001B" w:tentative="1">
      <w:start w:val="1"/>
      <w:numFmt w:val="lowerRoman"/>
      <w:lvlText w:val="%6."/>
      <w:lvlJc w:val="right"/>
      <w:pPr>
        <w:ind w:left="4547" w:hanging="180"/>
      </w:pPr>
    </w:lvl>
    <w:lvl w:ilvl="6" w:tplc="2000000F" w:tentative="1">
      <w:start w:val="1"/>
      <w:numFmt w:val="decimal"/>
      <w:lvlText w:val="%7."/>
      <w:lvlJc w:val="left"/>
      <w:pPr>
        <w:ind w:left="5267" w:hanging="360"/>
      </w:pPr>
    </w:lvl>
    <w:lvl w:ilvl="7" w:tplc="20000019" w:tentative="1">
      <w:start w:val="1"/>
      <w:numFmt w:val="lowerLetter"/>
      <w:lvlText w:val="%8."/>
      <w:lvlJc w:val="left"/>
      <w:pPr>
        <w:ind w:left="5987" w:hanging="360"/>
      </w:pPr>
    </w:lvl>
    <w:lvl w:ilvl="8" w:tplc="2000001B" w:tentative="1">
      <w:start w:val="1"/>
      <w:numFmt w:val="lowerRoman"/>
      <w:lvlText w:val="%9."/>
      <w:lvlJc w:val="right"/>
      <w:pPr>
        <w:ind w:left="6707" w:hanging="180"/>
      </w:pPr>
    </w:lvl>
  </w:abstractNum>
  <w:num w:numId="1">
    <w:abstractNumId w:val="21"/>
  </w:num>
  <w:num w:numId="2">
    <w:abstractNumId w:val="32"/>
  </w:num>
  <w:num w:numId="3">
    <w:abstractNumId w:val="18"/>
  </w:num>
  <w:num w:numId="4">
    <w:abstractNumId w:val="17"/>
  </w:num>
  <w:num w:numId="5">
    <w:abstractNumId w:val="23"/>
  </w:num>
  <w:num w:numId="6">
    <w:abstractNumId w:val="25"/>
  </w:num>
  <w:num w:numId="7">
    <w:abstractNumId w:val="28"/>
  </w:num>
  <w:num w:numId="8">
    <w:abstractNumId w:val="13"/>
  </w:num>
  <w:num w:numId="9">
    <w:abstractNumId w:val="10"/>
  </w:num>
  <w:num w:numId="10">
    <w:abstractNumId w:val="33"/>
  </w:num>
  <w:num w:numId="11">
    <w:abstractNumId w:val="14"/>
  </w:num>
  <w:num w:numId="12">
    <w:abstractNumId w:val="11"/>
  </w:num>
  <w:num w:numId="13">
    <w:abstractNumId w:val="29"/>
  </w:num>
  <w:num w:numId="14">
    <w:abstractNumId w:val="15"/>
  </w:num>
  <w:num w:numId="15">
    <w:abstractNumId w:val="26"/>
  </w:num>
  <w:num w:numId="16">
    <w:abstractNumId w:val="19"/>
  </w:num>
  <w:num w:numId="17">
    <w:abstractNumId w:val="24"/>
  </w:num>
  <w:num w:numId="18">
    <w:abstractNumId w:val="34"/>
  </w:num>
  <w:num w:numId="19">
    <w:abstractNumId w:val="16"/>
  </w:num>
  <w:num w:numId="20">
    <w:abstractNumId w:val="31"/>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30"/>
  </w:num>
  <w:num w:numId="32">
    <w:abstractNumId w:val="27"/>
  </w:num>
  <w:num w:numId="33">
    <w:abstractNumId w:val="18"/>
  </w:num>
  <w:num w:numId="34">
    <w:abstractNumId w:val="22"/>
  </w:num>
  <w:num w:numId="35">
    <w:abstractNumId w:val="18"/>
  </w:num>
  <w:num w:numId="36">
    <w:abstractNumId w:val="35"/>
  </w:num>
  <w:num w:numId="37">
    <w:abstractNumId w:val="18"/>
  </w:num>
  <w:num w:numId="38">
    <w:abstractNumId w:val="18"/>
  </w:num>
  <w:num w:numId="39">
    <w:abstractNumId w:val="12"/>
  </w:num>
  <w:num w:numId="40">
    <w:abstractNumId w:val="20"/>
  </w:num>
  <w:num w:numId="41">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397"/>
  <w:evenAndOddHeaders/>
  <w:characterSpacingControl w:val="doNotCompress"/>
  <w:hdrShapeDefaults>
    <o:shapedefaults v:ext="edit" spidmax="2050">
      <o:colormru v:ext="edit" colors="#9dced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sivug" w:val="0"/>
  </w:docVars>
  <w:rsids>
    <w:rsidRoot w:val="003243AF"/>
    <w:rsid w:val="0000095B"/>
    <w:rsid w:val="00002000"/>
    <w:rsid w:val="000021BD"/>
    <w:rsid w:val="000035C3"/>
    <w:rsid w:val="0000362C"/>
    <w:rsid w:val="000047FD"/>
    <w:rsid w:val="00005D49"/>
    <w:rsid w:val="00006C22"/>
    <w:rsid w:val="000073CC"/>
    <w:rsid w:val="000105AD"/>
    <w:rsid w:val="00010E3C"/>
    <w:rsid w:val="000114F5"/>
    <w:rsid w:val="00011508"/>
    <w:rsid w:val="000123B5"/>
    <w:rsid w:val="00012511"/>
    <w:rsid w:val="00012E42"/>
    <w:rsid w:val="00012FC5"/>
    <w:rsid w:val="00013127"/>
    <w:rsid w:val="00015A73"/>
    <w:rsid w:val="00015D42"/>
    <w:rsid w:val="00017099"/>
    <w:rsid w:val="000174BC"/>
    <w:rsid w:val="0001750D"/>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E04"/>
    <w:rsid w:val="0003470F"/>
    <w:rsid w:val="00034F3F"/>
    <w:rsid w:val="000350BF"/>
    <w:rsid w:val="000356A7"/>
    <w:rsid w:val="00035AA3"/>
    <w:rsid w:val="00035BD0"/>
    <w:rsid w:val="00036469"/>
    <w:rsid w:val="00036B1B"/>
    <w:rsid w:val="00037596"/>
    <w:rsid w:val="00040CFC"/>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2C54"/>
    <w:rsid w:val="0008321A"/>
    <w:rsid w:val="00083F4F"/>
    <w:rsid w:val="00084171"/>
    <w:rsid w:val="000841FE"/>
    <w:rsid w:val="000847F9"/>
    <w:rsid w:val="00084F1F"/>
    <w:rsid w:val="0008572D"/>
    <w:rsid w:val="0008581F"/>
    <w:rsid w:val="00085A05"/>
    <w:rsid w:val="000868BD"/>
    <w:rsid w:val="00090AB0"/>
    <w:rsid w:val="00092220"/>
    <w:rsid w:val="0009240F"/>
    <w:rsid w:val="00092F71"/>
    <w:rsid w:val="00093068"/>
    <w:rsid w:val="00095581"/>
    <w:rsid w:val="0009699F"/>
    <w:rsid w:val="000A0FC0"/>
    <w:rsid w:val="000A16EF"/>
    <w:rsid w:val="000A18FC"/>
    <w:rsid w:val="000A1D75"/>
    <w:rsid w:val="000A251B"/>
    <w:rsid w:val="000A2903"/>
    <w:rsid w:val="000A2BC9"/>
    <w:rsid w:val="000A34B5"/>
    <w:rsid w:val="000A3864"/>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EBB"/>
    <w:rsid w:val="000C0F9D"/>
    <w:rsid w:val="000C19F9"/>
    <w:rsid w:val="000C1BB0"/>
    <w:rsid w:val="000C1F02"/>
    <w:rsid w:val="000C2518"/>
    <w:rsid w:val="000C2E22"/>
    <w:rsid w:val="000C4DEF"/>
    <w:rsid w:val="000C5425"/>
    <w:rsid w:val="000C56B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912"/>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4716"/>
    <w:rsid w:val="00135EB9"/>
    <w:rsid w:val="00136B9E"/>
    <w:rsid w:val="00141E28"/>
    <w:rsid w:val="001435CD"/>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186A"/>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4362"/>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9E1"/>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8EB"/>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17EB4"/>
    <w:rsid w:val="00220150"/>
    <w:rsid w:val="00220A56"/>
    <w:rsid w:val="00220B1E"/>
    <w:rsid w:val="00220D93"/>
    <w:rsid w:val="00221B6D"/>
    <w:rsid w:val="00222EFD"/>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57AD2"/>
    <w:rsid w:val="00260172"/>
    <w:rsid w:val="002630E9"/>
    <w:rsid w:val="002634FC"/>
    <w:rsid w:val="00264588"/>
    <w:rsid w:val="002647FF"/>
    <w:rsid w:val="00264915"/>
    <w:rsid w:val="00265813"/>
    <w:rsid w:val="002665EC"/>
    <w:rsid w:val="00266740"/>
    <w:rsid w:val="0026692E"/>
    <w:rsid w:val="0026784C"/>
    <w:rsid w:val="0027002F"/>
    <w:rsid w:val="00270AD8"/>
    <w:rsid w:val="002712C2"/>
    <w:rsid w:val="002717B8"/>
    <w:rsid w:val="00271BBF"/>
    <w:rsid w:val="002722F1"/>
    <w:rsid w:val="00272DCB"/>
    <w:rsid w:val="00273409"/>
    <w:rsid w:val="002735DC"/>
    <w:rsid w:val="00273C82"/>
    <w:rsid w:val="00273E3E"/>
    <w:rsid w:val="00274D7E"/>
    <w:rsid w:val="0027747C"/>
    <w:rsid w:val="00277717"/>
    <w:rsid w:val="00277BC2"/>
    <w:rsid w:val="00277E0B"/>
    <w:rsid w:val="002805E4"/>
    <w:rsid w:val="00280807"/>
    <w:rsid w:val="00280A33"/>
    <w:rsid w:val="00280F37"/>
    <w:rsid w:val="00281CA7"/>
    <w:rsid w:val="00281D26"/>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0A"/>
    <w:rsid w:val="002975FB"/>
    <w:rsid w:val="00297F9D"/>
    <w:rsid w:val="002A03EF"/>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0E29"/>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C796B"/>
    <w:rsid w:val="002D1462"/>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2F712B"/>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4296"/>
    <w:rsid w:val="00314CE5"/>
    <w:rsid w:val="003150B1"/>
    <w:rsid w:val="0031652A"/>
    <w:rsid w:val="00316C90"/>
    <w:rsid w:val="003173E0"/>
    <w:rsid w:val="00320159"/>
    <w:rsid w:val="00321D1B"/>
    <w:rsid w:val="0032364A"/>
    <w:rsid w:val="003243AF"/>
    <w:rsid w:val="00325332"/>
    <w:rsid w:val="00325469"/>
    <w:rsid w:val="00327C2A"/>
    <w:rsid w:val="00327FBF"/>
    <w:rsid w:val="0033032D"/>
    <w:rsid w:val="00330465"/>
    <w:rsid w:val="00330697"/>
    <w:rsid w:val="0033100C"/>
    <w:rsid w:val="00331522"/>
    <w:rsid w:val="00331A56"/>
    <w:rsid w:val="00331DAB"/>
    <w:rsid w:val="003323CD"/>
    <w:rsid w:val="00333810"/>
    <w:rsid w:val="00333FB0"/>
    <w:rsid w:val="00334BBC"/>
    <w:rsid w:val="00334E99"/>
    <w:rsid w:val="00335960"/>
    <w:rsid w:val="00335F65"/>
    <w:rsid w:val="00336A22"/>
    <w:rsid w:val="00336A9C"/>
    <w:rsid w:val="003408F2"/>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2C8"/>
    <w:rsid w:val="00357D06"/>
    <w:rsid w:val="003609E2"/>
    <w:rsid w:val="00361B78"/>
    <w:rsid w:val="00361CD3"/>
    <w:rsid w:val="0036393B"/>
    <w:rsid w:val="00363C25"/>
    <w:rsid w:val="00363DBE"/>
    <w:rsid w:val="00364230"/>
    <w:rsid w:val="00364FDF"/>
    <w:rsid w:val="00366898"/>
    <w:rsid w:val="00366DF1"/>
    <w:rsid w:val="00367171"/>
    <w:rsid w:val="00367BD8"/>
    <w:rsid w:val="00370725"/>
    <w:rsid w:val="003707D3"/>
    <w:rsid w:val="00370A28"/>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5A59"/>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1352"/>
    <w:rsid w:val="003E1383"/>
    <w:rsid w:val="003E323C"/>
    <w:rsid w:val="003E327E"/>
    <w:rsid w:val="003E5430"/>
    <w:rsid w:val="003E709A"/>
    <w:rsid w:val="003F0851"/>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1A11"/>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B3"/>
    <w:rsid w:val="004309C5"/>
    <w:rsid w:val="00431864"/>
    <w:rsid w:val="00431E6E"/>
    <w:rsid w:val="00432DBC"/>
    <w:rsid w:val="004334FD"/>
    <w:rsid w:val="004335F4"/>
    <w:rsid w:val="00434573"/>
    <w:rsid w:val="00434710"/>
    <w:rsid w:val="00434979"/>
    <w:rsid w:val="00436B3D"/>
    <w:rsid w:val="00436DAE"/>
    <w:rsid w:val="00437A8F"/>
    <w:rsid w:val="00437CA8"/>
    <w:rsid w:val="00440A9C"/>
    <w:rsid w:val="00441319"/>
    <w:rsid w:val="00441A9F"/>
    <w:rsid w:val="00442153"/>
    <w:rsid w:val="00442D2E"/>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732"/>
    <w:rsid w:val="00460993"/>
    <w:rsid w:val="004618B5"/>
    <w:rsid w:val="00461FDC"/>
    <w:rsid w:val="00462875"/>
    <w:rsid w:val="004638C4"/>
    <w:rsid w:val="00464628"/>
    <w:rsid w:val="004649FA"/>
    <w:rsid w:val="004660F8"/>
    <w:rsid w:val="00466196"/>
    <w:rsid w:val="0046631D"/>
    <w:rsid w:val="0046700E"/>
    <w:rsid w:val="00467F06"/>
    <w:rsid w:val="00470BC2"/>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4D2D"/>
    <w:rsid w:val="00485779"/>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0DF9"/>
    <w:rsid w:val="004C1982"/>
    <w:rsid w:val="004C24BD"/>
    <w:rsid w:val="004C2BED"/>
    <w:rsid w:val="004C41A4"/>
    <w:rsid w:val="004C41DD"/>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3A12"/>
    <w:rsid w:val="00505054"/>
    <w:rsid w:val="00505951"/>
    <w:rsid w:val="00505E67"/>
    <w:rsid w:val="00505EE4"/>
    <w:rsid w:val="00505EE7"/>
    <w:rsid w:val="00506823"/>
    <w:rsid w:val="00506896"/>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5E93"/>
    <w:rsid w:val="0052621D"/>
    <w:rsid w:val="00527462"/>
    <w:rsid w:val="005276C3"/>
    <w:rsid w:val="00527873"/>
    <w:rsid w:val="00530040"/>
    <w:rsid w:val="005302AB"/>
    <w:rsid w:val="00530A7F"/>
    <w:rsid w:val="00530F88"/>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1E31"/>
    <w:rsid w:val="00552038"/>
    <w:rsid w:val="005529D8"/>
    <w:rsid w:val="00553692"/>
    <w:rsid w:val="00554A39"/>
    <w:rsid w:val="00555B3E"/>
    <w:rsid w:val="005560EB"/>
    <w:rsid w:val="005562B3"/>
    <w:rsid w:val="0055660D"/>
    <w:rsid w:val="00557333"/>
    <w:rsid w:val="00557DD2"/>
    <w:rsid w:val="0056030C"/>
    <w:rsid w:val="00561B31"/>
    <w:rsid w:val="00562A5B"/>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8ED"/>
    <w:rsid w:val="00582EEE"/>
    <w:rsid w:val="00583E48"/>
    <w:rsid w:val="00584ECC"/>
    <w:rsid w:val="0058546D"/>
    <w:rsid w:val="0058562D"/>
    <w:rsid w:val="00586C76"/>
    <w:rsid w:val="00587392"/>
    <w:rsid w:val="0059008F"/>
    <w:rsid w:val="00590929"/>
    <w:rsid w:val="0059097C"/>
    <w:rsid w:val="00590AF8"/>
    <w:rsid w:val="00591657"/>
    <w:rsid w:val="00592124"/>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372"/>
    <w:rsid w:val="005A4DBF"/>
    <w:rsid w:val="005B0219"/>
    <w:rsid w:val="005B07DE"/>
    <w:rsid w:val="005B0DFE"/>
    <w:rsid w:val="005B12E9"/>
    <w:rsid w:val="005B1713"/>
    <w:rsid w:val="005B2281"/>
    <w:rsid w:val="005B2537"/>
    <w:rsid w:val="005B2667"/>
    <w:rsid w:val="005B3350"/>
    <w:rsid w:val="005B3874"/>
    <w:rsid w:val="005B426A"/>
    <w:rsid w:val="005B463B"/>
    <w:rsid w:val="005B515A"/>
    <w:rsid w:val="005B59FC"/>
    <w:rsid w:val="005B5C8A"/>
    <w:rsid w:val="005B622B"/>
    <w:rsid w:val="005B7A17"/>
    <w:rsid w:val="005B7EBA"/>
    <w:rsid w:val="005C0F41"/>
    <w:rsid w:val="005C33A1"/>
    <w:rsid w:val="005C593E"/>
    <w:rsid w:val="005C7407"/>
    <w:rsid w:val="005D0510"/>
    <w:rsid w:val="005D142B"/>
    <w:rsid w:val="005D2DCD"/>
    <w:rsid w:val="005D2F13"/>
    <w:rsid w:val="005D3420"/>
    <w:rsid w:val="005D4091"/>
    <w:rsid w:val="005D4105"/>
    <w:rsid w:val="005D42F8"/>
    <w:rsid w:val="005D4696"/>
    <w:rsid w:val="005D4C93"/>
    <w:rsid w:val="005D5D01"/>
    <w:rsid w:val="005D5EA2"/>
    <w:rsid w:val="005D6AA1"/>
    <w:rsid w:val="005D6EC7"/>
    <w:rsid w:val="005D713A"/>
    <w:rsid w:val="005D7B4E"/>
    <w:rsid w:val="005D7FE0"/>
    <w:rsid w:val="005E234F"/>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70A"/>
    <w:rsid w:val="00605EF8"/>
    <w:rsid w:val="006061A9"/>
    <w:rsid w:val="006067FE"/>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39"/>
    <w:rsid w:val="00624B91"/>
    <w:rsid w:val="0062578F"/>
    <w:rsid w:val="00625EFD"/>
    <w:rsid w:val="00626741"/>
    <w:rsid w:val="006274AF"/>
    <w:rsid w:val="00627BBF"/>
    <w:rsid w:val="00630845"/>
    <w:rsid w:val="006339F3"/>
    <w:rsid w:val="00633BB2"/>
    <w:rsid w:val="00634119"/>
    <w:rsid w:val="0063470B"/>
    <w:rsid w:val="0063519E"/>
    <w:rsid w:val="0063632E"/>
    <w:rsid w:val="00637453"/>
    <w:rsid w:val="00640298"/>
    <w:rsid w:val="00641FC6"/>
    <w:rsid w:val="006423C5"/>
    <w:rsid w:val="00642E60"/>
    <w:rsid w:val="0064502B"/>
    <w:rsid w:val="00645307"/>
    <w:rsid w:val="006453AA"/>
    <w:rsid w:val="006454C5"/>
    <w:rsid w:val="00646CF4"/>
    <w:rsid w:val="006474EC"/>
    <w:rsid w:val="00650187"/>
    <w:rsid w:val="0065147A"/>
    <w:rsid w:val="00651AFD"/>
    <w:rsid w:val="006522FF"/>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9E9"/>
    <w:rsid w:val="00686AC9"/>
    <w:rsid w:val="006879DE"/>
    <w:rsid w:val="00687E23"/>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3C6"/>
    <w:rsid w:val="006A257A"/>
    <w:rsid w:val="006A2939"/>
    <w:rsid w:val="006A639B"/>
    <w:rsid w:val="006A77B5"/>
    <w:rsid w:val="006B1191"/>
    <w:rsid w:val="006B1C39"/>
    <w:rsid w:val="006B3631"/>
    <w:rsid w:val="006B3684"/>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502"/>
    <w:rsid w:val="00716E79"/>
    <w:rsid w:val="00717591"/>
    <w:rsid w:val="007177E4"/>
    <w:rsid w:val="00720F2C"/>
    <w:rsid w:val="007215EA"/>
    <w:rsid w:val="007256CC"/>
    <w:rsid w:val="00725709"/>
    <w:rsid w:val="00726A8E"/>
    <w:rsid w:val="00726B0E"/>
    <w:rsid w:val="00726E7C"/>
    <w:rsid w:val="007310D1"/>
    <w:rsid w:val="00731C66"/>
    <w:rsid w:val="00731F92"/>
    <w:rsid w:val="007323EF"/>
    <w:rsid w:val="0073258E"/>
    <w:rsid w:val="007334C1"/>
    <w:rsid w:val="0073386A"/>
    <w:rsid w:val="00733D78"/>
    <w:rsid w:val="00733F84"/>
    <w:rsid w:val="00734514"/>
    <w:rsid w:val="007345A2"/>
    <w:rsid w:val="007349B8"/>
    <w:rsid w:val="007359A3"/>
    <w:rsid w:val="00736A81"/>
    <w:rsid w:val="007373F6"/>
    <w:rsid w:val="00737811"/>
    <w:rsid w:val="0073787B"/>
    <w:rsid w:val="00737F3F"/>
    <w:rsid w:val="00737F8A"/>
    <w:rsid w:val="00740459"/>
    <w:rsid w:val="00740A8D"/>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489"/>
    <w:rsid w:val="00766F23"/>
    <w:rsid w:val="00767790"/>
    <w:rsid w:val="00767C08"/>
    <w:rsid w:val="0077052B"/>
    <w:rsid w:val="00770607"/>
    <w:rsid w:val="00770C49"/>
    <w:rsid w:val="00770FE5"/>
    <w:rsid w:val="00772DF5"/>
    <w:rsid w:val="007763DB"/>
    <w:rsid w:val="007778F3"/>
    <w:rsid w:val="00777AED"/>
    <w:rsid w:val="00781580"/>
    <w:rsid w:val="00781B8F"/>
    <w:rsid w:val="00781D99"/>
    <w:rsid w:val="007825F8"/>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22A"/>
    <w:rsid w:val="00796AA6"/>
    <w:rsid w:val="00796B9C"/>
    <w:rsid w:val="00796C2E"/>
    <w:rsid w:val="007A071F"/>
    <w:rsid w:val="007A1C50"/>
    <w:rsid w:val="007A2601"/>
    <w:rsid w:val="007A55DD"/>
    <w:rsid w:val="007A6F7E"/>
    <w:rsid w:val="007A73F1"/>
    <w:rsid w:val="007A76BA"/>
    <w:rsid w:val="007B1194"/>
    <w:rsid w:val="007B1532"/>
    <w:rsid w:val="007B24B1"/>
    <w:rsid w:val="007B28B4"/>
    <w:rsid w:val="007B2A3E"/>
    <w:rsid w:val="007B3E10"/>
    <w:rsid w:val="007B42B1"/>
    <w:rsid w:val="007B4ADC"/>
    <w:rsid w:val="007B55B2"/>
    <w:rsid w:val="007B654B"/>
    <w:rsid w:val="007B6EC7"/>
    <w:rsid w:val="007B73F6"/>
    <w:rsid w:val="007B7880"/>
    <w:rsid w:val="007C08FF"/>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13D8"/>
    <w:rsid w:val="007E2125"/>
    <w:rsid w:val="007E277B"/>
    <w:rsid w:val="007E38A7"/>
    <w:rsid w:val="007E3DC8"/>
    <w:rsid w:val="007E46BF"/>
    <w:rsid w:val="007E5CB0"/>
    <w:rsid w:val="007E7DCC"/>
    <w:rsid w:val="007F0371"/>
    <w:rsid w:val="007F1528"/>
    <w:rsid w:val="007F1A39"/>
    <w:rsid w:val="007F1C80"/>
    <w:rsid w:val="007F25D7"/>
    <w:rsid w:val="007F2E2C"/>
    <w:rsid w:val="007F3DD9"/>
    <w:rsid w:val="007F3F5B"/>
    <w:rsid w:val="007F4A31"/>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649"/>
    <w:rsid w:val="00817709"/>
    <w:rsid w:val="00817DC4"/>
    <w:rsid w:val="00820812"/>
    <w:rsid w:val="00821549"/>
    <w:rsid w:val="00822AC6"/>
    <w:rsid w:val="008231DC"/>
    <w:rsid w:val="0082398B"/>
    <w:rsid w:val="00824815"/>
    <w:rsid w:val="00824E8B"/>
    <w:rsid w:val="00824F71"/>
    <w:rsid w:val="00825707"/>
    <w:rsid w:val="008266BB"/>
    <w:rsid w:val="008269D5"/>
    <w:rsid w:val="008274C2"/>
    <w:rsid w:val="00827C3F"/>
    <w:rsid w:val="0083167E"/>
    <w:rsid w:val="00831F16"/>
    <w:rsid w:val="00832EA1"/>
    <w:rsid w:val="00833570"/>
    <w:rsid w:val="008341F0"/>
    <w:rsid w:val="008345DE"/>
    <w:rsid w:val="0083471B"/>
    <w:rsid w:val="00835A31"/>
    <w:rsid w:val="00837A4C"/>
    <w:rsid w:val="00837D6E"/>
    <w:rsid w:val="008405E1"/>
    <w:rsid w:val="00840A50"/>
    <w:rsid w:val="00841411"/>
    <w:rsid w:val="008435D2"/>
    <w:rsid w:val="00843AF4"/>
    <w:rsid w:val="00843FC0"/>
    <w:rsid w:val="0084415B"/>
    <w:rsid w:val="008446DF"/>
    <w:rsid w:val="008460DC"/>
    <w:rsid w:val="00846236"/>
    <w:rsid w:val="008509D3"/>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67"/>
    <w:rsid w:val="008577DA"/>
    <w:rsid w:val="00860D6C"/>
    <w:rsid w:val="00862168"/>
    <w:rsid w:val="0086284D"/>
    <w:rsid w:val="008635A7"/>
    <w:rsid w:val="00865CCF"/>
    <w:rsid w:val="00865D67"/>
    <w:rsid w:val="00865F8B"/>
    <w:rsid w:val="00866E36"/>
    <w:rsid w:val="008672D0"/>
    <w:rsid w:val="00870102"/>
    <w:rsid w:val="008723A0"/>
    <w:rsid w:val="00874CE4"/>
    <w:rsid w:val="00875335"/>
    <w:rsid w:val="0087623D"/>
    <w:rsid w:val="008769A8"/>
    <w:rsid w:val="0087708D"/>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80A"/>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4F28"/>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1EBA"/>
    <w:rsid w:val="008E20FC"/>
    <w:rsid w:val="008E3AF7"/>
    <w:rsid w:val="008E405A"/>
    <w:rsid w:val="008E4957"/>
    <w:rsid w:val="008E6454"/>
    <w:rsid w:val="008E71D2"/>
    <w:rsid w:val="008E76BF"/>
    <w:rsid w:val="008F0135"/>
    <w:rsid w:val="008F1460"/>
    <w:rsid w:val="008F2459"/>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747"/>
    <w:rsid w:val="00910E3B"/>
    <w:rsid w:val="009122D0"/>
    <w:rsid w:val="009125B7"/>
    <w:rsid w:val="00912B57"/>
    <w:rsid w:val="00912CFB"/>
    <w:rsid w:val="009139E6"/>
    <w:rsid w:val="009175E4"/>
    <w:rsid w:val="00917AF0"/>
    <w:rsid w:val="00917C5F"/>
    <w:rsid w:val="00920A37"/>
    <w:rsid w:val="00920ACC"/>
    <w:rsid w:val="00920F8A"/>
    <w:rsid w:val="00922D49"/>
    <w:rsid w:val="009243D2"/>
    <w:rsid w:val="0092481E"/>
    <w:rsid w:val="00926506"/>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37F0C"/>
    <w:rsid w:val="009403CE"/>
    <w:rsid w:val="0094087B"/>
    <w:rsid w:val="0094352E"/>
    <w:rsid w:val="009438DC"/>
    <w:rsid w:val="00944100"/>
    <w:rsid w:val="00946475"/>
    <w:rsid w:val="00946587"/>
    <w:rsid w:val="0094720D"/>
    <w:rsid w:val="0094772D"/>
    <w:rsid w:val="009507DB"/>
    <w:rsid w:val="009511E5"/>
    <w:rsid w:val="0095149D"/>
    <w:rsid w:val="009517F6"/>
    <w:rsid w:val="009521C1"/>
    <w:rsid w:val="00952A15"/>
    <w:rsid w:val="009534C9"/>
    <w:rsid w:val="00953920"/>
    <w:rsid w:val="00953EF6"/>
    <w:rsid w:val="0095402B"/>
    <w:rsid w:val="00955290"/>
    <w:rsid w:val="009554B3"/>
    <w:rsid w:val="00955EBD"/>
    <w:rsid w:val="009568B5"/>
    <w:rsid w:val="00961752"/>
    <w:rsid w:val="00962790"/>
    <w:rsid w:val="00962F77"/>
    <w:rsid w:val="00963193"/>
    <w:rsid w:val="0096434B"/>
    <w:rsid w:val="00964AA4"/>
    <w:rsid w:val="00964DE9"/>
    <w:rsid w:val="00965598"/>
    <w:rsid w:val="009665B5"/>
    <w:rsid w:val="0096660F"/>
    <w:rsid w:val="009677C7"/>
    <w:rsid w:val="009712EA"/>
    <w:rsid w:val="009729A9"/>
    <w:rsid w:val="009752BE"/>
    <w:rsid w:val="009752D4"/>
    <w:rsid w:val="0097535C"/>
    <w:rsid w:val="00975710"/>
    <w:rsid w:val="00975A23"/>
    <w:rsid w:val="009761D3"/>
    <w:rsid w:val="009762F4"/>
    <w:rsid w:val="00976C9C"/>
    <w:rsid w:val="00976F28"/>
    <w:rsid w:val="0098132E"/>
    <w:rsid w:val="009822AB"/>
    <w:rsid w:val="00982A00"/>
    <w:rsid w:val="00983048"/>
    <w:rsid w:val="0098318A"/>
    <w:rsid w:val="0098335A"/>
    <w:rsid w:val="00983B82"/>
    <w:rsid w:val="00983ED4"/>
    <w:rsid w:val="00986127"/>
    <w:rsid w:val="009864F0"/>
    <w:rsid w:val="00986603"/>
    <w:rsid w:val="00986D7B"/>
    <w:rsid w:val="00987481"/>
    <w:rsid w:val="009877D6"/>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7936"/>
    <w:rsid w:val="009D0074"/>
    <w:rsid w:val="009D1A50"/>
    <w:rsid w:val="009D2E7D"/>
    <w:rsid w:val="009D491B"/>
    <w:rsid w:val="009D557A"/>
    <w:rsid w:val="009D65BC"/>
    <w:rsid w:val="009D7C5D"/>
    <w:rsid w:val="009D7F07"/>
    <w:rsid w:val="009D7F36"/>
    <w:rsid w:val="009E124C"/>
    <w:rsid w:val="009E2122"/>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9BD"/>
    <w:rsid w:val="00A05E5D"/>
    <w:rsid w:val="00A068D1"/>
    <w:rsid w:val="00A069A8"/>
    <w:rsid w:val="00A079A4"/>
    <w:rsid w:val="00A1046C"/>
    <w:rsid w:val="00A11944"/>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187"/>
    <w:rsid w:val="00A27B7B"/>
    <w:rsid w:val="00A3003D"/>
    <w:rsid w:val="00A30122"/>
    <w:rsid w:val="00A30EFA"/>
    <w:rsid w:val="00A30FE4"/>
    <w:rsid w:val="00A31BFA"/>
    <w:rsid w:val="00A36F15"/>
    <w:rsid w:val="00A371B5"/>
    <w:rsid w:val="00A40BC1"/>
    <w:rsid w:val="00A41377"/>
    <w:rsid w:val="00A413BE"/>
    <w:rsid w:val="00A428DD"/>
    <w:rsid w:val="00A43126"/>
    <w:rsid w:val="00A4464E"/>
    <w:rsid w:val="00A44AA1"/>
    <w:rsid w:val="00A44DE9"/>
    <w:rsid w:val="00A460E1"/>
    <w:rsid w:val="00A479C4"/>
    <w:rsid w:val="00A50246"/>
    <w:rsid w:val="00A51691"/>
    <w:rsid w:val="00A51EC8"/>
    <w:rsid w:val="00A52274"/>
    <w:rsid w:val="00A523F8"/>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EAD"/>
    <w:rsid w:val="00A740B1"/>
    <w:rsid w:val="00A74325"/>
    <w:rsid w:val="00A75949"/>
    <w:rsid w:val="00A7595D"/>
    <w:rsid w:val="00A76915"/>
    <w:rsid w:val="00A80991"/>
    <w:rsid w:val="00A8099A"/>
    <w:rsid w:val="00A8199B"/>
    <w:rsid w:val="00A827F3"/>
    <w:rsid w:val="00A82A69"/>
    <w:rsid w:val="00A8379B"/>
    <w:rsid w:val="00A84A7A"/>
    <w:rsid w:val="00A863C1"/>
    <w:rsid w:val="00A8660E"/>
    <w:rsid w:val="00A879CC"/>
    <w:rsid w:val="00A9017C"/>
    <w:rsid w:val="00A90478"/>
    <w:rsid w:val="00A90667"/>
    <w:rsid w:val="00A91319"/>
    <w:rsid w:val="00A913C6"/>
    <w:rsid w:val="00A914F9"/>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7EB3"/>
    <w:rsid w:val="00AC0359"/>
    <w:rsid w:val="00AC0DB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6429"/>
    <w:rsid w:val="00AD6A86"/>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3A5"/>
    <w:rsid w:val="00AE7B89"/>
    <w:rsid w:val="00AF0C95"/>
    <w:rsid w:val="00AF21F0"/>
    <w:rsid w:val="00AF2CFE"/>
    <w:rsid w:val="00AF2F84"/>
    <w:rsid w:val="00AF3B28"/>
    <w:rsid w:val="00AF4BB2"/>
    <w:rsid w:val="00AF4C7F"/>
    <w:rsid w:val="00AF4D00"/>
    <w:rsid w:val="00AF7C38"/>
    <w:rsid w:val="00B00474"/>
    <w:rsid w:val="00B00878"/>
    <w:rsid w:val="00B0276C"/>
    <w:rsid w:val="00B0286F"/>
    <w:rsid w:val="00B030C8"/>
    <w:rsid w:val="00B03855"/>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3D36"/>
    <w:rsid w:val="00B1464A"/>
    <w:rsid w:val="00B14D75"/>
    <w:rsid w:val="00B15605"/>
    <w:rsid w:val="00B160CB"/>
    <w:rsid w:val="00B165D6"/>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43E6"/>
    <w:rsid w:val="00B55203"/>
    <w:rsid w:val="00B55C79"/>
    <w:rsid w:val="00B56002"/>
    <w:rsid w:val="00B570C1"/>
    <w:rsid w:val="00B572E8"/>
    <w:rsid w:val="00B57514"/>
    <w:rsid w:val="00B57CE4"/>
    <w:rsid w:val="00B6077E"/>
    <w:rsid w:val="00B616D3"/>
    <w:rsid w:val="00B634DD"/>
    <w:rsid w:val="00B638B6"/>
    <w:rsid w:val="00B6458A"/>
    <w:rsid w:val="00B658C4"/>
    <w:rsid w:val="00B65BE7"/>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3464"/>
    <w:rsid w:val="00B85616"/>
    <w:rsid w:val="00B90C3E"/>
    <w:rsid w:val="00B90E79"/>
    <w:rsid w:val="00B914B4"/>
    <w:rsid w:val="00B914C7"/>
    <w:rsid w:val="00B9160E"/>
    <w:rsid w:val="00B92352"/>
    <w:rsid w:val="00B9248D"/>
    <w:rsid w:val="00B92AC7"/>
    <w:rsid w:val="00B95615"/>
    <w:rsid w:val="00B96064"/>
    <w:rsid w:val="00B96F64"/>
    <w:rsid w:val="00B972EE"/>
    <w:rsid w:val="00B97A74"/>
    <w:rsid w:val="00BA051B"/>
    <w:rsid w:val="00BA08DC"/>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62C"/>
    <w:rsid w:val="00BB3047"/>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237A"/>
    <w:rsid w:val="00BE37E0"/>
    <w:rsid w:val="00BE475F"/>
    <w:rsid w:val="00BE531E"/>
    <w:rsid w:val="00BE5EA7"/>
    <w:rsid w:val="00BE630D"/>
    <w:rsid w:val="00BE6D7B"/>
    <w:rsid w:val="00BF044F"/>
    <w:rsid w:val="00BF1F74"/>
    <w:rsid w:val="00BF3588"/>
    <w:rsid w:val="00BF3CC5"/>
    <w:rsid w:val="00BF42A4"/>
    <w:rsid w:val="00BF6610"/>
    <w:rsid w:val="00BF6CCE"/>
    <w:rsid w:val="00BF7116"/>
    <w:rsid w:val="00BF7EF8"/>
    <w:rsid w:val="00C00A84"/>
    <w:rsid w:val="00C010F3"/>
    <w:rsid w:val="00C01558"/>
    <w:rsid w:val="00C02754"/>
    <w:rsid w:val="00C03083"/>
    <w:rsid w:val="00C03C73"/>
    <w:rsid w:val="00C040D9"/>
    <w:rsid w:val="00C04A0A"/>
    <w:rsid w:val="00C04F69"/>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50"/>
    <w:rsid w:val="00C162F8"/>
    <w:rsid w:val="00C1680F"/>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4E9"/>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2E91"/>
    <w:rsid w:val="00C95789"/>
    <w:rsid w:val="00C95D08"/>
    <w:rsid w:val="00C96091"/>
    <w:rsid w:val="00C969A5"/>
    <w:rsid w:val="00C96B43"/>
    <w:rsid w:val="00C97EE5"/>
    <w:rsid w:val="00CA02EF"/>
    <w:rsid w:val="00CA07ED"/>
    <w:rsid w:val="00CA1595"/>
    <w:rsid w:val="00CA1A7A"/>
    <w:rsid w:val="00CA2809"/>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B7F08"/>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254"/>
    <w:rsid w:val="00D10410"/>
    <w:rsid w:val="00D10817"/>
    <w:rsid w:val="00D108DB"/>
    <w:rsid w:val="00D114FE"/>
    <w:rsid w:val="00D11AF0"/>
    <w:rsid w:val="00D13727"/>
    <w:rsid w:val="00D147D7"/>
    <w:rsid w:val="00D15224"/>
    <w:rsid w:val="00D17D22"/>
    <w:rsid w:val="00D20DDF"/>
    <w:rsid w:val="00D21745"/>
    <w:rsid w:val="00D228C5"/>
    <w:rsid w:val="00D228EE"/>
    <w:rsid w:val="00D2438E"/>
    <w:rsid w:val="00D251A8"/>
    <w:rsid w:val="00D255A3"/>
    <w:rsid w:val="00D25F82"/>
    <w:rsid w:val="00D27368"/>
    <w:rsid w:val="00D3198F"/>
    <w:rsid w:val="00D31CB3"/>
    <w:rsid w:val="00D3355B"/>
    <w:rsid w:val="00D33781"/>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52E5"/>
    <w:rsid w:val="00D45FC0"/>
    <w:rsid w:val="00D46617"/>
    <w:rsid w:val="00D4689F"/>
    <w:rsid w:val="00D46996"/>
    <w:rsid w:val="00D46ECB"/>
    <w:rsid w:val="00D47438"/>
    <w:rsid w:val="00D47B16"/>
    <w:rsid w:val="00D47D8C"/>
    <w:rsid w:val="00D50466"/>
    <w:rsid w:val="00D527BD"/>
    <w:rsid w:val="00D5367E"/>
    <w:rsid w:val="00D5428E"/>
    <w:rsid w:val="00D54395"/>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4F1A"/>
    <w:rsid w:val="00D6685C"/>
    <w:rsid w:val="00D70430"/>
    <w:rsid w:val="00D707E1"/>
    <w:rsid w:val="00D714D0"/>
    <w:rsid w:val="00D7180F"/>
    <w:rsid w:val="00D719EC"/>
    <w:rsid w:val="00D71DD0"/>
    <w:rsid w:val="00D7309D"/>
    <w:rsid w:val="00D7311C"/>
    <w:rsid w:val="00D73FED"/>
    <w:rsid w:val="00D74906"/>
    <w:rsid w:val="00D74C73"/>
    <w:rsid w:val="00D74F71"/>
    <w:rsid w:val="00D75313"/>
    <w:rsid w:val="00D762C2"/>
    <w:rsid w:val="00D770B2"/>
    <w:rsid w:val="00D77E06"/>
    <w:rsid w:val="00D80113"/>
    <w:rsid w:val="00D80C7A"/>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D24"/>
    <w:rsid w:val="00DB514B"/>
    <w:rsid w:val="00DB553B"/>
    <w:rsid w:val="00DB6C5A"/>
    <w:rsid w:val="00DC0083"/>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3AE5"/>
    <w:rsid w:val="00DD5506"/>
    <w:rsid w:val="00DD5D7C"/>
    <w:rsid w:val="00DD7E98"/>
    <w:rsid w:val="00DD7F36"/>
    <w:rsid w:val="00DD7F4E"/>
    <w:rsid w:val="00DE0589"/>
    <w:rsid w:val="00DE1685"/>
    <w:rsid w:val="00DE1AE0"/>
    <w:rsid w:val="00DE1C0C"/>
    <w:rsid w:val="00DE331D"/>
    <w:rsid w:val="00DE3984"/>
    <w:rsid w:val="00DE3B4A"/>
    <w:rsid w:val="00DE3C4A"/>
    <w:rsid w:val="00DE4168"/>
    <w:rsid w:val="00DE447F"/>
    <w:rsid w:val="00DE5573"/>
    <w:rsid w:val="00DE575A"/>
    <w:rsid w:val="00DE5E8E"/>
    <w:rsid w:val="00DE63CA"/>
    <w:rsid w:val="00DE7757"/>
    <w:rsid w:val="00DE7947"/>
    <w:rsid w:val="00DF009A"/>
    <w:rsid w:val="00DF0608"/>
    <w:rsid w:val="00DF0A38"/>
    <w:rsid w:val="00DF0FE3"/>
    <w:rsid w:val="00DF1312"/>
    <w:rsid w:val="00DF13A8"/>
    <w:rsid w:val="00DF1DBA"/>
    <w:rsid w:val="00DF21D0"/>
    <w:rsid w:val="00DF34C1"/>
    <w:rsid w:val="00DF4141"/>
    <w:rsid w:val="00DF41D1"/>
    <w:rsid w:val="00DF4440"/>
    <w:rsid w:val="00DF6172"/>
    <w:rsid w:val="00DF77E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3A8C"/>
    <w:rsid w:val="00E14358"/>
    <w:rsid w:val="00E14804"/>
    <w:rsid w:val="00E15AE5"/>
    <w:rsid w:val="00E167E6"/>
    <w:rsid w:val="00E170B7"/>
    <w:rsid w:val="00E1723C"/>
    <w:rsid w:val="00E1774A"/>
    <w:rsid w:val="00E2018D"/>
    <w:rsid w:val="00E205EB"/>
    <w:rsid w:val="00E2089B"/>
    <w:rsid w:val="00E21918"/>
    <w:rsid w:val="00E21F2E"/>
    <w:rsid w:val="00E220A2"/>
    <w:rsid w:val="00E23066"/>
    <w:rsid w:val="00E250CE"/>
    <w:rsid w:val="00E26BCB"/>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ADE"/>
    <w:rsid w:val="00E40F44"/>
    <w:rsid w:val="00E41D67"/>
    <w:rsid w:val="00E41EDF"/>
    <w:rsid w:val="00E43F01"/>
    <w:rsid w:val="00E46189"/>
    <w:rsid w:val="00E46878"/>
    <w:rsid w:val="00E46C28"/>
    <w:rsid w:val="00E50BA5"/>
    <w:rsid w:val="00E5284F"/>
    <w:rsid w:val="00E53108"/>
    <w:rsid w:val="00E53841"/>
    <w:rsid w:val="00E539EA"/>
    <w:rsid w:val="00E53BBE"/>
    <w:rsid w:val="00E549F2"/>
    <w:rsid w:val="00E54EB6"/>
    <w:rsid w:val="00E5529E"/>
    <w:rsid w:val="00E56791"/>
    <w:rsid w:val="00E56EA4"/>
    <w:rsid w:val="00E57291"/>
    <w:rsid w:val="00E61369"/>
    <w:rsid w:val="00E6240F"/>
    <w:rsid w:val="00E64444"/>
    <w:rsid w:val="00E64F58"/>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6A00"/>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73"/>
    <w:rsid w:val="00EB098C"/>
    <w:rsid w:val="00EB0D54"/>
    <w:rsid w:val="00EB216C"/>
    <w:rsid w:val="00EB2255"/>
    <w:rsid w:val="00EB2A81"/>
    <w:rsid w:val="00EB3BB1"/>
    <w:rsid w:val="00EB4C23"/>
    <w:rsid w:val="00EB50A0"/>
    <w:rsid w:val="00EB52FE"/>
    <w:rsid w:val="00EB568A"/>
    <w:rsid w:val="00EB57A3"/>
    <w:rsid w:val="00EB5C46"/>
    <w:rsid w:val="00EB5E88"/>
    <w:rsid w:val="00EB6CAF"/>
    <w:rsid w:val="00EB7BDE"/>
    <w:rsid w:val="00EB7D7A"/>
    <w:rsid w:val="00EC0238"/>
    <w:rsid w:val="00EC106E"/>
    <w:rsid w:val="00EC38E4"/>
    <w:rsid w:val="00EC411D"/>
    <w:rsid w:val="00EC42A5"/>
    <w:rsid w:val="00EC4B5F"/>
    <w:rsid w:val="00EC6320"/>
    <w:rsid w:val="00EC6340"/>
    <w:rsid w:val="00EC6FC1"/>
    <w:rsid w:val="00ED00B0"/>
    <w:rsid w:val="00ED01F1"/>
    <w:rsid w:val="00ED0E81"/>
    <w:rsid w:val="00ED1385"/>
    <w:rsid w:val="00ED15C2"/>
    <w:rsid w:val="00ED347F"/>
    <w:rsid w:val="00ED37A2"/>
    <w:rsid w:val="00ED4067"/>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B6C"/>
    <w:rsid w:val="00F20BD8"/>
    <w:rsid w:val="00F20EBB"/>
    <w:rsid w:val="00F2229D"/>
    <w:rsid w:val="00F22B38"/>
    <w:rsid w:val="00F22C95"/>
    <w:rsid w:val="00F23538"/>
    <w:rsid w:val="00F2356D"/>
    <w:rsid w:val="00F23688"/>
    <w:rsid w:val="00F24631"/>
    <w:rsid w:val="00F2504F"/>
    <w:rsid w:val="00F2553B"/>
    <w:rsid w:val="00F25B9A"/>
    <w:rsid w:val="00F268B5"/>
    <w:rsid w:val="00F30688"/>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32F"/>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0C3"/>
    <w:rsid w:val="00FD15E8"/>
    <w:rsid w:val="00FD32D1"/>
    <w:rsid w:val="00FD3AAE"/>
    <w:rsid w:val="00FD3D4B"/>
    <w:rsid w:val="00FD3E67"/>
    <w:rsid w:val="00FD3F95"/>
    <w:rsid w:val="00FD4271"/>
    <w:rsid w:val="00FE0AD4"/>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9dcedc"/>
    </o:shapedefaults>
    <o:shapelayout v:ext="edit">
      <o:idmap v:ext="edit" data="2"/>
    </o:shapelayout>
  </w:shapeDefaults>
  <w:decimalSymbol w:val="."/>
  <w:listSeparator w:val=","/>
  <w14:docId w14:val="2A97E6EC"/>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F41"/>
    <w:pPr>
      <w:bidi/>
    </w:pPr>
  </w:style>
  <w:style w:type="paragraph" w:styleId="Heading1">
    <w:name w:val="heading 1"/>
    <w:basedOn w:val="Normal"/>
    <w:next w:val="Normal"/>
    <w:link w:val="Heading1Char"/>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List Paragraph1,style 2,פיסקת bullets,פיסקת רשימה11"/>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aliases w:val="List Paragraph1 Char,style 2 Char,פיסקת bullets Char,פיסקת רשימה11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
    <w:name w:val="footnote reference"/>
    <w:aliases w:val="מ,Footnote Reference_0,Footnote Reference_0_0,Footnote Reference_0_0_0,Footnote Reference_0_0_0_0,Footnote Reference_1,Footnote Reference_1_0,Footnote Reference_2,Footnote Reference_3,Footnote Reference_4,Footnote Reference_4_0"/>
    <w:basedOn w:val="DefaultParagraphFont"/>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iPriority w:val="35"/>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2">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3">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4">
    <w:name w:val="כותרת עליונה תו"/>
    <w:locked/>
    <w:rsid w:val="00F1368B"/>
    <w:rPr>
      <w:rFonts w:cs="David"/>
      <w:sz w:val="24"/>
      <w:szCs w:val="24"/>
      <w:lang w:bidi="he-IL"/>
    </w:rPr>
  </w:style>
  <w:style w:type="character" w:customStyle="1" w:styleId="a5">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uiPriority w:val="99"/>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uiPriority w:val="99"/>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0">
    <w:name w:val="כותרת 7 תו1"/>
    <w:rsid w:val="00F1368B"/>
    <w:rPr>
      <w:b/>
      <w:spacing w:val="40"/>
      <w:sz w:val="24"/>
      <w:lang w:val="en-US" w:eastAsia="he-IL" w:bidi="he-IL"/>
    </w:rPr>
  </w:style>
  <w:style w:type="paragraph" w:customStyle="1" w:styleId="a0">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6">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7">
    <w:name w:val="טקסט הערות שוליים תו"/>
    <w:rsid w:val="00F1368B"/>
    <w:rPr>
      <w:lang w:val="en-US" w:eastAsia="en-US"/>
    </w:rPr>
  </w:style>
  <w:style w:type="character" w:customStyle="1" w:styleId="a8">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9">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a">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b">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eastAsiaTheme="majorEastAsia" w:hAnsi="Arial Bold"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character" w:customStyle="1" w:styleId="HTMLPreformattedChar">
    <w:name w:val="HTML Preformatted Char"/>
    <w:basedOn w:val="DefaultParagraphFont"/>
    <w:link w:val="HTMLPreformatted"/>
    <w:uiPriority w:val="99"/>
    <w:semiHidden/>
    <w:rsid w:val="00C04F69"/>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C0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y2iqfc">
    <w:name w:val="y2iqfc"/>
    <w:basedOn w:val="DefaultParagraphFont"/>
    <w:rsid w:val="00C04F69"/>
  </w:style>
  <w:style w:type="paragraph" w:customStyle="1" w:styleId="m2573624321592561872msolistparagraph">
    <w:name w:val="m_2573624321592561872msolistparagraph"/>
    <w:basedOn w:val="Normal"/>
    <w:rsid w:val="00C04F6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1">
    <w:name w:val="71ג הזחה ראשונה מספר"/>
    <w:basedOn w:val="ListParagraph"/>
    <w:qFormat/>
    <w:rsid w:val="00C04F69"/>
    <w:pPr>
      <w:numPr>
        <w:numId w:val="6"/>
      </w:numPr>
      <w:autoSpaceDE/>
      <w:autoSpaceDN/>
      <w:adjustRightInd/>
      <w:spacing w:after="180" w:line="260" w:lineRule="exact"/>
    </w:pPr>
    <w:rPr>
      <w:rFonts w:eastAsiaTheme="minorHAnsi"/>
      <w:color w:val="0D0D0D" w:themeColor="text1" w:themeTint="F2"/>
      <w:sz w:val="18"/>
      <w:szCs w:val="18"/>
    </w:rPr>
  </w:style>
  <w:style w:type="paragraph" w:customStyle="1" w:styleId="a">
    <w:name w:val="כניסה שלישית"/>
    <w:basedOn w:val="ListParagraph"/>
    <w:qFormat/>
    <w:rsid w:val="00C04F69"/>
    <w:pPr>
      <w:numPr>
        <w:ilvl w:val="2"/>
        <w:numId w:val="6"/>
      </w:numPr>
      <w:autoSpaceDE/>
      <w:autoSpaceDN/>
      <w:adjustRightInd/>
      <w:spacing w:line="312" w:lineRule="auto"/>
      <w:contextualSpacing/>
    </w:pPr>
    <w:rPr>
      <w:rFonts w:eastAsiaTheme="minorHAnsi"/>
      <w:szCs w:val="20"/>
    </w:rPr>
  </w:style>
  <w:style w:type="paragraph" w:customStyle="1" w:styleId="711">
    <w:name w:val="71ג אותיות בתוך קוביה 1"/>
    <w:basedOn w:val="Normal"/>
    <w:qFormat/>
    <w:rsid w:val="00C04F69"/>
    <w:pPr>
      <w:keepLines/>
      <w:numPr>
        <w:ilvl w:val="1"/>
        <w:numId w:val="6"/>
      </w:numPr>
      <w:pBdr>
        <w:top w:val="single" w:sz="18" w:space="1" w:color="CEEAF5"/>
        <w:left w:val="single" w:sz="18" w:space="11" w:color="CEEAF5"/>
        <w:bottom w:val="single" w:sz="18" w:space="6" w:color="CEEAF5"/>
        <w:right w:val="single" w:sz="18" w:space="11" w:color="CEEAF5"/>
      </w:pBdr>
      <w:shd w:val="solid" w:color="CEEAF5" w:fill="CEEAF5"/>
      <w:tabs>
        <w:tab w:val="left" w:pos="624"/>
      </w:tabs>
      <w:spacing w:after="180" w:line="260" w:lineRule="exact"/>
      <w:ind w:right="227"/>
      <w:jc w:val="both"/>
    </w:pPr>
    <w:rPr>
      <w:rFonts w:ascii="Tahoma" w:eastAsia="Times New Roman" w:hAnsi="Tahoma" w:cs="Tahoma"/>
      <w:color w:val="0D0D0D" w:themeColor="text1" w:themeTint="F2"/>
      <w:sz w:val="18"/>
      <w:szCs w:val="18"/>
      <w:lang w:eastAsia="he-IL"/>
    </w:rPr>
  </w:style>
  <w:style w:type="paragraph" w:customStyle="1" w:styleId="ruller40">
    <w:name w:val="ruller40"/>
    <w:basedOn w:val="Normal"/>
    <w:rsid w:val="00C04F6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4">
    <w:name w:val="כותרת טקסט1"/>
    <w:basedOn w:val="DefaultParagraphFont"/>
    <w:rsid w:val="00C04F69"/>
  </w:style>
  <w:style w:type="table" w:customStyle="1" w:styleId="33">
    <w:name w:val="רשת טבלה3"/>
    <w:basedOn w:val="TableNormal"/>
    <w:next w:val="TableGrid"/>
    <w:uiPriority w:val="59"/>
    <w:rsid w:val="00C04F69"/>
    <w:pPr>
      <w:spacing w:after="0" w:line="240" w:lineRule="auto"/>
      <w:jc w:val="both"/>
    </w:pPr>
    <w:rPr>
      <w:rFonts w:ascii="Times New Roman" w:eastAsiaTheme="minorHAnsi" w:hAnsi="Times New Roman" w:cs="David"/>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C04F69"/>
  </w:style>
  <w:style w:type="character" w:customStyle="1" w:styleId="43">
    <w:name w:val="תו תו4"/>
    <w:rsid w:val="00C04F69"/>
    <w:rPr>
      <w:rFonts w:cs="David"/>
      <w:b/>
      <w:bCs/>
      <w:spacing w:val="40"/>
      <w:szCs w:val="24"/>
      <w:lang w:val="en-US" w:eastAsia="he-IL" w:bidi="he-IL"/>
    </w:rPr>
  </w:style>
  <w:style w:type="character" w:customStyle="1" w:styleId="mw-headline">
    <w:name w:val="mw-headline"/>
    <w:basedOn w:val="DefaultParagraphFont"/>
    <w:rsid w:val="00C04F69"/>
  </w:style>
  <w:style w:type="character" w:customStyle="1" w:styleId="datehk">
    <w:name w:val="datehk"/>
    <w:basedOn w:val="DefaultParagraphFont"/>
    <w:rsid w:val="00C04F69"/>
  </w:style>
  <w:style w:type="character" w:customStyle="1" w:styleId="Bodytext2SmallCaps">
    <w:name w:val="Body text (2) + Small Caps"/>
    <w:basedOn w:val="DefaultParagraphFont"/>
    <w:rsid w:val="00C04F69"/>
    <w:rPr>
      <w:rFonts w:ascii="Calibri" w:eastAsia="Calibri" w:hAnsi="Calibri" w:cs="Calibri" w:hint="default"/>
      <w:b w:val="0"/>
      <w:bCs w:val="0"/>
      <w:i w:val="0"/>
      <w:iCs w:val="0"/>
      <w:smallCaps/>
      <w:strike w:val="0"/>
      <w:dstrike w:val="0"/>
      <w:color w:val="000000"/>
      <w:spacing w:val="0"/>
      <w:w w:val="100"/>
      <w:position w:val="0"/>
      <w:sz w:val="22"/>
      <w:szCs w:val="22"/>
      <w:u w:val="none"/>
      <w:effect w:val="none"/>
      <w:lang w:val="en-US" w:eastAsia="en-US" w:bidi="en-US"/>
    </w:rPr>
  </w:style>
  <w:style w:type="paragraph" w:customStyle="1" w:styleId="B">
    <w:name w:val="טבלה טקסט B"/>
    <w:basedOn w:val="Normal"/>
    <w:qFormat/>
    <w:rsid w:val="00C04F69"/>
    <w:pPr>
      <w:spacing w:before="40" w:after="40" w:line="312" w:lineRule="auto"/>
    </w:pPr>
    <w:rPr>
      <w:rFonts w:ascii="Tahoma" w:hAnsi="Tahoma" w:cs="Tahoma"/>
      <w:b/>
      <w:bCs/>
      <w:sz w:val="20"/>
      <w:szCs w:val="16"/>
    </w:rPr>
  </w:style>
  <w:style w:type="paragraph" w:customStyle="1" w:styleId="ac">
    <w:name w:val="טבלה כותרת"/>
    <w:basedOn w:val="Normal"/>
    <w:qFormat/>
    <w:rsid w:val="00C04F69"/>
    <w:pPr>
      <w:spacing w:before="40" w:after="40" w:line="312" w:lineRule="auto"/>
    </w:pPr>
    <w:rPr>
      <w:rFonts w:ascii="Tahoma" w:hAnsi="Tahoma" w:cs="Tahoma"/>
      <w:b/>
      <w:bCs/>
      <w:color w:val="000000" w:themeColor="text1"/>
      <w:sz w:val="20"/>
      <w:szCs w:val="20"/>
    </w:rPr>
  </w:style>
  <w:style w:type="character" w:customStyle="1" w:styleId="Bodytext20">
    <w:name w:val="Body text (2)_"/>
    <w:basedOn w:val="DefaultParagraphFont"/>
    <w:link w:val="Bodytext21"/>
    <w:rsid w:val="00C04F69"/>
    <w:rPr>
      <w:rFonts w:ascii="David" w:eastAsia="David" w:hAnsi="David"/>
      <w:sz w:val="24"/>
      <w:shd w:val="clear" w:color="auto" w:fill="FFFFFF"/>
    </w:rPr>
  </w:style>
  <w:style w:type="paragraph" w:customStyle="1" w:styleId="Bodytext21">
    <w:name w:val="Body text (2)"/>
    <w:basedOn w:val="Normal"/>
    <w:link w:val="Bodytext20"/>
    <w:rsid w:val="00C04F69"/>
    <w:pPr>
      <w:widowControl w:val="0"/>
      <w:shd w:val="clear" w:color="auto" w:fill="FFFFFF"/>
      <w:spacing w:before="720" w:after="0" w:line="360" w:lineRule="exact"/>
      <w:ind w:hanging="400"/>
    </w:pPr>
    <w:rPr>
      <w:rFonts w:ascii="David" w:eastAsia="David" w:hAnsi="David"/>
      <w:sz w:val="24"/>
    </w:rPr>
  </w:style>
  <w:style w:type="character" w:customStyle="1" w:styleId="Bodytext2Bold">
    <w:name w:val="Body text (2) + Bold"/>
    <w:basedOn w:val="Bodytext20"/>
    <w:rsid w:val="00C04F69"/>
    <w:rPr>
      <w:rFonts w:ascii="Calibri" w:eastAsia="Calibri" w:hAnsi="Calibri" w:cs="Calibri"/>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ad">
    <w:name w:val="נתונים בלוח"/>
    <w:basedOn w:val="Normal"/>
    <w:qFormat/>
    <w:rsid w:val="00C04F69"/>
    <w:pPr>
      <w:framePr w:hSpace="180" w:wrap="around" w:hAnchor="margin" w:y="885"/>
      <w:spacing w:before="120" w:line="240" w:lineRule="auto"/>
      <w:jc w:val="center"/>
    </w:pPr>
    <w:rPr>
      <w:rFonts w:ascii="Arial" w:eastAsiaTheme="minorHAnsi" w:hAnsi="Arial" w:cs="Arial"/>
      <w:spacing w:val="-20"/>
      <w:sz w:val="18"/>
      <w:szCs w:val="18"/>
    </w:rPr>
  </w:style>
  <w:style w:type="paragraph" w:customStyle="1" w:styleId="ae">
    <w:name w:val="כותרות לוחות מנהלים"/>
    <w:basedOn w:val="Normal"/>
    <w:qFormat/>
    <w:rsid w:val="00C04F69"/>
    <w:pPr>
      <w:framePr w:hSpace="180" w:wrap="around" w:hAnchor="margin" w:y="885"/>
      <w:spacing w:before="120" w:line="240" w:lineRule="auto"/>
      <w:jc w:val="center"/>
    </w:pPr>
    <w:rPr>
      <w:rFonts w:ascii="Arial" w:eastAsiaTheme="minorHAnsi" w:hAnsi="Arial" w:cs="Arial"/>
      <w:bCs/>
      <w:color w:val="08674D" w:themeColor="accent4" w:themeShade="80"/>
      <w:sz w:val="20"/>
      <w:szCs w:val="20"/>
    </w:rPr>
  </w:style>
  <w:style w:type="paragraph" w:customStyle="1" w:styleId="a1">
    <w:name w:val="היגדים ממוספרים"/>
    <w:basedOn w:val="Normal"/>
    <w:qFormat/>
    <w:rsid w:val="00C04F69"/>
    <w:pPr>
      <w:numPr>
        <w:numId w:val="18"/>
      </w:numPr>
      <w:spacing w:before="120" w:line="240" w:lineRule="auto"/>
    </w:pPr>
    <w:rPr>
      <w:rFonts w:ascii="Arial" w:eastAsiaTheme="minorHAnsi" w:hAnsi="Arial" w:cs="Arial"/>
      <w:sz w:val="20"/>
      <w:szCs w:val="20"/>
    </w:rPr>
  </w:style>
  <w:style w:type="paragraph" w:customStyle="1" w:styleId="af">
    <w:name w:val="ג. כותרת תרשים מיושרת לימין"/>
    <w:basedOn w:val="Normal"/>
    <w:next w:val="Normal"/>
    <w:qFormat/>
    <w:rsid w:val="00C04F69"/>
    <w:pPr>
      <w:spacing w:before="120"/>
      <w:ind w:left="794" w:hanging="794"/>
      <w:jc w:val="both"/>
    </w:pPr>
    <w:rPr>
      <w:rFonts w:eastAsiaTheme="minorHAnsi" w:cs="Arial"/>
      <w:b/>
      <w:bCs/>
      <w:sz w:val="22"/>
      <w:szCs w:val="22"/>
    </w:rPr>
  </w:style>
  <w:style w:type="character" w:customStyle="1" w:styleId="15">
    <w:name w:val="טקסט הערה תו1"/>
    <w:basedOn w:val="DefaultParagraphFont"/>
    <w:uiPriority w:val="99"/>
    <w:rsid w:val="00C04F69"/>
    <w:rPr>
      <w:szCs w:val="20"/>
    </w:rPr>
  </w:style>
  <w:style w:type="character" w:customStyle="1" w:styleId="Bodytext2Exact">
    <w:name w:val="Body text (2) Exact"/>
    <w:basedOn w:val="DefaultParagraphFont"/>
    <w:rsid w:val="00C04F69"/>
    <w:rPr>
      <w:rFonts w:ascii="David" w:eastAsia="David" w:hAnsi="David" w:cs="David"/>
      <w:b w:val="0"/>
      <w:bCs w:val="0"/>
      <w:i w:val="0"/>
      <w:iCs w:val="0"/>
      <w:smallCaps w:val="0"/>
      <w:strike w:val="0"/>
      <w:u w:val="none"/>
    </w:rPr>
  </w:style>
  <w:style w:type="character" w:customStyle="1" w:styleId="Bodytext2BoldExact">
    <w:name w:val="Body text (2) + Bold Exact"/>
    <w:basedOn w:val="Bodytext20"/>
    <w:rsid w:val="00C04F69"/>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
    <w:name w:val="א. כותרת לוח - שתי שורות"/>
    <w:basedOn w:val="Normal"/>
    <w:qFormat/>
    <w:rsid w:val="00C04F69"/>
    <w:pPr>
      <w:keepNext/>
      <w:keepLines/>
      <w:autoSpaceDE w:val="0"/>
      <w:autoSpaceDN w:val="0"/>
      <w:adjustRightInd w:val="0"/>
      <w:spacing w:before="120" w:after="60" w:line="300" w:lineRule="atLeast"/>
      <w:ind w:left="720" w:hanging="720"/>
      <w:jc w:val="both"/>
    </w:pPr>
    <w:rPr>
      <w:rFonts w:ascii="Arial" w:eastAsia="Times New Roman" w:hAnsi="Arial" w:cs="Arial"/>
      <w:bCs/>
      <w:sz w:val="22"/>
      <w:szCs w:val="22"/>
    </w:rPr>
  </w:style>
  <w:style w:type="paragraph" w:customStyle="1" w:styleId="af0">
    <w:name w:val="מעקב"/>
    <w:basedOn w:val="Normal"/>
    <w:qFormat/>
    <w:rsid w:val="00C04F69"/>
    <w:pPr>
      <w:widowControl w:val="0"/>
      <w:spacing w:after="0" w:line="240" w:lineRule="auto"/>
      <w:ind w:left="1134" w:hanging="1134"/>
      <w:jc w:val="both"/>
    </w:pPr>
    <w:rPr>
      <w:rFonts w:ascii="Times New Roman" w:eastAsia="Batang" w:hAnsi="Times New Roman" w:cs="David"/>
      <w:sz w:val="20"/>
      <w:szCs w:val="24"/>
      <w:lang w:eastAsia="he-IL"/>
    </w:rPr>
  </w:style>
  <w:style w:type="paragraph" w:customStyle="1" w:styleId="a10">
    <w:name w:val="a1"/>
    <w:basedOn w:val="Normal"/>
    <w:rsid w:val="00C04F69"/>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53841">
      <w:bodyDiv w:val="1"/>
      <w:marLeft w:val="0"/>
      <w:marRight w:val="0"/>
      <w:marTop w:val="0"/>
      <w:marBottom w:val="0"/>
      <w:divBdr>
        <w:top w:val="none" w:sz="0" w:space="0" w:color="auto"/>
        <w:left w:val="none" w:sz="0" w:space="0" w:color="auto"/>
        <w:bottom w:val="none" w:sz="0" w:space="0" w:color="auto"/>
        <w:right w:val="none" w:sz="0" w:space="0" w:color="auto"/>
      </w:divBdr>
    </w:div>
    <w:div w:id="250630461">
      <w:bodyDiv w:val="1"/>
      <w:marLeft w:val="0"/>
      <w:marRight w:val="0"/>
      <w:marTop w:val="0"/>
      <w:marBottom w:val="0"/>
      <w:divBdr>
        <w:top w:val="none" w:sz="0" w:space="0" w:color="auto"/>
        <w:left w:val="none" w:sz="0" w:space="0" w:color="auto"/>
        <w:bottom w:val="none" w:sz="0" w:space="0" w:color="auto"/>
        <w:right w:val="none" w:sz="0" w:space="0" w:color="auto"/>
      </w:divBdr>
    </w:div>
    <w:div w:id="293827786">
      <w:bodyDiv w:val="1"/>
      <w:marLeft w:val="0"/>
      <w:marRight w:val="0"/>
      <w:marTop w:val="0"/>
      <w:marBottom w:val="0"/>
      <w:divBdr>
        <w:top w:val="none" w:sz="0" w:space="0" w:color="auto"/>
        <w:left w:val="none" w:sz="0" w:space="0" w:color="auto"/>
        <w:bottom w:val="none" w:sz="0" w:space="0" w:color="auto"/>
        <w:right w:val="none" w:sz="0" w:space="0" w:color="auto"/>
      </w:divBdr>
    </w:div>
    <w:div w:id="440298638">
      <w:bodyDiv w:val="1"/>
      <w:marLeft w:val="0"/>
      <w:marRight w:val="0"/>
      <w:marTop w:val="0"/>
      <w:marBottom w:val="0"/>
      <w:divBdr>
        <w:top w:val="none" w:sz="0" w:space="0" w:color="auto"/>
        <w:left w:val="none" w:sz="0" w:space="0" w:color="auto"/>
        <w:bottom w:val="none" w:sz="0" w:space="0" w:color="auto"/>
        <w:right w:val="none" w:sz="0" w:space="0" w:color="auto"/>
      </w:divBdr>
    </w:div>
    <w:div w:id="498928682">
      <w:bodyDiv w:val="1"/>
      <w:marLeft w:val="0"/>
      <w:marRight w:val="0"/>
      <w:marTop w:val="0"/>
      <w:marBottom w:val="0"/>
      <w:divBdr>
        <w:top w:val="none" w:sz="0" w:space="0" w:color="auto"/>
        <w:left w:val="none" w:sz="0" w:space="0" w:color="auto"/>
        <w:bottom w:val="none" w:sz="0" w:space="0" w:color="auto"/>
        <w:right w:val="none" w:sz="0" w:space="0" w:color="auto"/>
      </w:divBdr>
    </w:div>
    <w:div w:id="556355368">
      <w:bodyDiv w:val="1"/>
      <w:marLeft w:val="0"/>
      <w:marRight w:val="0"/>
      <w:marTop w:val="0"/>
      <w:marBottom w:val="0"/>
      <w:divBdr>
        <w:top w:val="none" w:sz="0" w:space="0" w:color="auto"/>
        <w:left w:val="none" w:sz="0" w:space="0" w:color="auto"/>
        <w:bottom w:val="none" w:sz="0" w:space="0" w:color="auto"/>
        <w:right w:val="none" w:sz="0" w:space="0" w:color="auto"/>
      </w:divBdr>
    </w:div>
    <w:div w:id="723524080">
      <w:bodyDiv w:val="1"/>
      <w:marLeft w:val="0"/>
      <w:marRight w:val="0"/>
      <w:marTop w:val="0"/>
      <w:marBottom w:val="0"/>
      <w:divBdr>
        <w:top w:val="none" w:sz="0" w:space="0" w:color="auto"/>
        <w:left w:val="none" w:sz="0" w:space="0" w:color="auto"/>
        <w:bottom w:val="none" w:sz="0" w:space="0" w:color="auto"/>
        <w:right w:val="none" w:sz="0" w:space="0" w:color="auto"/>
      </w:divBdr>
      <w:divsChild>
        <w:div w:id="1269580066">
          <w:marLeft w:val="0"/>
          <w:marRight w:val="0"/>
          <w:marTop w:val="0"/>
          <w:marBottom w:val="0"/>
          <w:divBdr>
            <w:top w:val="none" w:sz="0" w:space="0" w:color="auto"/>
            <w:left w:val="none" w:sz="0" w:space="0" w:color="auto"/>
            <w:bottom w:val="none" w:sz="0" w:space="0" w:color="auto"/>
            <w:right w:val="none" w:sz="0" w:space="0" w:color="auto"/>
          </w:divBdr>
        </w:div>
        <w:div w:id="1138448921">
          <w:marLeft w:val="0"/>
          <w:marRight w:val="0"/>
          <w:marTop w:val="0"/>
          <w:marBottom w:val="0"/>
          <w:divBdr>
            <w:top w:val="none" w:sz="0" w:space="0" w:color="auto"/>
            <w:left w:val="none" w:sz="0" w:space="0" w:color="auto"/>
            <w:bottom w:val="none" w:sz="0" w:space="0" w:color="auto"/>
            <w:right w:val="none" w:sz="0" w:space="0" w:color="auto"/>
          </w:divBdr>
        </w:div>
        <w:div w:id="524057454">
          <w:marLeft w:val="0"/>
          <w:marRight w:val="0"/>
          <w:marTop w:val="0"/>
          <w:marBottom w:val="0"/>
          <w:divBdr>
            <w:top w:val="none" w:sz="0" w:space="0" w:color="auto"/>
            <w:left w:val="none" w:sz="0" w:space="0" w:color="auto"/>
            <w:bottom w:val="none" w:sz="0" w:space="0" w:color="auto"/>
            <w:right w:val="none" w:sz="0" w:space="0" w:color="auto"/>
          </w:divBdr>
        </w:div>
        <w:div w:id="1705397910">
          <w:marLeft w:val="0"/>
          <w:marRight w:val="0"/>
          <w:marTop w:val="0"/>
          <w:marBottom w:val="0"/>
          <w:divBdr>
            <w:top w:val="none" w:sz="0" w:space="0" w:color="auto"/>
            <w:left w:val="none" w:sz="0" w:space="0" w:color="auto"/>
            <w:bottom w:val="none" w:sz="0" w:space="0" w:color="auto"/>
            <w:right w:val="none" w:sz="0" w:space="0" w:color="auto"/>
          </w:divBdr>
        </w:div>
        <w:div w:id="1635018512">
          <w:marLeft w:val="0"/>
          <w:marRight w:val="0"/>
          <w:marTop w:val="0"/>
          <w:marBottom w:val="0"/>
          <w:divBdr>
            <w:top w:val="none" w:sz="0" w:space="0" w:color="auto"/>
            <w:left w:val="none" w:sz="0" w:space="0" w:color="auto"/>
            <w:bottom w:val="none" w:sz="0" w:space="0" w:color="auto"/>
            <w:right w:val="none" w:sz="0" w:space="0" w:color="auto"/>
          </w:divBdr>
        </w:div>
        <w:div w:id="2108840213">
          <w:marLeft w:val="0"/>
          <w:marRight w:val="0"/>
          <w:marTop w:val="0"/>
          <w:marBottom w:val="0"/>
          <w:divBdr>
            <w:top w:val="none" w:sz="0" w:space="0" w:color="auto"/>
            <w:left w:val="none" w:sz="0" w:space="0" w:color="auto"/>
            <w:bottom w:val="none" w:sz="0" w:space="0" w:color="auto"/>
            <w:right w:val="none" w:sz="0" w:space="0" w:color="auto"/>
          </w:divBdr>
        </w:div>
        <w:div w:id="365717490">
          <w:marLeft w:val="0"/>
          <w:marRight w:val="0"/>
          <w:marTop w:val="0"/>
          <w:marBottom w:val="0"/>
          <w:divBdr>
            <w:top w:val="none" w:sz="0" w:space="0" w:color="auto"/>
            <w:left w:val="none" w:sz="0" w:space="0" w:color="auto"/>
            <w:bottom w:val="none" w:sz="0" w:space="0" w:color="auto"/>
            <w:right w:val="none" w:sz="0" w:space="0" w:color="auto"/>
          </w:divBdr>
        </w:div>
        <w:div w:id="1673944054">
          <w:marLeft w:val="0"/>
          <w:marRight w:val="0"/>
          <w:marTop w:val="0"/>
          <w:marBottom w:val="0"/>
          <w:divBdr>
            <w:top w:val="none" w:sz="0" w:space="0" w:color="auto"/>
            <w:left w:val="none" w:sz="0" w:space="0" w:color="auto"/>
            <w:bottom w:val="none" w:sz="0" w:space="0" w:color="auto"/>
            <w:right w:val="none" w:sz="0" w:space="0" w:color="auto"/>
          </w:divBdr>
        </w:div>
        <w:div w:id="358044412">
          <w:marLeft w:val="0"/>
          <w:marRight w:val="0"/>
          <w:marTop w:val="0"/>
          <w:marBottom w:val="0"/>
          <w:divBdr>
            <w:top w:val="none" w:sz="0" w:space="0" w:color="auto"/>
            <w:left w:val="none" w:sz="0" w:space="0" w:color="auto"/>
            <w:bottom w:val="none" w:sz="0" w:space="0" w:color="auto"/>
            <w:right w:val="none" w:sz="0" w:space="0" w:color="auto"/>
          </w:divBdr>
        </w:div>
      </w:divsChild>
    </w:div>
    <w:div w:id="787621319">
      <w:bodyDiv w:val="1"/>
      <w:marLeft w:val="0"/>
      <w:marRight w:val="0"/>
      <w:marTop w:val="0"/>
      <w:marBottom w:val="0"/>
      <w:divBdr>
        <w:top w:val="none" w:sz="0" w:space="0" w:color="auto"/>
        <w:left w:val="none" w:sz="0" w:space="0" w:color="auto"/>
        <w:bottom w:val="none" w:sz="0" w:space="0" w:color="auto"/>
        <w:right w:val="none" w:sz="0" w:space="0" w:color="auto"/>
      </w:divBdr>
    </w:div>
    <w:div w:id="807285871">
      <w:bodyDiv w:val="1"/>
      <w:marLeft w:val="0"/>
      <w:marRight w:val="0"/>
      <w:marTop w:val="0"/>
      <w:marBottom w:val="0"/>
      <w:divBdr>
        <w:top w:val="none" w:sz="0" w:space="0" w:color="auto"/>
        <w:left w:val="none" w:sz="0" w:space="0" w:color="auto"/>
        <w:bottom w:val="none" w:sz="0" w:space="0" w:color="auto"/>
        <w:right w:val="none" w:sz="0" w:space="0" w:color="auto"/>
      </w:divBdr>
    </w:div>
    <w:div w:id="976378899">
      <w:bodyDiv w:val="1"/>
      <w:marLeft w:val="0"/>
      <w:marRight w:val="0"/>
      <w:marTop w:val="0"/>
      <w:marBottom w:val="0"/>
      <w:divBdr>
        <w:top w:val="none" w:sz="0" w:space="0" w:color="auto"/>
        <w:left w:val="none" w:sz="0" w:space="0" w:color="auto"/>
        <w:bottom w:val="none" w:sz="0" w:space="0" w:color="auto"/>
        <w:right w:val="none" w:sz="0" w:space="0" w:color="auto"/>
      </w:divBdr>
    </w:div>
    <w:div w:id="1092357547">
      <w:bodyDiv w:val="1"/>
      <w:marLeft w:val="0"/>
      <w:marRight w:val="0"/>
      <w:marTop w:val="0"/>
      <w:marBottom w:val="0"/>
      <w:divBdr>
        <w:top w:val="none" w:sz="0" w:space="0" w:color="auto"/>
        <w:left w:val="none" w:sz="0" w:space="0" w:color="auto"/>
        <w:bottom w:val="none" w:sz="0" w:space="0" w:color="auto"/>
        <w:right w:val="none" w:sz="0" w:space="0" w:color="auto"/>
      </w:divBdr>
    </w:div>
    <w:div w:id="1108549456">
      <w:bodyDiv w:val="1"/>
      <w:marLeft w:val="0"/>
      <w:marRight w:val="0"/>
      <w:marTop w:val="0"/>
      <w:marBottom w:val="0"/>
      <w:divBdr>
        <w:top w:val="none" w:sz="0" w:space="0" w:color="auto"/>
        <w:left w:val="none" w:sz="0" w:space="0" w:color="auto"/>
        <w:bottom w:val="none" w:sz="0" w:space="0" w:color="auto"/>
        <w:right w:val="none" w:sz="0" w:space="0" w:color="auto"/>
      </w:divBdr>
    </w:div>
    <w:div w:id="1130854115">
      <w:bodyDiv w:val="1"/>
      <w:marLeft w:val="0"/>
      <w:marRight w:val="0"/>
      <w:marTop w:val="0"/>
      <w:marBottom w:val="0"/>
      <w:divBdr>
        <w:top w:val="none" w:sz="0" w:space="0" w:color="auto"/>
        <w:left w:val="none" w:sz="0" w:space="0" w:color="auto"/>
        <w:bottom w:val="none" w:sz="0" w:space="0" w:color="auto"/>
        <w:right w:val="none" w:sz="0" w:space="0" w:color="auto"/>
      </w:divBdr>
    </w:div>
    <w:div w:id="1131248965">
      <w:bodyDiv w:val="1"/>
      <w:marLeft w:val="0"/>
      <w:marRight w:val="0"/>
      <w:marTop w:val="0"/>
      <w:marBottom w:val="0"/>
      <w:divBdr>
        <w:top w:val="none" w:sz="0" w:space="0" w:color="auto"/>
        <w:left w:val="none" w:sz="0" w:space="0" w:color="auto"/>
        <w:bottom w:val="none" w:sz="0" w:space="0" w:color="auto"/>
        <w:right w:val="none" w:sz="0" w:space="0" w:color="auto"/>
      </w:divBdr>
    </w:div>
    <w:div w:id="1136794165">
      <w:bodyDiv w:val="1"/>
      <w:marLeft w:val="0"/>
      <w:marRight w:val="0"/>
      <w:marTop w:val="0"/>
      <w:marBottom w:val="0"/>
      <w:divBdr>
        <w:top w:val="none" w:sz="0" w:space="0" w:color="auto"/>
        <w:left w:val="none" w:sz="0" w:space="0" w:color="auto"/>
        <w:bottom w:val="none" w:sz="0" w:space="0" w:color="auto"/>
        <w:right w:val="none" w:sz="0" w:space="0" w:color="auto"/>
      </w:divBdr>
    </w:div>
    <w:div w:id="1159541227">
      <w:bodyDiv w:val="1"/>
      <w:marLeft w:val="0"/>
      <w:marRight w:val="0"/>
      <w:marTop w:val="0"/>
      <w:marBottom w:val="0"/>
      <w:divBdr>
        <w:top w:val="none" w:sz="0" w:space="0" w:color="auto"/>
        <w:left w:val="none" w:sz="0" w:space="0" w:color="auto"/>
        <w:bottom w:val="none" w:sz="0" w:space="0" w:color="auto"/>
        <w:right w:val="none" w:sz="0" w:space="0" w:color="auto"/>
      </w:divBdr>
    </w:div>
    <w:div w:id="1162694700">
      <w:bodyDiv w:val="1"/>
      <w:marLeft w:val="0"/>
      <w:marRight w:val="0"/>
      <w:marTop w:val="0"/>
      <w:marBottom w:val="0"/>
      <w:divBdr>
        <w:top w:val="none" w:sz="0" w:space="0" w:color="auto"/>
        <w:left w:val="none" w:sz="0" w:space="0" w:color="auto"/>
        <w:bottom w:val="none" w:sz="0" w:space="0" w:color="auto"/>
        <w:right w:val="none" w:sz="0" w:space="0" w:color="auto"/>
      </w:divBdr>
    </w:div>
    <w:div w:id="1196890248">
      <w:bodyDiv w:val="1"/>
      <w:marLeft w:val="0"/>
      <w:marRight w:val="0"/>
      <w:marTop w:val="0"/>
      <w:marBottom w:val="0"/>
      <w:divBdr>
        <w:top w:val="none" w:sz="0" w:space="0" w:color="auto"/>
        <w:left w:val="none" w:sz="0" w:space="0" w:color="auto"/>
        <w:bottom w:val="none" w:sz="0" w:space="0" w:color="auto"/>
        <w:right w:val="none" w:sz="0" w:space="0" w:color="auto"/>
      </w:divBdr>
    </w:div>
    <w:div w:id="1229881155">
      <w:bodyDiv w:val="1"/>
      <w:marLeft w:val="0"/>
      <w:marRight w:val="0"/>
      <w:marTop w:val="0"/>
      <w:marBottom w:val="0"/>
      <w:divBdr>
        <w:top w:val="none" w:sz="0" w:space="0" w:color="auto"/>
        <w:left w:val="none" w:sz="0" w:space="0" w:color="auto"/>
        <w:bottom w:val="none" w:sz="0" w:space="0" w:color="auto"/>
        <w:right w:val="none" w:sz="0" w:space="0" w:color="auto"/>
      </w:divBdr>
    </w:div>
    <w:div w:id="1294363108">
      <w:bodyDiv w:val="1"/>
      <w:marLeft w:val="0"/>
      <w:marRight w:val="0"/>
      <w:marTop w:val="0"/>
      <w:marBottom w:val="0"/>
      <w:divBdr>
        <w:top w:val="none" w:sz="0" w:space="0" w:color="auto"/>
        <w:left w:val="none" w:sz="0" w:space="0" w:color="auto"/>
        <w:bottom w:val="none" w:sz="0" w:space="0" w:color="auto"/>
        <w:right w:val="none" w:sz="0" w:space="0" w:color="auto"/>
      </w:divBdr>
    </w:div>
    <w:div w:id="1317496804">
      <w:bodyDiv w:val="1"/>
      <w:marLeft w:val="0"/>
      <w:marRight w:val="0"/>
      <w:marTop w:val="0"/>
      <w:marBottom w:val="0"/>
      <w:divBdr>
        <w:top w:val="none" w:sz="0" w:space="0" w:color="auto"/>
        <w:left w:val="none" w:sz="0" w:space="0" w:color="auto"/>
        <w:bottom w:val="none" w:sz="0" w:space="0" w:color="auto"/>
        <w:right w:val="none" w:sz="0" w:space="0" w:color="auto"/>
      </w:divBdr>
    </w:div>
    <w:div w:id="1329938441">
      <w:bodyDiv w:val="1"/>
      <w:marLeft w:val="0"/>
      <w:marRight w:val="0"/>
      <w:marTop w:val="0"/>
      <w:marBottom w:val="0"/>
      <w:divBdr>
        <w:top w:val="none" w:sz="0" w:space="0" w:color="auto"/>
        <w:left w:val="none" w:sz="0" w:space="0" w:color="auto"/>
        <w:bottom w:val="none" w:sz="0" w:space="0" w:color="auto"/>
        <w:right w:val="none" w:sz="0" w:space="0" w:color="auto"/>
      </w:divBdr>
    </w:div>
    <w:div w:id="1363365736">
      <w:bodyDiv w:val="1"/>
      <w:marLeft w:val="0"/>
      <w:marRight w:val="0"/>
      <w:marTop w:val="0"/>
      <w:marBottom w:val="0"/>
      <w:divBdr>
        <w:top w:val="none" w:sz="0" w:space="0" w:color="auto"/>
        <w:left w:val="none" w:sz="0" w:space="0" w:color="auto"/>
        <w:bottom w:val="none" w:sz="0" w:space="0" w:color="auto"/>
        <w:right w:val="none" w:sz="0" w:space="0" w:color="auto"/>
      </w:divBdr>
    </w:div>
    <w:div w:id="1526408976">
      <w:bodyDiv w:val="1"/>
      <w:marLeft w:val="0"/>
      <w:marRight w:val="0"/>
      <w:marTop w:val="0"/>
      <w:marBottom w:val="0"/>
      <w:divBdr>
        <w:top w:val="none" w:sz="0" w:space="0" w:color="auto"/>
        <w:left w:val="none" w:sz="0" w:space="0" w:color="auto"/>
        <w:bottom w:val="none" w:sz="0" w:space="0" w:color="auto"/>
        <w:right w:val="none" w:sz="0" w:space="0" w:color="auto"/>
      </w:divBdr>
    </w:div>
    <w:div w:id="1605074639">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767265275">
      <w:bodyDiv w:val="1"/>
      <w:marLeft w:val="0"/>
      <w:marRight w:val="0"/>
      <w:marTop w:val="0"/>
      <w:marBottom w:val="0"/>
      <w:divBdr>
        <w:top w:val="none" w:sz="0" w:space="0" w:color="auto"/>
        <w:left w:val="none" w:sz="0" w:space="0" w:color="auto"/>
        <w:bottom w:val="none" w:sz="0" w:space="0" w:color="auto"/>
        <w:right w:val="none" w:sz="0" w:space="0" w:color="auto"/>
      </w:divBdr>
    </w:div>
    <w:div w:id="1922132789">
      <w:bodyDiv w:val="1"/>
      <w:marLeft w:val="0"/>
      <w:marRight w:val="0"/>
      <w:marTop w:val="0"/>
      <w:marBottom w:val="0"/>
      <w:divBdr>
        <w:top w:val="none" w:sz="0" w:space="0" w:color="auto"/>
        <w:left w:val="none" w:sz="0" w:space="0" w:color="auto"/>
        <w:bottom w:val="none" w:sz="0" w:space="0" w:color="auto"/>
        <w:right w:val="none" w:sz="0" w:space="0" w:color="auto"/>
      </w:divBdr>
    </w:div>
    <w:div w:id="2099595044">
      <w:bodyDiv w:val="1"/>
      <w:marLeft w:val="0"/>
      <w:marRight w:val="0"/>
      <w:marTop w:val="0"/>
      <w:marBottom w:val="0"/>
      <w:divBdr>
        <w:top w:val="none" w:sz="0" w:space="0" w:color="auto"/>
        <w:left w:val="none" w:sz="0" w:space="0" w:color="auto"/>
        <w:bottom w:val="none" w:sz="0" w:space="0" w:color="auto"/>
        <w:right w:val="none" w:sz="0" w:space="0" w:color="auto"/>
      </w:divBdr>
    </w:div>
    <w:div w:id="2108236636">
      <w:bodyDiv w:val="1"/>
      <w:marLeft w:val="0"/>
      <w:marRight w:val="0"/>
      <w:marTop w:val="0"/>
      <w:marBottom w:val="0"/>
      <w:divBdr>
        <w:top w:val="none" w:sz="0" w:space="0" w:color="auto"/>
        <w:left w:val="none" w:sz="0" w:space="0" w:color="auto"/>
        <w:bottom w:val="none" w:sz="0" w:space="0" w:color="auto"/>
        <w:right w:val="none" w:sz="0" w:space="0" w:color="auto"/>
      </w:divBdr>
      <w:divsChild>
        <w:div w:id="918292360">
          <w:marLeft w:val="0"/>
          <w:marRight w:val="0"/>
          <w:marTop w:val="0"/>
          <w:marBottom w:val="0"/>
          <w:divBdr>
            <w:top w:val="none" w:sz="0" w:space="0" w:color="auto"/>
            <w:left w:val="none" w:sz="0" w:space="0" w:color="auto"/>
            <w:bottom w:val="none" w:sz="0" w:space="0" w:color="auto"/>
            <w:right w:val="none" w:sz="0" w:space="0" w:color="auto"/>
          </w:divBdr>
          <w:divsChild>
            <w:div w:id="392313184">
              <w:marLeft w:val="0"/>
              <w:marRight w:val="0"/>
              <w:marTop w:val="0"/>
              <w:marBottom w:val="0"/>
              <w:divBdr>
                <w:top w:val="none" w:sz="0" w:space="0" w:color="auto"/>
                <w:left w:val="none" w:sz="0" w:space="0" w:color="auto"/>
                <w:bottom w:val="none" w:sz="0" w:space="0" w:color="auto"/>
                <w:right w:val="none" w:sz="0" w:space="0" w:color="auto"/>
              </w:divBdr>
              <w:divsChild>
                <w:div w:id="12121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927">
          <w:marLeft w:val="0"/>
          <w:marRight w:val="0"/>
          <w:marTop w:val="0"/>
          <w:marBottom w:val="0"/>
          <w:divBdr>
            <w:top w:val="none" w:sz="0" w:space="0" w:color="auto"/>
            <w:left w:val="none" w:sz="0" w:space="0" w:color="auto"/>
            <w:bottom w:val="none" w:sz="0" w:space="0" w:color="auto"/>
            <w:right w:val="none" w:sz="0" w:space="0" w:color="auto"/>
          </w:divBdr>
          <w:divsChild>
            <w:div w:id="1323657347">
              <w:marLeft w:val="0"/>
              <w:marRight w:val="0"/>
              <w:marTop w:val="0"/>
              <w:marBottom w:val="0"/>
              <w:divBdr>
                <w:top w:val="none" w:sz="0" w:space="0" w:color="auto"/>
                <w:left w:val="none" w:sz="0" w:space="0" w:color="auto"/>
                <w:bottom w:val="none" w:sz="0" w:space="0" w:color="auto"/>
                <w:right w:val="none" w:sz="0" w:space="0" w:color="auto"/>
              </w:divBdr>
              <w:divsChild>
                <w:div w:id="1415779705">
                  <w:marLeft w:val="0"/>
                  <w:marRight w:val="0"/>
                  <w:marTop w:val="0"/>
                  <w:marBottom w:val="0"/>
                  <w:divBdr>
                    <w:top w:val="none" w:sz="0" w:space="0" w:color="auto"/>
                    <w:left w:val="none" w:sz="0" w:space="0" w:color="auto"/>
                    <w:bottom w:val="none" w:sz="0" w:space="0" w:color="auto"/>
                    <w:right w:val="none" w:sz="0" w:space="0" w:color="auto"/>
                  </w:divBdr>
                  <w:divsChild>
                    <w:div w:id="1529752174">
                      <w:marLeft w:val="0"/>
                      <w:marRight w:val="0"/>
                      <w:marTop w:val="0"/>
                      <w:marBottom w:val="0"/>
                      <w:divBdr>
                        <w:top w:val="none" w:sz="0" w:space="0" w:color="auto"/>
                        <w:left w:val="none" w:sz="0" w:space="0" w:color="auto"/>
                        <w:bottom w:val="none" w:sz="0" w:space="0" w:color="auto"/>
                        <w:right w:val="none" w:sz="0" w:space="0" w:color="auto"/>
                      </w:divBdr>
                      <w:divsChild>
                        <w:div w:id="41053000">
                          <w:marLeft w:val="0"/>
                          <w:marRight w:val="0"/>
                          <w:marTop w:val="0"/>
                          <w:marBottom w:val="0"/>
                          <w:divBdr>
                            <w:top w:val="none" w:sz="0" w:space="0" w:color="auto"/>
                            <w:left w:val="none" w:sz="0" w:space="0" w:color="auto"/>
                            <w:bottom w:val="none" w:sz="0" w:space="0" w:color="auto"/>
                            <w:right w:val="none" w:sz="0" w:space="0" w:color="auto"/>
                          </w:divBdr>
                          <w:divsChild>
                            <w:div w:id="31463906">
                              <w:marLeft w:val="0"/>
                              <w:marRight w:val="225"/>
                              <w:marTop w:val="75"/>
                              <w:marBottom w:val="225"/>
                              <w:divBdr>
                                <w:top w:val="single" w:sz="6" w:space="0" w:color="D1D1D1"/>
                                <w:left w:val="single" w:sz="6" w:space="0" w:color="D1D1D1"/>
                                <w:bottom w:val="single" w:sz="6" w:space="0" w:color="D1D1D1"/>
                                <w:right w:val="single" w:sz="6" w:space="0" w:color="D1D1D1"/>
                              </w:divBdr>
                            </w:div>
                          </w:divsChild>
                        </w:div>
                      </w:divsChild>
                    </w:div>
                  </w:divsChild>
                </w:div>
              </w:divsChild>
            </w:div>
            <w:div w:id="1396392427">
              <w:marLeft w:val="0"/>
              <w:marRight w:val="0"/>
              <w:marTop w:val="0"/>
              <w:marBottom w:val="0"/>
              <w:divBdr>
                <w:top w:val="none" w:sz="0" w:space="0" w:color="auto"/>
                <w:left w:val="none" w:sz="0" w:space="0" w:color="auto"/>
                <w:bottom w:val="none" w:sz="0" w:space="0" w:color="auto"/>
                <w:right w:val="none" w:sz="0" w:space="0" w:color="auto"/>
              </w:divBdr>
              <w:divsChild>
                <w:div w:id="1694067104">
                  <w:marLeft w:val="0"/>
                  <w:marRight w:val="0"/>
                  <w:marTop w:val="0"/>
                  <w:marBottom w:val="0"/>
                  <w:divBdr>
                    <w:top w:val="none" w:sz="0" w:space="0" w:color="auto"/>
                    <w:left w:val="none" w:sz="0" w:space="0" w:color="auto"/>
                    <w:bottom w:val="none" w:sz="0" w:space="0" w:color="auto"/>
                    <w:right w:val="none" w:sz="0" w:space="0" w:color="auto"/>
                  </w:divBdr>
                  <w:divsChild>
                    <w:div w:id="3300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customXml" Target="../customXml/item4.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customXml" Target="../customXml/item3.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E0D678A-03AC-4761-A076-6C9AB8A77301}">
  <ds:schemaRefs>
    <ds:schemaRef ds:uri="http://schemas.openxmlformats.org/officeDocument/2006/bibliography"/>
  </ds:schemaRefs>
</ds:datastoreItem>
</file>

<file path=customXml/itemProps2.xml><?xml version="1.0" encoding="utf-8"?>
<ds:datastoreItem xmlns:ds="http://schemas.openxmlformats.org/officeDocument/2006/customXml" ds:itemID="{D659B14D-B38B-4123-8374-8836F36B4503}"/>
</file>

<file path=customXml/itemProps3.xml><?xml version="1.0" encoding="utf-8"?>
<ds:datastoreItem xmlns:ds="http://schemas.openxmlformats.org/officeDocument/2006/customXml" ds:itemID="{62684E3B-4BA6-4C33-A1BA-2A7FFE28E754}"/>
</file>

<file path=customXml/itemProps4.xml><?xml version="1.0" encoding="utf-8"?>
<ds:datastoreItem xmlns:ds="http://schemas.openxmlformats.org/officeDocument/2006/customXml" ds:itemID="{9D93DD92-702B-4DE8-83FE-008D23DB9CFE}"/>
</file>

<file path=docProps/app.xml><?xml version="1.0" encoding="utf-8"?>
<Properties xmlns="http://schemas.openxmlformats.org/officeDocument/2006/extended-properties" xmlns:vt="http://schemas.openxmlformats.org/officeDocument/2006/docPropsVTypes">
  <Template>Normal.dotm</Template>
  <TotalTime>81</TotalTime>
  <Pages>30</Pages>
  <Words>3571</Words>
  <Characters>20356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mordechai</dc:creator>
  <cp:lastModifiedBy>Mordechai Frankel</cp:lastModifiedBy>
  <cp:revision>14</cp:revision>
  <cp:lastPrinted>2021-01-20T18:36:00Z</cp:lastPrinted>
  <dcterms:created xsi:type="dcterms:W3CDTF">2022-01-30T18:49:00Z</dcterms:created>
  <dcterms:modified xsi:type="dcterms:W3CDTF">2022-02-02T19:22:00Z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