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3B2B79FB" w:rsidR="003C32FE" w:rsidRDefault="005177C9"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6A330D61">
                <wp:simplePos x="0" y="0"/>
                <wp:positionH relativeFrom="column">
                  <wp:posOffset>15240</wp:posOffset>
                </wp:positionH>
                <wp:positionV relativeFrom="paragraph">
                  <wp:posOffset>1648460</wp:posOffset>
                </wp:positionV>
                <wp:extent cx="298577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9857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00B07"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" strokecolor="white [3212]" strokeweight="1.5pt"/>
            </w:pict>
          </mc:Fallback>
        </mc:AlternateContent>
      </w:r>
      <w:r w:rsidR="0037076D">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6F54D317">
                <wp:simplePos x="0" y="0"/>
                <wp:positionH relativeFrom="column">
                  <wp:posOffset>3208020</wp:posOffset>
                </wp:positionH>
                <wp:positionV relativeFrom="paragraph">
                  <wp:posOffset>372110</wp:posOffset>
                </wp:positionV>
                <wp:extent cx="0" cy="24384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384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CDA4C9"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1E1A211"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D926C24" w:rsidR="00F73EE0" w:rsidRPr="00876ED9" w:rsidRDefault="00567BBE"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557068B3" w:rsidR="00F73EE0" w:rsidRPr="00344BBF" w:rsidRDefault="0037076D" w:rsidP="005A4A40">
                            <w:pPr>
                              <w:spacing w:before="360" w:line="600" w:lineRule="exact"/>
                              <w:ind w:left="2268"/>
                              <w:jc w:val="left"/>
                              <w:rPr>
                                <w:rFonts w:ascii="Tahoma" w:hAnsi="Tahoma" w:cs="Tahoma"/>
                                <w:b/>
                                <w:bCs/>
                                <w:color w:val="FFFFFF" w:themeColor="background1"/>
                                <w:sz w:val="44"/>
                                <w:szCs w:val="44"/>
                                <w:rtl/>
                              </w:rPr>
                            </w:pPr>
                            <w:r w:rsidRPr="0037076D">
                              <w:rPr>
                                <w:rFonts w:ascii="Tahoma" w:hAnsi="Tahoma" w:cs="Tahoma"/>
                                <w:b/>
                                <w:bCs/>
                                <w:sz w:val="40"/>
                                <w:szCs w:val="40"/>
                                <w:rtl/>
                              </w:rPr>
                              <w:t>התקשרויות הרשויות המקומיות בפטור ממכרז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1E1A211"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D926C24" w:rsidR="00F73EE0" w:rsidRPr="00876ED9" w:rsidRDefault="00567BBE"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557068B3" w:rsidR="00F73EE0" w:rsidRPr="00344BBF" w:rsidRDefault="0037076D" w:rsidP="005A4A40">
                      <w:pPr>
                        <w:spacing w:before="360" w:line="600" w:lineRule="exact"/>
                        <w:ind w:left="2268"/>
                        <w:jc w:val="left"/>
                        <w:rPr>
                          <w:rFonts w:ascii="Tahoma" w:hAnsi="Tahoma" w:cs="Tahoma"/>
                          <w:b/>
                          <w:bCs/>
                          <w:color w:val="FFFFFF" w:themeColor="background1"/>
                          <w:sz w:val="44"/>
                          <w:szCs w:val="44"/>
                          <w:rtl/>
                        </w:rPr>
                      </w:pPr>
                      <w:r w:rsidRPr="0037076D">
                        <w:rPr>
                          <w:rFonts w:ascii="Tahoma" w:hAnsi="Tahoma" w:cs="Tahoma"/>
                          <w:b/>
                          <w:bCs/>
                          <w:sz w:val="40"/>
                          <w:szCs w:val="40"/>
                          <w:rtl/>
                        </w:rPr>
                        <w:t>התקשרויות הרשויות המקומיות בפטור ממכרז</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1310331B" w:rsidR="006C40AB" w:rsidRDefault="00DA1E86" w:rsidP="005038C5">
      <w:pPr>
        <w:pStyle w:val="7120"/>
        <w:spacing w:after="0"/>
        <w:rPr>
          <w:rtl/>
        </w:rPr>
      </w:pPr>
      <w:fldSimple w:instr=" DOCPROPERTY  shem_matala  \* MERGEFORMAT ">
        <w:r w:rsidR="0037076D" w:rsidRPr="0037076D">
          <w:rPr>
            <w:rtl/>
          </w:rPr>
          <w:t>התקשרויות הרשויות המקומיות</w:t>
        </w:r>
        <w:r w:rsidR="0037076D">
          <w:rPr>
            <w:rtl/>
          </w:rPr>
          <w:br/>
        </w:r>
        <w:r w:rsidR="0037076D" w:rsidRPr="0037076D">
          <w:rPr>
            <w:rtl/>
          </w:rPr>
          <w:t>בפטור ממכרז</w:t>
        </w:r>
      </w:fldSimple>
    </w:p>
    <w:p w14:paraId="21AF30D1" w14:textId="4D16E447"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4"/>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75204324" w:rsidR="00FC6505" w:rsidRDefault="00F54354" w:rsidP="00F54354">
      <w:pPr>
        <w:pStyle w:val="7190"/>
        <w:rPr>
          <w:rtl/>
        </w:rPr>
      </w:pPr>
      <w:r w:rsidRPr="00531FBF">
        <w:rPr>
          <w:rtl/>
          <w:lang w:eastAsia="he-IL"/>
        </w:rPr>
        <w:t>הרשות המקומית משמשת נאמן הציבור בכל פעולותיה</w:t>
      </w:r>
      <w:r w:rsidRPr="00F54354">
        <w:rPr>
          <w:rtl/>
        </w:rPr>
        <w:t>,</w:t>
      </w:r>
      <w:r w:rsidRPr="00531FBF">
        <w:rPr>
          <w:b/>
          <w:bCs/>
          <w:rtl/>
        </w:rPr>
        <w:t xml:space="preserve"> </w:t>
      </w:r>
      <w:r w:rsidRPr="00531FBF">
        <w:rPr>
          <w:rtl/>
        </w:rPr>
        <w:t>ו</w:t>
      </w:r>
      <w:r w:rsidRPr="00531FBF">
        <w:rPr>
          <w:rtl/>
          <w:lang w:eastAsia="he-IL"/>
        </w:rPr>
        <w:t>על חלוקת משאביה להיעשות בהליך מסודר ושקוף כדי למנוע הקצאה לא שוויונית שלהם.</w:t>
      </w:r>
      <w:r w:rsidRPr="00531FBF">
        <w:rPr>
          <w:b/>
          <w:bCs/>
          <w:rtl/>
        </w:rPr>
        <w:t xml:space="preserve"> </w:t>
      </w:r>
      <w:r w:rsidRPr="00531FBF">
        <w:rPr>
          <w:rtl/>
          <w:lang w:eastAsia="he-IL"/>
        </w:rPr>
        <w:t xml:space="preserve">כדי להבטיח שהרשות המקומית תעמוד בחובתה זו, קבע המחוקק בין היתר הסדרים לפעולת הרשות המקומית </w:t>
      </w:r>
      <w:r w:rsidRPr="00F54354">
        <w:rPr>
          <w:rtl/>
        </w:rPr>
        <w:t>בחלוקת</w:t>
      </w:r>
      <w:r w:rsidRPr="00531FBF">
        <w:rPr>
          <w:rtl/>
          <w:lang w:eastAsia="he-IL"/>
        </w:rPr>
        <w:t xml:space="preserve"> משאביה</w:t>
      </w:r>
      <w:r w:rsidRPr="00531FBF">
        <w:rPr>
          <w:rtl/>
        </w:rPr>
        <w:t>.</w:t>
      </w:r>
      <w:r w:rsidRPr="00531FBF">
        <w:rPr>
          <w:rtl/>
          <w:lang w:eastAsia="he-IL"/>
        </w:rPr>
        <w:t xml:space="preserve"> כך קבע המחוקק כי ככלל התקשרות של רשות מקומית בחוזה להעברת מקרקעין או טובין, להזמנת טובין או לביצוע עבודה תיעשה באמצעות מכרז פומבי. הצורך ליצור מנגנונים שישפרו את אפשרותן של הרשויות המקומיות לפעול ביעילות ומועילות ולאפשר לרשות המקומית גמישות תפעולית ותפקודית הוביל לקביעת הסדרים בחקיקה שבעת התקיימות התנאים הקבועים בהם ניתן לפטור את הרשות המקומית מן הצורך בעריכת מכרז פומבי, במקרים מסוימים באמצעות התקשרויות בפטור ממכרז. כך למשל, התקשרות בהיקף כספי הקטן מהסכום שקבע המחוקק לביצוע מכרז (תקרת הפטור); התקשרויות לעבודה דחופה; התקשרויות עם ספק יחיד או מומחה יחיד בארץ; התקשרויות לביצוע עבודה מקצועית הדורשת ידע או מומחיות מיוחדים או יחסי אמון מיוחדים; התקשרויות עם המדינה; התקשרויות עם תאגידים ממשלתיים; והתקשרות עם מוסדות ללא כוונת רווח</w:t>
      </w:r>
      <w:r w:rsidR="00FC6505">
        <w:rPr>
          <w:rFonts w:hint="cs"/>
          <w:rtl/>
        </w:rPr>
        <w:t>.</w:t>
      </w:r>
    </w:p>
    <w:p w14:paraId="2DB3EF72" w14:textId="6AF5B404" w:rsidR="008B22AB" w:rsidRDefault="008B22AB" w:rsidP="00FC6505">
      <w:pPr>
        <w:pStyle w:val="7190"/>
        <w:rPr>
          <w:rtl/>
        </w:rPr>
      </w:pPr>
    </w:p>
    <w:p w14:paraId="6F07E1DB" w14:textId="1C7077AF" w:rsidR="008B22AB" w:rsidRDefault="008B22AB" w:rsidP="00FC6505">
      <w:pPr>
        <w:pStyle w:val="7190"/>
        <w:rPr>
          <w:rtl/>
        </w:rPr>
      </w:pPr>
    </w:p>
    <w:p w14:paraId="21AC486C" w14:textId="69631486" w:rsidR="008B22AB" w:rsidRDefault="008B22AB" w:rsidP="00FC6505">
      <w:pPr>
        <w:pStyle w:val="7190"/>
        <w:rPr>
          <w:rtl/>
        </w:rPr>
      </w:pPr>
    </w:p>
    <w:p w14:paraId="191748DA" w14:textId="14BB3D92" w:rsidR="008B22AB" w:rsidRDefault="008B22AB" w:rsidP="00FC6505">
      <w:pPr>
        <w:pStyle w:val="7190"/>
        <w:rPr>
          <w:rtl/>
        </w:rPr>
      </w:pPr>
    </w:p>
    <w:p w14:paraId="6E35BF3C" w14:textId="1EF65FA7" w:rsidR="00F54354" w:rsidRDefault="00F54354" w:rsidP="00FC6505">
      <w:pPr>
        <w:pStyle w:val="7190"/>
        <w:rPr>
          <w:rtl/>
        </w:rPr>
      </w:pPr>
    </w:p>
    <w:p w14:paraId="6CC05112" w14:textId="28F323B7" w:rsidR="00F54354" w:rsidRDefault="00F54354" w:rsidP="00FC6505">
      <w:pPr>
        <w:pStyle w:val="7190"/>
        <w:rPr>
          <w:rtl/>
        </w:rPr>
      </w:pPr>
    </w:p>
    <w:p w14:paraId="12ADE6D8" w14:textId="77777777" w:rsidR="00F54354" w:rsidRDefault="00F54354"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012DA868" w:rsidR="008B22AB" w:rsidRDefault="008B22AB" w:rsidP="00FC6505">
      <w:pPr>
        <w:pStyle w:val="7190"/>
        <w:rPr>
          <w:rtl/>
        </w:rPr>
      </w:pPr>
    </w:p>
    <w:p w14:paraId="7BF7B52D" w14:textId="3EB24108" w:rsidR="005202DE" w:rsidRDefault="0092642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21253697">
            <wp:simplePos x="0" y="0"/>
            <wp:positionH relativeFrom="column">
              <wp:posOffset>3328035</wp:posOffset>
            </wp:positionH>
            <wp:positionV relativeFrom="paragraph">
              <wp:posOffset>57150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443779AE" w:rsidR="005202DE" w:rsidRDefault="005202DE" w:rsidP="001E5E11">
      <w:pPr>
        <w:pStyle w:val="7190"/>
        <w:rPr>
          <w:rtl/>
        </w:rPr>
      </w:pPr>
    </w:p>
    <w:tbl>
      <w:tblPr>
        <w:tblStyle w:val="TableGrid"/>
        <w:bidiVisual/>
        <w:tblW w:w="7367" w:type="dxa"/>
        <w:tblInd w:w="2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238"/>
        <w:gridCol w:w="27"/>
        <w:gridCol w:w="1533"/>
        <w:gridCol w:w="268"/>
        <w:gridCol w:w="1650"/>
        <w:gridCol w:w="236"/>
        <w:gridCol w:w="1618"/>
      </w:tblGrid>
      <w:tr w:rsidR="00C04347" w:rsidRPr="00B107AF" w14:paraId="3A3C4E4D" w14:textId="77777777" w:rsidTr="00C04347">
        <w:tc>
          <w:tcPr>
            <w:tcW w:w="1871" w:type="dxa"/>
            <w:tcBorders>
              <w:bottom w:val="single" w:sz="12" w:space="0" w:color="auto"/>
            </w:tcBorders>
            <w:vAlign w:val="bottom"/>
          </w:tcPr>
          <w:p w14:paraId="65862E54" w14:textId="46B52041" w:rsidR="00A4208F" w:rsidRPr="00A4208F" w:rsidRDefault="00A4208F" w:rsidP="00A4208F">
            <w:pPr>
              <w:spacing w:after="60" w:line="240" w:lineRule="auto"/>
              <w:jc w:val="left"/>
              <w:rPr>
                <w:rFonts w:ascii="Tahoma" w:hAnsi="Tahoma" w:cs="Tahoma"/>
                <w:b/>
                <w:bCs/>
                <w:spacing w:val="-20"/>
                <w:sz w:val="36"/>
                <w:szCs w:val="36"/>
                <w:rtl/>
              </w:rPr>
            </w:pPr>
            <w:r w:rsidRPr="00A4208F">
              <w:rPr>
                <w:rFonts w:ascii="Tahoma" w:hAnsi="Tahoma" w:cs="Tahoma"/>
                <w:b/>
                <w:bCs/>
                <w:spacing w:val="-20"/>
                <w:sz w:val="26"/>
                <w:szCs w:val="26"/>
                <w:rtl/>
              </w:rPr>
              <w:t>כ</w:t>
            </w:r>
            <w:r w:rsidRPr="00A4208F">
              <w:rPr>
                <w:rFonts w:ascii="Tahoma" w:hAnsi="Tahoma" w:cs="Tahoma"/>
                <w:b/>
                <w:bCs/>
                <w:spacing w:val="-20"/>
                <w:sz w:val="36"/>
                <w:szCs w:val="36"/>
                <w:rtl/>
              </w:rPr>
              <w:t>-</w:t>
            </w:r>
            <w:r w:rsidRPr="0092642E">
              <w:rPr>
                <w:rFonts w:ascii="Tahoma" w:hAnsi="Tahoma" w:cs="Tahoma"/>
                <w:b/>
                <w:bCs/>
                <w:spacing w:val="-20"/>
                <w:sz w:val="34"/>
                <w:szCs w:val="34"/>
                <w:rtl/>
              </w:rPr>
              <w:t>200</w:t>
            </w:r>
            <w:r w:rsidRPr="00A4208F">
              <w:rPr>
                <w:rFonts w:ascii="Tahoma" w:hAnsi="Tahoma" w:cs="Tahoma"/>
                <w:b/>
                <w:bCs/>
                <w:spacing w:val="-20"/>
                <w:sz w:val="36"/>
                <w:szCs w:val="36"/>
                <w:rtl/>
              </w:rPr>
              <w:t xml:space="preserve">  </w:t>
            </w:r>
          </w:p>
        </w:tc>
        <w:tc>
          <w:tcPr>
            <w:tcW w:w="241" w:type="dxa"/>
          </w:tcPr>
          <w:p w14:paraId="67AC3197" w14:textId="3A197387" w:rsidR="00A4208F" w:rsidRPr="00A4208F" w:rsidRDefault="00A4208F" w:rsidP="00A4208F">
            <w:pPr>
              <w:spacing w:after="60" w:line="240" w:lineRule="auto"/>
              <w:jc w:val="left"/>
              <w:rPr>
                <w:rFonts w:ascii="Tahoma" w:hAnsi="Tahoma" w:cs="Tahoma"/>
                <w:b/>
                <w:bCs/>
                <w:spacing w:val="-20"/>
                <w:sz w:val="36"/>
                <w:szCs w:val="36"/>
                <w:rtl/>
              </w:rPr>
            </w:pPr>
          </w:p>
        </w:tc>
        <w:tc>
          <w:tcPr>
            <w:tcW w:w="1617" w:type="dxa"/>
            <w:gridSpan w:val="2"/>
            <w:tcBorders>
              <w:bottom w:val="single" w:sz="12" w:space="0" w:color="auto"/>
            </w:tcBorders>
            <w:vAlign w:val="bottom"/>
          </w:tcPr>
          <w:p w14:paraId="53F76F55" w14:textId="67B0448A" w:rsidR="00A4208F" w:rsidRPr="00A4208F" w:rsidRDefault="00A4208F" w:rsidP="00A4208F">
            <w:pPr>
              <w:spacing w:after="60" w:line="240" w:lineRule="auto"/>
              <w:jc w:val="left"/>
              <w:rPr>
                <w:rFonts w:ascii="Tahoma" w:hAnsi="Tahoma" w:cs="Tahoma"/>
                <w:b/>
                <w:bCs/>
                <w:spacing w:val="-20"/>
                <w:sz w:val="36"/>
                <w:szCs w:val="36"/>
                <w:rtl/>
              </w:rPr>
            </w:pPr>
            <w:r w:rsidRPr="00A4208F">
              <w:rPr>
                <w:rFonts w:ascii="Tahoma" w:hAnsi="Tahoma" w:cs="Tahoma"/>
                <w:b/>
                <w:bCs/>
                <w:spacing w:val="-20"/>
                <w:sz w:val="26"/>
                <w:szCs w:val="26"/>
                <w:rtl/>
              </w:rPr>
              <w:t>כ</w:t>
            </w:r>
            <w:r w:rsidRPr="00A4208F">
              <w:rPr>
                <w:rFonts w:ascii="Tahoma" w:hAnsi="Tahoma" w:cs="Tahoma"/>
                <w:b/>
                <w:bCs/>
                <w:spacing w:val="-20"/>
                <w:sz w:val="36"/>
                <w:szCs w:val="36"/>
                <w:rtl/>
              </w:rPr>
              <w:t>-</w:t>
            </w:r>
            <w:r w:rsidRPr="0092642E">
              <w:rPr>
                <w:rFonts w:ascii="Tahoma" w:hAnsi="Tahoma" w:cs="Tahoma"/>
                <w:b/>
                <w:bCs/>
                <w:spacing w:val="-20"/>
                <w:sz w:val="34"/>
                <w:szCs w:val="34"/>
                <w:rtl/>
              </w:rPr>
              <w:t>50%</w:t>
            </w:r>
          </w:p>
        </w:tc>
        <w:tc>
          <w:tcPr>
            <w:tcW w:w="278" w:type="dxa"/>
          </w:tcPr>
          <w:p w14:paraId="5676E4EC" w14:textId="77777777" w:rsidR="00A4208F" w:rsidRPr="00A4208F" w:rsidRDefault="00A4208F" w:rsidP="00A4208F">
            <w:pPr>
              <w:spacing w:after="60" w:line="240" w:lineRule="auto"/>
              <w:jc w:val="left"/>
              <w:rPr>
                <w:rFonts w:ascii="Tahoma" w:hAnsi="Tahoma" w:cs="Tahoma"/>
                <w:b/>
                <w:bCs/>
                <w:spacing w:val="-20"/>
                <w:sz w:val="36"/>
                <w:szCs w:val="36"/>
                <w:rtl/>
              </w:rPr>
            </w:pPr>
          </w:p>
        </w:tc>
        <w:tc>
          <w:tcPr>
            <w:tcW w:w="1757" w:type="dxa"/>
            <w:tcBorders>
              <w:bottom w:val="single" w:sz="12" w:space="0" w:color="auto"/>
            </w:tcBorders>
            <w:vAlign w:val="bottom"/>
          </w:tcPr>
          <w:p w14:paraId="2A3911CB" w14:textId="38374ECD" w:rsidR="00A4208F" w:rsidRPr="00A4208F" w:rsidRDefault="00A4208F" w:rsidP="00A4208F">
            <w:pPr>
              <w:spacing w:after="60" w:line="240" w:lineRule="auto"/>
              <w:jc w:val="left"/>
              <w:rPr>
                <w:rFonts w:ascii="Tahoma" w:hAnsi="Tahoma" w:cs="Tahoma"/>
                <w:b/>
                <w:bCs/>
                <w:spacing w:val="-20"/>
                <w:sz w:val="36"/>
                <w:szCs w:val="36"/>
                <w:rtl/>
              </w:rPr>
            </w:pPr>
            <w:r w:rsidRPr="00A4208F">
              <w:rPr>
                <w:rFonts w:ascii="Tahoma" w:hAnsi="Tahoma" w:cs="Tahoma"/>
                <w:b/>
                <w:bCs/>
                <w:spacing w:val="-20"/>
                <w:sz w:val="26"/>
                <w:szCs w:val="26"/>
                <w:rtl/>
              </w:rPr>
              <w:t>כ</w:t>
            </w:r>
            <w:r w:rsidRPr="00A4208F">
              <w:rPr>
                <w:rFonts w:ascii="Tahoma" w:hAnsi="Tahoma" w:cs="Tahoma"/>
                <w:b/>
                <w:bCs/>
                <w:spacing w:val="-20"/>
                <w:sz w:val="36"/>
                <w:szCs w:val="36"/>
                <w:rtl/>
              </w:rPr>
              <w:t>-</w:t>
            </w:r>
            <w:r w:rsidRPr="0092642E">
              <w:rPr>
                <w:rFonts w:ascii="Tahoma" w:hAnsi="Tahoma" w:cs="Tahoma"/>
                <w:b/>
                <w:bCs/>
                <w:spacing w:val="-20"/>
                <w:sz w:val="34"/>
                <w:szCs w:val="34"/>
                <w:rtl/>
              </w:rPr>
              <w:t>33%</w:t>
            </w:r>
          </w:p>
        </w:tc>
        <w:tc>
          <w:tcPr>
            <w:tcW w:w="239" w:type="dxa"/>
          </w:tcPr>
          <w:p w14:paraId="6A6C6D56" w14:textId="77777777" w:rsidR="00A4208F" w:rsidRPr="00A4208F" w:rsidRDefault="00A4208F" w:rsidP="00A4208F">
            <w:pPr>
              <w:spacing w:after="60" w:line="240" w:lineRule="auto"/>
              <w:jc w:val="left"/>
              <w:rPr>
                <w:rFonts w:ascii="Tahoma" w:hAnsi="Tahoma" w:cs="Tahoma"/>
                <w:b/>
                <w:bCs/>
                <w:spacing w:val="-20"/>
                <w:sz w:val="36"/>
                <w:szCs w:val="36"/>
                <w:rtl/>
              </w:rPr>
            </w:pPr>
          </w:p>
        </w:tc>
        <w:tc>
          <w:tcPr>
            <w:tcW w:w="1719" w:type="dxa"/>
            <w:tcBorders>
              <w:bottom w:val="single" w:sz="12" w:space="0" w:color="auto"/>
            </w:tcBorders>
            <w:vAlign w:val="bottom"/>
          </w:tcPr>
          <w:p w14:paraId="5CAB7F37" w14:textId="1BEB931E" w:rsidR="00A4208F" w:rsidRPr="00A4208F" w:rsidRDefault="00A4208F" w:rsidP="00A4208F">
            <w:pPr>
              <w:spacing w:after="60" w:line="240" w:lineRule="auto"/>
              <w:jc w:val="left"/>
              <w:rPr>
                <w:rFonts w:ascii="Tahoma" w:hAnsi="Tahoma" w:cs="Tahoma"/>
                <w:b/>
                <w:bCs/>
                <w:spacing w:val="-20"/>
                <w:sz w:val="36"/>
                <w:szCs w:val="36"/>
                <w:rtl/>
              </w:rPr>
            </w:pPr>
            <w:r w:rsidRPr="00A4208F">
              <w:rPr>
                <w:rFonts w:ascii="Tahoma" w:hAnsi="Tahoma" w:cs="Tahoma"/>
                <w:b/>
                <w:bCs/>
                <w:spacing w:val="-20"/>
                <w:sz w:val="26"/>
                <w:szCs w:val="26"/>
                <w:rtl/>
              </w:rPr>
              <w:t>כ</w:t>
            </w:r>
            <w:r w:rsidRPr="00A4208F">
              <w:rPr>
                <w:rFonts w:ascii="Tahoma" w:hAnsi="Tahoma" w:cs="Tahoma"/>
                <w:b/>
                <w:bCs/>
                <w:spacing w:val="-20"/>
                <w:sz w:val="36"/>
                <w:szCs w:val="36"/>
                <w:rtl/>
              </w:rPr>
              <w:t>-</w:t>
            </w:r>
            <w:r w:rsidRPr="0092642E">
              <w:rPr>
                <w:rFonts w:ascii="Tahoma" w:hAnsi="Tahoma" w:cs="Tahoma"/>
                <w:b/>
                <w:bCs/>
                <w:spacing w:val="-20"/>
                <w:sz w:val="34"/>
                <w:szCs w:val="34"/>
                <w:rtl/>
              </w:rPr>
              <w:t>11%</w:t>
            </w:r>
          </w:p>
        </w:tc>
      </w:tr>
      <w:tr w:rsidR="00C04347" w14:paraId="736C842D" w14:textId="77777777" w:rsidTr="00C04347">
        <w:tc>
          <w:tcPr>
            <w:tcW w:w="1871" w:type="dxa"/>
            <w:tcBorders>
              <w:top w:val="single" w:sz="12" w:space="0" w:color="auto"/>
            </w:tcBorders>
          </w:tcPr>
          <w:p w14:paraId="3694BA56" w14:textId="118345F4" w:rsidR="00FC6505" w:rsidRPr="00F32DA3" w:rsidRDefault="00FE4577" w:rsidP="00EA515C">
            <w:pPr>
              <w:pStyle w:val="20211"/>
              <w:spacing w:after="0"/>
              <w:rPr>
                <w:rtl/>
              </w:rPr>
            </w:pPr>
            <w:r w:rsidRPr="00531FBF">
              <w:rPr>
                <w:rtl/>
              </w:rPr>
              <w:t xml:space="preserve">מספר ההתקשרויות עם ספקים </w:t>
            </w:r>
            <w:r w:rsidRPr="00FE4577">
              <w:rPr>
                <w:rtl/>
              </w:rPr>
              <w:t>בתחומים</w:t>
            </w:r>
            <w:r w:rsidRPr="00531FBF">
              <w:rPr>
                <w:rtl/>
              </w:rPr>
              <w:t xml:space="preserve"> שונים בחמש הרשויות המקומיות שנבדקו בשנים 2018 - 2020</w:t>
            </w:r>
          </w:p>
        </w:tc>
        <w:tc>
          <w:tcPr>
            <w:tcW w:w="241" w:type="dxa"/>
          </w:tcPr>
          <w:p w14:paraId="02BD5155" w14:textId="10A645F6" w:rsidR="00FC6505" w:rsidRDefault="00FC6505" w:rsidP="00EA515C">
            <w:pPr>
              <w:pStyle w:val="20211"/>
              <w:spacing w:after="0"/>
              <w:rPr>
                <w:rtl/>
              </w:rPr>
            </w:pPr>
          </w:p>
        </w:tc>
        <w:tc>
          <w:tcPr>
            <w:tcW w:w="1617" w:type="dxa"/>
            <w:gridSpan w:val="2"/>
            <w:tcBorders>
              <w:top w:val="single" w:sz="12" w:space="0" w:color="auto"/>
            </w:tcBorders>
          </w:tcPr>
          <w:p w14:paraId="33E5E66C" w14:textId="3C24E63A" w:rsidR="00FC6505" w:rsidRPr="00F32DA3" w:rsidRDefault="00FE4577" w:rsidP="00EA515C">
            <w:pPr>
              <w:pStyle w:val="20211"/>
              <w:spacing w:after="0"/>
              <w:rPr>
                <w:rtl/>
              </w:rPr>
            </w:pPr>
            <w:r w:rsidRPr="00531FBF">
              <w:rPr>
                <w:rtl/>
              </w:rPr>
              <w:t xml:space="preserve">שיעור ההתקשרויות שבוצעו בפטור ממכרז מכלל </w:t>
            </w:r>
            <w:r w:rsidRPr="00FE4577">
              <w:rPr>
                <w:rtl/>
              </w:rPr>
              <w:t>ההתקשרויות</w:t>
            </w:r>
            <w:r w:rsidRPr="00531FBF">
              <w:rPr>
                <w:rtl/>
              </w:rPr>
              <w:t xml:space="preserve"> החדשות שבוצעו ברשויות שנבדקו בשנים 2018 - 2020</w:t>
            </w:r>
          </w:p>
        </w:tc>
        <w:tc>
          <w:tcPr>
            <w:tcW w:w="278" w:type="dxa"/>
          </w:tcPr>
          <w:p w14:paraId="15C58E16" w14:textId="77777777" w:rsidR="00FC6505" w:rsidRDefault="00FC6505" w:rsidP="00EA515C">
            <w:pPr>
              <w:pStyle w:val="20211"/>
              <w:spacing w:after="0"/>
              <w:rPr>
                <w:rtl/>
              </w:rPr>
            </w:pPr>
          </w:p>
        </w:tc>
        <w:tc>
          <w:tcPr>
            <w:tcW w:w="1757" w:type="dxa"/>
            <w:tcBorders>
              <w:top w:val="single" w:sz="12" w:space="0" w:color="auto"/>
            </w:tcBorders>
          </w:tcPr>
          <w:p w14:paraId="56E8AC18" w14:textId="7CC863E1" w:rsidR="00FC6505" w:rsidRPr="00FE4577" w:rsidRDefault="00FE4577" w:rsidP="00EA515C">
            <w:pPr>
              <w:pStyle w:val="20211"/>
              <w:spacing w:after="0"/>
              <w:rPr>
                <w:rtl/>
              </w:rPr>
            </w:pPr>
            <w:r w:rsidRPr="00531FBF">
              <w:rPr>
                <w:rtl/>
              </w:rPr>
              <w:t>שיעור ההתקשרויות שבוצעו במכרז פומבי מכלל ההתקשרויו</w:t>
            </w:r>
            <w:r>
              <w:rPr>
                <w:rtl/>
              </w:rPr>
              <w:t xml:space="preserve">ת החדשות שבוצעו ברשויות שנבדקו </w:t>
            </w:r>
            <w:r w:rsidRPr="00531FBF">
              <w:rPr>
                <w:rtl/>
              </w:rPr>
              <w:t>בשנים 2018 - 2020</w:t>
            </w:r>
          </w:p>
        </w:tc>
        <w:tc>
          <w:tcPr>
            <w:tcW w:w="239" w:type="dxa"/>
          </w:tcPr>
          <w:p w14:paraId="371F0736" w14:textId="4C47F358" w:rsidR="00FC6505" w:rsidRDefault="00FC6505" w:rsidP="00FC6505">
            <w:pPr>
              <w:pStyle w:val="20211"/>
              <w:spacing w:after="120"/>
              <w:rPr>
                <w:rtl/>
              </w:rPr>
            </w:pPr>
          </w:p>
        </w:tc>
        <w:tc>
          <w:tcPr>
            <w:tcW w:w="1719" w:type="dxa"/>
            <w:tcBorders>
              <w:top w:val="single" w:sz="12" w:space="0" w:color="auto"/>
            </w:tcBorders>
          </w:tcPr>
          <w:p w14:paraId="3C646B13" w14:textId="058391D1" w:rsidR="00FC6505" w:rsidRPr="00FE4577" w:rsidRDefault="00FE4577" w:rsidP="00FE4577">
            <w:pPr>
              <w:pStyle w:val="20211"/>
              <w:rPr>
                <w:rtl/>
              </w:rPr>
            </w:pPr>
            <w:r w:rsidRPr="00531FBF">
              <w:rPr>
                <w:rtl/>
              </w:rPr>
              <w:t>שיעור ההתקשרויות שבוצעו במכרז זוטא מכלל ההתקשרויות החדשות שבוצעו ברשויות שנבדקו בשנים 2018 - 2020</w:t>
            </w:r>
          </w:p>
        </w:tc>
      </w:tr>
      <w:tr w:rsidR="00C04347" w:rsidRPr="004562F8" w14:paraId="0EBF03AB" w14:textId="77777777" w:rsidTr="00C04347">
        <w:tc>
          <w:tcPr>
            <w:tcW w:w="1871" w:type="dxa"/>
            <w:tcBorders>
              <w:bottom w:val="single" w:sz="12" w:space="0" w:color="auto"/>
            </w:tcBorders>
            <w:vAlign w:val="bottom"/>
          </w:tcPr>
          <w:p w14:paraId="2517AF1B" w14:textId="51C109DE" w:rsidR="00FE4577" w:rsidRPr="00EA515C" w:rsidRDefault="00FE4577" w:rsidP="00FE4577">
            <w:pPr>
              <w:spacing w:after="60" w:line="240" w:lineRule="auto"/>
              <w:rPr>
                <w:rFonts w:ascii="Tahoma" w:hAnsi="Tahoma" w:cs="Tahoma"/>
                <w:b/>
                <w:bCs/>
                <w:spacing w:val="-26"/>
                <w:sz w:val="36"/>
                <w:szCs w:val="36"/>
                <w:rtl/>
              </w:rPr>
            </w:pPr>
            <w:r w:rsidRPr="00EA515C">
              <w:rPr>
                <w:rFonts w:ascii="Tahoma" w:hAnsi="Tahoma" w:cs="Tahoma"/>
                <w:b/>
                <w:bCs/>
                <w:spacing w:val="-26"/>
                <w:sz w:val="26"/>
                <w:szCs w:val="26"/>
                <w:rtl/>
              </w:rPr>
              <w:t>כ</w:t>
            </w:r>
            <w:r w:rsidRPr="00EA515C">
              <w:rPr>
                <w:rFonts w:ascii="Tahoma" w:hAnsi="Tahoma" w:cs="Tahoma"/>
                <w:b/>
                <w:bCs/>
                <w:spacing w:val="-26"/>
                <w:sz w:val="36"/>
                <w:szCs w:val="36"/>
                <w:rtl/>
              </w:rPr>
              <w:t>-</w:t>
            </w:r>
            <w:r w:rsidRPr="00C04347">
              <w:rPr>
                <w:rFonts w:ascii="Tahoma" w:hAnsi="Tahoma" w:cs="Tahoma"/>
                <w:b/>
                <w:bCs/>
                <w:spacing w:val="-26"/>
                <w:sz w:val="34"/>
                <w:szCs w:val="34"/>
                <w:rtl/>
              </w:rPr>
              <w:t xml:space="preserve">143,000 </w:t>
            </w:r>
            <w:r w:rsidRPr="00EA515C">
              <w:rPr>
                <w:rFonts w:ascii="Tahoma" w:hAnsi="Tahoma" w:cs="Tahoma"/>
                <w:b/>
                <w:bCs/>
                <w:spacing w:val="-26"/>
                <w:sz w:val="26"/>
                <w:szCs w:val="26"/>
                <w:rtl/>
              </w:rPr>
              <w:t>ש"ח</w:t>
            </w:r>
          </w:p>
        </w:tc>
        <w:tc>
          <w:tcPr>
            <w:tcW w:w="241" w:type="dxa"/>
          </w:tcPr>
          <w:p w14:paraId="18A562EC" w14:textId="29250973" w:rsidR="00FE4577" w:rsidRPr="00FE4577" w:rsidRDefault="00FE4577" w:rsidP="00FE4577">
            <w:pPr>
              <w:spacing w:after="60"/>
              <w:rPr>
                <w:rFonts w:ascii="Tahoma" w:hAnsi="Tahoma" w:cs="Tahoma"/>
                <w:b/>
                <w:bCs/>
                <w:spacing w:val="-20"/>
                <w:sz w:val="36"/>
                <w:szCs w:val="36"/>
                <w:rtl/>
              </w:rPr>
            </w:pPr>
          </w:p>
        </w:tc>
        <w:tc>
          <w:tcPr>
            <w:tcW w:w="1617" w:type="dxa"/>
            <w:gridSpan w:val="2"/>
            <w:tcBorders>
              <w:bottom w:val="single" w:sz="12" w:space="0" w:color="auto"/>
            </w:tcBorders>
            <w:vAlign w:val="bottom"/>
          </w:tcPr>
          <w:p w14:paraId="1BD0AF7C" w14:textId="0DB4501B" w:rsidR="00FE4577" w:rsidRPr="00EA515C" w:rsidRDefault="00FE4577" w:rsidP="00C04347">
            <w:pPr>
              <w:pStyle w:val="20211"/>
              <w:spacing w:after="60"/>
              <w:rPr>
                <w:rFonts w:eastAsiaTheme="minorHAnsi"/>
                <w:b/>
                <w:bCs/>
                <w:color w:val="auto"/>
                <w:spacing w:val="-26"/>
                <w:w w:val="100"/>
                <w:sz w:val="36"/>
                <w:szCs w:val="36"/>
                <w:rtl/>
              </w:rPr>
            </w:pPr>
            <w:r w:rsidRPr="00C04347">
              <w:rPr>
                <w:rFonts w:eastAsiaTheme="minorHAnsi"/>
                <w:b/>
                <w:bCs/>
                <w:color w:val="auto"/>
                <w:spacing w:val="-20"/>
                <w:w w:val="100"/>
                <w:sz w:val="26"/>
                <w:szCs w:val="26"/>
                <w:rtl/>
              </w:rPr>
              <w:t>כ-</w:t>
            </w:r>
            <w:r w:rsidRPr="00C04347">
              <w:rPr>
                <w:rFonts w:eastAsiaTheme="minorHAnsi"/>
                <w:b/>
                <w:bCs/>
                <w:color w:val="auto"/>
                <w:spacing w:val="-20"/>
                <w:w w:val="100"/>
                <w:sz w:val="34"/>
                <w:szCs w:val="34"/>
                <w:rtl/>
              </w:rPr>
              <w:t>71,000</w:t>
            </w:r>
            <w:r w:rsidR="00EA515C" w:rsidRPr="00C04347">
              <w:rPr>
                <w:rFonts w:eastAsiaTheme="minorHAnsi" w:hint="cs"/>
                <w:b/>
                <w:bCs/>
                <w:color w:val="auto"/>
                <w:spacing w:val="-20"/>
                <w:w w:val="100"/>
                <w:sz w:val="34"/>
                <w:szCs w:val="34"/>
                <w:rtl/>
              </w:rPr>
              <w:t xml:space="preserve"> </w:t>
            </w:r>
            <w:r w:rsidRPr="00C04347">
              <w:rPr>
                <w:rFonts w:eastAsiaTheme="minorHAnsi"/>
                <w:b/>
                <w:bCs/>
                <w:color w:val="auto"/>
                <w:spacing w:val="-20"/>
                <w:w w:val="100"/>
                <w:sz w:val="26"/>
                <w:szCs w:val="26"/>
                <w:rtl/>
              </w:rPr>
              <w:t>ש"ח</w:t>
            </w:r>
            <w:r w:rsidRPr="00EA515C">
              <w:rPr>
                <w:rFonts w:eastAsiaTheme="minorHAnsi"/>
                <w:b/>
                <w:bCs/>
                <w:color w:val="auto"/>
                <w:spacing w:val="-26"/>
                <w:w w:val="100"/>
                <w:sz w:val="36"/>
                <w:szCs w:val="36"/>
                <w:rtl/>
              </w:rPr>
              <w:t xml:space="preserve"> </w:t>
            </w:r>
          </w:p>
        </w:tc>
        <w:tc>
          <w:tcPr>
            <w:tcW w:w="278" w:type="dxa"/>
          </w:tcPr>
          <w:p w14:paraId="2FE8E0EB" w14:textId="77777777" w:rsidR="00FE4577" w:rsidRPr="00FE4577" w:rsidRDefault="00FE4577" w:rsidP="00FE4577">
            <w:pPr>
              <w:spacing w:after="60"/>
              <w:rPr>
                <w:rFonts w:ascii="Tahoma" w:hAnsi="Tahoma" w:cs="Tahoma"/>
                <w:b/>
                <w:bCs/>
                <w:spacing w:val="-20"/>
                <w:sz w:val="36"/>
                <w:szCs w:val="36"/>
                <w:rtl/>
              </w:rPr>
            </w:pPr>
          </w:p>
        </w:tc>
        <w:tc>
          <w:tcPr>
            <w:tcW w:w="1757" w:type="dxa"/>
            <w:tcBorders>
              <w:bottom w:val="single" w:sz="12" w:space="0" w:color="auto"/>
            </w:tcBorders>
            <w:vAlign w:val="bottom"/>
          </w:tcPr>
          <w:p w14:paraId="14096C0B" w14:textId="7F78267B" w:rsidR="00FE4577" w:rsidRPr="00FE4577" w:rsidRDefault="00FE4577" w:rsidP="00FE4577">
            <w:pPr>
              <w:pStyle w:val="20211"/>
              <w:spacing w:after="60"/>
              <w:rPr>
                <w:rFonts w:eastAsiaTheme="minorHAnsi"/>
                <w:b/>
                <w:bCs/>
                <w:color w:val="auto"/>
                <w:spacing w:val="-20"/>
                <w:w w:val="100"/>
                <w:sz w:val="36"/>
                <w:szCs w:val="36"/>
                <w:rtl/>
              </w:rPr>
            </w:pPr>
            <w:r w:rsidRPr="00FE4577">
              <w:rPr>
                <w:rFonts w:eastAsiaTheme="minorHAnsi"/>
                <w:b/>
                <w:bCs/>
                <w:color w:val="auto"/>
                <w:spacing w:val="-20"/>
                <w:w w:val="100"/>
                <w:sz w:val="26"/>
                <w:szCs w:val="26"/>
                <w:rtl/>
              </w:rPr>
              <w:t>כ</w:t>
            </w:r>
            <w:r w:rsidRPr="00FE4577">
              <w:rPr>
                <w:rFonts w:eastAsiaTheme="minorHAnsi"/>
                <w:b/>
                <w:bCs/>
                <w:color w:val="auto"/>
                <w:spacing w:val="-20"/>
                <w:w w:val="100"/>
                <w:sz w:val="36"/>
                <w:szCs w:val="36"/>
                <w:rtl/>
              </w:rPr>
              <w:t>-</w:t>
            </w:r>
            <w:r w:rsidRPr="00C04347">
              <w:rPr>
                <w:rFonts w:eastAsiaTheme="minorHAnsi"/>
                <w:b/>
                <w:bCs/>
                <w:color w:val="auto"/>
                <w:spacing w:val="-20"/>
                <w:w w:val="100"/>
                <w:sz w:val="35"/>
                <w:szCs w:val="35"/>
                <w:rtl/>
              </w:rPr>
              <w:t>400</w:t>
            </w:r>
            <w:r w:rsidRPr="00FE4577">
              <w:rPr>
                <w:rFonts w:eastAsiaTheme="minorHAnsi"/>
                <w:b/>
                <w:bCs/>
                <w:color w:val="auto"/>
                <w:spacing w:val="-20"/>
                <w:w w:val="100"/>
                <w:sz w:val="36"/>
                <w:szCs w:val="36"/>
                <w:rtl/>
              </w:rPr>
              <w:t xml:space="preserve"> </w:t>
            </w:r>
            <w:r w:rsidRPr="00FE4577">
              <w:rPr>
                <w:rFonts w:eastAsiaTheme="minorHAnsi"/>
                <w:b/>
                <w:bCs/>
                <w:color w:val="auto"/>
                <w:spacing w:val="-20"/>
                <w:w w:val="100"/>
                <w:sz w:val="26"/>
                <w:szCs w:val="26"/>
                <w:rtl/>
              </w:rPr>
              <w:t>מיליוני</w:t>
            </w:r>
            <w:r w:rsidRPr="00FE4577">
              <w:rPr>
                <w:rFonts w:eastAsiaTheme="minorHAnsi"/>
                <w:b/>
                <w:bCs/>
                <w:color w:val="auto"/>
                <w:spacing w:val="-20"/>
                <w:w w:val="100"/>
                <w:sz w:val="36"/>
                <w:szCs w:val="36"/>
                <w:rtl/>
              </w:rPr>
              <w:t xml:space="preserve"> </w:t>
            </w:r>
            <w:r w:rsidRPr="00FE4577">
              <w:rPr>
                <w:rFonts w:eastAsiaTheme="minorHAnsi"/>
                <w:b/>
                <w:bCs/>
                <w:color w:val="auto"/>
                <w:spacing w:val="-20"/>
                <w:w w:val="100"/>
                <w:sz w:val="26"/>
                <w:szCs w:val="26"/>
                <w:rtl/>
              </w:rPr>
              <w:t>ש"ח</w:t>
            </w:r>
          </w:p>
        </w:tc>
        <w:tc>
          <w:tcPr>
            <w:tcW w:w="239" w:type="dxa"/>
          </w:tcPr>
          <w:p w14:paraId="48829F36" w14:textId="77777777" w:rsidR="00FE4577" w:rsidRPr="00FE4577" w:rsidRDefault="00FE4577" w:rsidP="00FE4577">
            <w:pPr>
              <w:spacing w:after="60"/>
              <w:rPr>
                <w:rFonts w:ascii="Tahoma" w:hAnsi="Tahoma" w:cs="Tahoma"/>
                <w:b/>
                <w:bCs/>
                <w:spacing w:val="-20"/>
                <w:sz w:val="36"/>
                <w:szCs w:val="36"/>
                <w:rtl/>
              </w:rPr>
            </w:pPr>
          </w:p>
        </w:tc>
        <w:tc>
          <w:tcPr>
            <w:tcW w:w="1719" w:type="dxa"/>
            <w:tcBorders>
              <w:bottom w:val="single" w:sz="12" w:space="0" w:color="auto"/>
            </w:tcBorders>
            <w:vAlign w:val="bottom"/>
          </w:tcPr>
          <w:p w14:paraId="5622C3D1" w14:textId="4726C164" w:rsidR="00FE4577" w:rsidRPr="00FE4577" w:rsidRDefault="00FE4577" w:rsidP="0092642E">
            <w:pPr>
              <w:spacing w:after="60" w:line="240" w:lineRule="auto"/>
              <w:rPr>
                <w:rFonts w:ascii="Tahoma" w:hAnsi="Tahoma" w:cs="Tahoma"/>
                <w:b/>
                <w:bCs/>
                <w:spacing w:val="-20"/>
                <w:sz w:val="36"/>
                <w:szCs w:val="36"/>
                <w:rtl/>
              </w:rPr>
            </w:pPr>
            <w:r w:rsidRPr="00FE4577">
              <w:rPr>
                <w:rFonts w:ascii="Tahoma" w:hAnsi="Tahoma" w:cs="Tahoma"/>
                <w:b/>
                <w:bCs/>
                <w:spacing w:val="-20"/>
                <w:sz w:val="26"/>
                <w:szCs w:val="26"/>
                <w:rtl/>
              </w:rPr>
              <w:t>כ</w:t>
            </w:r>
            <w:r w:rsidRPr="00FE4577">
              <w:rPr>
                <w:rFonts w:ascii="Tahoma" w:hAnsi="Tahoma" w:cs="Tahoma"/>
                <w:b/>
                <w:bCs/>
                <w:spacing w:val="-20"/>
                <w:sz w:val="36"/>
                <w:szCs w:val="36"/>
                <w:rtl/>
              </w:rPr>
              <w:t>-</w:t>
            </w:r>
            <w:r w:rsidRPr="00C04347">
              <w:rPr>
                <w:rFonts w:ascii="Tahoma" w:hAnsi="Tahoma" w:cs="Tahoma"/>
                <w:b/>
                <w:bCs/>
                <w:spacing w:val="-20"/>
                <w:sz w:val="34"/>
                <w:szCs w:val="34"/>
                <w:rtl/>
              </w:rPr>
              <w:t>23</w:t>
            </w:r>
            <w:r w:rsidR="00C04347">
              <w:rPr>
                <w:rFonts w:ascii="Tahoma" w:hAnsi="Tahoma" w:cs="Tahoma" w:hint="cs"/>
                <w:b/>
                <w:bCs/>
                <w:spacing w:val="-20"/>
                <w:sz w:val="26"/>
                <w:szCs w:val="26"/>
                <w:rtl/>
              </w:rPr>
              <w:t xml:space="preserve"> </w:t>
            </w:r>
            <w:r w:rsidRPr="00FE4577">
              <w:rPr>
                <w:rFonts w:ascii="Tahoma" w:hAnsi="Tahoma" w:cs="Tahoma"/>
                <w:b/>
                <w:bCs/>
                <w:spacing w:val="-20"/>
                <w:sz w:val="26"/>
                <w:szCs w:val="26"/>
                <w:rtl/>
              </w:rPr>
              <w:t>מיליוני</w:t>
            </w:r>
            <w:r w:rsidRPr="00FE4577">
              <w:rPr>
                <w:rFonts w:ascii="Tahoma" w:hAnsi="Tahoma" w:cs="Tahoma"/>
                <w:b/>
                <w:bCs/>
                <w:spacing w:val="-20"/>
                <w:sz w:val="36"/>
                <w:szCs w:val="36"/>
                <w:rtl/>
              </w:rPr>
              <w:t xml:space="preserve"> </w:t>
            </w:r>
            <w:r w:rsidRPr="00FE4577">
              <w:rPr>
                <w:rFonts w:ascii="Tahoma" w:hAnsi="Tahoma" w:cs="Tahoma"/>
                <w:b/>
                <w:bCs/>
                <w:spacing w:val="-20"/>
                <w:sz w:val="26"/>
                <w:szCs w:val="26"/>
                <w:rtl/>
              </w:rPr>
              <w:t>ש"ח</w:t>
            </w:r>
          </w:p>
        </w:tc>
      </w:tr>
      <w:tr w:rsidR="00C04347" w:rsidRPr="004562F8" w14:paraId="2692615C" w14:textId="77777777" w:rsidTr="00C04347">
        <w:tc>
          <w:tcPr>
            <w:tcW w:w="1871" w:type="dxa"/>
            <w:tcBorders>
              <w:top w:val="single" w:sz="12" w:space="0" w:color="auto"/>
            </w:tcBorders>
          </w:tcPr>
          <w:p w14:paraId="50FC6953" w14:textId="6F9C9BA5" w:rsidR="00D65FF6" w:rsidRPr="00261645" w:rsidRDefault="00261645" w:rsidP="00261645">
            <w:pPr>
              <w:pStyle w:val="20211"/>
              <w:rPr>
                <w:rtl/>
              </w:rPr>
            </w:pPr>
            <w:r w:rsidRPr="00531FBF">
              <w:rPr>
                <w:rtl/>
              </w:rPr>
              <w:t>תקרת הפטור ממכרז (ללא תוספת מע"ם) לעירייה או למועצה אזורית או מקומית שבהן יותר מ-20,000 תושבים נכון ליוני 2021</w:t>
            </w:r>
          </w:p>
        </w:tc>
        <w:tc>
          <w:tcPr>
            <w:tcW w:w="270" w:type="dxa"/>
            <w:gridSpan w:val="2"/>
          </w:tcPr>
          <w:p w14:paraId="7E616373" w14:textId="3B2208B7" w:rsidR="00D65FF6" w:rsidRDefault="00D65FF6" w:rsidP="00D65FF6">
            <w:pPr>
              <w:pStyle w:val="20211"/>
              <w:spacing w:after="0"/>
              <w:rPr>
                <w:rtl/>
              </w:rPr>
            </w:pPr>
          </w:p>
        </w:tc>
        <w:tc>
          <w:tcPr>
            <w:tcW w:w="1588" w:type="dxa"/>
            <w:tcBorders>
              <w:top w:val="single" w:sz="12" w:space="0" w:color="auto"/>
            </w:tcBorders>
          </w:tcPr>
          <w:p w14:paraId="79312BDC" w14:textId="60DF66F1" w:rsidR="00D65FF6" w:rsidRPr="00261645" w:rsidRDefault="00261645" w:rsidP="00261645">
            <w:pPr>
              <w:pStyle w:val="20211"/>
              <w:rPr>
                <w:rtl/>
              </w:rPr>
            </w:pPr>
            <w:r>
              <w:rPr>
                <w:rtl/>
              </w:rPr>
              <w:t>תקרת הפטור ממכרז</w:t>
            </w:r>
            <w:r w:rsidRPr="00531FBF">
              <w:rPr>
                <w:rtl/>
              </w:rPr>
              <w:t xml:space="preserve"> (ללא תוספת מע"ם) למועצה אזורית או מקומית שבהן פחות </w:t>
            </w:r>
            <w:r w:rsidRPr="00531FBF">
              <w:rPr>
                <w:rtl/>
              </w:rPr>
              <w:br/>
              <w:t>מ</w:t>
            </w:r>
            <w:r>
              <w:rPr>
                <w:rtl/>
              </w:rPr>
              <w:t>-20,000 תושבים נכון ליוני 2021</w:t>
            </w:r>
            <w:r w:rsidRPr="00531FBF">
              <w:rPr>
                <w:rtl/>
              </w:rPr>
              <w:t xml:space="preserve">  </w:t>
            </w:r>
          </w:p>
        </w:tc>
        <w:tc>
          <w:tcPr>
            <w:tcW w:w="278" w:type="dxa"/>
          </w:tcPr>
          <w:p w14:paraId="6E6C8524" w14:textId="77777777" w:rsidR="00D65FF6" w:rsidRDefault="00D65FF6" w:rsidP="002332FF">
            <w:pPr>
              <w:pStyle w:val="20211"/>
              <w:spacing w:after="0"/>
              <w:rPr>
                <w:rtl/>
              </w:rPr>
            </w:pPr>
          </w:p>
        </w:tc>
        <w:tc>
          <w:tcPr>
            <w:tcW w:w="1757" w:type="dxa"/>
            <w:tcBorders>
              <w:top w:val="single" w:sz="12" w:space="0" w:color="auto"/>
            </w:tcBorders>
          </w:tcPr>
          <w:p w14:paraId="543C9769" w14:textId="2FE3934A" w:rsidR="00237723" w:rsidRPr="00D65FF6" w:rsidRDefault="00261645" w:rsidP="0092642E">
            <w:pPr>
              <w:pStyle w:val="20211"/>
              <w:spacing w:after="0"/>
              <w:rPr>
                <w:rtl/>
              </w:rPr>
            </w:pPr>
            <w:r w:rsidRPr="00531FBF">
              <w:rPr>
                <w:rtl/>
              </w:rPr>
              <w:t>ההיקף הכספי השנתי הממוצע של ההתקשרויות עם ספקים בשנים 2018 - 2020 בעיריית קריית גת (ההיקף הגדול ביותר שנבדק)</w:t>
            </w:r>
          </w:p>
        </w:tc>
        <w:tc>
          <w:tcPr>
            <w:tcW w:w="239" w:type="dxa"/>
          </w:tcPr>
          <w:p w14:paraId="33896F30" w14:textId="77777777" w:rsidR="00D65FF6" w:rsidRDefault="00D65FF6" w:rsidP="0092642E">
            <w:pPr>
              <w:pStyle w:val="20211"/>
              <w:spacing w:after="0"/>
              <w:rPr>
                <w:rtl/>
              </w:rPr>
            </w:pPr>
          </w:p>
        </w:tc>
        <w:tc>
          <w:tcPr>
            <w:tcW w:w="1719" w:type="dxa"/>
            <w:tcBorders>
              <w:top w:val="single" w:sz="12" w:space="0" w:color="auto"/>
            </w:tcBorders>
          </w:tcPr>
          <w:p w14:paraId="3A7B4853" w14:textId="14250C62" w:rsidR="00D65FF6" w:rsidRPr="00261645" w:rsidRDefault="00261645" w:rsidP="0092642E">
            <w:pPr>
              <w:pStyle w:val="20211"/>
              <w:spacing w:after="0"/>
              <w:rPr>
                <w:rtl/>
              </w:rPr>
            </w:pPr>
            <w:r w:rsidRPr="00531FBF">
              <w:rPr>
                <w:rtl/>
              </w:rPr>
              <w:t>ההיקף הכספי השנתי הממוצע של ההתקשרויות עם ספקים בשנים 2018 - 2020 במועצה המקומית רכסים (ההיקף הקטן ביותר שנבדק)</w:t>
            </w:r>
          </w:p>
        </w:tc>
      </w:tr>
    </w:tbl>
    <w:p w14:paraId="30AC038A" w14:textId="677DDB81" w:rsidR="0092642E" w:rsidRDefault="0092642E" w:rsidP="002332FF">
      <w:pPr>
        <w:pStyle w:val="215"/>
        <w:rPr>
          <w:rtl/>
        </w:rPr>
      </w:pPr>
      <w:r>
        <w:rPr>
          <w:b/>
          <w:bCs w:val="0"/>
          <w:noProof/>
          <w:rtl/>
          <w:lang w:val="he-IL"/>
        </w:rPr>
        <mc:AlternateContent>
          <mc:Choice Requires="wpg">
            <w:drawing>
              <wp:anchor distT="0" distB="0" distL="114300" distR="114300" simplePos="0" relativeHeight="252099072" behindDoc="1" locked="0" layoutInCell="1" allowOverlap="1" wp14:anchorId="05142CC8" wp14:editId="2507FE44">
                <wp:simplePos x="0" y="0"/>
                <wp:positionH relativeFrom="column">
                  <wp:posOffset>-53340</wp:posOffset>
                </wp:positionH>
                <wp:positionV relativeFrom="paragraph">
                  <wp:posOffset>288925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B30604" id="Group 17" o:spid="_x0000_s1026" style="position:absolute;left:0;text-align:left;margin-left:-4.2pt;margin-top:22.75pt;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p w14:paraId="4BAF9F8E" w14:textId="509A246C" w:rsidR="00237723" w:rsidRDefault="002332FF" w:rsidP="002332FF">
      <w:pPr>
        <w:pStyle w:val="215"/>
      </w:pPr>
      <w:r w:rsidRPr="00C62692">
        <w:rPr>
          <w:rFonts w:hint="cs"/>
          <w:rtl/>
        </w:rPr>
        <w:t>פעולות הביקורת</w:t>
      </w:r>
    </w:p>
    <w:p w14:paraId="5B9A7CCB" w14:textId="6A15B9BA" w:rsidR="00237723" w:rsidRPr="00B869F8" w:rsidRDefault="00237723" w:rsidP="0092642E">
      <w:pPr>
        <w:pStyle w:val="71f"/>
        <w:rPr>
          <w:rtl/>
        </w:rPr>
      </w:pPr>
      <w:r w:rsidRPr="00BB376E">
        <w:rPr>
          <w:noProof/>
        </w:rPr>
        <w:drawing>
          <wp:anchor distT="0" distB="0" distL="114300" distR="114300" simplePos="0" relativeHeight="252097024" behindDoc="0" locked="0" layoutInCell="1" allowOverlap="1" wp14:anchorId="50B26704" wp14:editId="0F4A2D0A">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42E" w:rsidRPr="00531FBF">
        <w:rPr>
          <w:rtl/>
        </w:rPr>
        <w:t>בחודשים יוני - אוקטובר 2021 בדק משרד מבקר המדינה את התקשרויותיהן של רשויות מקומיות עם ספקים בפטור ממכרז</w:t>
      </w:r>
      <w:r w:rsidR="0092642E">
        <w:rPr>
          <w:vertAlign w:val="superscript"/>
          <w:rtl/>
        </w:rPr>
        <w:footnoteReference w:id="1"/>
      </w:r>
      <w:r w:rsidR="0092642E" w:rsidRPr="00531FBF">
        <w:rPr>
          <w:rtl/>
        </w:rPr>
        <w:t xml:space="preserve"> בשנים 2018 - 2021 כדי לבחון ביצוע פעולותיהן על פי הוראות החקיקה ובאופן הוגן ושוויוני. בביקורת נבדקו אסדרת ההתקשרויות בפטור ממכרז; היערכות הרשויות המקומיות להתקשרויות; והתקשרויות הרשויות המקומיות לפי הסדרי הפטור השונים. הבדיקה נעשתה בחמש רשויות מקומיות: בעיריות הוד השרון, מעלות תרשיחא וקריית גת, במועצה האזורית הגלבוע ובמועצה המקומית רכסים (הרשויות המקומיות שנבדקו).   </w:t>
      </w:r>
    </w:p>
    <w:p w14:paraId="1328CA18" w14:textId="4AA2ED7E" w:rsidR="00825A14" w:rsidRDefault="00825A14" w:rsidP="00D33BF4">
      <w:pPr>
        <w:pStyle w:val="100"/>
        <w:tabs>
          <w:tab w:val="center" w:pos="3685"/>
        </w:tabs>
        <w:spacing w:after="0" w:line="240" w:lineRule="exact"/>
        <w:rPr>
          <w:b/>
          <w:bCs/>
          <w:color w:val="00305F"/>
          <w:sz w:val="32"/>
          <w:szCs w:val="32"/>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DA1E86">
          <w:footerReference w:type="even" r:id="rId17"/>
          <w:footerReference w:type="default" r:id="rId18"/>
          <w:headerReference w:type="first" r:id="rId19"/>
          <w:footerReference w:type="first" r:id="rId20"/>
          <w:pgSz w:w="11906" w:h="16838" w:code="9"/>
          <w:pgMar w:top="3062" w:right="2268" w:bottom="2552" w:left="2268" w:header="1134" w:footer="1361" w:gutter="0"/>
          <w:pgNumType w:start="51"/>
          <w:cols w:space="708"/>
          <w:bidi/>
          <w:rtlGutter/>
          <w:docGrid w:linePitch="360"/>
        </w:sectPr>
      </w:pPr>
    </w:p>
    <w:p w14:paraId="3037171D" w14:textId="05E26CA4" w:rsidR="0060683C" w:rsidRDefault="00666E99" w:rsidP="00666E99">
      <w:pPr>
        <w:pStyle w:val="7190"/>
        <w:rPr>
          <w:rtl/>
        </w:rPr>
      </w:pPr>
      <w:r w:rsidRPr="00362C00">
        <w:rPr>
          <w:noProof/>
          <w:rtl/>
        </w:rPr>
        <w:lastRenderedPageBreak/>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50C21B56" w:rsidR="00BB376E" w:rsidRPr="00BB376E" w:rsidRDefault="005E340E" w:rsidP="00BC289D">
      <w:pPr>
        <w:pStyle w:val="71f"/>
      </w:pPr>
      <w:r w:rsidRPr="00BC289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C289D" w:rsidRPr="00BC289D">
        <w:rPr>
          <w:b/>
          <w:bCs/>
          <w:rtl/>
          <w:lang w:eastAsia="he-IL"/>
        </w:rPr>
        <w:t>הסדרת ההתקשרות בפטור ממכרז</w:t>
      </w:r>
      <w:r w:rsidR="00BC289D" w:rsidRPr="00531FBF">
        <w:rPr>
          <w:rtl/>
          <w:lang w:eastAsia="he-IL"/>
        </w:rPr>
        <w:t xml:space="preserve"> - בשלוש </w:t>
      </w:r>
      <w:r w:rsidR="00BC289D" w:rsidRPr="00BC289D">
        <w:rPr>
          <w:b/>
          <w:bCs/>
          <w:rtl/>
          <w:lang w:eastAsia="he-IL"/>
        </w:rPr>
        <w:t>מהרשויות המקומיות שנבדקו (העיריות הוד השרון ומעלות תרשיחא והמועצה האזורית הגלבוע</w:t>
      </w:r>
      <w:r w:rsidR="00BC289D" w:rsidRPr="00531FBF">
        <w:rPr>
          <w:rtl/>
          <w:lang w:eastAsia="he-IL"/>
        </w:rPr>
        <w:t xml:space="preserve">) הדרך הנפוצה ביותר להתקשרות הייתה בפטור ממכרז. הדבר בולט בייחוד בהתפלגות ההתקשרויות של </w:t>
      </w:r>
      <w:r w:rsidR="00BC289D" w:rsidRPr="00BC289D">
        <w:rPr>
          <w:b/>
          <w:bCs/>
          <w:rtl/>
          <w:lang w:eastAsia="he-IL"/>
        </w:rPr>
        <w:t>עיריית הוד השרון</w:t>
      </w:r>
      <w:r w:rsidR="00BC289D" w:rsidRPr="00531FBF">
        <w:rPr>
          <w:rtl/>
          <w:lang w:eastAsia="he-IL"/>
        </w:rPr>
        <w:t xml:space="preserve"> ושל </w:t>
      </w:r>
      <w:r w:rsidR="00BC289D" w:rsidRPr="00BC289D">
        <w:rPr>
          <w:b/>
          <w:bCs/>
          <w:rtl/>
          <w:lang w:eastAsia="he-IL"/>
        </w:rPr>
        <w:t>המועצה האזורית הגלבוע</w:t>
      </w:r>
      <w:r w:rsidR="00BC289D" w:rsidRPr="00531FBF">
        <w:rPr>
          <w:rtl/>
          <w:lang w:eastAsia="he-IL"/>
        </w:rPr>
        <w:t xml:space="preserve"> -</w:t>
      </w:r>
      <w:r w:rsidR="00BC289D">
        <w:rPr>
          <w:rFonts w:hint="cs"/>
          <w:rtl/>
          <w:lang w:eastAsia="he-IL"/>
        </w:rPr>
        <w:t xml:space="preserve"> </w:t>
      </w:r>
      <w:r w:rsidR="00BC289D" w:rsidRPr="00531FBF">
        <w:rPr>
          <w:rtl/>
          <w:lang w:eastAsia="he-IL"/>
        </w:rPr>
        <w:t xml:space="preserve">כ-53% וכ-51% (בהתאמה) מההתקשרויות שלהן בתקופה שנבדקה נעשו בדרך של פטור ממכרז. נמצא כי קיימת שונות בהסדרים להתקשרויות בפטור ממכרז בין השלטון המרכזי למקומי. כך לדוגמה בנוגע לחובה לשמירת עקרונות המכרז גם בהתקשרות בפטור ממכרז; קביעת תקרת פטור מצטברת שנתית להתקשרות עם ספק; וחובת פרסום </w:t>
      </w:r>
      <w:r w:rsidR="009E72C2" w:rsidRPr="009E72C2">
        <w:rPr>
          <w:rtl/>
          <w:lang w:eastAsia="he-IL"/>
        </w:rPr>
        <w:t>הכוונה</w:t>
      </w:r>
      <w:r w:rsidR="009E72C2">
        <w:rPr>
          <w:rFonts w:hint="cs"/>
          <w:rtl/>
          <w:lang w:eastAsia="he-IL"/>
        </w:rPr>
        <w:t xml:space="preserve"> </w:t>
      </w:r>
      <w:r w:rsidR="00BC289D" w:rsidRPr="00531FBF">
        <w:rPr>
          <w:rtl/>
          <w:lang w:eastAsia="he-IL"/>
        </w:rPr>
        <w:t>להתקשר עם ספק יחיד</w:t>
      </w:r>
      <w:r w:rsidR="005A522D" w:rsidRPr="005A522D">
        <w:rPr>
          <w:rFonts w:hint="cs"/>
          <w:rtl/>
        </w:rPr>
        <w:t>.</w:t>
      </w:r>
    </w:p>
    <w:p w14:paraId="1685218A" w14:textId="57C3C50F" w:rsidR="00BB376E" w:rsidRPr="00BB376E" w:rsidRDefault="00167D07" w:rsidP="000561FD">
      <w:pPr>
        <w:pStyle w:val="71f"/>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561FD" w:rsidRPr="00531FBF">
        <w:rPr>
          <w:b/>
          <w:bCs/>
          <w:rtl/>
        </w:rPr>
        <w:t xml:space="preserve">קידום הסדרים חברתיים בהתקשרויות עם ספקים </w:t>
      </w:r>
      <w:r w:rsidR="000561FD" w:rsidRPr="00531FBF">
        <w:rPr>
          <w:rtl/>
        </w:rPr>
        <w:t>-</w:t>
      </w:r>
      <w:r w:rsidR="000561FD" w:rsidRPr="00531FBF">
        <w:rPr>
          <w:rtl/>
          <w:lang w:eastAsia="he-IL"/>
        </w:rPr>
        <w:t xml:space="preserve"> נכון לנובמבר 2021, בתקנות העיריות (מכרזים), התשמ"ח-1987 (תקנות המכרזים), בתוספת הרביעית לצו המועצות המקומיות, התשי"א-1950 (התוספת הרביעית)</w:t>
      </w:r>
      <w:r w:rsidR="000561FD">
        <w:rPr>
          <w:rFonts w:hint="cs"/>
          <w:rtl/>
          <w:lang w:eastAsia="he-IL"/>
        </w:rPr>
        <w:t>,</w:t>
      </w:r>
      <w:r w:rsidR="000561FD" w:rsidRPr="00531FBF">
        <w:rPr>
          <w:rtl/>
          <w:lang w:eastAsia="he-IL"/>
        </w:rPr>
        <w:t xml:space="preserve"> ובתוספת השנייה לצו המועצות המקומיות (מועצות אזוריו</w:t>
      </w:r>
      <w:r w:rsidR="000561FD">
        <w:rPr>
          <w:rtl/>
          <w:lang w:eastAsia="he-IL"/>
        </w:rPr>
        <w:t>ת), התשי"ח-1958 (התוספת השנייה)</w:t>
      </w:r>
      <w:r w:rsidR="000561FD">
        <w:rPr>
          <w:rFonts w:hint="cs"/>
          <w:rtl/>
          <w:lang w:eastAsia="he-IL"/>
        </w:rPr>
        <w:t>,</w:t>
      </w:r>
      <w:r w:rsidR="000561FD" w:rsidRPr="00531FBF">
        <w:rPr>
          <w:rtl/>
          <w:lang w:eastAsia="he-IL"/>
        </w:rPr>
        <w:t xml:space="preserve"> לא נקבעה חובה שעל הרשות המקומית לתת עדיפות לעסקים בשליטת נשים בהתקשרויות בפטור ממכרז או לעסקים קטנים בהתקשרויות באמצעות מכרז או בפטור ממכרז, ובהתאם לכך </w:t>
      </w:r>
      <w:r w:rsidR="000561FD" w:rsidRPr="00531FBF">
        <w:rPr>
          <w:b/>
          <w:bCs/>
          <w:rtl/>
          <w:lang w:eastAsia="he-IL"/>
        </w:rPr>
        <w:t>בכל הרשויות המקומיות שנבדקו (העיריות הוד השרון, מעלות תרשיחא וקריית גת, המועצה האזורית הגלבוע והמועצה המקומית רכסים)</w:t>
      </w:r>
      <w:r w:rsidR="000561FD" w:rsidRPr="00531FBF">
        <w:rPr>
          <w:rtl/>
          <w:lang w:eastAsia="he-IL"/>
        </w:rPr>
        <w:t>: לא ניתנה בהתקשרויות בפטור ממכרז עדיפות לעסקים בשליטת נשים; לא ניתנה עדיפות לעסקים קטנים; והן אינן מקיימות שיתופי פעולה עם ארגונים לעידוד עסקים קטנים לצורך שילובם של עסקים קטנים בהתקשרויות בפטור ממכרז</w:t>
      </w:r>
      <w:r w:rsidR="00BB376E" w:rsidRPr="00BB376E">
        <w:rPr>
          <w:rtl/>
        </w:rPr>
        <w:t>.</w:t>
      </w:r>
    </w:p>
    <w:p w14:paraId="19C7E25D" w14:textId="167F0AAA" w:rsidR="00903496" w:rsidRPr="00903496" w:rsidRDefault="00384EDD" w:rsidP="000561FD">
      <w:pPr>
        <w:pStyle w:val="71f"/>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561FD" w:rsidRPr="00531FBF">
        <w:rPr>
          <w:b/>
          <w:bCs/>
          <w:rtl/>
          <w:lang w:eastAsia="he-IL"/>
        </w:rPr>
        <w:t>היערכות הרשויות המקומיות שנבדקו להתקשרות בפטור ממכרז</w:t>
      </w:r>
      <w:r w:rsidR="00111FF2">
        <w:rPr>
          <w:rFonts w:hint="cs"/>
          <w:b/>
          <w:bCs/>
          <w:rtl/>
          <w:lang w:eastAsia="he-IL"/>
        </w:rPr>
        <w:t xml:space="preserve"> - </w:t>
      </w:r>
      <w:r w:rsidR="000561FD" w:rsidRPr="00531FBF">
        <w:rPr>
          <w:b/>
          <w:bCs/>
          <w:rtl/>
          <w:lang w:eastAsia="he-IL"/>
        </w:rPr>
        <w:t>נהלים</w:t>
      </w:r>
      <w:r w:rsidR="00B60A92">
        <w:rPr>
          <w:b/>
          <w:bCs/>
          <w:rtl/>
          <w:lang w:eastAsia="he-IL"/>
        </w:rPr>
        <w:br/>
      </w:r>
      <w:r w:rsidR="000561FD" w:rsidRPr="00531FBF">
        <w:rPr>
          <w:b/>
          <w:bCs/>
          <w:rtl/>
          <w:lang w:eastAsia="he-IL"/>
        </w:rPr>
        <w:t>פנימיים</w:t>
      </w:r>
      <w:r w:rsidR="000561FD" w:rsidRPr="00531FBF">
        <w:rPr>
          <w:rtl/>
          <w:lang w:eastAsia="he-IL"/>
        </w:rPr>
        <w:t xml:space="preserve"> - לא קיימת אחידות באופן שבו נ</w:t>
      </w:r>
      <w:r w:rsidR="000561FD">
        <w:rPr>
          <w:rFonts w:hint="cs"/>
          <w:rtl/>
          <w:lang w:eastAsia="he-IL"/>
        </w:rPr>
        <w:t>ו</w:t>
      </w:r>
      <w:r w:rsidR="000561FD" w:rsidRPr="00531FBF">
        <w:rPr>
          <w:rtl/>
          <w:lang w:eastAsia="he-IL"/>
        </w:rPr>
        <w:t xml:space="preserve">הלי </w:t>
      </w:r>
      <w:r w:rsidR="000561FD" w:rsidRPr="00531FBF">
        <w:rPr>
          <w:b/>
          <w:bCs/>
          <w:rtl/>
          <w:lang w:eastAsia="he-IL"/>
        </w:rPr>
        <w:t>הרשויות המקומיות שנבדקו</w:t>
      </w:r>
      <w:r w:rsidR="000561FD" w:rsidRPr="00531FBF">
        <w:rPr>
          <w:rtl/>
          <w:lang w:eastAsia="he-IL"/>
        </w:rPr>
        <w:t xml:space="preserve"> מסדירים את ההליכים הקשורים להתקשרויות בפטור ממכרז, וחלקן הסדירו חלק מההיבטים הקשורים לנושא (כגון עריכת אומדן, אופן הפנייה לספקים ומספר </w:t>
      </w:r>
      <w:r w:rsidR="000561FD" w:rsidRPr="000561FD">
        <w:rPr>
          <w:rtl/>
        </w:rPr>
        <w:t>הספקים</w:t>
      </w:r>
      <w:r w:rsidR="000561FD" w:rsidRPr="00531FBF">
        <w:rPr>
          <w:rtl/>
          <w:lang w:eastAsia="he-IL"/>
        </w:rPr>
        <w:t xml:space="preserve"> שאליהם יש לפנות כתלות בסכום ההתקשרות המבוקשת). </w:t>
      </w:r>
      <w:r w:rsidR="000561FD" w:rsidRPr="00531FBF">
        <w:rPr>
          <w:b/>
          <w:bCs/>
          <w:rtl/>
          <w:lang w:eastAsia="he-IL"/>
        </w:rPr>
        <w:t>אופן הפנייה לספקים:</w:t>
      </w:r>
      <w:r w:rsidR="000561FD" w:rsidRPr="00531FBF">
        <w:rPr>
          <w:rtl/>
          <w:lang w:eastAsia="he-IL"/>
        </w:rPr>
        <w:t xml:space="preserve"> לא קיימת אחידות באופן שבו </w:t>
      </w:r>
      <w:r w:rsidR="000561FD" w:rsidRPr="00531FBF">
        <w:rPr>
          <w:b/>
          <w:bCs/>
          <w:rtl/>
          <w:lang w:eastAsia="he-IL"/>
        </w:rPr>
        <w:t>הרשויות המקומיות שנבדקו</w:t>
      </w:r>
      <w:r w:rsidR="000561FD" w:rsidRPr="00531FBF">
        <w:rPr>
          <w:rtl/>
          <w:lang w:eastAsia="he-IL"/>
        </w:rPr>
        <w:t xml:space="preserve"> פונות לספקים בבקשה לקבלת הצעות מ</w:t>
      </w:r>
      <w:r w:rsidR="000561FD">
        <w:rPr>
          <w:rtl/>
          <w:lang w:eastAsia="he-IL"/>
        </w:rPr>
        <w:t xml:space="preserve">חיר לצורך התקשרות בפטור ממכרז; </w:t>
      </w:r>
      <w:r w:rsidR="000561FD" w:rsidRPr="00531FBF">
        <w:rPr>
          <w:b/>
          <w:bCs/>
          <w:rtl/>
          <w:lang w:eastAsia="he-IL"/>
        </w:rPr>
        <w:t>בכל הרשויות המקומיות שנבדקו</w:t>
      </w:r>
      <w:r w:rsidR="000561FD" w:rsidRPr="00531FBF">
        <w:rPr>
          <w:rtl/>
          <w:lang w:eastAsia="he-IL"/>
        </w:rPr>
        <w:t xml:space="preserve"> נמצא שספרי הספקים אינם עדכניים; הם אינם מפורסמים; ולא נעשה בהם שימוש עת הרשויות מתקשרות בפטור ממכרז. </w:t>
      </w:r>
      <w:r w:rsidR="000561FD" w:rsidRPr="00531FBF">
        <w:rPr>
          <w:b/>
          <w:bCs/>
          <w:rtl/>
          <w:lang w:eastAsia="he-IL"/>
        </w:rPr>
        <w:t>ניהול הניסיון הנצבר עם ספקים:</w:t>
      </w:r>
      <w:r w:rsidR="000561FD" w:rsidRPr="00531FBF">
        <w:rPr>
          <w:rtl/>
          <w:lang w:eastAsia="he-IL"/>
        </w:rPr>
        <w:t xml:space="preserve"> </w:t>
      </w:r>
      <w:r w:rsidR="000561FD" w:rsidRPr="00531FBF">
        <w:rPr>
          <w:b/>
          <w:bCs/>
          <w:rtl/>
          <w:lang w:eastAsia="he-IL"/>
        </w:rPr>
        <w:t>בכל</w:t>
      </w:r>
      <w:r w:rsidR="000561FD" w:rsidRPr="00531FBF">
        <w:rPr>
          <w:rtl/>
          <w:lang w:eastAsia="he-IL"/>
        </w:rPr>
        <w:t xml:space="preserve"> </w:t>
      </w:r>
      <w:r w:rsidR="000561FD" w:rsidRPr="00531FBF">
        <w:rPr>
          <w:b/>
          <w:bCs/>
          <w:rtl/>
          <w:lang w:eastAsia="he-IL"/>
        </w:rPr>
        <w:t>הרשויות המקומיות שנבדקו</w:t>
      </w:r>
      <w:r w:rsidR="000561FD" w:rsidRPr="00531FBF">
        <w:rPr>
          <w:rtl/>
          <w:lang w:eastAsia="he-IL"/>
        </w:rPr>
        <w:t xml:space="preserve"> לא התבצע הליך סדור מגובה במסמכים רלוונטיים ובנהלים של עדכון הדדי בין מחלקות הרשויות המקומיות ובין מחלקות הרכש שלהן, הנוגע לניסיון המצטבר עם ספקים שאיתם התקשרו ולטיב השירות שסופק להן</w:t>
      </w:r>
      <w:r w:rsidR="000561FD">
        <w:rPr>
          <w:rFonts w:hint="cs"/>
          <w:rtl/>
        </w:rPr>
        <w:t>.</w:t>
      </w:r>
    </w:p>
    <w:p w14:paraId="09ACEE17" w14:textId="05D9DE69" w:rsidR="00903496" w:rsidRPr="00903496" w:rsidRDefault="00384EDD" w:rsidP="0034749E">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4749E" w:rsidRPr="00531FBF">
        <w:rPr>
          <w:b/>
          <w:bCs/>
          <w:rtl/>
          <w:lang w:eastAsia="he-IL"/>
        </w:rPr>
        <w:t xml:space="preserve">שקיפות ופרסום לציבור </w:t>
      </w:r>
      <w:r w:rsidR="0034749E" w:rsidRPr="00531FBF">
        <w:rPr>
          <w:rtl/>
          <w:lang w:eastAsia="he-IL"/>
        </w:rPr>
        <w:t>-</w:t>
      </w:r>
      <w:r w:rsidR="0034749E" w:rsidRPr="00531FBF">
        <w:rPr>
          <w:b/>
          <w:bCs/>
          <w:rtl/>
          <w:lang w:eastAsia="he-IL"/>
        </w:rPr>
        <w:t xml:space="preserve"> עיריית מעלות תרשיחא, המועצה האזורית הגלבוע והמועצה המקומית רכסים</w:t>
      </w:r>
      <w:r w:rsidR="0034749E" w:rsidRPr="00531FBF">
        <w:rPr>
          <w:rtl/>
          <w:lang w:eastAsia="he-IL"/>
        </w:rPr>
        <w:t xml:space="preserve"> אינן עומדות בחובת הפרסום החלה עליהן בכל הנוגע לשקיפות פעולותיהן, כפי שהדבר מתבטא בהנגשה לציבור של המידע המתחייב בתקנות המכרזים ובחוזר מנכ"ל משרד הפנים 8/2016, והן אינן מפרסמות את ההחלטות של ועדת ההתקשרויות שלהן כנדרש; </w:t>
      </w:r>
      <w:r w:rsidR="0034749E" w:rsidRPr="00531FBF">
        <w:rPr>
          <w:b/>
          <w:bCs/>
          <w:rtl/>
          <w:lang w:eastAsia="he-IL"/>
        </w:rPr>
        <w:t xml:space="preserve">עיריית קריית גת, המועצה האזורית הגלבוע והמועצה </w:t>
      </w:r>
      <w:r w:rsidR="0034749E" w:rsidRPr="00531FBF">
        <w:rPr>
          <w:b/>
          <w:bCs/>
          <w:rtl/>
          <w:lang w:eastAsia="he-IL"/>
        </w:rPr>
        <w:lastRenderedPageBreak/>
        <w:t>המקומית רכסים</w:t>
      </w:r>
      <w:r w:rsidR="0034749E" w:rsidRPr="00531FBF">
        <w:rPr>
          <w:rtl/>
          <w:lang w:eastAsia="he-IL"/>
        </w:rPr>
        <w:t xml:space="preserve"> אינן ממלאות אחר הוראות חוזר מנכ"ל משרד הפנים 8/2016 ואינן מפרסמות באתרים שלהן במרשתת רשימות מציעים מעודכנות. </w:t>
      </w:r>
      <w:r w:rsidR="0034749E" w:rsidRPr="00531FBF">
        <w:rPr>
          <w:b/>
          <w:bCs/>
          <w:rtl/>
          <w:lang w:eastAsia="he-IL"/>
        </w:rPr>
        <w:t>המועצה האזורית הגלבוע והמועצה המקומית רכסים</w:t>
      </w:r>
      <w:r w:rsidR="0034749E" w:rsidRPr="00531FBF">
        <w:rPr>
          <w:rtl/>
          <w:lang w:eastAsia="he-IL"/>
        </w:rPr>
        <w:t xml:space="preserve"> אף אינן מפרסמות דוח שנתי </w:t>
      </w:r>
      <w:r w:rsidR="0034749E" w:rsidRPr="00531FBF">
        <w:rPr>
          <w:rtl/>
        </w:rPr>
        <w:t>של המציעים שהתקשרו עימם,</w:t>
      </w:r>
      <w:r w:rsidR="0034749E" w:rsidRPr="00531FBF">
        <w:rPr>
          <w:rtl/>
          <w:lang w:eastAsia="he-IL"/>
        </w:rPr>
        <w:t xml:space="preserve"> ובכלל זה סוג העבודה וההיקף הכספי של כל התקשרות</w:t>
      </w:r>
      <w:r w:rsidR="005E340E">
        <w:rPr>
          <w:rFonts w:hint="cs"/>
          <w:rtl/>
        </w:rPr>
        <w:t>.</w:t>
      </w:r>
    </w:p>
    <w:p w14:paraId="6F735506" w14:textId="43CC3ECC" w:rsidR="00C80B25" w:rsidRDefault="00384EDD" w:rsidP="00D16ABA">
      <w:pPr>
        <w:pStyle w:val="71f"/>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שימוש בכלים מקוונים לניהול התקשרויות</w:t>
      </w:r>
      <w:r w:rsidR="00D16ABA" w:rsidRPr="00531FBF">
        <w:rPr>
          <w:rtl/>
        </w:rPr>
        <w:t xml:space="preserve"> - </w:t>
      </w:r>
      <w:r w:rsidR="00D16ABA" w:rsidRPr="00531FBF">
        <w:rPr>
          <w:b/>
          <w:bCs/>
          <w:rtl/>
          <w:lang w:eastAsia="he-IL"/>
        </w:rPr>
        <w:t>הרשויות המקומיות שנבדקו</w:t>
      </w:r>
      <w:r w:rsidR="00D16ABA" w:rsidRPr="00531FBF">
        <w:rPr>
          <w:rtl/>
          <w:lang w:eastAsia="he-IL"/>
        </w:rPr>
        <w:t xml:space="preserve"> לא השתמשו בכלים מקוונים לניהול התקשרויות בפטור ממכרז מול ספקים (פרט לאפשרות למתן מענה והגשת הצעות מחיר בדואר אלקטרוני), כמו מתן אפשרות להגיש טפסים באמצעות מערכת מקוונת. נמצא כי </w:t>
      </w:r>
      <w:r w:rsidR="00D16ABA" w:rsidRPr="00531FBF">
        <w:rPr>
          <w:b/>
          <w:bCs/>
          <w:rtl/>
          <w:lang w:eastAsia="he-IL"/>
        </w:rPr>
        <w:t>לכל</w:t>
      </w:r>
      <w:r w:rsidR="00D16ABA" w:rsidRPr="00531FBF">
        <w:rPr>
          <w:rtl/>
          <w:lang w:eastAsia="he-IL"/>
        </w:rPr>
        <w:t xml:space="preserve"> </w:t>
      </w:r>
      <w:r w:rsidR="00D16ABA" w:rsidRPr="00531FBF">
        <w:rPr>
          <w:b/>
          <w:bCs/>
          <w:rtl/>
          <w:lang w:eastAsia="he-IL"/>
        </w:rPr>
        <w:t>הרשויות המקומיות שנבדקו</w:t>
      </w:r>
      <w:r w:rsidR="00D16ABA" w:rsidRPr="00531FBF">
        <w:rPr>
          <w:rtl/>
          <w:lang w:eastAsia="he-IL"/>
        </w:rPr>
        <w:t xml:space="preserve"> לא היה טופס מובנה מקוון להגשת הצעות מחיר שיש בו לתרום ליכולתן להשוות בין הצעות מחיר</w:t>
      </w:r>
      <w:r w:rsidR="00851635">
        <w:rPr>
          <w:rFonts w:hint="cs"/>
          <w:rtl/>
        </w:rPr>
        <w:t>.</w:t>
      </w:r>
    </w:p>
    <w:p w14:paraId="4DA2304F" w14:textId="4DD06AD0" w:rsidR="0069093D" w:rsidRPr="0069093D" w:rsidRDefault="00021ED5" w:rsidP="00D16ABA">
      <w:pPr>
        <w:pStyle w:val="71f"/>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 xml:space="preserve">ליקויים בהתקשרויות הרשויות המקומיות לפי הסדרי הפטור השונים </w:t>
      </w:r>
      <w:r w:rsidR="00D16ABA" w:rsidRPr="00531FBF">
        <w:rPr>
          <w:rtl/>
        </w:rPr>
        <w:t>-</w:t>
      </w:r>
      <w:r w:rsidR="00D16ABA" w:rsidRPr="00531FBF">
        <w:rPr>
          <w:b/>
          <w:bCs/>
          <w:rtl/>
        </w:rPr>
        <w:t xml:space="preserve"> סכומי תקרת הפטור ממכרז</w:t>
      </w:r>
      <w:r w:rsidR="00D16ABA" w:rsidRPr="00531FBF">
        <w:rPr>
          <w:rtl/>
        </w:rPr>
        <w:t xml:space="preserve"> - בשנים המבוקרות בפרסומי משרד הפנים של הסכומים החודשיים המעודכנים לא הייתה אחידות בנושא הוספת שיעור המע"ם לסכומים המוצגים. בכל הפרסומים החודשיים משנת 2021 ועד מועד סיום הביקורת אין התייחסות לסוגיית המע"ם; </w:t>
      </w:r>
      <w:r w:rsidR="00D16ABA" w:rsidRPr="00531FBF">
        <w:rPr>
          <w:b/>
          <w:bCs/>
          <w:rtl/>
        </w:rPr>
        <w:t>עיריות הוד השרון, מעלות תרשיחא וקריית גת והמועצה המקומית רכסים</w:t>
      </w:r>
      <w:r w:rsidR="00D16ABA" w:rsidRPr="00531FBF">
        <w:rPr>
          <w:rtl/>
        </w:rPr>
        <w:t xml:space="preserve"> התקשרו עם אותם ספקים בפטור ממכרז בתשע התקשרויות (מתוך כ-160 התקשרויות שנבדקו) במשך תקופה של יותר משנה. כך למשל: </w:t>
      </w:r>
      <w:r w:rsidR="00D16ABA" w:rsidRPr="00531FBF">
        <w:rPr>
          <w:b/>
          <w:bCs/>
          <w:rtl/>
        </w:rPr>
        <w:t>עיריית הוד השרון</w:t>
      </w:r>
      <w:r w:rsidR="00D16ABA" w:rsidRPr="00531FBF">
        <w:rPr>
          <w:rtl/>
        </w:rPr>
        <w:t xml:space="preserve"> התקשרה בשנים 2018 - 2021 עם ספק </w:t>
      </w:r>
      <w:r w:rsidR="00D16ABA" w:rsidRPr="00D16ABA">
        <w:rPr>
          <w:rtl/>
        </w:rPr>
        <w:t>לציוד</w:t>
      </w:r>
      <w:r w:rsidR="00D16ABA" w:rsidRPr="00531FBF">
        <w:rPr>
          <w:rtl/>
        </w:rPr>
        <w:t xml:space="preserve"> הגברה ותאורה לאירועים ושילמה לו בשנת 2018 כ-178,000 ש"ח ובשנת 2019 כ-85,000 ש"ח, וכן היא התקשרה עם ספק שירותי תקשו</w:t>
      </w:r>
      <w:r w:rsidR="00D16ABA">
        <w:rPr>
          <w:rtl/>
        </w:rPr>
        <w:t xml:space="preserve">רת ושילמה לו בשנים 2018 - 2021 </w:t>
      </w:r>
      <w:r w:rsidR="00D16ABA" w:rsidRPr="00531FBF">
        <w:rPr>
          <w:rtl/>
        </w:rPr>
        <w:t xml:space="preserve">כמיליון ש"ח. </w:t>
      </w:r>
      <w:r w:rsidR="00D16ABA" w:rsidRPr="00531FBF">
        <w:rPr>
          <w:b/>
          <w:bCs/>
          <w:rtl/>
        </w:rPr>
        <w:t>עיריית מעלות תרשיחא</w:t>
      </w:r>
      <w:r w:rsidR="00D16ABA" w:rsidRPr="00531FBF">
        <w:rPr>
          <w:rtl/>
        </w:rPr>
        <w:t xml:space="preserve"> התקשרה בשנת 2019 עם ספק לשירותי פרסום וגרפיקה לשנים 2019 - 2020 ושילמה לו בשנת 2020 כ-187,000 ש"ח. </w:t>
      </w:r>
      <w:r w:rsidR="00D16ABA" w:rsidRPr="00531FBF">
        <w:rPr>
          <w:b/>
          <w:bCs/>
          <w:rtl/>
        </w:rPr>
        <w:t>עיריית קריית גת</w:t>
      </w:r>
      <w:r w:rsidR="00D16ABA" w:rsidRPr="00531FBF">
        <w:rPr>
          <w:rtl/>
        </w:rPr>
        <w:t xml:space="preserve"> </w:t>
      </w:r>
      <w:r w:rsidR="00D16ABA">
        <w:rPr>
          <w:rtl/>
        </w:rPr>
        <w:t xml:space="preserve">התקשרה בשנת 2018 עם ספק לרכישת </w:t>
      </w:r>
      <w:r w:rsidR="00D16ABA" w:rsidRPr="00531FBF">
        <w:rPr>
          <w:rtl/>
        </w:rPr>
        <w:t xml:space="preserve">תווי קנייה ושילמה לו כ-438,000 ש"ח, </w:t>
      </w:r>
      <w:r w:rsidR="00D16ABA" w:rsidRPr="00531FBF">
        <w:rPr>
          <w:b/>
          <w:bCs/>
          <w:rtl/>
        </w:rPr>
        <w:t>והמועצה המקומית רכסים</w:t>
      </w:r>
      <w:r w:rsidR="00D16ABA" w:rsidRPr="00531FBF">
        <w:rPr>
          <w:rtl/>
        </w:rPr>
        <w:t xml:space="preserve"> התקשרה בשנים 2020 - 2021 עם ספק עבודות עפר ושילמה לו בשנת 2020 סכום כולל של כ-229,000 ש"ח</w:t>
      </w:r>
      <w:r w:rsidR="009B03D5">
        <w:rPr>
          <w:rtl/>
        </w:rPr>
        <w:t>.</w:t>
      </w:r>
    </w:p>
    <w:p w14:paraId="706F00A3" w14:textId="3796ED9C" w:rsidR="0069093D" w:rsidRPr="0069093D" w:rsidRDefault="0069093D" w:rsidP="00D16ABA">
      <w:pPr>
        <w:pStyle w:val="71f"/>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 xml:space="preserve">אומדן טרם ההחלטה על התקשרות בפטור ממכרז </w:t>
      </w:r>
      <w:r w:rsidR="00D16ABA" w:rsidRPr="00531FBF">
        <w:rPr>
          <w:rtl/>
        </w:rPr>
        <w:t>-</w:t>
      </w:r>
      <w:r w:rsidR="00D16ABA" w:rsidRPr="00531FBF">
        <w:rPr>
          <w:b/>
          <w:bCs/>
          <w:rtl/>
        </w:rPr>
        <w:t xml:space="preserve"> בעיריות הוד השרון, מעלות תרשיחא וקריית גת</w:t>
      </w:r>
      <w:r w:rsidR="00D16ABA" w:rsidRPr="00531FBF">
        <w:rPr>
          <w:rtl/>
        </w:rPr>
        <w:t xml:space="preserve"> נמצאו שלוש התקשרויות מתוך ההתקשרויות שנבחרו </w:t>
      </w:r>
      <w:r w:rsidR="00D16ABA" w:rsidRPr="00531FBF">
        <w:rPr>
          <w:rtl/>
          <w:lang w:eastAsia="he-IL"/>
        </w:rPr>
        <w:t>(אחת בכל אחת מהרשויות המקומיות האמורות)</w:t>
      </w:r>
      <w:r w:rsidR="00D16ABA" w:rsidRPr="00531FBF">
        <w:rPr>
          <w:rtl/>
        </w:rPr>
        <w:t xml:space="preserve"> שבהן ליקוי באומדן הוביל להתקשרות בפטור ממכרז בניגוד לתקנות המכרזים. </w:t>
      </w:r>
      <w:r w:rsidR="00D16ABA" w:rsidRPr="00531FBF">
        <w:rPr>
          <w:b/>
          <w:bCs/>
          <w:rtl/>
        </w:rPr>
        <w:t>בעיריית הוד השרון</w:t>
      </w:r>
      <w:r w:rsidR="00D16ABA" w:rsidRPr="00531FBF">
        <w:rPr>
          <w:rtl/>
        </w:rPr>
        <w:t xml:space="preserve"> עת התקשרה בשנת </w:t>
      </w:r>
      <w:r w:rsidR="00D16ABA" w:rsidRPr="00D16ABA">
        <w:rPr>
          <w:rtl/>
        </w:rPr>
        <w:t>2020</w:t>
      </w:r>
      <w:r w:rsidR="00D16ABA" w:rsidRPr="00531FBF">
        <w:rPr>
          <w:rtl/>
        </w:rPr>
        <w:t xml:space="preserve"> עם ספק לשירותים גאודזיים; </w:t>
      </w:r>
      <w:r w:rsidR="00D16ABA" w:rsidRPr="00531FBF">
        <w:rPr>
          <w:b/>
          <w:bCs/>
          <w:rtl/>
        </w:rPr>
        <w:t>בעיריית מעלות תרשיחא</w:t>
      </w:r>
      <w:r w:rsidR="00D16ABA" w:rsidRPr="00531FBF">
        <w:rPr>
          <w:rtl/>
        </w:rPr>
        <w:t xml:space="preserve"> עת התקשרה בשנת 2018 עם ספק לכריתת עצים; </w:t>
      </w:r>
      <w:r w:rsidR="00D16ABA" w:rsidRPr="00531FBF">
        <w:rPr>
          <w:b/>
          <w:bCs/>
          <w:rtl/>
        </w:rPr>
        <w:t>ובעיריית קריית גת</w:t>
      </w:r>
      <w:r w:rsidR="00D16ABA" w:rsidRPr="00531FBF">
        <w:rPr>
          <w:rtl/>
        </w:rPr>
        <w:t xml:space="preserve"> עת התקשרה בשנת 2018 עם ספק לרכישת תווי קנייה. </w:t>
      </w:r>
      <w:r w:rsidR="00D16ABA" w:rsidRPr="00531FBF">
        <w:rPr>
          <w:b/>
          <w:bCs/>
          <w:rtl/>
        </w:rPr>
        <w:t>במועצה המקומית רכסים</w:t>
      </w:r>
      <w:r w:rsidR="00D16ABA" w:rsidRPr="00531FBF">
        <w:rPr>
          <w:rtl/>
        </w:rPr>
        <w:t xml:space="preserve"> ב-14 התקשרויות מתוך 18 התקשרויות שנבדקו לא הכינה המועצה אומדן קודם התקשרותה עם ספקים בפטור ממכרז ופעלה שלא בהתאם לנהליה שלה</w:t>
      </w:r>
      <w:r w:rsidR="0080348E" w:rsidRPr="00EF19D5">
        <w:rPr>
          <w:rFonts w:hint="cs"/>
          <w:rtl/>
        </w:rPr>
        <w:t>.</w:t>
      </w:r>
    </w:p>
    <w:p w14:paraId="166D5DAC" w14:textId="77777777" w:rsidR="00D16ABA" w:rsidRDefault="0069093D" w:rsidP="00D16ABA">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 xml:space="preserve">הגדלת היקף התקשרויות עם ספקים </w:t>
      </w:r>
      <w:r w:rsidR="00D16ABA" w:rsidRPr="00531FBF">
        <w:rPr>
          <w:rtl/>
        </w:rPr>
        <w:t>-</w:t>
      </w:r>
      <w:r w:rsidR="00D16ABA" w:rsidRPr="00531FBF">
        <w:rPr>
          <w:b/>
          <w:bCs/>
          <w:rtl/>
        </w:rPr>
        <w:t xml:space="preserve"> עיריית מעלות תרשיחא</w:t>
      </w:r>
      <w:r w:rsidR="00D16ABA" w:rsidRPr="00531FBF">
        <w:rPr>
          <w:rtl/>
        </w:rPr>
        <w:t xml:space="preserve"> בהתקשרות אחת </w:t>
      </w:r>
      <w:r w:rsidR="00D16ABA" w:rsidRPr="00562F93">
        <w:rPr>
          <w:b/>
          <w:bCs/>
          <w:rtl/>
        </w:rPr>
        <w:t>ו</w:t>
      </w:r>
      <w:r w:rsidR="00D16ABA" w:rsidRPr="00531FBF">
        <w:rPr>
          <w:b/>
          <w:bCs/>
          <w:rtl/>
        </w:rPr>
        <w:t>המועצה האזורית הגלבוע</w:t>
      </w:r>
      <w:r w:rsidR="00D16ABA" w:rsidRPr="00531FBF">
        <w:rPr>
          <w:rtl/>
        </w:rPr>
        <w:t xml:space="preserve"> בשש התקשרויות עם ספק אחד הגדילו את היקף ההתקשרויות ללא מכרז בשיעורים גבוהים מהמותר על פי התקנות וצווי המועצות; בשלוש </w:t>
      </w:r>
      <w:r w:rsidR="00D16ABA" w:rsidRPr="00D16ABA">
        <w:rPr>
          <w:rtl/>
        </w:rPr>
        <w:t>התקשרויות</w:t>
      </w:r>
      <w:r w:rsidR="00D16ABA" w:rsidRPr="00531FBF">
        <w:rPr>
          <w:rtl/>
        </w:rPr>
        <w:t xml:space="preserve"> של </w:t>
      </w:r>
      <w:r w:rsidR="00D16ABA" w:rsidRPr="00531FBF">
        <w:rPr>
          <w:b/>
          <w:bCs/>
          <w:rtl/>
        </w:rPr>
        <w:t>המועצה המקומית רכסים</w:t>
      </w:r>
      <w:r w:rsidR="00D16ABA" w:rsidRPr="00531FBF">
        <w:rPr>
          <w:rtl/>
        </w:rPr>
        <w:t xml:space="preserve"> הוגדל היקף ההתקשרויות ללא קבלת האישורים הנדרשים לכך</w:t>
      </w:r>
      <w:r w:rsidR="00D16ABA">
        <w:rPr>
          <w:rFonts w:hint="cs"/>
          <w:rtl/>
        </w:rPr>
        <w:t>.</w:t>
      </w:r>
    </w:p>
    <w:p w14:paraId="0741569A" w14:textId="77777777" w:rsidR="0080348E" w:rsidRDefault="0080348E" w:rsidP="0080348E">
      <w:pPr>
        <w:pStyle w:val="71f"/>
        <w:rPr>
          <w:rtl/>
        </w:rPr>
      </w:pPr>
    </w:p>
    <w:p w14:paraId="00E61549" w14:textId="6EB20D59" w:rsidR="006C759C" w:rsidRDefault="006C759C" w:rsidP="00D16ABA">
      <w:pPr>
        <w:pStyle w:val="71f"/>
        <w:rPr>
          <w:rtl/>
        </w:rPr>
      </w:pPr>
      <w:r w:rsidRPr="009E6333">
        <w:rPr>
          <w:rStyle w:val="7195Char"/>
          <w:rFonts w:hint="cs"/>
          <w:rtl/>
        </w:rPr>
        <w:lastRenderedPageBreak/>
        <w:drawing>
          <wp:anchor distT="0" distB="3600450" distL="114300" distR="114300" simplePos="0" relativeHeight="252043776" behindDoc="0" locked="0" layoutInCell="1" allowOverlap="1" wp14:anchorId="15CB43E0" wp14:editId="3FB705CB">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 xml:space="preserve">התקשרויות לביצוע עבודה מקצועית הדורשת ידע ומומחיות מיוחדים </w:t>
      </w:r>
      <w:r w:rsidR="00D16ABA" w:rsidRPr="00531FBF">
        <w:rPr>
          <w:rtl/>
        </w:rPr>
        <w:t>-</w:t>
      </w:r>
      <w:r w:rsidR="00D16ABA" w:rsidRPr="00531FBF">
        <w:rPr>
          <w:b/>
          <w:bCs/>
          <w:rtl/>
        </w:rPr>
        <w:t xml:space="preserve"> עיריית מעלות תרשיחא והמועצה המקומית רכסים</w:t>
      </w:r>
      <w:r w:rsidR="00D16ABA" w:rsidRPr="00531FBF">
        <w:rPr>
          <w:rtl/>
        </w:rPr>
        <w:t xml:space="preserve"> התקשרו עם יועצים בפטור ממכרז לפי סעיף 3(8), אך לא על פי הוראות חוזר מנכ"ל 8/2016. כך </w:t>
      </w:r>
      <w:r w:rsidR="00D16ABA" w:rsidRPr="00531FBF">
        <w:rPr>
          <w:b/>
          <w:bCs/>
          <w:rtl/>
        </w:rPr>
        <w:t>במועצה המקומית רכסים</w:t>
      </w:r>
      <w:r w:rsidR="00D16ABA" w:rsidRPr="00531FBF">
        <w:rPr>
          <w:rtl/>
        </w:rPr>
        <w:t xml:space="preserve"> ועדת התקשרויות החליטה על ביצוע שבע התקשרויות עם חברות לניהול פרויקטים בלי שנמצאו חוות דעת של היועץ המשפטי ובלי שוועדת ההתקשרויות בחנה אם מוצדק וסביר לבצע את ההתקשרויות המבוקשות ללא מכרז</w:t>
      </w:r>
      <w:r>
        <w:rPr>
          <w:rtl/>
        </w:rPr>
        <w:t>.</w:t>
      </w:r>
    </w:p>
    <w:p w14:paraId="7D8330D3" w14:textId="43AA2B32" w:rsidR="00D16ABA" w:rsidRDefault="000412C0" w:rsidP="00D16ABA">
      <w:pPr>
        <w:pStyle w:val="71f"/>
        <w:rPr>
          <w:rtl/>
        </w:rPr>
      </w:pPr>
      <w:r w:rsidRPr="00362C00">
        <w:rPr>
          <w:rFonts w:hint="cs"/>
          <w:noProof/>
          <w:rtl/>
        </w:rPr>
        <w:drawing>
          <wp:anchor distT="0" distB="0" distL="114300" distR="114300" simplePos="0" relativeHeight="251655679" behindDoc="1" locked="0" layoutInCell="1" allowOverlap="1" wp14:anchorId="25B1C011" wp14:editId="64EBC324">
            <wp:simplePos x="0" y="0"/>
            <wp:positionH relativeFrom="column">
              <wp:posOffset>2377440</wp:posOffset>
            </wp:positionH>
            <wp:positionV relativeFrom="paragraph">
              <wp:posOffset>1568450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D16ABA" w:rsidRPr="009E6333">
        <w:rPr>
          <w:rStyle w:val="7195Char"/>
          <w:rFonts w:hint="cs"/>
          <w:rtl/>
        </w:rPr>
        <w:drawing>
          <wp:anchor distT="0" distB="3600450" distL="114300" distR="114300" simplePos="0" relativeHeight="252136960" behindDoc="0" locked="0" layoutInCell="1" allowOverlap="1" wp14:anchorId="2CF51AFF" wp14:editId="72480550">
            <wp:simplePos x="0" y="0"/>
            <wp:positionH relativeFrom="column">
              <wp:posOffset>4495800</wp:posOffset>
            </wp:positionH>
            <wp:positionV relativeFrom="paragraph">
              <wp:posOffset>41910</wp:posOffset>
            </wp:positionV>
            <wp:extent cx="161925" cy="161925"/>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16ABA" w:rsidRPr="00531FBF">
        <w:rPr>
          <w:b/>
          <w:bCs/>
          <w:rtl/>
        </w:rPr>
        <w:t xml:space="preserve">איחוד התקשרויות והליכי רכש </w:t>
      </w:r>
      <w:r w:rsidR="00D16ABA" w:rsidRPr="00531FBF">
        <w:rPr>
          <w:rtl/>
        </w:rPr>
        <w:t>-</w:t>
      </w:r>
      <w:r w:rsidR="00D16ABA" w:rsidRPr="00531FBF">
        <w:rPr>
          <w:b/>
          <w:bCs/>
          <w:rtl/>
        </w:rPr>
        <w:t xml:space="preserve"> עיריית קריית גת, המועצה האזורית הגלבוע והמועצה המקומית רכסים</w:t>
      </w:r>
      <w:r w:rsidR="00D16ABA" w:rsidRPr="00531FBF">
        <w:rPr>
          <w:rtl/>
        </w:rPr>
        <w:t xml:space="preserve"> התקשרו עם שבעה ספקים בפטור ממכרז בכמה חוזים לביצוע עבודה, אף שהיה מקום לראותם כעבודה אחת. כך למשל: </w:t>
      </w:r>
      <w:r w:rsidR="00D16ABA" w:rsidRPr="00531FBF">
        <w:rPr>
          <w:b/>
          <w:bCs/>
          <w:rtl/>
        </w:rPr>
        <w:t>עיריית קריית גת</w:t>
      </w:r>
      <w:r w:rsidR="00D16ABA" w:rsidRPr="00531FBF">
        <w:rPr>
          <w:rtl/>
        </w:rPr>
        <w:t xml:space="preserve"> - התקשרות בשנת 2018 לביצוע עבודות איטום בהיקף כספי של כ-171,000 ש"ח; </w:t>
      </w:r>
      <w:r w:rsidR="00D16ABA" w:rsidRPr="00531FBF">
        <w:rPr>
          <w:b/>
          <w:bCs/>
          <w:rtl/>
        </w:rPr>
        <w:t>המועצה האזורית הגלבוע</w:t>
      </w:r>
      <w:r w:rsidR="00D16ABA" w:rsidRPr="00531FBF">
        <w:rPr>
          <w:rtl/>
        </w:rPr>
        <w:t xml:space="preserve"> - התקשרות בשנת 2018 לאספקת שערי ביטחון ליישובים בהיקף כספי של כ-315,000 ש"ח; </w:t>
      </w:r>
      <w:r w:rsidR="00D16ABA" w:rsidRPr="00531FBF">
        <w:rPr>
          <w:b/>
          <w:bCs/>
          <w:rtl/>
        </w:rPr>
        <w:t>והמועצה המקומית רכסים</w:t>
      </w:r>
      <w:r w:rsidR="00D16ABA" w:rsidRPr="00531FBF">
        <w:rPr>
          <w:rtl/>
        </w:rPr>
        <w:t xml:space="preserve"> - התקשרות בשנת 2019 עם ספק שירותי שיפוץ בגין עבודות נגישות בגני ילדים בהיקף כספי של כ-94,000 ש"ח. אף כי בהתקשרויות האמורות היה היקפו הכספי של כל חוזה נמוך מתקרת הפטור, היקפם הכולל של החוזים שניתן לייחס לאותה העבודה היה גבוה מתקרת הפטור</w:t>
      </w:r>
      <w:r w:rsidR="00D16ABA">
        <w:rPr>
          <w:rFonts w:hint="cs"/>
          <w:rtl/>
        </w:rPr>
        <w:t>.</w:t>
      </w:r>
    </w:p>
    <w:p w14:paraId="191CB61D" w14:textId="296CDF88" w:rsidR="00D16ABA" w:rsidRDefault="00D16ABA" w:rsidP="00D16ABA">
      <w:pPr>
        <w:pStyle w:val="71f"/>
        <w:rPr>
          <w:rtl/>
        </w:rPr>
      </w:pPr>
    </w:p>
    <w:p w14:paraId="71A78393" w14:textId="3E7F89B7" w:rsidR="008507DE" w:rsidRDefault="00D16ABA" w:rsidP="00D16ABA">
      <w:pPr>
        <w:pStyle w:val="71f"/>
        <w:rPr>
          <w:rtl/>
        </w:rPr>
      </w:pPr>
      <w:r w:rsidRPr="00531FBF">
        <w:rPr>
          <w:b/>
          <w:bCs/>
          <w:rtl/>
          <w:lang w:eastAsia="he-IL"/>
        </w:rPr>
        <w:t>קביעת נהלים פנימיים</w:t>
      </w:r>
      <w:r w:rsidRPr="00531FBF">
        <w:rPr>
          <w:rtl/>
          <w:lang w:eastAsia="he-IL"/>
        </w:rPr>
        <w:t xml:space="preserve"> - הרשויות המקומיות שנבדקו התמודדו עם המצבים שלגביהם לא נקבעה הסדרה, בין היתר באמצעות אימוץ נוהלי רכש וקביעת נהלים פנימיים, לרבות </w:t>
      </w:r>
      <w:r w:rsidRPr="00D16ABA">
        <w:rPr>
          <w:rtl/>
        </w:rPr>
        <w:t>קביעת</w:t>
      </w:r>
      <w:r w:rsidRPr="00531FBF">
        <w:rPr>
          <w:rtl/>
          <w:lang w:eastAsia="he-IL"/>
        </w:rPr>
        <w:t xml:space="preserve"> התניות מקדימות לפנייה לספקים בהליך התקשרות; קביעת מדרג אישורים פנים-רשותי; ואימוץ רשימות תיוג פנימיות למעקב אחר ההתקשרויות שלהן. </w:t>
      </w:r>
      <w:r w:rsidRPr="00531FBF">
        <w:rPr>
          <w:rtl/>
        </w:rPr>
        <w:t>בפעולתן סיפקו מסגרת משלימה הן להגברת ההוגנות והשקיפות של תהליך ההתקשרות בפטור ממכרז והן לייעול תהליכי העבודה ושיפור תוצאות ההתקשרות עם ספקים ונותני שירות</w:t>
      </w:r>
      <w:r w:rsidR="008507DE">
        <w:rPr>
          <w:rtl/>
        </w:rPr>
        <w:t>.</w:t>
      </w:r>
    </w:p>
    <w:p w14:paraId="756A6EA8" w14:textId="77777777" w:rsidR="00932366" w:rsidRDefault="005D0F91"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B460EE4" w14:textId="55B9358F" w:rsidR="003A3978" w:rsidRPr="003A3978" w:rsidRDefault="00C248DB" w:rsidP="00C32D7F">
      <w:pPr>
        <w:pStyle w:val="71f"/>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מומלץ</w:t>
      </w:r>
      <w:r w:rsidR="00C32D7F" w:rsidRPr="00531FBF">
        <w:rPr>
          <w:rtl/>
          <w:lang w:eastAsia="he-IL"/>
        </w:rPr>
        <w:t xml:space="preserve"> כי משרד הפנים יבחן את הצורך בהסדרת אופן ההתקשרות של הרשויות המקומיות בפטור ממכרז, בדומה לנושאים שהוסדרו בתקנות חובת המכרזים בנוגע להתקשרויות דומות שמשרדי הממשלה מבצעים</w:t>
      </w:r>
      <w:r w:rsidR="00B46FDC">
        <w:rPr>
          <w:rtl/>
        </w:rPr>
        <w:t>.</w:t>
      </w:r>
    </w:p>
    <w:p w14:paraId="524E991B" w14:textId="7F27FDFC" w:rsidR="00820AC3" w:rsidRDefault="00C248DB" w:rsidP="00C32D7F">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מומלץ כי משרד הפנים ישקול הוספת כללים בשיתוף הרשויות המקומיות למתן עדיפות לעידוד עסקים קטנים ולהעדפת תוצרת הארץ בהתקשרויות של רשויות מקומיות עם ספקים בהתקשרויות בפטור ממכרז. עוד מומלץ כי הרשויות המקומיות שנבדקו ישקלו קיום הסדרים חברתיים בכל סוגי ההתקשרויות שלהן הנוגעים לעידוד עסקים בשליטת נשים ועסקים קטנים,</w:t>
      </w:r>
      <w:r w:rsidR="00C32D7F">
        <w:rPr>
          <w:rtl/>
        </w:rPr>
        <w:t xml:space="preserve"> לרבות בהתקשרויות בפטור ממכרז. </w:t>
      </w:r>
      <w:r w:rsidR="00C32D7F" w:rsidRPr="00531FBF">
        <w:rPr>
          <w:rtl/>
        </w:rPr>
        <w:t>מומלץ כי משרד הפנים יבחן את הצורך במתן עדיפות לעסקים בשליטת נשים גם בהתקשרויות בפטור ממכרז אשר מבצעות הרשויות המקומיות</w:t>
      </w:r>
      <w:r w:rsidR="00B46FDC">
        <w:rPr>
          <w:rFonts w:hint="cs"/>
          <w:rtl/>
        </w:rPr>
        <w:t>.</w:t>
      </w:r>
    </w:p>
    <w:p w14:paraId="3C47A51B" w14:textId="77777777" w:rsidR="00820AC3" w:rsidRDefault="00820AC3">
      <w:pPr>
        <w:bidi w:val="0"/>
        <w:spacing w:after="200" w:line="276" w:lineRule="auto"/>
        <w:rPr>
          <w:rFonts w:ascii="Tahoma" w:hAnsi="Tahoma" w:cs="Tahoma"/>
          <w:color w:val="0D0D0D" w:themeColor="text1" w:themeTint="F2"/>
          <w:sz w:val="18"/>
          <w:szCs w:val="18"/>
          <w:rtl/>
        </w:rPr>
      </w:pPr>
      <w:r>
        <w:rPr>
          <w:rtl/>
        </w:rPr>
        <w:br w:type="page"/>
      </w:r>
    </w:p>
    <w:p w14:paraId="7464D8C9" w14:textId="61516824" w:rsidR="00C32D7F" w:rsidRDefault="00351AD0" w:rsidP="00C32D7F">
      <w:pPr>
        <w:pStyle w:val="71f"/>
      </w:pPr>
      <w:r w:rsidRPr="00003EBB">
        <w:rPr>
          <w:noProof/>
        </w:rPr>
        <w:lastRenderedPageBreak/>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לאור השונות הקיימת באופן שבו נושא הפנייה לספקים להתקשרות בפטור ממכרז נעשה בכל רשות ורשות, מומלץ כי משרד הפנים, בהתייעצות עם הרשויות המקומיות, ייתן דעתו על הנושא ויפעל להסדרת הליך ההתקשרות בפטור ממכרז מתחילתו, עת הרשויות המקומיות פונות לקבלת הצעות מחיר מספקים, וזאת כפי שהסדיר בחוזר מנכ"ל 8/2016 את נושא הליך ההתקשרות בפטור ממכרז מתוקף תקנה 3(8).</w:t>
      </w:r>
    </w:p>
    <w:p w14:paraId="69ED179F" w14:textId="447350F8" w:rsidR="00CA4CCD" w:rsidRDefault="00CA4CCD" w:rsidP="00C32D7F">
      <w:pPr>
        <w:pStyle w:val="71f"/>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 xml:space="preserve">מומלץ כי עיריות הוד השרון ומעלות תרשיחא והמועצה המקומית רכסים ישקלו לקבוע נוהל המחייב לתעד את הניסיון המצטבר שלהן בעבודה מול ספקים ולשלבו בהליכי </w:t>
      </w:r>
      <w:r w:rsidR="00C32D7F" w:rsidRPr="00C32D7F">
        <w:rPr>
          <w:rtl/>
        </w:rPr>
        <w:t>הרכש</w:t>
      </w:r>
      <w:r w:rsidR="00C32D7F" w:rsidRPr="00531FBF">
        <w:rPr>
          <w:rtl/>
        </w:rPr>
        <w:t xml:space="preserve"> שלהן. עוד מומלץ כי רשויות מקומיות אלו יקבעו נהלים לעדכון הדדי בין המחלקות ברשות בנוגע לטיב השירות שהתקבל מהספקים שאיתם התקשרו ולאפשרות גריעת ספקים אשר השירות אשר נתנו לא נמצא משביע רצון, מרשימות הספקים שלהן.</w:t>
      </w:r>
    </w:p>
    <w:p w14:paraId="1F7D56C2" w14:textId="77389E7A" w:rsidR="00CA4CCD" w:rsidRDefault="00CA4CCD" w:rsidP="00C32D7F">
      <w:pPr>
        <w:pStyle w:val="71f"/>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על הרשויות המקומיות שנבדקו לפעול על פי ההוראות שנקבעו בתקנות המכרזים ובחוזר מנכ"ל משרד הפנים 8/2016 ולהעלות לאתרים שלהן במרשתת מידע כנדרש. על עיריות מעלות תרשיחא וקריית גת, המועצה האזורית הגלבוע והמועצה המקומית</w:t>
      </w:r>
      <w:r w:rsidR="00C32D7F">
        <w:rPr>
          <w:rtl/>
        </w:rPr>
        <w:t xml:space="preserve"> רכסים לפרסם באתרי המרשתת שלהן </w:t>
      </w:r>
      <w:r w:rsidR="00C32D7F" w:rsidRPr="00531FBF">
        <w:rPr>
          <w:rtl/>
        </w:rPr>
        <w:t>את החלטות ועדת ההתקשרויות בתוך 15 ימים ממועד קבלתן. על עיריית קריית גת, המועצה האזורית הגלבוע והמועצה המקומית רכסים להעלות לאתרים שלהן במרשתת רשימות מציעים מעודכנות. על המועצה האזורית הגלבוע והמועצה המקומית רכסים לפרסם באתריהן במרשתת דוח שנתי של המציעים שהתקשרו עימם, ובכלל זה סוג העבודה וההיקף הכספי של כל התקשרות</w:t>
      </w:r>
      <w:r w:rsidRPr="00003EBB">
        <w:rPr>
          <w:rtl/>
        </w:rPr>
        <w:t>.</w:t>
      </w:r>
    </w:p>
    <w:p w14:paraId="72F9CA4D" w14:textId="1691AEDA" w:rsidR="00CA4CCD" w:rsidRDefault="00CA4CCD" w:rsidP="00C32D7F">
      <w:pPr>
        <w:pStyle w:val="71f"/>
        <w:rPr>
          <w:rtl/>
        </w:rPr>
      </w:pPr>
      <w:r w:rsidRPr="00003EBB">
        <w:rPr>
          <w:noProof/>
        </w:rPr>
        <w:drawing>
          <wp:anchor distT="0" distB="3600450" distL="114300" distR="114300" simplePos="0" relativeHeight="252054016" behindDoc="0" locked="0" layoutInCell="1" allowOverlap="1" wp14:anchorId="73D2E74D" wp14:editId="7ECA11B2">
            <wp:simplePos x="0" y="0"/>
            <wp:positionH relativeFrom="column">
              <wp:posOffset>4539615</wp:posOffset>
            </wp:positionH>
            <wp:positionV relativeFrom="paragraph">
              <wp:posOffset>28575</wp:posOffset>
            </wp:positionV>
            <wp:extent cx="140335" cy="161925"/>
            <wp:effectExtent l="0" t="0" r="0" b="952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C32D7F">
        <w:rPr>
          <w:rtl/>
        </w:rPr>
        <w:t xml:space="preserve"> </w:t>
      </w:r>
      <w:r w:rsidR="00C32D7F" w:rsidRPr="00531FBF">
        <w:rPr>
          <w:rtl/>
        </w:rPr>
        <w:t>מומלץ כי עיריות הוד השרון, מעלות תרשיחא וקריית גת והמועצה המקומית רכסים יתקשרו באמצעות מכרזים כאשר הן מזמינות לאורך שנים מספקים שירות בהיקף מצטבר שנתי הגדול מתקרת הפטור</w:t>
      </w:r>
      <w:r w:rsidRPr="00003EBB">
        <w:rPr>
          <w:rtl/>
        </w:rPr>
        <w:t>.</w:t>
      </w:r>
    </w:p>
    <w:p w14:paraId="15851222" w14:textId="14BBAA31" w:rsidR="00CA4CCD" w:rsidRDefault="00CA4CCD" w:rsidP="00C32D7F">
      <w:pPr>
        <w:pStyle w:val="71f"/>
        <w:rPr>
          <w:rtl/>
        </w:rPr>
      </w:pPr>
      <w:r w:rsidRPr="00003EBB">
        <w:rPr>
          <w:noProof/>
        </w:rPr>
        <w:drawing>
          <wp:anchor distT="0" distB="3600450" distL="114300" distR="114300" simplePos="0" relativeHeight="252056064" behindDoc="0" locked="0" layoutInCell="1" allowOverlap="1" wp14:anchorId="2D155707" wp14:editId="2F897FF6">
            <wp:simplePos x="0" y="0"/>
            <wp:positionH relativeFrom="column">
              <wp:posOffset>4539615</wp:posOffset>
            </wp:positionH>
            <wp:positionV relativeFrom="paragraph">
              <wp:posOffset>28575</wp:posOffset>
            </wp:positionV>
            <wp:extent cx="140335" cy="161925"/>
            <wp:effectExtent l="0" t="0" r="0" b="952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D7F" w:rsidRPr="00531FBF">
        <w:rPr>
          <w:rtl/>
        </w:rPr>
        <w:t>לאור השימוש הגובר באמצעים מקוונים - הן ככלי להידוק הקשר עם התושבים והן ככלי להגברת יעילות פעולת הרשות המקומית, וביתר שאת מאז פרוץ מגפת הקורונה, מומלץ להרחיב את השימוש של הרשויות המקומיות בכלים מקוונים בכלל ובכלים לניהול תהליכי התקשרות בפרט</w:t>
      </w:r>
      <w:r w:rsidRPr="00B958EB">
        <w:rPr>
          <w:rtl/>
        </w:rPr>
        <w:t>.</w:t>
      </w:r>
    </w:p>
    <w:p w14:paraId="41676D62" w14:textId="7E4C1872" w:rsidR="000D7C97" w:rsidRDefault="000D7C97" w:rsidP="00935210">
      <w:pPr>
        <w:pStyle w:val="71f"/>
        <w:rPr>
          <w:rtl/>
        </w:rPr>
      </w:pPr>
    </w:p>
    <w:p w14:paraId="5032E1D2" w14:textId="77777777" w:rsidR="003955CD" w:rsidRDefault="003955CD" w:rsidP="00935210">
      <w:pPr>
        <w:pStyle w:val="71f"/>
        <w:rPr>
          <w:rtl/>
        </w:rPr>
      </w:pPr>
    </w:p>
    <w:p w14:paraId="7558D74E" w14:textId="77777777" w:rsidR="003955CD" w:rsidRDefault="003955CD" w:rsidP="00935210">
      <w:pPr>
        <w:pStyle w:val="71f"/>
        <w:rPr>
          <w:rtl/>
        </w:rPr>
      </w:pPr>
    </w:p>
    <w:p w14:paraId="3CFABE3B" w14:textId="77777777" w:rsidR="003955CD" w:rsidRDefault="003955CD" w:rsidP="00935210">
      <w:pPr>
        <w:pStyle w:val="71f"/>
        <w:rPr>
          <w:rtl/>
        </w:rPr>
      </w:pPr>
    </w:p>
    <w:p w14:paraId="6BEDC3E4" w14:textId="77777777" w:rsidR="003955CD" w:rsidRDefault="003955CD" w:rsidP="00935210">
      <w:pPr>
        <w:pStyle w:val="71f"/>
        <w:rPr>
          <w:rtl/>
        </w:rPr>
      </w:pPr>
    </w:p>
    <w:p w14:paraId="3E464984" w14:textId="77777777" w:rsidR="003955CD" w:rsidRDefault="003955CD" w:rsidP="00935210">
      <w:pPr>
        <w:pStyle w:val="71f"/>
        <w:rPr>
          <w:rtl/>
        </w:rPr>
      </w:pPr>
    </w:p>
    <w:p w14:paraId="0F1C9E9E" w14:textId="77777777" w:rsidR="003955CD" w:rsidRDefault="003955CD" w:rsidP="00935210">
      <w:pPr>
        <w:pStyle w:val="71f"/>
        <w:rPr>
          <w:rtl/>
        </w:rPr>
      </w:pPr>
    </w:p>
    <w:p w14:paraId="3FCB99A4" w14:textId="77777777" w:rsidR="003955CD" w:rsidRDefault="003955CD" w:rsidP="00935210">
      <w:pPr>
        <w:pStyle w:val="71f"/>
        <w:rPr>
          <w:rtl/>
        </w:rPr>
      </w:pPr>
    </w:p>
    <w:p w14:paraId="137183EF" w14:textId="6731BCD5" w:rsidR="005D5B16" w:rsidRPr="00531FBF" w:rsidRDefault="00D94678" w:rsidP="008524F8">
      <w:pPr>
        <w:pStyle w:val="71f"/>
        <w:spacing w:line="180" w:lineRule="exact"/>
        <w:rPr>
          <w:rtl/>
        </w:rPr>
      </w:pPr>
      <w:r>
        <w:rPr>
          <w:rFonts w:eastAsiaTheme="minorEastAsia"/>
          <w:noProof/>
          <w:color w:val="2A2AA6"/>
          <w:sz w:val="42"/>
          <w:szCs w:val="42"/>
          <w:rtl/>
          <w:lang w:val="he-IL"/>
        </w:rPr>
        <w:lastRenderedPageBreak/>
        <w:drawing>
          <wp:anchor distT="0" distB="0" distL="114300" distR="114300" simplePos="0" relativeHeight="252137984" behindDoc="0" locked="0" layoutInCell="1" allowOverlap="1" wp14:anchorId="61FD0C1F" wp14:editId="4F7FA616">
            <wp:simplePos x="0" y="0"/>
            <wp:positionH relativeFrom="column">
              <wp:posOffset>210820</wp:posOffset>
            </wp:positionH>
            <wp:positionV relativeFrom="paragraph">
              <wp:posOffset>754380</wp:posOffset>
            </wp:positionV>
            <wp:extent cx="4319270" cy="2971800"/>
            <wp:effectExtent l="0" t="0" r="508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25">
                      <a:extLst>
                        <a:ext uri="{28A0092B-C50C-407E-A947-70E740481C1C}">
                          <a14:useLocalDpi xmlns:a14="http://schemas.microsoft.com/office/drawing/2010/main" val="0"/>
                        </a:ext>
                      </a:extLst>
                    </a:blip>
                    <a:srcRect l="14111" t="23838" r="21167" b="44683"/>
                    <a:stretch/>
                  </pic:blipFill>
                  <pic:spPr bwMode="auto">
                    <a:xfrm>
                      <a:off x="0" y="0"/>
                      <a:ext cx="431927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3304D85E">
                <wp:simplePos x="0" y="0"/>
                <wp:positionH relativeFrom="column">
                  <wp:posOffset>274320</wp:posOffset>
                </wp:positionH>
                <wp:positionV relativeFrom="paragraph">
                  <wp:posOffset>120650</wp:posOffset>
                </wp:positionV>
                <wp:extent cx="4428490" cy="4800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80060"/>
                        </a:xfrm>
                        <a:prstGeom prst="rect">
                          <a:avLst/>
                        </a:prstGeom>
                        <a:solidFill>
                          <a:srgbClr val="F05260"/>
                        </a:solidFill>
                        <a:ln w="9525">
                          <a:noFill/>
                          <a:miter lim="800000"/>
                          <a:headEnd/>
                          <a:tailEnd/>
                        </a:ln>
                      </wps:spPr>
                      <wps:txbx>
                        <w:txbxContent>
                          <w:p w14:paraId="663536B0" w14:textId="5DB57CD3" w:rsidR="000D7C97" w:rsidRPr="00A47335" w:rsidRDefault="00D94678" w:rsidP="00D94678">
                            <w:pPr>
                              <w:pStyle w:val="71f7"/>
                              <w:spacing w:before="0"/>
                              <w:rPr>
                                <w:b w:val="0"/>
                                <w:bCs/>
                              </w:rPr>
                            </w:pPr>
                            <w:r w:rsidRPr="00531FBF">
                              <w:rPr>
                                <w:bCs/>
                                <w:rtl/>
                              </w:rPr>
                              <w:t>התפלגות ההתקשרויות ברשויות המקומיות שנבדקו*,</w:t>
                            </w:r>
                            <w:r w:rsidR="004624B2">
                              <w:rPr>
                                <w:bCs/>
                                <w:rtl/>
                              </w:rPr>
                              <w:br/>
                            </w:r>
                            <w:r w:rsidRPr="00531FBF">
                              <w:rPr>
                                <w:bCs/>
                                <w:rtl/>
                              </w:rPr>
                              <w:t>לפי סוג התקשרות, 2018 - 2020 (</w:t>
                            </w:r>
                            <w:r w:rsidR="009114D5" w:rsidRPr="009114D5">
                              <w:rPr>
                                <w:bCs/>
                                <w:rtl/>
                              </w:rPr>
                              <w:t>במספרים ובאחוזים</w:t>
                            </w:r>
                            <w:r w:rsidRPr="00531FBF">
                              <w:rPr>
                                <w:bCs/>
                                <w:rtl/>
                              </w:rPr>
                              <w:t>)</w:t>
                            </w:r>
                            <w:r>
                              <w:rPr>
                                <w:rFonts w:hint="cs"/>
                                <w:bCs/>
                                <w:rtl/>
                              </w:rPr>
                              <w:t xml:space="preserve"> </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7D6507C2" id="_x0000_s1028" type="#_x0000_t202" style="position:absolute;left:0;text-align:left;margin-left:21.6pt;margin-top:9.5pt;width:348.7pt;height:37.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" fillcolor="#f05260" stroked="f">
                <v:textbox>
                  <w:txbxContent>
                    <w:p w14:paraId="663536B0" w14:textId="5DB57CD3" w:rsidR="000D7C97" w:rsidRPr="00A47335" w:rsidRDefault="00D94678" w:rsidP="00D94678">
                      <w:pPr>
                        <w:pStyle w:val="71f7"/>
                        <w:spacing w:before="0"/>
                        <w:rPr>
                          <w:b w:val="0"/>
                          <w:bCs/>
                        </w:rPr>
                      </w:pPr>
                      <w:r w:rsidRPr="00531FBF">
                        <w:rPr>
                          <w:bCs/>
                          <w:rtl/>
                        </w:rPr>
                        <w:t>התפלגות ההתקשרויות ברשויות המקומיות שנבדקו*,</w:t>
                      </w:r>
                      <w:r w:rsidR="004624B2">
                        <w:rPr>
                          <w:bCs/>
                          <w:rtl/>
                        </w:rPr>
                        <w:br/>
                      </w:r>
                      <w:r w:rsidRPr="00531FBF">
                        <w:rPr>
                          <w:bCs/>
                          <w:rtl/>
                        </w:rPr>
                        <w:t>לפי סוג התקשרות, 2018 - 2020 (</w:t>
                      </w:r>
                      <w:r w:rsidR="009114D5" w:rsidRPr="009114D5">
                        <w:rPr>
                          <w:bCs/>
                          <w:rtl/>
                        </w:rPr>
                        <w:t>במספרים ובאחוזים</w:t>
                      </w:r>
                      <w:r w:rsidRPr="00531FBF">
                        <w:rPr>
                          <w:bCs/>
                          <w:rtl/>
                        </w:rPr>
                        <w:t>)</w:t>
                      </w:r>
                      <w:r>
                        <w:rPr>
                          <w:rFonts w:hint="cs"/>
                          <w:bCs/>
                          <w:rtl/>
                        </w:rPr>
                        <w:t xml:space="preserve"> </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2B067D62">
            <wp:simplePos x="0" y="0"/>
            <wp:positionH relativeFrom="column">
              <wp:posOffset>0</wp:posOffset>
            </wp:positionH>
            <wp:positionV relativeFrom="paragraph">
              <wp:posOffset>44450</wp:posOffset>
            </wp:positionV>
            <wp:extent cx="4787900" cy="76200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762000"/>
                    </a:xfrm>
                    <a:prstGeom prst="rect">
                      <a:avLst/>
                    </a:prstGeom>
                  </pic:spPr>
                </pic:pic>
              </a:graphicData>
            </a:graphic>
            <wp14:sizeRelV relativeFrom="margin">
              <wp14:pctHeight>0</wp14:pctHeight>
            </wp14:sizeRelV>
          </wp:anchor>
        </w:drawing>
      </w:r>
      <w:r w:rsidR="005D5B16" w:rsidRPr="00531FBF">
        <w:rPr>
          <w:rtl/>
        </w:rPr>
        <w:t>על פי נתוני הרשויות המקומיות שנבדקו, בעיבוד משרד מבקר המדינה.</w:t>
      </w:r>
    </w:p>
    <w:p w14:paraId="04DF13A9" w14:textId="183B1661" w:rsidR="005D5B16" w:rsidRPr="00531FBF" w:rsidRDefault="005D5B16" w:rsidP="00CE28FD">
      <w:pPr>
        <w:pStyle w:val="718"/>
        <w:spacing w:before="0" w:after="480"/>
        <w:ind w:left="284" w:hanging="284"/>
        <w:rPr>
          <w:rtl/>
        </w:rPr>
      </w:pPr>
      <w:r w:rsidRPr="00531FBF">
        <w:rPr>
          <w:rtl/>
        </w:rPr>
        <w:t>*</w:t>
      </w:r>
      <w:r w:rsidR="00CB472E">
        <w:rPr>
          <w:rtl/>
        </w:rPr>
        <w:tab/>
      </w:r>
      <w:r w:rsidR="00CB472E" w:rsidRPr="00CB472E">
        <w:rPr>
          <w:rtl/>
        </w:rPr>
        <w:t>המספרים בכל תיבה מציינים את מספר ההתקשרויות מסוג זה לתקופה האמורה ואת שיעורן מכלל ההתקשרויות</w:t>
      </w:r>
      <w:r w:rsidRPr="00531FBF">
        <w:rPr>
          <w:rtl/>
        </w:rPr>
        <w:t>.</w:t>
      </w:r>
    </w:p>
    <w:p w14:paraId="5E9C70D4" w14:textId="2915D6CC"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5A6E9B06" w14:textId="77777777" w:rsidR="00D94678" w:rsidRPr="00531FBF" w:rsidRDefault="00D94678" w:rsidP="00D94678">
      <w:pPr>
        <w:pStyle w:val="7190"/>
        <w:rPr>
          <w:rtl/>
        </w:rPr>
      </w:pPr>
      <w:r w:rsidRPr="00531FBF">
        <w:rPr>
          <w:rtl/>
        </w:rPr>
        <w:t xml:space="preserve">מטרתו המרכזית של המכרז הפומבי היא </w:t>
      </w:r>
      <w:r w:rsidRPr="00D94678">
        <w:rPr>
          <w:rtl/>
        </w:rPr>
        <w:t>לאפשר</w:t>
      </w:r>
      <w:r w:rsidRPr="00531FBF">
        <w:rPr>
          <w:rtl/>
        </w:rPr>
        <w:t xml:space="preserve"> לרשות המינהלית להשיג את ההצעה המיטבית מבחינת איכות ומחיר, תוך שמירה על כללי תחרות הוגנת ומתן הזדמנות שווה לכול. המחוקק איזן בין חובת המכרז הפומבי - דרך המלך להתקשרותן של הרשויות המקומיות עם ספקים - לבין הצורך להעניק לרשויות המקומיות גמישות תפקודית ותפעולית עת הן </w:t>
      </w:r>
      <w:r w:rsidRPr="00D94678">
        <w:rPr>
          <w:rtl/>
        </w:rPr>
        <w:t>מתקשרות</w:t>
      </w:r>
      <w:r w:rsidRPr="00531FBF">
        <w:rPr>
          <w:rtl/>
        </w:rPr>
        <w:t xml:space="preserve"> עם ספקים. בהתאם לכך נקבעו הסדרים בחקיקה המאפשרים לרשויות המקומיות להתקשר בפטור ממכרז עם ספקים בלי לקיים מכרז פומבי.</w:t>
      </w:r>
    </w:p>
    <w:p w14:paraId="128319F9" w14:textId="77777777" w:rsidR="00D84E5B" w:rsidRDefault="00D84E5B">
      <w:pPr>
        <w:bidi w:val="0"/>
        <w:spacing w:after="200" w:line="276" w:lineRule="auto"/>
        <w:rPr>
          <w:rFonts w:ascii="Tahoma" w:hAnsi="Tahoma" w:cs="Tahoma"/>
          <w:color w:val="0D0D0D" w:themeColor="text1" w:themeTint="F2"/>
          <w:sz w:val="18"/>
          <w:szCs w:val="18"/>
        </w:rPr>
      </w:pPr>
      <w:r>
        <w:rPr>
          <w:rtl/>
        </w:rPr>
        <w:br w:type="page"/>
      </w:r>
    </w:p>
    <w:p w14:paraId="060F1B99" w14:textId="4680434C" w:rsidR="00F27A70" w:rsidRDefault="00D94678" w:rsidP="00DA1E86">
      <w:pPr>
        <w:pStyle w:val="7190"/>
      </w:pPr>
      <w:r w:rsidRPr="00531FBF">
        <w:rPr>
          <w:rtl/>
        </w:rPr>
        <w:lastRenderedPageBreak/>
        <w:t>הביקורת העלתה ליקויים בהתקשרויות הרשויות המקומיות שנבדקו. בין היתר, הרשויות לא פעלו על פי הנהלים שהן קבעו להתקשרות בפטור ממכרז; לרשותן לא עמדו רשימות ספקים שאיפשרו להן פנייה שוויונית לספקים; והן התקשרו עם ספקים בפטור ממכרז גם כאשר ההתקשרות חרגה מתקרת הפטור המותרת. כמו כן, התקשרויות עם ספקים הוגדלו בפטור ממכרז שלא כדין, ועבודות שניתן היה לראותן כעבודה אחת פוצלו לכמה התקשרויות ולא בוצעו במסגרת מכרז פומבי. יצוין לחיוב כי הרשויות המקומיות שנבדקו התמודדו בדרכים שונות עם המצבים שלגביהם לא נקבעה הסדרה, בין היתר באמצעות קביעת נהלים פנימיים להסדרת התקשרותן עם ספקים בפטור ממכרז. על הרשויות המקומיות לפעול לתיקון הליקויים ולבחינת ההמלצות שעלו בדוח</w:t>
      </w:r>
      <w:r w:rsidR="00804E15" w:rsidRPr="00804E15">
        <w:rPr>
          <w:rFonts w:hint="cs"/>
          <w:rtl/>
        </w:rPr>
        <w:t>.</w:t>
      </w:r>
    </w:p>
    <w:sectPr w:rsidR="00F27A70"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5A117178" w:rsidR="00F73EE0" w:rsidRDefault="00F73EE0" w:rsidP="00965A20">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AC2D439" w:rsidR="00F73EE0" w:rsidRDefault="00F73EE0" w:rsidP="00965A20">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7AB9D0C1" w14:textId="77777777" w:rsidR="0092642E" w:rsidRPr="0092642E" w:rsidRDefault="0092642E" w:rsidP="0092642E">
      <w:pPr>
        <w:pStyle w:val="715"/>
        <w:rPr>
          <w:rtl/>
        </w:rPr>
      </w:pPr>
      <w:r w:rsidRPr="0092642E">
        <w:rPr>
          <w:rStyle w:val="FootnoteReference"/>
          <w:vertAlign w:val="baseline"/>
        </w:rPr>
        <w:footnoteRef/>
      </w:r>
      <w:r w:rsidRPr="0092642E">
        <w:rPr>
          <w:rtl/>
        </w:rPr>
        <w:t xml:space="preserve"> </w:t>
      </w:r>
      <w:r w:rsidRPr="0092642E">
        <w:rPr>
          <w:rtl/>
        </w:rPr>
        <w:tab/>
        <w:t>במהלך הביקורת נאספו נתונים לגבי אופן התקשרות הרשויות המקומיות שנבדקו עם ספקים ועם נותני שירות בשנים 2018 - 2021 בסכומים הגבוהים מ-50,000 ש"ח בשנה, ונבדקו תחומים נבחרים שבהם בוצעו התקשרויות פטורות ממכרז.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52E269C6"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E7FCF">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E7FCF">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w:t>
                          </w:r>
                          <w:r w:rsidR="00EE7F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52E269C6"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E7FCF">
                      <w:rPr>
                        <w:rFonts w:ascii="Tahoma" w:hAnsi="Tahoma" w:cs="Tahoma" w:hint="cs"/>
                        <w:color w:val="0D0D0D" w:themeColor="text1" w:themeTint="F2"/>
                        <w:sz w:val="16"/>
                        <w:szCs w:val="16"/>
                        <w:rtl/>
                      </w:rPr>
                      <w:t xml:space="preserve">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E7FCF">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w:t>
                    </w:r>
                    <w:r w:rsidR="00EE7FC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3B52322"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7076D" w:rsidRPr="0037076D">
                            <w:rPr>
                              <w:rFonts w:ascii="Tahoma" w:hAnsi="Tahoma" w:cs="Tahoma"/>
                              <w:color w:val="0D0D0D" w:themeColor="text1" w:themeTint="F2"/>
                              <w:sz w:val="16"/>
                              <w:szCs w:val="16"/>
                              <w:rtl/>
                            </w:rPr>
                            <w:t>התקשרויות הרשויות המקומיות בפטור ממכרז</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13B52322"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37076D" w:rsidRPr="0037076D">
                      <w:rPr>
                        <w:rFonts w:ascii="Tahoma" w:hAnsi="Tahoma" w:cs="Tahoma"/>
                        <w:color w:val="0D0D0D" w:themeColor="text1" w:themeTint="F2"/>
                        <w:sz w:val="16"/>
                        <w:szCs w:val="16"/>
                        <w:rtl/>
                      </w:rPr>
                      <w:t>התקשרויות הרשויות המקומיות בפטור ממכרז</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74F63C89"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A1E86">
                            <w:rPr>
                              <w:rFonts w:hint="cs"/>
                              <w:rtl/>
                            </w:rPr>
                            <w:t xml:space="preserve"> </w:t>
                          </w:r>
                          <w:r w:rsidR="00DA1E86" w:rsidRPr="00FA1816">
                            <w:rPr>
                              <w:rFonts w:ascii="Tahoma" w:hAnsi="Tahoma" w:cs="Tahoma" w:hint="cs"/>
                              <w:sz w:val="24"/>
                              <w:szCs w:val="24"/>
                              <w:rtl/>
                            </w:rPr>
                            <w:t>תקציר</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sidR="0037076D" w:rsidRPr="0037076D">
                            <w:rPr>
                              <w:rFonts w:ascii="Tahoma" w:hAnsi="Tahoma" w:cs="Tahoma"/>
                              <w:b/>
                              <w:bCs/>
                              <w:rtl/>
                            </w:rPr>
                            <w:t>התקשרויות הרשויות המקומיות בפטור ממכרז</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8"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74F63C89"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DA1E86">
                      <w:rPr>
                        <w:rFonts w:hint="cs"/>
                        <w:rtl/>
                      </w:rPr>
                      <w:t xml:space="preserve"> </w:t>
                    </w:r>
                    <w:r w:rsidR="00DA1E86" w:rsidRPr="00FA1816">
                      <w:rPr>
                        <w:rFonts w:ascii="Tahoma" w:hAnsi="Tahoma" w:cs="Tahoma" w:hint="cs"/>
                        <w:sz w:val="24"/>
                        <w:szCs w:val="24"/>
                        <w:rtl/>
                      </w:rPr>
                      <w:t>תקציר</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sidR="0037076D" w:rsidRPr="0037076D">
                      <w:rPr>
                        <w:rFonts w:ascii="Tahoma" w:hAnsi="Tahoma" w:cs="Tahoma"/>
                        <w:b/>
                        <w:bCs/>
                        <w:rtl/>
                      </w:rPr>
                      <w:t>התקשרויות הרשויות המקומיות בפטור ממכרז</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0CE474F4">
              <wp:simplePos x="0" y="0"/>
              <wp:positionH relativeFrom="column">
                <wp:posOffset>274320</wp:posOffset>
              </wp:positionH>
              <wp:positionV relativeFrom="paragraph">
                <wp:posOffset>356235</wp:posOffset>
              </wp:positionV>
              <wp:extent cx="368617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59080"/>
                      </a:xfrm>
                      <a:prstGeom prst="rect">
                        <a:avLst/>
                      </a:prstGeom>
                      <a:solidFill>
                        <a:srgbClr val="FFFFFF"/>
                      </a:solidFill>
                      <a:ln w="9525">
                        <a:solidFill>
                          <a:schemeClr val="bg1"/>
                        </a:solidFill>
                        <a:miter lim="800000"/>
                        <a:headEnd/>
                        <a:tailEnd/>
                      </a:ln>
                    </wps:spPr>
                    <wps:txbx>
                      <w:txbxContent>
                        <w:p w14:paraId="17F15557" w14:textId="5E365B9F"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E7FCF">
                            <w:rPr>
                              <w:rFonts w:ascii="Tahoma" w:hAnsi="Tahoma" w:cs="Tahoma" w:hint="cs"/>
                              <w:color w:val="0D0D0D" w:themeColor="text1" w:themeTint="F2"/>
                              <w:sz w:val="16"/>
                              <w:szCs w:val="16"/>
                              <w:rtl/>
                            </w:rPr>
                            <w:t>דוח על הביקורת בשלטון המקומי</w:t>
                          </w:r>
                          <w:r w:rsidR="00EE7FCF"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D523C" id="_x0000_t202" coordsize="21600,21600" o:spt="202" path="m,l,21600r21600,l21600,xe">
              <v:stroke joinstyle="miter"/>
              <v:path gradientshapeok="t" o:connecttype="rect"/>
            </v:shapetype>
            <v:shape id="_x0000_s1039" type="#_x0000_t202" style="position:absolute;left:0;text-align:left;margin-left:21.6pt;margin-top:28.05pt;width:290.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" strokecolor="white [3212]">
              <v:textbox>
                <w:txbxContent>
                  <w:p w14:paraId="17F15557" w14:textId="5E365B9F"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E7FCF">
                      <w:rPr>
                        <w:rFonts w:ascii="Tahoma" w:hAnsi="Tahoma" w:cs="Tahoma" w:hint="cs"/>
                        <w:color w:val="0D0D0D" w:themeColor="text1" w:themeTint="F2"/>
                        <w:sz w:val="16"/>
                        <w:szCs w:val="16"/>
                        <w:rtl/>
                      </w:rPr>
                      <w:t>דוח על הביקורת בשלטון המקומי</w:t>
                    </w:r>
                    <w:r w:rsidR="00EE7FCF"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FF61CCF">
          <wp:simplePos x="0" y="0"/>
          <wp:positionH relativeFrom="column">
            <wp:posOffset>-59055</wp:posOffset>
          </wp:positionH>
          <wp:positionV relativeFrom="paragraph">
            <wp:posOffset>345440</wp:posOffset>
          </wp:positionV>
          <wp:extent cx="343535" cy="240030"/>
          <wp:effectExtent l="0" t="0" r="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41.7pt;height:141.7pt" o:bullet="t">
        <v:imagedata r:id="rId1" o:title="זכוכית מגדלת5"/>
      </v:shape>
    </w:pict>
  </w:numPicBullet>
  <w:abstractNum w:abstractNumId="0" w15:restartNumberingAfterBreak="0">
    <w:nsid w:val="04AB3173"/>
    <w:multiLevelType w:val="hybridMultilevel"/>
    <w:tmpl w:val="F0625EC4"/>
    <w:lvl w:ilvl="0" w:tplc="B6B618BA">
      <w:start w:val="1"/>
      <w:numFmt w:val="bullet"/>
      <w:lvlText w:val=""/>
      <w:lvlJc w:val="left"/>
      <w:pPr>
        <w:ind w:left="360" w:hanging="360"/>
      </w:pPr>
      <w:rPr>
        <w:rFonts w:ascii="Symbol" w:hAnsi="Symbol" w:hint="default"/>
      </w:rPr>
    </w:lvl>
    <w:lvl w:ilvl="1" w:tplc="132838FC" w:tentative="1">
      <w:start w:val="1"/>
      <w:numFmt w:val="bullet"/>
      <w:lvlText w:val="o"/>
      <w:lvlJc w:val="left"/>
      <w:pPr>
        <w:ind w:left="1080" w:hanging="360"/>
      </w:pPr>
      <w:rPr>
        <w:rFonts w:ascii="Courier New" w:hAnsi="Courier New" w:cs="Courier New" w:hint="default"/>
      </w:rPr>
    </w:lvl>
    <w:lvl w:ilvl="2" w:tplc="742EA9F2" w:tentative="1">
      <w:start w:val="1"/>
      <w:numFmt w:val="bullet"/>
      <w:lvlText w:val=""/>
      <w:lvlJc w:val="left"/>
      <w:pPr>
        <w:ind w:left="1800" w:hanging="360"/>
      </w:pPr>
      <w:rPr>
        <w:rFonts w:ascii="Wingdings" w:hAnsi="Wingdings" w:hint="default"/>
      </w:rPr>
    </w:lvl>
    <w:lvl w:ilvl="3" w:tplc="56300426" w:tentative="1">
      <w:start w:val="1"/>
      <w:numFmt w:val="bullet"/>
      <w:lvlText w:val=""/>
      <w:lvlJc w:val="left"/>
      <w:pPr>
        <w:ind w:left="2520" w:hanging="360"/>
      </w:pPr>
      <w:rPr>
        <w:rFonts w:ascii="Symbol" w:hAnsi="Symbol" w:hint="default"/>
      </w:rPr>
    </w:lvl>
    <w:lvl w:ilvl="4" w:tplc="67908F58" w:tentative="1">
      <w:start w:val="1"/>
      <w:numFmt w:val="bullet"/>
      <w:lvlText w:val="o"/>
      <w:lvlJc w:val="left"/>
      <w:pPr>
        <w:ind w:left="3240" w:hanging="360"/>
      </w:pPr>
      <w:rPr>
        <w:rFonts w:ascii="Courier New" w:hAnsi="Courier New" w:cs="Courier New" w:hint="default"/>
      </w:rPr>
    </w:lvl>
    <w:lvl w:ilvl="5" w:tplc="B1A80892" w:tentative="1">
      <w:start w:val="1"/>
      <w:numFmt w:val="bullet"/>
      <w:lvlText w:val=""/>
      <w:lvlJc w:val="left"/>
      <w:pPr>
        <w:ind w:left="3960" w:hanging="360"/>
      </w:pPr>
      <w:rPr>
        <w:rFonts w:ascii="Wingdings" w:hAnsi="Wingdings" w:hint="default"/>
      </w:rPr>
    </w:lvl>
    <w:lvl w:ilvl="6" w:tplc="33E2BA9A" w:tentative="1">
      <w:start w:val="1"/>
      <w:numFmt w:val="bullet"/>
      <w:lvlText w:val=""/>
      <w:lvlJc w:val="left"/>
      <w:pPr>
        <w:ind w:left="4680" w:hanging="360"/>
      </w:pPr>
      <w:rPr>
        <w:rFonts w:ascii="Symbol" w:hAnsi="Symbol" w:hint="default"/>
      </w:rPr>
    </w:lvl>
    <w:lvl w:ilvl="7" w:tplc="55CCFD80" w:tentative="1">
      <w:start w:val="1"/>
      <w:numFmt w:val="bullet"/>
      <w:lvlText w:val="o"/>
      <w:lvlJc w:val="left"/>
      <w:pPr>
        <w:ind w:left="5400" w:hanging="360"/>
      </w:pPr>
      <w:rPr>
        <w:rFonts w:ascii="Courier New" w:hAnsi="Courier New" w:cs="Courier New" w:hint="default"/>
      </w:rPr>
    </w:lvl>
    <w:lvl w:ilvl="8" w:tplc="BB5AF884" w:tentative="1">
      <w:start w:val="1"/>
      <w:numFmt w:val="bullet"/>
      <w:lvlText w:val=""/>
      <w:lvlJc w:val="left"/>
      <w:pPr>
        <w:ind w:left="6120" w:hanging="360"/>
      </w:pPr>
      <w:rPr>
        <w:rFonts w:ascii="Wingdings" w:hAnsi="Wingdings" w:hint="default"/>
      </w:rPr>
    </w:lvl>
  </w:abstractNum>
  <w:abstractNum w:abstractNumId="1" w15:restartNumberingAfterBreak="0">
    <w:nsid w:val="06371391"/>
    <w:multiLevelType w:val="multilevel"/>
    <w:tmpl w:val="6C9AAE0C"/>
    <w:lvl w:ilvl="0">
      <w:start w:val="2"/>
      <w:numFmt w:val="decimal"/>
      <w:lvlText w:val="%1."/>
      <w:lvlJc w:val="left"/>
      <w:pPr>
        <w:ind w:left="340" w:hanging="340"/>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AD41096"/>
    <w:multiLevelType w:val="hybridMultilevel"/>
    <w:tmpl w:val="CC9E7E68"/>
    <w:lvl w:ilvl="0" w:tplc="FA44A7CA">
      <w:start w:val="1"/>
      <w:numFmt w:val="bullet"/>
      <w:lvlText w:val=""/>
      <w:lvlJc w:val="left"/>
      <w:pPr>
        <w:ind w:left="360" w:hanging="360"/>
      </w:pPr>
      <w:rPr>
        <w:rFonts w:ascii="Symbol" w:hAnsi="Symbol" w:hint="default"/>
        <w:lang w:bidi="he-IL"/>
      </w:rPr>
    </w:lvl>
    <w:lvl w:ilvl="1" w:tplc="C09A74DC" w:tentative="1">
      <w:start w:val="1"/>
      <w:numFmt w:val="bullet"/>
      <w:lvlText w:val="o"/>
      <w:lvlJc w:val="left"/>
      <w:pPr>
        <w:ind w:left="1080" w:hanging="360"/>
      </w:pPr>
      <w:rPr>
        <w:rFonts w:ascii="Courier New" w:hAnsi="Courier New" w:cs="Courier New" w:hint="default"/>
      </w:rPr>
    </w:lvl>
    <w:lvl w:ilvl="2" w:tplc="B0C26FB4" w:tentative="1">
      <w:start w:val="1"/>
      <w:numFmt w:val="bullet"/>
      <w:lvlText w:val=""/>
      <w:lvlJc w:val="left"/>
      <w:pPr>
        <w:ind w:left="1800" w:hanging="360"/>
      </w:pPr>
      <w:rPr>
        <w:rFonts w:ascii="Wingdings" w:hAnsi="Wingdings" w:hint="default"/>
      </w:rPr>
    </w:lvl>
    <w:lvl w:ilvl="3" w:tplc="A5485776" w:tentative="1">
      <w:start w:val="1"/>
      <w:numFmt w:val="bullet"/>
      <w:lvlText w:val=""/>
      <w:lvlJc w:val="left"/>
      <w:pPr>
        <w:ind w:left="2520" w:hanging="360"/>
      </w:pPr>
      <w:rPr>
        <w:rFonts w:ascii="Symbol" w:hAnsi="Symbol" w:hint="default"/>
      </w:rPr>
    </w:lvl>
    <w:lvl w:ilvl="4" w:tplc="B62C294A" w:tentative="1">
      <w:start w:val="1"/>
      <w:numFmt w:val="bullet"/>
      <w:lvlText w:val="o"/>
      <w:lvlJc w:val="left"/>
      <w:pPr>
        <w:ind w:left="3240" w:hanging="360"/>
      </w:pPr>
      <w:rPr>
        <w:rFonts w:ascii="Courier New" w:hAnsi="Courier New" w:cs="Courier New" w:hint="default"/>
      </w:rPr>
    </w:lvl>
    <w:lvl w:ilvl="5" w:tplc="478293D4" w:tentative="1">
      <w:start w:val="1"/>
      <w:numFmt w:val="bullet"/>
      <w:lvlText w:val=""/>
      <w:lvlJc w:val="left"/>
      <w:pPr>
        <w:ind w:left="3960" w:hanging="360"/>
      </w:pPr>
      <w:rPr>
        <w:rFonts w:ascii="Wingdings" w:hAnsi="Wingdings" w:hint="default"/>
      </w:rPr>
    </w:lvl>
    <w:lvl w:ilvl="6" w:tplc="9920E018" w:tentative="1">
      <w:start w:val="1"/>
      <w:numFmt w:val="bullet"/>
      <w:lvlText w:val=""/>
      <w:lvlJc w:val="left"/>
      <w:pPr>
        <w:ind w:left="4680" w:hanging="360"/>
      </w:pPr>
      <w:rPr>
        <w:rFonts w:ascii="Symbol" w:hAnsi="Symbol" w:hint="default"/>
      </w:rPr>
    </w:lvl>
    <w:lvl w:ilvl="7" w:tplc="B37C199C" w:tentative="1">
      <w:start w:val="1"/>
      <w:numFmt w:val="bullet"/>
      <w:lvlText w:val="o"/>
      <w:lvlJc w:val="left"/>
      <w:pPr>
        <w:ind w:left="5400" w:hanging="360"/>
      </w:pPr>
      <w:rPr>
        <w:rFonts w:ascii="Courier New" w:hAnsi="Courier New" w:cs="Courier New" w:hint="default"/>
      </w:rPr>
    </w:lvl>
    <w:lvl w:ilvl="8" w:tplc="B5AC2DAA" w:tentative="1">
      <w:start w:val="1"/>
      <w:numFmt w:val="bullet"/>
      <w:lvlText w:val=""/>
      <w:lvlJc w:val="left"/>
      <w:pPr>
        <w:ind w:left="6120" w:hanging="360"/>
      </w:pPr>
      <w:rPr>
        <w:rFonts w:ascii="Wingdings" w:hAnsi="Wingdings" w:hint="default"/>
      </w:r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436B0E"/>
    <w:multiLevelType w:val="multilevel"/>
    <w:tmpl w:val="4240E56A"/>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1C646DF8"/>
    <w:multiLevelType w:val="multilevel"/>
    <w:tmpl w:val="1F50C34E"/>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1D7C4A8E"/>
    <w:multiLevelType w:val="multilevel"/>
    <w:tmpl w:val="6B38A14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3EF57A51"/>
    <w:multiLevelType w:val="multilevel"/>
    <w:tmpl w:val="7E0AD0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435B3AE0"/>
    <w:multiLevelType w:val="hybridMultilevel"/>
    <w:tmpl w:val="CED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479D1A89"/>
    <w:multiLevelType w:val="hybridMultilevel"/>
    <w:tmpl w:val="3A44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2C00"/>
    <w:multiLevelType w:val="multilevel"/>
    <w:tmpl w:val="DD9E775A"/>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52E9784D"/>
    <w:multiLevelType w:val="multilevel"/>
    <w:tmpl w:val="C0A285A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596E1073"/>
    <w:multiLevelType w:val="hybridMultilevel"/>
    <w:tmpl w:val="CE841434"/>
    <w:lvl w:ilvl="0" w:tplc="F93ADF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22261"/>
    <w:multiLevelType w:val="multilevel"/>
    <w:tmpl w:val="7E0AD06C"/>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5B883B1B"/>
    <w:multiLevelType w:val="hybridMultilevel"/>
    <w:tmpl w:val="D2BC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15:restartNumberingAfterBreak="0">
    <w:nsid w:val="6BA44EC8"/>
    <w:multiLevelType w:val="multilevel"/>
    <w:tmpl w:val="CEDA08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6DBF7DBD"/>
    <w:multiLevelType w:val="hybridMultilevel"/>
    <w:tmpl w:val="2040A51A"/>
    <w:lvl w:ilvl="0" w:tplc="4F88AD38">
      <w:start w:val="1"/>
      <w:numFmt w:val="bullet"/>
      <w:lvlText w:val="-"/>
      <w:lvlJc w:val="left"/>
      <w:pPr>
        <w:tabs>
          <w:tab w:val="num" w:pos="720"/>
        </w:tabs>
        <w:ind w:left="720" w:hanging="360"/>
      </w:pPr>
      <w:rPr>
        <w:rFonts w:ascii="Times New Roman" w:hAnsi="Times New Roman" w:hint="default"/>
      </w:rPr>
    </w:lvl>
    <w:lvl w:ilvl="1" w:tplc="E8E413F2" w:tentative="1">
      <w:start w:val="1"/>
      <w:numFmt w:val="bullet"/>
      <w:lvlText w:val="-"/>
      <w:lvlJc w:val="left"/>
      <w:pPr>
        <w:tabs>
          <w:tab w:val="num" w:pos="1440"/>
        </w:tabs>
        <w:ind w:left="1440" w:hanging="360"/>
      </w:pPr>
      <w:rPr>
        <w:rFonts w:ascii="Times New Roman" w:hAnsi="Times New Roman" w:hint="default"/>
      </w:rPr>
    </w:lvl>
    <w:lvl w:ilvl="2" w:tplc="9FC23CEA" w:tentative="1">
      <w:start w:val="1"/>
      <w:numFmt w:val="bullet"/>
      <w:lvlText w:val="-"/>
      <w:lvlJc w:val="left"/>
      <w:pPr>
        <w:tabs>
          <w:tab w:val="num" w:pos="2160"/>
        </w:tabs>
        <w:ind w:left="2160" w:hanging="360"/>
      </w:pPr>
      <w:rPr>
        <w:rFonts w:ascii="Times New Roman" w:hAnsi="Times New Roman" w:hint="default"/>
      </w:rPr>
    </w:lvl>
    <w:lvl w:ilvl="3" w:tplc="627A552E" w:tentative="1">
      <w:start w:val="1"/>
      <w:numFmt w:val="bullet"/>
      <w:lvlText w:val="-"/>
      <w:lvlJc w:val="left"/>
      <w:pPr>
        <w:tabs>
          <w:tab w:val="num" w:pos="2880"/>
        </w:tabs>
        <w:ind w:left="2880" w:hanging="360"/>
      </w:pPr>
      <w:rPr>
        <w:rFonts w:ascii="Times New Roman" w:hAnsi="Times New Roman" w:hint="default"/>
      </w:rPr>
    </w:lvl>
    <w:lvl w:ilvl="4" w:tplc="2A94E89E" w:tentative="1">
      <w:start w:val="1"/>
      <w:numFmt w:val="bullet"/>
      <w:lvlText w:val="-"/>
      <w:lvlJc w:val="left"/>
      <w:pPr>
        <w:tabs>
          <w:tab w:val="num" w:pos="3600"/>
        </w:tabs>
        <w:ind w:left="3600" w:hanging="360"/>
      </w:pPr>
      <w:rPr>
        <w:rFonts w:ascii="Times New Roman" w:hAnsi="Times New Roman" w:hint="default"/>
      </w:rPr>
    </w:lvl>
    <w:lvl w:ilvl="5" w:tplc="B5D6403A" w:tentative="1">
      <w:start w:val="1"/>
      <w:numFmt w:val="bullet"/>
      <w:lvlText w:val="-"/>
      <w:lvlJc w:val="left"/>
      <w:pPr>
        <w:tabs>
          <w:tab w:val="num" w:pos="4320"/>
        </w:tabs>
        <w:ind w:left="4320" w:hanging="360"/>
      </w:pPr>
      <w:rPr>
        <w:rFonts w:ascii="Times New Roman" w:hAnsi="Times New Roman" w:hint="default"/>
      </w:rPr>
    </w:lvl>
    <w:lvl w:ilvl="6" w:tplc="4740E9B2" w:tentative="1">
      <w:start w:val="1"/>
      <w:numFmt w:val="bullet"/>
      <w:lvlText w:val="-"/>
      <w:lvlJc w:val="left"/>
      <w:pPr>
        <w:tabs>
          <w:tab w:val="num" w:pos="5040"/>
        </w:tabs>
        <w:ind w:left="5040" w:hanging="360"/>
      </w:pPr>
      <w:rPr>
        <w:rFonts w:ascii="Times New Roman" w:hAnsi="Times New Roman" w:hint="default"/>
      </w:rPr>
    </w:lvl>
    <w:lvl w:ilvl="7" w:tplc="E572C4CA" w:tentative="1">
      <w:start w:val="1"/>
      <w:numFmt w:val="bullet"/>
      <w:lvlText w:val="-"/>
      <w:lvlJc w:val="left"/>
      <w:pPr>
        <w:tabs>
          <w:tab w:val="num" w:pos="5760"/>
        </w:tabs>
        <w:ind w:left="5760" w:hanging="360"/>
      </w:pPr>
      <w:rPr>
        <w:rFonts w:ascii="Times New Roman" w:hAnsi="Times New Roman" w:hint="default"/>
      </w:rPr>
    </w:lvl>
    <w:lvl w:ilvl="8" w:tplc="321CB80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CB498E"/>
    <w:multiLevelType w:val="hybridMultilevel"/>
    <w:tmpl w:val="1AB61240"/>
    <w:lvl w:ilvl="0" w:tplc="DE1A155C">
      <w:start w:val="1"/>
      <w:numFmt w:val="bullet"/>
      <w:lvlText w:val=""/>
      <w:lvlJc w:val="left"/>
      <w:pPr>
        <w:ind w:left="720" w:hanging="360"/>
      </w:pPr>
      <w:rPr>
        <w:rFonts w:ascii="Symbol" w:hAnsi="Symbol" w:hint="default"/>
      </w:rPr>
    </w:lvl>
    <w:lvl w:ilvl="1" w:tplc="F2E876B4" w:tentative="1">
      <w:start w:val="1"/>
      <w:numFmt w:val="bullet"/>
      <w:lvlText w:val="o"/>
      <w:lvlJc w:val="left"/>
      <w:pPr>
        <w:ind w:left="1440" w:hanging="360"/>
      </w:pPr>
      <w:rPr>
        <w:rFonts w:ascii="Courier New" w:hAnsi="Courier New" w:cs="Courier New" w:hint="default"/>
      </w:rPr>
    </w:lvl>
    <w:lvl w:ilvl="2" w:tplc="699A9568" w:tentative="1">
      <w:start w:val="1"/>
      <w:numFmt w:val="bullet"/>
      <w:lvlText w:val=""/>
      <w:lvlJc w:val="left"/>
      <w:pPr>
        <w:ind w:left="2160" w:hanging="360"/>
      </w:pPr>
      <w:rPr>
        <w:rFonts w:ascii="Wingdings" w:hAnsi="Wingdings" w:hint="default"/>
      </w:rPr>
    </w:lvl>
    <w:lvl w:ilvl="3" w:tplc="4DF04652" w:tentative="1">
      <w:start w:val="1"/>
      <w:numFmt w:val="bullet"/>
      <w:lvlText w:val=""/>
      <w:lvlJc w:val="left"/>
      <w:pPr>
        <w:ind w:left="2880" w:hanging="360"/>
      </w:pPr>
      <w:rPr>
        <w:rFonts w:ascii="Symbol" w:hAnsi="Symbol" w:hint="default"/>
      </w:rPr>
    </w:lvl>
    <w:lvl w:ilvl="4" w:tplc="1C1CB072" w:tentative="1">
      <w:start w:val="1"/>
      <w:numFmt w:val="bullet"/>
      <w:lvlText w:val="o"/>
      <w:lvlJc w:val="left"/>
      <w:pPr>
        <w:ind w:left="3600" w:hanging="360"/>
      </w:pPr>
      <w:rPr>
        <w:rFonts w:ascii="Courier New" w:hAnsi="Courier New" w:cs="Courier New" w:hint="default"/>
      </w:rPr>
    </w:lvl>
    <w:lvl w:ilvl="5" w:tplc="ADE0FE88" w:tentative="1">
      <w:start w:val="1"/>
      <w:numFmt w:val="bullet"/>
      <w:lvlText w:val=""/>
      <w:lvlJc w:val="left"/>
      <w:pPr>
        <w:ind w:left="4320" w:hanging="360"/>
      </w:pPr>
      <w:rPr>
        <w:rFonts w:ascii="Wingdings" w:hAnsi="Wingdings" w:hint="default"/>
      </w:rPr>
    </w:lvl>
    <w:lvl w:ilvl="6" w:tplc="5A5E1E94" w:tentative="1">
      <w:start w:val="1"/>
      <w:numFmt w:val="bullet"/>
      <w:lvlText w:val=""/>
      <w:lvlJc w:val="left"/>
      <w:pPr>
        <w:ind w:left="5040" w:hanging="360"/>
      </w:pPr>
      <w:rPr>
        <w:rFonts w:ascii="Symbol" w:hAnsi="Symbol" w:hint="default"/>
      </w:rPr>
    </w:lvl>
    <w:lvl w:ilvl="7" w:tplc="98C8C06E" w:tentative="1">
      <w:start w:val="1"/>
      <w:numFmt w:val="bullet"/>
      <w:lvlText w:val="o"/>
      <w:lvlJc w:val="left"/>
      <w:pPr>
        <w:ind w:left="5760" w:hanging="360"/>
      </w:pPr>
      <w:rPr>
        <w:rFonts w:ascii="Courier New" w:hAnsi="Courier New" w:cs="Courier New" w:hint="default"/>
      </w:rPr>
    </w:lvl>
    <w:lvl w:ilvl="8" w:tplc="E0ACC802" w:tentative="1">
      <w:start w:val="1"/>
      <w:numFmt w:val="bullet"/>
      <w:lvlText w:val=""/>
      <w:lvlJc w:val="left"/>
      <w:pPr>
        <w:ind w:left="6480" w:hanging="360"/>
      </w:pPr>
      <w:rPr>
        <w:rFonts w:ascii="Wingdings" w:hAnsi="Wingdings" w:hint="default"/>
      </w:rPr>
    </w:lvl>
  </w:abstractNum>
  <w:abstractNum w:abstractNumId="29" w15:restartNumberingAfterBreak="0">
    <w:nsid w:val="73E0394D"/>
    <w:multiLevelType w:val="multilevel"/>
    <w:tmpl w:val="4170D2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15:restartNumberingAfterBreak="0">
    <w:nsid w:val="78E12DD2"/>
    <w:multiLevelType w:val="multilevel"/>
    <w:tmpl w:val="BB1C9C6C"/>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621689444">
    <w:abstractNumId w:val="9"/>
  </w:num>
  <w:num w:numId="2" w16cid:durableId="234433031">
    <w:abstractNumId w:val="13"/>
  </w:num>
  <w:num w:numId="3" w16cid:durableId="768547524">
    <w:abstractNumId w:val="26"/>
  </w:num>
  <w:num w:numId="4" w16cid:durableId="1391467238">
    <w:abstractNumId w:val="23"/>
  </w:num>
  <w:num w:numId="5" w16cid:durableId="1630697545">
    <w:abstractNumId w:val="11"/>
  </w:num>
  <w:num w:numId="6" w16cid:durableId="1609388926">
    <w:abstractNumId w:val="12"/>
  </w:num>
  <w:num w:numId="7" w16cid:durableId="1162741807">
    <w:abstractNumId w:val="31"/>
  </w:num>
  <w:num w:numId="8" w16cid:durableId="399519850">
    <w:abstractNumId w:val="2"/>
  </w:num>
  <w:num w:numId="9" w16cid:durableId="2077585244">
    <w:abstractNumId w:val="16"/>
  </w:num>
  <w:num w:numId="10" w16cid:durableId="1132942569">
    <w:abstractNumId w:val="5"/>
  </w:num>
  <w:num w:numId="11" w16cid:durableId="1436946521">
    <w:abstractNumId w:val="24"/>
  </w:num>
  <w:num w:numId="12" w16cid:durableId="1563909600">
    <w:abstractNumId w:val="4"/>
  </w:num>
  <w:num w:numId="13" w16cid:durableId="2073262546">
    <w:abstractNumId w:val="6"/>
  </w:num>
  <w:num w:numId="14" w16cid:durableId="379525220">
    <w:abstractNumId w:val="10"/>
  </w:num>
  <w:num w:numId="15" w16cid:durableId="738750893">
    <w:abstractNumId w:val="3"/>
  </w:num>
  <w:num w:numId="16" w16cid:durableId="1706951763">
    <w:abstractNumId w:val="0"/>
  </w:num>
  <w:num w:numId="17" w16cid:durableId="1532525770">
    <w:abstractNumId w:val="28"/>
  </w:num>
  <w:num w:numId="18" w16cid:durableId="1561359256">
    <w:abstractNumId w:val="27"/>
  </w:num>
  <w:num w:numId="19" w16cid:durableId="922298134">
    <w:abstractNumId w:val="21"/>
  </w:num>
  <w:num w:numId="20" w16cid:durableId="518007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579378">
    <w:abstractNumId w:val="19"/>
  </w:num>
  <w:num w:numId="22" w16cid:durableId="772898288">
    <w:abstractNumId w:val="30"/>
  </w:num>
  <w:num w:numId="23" w16cid:durableId="231241155">
    <w:abstractNumId w:val="1"/>
  </w:num>
  <w:num w:numId="24" w16cid:durableId="14117423">
    <w:abstractNumId w:val="29"/>
  </w:num>
  <w:num w:numId="25" w16cid:durableId="992028260">
    <w:abstractNumId w:val="8"/>
  </w:num>
  <w:num w:numId="26" w16cid:durableId="50423439">
    <w:abstractNumId w:val="18"/>
  </w:num>
  <w:num w:numId="27" w16cid:durableId="1836336214">
    <w:abstractNumId w:val="25"/>
  </w:num>
  <w:num w:numId="28" w16cid:durableId="1765034602">
    <w:abstractNumId w:val="14"/>
  </w:num>
  <w:num w:numId="29" w16cid:durableId="80177401">
    <w:abstractNumId w:val="22"/>
  </w:num>
  <w:num w:numId="30" w16cid:durableId="1685739614">
    <w:abstractNumId w:val="20"/>
  </w:num>
  <w:num w:numId="31" w16cid:durableId="1951737433">
    <w:abstractNumId w:val="15"/>
  </w:num>
  <w:num w:numId="32" w16cid:durableId="1947106076">
    <w:abstractNumId w:val="17"/>
  </w:num>
  <w:num w:numId="33" w16cid:durableId="584611110">
    <w:abstractNumId w:val="4"/>
  </w:num>
  <w:num w:numId="34" w16cid:durableId="1594195668">
    <w:abstractNumId w:val="13"/>
  </w:num>
  <w:num w:numId="35" w16cid:durableId="1147667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132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8968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135264">
    <w:abstractNumId w:val="13"/>
  </w:num>
  <w:num w:numId="39" w16cid:durableId="691952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778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5684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4214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538455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039"/>
    <w:rsid w:val="000001A4"/>
    <w:rsid w:val="0000085D"/>
    <w:rsid w:val="000018EF"/>
    <w:rsid w:val="00001C6B"/>
    <w:rsid w:val="00001D5A"/>
    <w:rsid w:val="00001EF4"/>
    <w:rsid w:val="00002EF7"/>
    <w:rsid w:val="00003B77"/>
    <w:rsid w:val="00003D51"/>
    <w:rsid w:val="00003EBB"/>
    <w:rsid w:val="00003F96"/>
    <w:rsid w:val="00004277"/>
    <w:rsid w:val="000047B2"/>
    <w:rsid w:val="0000520D"/>
    <w:rsid w:val="0000534F"/>
    <w:rsid w:val="000054B7"/>
    <w:rsid w:val="00005B23"/>
    <w:rsid w:val="00005EE0"/>
    <w:rsid w:val="00006249"/>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3F0"/>
    <w:rsid w:val="00035688"/>
    <w:rsid w:val="00035B80"/>
    <w:rsid w:val="00035C03"/>
    <w:rsid w:val="00036B0F"/>
    <w:rsid w:val="00036EB8"/>
    <w:rsid w:val="00040918"/>
    <w:rsid w:val="00040C4D"/>
    <w:rsid w:val="000412C0"/>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976"/>
    <w:rsid w:val="00047A92"/>
    <w:rsid w:val="00047CF6"/>
    <w:rsid w:val="000500EE"/>
    <w:rsid w:val="000501A4"/>
    <w:rsid w:val="000503A9"/>
    <w:rsid w:val="00050419"/>
    <w:rsid w:val="00050995"/>
    <w:rsid w:val="00050BDE"/>
    <w:rsid w:val="00050DDE"/>
    <w:rsid w:val="0005218A"/>
    <w:rsid w:val="00052281"/>
    <w:rsid w:val="00052AE4"/>
    <w:rsid w:val="000530D4"/>
    <w:rsid w:val="000532AA"/>
    <w:rsid w:val="00053AA7"/>
    <w:rsid w:val="00053D09"/>
    <w:rsid w:val="00054562"/>
    <w:rsid w:val="00054B57"/>
    <w:rsid w:val="0005582D"/>
    <w:rsid w:val="0005596D"/>
    <w:rsid w:val="00055CB5"/>
    <w:rsid w:val="00055E07"/>
    <w:rsid w:val="00055E4C"/>
    <w:rsid w:val="00055EC9"/>
    <w:rsid w:val="000561FD"/>
    <w:rsid w:val="00056B3E"/>
    <w:rsid w:val="000571B9"/>
    <w:rsid w:val="0005725C"/>
    <w:rsid w:val="00057574"/>
    <w:rsid w:val="00057F8D"/>
    <w:rsid w:val="00060045"/>
    <w:rsid w:val="00060178"/>
    <w:rsid w:val="000604D3"/>
    <w:rsid w:val="00060A50"/>
    <w:rsid w:val="000611FF"/>
    <w:rsid w:val="00061760"/>
    <w:rsid w:val="0006189A"/>
    <w:rsid w:val="000618D0"/>
    <w:rsid w:val="00061D7A"/>
    <w:rsid w:val="00062475"/>
    <w:rsid w:val="00062BF2"/>
    <w:rsid w:val="00063297"/>
    <w:rsid w:val="0006389B"/>
    <w:rsid w:val="00063A11"/>
    <w:rsid w:val="0006408F"/>
    <w:rsid w:val="0006411D"/>
    <w:rsid w:val="000644E4"/>
    <w:rsid w:val="0006456C"/>
    <w:rsid w:val="00064637"/>
    <w:rsid w:val="000651DF"/>
    <w:rsid w:val="000667F9"/>
    <w:rsid w:val="00066AF6"/>
    <w:rsid w:val="0006721D"/>
    <w:rsid w:val="000672AB"/>
    <w:rsid w:val="000675B0"/>
    <w:rsid w:val="00067A76"/>
    <w:rsid w:val="00067E32"/>
    <w:rsid w:val="00067E43"/>
    <w:rsid w:val="00067F12"/>
    <w:rsid w:val="000706BF"/>
    <w:rsid w:val="000707EE"/>
    <w:rsid w:val="00070E3F"/>
    <w:rsid w:val="000710A8"/>
    <w:rsid w:val="000719BD"/>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06AE"/>
    <w:rsid w:val="00081712"/>
    <w:rsid w:val="000817D4"/>
    <w:rsid w:val="00081D0E"/>
    <w:rsid w:val="000824F8"/>
    <w:rsid w:val="0008345D"/>
    <w:rsid w:val="00083692"/>
    <w:rsid w:val="000837F2"/>
    <w:rsid w:val="00083FD0"/>
    <w:rsid w:val="00084830"/>
    <w:rsid w:val="00084E3A"/>
    <w:rsid w:val="00085086"/>
    <w:rsid w:val="00085A22"/>
    <w:rsid w:val="00085B99"/>
    <w:rsid w:val="00086738"/>
    <w:rsid w:val="00086B69"/>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1F92"/>
    <w:rsid w:val="000A22CF"/>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08"/>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898"/>
    <w:rsid w:val="000C6AAF"/>
    <w:rsid w:val="000C6D9B"/>
    <w:rsid w:val="000C7459"/>
    <w:rsid w:val="000D02DC"/>
    <w:rsid w:val="000D04B8"/>
    <w:rsid w:val="000D0837"/>
    <w:rsid w:val="000D08B4"/>
    <w:rsid w:val="000D0AF8"/>
    <w:rsid w:val="000D11EB"/>
    <w:rsid w:val="000D1714"/>
    <w:rsid w:val="000D2056"/>
    <w:rsid w:val="000D215D"/>
    <w:rsid w:val="000D22F0"/>
    <w:rsid w:val="000D2A57"/>
    <w:rsid w:val="000D2CDA"/>
    <w:rsid w:val="000D2F93"/>
    <w:rsid w:val="000D2FE7"/>
    <w:rsid w:val="000D3ACE"/>
    <w:rsid w:val="000D4B88"/>
    <w:rsid w:val="000D53BB"/>
    <w:rsid w:val="000D543D"/>
    <w:rsid w:val="000D5B81"/>
    <w:rsid w:val="000D5C0B"/>
    <w:rsid w:val="000D63C9"/>
    <w:rsid w:val="000D69F0"/>
    <w:rsid w:val="000D6C24"/>
    <w:rsid w:val="000D74AB"/>
    <w:rsid w:val="000D7666"/>
    <w:rsid w:val="000D7C97"/>
    <w:rsid w:val="000D7EB1"/>
    <w:rsid w:val="000D7FD5"/>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1F77"/>
    <w:rsid w:val="0010231B"/>
    <w:rsid w:val="0010237C"/>
    <w:rsid w:val="00103357"/>
    <w:rsid w:val="0010413A"/>
    <w:rsid w:val="00104FBC"/>
    <w:rsid w:val="0010533C"/>
    <w:rsid w:val="00105970"/>
    <w:rsid w:val="00106A59"/>
    <w:rsid w:val="00107175"/>
    <w:rsid w:val="0010747A"/>
    <w:rsid w:val="00107A35"/>
    <w:rsid w:val="00107D4A"/>
    <w:rsid w:val="0011146E"/>
    <w:rsid w:val="00111AD4"/>
    <w:rsid w:val="00111F8A"/>
    <w:rsid w:val="00111FF2"/>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6EE"/>
    <w:rsid w:val="0013696C"/>
    <w:rsid w:val="00136A10"/>
    <w:rsid w:val="0013702C"/>
    <w:rsid w:val="00137337"/>
    <w:rsid w:val="001378D5"/>
    <w:rsid w:val="00137FF0"/>
    <w:rsid w:val="00140110"/>
    <w:rsid w:val="00140CC4"/>
    <w:rsid w:val="00141356"/>
    <w:rsid w:val="00141BD6"/>
    <w:rsid w:val="00141D9C"/>
    <w:rsid w:val="00141E09"/>
    <w:rsid w:val="00142206"/>
    <w:rsid w:val="00143176"/>
    <w:rsid w:val="001431D6"/>
    <w:rsid w:val="00143B4D"/>
    <w:rsid w:val="00143FFA"/>
    <w:rsid w:val="0014435E"/>
    <w:rsid w:val="0014465D"/>
    <w:rsid w:val="00144701"/>
    <w:rsid w:val="00144908"/>
    <w:rsid w:val="00144BB3"/>
    <w:rsid w:val="00144C4B"/>
    <w:rsid w:val="001451A4"/>
    <w:rsid w:val="0014551F"/>
    <w:rsid w:val="001456C6"/>
    <w:rsid w:val="00145E74"/>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18E"/>
    <w:rsid w:val="0015454A"/>
    <w:rsid w:val="00154682"/>
    <w:rsid w:val="00154827"/>
    <w:rsid w:val="00154F60"/>
    <w:rsid w:val="00155501"/>
    <w:rsid w:val="001559E2"/>
    <w:rsid w:val="001560B9"/>
    <w:rsid w:val="0015620C"/>
    <w:rsid w:val="00156A13"/>
    <w:rsid w:val="00156CAA"/>
    <w:rsid w:val="00156DEF"/>
    <w:rsid w:val="0015702B"/>
    <w:rsid w:val="00157577"/>
    <w:rsid w:val="00157D86"/>
    <w:rsid w:val="00160155"/>
    <w:rsid w:val="0016031C"/>
    <w:rsid w:val="00161124"/>
    <w:rsid w:val="00161717"/>
    <w:rsid w:val="00161D44"/>
    <w:rsid w:val="00161DA5"/>
    <w:rsid w:val="00162250"/>
    <w:rsid w:val="00162EAF"/>
    <w:rsid w:val="00163072"/>
    <w:rsid w:val="001630E8"/>
    <w:rsid w:val="001637C1"/>
    <w:rsid w:val="00163997"/>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4"/>
    <w:rsid w:val="001858E5"/>
    <w:rsid w:val="00185AE7"/>
    <w:rsid w:val="00185B32"/>
    <w:rsid w:val="00185B85"/>
    <w:rsid w:val="00185C35"/>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E16"/>
    <w:rsid w:val="00196E8C"/>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276"/>
    <w:rsid w:val="001A6C67"/>
    <w:rsid w:val="001A72F6"/>
    <w:rsid w:val="001A76EE"/>
    <w:rsid w:val="001A7D06"/>
    <w:rsid w:val="001B1655"/>
    <w:rsid w:val="001B17FB"/>
    <w:rsid w:val="001B2821"/>
    <w:rsid w:val="001B285C"/>
    <w:rsid w:val="001B2ACB"/>
    <w:rsid w:val="001B2D16"/>
    <w:rsid w:val="001B2DBB"/>
    <w:rsid w:val="001B2EBD"/>
    <w:rsid w:val="001B3BE6"/>
    <w:rsid w:val="001B3EFA"/>
    <w:rsid w:val="001B3FC9"/>
    <w:rsid w:val="001B41A2"/>
    <w:rsid w:val="001B49CC"/>
    <w:rsid w:val="001B4B0A"/>
    <w:rsid w:val="001B4E87"/>
    <w:rsid w:val="001B4EA7"/>
    <w:rsid w:val="001B5656"/>
    <w:rsid w:val="001B5DFF"/>
    <w:rsid w:val="001B65B8"/>
    <w:rsid w:val="001B6F86"/>
    <w:rsid w:val="001B70CA"/>
    <w:rsid w:val="001B75F0"/>
    <w:rsid w:val="001C00D8"/>
    <w:rsid w:val="001C057E"/>
    <w:rsid w:val="001C28EA"/>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1B54"/>
    <w:rsid w:val="001D223A"/>
    <w:rsid w:val="001D2243"/>
    <w:rsid w:val="001D2793"/>
    <w:rsid w:val="001D2F2A"/>
    <w:rsid w:val="001D3679"/>
    <w:rsid w:val="001D3CC2"/>
    <w:rsid w:val="001D405D"/>
    <w:rsid w:val="001D461F"/>
    <w:rsid w:val="001D46D3"/>
    <w:rsid w:val="001D6714"/>
    <w:rsid w:val="001D713E"/>
    <w:rsid w:val="001D77E6"/>
    <w:rsid w:val="001E0306"/>
    <w:rsid w:val="001E0A7D"/>
    <w:rsid w:val="001E0D0D"/>
    <w:rsid w:val="001E1622"/>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773D"/>
    <w:rsid w:val="001F068F"/>
    <w:rsid w:val="001F0BBB"/>
    <w:rsid w:val="001F0DE8"/>
    <w:rsid w:val="001F3815"/>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031"/>
    <w:rsid w:val="0021654E"/>
    <w:rsid w:val="00217B31"/>
    <w:rsid w:val="00220551"/>
    <w:rsid w:val="0022072A"/>
    <w:rsid w:val="00220B3D"/>
    <w:rsid w:val="00220D77"/>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7F5"/>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061"/>
    <w:rsid w:val="00241142"/>
    <w:rsid w:val="002419F2"/>
    <w:rsid w:val="002428A5"/>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BAB"/>
    <w:rsid w:val="00254CF4"/>
    <w:rsid w:val="00254EF4"/>
    <w:rsid w:val="00255079"/>
    <w:rsid w:val="00255877"/>
    <w:rsid w:val="0025701A"/>
    <w:rsid w:val="002575ED"/>
    <w:rsid w:val="002576EB"/>
    <w:rsid w:val="00260BF5"/>
    <w:rsid w:val="00260D04"/>
    <w:rsid w:val="0026130F"/>
    <w:rsid w:val="00261645"/>
    <w:rsid w:val="00261C84"/>
    <w:rsid w:val="00262A9E"/>
    <w:rsid w:val="00263521"/>
    <w:rsid w:val="00263A1E"/>
    <w:rsid w:val="00263DB7"/>
    <w:rsid w:val="002643D4"/>
    <w:rsid w:val="00264CFB"/>
    <w:rsid w:val="00265014"/>
    <w:rsid w:val="00265428"/>
    <w:rsid w:val="002654D1"/>
    <w:rsid w:val="0026633D"/>
    <w:rsid w:val="00266F3D"/>
    <w:rsid w:val="00266F53"/>
    <w:rsid w:val="00267C0F"/>
    <w:rsid w:val="0027101D"/>
    <w:rsid w:val="00271038"/>
    <w:rsid w:val="0027121E"/>
    <w:rsid w:val="0027188F"/>
    <w:rsid w:val="0027268F"/>
    <w:rsid w:val="002739B2"/>
    <w:rsid w:val="00273FDF"/>
    <w:rsid w:val="0027424D"/>
    <w:rsid w:val="002749A5"/>
    <w:rsid w:val="00275141"/>
    <w:rsid w:val="00275A79"/>
    <w:rsid w:val="002763F9"/>
    <w:rsid w:val="00276899"/>
    <w:rsid w:val="00276D55"/>
    <w:rsid w:val="00277114"/>
    <w:rsid w:val="002775E6"/>
    <w:rsid w:val="00280D86"/>
    <w:rsid w:val="0028138F"/>
    <w:rsid w:val="002813A0"/>
    <w:rsid w:val="002815C1"/>
    <w:rsid w:val="00281F46"/>
    <w:rsid w:val="00282C5A"/>
    <w:rsid w:val="00282D88"/>
    <w:rsid w:val="00283FFC"/>
    <w:rsid w:val="002840FA"/>
    <w:rsid w:val="002841CB"/>
    <w:rsid w:val="0028466A"/>
    <w:rsid w:val="00284ABA"/>
    <w:rsid w:val="00284B06"/>
    <w:rsid w:val="00284BE1"/>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0C6D"/>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86B"/>
    <w:rsid w:val="002B30DB"/>
    <w:rsid w:val="002B3A8C"/>
    <w:rsid w:val="002B4B3F"/>
    <w:rsid w:val="002B55FA"/>
    <w:rsid w:val="002B5A1F"/>
    <w:rsid w:val="002B5C10"/>
    <w:rsid w:val="002B5C6F"/>
    <w:rsid w:val="002B5D65"/>
    <w:rsid w:val="002B5FFF"/>
    <w:rsid w:val="002B637F"/>
    <w:rsid w:val="002B65DC"/>
    <w:rsid w:val="002B6FB4"/>
    <w:rsid w:val="002C0019"/>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DF7"/>
    <w:rsid w:val="002C7FC3"/>
    <w:rsid w:val="002D034B"/>
    <w:rsid w:val="002D1688"/>
    <w:rsid w:val="002D2963"/>
    <w:rsid w:val="002D3201"/>
    <w:rsid w:val="002D32B9"/>
    <w:rsid w:val="002D38CB"/>
    <w:rsid w:val="002D3A3F"/>
    <w:rsid w:val="002D3AC8"/>
    <w:rsid w:val="002D4617"/>
    <w:rsid w:val="002D4E81"/>
    <w:rsid w:val="002D555F"/>
    <w:rsid w:val="002D572F"/>
    <w:rsid w:val="002D5930"/>
    <w:rsid w:val="002D5B7E"/>
    <w:rsid w:val="002D5FAD"/>
    <w:rsid w:val="002D65CF"/>
    <w:rsid w:val="002D6964"/>
    <w:rsid w:val="002D69A4"/>
    <w:rsid w:val="002D6D30"/>
    <w:rsid w:val="002D6DBD"/>
    <w:rsid w:val="002D6EF5"/>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25"/>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0FCC"/>
    <w:rsid w:val="00311190"/>
    <w:rsid w:val="0031135A"/>
    <w:rsid w:val="00312E5A"/>
    <w:rsid w:val="0031327E"/>
    <w:rsid w:val="00313D58"/>
    <w:rsid w:val="00313EEC"/>
    <w:rsid w:val="00314F75"/>
    <w:rsid w:val="00314FA0"/>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A88"/>
    <w:rsid w:val="00333BC5"/>
    <w:rsid w:val="00334A65"/>
    <w:rsid w:val="00334D20"/>
    <w:rsid w:val="00335267"/>
    <w:rsid w:val="0033564C"/>
    <w:rsid w:val="003356A2"/>
    <w:rsid w:val="00335A0A"/>
    <w:rsid w:val="0033672B"/>
    <w:rsid w:val="00337048"/>
    <w:rsid w:val="003370BA"/>
    <w:rsid w:val="00337469"/>
    <w:rsid w:val="00337846"/>
    <w:rsid w:val="0033799E"/>
    <w:rsid w:val="00337BB0"/>
    <w:rsid w:val="00337C4E"/>
    <w:rsid w:val="00337EBF"/>
    <w:rsid w:val="0034013B"/>
    <w:rsid w:val="0034038A"/>
    <w:rsid w:val="003404DF"/>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5F55"/>
    <w:rsid w:val="0034637E"/>
    <w:rsid w:val="003466B0"/>
    <w:rsid w:val="00346930"/>
    <w:rsid w:val="0034749E"/>
    <w:rsid w:val="00347612"/>
    <w:rsid w:val="00347800"/>
    <w:rsid w:val="00347942"/>
    <w:rsid w:val="00347A15"/>
    <w:rsid w:val="003509DF"/>
    <w:rsid w:val="0035118B"/>
    <w:rsid w:val="003513C7"/>
    <w:rsid w:val="0035145F"/>
    <w:rsid w:val="00351AD0"/>
    <w:rsid w:val="00351F4E"/>
    <w:rsid w:val="003525D4"/>
    <w:rsid w:val="003529BD"/>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76D"/>
    <w:rsid w:val="0037090C"/>
    <w:rsid w:val="00371181"/>
    <w:rsid w:val="0037128C"/>
    <w:rsid w:val="00371316"/>
    <w:rsid w:val="003715E6"/>
    <w:rsid w:val="00371B1D"/>
    <w:rsid w:val="0037230B"/>
    <w:rsid w:val="00372476"/>
    <w:rsid w:val="003724C3"/>
    <w:rsid w:val="0037259B"/>
    <w:rsid w:val="0037289B"/>
    <w:rsid w:val="003729F9"/>
    <w:rsid w:val="003734FE"/>
    <w:rsid w:val="0037370B"/>
    <w:rsid w:val="00373CE2"/>
    <w:rsid w:val="00374BB1"/>
    <w:rsid w:val="003757DE"/>
    <w:rsid w:val="00375AE4"/>
    <w:rsid w:val="00375C87"/>
    <w:rsid w:val="00375F4A"/>
    <w:rsid w:val="00376061"/>
    <w:rsid w:val="00376551"/>
    <w:rsid w:val="00376625"/>
    <w:rsid w:val="00376792"/>
    <w:rsid w:val="0037752E"/>
    <w:rsid w:val="0037753E"/>
    <w:rsid w:val="003775A2"/>
    <w:rsid w:val="00377AD8"/>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C0C"/>
    <w:rsid w:val="00387E5E"/>
    <w:rsid w:val="00390035"/>
    <w:rsid w:val="003907CF"/>
    <w:rsid w:val="00390B8E"/>
    <w:rsid w:val="00391776"/>
    <w:rsid w:val="00391943"/>
    <w:rsid w:val="00391D47"/>
    <w:rsid w:val="00391ED8"/>
    <w:rsid w:val="00392578"/>
    <w:rsid w:val="003926A8"/>
    <w:rsid w:val="00392806"/>
    <w:rsid w:val="003929A4"/>
    <w:rsid w:val="00392CEC"/>
    <w:rsid w:val="00392E92"/>
    <w:rsid w:val="00392F5B"/>
    <w:rsid w:val="003941E1"/>
    <w:rsid w:val="0039455B"/>
    <w:rsid w:val="003955CD"/>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56F8"/>
    <w:rsid w:val="003A613A"/>
    <w:rsid w:val="003A66EF"/>
    <w:rsid w:val="003A689D"/>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2A"/>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81D"/>
    <w:rsid w:val="003D1D5C"/>
    <w:rsid w:val="003D1EB4"/>
    <w:rsid w:val="003D2136"/>
    <w:rsid w:val="003D2796"/>
    <w:rsid w:val="003D2A63"/>
    <w:rsid w:val="003D2AE6"/>
    <w:rsid w:val="003D314F"/>
    <w:rsid w:val="003D3533"/>
    <w:rsid w:val="003D3964"/>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242"/>
    <w:rsid w:val="003E159B"/>
    <w:rsid w:val="003E20EB"/>
    <w:rsid w:val="003E2333"/>
    <w:rsid w:val="003E248F"/>
    <w:rsid w:val="003E26E6"/>
    <w:rsid w:val="003E2F13"/>
    <w:rsid w:val="003E31EE"/>
    <w:rsid w:val="003E364E"/>
    <w:rsid w:val="003E4D21"/>
    <w:rsid w:val="003E4D5A"/>
    <w:rsid w:val="003E5571"/>
    <w:rsid w:val="003E58C2"/>
    <w:rsid w:val="003E5FCA"/>
    <w:rsid w:val="003E6649"/>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C3D"/>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4E3F"/>
    <w:rsid w:val="00405277"/>
    <w:rsid w:val="004064E0"/>
    <w:rsid w:val="00406E80"/>
    <w:rsid w:val="00406F61"/>
    <w:rsid w:val="00406FEF"/>
    <w:rsid w:val="004078B5"/>
    <w:rsid w:val="004078DC"/>
    <w:rsid w:val="0041045D"/>
    <w:rsid w:val="004105DF"/>
    <w:rsid w:val="00410935"/>
    <w:rsid w:val="00410963"/>
    <w:rsid w:val="00410D75"/>
    <w:rsid w:val="00410D9E"/>
    <w:rsid w:val="00411671"/>
    <w:rsid w:val="0041180B"/>
    <w:rsid w:val="00411AFD"/>
    <w:rsid w:val="0041212D"/>
    <w:rsid w:val="0041284E"/>
    <w:rsid w:val="00412889"/>
    <w:rsid w:val="004130F4"/>
    <w:rsid w:val="00413464"/>
    <w:rsid w:val="00413826"/>
    <w:rsid w:val="00413C2A"/>
    <w:rsid w:val="00414A34"/>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5F1"/>
    <w:rsid w:val="00421D2C"/>
    <w:rsid w:val="0042232C"/>
    <w:rsid w:val="00422FCB"/>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BDE"/>
    <w:rsid w:val="00437CB8"/>
    <w:rsid w:val="00437D9B"/>
    <w:rsid w:val="00440C19"/>
    <w:rsid w:val="004412D8"/>
    <w:rsid w:val="004413C7"/>
    <w:rsid w:val="00441449"/>
    <w:rsid w:val="004414E6"/>
    <w:rsid w:val="004417D2"/>
    <w:rsid w:val="004421F3"/>
    <w:rsid w:val="004423E6"/>
    <w:rsid w:val="004424B2"/>
    <w:rsid w:val="004428A8"/>
    <w:rsid w:val="00442E2D"/>
    <w:rsid w:val="0044305F"/>
    <w:rsid w:val="00443D1B"/>
    <w:rsid w:val="0044419E"/>
    <w:rsid w:val="00444597"/>
    <w:rsid w:val="004453BB"/>
    <w:rsid w:val="0044542D"/>
    <w:rsid w:val="00445522"/>
    <w:rsid w:val="00445CAD"/>
    <w:rsid w:val="0044619B"/>
    <w:rsid w:val="00446802"/>
    <w:rsid w:val="00446D30"/>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4B2"/>
    <w:rsid w:val="004626B6"/>
    <w:rsid w:val="00463683"/>
    <w:rsid w:val="00464D56"/>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29BD"/>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9CB"/>
    <w:rsid w:val="00482156"/>
    <w:rsid w:val="00482259"/>
    <w:rsid w:val="00482559"/>
    <w:rsid w:val="004827FF"/>
    <w:rsid w:val="0048280E"/>
    <w:rsid w:val="00482C33"/>
    <w:rsid w:val="00482EE2"/>
    <w:rsid w:val="004830BE"/>
    <w:rsid w:val="0048315F"/>
    <w:rsid w:val="004833CE"/>
    <w:rsid w:val="00483526"/>
    <w:rsid w:val="004836A0"/>
    <w:rsid w:val="00483BD1"/>
    <w:rsid w:val="00483D0D"/>
    <w:rsid w:val="004845B2"/>
    <w:rsid w:val="00485309"/>
    <w:rsid w:val="00485787"/>
    <w:rsid w:val="00486172"/>
    <w:rsid w:val="004865D8"/>
    <w:rsid w:val="00486D58"/>
    <w:rsid w:val="00486E2B"/>
    <w:rsid w:val="00487169"/>
    <w:rsid w:val="004875EB"/>
    <w:rsid w:val="00490091"/>
    <w:rsid w:val="0049015A"/>
    <w:rsid w:val="004902C9"/>
    <w:rsid w:val="00490C5E"/>
    <w:rsid w:val="00490D8B"/>
    <w:rsid w:val="00490E40"/>
    <w:rsid w:val="00491199"/>
    <w:rsid w:val="004914EC"/>
    <w:rsid w:val="00491607"/>
    <w:rsid w:val="00491767"/>
    <w:rsid w:val="004919A3"/>
    <w:rsid w:val="00491C8E"/>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548"/>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2E5A"/>
    <w:rsid w:val="004C3318"/>
    <w:rsid w:val="004C3342"/>
    <w:rsid w:val="004C4056"/>
    <w:rsid w:val="004C4396"/>
    <w:rsid w:val="004C4AF0"/>
    <w:rsid w:val="004C4F65"/>
    <w:rsid w:val="004C526A"/>
    <w:rsid w:val="004C58B1"/>
    <w:rsid w:val="004C5B9D"/>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5CB"/>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6FBB"/>
    <w:rsid w:val="004F70E9"/>
    <w:rsid w:val="004F717A"/>
    <w:rsid w:val="004F71AC"/>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6752"/>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7C9"/>
    <w:rsid w:val="00517AA9"/>
    <w:rsid w:val="005202DE"/>
    <w:rsid w:val="0052031E"/>
    <w:rsid w:val="005204F9"/>
    <w:rsid w:val="00520A36"/>
    <w:rsid w:val="00520B9E"/>
    <w:rsid w:val="00520C3B"/>
    <w:rsid w:val="00520C4B"/>
    <w:rsid w:val="00520EA4"/>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2EA"/>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0A4"/>
    <w:rsid w:val="00542C8D"/>
    <w:rsid w:val="00542CDA"/>
    <w:rsid w:val="00542EA3"/>
    <w:rsid w:val="00543615"/>
    <w:rsid w:val="0054365A"/>
    <w:rsid w:val="00543699"/>
    <w:rsid w:val="00543A22"/>
    <w:rsid w:val="00543F8A"/>
    <w:rsid w:val="0054423C"/>
    <w:rsid w:val="00544381"/>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2335"/>
    <w:rsid w:val="00562F93"/>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67BBE"/>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99E"/>
    <w:rsid w:val="00580C5C"/>
    <w:rsid w:val="00580DA8"/>
    <w:rsid w:val="00580F79"/>
    <w:rsid w:val="0058142E"/>
    <w:rsid w:val="00581795"/>
    <w:rsid w:val="00583B95"/>
    <w:rsid w:val="00584AD4"/>
    <w:rsid w:val="005850FD"/>
    <w:rsid w:val="0058597D"/>
    <w:rsid w:val="00585BB5"/>
    <w:rsid w:val="00585F34"/>
    <w:rsid w:val="00586223"/>
    <w:rsid w:val="00586891"/>
    <w:rsid w:val="00587DC2"/>
    <w:rsid w:val="005906E5"/>
    <w:rsid w:val="005907E3"/>
    <w:rsid w:val="00590820"/>
    <w:rsid w:val="00590AE1"/>
    <w:rsid w:val="00590EBE"/>
    <w:rsid w:val="0059185F"/>
    <w:rsid w:val="00591F15"/>
    <w:rsid w:val="0059279B"/>
    <w:rsid w:val="00592EBE"/>
    <w:rsid w:val="00593050"/>
    <w:rsid w:val="0059372F"/>
    <w:rsid w:val="0059393A"/>
    <w:rsid w:val="005941E1"/>
    <w:rsid w:val="0059466A"/>
    <w:rsid w:val="00594734"/>
    <w:rsid w:val="0059494A"/>
    <w:rsid w:val="005950C8"/>
    <w:rsid w:val="0059531A"/>
    <w:rsid w:val="0059595B"/>
    <w:rsid w:val="00595A3D"/>
    <w:rsid w:val="00595D44"/>
    <w:rsid w:val="0059614A"/>
    <w:rsid w:val="005963B4"/>
    <w:rsid w:val="005967C6"/>
    <w:rsid w:val="005977BF"/>
    <w:rsid w:val="0059796B"/>
    <w:rsid w:val="00597AA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42A4"/>
    <w:rsid w:val="005A4A40"/>
    <w:rsid w:val="005A504A"/>
    <w:rsid w:val="005A522D"/>
    <w:rsid w:val="005A57D6"/>
    <w:rsid w:val="005A5A70"/>
    <w:rsid w:val="005A64B6"/>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F43"/>
    <w:rsid w:val="005C02D4"/>
    <w:rsid w:val="005C05FF"/>
    <w:rsid w:val="005C14A0"/>
    <w:rsid w:val="005C198B"/>
    <w:rsid w:val="005C20D7"/>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83F"/>
    <w:rsid w:val="005C6E27"/>
    <w:rsid w:val="005C7994"/>
    <w:rsid w:val="005C7CF3"/>
    <w:rsid w:val="005D00DB"/>
    <w:rsid w:val="005D07D2"/>
    <w:rsid w:val="005D0F46"/>
    <w:rsid w:val="005D0F91"/>
    <w:rsid w:val="005D14F8"/>
    <w:rsid w:val="005D1523"/>
    <w:rsid w:val="005D1BB8"/>
    <w:rsid w:val="005D1FBA"/>
    <w:rsid w:val="005D24A9"/>
    <w:rsid w:val="005D25B7"/>
    <w:rsid w:val="005D293C"/>
    <w:rsid w:val="005D2A58"/>
    <w:rsid w:val="005D30B8"/>
    <w:rsid w:val="005D3ED4"/>
    <w:rsid w:val="005D4774"/>
    <w:rsid w:val="005D48FE"/>
    <w:rsid w:val="005D4DA2"/>
    <w:rsid w:val="005D5504"/>
    <w:rsid w:val="005D5880"/>
    <w:rsid w:val="005D5B16"/>
    <w:rsid w:val="005D5DA2"/>
    <w:rsid w:val="005D5EAC"/>
    <w:rsid w:val="005D6537"/>
    <w:rsid w:val="005D66B0"/>
    <w:rsid w:val="005D6BA1"/>
    <w:rsid w:val="005D6C63"/>
    <w:rsid w:val="005D6E99"/>
    <w:rsid w:val="005D714C"/>
    <w:rsid w:val="005D7598"/>
    <w:rsid w:val="005E009F"/>
    <w:rsid w:val="005E0C21"/>
    <w:rsid w:val="005E1528"/>
    <w:rsid w:val="005E212B"/>
    <w:rsid w:val="005E2189"/>
    <w:rsid w:val="005E22E4"/>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553"/>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4ED"/>
    <w:rsid w:val="005F7CC7"/>
    <w:rsid w:val="00600F74"/>
    <w:rsid w:val="00601262"/>
    <w:rsid w:val="00601269"/>
    <w:rsid w:val="00601296"/>
    <w:rsid w:val="00601C2F"/>
    <w:rsid w:val="00602702"/>
    <w:rsid w:val="00602BBC"/>
    <w:rsid w:val="00603ABE"/>
    <w:rsid w:val="00603F19"/>
    <w:rsid w:val="00604D69"/>
    <w:rsid w:val="006052E4"/>
    <w:rsid w:val="00605342"/>
    <w:rsid w:val="00605442"/>
    <w:rsid w:val="0060683C"/>
    <w:rsid w:val="00607532"/>
    <w:rsid w:val="00607C9B"/>
    <w:rsid w:val="006104FE"/>
    <w:rsid w:val="00610930"/>
    <w:rsid w:val="00610B37"/>
    <w:rsid w:val="00610F2F"/>
    <w:rsid w:val="00611216"/>
    <w:rsid w:val="00611C80"/>
    <w:rsid w:val="006122B0"/>
    <w:rsid w:val="006125B0"/>
    <w:rsid w:val="00612C20"/>
    <w:rsid w:val="00612DF8"/>
    <w:rsid w:val="00612E61"/>
    <w:rsid w:val="00612FC6"/>
    <w:rsid w:val="00613D28"/>
    <w:rsid w:val="0061404F"/>
    <w:rsid w:val="0061424C"/>
    <w:rsid w:val="00614C2C"/>
    <w:rsid w:val="00614E96"/>
    <w:rsid w:val="00614EA9"/>
    <w:rsid w:val="00615072"/>
    <w:rsid w:val="00615EA0"/>
    <w:rsid w:val="00615F30"/>
    <w:rsid w:val="00616060"/>
    <w:rsid w:val="00616E27"/>
    <w:rsid w:val="00617088"/>
    <w:rsid w:val="00617831"/>
    <w:rsid w:val="0062007E"/>
    <w:rsid w:val="0062018F"/>
    <w:rsid w:val="00620205"/>
    <w:rsid w:val="006202A9"/>
    <w:rsid w:val="006202CC"/>
    <w:rsid w:val="00620470"/>
    <w:rsid w:val="00620736"/>
    <w:rsid w:val="0062076F"/>
    <w:rsid w:val="006212E4"/>
    <w:rsid w:val="00621EF4"/>
    <w:rsid w:val="00622128"/>
    <w:rsid w:val="006229D3"/>
    <w:rsid w:val="0062370F"/>
    <w:rsid w:val="00623A21"/>
    <w:rsid w:val="00623EFC"/>
    <w:rsid w:val="006241BE"/>
    <w:rsid w:val="00624298"/>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534"/>
    <w:rsid w:val="00632878"/>
    <w:rsid w:val="00632C05"/>
    <w:rsid w:val="00633328"/>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4E7"/>
    <w:rsid w:val="0064260A"/>
    <w:rsid w:val="00642D42"/>
    <w:rsid w:val="00642E0E"/>
    <w:rsid w:val="00643044"/>
    <w:rsid w:val="006430ED"/>
    <w:rsid w:val="006434BE"/>
    <w:rsid w:val="00643B35"/>
    <w:rsid w:val="00644879"/>
    <w:rsid w:val="00644B0B"/>
    <w:rsid w:val="00644C6D"/>
    <w:rsid w:val="0064527F"/>
    <w:rsid w:val="006454AC"/>
    <w:rsid w:val="006457EB"/>
    <w:rsid w:val="00645A81"/>
    <w:rsid w:val="00646222"/>
    <w:rsid w:val="0064663D"/>
    <w:rsid w:val="00646A2C"/>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8F"/>
    <w:rsid w:val="006576D8"/>
    <w:rsid w:val="00657BBC"/>
    <w:rsid w:val="006600F5"/>
    <w:rsid w:val="0066027D"/>
    <w:rsid w:val="00660609"/>
    <w:rsid w:val="006609B1"/>
    <w:rsid w:val="006615BB"/>
    <w:rsid w:val="00661D6B"/>
    <w:rsid w:val="00661D76"/>
    <w:rsid w:val="00661E8F"/>
    <w:rsid w:val="00662169"/>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CF0"/>
    <w:rsid w:val="00670E84"/>
    <w:rsid w:val="00672255"/>
    <w:rsid w:val="0067240D"/>
    <w:rsid w:val="006726E0"/>
    <w:rsid w:val="00672B88"/>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3CB"/>
    <w:rsid w:val="00684906"/>
    <w:rsid w:val="00684959"/>
    <w:rsid w:val="00684DEA"/>
    <w:rsid w:val="006854F2"/>
    <w:rsid w:val="0068565C"/>
    <w:rsid w:val="006859A6"/>
    <w:rsid w:val="00685CE0"/>
    <w:rsid w:val="006860AB"/>
    <w:rsid w:val="0068620A"/>
    <w:rsid w:val="006862BE"/>
    <w:rsid w:val="00686E12"/>
    <w:rsid w:val="0069093D"/>
    <w:rsid w:val="00690E56"/>
    <w:rsid w:val="00691B4D"/>
    <w:rsid w:val="0069225F"/>
    <w:rsid w:val="0069249C"/>
    <w:rsid w:val="00692613"/>
    <w:rsid w:val="00692927"/>
    <w:rsid w:val="00692B9D"/>
    <w:rsid w:val="0069335D"/>
    <w:rsid w:val="00694C3C"/>
    <w:rsid w:val="0069582A"/>
    <w:rsid w:val="00695925"/>
    <w:rsid w:val="00696ADE"/>
    <w:rsid w:val="00696CA7"/>
    <w:rsid w:val="00697E8B"/>
    <w:rsid w:val="006A040F"/>
    <w:rsid w:val="006A1039"/>
    <w:rsid w:val="006A21AF"/>
    <w:rsid w:val="006A21B7"/>
    <w:rsid w:val="006A2D1D"/>
    <w:rsid w:val="006A41CE"/>
    <w:rsid w:val="006A49AE"/>
    <w:rsid w:val="006A4C49"/>
    <w:rsid w:val="006A52FF"/>
    <w:rsid w:val="006A5A4C"/>
    <w:rsid w:val="006A6846"/>
    <w:rsid w:val="006A7121"/>
    <w:rsid w:val="006A75AC"/>
    <w:rsid w:val="006A7632"/>
    <w:rsid w:val="006A7897"/>
    <w:rsid w:val="006A7C00"/>
    <w:rsid w:val="006A7F23"/>
    <w:rsid w:val="006B0109"/>
    <w:rsid w:val="006B056A"/>
    <w:rsid w:val="006B0630"/>
    <w:rsid w:val="006B0B22"/>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4F4D"/>
    <w:rsid w:val="006C58DF"/>
    <w:rsid w:val="006C6153"/>
    <w:rsid w:val="006C6452"/>
    <w:rsid w:val="006C6CE3"/>
    <w:rsid w:val="006C6D27"/>
    <w:rsid w:val="006C7199"/>
    <w:rsid w:val="006C7422"/>
    <w:rsid w:val="006C759C"/>
    <w:rsid w:val="006D0087"/>
    <w:rsid w:val="006D04D2"/>
    <w:rsid w:val="006D083F"/>
    <w:rsid w:val="006D167F"/>
    <w:rsid w:val="006D176D"/>
    <w:rsid w:val="006D280F"/>
    <w:rsid w:val="006D32A1"/>
    <w:rsid w:val="006D383A"/>
    <w:rsid w:val="006D3A84"/>
    <w:rsid w:val="006D4116"/>
    <w:rsid w:val="006D4161"/>
    <w:rsid w:val="006D4192"/>
    <w:rsid w:val="006D452B"/>
    <w:rsid w:val="006D4B9E"/>
    <w:rsid w:val="006D4F82"/>
    <w:rsid w:val="006D57CF"/>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123A"/>
    <w:rsid w:val="006E1791"/>
    <w:rsid w:val="006E1DC9"/>
    <w:rsid w:val="006E24C0"/>
    <w:rsid w:val="006E2C4B"/>
    <w:rsid w:val="006E2C56"/>
    <w:rsid w:val="006E36C3"/>
    <w:rsid w:val="006E3C03"/>
    <w:rsid w:val="006E4072"/>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5FD6"/>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311"/>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05"/>
    <w:rsid w:val="00730D60"/>
    <w:rsid w:val="00731E29"/>
    <w:rsid w:val="00731EC4"/>
    <w:rsid w:val="00731FA8"/>
    <w:rsid w:val="0073212E"/>
    <w:rsid w:val="007324CA"/>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174"/>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CE2"/>
    <w:rsid w:val="00761E1F"/>
    <w:rsid w:val="00761E43"/>
    <w:rsid w:val="00762609"/>
    <w:rsid w:val="00763900"/>
    <w:rsid w:val="00763CCF"/>
    <w:rsid w:val="00763E35"/>
    <w:rsid w:val="00764C13"/>
    <w:rsid w:val="00765091"/>
    <w:rsid w:val="007657FC"/>
    <w:rsid w:val="00765C33"/>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27F"/>
    <w:rsid w:val="007824AB"/>
    <w:rsid w:val="00783850"/>
    <w:rsid w:val="00783CD9"/>
    <w:rsid w:val="0078494D"/>
    <w:rsid w:val="00784D2F"/>
    <w:rsid w:val="00784F53"/>
    <w:rsid w:val="007856D0"/>
    <w:rsid w:val="00785D0A"/>
    <w:rsid w:val="00786364"/>
    <w:rsid w:val="00787591"/>
    <w:rsid w:val="007877E8"/>
    <w:rsid w:val="00787AC0"/>
    <w:rsid w:val="00787EAD"/>
    <w:rsid w:val="0079068D"/>
    <w:rsid w:val="00790B24"/>
    <w:rsid w:val="00790B90"/>
    <w:rsid w:val="00790BF1"/>
    <w:rsid w:val="00791581"/>
    <w:rsid w:val="007920C6"/>
    <w:rsid w:val="00792B80"/>
    <w:rsid w:val="007938BB"/>
    <w:rsid w:val="00795121"/>
    <w:rsid w:val="00795C02"/>
    <w:rsid w:val="00795E68"/>
    <w:rsid w:val="00795F23"/>
    <w:rsid w:val="007963E2"/>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666E"/>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C58"/>
    <w:rsid w:val="007B3D81"/>
    <w:rsid w:val="007B3FAA"/>
    <w:rsid w:val="007B43C1"/>
    <w:rsid w:val="007B4427"/>
    <w:rsid w:val="007B44BE"/>
    <w:rsid w:val="007B566B"/>
    <w:rsid w:val="007B571D"/>
    <w:rsid w:val="007B5815"/>
    <w:rsid w:val="007B5B10"/>
    <w:rsid w:val="007B5B26"/>
    <w:rsid w:val="007B5C3D"/>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2B4"/>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493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6A7A"/>
    <w:rsid w:val="007F76ED"/>
    <w:rsid w:val="007F7FF2"/>
    <w:rsid w:val="00800889"/>
    <w:rsid w:val="00800A64"/>
    <w:rsid w:val="00800C46"/>
    <w:rsid w:val="0080175F"/>
    <w:rsid w:val="00801802"/>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670"/>
    <w:rsid w:val="00810D23"/>
    <w:rsid w:val="00810F8A"/>
    <w:rsid w:val="0081167C"/>
    <w:rsid w:val="00811E96"/>
    <w:rsid w:val="00811EF6"/>
    <w:rsid w:val="0081268F"/>
    <w:rsid w:val="0081297F"/>
    <w:rsid w:val="00813D5A"/>
    <w:rsid w:val="008148B4"/>
    <w:rsid w:val="0081495F"/>
    <w:rsid w:val="008153A7"/>
    <w:rsid w:val="008153B7"/>
    <w:rsid w:val="00815EB6"/>
    <w:rsid w:val="008164D2"/>
    <w:rsid w:val="0081653B"/>
    <w:rsid w:val="008166A5"/>
    <w:rsid w:val="008168F8"/>
    <w:rsid w:val="00816F7B"/>
    <w:rsid w:val="00817EDE"/>
    <w:rsid w:val="00820393"/>
    <w:rsid w:val="008203CF"/>
    <w:rsid w:val="00820603"/>
    <w:rsid w:val="00820AC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78C"/>
    <w:rsid w:val="00831AF4"/>
    <w:rsid w:val="00831C86"/>
    <w:rsid w:val="00831FC6"/>
    <w:rsid w:val="008327D7"/>
    <w:rsid w:val="00832A1F"/>
    <w:rsid w:val="00833E19"/>
    <w:rsid w:val="00834535"/>
    <w:rsid w:val="0083468C"/>
    <w:rsid w:val="00834E18"/>
    <w:rsid w:val="00834E9C"/>
    <w:rsid w:val="00835707"/>
    <w:rsid w:val="0083622F"/>
    <w:rsid w:val="00836462"/>
    <w:rsid w:val="008368AA"/>
    <w:rsid w:val="0083723D"/>
    <w:rsid w:val="00837276"/>
    <w:rsid w:val="008372A9"/>
    <w:rsid w:val="008375AA"/>
    <w:rsid w:val="0083795A"/>
    <w:rsid w:val="00837997"/>
    <w:rsid w:val="0084069C"/>
    <w:rsid w:val="00842138"/>
    <w:rsid w:val="00842561"/>
    <w:rsid w:val="008425C5"/>
    <w:rsid w:val="00842BBF"/>
    <w:rsid w:val="00842F70"/>
    <w:rsid w:val="00843FE7"/>
    <w:rsid w:val="00844CA1"/>
    <w:rsid w:val="00844E79"/>
    <w:rsid w:val="00845163"/>
    <w:rsid w:val="00845656"/>
    <w:rsid w:val="00845894"/>
    <w:rsid w:val="008458C2"/>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2B"/>
    <w:rsid w:val="0085085C"/>
    <w:rsid w:val="00850910"/>
    <w:rsid w:val="00851076"/>
    <w:rsid w:val="008511EC"/>
    <w:rsid w:val="00851635"/>
    <w:rsid w:val="0085167B"/>
    <w:rsid w:val="00851C99"/>
    <w:rsid w:val="00851CD4"/>
    <w:rsid w:val="00851DFA"/>
    <w:rsid w:val="00851F62"/>
    <w:rsid w:val="00851FD3"/>
    <w:rsid w:val="00852213"/>
    <w:rsid w:val="0085238A"/>
    <w:rsid w:val="008524EB"/>
    <w:rsid w:val="008524F8"/>
    <w:rsid w:val="00852890"/>
    <w:rsid w:val="0085318D"/>
    <w:rsid w:val="00853A58"/>
    <w:rsid w:val="00853D61"/>
    <w:rsid w:val="008545AC"/>
    <w:rsid w:val="008547B9"/>
    <w:rsid w:val="008565BC"/>
    <w:rsid w:val="00856648"/>
    <w:rsid w:val="00856A67"/>
    <w:rsid w:val="00856B26"/>
    <w:rsid w:val="00856B71"/>
    <w:rsid w:val="00856C36"/>
    <w:rsid w:val="00856C93"/>
    <w:rsid w:val="008573F9"/>
    <w:rsid w:val="00857D59"/>
    <w:rsid w:val="008601C0"/>
    <w:rsid w:val="00860DDC"/>
    <w:rsid w:val="00861572"/>
    <w:rsid w:val="00861731"/>
    <w:rsid w:val="0086190F"/>
    <w:rsid w:val="0086219D"/>
    <w:rsid w:val="00862862"/>
    <w:rsid w:val="00862BAF"/>
    <w:rsid w:val="00862D12"/>
    <w:rsid w:val="00863B4F"/>
    <w:rsid w:val="00864147"/>
    <w:rsid w:val="008642D0"/>
    <w:rsid w:val="0086437F"/>
    <w:rsid w:val="00864795"/>
    <w:rsid w:val="00865046"/>
    <w:rsid w:val="0086575B"/>
    <w:rsid w:val="0086613E"/>
    <w:rsid w:val="008661F1"/>
    <w:rsid w:val="008674FE"/>
    <w:rsid w:val="00867695"/>
    <w:rsid w:val="008676E6"/>
    <w:rsid w:val="00867ECB"/>
    <w:rsid w:val="00867FC5"/>
    <w:rsid w:val="008701C2"/>
    <w:rsid w:val="008714DB"/>
    <w:rsid w:val="00871578"/>
    <w:rsid w:val="00871B57"/>
    <w:rsid w:val="00871BB6"/>
    <w:rsid w:val="00871E21"/>
    <w:rsid w:val="0087223D"/>
    <w:rsid w:val="0087267C"/>
    <w:rsid w:val="00872EA2"/>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B09"/>
    <w:rsid w:val="00884B71"/>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83F"/>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415"/>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367"/>
    <w:rsid w:val="008D78ED"/>
    <w:rsid w:val="008D7D2D"/>
    <w:rsid w:val="008E0F0B"/>
    <w:rsid w:val="008E1159"/>
    <w:rsid w:val="008E1580"/>
    <w:rsid w:val="008E1A9C"/>
    <w:rsid w:val="008E1C06"/>
    <w:rsid w:val="008E20F1"/>
    <w:rsid w:val="008E2F17"/>
    <w:rsid w:val="008E3175"/>
    <w:rsid w:val="008E32CE"/>
    <w:rsid w:val="008E3CC4"/>
    <w:rsid w:val="008E3DDC"/>
    <w:rsid w:val="008E417F"/>
    <w:rsid w:val="008E4CF0"/>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DEF"/>
    <w:rsid w:val="008F2E02"/>
    <w:rsid w:val="008F3096"/>
    <w:rsid w:val="008F3327"/>
    <w:rsid w:val="008F3549"/>
    <w:rsid w:val="008F49E7"/>
    <w:rsid w:val="008F4A43"/>
    <w:rsid w:val="008F4BA0"/>
    <w:rsid w:val="008F4D58"/>
    <w:rsid w:val="008F509D"/>
    <w:rsid w:val="008F5110"/>
    <w:rsid w:val="008F5174"/>
    <w:rsid w:val="008F51BE"/>
    <w:rsid w:val="008F51FC"/>
    <w:rsid w:val="008F5B13"/>
    <w:rsid w:val="008F5EC6"/>
    <w:rsid w:val="008F6006"/>
    <w:rsid w:val="008F6101"/>
    <w:rsid w:val="008F62CE"/>
    <w:rsid w:val="008F66FB"/>
    <w:rsid w:val="008F688E"/>
    <w:rsid w:val="008F71B1"/>
    <w:rsid w:val="008F71BC"/>
    <w:rsid w:val="008F7246"/>
    <w:rsid w:val="008F7A6D"/>
    <w:rsid w:val="008F7BE9"/>
    <w:rsid w:val="008F7DE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4D5"/>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A31"/>
    <w:rsid w:val="00921EDE"/>
    <w:rsid w:val="0092228B"/>
    <w:rsid w:val="0092279A"/>
    <w:rsid w:val="00922D87"/>
    <w:rsid w:val="00923216"/>
    <w:rsid w:val="009234D0"/>
    <w:rsid w:val="00923A33"/>
    <w:rsid w:val="00923DB7"/>
    <w:rsid w:val="009261BF"/>
    <w:rsid w:val="0092642E"/>
    <w:rsid w:val="009266A4"/>
    <w:rsid w:val="00926AD5"/>
    <w:rsid w:val="00926EC9"/>
    <w:rsid w:val="009272C6"/>
    <w:rsid w:val="009279B7"/>
    <w:rsid w:val="00927CC2"/>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B7"/>
    <w:rsid w:val="00956BC0"/>
    <w:rsid w:val="00956BE6"/>
    <w:rsid w:val="00956D7C"/>
    <w:rsid w:val="00960D36"/>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A20"/>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0EC5"/>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1E2"/>
    <w:rsid w:val="00994CBC"/>
    <w:rsid w:val="00994CCA"/>
    <w:rsid w:val="00996FFF"/>
    <w:rsid w:val="009974A8"/>
    <w:rsid w:val="009975C9"/>
    <w:rsid w:val="009A0A09"/>
    <w:rsid w:val="009A1489"/>
    <w:rsid w:val="009A15BE"/>
    <w:rsid w:val="009A245B"/>
    <w:rsid w:val="009A24A2"/>
    <w:rsid w:val="009A2516"/>
    <w:rsid w:val="009A29AC"/>
    <w:rsid w:val="009A2FAA"/>
    <w:rsid w:val="009A3127"/>
    <w:rsid w:val="009A349F"/>
    <w:rsid w:val="009A375E"/>
    <w:rsid w:val="009A3852"/>
    <w:rsid w:val="009A3D49"/>
    <w:rsid w:val="009A4788"/>
    <w:rsid w:val="009A4A6E"/>
    <w:rsid w:val="009A5FDB"/>
    <w:rsid w:val="009A6801"/>
    <w:rsid w:val="009A6E38"/>
    <w:rsid w:val="009A78AB"/>
    <w:rsid w:val="009B03D5"/>
    <w:rsid w:val="009B0A9C"/>
    <w:rsid w:val="009B10AE"/>
    <w:rsid w:val="009B1240"/>
    <w:rsid w:val="009B1690"/>
    <w:rsid w:val="009B18D7"/>
    <w:rsid w:val="009B2040"/>
    <w:rsid w:val="009B21FD"/>
    <w:rsid w:val="009B23EE"/>
    <w:rsid w:val="009B257E"/>
    <w:rsid w:val="009B2E1F"/>
    <w:rsid w:val="009B3610"/>
    <w:rsid w:val="009B37D3"/>
    <w:rsid w:val="009B4474"/>
    <w:rsid w:val="009B4C61"/>
    <w:rsid w:val="009B4CB0"/>
    <w:rsid w:val="009B4CE0"/>
    <w:rsid w:val="009B54CF"/>
    <w:rsid w:val="009B5A8C"/>
    <w:rsid w:val="009B5C74"/>
    <w:rsid w:val="009B661E"/>
    <w:rsid w:val="009B68A4"/>
    <w:rsid w:val="009B6FDC"/>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B16"/>
    <w:rsid w:val="009D0EE8"/>
    <w:rsid w:val="009D10F3"/>
    <w:rsid w:val="009D1135"/>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1FA1"/>
    <w:rsid w:val="009E21B7"/>
    <w:rsid w:val="009E2CF2"/>
    <w:rsid w:val="009E2E12"/>
    <w:rsid w:val="009E2EA7"/>
    <w:rsid w:val="009E312B"/>
    <w:rsid w:val="009E3966"/>
    <w:rsid w:val="009E41D0"/>
    <w:rsid w:val="009E4844"/>
    <w:rsid w:val="009E4CC2"/>
    <w:rsid w:val="009E5156"/>
    <w:rsid w:val="009E564F"/>
    <w:rsid w:val="009E56D3"/>
    <w:rsid w:val="009E5E7A"/>
    <w:rsid w:val="009E6184"/>
    <w:rsid w:val="009E6333"/>
    <w:rsid w:val="009E655C"/>
    <w:rsid w:val="009E6F2E"/>
    <w:rsid w:val="009E72C2"/>
    <w:rsid w:val="009E7475"/>
    <w:rsid w:val="009E752B"/>
    <w:rsid w:val="009F016E"/>
    <w:rsid w:val="009F0473"/>
    <w:rsid w:val="009F0A3A"/>
    <w:rsid w:val="009F0BD3"/>
    <w:rsid w:val="009F1A72"/>
    <w:rsid w:val="009F1F49"/>
    <w:rsid w:val="009F2CB1"/>
    <w:rsid w:val="009F3218"/>
    <w:rsid w:val="009F394C"/>
    <w:rsid w:val="009F3A44"/>
    <w:rsid w:val="009F3E42"/>
    <w:rsid w:val="009F4F93"/>
    <w:rsid w:val="009F556C"/>
    <w:rsid w:val="009F63EE"/>
    <w:rsid w:val="009F6D3E"/>
    <w:rsid w:val="009F711E"/>
    <w:rsid w:val="009F7F2B"/>
    <w:rsid w:val="00A0001D"/>
    <w:rsid w:val="00A004AF"/>
    <w:rsid w:val="00A01037"/>
    <w:rsid w:val="00A0119C"/>
    <w:rsid w:val="00A017D4"/>
    <w:rsid w:val="00A01BD6"/>
    <w:rsid w:val="00A01C9C"/>
    <w:rsid w:val="00A01E3D"/>
    <w:rsid w:val="00A01F05"/>
    <w:rsid w:val="00A0287D"/>
    <w:rsid w:val="00A02F7B"/>
    <w:rsid w:val="00A03332"/>
    <w:rsid w:val="00A0369C"/>
    <w:rsid w:val="00A03771"/>
    <w:rsid w:val="00A04024"/>
    <w:rsid w:val="00A04595"/>
    <w:rsid w:val="00A0541B"/>
    <w:rsid w:val="00A059DA"/>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4052"/>
    <w:rsid w:val="00A140A3"/>
    <w:rsid w:val="00A14DE3"/>
    <w:rsid w:val="00A14EC5"/>
    <w:rsid w:val="00A15500"/>
    <w:rsid w:val="00A155A6"/>
    <w:rsid w:val="00A15B34"/>
    <w:rsid w:val="00A16421"/>
    <w:rsid w:val="00A1647B"/>
    <w:rsid w:val="00A16C42"/>
    <w:rsid w:val="00A177A3"/>
    <w:rsid w:val="00A17907"/>
    <w:rsid w:val="00A2072F"/>
    <w:rsid w:val="00A209C0"/>
    <w:rsid w:val="00A20EFE"/>
    <w:rsid w:val="00A21556"/>
    <w:rsid w:val="00A21903"/>
    <w:rsid w:val="00A21962"/>
    <w:rsid w:val="00A22AF7"/>
    <w:rsid w:val="00A23211"/>
    <w:rsid w:val="00A2405B"/>
    <w:rsid w:val="00A25467"/>
    <w:rsid w:val="00A2551C"/>
    <w:rsid w:val="00A25C16"/>
    <w:rsid w:val="00A25F6C"/>
    <w:rsid w:val="00A2617B"/>
    <w:rsid w:val="00A27672"/>
    <w:rsid w:val="00A27DBB"/>
    <w:rsid w:val="00A27EF7"/>
    <w:rsid w:val="00A30028"/>
    <w:rsid w:val="00A301EF"/>
    <w:rsid w:val="00A3040F"/>
    <w:rsid w:val="00A3123A"/>
    <w:rsid w:val="00A3168A"/>
    <w:rsid w:val="00A3188E"/>
    <w:rsid w:val="00A31CD2"/>
    <w:rsid w:val="00A31F68"/>
    <w:rsid w:val="00A32C31"/>
    <w:rsid w:val="00A32EFA"/>
    <w:rsid w:val="00A335F7"/>
    <w:rsid w:val="00A33696"/>
    <w:rsid w:val="00A33935"/>
    <w:rsid w:val="00A339B5"/>
    <w:rsid w:val="00A339FB"/>
    <w:rsid w:val="00A33B84"/>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87"/>
    <w:rsid w:val="00A408EB"/>
    <w:rsid w:val="00A4109A"/>
    <w:rsid w:val="00A41312"/>
    <w:rsid w:val="00A4133B"/>
    <w:rsid w:val="00A4189A"/>
    <w:rsid w:val="00A41A4E"/>
    <w:rsid w:val="00A4208F"/>
    <w:rsid w:val="00A42565"/>
    <w:rsid w:val="00A42621"/>
    <w:rsid w:val="00A436D2"/>
    <w:rsid w:val="00A43752"/>
    <w:rsid w:val="00A4391C"/>
    <w:rsid w:val="00A43ACE"/>
    <w:rsid w:val="00A443B8"/>
    <w:rsid w:val="00A4469D"/>
    <w:rsid w:val="00A44DF7"/>
    <w:rsid w:val="00A452B2"/>
    <w:rsid w:val="00A454E3"/>
    <w:rsid w:val="00A463F3"/>
    <w:rsid w:val="00A47100"/>
    <w:rsid w:val="00A472D1"/>
    <w:rsid w:val="00A47335"/>
    <w:rsid w:val="00A47902"/>
    <w:rsid w:val="00A47B8B"/>
    <w:rsid w:val="00A50258"/>
    <w:rsid w:val="00A5085F"/>
    <w:rsid w:val="00A51149"/>
    <w:rsid w:val="00A52796"/>
    <w:rsid w:val="00A52CF3"/>
    <w:rsid w:val="00A53AB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57F"/>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0C01"/>
    <w:rsid w:val="00A8117A"/>
    <w:rsid w:val="00A811CB"/>
    <w:rsid w:val="00A81D00"/>
    <w:rsid w:val="00A81D2F"/>
    <w:rsid w:val="00A81E59"/>
    <w:rsid w:val="00A81EBE"/>
    <w:rsid w:val="00A8262E"/>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6DB9"/>
    <w:rsid w:val="00AA74C0"/>
    <w:rsid w:val="00AA75F4"/>
    <w:rsid w:val="00AB0541"/>
    <w:rsid w:val="00AB09EE"/>
    <w:rsid w:val="00AB19B4"/>
    <w:rsid w:val="00AB2400"/>
    <w:rsid w:val="00AB25DF"/>
    <w:rsid w:val="00AB2CB9"/>
    <w:rsid w:val="00AB2FCB"/>
    <w:rsid w:val="00AB5377"/>
    <w:rsid w:val="00AB5383"/>
    <w:rsid w:val="00AB5B77"/>
    <w:rsid w:val="00AB7891"/>
    <w:rsid w:val="00AB7B94"/>
    <w:rsid w:val="00AB7D08"/>
    <w:rsid w:val="00AB7F83"/>
    <w:rsid w:val="00AC0B81"/>
    <w:rsid w:val="00AC17C2"/>
    <w:rsid w:val="00AC2090"/>
    <w:rsid w:val="00AC2300"/>
    <w:rsid w:val="00AC328A"/>
    <w:rsid w:val="00AC3451"/>
    <w:rsid w:val="00AC3506"/>
    <w:rsid w:val="00AC387E"/>
    <w:rsid w:val="00AC3A17"/>
    <w:rsid w:val="00AC4DD2"/>
    <w:rsid w:val="00AC5160"/>
    <w:rsid w:val="00AC5210"/>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51F"/>
    <w:rsid w:val="00AD67DE"/>
    <w:rsid w:val="00AD7076"/>
    <w:rsid w:val="00AD739C"/>
    <w:rsid w:val="00AE0764"/>
    <w:rsid w:val="00AE16D1"/>
    <w:rsid w:val="00AE1BC1"/>
    <w:rsid w:val="00AE1BD1"/>
    <w:rsid w:val="00AE1DBE"/>
    <w:rsid w:val="00AE276C"/>
    <w:rsid w:val="00AE3D5B"/>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B7"/>
    <w:rsid w:val="00AF52DC"/>
    <w:rsid w:val="00AF5B10"/>
    <w:rsid w:val="00AF6305"/>
    <w:rsid w:val="00AF6A68"/>
    <w:rsid w:val="00AF72F9"/>
    <w:rsid w:val="00B001C6"/>
    <w:rsid w:val="00B008DF"/>
    <w:rsid w:val="00B00BB3"/>
    <w:rsid w:val="00B00E5C"/>
    <w:rsid w:val="00B011D8"/>
    <w:rsid w:val="00B0131B"/>
    <w:rsid w:val="00B014AD"/>
    <w:rsid w:val="00B01819"/>
    <w:rsid w:val="00B018F4"/>
    <w:rsid w:val="00B01B20"/>
    <w:rsid w:val="00B022D8"/>
    <w:rsid w:val="00B02540"/>
    <w:rsid w:val="00B02836"/>
    <w:rsid w:val="00B039AB"/>
    <w:rsid w:val="00B039E9"/>
    <w:rsid w:val="00B03B7D"/>
    <w:rsid w:val="00B048CC"/>
    <w:rsid w:val="00B04DC3"/>
    <w:rsid w:val="00B04EED"/>
    <w:rsid w:val="00B0529B"/>
    <w:rsid w:val="00B05E03"/>
    <w:rsid w:val="00B0644E"/>
    <w:rsid w:val="00B102D5"/>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6ABD"/>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2"/>
    <w:rsid w:val="00B3556A"/>
    <w:rsid w:val="00B35594"/>
    <w:rsid w:val="00B35658"/>
    <w:rsid w:val="00B3580D"/>
    <w:rsid w:val="00B360E2"/>
    <w:rsid w:val="00B3641D"/>
    <w:rsid w:val="00B366E5"/>
    <w:rsid w:val="00B36B6D"/>
    <w:rsid w:val="00B3756E"/>
    <w:rsid w:val="00B401AE"/>
    <w:rsid w:val="00B40233"/>
    <w:rsid w:val="00B402BB"/>
    <w:rsid w:val="00B40E8C"/>
    <w:rsid w:val="00B414AF"/>
    <w:rsid w:val="00B41708"/>
    <w:rsid w:val="00B41AFE"/>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47D64"/>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A92"/>
    <w:rsid w:val="00B60ED0"/>
    <w:rsid w:val="00B62189"/>
    <w:rsid w:val="00B627E7"/>
    <w:rsid w:val="00B6283F"/>
    <w:rsid w:val="00B62DBB"/>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2D75"/>
    <w:rsid w:val="00B72F97"/>
    <w:rsid w:val="00B73AD4"/>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97C2C"/>
    <w:rsid w:val="00BA05AF"/>
    <w:rsid w:val="00BA0622"/>
    <w:rsid w:val="00BA06DA"/>
    <w:rsid w:val="00BA0810"/>
    <w:rsid w:val="00BA096B"/>
    <w:rsid w:val="00BA13D0"/>
    <w:rsid w:val="00BA1C0C"/>
    <w:rsid w:val="00BA1C65"/>
    <w:rsid w:val="00BA1F66"/>
    <w:rsid w:val="00BA23AE"/>
    <w:rsid w:val="00BA2A52"/>
    <w:rsid w:val="00BA2F50"/>
    <w:rsid w:val="00BA3293"/>
    <w:rsid w:val="00BA35C3"/>
    <w:rsid w:val="00BA3B8D"/>
    <w:rsid w:val="00BA3C29"/>
    <w:rsid w:val="00BA3F2E"/>
    <w:rsid w:val="00BA403D"/>
    <w:rsid w:val="00BA4357"/>
    <w:rsid w:val="00BA4760"/>
    <w:rsid w:val="00BA47FB"/>
    <w:rsid w:val="00BA4FF0"/>
    <w:rsid w:val="00BA58D9"/>
    <w:rsid w:val="00BA5FB5"/>
    <w:rsid w:val="00BA6E60"/>
    <w:rsid w:val="00BA7003"/>
    <w:rsid w:val="00BA71ED"/>
    <w:rsid w:val="00BA7CCE"/>
    <w:rsid w:val="00BA7F76"/>
    <w:rsid w:val="00BB065D"/>
    <w:rsid w:val="00BB0A16"/>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4B50"/>
    <w:rsid w:val="00BB5036"/>
    <w:rsid w:val="00BB53A3"/>
    <w:rsid w:val="00BB5BAF"/>
    <w:rsid w:val="00BB5F46"/>
    <w:rsid w:val="00BB6888"/>
    <w:rsid w:val="00BB6EFD"/>
    <w:rsid w:val="00BB75F8"/>
    <w:rsid w:val="00BB7709"/>
    <w:rsid w:val="00BB779D"/>
    <w:rsid w:val="00BB789F"/>
    <w:rsid w:val="00BB7A4D"/>
    <w:rsid w:val="00BC03CF"/>
    <w:rsid w:val="00BC068E"/>
    <w:rsid w:val="00BC107E"/>
    <w:rsid w:val="00BC1C7C"/>
    <w:rsid w:val="00BC205F"/>
    <w:rsid w:val="00BC22EA"/>
    <w:rsid w:val="00BC289D"/>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8D4"/>
    <w:rsid w:val="00BC7B04"/>
    <w:rsid w:val="00BC7E15"/>
    <w:rsid w:val="00BC7E36"/>
    <w:rsid w:val="00BD020B"/>
    <w:rsid w:val="00BD09B1"/>
    <w:rsid w:val="00BD0FE8"/>
    <w:rsid w:val="00BD16D6"/>
    <w:rsid w:val="00BD1B72"/>
    <w:rsid w:val="00BD25F4"/>
    <w:rsid w:val="00BD31B3"/>
    <w:rsid w:val="00BD38B1"/>
    <w:rsid w:val="00BD3BB5"/>
    <w:rsid w:val="00BD41C0"/>
    <w:rsid w:val="00BD47A8"/>
    <w:rsid w:val="00BD485C"/>
    <w:rsid w:val="00BD4AA0"/>
    <w:rsid w:val="00BD521B"/>
    <w:rsid w:val="00BD5866"/>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4FCC"/>
    <w:rsid w:val="00BE57E3"/>
    <w:rsid w:val="00BE5D07"/>
    <w:rsid w:val="00BE61FC"/>
    <w:rsid w:val="00BE798A"/>
    <w:rsid w:val="00BE7A1E"/>
    <w:rsid w:val="00BF0159"/>
    <w:rsid w:val="00BF03E8"/>
    <w:rsid w:val="00BF0BE4"/>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347"/>
    <w:rsid w:val="00C0494D"/>
    <w:rsid w:val="00C0531C"/>
    <w:rsid w:val="00C05806"/>
    <w:rsid w:val="00C05FA3"/>
    <w:rsid w:val="00C06223"/>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638"/>
    <w:rsid w:val="00C30B3D"/>
    <w:rsid w:val="00C30BEF"/>
    <w:rsid w:val="00C30D62"/>
    <w:rsid w:val="00C30DC6"/>
    <w:rsid w:val="00C31631"/>
    <w:rsid w:val="00C316BC"/>
    <w:rsid w:val="00C31E72"/>
    <w:rsid w:val="00C32004"/>
    <w:rsid w:val="00C323BD"/>
    <w:rsid w:val="00C3290E"/>
    <w:rsid w:val="00C32D7F"/>
    <w:rsid w:val="00C33180"/>
    <w:rsid w:val="00C33462"/>
    <w:rsid w:val="00C33AE2"/>
    <w:rsid w:val="00C3406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074"/>
    <w:rsid w:val="00C47D44"/>
    <w:rsid w:val="00C5080E"/>
    <w:rsid w:val="00C50B1E"/>
    <w:rsid w:val="00C51C72"/>
    <w:rsid w:val="00C51CB1"/>
    <w:rsid w:val="00C521B4"/>
    <w:rsid w:val="00C52914"/>
    <w:rsid w:val="00C533E7"/>
    <w:rsid w:val="00C539F2"/>
    <w:rsid w:val="00C544CC"/>
    <w:rsid w:val="00C546E7"/>
    <w:rsid w:val="00C54ABD"/>
    <w:rsid w:val="00C55114"/>
    <w:rsid w:val="00C56115"/>
    <w:rsid w:val="00C56262"/>
    <w:rsid w:val="00C56748"/>
    <w:rsid w:val="00C56C95"/>
    <w:rsid w:val="00C56F4A"/>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9FD"/>
    <w:rsid w:val="00C724AF"/>
    <w:rsid w:val="00C7263B"/>
    <w:rsid w:val="00C727EF"/>
    <w:rsid w:val="00C72D01"/>
    <w:rsid w:val="00C72F2F"/>
    <w:rsid w:val="00C73290"/>
    <w:rsid w:val="00C736A7"/>
    <w:rsid w:val="00C73E54"/>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5F9"/>
    <w:rsid w:val="00C8460B"/>
    <w:rsid w:val="00C852AC"/>
    <w:rsid w:val="00C857F9"/>
    <w:rsid w:val="00C860BC"/>
    <w:rsid w:val="00C86543"/>
    <w:rsid w:val="00C8683F"/>
    <w:rsid w:val="00C86967"/>
    <w:rsid w:val="00C875A7"/>
    <w:rsid w:val="00C87D19"/>
    <w:rsid w:val="00C90058"/>
    <w:rsid w:val="00C9085E"/>
    <w:rsid w:val="00C9091D"/>
    <w:rsid w:val="00C90FA2"/>
    <w:rsid w:val="00C91CA5"/>
    <w:rsid w:val="00C91D26"/>
    <w:rsid w:val="00C92267"/>
    <w:rsid w:val="00C94857"/>
    <w:rsid w:val="00C94E94"/>
    <w:rsid w:val="00C959C2"/>
    <w:rsid w:val="00C95BC5"/>
    <w:rsid w:val="00C95DEA"/>
    <w:rsid w:val="00C95FCA"/>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72E"/>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8FD"/>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B0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0A7"/>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0848"/>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ABA"/>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663"/>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7121"/>
    <w:rsid w:val="00D376AA"/>
    <w:rsid w:val="00D40043"/>
    <w:rsid w:val="00D40654"/>
    <w:rsid w:val="00D40A47"/>
    <w:rsid w:val="00D41051"/>
    <w:rsid w:val="00D410F8"/>
    <w:rsid w:val="00D417AE"/>
    <w:rsid w:val="00D419F5"/>
    <w:rsid w:val="00D41B6F"/>
    <w:rsid w:val="00D441FE"/>
    <w:rsid w:val="00D446AE"/>
    <w:rsid w:val="00D44FD3"/>
    <w:rsid w:val="00D45275"/>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5B7"/>
    <w:rsid w:val="00D548A9"/>
    <w:rsid w:val="00D54AEA"/>
    <w:rsid w:val="00D54E4B"/>
    <w:rsid w:val="00D55A7B"/>
    <w:rsid w:val="00D55A96"/>
    <w:rsid w:val="00D55AAF"/>
    <w:rsid w:val="00D56176"/>
    <w:rsid w:val="00D562D5"/>
    <w:rsid w:val="00D56796"/>
    <w:rsid w:val="00D56D40"/>
    <w:rsid w:val="00D56D85"/>
    <w:rsid w:val="00D5708D"/>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567"/>
    <w:rsid w:val="00D75805"/>
    <w:rsid w:val="00D75B50"/>
    <w:rsid w:val="00D75BE2"/>
    <w:rsid w:val="00D76480"/>
    <w:rsid w:val="00D779F7"/>
    <w:rsid w:val="00D80642"/>
    <w:rsid w:val="00D80754"/>
    <w:rsid w:val="00D81F77"/>
    <w:rsid w:val="00D82F54"/>
    <w:rsid w:val="00D83026"/>
    <w:rsid w:val="00D83045"/>
    <w:rsid w:val="00D8314F"/>
    <w:rsid w:val="00D83354"/>
    <w:rsid w:val="00D844D3"/>
    <w:rsid w:val="00D84E5B"/>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678"/>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1703"/>
    <w:rsid w:val="00DA1E28"/>
    <w:rsid w:val="00DA1E86"/>
    <w:rsid w:val="00DA23AB"/>
    <w:rsid w:val="00DA2B4B"/>
    <w:rsid w:val="00DA2F1A"/>
    <w:rsid w:val="00DA316A"/>
    <w:rsid w:val="00DA3750"/>
    <w:rsid w:val="00DA4512"/>
    <w:rsid w:val="00DA4D03"/>
    <w:rsid w:val="00DA4EAF"/>
    <w:rsid w:val="00DA5A16"/>
    <w:rsid w:val="00DA6949"/>
    <w:rsid w:val="00DA77C3"/>
    <w:rsid w:val="00DA7D0B"/>
    <w:rsid w:val="00DB07CA"/>
    <w:rsid w:val="00DB07E9"/>
    <w:rsid w:val="00DB0823"/>
    <w:rsid w:val="00DB0E2A"/>
    <w:rsid w:val="00DB111E"/>
    <w:rsid w:val="00DB19F5"/>
    <w:rsid w:val="00DB1AF9"/>
    <w:rsid w:val="00DB2436"/>
    <w:rsid w:val="00DB2629"/>
    <w:rsid w:val="00DB2718"/>
    <w:rsid w:val="00DB2773"/>
    <w:rsid w:val="00DB27E9"/>
    <w:rsid w:val="00DB2A06"/>
    <w:rsid w:val="00DB383F"/>
    <w:rsid w:val="00DB3A50"/>
    <w:rsid w:val="00DB43BC"/>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678"/>
    <w:rsid w:val="00DC0787"/>
    <w:rsid w:val="00DC0F18"/>
    <w:rsid w:val="00DC1303"/>
    <w:rsid w:val="00DC1403"/>
    <w:rsid w:val="00DC389B"/>
    <w:rsid w:val="00DC3904"/>
    <w:rsid w:val="00DC394C"/>
    <w:rsid w:val="00DC42A4"/>
    <w:rsid w:val="00DC42EA"/>
    <w:rsid w:val="00DC4933"/>
    <w:rsid w:val="00DC558C"/>
    <w:rsid w:val="00DC5ED6"/>
    <w:rsid w:val="00DC6513"/>
    <w:rsid w:val="00DC6649"/>
    <w:rsid w:val="00DC693E"/>
    <w:rsid w:val="00DC6EC1"/>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DF7C69"/>
    <w:rsid w:val="00E00270"/>
    <w:rsid w:val="00E008D8"/>
    <w:rsid w:val="00E00C6B"/>
    <w:rsid w:val="00E00D29"/>
    <w:rsid w:val="00E02A3C"/>
    <w:rsid w:val="00E02F70"/>
    <w:rsid w:val="00E031B5"/>
    <w:rsid w:val="00E032F6"/>
    <w:rsid w:val="00E03F4C"/>
    <w:rsid w:val="00E03F4E"/>
    <w:rsid w:val="00E0439C"/>
    <w:rsid w:val="00E049A5"/>
    <w:rsid w:val="00E050C2"/>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ACF"/>
    <w:rsid w:val="00E14BAD"/>
    <w:rsid w:val="00E14D14"/>
    <w:rsid w:val="00E14FBA"/>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81D"/>
    <w:rsid w:val="00E22B39"/>
    <w:rsid w:val="00E2398E"/>
    <w:rsid w:val="00E23A5C"/>
    <w:rsid w:val="00E2406F"/>
    <w:rsid w:val="00E24570"/>
    <w:rsid w:val="00E2459F"/>
    <w:rsid w:val="00E24B98"/>
    <w:rsid w:val="00E2527D"/>
    <w:rsid w:val="00E262A9"/>
    <w:rsid w:val="00E2688C"/>
    <w:rsid w:val="00E2693C"/>
    <w:rsid w:val="00E26F87"/>
    <w:rsid w:val="00E2710F"/>
    <w:rsid w:val="00E27E4B"/>
    <w:rsid w:val="00E3047D"/>
    <w:rsid w:val="00E3066D"/>
    <w:rsid w:val="00E30AF9"/>
    <w:rsid w:val="00E31B19"/>
    <w:rsid w:val="00E31FB7"/>
    <w:rsid w:val="00E32363"/>
    <w:rsid w:val="00E32488"/>
    <w:rsid w:val="00E32659"/>
    <w:rsid w:val="00E327E4"/>
    <w:rsid w:val="00E32E77"/>
    <w:rsid w:val="00E331C2"/>
    <w:rsid w:val="00E33389"/>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27A"/>
    <w:rsid w:val="00E46906"/>
    <w:rsid w:val="00E4697F"/>
    <w:rsid w:val="00E46B21"/>
    <w:rsid w:val="00E46EA3"/>
    <w:rsid w:val="00E476ED"/>
    <w:rsid w:val="00E47D3D"/>
    <w:rsid w:val="00E47E7C"/>
    <w:rsid w:val="00E50223"/>
    <w:rsid w:val="00E5059B"/>
    <w:rsid w:val="00E50F61"/>
    <w:rsid w:val="00E51502"/>
    <w:rsid w:val="00E51898"/>
    <w:rsid w:val="00E51C1B"/>
    <w:rsid w:val="00E52FD1"/>
    <w:rsid w:val="00E5332C"/>
    <w:rsid w:val="00E53353"/>
    <w:rsid w:val="00E535A6"/>
    <w:rsid w:val="00E53C45"/>
    <w:rsid w:val="00E53CE0"/>
    <w:rsid w:val="00E53DA7"/>
    <w:rsid w:val="00E540FC"/>
    <w:rsid w:val="00E54919"/>
    <w:rsid w:val="00E54C11"/>
    <w:rsid w:val="00E550D4"/>
    <w:rsid w:val="00E55DB0"/>
    <w:rsid w:val="00E5703B"/>
    <w:rsid w:val="00E577EC"/>
    <w:rsid w:val="00E57C4D"/>
    <w:rsid w:val="00E602BD"/>
    <w:rsid w:val="00E61A8D"/>
    <w:rsid w:val="00E62337"/>
    <w:rsid w:val="00E6270C"/>
    <w:rsid w:val="00E62809"/>
    <w:rsid w:val="00E62EF1"/>
    <w:rsid w:val="00E63321"/>
    <w:rsid w:val="00E634AD"/>
    <w:rsid w:val="00E635BD"/>
    <w:rsid w:val="00E63675"/>
    <w:rsid w:val="00E638A7"/>
    <w:rsid w:val="00E63FAC"/>
    <w:rsid w:val="00E64141"/>
    <w:rsid w:val="00E645E9"/>
    <w:rsid w:val="00E646D8"/>
    <w:rsid w:val="00E64760"/>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41E"/>
    <w:rsid w:val="00E70552"/>
    <w:rsid w:val="00E70B94"/>
    <w:rsid w:val="00E712A0"/>
    <w:rsid w:val="00E712F8"/>
    <w:rsid w:val="00E71416"/>
    <w:rsid w:val="00E7174D"/>
    <w:rsid w:val="00E71857"/>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06E"/>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884"/>
    <w:rsid w:val="00EA1A6D"/>
    <w:rsid w:val="00EA21DA"/>
    <w:rsid w:val="00EA2743"/>
    <w:rsid w:val="00EA28D1"/>
    <w:rsid w:val="00EA335A"/>
    <w:rsid w:val="00EA3D63"/>
    <w:rsid w:val="00EA4F3D"/>
    <w:rsid w:val="00EA515C"/>
    <w:rsid w:val="00EA5342"/>
    <w:rsid w:val="00EA55C1"/>
    <w:rsid w:val="00EA5AC0"/>
    <w:rsid w:val="00EA61F0"/>
    <w:rsid w:val="00EA6854"/>
    <w:rsid w:val="00EA6CDC"/>
    <w:rsid w:val="00EA7391"/>
    <w:rsid w:val="00EA7F63"/>
    <w:rsid w:val="00EB0265"/>
    <w:rsid w:val="00EB05FE"/>
    <w:rsid w:val="00EB0AA6"/>
    <w:rsid w:val="00EB1273"/>
    <w:rsid w:val="00EB16C2"/>
    <w:rsid w:val="00EB1A4E"/>
    <w:rsid w:val="00EB1C22"/>
    <w:rsid w:val="00EB1ED2"/>
    <w:rsid w:val="00EB22C0"/>
    <w:rsid w:val="00EB396F"/>
    <w:rsid w:val="00EB400B"/>
    <w:rsid w:val="00EB47BE"/>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8D"/>
    <w:rsid w:val="00ED42A0"/>
    <w:rsid w:val="00ED480A"/>
    <w:rsid w:val="00ED5433"/>
    <w:rsid w:val="00ED63D1"/>
    <w:rsid w:val="00ED679D"/>
    <w:rsid w:val="00ED6D2B"/>
    <w:rsid w:val="00ED76E2"/>
    <w:rsid w:val="00ED78DB"/>
    <w:rsid w:val="00ED7DE0"/>
    <w:rsid w:val="00EE0BC0"/>
    <w:rsid w:val="00EE0FA2"/>
    <w:rsid w:val="00EE11C7"/>
    <w:rsid w:val="00EE123E"/>
    <w:rsid w:val="00EE24BB"/>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E7FCF"/>
    <w:rsid w:val="00EF000A"/>
    <w:rsid w:val="00EF03CC"/>
    <w:rsid w:val="00EF2215"/>
    <w:rsid w:val="00EF302F"/>
    <w:rsid w:val="00EF3061"/>
    <w:rsid w:val="00EF3B49"/>
    <w:rsid w:val="00EF3E0F"/>
    <w:rsid w:val="00EF45CF"/>
    <w:rsid w:val="00EF4B52"/>
    <w:rsid w:val="00EF5517"/>
    <w:rsid w:val="00EF596F"/>
    <w:rsid w:val="00EF5CDA"/>
    <w:rsid w:val="00EF63E5"/>
    <w:rsid w:val="00EF6DC4"/>
    <w:rsid w:val="00EF70BA"/>
    <w:rsid w:val="00EF7876"/>
    <w:rsid w:val="00EF7970"/>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6FA8"/>
    <w:rsid w:val="00F0755E"/>
    <w:rsid w:val="00F07E52"/>
    <w:rsid w:val="00F106E4"/>
    <w:rsid w:val="00F10B1D"/>
    <w:rsid w:val="00F10ECA"/>
    <w:rsid w:val="00F11011"/>
    <w:rsid w:val="00F115D6"/>
    <w:rsid w:val="00F1171C"/>
    <w:rsid w:val="00F119FB"/>
    <w:rsid w:val="00F11F70"/>
    <w:rsid w:val="00F12333"/>
    <w:rsid w:val="00F1255D"/>
    <w:rsid w:val="00F12F5F"/>
    <w:rsid w:val="00F130EC"/>
    <w:rsid w:val="00F145D4"/>
    <w:rsid w:val="00F14AEC"/>
    <w:rsid w:val="00F14ED0"/>
    <w:rsid w:val="00F15735"/>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57D"/>
    <w:rsid w:val="00F23EB4"/>
    <w:rsid w:val="00F24840"/>
    <w:rsid w:val="00F24BD2"/>
    <w:rsid w:val="00F2529A"/>
    <w:rsid w:val="00F25333"/>
    <w:rsid w:val="00F2565F"/>
    <w:rsid w:val="00F25A72"/>
    <w:rsid w:val="00F25BCF"/>
    <w:rsid w:val="00F25F5E"/>
    <w:rsid w:val="00F260CB"/>
    <w:rsid w:val="00F26C19"/>
    <w:rsid w:val="00F27A70"/>
    <w:rsid w:val="00F27B0A"/>
    <w:rsid w:val="00F27CB1"/>
    <w:rsid w:val="00F3192A"/>
    <w:rsid w:val="00F31E2D"/>
    <w:rsid w:val="00F321AA"/>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BF5"/>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354"/>
    <w:rsid w:val="00F54B56"/>
    <w:rsid w:val="00F54DAB"/>
    <w:rsid w:val="00F55CC6"/>
    <w:rsid w:val="00F55CDC"/>
    <w:rsid w:val="00F56161"/>
    <w:rsid w:val="00F561CC"/>
    <w:rsid w:val="00F563CD"/>
    <w:rsid w:val="00F56862"/>
    <w:rsid w:val="00F56D67"/>
    <w:rsid w:val="00F56FE5"/>
    <w:rsid w:val="00F57124"/>
    <w:rsid w:val="00F575AF"/>
    <w:rsid w:val="00F57925"/>
    <w:rsid w:val="00F57A83"/>
    <w:rsid w:val="00F60256"/>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636"/>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05F"/>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2104"/>
    <w:rsid w:val="00F9227B"/>
    <w:rsid w:val="00F9253D"/>
    <w:rsid w:val="00F92E2B"/>
    <w:rsid w:val="00F93461"/>
    <w:rsid w:val="00F93676"/>
    <w:rsid w:val="00F93A3D"/>
    <w:rsid w:val="00F93C72"/>
    <w:rsid w:val="00F93C99"/>
    <w:rsid w:val="00F93DCD"/>
    <w:rsid w:val="00F94009"/>
    <w:rsid w:val="00F9412A"/>
    <w:rsid w:val="00F94778"/>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1E22"/>
    <w:rsid w:val="00FA24F3"/>
    <w:rsid w:val="00FA263E"/>
    <w:rsid w:val="00FA2798"/>
    <w:rsid w:val="00FA3679"/>
    <w:rsid w:val="00FA3A4D"/>
    <w:rsid w:val="00FA41F1"/>
    <w:rsid w:val="00FA42BC"/>
    <w:rsid w:val="00FA4635"/>
    <w:rsid w:val="00FA501C"/>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602"/>
    <w:rsid w:val="00FC3C6C"/>
    <w:rsid w:val="00FC48C6"/>
    <w:rsid w:val="00FC4A91"/>
    <w:rsid w:val="00FC4E0B"/>
    <w:rsid w:val="00FC512A"/>
    <w:rsid w:val="00FC6141"/>
    <w:rsid w:val="00FC623A"/>
    <w:rsid w:val="00FC646D"/>
    <w:rsid w:val="00FC6505"/>
    <w:rsid w:val="00FC65E5"/>
    <w:rsid w:val="00FC6A37"/>
    <w:rsid w:val="00FC6C78"/>
    <w:rsid w:val="00FC6CEF"/>
    <w:rsid w:val="00FC6E1D"/>
    <w:rsid w:val="00FC740E"/>
    <w:rsid w:val="00FD02CC"/>
    <w:rsid w:val="00FD06C7"/>
    <w:rsid w:val="00FD0FD1"/>
    <w:rsid w:val="00FD15F8"/>
    <w:rsid w:val="00FD1685"/>
    <w:rsid w:val="00FD1AA4"/>
    <w:rsid w:val="00FD1BD4"/>
    <w:rsid w:val="00FD1EA8"/>
    <w:rsid w:val="00FD2DBC"/>
    <w:rsid w:val="00FD2FA7"/>
    <w:rsid w:val="00FD3B87"/>
    <w:rsid w:val="00FD4AD9"/>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577"/>
    <w:rsid w:val="00FE4CF1"/>
    <w:rsid w:val="00FE50B4"/>
    <w:rsid w:val="00FE546C"/>
    <w:rsid w:val="00FE54AE"/>
    <w:rsid w:val="00FE5671"/>
    <w:rsid w:val="00FE5915"/>
    <w:rsid w:val="00FE59BB"/>
    <w:rsid w:val="00FE5E25"/>
    <w:rsid w:val="00FE6400"/>
    <w:rsid w:val="00FE6AE8"/>
    <w:rsid w:val="00FE70D5"/>
    <w:rsid w:val="00FE7127"/>
    <w:rsid w:val="00FE75F3"/>
    <w:rsid w:val="00FF041F"/>
    <w:rsid w:val="00FF0C67"/>
    <w:rsid w:val="00FF0E6A"/>
    <w:rsid w:val="00FF0F69"/>
    <w:rsid w:val="00FF1623"/>
    <w:rsid w:val="00FF21EF"/>
    <w:rsid w:val="00FF2A34"/>
    <w:rsid w:val="00FF2BA8"/>
    <w:rsid w:val="00FF3512"/>
    <w:rsid w:val="00FF364B"/>
    <w:rsid w:val="00FF41EF"/>
    <w:rsid w:val="00FF4283"/>
    <w:rsid w:val="00FF4A4D"/>
    <w:rsid w:val="00FF5630"/>
    <w:rsid w:val="00FF5813"/>
    <w:rsid w:val="00FF5E54"/>
    <w:rsid w:val="00FF5E85"/>
    <w:rsid w:val="00FF6230"/>
    <w:rsid w:val="00FF64A6"/>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4:defaultImageDpi w14:val="32767"/>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644B0B"/>
    <w:pPr>
      <w:spacing w:before="120" w:after="120" w:line="240" w:lineRule="exact"/>
      <w:jc w:val="left"/>
    </w:pPr>
    <w:rPr>
      <w:rFonts w:ascii="Tahoma" w:eastAsiaTheme="minorEastAsia" w:hAnsi="Tahoma" w:cs="Tahoma"/>
      <w:color w:val="0D0D0D" w:themeColor="text1" w:themeTint="F2"/>
      <w:sz w:val="16"/>
      <w:szCs w:val="16"/>
    </w:rPr>
  </w:style>
  <w:style w:type="paragraph" w:customStyle="1" w:styleId="71B0">
    <w:name w:val="71ג טבלה טקסט B"/>
    <w:basedOn w:val="Normal"/>
    <w:qFormat/>
    <w:rsid w:val="009F6D3E"/>
    <w:pPr>
      <w:spacing w:before="120" w:after="120" w:line="240" w:lineRule="exact"/>
      <w:jc w:val="left"/>
    </w:pPr>
    <w:rPr>
      <w:rFonts w:ascii="Tahoma" w:eastAsiaTheme="minorEastAsia" w:hAnsi="Tahoma" w:cs="Tahoma"/>
      <w:b/>
      <w:bCs/>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5"/>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6">
    <w:name w:val="הפניה להערת שוליים1"/>
    <w:semiHidden/>
    <w:unhideWhenUsed/>
    <w:rsid w:val="002516DF"/>
    <w:rPr>
      <w:vertAlign w:val="superscript"/>
    </w:rPr>
  </w:style>
  <w:style w:type="paragraph" w:customStyle="1" w:styleId="17">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a"/>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a">
    <w:name w:val="גוף טקסט תו1"/>
    <w:link w:val="19"/>
    <w:uiPriority w:val="99"/>
    <w:rsid w:val="002516DF"/>
    <w:rPr>
      <w:rFonts w:eastAsia="Times New Roman" w:cs="FrankRuehl"/>
      <w:sz w:val="22"/>
      <w:szCs w:val="22"/>
    </w:rPr>
  </w:style>
  <w:style w:type="character" w:customStyle="1" w:styleId="1b">
    <w:name w:val="כותרת תחתונה תו1"/>
    <w:uiPriority w:val="99"/>
    <w:rsid w:val="002516DF"/>
    <w:rPr>
      <w:rFonts w:cs="David"/>
      <w:sz w:val="24"/>
      <w:szCs w:val="24"/>
    </w:rPr>
  </w:style>
  <w:style w:type="character" w:customStyle="1" w:styleId="1c">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d">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e">
    <w:name w:val="הפניה להערה1"/>
    <w:uiPriority w:val="99"/>
    <w:semiHidden/>
    <w:unhideWhenUsed/>
    <w:rsid w:val="002516DF"/>
    <w:rPr>
      <w:sz w:val="16"/>
      <w:szCs w:val="16"/>
    </w:rPr>
  </w:style>
  <w:style w:type="paragraph" w:customStyle="1" w:styleId="1f">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
    <w:uiPriority w:val="99"/>
    <w:rsid w:val="002516DF"/>
    <w:rPr>
      <w:rFonts w:eastAsia="Calibri"/>
      <w:szCs w:val="20"/>
    </w:rPr>
  </w:style>
  <w:style w:type="paragraph" w:customStyle="1" w:styleId="1f0">
    <w:name w:val="נושא הערה1"/>
    <w:basedOn w:val="1f"/>
    <w:next w:val="1f"/>
    <w:link w:val="ab"/>
    <w:uiPriority w:val="99"/>
    <w:semiHidden/>
    <w:unhideWhenUsed/>
    <w:rsid w:val="002516DF"/>
    <w:rPr>
      <w:b/>
      <w:bCs/>
    </w:rPr>
  </w:style>
  <w:style w:type="character" w:customStyle="1" w:styleId="ab">
    <w:name w:val="נושא הערה תו"/>
    <w:link w:val="1f0"/>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1">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ad"/>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e">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2"/>
    <w:locked/>
    <w:rsid w:val="00CF1EB5"/>
    <w:rPr>
      <w:bCs/>
      <w:noProof/>
      <w:sz w:val="24"/>
      <w:lang w:eastAsia="he-IL"/>
    </w:rPr>
  </w:style>
  <w:style w:type="paragraph" w:customStyle="1" w:styleId="af2">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2">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3">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3"/>
    <w:rsid w:val="00D17911"/>
    <w:rPr>
      <w:rFonts w:ascii="Tahoma" w:hAnsi="Tahoma" w:cs="Tahoma"/>
      <w:color w:val="0D0D0D"/>
      <w:szCs w:val="18"/>
    </w:rPr>
  </w:style>
  <w:style w:type="paragraph" w:customStyle="1" w:styleId="7190">
    <w:name w:val="71ג טקסט רץ 9"/>
    <w:basedOn w:val="af3"/>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4">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4"/>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A4208F"/>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A4208F"/>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5">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6">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6"/>
    <w:link w:val="71Char6"/>
    <w:qFormat/>
    <w:rsid w:val="009D41AC"/>
  </w:style>
  <w:style w:type="character" w:customStyle="1" w:styleId="Char2">
    <w:name w:val="כותרת לבנה בתוך תבנית אדומה בתקציר Char"/>
    <w:basedOn w:val="DefaultParagraphFont"/>
    <w:link w:val="af6"/>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7">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3">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8">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9">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ad">
    <w:name w:val="נבנצלים תו"/>
    <w:basedOn w:val="DefaultParagraphFont"/>
    <w:link w:val="ac"/>
    <w:rsid w:val="0037076D"/>
    <w:rPr>
      <w:rFonts w:eastAsia="Times New Roman"/>
      <w:sz w:val="24"/>
      <w:szCs w:val="20"/>
      <w:lang w:eastAsia="he-IL"/>
    </w:rPr>
  </w:style>
  <w:style w:type="table" w:styleId="GridTable2-Accent5">
    <w:name w:val="Grid Table 2 Accent 5"/>
    <w:basedOn w:val="TableNormal"/>
    <w:uiPriority w:val="47"/>
    <w:rsid w:val="0037076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37076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13118679">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9D2FB7E7-9998-4C45-97CB-DC98B732D947}"/>
</file>

<file path=customXml/itemProps3.xml><?xml version="1.0" encoding="utf-8"?>
<ds:datastoreItem xmlns:ds="http://schemas.openxmlformats.org/officeDocument/2006/customXml" ds:itemID="{C164D7AD-730F-41BA-902C-756481152749}"/>
</file>

<file path=customXml/itemProps4.xml><?xml version="1.0" encoding="utf-8"?>
<ds:datastoreItem xmlns:ds="http://schemas.openxmlformats.org/officeDocument/2006/customXml" ds:itemID="{425F3C50-0085-4368-9DD1-3B696F1DE77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54</TotalTime>
  <Pages>10</Pages>
  <Words>2086</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9</cp:revision>
  <cp:lastPrinted>2022-06-18T11:05:00Z</cp:lastPrinted>
  <dcterms:created xsi:type="dcterms:W3CDTF">2022-06-17T09:52:00Z</dcterms:created>
  <dcterms:modified xsi:type="dcterms:W3CDTF">2022-06-28T16:45:00Z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