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p w:rsidR="008B2E28" w:rsidP="009D1343" w14:paraId="1815C0C8" w14:textId="26F786AF">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bookmarkStart w:id="0" w:name="_Hlk63775048"/>
      <w:bookmarkEnd w:id="0"/>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9D1343" w14:paraId="25435DCB" w14:textId="77777777">
      <w:pPr>
        <w:rPr>
          <w:rtl/>
        </w:rPr>
      </w:pPr>
    </w:p>
    <w:p w:rsidR="008B2E28" w:rsidP="009D1343"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9D1343" w14:paraId="1061471B" w14:textId="4127C7C1">
      <w:pPr>
        <w:spacing w:line="240" w:lineRule="atLeast"/>
        <w:jc w:val="center"/>
        <w:rPr>
          <w:rFonts w:ascii="Tahoma" w:hAnsi="Tahoma" w:cs="Tahoma"/>
          <w:sz w:val="22"/>
          <w:szCs w:val="22"/>
          <w:rtl/>
        </w:rPr>
      </w:pPr>
    </w:p>
    <w:p w:rsidR="008B2E28" w:rsidP="009D1343" w14:paraId="40B3A360" w14:textId="3F96A396">
      <w:pPr>
        <w:spacing w:line="240" w:lineRule="atLeast"/>
        <w:jc w:val="center"/>
        <w:rPr>
          <w:rFonts w:ascii="Tahoma" w:hAnsi="Tahoma" w:cs="Tahoma"/>
          <w:sz w:val="22"/>
          <w:szCs w:val="22"/>
          <w:rtl/>
        </w:rPr>
      </w:pPr>
    </w:p>
    <w:p w:rsidR="003C32FE" w:rsidRPr="00170230" w:rsidP="009D1343" w14:paraId="665C333F" w14:textId="7B704871">
      <w:pPr>
        <w:spacing w:line="240" w:lineRule="atLeast"/>
        <w:jc w:val="center"/>
        <w:rPr>
          <w:rFonts w:ascii="Tahoma" w:hAnsi="Tahoma" w:cs="Tahoma"/>
          <w:szCs w:val="18"/>
          <w:rtl/>
        </w:rPr>
      </w:pPr>
    </w:p>
    <w:p w:rsidR="003C32FE" w:rsidP="009D1343" w14:paraId="7A26D94A" w14:textId="2B9E5050">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381000</wp:posOffset>
                </wp:positionH>
                <wp:positionV relativeFrom="paragraph">
                  <wp:posOffset>2125345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0pt,167.35pt" to="231.8pt,167.35pt" strokecolor="white"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335280</wp:posOffset>
                </wp:positionH>
                <wp:positionV relativeFrom="paragraph">
                  <wp:posOffset>337185</wp:posOffset>
                </wp:positionV>
                <wp:extent cx="4135120" cy="4273550"/>
                <wp:effectExtent l="0" t="0" r="5080"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3512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136A3E" w:rsidRPr="00087F13" w:rsidP="00087F13" w14:textId="4C5ED710">
                            <w:pPr>
                              <w:pStyle w:val="a33"/>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Pr="00087F13" w:rsidR="00087F13">
                              <w:rPr>
                                <w:rFonts w:hint="cs"/>
                                <w:spacing w:val="-4"/>
                                <w:rtl/>
                              </w:rPr>
                              <w:t xml:space="preserve">דוח על הביקורת בשלטון המקומי </w:t>
                            </w:r>
                            <w:r w:rsidR="00EA53ED">
                              <w:rPr>
                                <w:rFonts w:hint="cs"/>
                                <w:spacing w:val="-4"/>
                                <w:rtl/>
                              </w:rPr>
                              <w:t xml:space="preserve">| </w:t>
                            </w:r>
                            <w:r w:rsidRPr="00087F13">
                              <w:rPr>
                                <w:rFonts w:hint="cs"/>
                                <w:spacing w:val="-4"/>
                                <w:rtl/>
                              </w:rPr>
                              <w:t>התשפ״</w:t>
                            </w:r>
                            <w:r w:rsidRPr="00087F13" w:rsidR="00C30482">
                              <w:rPr>
                                <w:rFonts w:hint="cs"/>
                                <w:spacing w:val="-4"/>
                                <w:rtl/>
                              </w:rPr>
                              <w:t>ג</w:t>
                            </w:r>
                            <w:r w:rsidRPr="00087F13" w:rsidR="00087F13">
                              <w:rPr>
                                <w:rFonts w:hint="cs"/>
                                <w:spacing w:val="-4"/>
                                <w:rtl/>
                              </w:rPr>
                              <w:t>-2023</w:t>
                            </w:r>
                          </w:p>
                          <w:p w:rsidR="00F73EE0"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672BCD86">
                            <w:pPr>
                              <w:pStyle w:val="-1"/>
                              <w:rPr>
                                <w:rtl/>
                              </w:rPr>
                            </w:pPr>
                            <w:r w:rsidRPr="00B641CE">
                              <w:rPr>
                                <w:rtl/>
                              </w:rPr>
                              <w:t xml:space="preserve">ביקורת </w:t>
                            </w:r>
                            <w:r w:rsidR="008A394A">
                              <w:rPr>
                                <w:rFonts w:hint="cs"/>
                                <w:rtl/>
                              </w:rPr>
                              <w:t>פיננסית</w:t>
                            </w:r>
                          </w:p>
                          <w:p w:rsidR="00F73EE0" w:rsidRPr="000F5023" w:rsidP="0072357A" w14:textId="0B9098D2">
                            <w:pPr>
                              <w:pStyle w:val="a32"/>
                              <w:bidi/>
                              <w:spacing w:before="120"/>
                              <w:rPr>
                                <w:rtl/>
                              </w:rPr>
                            </w:pPr>
                            <w:r w:rsidRPr="0066246B">
                              <w:rPr>
                                <w:rtl/>
                              </w:rPr>
                              <w:t>תוכניות הבראה ברשויות מקומיות</w:t>
                            </w:r>
                            <w:r w:rsidR="00147605">
                              <w:rPr>
                                <w:rFonts w:hint="cs"/>
                                <w:rtl/>
                              </w:rPr>
                              <w:t xml:space="preserve"> </w:t>
                            </w:r>
                          </w:p>
                          <w:p w:rsidR="00C30482" w:rsidRPr="000F5023" w:rsidP="000F5023" w14:textId="77777777">
                            <w:pPr>
                              <w:pStyle w:val="a32"/>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width:325.6pt;height:336.5pt;margin-top:26.55pt;margin-left:26.4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136A3E" w:rsidRPr="00087F13" w:rsidP="00087F13" w14:paraId="6680A7A9" w14:textId="4C5ED710">
                      <w:pPr>
                        <w:pStyle w:val="a33"/>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Pr="00087F13" w:rsidR="00087F13">
                        <w:rPr>
                          <w:rFonts w:hint="cs"/>
                          <w:spacing w:val="-4"/>
                          <w:rtl/>
                        </w:rPr>
                        <w:t xml:space="preserve">דוח על הביקורת בשלטון המקומי </w:t>
                      </w:r>
                      <w:r w:rsidR="00EA53ED">
                        <w:rPr>
                          <w:rFonts w:hint="cs"/>
                          <w:spacing w:val="-4"/>
                          <w:rtl/>
                        </w:rPr>
                        <w:t xml:space="preserve">| </w:t>
                      </w:r>
                      <w:r w:rsidRPr="00087F13">
                        <w:rPr>
                          <w:rFonts w:hint="cs"/>
                          <w:spacing w:val="-4"/>
                          <w:rtl/>
                        </w:rPr>
                        <w:t>התשפ״</w:t>
                      </w:r>
                      <w:r w:rsidRPr="00087F13" w:rsidR="00C30482">
                        <w:rPr>
                          <w:rFonts w:hint="cs"/>
                          <w:spacing w:val="-4"/>
                          <w:rtl/>
                        </w:rPr>
                        <w:t>ג</w:t>
                      </w:r>
                      <w:r w:rsidRPr="00087F13" w:rsidR="00087F13">
                        <w:rPr>
                          <w:rFonts w:hint="cs"/>
                          <w:spacing w:val="-4"/>
                          <w:rtl/>
                        </w:rPr>
                        <w:t>-2023</w:t>
                      </w:r>
                    </w:p>
                    <w:p w:rsidR="00F73EE0"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672BCD86">
                      <w:pPr>
                        <w:pStyle w:val="-1"/>
                        <w:rPr>
                          <w:rtl/>
                        </w:rPr>
                      </w:pPr>
                      <w:r w:rsidRPr="00B641CE">
                        <w:rPr>
                          <w:rtl/>
                        </w:rPr>
                        <w:t xml:space="preserve">ביקורת </w:t>
                      </w:r>
                      <w:r w:rsidR="008A394A">
                        <w:rPr>
                          <w:rFonts w:hint="cs"/>
                          <w:rtl/>
                        </w:rPr>
                        <w:t>פיננסית</w:t>
                      </w:r>
                    </w:p>
                    <w:p w:rsidR="00F73EE0" w:rsidRPr="000F5023" w:rsidP="0072357A" w14:paraId="5464BE8D" w14:textId="0B9098D2">
                      <w:pPr>
                        <w:pStyle w:val="a32"/>
                        <w:bidi/>
                        <w:spacing w:before="120"/>
                        <w:rPr>
                          <w:rtl/>
                        </w:rPr>
                      </w:pPr>
                      <w:r w:rsidRPr="0066246B">
                        <w:rPr>
                          <w:rtl/>
                        </w:rPr>
                        <w:t>תוכניות הבראה ברשויות מקומיות</w:t>
                      </w:r>
                      <w:r w:rsidR="00147605">
                        <w:rPr>
                          <w:rFonts w:hint="cs"/>
                          <w:rtl/>
                        </w:rPr>
                        <w:t xml:space="preserve"> </w:t>
                      </w:r>
                    </w:p>
                    <w:p w:rsidR="00C30482" w:rsidRPr="000F5023" w:rsidP="000F5023" w14:paraId="5BE5E625" w14:textId="77777777">
                      <w:pPr>
                        <w:pStyle w:val="a32"/>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9D1343" w14:paraId="3F6AF12E" w14:textId="41115FE6">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3063620</wp:posOffset>
                </wp:positionH>
                <wp:positionV relativeFrom="paragraph">
                  <wp:posOffset>93371</wp:posOffset>
                </wp:positionV>
                <wp:extent cx="1" cy="3225600"/>
                <wp:effectExtent l="25400" t="0" r="25400" b="2603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1" cy="32256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1" style="mso-height-percent:0;mso-height-relative:margin;mso-width-percent:0;mso-width-relative:margin;mso-wrap-distance-bottom:0;mso-wrap-distance-left:9pt;mso-wrap-distance-right:9pt;mso-wrap-distance-top:0;mso-wrap-style:square;position:absolute;visibility:visible;z-index:251667456" from="241.25pt,7.35pt" to="241.25pt,261.35pt" strokecolor="white" strokeweight="4pt"/>
            </w:pict>
          </mc:Fallback>
        </mc:AlternateContent>
      </w:r>
    </w:p>
    <w:p w:rsidR="00E35DF9" w:rsidRPr="00406E80" w:rsidP="009D1343" w14:paraId="5F398D7B" w14:textId="1D834394">
      <w:pPr>
        <w:spacing w:line="240" w:lineRule="atLeast"/>
        <w:jc w:val="center"/>
        <w:rPr>
          <w:rFonts w:ascii="Tahoma" w:hAnsi="Tahoma" w:cs="Tahoma"/>
          <w:color w:val="C6D9F1"/>
          <w:sz w:val="22"/>
          <w:szCs w:val="22"/>
          <w:rtl/>
        </w:rPr>
      </w:pPr>
    </w:p>
    <w:p w:rsidR="008C0B8B" w:rsidP="009D1343" w14:paraId="1D311F15" w14:textId="376DC272">
      <w:pPr>
        <w:spacing w:line="240" w:lineRule="atLeast"/>
        <w:jc w:val="center"/>
        <w:rPr>
          <w:rFonts w:ascii="Tahoma" w:hAnsi="Tahoma" w:cs="Tahoma"/>
          <w:sz w:val="22"/>
          <w:szCs w:val="22"/>
          <w:rtl/>
        </w:rPr>
      </w:pPr>
    </w:p>
    <w:p w:rsidR="008C0B8B" w:rsidP="009D1343" w14:paraId="1AC7C61F" w14:textId="7C368683">
      <w:pPr>
        <w:spacing w:line="240" w:lineRule="atLeast"/>
        <w:jc w:val="center"/>
        <w:rPr>
          <w:rFonts w:ascii="Tahoma" w:hAnsi="Tahoma" w:cs="Tahoma"/>
          <w:sz w:val="22"/>
          <w:szCs w:val="22"/>
          <w:rtl/>
        </w:rPr>
      </w:pPr>
    </w:p>
    <w:p w:rsidR="00E35DF9" w:rsidP="009D1343" w14:paraId="1081EBD1" w14:textId="471FD795">
      <w:pPr>
        <w:spacing w:line="240" w:lineRule="atLeast"/>
        <w:jc w:val="center"/>
        <w:rPr>
          <w:rFonts w:ascii="Tahoma" w:hAnsi="Tahoma" w:cs="Tahoma"/>
          <w:sz w:val="22"/>
          <w:szCs w:val="22"/>
          <w:rtl/>
        </w:rPr>
      </w:pPr>
    </w:p>
    <w:p w:rsidR="00035688" w:rsidP="009D1343"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9D1343"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9D1343"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802F2E" w:rsidP="009D1343" w14:paraId="4ED3AA37" w14:textId="7C39B0C2">
      <w:pPr>
        <w:pStyle w:val="7329"/>
        <w:spacing w:after="960"/>
        <w:rPr>
          <w:rtl/>
        </w:rPr>
      </w:pPr>
      <w:r w:rsidRPr="00802F2E">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599105</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802F2E" w:rsidR="007C7D40">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66246B" w:rsidR="0066246B">
        <w:rPr>
          <w:noProof/>
          <w:rtl/>
        </w:rPr>
        <w:t>תוכניות הבראה ברשויות מקומיות</w:t>
      </w:r>
      <w:r w:rsidRPr="00802F2E" w:rsidR="006A1B17">
        <w:rPr>
          <w:rtl/>
        </w:rPr>
        <w:t xml:space="preserve"> </w:t>
      </w:r>
    </w:p>
    <w:p w:rsidR="007F4A20" w:rsidRPr="00F16A67" w:rsidP="009D1343" w14:paraId="0B41EED6" w14:textId="161B1DDF">
      <w:pPr>
        <w:pStyle w:val="7392"/>
        <w:rPr>
          <w:rtl/>
        </w:rPr>
      </w:pPr>
      <w:r w:rsidRPr="00CB575D">
        <w:rPr>
          <w:rtl/>
        </w:rPr>
        <w:t>בשלהי שנת 2003 היו נתונות רשויות מקומיות רבות במשבר כספי, ובעקבותיו, בפברואר 2004, קיבלה הממשלה החלטה שנועדה להוביל לפתרון כולל לגירעונות ברשויות המקומיות, כך שתתאפשר בין היתר אספקה של שירותים מוניציפליים באופן שוויוני וביעילות מרבית לכלל תושבי המדינה. במסגרת הפתרון הוצע מתווה לגיבוש תוכניות הבראה לרשויות. תוכניות ההבראה כללו הצעות לדרכי פעולה שהרשויות יידרשו לנקוט לצורכי התייעלות במטרה להגיע לאיזון תקציבי.</w:t>
      </w:r>
      <w:r w:rsidRPr="00825D63">
        <w:rPr>
          <w:rtl/>
        </w:rPr>
        <w:t xml:space="preserve"> </w:t>
      </w:r>
      <w:r w:rsidRPr="00CB575D">
        <w:rPr>
          <w:rtl/>
        </w:rPr>
        <w:t>בהמשך להחלטת הממשלה נקבעה תוכנית הבראה בחוק כאמצעי להבאת רשויות מקומיות לאיזון תקציבי. משנת 2005 פעלו רשויות מקומיות שמצבן הכספי היה קשה באמצעות תוכניות הבראה שגיבשו בשיתוף משרד הפנים</w:t>
      </w:r>
      <w:r w:rsidRPr="00F16A67" w:rsidR="0036097F">
        <w:rPr>
          <w:rFonts w:hint="cs"/>
          <w:rtl/>
        </w:rPr>
        <w:t>.</w:t>
      </w:r>
      <w:r w:rsidRPr="00F16A67" w:rsidR="00B61DE7">
        <w:rPr>
          <w:rtl/>
        </w:rPr>
        <w:t xml:space="preserve"> </w:t>
      </w:r>
    </w:p>
    <w:p w:rsidR="007F4A20" w:rsidP="009D1343"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9D1343"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9D1343" w14:paraId="2AA141C4" w14:textId="77777777">
      <w:pPr>
        <w:pStyle w:val="100"/>
        <w:tabs>
          <w:tab w:val="center" w:pos="3685"/>
        </w:tabs>
        <w:spacing w:before="360" w:after="0" w:line="240" w:lineRule="exact"/>
        <w:rPr>
          <w:b/>
          <w:bCs/>
          <w:color w:val="00305F"/>
          <w:sz w:val="32"/>
          <w:szCs w:val="32"/>
          <w:rtl/>
        </w:rPr>
      </w:pPr>
    </w:p>
    <w:tbl>
      <w:tblPr>
        <w:tblStyle w:val="TableGrid"/>
        <w:bidiVisual/>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8"/>
        <w:gridCol w:w="238"/>
        <w:gridCol w:w="1529"/>
        <w:gridCol w:w="237"/>
        <w:gridCol w:w="1700"/>
        <w:gridCol w:w="268"/>
        <w:gridCol w:w="1684"/>
      </w:tblGrid>
      <w:tr w14:paraId="58B4726B" w14:textId="77777777" w:rsidTr="00580AE5">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420374" w:rsidRPr="004562F8" w:rsidP="009D1343" w14:paraId="23EB689E" w14:textId="0802B83E">
            <w:pPr>
              <w:spacing w:after="60" w:line="240" w:lineRule="auto"/>
              <w:jc w:val="left"/>
              <w:rPr>
                <w:b/>
                <w:bCs/>
                <w:spacing w:val="-28"/>
                <w:rtl/>
              </w:rPr>
            </w:pPr>
            <w:r>
              <w:rPr>
                <w:rFonts w:ascii="Tahoma" w:hAnsi="Tahoma" w:eastAsiaTheme="minorEastAsia" w:cs="Tahoma" w:hint="cs"/>
                <w:b/>
                <w:bCs/>
                <w:color w:val="0D0D0D" w:themeColor="text1" w:themeTint="F2"/>
                <w:spacing w:val="-10"/>
                <w:sz w:val="36"/>
                <w:szCs w:val="36"/>
                <w:rtl/>
              </w:rPr>
              <w:t>71</w:t>
            </w:r>
            <w:r>
              <w:rPr>
                <w:rFonts w:ascii="Tahoma" w:hAnsi="Tahoma" w:eastAsiaTheme="minorEastAsia" w:cs="Tahoma" w:hint="cs"/>
                <w:b/>
                <w:bCs/>
                <w:color w:val="0D0D0D" w:themeColor="text1" w:themeTint="F2"/>
                <w:spacing w:val="-10"/>
                <w:sz w:val="36"/>
                <w:szCs w:val="36"/>
                <w:rtl/>
              </w:rPr>
              <w:t xml:space="preserve"> </w:t>
            </w:r>
            <w:r>
              <w:rPr>
                <w:rFonts w:ascii="Tahoma" w:hAnsi="Tahoma" w:eastAsiaTheme="minorEastAsia" w:cs="Tahoma" w:hint="cs"/>
                <w:b/>
                <w:bCs/>
                <w:color w:val="0D0D0D" w:themeColor="text1" w:themeTint="F2"/>
                <w:spacing w:val="-10"/>
                <w:sz w:val="26"/>
                <w:szCs w:val="26"/>
                <w:rtl/>
              </w:rPr>
              <w:t>רשויות מקומיות</w:t>
            </w:r>
          </w:p>
        </w:tc>
        <w:tc>
          <w:tcPr>
            <w:tcW w:w="161" w:type="pct"/>
            <w:vAlign w:val="bottom"/>
          </w:tcPr>
          <w:p w:rsidR="00420374" w:rsidP="009D1343" w14:paraId="19192EA5" w14:textId="77777777">
            <w:pPr>
              <w:spacing w:before="120" w:after="60" w:line="240" w:lineRule="auto"/>
              <w:jc w:val="left"/>
              <w:rPr>
                <w:rtl/>
              </w:rPr>
            </w:pPr>
          </w:p>
        </w:tc>
        <w:tc>
          <w:tcPr>
            <w:tcW w:w="1037" w:type="pct"/>
            <w:tcBorders>
              <w:bottom w:val="single" w:sz="12" w:space="0" w:color="000000" w:themeColor="text1"/>
            </w:tcBorders>
            <w:vAlign w:val="bottom"/>
          </w:tcPr>
          <w:p w:rsidR="00420374" w:rsidRPr="005C7ABF" w:rsidP="009D1343" w14:paraId="761F4116" w14:textId="2D0CFA4C">
            <w:pPr>
              <w:pStyle w:val="2021"/>
              <w:spacing w:before="0" w:after="60"/>
              <w:rPr>
                <w:spacing w:val="-10"/>
                <w:rtl/>
              </w:rPr>
            </w:pPr>
            <w:r>
              <w:rPr>
                <w:rFonts w:hint="cs"/>
                <w:spacing w:val="-10"/>
                <w:rtl/>
              </w:rPr>
              <w:t>79%</w:t>
            </w:r>
            <w:r w:rsidR="00AD1000">
              <w:rPr>
                <w:rFonts w:hint="cs"/>
                <w:spacing w:val="-10"/>
                <w:rtl/>
              </w:rPr>
              <w:t xml:space="preserve"> </w:t>
            </w:r>
          </w:p>
        </w:tc>
        <w:tc>
          <w:tcPr>
            <w:tcW w:w="161" w:type="pct"/>
            <w:vAlign w:val="bottom"/>
          </w:tcPr>
          <w:p w:rsidR="00420374" w:rsidP="009D1343" w14:paraId="2810DE55" w14:textId="77777777">
            <w:pPr>
              <w:spacing w:before="120" w:after="60" w:line="240" w:lineRule="auto"/>
              <w:jc w:val="left"/>
              <w:rPr>
                <w:rtl/>
              </w:rPr>
            </w:pPr>
          </w:p>
        </w:tc>
        <w:tc>
          <w:tcPr>
            <w:tcW w:w="1151" w:type="pct"/>
            <w:tcBorders>
              <w:bottom w:val="single" w:sz="12" w:space="0" w:color="000000" w:themeColor="text1"/>
            </w:tcBorders>
            <w:vAlign w:val="bottom"/>
          </w:tcPr>
          <w:p w:rsidR="00420374" w:rsidRPr="00340353" w:rsidP="009D1343" w14:paraId="2A2E27BD" w14:textId="6C8902A7">
            <w:pPr>
              <w:pStyle w:val="2021"/>
              <w:spacing w:before="0" w:after="60"/>
              <w:rPr>
                <w:b w:val="0"/>
                <w:bCs w:val="0"/>
                <w:spacing w:val="-20"/>
                <w:sz w:val="24"/>
                <w:rtl/>
              </w:rPr>
            </w:pPr>
            <w:r>
              <w:rPr>
                <w:rFonts w:hint="cs"/>
                <w:spacing w:val="-10"/>
                <w:rtl/>
              </w:rPr>
              <w:t xml:space="preserve">13 </w:t>
            </w:r>
            <w:r w:rsidRPr="00580AE5">
              <w:rPr>
                <w:rFonts w:hint="cs"/>
                <w:spacing w:val="-10"/>
                <w:sz w:val="26"/>
                <w:szCs w:val="26"/>
                <w:rtl/>
              </w:rPr>
              <w:t>תוכניות הבראה</w:t>
            </w:r>
            <w:r>
              <w:rPr>
                <w:rFonts w:hint="cs"/>
                <w:spacing w:val="-10"/>
                <w:rtl/>
              </w:rPr>
              <w:t xml:space="preserve"> </w:t>
            </w:r>
          </w:p>
        </w:tc>
        <w:tc>
          <w:tcPr>
            <w:tcW w:w="182" w:type="pct"/>
          </w:tcPr>
          <w:p w:rsidR="00420374" w:rsidP="009D1343"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420374" w:rsidP="009D1343" w14:paraId="5F3A3FF5" w14:textId="596E4E3E">
            <w:pPr>
              <w:pStyle w:val="2021"/>
              <w:spacing w:before="0" w:after="60"/>
              <w:rPr>
                <w:spacing w:val="-10"/>
                <w:rtl/>
              </w:rPr>
            </w:pPr>
            <w:r>
              <w:rPr>
                <w:rFonts w:hint="cs"/>
                <w:spacing w:val="-10"/>
                <w:rtl/>
              </w:rPr>
              <w:t xml:space="preserve">62.9 </w:t>
            </w:r>
            <w:r w:rsidRPr="00580AE5">
              <w:rPr>
                <w:rFonts w:hint="cs"/>
                <w:spacing w:val="-10"/>
                <w:sz w:val="26"/>
                <w:szCs w:val="26"/>
                <w:rtl/>
              </w:rPr>
              <w:t>מיליון ש״ח</w:t>
            </w:r>
            <w:r>
              <w:rPr>
                <w:rFonts w:hint="cs"/>
                <w:spacing w:val="-10"/>
                <w:rtl/>
              </w:rPr>
              <w:t xml:space="preserve"> </w:t>
            </w:r>
          </w:p>
        </w:tc>
      </w:tr>
      <w:tr w14:paraId="6DFAF81C" w14:textId="77777777" w:rsidTr="00580AE5">
        <w:tblPrEx>
          <w:tblW w:w="5003" w:type="pct"/>
          <w:tblLook w:val="04A0"/>
        </w:tblPrEx>
        <w:tc>
          <w:tcPr>
            <w:tcW w:w="1164" w:type="pct"/>
            <w:tcBorders>
              <w:top w:val="single" w:sz="12" w:space="0" w:color="000000" w:themeColor="text1"/>
            </w:tcBorders>
          </w:tcPr>
          <w:p w:rsidR="00580AE5" w:rsidRPr="00E52143" w:rsidP="009D1343" w14:paraId="1D96599A" w14:textId="38987ED8">
            <w:pPr>
              <w:pStyle w:val="732021"/>
              <w:spacing w:before="0"/>
              <w:rPr>
                <w:rtl/>
              </w:rPr>
            </w:pPr>
            <w:r w:rsidRPr="00CB575D">
              <w:rPr>
                <w:rFonts w:hint="cs"/>
                <w:rtl/>
              </w:rPr>
              <w:t xml:space="preserve">פעלו בשנים 2011 - 2020 במסגרת תוכניות הבראה. </w:t>
            </w:r>
            <w:r w:rsidRPr="00CB575D">
              <w:rPr>
                <w:rtl/>
              </w:rPr>
              <w:t>ביוני 2022, מועד תחילת הביקורת, פעלו 33 רשויות מקומיות במסגרת תוכניות הבראה</w:t>
            </w:r>
          </w:p>
        </w:tc>
        <w:tc>
          <w:tcPr>
            <w:tcW w:w="161" w:type="pct"/>
          </w:tcPr>
          <w:p w:rsidR="00580AE5" w:rsidRPr="00E52143" w:rsidP="009D1343" w14:paraId="2BF81D8C" w14:textId="77777777">
            <w:pPr>
              <w:pStyle w:val="732021"/>
              <w:spacing w:before="0"/>
              <w:rPr>
                <w:rtl/>
              </w:rPr>
            </w:pPr>
          </w:p>
        </w:tc>
        <w:tc>
          <w:tcPr>
            <w:tcW w:w="1037" w:type="pct"/>
            <w:tcBorders>
              <w:top w:val="single" w:sz="12" w:space="0" w:color="000000" w:themeColor="text1"/>
            </w:tcBorders>
          </w:tcPr>
          <w:p w:rsidR="00580AE5" w:rsidRPr="00E52143" w:rsidP="009D1343" w14:paraId="68924AF7" w14:textId="359A2543">
            <w:pPr>
              <w:pStyle w:val="732021"/>
              <w:spacing w:before="0"/>
              <w:rPr>
                <w:rtl/>
              </w:rPr>
            </w:pPr>
            <w:r w:rsidRPr="00CB575D">
              <w:rPr>
                <w:rtl/>
              </w:rPr>
              <w:t>מהרשויות שפועלות במסגרת תוכניות הבראה</w:t>
            </w:r>
            <w:r w:rsidRPr="00CB575D">
              <w:rPr>
                <w:rFonts w:hint="cs"/>
                <w:rtl/>
              </w:rPr>
              <w:t xml:space="preserve"> </w:t>
            </w:r>
            <w:r w:rsidRPr="00CB575D">
              <w:rPr>
                <w:rtl/>
              </w:rPr>
              <w:t>הן רשויות מה</w:t>
            </w:r>
            <w:r w:rsidRPr="00CB575D">
              <w:rPr>
                <w:rFonts w:hint="cs"/>
                <w:rtl/>
              </w:rPr>
              <w:t>מגזר</w:t>
            </w:r>
            <w:r w:rsidRPr="00CB575D">
              <w:rPr>
                <w:rtl/>
              </w:rPr>
              <w:t xml:space="preserve"> הערבי</w:t>
            </w:r>
          </w:p>
        </w:tc>
        <w:tc>
          <w:tcPr>
            <w:tcW w:w="161" w:type="pct"/>
          </w:tcPr>
          <w:p w:rsidR="00580AE5" w:rsidRPr="00E52143" w:rsidP="009D1343" w14:paraId="4F52CE08" w14:textId="77777777">
            <w:pPr>
              <w:pStyle w:val="732021"/>
              <w:spacing w:before="0"/>
              <w:rPr>
                <w:rtl/>
              </w:rPr>
            </w:pPr>
          </w:p>
        </w:tc>
        <w:tc>
          <w:tcPr>
            <w:tcW w:w="1153" w:type="pct"/>
            <w:tcBorders>
              <w:top w:val="single" w:sz="12" w:space="0" w:color="000000" w:themeColor="text1"/>
            </w:tcBorders>
          </w:tcPr>
          <w:p w:rsidR="00580AE5" w:rsidRPr="00917C44" w:rsidP="009D1343" w14:paraId="09053C73" w14:textId="77777777">
            <w:pPr>
              <w:pStyle w:val="732021"/>
              <w:spacing w:before="0"/>
              <w:rPr>
                <w:spacing w:val="-6"/>
                <w:rtl/>
              </w:rPr>
            </w:pPr>
            <w:r w:rsidRPr="00917C44">
              <w:rPr>
                <w:spacing w:val="-6"/>
                <w:rtl/>
              </w:rPr>
              <w:t>חוזרות ונשנות שלא צלחו</w:t>
            </w:r>
            <w:r w:rsidRPr="00917C44">
              <w:rPr>
                <w:rFonts w:hint="cs"/>
                <w:spacing w:val="-6"/>
                <w:rtl/>
              </w:rPr>
              <w:t xml:space="preserve"> הופעלו בארבע הרשויות המקומיות שנבדקו: חמש תוכניות </w:t>
            </w:r>
            <w:r w:rsidRPr="00CF6FAA">
              <w:rPr>
                <w:rFonts w:hint="cs"/>
                <w:spacing w:val="-6"/>
                <w:rtl/>
              </w:rPr>
              <w:t>ב</w:t>
            </w:r>
            <w:r w:rsidRPr="00917C44">
              <w:rPr>
                <w:b/>
                <w:bCs/>
                <w:spacing w:val="-6"/>
                <w:rtl/>
              </w:rPr>
              <w:t>בוסתאן</w:t>
            </w:r>
            <w:r w:rsidRPr="00917C44">
              <w:rPr>
                <w:b/>
                <w:bCs/>
                <w:spacing w:val="-6"/>
                <w:rtl/>
              </w:rPr>
              <w:t xml:space="preserve"> אל-</w:t>
            </w:r>
            <w:r w:rsidRPr="00917C44">
              <w:rPr>
                <w:b/>
                <w:bCs/>
                <w:spacing w:val="-6"/>
                <w:rtl/>
              </w:rPr>
              <w:t>מרג</w:t>
            </w:r>
            <w:r w:rsidRPr="00917C44">
              <w:rPr>
                <w:b/>
                <w:bCs/>
                <w:spacing w:val="-6"/>
                <w:rtl/>
              </w:rPr>
              <w:t>'</w:t>
            </w:r>
            <w:r w:rsidRPr="00917C44">
              <w:rPr>
                <w:rFonts w:hint="cs"/>
                <w:spacing w:val="-6"/>
                <w:rtl/>
              </w:rPr>
              <w:t>, שתי תוכניות ב</w:t>
            </w:r>
            <w:r w:rsidRPr="00917C44">
              <w:rPr>
                <w:b/>
                <w:bCs/>
                <w:spacing w:val="-6"/>
                <w:rtl/>
              </w:rPr>
              <w:t>בית אריה</w:t>
            </w:r>
            <w:r w:rsidRPr="00917C44">
              <w:rPr>
                <w:spacing w:val="-6"/>
                <w:rtl/>
              </w:rPr>
              <w:t xml:space="preserve">, </w:t>
            </w:r>
            <w:r w:rsidRPr="00917C44">
              <w:rPr>
                <w:rFonts w:hint="cs"/>
                <w:spacing w:val="-6"/>
                <w:rtl/>
              </w:rPr>
              <w:t xml:space="preserve">שלוש תוכניות </w:t>
            </w:r>
            <w:r w:rsidRPr="00CF6FAA">
              <w:rPr>
                <w:rFonts w:hint="cs"/>
                <w:spacing w:val="-6"/>
                <w:rtl/>
              </w:rPr>
              <w:t>ב</w:t>
            </w:r>
            <w:r w:rsidRPr="00917C44">
              <w:rPr>
                <w:b/>
                <w:bCs/>
                <w:spacing w:val="-6"/>
                <w:rtl/>
              </w:rPr>
              <w:t>ג'יסר</w:t>
            </w:r>
            <w:r w:rsidRPr="00917C44">
              <w:rPr>
                <w:b/>
                <w:bCs/>
                <w:spacing w:val="-6"/>
                <w:rtl/>
              </w:rPr>
              <w:t xml:space="preserve"> א-זרקא</w:t>
            </w:r>
            <w:r w:rsidRPr="00917C44">
              <w:rPr>
                <w:rFonts w:hint="cs"/>
                <w:spacing w:val="-6"/>
                <w:rtl/>
              </w:rPr>
              <w:t>, ושלוש תוכניות</w:t>
            </w:r>
            <w:r w:rsidRPr="00917C44">
              <w:rPr>
                <w:spacing w:val="-6"/>
                <w:rtl/>
              </w:rPr>
              <w:t xml:space="preserve"> </w:t>
            </w:r>
            <w:r w:rsidRPr="00917C44">
              <w:rPr>
                <w:spacing w:val="-6"/>
                <w:rtl/>
              </w:rPr>
              <w:t>ב</w:t>
            </w:r>
            <w:r w:rsidRPr="00917C44">
              <w:rPr>
                <w:b/>
                <w:bCs/>
                <w:spacing w:val="-6"/>
                <w:rtl/>
              </w:rPr>
              <w:t>סאג'ור</w:t>
            </w:r>
          </w:p>
          <w:p w:rsidR="00580AE5" w:rsidRPr="00580AE5" w:rsidP="009D1343" w14:paraId="203F9568" w14:textId="1B222C2B">
            <w:pPr>
              <w:pStyle w:val="732021"/>
              <w:spacing w:before="0" w:after="0"/>
              <w:rPr>
                <w:spacing w:val="-4"/>
                <w:rtl/>
              </w:rPr>
            </w:pPr>
            <w:r w:rsidRPr="00580AE5">
              <w:rPr>
                <w:spacing w:val="-4"/>
                <w:rtl/>
              </w:rPr>
              <w:t xml:space="preserve"> </w:t>
            </w:r>
          </w:p>
        </w:tc>
        <w:tc>
          <w:tcPr>
            <w:tcW w:w="182" w:type="pct"/>
          </w:tcPr>
          <w:p w:rsidR="00580AE5" w:rsidRPr="00E52143" w:rsidP="009D1343" w14:paraId="42538096" w14:textId="77777777">
            <w:pPr>
              <w:pStyle w:val="732021"/>
              <w:spacing w:before="0"/>
              <w:rPr>
                <w:rtl/>
              </w:rPr>
            </w:pPr>
          </w:p>
        </w:tc>
        <w:tc>
          <w:tcPr>
            <w:tcW w:w="1143" w:type="pct"/>
            <w:tcBorders>
              <w:top w:val="single" w:sz="12" w:space="0" w:color="000000" w:themeColor="text1"/>
            </w:tcBorders>
          </w:tcPr>
          <w:p w:rsidR="00580AE5" w:rsidRPr="00E52143" w:rsidP="009D1343" w14:paraId="1878D11D" w14:textId="64D80592">
            <w:pPr>
              <w:pStyle w:val="732021"/>
              <w:spacing w:before="0"/>
              <w:rPr>
                <w:rtl/>
              </w:rPr>
            </w:pPr>
            <w:r w:rsidRPr="00CB575D">
              <w:rPr>
                <w:rFonts w:hint="cs"/>
                <w:rtl/>
              </w:rPr>
              <w:t>העביר משרד הפנים לארבע הרשויות המקומיות שנבדקו לכיסוי גירעונות נצברים במסגרת תוכניות ההבראה בשנים 2011 - 2020</w:t>
            </w:r>
          </w:p>
        </w:tc>
      </w:tr>
      <w:tr w14:paraId="1BD5A20C" w14:textId="77777777" w:rsidTr="00580AE5">
        <w:tblPrEx>
          <w:tblW w:w="5003" w:type="pct"/>
          <w:tblLook w:val="04A0"/>
        </w:tblPrEx>
        <w:tc>
          <w:tcPr>
            <w:tcW w:w="1164" w:type="pct"/>
            <w:tcBorders>
              <w:bottom w:val="single" w:sz="12" w:space="0" w:color="000000" w:themeColor="text1"/>
            </w:tcBorders>
            <w:vAlign w:val="bottom"/>
          </w:tcPr>
          <w:p w:rsidR="00420374" w:rsidRPr="00411396" w:rsidP="00D40E8E" w14:paraId="500D3B50" w14:textId="2DB8F777">
            <w:pPr>
              <w:spacing w:after="60" w:line="240" w:lineRule="auto"/>
              <w:jc w:val="left"/>
              <w:rPr>
                <w:rFonts w:ascii="Tahoma" w:hAnsi="Tahoma" w:eastAsiaTheme="minorEastAsia" w:cs="Tahoma"/>
                <w:b/>
                <w:bCs/>
                <w:color w:val="0D0D0D" w:themeColor="text1" w:themeTint="F2"/>
                <w:spacing w:val="-10"/>
                <w:sz w:val="36"/>
                <w:szCs w:val="36"/>
                <w:rtl/>
              </w:rPr>
            </w:pPr>
            <w:r w:rsidRPr="00580AE5">
              <w:rPr>
                <w:rFonts w:ascii="Tahoma" w:hAnsi="Tahoma" w:eastAsiaTheme="minorEastAsia" w:cs="Tahoma" w:hint="cs"/>
                <w:b/>
                <w:bCs/>
                <w:color w:val="0D0D0D" w:themeColor="text1" w:themeTint="F2"/>
                <w:spacing w:val="-10"/>
                <w:sz w:val="26"/>
                <w:szCs w:val="26"/>
                <w:rtl/>
              </w:rPr>
              <w:t>כ-</w:t>
            </w:r>
            <w:r>
              <w:rPr>
                <w:rFonts w:ascii="Tahoma" w:hAnsi="Tahoma" w:eastAsiaTheme="minorEastAsia" w:cs="Tahoma" w:hint="cs"/>
                <w:b/>
                <w:bCs/>
                <w:color w:val="0D0D0D" w:themeColor="text1" w:themeTint="F2"/>
                <w:spacing w:val="-10"/>
                <w:sz w:val="36"/>
                <w:szCs w:val="36"/>
                <w:rtl/>
              </w:rPr>
              <w:t xml:space="preserve">42.2 </w:t>
            </w:r>
            <w:r w:rsidRPr="00580AE5">
              <w:rPr>
                <w:rFonts w:ascii="Tahoma" w:hAnsi="Tahoma" w:eastAsiaTheme="minorEastAsia" w:cs="Tahoma" w:hint="cs"/>
                <w:b/>
                <w:bCs/>
                <w:color w:val="0D0D0D" w:themeColor="text1" w:themeTint="F2"/>
                <w:spacing w:val="-10"/>
                <w:sz w:val="26"/>
                <w:szCs w:val="26"/>
                <w:rtl/>
              </w:rPr>
              <w:t>מיליון ש״ח</w:t>
            </w:r>
          </w:p>
        </w:tc>
        <w:tc>
          <w:tcPr>
            <w:tcW w:w="161" w:type="pct"/>
            <w:vAlign w:val="bottom"/>
          </w:tcPr>
          <w:p w:rsidR="00420374" w:rsidRPr="00E52143" w:rsidP="00D40E8E"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7" w:type="pct"/>
            <w:tcBorders>
              <w:bottom w:val="single" w:sz="12" w:space="0" w:color="000000" w:themeColor="text1"/>
            </w:tcBorders>
            <w:vAlign w:val="bottom"/>
          </w:tcPr>
          <w:p w:rsidR="00420374" w:rsidRPr="008D750B" w:rsidP="00D40E8E" w14:paraId="48896DF7" w14:textId="6E1788CB">
            <w:pPr>
              <w:pStyle w:val="2021"/>
              <w:spacing w:before="0" w:after="60"/>
              <w:rPr>
                <w:spacing w:val="-10"/>
                <w:rtl/>
              </w:rPr>
            </w:pPr>
            <w:r w:rsidRPr="00580AE5">
              <w:rPr>
                <w:rFonts w:hint="cs"/>
                <w:spacing w:val="-10"/>
                <w:sz w:val="26"/>
                <w:szCs w:val="26"/>
                <w:rtl/>
              </w:rPr>
              <w:t>ב-</w:t>
            </w:r>
            <w:r>
              <w:rPr>
                <w:rFonts w:hint="cs"/>
                <w:spacing w:val="-10"/>
                <w:rtl/>
              </w:rPr>
              <w:t xml:space="preserve">84 </w:t>
            </w:r>
            <w:r w:rsidRPr="00580AE5">
              <w:rPr>
                <w:rFonts w:hint="cs"/>
                <w:spacing w:val="-10"/>
                <w:sz w:val="26"/>
                <w:szCs w:val="26"/>
                <w:rtl/>
              </w:rPr>
              <w:t>מת</w:t>
            </w:r>
            <w:r>
              <w:rPr>
                <w:rFonts w:hint="cs"/>
                <w:spacing w:val="-10"/>
                <w:sz w:val="26"/>
                <w:szCs w:val="26"/>
                <w:rtl/>
              </w:rPr>
              <w:t>ו</w:t>
            </w:r>
            <w:r w:rsidRPr="00580AE5">
              <w:rPr>
                <w:rFonts w:hint="cs"/>
                <w:spacing w:val="-10"/>
                <w:sz w:val="26"/>
                <w:szCs w:val="26"/>
                <w:rtl/>
              </w:rPr>
              <w:t>ך</w:t>
            </w:r>
            <w:r>
              <w:rPr>
                <w:rFonts w:hint="cs"/>
                <w:spacing w:val="-10"/>
                <w:rtl/>
              </w:rPr>
              <w:t xml:space="preserve"> 186</w:t>
            </w:r>
          </w:p>
        </w:tc>
        <w:tc>
          <w:tcPr>
            <w:tcW w:w="161" w:type="pct"/>
            <w:vAlign w:val="bottom"/>
          </w:tcPr>
          <w:p w:rsidR="00420374" w:rsidP="00D40E8E" w14:paraId="5B4C8A80" w14:textId="77777777">
            <w:pPr>
              <w:spacing w:after="60" w:line="240" w:lineRule="auto"/>
              <w:jc w:val="left"/>
              <w:rPr>
                <w:rtl/>
              </w:rPr>
            </w:pPr>
          </w:p>
        </w:tc>
        <w:tc>
          <w:tcPr>
            <w:tcW w:w="1151" w:type="pct"/>
            <w:tcBorders>
              <w:bottom w:val="single" w:sz="12" w:space="0" w:color="000000" w:themeColor="text1"/>
            </w:tcBorders>
            <w:vAlign w:val="bottom"/>
          </w:tcPr>
          <w:p w:rsidR="00420374" w:rsidRPr="0062456C" w:rsidP="00D40E8E" w14:paraId="226A2E50" w14:textId="2F3C12EA">
            <w:pPr>
              <w:spacing w:after="60" w:line="192" w:lineRule="auto"/>
              <w:jc w:val="left"/>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 xml:space="preserve">27 </w:t>
            </w:r>
            <w:r w:rsidRPr="00580AE5">
              <w:rPr>
                <w:rFonts w:ascii="Tahoma" w:hAnsi="Tahoma" w:eastAsiaTheme="minorEastAsia" w:cs="Tahoma" w:hint="cs"/>
                <w:b/>
                <w:bCs/>
                <w:color w:val="0D0D0D" w:themeColor="text1" w:themeTint="F2"/>
                <w:spacing w:val="-10"/>
                <w:sz w:val="26"/>
                <w:szCs w:val="26"/>
                <w:rtl/>
              </w:rPr>
              <w:t>מיליון מתוך כ-</w:t>
            </w:r>
            <w:r>
              <w:rPr>
                <w:rFonts w:ascii="Tahoma" w:hAnsi="Tahoma" w:eastAsiaTheme="minorEastAsia" w:cs="Tahoma" w:hint="cs"/>
                <w:b/>
                <w:bCs/>
                <w:color w:val="0D0D0D" w:themeColor="text1" w:themeTint="F2"/>
                <w:spacing w:val="-10"/>
                <w:sz w:val="36"/>
                <w:szCs w:val="36"/>
                <w:rtl/>
              </w:rPr>
              <w:t xml:space="preserve">145 </w:t>
            </w:r>
            <w:r>
              <w:rPr>
                <w:rFonts w:ascii="Tahoma" w:hAnsi="Tahoma" w:eastAsiaTheme="minorEastAsia" w:cs="Tahoma"/>
                <w:b/>
                <w:bCs/>
                <w:color w:val="0D0D0D" w:themeColor="text1" w:themeTint="F2"/>
                <w:spacing w:val="-10"/>
                <w:sz w:val="26"/>
                <w:szCs w:val="26"/>
                <w:rtl/>
              </w:rPr>
              <w:br/>
            </w:r>
            <w:r w:rsidRPr="00580AE5">
              <w:rPr>
                <w:rFonts w:ascii="Tahoma" w:hAnsi="Tahoma" w:eastAsiaTheme="minorEastAsia" w:cs="Tahoma" w:hint="cs"/>
                <w:b/>
                <w:bCs/>
                <w:color w:val="0D0D0D" w:themeColor="text1" w:themeTint="F2"/>
                <w:spacing w:val="-10"/>
                <w:sz w:val="26"/>
                <w:szCs w:val="26"/>
                <w:rtl/>
              </w:rPr>
              <w:t>מיליון ש״ח</w:t>
            </w:r>
          </w:p>
        </w:tc>
        <w:tc>
          <w:tcPr>
            <w:tcW w:w="182" w:type="pct"/>
          </w:tcPr>
          <w:p w:rsidR="00420374" w:rsidP="00D40E8E"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420374" w:rsidP="00D40E8E" w14:paraId="5AEEF263" w14:textId="16EC39E0">
            <w:pPr>
              <w:spacing w:after="60" w:line="240" w:lineRule="auto"/>
              <w:jc w:val="left"/>
              <w:rPr>
                <w:rFonts w:ascii="Tahoma" w:hAnsi="Tahoma" w:eastAsiaTheme="minorEastAsia" w:cs="Tahoma"/>
                <w:b/>
                <w:bCs/>
                <w:color w:val="0D0D0D" w:themeColor="text1" w:themeTint="F2"/>
                <w:spacing w:val="-10"/>
                <w:sz w:val="36"/>
                <w:szCs w:val="36"/>
                <w:rtl/>
              </w:rPr>
            </w:pPr>
            <w:r w:rsidRPr="00580AE5">
              <w:rPr>
                <w:rFonts w:ascii="Tahoma" w:hAnsi="Tahoma" w:eastAsiaTheme="minorEastAsia" w:cs="Tahoma" w:hint="cs"/>
                <w:b/>
                <w:bCs/>
                <w:color w:val="0D0D0D" w:themeColor="text1" w:themeTint="F2"/>
                <w:spacing w:val="-10"/>
                <w:sz w:val="26"/>
                <w:szCs w:val="26"/>
                <w:rtl/>
              </w:rPr>
              <w:t>רק</w:t>
            </w:r>
            <w:r>
              <w:rPr>
                <w:rFonts w:ascii="Tahoma" w:hAnsi="Tahoma" w:eastAsiaTheme="minorEastAsia" w:cs="Tahoma" w:hint="cs"/>
                <w:b/>
                <w:bCs/>
                <w:color w:val="0D0D0D" w:themeColor="text1" w:themeTint="F2"/>
                <w:spacing w:val="-10"/>
                <w:sz w:val="36"/>
                <w:szCs w:val="36"/>
                <w:rtl/>
              </w:rPr>
              <w:t xml:space="preserve"> 3% </w:t>
            </w:r>
            <w:r w:rsidRPr="00580AE5">
              <w:rPr>
                <w:rFonts w:ascii="Tahoma" w:hAnsi="Tahoma" w:eastAsiaTheme="minorEastAsia" w:cs="Tahoma" w:hint="cs"/>
                <w:b/>
                <w:bCs/>
                <w:color w:val="0D0D0D" w:themeColor="text1" w:themeTint="F2"/>
                <w:spacing w:val="-10"/>
                <w:sz w:val="26"/>
                <w:szCs w:val="26"/>
                <w:rtl/>
              </w:rPr>
              <w:t>עד</w:t>
            </w:r>
            <w:r>
              <w:rPr>
                <w:rFonts w:ascii="Tahoma" w:hAnsi="Tahoma" w:eastAsiaTheme="minorEastAsia" w:cs="Tahoma" w:hint="cs"/>
                <w:b/>
                <w:bCs/>
                <w:color w:val="0D0D0D" w:themeColor="text1" w:themeTint="F2"/>
                <w:spacing w:val="-10"/>
                <w:sz w:val="36"/>
                <w:szCs w:val="36"/>
                <w:rtl/>
              </w:rPr>
              <w:t xml:space="preserve"> 26%</w:t>
            </w:r>
          </w:p>
        </w:tc>
      </w:tr>
      <w:tr w14:paraId="54154FA5" w14:textId="77777777" w:rsidTr="00580AE5">
        <w:tblPrEx>
          <w:tblW w:w="5003" w:type="pct"/>
          <w:tblLook w:val="04A0"/>
        </w:tblPrEx>
        <w:tc>
          <w:tcPr>
            <w:tcW w:w="1164" w:type="pct"/>
            <w:tcBorders>
              <w:top w:val="single" w:sz="12" w:space="0" w:color="000000" w:themeColor="text1"/>
            </w:tcBorders>
          </w:tcPr>
          <w:p w:rsidR="00580AE5" w:rsidRPr="004562F8" w:rsidP="009D1343" w14:paraId="6DB67748" w14:textId="6EC41FAC">
            <w:pPr>
              <w:pStyle w:val="732021"/>
              <w:spacing w:before="0" w:after="0"/>
              <w:rPr>
                <w:rtl/>
              </w:rPr>
            </w:pPr>
            <w:r w:rsidRPr="00CB575D">
              <w:rPr>
                <w:rFonts w:hint="cs"/>
                <w:rtl/>
              </w:rPr>
              <w:t xml:space="preserve">הלוואות נטלו הרשויות המקומיות שנבדקו </w:t>
            </w:r>
            <w:r w:rsidRPr="00CB575D">
              <w:rPr>
                <w:rtl/>
              </w:rPr>
              <w:t>לכיסוי גירע</w:t>
            </w:r>
            <w:r w:rsidRPr="00CB575D">
              <w:rPr>
                <w:rFonts w:hint="cs"/>
                <w:rtl/>
              </w:rPr>
              <w:t>ו</w:t>
            </w:r>
            <w:r w:rsidRPr="00CB575D">
              <w:rPr>
                <w:rtl/>
              </w:rPr>
              <w:t>נות נצברים במסגרת תוכניות ההבראה בשנים 2011 - 2020</w:t>
            </w:r>
          </w:p>
        </w:tc>
        <w:tc>
          <w:tcPr>
            <w:tcW w:w="161" w:type="pct"/>
          </w:tcPr>
          <w:p w:rsidR="00580AE5" w:rsidRPr="008D750B" w:rsidP="009D1343" w14:paraId="0C0AE598" w14:textId="77777777">
            <w:pPr>
              <w:pStyle w:val="732021"/>
              <w:spacing w:before="0" w:after="0"/>
              <w:rPr>
                <w:rtl/>
              </w:rPr>
            </w:pPr>
          </w:p>
        </w:tc>
        <w:tc>
          <w:tcPr>
            <w:tcW w:w="1037" w:type="pct"/>
            <w:tcBorders>
              <w:top w:val="single" w:sz="12" w:space="0" w:color="000000" w:themeColor="text1"/>
            </w:tcBorders>
          </w:tcPr>
          <w:p w:rsidR="00580AE5" w:rsidRPr="00917C44" w:rsidP="009D1343" w14:paraId="1A923884" w14:textId="77777777">
            <w:pPr>
              <w:pStyle w:val="732021"/>
              <w:spacing w:before="0"/>
              <w:rPr>
                <w:spacing w:val="-4"/>
                <w:rtl/>
              </w:rPr>
            </w:pPr>
            <w:r w:rsidRPr="00917C44">
              <w:rPr>
                <w:rFonts w:hint="cs"/>
                <w:spacing w:val="-4"/>
                <w:rtl/>
              </w:rPr>
              <w:t xml:space="preserve">הדרישות שנקבעו כאבני דרך וכיעדים נוספים במסגרת 13 </w:t>
            </w:r>
            <w:r w:rsidRPr="00917C44">
              <w:rPr>
                <w:spacing w:val="-4"/>
                <w:rtl/>
              </w:rPr>
              <w:t>תוכניות ההבראה</w:t>
            </w:r>
            <w:r w:rsidRPr="00917C44">
              <w:rPr>
                <w:rFonts w:hint="cs"/>
                <w:spacing w:val="-4"/>
                <w:rtl/>
              </w:rPr>
              <w:t xml:space="preserve"> - לא הצליחו הרשויות שנבדקו לעמוד</w:t>
            </w:r>
          </w:p>
          <w:p w:rsidR="00580AE5" w:rsidRPr="004562F8" w:rsidP="009D1343" w14:paraId="1916A301" w14:textId="74FFF621">
            <w:pPr>
              <w:pStyle w:val="732021"/>
              <w:spacing w:before="0" w:after="0"/>
              <w:rPr>
                <w:rtl/>
              </w:rPr>
            </w:pPr>
          </w:p>
        </w:tc>
        <w:tc>
          <w:tcPr>
            <w:tcW w:w="161" w:type="pct"/>
          </w:tcPr>
          <w:p w:rsidR="00580AE5" w:rsidP="009D1343" w14:paraId="14782C57" w14:textId="77777777">
            <w:pPr>
              <w:pStyle w:val="732021"/>
              <w:spacing w:before="0" w:after="0"/>
              <w:rPr>
                <w:rtl/>
              </w:rPr>
            </w:pPr>
          </w:p>
        </w:tc>
        <w:tc>
          <w:tcPr>
            <w:tcW w:w="1151" w:type="pct"/>
            <w:tcBorders>
              <w:top w:val="single" w:sz="12" w:space="0" w:color="000000" w:themeColor="text1"/>
            </w:tcBorders>
          </w:tcPr>
          <w:p w:rsidR="00580AE5" w:rsidRPr="0062456C" w:rsidP="009D1343" w14:paraId="6149CA50" w14:textId="6290DAC4">
            <w:pPr>
              <w:pStyle w:val="732021"/>
              <w:spacing w:before="0" w:after="0"/>
              <w:rPr>
                <w:rtl/>
              </w:rPr>
            </w:pPr>
            <w:r w:rsidRPr="00CB575D">
              <w:rPr>
                <w:rFonts w:hint="cs"/>
                <w:rtl/>
              </w:rPr>
              <w:t>סכומי מענקים שבהם לא זכו</w:t>
            </w:r>
            <w:r w:rsidRPr="00CB575D">
              <w:rPr>
                <w:rtl/>
              </w:rPr>
              <w:t xml:space="preserve"> </w:t>
            </w:r>
            <w:r w:rsidRPr="00CB575D">
              <w:rPr>
                <w:rFonts w:hint="cs"/>
                <w:rtl/>
              </w:rPr>
              <w:t>הרשויות שנבדקו</w:t>
            </w:r>
            <w:r w:rsidRPr="00CB575D">
              <w:rPr>
                <w:rtl/>
              </w:rPr>
              <w:t xml:space="preserve"> </w:t>
            </w:r>
            <w:r w:rsidRPr="00CB575D">
              <w:rPr>
                <w:rFonts w:hint="cs"/>
                <w:rtl/>
              </w:rPr>
              <w:t>מחמת אי-עמידה ביעדי תוכניות ההבראה</w:t>
            </w:r>
          </w:p>
        </w:tc>
        <w:tc>
          <w:tcPr>
            <w:tcW w:w="182" w:type="pct"/>
          </w:tcPr>
          <w:p w:rsidR="00580AE5" w:rsidRPr="00C92141" w:rsidP="009D1343" w14:paraId="66E34E8E" w14:textId="77777777">
            <w:pPr>
              <w:pStyle w:val="732021"/>
              <w:spacing w:before="0" w:after="0"/>
              <w:rPr>
                <w:rtl/>
              </w:rPr>
            </w:pPr>
          </w:p>
        </w:tc>
        <w:tc>
          <w:tcPr>
            <w:tcW w:w="1143" w:type="pct"/>
            <w:tcBorders>
              <w:top w:val="single" w:sz="12" w:space="0" w:color="000000" w:themeColor="text1"/>
            </w:tcBorders>
          </w:tcPr>
          <w:p w:rsidR="00580AE5" w:rsidRPr="00CB575D" w:rsidP="009D1343" w14:paraId="3B73B50B" w14:textId="77777777">
            <w:pPr>
              <w:pStyle w:val="732021"/>
              <w:spacing w:before="0"/>
              <w:rPr>
                <w:rtl/>
              </w:rPr>
            </w:pPr>
            <w:r w:rsidRPr="00CB575D">
              <w:rPr>
                <w:rFonts w:hint="cs"/>
                <w:rtl/>
              </w:rPr>
              <w:t xml:space="preserve">שיעורי גביית הארנונה מפיגורים בממוצע לשנה של הרשויות שנבדקו, </w:t>
            </w:r>
            <w:r w:rsidRPr="00CB575D">
              <w:rPr>
                <w:rtl/>
              </w:rPr>
              <w:t>בשנים 2011 - 2020</w:t>
            </w:r>
          </w:p>
          <w:p w:rsidR="00580AE5" w:rsidRPr="00C92141" w:rsidP="009D1343" w14:paraId="39498237" w14:textId="6A257E85">
            <w:pPr>
              <w:pStyle w:val="732021"/>
              <w:spacing w:before="0" w:after="0"/>
              <w:rPr>
                <w:rtl/>
              </w:rPr>
            </w:pPr>
          </w:p>
        </w:tc>
      </w:tr>
    </w:tbl>
    <w:p w:rsidR="00420374" w:rsidRPr="00C62692" w:rsidP="009D1343" w14:paraId="3FADD5EE" w14:textId="77777777">
      <w:pPr>
        <w:pStyle w:val="73"/>
        <w:rPr>
          <w:rtl/>
        </w:rPr>
      </w:pPr>
      <w:r w:rsidRPr="00C62692">
        <w:rPr>
          <w:rtl/>
        </w:rPr>
        <w:t>פעולות הביקורת</w:t>
      </w:r>
    </w:p>
    <w:p w:rsidR="00420374" w:rsidP="009D1343" w14:paraId="0AF4CED3" w14:textId="54ACB56C">
      <w:pPr>
        <w:pStyle w:val="7317"/>
        <w:rPr>
          <w:rtl/>
        </w:rPr>
      </w:pPr>
      <w:r w:rsidRPr="001F3363">
        <w:rPr>
          <w:noProof/>
        </w:rPr>
        <w:drawing>
          <wp:anchor distT="0" distB="0" distL="114300" distR="114300" simplePos="0" relativeHeight="251683840"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75D" w:rsidR="00580AE5">
        <w:rPr>
          <w:noProof/>
          <w:rtl/>
        </w:rPr>
        <w:t xml:space="preserve">בחודשים יוני עד נובמבר 2022 בדק משרד מבקר המדינה את הפעלת תוכניות ההבראה ברשויות המקומיות בשנים 2011 - 2020. הנושאים העיקריים שנבדקו: גיבוש תוכניות הבראה, השגת מטרות תוכניות ההבראה ועמידה ביעדיהן, מענקים והלוואות הניתנים לרשויות </w:t>
      </w:r>
      <w:r w:rsidRPr="00CB575D" w:rsidR="00580AE5">
        <w:rPr>
          <w:rFonts w:hint="cs"/>
          <w:noProof/>
          <w:rtl/>
        </w:rPr>
        <w:t>ו</w:t>
      </w:r>
      <w:r w:rsidRPr="00CB575D" w:rsidR="00580AE5">
        <w:rPr>
          <w:noProof/>
          <w:rtl/>
        </w:rPr>
        <w:t xml:space="preserve">הבקרה על יישום התוכניות. הבדיקה נעשתה בארבע רשויות מקומיות, שבכל אחת מהן הופעלו במשך השנים כמה תוכניות הבראה: במועצות המקומיות </w:t>
      </w:r>
      <w:r w:rsidRPr="00580AE5" w:rsidR="00580AE5">
        <w:rPr>
          <w:b/>
          <w:bCs/>
          <w:noProof/>
          <w:rtl/>
        </w:rPr>
        <w:t xml:space="preserve">בית אריה, ג'יסר א-זרקא </w:t>
      </w:r>
      <w:r w:rsidRPr="00580AE5" w:rsidR="00580AE5">
        <w:rPr>
          <w:noProof/>
          <w:rtl/>
        </w:rPr>
        <w:t>ו</w:t>
      </w:r>
      <w:r w:rsidRPr="00580AE5" w:rsidR="00580AE5">
        <w:rPr>
          <w:b/>
          <w:bCs/>
          <w:noProof/>
          <w:rtl/>
        </w:rPr>
        <w:t>סאג'ור</w:t>
      </w:r>
      <w:r w:rsidRPr="00CB575D" w:rsidR="00580AE5">
        <w:rPr>
          <w:noProof/>
          <w:rtl/>
        </w:rPr>
        <w:t xml:space="preserve"> ובמועצה האזורית </w:t>
      </w:r>
      <w:r w:rsidRPr="00580AE5" w:rsidR="00580AE5">
        <w:rPr>
          <w:b/>
          <w:bCs/>
          <w:noProof/>
          <w:rtl/>
        </w:rPr>
        <w:t>בוסתאן אל-מרג'</w:t>
      </w:r>
      <w:r w:rsidRPr="00CB575D" w:rsidR="00580AE5">
        <w:rPr>
          <w:noProof/>
          <w:rtl/>
        </w:rPr>
        <w:t xml:space="preserve"> (הרשויות שנבדקו). הבדיקה נעשתה גם במשרד הפנים - במטה ובמחוזות יהודה ושומרון, חיפה וצפון</w:t>
      </w:r>
      <w:r>
        <w:rPr>
          <w:rFonts w:hint="cs"/>
          <w:rtl/>
        </w:rPr>
        <w:t>.</w:t>
      </w:r>
      <w:r w:rsidRPr="001F3363">
        <w:rPr>
          <w:rFonts w:hint="cs"/>
          <w:rtl/>
        </w:rPr>
        <w:t xml:space="preserve"> </w:t>
      </w:r>
    </w:p>
    <w:p w:rsidR="002753C7" w:rsidRPr="00662020" w:rsidP="009D1343" w14:paraId="690F076D" w14:textId="20124327">
      <w:pPr>
        <w:pStyle w:val="7327"/>
        <w:rPr>
          <w:rtl/>
        </w:rPr>
      </w:pPr>
      <w:r w:rsidRPr="00362C00">
        <w:rPr>
          <w:noProof/>
          <w:rtl/>
        </w:rPr>
        <w:drawing>
          <wp:anchor distT="0" distB="0" distL="114300" distR="114300" simplePos="0" relativeHeight="251684864" behindDoc="0" locked="0" layoutInCell="1" allowOverlap="1">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rsidR="002753C7" w:rsidRPr="001F3363" w:rsidP="009D1343" w14:paraId="0B2F822B" w14:textId="27DE8E9F">
      <w:pPr>
        <w:pStyle w:val="7317"/>
        <w:rPr>
          <w:rtl/>
        </w:rPr>
      </w:pPr>
    </w:p>
    <w:p w:rsidR="00420374" w:rsidRPr="00303B4E" w:rsidP="009D1343" w14:paraId="18555822" w14:textId="0DAAE381">
      <w:pPr>
        <w:pStyle w:val="7317"/>
        <w:rPr>
          <w:rtl/>
        </w:rPr>
      </w:pPr>
      <w:r w:rsidRPr="001E745F">
        <w:rPr>
          <w:rFonts w:hint="cs"/>
          <w:b/>
          <w:bCs/>
          <w:noProof/>
          <w:rtl/>
        </w:rPr>
        <w:drawing>
          <wp:anchor distT="0" distB="0" distL="71755" distR="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E745F" w:rsidR="00580AE5">
        <w:rPr>
          <w:rFonts w:hint="cs"/>
          <w:b/>
          <w:bCs/>
          <w:rtl/>
        </w:rPr>
        <w:t>היקף הרשויות שפעלו במסגרת תוכניות הבראה</w:t>
      </w:r>
      <w:r w:rsidRPr="00CB575D" w:rsidR="00580AE5">
        <w:rPr>
          <w:rFonts w:hint="cs"/>
          <w:rtl/>
        </w:rPr>
        <w:t xml:space="preserve"> </w:t>
      </w:r>
      <w:r w:rsidRPr="00CB575D" w:rsidR="00580AE5">
        <w:rPr>
          <w:rtl/>
        </w:rPr>
        <w:t>-</w:t>
      </w:r>
      <w:r w:rsidRPr="00CB575D" w:rsidR="00580AE5">
        <w:rPr>
          <w:rFonts w:hint="cs"/>
          <w:rtl/>
        </w:rPr>
        <w:t xml:space="preserve"> בשנים 2011 - 2020 פעלו 71 רשויות מקומיות במסגרת תוכניות הבראה. בדרך כלל כל תוכנית הבראה נמשכה שנה עד שנתיים. לרוב מספר תוכניות ההבראה שהוטלו על כל אחת מ-71 הרשויות האמורות נע בין תוכנית אחת בלבד לארבע תוכניות לכל היותר. </w:t>
      </w:r>
      <w:r w:rsidRPr="00CB575D" w:rsidR="00580AE5">
        <w:rPr>
          <w:rtl/>
        </w:rPr>
        <w:t>בידי משרד הפנים אין נתונים מרוכזים על מספרן הכולל של תוכניות ההבראה שהופעלו בשנים 2011 - 2020 ב-71 רשויות מקומיות אשר פעלו בשנים הנ"ל במסגרת ת</w:t>
      </w:r>
      <w:r w:rsidRPr="00CB575D" w:rsidR="00580AE5">
        <w:rPr>
          <w:rFonts w:hint="cs"/>
          <w:rtl/>
        </w:rPr>
        <w:t>ו</w:t>
      </w:r>
      <w:r w:rsidRPr="00CB575D" w:rsidR="00580AE5">
        <w:rPr>
          <w:rtl/>
        </w:rPr>
        <w:t>כנית הבראה</w:t>
      </w:r>
      <w:r w:rsidRPr="00303B4E">
        <w:rPr>
          <w:rtl/>
        </w:rPr>
        <w:t>.</w:t>
      </w:r>
    </w:p>
    <w:p w:rsidR="00420374" w:rsidRPr="0093709F" w:rsidP="009D1343" w14:paraId="1D22E15A" w14:textId="71D80432">
      <w:pPr>
        <w:pStyle w:val="7392"/>
        <w:ind w:left="424"/>
      </w:pPr>
      <w:r w:rsidRPr="00B02658">
        <w:rPr>
          <w:rFonts w:hint="cs"/>
          <w:b/>
          <w:b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E745F" w:rsidR="00580AE5">
        <w:rPr>
          <w:b/>
          <w:bCs/>
          <w:rtl/>
        </w:rPr>
        <w:t>תחולת תוכניות ההבראה ברשויות שנבדקו</w:t>
      </w:r>
      <w:r w:rsidRPr="00CB575D" w:rsidR="00580AE5">
        <w:rPr>
          <w:rFonts w:hint="cs"/>
          <w:rtl/>
        </w:rPr>
        <w:t xml:space="preserve"> </w:t>
      </w:r>
      <w:r w:rsidRPr="00CB575D" w:rsidR="00580AE5">
        <w:rPr>
          <w:rtl/>
        </w:rPr>
        <w:t>-</w:t>
      </w:r>
      <w:r w:rsidRPr="00CB575D" w:rsidR="00580AE5">
        <w:rPr>
          <w:rFonts w:hint="cs"/>
          <w:rtl/>
        </w:rPr>
        <w:t xml:space="preserve"> </w:t>
      </w:r>
      <w:r w:rsidRPr="00CB575D" w:rsidR="00580AE5">
        <w:rPr>
          <w:rtl/>
        </w:rPr>
        <w:t xml:space="preserve">11 מתוך 13 תוכניות ההבראה שהיו בארבע הרשויות שנבדקו נחתמו בין חודשיים לעשרה חודשים לאחר שביצוען החל. דהיינו, התוכניות נחתמו בדיעבד, וכתוצאה מכך בתוכניות ההבראה נקבעו פעולות להשגת יעדים שבפועל כבר בוצעו. במועצה האזורית </w:t>
      </w:r>
      <w:r w:rsidRPr="001E745F" w:rsidR="00580AE5">
        <w:rPr>
          <w:b/>
          <w:bCs/>
          <w:rtl/>
        </w:rPr>
        <w:t>בוסתאן</w:t>
      </w:r>
      <w:r w:rsidRPr="001E745F" w:rsidR="00580AE5">
        <w:rPr>
          <w:b/>
          <w:bCs/>
          <w:rtl/>
        </w:rPr>
        <w:t xml:space="preserve"> אל-</w:t>
      </w:r>
      <w:r w:rsidRPr="001E745F" w:rsidR="00580AE5">
        <w:rPr>
          <w:b/>
          <w:bCs/>
          <w:rtl/>
        </w:rPr>
        <w:t>מרג</w:t>
      </w:r>
      <w:r w:rsidRPr="001E745F" w:rsidR="00580AE5">
        <w:rPr>
          <w:b/>
          <w:bCs/>
          <w:rtl/>
        </w:rPr>
        <w:t>'</w:t>
      </w:r>
      <w:r w:rsidRPr="00CB575D" w:rsidR="00580AE5">
        <w:rPr>
          <w:rtl/>
        </w:rPr>
        <w:t xml:space="preserve"> הופעלו </w:t>
      </w:r>
      <w:r w:rsidRPr="00CB575D" w:rsidR="00580AE5">
        <w:rPr>
          <w:rFonts w:hint="cs"/>
          <w:rtl/>
        </w:rPr>
        <w:t xml:space="preserve">במשך שנתיים </w:t>
      </w:r>
      <w:r w:rsidRPr="00CB575D" w:rsidR="00580AE5">
        <w:rPr>
          <w:rtl/>
        </w:rPr>
        <w:t>ארבע תוכניות</w:t>
      </w:r>
      <w:r w:rsidRPr="00CB575D" w:rsidR="00580AE5">
        <w:rPr>
          <w:rFonts w:hint="cs"/>
          <w:rtl/>
        </w:rPr>
        <w:t xml:space="preserve"> </w:t>
      </w:r>
      <w:r w:rsidRPr="00CB575D" w:rsidR="00580AE5">
        <w:rPr>
          <w:rtl/>
        </w:rPr>
        <w:t>הבראה באופן חלקי</w:t>
      </w:r>
      <w:r w:rsidRPr="00CB575D" w:rsidR="00580AE5">
        <w:rPr>
          <w:rFonts w:hint="cs"/>
          <w:rtl/>
        </w:rPr>
        <w:t xml:space="preserve"> על פני תקופות חופפות:</w:t>
      </w:r>
      <w:r w:rsidRPr="00CB575D" w:rsidR="00580AE5">
        <w:t xml:space="preserve"> </w:t>
      </w:r>
      <w:r w:rsidRPr="00CB575D" w:rsidR="00580AE5">
        <w:rPr>
          <w:rtl/>
        </w:rPr>
        <w:t>כאשר המועצה ומשרד הפנים נוכחו לדעת שתוכנית ההבראה שהופעלה אינה פועלת כיאות בשל אי-עמידה ביעדים, הם ביטלו אותה והפעילו תוכנית חדשה</w:t>
      </w:r>
      <w:r w:rsidRPr="00CB575D" w:rsidR="00580AE5">
        <w:rPr>
          <w:rFonts w:hint="cs"/>
          <w:rtl/>
        </w:rPr>
        <w:t>,</w:t>
      </w:r>
      <w:r w:rsidRPr="00CB575D" w:rsidR="00580AE5">
        <w:rPr>
          <w:rtl/>
        </w:rPr>
        <w:t xml:space="preserve"> מק</w:t>
      </w:r>
      <w:r w:rsidRPr="00CB575D" w:rsidR="00580AE5">
        <w:rPr>
          <w:rFonts w:hint="cs"/>
          <w:rtl/>
        </w:rPr>
        <w:t>י</w:t>
      </w:r>
      <w:r w:rsidRPr="00CB575D" w:rsidR="00580AE5">
        <w:rPr>
          <w:rtl/>
        </w:rPr>
        <w:t>לה יותר</w:t>
      </w:r>
      <w:r w:rsidRPr="0093709F">
        <w:rPr>
          <w:rFonts w:hint="cs"/>
          <w:rtl/>
        </w:rPr>
        <w:t xml:space="preserve">. </w:t>
      </w:r>
    </w:p>
    <w:p w:rsidR="00420374" w:rsidRPr="00917C44" w:rsidP="009D1343" w14:paraId="5E2BFABB" w14:textId="5DA22717">
      <w:pPr>
        <w:pStyle w:val="7392"/>
        <w:ind w:left="424"/>
        <w:rPr>
          <w:spacing w:val="-4"/>
          <w:rtl/>
        </w:rPr>
      </w:pPr>
      <w:r w:rsidRPr="00917C44">
        <w:rPr>
          <w:rFonts w:hint="cs"/>
          <w:b/>
          <w:bCs/>
          <w:noProof/>
          <w:spacing w:val="-4"/>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17C44" w:rsidR="00580AE5">
        <w:rPr>
          <w:b/>
          <w:bCs/>
          <w:spacing w:val="-4"/>
          <w:rtl/>
        </w:rPr>
        <w:t xml:space="preserve">עמידה ביעד הראשי של תוכניות ההבראה </w:t>
      </w:r>
      <w:r w:rsidRPr="00917C44" w:rsidR="00580AE5">
        <w:rPr>
          <w:rFonts w:hint="cs"/>
          <w:b/>
          <w:bCs/>
          <w:spacing w:val="-4"/>
          <w:rtl/>
        </w:rPr>
        <w:t>(</w:t>
      </w:r>
      <w:r w:rsidRPr="00917C44" w:rsidR="00580AE5">
        <w:rPr>
          <w:b/>
          <w:bCs/>
          <w:spacing w:val="-4"/>
          <w:rtl/>
        </w:rPr>
        <w:t>איזון בתקציב השנתי הרגיל</w:t>
      </w:r>
      <w:r w:rsidRPr="00917C44" w:rsidR="00580AE5">
        <w:rPr>
          <w:rFonts w:hint="cs"/>
          <w:b/>
          <w:bCs/>
          <w:spacing w:val="-4"/>
          <w:rtl/>
        </w:rPr>
        <w:t>)</w:t>
      </w:r>
      <w:r w:rsidRPr="00917C44" w:rsidR="00580AE5">
        <w:rPr>
          <w:rFonts w:hint="cs"/>
          <w:spacing w:val="-4"/>
          <w:rtl/>
        </w:rPr>
        <w:t xml:space="preserve"> </w:t>
      </w:r>
      <w:r w:rsidRPr="00917C44" w:rsidR="00580AE5">
        <w:rPr>
          <w:spacing w:val="-4"/>
          <w:rtl/>
        </w:rPr>
        <w:t>-</w:t>
      </w:r>
      <w:r w:rsidRPr="00917C44" w:rsidR="00580AE5">
        <w:rPr>
          <w:rFonts w:hint="cs"/>
          <w:spacing w:val="-4"/>
          <w:rtl/>
        </w:rPr>
        <w:t xml:space="preserve"> </w:t>
      </w:r>
      <w:r w:rsidRPr="00917C44" w:rsidR="00580AE5">
        <w:rPr>
          <w:spacing w:val="-4"/>
          <w:rtl/>
        </w:rPr>
        <w:t>בשתיים מ</w:t>
      </w:r>
      <w:r w:rsidRPr="00917C44" w:rsidR="00580AE5">
        <w:rPr>
          <w:rFonts w:hint="cs"/>
          <w:spacing w:val="-4"/>
          <w:rtl/>
        </w:rPr>
        <w:t>ארבע הרשויות שנבדקו</w:t>
      </w:r>
      <w:r w:rsidRPr="00917C44" w:rsidR="00580AE5">
        <w:rPr>
          <w:spacing w:val="-4"/>
          <w:rtl/>
        </w:rPr>
        <w:t xml:space="preserve"> (</w:t>
      </w:r>
      <w:r w:rsidRPr="00917C44" w:rsidR="00580AE5">
        <w:rPr>
          <w:b/>
          <w:bCs/>
          <w:spacing w:val="-4"/>
          <w:rtl/>
        </w:rPr>
        <w:t>בית</w:t>
      </w:r>
      <w:r w:rsidRPr="00917C44" w:rsidR="00580AE5">
        <w:rPr>
          <w:spacing w:val="-4"/>
          <w:rtl/>
        </w:rPr>
        <w:t xml:space="preserve"> </w:t>
      </w:r>
      <w:r w:rsidRPr="00917C44" w:rsidR="00580AE5">
        <w:rPr>
          <w:b/>
          <w:bCs/>
          <w:spacing w:val="-4"/>
          <w:rtl/>
        </w:rPr>
        <w:t>אריה</w:t>
      </w:r>
      <w:r w:rsidRPr="00917C44" w:rsidR="00580AE5">
        <w:rPr>
          <w:spacing w:val="-4"/>
          <w:rtl/>
        </w:rPr>
        <w:t xml:space="preserve"> </w:t>
      </w:r>
      <w:r w:rsidRPr="00917C44" w:rsidR="00580AE5">
        <w:rPr>
          <w:spacing w:val="-4"/>
          <w:rtl/>
        </w:rPr>
        <w:t>ו</w:t>
      </w:r>
      <w:r w:rsidRPr="00917C44" w:rsidR="00580AE5">
        <w:rPr>
          <w:b/>
          <w:bCs/>
          <w:spacing w:val="-4"/>
          <w:rtl/>
        </w:rPr>
        <w:t>ג'יסר</w:t>
      </w:r>
      <w:r w:rsidRPr="00917C44" w:rsidR="00580AE5">
        <w:rPr>
          <w:spacing w:val="-4"/>
          <w:rtl/>
        </w:rPr>
        <w:t xml:space="preserve"> </w:t>
      </w:r>
      <w:r w:rsidRPr="00917C44" w:rsidR="00580AE5">
        <w:rPr>
          <w:b/>
          <w:bCs/>
          <w:spacing w:val="-4"/>
          <w:rtl/>
        </w:rPr>
        <w:t>א-זרקא</w:t>
      </w:r>
      <w:r w:rsidRPr="00917C44" w:rsidR="00580AE5">
        <w:rPr>
          <w:spacing w:val="-4"/>
          <w:rtl/>
        </w:rPr>
        <w:t xml:space="preserve">) גדלו חובות </w:t>
      </w:r>
      <w:r w:rsidRPr="00917C44" w:rsidR="00580AE5">
        <w:rPr>
          <w:rFonts w:hint="cs"/>
          <w:spacing w:val="-4"/>
          <w:rtl/>
        </w:rPr>
        <w:t>הרשות המקומית (</w:t>
      </w:r>
      <w:r w:rsidRPr="00917C44" w:rsidR="00580AE5">
        <w:rPr>
          <w:spacing w:val="-4"/>
          <w:rtl/>
        </w:rPr>
        <w:t xml:space="preserve">הכוללים את הגירעון הנצבר בתקציב הרגיל, את הגירעונות הסופיים </w:t>
      </w:r>
      <w:r w:rsidRPr="00917C44" w:rsidR="00580AE5">
        <w:rPr>
          <w:rFonts w:hint="cs"/>
          <w:spacing w:val="-4"/>
          <w:rtl/>
        </w:rPr>
        <w:t>בתקציבים הבלתי רגילים</w:t>
      </w:r>
      <w:r w:rsidRPr="00917C44" w:rsidR="00580AE5">
        <w:rPr>
          <w:spacing w:val="-4"/>
          <w:rtl/>
        </w:rPr>
        <w:t xml:space="preserve"> ואת עומס המלוות</w:t>
      </w:r>
      <w:r w:rsidRPr="00917C44" w:rsidR="00580AE5">
        <w:rPr>
          <w:rFonts w:hint="cs"/>
          <w:spacing w:val="-4"/>
          <w:rtl/>
        </w:rPr>
        <w:t>)</w:t>
      </w:r>
      <w:r w:rsidRPr="00917C44" w:rsidR="00580AE5">
        <w:rPr>
          <w:spacing w:val="-4"/>
          <w:rtl/>
        </w:rPr>
        <w:t xml:space="preserve"> במהלך השנים שבהן הופעלו תוכניות ההבראה</w:t>
      </w:r>
      <w:r w:rsidRPr="00917C44" w:rsidR="00580AE5">
        <w:rPr>
          <w:rFonts w:hint="cs"/>
          <w:spacing w:val="-4"/>
          <w:rtl/>
        </w:rPr>
        <w:t xml:space="preserve"> - </w:t>
      </w:r>
      <w:r w:rsidRPr="00917C44" w:rsidR="00580AE5">
        <w:rPr>
          <w:spacing w:val="-4"/>
          <w:rtl/>
        </w:rPr>
        <w:t xml:space="preserve">סך חובותיה של המועצה המקומית </w:t>
      </w:r>
      <w:r w:rsidRPr="00917C44" w:rsidR="00580AE5">
        <w:rPr>
          <w:b/>
          <w:bCs/>
          <w:spacing w:val="-4"/>
          <w:rtl/>
        </w:rPr>
        <w:t>בית</w:t>
      </w:r>
      <w:r w:rsidRPr="00917C44" w:rsidR="00580AE5">
        <w:rPr>
          <w:spacing w:val="-4"/>
          <w:rtl/>
        </w:rPr>
        <w:t xml:space="preserve"> </w:t>
      </w:r>
      <w:r w:rsidRPr="00917C44" w:rsidR="00580AE5">
        <w:rPr>
          <w:b/>
          <w:bCs/>
          <w:spacing w:val="-4"/>
          <w:rtl/>
        </w:rPr>
        <w:t>אריה</w:t>
      </w:r>
      <w:r w:rsidRPr="00917C44" w:rsidR="00580AE5">
        <w:rPr>
          <w:spacing w:val="-4"/>
          <w:rtl/>
        </w:rPr>
        <w:t xml:space="preserve"> גדלו בכ-15.4 מיליון ש"ח</w:t>
      </w:r>
      <w:r w:rsidRPr="00917C44" w:rsidR="00580AE5">
        <w:rPr>
          <w:rFonts w:hint="cs"/>
          <w:spacing w:val="-4"/>
          <w:rtl/>
        </w:rPr>
        <w:t xml:space="preserve"> </w:t>
      </w:r>
      <w:r w:rsidRPr="00917C44" w:rsidR="00580AE5">
        <w:rPr>
          <w:spacing w:val="-4"/>
          <w:rtl/>
        </w:rPr>
        <w:t>בשנים 2016 - 2020</w:t>
      </w:r>
      <w:r w:rsidRPr="00917C44" w:rsidR="00580AE5">
        <w:rPr>
          <w:rFonts w:hint="cs"/>
          <w:spacing w:val="-4"/>
          <w:rtl/>
        </w:rPr>
        <w:t>,</w:t>
      </w:r>
      <w:r w:rsidRPr="00917C44" w:rsidR="00580AE5">
        <w:rPr>
          <w:spacing w:val="-4"/>
          <w:rtl/>
        </w:rPr>
        <w:t xml:space="preserve"> </w:t>
      </w:r>
      <w:r w:rsidRPr="00917C44" w:rsidR="00580AE5">
        <w:rPr>
          <w:rFonts w:hint="cs"/>
          <w:spacing w:val="-4"/>
          <w:rtl/>
        </w:rPr>
        <w:t xml:space="preserve">וסך חובותיה של המועצה המקומית </w:t>
      </w:r>
      <w:r w:rsidRPr="00917C44" w:rsidR="00580AE5">
        <w:rPr>
          <w:rFonts w:hint="eastAsia"/>
          <w:b/>
          <w:bCs/>
          <w:spacing w:val="-4"/>
          <w:rtl/>
        </w:rPr>
        <w:t>ג</w:t>
      </w:r>
      <w:r w:rsidRPr="00917C44" w:rsidR="00580AE5">
        <w:rPr>
          <w:b/>
          <w:bCs/>
          <w:spacing w:val="-4"/>
          <w:rtl/>
        </w:rPr>
        <w:t>'יסר</w:t>
      </w:r>
      <w:r w:rsidRPr="00917C44" w:rsidR="00580AE5">
        <w:rPr>
          <w:b/>
          <w:bCs/>
          <w:spacing w:val="-4"/>
          <w:rtl/>
        </w:rPr>
        <w:t xml:space="preserve"> א-זרקא</w:t>
      </w:r>
      <w:r w:rsidRPr="00917C44" w:rsidR="00580AE5">
        <w:rPr>
          <w:rFonts w:hint="cs"/>
          <w:spacing w:val="-4"/>
          <w:rtl/>
        </w:rPr>
        <w:t xml:space="preserve"> </w:t>
      </w:r>
      <w:r w:rsidRPr="00917C44" w:rsidR="00580AE5">
        <w:rPr>
          <w:spacing w:val="-4"/>
          <w:rtl/>
        </w:rPr>
        <w:t>גדלו בכ-33.23 מיליון ש"ח בשנים2011 - 2020</w:t>
      </w:r>
      <w:r w:rsidRPr="00917C44" w:rsidR="00580AE5">
        <w:rPr>
          <w:rFonts w:hint="cs"/>
          <w:spacing w:val="-4"/>
          <w:rtl/>
        </w:rPr>
        <w:t>;</w:t>
      </w:r>
      <w:r w:rsidRPr="00917C44" w:rsidR="00580AE5">
        <w:rPr>
          <w:spacing w:val="-4"/>
          <w:rtl/>
        </w:rPr>
        <w:t xml:space="preserve"> ובשתי רשויות (</w:t>
      </w:r>
      <w:r w:rsidRPr="00917C44" w:rsidR="00580AE5">
        <w:rPr>
          <w:b/>
          <w:bCs/>
          <w:spacing w:val="-4"/>
          <w:rtl/>
        </w:rPr>
        <w:t>בוסתאן</w:t>
      </w:r>
      <w:r w:rsidRPr="00917C44" w:rsidR="00580AE5">
        <w:rPr>
          <w:spacing w:val="-4"/>
          <w:rtl/>
        </w:rPr>
        <w:t xml:space="preserve"> </w:t>
      </w:r>
      <w:r w:rsidRPr="00917C44" w:rsidR="00580AE5">
        <w:rPr>
          <w:b/>
          <w:bCs/>
          <w:spacing w:val="-4"/>
          <w:rtl/>
        </w:rPr>
        <w:t>אל-</w:t>
      </w:r>
      <w:r w:rsidRPr="00917C44" w:rsidR="00580AE5">
        <w:rPr>
          <w:b/>
          <w:bCs/>
          <w:spacing w:val="-4"/>
          <w:rtl/>
        </w:rPr>
        <w:t>מרג</w:t>
      </w:r>
      <w:r w:rsidRPr="00917C44" w:rsidR="00580AE5">
        <w:rPr>
          <w:b/>
          <w:bCs/>
          <w:spacing w:val="-4"/>
          <w:rtl/>
        </w:rPr>
        <w:t>'</w:t>
      </w:r>
      <w:r w:rsidRPr="00917C44" w:rsidR="00580AE5">
        <w:rPr>
          <w:spacing w:val="-4"/>
          <w:rtl/>
        </w:rPr>
        <w:t xml:space="preserve"> </w:t>
      </w:r>
      <w:r w:rsidRPr="00917C44" w:rsidR="00580AE5">
        <w:rPr>
          <w:spacing w:val="-4"/>
          <w:rtl/>
        </w:rPr>
        <w:t>ו</w:t>
      </w:r>
      <w:r w:rsidRPr="00917C44" w:rsidR="00580AE5">
        <w:rPr>
          <w:b/>
          <w:bCs/>
          <w:spacing w:val="-4"/>
          <w:rtl/>
        </w:rPr>
        <w:t>סאג'ור</w:t>
      </w:r>
      <w:r w:rsidRPr="00917C44" w:rsidR="00580AE5">
        <w:rPr>
          <w:spacing w:val="-4"/>
          <w:rtl/>
        </w:rPr>
        <w:t xml:space="preserve">) אומנם קטנו החובות, אך הדבר נבע בעיקר מחמת מענקים </w:t>
      </w:r>
      <w:r w:rsidRPr="00917C44" w:rsidR="00580AE5">
        <w:rPr>
          <w:rFonts w:hint="cs"/>
          <w:spacing w:val="-4"/>
          <w:rtl/>
        </w:rPr>
        <w:t xml:space="preserve">בסכום כולל של 43.2 מיליון ש"ח </w:t>
      </w:r>
      <w:r w:rsidRPr="00917C44" w:rsidR="00580AE5">
        <w:rPr>
          <w:spacing w:val="-4"/>
          <w:rtl/>
        </w:rPr>
        <w:t>שהן קיבלו ממשרד הפנים ולא מחמת פעולותיהן העצמיות</w:t>
      </w:r>
      <w:r w:rsidRPr="00917C44" w:rsidR="00580AE5">
        <w:rPr>
          <w:rFonts w:hint="cs"/>
          <w:spacing w:val="-4"/>
          <w:rtl/>
        </w:rPr>
        <w:t xml:space="preserve">. </w:t>
      </w:r>
      <w:r w:rsidRPr="00917C44" w:rsidR="00580AE5">
        <w:rPr>
          <w:spacing w:val="-4"/>
          <w:rtl/>
        </w:rPr>
        <w:t>תוכניות ההבראה שהונהגו לאורך השנים בארבע הרשויות המקומיות שנבדקו לא הצליחו להביא את הרשויות האלה ליציבות תקציבית לאורך שנים. הרשויות המקומיות שנבדקו לא הצליחו לעמוד ביעדי תוכניות ההבראה שעליהן חתמו עם משרד הפנים, והן המשיכו להתנהל עם גירעונות נצברים, למרות המענקים בסכום כולל של 62.9 מיליון ש"ח שהועברו אליהן ו</w:t>
      </w:r>
      <w:r w:rsidRPr="00917C44" w:rsidR="00580AE5">
        <w:rPr>
          <w:rFonts w:hint="cs"/>
          <w:spacing w:val="-4"/>
          <w:rtl/>
        </w:rPr>
        <w:t xml:space="preserve">למרות </w:t>
      </w:r>
      <w:r w:rsidRPr="00917C44" w:rsidR="00580AE5">
        <w:rPr>
          <w:spacing w:val="-4"/>
          <w:rtl/>
        </w:rPr>
        <w:t xml:space="preserve">ההלוואות שניתנו להן בסכום כולל של </w:t>
      </w:r>
      <w:r w:rsidRPr="00917C44" w:rsidR="00580AE5">
        <w:rPr>
          <w:rFonts w:hint="cs"/>
          <w:spacing w:val="-4"/>
          <w:rtl/>
        </w:rPr>
        <w:t xml:space="preserve">כ-42.2 </w:t>
      </w:r>
      <w:r w:rsidRPr="00917C44" w:rsidR="00580AE5">
        <w:rPr>
          <w:spacing w:val="-4"/>
          <w:rtl/>
        </w:rPr>
        <w:t>מיליון ש"ח</w:t>
      </w:r>
      <w:r w:rsidRPr="00917C44">
        <w:rPr>
          <w:rFonts w:hint="cs"/>
          <w:spacing w:val="-4"/>
          <w:rtl/>
        </w:rPr>
        <w:t>.</w:t>
      </w:r>
    </w:p>
    <w:p w:rsidR="00420374" w:rsidRPr="00917C44" w:rsidP="009D1343" w14:paraId="583ECB3F" w14:textId="3447D729">
      <w:pPr>
        <w:pStyle w:val="7392"/>
        <w:ind w:left="424"/>
        <w:rPr>
          <w:spacing w:val="-2"/>
        </w:rPr>
      </w:pPr>
      <w:r w:rsidRPr="00917C44">
        <w:rPr>
          <w:rFonts w:hint="cs"/>
          <w:b/>
          <w:bCs/>
          <w:noProof/>
          <w:spacing w:val="-2"/>
          <w:rtl/>
        </w:rPr>
        <w:drawing>
          <wp:anchor distT="0" distB="720090" distL="114300" distR="114300" simplePos="0" relativeHeight="25168896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17C44" w:rsidR="00580AE5">
        <w:rPr>
          <w:b/>
          <w:bCs/>
          <w:spacing w:val="-2"/>
          <w:rtl/>
        </w:rPr>
        <w:t>הרכבה של תוכנית הבראה</w:t>
      </w:r>
      <w:r w:rsidRPr="00917C44" w:rsidR="00580AE5">
        <w:rPr>
          <w:rFonts w:hint="cs"/>
          <w:spacing w:val="-2"/>
          <w:rtl/>
        </w:rPr>
        <w:t xml:space="preserve"> - </w:t>
      </w:r>
      <w:r w:rsidRPr="00917C44" w:rsidR="00580AE5">
        <w:rPr>
          <w:spacing w:val="-2"/>
          <w:rtl/>
        </w:rPr>
        <w:t>נמצא כי אף שבהחלטת ממשלה נקבעו דרישות למימוש נכסים בבעלות הרשות המקומית, לביצוע שינויים מבניים וארגוניים ולהתייעלות ברכש ועריכת מכרזים משופרים</w:t>
      </w:r>
      <w:r w:rsidRPr="00917C44" w:rsidR="00580AE5">
        <w:rPr>
          <w:rFonts w:hint="cs"/>
          <w:spacing w:val="-2"/>
          <w:rtl/>
        </w:rPr>
        <w:t>,</w:t>
      </w:r>
      <w:r w:rsidRPr="00917C44" w:rsidR="00580AE5">
        <w:rPr>
          <w:spacing w:val="-2"/>
          <w:rtl/>
        </w:rPr>
        <w:t xml:space="preserve"> בפועל בכל 13 תוכניות ההבראה שהופעלו בארבע הרשויות המקומיות שנבדקו לא נכללו דרישות כאלה</w:t>
      </w:r>
      <w:r w:rsidRPr="00917C44" w:rsidR="00580AE5">
        <w:rPr>
          <w:rFonts w:hint="cs"/>
          <w:spacing w:val="-2"/>
          <w:rtl/>
        </w:rPr>
        <w:t>.</w:t>
      </w:r>
      <w:r w:rsidRPr="00917C44" w:rsidR="00580AE5">
        <w:rPr>
          <w:spacing w:val="-2"/>
          <w:rtl/>
        </w:rPr>
        <w:t xml:space="preserve"> כמו כן לא נמצא תיעוד כי משרד הפנים בחן שינויי שטחי שיפוט לגבי הרשויות המקומיות </w:t>
      </w:r>
      <w:r w:rsidRPr="00917C44" w:rsidR="00580AE5">
        <w:rPr>
          <w:b/>
          <w:bCs/>
          <w:spacing w:val="-2"/>
          <w:rtl/>
        </w:rPr>
        <w:t>בית אריה</w:t>
      </w:r>
      <w:r w:rsidRPr="00917C44" w:rsidR="00580AE5">
        <w:rPr>
          <w:spacing w:val="-2"/>
          <w:rtl/>
        </w:rPr>
        <w:t xml:space="preserve">, </w:t>
      </w:r>
      <w:r w:rsidRPr="00917C44" w:rsidR="00580AE5">
        <w:rPr>
          <w:spacing w:val="-2"/>
          <w:rtl/>
        </w:rPr>
        <w:t>ו</w:t>
      </w:r>
      <w:r w:rsidRPr="00917C44" w:rsidR="00580AE5">
        <w:rPr>
          <w:b/>
          <w:bCs/>
          <w:spacing w:val="-2"/>
          <w:rtl/>
        </w:rPr>
        <w:t>סאג'ור</w:t>
      </w:r>
      <w:r w:rsidRPr="00917C44" w:rsidR="00580AE5">
        <w:rPr>
          <w:spacing w:val="-2"/>
          <w:rtl/>
        </w:rPr>
        <w:t xml:space="preserve"> ולא נבחנה העברת הכנסות עצמיות בין הרשויות המקומיות</w:t>
      </w:r>
      <w:r w:rsidRPr="00917C44" w:rsidR="00580AE5">
        <w:rPr>
          <w:rFonts w:hint="cs"/>
          <w:spacing w:val="-2"/>
          <w:rtl/>
        </w:rPr>
        <w:t xml:space="preserve">. עוד </w:t>
      </w:r>
      <w:r w:rsidRPr="00917C44" w:rsidR="00580AE5">
        <w:rPr>
          <w:spacing w:val="-2"/>
          <w:rtl/>
        </w:rPr>
        <w:t>נמצא כי למשרד הפנים אין קריטריונים כתובים לבחירת אבני הדרך והיעדים הנוספים של תוכניות ההבראה המוצעות לרשויות המקומיות</w:t>
      </w:r>
      <w:r w:rsidRPr="00917C44">
        <w:rPr>
          <w:rFonts w:hint="cs"/>
          <w:spacing w:val="-2"/>
          <w:rtl/>
        </w:rPr>
        <w:t xml:space="preserve">. </w:t>
      </w:r>
    </w:p>
    <w:p w:rsidR="00420374" w:rsidRPr="0093709F" w:rsidP="009D1343" w14:paraId="7C081EA1" w14:textId="439C1020">
      <w:pPr>
        <w:pStyle w:val="7392"/>
        <w:ind w:left="424"/>
      </w:pPr>
      <w:r w:rsidRPr="001E745F">
        <w:rPr>
          <w:rFonts w:hint="cs"/>
          <w:b/>
          <w:bCs/>
          <w:noProof/>
          <w:rtl/>
        </w:rPr>
        <w:drawing>
          <wp:anchor distT="0" distB="720090" distL="114300" distR="114300" simplePos="0" relativeHeight="25168998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E745F" w:rsidR="00580AE5">
        <w:rPr>
          <w:b/>
          <w:bCs/>
          <w:rtl/>
        </w:rPr>
        <w:t>עמידה ביעדי אבני הדרך</w:t>
      </w:r>
      <w:r w:rsidRPr="001E745F" w:rsidR="00580AE5">
        <w:rPr>
          <w:rFonts w:hint="cs"/>
          <w:b/>
          <w:bCs/>
          <w:rtl/>
        </w:rPr>
        <w:t xml:space="preserve"> וביעדים הנוספים</w:t>
      </w:r>
      <w:r w:rsidRPr="00CB575D" w:rsidR="00580AE5">
        <w:rPr>
          <w:rFonts w:hint="cs"/>
          <w:rtl/>
        </w:rPr>
        <w:t xml:space="preserve"> </w:t>
      </w:r>
      <w:r w:rsidRPr="00CB575D" w:rsidR="00580AE5">
        <w:rPr>
          <w:rtl/>
        </w:rPr>
        <w:t>-</w:t>
      </w:r>
      <w:r w:rsidRPr="00CB575D" w:rsidR="00580AE5">
        <w:rPr>
          <w:rFonts w:hint="cs"/>
          <w:rtl/>
        </w:rPr>
        <w:t xml:space="preserve"> </w:t>
      </w:r>
      <w:r w:rsidRPr="00CB575D" w:rsidR="00580AE5">
        <w:rPr>
          <w:rtl/>
        </w:rPr>
        <w:t xml:space="preserve">הרשויות המקומיות </w:t>
      </w:r>
      <w:r w:rsidRPr="001E745F" w:rsidR="00580AE5">
        <w:rPr>
          <w:b/>
          <w:bCs/>
          <w:rtl/>
        </w:rPr>
        <w:t>בוסתאן</w:t>
      </w:r>
      <w:r w:rsidRPr="001E745F" w:rsidR="00580AE5">
        <w:rPr>
          <w:b/>
          <w:bCs/>
          <w:rtl/>
        </w:rPr>
        <w:t xml:space="preserve"> אל-</w:t>
      </w:r>
      <w:r w:rsidRPr="001E745F" w:rsidR="00580AE5">
        <w:rPr>
          <w:b/>
          <w:bCs/>
          <w:rtl/>
        </w:rPr>
        <w:t>מרג</w:t>
      </w:r>
      <w:r w:rsidRPr="001E745F" w:rsidR="00580AE5">
        <w:rPr>
          <w:b/>
          <w:bCs/>
          <w:rtl/>
        </w:rPr>
        <w:t>'</w:t>
      </w:r>
      <w:r w:rsidRPr="00540F12" w:rsidR="00580AE5">
        <w:rPr>
          <w:rtl/>
        </w:rPr>
        <w:t>,</w:t>
      </w:r>
      <w:r w:rsidRPr="00CB575D" w:rsidR="00580AE5">
        <w:rPr>
          <w:rtl/>
        </w:rPr>
        <w:t xml:space="preserve"> </w:t>
      </w:r>
      <w:r w:rsidRPr="001E745F" w:rsidR="00580AE5">
        <w:rPr>
          <w:b/>
          <w:bCs/>
          <w:rtl/>
        </w:rPr>
        <w:t>בית אריה</w:t>
      </w:r>
      <w:r w:rsidRPr="00FE0DFE" w:rsidR="00580AE5">
        <w:rPr>
          <w:b/>
          <w:bCs/>
          <w:rtl/>
        </w:rPr>
        <w:t>,</w:t>
      </w:r>
      <w:r w:rsidRPr="00CB575D" w:rsidR="00580AE5">
        <w:rPr>
          <w:rtl/>
        </w:rPr>
        <w:t xml:space="preserve"> </w:t>
      </w:r>
      <w:r w:rsidRPr="001E745F" w:rsidR="00580AE5">
        <w:rPr>
          <w:b/>
          <w:bCs/>
          <w:rtl/>
        </w:rPr>
        <w:t>ג'יסר</w:t>
      </w:r>
      <w:r w:rsidRPr="001E745F" w:rsidR="00580AE5">
        <w:rPr>
          <w:b/>
          <w:bCs/>
          <w:rtl/>
        </w:rPr>
        <w:t xml:space="preserve"> א-זרקא </w:t>
      </w:r>
      <w:r w:rsidRPr="001E745F" w:rsidR="00580AE5">
        <w:rPr>
          <w:rtl/>
        </w:rPr>
        <w:t>ו</w:t>
      </w:r>
      <w:r w:rsidRPr="001E745F" w:rsidR="00580AE5">
        <w:rPr>
          <w:b/>
          <w:bCs/>
          <w:rtl/>
        </w:rPr>
        <w:t>סאג'ור</w:t>
      </w:r>
      <w:r w:rsidRPr="00CB575D" w:rsidR="00580AE5">
        <w:rPr>
          <w:rtl/>
        </w:rPr>
        <w:t xml:space="preserve"> לא עמדו ב-84 מתוך 186 מהדרישות שנקבעו להן באבני הדרך וביעדים הנוספים שהוגדרו להן במסגרת 13 תוכניות ההבראה, וכתוצאה מכך </w:t>
      </w:r>
      <w:r w:rsidRPr="00CB575D" w:rsidR="00580AE5">
        <w:rPr>
          <w:rtl/>
        </w:rPr>
        <w:t xml:space="preserve">הן לא קיבלו הלוואות </w:t>
      </w:r>
      <w:r w:rsidRPr="00CB575D" w:rsidR="00580AE5">
        <w:rPr>
          <w:rFonts w:hint="cs"/>
          <w:rtl/>
        </w:rPr>
        <w:t xml:space="preserve">שנדרשו להבראתן ומענקים </w:t>
      </w:r>
      <w:r w:rsidRPr="00CB575D" w:rsidR="00580AE5">
        <w:rPr>
          <w:rtl/>
        </w:rPr>
        <w:t xml:space="preserve">בהיקף של כ-27 מיליון ש"ח </w:t>
      </w:r>
      <w:r w:rsidRPr="00CB575D" w:rsidR="00580AE5">
        <w:rPr>
          <w:rFonts w:hint="cs"/>
          <w:rtl/>
        </w:rPr>
        <w:t xml:space="preserve">מתוך סך של כ-145 מיליון ש"ח שהוקצו לתוכניות ההבראה </w:t>
      </w:r>
      <w:r w:rsidRPr="00CB575D" w:rsidR="00580AE5">
        <w:rPr>
          <w:rtl/>
        </w:rPr>
        <w:t>(19% מתוך סך הסכומים שנכללו בת</w:t>
      </w:r>
      <w:r w:rsidRPr="00CB575D" w:rsidR="00580AE5">
        <w:rPr>
          <w:rFonts w:hint="cs"/>
          <w:rtl/>
        </w:rPr>
        <w:t>ו</w:t>
      </w:r>
      <w:r w:rsidRPr="00CB575D" w:rsidR="00580AE5">
        <w:rPr>
          <w:rtl/>
        </w:rPr>
        <w:t>כניות ההבראה). יש לציין שקיימת שונות בהקצאת סכומי המענקים</w:t>
      </w:r>
      <w:r w:rsidRPr="00CB575D" w:rsidR="00580AE5">
        <w:rPr>
          <w:rFonts w:hint="cs"/>
          <w:rtl/>
        </w:rPr>
        <w:t>;</w:t>
      </w:r>
      <w:r w:rsidRPr="00CB575D" w:rsidR="00580AE5">
        <w:rPr>
          <w:rtl/>
        </w:rPr>
        <w:t xml:space="preserve"> לע</w:t>
      </w:r>
      <w:r w:rsidRPr="00CB575D" w:rsidR="00580AE5">
        <w:rPr>
          <w:rFonts w:hint="cs"/>
          <w:rtl/>
        </w:rPr>
        <w:t>י</w:t>
      </w:r>
      <w:r w:rsidRPr="00CB575D" w:rsidR="00580AE5">
        <w:rPr>
          <w:rtl/>
        </w:rPr>
        <w:t>תים עבור עמידה ב</w:t>
      </w:r>
      <w:r w:rsidRPr="00CB575D" w:rsidR="00580AE5">
        <w:rPr>
          <w:rFonts w:hint="cs"/>
          <w:rtl/>
        </w:rPr>
        <w:t>כמה</w:t>
      </w:r>
      <w:r w:rsidRPr="00CB575D" w:rsidR="00580AE5">
        <w:rPr>
          <w:rtl/>
        </w:rPr>
        <w:t xml:space="preserve"> יעדים הוקצו מענקים בסכומים ניכרים, כך ש</w:t>
      </w:r>
      <w:r w:rsidRPr="00CB575D" w:rsidR="00580AE5">
        <w:rPr>
          <w:rFonts w:hint="cs"/>
          <w:rtl/>
        </w:rPr>
        <w:t>אף</w:t>
      </w:r>
      <w:r w:rsidRPr="00CB575D" w:rsidR="00580AE5">
        <w:rPr>
          <w:rtl/>
        </w:rPr>
        <w:t xml:space="preserve"> שהרשויות לא עמדו ב-45% מהיעדים, הן קיבלו 81% מסך </w:t>
      </w:r>
      <w:r w:rsidRPr="00CB575D" w:rsidR="00580AE5">
        <w:rPr>
          <w:rFonts w:hint="cs"/>
          <w:rtl/>
        </w:rPr>
        <w:t>ההקצאות</w:t>
      </w:r>
      <w:r w:rsidRPr="0093709F">
        <w:rPr>
          <w:rFonts w:hint="cs"/>
          <w:rtl/>
        </w:rPr>
        <w:t xml:space="preserve">. </w:t>
      </w:r>
    </w:p>
    <w:p w:rsidR="00420374" w:rsidRPr="00917C44" w:rsidP="009D1343" w14:paraId="5E8BF229" w14:textId="5BEEB8EA">
      <w:pPr>
        <w:pStyle w:val="7392"/>
        <w:ind w:left="424"/>
        <w:rPr>
          <w:spacing w:val="-6"/>
          <w:rtl/>
        </w:rPr>
      </w:pPr>
      <w:r w:rsidRPr="00917C44">
        <w:rPr>
          <w:rFonts w:hint="cs"/>
          <w:b/>
          <w:bCs/>
          <w:noProof/>
          <w:spacing w:val="-6"/>
          <w:rtl/>
        </w:rPr>
        <w:drawing>
          <wp:anchor distT="0" distB="720090" distL="114300" distR="114300" simplePos="0" relativeHeight="251691008"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17C44" w:rsidR="00580AE5">
        <w:rPr>
          <w:rFonts w:hint="cs"/>
          <w:b/>
          <w:bCs/>
          <w:spacing w:val="-6"/>
          <w:rtl/>
        </w:rPr>
        <w:t>חובות מסופקים ו</w:t>
      </w:r>
      <w:r w:rsidRPr="00917C44" w:rsidR="00580AE5">
        <w:rPr>
          <w:b/>
          <w:bCs/>
          <w:spacing w:val="-6"/>
          <w:rtl/>
        </w:rPr>
        <w:t>חובות אבודים</w:t>
      </w:r>
      <w:r w:rsidRPr="00917C44" w:rsidR="00580AE5">
        <w:rPr>
          <w:rFonts w:hint="cs"/>
          <w:b/>
          <w:bCs/>
          <w:spacing w:val="-6"/>
          <w:rtl/>
        </w:rPr>
        <w:t xml:space="preserve"> (חובות למחיקה)</w:t>
      </w:r>
      <w:r w:rsidRPr="00917C44" w:rsidR="00580AE5">
        <w:rPr>
          <w:spacing w:val="-6"/>
          <w:rtl/>
        </w:rPr>
        <w:t xml:space="preserve"> </w:t>
      </w:r>
      <w:r w:rsidRPr="00917C44" w:rsidR="00580AE5">
        <w:rPr>
          <w:rFonts w:hint="cs"/>
          <w:spacing w:val="-6"/>
          <w:rtl/>
        </w:rPr>
        <w:t>- בסוף שנת 2020 הסתכמו החובות המסופקים ו</w:t>
      </w:r>
      <w:r w:rsidRPr="00917C44" w:rsidR="00580AE5">
        <w:rPr>
          <w:spacing w:val="-6"/>
          <w:rtl/>
        </w:rPr>
        <w:t xml:space="preserve">החובות </w:t>
      </w:r>
      <w:r w:rsidRPr="00917C44" w:rsidR="00580AE5">
        <w:rPr>
          <w:rFonts w:hint="cs"/>
          <w:spacing w:val="-6"/>
          <w:rtl/>
        </w:rPr>
        <w:t>למחיקה</w:t>
      </w:r>
      <w:r w:rsidRPr="00917C44" w:rsidR="00580AE5">
        <w:rPr>
          <w:spacing w:val="-6"/>
          <w:rtl/>
        </w:rPr>
        <w:t xml:space="preserve"> </w:t>
      </w:r>
      <w:r w:rsidRPr="00917C44" w:rsidR="00580AE5">
        <w:rPr>
          <w:rFonts w:hint="cs"/>
          <w:spacing w:val="-6"/>
          <w:rtl/>
        </w:rPr>
        <w:t>ב</w:t>
      </w:r>
      <w:r w:rsidRPr="00917C44" w:rsidR="00580AE5">
        <w:rPr>
          <w:spacing w:val="-6"/>
          <w:rtl/>
        </w:rPr>
        <w:t>בוסתאן</w:t>
      </w:r>
      <w:r w:rsidRPr="00917C44" w:rsidR="00580AE5">
        <w:rPr>
          <w:spacing w:val="-6"/>
          <w:rtl/>
        </w:rPr>
        <w:t xml:space="preserve"> אל </w:t>
      </w:r>
      <w:r w:rsidRPr="00917C44" w:rsidR="00580AE5">
        <w:rPr>
          <w:spacing w:val="-6"/>
          <w:rtl/>
        </w:rPr>
        <w:t>מרג</w:t>
      </w:r>
      <w:r w:rsidRPr="00917C44" w:rsidR="00580AE5">
        <w:rPr>
          <w:spacing w:val="-6"/>
          <w:rtl/>
        </w:rPr>
        <w:t>'</w:t>
      </w:r>
      <w:r w:rsidRPr="00917C44" w:rsidR="00580AE5">
        <w:rPr>
          <w:rFonts w:hint="cs"/>
          <w:spacing w:val="-6"/>
          <w:rtl/>
        </w:rPr>
        <w:t xml:space="preserve"> בכ-15.7 מיליון ש"ח</w:t>
      </w:r>
      <w:r w:rsidRPr="00917C44" w:rsidR="00580AE5">
        <w:rPr>
          <w:spacing w:val="-6"/>
          <w:rtl/>
        </w:rPr>
        <w:t>,</w:t>
      </w:r>
      <w:r w:rsidRPr="00917C44" w:rsidR="00580AE5">
        <w:rPr>
          <w:rFonts w:hint="cs"/>
          <w:spacing w:val="-6"/>
          <w:rtl/>
        </w:rPr>
        <w:t xml:space="preserve"> ב</w:t>
      </w:r>
      <w:r w:rsidRPr="00917C44" w:rsidR="00580AE5">
        <w:rPr>
          <w:rFonts w:hint="cs"/>
          <w:b/>
          <w:bCs/>
          <w:spacing w:val="-6"/>
          <w:rtl/>
        </w:rPr>
        <w:t>בית אריה</w:t>
      </w:r>
      <w:r w:rsidRPr="00917C44" w:rsidR="00580AE5">
        <w:rPr>
          <w:rFonts w:hint="cs"/>
          <w:spacing w:val="-6"/>
          <w:rtl/>
        </w:rPr>
        <w:t xml:space="preserve"> בכ-2.7 מיליון ש"ח, </w:t>
      </w:r>
      <w:r w:rsidRPr="00917C44" w:rsidR="00580AE5">
        <w:rPr>
          <w:rFonts w:hint="cs"/>
          <w:spacing w:val="-6"/>
          <w:rtl/>
        </w:rPr>
        <w:t>ב</w:t>
      </w:r>
      <w:r w:rsidRPr="00917C44" w:rsidR="00580AE5">
        <w:rPr>
          <w:b/>
          <w:bCs/>
          <w:spacing w:val="-6"/>
          <w:rtl/>
        </w:rPr>
        <w:t>ג'יסר</w:t>
      </w:r>
      <w:r w:rsidRPr="00917C44" w:rsidR="00580AE5">
        <w:rPr>
          <w:b/>
          <w:bCs/>
          <w:spacing w:val="-6"/>
          <w:rtl/>
        </w:rPr>
        <w:t xml:space="preserve"> א-זרקא</w:t>
      </w:r>
      <w:r w:rsidRPr="00917C44" w:rsidR="00580AE5">
        <w:rPr>
          <w:rFonts w:hint="cs"/>
          <w:spacing w:val="-6"/>
          <w:rtl/>
        </w:rPr>
        <w:t xml:space="preserve"> בכ-181 מיליון ש"ח </w:t>
      </w:r>
      <w:r w:rsidRPr="00917C44" w:rsidR="00580AE5">
        <w:rPr>
          <w:spacing w:val="-6"/>
          <w:rtl/>
        </w:rPr>
        <w:t>ו</w:t>
      </w:r>
      <w:r w:rsidRPr="00917C44" w:rsidR="00580AE5">
        <w:rPr>
          <w:rFonts w:hint="cs"/>
          <w:spacing w:val="-6"/>
          <w:rtl/>
        </w:rPr>
        <w:t>ב</w:t>
      </w:r>
      <w:r w:rsidRPr="00917C44" w:rsidR="00580AE5">
        <w:rPr>
          <w:b/>
          <w:bCs/>
          <w:spacing w:val="-6"/>
          <w:rtl/>
        </w:rPr>
        <w:t>סאג'ור</w:t>
      </w:r>
      <w:r w:rsidRPr="00917C44" w:rsidR="00580AE5">
        <w:rPr>
          <w:rFonts w:hint="cs"/>
          <w:spacing w:val="-6"/>
          <w:rtl/>
        </w:rPr>
        <w:t xml:space="preserve"> בכ-53.7 מיליון ש"ח.</w:t>
      </w:r>
      <w:r w:rsidRPr="00917C44" w:rsidR="00580AE5">
        <w:rPr>
          <w:spacing w:val="-6"/>
          <w:rtl/>
        </w:rPr>
        <w:t xml:space="preserve"> השיעור הגבוה של החובות המסופקים והחובות למחיקה מכלל החובות ברשויות </w:t>
      </w:r>
      <w:r w:rsidRPr="00917C44" w:rsidR="00580AE5">
        <w:rPr>
          <w:rFonts w:hint="cs"/>
          <w:spacing w:val="-6"/>
          <w:rtl/>
        </w:rPr>
        <w:t>בוסתאן</w:t>
      </w:r>
      <w:r w:rsidRPr="00917C44" w:rsidR="00580AE5">
        <w:rPr>
          <w:rFonts w:hint="cs"/>
          <w:spacing w:val="-6"/>
          <w:rtl/>
        </w:rPr>
        <w:t xml:space="preserve"> אל </w:t>
      </w:r>
      <w:r w:rsidRPr="00917C44" w:rsidR="00580AE5">
        <w:rPr>
          <w:rFonts w:hint="cs"/>
          <w:spacing w:val="-6"/>
          <w:rtl/>
        </w:rPr>
        <w:t>מרג</w:t>
      </w:r>
      <w:r w:rsidRPr="00917C44" w:rsidR="00580AE5">
        <w:rPr>
          <w:rFonts w:hint="cs"/>
          <w:spacing w:val="-6"/>
          <w:rtl/>
        </w:rPr>
        <w:t xml:space="preserve">', </w:t>
      </w:r>
      <w:r w:rsidRPr="00917C44" w:rsidR="00580AE5">
        <w:rPr>
          <w:rFonts w:hint="cs"/>
          <w:b/>
          <w:bCs/>
          <w:spacing w:val="-6"/>
          <w:rtl/>
        </w:rPr>
        <w:t>ג'יסר</w:t>
      </w:r>
      <w:r w:rsidRPr="00917C44" w:rsidR="00580AE5">
        <w:rPr>
          <w:rFonts w:hint="cs"/>
          <w:b/>
          <w:bCs/>
          <w:spacing w:val="-6"/>
          <w:rtl/>
        </w:rPr>
        <w:t xml:space="preserve"> א-זרקא</w:t>
      </w:r>
      <w:r w:rsidRPr="00917C44" w:rsidR="00580AE5">
        <w:rPr>
          <w:rFonts w:hint="cs"/>
          <w:spacing w:val="-6"/>
          <w:rtl/>
        </w:rPr>
        <w:t xml:space="preserve"> </w:t>
      </w:r>
      <w:r w:rsidRPr="00917C44" w:rsidR="00580AE5">
        <w:rPr>
          <w:rFonts w:hint="cs"/>
          <w:spacing w:val="-6"/>
          <w:rtl/>
        </w:rPr>
        <w:t>ו</w:t>
      </w:r>
      <w:r w:rsidRPr="00917C44" w:rsidR="00580AE5">
        <w:rPr>
          <w:rFonts w:hint="cs"/>
          <w:b/>
          <w:bCs/>
          <w:spacing w:val="-6"/>
          <w:rtl/>
        </w:rPr>
        <w:t>סאג'ור</w:t>
      </w:r>
      <w:r w:rsidRPr="00917C44" w:rsidR="00580AE5">
        <w:rPr>
          <w:spacing w:val="-6"/>
          <w:rtl/>
        </w:rPr>
        <w:t xml:space="preserve"> שנע בין 57% ל-83% מצביע על כך שהרשויות לא עשו די כדי לגבות מתושביהן את החובות שמגיעים להן </w:t>
      </w:r>
      <w:r w:rsidRPr="00917C44" w:rsidR="00580AE5">
        <w:rPr>
          <w:rFonts w:hint="cs"/>
          <w:spacing w:val="-6"/>
          <w:rtl/>
        </w:rPr>
        <w:t>ו</w:t>
      </w:r>
      <w:r w:rsidRPr="00917C44" w:rsidR="00580AE5">
        <w:rPr>
          <w:spacing w:val="-6"/>
          <w:rtl/>
        </w:rPr>
        <w:t>כתוצאה מכך אף הביאו להשתרשות נורמה של אי-תשלום</w:t>
      </w:r>
      <w:r w:rsidRPr="00917C44">
        <w:rPr>
          <w:rFonts w:hint="cs"/>
          <w:spacing w:val="-6"/>
          <w:rtl/>
        </w:rPr>
        <w:t>.</w:t>
      </w:r>
    </w:p>
    <w:p w:rsidR="00420374" w:rsidP="009D1343" w14:paraId="39D5E97C" w14:textId="6D51D5A8">
      <w:pPr>
        <w:pStyle w:val="7392"/>
        <w:ind w:left="424"/>
        <w:rPr>
          <w:noProof/>
          <w:rtl/>
        </w:rPr>
      </w:pPr>
      <w:r w:rsidRPr="001E745F">
        <w:rPr>
          <w:rFonts w:hint="cs"/>
          <w:b/>
          <w:bCs/>
          <w:noProof/>
          <w:rtl/>
        </w:rPr>
        <w:drawing>
          <wp:anchor distT="0" distB="720090" distL="114300" distR="114300" simplePos="0" relativeHeight="251692032"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1E745F" w:rsidR="00580AE5">
        <w:rPr>
          <w:b/>
          <w:bCs/>
          <w:rtl/>
        </w:rPr>
        <w:t>סקר נכסים לחיובי ארנונה</w:t>
      </w:r>
      <w:r w:rsidRPr="00CB575D" w:rsidR="00580AE5">
        <w:rPr>
          <w:rFonts w:hint="cs"/>
          <w:rtl/>
        </w:rPr>
        <w:t xml:space="preserve"> -</w:t>
      </w:r>
      <w:r w:rsidRPr="00CB575D" w:rsidR="00580AE5">
        <w:rPr>
          <w:rtl/>
        </w:rPr>
        <w:t xml:space="preserve"> </w:t>
      </w:r>
      <w:r w:rsidRPr="00CB575D" w:rsidR="00580AE5">
        <w:rPr>
          <w:rFonts w:hint="cs"/>
          <w:rtl/>
        </w:rPr>
        <w:t xml:space="preserve">המועצה המקומית </w:t>
      </w:r>
      <w:r w:rsidRPr="001E745F" w:rsidR="00580AE5">
        <w:rPr>
          <w:rFonts w:hint="eastAsia"/>
          <w:b/>
          <w:bCs/>
          <w:rtl/>
        </w:rPr>
        <w:t>בית</w:t>
      </w:r>
      <w:r w:rsidRPr="001E745F" w:rsidR="00580AE5">
        <w:rPr>
          <w:b/>
          <w:bCs/>
          <w:rtl/>
        </w:rPr>
        <w:t xml:space="preserve"> אריה</w:t>
      </w:r>
      <w:r w:rsidRPr="00CB575D" w:rsidR="00580AE5">
        <w:rPr>
          <w:rtl/>
        </w:rPr>
        <w:t xml:space="preserve"> </w:t>
      </w:r>
      <w:r w:rsidRPr="00CB575D" w:rsidR="00580AE5">
        <w:rPr>
          <w:rFonts w:hint="cs"/>
          <w:rtl/>
        </w:rPr>
        <w:t xml:space="preserve">לא ערכה סקר נכסים במשך 13 שנים, </w:t>
      </w:r>
      <w:r w:rsidRPr="00CB575D" w:rsidR="00580AE5">
        <w:rPr>
          <w:rFonts w:hint="eastAsia"/>
          <w:rtl/>
        </w:rPr>
        <w:t>ו</w:t>
      </w:r>
      <w:r w:rsidRPr="00CB575D" w:rsidR="00580AE5">
        <w:rPr>
          <w:rFonts w:hint="cs"/>
          <w:rtl/>
        </w:rPr>
        <w:t xml:space="preserve">המועצה המקומית </w:t>
      </w:r>
      <w:r w:rsidRPr="00FE0DFE" w:rsidR="00580AE5">
        <w:rPr>
          <w:rFonts w:hint="eastAsia"/>
          <w:b/>
          <w:bCs/>
          <w:rtl/>
        </w:rPr>
        <w:t>סאג</w:t>
      </w:r>
      <w:r w:rsidRPr="00FE0DFE" w:rsidR="00580AE5">
        <w:rPr>
          <w:b/>
          <w:bCs/>
          <w:rtl/>
        </w:rPr>
        <w:t>'</w:t>
      </w:r>
      <w:r w:rsidRPr="00FE0DFE" w:rsidR="00580AE5">
        <w:rPr>
          <w:rFonts w:hint="eastAsia"/>
          <w:b/>
          <w:bCs/>
          <w:rtl/>
        </w:rPr>
        <w:t>ור</w:t>
      </w:r>
      <w:r w:rsidRPr="00CB575D" w:rsidR="00580AE5">
        <w:rPr>
          <w:rtl/>
        </w:rPr>
        <w:t xml:space="preserve"> לא ערכ</w:t>
      </w:r>
      <w:r w:rsidRPr="00CB575D" w:rsidR="00580AE5">
        <w:rPr>
          <w:rFonts w:hint="cs"/>
          <w:rtl/>
        </w:rPr>
        <w:t>ה</w:t>
      </w:r>
      <w:r w:rsidRPr="00CB575D" w:rsidR="00580AE5">
        <w:rPr>
          <w:rtl/>
        </w:rPr>
        <w:t xml:space="preserve"> סקר נכסים במשך </w:t>
      </w:r>
      <w:r w:rsidRPr="00CB575D" w:rsidR="00580AE5">
        <w:rPr>
          <w:rFonts w:hint="cs"/>
          <w:rtl/>
        </w:rPr>
        <w:t>11</w:t>
      </w:r>
      <w:r w:rsidRPr="00CB575D" w:rsidR="00580AE5">
        <w:rPr>
          <w:rtl/>
        </w:rPr>
        <w:t xml:space="preserve"> שנים</w:t>
      </w:r>
      <w:r w:rsidRPr="00CB575D" w:rsidR="00580AE5">
        <w:rPr>
          <w:rFonts w:hint="cs"/>
          <w:rtl/>
        </w:rPr>
        <w:t>, אולם</w:t>
      </w:r>
      <w:r w:rsidRPr="00CB575D" w:rsidR="00580AE5">
        <w:rPr>
          <w:rtl/>
        </w:rPr>
        <w:t xml:space="preserve"> משרד הפנים</w:t>
      </w:r>
      <w:r w:rsidRPr="00CB575D" w:rsidR="00580AE5">
        <w:rPr>
          <w:rFonts w:hint="cs"/>
          <w:rtl/>
        </w:rPr>
        <w:t xml:space="preserve"> </w:t>
      </w:r>
      <w:r w:rsidRPr="00CB575D" w:rsidR="00580AE5">
        <w:rPr>
          <w:rtl/>
        </w:rPr>
        <w:t xml:space="preserve">הציב </w:t>
      </w:r>
      <w:r w:rsidRPr="00CB575D" w:rsidR="00580AE5">
        <w:rPr>
          <w:rFonts w:hint="cs"/>
          <w:rtl/>
        </w:rPr>
        <w:t>להן את ה</w:t>
      </w:r>
      <w:r w:rsidRPr="00CB575D" w:rsidR="00580AE5">
        <w:rPr>
          <w:rtl/>
        </w:rPr>
        <w:t xml:space="preserve">יעד </w:t>
      </w:r>
      <w:r w:rsidRPr="00CB575D" w:rsidR="00580AE5">
        <w:rPr>
          <w:rFonts w:hint="cs"/>
          <w:rtl/>
        </w:rPr>
        <w:t>ה</w:t>
      </w:r>
      <w:r w:rsidRPr="00CB575D" w:rsidR="00580AE5">
        <w:rPr>
          <w:rtl/>
        </w:rPr>
        <w:t>זה בא</w:t>
      </w:r>
      <w:r w:rsidRPr="00CB575D" w:rsidR="00580AE5">
        <w:rPr>
          <w:rFonts w:hint="cs"/>
          <w:rtl/>
        </w:rPr>
        <w:t>י</w:t>
      </w:r>
      <w:r w:rsidRPr="00CB575D" w:rsidR="00580AE5">
        <w:rPr>
          <w:rtl/>
        </w:rPr>
        <w:t>חור רב</w:t>
      </w:r>
      <w:r w:rsidRPr="00CB575D" w:rsidR="00580AE5">
        <w:rPr>
          <w:rFonts w:hint="cs"/>
          <w:rtl/>
        </w:rPr>
        <w:t>,</w:t>
      </w:r>
      <w:r w:rsidRPr="00CB575D" w:rsidR="00580AE5">
        <w:rPr>
          <w:rtl/>
        </w:rPr>
        <w:t xml:space="preserve"> </w:t>
      </w:r>
      <w:r w:rsidRPr="00CB575D" w:rsidR="00580AE5">
        <w:rPr>
          <w:rFonts w:hint="cs"/>
          <w:rtl/>
        </w:rPr>
        <w:t>זאת</w:t>
      </w:r>
      <w:r w:rsidRPr="00CB575D" w:rsidR="00580AE5">
        <w:rPr>
          <w:rtl/>
        </w:rPr>
        <w:t xml:space="preserve"> </w:t>
      </w:r>
      <w:r w:rsidRPr="00CB575D" w:rsidR="00580AE5">
        <w:rPr>
          <w:rFonts w:hint="eastAsia"/>
          <w:rtl/>
        </w:rPr>
        <w:t>במסגרת</w:t>
      </w:r>
      <w:r w:rsidRPr="00CB575D" w:rsidR="00580AE5">
        <w:rPr>
          <w:rtl/>
        </w:rPr>
        <w:t xml:space="preserve"> </w:t>
      </w:r>
      <w:r w:rsidRPr="00CB575D" w:rsidR="00580AE5">
        <w:rPr>
          <w:rFonts w:hint="eastAsia"/>
          <w:rtl/>
        </w:rPr>
        <w:t>ת</w:t>
      </w:r>
      <w:r w:rsidRPr="00CB575D" w:rsidR="00580AE5">
        <w:rPr>
          <w:rFonts w:hint="cs"/>
          <w:rtl/>
        </w:rPr>
        <w:t>ו</w:t>
      </w:r>
      <w:r w:rsidRPr="00CB575D" w:rsidR="00580AE5">
        <w:rPr>
          <w:rFonts w:hint="eastAsia"/>
          <w:rtl/>
        </w:rPr>
        <w:t>כניות</w:t>
      </w:r>
      <w:r w:rsidRPr="00CB575D" w:rsidR="00580AE5">
        <w:rPr>
          <w:rtl/>
        </w:rPr>
        <w:t xml:space="preserve"> </w:t>
      </w:r>
      <w:r w:rsidRPr="00CB575D" w:rsidR="00580AE5">
        <w:rPr>
          <w:rFonts w:hint="eastAsia"/>
          <w:rtl/>
        </w:rPr>
        <w:t>ההבראה</w:t>
      </w:r>
      <w:r w:rsidRPr="00CB575D" w:rsidR="00580AE5">
        <w:rPr>
          <w:rtl/>
        </w:rPr>
        <w:t xml:space="preserve"> </w:t>
      </w:r>
      <w:r w:rsidRPr="00CB575D" w:rsidR="00580AE5">
        <w:rPr>
          <w:rFonts w:hint="eastAsia"/>
          <w:rtl/>
        </w:rPr>
        <w:t>האחרונות</w:t>
      </w:r>
      <w:r w:rsidRPr="00CB575D" w:rsidR="00580AE5">
        <w:rPr>
          <w:rtl/>
        </w:rPr>
        <w:t xml:space="preserve"> </w:t>
      </w:r>
      <w:r w:rsidRPr="00CB575D" w:rsidR="00580AE5">
        <w:rPr>
          <w:rFonts w:hint="cs"/>
          <w:rtl/>
        </w:rPr>
        <w:t>שבוצעו</w:t>
      </w:r>
      <w:r w:rsidRPr="00CB575D" w:rsidR="00580AE5">
        <w:rPr>
          <w:rtl/>
        </w:rPr>
        <w:t xml:space="preserve"> בשנת 2020. </w:t>
      </w:r>
      <w:r w:rsidRPr="00CB575D" w:rsidR="00580AE5">
        <w:rPr>
          <w:rFonts w:hint="cs"/>
          <w:rtl/>
        </w:rPr>
        <w:t xml:space="preserve">בעקבות הסקרים שנערכו בשנים 2019 - 2020 עלו השטחים לחיוב הכספי של המועצות המקומיות </w:t>
      </w:r>
      <w:r w:rsidRPr="001E745F" w:rsidR="00580AE5">
        <w:rPr>
          <w:rFonts w:hint="eastAsia"/>
          <w:b/>
          <w:bCs/>
          <w:rtl/>
        </w:rPr>
        <w:t>בית</w:t>
      </w:r>
      <w:r w:rsidRPr="001E745F" w:rsidR="00580AE5">
        <w:rPr>
          <w:b/>
          <w:bCs/>
          <w:rtl/>
        </w:rPr>
        <w:t xml:space="preserve"> אריה</w:t>
      </w:r>
      <w:r w:rsidRPr="00CB575D" w:rsidR="00580AE5">
        <w:rPr>
          <w:rtl/>
        </w:rPr>
        <w:t xml:space="preserve"> </w:t>
      </w:r>
      <w:r w:rsidRPr="00CB575D" w:rsidR="00580AE5">
        <w:rPr>
          <w:rFonts w:hint="eastAsia"/>
          <w:rtl/>
        </w:rPr>
        <w:t>ו</w:t>
      </w:r>
      <w:r w:rsidRPr="00FE0DFE" w:rsidR="00580AE5">
        <w:rPr>
          <w:rFonts w:hint="eastAsia"/>
          <w:b/>
          <w:bCs/>
          <w:rtl/>
        </w:rPr>
        <w:t>סאג</w:t>
      </w:r>
      <w:r w:rsidRPr="00FE0DFE" w:rsidR="00580AE5">
        <w:rPr>
          <w:b/>
          <w:bCs/>
          <w:rtl/>
        </w:rPr>
        <w:t>'</w:t>
      </w:r>
      <w:r w:rsidRPr="00FE0DFE" w:rsidR="00580AE5">
        <w:rPr>
          <w:rFonts w:hint="eastAsia"/>
          <w:b/>
          <w:bCs/>
          <w:rtl/>
        </w:rPr>
        <w:t>ור</w:t>
      </w:r>
      <w:r w:rsidRPr="00CB575D" w:rsidR="00580AE5">
        <w:rPr>
          <w:rFonts w:hint="cs"/>
          <w:rtl/>
        </w:rPr>
        <w:t xml:space="preserve"> בכ-44,000 וכ-30,000 מ"ר בהתאמה, והחיוב הכספי (ברוטו - לפני ההנחות) גדל בכ-2.4 מיליון ש"ח וכ-1.4 מיליון ש"ח בהתאמה</w:t>
      </w:r>
      <w:r w:rsidRPr="0093709F">
        <w:rPr>
          <w:rFonts w:hint="cs"/>
          <w:rtl/>
        </w:rPr>
        <w:t xml:space="preserve">. </w:t>
      </w:r>
    </w:p>
    <w:p w:rsidR="00580AE5" w:rsidRPr="00917C44" w:rsidP="009D1343" w14:paraId="3578DCE9" w14:textId="07CB9BFC">
      <w:pPr>
        <w:pStyle w:val="7392"/>
        <w:ind w:left="424"/>
        <w:rPr>
          <w:spacing w:val="-2"/>
          <w:rtl/>
        </w:rPr>
      </w:pPr>
      <w:r w:rsidRPr="00917C44">
        <w:rPr>
          <w:rFonts w:hint="cs"/>
          <w:b/>
          <w:bCs/>
          <w:noProof/>
          <w:spacing w:val="-2"/>
          <w:rtl/>
        </w:rPr>
        <w:drawing>
          <wp:anchor distT="0" distB="720090" distL="114300" distR="114300" simplePos="0" relativeHeight="251699200"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519720956" name="תמונה 5197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20956"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17C44">
        <w:rPr>
          <w:b/>
          <w:bCs/>
          <w:spacing w:val="-2"/>
          <w:rtl/>
        </w:rPr>
        <w:t>גביית ארנונה</w:t>
      </w:r>
      <w:r w:rsidRPr="00917C44">
        <w:rPr>
          <w:spacing w:val="-2"/>
          <w:rtl/>
        </w:rPr>
        <w:t xml:space="preserve"> </w:t>
      </w:r>
      <w:r w:rsidRPr="00917C44">
        <w:rPr>
          <w:rFonts w:hint="cs"/>
          <w:spacing w:val="-2"/>
          <w:rtl/>
        </w:rPr>
        <w:t xml:space="preserve">- </w:t>
      </w:r>
      <w:r w:rsidRPr="00917C44">
        <w:rPr>
          <w:spacing w:val="-2"/>
          <w:rtl/>
        </w:rPr>
        <w:t xml:space="preserve">בשנים 2011 - 2020 היה השיעור הממוצע של סך גביית הארנונה (שוטפת ופיגורים) במועצות המקומיות </w:t>
      </w:r>
      <w:r w:rsidRPr="00917C44">
        <w:rPr>
          <w:b/>
          <w:bCs/>
          <w:spacing w:val="-2"/>
          <w:rtl/>
        </w:rPr>
        <w:t>ג'יסר</w:t>
      </w:r>
      <w:r w:rsidRPr="00917C44">
        <w:rPr>
          <w:b/>
          <w:bCs/>
          <w:spacing w:val="-2"/>
          <w:rtl/>
        </w:rPr>
        <w:t xml:space="preserve"> א-זרקא</w:t>
      </w:r>
      <w:r w:rsidRPr="00917C44">
        <w:rPr>
          <w:spacing w:val="-2"/>
          <w:rtl/>
        </w:rPr>
        <w:t xml:space="preserve"> </w:t>
      </w:r>
      <w:r w:rsidRPr="00917C44">
        <w:rPr>
          <w:spacing w:val="-2"/>
          <w:rtl/>
        </w:rPr>
        <w:t>ו</w:t>
      </w:r>
      <w:r w:rsidRPr="00917C44">
        <w:rPr>
          <w:b/>
          <w:bCs/>
          <w:spacing w:val="-2"/>
          <w:rtl/>
        </w:rPr>
        <w:t>סאג'ור</w:t>
      </w:r>
      <w:r w:rsidRPr="00917C44">
        <w:rPr>
          <w:spacing w:val="-2"/>
          <w:rtl/>
        </w:rPr>
        <w:t xml:space="preserve"> 35% ו-28%, בהתאמה</w:t>
      </w:r>
      <w:r w:rsidRPr="00917C44">
        <w:rPr>
          <w:rFonts w:hint="cs"/>
          <w:spacing w:val="-2"/>
          <w:rtl/>
        </w:rPr>
        <w:t>,</w:t>
      </w:r>
      <w:r w:rsidRPr="00917C44">
        <w:rPr>
          <w:spacing w:val="-2"/>
          <w:rtl/>
        </w:rPr>
        <w:t xml:space="preserve"> זאת למול ממוצע ארצי בשיעור </w:t>
      </w:r>
      <w:r w:rsidRPr="00917C44">
        <w:rPr>
          <w:rFonts w:hint="cs"/>
          <w:spacing w:val="-2"/>
          <w:rtl/>
        </w:rPr>
        <w:t>של 66%</w:t>
      </w:r>
      <w:r w:rsidRPr="00917C44">
        <w:rPr>
          <w:spacing w:val="-2"/>
          <w:rtl/>
        </w:rPr>
        <w:t>.</w:t>
      </w:r>
      <w:r w:rsidRPr="00917C44">
        <w:rPr>
          <w:rFonts w:hint="cs"/>
          <w:spacing w:val="-2"/>
          <w:rtl/>
        </w:rPr>
        <w:t xml:space="preserve"> </w:t>
      </w:r>
      <w:r w:rsidRPr="00917C44">
        <w:rPr>
          <w:spacing w:val="-2"/>
          <w:rtl/>
        </w:rPr>
        <w:t xml:space="preserve">בשנים 2011 - 2020 השיעור הממוצע של </w:t>
      </w:r>
      <w:r w:rsidRPr="00917C44">
        <w:rPr>
          <w:rFonts w:hint="cs"/>
          <w:spacing w:val="-2"/>
          <w:rtl/>
        </w:rPr>
        <w:t xml:space="preserve">גביית </w:t>
      </w:r>
      <w:r w:rsidRPr="00917C44">
        <w:rPr>
          <w:spacing w:val="-2"/>
          <w:rtl/>
        </w:rPr>
        <w:t xml:space="preserve">ארנונה </w:t>
      </w:r>
      <w:r w:rsidRPr="00917C44">
        <w:rPr>
          <w:rFonts w:hint="cs"/>
          <w:spacing w:val="-2"/>
          <w:rtl/>
        </w:rPr>
        <w:t>מ</w:t>
      </w:r>
      <w:r w:rsidRPr="00917C44">
        <w:rPr>
          <w:spacing w:val="-2"/>
          <w:rtl/>
        </w:rPr>
        <w:t>פיגורים</w:t>
      </w:r>
      <w:r w:rsidRPr="00917C44">
        <w:rPr>
          <w:rFonts w:hint="cs"/>
          <w:spacing w:val="-2"/>
          <w:rtl/>
        </w:rPr>
        <w:t xml:space="preserve"> של שלוש רשויות</w:t>
      </w:r>
      <w:r w:rsidRPr="00917C44">
        <w:rPr>
          <w:spacing w:val="-2"/>
          <w:rtl/>
        </w:rPr>
        <w:t xml:space="preserve"> </w:t>
      </w:r>
      <w:r w:rsidRPr="00917C44">
        <w:rPr>
          <w:rFonts w:hint="cs"/>
          <w:spacing w:val="-2"/>
          <w:rtl/>
        </w:rPr>
        <w:t>(</w:t>
      </w:r>
      <w:r w:rsidRPr="00917C44">
        <w:rPr>
          <w:spacing w:val="-2"/>
          <w:rtl/>
        </w:rPr>
        <w:t>בוסתאן</w:t>
      </w:r>
      <w:r w:rsidRPr="00917C44">
        <w:rPr>
          <w:spacing w:val="-2"/>
          <w:rtl/>
        </w:rPr>
        <w:t xml:space="preserve"> אל </w:t>
      </w:r>
      <w:r w:rsidRPr="00917C44">
        <w:rPr>
          <w:spacing w:val="-2"/>
          <w:rtl/>
        </w:rPr>
        <w:t>מרג</w:t>
      </w:r>
      <w:r w:rsidRPr="00917C44">
        <w:rPr>
          <w:spacing w:val="-2"/>
          <w:rtl/>
        </w:rPr>
        <w:t>'</w:t>
      </w:r>
      <w:r w:rsidRPr="00917C44">
        <w:rPr>
          <w:rFonts w:hint="cs"/>
          <w:spacing w:val="-2"/>
          <w:rtl/>
        </w:rPr>
        <w:t xml:space="preserve">, </w:t>
      </w:r>
      <w:r w:rsidRPr="00917C44">
        <w:rPr>
          <w:rFonts w:hint="cs"/>
          <w:b/>
          <w:bCs/>
          <w:spacing w:val="-2"/>
          <w:rtl/>
        </w:rPr>
        <w:t>בית אריה</w:t>
      </w:r>
      <w:r w:rsidRPr="00917C44">
        <w:rPr>
          <w:rFonts w:hint="cs"/>
          <w:spacing w:val="-2"/>
          <w:rtl/>
        </w:rPr>
        <w:t>,</w:t>
      </w:r>
      <w:r w:rsidRPr="00917C44">
        <w:rPr>
          <w:spacing w:val="-2"/>
          <w:rtl/>
        </w:rPr>
        <w:t xml:space="preserve"> </w:t>
      </w:r>
      <w:r w:rsidRPr="00917C44">
        <w:rPr>
          <w:spacing w:val="-2"/>
          <w:rtl/>
        </w:rPr>
        <w:t>ו</w:t>
      </w:r>
      <w:r w:rsidRPr="00917C44">
        <w:rPr>
          <w:b/>
          <w:bCs/>
          <w:spacing w:val="-2"/>
          <w:rtl/>
        </w:rPr>
        <w:t>סאג'ור</w:t>
      </w:r>
      <w:r w:rsidRPr="00917C44">
        <w:rPr>
          <w:rFonts w:hint="cs"/>
          <w:spacing w:val="-2"/>
          <w:rtl/>
        </w:rPr>
        <w:t xml:space="preserve">) היה נמוך ועמד על 19% - 26%, ואילו שיעור הגבייה </w:t>
      </w:r>
      <w:r w:rsidRPr="00917C44">
        <w:rPr>
          <w:rFonts w:hint="cs"/>
          <w:spacing w:val="-2"/>
          <w:rtl/>
        </w:rPr>
        <w:t>ב</w:t>
      </w:r>
      <w:r w:rsidRPr="00917C44">
        <w:rPr>
          <w:rFonts w:hint="cs"/>
          <w:b/>
          <w:bCs/>
          <w:spacing w:val="-2"/>
          <w:rtl/>
        </w:rPr>
        <w:t>סאג'ור</w:t>
      </w:r>
      <w:r w:rsidRPr="00917C44">
        <w:rPr>
          <w:rFonts w:hint="cs"/>
          <w:spacing w:val="-2"/>
          <w:rtl/>
        </w:rPr>
        <w:t xml:space="preserve"> היה 3% בלבד, </w:t>
      </w:r>
      <w:r w:rsidRPr="00917C44">
        <w:rPr>
          <w:spacing w:val="-2"/>
          <w:rtl/>
        </w:rPr>
        <w:t xml:space="preserve">זאת למול ממוצע ארצי בשיעור של </w:t>
      </w:r>
      <w:r w:rsidRPr="00917C44">
        <w:rPr>
          <w:rFonts w:hint="cs"/>
          <w:spacing w:val="-2"/>
          <w:rtl/>
        </w:rPr>
        <w:t>28%.</w:t>
      </w:r>
      <w:r w:rsidRPr="00917C44">
        <w:rPr>
          <w:spacing w:val="-2"/>
          <w:rtl/>
        </w:rPr>
        <w:t xml:space="preserve"> </w:t>
      </w:r>
      <w:r w:rsidRPr="00917C44">
        <w:rPr>
          <w:rFonts w:hint="eastAsia"/>
          <w:spacing w:val="-2"/>
          <w:rtl/>
        </w:rPr>
        <w:t>בתוכניות</w:t>
      </w:r>
      <w:r w:rsidRPr="00917C44">
        <w:rPr>
          <w:spacing w:val="-2"/>
          <w:rtl/>
        </w:rPr>
        <w:t xml:space="preserve"> ההבראה </w:t>
      </w:r>
      <w:r w:rsidRPr="00917C44">
        <w:rPr>
          <w:rFonts w:hint="eastAsia"/>
          <w:spacing w:val="-2"/>
          <w:rtl/>
        </w:rPr>
        <w:t>של</w:t>
      </w:r>
      <w:r w:rsidRPr="00917C44">
        <w:rPr>
          <w:spacing w:val="-2"/>
          <w:rtl/>
        </w:rPr>
        <w:t xml:space="preserve"> </w:t>
      </w:r>
      <w:r w:rsidRPr="00917C44">
        <w:rPr>
          <w:rFonts w:hint="eastAsia"/>
          <w:spacing w:val="-2"/>
          <w:rtl/>
        </w:rPr>
        <w:t>המועצות</w:t>
      </w:r>
      <w:r w:rsidRPr="00917C44">
        <w:rPr>
          <w:spacing w:val="-2"/>
          <w:rtl/>
        </w:rPr>
        <w:t xml:space="preserve"> המקומיות </w:t>
      </w:r>
      <w:r w:rsidRPr="00917C44">
        <w:rPr>
          <w:rFonts w:hint="eastAsia"/>
          <w:b/>
          <w:bCs/>
          <w:spacing w:val="-2"/>
          <w:rtl/>
        </w:rPr>
        <w:t>ג</w:t>
      </w:r>
      <w:r w:rsidRPr="00917C44">
        <w:rPr>
          <w:b/>
          <w:bCs/>
          <w:spacing w:val="-2"/>
          <w:rtl/>
        </w:rPr>
        <w:t>'יסר</w:t>
      </w:r>
      <w:r w:rsidRPr="00917C44">
        <w:rPr>
          <w:b/>
          <w:bCs/>
          <w:spacing w:val="-2"/>
          <w:rtl/>
        </w:rPr>
        <w:t xml:space="preserve"> א-זרקא</w:t>
      </w:r>
      <w:r w:rsidRPr="00917C44">
        <w:rPr>
          <w:spacing w:val="-2"/>
          <w:rtl/>
        </w:rPr>
        <w:t xml:space="preserve"> </w:t>
      </w:r>
      <w:r w:rsidRPr="00917C44">
        <w:rPr>
          <w:rFonts w:hint="eastAsia"/>
          <w:spacing w:val="-2"/>
          <w:rtl/>
        </w:rPr>
        <w:t>ו</w:t>
      </w:r>
      <w:r w:rsidRPr="00917C44">
        <w:rPr>
          <w:rFonts w:hint="eastAsia"/>
          <w:b/>
          <w:bCs/>
          <w:spacing w:val="-2"/>
          <w:rtl/>
        </w:rPr>
        <w:t>סאג</w:t>
      </w:r>
      <w:r w:rsidRPr="00917C44">
        <w:rPr>
          <w:b/>
          <w:bCs/>
          <w:spacing w:val="-2"/>
          <w:rtl/>
        </w:rPr>
        <w:t>'ור</w:t>
      </w:r>
      <w:r w:rsidRPr="00917C44">
        <w:rPr>
          <w:spacing w:val="-2"/>
          <w:rtl/>
        </w:rPr>
        <w:t xml:space="preserve"> </w:t>
      </w:r>
      <w:r w:rsidRPr="00917C44">
        <w:rPr>
          <w:rFonts w:hint="eastAsia"/>
          <w:spacing w:val="-2"/>
          <w:rtl/>
        </w:rPr>
        <w:t>לא</w:t>
      </w:r>
      <w:r w:rsidRPr="00917C44">
        <w:rPr>
          <w:spacing w:val="-2"/>
          <w:rtl/>
        </w:rPr>
        <w:t xml:space="preserve"> </w:t>
      </w:r>
      <w:r w:rsidRPr="00917C44">
        <w:rPr>
          <w:rFonts w:hint="eastAsia"/>
          <w:spacing w:val="-2"/>
          <w:rtl/>
        </w:rPr>
        <w:t>נכללו</w:t>
      </w:r>
      <w:r w:rsidRPr="00917C44">
        <w:rPr>
          <w:spacing w:val="-2"/>
          <w:rtl/>
        </w:rPr>
        <w:t xml:space="preserve"> דרישות ביחס לגביית חובות פיגורים. </w:t>
      </w:r>
      <w:r w:rsidRPr="00917C44">
        <w:rPr>
          <w:rFonts w:hint="eastAsia"/>
          <w:spacing w:val="-2"/>
          <w:rtl/>
        </w:rPr>
        <w:t>ה</w:t>
      </w:r>
      <w:r w:rsidRPr="00917C44">
        <w:rPr>
          <w:spacing w:val="-2"/>
          <w:rtl/>
        </w:rPr>
        <w:t xml:space="preserve">מועצה </w:t>
      </w:r>
      <w:r w:rsidRPr="00917C44">
        <w:rPr>
          <w:rFonts w:hint="cs"/>
          <w:spacing w:val="-2"/>
          <w:rtl/>
        </w:rPr>
        <w:t xml:space="preserve">האזורית </w:t>
      </w:r>
      <w:r w:rsidRPr="00917C44">
        <w:rPr>
          <w:rFonts w:hint="eastAsia"/>
          <w:b/>
          <w:bCs/>
          <w:spacing w:val="-2"/>
          <w:rtl/>
        </w:rPr>
        <w:t>בוסתאן</w:t>
      </w:r>
      <w:r w:rsidRPr="00917C44">
        <w:rPr>
          <w:b/>
          <w:bCs/>
          <w:spacing w:val="-2"/>
          <w:rtl/>
        </w:rPr>
        <w:t xml:space="preserve"> אל-</w:t>
      </w:r>
      <w:r w:rsidRPr="00917C44">
        <w:rPr>
          <w:b/>
          <w:bCs/>
          <w:spacing w:val="-2"/>
          <w:rtl/>
        </w:rPr>
        <w:t>מרג</w:t>
      </w:r>
      <w:r w:rsidRPr="00917C44">
        <w:rPr>
          <w:b/>
          <w:bCs/>
          <w:spacing w:val="-2"/>
          <w:rtl/>
        </w:rPr>
        <w:t>'</w:t>
      </w:r>
      <w:r w:rsidRPr="00917C44">
        <w:rPr>
          <w:rFonts w:hint="cs"/>
          <w:spacing w:val="-2"/>
          <w:rtl/>
        </w:rPr>
        <w:t xml:space="preserve"> </w:t>
      </w:r>
      <w:r w:rsidRPr="00917C44">
        <w:rPr>
          <w:spacing w:val="-2"/>
          <w:rtl/>
        </w:rPr>
        <w:t>אינה מפעילה את הוועדים המקומיים, אינה אוצלת להם סמכויות ואינה מאפשרת להם לגבות מיסי ועד מקומי</w:t>
      </w:r>
      <w:r w:rsidRPr="00917C44">
        <w:rPr>
          <w:rFonts w:hint="cs"/>
          <w:spacing w:val="-2"/>
          <w:rtl/>
        </w:rPr>
        <w:t>.</w:t>
      </w:r>
    </w:p>
    <w:p w:rsidR="00580AE5" w:rsidRPr="0093709F" w:rsidP="009D1343" w14:paraId="0CA27BB4" w14:textId="7038CFF5">
      <w:pPr>
        <w:pStyle w:val="7392"/>
        <w:ind w:left="424"/>
        <w:rPr>
          <w:rtl/>
        </w:rPr>
      </w:pPr>
      <w:r w:rsidRPr="001E745F">
        <w:rPr>
          <w:rFonts w:hint="cs"/>
          <w:b/>
          <w:bCs/>
          <w:noProof/>
          <w:rtl/>
        </w:rPr>
        <w:drawing>
          <wp:anchor distT="0" distB="720090" distL="114300" distR="114300" simplePos="0" relativeHeight="251700224"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27372192" name="תמונה 1127372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72192"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E745F">
        <w:rPr>
          <w:b/>
          <w:bCs/>
          <w:rtl/>
        </w:rPr>
        <w:t>הכנסות מארנונה שלא למגורים</w:t>
      </w:r>
      <w:r w:rsidRPr="00CB575D">
        <w:rPr>
          <w:rFonts w:hint="cs"/>
          <w:rtl/>
        </w:rPr>
        <w:t xml:space="preserve"> - </w:t>
      </w:r>
      <w:r w:rsidRPr="00CB575D">
        <w:rPr>
          <w:rtl/>
        </w:rPr>
        <w:t xml:space="preserve">חיובי הארנונה בגין נכסים שאינם למגורים של </w:t>
      </w:r>
      <w:r w:rsidRPr="00CB575D">
        <w:rPr>
          <w:rFonts w:hint="cs"/>
          <w:rtl/>
        </w:rPr>
        <w:t>ה</w:t>
      </w:r>
      <w:r w:rsidRPr="00CB575D">
        <w:rPr>
          <w:rtl/>
        </w:rPr>
        <w:t xml:space="preserve">מועצות המקומיות </w:t>
      </w:r>
      <w:r w:rsidRPr="001E745F">
        <w:rPr>
          <w:b/>
          <w:bCs/>
          <w:rtl/>
        </w:rPr>
        <w:t>בית אריה</w:t>
      </w:r>
      <w:r w:rsidRPr="00CB575D">
        <w:rPr>
          <w:rtl/>
        </w:rPr>
        <w:t xml:space="preserve">, </w:t>
      </w:r>
      <w:r w:rsidRPr="001E745F">
        <w:rPr>
          <w:b/>
          <w:bCs/>
          <w:rtl/>
        </w:rPr>
        <w:t>ג'יסר</w:t>
      </w:r>
      <w:r w:rsidRPr="001E745F">
        <w:rPr>
          <w:b/>
          <w:bCs/>
          <w:rtl/>
        </w:rPr>
        <w:t xml:space="preserve"> א-זרקא</w:t>
      </w:r>
      <w:r w:rsidRPr="00CB575D">
        <w:rPr>
          <w:rtl/>
        </w:rPr>
        <w:t xml:space="preserve"> </w:t>
      </w:r>
      <w:r w:rsidRPr="00CB575D">
        <w:rPr>
          <w:rtl/>
        </w:rPr>
        <w:t>ו</w:t>
      </w:r>
      <w:r w:rsidRPr="00FE0DFE">
        <w:rPr>
          <w:b/>
          <w:bCs/>
          <w:rtl/>
        </w:rPr>
        <w:t>סאג'ור</w:t>
      </w:r>
      <w:r w:rsidRPr="00CB575D">
        <w:rPr>
          <w:rtl/>
        </w:rPr>
        <w:t xml:space="preserve"> ו</w:t>
      </w:r>
      <w:r w:rsidRPr="00CB575D">
        <w:rPr>
          <w:rFonts w:hint="cs"/>
          <w:rtl/>
        </w:rPr>
        <w:t>ה</w:t>
      </w:r>
      <w:r w:rsidRPr="00CB575D">
        <w:rPr>
          <w:rtl/>
        </w:rPr>
        <w:t xml:space="preserve">מועצה האזורית </w:t>
      </w:r>
      <w:r w:rsidRPr="00FE0DFE">
        <w:rPr>
          <w:b/>
          <w:bCs/>
          <w:rtl/>
        </w:rPr>
        <w:t>בוסתאן</w:t>
      </w:r>
      <w:r w:rsidRPr="00FE0DFE">
        <w:rPr>
          <w:b/>
          <w:bCs/>
          <w:rtl/>
        </w:rPr>
        <w:t xml:space="preserve"> </w:t>
      </w:r>
      <w:r w:rsidR="00FE0DFE">
        <w:rPr>
          <w:b/>
          <w:bCs/>
          <w:rtl/>
        </w:rPr>
        <w:br/>
      </w:r>
      <w:r w:rsidRPr="00FE0DFE">
        <w:rPr>
          <w:b/>
          <w:bCs/>
          <w:rtl/>
        </w:rPr>
        <w:t>אל-</w:t>
      </w:r>
      <w:r w:rsidRPr="00FE0DFE">
        <w:rPr>
          <w:b/>
          <w:bCs/>
          <w:rtl/>
        </w:rPr>
        <w:t>מרג</w:t>
      </w:r>
      <w:r w:rsidRPr="00FE0DFE">
        <w:rPr>
          <w:b/>
          <w:bCs/>
          <w:rtl/>
        </w:rPr>
        <w:t>'</w:t>
      </w:r>
      <w:r w:rsidRPr="00CB575D">
        <w:rPr>
          <w:rtl/>
        </w:rPr>
        <w:t xml:space="preserve"> בשנת 2020</w:t>
      </w:r>
      <w:r w:rsidRPr="00CB575D">
        <w:rPr>
          <w:rFonts w:hint="cs"/>
          <w:rtl/>
        </w:rPr>
        <w:t>,</w:t>
      </w:r>
      <w:r w:rsidRPr="00CB575D">
        <w:rPr>
          <w:rtl/>
        </w:rPr>
        <w:t xml:space="preserve"> היו חלק קטן יחסית מכלל חיובי הארנונה שלהן (3% - 8%)</w:t>
      </w:r>
      <w:r w:rsidRPr="00CB575D">
        <w:rPr>
          <w:rFonts w:hint="cs"/>
          <w:rtl/>
        </w:rPr>
        <w:t xml:space="preserve"> לעומת הממוצע הארצי (49%)</w:t>
      </w:r>
      <w:r w:rsidRPr="00CB575D">
        <w:rPr>
          <w:rtl/>
        </w:rPr>
        <w:t>, בין היתר בשל היעדר תשתיות כלכליות מקומיות מתאימות שהן תנאי הכרחי להקמת מפעלים.</w:t>
      </w:r>
      <w:r w:rsidRPr="00CB575D">
        <w:rPr>
          <w:rFonts w:hint="cs"/>
          <w:rtl/>
        </w:rPr>
        <w:t xml:space="preserve"> </w:t>
      </w:r>
      <w:r w:rsidRPr="00CB575D">
        <w:rPr>
          <w:rtl/>
        </w:rPr>
        <w:t xml:space="preserve">בתוכניות ההבראה של ארבע </w:t>
      </w:r>
      <w:r w:rsidRPr="00CB575D">
        <w:rPr>
          <w:rFonts w:hint="cs"/>
          <w:rtl/>
        </w:rPr>
        <w:t>ה</w:t>
      </w:r>
      <w:r w:rsidRPr="00CB575D">
        <w:rPr>
          <w:rtl/>
        </w:rPr>
        <w:t xml:space="preserve">רשויות שנבדקו, למעט בתוכנית </w:t>
      </w:r>
      <w:r w:rsidRPr="00CB575D">
        <w:rPr>
          <w:rFonts w:hint="cs"/>
          <w:rtl/>
        </w:rPr>
        <w:t>ההבראה משנת 2020</w:t>
      </w:r>
      <w:r w:rsidRPr="00CB575D">
        <w:rPr>
          <w:rtl/>
        </w:rPr>
        <w:t xml:space="preserve"> של </w:t>
      </w:r>
      <w:r w:rsidRPr="00FE0DFE">
        <w:rPr>
          <w:b/>
          <w:bCs/>
          <w:rtl/>
        </w:rPr>
        <w:t>סאג'ור</w:t>
      </w:r>
      <w:r w:rsidRPr="00CB575D">
        <w:rPr>
          <w:rtl/>
        </w:rPr>
        <w:t>, לא נכללו באבני הדרך וביעדים הנוספים דרישות לפיתוח אזורי מסחר ותעשייה</w:t>
      </w:r>
      <w:r w:rsidRPr="0093709F">
        <w:rPr>
          <w:rFonts w:hint="cs"/>
          <w:rtl/>
        </w:rPr>
        <w:t>.</w:t>
      </w:r>
    </w:p>
    <w:p w:rsidR="00580AE5" w:rsidRPr="00917C44" w:rsidP="009D1343" w14:paraId="481A2E0E" w14:textId="72828801">
      <w:pPr>
        <w:pStyle w:val="7392"/>
        <w:ind w:left="424"/>
        <w:rPr>
          <w:spacing w:val="-2"/>
          <w:rtl/>
        </w:rPr>
      </w:pPr>
      <w:r w:rsidRPr="00917C44">
        <w:rPr>
          <w:rFonts w:hint="cs"/>
          <w:b/>
          <w:bCs/>
          <w:noProof/>
          <w:spacing w:val="-2"/>
          <w:rtl/>
        </w:rPr>
        <w:drawing>
          <wp:anchor distT="0" distB="720090" distL="114300" distR="114300" simplePos="0" relativeHeight="251701248"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03858917" name="תמונה 703858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58917" name="Picture 46"/>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17C44">
        <w:rPr>
          <w:b/>
          <w:bCs/>
          <w:spacing w:val="-2"/>
          <w:rtl/>
        </w:rPr>
        <w:t>בקרת משרד הפנים על יישום תוכניות ההבראה</w:t>
      </w:r>
      <w:r w:rsidRPr="00917C44">
        <w:rPr>
          <w:rFonts w:hint="cs"/>
          <w:spacing w:val="-2"/>
          <w:rtl/>
        </w:rPr>
        <w:t xml:space="preserve"> - </w:t>
      </w:r>
      <w:r w:rsidRPr="00917C44">
        <w:rPr>
          <w:spacing w:val="-2"/>
          <w:rtl/>
        </w:rPr>
        <w:t>למשרד הפנים אין נתונים מלאים מרוכזים לגבי גובה המענקים שניתנו לכל אחת מהרשויות שהיו בתוכניות הבראה ולכלל הרשויות בכל שנה</w:t>
      </w:r>
      <w:r w:rsidRPr="00917C44">
        <w:rPr>
          <w:rFonts w:hint="cs"/>
          <w:spacing w:val="-2"/>
          <w:rtl/>
        </w:rPr>
        <w:t xml:space="preserve">, ואין </w:t>
      </w:r>
      <w:r w:rsidRPr="00917C44">
        <w:rPr>
          <w:spacing w:val="-2"/>
          <w:rtl/>
        </w:rPr>
        <w:t>למשרד הפנים נתונים מרוכזים על סכומי ההלוואות שנטלה כל רשות מקומית</w:t>
      </w:r>
      <w:r w:rsidRPr="00917C44">
        <w:rPr>
          <w:rFonts w:hint="cs"/>
          <w:spacing w:val="-2"/>
          <w:rtl/>
        </w:rPr>
        <w:t xml:space="preserve">; </w:t>
      </w:r>
      <w:r w:rsidRPr="00917C44">
        <w:rPr>
          <w:spacing w:val="-2"/>
          <w:rtl/>
        </w:rPr>
        <w:t xml:space="preserve">בשנים 2011 - 2020 לא מינה משרד הפנים גובה ממונה או חשב מלווה כגובה ממונה בשתי הרשויות המקומיות </w:t>
      </w:r>
      <w:r w:rsidRPr="00917C44">
        <w:rPr>
          <w:b/>
          <w:bCs/>
          <w:spacing w:val="-2"/>
          <w:rtl/>
        </w:rPr>
        <w:t>ג'יסר</w:t>
      </w:r>
      <w:r w:rsidRPr="00917C44">
        <w:rPr>
          <w:b/>
          <w:bCs/>
          <w:spacing w:val="-2"/>
          <w:rtl/>
        </w:rPr>
        <w:t xml:space="preserve"> א-זרקא</w:t>
      </w:r>
      <w:r w:rsidRPr="00917C44">
        <w:rPr>
          <w:spacing w:val="-2"/>
          <w:rtl/>
        </w:rPr>
        <w:t xml:space="preserve"> (למעט שנת 2020) </w:t>
      </w:r>
      <w:r w:rsidRPr="00917C44">
        <w:rPr>
          <w:spacing w:val="-2"/>
          <w:rtl/>
        </w:rPr>
        <w:t>ו</w:t>
      </w:r>
      <w:r w:rsidRPr="00917C44">
        <w:rPr>
          <w:b/>
          <w:bCs/>
          <w:spacing w:val="-2"/>
          <w:rtl/>
        </w:rPr>
        <w:t>סאג'ור</w:t>
      </w:r>
      <w:r w:rsidRPr="00917C44">
        <w:rPr>
          <w:spacing w:val="-2"/>
          <w:rtl/>
        </w:rPr>
        <w:t>, אף על פי שהן עמדו בקריטריונים למינוי גובה ממונה</w:t>
      </w:r>
      <w:r w:rsidRPr="00917C44">
        <w:rPr>
          <w:rFonts w:hint="cs"/>
          <w:spacing w:val="-2"/>
          <w:rtl/>
        </w:rPr>
        <w:t>;</w:t>
      </w:r>
      <w:r w:rsidRPr="00917C44">
        <w:rPr>
          <w:spacing w:val="-2"/>
          <w:rtl/>
        </w:rPr>
        <w:t xml:space="preserve"> אף על פי שהרשויות, </w:t>
      </w:r>
      <w:r w:rsidRPr="00917C44">
        <w:rPr>
          <w:b/>
          <w:bCs/>
          <w:spacing w:val="-2"/>
          <w:rtl/>
        </w:rPr>
        <w:t>בוסתאן</w:t>
      </w:r>
      <w:r w:rsidRPr="00917C44">
        <w:rPr>
          <w:b/>
          <w:bCs/>
          <w:spacing w:val="-2"/>
          <w:rtl/>
        </w:rPr>
        <w:t xml:space="preserve"> אל-</w:t>
      </w:r>
      <w:r w:rsidRPr="00917C44">
        <w:rPr>
          <w:b/>
          <w:bCs/>
          <w:spacing w:val="-2"/>
          <w:rtl/>
        </w:rPr>
        <w:t>מרג</w:t>
      </w:r>
      <w:r w:rsidRPr="00917C44">
        <w:rPr>
          <w:b/>
          <w:bCs/>
          <w:spacing w:val="-2"/>
          <w:rtl/>
        </w:rPr>
        <w:t>'</w:t>
      </w:r>
      <w:r w:rsidRPr="00917C44">
        <w:rPr>
          <w:rFonts w:hint="cs"/>
          <w:spacing w:val="-2"/>
          <w:rtl/>
        </w:rPr>
        <w:t>,</w:t>
      </w:r>
      <w:r w:rsidRPr="00917C44">
        <w:rPr>
          <w:spacing w:val="-2"/>
          <w:rtl/>
        </w:rPr>
        <w:t xml:space="preserve"> </w:t>
      </w:r>
      <w:r w:rsidRPr="00917C44">
        <w:rPr>
          <w:b/>
          <w:bCs/>
          <w:spacing w:val="-2"/>
          <w:rtl/>
        </w:rPr>
        <w:t>ג'יסר</w:t>
      </w:r>
      <w:r w:rsidRPr="00917C44">
        <w:rPr>
          <w:b/>
          <w:bCs/>
          <w:spacing w:val="-2"/>
          <w:rtl/>
        </w:rPr>
        <w:t xml:space="preserve"> א-זרקא</w:t>
      </w:r>
      <w:r w:rsidRPr="00917C44">
        <w:rPr>
          <w:spacing w:val="-2"/>
          <w:rtl/>
        </w:rPr>
        <w:t xml:space="preserve">, </w:t>
      </w:r>
      <w:r w:rsidRPr="00917C44">
        <w:rPr>
          <w:spacing w:val="-2"/>
          <w:rtl/>
        </w:rPr>
        <w:t>ו</w:t>
      </w:r>
      <w:r w:rsidRPr="00917C44">
        <w:rPr>
          <w:b/>
          <w:bCs/>
          <w:spacing w:val="-2"/>
          <w:rtl/>
        </w:rPr>
        <w:t>סאג'ור</w:t>
      </w:r>
      <w:r w:rsidRPr="00917C44">
        <w:rPr>
          <w:spacing w:val="-2"/>
          <w:rtl/>
        </w:rPr>
        <w:t xml:space="preserve"> </w:t>
      </w:r>
      <w:r w:rsidRPr="00917C44">
        <w:rPr>
          <w:rFonts w:hint="cs"/>
          <w:spacing w:val="-2"/>
          <w:rtl/>
        </w:rPr>
        <w:t xml:space="preserve">לא עמדו בחלק מהיעדים העיקריים בתוכניות ההבראה שנקבעו להן, ואף שתוכניות </w:t>
      </w:r>
      <w:r w:rsidRPr="00917C44">
        <w:rPr>
          <w:rFonts w:hint="cs"/>
          <w:spacing w:val="-2"/>
          <w:rtl/>
        </w:rPr>
        <w:t xml:space="preserve">ההבראה לא צלחו והרשויות המשיכו לצבור גירעונות - לא השתמש שר הפנים בסמכותו ולא </w:t>
      </w:r>
      <w:r w:rsidRPr="00917C44" w:rsidR="00917C44">
        <w:rPr>
          <w:rStyle w:val="7371"/>
          <w:rFonts w:hint="cs"/>
          <w:noProof/>
          <w:spacing w:val="-2"/>
          <w:rtl/>
        </w:rPr>
        <w:drawing>
          <wp:anchor distT="0" distB="0" distL="114300" distR="114300" simplePos="0" relativeHeight="251682816" behindDoc="0" locked="0" layoutInCell="1" allowOverlap="1">
            <wp:simplePos x="0" y="0"/>
            <wp:positionH relativeFrom="column">
              <wp:posOffset>2275205</wp:posOffset>
            </wp:positionH>
            <wp:positionV relativeFrom="paragraph">
              <wp:posOffset>408940</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917C44">
        <w:rPr>
          <w:rFonts w:hint="cs"/>
          <w:spacing w:val="-2"/>
          <w:rtl/>
        </w:rPr>
        <w:t>הורה על מינוי ועדה למילוי תפקידי המועצה וראש המועצה.</w:t>
      </w:r>
    </w:p>
    <w:p w:rsidR="00420374" w:rsidRPr="00CA4EB1" w:rsidP="009D1343" w14:paraId="4A9F3764" w14:textId="6AA86889">
      <w:pPr>
        <w:pStyle w:val="7317"/>
        <w:spacing w:before="360"/>
        <w:rPr>
          <w:rtl/>
        </w:rPr>
      </w:pPr>
      <w:r w:rsidRPr="00FE0DFE">
        <w:rPr>
          <w:b/>
          <w:bCs/>
          <w:rtl/>
        </w:rPr>
        <w:t>גביית ארנונה</w:t>
      </w:r>
      <w:r w:rsidRPr="00CB575D">
        <w:rPr>
          <w:rFonts w:hint="cs"/>
          <w:rtl/>
        </w:rPr>
        <w:t xml:space="preserve"> - </w:t>
      </w:r>
      <w:r w:rsidRPr="00CB575D">
        <w:rPr>
          <w:rtl/>
        </w:rPr>
        <w:t xml:space="preserve">השיעור הממוצע של גביית הארנונה </w:t>
      </w:r>
      <w:r w:rsidRPr="00CB575D">
        <w:rPr>
          <w:rFonts w:hint="cs"/>
          <w:rtl/>
        </w:rPr>
        <w:t>מהחיובים השוטפים</w:t>
      </w:r>
      <w:r w:rsidRPr="00CB575D">
        <w:rPr>
          <w:rtl/>
        </w:rPr>
        <w:t xml:space="preserve"> בשנים 2011</w:t>
      </w:r>
      <w:r w:rsidRPr="00CB575D">
        <w:rPr>
          <w:rFonts w:hint="cs"/>
          <w:rtl/>
        </w:rPr>
        <w:t xml:space="preserve"> </w:t>
      </w:r>
      <w:r w:rsidRPr="00CB575D">
        <w:rPr>
          <w:rtl/>
        </w:rPr>
        <w:t xml:space="preserve">- 2020 במועצה האזורית </w:t>
      </w:r>
      <w:r w:rsidRPr="00FE0DFE">
        <w:rPr>
          <w:b/>
          <w:bCs/>
          <w:rtl/>
        </w:rPr>
        <w:t>בוסתאן</w:t>
      </w:r>
      <w:r w:rsidRPr="00FE0DFE">
        <w:rPr>
          <w:b/>
          <w:bCs/>
          <w:rtl/>
        </w:rPr>
        <w:t xml:space="preserve"> אל-</w:t>
      </w:r>
      <w:r w:rsidRPr="00FE0DFE">
        <w:rPr>
          <w:b/>
          <w:bCs/>
          <w:rtl/>
        </w:rPr>
        <w:t>מרג</w:t>
      </w:r>
      <w:r w:rsidRPr="00FE0DFE">
        <w:rPr>
          <w:b/>
          <w:bCs/>
          <w:rtl/>
        </w:rPr>
        <w:t>'</w:t>
      </w:r>
      <w:r w:rsidRPr="00CB575D">
        <w:rPr>
          <w:rtl/>
        </w:rPr>
        <w:t xml:space="preserve"> ובמועצה המקומית </w:t>
      </w:r>
      <w:r w:rsidRPr="001E745F">
        <w:rPr>
          <w:b/>
          <w:bCs/>
          <w:rtl/>
        </w:rPr>
        <w:t>בית אריה</w:t>
      </w:r>
      <w:r w:rsidRPr="00CB575D">
        <w:rPr>
          <w:rFonts w:hint="cs"/>
          <w:rtl/>
        </w:rPr>
        <w:t xml:space="preserve"> היה</w:t>
      </w:r>
      <w:r w:rsidRPr="00CB575D">
        <w:rPr>
          <w:rtl/>
        </w:rPr>
        <w:t xml:space="preserve"> </w:t>
      </w:r>
      <w:r w:rsidRPr="00CB575D">
        <w:rPr>
          <w:rFonts w:hint="cs"/>
          <w:rtl/>
        </w:rPr>
        <w:t>89% ו-92%</w:t>
      </w:r>
      <w:r w:rsidRPr="00CB575D">
        <w:rPr>
          <w:rtl/>
        </w:rPr>
        <w:t>, בהתאמה</w:t>
      </w:r>
      <w:r w:rsidRPr="00CB575D">
        <w:rPr>
          <w:rFonts w:hint="cs"/>
          <w:rtl/>
        </w:rPr>
        <w:t>,</w:t>
      </w:r>
      <w:r w:rsidRPr="00CB575D">
        <w:rPr>
          <w:rtl/>
        </w:rPr>
        <w:t xml:space="preserve"> זאת למול ממוצע ארצי בשיעור של </w:t>
      </w:r>
      <w:r w:rsidRPr="00CB575D">
        <w:rPr>
          <w:rFonts w:hint="cs"/>
          <w:rtl/>
        </w:rPr>
        <w:t>86.4</w:t>
      </w:r>
      <w:r>
        <w:rPr>
          <w:rFonts w:hint="cs"/>
          <w:rtl/>
        </w:rPr>
        <w:t>%</w:t>
      </w:r>
      <w:r w:rsidRPr="00CA4EB1">
        <w:rPr>
          <w:rFonts w:hint="cs"/>
          <w:rtl/>
        </w:rPr>
        <w:t>.</w:t>
      </w:r>
    </w:p>
    <w:p w:rsidR="002753C7" w:rsidRPr="00662020" w:rsidP="009D1343" w14:paraId="7C748CCB" w14:textId="7A75E04D">
      <w:pPr>
        <w:pStyle w:val="7327"/>
        <w:spacing w:before="480"/>
        <w:rPr>
          <w:rtl/>
        </w:rPr>
      </w:pPr>
      <w:r w:rsidRPr="00662020">
        <w:rPr>
          <w:rFonts w:hint="cs"/>
          <w:rtl/>
        </w:rPr>
        <w:t>עיקרי המלצות הביקורת</w:t>
      </w:r>
    </w:p>
    <w:p w:rsidR="0093709F" w:rsidRPr="007C7D40" w:rsidP="009D1343" w14:paraId="0466320B" w14:textId="4123FA6F">
      <w:pPr>
        <w:pStyle w:val="7317"/>
      </w:pPr>
      <w:r w:rsidRPr="007C7D40">
        <w:rPr>
          <w:rFonts w:hint="cs"/>
          <w:noProof/>
          <w:rtl/>
        </w:rPr>
        <w:drawing>
          <wp:anchor distT="0" distB="1440180" distL="107950" distR="114300" simplePos="0" relativeHeight="25169305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B575D" w:rsidR="008E017B">
        <w:rPr>
          <w:rtl/>
        </w:rPr>
        <w:t xml:space="preserve">על הרשויות המקומיות </w:t>
      </w:r>
      <w:r w:rsidRPr="00FE0DFE" w:rsidR="008E017B">
        <w:rPr>
          <w:b/>
          <w:bCs/>
          <w:rtl/>
        </w:rPr>
        <w:t>בוסתאן</w:t>
      </w:r>
      <w:r w:rsidRPr="00FE0DFE" w:rsidR="008E017B">
        <w:rPr>
          <w:b/>
          <w:bCs/>
          <w:rtl/>
        </w:rPr>
        <w:t xml:space="preserve"> אל-</w:t>
      </w:r>
      <w:r w:rsidRPr="00FE0DFE" w:rsidR="008E017B">
        <w:rPr>
          <w:b/>
          <w:bCs/>
          <w:rtl/>
        </w:rPr>
        <w:t>מרג</w:t>
      </w:r>
      <w:r w:rsidRPr="00FE0DFE" w:rsidR="008E017B">
        <w:rPr>
          <w:b/>
          <w:bCs/>
          <w:rtl/>
        </w:rPr>
        <w:t>'</w:t>
      </w:r>
      <w:r w:rsidRPr="00540F12" w:rsidR="008E017B">
        <w:rPr>
          <w:rtl/>
        </w:rPr>
        <w:t>,</w:t>
      </w:r>
      <w:r w:rsidRPr="00CB575D" w:rsidR="008E017B">
        <w:rPr>
          <w:rtl/>
        </w:rPr>
        <w:t xml:space="preserve"> </w:t>
      </w:r>
      <w:r w:rsidRPr="001E745F" w:rsidR="008E017B">
        <w:rPr>
          <w:b/>
          <w:bCs/>
          <w:rtl/>
        </w:rPr>
        <w:t>בית אריה</w:t>
      </w:r>
      <w:r w:rsidRPr="00540F12" w:rsidR="008E017B">
        <w:rPr>
          <w:rtl/>
        </w:rPr>
        <w:t>,</w:t>
      </w:r>
      <w:r w:rsidRPr="00CB575D" w:rsidR="008E017B">
        <w:rPr>
          <w:rtl/>
        </w:rPr>
        <w:t xml:space="preserve"> </w:t>
      </w:r>
      <w:r w:rsidRPr="001E745F" w:rsidR="008E017B">
        <w:rPr>
          <w:b/>
          <w:bCs/>
          <w:rtl/>
        </w:rPr>
        <w:t>ג'יסר</w:t>
      </w:r>
      <w:r w:rsidRPr="001E745F" w:rsidR="008E017B">
        <w:rPr>
          <w:b/>
          <w:bCs/>
          <w:rtl/>
        </w:rPr>
        <w:t xml:space="preserve"> א-זרקא</w:t>
      </w:r>
      <w:r w:rsidRPr="00CB575D" w:rsidR="008E017B">
        <w:rPr>
          <w:rtl/>
        </w:rPr>
        <w:t xml:space="preserve"> </w:t>
      </w:r>
      <w:r w:rsidRPr="00CB575D" w:rsidR="008E017B">
        <w:rPr>
          <w:rFonts w:hint="cs"/>
          <w:rtl/>
        </w:rPr>
        <w:t>ו</w:t>
      </w:r>
      <w:r w:rsidRPr="00FE0DFE" w:rsidR="008E017B">
        <w:rPr>
          <w:b/>
          <w:bCs/>
          <w:rtl/>
        </w:rPr>
        <w:t>סאג'ור</w:t>
      </w:r>
      <w:r w:rsidRPr="00CB575D" w:rsidR="008E017B">
        <w:rPr>
          <w:rtl/>
        </w:rPr>
        <w:t xml:space="preserve"> לעמוד בכל היעדים שנקבעו להן בתוכניות ההבראה ולפעול לצמצום גירעונותיהן הנצברים. מומלץ כי משרד הפנים יבחן מדרג של </w:t>
      </w:r>
      <w:r w:rsidRPr="00CB575D" w:rsidR="008E017B">
        <w:rPr>
          <w:rFonts w:hint="cs"/>
          <w:rtl/>
        </w:rPr>
        <w:t>פעולות ובקרות</w:t>
      </w:r>
      <w:r w:rsidRPr="00CB575D" w:rsidR="008E017B">
        <w:rPr>
          <w:rtl/>
        </w:rPr>
        <w:t xml:space="preserve"> ל</w:t>
      </w:r>
      <w:r w:rsidRPr="00CB575D" w:rsidR="008E017B">
        <w:rPr>
          <w:rFonts w:hint="cs"/>
          <w:rtl/>
        </w:rPr>
        <w:t xml:space="preserve">מול </w:t>
      </w:r>
      <w:r w:rsidRPr="00CB575D" w:rsidR="008E017B">
        <w:rPr>
          <w:rtl/>
        </w:rPr>
        <w:t xml:space="preserve">רשות </w:t>
      </w:r>
      <w:r w:rsidRPr="00CB575D" w:rsidR="008E017B">
        <w:rPr>
          <w:rFonts w:hint="cs"/>
          <w:rtl/>
        </w:rPr>
        <w:t xml:space="preserve">מקומית </w:t>
      </w:r>
      <w:r w:rsidRPr="00CB575D" w:rsidR="008E017B">
        <w:rPr>
          <w:rtl/>
        </w:rPr>
        <w:t>שאינה עומדת ביעדים.</w:t>
      </w:r>
      <w:r w:rsidRPr="00CB575D" w:rsidR="008E017B">
        <w:rPr>
          <w:rFonts w:hint="cs"/>
          <w:rtl/>
        </w:rPr>
        <w:t xml:space="preserve"> </w:t>
      </w:r>
      <w:r w:rsidRPr="00CB575D" w:rsidR="008E017B">
        <w:rPr>
          <w:rtl/>
        </w:rPr>
        <w:t>על משרד הפנים להימנע מחתימה על תוכנית הבראה מעודכנת ומק</w:t>
      </w:r>
      <w:r w:rsidRPr="00CB575D" w:rsidR="008E017B">
        <w:rPr>
          <w:rFonts w:hint="eastAsia"/>
          <w:rtl/>
        </w:rPr>
        <w:t>י</w:t>
      </w:r>
      <w:r w:rsidRPr="00CB575D" w:rsidR="008E017B">
        <w:rPr>
          <w:rtl/>
        </w:rPr>
        <w:t>לה לפני תום המועד שנקבע להערכה של הת</w:t>
      </w:r>
      <w:r w:rsidRPr="00CB575D" w:rsidR="008E017B">
        <w:rPr>
          <w:rFonts w:hint="cs"/>
          <w:rtl/>
        </w:rPr>
        <w:t>ו</w:t>
      </w:r>
      <w:r w:rsidRPr="00CB575D" w:rsidR="008E017B">
        <w:rPr>
          <w:rtl/>
        </w:rPr>
        <w:t>כנית הקיימת</w:t>
      </w:r>
      <w:r w:rsidRPr="007C7D40" w:rsidR="005D0F8C">
        <w:rPr>
          <w:rFonts w:hint="cs"/>
          <w:rtl/>
        </w:rPr>
        <w:t xml:space="preserve">. </w:t>
      </w:r>
    </w:p>
    <w:p w:rsidR="005D0F8C" w:rsidRPr="007C7D40" w:rsidP="009D1343" w14:paraId="6C626C68" w14:textId="0D4A83D5">
      <w:pPr>
        <w:pStyle w:val="7317"/>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B575D" w:rsidR="008E017B">
        <w:rPr>
          <w:rtl/>
        </w:rPr>
        <w:t>על הרשויות המקומיות</w:t>
      </w:r>
      <w:r w:rsidRPr="009A6A16" w:rsidR="008E017B">
        <w:rPr>
          <w:rtl/>
        </w:rPr>
        <w:t xml:space="preserve"> </w:t>
      </w:r>
      <w:r w:rsidRPr="00FE0DFE" w:rsidR="008E017B">
        <w:rPr>
          <w:b/>
          <w:bCs/>
          <w:rtl/>
        </w:rPr>
        <w:t>בוסתאן</w:t>
      </w:r>
      <w:r w:rsidRPr="00FE0DFE" w:rsidR="008E017B">
        <w:rPr>
          <w:b/>
          <w:bCs/>
          <w:rtl/>
        </w:rPr>
        <w:t xml:space="preserve"> אל-</w:t>
      </w:r>
      <w:r w:rsidRPr="00FE0DFE" w:rsidR="008E017B">
        <w:rPr>
          <w:b/>
          <w:bCs/>
          <w:rtl/>
        </w:rPr>
        <w:t>מרג</w:t>
      </w:r>
      <w:r w:rsidRPr="00FE0DFE" w:rsidR="008E017B">
        <w:rPr>
          <w:b/>
          <w:bCs/>
          <w:rtl/>
        </w:rPr>
        <w:t>'</w:t>
      </w:r>
      <w:r w:rsidRPr="00540F12" w:rsidR="008E017B">
        <w:rPr>
          <w:rtl/>
        </w:rPr>
        <w:t>,</w:t>
      </w:r>
      <w:r w:rsidRPr="00CB575D" w:rsidR="008E017B">
        <w:rPr>
          <w:rtl/>
        </w:rPr>
        <w:t xml:space="preserve"> </w:t>
      </w:r>
      <w:r w:rsidRPr="001E745F" w:rsidR="008E017B">
        <w:rPr>
          <w:b/>
          <w:bCs/>
          <w:rtl/>
        </w:rPr>
        <w:t>בית אריה</w:t>
      </w:r>
      <w:r w:rsidRPr="00540F12" w:rsidR="008E017B">
        <w:rPr>
          <w:rtl/>
        </w:rPr>
        <w:t>,</w:t>
      </w:r>
      <w:r w:rsidRPr="00CB575D" w:rsidR="008E017B">
        <w:rPr>
          <w:rtl/>
        </w:rPr>
        <w:t xml:space="preserve"> </w:t>
      </w:r>
      <w:r w:rsidRPr="001E745F" w:rsidR="008E017B">
        <w:rPr>
          <w:b/>
          <w:bCs/>
          <w:rtl/>
        </w:rPr>
        <w:t>ג'יסר</w:t>
      </w:r>
      <w:r w:rsidRPr="001E745F" w:rsidR="008E017B">
        <w:rPr>
          <w:b/>
          <w:bCs/>
          <w:rtl/>
        </w:rPr>
        <w:t xml:space="preserve"> א-זרקא</w:t>
      </w:r>
      <w:r w:rsidRPr="00CB575D" w:rsidR="008E017B">
        <w:rPr>
          <w:rtl/>
        </w:rPr>
        <w:t xml:space="preserve"> </w:t>
      </w:r>
      <w:r w:rsidRPr="00CB575D" w:rsidR="008E017B">
        <w:rPr>
          <w:rFonts w:hint="cs"/>
          <w:rtl/>
        </w:rPr>
        <w:t>ו</w:t>
      </w:r>
      <w:r w:rsidRPr="00FE0DFE" w:rsidR="008E017B">
        <w:rPr>
          <w:b/>
          <w:bCs/>
          <w:rtl/>
        </w:rPr>
        <w:t>סאג'ור</w:t>
      </w:r>
      <w:r w:rsidRPr="00CB575D" w:rsidR="008E017B">
        <w:rPr>
          <w:rtl/>
        </w:rPr>
        <w:t xml:space="preserve"> לפעול להגברת גביית </w:t>
      </w:r>
      <w:r w:rsidRPr="00CB575D" w:rsidR="008E017B">
        <w:rPr>
          <w:rFonts w:hint="cs"/>
          <w:rtl/>
        </w:rPr>
        <w:t>הארנונה שב</w:t>
      </w:r>
      <w:r w:rsidRPr="00CB575D" w:rsidR="008E017B">
        <w:rPr>
          <w:rtl/>
        </w:rPr>
        <w:t>פיגורים. מומלץ כי משרד הפנים יקבע יעדים לגביית חובות ארנונה בפיגור</w:t>
      </w:r>
      <w:r w:rsidRPr="007C7D40">
        <w:rPr>
          <w:rtl/>
        </w:rPr>
        <w:t xml:space="preserve">. </w:t>
      </w:r>
    </w:p>
    <w:p w:rsidR="005D0F8C" w:rsidRPr="007C7D40" w:rsidP="009D1343" w14:paraId="16E5BFEE" w14:textId="78F4BFF6">
      <w:pPr>
        <w:pStyle w:val="7317"/>
        <w:rPr>
          <w:rtl/>
        </w:rPr>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B575D" w:rsidR="008E017B">
        <w:rPr>
          <w:rtl/>
        </w:rPr>
        <w:t>כדי להגדיל את ההכנסות העצמיות של הרשויות בחברה הלא-יהודית מומלץ כי משרד הפנים יכלול בתוכניות ההבראה יעדים לפיתוח אזורי תעסוקה ותעשייה ויפעל עם הרשויות לקידומם</w:t>
      </w:r>
      <w:r w:rsidRPr="00CB575D" w:rsidR="008E017B">
        <w:rPr>
          <w:rFonts w:hint="cs"/>
          <w:rtl/>
        </w:rPr>
        <w:t>,</w:t>
      </w:r>
      <w:r w:rsidRPr="00CB575D" w:rsidR="008E017B">
        <w:rPr>
          <w:rtl/>
        </w:rPr>
        <w:t xml:space="preserve"> ולחילופין </w:t>
      </w:r>
      <w:r w:rsidRPr="00CB575D" w:rsidR="008E017B">
        <w:rPr>
          <w:rFonts w:hint="cs"/>
          <w:rtl/>
        </w:rPr>
        <w:t>י</w:t>
      </w:r>
      <w:r w:rsidRPr="00CB575D" w:rsidR="008E017B">
        <w:rPr>
          <w:rtl/>
        </w:rPr>
        <w:t>קדם ועדות גבולות לחלוקת הכנסות</w:t>
      </w:r>
      <w:r w:rsidRPr="007C7D40">
        <w:rPr>
          <w:rFonts w:hint="cs"/>
          <w:rtl/>
        </w:rPr>
        <w:t>.</w:t>
      </w:r>
    </w:p>
    <w:p w:rsidR="00706096" w:rsidRPr="007C7D40" w:rsidP="009D1343" w14:paraId="3F6A2BE4" w14:textId="1CD59D0E">
      <w:pPr>
        <w:pStyle w:val="7317"/>
        <w:rPr>
          <w:rtl/>
        </w:rPr>
      </w:pPr>
      <w:r w:rsidRPr="007C7D40">
        <w:rPr>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B575D" w:rsidR="008E017B">
        <w:rPr>
          <w:rtl/>
        </w:rPr>
        <w:t>כדי לשפר את הבקרה של משרד הפנים על יישום תוכניות ההבראה עליו לנהל מערכת מידע הכוללת: רשימה שנתית של רשויות שבתוכניות הבראה, משך הזמן של כל תוכנית, נתונים שנתיים על היקף המענקים שניתנו לרשויות ועל ההלוואות שכל רשות מקומית נטלה בפועל בגין תוכניות ההבראה שלה</w:t>
      </w:r>
      <w:r w:rsidRPr="007C7D40">
        <w:rPr>
          <w:rFonts w:hint="cs"/>
          <w:rtl/>
        </w:rPr>
        <w:t>.</w:t>
      </w:r>
    </w:p>
    <w:p w:rsidR="00706096" w:rsidRPr="007C7D40" w:rsidP="009D1343" w14:paraId="36B4D251" w14:textId="0429848F">
      <w:pPr>
        <w:pStyle w:val="7317"/>
      </w:pPr>
      <w:r w:rsidRPr="007C7D40">
        <w:rPr>
          <w:rFonts w:hint="cs"/>
          <w:noProof/>
          <w:rtl/>
        </w:rPr>
        <w:drawing>
          <wp:anchor distT="0" distB="1440180" distL="107950" distR="114300" simplePos="0" relativeHeight="25169715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CB575D" w:rsidR="008E017B">
        <w:rPr>
          <w:rtl/>
        </w:rPr>
        <w:t xml:space="preserve">מומלץ כי משרד הפנים ינקוט פעולות כגון הסמכת החשב המלווה גם כגובה ממונה במטרה להגדיל את שיעורי הגבייה של הארנונה (גם </w:t>
      </w:r>
      <w:r w:rsidRPr="00CB575D" w:rsidR="008E017B">
        <w:rPr>
          <w:rFonts w:hint="cs"/>
          <w:rtl/>
        </w:rPr>
        <w:t>במקרים שבהם גביית הפיגורים נמוכה</w:t>
      </w:r>
      <w:r w:rsidRPr="00CB575D" w:rsidR="008E017B">
        <w:rPr>
          <w:rtl/>
        </w:rPr>
        <w:t>), של תשלומי החובה האחרים ושל תשלומי המים ברשויות כגון אלה שנבדקו</w:t>
      </w:r>
      <w:r w:rsidRPr="00CB575D" w:rsidR="008E017B">
        <w:rPr>
          <w:rFonts w:hint="cs"/>
          <w:rtl/>
        </w:rPr>
        <w:t>, כלומר</w:t>
      </w:r>
      <w:r w:rsidRPr="00CB575D" w:rsidR="008E017B">
        <w:rPr>
          <w:rtl/>
        </w:rPr>
        <w:t xml:space="preserve"> </w:t>
      </w:r>
      <w:r w:rsidRPr="00CB575D" w:rsidR="008E017B">
        <w:rPr>
          <w:rFonts w:hint="cs"/>
          <w:rtl/>
        </w:rPr>
        <w:t xml:space="preserve">רשויות </w:t>
      </w:r>
      <w:r w:rsidRPr="00CB575D" w:rsidR="008E017B">
        <w:rPr>
          <w:rtl/>
        </w:rPr>
        <w:t>שעמדו בקריטריונים למינוי גובה ממונה ושהיקף הגבייה שלהן היה נמוך לאורך השנים.</w:t>
      </w:r>
      <w:r w:rsidRPr="009A6A16" w:rsidR="008E017B">
        <w:rPr>
          <w:rtl/>
        </w:rPr>
        <w:t xml:space="preserve"> </w:t>
      </w:r>
      <w:r w:rsidRPr="00CB575D" w:rsidR="008E017B">
        <w:rPr>
          <w:rtl/>
        </w:rPr>
        <w:t xml:space="preserve">במקרים </w:t>
      </w:r>
      <w:r w:rsidRPr="00CB575D" w:rsidR="008E017B">
        <w:rPr>
          <w:rFonts w:hint="cs"/>
          <w:rtl/>
        </w:rPr>
        <w:t>ש</w:t>
      </w:r>
      <w:r w:rsidRPr="00CB575D" w:rsidR="008E017B">
        <w:rPr>
          <w:rtl/>
        </w:rPr>
        <w:t>בהם הרשות א</w:t>
      </w:r>
      <w:r w:rsidRPr="00CB575D" w:rsidR="008E017B">
        <w:rPr>
          <w:rFonts w:hint="cs"/>
          <w:rtl/>
        </w:rPr>
        <w:t>ינה</w:t>
      </w:r>
      <w:r w:rsidRPr="00CB575D" w:rsidR="008E017B">
        <w:rPr>
          <w:rtl/>
        </w:rPr>
        <w:t xml:space="preserve"> עומדת ביעדים העיקריים של ת</w:t>
      </w:r>
      <w:r w:rsidRPr="00CB575D" w:rsidR="008E017B">
        <w:rPr>
          <w:rFonts w:hint="cs"/>
          <w:rtl/>
        </w:rPr>
        <w:t>ו</w:t>
      </w:r>
      <w:r w:rsidRPr="00CB575D" w:rsidR="008E017B">
        <w:rPr>
          <w:rtl/>
        </w:rPr>
        <w:t xml:space="preserve">כניות ההבראה שלה, מומלץ למשרד הפנים </w:t>
      </w:r>
      <w:r w:rsidRPr="00CB575D" w:rsidR="008E017B">
        <w:rPr>
          <w:rFonts w:hint="cs"/>
          <w:rtl/>
        </w:rPr>
        <w:t xml:space="preserve">לבחון </w:t>
      </w:r>
      <w:r w:rsidRPr="00CB575D" w:rsidR="008E017B">
        <w:rPr>
          <w:rtl/>
        </w:rPr>
        <w:t>למנות לה ועדה ממונה</w:t>
      </w:r>
      <w:r w:rsidRPr="007C7D40">
        <w:rPr>
          <w:rFonts w:hint="cs"/>
          <w:rtl/>
        </w:rPr>
        <w:t>.</w:t>
      </w:r>
    </w:p>
    <w:p w:rsidR="00706096" w:rsidP="009D1343" w14:paraId="30F30DD7" w14:textId="65FAFEF9">
      <w:pPr>
        <w:pStyle w:val="7317"/>
        <w:rPr>
          <w:rtl/>
        </w:rPr>
      </w:pPr>
      <w:r w:rsidRPr="007C7D40">
        <w:rPr>
          <w:rFonts w:hint="cs"/>
          <w:noProof/>
          <w:rtl/>
        </w:rPr>
        <w:drawing>
          <wp:anchor distT="0" distB="1440180" distL="107950" distR="114300" simplePos="0" relativeHeight="25169817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CB575D" w:rsidR="008E017B">
        <w:rPr>
          <w:rtl/>
        </w:rPr>
        <w:t>מומלץ למשרד הפנים לשקול עריכת שינויים במתכונת תוכניות ההבראה לרשויות ולבחון אילו יעדים יש להציב ובאילו צעדים ואמצעים נוספים יש לנקוט כדי לסייע לרשויות המקומיות לשפר את התנהלותן התקציבית ולהגדיל את פוטנציאל ההכנסות שלהן</w:t>
      </w:r>
      <w:r w:rsidRPr="008E57FE">
        <w:rPr>
          <w:rFonts w:hint="cs"/>
          <w:rtl/>
        </w:rPr>
        <w:t>.</w:t>
      </w:r>
    </w:p>
    <w:p w:rsidR="00917C44" w14:paraId="377E6FE3" w14:textId="14A87D2F">
      <w:pPr>
        <w:bidi w:val="0"/>
        <w:spacing w:after="200" w:line="276" w:lineRule="auto"/>
        <w:rPr>
          <w:rFonts w:ascii="Tahoma" w:hAnsi="Tahoma" w:cs="Tahoma"/>
          <w:color w:val="0D0D0D" w:themeColor="text1" w:themeTint="F2"/>
          <w:sz w:val="18"/>
          <w:szCs w:val="18"/>
          <w:rtl/>
        </w:rPr>
      </w:pPr>
      <w:r>
        <w:rPr>
          <w:rtl/>
        </w:rPr>
        <w:br w:type="page"/>
      </w:r>
    </w:p>
    <w:p w:rsidR="005D0F8C" w:rsidP="009D1343" w14:paraId="6DC28C4F" w14:textId="44545617">
      <w:pPr>
        <w:bidi w:val="0"/>
        <w:spacing w:after="200" w:line="276" w:lineRule="auto"/>
        <w:rPr>
          <w:rtl/>
        </w:rPr>
      </w:pPr>
      <w:r w:rsidRPr="00D527BD">
        <w:rPr>
          <w:noProof/>
          <w:szCs w:val="20"/>
          <w:rtl/>
        </w:rPr>
        <w:drawing>
          <wp:anchor distT="0" distB="0" distL="114300" distR="114300" simplePos="0" relativeHeight="251678720" behindDoc="0" locked="0" layoutInCell="1" allowOverlap="1">
            <wp:simplePos x="0" y="0"/>
            <wp:positionH relativeFrom="column">
              <wp:posOffset>-107950</wp:posOffset>
            </wp:positionH>
            <wp:positionV relativeFrom="paragraph">
              <wp:posOffset>-50165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rsidR="005D0F8C" w:rsidRPr="005C7ABF" w:rsidP="00662020" w14:textId="0DBFF17B">
                            <w:pPr>
                              <w:spacing w:line="240" w:lineRule="auto"/>
                              <w:ind w:right="113"/>
                              <w:suppressOverlap/>
                              <w:jc w:val="left"/>
                              <w:rPr>
                                <w:rFonts w:ascii="Tahoma" w:hAnsi="Tahoma" w:cs="Tahoma"/>
                                <w:b/>
                                <w:bCs/>
                                <w:color w:val="FFFFFF" w:themeColor="background1"/>
                                <w:spacing w:val="-4"/>
                                <w:sz w:val="22"/>
                                <w:szCs w:val="22"/>
                                <w:rtl/>
                              </w:rPr>
                            </w:pPr>
                            <w:r w:rsidRPr="007E6995">
                              <w:rPr>
                                <w:rFonts w:ascii="Tahoma" w:hAnsi="Tahoma" w:cs="Tahoma"/>
                                <w:b/>
                                <w:bCs/>
                                <w:color w:val="FFFFFF" w:themeColor="background1"/>
                                <w:spacing w:val="-4"/>
                                <w:sz w:val="22"/>
                                <w:szCs w:val="22"/>
                                <w:rtl/>
                              </w:rPr>
                              <w:t>התפלגות הרשויות המקומיות שבתוכניות הבראה, לפי מעמד מוניציפלי, מגזר ומחוזות משרד הפנים, יוני 2022</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3.55pt;margin-left:6.85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0DBFF17B">
                      <w:pPr>
                        <w:spacing w:line="240" w:lineRule="auto"/>
                        <w:ind w:right="113"/>
                        <w:suppressOverlap/>
                        <w:jc w:val="left"/>
                        <w:rPr>
                          <w:rFonts w:ascii="Tahoma" w:hAnsi="Tahoma" w:cs="Tahoma"/>
                          <w:b/>
                          <w:bCs/>
                          <w:color w:val="FFFFFF" w:themeColor="background1"/>
                          <w:spacing w:val="-4"/>
                          <w:sz w:val="22"/>
                          <w:szCs w:val="22"/>
                          <w:rtl/>
                        </w:rPr>
                      </w:pPr>
                      <w:r w:rsidRPr="007E6995">
                        <w:rPr>
                          <w:rFonts w:ascii="Tahoma" w:hAnsi="Tahoma" w:cs="Tahoma"/>
                          <w:b/>
                          <w:bCs/>
                          <w:color w:val="FFFFFF" w:themeColor="background1"/>
                          <w:spacing w:val="-4"/>
                          <w:sz w:val="22"/>
                          <w:szCs w:val="22"/>
                          <w:rtl/>
                        </w:rPr>
                        <w:t>התפלגות הרשויות המקומיות שבתוכניות הבראה, לפי מעמד מוניציפלי, מגזר ומחוזות משרד הפנים, יוני 2022</w:t>
                      </w:r>
                    </w:p>
                  </w:txbxContent>
                </v:textbox>
              </v:shape>
            </w:pict>
          </mc:Fallback>
        </mc:AlternateContent>
      </w:r>
      <w:r>
        <w:rPr>
          <w:rtl/>
        </w:rPr>
        <w:t xml:space="preserve"> </w:t>
      </w:r>
    </w:p>
    <w:p w:rsidR="005D0F8C" w:rsidP="009D1343" w14:paraId="5B8DB107" w14:textId="20FFFE4E">
      <w:pPr>
        <w:pStyle w:val="7317"/>
        <w:rPr>
          <w:rtl/>
        </w:rPr>
      </w:pPr>
    </w:p>
    <w:p w:rsidR="005D0F8C" w:rsidP="009D1343" w14:paraId="65CD3CF9" w14:textId="2024D111">
      <w:pPr>
        <w:pStyle w:val="7317"/>
        <w:rPr>
          <w:rtl/>
        </w:rPr>
      </w:pPr>
      <w:r>
        <w:rPr>
          <w:noProof/>
          <w:sz w:val="19"/>
          <w:szCs w:val="19"/>
        </w:rPr>
        <w:drawing>
          <wp:anchor distT="0" distB="0" distL="114300" distR="114300" simplePos="0" relativeHeight="251681792" behindDoc="0" locked="0" layoutInCell="1" allowOverlap="1">
            <wp:simplePos x="0" y="0"/>
            <wp:positionH relativeFrom="column">
              <wp:posOffset>-48260</wp:posOffset>
            </wp:positionH>
            <wp:positionV relativeFrom="paragraph">
              <wp:posOffset>205105</wp:posOffset>
            </wp:positionV>
            <wp:extent cx="4664710" cy="1886585"/>
            <wp:effectExtent l="0" t="0" r="0" b="5715"/>
            <wp:wrapTopAndBottom/>
            <wp:docPr id="2052772050" name="תמונה 20527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64710" cy="1886585"/>
                    </a:xfrm>
                    <a:prstGeom prst="rect">
                      <a:avLst/>
                    </a:prstGeom>
                    <a:noFill/>
                  </pic:spPr>
                </pic:pic>
              </a:graphicData>
            </a:graphic>
            <wp14:sizeRelH relativeFrom="page">
              <wp14:pctWidth>0</wp14:pctWidth>
            </wp14:sizeRelH>
            <wp14:sizeRelV relativeFrom="page">
              <wp14:pctHeight>0</wp14:pctHeight>
            </wp14:sizeRelV>
          </wp:anchor>
        </w:drawing>
      </w:r>
    </w:p>
    <w:p w:rsidR="005D0F8C" w:rsidP="009D1343" w14:paraId="0DA8F7B9" w14:textId="319F3F65">
      <w:pPr>
        <w:pStyle w:val="738"/>
        <w:spacing w:before="360" w:after="0"/>
        <w:rPr>
          <w:b/>
          <w:bCs/>
          <w:noProof/>
          <w:color w:val="FFFFFF" w:themeColor="background1"/>
          <w:sz w:val="22"/>
          <w:szCs w:val="22"/>
        </w:rPr>
      </w:pPr>
      <w:r w:rsidRPr="007E6995">
        <w:rPr>
          <w:rtl/>
        </w:rPr>
        <w:t>על פי נתוני משרד הפנים, בעיבוד משרד מבקר המדינה</w:t>
      </w:r>
      <w:r w:rsidRPr="00BE0973">
        <w:rPr>
          <w:rFonts w:hint="cs"/>
          <w:rtl/>
        </w:rPr>
        <w:t>.</w:t>
      </w:r>
    </w:p>
    <w:p w:rsidR="000B31AA" w:rsidP="009D1343" w14:paraId="70881590" w14:textId="2FB01EF6">
      <w:pPr>
        <w:pStyle w:val="738"/>
        <w:spacing w:before="360" w:after="0"/>
        <w:rPr>
          <w:b/>
          <w:bCs/>
          <w:noProof/>
          <w:color w:val="FFFFFF" w:themeColor="background1"/>
          <w:sz w:val="22"/>
          <w:szCs w:val="22"/>
        </w:rPr>
      </w:pPr>
    </w:p>
    <w:p w:rsidR="004E71DD" w:rsidP="009D1343" w14:paraId="7C33D7DD" w14:textId="77777777">
      <w:pPr>
        <w:pStyle w:val="73"/>
        <w:rPr>
          <w:rtl/>
        </w:rPr>
      </w:pPr>
      <w:r w:rsidRPr="00EF3061">
        <w:rPr>
          <w:rFonts w:hint="cs"/>
          <w:rtl/>
        </w:rPr>
        <w:t>סיכום</w:t>
      </w:r>
    </w:p>
    <w:p w:rsidR="007E6995" w:rsidRPr="00A77242" w:rsidP="009D1343" w14:paraId="712A9688" w14:textId="77777777">
      <w:pPr>
        <w:widowControl w:val="0"/>
        <w:tabs>
          <w:tab w:val="left" w:pos="9604"/>
        </w:tabs>
        <w:spacing w:before="240" w:line="276" w:lineRule="auto"/>
        <w:ind w:left="-1"/>
        <w:rPr>
          <w:rFonts w:ascii="Tahoma" w:hAnsi="Tahoma" w:cs="Tahoma"/>
          <w:sz w:val="18"/>
          <w:szCs w:val="18"/>
          <w:rtl/>
        </w:rPr>
      </w:pPr>
      <w:r w:rsidRPr="00A77242">
        <w:rPr>
          <w:rFonts w:ascii="Tahoma" w:hAnsi="Tahoma" w:cs="Tahoma"/>
          <w:sz w:val="18"/>
          <w:szCs w:val="18"/>
          <w:rtl/>
        </w:rPr>
        <w:t xml:space="preserve">בדוח זה בחן משרד מבקר המדינה את פעילותן של ארבע רשויות מקומיות - </w:t>
      </w:r>
      <w:r w:rsidRPr="001E745F">
        <w:rPr>
          <w:rFonts w:ascii="Tahoma" w:hAnsi="Tahoma" w:cs="Tahoma"/>
          <w:b/>
          <w:bCs/>
          <w:sz w:val="18"/>
          <w:szCs w:val="18"/>
          <w:rtl/>
        </w:rPr>
        <w:t>בית אריה</w:t>
      </w:r>
      <w:r w:rsidRPr="00540F12">
        <w:rPr>
          <w:rFonts w:ascii="Tahoma" w:hAnsi="Tahoma" w:cs="Tahoma"/>
          <w:sz w:val="18"/>
          <w:szCs w:val="18"/>
          <w:rtl/>
        </w:rPr>
        <w:t>,</w:t>
      </w:r>
      <w:r w:rsidRPr="00A77242">
        <w:rPr>
          <w:rFonts w:ascii="Tahoma" w:hAnsi="Tahoma" w:cs="Tahoma"/>
          <w:sz w:val="18"/>
          <w:szCs w:val="18"/>
          <w:rtl/>
        </w:rPr>
        <w:t xml:space="preserve"> </w:t>
      </w:r>
      <w:r w:rsidRPr="001E745F">
        <w:rPr>
          <w:rFonts w:ascii="Tahoma" w:hAnsi="Tahoma" w:cs="Tahoma"/>
          <w:b/>
          <w:bCs/>
          <w:sz w:val="18"/>
          <w:szCs w:val="18"/>
          <w:rtl/>
        </w:rPr>
        <w:t>ג'יסר</w:t>
      </w:r>
      <w:r w:rsidRPr="001E745F">
        <w:rPr>
          <w:rFonts w:ascii="Tahoma" w:hAnsi="Tahoma" w:cs="Tahoma"/>
          <w:b/>
          <w:bCs/>
          <w:sz w:val="18"/>
          <w:szCs w:val="18"/>
          <w:rtl/>
        </w:rPr>
        <w:t xml:space="preserve"> א-זרקא</w:t>
      </w:r>
      <w:r w:rsidRPr="00A77242">
        <w:rPr>
          <w:rFonts w:ascii="Tahoma" w:hAnsi="Tahoma" w:cs="Tahoma"/>
          <w:sz w:val="18"/>
          <w:szCs w:val="18"/>
          <w:rtl/>
        </w:rPr>
        <w:t xml:space="preserve">, </w:t>
      </w:r>
      <w:r w:rsidRPr="00FE0DFE">
        <w:rPr>
          <w:rFonts w:ascii="Tahoma" w:hAnsi="Tahoma" w:cs="Tahoma"/>
          <w:b/>
          <w:bCs/>
          <w:sz w:val="18"/>
          <w:szCs w:val="18"/>
          <w:rtl/>
        </w:rPr>
        <w:t>בוסתאן</w:t>
      </w:r>
      <w:r w:rsidRPr="00FE0DFE">
        <w:rPr>
          <w:rFonts w:ascii="Tahoma" w:hAnsi="Tahoma" w:cs="Tahoma"/>
          <w:b/>
          <w:bCs/>
          <w:sz w:val="18"/>
          <w:szCs w:val="18"/>
          <w:rtl/>
        </w:rPr>
        <w:t xml:space="preserve"> אל-</w:t>
      </w:r>
      <w:r w:rsidRPr="00FE0DFE">
        <w:rPr>
          <w:rFonts w:ascii="Tahoma" w:hAnsi="Tahoma" w:cs="Tahoma"/>
          <w:b/>
          <w:bCs/>
          <w:sz w:val="18"/>
          <w:szCs w:val="18"/>
          <w:rtl/>
        </w:rPr>
        <w:t>מרג</w:t>
      </w:r>
      <w:r w:rsidRPr="00A77242">
        <w:rPr>
          <w:rFonts w:ascii="Tahoma" w:hAnsi="Tahoma" w:cs="Tahoma"/>
          <w:sz w:val="18"/>
          <w:szCs w:val="18"/>
          <w:rtl/>
        </w:rPr>
        <w:t xml:space="preserve">' </w:t>
      </w:r>
      <w:r w:rsidRPr="00A77242">
        <w:rPr>
          <w:rFonts w:ascii="Tahoma" w:hAnsi="Tahoma" w:cs="Tahoma"/>
          <w:sz w:val="18"/>
          <w:szCs w:val="18"/>
          <w:rtl/>
        </w:rPr>
        <w:t>ו</w:t>
      </w:r>
      <w:r w:rsidRPr="00FE0DFE">
        <w:rPr>
          <w:rFonts w:ascii="Tahoma" w:hAnsi="Tahoma" w:cs="Tahoma"/>
          <w:b/>
          <w:bCs/>
          <w:sz w:val="18"/>
          <w:szCs w:val="18"/>
          <w:rtl/>
        </w:rPr>
        <w:t>סאג'ור</w:t>
      </w:r>
      <w:r w:rsidRPr="00A77242">
        <w:rPr>
          <w:rFonts w:ascii="Tahoma" w:hAnsi="Tahoma" w:cs="Tahoma"/>
          <w:sz w:val="18"/>
          <w:szCs w:val="18"/>
          <w:rtl/>
        </w:rPr>
        <w:t xml:space="preserve"> - במסגרת 13 תוכניות הבראה ואת מידת הצלחתן לעמוד ביעדים שנקבעו להן באותן התוכניות בעשר שנים (2011 - 2020). מהדוח עולה כי הרשויות האמורות לא הצליחו לעמוד ב-84 מתוך 186 </w:t>
      </w:r>
      <w:r w:rsidRPr="00A77242">
        <w:rPr>
          <w:rFonts w:ascii="Tahoma" w:hAnsi="Tahoma" w:cs="Tahoma" w:hint="cs"/>
          <w:sz w:val="18"/>
          <w:szCs w:val="18"/>
          <w:rtl/>
        </w:rPr>
        <w:t>מהדרישות שנקבעו להן באבני הדרך וביעדים הנוספים שהוגדרו להן במסגרת 13</w:t>
      </w:r>
      <w:r w:rsidRPr="00A77242">
        <w:rPr>
          <w:rFonts w:ascii="Tahoma" w:hAnsi="Tahoma" w:cs="Tahoma"/>
          <w:sz w:val="18"/>
          <w:szCs w:val="18"/>
          <w:rtl/>
        </w:rPr>
        <w:t xml:space="preserve"> תוכניות ההבראה, ו</w:t>
      </w:r>
      <w:r w:rsidRPr="00A77242">
        <w:rPr>
          <w:rFonts w:ascii="Tahoma" w:hAnsi="Tahoma" w:cs="Tahoma" w:hint="cs"/>
          <w:sz w:val="18"/>
          <w:szCs w:val="18"/>
          <w:rtl/>
        </w:rPr>
        <w:t>כתוצאה מכך</w:t>
      </w:r>
      <w:r w:rsidRPr="00A77242">
        <w:rPr>
          <w:rFonts w:ascii="Tahoma" w:hAnsi="Tahoma" w:cs="Tahoma"/>
          <w:sz w:val="18"/>
          <w:szCs w:val="18"/>
          <w:rtl/>
        </w:rPr>
        <w:t xml:space="preserve"> הן לא </w:t>
      </w:r>
      <w:r w:rsidRPr="00A77242">
        <w:rPr>
          <w:rFonts w:ascii="Tahoma" w:hAnsi="Tahoma" w:cs="Tahoma" w:hint="cs"/>
          <w:sz w:val="18"/>
          <w:szCs w:val="18"/>
          <w:rtl/>
        </w:rPr>
        <w:t xml:space="preserve">קיבלו הלוואות שנדרשו להבראתן ומענקים </w:t>
      </w:r>
      <w:r w:rsidRPr="00A77242">
        <w:rPr>
          <w:rFonts w:ascii="Tahoma" w:hAnsi="Tahoma" w:cs="Tahoma"/>
          <w:sz w:val="18"/>
          <w:szCs w:val="18"/>
          <w:rtl/>
        </w:rPr>
        <w:t>בסך כ-27 מיליון ש"ח שהיו מגולמים ביעדים, אם היו עומדות בכל היעדים שנקבעו. כתוצאה מכך הרשויות לא הצליחו להגיע לאיזון שנתי בתקציב הרגיל, והן המשיכו להתנהל עם גירעונות נצברים. יוצא אפוא כי המנגנון שאימץ משרד הפנים להבראת אותן רשויות ולשיפור תפקודן אינו אפקטיבי דיו.</w:t>
      </w:r>
    </w:p>
    <w:p w:rsidR="00E56721" w:rsidP="0073145B" w14:paraId="1B37DAFD" w14:textId="365B14D2">
      <w:pPr>
        <w:widowControl w:val="0"/>
        <w:tabs>
          <w:tab w:val="left" w:pos="9604"/>
        </w:tabs>
        <w:spacing w:before="240" w:line="276" w:lineRule="auto"/>
        <w:ind w:left="-1"/>
        <w:rPr>
          <w:rFonts w:ascii="Tahoma" w:hAnsi="Tahoma" w:cs="Tahoma"/>
          <w:sz w:val="18"/>
          <w:szCs w:val="18"/>
          <w:rtl/>
        </w:rPr>
        <w:sectPr w:rsidSect="00A47098">
          <w:headerReference w:type="even" r:id="rId28"/>
          <w:footerReference w:type="even" r:id="rId29"/>
          <w:pgSz w:w="11906" w:h="16838" w:code="9"/>
          <w:pgMar w:top="3062" w:right="2268" w:bottom="2552" w:left="2268" w:header="1134" w:footer="1361" w:gutter="0"/>
          <w:pgNumType w:start="23"/>
          <w:cols w:space="708"/>
          <w:bidi/>
          <w:rtlGutter/>
          <w:docGrid w:linePitch="360"/>
        </w:sectPr>
      </w:pPr>
      <w:r w:rsidRPr="00A77242">
        <w:rPr>
          <w:rFonts w:ascii="Tahoma" w:hAnsi="Tahoma" w:cs="Tahoma"/>
          <w:sz w:val="18"/>
          <w:szCs w:val="18"/>
          <w:rtl/>
        </w:rPr>
        <w:t>הכישלון רב השנים בת</w:t>
      </w:r>
      <w:r w:rsidRPr="00A77242">
        <w:rPr>
          <w:rFonts w:ascii="Tahoma" w:hAnsi="Tahoma" w:cs="Tahoma" w:hint="cs"/>
          <w:sz w:val="18"/>
          <w:szCs w:val="18"/>
          <w:rtl/>
        </w:rPr>
        <w:t>ו</w:t>
      </w:r>
      <w:r w:rsidRPr="00A77242">
        <w:rPr>
          <w:rFonts w:ascii="Tahoma" w:hAnsi="Tahoma" w:cs="Tahoma"/>
          <w:sz w:val="18"/>
          <w:szCs w:val="18"/>
          <w:rtl/>
        </w:rPr>
        <w:t>כני</w:t>
      </w:r>
      <w:r w:rsidRPr="00A77242">
        <w:rPr>
          <w:rFonts w:ascii="Tahoma" w:hAnsi="Tahoma" w:cs="Tahoma" w:hint="cs"/>
          <w:sz w:val="18"/>
          <w:szCs w:val="18"/>
          <w:rtl/>
        </w:rPr>
        <w:t>ו</w:t>
      </w:r>
      <w:r w:rsidRPr="00A77242">
        <w:rPr>
          <w:rFonts w:ascii="Tahoma" w:hAnsi="Tahoma" w:cs="Tahoma"/>
          <w:sz w:val="18"/>
          <w:szCs w:val="18"/>
          <w:rtl/>
        </w:rPr>
        <w:t xml:space="preserve">ת ההבראה מחדד </w:t>
      </w:r>
      <w:r w:rsidRPr="00A77242">
        <w:rPr>
          <w:rFonts w:ascii="Tahoma" w:hAnsi="Tahoma" w:cs="Tahoma" w:hint="cs"/>
          <w:sz w:val="18"/>
          <w:szCs w:val="18"/>
          <w:rtl/>
        </w:rPr>
        <w:t xml:space="preserve">את </w:t>
      </w:r>
      <w:r w:rsidRPr="00A77242">
        <w:rPr>
          <w:rFonts w:ascii="Tahoma" w:hAnsi="Tahoma" w:cs="Tahoma"/>
          <w:sz w:val="18"/>
          <w:szCs w:val="18"/>
          <w:rtl/>
        </w:rPr>
        <w:t>הצורך בבחינה יסודית של מתכונתן הנוכחית. משרד מבקר המדינה ממליץ למשרד הפנים לערוך הליך של למידה והפקת לקחים ולבחון באילו צעדים ואמצעים נוספים יש לנקוט כדי לסייע לרשויות המקומיות ולתושביהן. כמו כן מומלץ לשקול שינוי במתכונת תוכניות ההבראה לרשויות, בייחוד לנוכח אחריותו של משרד הפנים וסמכויותיו, כדי שרשויות אלה יצאו לעצמאות כלכלית וניהולית</w:t>
      </w:r>
      <w:r w:rsidR="00AD1000">
        <w:rPr>
          <w:rFonts w:ascii="Tahoma" w:hAnsi="Tahoma" w:cs="Tahoma" w:hint="cs"/>
          <w:sz w:val="18"/>
          <w:szCs w:val="18"/>
          <w:rtl/>
        </w:rPr>
        <w:t>.</w:t>
      </w:r>
    </w:p>
    <w:p w:rsidR="009D1343" w:rsidRPr="00895951" w:rsidP="0073145B" w14:paraId="56E41521" w14:textId="4C85FE18">
      <w:pPr>
        <w:pStyle w:val="731"/>
        <w:bidi/>
        <w:jc w:val="both"/>
        <w:rPr>
          <w:rtl/>
        </w:rPr>
      </w:pPr>
    </w:p>
    <w:sectPr w:rsidSect="00F35B8C">
      <w:headerReference w:type="default" r:id="rId30"/>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F203E" w14:paraId="56353C2F" w14:textId="77777777">
      <w:pPr>
        <w:spacing w:line="240" w:lineRule="auto"/>
      </w:pPr>
      <w:r>
        <w:separator/>
      </w:r>
    </w:p>
    <w:p w:rsidR="00EF203E" w14:paraId="5352B256" w14:textId="77777777"/>
    <w:p w:rsidR="00EF203E" w14:paraId="26907039" w14:textId="77777777"/>
    <w:p w:rsidR="00EF203E" w14:paraId="0E2E1287" w14:textId="77777777"/>
  </w:endnote>
  <w:endnote w:type="continuationSeparator" w:id="1">
    <w:p w:rsidR="00EF203E" w14:paraId="6C34DFBF" w14:textId="77777777">
      <w:pPr>
        <w:spacing w:line="240" w:lineRule="auto"/>
      </w:pPr>
      <w:r>
        <w:continuationSeparator/>
      </w:r>
    </w:p>
    <w:p w:rsidR="00EF203E" w14:paraId="43788CDC" w14:textId="77777777"/>
    <w:p w:rsidR="00EF203E" w14:paraId="02C0B21C" w14:textId="77777777"/>
    <w:p w:rsidR="00EF203E" w14:paraId="357D9C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951" w14:paraId="44D7E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951" w14:paraId="273DA95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F203E" w:rsidP="00E7235E" w14:paraId="0FF41DF1" w14:textId="77777777">
      <w:pPr>
        <w:spacing w:line="240" w:lineRule="auto"/>
      </w:pPr>
      <w:r>
        <w:separator/>
      </w:r>
    </w:p>
  </w:footnote>
  <w:footnote w:type="continuationSeparator" w:id="1">
    <w:p w:rsidR="00EF203E" w:rsidP="00C23CC9" w14:paraId="21560884" w14:textId="77777777">
      <w:pPr>
        <w:spacing w:line="240" w:lineRule="auto"/>
      </w:pPr>
      <w:r>
        <w:continuationSeparator/>
      </w:r>
    </w:p>
    <w:p w:rsidR="00EF203E" w14:paraId="7C9163CD" w14:textId="77777777"/>
    <w:p w:rsidR="00EF203E" w14:paraId="70AEA3FC" w14:textId="77777777"/>
    <w:p w:rsidR="00EF203E" w14:paraId="76D5E5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66246B" w14:textId="63BF9E3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66246B" w:rsidR="0066246B">
                            <w:rPr>
                              <w:rFonts w:ascii="Tahoma" w:hAnsi="Tahoma" w:cs="Tahoma"/>
                              <w:b/>
                              <w:bCs/>
                              <w:rtl/>
                            </w:rPr>
                            <w:t>תוכניות הבראה ברשויות מקומיות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66246B" w14:paraId="77809697" w14:textId="63BF9E3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66246B" w:rsidR="0066246B">
                      <w:rPr>
                        <w:rFonts w:ascii="Tahoma" w:hAnsi="Tahoma" w:cs="Tahoma"/>
                        <w:b/>
                        <w:bCs/>
                        <w:rtl/>
                      </w:rPr>
                      <w:t>תוכניות הבראה ברשויות מקומיות</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F73EE0" w:rsidRPr="00136A3E" w:rsidP="00B244B0" w14:textId="51370E64">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51370E64">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43230A3F">
                          <w:pPr>
                            <w:pStyle w:val="Heading1"/>
                            <w:spacing w:line="269" w:lineRule="auto"/>
                            <w:jc w:val="left"/>
                            <w:rPr>
                              <w:rFonts w:ascii="Tahoma" w:hAnsi="Tahoma" w:eastAsiaTheme="minorHAnsi" w:cs="Tahoma"/>
                              <w:bCs w:val="0"/>
                              <w:color w:val="0D0D0D" w:themeColor="text1" w:themeTint="F2"/>
                              <w:sz w:val="16"/>
                              <w:szCs w:val="16"/>
                              <w:u w:val="none"/>
                            </w:rPr>
                          </w:pPr>
                          <w:r w:rsidRPr="0066246B">
                            <w:rPr>
                              <w:rFonts w:ascii="Tahoma" w:hAnsi="Tahoma" w:eastAsiaTheme="minorHAnsi" w:cs="Tahoma"/>
                              <w:bCs w:val="0"/>
                              <w:color w:val="0D0D0D" w:themeColor="text1" w:themeTint="F2"/>
                              <w:sz w:val="16"/>
                              <w:szCs w:val="16"/>
                              <w:u w:val="none"/>
                              <w:rtl/>
                            </w:rPr>
                            <w:t>תוכניות הבראה ברשויות מקומיות</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43230A3F">
                    <w:pPr>
                      <w:pStyle w:val="Heading1"/>
                      <w:spacing w:line="269" w:lineRule="auto"/>
                      <w:jc w:val="left"/>
                      <w:rPr>
                        <w:rFonts w:ascii="Tahoma" w:hAnsi="Tahoma" w:eastAsiaTheme="minorHAnsi" w:cs="Tahoma"/>
                        <w:bCs w:val="0"/>
                        <w:color w:val="0D0D0D" w:themeColor="text1" w:themeTint="F2"/>
                        <w:sz w:val="16"/>
                        <w:szCs w:val="16"/>
                        <w:u w:val="none"/>
                      </w:rPr>
                    </w:pPr>
                    <w:r w:rsidRPr="0066246B">
                      <w:rPr>
                        <w:rFonts w:ascii="Tahoma" w:hAnsi="Tahoma" w:eastAsiaTheme="minorHAnsi" w:cs="Tahoma"/>
                        <w:bCs w:val="0"/>
                        <w:color w:val="0D0D0D" w:themeColor="text1" w:themeTint="F2"/>
                        <w:sz w:val="16"/>
                        <w:szCs w:val="16"/>
                        <w:u w:val="none"/>
                        <w:rtl/>
                      </w:rPr>
                      <w:t>תוכניות הבראה ברשויות מקומיות</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66246B" w14:textId="46B509B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6246B" w:rsidR="0066246B">
                            <w:rPr>
                              <w:rFonts w:ascii="Tahoma" w:hAnsi="Tahoma" w:cs="Tahoma"/>
                              <w:b/>
                              <w:bCs/>
                              <w:rtl/>
                            </w:rPr>
                            <w:t>תוכניות הבראה ברשויות מקומיות</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66246B" w14:paraId="3B4CCAD6" w14:textId="46B509B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66246B" w:rsidR="0066246B">
                      <w:rPr>
                        <w:rFonts w:ascii="Tahoma" w:hAnsi="Tahoma" w:cs="Tahoma"/>
                        <w:b/>
                        <w:bCs/>
                        <w:rtl/>
                      </w:rPr>
                      <w:t>תוכניות הבראה ברשויות מקומיות</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72F1128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C55DC9" w:rsidP="00B244B0" w14:paraId="0C0E463E" w14:textId="72F11281">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675D2F"/>
    <w:multiLevelType w:val="hybridMultilevel"/>
    <w:tmpl w:val="205E2B42"/>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5597FDA"/>
    <w:multiLevelType w:val="hybridMultilevel"/>
    <w:tmpl w:val="54FA6250"/>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5">
    <w:nsid w:val="35082865"/>
    <w:multiLevelType w:val="hybridMultilevel"/>
    <w:tmpl w:val="AAC48F20"/>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8">
    <w:nsid w:val="4914547E"/>
    <w:multiLevelType w:val="multilevel"/>
    <w:tmpl w:val="95ECF6C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556841E7"/>
    <w:multiLevelType w:val="hybridMultilevel"/>
    <w:tmpl w:val="967A4A5A"/>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69553C9"/>
    <w:multiLevelType w:val="hybridMultilevel"/>
    <w:tmpl w:val="F46C66EC"/>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006244"/>
    <w:multiLevelType w:val="multilevel"/>
    <w:tmpl w:val="95ECF6C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5">
    <w:nsid w:val="63CB3D84"/>
    <w:multiLevelType w:val="hybridMultilevel"/>
    <w:tmpl w:val="F7181D9C"/>
    <w:lvl w:ilvl="0">
      <w:start w:val="1"/>
      <w:numFmt w:val="decimal"/>
      <w:lvlText w:val="%1."/>
      <w:lvlJc w:val="center"/>
      <w:pPr>
        <w:ind w:left="357" w:hanging="35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F713C1"/>
    <w:multiLevelType w:val="hybridMultilevel"/>
    <w:tmpl w:val="F9D0474C"/>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FA7AB2"/>
    <w:multiLevelType w:val="hybridMultilevel"/>
    <w:tmpl w:val="BB4019DA"/>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FB1BD9"/>
    <w:multiLevelType w:val="hybridMultilevel"/>
    <w:tmpl w:val="D354DAB6"/>
    <w:lvl w:ilvl="0">
      <w:start w:val="1"/>
      <w:numFmt w:val="decimal"/>
      <w:lvlText w:val="%1."/>
      <w:lvlJc w:val="center"/>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2"/>
  </w:num>
  <w:num w:numId="2">
    <w:abstractNumId w:val="4"/>
  </w:num>
  <w:num w:numId="3">
    <w:abstractNumId w:val="6"/>
  </w:num>
  <w:num w:numId="4">
    <w:abstractNumId w:val="19"/>
  </w:num>
  <w:num w:numId="5">
    <w:abstractNumId w:val="0"/>
  </w:num>
  <w:num w:numId="6">
    <w:abstractNumId w:val="7"/>
  </w:num>
  <w:num w:numId="7">
    <w:abstractNumId w:val="14"/>
  </w:num>
  <w:num w:numId="8">
    <w:abstractNumId w:val="1"/>
  </w:num>
  <w:num w:numId="9">
    <w:abstractNumId w:val="13"/>
  </w:num>
  <w:num w:numId="10">
    <w:abstractNumId w:val="11"/>
  </w:num>
  <w:num w:numId="11">
    <w:abstractNumId w:val="8"/>
  </w:num>
  <w:num w:numId="12">
    <w:abstractNumId w:val="9"/>
  </w:num>
  <w:num w:numId="13">
    <w:abstractNumId w:val="5"/>
  </w:num>
  <w:num w:numId="14">
    <w:abstractNumId w:val="10"/>
  </w:num>
  <w:num w:numId="15">
    <w:abstractNumId w:val="17"/>
  </w:num>
  <w:num w:numId="16">
    <w:abstractNumId w:val="15"/>
  </w:num>
  <w:num w:numId="17">
    <w:abstractNumId w:val="16"/>
  </w:num>
  <w:num w:numId="18">
    <w:abstractNumId w:val="18"/>
  </w:num>
  <w:num w:numId="19">
    <w:abstractNumId w:val="3"/>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63"/>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32BA"/>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2F9"/>
    <w:rsid w:val="00074533"/>
    <w:rsid w:val="00074F31"/>
    <w:rsid w:val="0007522F"/>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1A51"/>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0C8"/>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02EF"/>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5CE1"/>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68CB"/>
    <w:rsid w:val="001E745F"/>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A42"/>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1A84"/>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2B2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30"/>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3E08"/>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415"/>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896"/>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07E58"/>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72C"/>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6D9B"/>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D32"/>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12"/>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3BE"/>
    <w:rsid w:val="00550A92"/>
    <w:rsid w:val="00550BA0"/>
    <w:rsid w:val="00550E94"/>
    <w:rsid w:val="005511EC"/>
    <w:rsid w:val="00551544"/>
    <w:rsid w:val="00551B42"/>
    <w:rsid w:val="00551DB7"/>
    <w:rsid w:val="00552FFA"/>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AE5"/>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67A8"/>
    <w:rsid w:val="005A7389"/>
    <w:rsid w:val="005A78EE"/>
    <w:rsid w:val="005A7CA2"/>
    <w:rsid w:val="005A7E48"/>
    <w:rsid w:val="005A7FD3"/>
    <w:rsid w:val="005B02F2"/>
    <w:rsid w:val="005B095F"/>
    <w:rsid w:val="005B0A28"/>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ECF"/>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5E5"/>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6B"/>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6F8D"/>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45B"/>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AD"/>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95"/>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8A5"/>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25D63"/>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951"/>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94A"/>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17B"/>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988"/>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37B"/>
    <w:rsid w:val="0090659B"/>
    <w:rsid w:val="0090660F"/>
    <w:rsid w:val="00906793"/>
    <w:rsid w:val="009068CE"/>
    <w:rsid w:val="00906D38"/>
    <w:rsid w:val="00906E90"/>
    <w:rsid w:val="00906F53"/>
    <w:rsid w:val="0090752F"/>
    <w:rsid w:val="00907652"/>
    <w:rsid w:val="00907A2C"/>
    <w:rsid w:val="00907B01"/>
    <w:rsid w:val="00907C3D"/>
    <w:rsid w:val="0091051D"/>
    <w:rsid w:val="00910533"/>
    <w:rsid w:val="009107AC"/>
    <w:rsid w:val="00910C50"/>
    <w:rsid w:val="00911371"/>
    <w:rsid w:val="009117BF"/>
    <w:rsid w:val="009120C5"/>
    <w:rsid w:val="00912796"/>
    <w:rsid w:val="0091293D"/>
    <w:rsid w:val="00912CB8"/>
    <w:rsid w:val="00912D42"/>
    <w:rsid w:val="009136CD"/>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17C44"/>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20C"/>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4F9"/>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8F4"/>
    <w:rsid w:val="00990F79"/>
    <w:rsid w:val="009910DC"/>
    <w:rsid w:val="00991584"/>
    <w:rsid w:val="0099172C"/>
    <w:rsid w:val="00991B19"/>
    <w:rsid w:val="00991F23"/>
    <w:rsid w:val="00992605"/>
    <w:rsid w:val="00992CD6"/>
    <w:rsid w:val="0099339C"/>
    <w:rsid w:val="00993599"/>
    <w:rsid w:val="00994CCA"/>
    <w:rsid w:val="00996FFF"/>
    <w:rsid w:val="009970AA"/>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A16"/>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421"/>
    <w:rsid w:val="009C6BE2"/>
    <w:rsid w:val="009C718C"/>
    <w:rsid w:val="009C7342"/>
    <w:rsid w:val="009C7345"/>
    <w:rsid w:val="009C7B24"/>
    <w:rsid w:val="009C7BBD"/>
    <w:rsid w:val="009C7FE0"/>
    <w:rsid w:val="009D05CC"/>
    <w:rsid w:val="009D07DD"/>
    <w:rsid w:val="009D09AE"/>
    <w:rsid w:val="009D0EE8"/>
    <w:rsid w:val="009D10F3"/>
    <w:rsid w:val="009D11AB"/>
    <w:rsid w:val="009D1343"/>
    <w:rsid w:val="009D1B21"/>
    <w:rsid w:val="009D2A1F"/>
    <w:rsid w:val="009D2BAC"/>
    <w:rsid w:val="009D32A7"/>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6805"/>
    <w:rsid w:val="00A27672"/>
    <w:rsid w:val="00A27DBB"/>
    <w:rsid w:val="00A27EBC"/>
    <w:rsid w:val="00A27EF7"/>
    <w:rsid w:val="00A30028"/>
    <w:rsid w:val="00A301EF"/>
    <w:rsid w:val="00A3040F"/>
    <w:rsid w:val="00A3123A"/>
    <w:rsid w:val="00A3168A"/>
    <w:rsid w:val="00A31CD2"/>
    <w:rsid w:val="00A32AE6"/>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098"/>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242"/>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069F"/>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41CE"/>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B1A"/>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973"/>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A4"/>
    <w:rsid w:val="00C27BF6"/>
    <w:rsid w:val="00C27C80"/>
    <w:rsid w:val="00C27C9C"/>
    <w:rsid w:val="00C27DFE"/>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BC2"/>
    <w:rsid w:val="00C37E3D"/>
    <w:rsid w:val="00C4041E"/>
    <w:rsid w:val="00C40C64"/>
    <w:rsid w:val="00C41011"/>
    <w:rsid w:val="00C42239"/>
    <w:rsid w:val="00C42D9E"/>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158"/>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4E9F"/>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606"/>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75D"/>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6FA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CB7"/>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0E8E"/>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34D5"/>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2E64"/>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64"/>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17BC2"/>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A2B"/>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9FE"/>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3ED"/>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594"/>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608"/>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03E"/>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2F5E"/>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0D85"/>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0DFE"/>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1"/>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9D41AC"/>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FootnoteReference2">
    <w:name w:val="footnote reference"/>
    <w:aliases w:val="Footnote Reference_0,Footnote Reference_0_0,Footnote Reference_0_0_0,Footnote Reference_0_0_0_0,Footnote Reference_1,Footnote Reference_2,Footnote Reference_3,Footnote Reference_3_0,Footnote Reference_4,Footnote text,fr"/>
    <w:basedOn w:val="DefaultParagraphFont"/>
    <w:uiPriority w:val="99"/>
    <w:unhideWhenUsed/>
    <w:rsid w:val="009D1343"/>
    <w:rPr>
      <w:vertAlign w:val="superscript"/>
    </w:rPr>
  </w:style>
  <w:style w:type="character" w:customStyle="1" w:styleId="Bodytext3NotBold">
    <w:name w:val="Body text (3) + Not Bold"/>
    <w:aliases w:val="Spacing 0 pt"/>
    <w:basedOn w:val="DefaultParagraphFont"/>
    <w:rsid w:val="009D1343"/>
    <w:rPr>
      <w:rFonts w:ascii="Calibri" w:eastAsia="Calibri" w:hAnsi="Calibri" w:cs="Calibri"/>
      <w:b/>
      <w:bCs/>
      <w:i w:val="0"/>
      <w:iCs w:val="0"/>
      <w:smallCaps w:val="0"/>
      <w:strike w:val="0"/>
      <w:color w:val="000000"/>
      <w:spacing w:val="-10"/>
      <w:w w:val="100"/>
      <w:position w:val="0"/>
      <w:sz w:val="22"/>
      <w:szCs w:val="22"/>
      <w:u w:val="none"/>
      <w:lang w:val="en-US" w:eastAsia="en-US" w:bidi="en-US"/>
    </w:rPr>
  </w:style>
  <w:style w:type="character" w:customStyle="1" w:styleId="Bodytext3105pt">
    <w:name w:val="Body text (3) + 10.5 pt"/>
    <w:aliases w:val="Not Bold"/>
    <w:basedOn w:val="DefaultParagraphFont"/>
    <w:rsid w:val="009D1343"/>
    <w:rPr>
      <w:rFonts w:ascii="Calibri" w:eastAsia="Calibri" w:hAnsi="Calibri" w:cs="Calibri"/>
      <w:b/>
      <w:bCs/>
      <w:i w:val="0"/>
      <w:iCs w:val="0"/>
      <w:smallCaps w:val="0"/>
      <w:strike w:val="0"/>
      <w:color w:val="000000"/>
      <w:spacing w:val="0"/>
      <w:w w:val="100"/>
      <w:position w:val="0"/>
      <w:sz w:val="21"/>
      <w:szCs w:val="21"/>
      <w:u w:val="none"/>
      <w:lang w:val="he-IL" w:eastAsia="he-IL" w:bidi="he-IL"/>
    </w:rPr>
  </w:style>
  <w:style w:type="character" w:customStyle="1" w:styleId="Bodytext5NotBold">
    <w:name w:val="Body text (5) + Not Bold"/>
    <w:basedOn w:val="Bodytext5"/>
    <w:rsid w:val="009D1343"/>
    <w:rPr>
      <w:rFonts w:ascii="Calibri" w:eastAsia="Calibri" w:hAnsi="Calibri" w:cs="Calibri"/>
      <w:b/>
      <w:bCs/>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719">
    <w:name w:val="71ג טקסט רץ 9"/>
    <w:basedOn w:val="Normal"/>
    <w:link w:val="719Char"/>
    <w:qFormat/>
    <w:rsid w:val="009D1343"/>
    <w:pPr>
      <w:spacing w:after="180" w:line="260" w:lineRule="exact"/>
      <w:outlineLvl w:val="3"/>
    </w:pPr>
    <w:rPr>
      <w:rFonts w:ascii="Tahoma" w:hAnsi="Tahoma" w:cs="Tahoma"/>
      <w:color w:val="0D0D0D" w:themeColor="text1" w:themeTint="F2"/>
      <w:sz w:val="18"/>
      <w:szCs w:val="18"/>
    </w:rPr>
  </w:style>
  <w:style w:type="character" w:customStyle="1" w:styleId="719Char">
    <w:name w:val="71ג טקסט רץ 9 Char"/>
    <w:basedOn w:val="DefaultParagraphFont"/>
    <w:link w:val="719"/>
    <w:rsid w:val="009D1343"/>
    <w:rPr>
      <w:rFonts w:ascii="Tahoma" w:hAnsi="Tahoma" w:cs="Tahoma"/>
      <w:color w:val="0D0D0D" w:themeColor="text1" w:themeTint="F2"/>
      <w:sz w:val="18"/>
      <w:szCs w:val="18"/>
    </w:rPr>
  </w:style>
  <w:style w:type="paragraph" w:customStyle="1" w:styleId="714">
    <w:name w:val="71ג קוביה רצה"/>
    <w:basedOn w:val="Normal"/>
    <w:qFormat/>
    <w:rsid w:val="009D1343"/>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themeColor="text1" w:themeTint="F2"/>
      <w:sz w:val="18"/>
      <w:szCs w:val="18"/>
      <w:lang w:eastAsia="he-IL"/>
    </w:rPr>
  </w:style>
  <w:style w:type="paragraph" w:customStyle="1" w:styleId="715">
    <w:name w:val="71ג הזחה ראשונה מספר"/>
    <w:basedOn w:val="ListParagraph"/>
    <w:link w:val="71Char0"/>
    <w:qFormat/>
    <w:rsid w:val="009D1343"/>
    <w:pPr>
      <w:spacing w:after="180" w:line="260" w:lineRule="exact"/>
      <w:ind w:left="397" w:hanging="397"/>
      <w:contextualSpacing w:val="0"/>
    </w:pPr>
    <w:rPr>
      <w:rFonts w:ascii="Tahoma" w:hAnsi="Tahoma" w:cs="Tahoma"/>
      <w:color w:val="0D0D0D" w:themeColor="text1" w:themeTint="F2"/>
      <w:sz w:val="18"/>
      <w:szCs w:val="18"/>
    </w:rPr>
  </w:style>
  <w:style w:type="paragraph" w:customStyle="1" w:styleId="716">
    <w:name w:val="71ג הזחה ראשונה ללא מספר"/>
    <w:basedOn w:val="Normal"/>
    <w:qFormat/>
    <w:rsid w:val="009D1343"/>
    <w:pPr>
      <w:spacing w:after="180" w:line="260" w:lineRule="exact"/>
      <w:ind w:left="397"/>
    </w:pPr>
    <w:rPr>
      <w:rFonts w:ascii="Tahoma" w:hAnsi="Tahoma" w:cs="Tahoma"/>
      <w:color w:val="0D0D0D" w:themeColor="text1" w:themeTint="F2"/>
      <w:sz w:val="18"/>
      <w:szCs w:val="18"/>
    </w:rPr>
  </w:style>
  <w:style w:type="paragraph" w:customStyle="1" w:styleId="7110">
    <w:name w:val="71ג אותיות בתוך קוביה 1"/>
    <w:basedOn w:val="Normal"/>
    <w:qFormat/>
    <w:rsid w:val="009D1343"/>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765" w:right="227" w:hanging="340"/>
    </w:pPr>
    <w:rPr>
      <w:rFonts w:ascii="Tahoma" w:eastAsia="Times New Roman" w:hAnsi="Tahoma" w:cs="Tahoma"/>
      <w:color w:val="0D0D0D" w:themeColor="text1" w:themeTint="F2"/>
      <w:sz w:val="18"/>
      <w:szCs w:val="18"/>
      <w:lang w:eastAsia="he-IL"/>
    </w:rPr>
  </w:style>
  <w:style w:type="character" w:customStyle="1" w:styleId="71Char0">
    <w:name w:val="71ג הזחה ראשונה מספר Char"/>
    <w:basedOn w:val="DefaultParagraphFont"/>
    <w:link w:val="715"/>
    <w:rsid w:val="009D1343"/>
    <w:rPr>
      <w:rFonts w:ascii="Tahoma" w:hAnsi="Tahoma" w:cs="Tahoma"/>
      <w:color w:val="0D0D0D" w:themeColor="text1" w:themeTint="F2"/>
      <w:sz w:val="18"/>
      <w:szCs w:val="18"/>
    </w:rPr>
  </w:style>
  <w:style w:type="paragraph" w:customStyle="1" w:styleId="717">
    <w:name w:val="71ג קוביה כחולה בתוך הזחה ראשונה"/>
    <w:basedOn w:val="Normal"/>
    <w:qFormat/>
    <w:rsid w:val="009D1343"/>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680" w:right="284"/>
    </w:pPr>
    <w:rPr>
      <w:rFonts w:ascii="Tahoma" w:eastAsia="Times New Roman" w:hAnsi="Tahoma" w:cs="Tahoma"/>
      <w:color w:val="0D0D0D" w:themeColor="text1" w:themeTint="F2"/>
      <w:sz w:val="18"/>
      <w:szCs w:val="18"/>
      <w:lang w:eastAsia="he-IL"/>
    </w:rPr>
  </w:style>
  <w:style w:type="character" w:customStyle="1" w:styleId="elementor-icon-list-text">
    <w:name w:val="elementor-icon-list-text"/>
    <w:basedOn w:val="DefaultParagraphFont"/>
    <w:rsid w:val="009D1343"/>
  </w:style>
  <w:style w:type="character" w:customStyle="1" w:styleId="71316Char">
    <w:name w:val="71 ג כותרת 3_16 Char"/>
    <w:basedOn w:val="DefaultParagraphFont"/>
    <w:link w:val="71316"/>
    <w:locked/>
    <w:rsid w:val="009D1343"/>
    <w:rPr>
      <w:rFonts w:ascii="Tahoma" w:eastAsia="Times New Roman" w:hAnsi="Tahoma" w:cs="Tahoma"/>
      <w:b/>
      <w:bCs/>
      <w:color w:val="00305F"/>
      <w:sz w:val="32"/>
      <w:szCs w:val="32"/>
    </w:rPr>
  </w:style>
  <w:style w:type="paragraph" w:customStyle="1" w:styleId="71316">
    <w:name w:val="71 ג כותרת 3_16"/>
    <w:basedOn w:val="Heading3"/>
    <w:link w:val="71316Char"/>
    <w:qFormat/>
    <w:rsid w:val="009D1343"/>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71414">
    <w:name w:val="71ג כותרת 4_14"/>
    <w:basedOn w:val="Heading4"/>
    <w:qFormat/>
    <w:rsid w:val="009D1343"/>
    <w:pPr>
      <w:spacing w:after="180" w:line="240" w:lineRule="atLeast"/>
      <w:jc w:val="left"/>
    </w:pPr>
    <w:rPr>
      <w:rFonts w:ascii="Tahoma" w:hAnsi="Tahoma" w:cs="Tahoma"/>
      <w:b/>
      <w:color w:val="00305F"/>
      <w:sz w:val="28"/>
      <w:szCs w:val="28"/>
    </w:rPr>
  </w:style>
  <w:style w:type="paragraph" w:customStyle="1" w:styleId="718">
    <w:name w:val="71ג לוחות/תרשימים/תמונות/אינפוגרפיקה/מפות"/>
    <w:basedOn w:val="Normal"/>
    <w:qFormat/>
    <w:rsid w:val="009D1343"/>
    <w:pPr>
      <w:keepNext/>
      <w:spacing w:before="240" w:after="240" w:line="260" w:lineRule="exact"/>
      <w:jc w:val="center"/>
    </w:pPr>
    <w:rPr>
      <w:rFonts w:ascii="Tahoma" w:hAnsi="Tahoma" w:eastAsiaTheme="minorEastAsia" w:cs="Tahoma"/>
      <w:b/>
      <w:bCs/>
      <w:color w:val="0D0D0D" w:themeColor="text1" w:themeTint="F2"/>
      <w:szCs w:val="20"/>
    </w:rPr>
  </w:style>
  <w:style w:type="character" w:styleId="CommentReference">
    <w:name w:val="annotation reference"/>
    <w:basedOn w:val="DefaultParagraphFont"/>
    <w:uiPriority w:val="99"/>
    <w:semiHidden/>
    <w:unhideWhenUsed/>
    <w:rsid w:val="009D1343"/>
    <w:rPr>
      <w:sz w:val="16"/>
      <w:szCs w:val="16"/>
    </w:rPr>
  </w:style>
  <w:style w:type="character" w:customStyle="1" w:styleId="124">
    <w:name w:val="אזכור לא מזוהה1"/>
    <w:basedOn w:val="DefaultParagraphFont"/>
    <w:uiPriority w:val="99"/>
    <w:semiHidden/>
    <w:unhideWhenUsed/>
    <w:rsid w:val="009D1343"/>
    <w:rPr>
      <w:color w:val="605E5C"/>
      <w:shd w:val="clear" w:color="auto" w:fill="E1DFDD"/>
    </w:rPr>
  </w:style>
  <w:style w:type="character" w:customStyle="1" w:styleId="29">
    <w:name w:val="אזכור לא מזוהה2"/>
    <w:basedOn w:val="DefaultParagraphFont"/>
    <w:uiPriority w:val="99"/>
    <w:semiHidden/>
    <w:unhideWhenUsed/>
    <w:rsid w:val="009D1343"/>
    <w:rPr>
      <w:color w:val="605E5C"/>
      <w:shd w:val="clear" w:color="auto" w:fill="E1DFDD"/>
    </w:rPr>
  </w:style>
  <w:style w:type="character" w:customStyle="1" w:styleId="200">
    <w:name w:val="אזכור לא מזוהה2_0"/>
    <w:basedOn w:val="DefaultParagraphFont"/>
    <w:uiPriority w:val="99"/>
    <w:semiHidden/>
    <w:unhideWhenUsed/>
    <w:rsid w:val="009D1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header" Target="header5.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eader" Target="head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3.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B7A974-5925-42DA-9F7A-FEA6C4E79D41}"/>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