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6456BD6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B36B66">
        <w:rPr>
          <w:rFonts w:hint="cs"/>
          <w:rtl/>
        </w:rPr>
        <w:t xml:space="preserve"> </w:t>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4C108B58" w:rsidR="003C32FE" w:rsidRDefault="00944033"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5F243CA9">
                <wp:simplePos x="0" y="0"/>
                <wp:positionH relativeFrom="column">
                  <wp:posOffset>381000</wp:posOffset>
                </wp:positionH>
                <wp:positionV relativeFrom="paragraph">
                  <wp:posOffset>2110105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73072"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66.15pt" to="231.8pt,16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&#13;&#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64B06C59">
                <wp:simplePos x="0" y="0"/>
                <wp:positionH relativeFrom="column">
                  <wp:posOffset>327660</wp:posOffset>
                </wp:positionH>
                <wp:positionV relativeFrom="paragraph">
                  <wp:posOffset>337185</wp:posOffset>
                </wp:positionV>
                <wp:extent cx="4142740" cy="427355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740"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74831F92" w:rsidR="00136A3E" w:rsidRPr="00087F13" w:rsidRDefault="00136A3E" w:rsidP="00087F13">
                            <w:pPr>
                              <w:pStyle w:val="affff"/>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944033">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8DCEA7B" w:rsidR="005D0F8C" w:rsidRPr="000A3ED4" w:rsidRDefault="0047099E" w:rsidP="000F5023">
                            <w:pPr>
                              <w:pStyle w:val="-1"/>
                              <w:rPr>
                                <w:rtl/>
                              </w:rPr>
                            </w:pPr>
                            <w:r w:rsidRPr="0047099E">
                              <w:rPr>
                                <w:rtl/>
                              </w:rPr>
                              <w:t xml:space="preserve">ביקורת </w:t>
                            </w:r>
                            <w:r w:rsidR="004641E3">
                              <w:rPr>
                                <w:rFonts w:hint="cs"/>
                                <w:rtl/>
                              </w:rPr>
                              <w:t>פיננסית</w:t>
                            </w:r>
                          </w:p>
                          <w:p w14:paraId="5464BE8D" w14:textId="6D327DFB" w:rsidR="00F73EE0" w:rsidRPr="000F5023" w:rsidRDefault="00605190" w:rsidP="0072357A">
                            <w:pPr>
                              <w:pStyle w:val="afffe"/>
                              <w:bidi/>
                              <w:spacing w:before="120"/>
                              <w:rPr>
                                <w:rtl/>
                              </w:rPr>
                            </w:pPr>
                            <w:r w:rsidRPr="00605190">
                              <w:rPr>
                                <w:rtl/>
                              </w:rPr>
                              <w:t>ביקורת פיננסית ברשויות מקומיות איתנות</w:t>
                            </w:r>
                            <w:r w:rsidR="00147605">
                              <w:rPr>
                                <w:rFonts w:hint="cs"/>
                                <w:rtl/>
                              </w:rPr>
                              <w:t xml:space="preserve"> </w:t>
                            </w:r>
                          </w:p>
                          <w:p w14:paraId="5BE5E625" w14:textId="77777777" w:rsidR="00C30482" w:rsidRPr="000F5023" w:rsidRDefault="00C30482" w:rsidP="000F5023">
                            <w:pPr>
                              <w:pStyle w:val="afffe"/>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5.8pt;margin-top:26.55pt;width:326.2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74831F92" w:rsidR="00136A3E" w:rsidRPr="00087F13" w:rsidRDefault="00136A3E" w:rsidP="00087F13">
                      <w:pPr>
                        <w:pStyle w:val="affff"/>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944033">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8DCEA7B" w:rsidR="005D0F8C" w:rsidRPr="000A3ED4" w:rsidRDefault="0047099E" w:rsidP="000F5023">
                      <w:pPr>
                        <w:pStyle w:val="-1"/>
                        <w:rPr>
                          <w:rtl/>
                        </w:rPr>
                      </w:pPr>
                      <w:r w:rsidRPr="0047099E">
                        <w:rPr>
                          <w:rtl/>
                        </w:rPr>
                        <w:t xml:space="preserve">ביקורת </w:t>
                      </w:r>
                      <w:r w:rsidR="004641E3">
                        <w:rPr>
                          <w:rFonts w:hint="cs"/>
                          <w:rtl/>
                        </w:rPr>
                        <w:t>פיננסית</w:t>
                      </w:r>
                    </w:p>
                    <w:p w14:paraId="5464BE8D" w14:textId="6D327DFB" w:rsidR="00F73EE0" w:rsidRPr="000F5023" w:rsidRDefault="00605190" w:rsidP="0072357A">
                      <w:pPr>
                        <w:pStyle w:val="afffe"/>
                        <w:bidi/>
                        <w:spacing w:before="120"/>
                        <w:rPr>
                          <w:rtl/>
                        </w:rPr>
                      </w:pPr>
                      <w:r w:rsidRPr="00605190">
                        <w:rPr>
                          <w:rtl/>
                        </w:rPr>
                        <w:t>ביקורת פיננסית ברשויות מקומיות איתנות</w:t>
                      </w:r>
                      <w:r w:rsidR="00147605">
                        <w:rPr>
                          <w:rFonts w:hint="cs"/>
                          <w:rtl/>
                        </w:rPr>
                        <w:t xml:space="preserve"> </w:t>
                      </w:r>
                    </w:p>
                    <w:p w14:paraId="5BE5E625" w14:textId="77777777" w:rsidR="00C30482" w:rsidRPr="000F5023" w:rsidRDefault="00C30482" w:rsidP="000F5023">
                      <w:pPr>
                        <w:pStyle w:val="afffe"/>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4906AAC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6AB8B0B2" w:rsidR="003C32FE" w:rsidRDefault="00C262C5"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10B88A6E">
                <wp:simplePos x="0" y="0"/>
                <wp:positionH relativeFrom="column">
                  <wp:posOffset>3061355</wp:posOffset>
                </wp:positionH>
                <wp:positionV relativeFrom="paragraph">
                  <wp:posOffset>90989</wp:posOffset>
                </wp:positionV>
                <wp:extent cx="1" cy="3517491"/>
                <wp:effectExtent l="25400" t="0" r="25400" b="26035"/>
                <wp:wrapNone/>
                <wp:docPr id="5" name="Straight Connector 5"/>
                <wp:cNvGraphicFramePr/>
                <a:graphic xmlns:a="http://schemas.openxmlformats.org/drawingml/2006/main">
                  <a:graphicData uri="http://schemas.microsoft.com/office/word/2010/wordprocessingShape">
                    <wps:wsp>
                      <wps:cNvCnPr/>
                      <wps:spPr>
                        <a:xfrm>
                          <a:off x="0" y="0"/>
                          <a:ext cx="1" cy="3517491"/>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6A48B"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05pt,7.15pt" to="241.05pt,28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" strokecolor="white [3212]" strokeweight="4pt"/>
            </w:pict>
          </mc:Fallback>
        </mc:AlternateContent>
      </w:r>
    </w:p>
    <w:p w14:paraId="5F398D7B" w14:textId="32AFCC2B" w:rsidR="00E35DF9" w:rsidRPr="00406E80" w:rsidRDefault="00E35DF9" w:rsidP="008D2388">
      <w:pPr>
        <w:spacing w:line="240" w:lineRule="atLeast"/>
        <w:jc w:val="center"/>
        <w:rPr>
          <w:rFonts w:ascii="Tahoma" w:hAnsi="Tahoma" w:cs="Tahoma"/>
          <w:color w:val="C6D9F1"/>
          <w:sz w:val="22"/>
          <w:szCs w:val="22"/>
          <w:rtl/>
        </w:rPr>
      </w:pPr>
    </w:p>
    <w:p w14:paraId="1D311F15" w14:textId="3FC5EF1F" w:rsidR="008C0B8B" w:rsidRDefault="008C0B8B" w:rsidP="008D2388">
      <w:pPr>
        <w:spacing w:line="240" w:lineRule="atLeast"/>
        <w:jc w:val="center"/>
        <w:rPr>
          <w:rFonts w:ascii="Tahoma" w:hAnsi="Tahoma" w:cs="Tahoma"/>
          <w:sz w:val="22"/>
          <w:szCs w:val="22"/>
          <w:rtl/>
        </w:rPr>
      </w:pPr>
    </w:p>
    <w:p w14:paraId="1AC7C61F" w14:textId="2118BBDB" w:rsidR="008C0B8B" w:rsidRDefault="008C0B8B" w:rsidP="008D2388">
      <w:pPr>
        <w:spacing w:line="240" w:lineRule="atLeast"/>
        <w:jc w:val="center"/>
        <w:rPr>
          <w:rFonts w:ascii="Tahoma" w:hAnsi="Tahoma" w:cs="Tahoma"/>
          <w:sz w:val="22"/>
          <w:szCs w:val="22"/>
          <w:rtl/>
        </w:rPr>
      </w:pPr>
    </w:p>
    <w:p w14:paraId="1081EBD1" w14:textId="2E81FE96"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4F7EDE53" w:rsidR="00B93C72" w:rsidRPr="00802F2E" w:rsidRDefault="00802F2E" w:rsidP="00F16A67">
      <w:pPr>
        <w:pStyle w:val="7320"/>
        <w:spacing w:after="960"/>
        <w:rPr>
          <w:rtl/>
        </w:rPr>
      </w:pPr>
      <w:r w:rsidRPr="00802F2E">
        <w:rPr>
          <w:noProof/>
          <w:rtl/>
        </w:rPr>
        <w:lastRenderedPageBreak/>
        <w:drawing>
          <wp:anchor distT="0" distB="0" distL="114300" distR="114300" simplePos="0" relativeHeight="252080640" behindDoc="0" locked="0" layoutInCell="1" allowOverlap="1" wp14:anchorId="675D1E1E" wp14:editId="5B5F34EC">
            <wp:simplePos x="0" y="0"/>
            <wp:positionH relativeFrom="column">
              <wp:posOffset>3298190</wp:posOffset>
            </wp:positionH>
            <wp:positionV relativeFrom="paragraph">
              <wp:posOffset>636905</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C7D40" w:rsidRPr="00802F2E">
        <w:rPr>
          <w:noProof/>
          <w:rtl/>
        </w:rPr>
        <mc:AlternateContent>
          <mc:Choice Requires="wps">
            <w:drawing>
              <wp:anchor distT="0" distB="0" distL="114300" distR="114300" simplePos="0" relativeHeight="252137984" behindDoc="0" locked="0" layoutInCell="1" allowOverlap="1" wp14:anchorId="6CC2D5FA" wp14:editId="760BF6A5">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B93C1D"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605190" w:rsidRPr="00605190">
        <w:rPr>
          <w:noProof/>
          <w:rtl/>
        </w:rPr>
        <w:t>ביקורת פיננסית ברשויות מקומיות איתנות</w:t>
      </w:r>
      <w:r w:rsidR="00147605" w:rsidRPr="00802F2E">
        <w:rPr>
          <w:rFonts w:hint="cs"/>
          <w:rtl/>
        </w:rPr>
        <w:t xml:space="preserve"> </w:t>
      </w:r>
    </w:p>
    <w:p w14:paraId="0B41EED6" w14:textId="3FB05DDA" w:rsidR="007F4A20" w:rsidRPr="00F16A67" w:rsidRDefault="00B55829" w:rsidP="00F16A67">
      <w:pPr>
        <w:pStyle w:val="7392"/>
        <w:rPr>
          <w:rtl/>
        </w:rPr>
      </w:pPr>
      <w:r w:rsidRPr="008D6189">
        <w:rPr>
          <w:rtl/>
        </w:rPr>
        <w:t>ישראל ידועה כמדינה ריכוזית ביותר ביחסי שלטון מקומי - שלטון מרכזי, ובפרט בתחום הפיננסי. בעשרות השנים האחרונות גובר בעולם השיח הקורא לפעול לביזוריות ולמתן עצמאות רבה יותר לשלטון המקומי. בשנת 2014, עם תיקון 135 לפקודת העיריות [נוסח חדש] (להלן - פקודת העיריות או הפקודה), הונחה אבן יסוד בתהליך ביזור מוסדר של סמכויות לרשויות המקומיות. בתיקון 135 הוסף סימן ד' לפרק 11 לפקודת העיריות, ולפיו שר הפנים יכריז על רשות מקומית כעל רשות איתנה אם התקיימו בה התנאים הפיננסיים הקבועים בחוק ואם נמצא שהיא מנהלת את תקציבה וענייניה באורח תקין ולפי כל הוראות הדין. הכרזה על רשות מקומית כאיתנה פוטרת אותה מחלק מהדרישות הקיימות בדין המחייבות רשויות מקומיות באופן הרגיל, ובהן הדרישה לקבל אישורים ממשרד הפנים לפעולות כגון העברת תקציב, חתימה על חוזים למתן זיכיון, ביצוע פעולות במקרקעין, מחיקת חובות והתקשרות עם עובדים בחוזה אישי. בצד זאת נמנעת מרשויות שהוכרזו כאיתנות הזכאות לקבלת מענקים מהקרן לצמצום פערים, ומרשויות</w:t>
      </w:r>
      <w:r w:rsidR="00934038">
        <w:t xml:space="preserve"> </w:t>
      </w:r>
      <w:r w:rsidR="00934038" w:rsidRPr="00934038">
        <w:rPr>
          <w:rtl/>
        </w:rPr>
        <w:t>שהוכרזו כאיתנות</w:t>
      </w:r>
      <w:r w:rsidRPr="008D6189">
        <w:rPr>
          <w:rtl/>
        </w:rPr>
        <w:t xml:space="preserve"> הסמוכות לנמל התעופה בן-גוריון (להלן - נתב"ג) נמנעת גם חלוקת כספים נוספת</w:t>
      </w:r>
      <w:r w:rsidR="0036097F" w:rsidRPr="00F16A67">
        <w:rPr>
          <w:rFonts w:hint="cs"/>
          <w:rtl/>
        </w:rPr>
        <w:t>.</w:t>
      </w:r>
      <w:r w:rsidR="00B61DE7" w:rsidRPr="00F16A67">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78CDD959">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a"/>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223"/>
        <w:gridCol w:w="1705"/>
        <w:gridCol w:w="223"/>
        <w:gridCol w:w="1641"/>
        <w:gridCol w:w="239"/>
        <w:gridCol w:w="1654"/>
      </w:tblGrid>
      <w:tr w:rsidR="00B55829" w14:paraId="58B4726B" w14:textId="77777777" w:rsidTr="00B55829">
        <w:tc>
          <w:tcPr>
            <w:tcW w:w="1143" w:type="pct"/>
            <w:tcBorders>
              <w:bottom w:val="single" w:sz="12" w:space="0" w:color="000000" w:themeColor="text1"/>
            </w:tcBorders>
            <w:vAlign w:val="bottom"/>
          </w:tcPr>
          <w:p w14:paraId="23EB689E" w14:textId="0E83F7B5" w:rsidR="00B55829" w:rsidRPr="00B55829" w:rsidRDefault="00B55829" w:rsidP="00B55829">
            <w:pPr>
              <w:spacing w:after="60" w:line="240" w:lineRule="auto"/>
              <w:jc w:val="left"/>
              <w:rPr>
                <w:b/>
                <w:bCs/>
                <w:spacing w:val="-28"/>
                <w:rtl/>
              </w:rPr>
            </w:pPr>
            <w:r w:rsidRPr="00B55829">
              <w:rPr>
                <w:rFonts w:ascii="Tahoma" w:eastAsiaTheme="minorEastAsia" w:hAnsi="Tahoma" w:cs="Tahoma"/>
                <w:b/>
                <w:bCs/>
                <w:color w:val="0D0D0D" w:themeColor="text1" w:themeTint="F2"/>
                <w:spacing w:val="-10"/>
                <w:sz w:val="36"/>
                <w:szCs w:val="36"/>
                <w:rtl/>
              </w:rPr>
              <w:t xml:space="preserve">36 </w:t>
            </w:r>
          </w:p>
        </w:tc>
        <w:tc>
          <w:tcPr>
            <w:tcW w:w="151" w:type="pct"/>
            <w:vAlign w:val="bottom"/>
          </w:tcPr>
          <w:p w14:paraId="19192EA5" w14:textId="77777777" w:rsidR="00B55829" w:rsidRPr="00B55829" w:rsidRDefault="00B55829" w:rsidP="00B55829">
            <w:pPr>
              <w:spacing w:before="120" w:after="60" w:line="240" w:lineRule="auto"/>
              <w:jc w:val="left"/>
              <w:rPr>
                <w:b/>
                <w:bCs/>
                <w:rtl/>
              </w:rPr>
            </w:pPr>
          </w:p>
        </w:tc>
        <w:tc>
          <w:tcPr>
            <w:tcW w:w="1157" w:type="pct"/>
            <w:tcBorders>
              <w:bottom w:val="single" w:sz="12" w:space="0" w:color="000000" w:themeColor="text1"/>
            </w:tcBorders>
            <w:vAlign w:val="bottom"/>
          </w:tcPr>
          <w:p w14:paraId="761F4116" w14:textId="7D758380" w:rsidR="00B55829" w:rsidRPr="00B55829" w:rsidRDefault="00B55829" w:rsidP="00B55829">
            <w:pPr>
              <w:pStyle w:val="2021"/>
              <w:spacing w:before="0" w:after="60"/>
              <w:rPr>
                <w:spacing w:val="-10"/>
                <w:rtl/>
              </w:rPr>
            </w:pPr>
            <w:r w:rsidRPr="00B55829">
              <w:rPr>
                <w:spacing w:val="-10"/>
                <w:rtl/>
              </w:rPr>
              <w:t xml:space="preserve">3.1 </w:t>
            </w:r>
            <w:r w:rsidRPr="00B55829">
              <w:rPr>
                <w:spacing w:val="-10"/>
                <w:sz w:val="26"/>
                <w:szCs w:val="26"/>
                <w:rtl/>
              </w:rPr>
              <w:t>מיליון (33.7%)</w:t>
            </w:r>
          </w:p>
        </w:tc>
        <w:tc>
          <w:tcPr>
            <w:tcW w:w="151" w:type="pct"/>
            <w:vAlign w:val="bottom"/>
          </w:tcPr>
          <w:p w14:paraId="2810DE55" w14:textId="77777777" w:rsidR="00B55829" w:rsidRPr="00B55829" w:rsidRDefault="00B55829" w:rsidP="00B55829">
            <w:pPr>
              <w:spacing w:before="120" w:after="60" w:line="240" w:lineRule="auto"/>
              <w:jc w:val="left"/>
              <w:rPr>
                <w:b/>
                <w:bCs/>
                <w:rtl/>
              </w:rPr>
            </w:pPr>
          </w:p>
        </w:tc>
        <w:tc>
          <w:tcPr>
            <w:tcW w:w="1113" w:type="pct"/>
            <w:tcBorders>
              <w:bottom w:val="single" w:sz="12" w:space="0" w:color="000000" w:themeColor="text1"/>
            </w:tcBorders>
            <w:vAlign w:val="bottom"/>
          </w:tcPr>
          <w:p w14:paraId="2A2E27BD" w14:textId="3A9673EF" w:rsidR="00B55829" w:rsidRPr="00B55829" w:rsidRDefault="00B55829" w:rsidP="00B55829">
            <w:pPr>
              <w:pStyle w:val="2021"/>
              <w:spacing w:before="0" w:after="60"/>
              <w:rPr>
                <w:spacing w:val="-20"/>
                <w:sz w:val="24"/>
                <w:rtl/>
              </w:rPr>
            </w:pPr>
            <w:r w:rsidRPr="00B55829">
              <w:rPr>
                <w:spacing w:val="-10"/>
                <w:rtl/>
              </w:rPr>
              <w:t>21</w:t>
            </w:r>
          </w:p>
        </w:tc>
        <w:tc>
          <w:tcPr>
            <w:tcW w:w="162" w:type="pct"/>
            <w:vAlign w:val="bottom"/>
          </w:tcPr>
          <w:p w14:paraId="47B754BA" w14:textId="77777777" w:rsidR="00B55829" w:rsidRPr="00B55829" w:rsidRDefault="00B55829" w:rsidP="00B55829">
            <w:pPr>
              <w:pStyle w:val="2021"/>
              <w:spacing w:before="0" w:after="60"/>
              <w:rPr>
                <w:spacing w:val="-10"/>
                <w:rtl/>
              </w:rPr>
            </w:pPr>
          </w:p>
        </w:tc>
        <w:tc>
          <w:tcPr>
            <w:tcW w:w="1122" w:type="pct"/>
            <w:tcBorders>
              <w:bottom w:val="single" w:sz="12" w:space="0" w:color="000000" w:themeColor="text1"/>
            </w:tcBorders>
            <w:vAlign w:val="bottom"/>
          </w:tcPr>
          <w:p w14:paraId="5F3A3FF5" w14:textId="14B87CB3" w:rsidR="00B55829" w:rsidRPr="00B55829" w:rsidRDefault="00B55829" w:rsidP="00B55829">
            <w:pPr>
              <w:pStyle w:val="2021"/>
              <w:spacing w:before="0" w:after="60"/>
              <w:rPr>
                <w:spacing w:val="-10"/>
                <w:rtl/>
              </w:rPr>
            </w:pPr>
            <w:r w:rsidRPr="00B55829">
              <w:rPr>
                <w:spacing w:val="-10"/>
                <w:rtl/>
              </w:rPr>
              <w:t>71.4%</w:t>
            </w:r>
          </w:p>
        </w:tc>
      </w:tr>
      <w:tr w:rsidR="00B55829" w14:paraId="6DFAF81C" w14:textId="77777777" w:rsidTr="00B55829">
        <w:tc>
          <w:tcPr>
            <w:tcW w:w="1143" w:type="pct"/>
            <w:tcBorders>
              <w:top w:val="single" w:sz="12" w:space="0" w:color="000000" w:themeColor="text1"/>
            </w:tcBorders>
          </w:tcPr>
          <w:p w14:paraId="1D96599A" w14:textId="5F73DA3E" w:rsidR="00B55829" w:rsidRPr="00E52143" w:rsidRDefault="00B55829" w:rsidP="00B55829">
            <w:pPr>
              <w:pStyle w:val="732021"/>
              <w:spacing w:before="0"/>
              <w:rPr>
                <w:rtl/>
              </w:rPr>
            </w:pPr>
            <w:r w:rsidRPr="008D6189">
              <w:rPr>
                <w:rtl/>
              </w:rPr>
              <w:t>רשויות מקומיות מתוך 256 רשויות מוכרזות כאיתנות, נכון לאפריל 2023</w:t>
            </w:r>
          </w:p>
        </w:tc>
        <w:tc>
          <w:tcPr>
            <w:tcW w:w="151" w:type="pct"/>
          </w:tcPr>
          <w:p w14:paraId="2BF81D8C" w14:textId="77777777" w:rsidR="00B55829" w:rsidRPr="00E52143" w:rsidRDefault="00B55829" w:rsidP="00B55829">
            <w:pPr>
              <w:pStyle w:val="732021"/>
              <w:spacing w:before="0"/>
              <w:rPr>
                <w:rtl/>
              </w:rPr>
            </w:pPr>
          </w:p>
        </w:tc>
        <w:tc>
          <w:tcPr>
            <w:tcW w:w="1157" w:type="pct"/>
            <w:tcBorders>
              <w:top w:val="single" w:sz="12" w:space="0" w:color="000000" w:themeColor="text1"/>
            </w:tcBorders>
          </w:tcPr>
          <w:p w14:paraId="68924AF7" w14:textId="5B29A22C" w:rsidR="00B55829" w:rsidRPr="00E52143" w:rsidRDefault="00B55829" w:rsidP="00B55829">
            <w:pPr>
              <w:pStyle w:val="732021"/>
              <w:spacing w:before="0"/>
              <w:rPr>
                <w:rtl/>
              </w:rPr>
            </w:pPr>
            <w:r w:rsidRPr="008D6189">
              <w:rPr>
                <w:rtl/>
              </w:rPr>
              <w:t>תושבים מתגוררים ברשויות מקומיות המוכרזות כאיתנות, (על פי נתוני הלשכה המרכזית לסטטיסטיקה לסוף שנת 2020)</w:t>
            </w:r>
          </w:p>
        </w:tc>
        <w:tc>
          <w:tcPr>
            <w:tcW w:w="151" w:type="pct"/>
          </w:tcPr>
          <w:p w14:paraId="4F52CE08" w14:textId="77777777" w:rsidR="00B55829" w:rsidRPr="00E52143" w:rsidRDefault="00B55829" w:rsidP="00B55829">
            <w:pPr>
              <w:pStyle w:val="732021"/>
              <w:spacing w:before="0"/>
              <w:rPr>
                <w:rtl/>
              </w:rPr>
            </w:pPr>
          </w:p>
        </w:tc>
        <w:tc>
          <w:tcPr>
            <w:tcW w:w="1113" w:type="pct"/>
            <w:tcBorders>
              <w:top w:val="single" w:sz="12" w:space="0" w:color="000000" w:themeColor="text1"/>
            </w:tcBorders>
          </w:tcPr>
          <w:p w14:paraId="203F9568" w14:textId="03B6DF08" w:rsidR="00B55829" w:rsidRPr="00E52143" w:rsidRDefault="00B55829" w:rsidP="00B55829">
            <w:pPr>
              <w:pStyle w:val="732021"/>
              <w:spacing w:before="0"/>
              <w:rPr>
                <w:rtl/>
              </w:rPr>
            </w:pPr>
            <w:r w:rsidRPr="008D6189">
              <w:rPr>
                <w:rtl/>
              </w:rPr>
              <w:t>רשויות מקומיות שהוכרזו כאיתנות (מתוך 36) משויכות לאשכולות 7 - 10 במדד החברתי-כלכלי של הלשכה המרכזית לסטטיסטיקה, 15 משויכות לאשכולות 4 – 7, ואף אחת אינה משויכת לאשכולות 1 – 3</w:t>
            </w:r>
          </w:p>
        </w:tc>
        <w:tc>
          <w:tcPr>
            <w:tcW w:w="162" w:type="pct"/>
          </w:tcPr>
          <w:p w14:paraId="42538096" w14:textId="77777777" w:rsidR="00B55829" w:rsidRPr="00E52143" w:rsidRDefault="00B55829" w:rsidP="00B55829">
            <w:pPr>
              <w:pStyle w:val="732021"/>
              <w:spacing w:before="0"/>
              <w:rPr>
                <w:rtl/>
              </w:rPr>
            </w:pPr>
          </w:p>
        </w:tc>
        <w:tc>
          <w:tcPr>
            <w:tcW w:w="1122" w:type="pct"/>
            <w:tcBorders>
              <w:top w:val="single" w:sz="12" w:space="0" w:color="000000" w:themeColor="text1"/>
            </w:tcBorders>
          </w:tcPr>
          <w:p w14:paraId="1878D11D" w14:textId="254AE5FC" w:rsidR="00B55829" w:rsidRPr="00E52143" w:rsidRDefault="00B55829" w:rsidP="00B55829">
            <w:pPr>
              <w:pStyle w:val="732021"/>
              <w:spacing w:before="0"/>
              <w:rPr>
                <w:rtl/>
              </w:rPr>
            </w:pPr>
            <w:r w:rsidRPr="008D6189">
              <w:rPr>
                <w:rtl/>
              </w:rPr>
              <w:t>ממוצע שיעור ההכנסות העצמיות של הרשויות שהוכרזו כאיתנות בשנת 2019. שיעור זה גבוה ב-26% (</w:t>
            </w:r>
            <w:r w:rsidR="00934038">
              <w:rPr>
                <w:rFonts w:hint="cs"/>
                <w:rtl/>
              </w:rPr>
              <w:t>ב</w:t>
            </w:r>
            <w:r w:rsidRPr="008D6189">
              <w:rPr>
                <w:rtl/>
              </w:rPr>
              <w:t xml:space="preserve">נקודות אחוז) מממוצע השיעור ברשויות שלא הוכרזו כאיתנות - 45.4% </w:t>
            </w:r>
          </w:p>
        </w:tc>
      </w:tr>
      <w:tr w:rsidR="00B55829" w14:paraId="1BD5A20C" w14:textId="77777777" w:rsidTr="00B55829">
        <w:tc>
          <w:tcPr>
            <w:tcW w:w="1143" w:type="pct"/>
            <w:tcBorders>
              <w:bottom w:val="single" w:sz="12" w:space="0" w:color="000000" w:themeColor="text1"/>
            </w:tcBorders>
            <w:vAlign w:val="bottom"/>
          </w:tcPr>
          <w:p w14:paraId="500D3B50" w14:textId="15905A0F" w:rsidR="00B55829" w:rsidRPr="00B55829" w:rsidRDefault="00B55829" w:rsidP="00934038">
            <w:pPr>
              <w:spacing w:after="60" w:line="240" w:lineRule="auto"/>
              <w:jc w:val="left"/>
              <w:rPr>
                <w:rFonts w:ascii="Tahoma" w:eastAsiaTheme="minorEastAsia" w:hAnsi="Tahoma" w:cs="Tahoma"/>
                <w:b/>
                <w:bCs/>
                <w:color w:val="0D0D0D" w:themeColor="text1" w:themeTint="F2"/>
                <w:spacing w:val="-10"/>
                <w:sz w:val="36"/>
                <w:szCs w:val="36"/>
                <w:rtl/>
              </w:rPr>
            </w:pPr>
            <w:r w:rsidRPr="00B55829">
              <w:rPr>
                <w:rFonts w:ascii="Tahoma" w:eastAsiaTheme="minorEastAsia" w:hAnsi="Tahoma" w:cs="Tahoma"/>
                <w:b/>
                <w:bCs/>
                <w:color w:val="0D0D0D" w:themeColor="text1" w:themeTint="F2"/>
                <w:spacing w:val="-10"/>
                <w:sz w:val="36"/>
                <w:szCs w:val="36"/>
                <w:rtl/>
              </w:rPr>
              <w:t>0</w:t>
            </w:r>
          </w:p>
        </w:tc>
        <w:tc>
          <w:tcPr>
            <w:tcW w:w="151" w:type="pct"/>
            <w:vAlign w:val="bottom"/>
          </w:tcPr>
          <w:p w14:paraId="26A950B1" w14:textId="77777777" w:rsidR="00B55829" w:rsidRPr="00B55829" w:rsidRDefault="00B55829" w:rsidP="00934038">
            <w:pPr>
              <w:spacing w:after="60"/>
              <w:jc w:val="left"/>
              <w:rPr>
                <w:rFonts w:ascii="Tahoma" w:eastAsiaTheme="minorEastAsia" w:hAnsi="Tahoma" w:cs="Tahoma"/>
                <w:b/>
                <w:bCs/>
                <w:color w:val="0D0D0D" w:themeColor="text1" w:themeTint="F2"/>
                <w:spacing w:val="-10"/>
                <w:sz w:val="36"/>
                <w:szCs w:val="36"/>
                <w:rtl/>
              </w:rPr>
            </w:pPr>
          </w:p>
        </w:tc>
        <w:tc>
          <w:tcPr>
            <w:tcW w:w="1157" w:type="pct"/>
            <w:tcBorders>
              <w:bottom w:val="single" w:sz="12" w:space="0" w:color="000000" w:themeColor="text1"/>
            </w:tcBorders>
            <w:vAlign w:val="bottom"/>
          </w:tcPr>
          <w:p w14:paraId="48896DF7" w14:textId="5246BC3F" w:rsidR="00B55829" w:rsidRPr="00B55829" w:rsidRDefault="00B55829" w:rsidP="00934038">
            <w:pPr>
              <w:pStyle w:val="2021"/>
              <w:spacing w:before="0" w:after="60"/>
              <w:rPr>
                <w:spacing w:val="-10"/>
                <w:rtl/>
              </w:rPr>
            </w:pPr>
            <w:r w:rsidRPr="00B55829">
              <w:rPr>
                <w:spacing w:val="-10"/>
                <w:rtl/>
              </w:rPr>
              <w:t>194</w:t>
            </w:r>
          </w:p>
        </w:tc>
        <w:tc>
          <w:tcPr>
            <w:tcW w:w="151" w:type="pct"/>
            <w:vAlign w:val="bottom"/>
          </w:tcPr>
          <w:p w14:paraId="5B4C8A80" w14:textId="77777777" w:rsidR="00B55829" w:rsidRPr="00B55829" w:rsidRDefault="00B55829" w:rsidP="00934038">
            <w:pPr>
              <w:spacing w:after="60" w:line="240" w:lineRule="auto"/>
              <w:jc w:val="left"/>
              <w:rPr>
                <w:b/>
                <w:bCs/>
                <w:rtl/>
              </w:rPr>
            </w:pPr>
          </w:p>
        </w:tc>
        <w:tc>
          <w:tcPr>
            <w:tcW w:w="1113" w:type="pct"/>
            <w:tcBorders>
              <w:bottom w:val="single" w:sz="12" w:space="0" w:color="000000" w:themeColor="text1"/>
            </w:tcBorders>
            <w:vAlign w:val="bottom"/>
          </w:tcPr>
          <w:p w14:paraId="226A2E50" w14:textId="5895E39A" w:rsidR="00B55829" w:rsidRPr="00934038" w:rsidRDefault="00B55829" w:rsidP="00934038">
            <w:pPr>
              <w:spacing w:after="60" w:line="192" w:lineRule="auto"/>
              <w:jc w:val="left"/>
              <w:rPr>
                <w:rFonts w:ascii="Tahoma" w:eastAsiaTheme="minorEastAsia" w:hAnsi="Tahoma" w:cs="Tahoma"/>
                <w:b/>
                <w:bCs/>
                <w:color w:val="0D0D0D" w:themeColor="text1" w:themeTint="F2"/>
                <w:spacing w:val="-26"/>
                <w:sz w:val="36"/>
                <w:szCs w:val="36"/>
                <w:rtl/>
              </w:rPr>
            </w:pPr>
            <w:r w:rsidRPr="00934038">
              <w:rPr>
                <w:rFonts w:ascii="Tahoma" w:eastAsiaTheme="minorEastAsia" w:hAnsi="Tahoma" w:cs="Tahoma"/>
                <w:b/>
                <w:bCs/>
                <w:color w:val="0D0D0D" w:themeColor="text1" w:themeTint="F2"/>
                <w:spacing w:val="-26"/>
                <w:w w:val="98"/>
                <w:sz w:val="36"/>
                <w:szCs w:val="36"/>
                <w:rtl/>
              </w:rPr>
              <w:t>5,600</w:t>
            </w:r>
            <w:r w:rsidRPr="00934038">
              <w:rPr>
                <w:rFonts w:ascii="Tahoma" w:eastAsiaTheme="minorEastAsia" w:hAnsi="Tahoma" w:cs="Tahoma"/>
                <w:b/>
                <w:bCs/>
                <w:color w:val="0D0D0D" w:themeColor="text1" w:themeTint="F2"/>
                <w:spacing w:val="-26"/>
                <w:sz w:val="36"/>
                <w:szCs w:val="36"/>
                <w:rtl/>
              </w:rPr>
              <w:t xml:space="preserve"> </w:t>
            </w:r>
            <w:r w:rsidRPr="00934038">
              <w:rPr>
                <w:rFonts w:ascii="Tahoma" w:eastAsiaTheme="minorEastAsia" w:hAnsi="Tahoma" w:cs="Tahoma"/>
                <w:b/>
                <w:bCs/>
                <w:color w:val="0D0D0D" w:themeColor="text1" w:themeTint="F2"/>
                <w:spacing w:val="-26"/>
                <w:w w:val="98"/>
                <w:sz w:val="26"/>
                <w:szCs w:val="26"/>
                <w:rtl/>
              </w:rPr>
              <w:t>ש"ח</w:t>
            </w:r>
          </w:p>
        </w:tc>
        <w:tc>
          <w:tcPr>
            <w:tcW w:w="162" w:type="pct"/>
            <w:vAlign w:val="bottom"/>
          </w:tcPr>
          <w:p w14:paraId="5E7F766C" w14:textId="77777777" w:rsidR="00B55829" w:rsidRPr="00934038" w:rsidRDefault="00B55829" w:rsidP="00934038">
            <w:pPr>
              <w:spacing w:after="60" w:line="240" w:lineRule="auto"/>
              <w:jc w:val="left"/>
              <w:rPr>
                <w:rFonts w:ascii="Tahoma" w:eastAsiaTheme="minorEastAsia" w:hAnsi="Tahoma" w:cs="Tahoma"/>
                <w:b/>
                <w:bCs/>
                <w:color w:val="0D0D0D" w:themeColor="text1" w:themeTint="F2"/>
                <w:spacing w:val="-22"/>
                <w:sz w:val="36"/>
                <w:szCs w:val="36"/>
                <w:rtl/>
              </w:rPr>
            </w:pPr>
          </w:p>
        </w:tc>
        <w:tc>
          <w:tcPr>
            <w:tcW w:w="1122" w:type="pct"/>
            <w:tcBorders>
              <w:bottom w:val="single" w:sz="12" w:space="0" w:color="000000" w:themeColor="text1"/>
            </w:tcBorders>
            <w:vAlign w:val="bottom"/>
          </w:tcPr>
          <w:p w14:paraId="5AEEF263" w14:textId="6183AF7B" w:rsidR="00B55829" w:rsidRPr="00B55829" w:rsidRDefault="00B55829" w:rsidP="00934038">
            <w:pPr>
              <w:spacing w:after="60" w:line="240" w:lineRule="auto"/>
              <w:jc w:val="left"/>
              <w:rPr>
                <w:rFonts w:ascii="Tahoma" w:eastAsiaTheme="minorEastAsia" w:hAnsi="Tahoma" w:cs="Tahoma"/>
                <w:b/>
                <w:bCs/>
                <w:color w:val="0D0D0D" w:themeColor="text1" w:themeTint="F2"/>
                <w:spacing w:val="-10"/>
                <w:sz w:val="36"/>
                <w:szCs w:val="36"/>
                <w:rtl/>
              </w:rPr>
            </w:pPr>
            <w:r w:rsidRPr="00B55829">
              <w:rPr>
                <w:rFonts w:ascii="Tahoma" w:eastAsiaTheme="minorEastAsia" w:hAnsi="Tahoma" w:cs="Tahoma"/>
                <w:b/>
                <w:bCs/>
                <w:color w:val="0D0D0D" w:themeColor="text1" w:themeTint="F2"/>
                <w:spacing w:val="-10"/>
                <w:sz w:val="36"/>
                <w:szCs w:val="36"/>
                <w:rtl/>
              </w:rPr>
              <w:t>4</w:t>
            </w:r>
          </w:p>
        </w:tc>
      </w:tr>
      <w:tr w:rsidR="00B55829" w14:paraId="54154FA5" w14:textId="77777777" w:rsidTr="00B55829">
        <w:tc>
          <w:tcPr>
            <w:tcW w:w="1143" w:type="pct"/>
            <w:tcBorders>
              <w:top w:val="single" w:sz="12" w:space="0" w:color="000000" w:themeColor="text1"/>
            </w:tcBorders>
          </w:tcPr>
          <w:p w14:paraId="6DB67748" w14:textId="78C3B516" w:rsidR="00B55829" w:rsidRPr="004562F8" w:rsidRDefault="00B55829" w:rsidP="00B55829">
            <w:pPr>
              <w:pStyle w:val="732021"/>
              <w:spacing w:before="0" w:after="0"/>
              <w:rPr>
                <w:rtl/>
              </w:rPr>
            </w:pPr>
            <w:r w:rsidRPr="008D6189">
              <w:rPr>
                <w:rtl/>
              </w:rPr>
              <w:t>מספר הרשויות המקומיות השייכות למגזר הלא יהודי מבין אלו שהוכרזו כאיתנות</w:t>
            </w:r>
          </w:p>
        </w:tc>
        <w:tc>
          <w:tcPr>
            <w:tcW w:w="151" w:type="pct"/>
          </w:tcPr>
          <w:p w14:paraId="0C0AE598" w14:textId="77777777" w:rsidR="00B55829" w:rsidRPr="008D750B" w:rsidRDefault="00B55829" w:rsidP="00B55829">
            <w:pPr>
              <w:pStyle w:val="732021"/>
              <w:spacing w:before="0" w:after="0"/>
              <w:rPr>
                <w:rtl/>
              </w:rPr>
            </w:pPr>
          </w:p>
        </w:tc>
        <w:tc>
          <w:tcPr>
            <w:tcW w:w="1157" w:type="pct"/>
            <w:tcBorders>
              <w:top w:val="single" w:sz="12" w:space="0" w:color="000000" w:themeColor="text1"/>
            </w:tcBorders>
          </w:tcPr>
          <w:p w14:paraId="1916A301" w14:textId="313F2F31" w:rsidR="00B55829" w:rsidRPr="004562F8" w:rsidRDefault="00B55829" w:rsidP="00B55829">
            <w:pPr>
              <w:pStyle w:val="732021"/>
              <w:spacing w:before="0" w:after="0"/>
              <w:rPr>
                <w:rtl/>
              </w:rPr>
            </w:pPr>
            <w:r w:rsidRPr="008D6189">
              <w:rPr>
                <w:rtl/>
              </w:rPr>
              <w:t>רשויות מקומיות קיבלו מענק איזון בשנת 2019 ולכן לא יכלו להיות מוכרזות כאיתנות</w:t>
            </w:r>
          </w:p>
        </w:tc>
        <w:tc>
          <w:tcPr>
            <w:tcW w:w="151" w:type="pct"/>
          </w:tcPr>
          <w:p w14:paraId="14782C57" w14:textId="77777777" w:rsidR="00B55829" w:rsidRDefault="00B55829" w:rsidP="00B55829">
            <w:pPr>
              <w:pStyle w:val="732021"/>
              <w:spacing w:before="0" w:after="0"/>
              <w:rPr>
                <w:rtl/>
              </w:rPr>
            </w:pPr>
          </w:p>
        </w:tc>
        <w:tc>
          <w:tcPr>
            <w:tcW w:w="1113" w:type="pct"/>
            <w:tcBorders>
              <w:top w:val="single" w:sz="12" w:space="0" w:color="000000" w:themeColor="text1"/>
            </w:tcBorders>
          </w:tcPr>
          <w:p w14:paraId="6149CA50" w14:textId="51DF3B73" w:rsidR="00B55829" w:rsidRPr="0062456C" w:rsidRDefault="00B55829" w:rsidP="00B55829">
            <w:pPr>
              <w:pStyle w:val="732021"/>
              <w:spacing w:before="0" w:after="0"/>
              <w:rPr>
                <w:rtl/>
              </w:rPr>
            </w:pPr>
            <w:r w:rsidRPr="008D6189">
              <w:rPr>
                <w:rtl/>
              </w:rPr>
              <w:t>סך ההכנסות העצמיות הממוצע לתושב בשנת 2019 ברשות שהוכרזה כאיתנה, להבדיל מרשות שלא הוכרזה ככזאת - 2,524 ש"ח</w:t>
            </w:r>
          </w:p>
        </w:tc>
        <w:tc>
          <w:tcPr>
            <w:tcW w:w="162" w:type="pct"/>
          </w:tcPr>
          <w:p w14:paraId="66E34E8E" w14:textId="77777777" w:rsidR="00B55829" w:rsidRPr="00C92141" w:rsidRDefault="00B55829" w:rsidP="00B55829">
            <w:pPr>
              <w:pStyle w:val="732021"/>
              <w:spacing w:before="0" w:after="0"/>
              <w:rPr>
                <w:rtl/>
              </w:rPr>
            </w:pPr>
          </w:p>
        </w:tc>
        <w:tc>
          <w:tcPr>
            <w:tcW w:w="1122" w:type="pct"/>
            <w:tcBorders>
              <w:top w:val="single" w:sz="12" w:space="0" w:color="000000" w:themeColor="text1"/>
            </w:tcBorders>
          </w:tcPr>
          <w:p w14:paraId="39498237" w14:textId="06F35F5C" w:rsidR="00B55829" w:rsidRPr="00C92141" w:rsidRDefault="00B55829" w:rsidP="00B55829">
            <w:pPr>
              <w:pStyle w:val="732021"/>
              <w:spacing w:before="0" w:after="0"/>
              <w:rPr>
                <w:rtl/>
              </w:rPr>
            </w:pPr>
            <w:r w:rsidRPr="008D6189">
              <w:rPr>
                <w:rtl/>
              </w:rPr>
              <w:t>הליכים להכרזה ולביטול הכרזה שביצעו שרי הפנים מאז שנת 2014 (מתוך 9 שהיו אמורים להתבצע)</w:t>
            </w:r>
          </w:p>
        </w:tc>
      </w:tr>
    </w:tbl>
    <w:p w14:paraId="509D5AB6" w14:textId="77777777" w:rsidR="00420374" w:rsidRDefault="00420374" w:rsidP="00420374">
      <w:pPr>
        <w:pStyle w:val="73f7"/>
        <w:spacing w:after="0"/>
        <w:rPr>
          <w:sz w:val="10"/>
          <w:szCs w:val="10"/>
          <w:rtl/>
        </w:rPr>
      </w:pPr>
    </w:p>
    <w:p w14:paraId="3FADD5EE" w14:textId="77777777" w:rsidR="00420374" w:rsidRPr="00C62692" w:rsidRDefault="00420374" w:rsidP="00420374">
      <w:pPr>
        <w:pStyle w:val="732"/>
        <w:rPr>
          <w:rtl/>
        </w:rPr>
      </w:pPr>
      <w:r w:rsidRPr="00C62692">
        <w:rPr>
          <w:rtl/>
        </w:rPr>
        <w:t>פעולות הביקורת</w:t>
      </w:r>
    </w:p>
    <w:p w14:paraId="0AF4CED3" w14:textId="7347DF78" w:rsidR="00420374" w:rsidRDefault="00420374" w:rsidP="00420374">
      <w:pPr>
        <w:pStyle w:val="73f7"/>
        <w:rPr>
          <w:rtl/>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5829" w:rsidRPr="008D6189">
        <w:rPr>
          <w:noProof/>
          <w:rtl/>
        </w:rPr>
        <w:t>בחודשים מאי עד דצמבר 2022 בדק משרד מבקר המדינה את המנגנון המשמש את משרד הפנים להכרזה על רשויות מקומיות כאיתנות ולביטול ההכרזה וכן לבדיקת ההתנהלות הפיננסית של הרשויות שהוכרזו ככאלה. הביקורת נעשתה באמצעות ניתוח נתוני הדוחות הכספיים והדוחות המפורטים של הרשויות המקומיות, ראיונות וסקירת תכתובות ומסמכים שונים.</w:t>
      </w:r>
      <w:r w:rsidR="00B55829" w:rsidRPr="00043FE5">
        <w:rPr>
          <w:noProof/>
          <w:rtl/>
        </w:rPr>
        <w:t xml:space="preserve"> </w:t>
      </w:r>
      <w:r w:rsidR="00B55829" w:rsidRPr="008D6189">
        <w:rPr>
          <w:noProof/>
          <w:rtl/>
        </w:rPr>
        <w:t xml:space="preserve">משרד מבקר המדינה בחן נתונים פיננסיים בנוגע לכלל הרשויות האיתנות שהוכרזו ככאלה מאז שנת 2014 וגם כאלה שבוטלה הכרזתן. ביקורת עומק נעשתה בעיריות </w:t>
      </w:r>
      <w:r w:rsidR="00B55829" w:rsidRPr="00AB3387">
        <w:rPr>
          <w:b/>
          <w:bCs/>
          <w:noProof/>
          <w:rtl/>
        </w:rPr>
        <w:t>אשקלון</w:t>
      </w:r>
      <w:r w:rsidR="00B55829" w:rsidRPr="008D6189">
        <w:rPr>
          <w:noProof/>
          <w:rtl/>
        </w:rPr>
        <w:t xml:space="preserve">, </w:t>
      </w:r>
      <w:r w:rsidR="00B55829" w:rsidRPr="00AB3387">
        <w:rPr>
          <w:b/>
          <w:bCs/>
          <w:noProof/>
          <w:rtl/>
        </w:rPr>
        <w:t>חולון</w:t>
      </w:r>
      <w:r w:rsidR="00B55829" w:rsidRPr="008D6189">
        <w:rPr>
          <w:noProof/>
          <w:rtl/>
        </w:rPr>
        <w:t xml:space="preserve">, </w:t>
      </w:r>
      <w:r w:rsidR="00B55829" w:rsidRPr="00AB3387">
        <w:rPr>
          <w:b/>
          <w:bCs/>
          <w:noProof/>
          <w:rtl/>
        </w:rPr>
        <w:t>חיפה</w:t>
      </w:r>
      <w:r w:rsidR="00B55829" w:rsidRPr="008D6189">
        <w:rPr>
          <w:noProof/>
          <w:rtl/>
        </w:rPr>
        <w:t xml:space="preserve"> ו</w:t>
      </w:r>
      <w:r w:rsidR="00B55829" w:rsidRPr="00AB3387">
        <w:rPr>
          <w:b/>
          <w:bCs/>
          <w:noProof/>
          <w:rtl/>
        </w:rPr>
        <w:t>כפר סבא</w:t>
      </w:r>
      <w:r w:rsidR="00B55829" w:rsidRPr="008D6189">
        <w:rPr>
          <w:noProof/>
          <w:rtl/>
        </w:rPr>
        <w:t xml:space="preserve">, במועצה האזורית </w:t>
      </w:r>
      <w:r w:rsidR="00B55829" w:rsidRPr="00AB3387">
        <w:rPr>
          <w:b/>
          <w:bCs/>
          <w:noProof/>
          <w:rtl/>
        </w:rPr>
        <w:t>תמר</w:t>
      </w:r>
      <w:r w:rsidR="00B55829" w:rsidRPr="008D6189">
        <w:rPr>
          <w:noProof/>
          <w:rtl/>
        </w:rPr>
        <w:t xml:space="preserve"> ובמועצה המקומית </w:t>
      </w:r>
      <w:r w:rsidR="00B55829" w:rsidRPr="00AB3387">
        <w:rPr>
          <w:b/>
          <w:bCs/>
          <w:noProof/>
          <w:rtl/>
        </w:rPr>
        <w:t>אבן יהודה</w:t>
      </w:r>
      <w:r w:rsidR="00B55829" w:rsidRPr="008D6189">
        <w:rPr>
          <w:noProof/>
          <w:rtl/>
        </w:rPr>
        <w:t xml:space="preserve"> (להלן - הרשויות שבביקורת עומק), וכן במטה משרד הפנים ובארבעה ממחוזותיו: דרום, </w:t>
      </w:r>
      <w:r w:rsidR="00B55829" w:rsidRPr="00934038">
        <w:rPr>
          <w:noProof/>
          <w:rtl/>
        </w:rPr>
        <w:lastRenderedPageBreak/>
        <w:t>חיפה</w:t>
      </w:r>
      <w:r w:rsidR="00B55829" w:rsidRPr="008D6189">
        <w:rPr>
          <w:noProof/>
          <w:rtl/>
        </w:rPr>
        <w:t xml:space="preserve">, מרכז ותל אביב. ביקורת משלימה נעשתה בעיריות </w:t>
      </w:r>
      <w:r w:rsidR="00B55829" w:rsidRPr="00934038">
        <w:rPr>
          <w:b/>
          <w:bCs/>
          <w:noProof/>
          <w:rtl/>
        </w:rPr>
        <w:t>חדרה</w:t>
      </w:r>
      <w:r w:rsidR="00B55829" w:rsidRPr="008D6189">
        <w:rPr>
          <w:noProof/>
          <w:rtl/>
        </w:rPr>
        <w:t xml:space="preserve"> ו</w:t>
      </w:r>
      <w:r w:rsidR="00B55829" w:rsidRPr="00AB3387">
        <w:rPr>
          <w:b/>
          <w:bCs/>
          <w:noProof/>
          <w:rtl/>
        </w:rPr>
        <w:t>רעננה</w:t>
      </w:r>
      <w:r w:rsidR="00B55829" w:rsidRPr="008D6189">
        <w:rPr>
          <w:noProof/>
          <w:rtl/>
        </w:rPr>
        <w:t xml:space="preserve">, במועצה האזורית </w:t>
      </w:r>
      <w:r w:rsidR="00B55829" w:rsidRPr="00AB3387">
        <w:rPr>
          <w:b/>
          <w:bCs/>
          <w:noProof/>
          <w:rtl/>
        </w:rPr>
        <w:t>חוף השרון</w:t>
      </w:r>
      <w:r w:rsidR="00B55829" w:rsidRPr="008D6189">
        <w:rPr>
          <w:noProof/>
          <w:rtl/>
        </w:rPr>
        <w:t xml:space="preserve"> ובמועצות המקומיות </w:t>
      </w:r>
      <w:r w:rsidR="00B55829" w:rsidRPr="00AB3387">
        <w:rPr>
          <w:b/>
          <w:bCs/>
          <w:noProof/>
          <w:rtl/>
        </w:rPr>
        <w:t>ראש פינה</w:t>
      </w:r>
      <w:r w:rsidR="00B55829" w:rsidRPr="008D6189">
        <w:rPr>
          <w:noProof/>
          <w:rtl/>
        </w:rPr>
        <w:t xml:space="preserve">, </w:t>
      </w:r>
      <w:r w:rsidR="00B55829" w:rsidRPr="00AB3387">
        <w:rPr>
          <w:b/>
          <w:bCs/>
          <w:noProof/>
          <w:rtl/>
        </w:rPr>
        <w:t>אזור</w:t>
      </w:r>
      <w:r w:rsidR="00B55829" w:rsidRPr="008D6189">
        <w:rPr>
          <w:noProof/>
          <w:rtl/>
        </w:rPr>
        <w:t xml:space="preserve"> ו</w:t>
      </w:r>
      <w:r w:rsidR="00B55829" w:rsidRPr="00AB3387">
        <w:rPr>
          <w:b/>
          <w:bCs/>
          <w:noProof/>
          <w:rtl/>
        </w:rPr>
        <w:t>כפר שמריהו</w:t>
      </w:r>
      <w:r w:rsidR="00B55829" w:rsidRPr="008D6189">
        <w:rPr>
          <w:noProof/>
          <w:rtl/>
        </w:rPr>
        <w:t>.</w:t>
      </w:r>
      <w:r w:rsidR="00B55829" w:rsidRPr="00043FE5">
        <w:rPr>
          <w:noProof/>
          <w:rtl/>
        </w:rPr>
        <w:t xml:space="preserve"> </w:t>
      </w:r>
      <w:r w:rsidR="00B55829" w:rsidRPr="008D6189">
        <w:rPr>
          <w:noProof/>
          <w:rtl/>
        </w:rPr>
        <w:t>הרשויות שבביקורת עומק, נבחרו תוך מתן ביטוי למעמדן המוניציפלי; למחוז משרד הפנים שאליו הן משויכות; לאשכול החברתי-כלכלי שאליו הן משויכות; לאשכול הפריפריאליות שאליו הן משויכות; ולמספר התושבים המתגוררים בתחום שיפוטן</w:t>
      </w:r>
      <w:r>
        <w:rPr>
          <w:rFonts w:hint="cs"/>
          <w:rtl/>
        </w:rPr>
        <w:t>.</w:t>
      </w:r>
      <w:r w:rsidRPr="001F3363">
        <w:rPr>
          <w:rFonts w:hint="cs"/>
          <w:rtl/>
        </w:rPr>
        <w:t xml:space="preserve"> </w:t>
      </w:r>
    </w:p>
    <w:p w14:paraId="690F076D" w14:textId="0F5762F5" w:rsidR="002753C7" w:rsidRPr="00662020" w:rsidRDefault="002753C7" w:rsidP="002753C7">
      <w:pPr>
        <w:pStyle w:val="73fd"/>
        <w:rPr>
          <w:rtl/>
        </w:rPr>
      </w:pPr>
      <w:r w:rsidRPr="00662020">
        <w:rPr>
          <w:rFonts w:hint="cs"/>
          <w:rtl/>
        </w:rPr>
        <w:t>תמונת המצב העולה מן הביקורת</w:t>
      </w:r>
    </w:p>
    <w:p w14:paraId="0B2F822B" w14:textId="267C169D" w:rsidR="002753C7" w:rsidRPr="001F3363" w:rsidRDefault="00B55829" w:rsidP="00420374">
      <w:pPr>
        <w:pStyle w:val="73f7"/>
        <w:rPr>
          <w:rtl/>
        </w:rPr>
      </w:pPr>
      <w:r w:rsidRPr="00362C00">
        <w:rPr>
          <w:noProof/>
          <w:rtl/>
        </w:rPr>
        <w:drawing>
          <wp:anchor distT="0" distB="0" distL="114300" distR="114300" simplePos="0" relativeHeight="252391936" behindDoc="0" locked="0" layoutInCell="1" allowOverlap="1" wp14:anchorId="03EB0A10" wp14:editId="0ECC58AC">
            <wp:simplePos x="0" y="0"/>
            <wp:positionH relativeFrom="column">
              <wp:posOffset>2540000</wp:posOffset>
            </wp:positionH>
            <wp:positionV relativeFrom="paragraph">
              <wp:posOffset>34618</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14:paraId="18555822" w14:textId="7E005CAF" w:rsidR="00420374" w:rsidRPr="00303B4E" w:rsidRDefault="00DA022A" w:rsidP="00303B4E">
      <w:pPr>
        <w:pStyle w:val="73f7"/>
        <w:rPr>
          <w:rtl/>
        </w:rPr>
      </w:pPr>
      <w:r w:rsidRPr="00B55829">
        <w:rPr>
          <w:rStyle w:val="7371"/>
          <w:rFonts w:hint="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55829" w:rsidRPr="00B55829">
        <w:rPr>
          <w:rStyle w:val="7371"/>
          <w:rtl/>
        </w:rPr>
        <w:t>הכנסות עצמיות לתושב</w:t>
      </w:r>
      <w:r w:rsidR="00B55829" w:rsidRPr="008D6189">
        <w:rPr>
          <w:rtl/>
        </w:rPr>
        <w:t xml:space="preserve"> - ממוצע ההכנסות העצמיות לתושב בשנת 2019 ברשויות שהוכרזו כאיתנות היה גבוה ב-3,078 ש"ח (122%) מזה של רשויות שלא הוכרזו כאיתנות. רשויות שהוכרזו כאיתנות יכולות להשקיע שיעור גבוה יותר מתקציבן בשירותים עבור תושביהן לעומת רשויות אחרות</w:t>
      </w:r>
      <w:r w:rsidR="00420374" w:rsidRPr="00303B4E">
        <w:rPr>
          <w:rtl/>
        </w:rPr>
        <w:t>.</w:t>
      </w:r>
    </w:p>
    <w:p w14:paraId="1D22E15A" w14:textId="75987F37" w:rsidR="00420374" w:rsidRPr="0093709F" w:rsidRDefault="00DA022A" w:rsidP="00DA022A">
      <w:pPr>
        <w:pStyle w:val="7392"/>
        <w:ind w:left="424"/>
      </w:pPr>
      <w:r w:rsidRPr="00B02658">
        <w:rPr>
          <w:rFonts w:hint="cs"/>
          <w:b/>
          <w:bCs/>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55829" w:rsidRPr="00B55829">
        <w:rPr>
          <w:rStyle w:val="7371"/>
          <w:rtl/>
        </w:rPr>
        <w:t>הוצאה לתושב עבור שירותים מקומיים</w:t>
      </w:r>
      <w:r w:rsidR="00B55829" w:rsidRPr="008D6189">
        <w:rPr>
          <w:rtl/>
        </w:rPr>
        <w:t xml:space="preserve"> - בשנת 2019 ממוצע ההוצאה לתושב עבור שירותים מקומיים, כגון שירותי תברואה, שיפור פני העיר, פיקוח עירוני, תכנון עירוני, שמירה וביטחון - שירותים המשפיעים רבות על איכות חייהם של התושבים במרחב הפרטי והציבורי - היה 1,706 ש"ח ברשויות שהוכרזו כאיתנות - 556 ש"ח (48%) יותר מאשר ברשויות שלא הוכרזו כאיתנות (1,150 ש"ח)</w:t>
      </w:r>
      <w:r w:rsidR="00420374" w:rsidRPr="0093709F">
        <w:rPr>
          <w:rFonts w:hint="cs"/>
          <w:rtl/>
        </w:rPr>
        <w:t xml:space="preserve">. </w:t>
      </w:r>
    </w:p>
    <w:p w14:paraId="5E2BFABB" w14:textId="2778AF23" w:rsidR="00420374" w:rsidRPr="0093709F" w:rsidRDefault="00DA022A" w:rsidP="00DA022A">
      <w:pPr>
        <w:pStyle w:val="7392"/>
        <w:ind w:left="424"/>
        <w:rPr>
          <w:rtl/>
        </w:rPr>
      </w:pPr>
      <w:r w:rsidRPr="00B55829">
        <w:rPr>
          <w:rStyle w:val="7371"/>
          <w:rFonts w:hint="cs"/>
          <w:bCs w:val="0"/>
          <w:noProof/>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55829" w:rsidRPr="00B55829">
        <w:rPr>
          <w:rStyle w:val="7371"/>
          <w:rtl/>
        </w:rPr>
        <w:t>הליכי הכרזה וביטול הכרזה</w:t>
      </w:r>
      <w:r w:rsidR="00B55829" w:rsidRPr="008D6189">
        <w:rPr>
          <w:rtl/>
        </w:rPr>
        <w:t xml:space="preserve"> - משרד הפנים, המוסמך על פי החוק לקבל החלטות ולנהל את ההליכים הקשורים לבדיקה אם הרשויות המקומיות עומדות בתנאים להכרזה עליהן כרשויות איתנות, לא פעל לגבש נוהל סדור, כזה שיכלול לוחות זמנים ותחומי אחריות לניהול מנגנון ההכרזה. נוסף על כך, ההליכים לבחינת עמידתן של הרשויות המקומיות בתנאים להכרזה עליהן לא נוהלו באופן עקבי, סדור ושקוף. כך, מתוך תשע השנים שחלפו מאז נכנס לתוקף התיקון לפקודת העיריות, במרץ 2014, לא השלים משרד הפנים את הליכי הבחינה עד תומם בחמש שנים. עקב כך, רשויות המתנהלות באופן יעיל ותקין ועמדו בתבחינים בשנים שלא הושלם הליך הכרזה לא נהנו מביזור הסמכויות הנלווה למעמד האיתנות בתקופה זו; רשויות מקומיות שלא עמדו בתנאים ולא התנהלו באופן יעיל ותקין המשיכו לפעול תחת בקרה מופחתת אף שהדבר היה עלול לסכן את יציבותן</w:t>
      </w:r>
      <w:r w:rsidR="00420374" w:rsidRPr="0093709F">
        <w:rPr>
          <w:rFonts w:hint="cs"/>
          <w:rtl/>
        </w:rPr>
        <w:t>.</w:t>
      </w:r>
    </w:p>
    <w:p w14:paraId="583ECB3F" w14:textId="2149BC4C" w:rsidR="00420374" w:rsidRPr="0093709F" w:rsidRDefault="00DA022A" w:rsidP="00DA022A">
      <w:pPr>
        <w:pStyle w:val="7392"/>
        <w:ind w:left="424"/>
      </w:pPr>
      <w:r w:rsidRPr="00B55829">
        <w:rPr>
          <w:rStyle w:val="7371"/>
          <w:rFonts w:hint="cs"/>
          <w:bCs w:val="0"/>
          <w:noProof/>
          <w:rtl/>
        </w:rPr>
        <w:drawing>
          <wp:anchor distT="0" distB="720090" distL="114300" distR="114300" simplePos="0" relativeHeight="252400128" behindDoc="1" locked="0" layoutInCell="1" allowOverlap="1" wp14:anchorId="72E0EEBF" wp14:editId="29CAD24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55829" w:rsidRPr="00B55829">
        <w:rPr>
          <w:rStyle w:val="7371"/>
          <w:rtl/>
        </w:rPr>
        <w:t>תנאי הסף הפיננסיים ותבחיני הניהול התקין להכרזה על רשות מקומית כאיתנה</w:t>
      </w:r>
      <w:r w:rsidR="00B55829" w:rsidRPr="008D6189">
        <w:rPr>
          <w:rtl/>
        </w:rPr>
        <w:t xml:space="preserve"> - מהביקורת עלה כי מבין התנאים הפיננסיים שנקבעו כתנאים להכרה כרשות איתנה, יש תנאים שמרבית הרשויות המקומיות מתקשות לעמוד בהם, נכון לשנת 2019 (היעדר גירעון שוטף בשלוש השנים הקודמות [58%] ושיעור הכנסות עצמיות [77%]), ובהן גם רשויות שהוכרזו כאיתנות. מנגד, יש תנאי שמרבית הרשויות עומדות בו (שיעור גירעון מצטבר ויתרת אשראי [88%]) ותנאי שכמעט כל הרשויות עומדות בו (שיעור פירעון מלוות [99%]). כן נמצא תנאי פיננסי שהעמידה בו גוברת והולכת (שיעור גביית ארנונה מזערי גבוה מ-80%), ותנאי אחר, שהקושי לעמוד בו גובר והולך (שיעור הכנסות עצמיות מזערי של 62.5%). כמו כן נמצאו ליקויים בשימוש שעשה משרד הפנים בתבחיני </w:t>
      </w:r>
      <w:proofErr w:type="spellStart"/>
      <w:r w:rsidR="00B55829" w:rsidRPr="008D6189">
        <w:rPr>
          <w:rtl/>
        </w:rPr>
        <w:t>מינהל</w:t>
      </w:r>
      <w:proofErr w:type="spellEnd"/>
      <w:r w:rsidR="00B55829" w:rsidRPr="008D6189">
        <w:rPr>
          <w:rtl/>
        </w:rPr>
        <w:t xml:space="preserve"> תקין לצורך גיבוש חוות דעתו של המנכ"ל אם הרשות מנהלת את תקציבה או את ענייניה באורח לא תקין ושלא בהתאם להוראות הדין באופן שיש בו כדי למנוע את ההכרזה עליה כרשות </w:t>
      </w:r>
      <w:r w:rsidR="00B55829" w:rsidRPr="008D6189">
        <w:rPr>
          <w:rtl/>
        </w:rPr>
        <w:lastRenderedPageBreak/>
        <w:t xml:space="preserve">איתנה. עלה כי אי-עמידה של רשויות מקומיות בתבחיני </w:t>
      </w:r>
      <w:proofErr w:type="spellStart"/>
      <w:r w:rsidR="00B55829" w:rsidRPr="008D6189">
        <w:rPr>
          <w:rtl/>
        </w:rPr>
        <w:t>המינהל</w:t>
      </w:r>
      <w:proofErr w:type="spellEnd"/>
      <w:r w:rsidR="00B55829" w:rsidRPr="008D6189">
        <w:rPr>
          <w:rtl/>
        </w:rPr>
        <w:t xml:space="preserve"> התקין שקבע משרד הפנים לא הובילה לזימונים לשימועים או לביטולי הכרזות</w:t>
      </w:r>
      <w:r w:rsidR="00420374" w:rsidRPr="0093709F">
        <w:rPr>
          <w:rFonts w:hint="cs"/>
          <w:rtl/>
        </w:rPr>
        <w:t xml:space="preserve">. </w:t>
      </w:r>
    </w:p>
    <w:p w14:paraId="7C081EA1" w14:textId="7BA49AC5" w:rsidR="00420374" w:rsidRPr="0093709F" w:rsidRDefault="00DA022A" w:rsidP="00DA022A">
      <w:pPr>
        <w:pStyle w:val="7392"/>
        <w:ind w:left="424"/>
      </w:pPr>
      <w:r w:rsidRPr="00B55829">
        <w:rPr>
          <w:rStyle w:val="7371"/>
          <w:rFonts w:hint="cs"/>
          <w:bCs w:val="0"/>
          <w:noProof/>
          <w:rtl/>
        </w:rPr>
        <w:drawing>
          <wp:anchor distT="0" distB="720090" distL="114300" distR="114300" simplePos="0" relativeHeight="252402176" behindDoc="1" locked="0" layoutInCell="1" allowOverlap="1" wp14:anchorId="3C379D12" wp14:editId="244BBCFC">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55829" w:rsidRPr="00B55829">
        <w:rPr>
          <w:rStyle w:val="7371"/>
          <w:rtl/>
        </w:rPr>
        <w:t>אי-קבלת מענק איזון כתנאי סף למעמד האיתנות</w:t>
      </w:r>
      <w:r w:rsidR="00B55829" w:rsidRPr="008D6189">
        <w:rPr>
          <w:rtl/>
        </w:rPr>
        <w:t xml:space="preserve"> - תנאי מקדמי זה מנע מ-194 רשויות מקומיות (76%) שקיבלו מענק איזון בשנת 2019 לקבל מעמד איתנות, ומ-11 מהן נמנעה האפשרות להיות מוכרזות כאיתנות אף שהן זכו למענקי איזון בשיעור של עד 2% מהכנסותיהן - שיעור שאין בו כדי להצביע על התנהלות פיננסית שאינה תקינה או על תלות משמעותית בשלטון המרכזי</w:t>
      </w:r>
      <w:r w:rsidR="00420374" w:rsidRPr="0093709F">
        <w:rPr>
          <w:rFonts w:hint="cs"/>
          <w:rtl/>
        </w:rPr>
        <w:t xml:space="preserve">. </w:t>
      </w:r>
    </w:p>
    <w:p w14:paraId="5E8BF229" w14:textId="6D0A2A9F" w:rsidR="00420374" w:rsidRPr="0093709F" w:rsidRDefault="00DA022A" w:rsidP="00DA022A">
      <w:pPr>
        <w:pStyle w:val="7392"/>
        <w:ind w:left="424"/>
        <w:rPr>
          <w:rtl/>
        </w:rPr>
      </w:pPr>
      <w:r w:rsidRPr="00B55829">
        <w:rPr>
          <w:rStyle w:val="7371"/>
          <w:rFonts w:hint="cs"/>
          <w:bCs w:val="0"/>
          <w:noProof/>
          <w:rtl/>
        </w:rPr>
        <w:drawing>
          <wp:anchor distT="0" distB="720090" distL="114300" distR="114300" simplePos="0" relativeHeight="252404224" behindDoc="1" locked="0" layoutInCell="1" allowOverlap="1" wp14:anchorId="7736908F" wp14:editId="14CA1F00">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55829" w:rsidRPr="00B55829">
        <w:rPr>
          <w:rStyle w:val="7371"/>
          <w:rtl/>
        </w:rPr>
        <w:t>השפעת כללי חשבונאות על שיעור ההכנסות העצמיות</w:t>
      </w:r>
      <w:r w:rsidR="00B55829" w:rsidRPr="008D6189">
        <w:rPr>
          <w:rtl/>
        </w:rPr>
        <w:t xml:space="preserve"> - כללי החשבונאות החלים על הרשויות המקומיות אינם מאפשרים להשוות - לעניין שיעור ההכנסות העצמיות - בין רשויות מקומיות המפעילות שירותי פנאי באמצעות עמותה עירונית ובין רשויות המפעילות שירותים אלו בעצמן. נוסף על כך, בשל כללי החשבונאות החלים על הרשויות המקומיות, פעולת מחזור הלוואה שרשות מקומית מבצעת מקטינה את שיעור הכנסותיה העצמיות</w:t>
      </w:r>
      <w:r w:rsidR="00420374" w:rsidRPr="0093709F">
        <w:rPr>
          <w:rFonts w:hint="cs"/>
          <w:rtl/>
        </w:rPr>
        <w:t>.</w:t>
      </w:r>
    </w:p>
    <w:p w14:paraId="39D5E97C" w14:textId="6391D160" w:rsidR="00420374" w:rsidRDefault="00DA022A" w:rsidP="00DA022A">
      <w:pPr>
        <w:pStyle w:val="7392"/>
        <w:ind w:left="424"/>
        <w:rPr>
          <w:noProof/>
          <w:rtl/>
        </w:rPr>
      </w:pPr>
      <w:r w:rsidRPr="00B55829">
        <w:rPr>
          <w:rStyle w:val="7371"/>
          <w:rFonts w:hint="cs"/>
          <w:bCs w:val="0"/>
          <w:noProof/>
          <w:rtl/>
        </w:rPr>
        <w:drawing>
          <wp:anchor distT="0" distB="720090" distL="114300" distR="114300" simplePos="0" relativeHeight="252406272" behindDoc="1" locked="0" layoutInCell="1" allowOverlap="1" wp14:anchorId="7A322FA4" wp14:editId="3116C2BE">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B55829" w:rsidRPr="00B55829">
        <w:rPr>
          <w:rStyle w:val="7371"/>
          <w:rtl/>
        </w:rPr>
        <w:t>הבקרה על התנהלות הרשויות האיתנות</w:t>
      </w:r>
      <w:r w:rsidR="00B55829" w:rsidRPr="008D6189">
        <w:rPr>
          <w:rtl/>
        </w:rPr>
        <w:t xml:space="preserve"> - נמצא כי מאז שהחל משרד הפנים בביזור סמכויות לרשויות מקומיות שהוכרזו כאיתנות, אין מדיניות סדורה בכל הנוגע לבקרה על התנהלותן. נמצאו ליקויים בבקרה העצמית שביצעו שש הרשויות המקומיות שהוכרזו כאיתנות ונבדקו בביקורת עומק. כך, למעט בעיריית </w:t>
      </w:r>
      <w:r w:rsidR="00B55829" w:rsidRPr="00AB3387">
        <w:rPr>
          <w:b/>
          <w:bCs/>
          <w:rtl/>
        </w:rPr>
        <w:t>אשקלון</w:t>
      </w:r>
      <w:r w:rsidR="00B55829" w:rsidRPr="008D6189">
        <w:rPr>
          <w:rtl/>
        </w:rPr>
        <w:t xml:space="preserve">, נמצאו ליקויים במנגנון הביקורת הפנימית בעיריות </w:t>
      </w:r>
      <w:r w:rsidR="00B55829" w:rsidRPr="00AB3387">
        <w:rPr>
          <w:b/>
          <w:bCs/>
          <w:rtl/>
        </w:rPr>
        <w:t>חולון</w:t>
      </w:r>
      <w:r w:rsidR="00B55829" w:rsidRPr="008D6189">
        <w:rPr>
          <w:rtl/>
        </w:rPr>
        <w:t xml:space="preserve">, </w:t>
      </w:r>
      <w:r w:rsidR="00B55829" w:rsidRPr="00AB3387">
        <w:rPr>
          <w:b/>
          <w:bCs/>
          <w:rtl/>
        </w:rPr>
        <w:t>חיפה</w:t>
      </w:r>
      <w:r w:rsidR="00B55829" w:rsidRPr="008D6189">
        <w:rPr>
          <w:rtl/>
        </w:rPr>
        <w:t xml:space="preserve"> ו</w:t>
      </w:r>
      <w:r w:rsidR="00B55829" w:rsidRPr="00AB3387">
        <w:rPr>
          <w:b/>
          <w:bCs/>
          <w:rtl/>
        </w:rPr>
        <w:t>כפר סבא</w:t>
      </w:r>
      <w:r w:rsidR="00B55829" w:rsidRPr="008D6189">
        <w:rPr>
          <w:rtl/>
        </w:rPr>
        <w:t xml:space="preserve">, במועצה המקומית </w:t>
      </w:r>
      <w:r w:rsidR="00B55829" w:rsidRPr="00AB3387">
        <w:rPr>
          <w:b/>
          <w:bCs/>
          <w:rtl/>
        </w:rPr>
        <w:t>אבן יהודה</w:t>
      </w:r>
      <w:r w:rsidR="00B55829" w:rsidRPr="008D6189">
        <w:rPr>
          <w:rtl/>
        </w:rPr>
        <w:t xml:space="preserve"> ובמועצה האזורית </w:t>
      </w:r>
      <w:r w:rsidR="00B55829" w:rsidRPr="00AB3387">
        <w:rPr>
          <w:b/>
          <w:bCs/>
          <w:rtl/>
        </w:rPr>
        <w:t>תמר</w:t>
      </w:r>
      <w:r w:rsidR="00B55829" w:rsidRPr="008D6189">
        <w:rPr>
          <w:rtl/>
        </w:rPr>
        <w:t xml:space="preserve">. מתוך הרשויות הללו היו רשויות שמליאת המועצה שלהן לא אישרה את תקציבן במועד הקבוע בחוק בחלק מהשנים 2017 - 2019 (העיריות </w:t>
      </w:r>
      <w:r w:rsidR="00B55829" w:rsidRPr="003E0266">
        <w:rPr>
          <w:rtl/>
        </w:rPr>
        <w:t>חולון</w:t>
      </w:r>
      <w:r w:rsidR="00B55829" w:rsidRPr="008D6189">
        <w:rPr>
          <w:rtl/>
        </w:rPr>
        <w:t xml:space="preserve"> ו</w:t>
      </w:r>
      <w:r w:rsidR="00B55829" w:rsidRPr="003E0266">
        <w:rPr>
          <w:rtl/>
        </w:rPr>
        <w:t>חיפה</w:t>
      </w:r>
      <w:r w:rsidR="00B55829" w:rsidRPr="008D6189">
        <w:rPr>
          <w:rtl/>
        </w:rPr>
        <w:t xml:space="preserve"> בשנים 2017 ו-2019, עיריית </w:t>
      </w:r>
      <w:r w:rsidR="00B55829" w:rsidRPr="003E0266">
        <w:rPr>
          <w:rtl/>
        </w:rPr>
        <w:t>כפר סבא</w:t>
      </w:r>
      <w:r w:rsidR="00B55829" w:rsidRPr="008D6189">
        <w:rPr>
          <w:rtl/>
        </w:rPr>
        <w:t xml:space="preserve"> בשנים 2018 ו-2019 והמועצה המקומית </w:t>
      </w:r>
      <w:r w:rsidR="00B51F99">
        <w:rPr>
          <w:b/>
          <w:bCs/>
          <w:rtl/>
        </w:rPr>
        <w:br/>
      </w:r>
      <w:r w:rsidR="00B55829" w:rsidRPr="003E0266">
        <w:rPr>
          <w:rtl/>
        </w:rPr>
        <w:t>אבן יהודה</w:t>
      </w:r>
      <w:r w:rsidR="00B55829" w:rsidRPr="008D6189">
        <w:rPr>
          <w:rtl/>
        </w:rPr>
        <w:t xml:space="preserve"> בשנת 2019</w:t>
      </w:r>
      <w:r w:rsidR="00B55829">
        <w:rPr>
          <w:rFonts w:hint="cs"/>
          <w:rtl/>
        </w:rPr>
        <w:t>)</w:t>
      </w:r>
      <w:r w:rsidR="00420374" w:rsidRPr="0093709F">
        <w:rPr>
          <w:rFonts w:hint="cs"/>
          <w:rtl/>
        </w:rPr>
        <w:t xml:space="preserve">. </w:t>
      </w:r>
    </w:p>
    <w:p w14:paraId="7983A665" w14:textId="51B22013" w:rsidR="00B55829" w:rsidRDefault="00FA4CEF" w:rsidP="00B55829">
      <w:pPr>
        <w:pStyle w:val="73f7"/>
        <w:rPr>
          <w:rtl/>
        </w:rPr>
      </w:pPr>
      <w:r w:rsidRPr="00B55829">
        <w:rPr>
          <w:rStyle w:val="7371"/>
          <w:rFonts w:hint="cs"/>
          <w:noProof/>
          <w:rtl/>
        </w:rPr>
        <w:drawing>
          <wp:anchor distT="0" distB="0" distL="114300" distR="114300" simplePos="0" relativeHeight="252388864" behindDoc="0" locked="0" layoutInCell="1" allowOverlap="1" wp14:anchorId="387F57B2" wp14:editId="4A4667DA">
            <wp:simplePos x="0" y="0"/>
            <wp:positionH relativeFrom="column">
              <wp:posOffset>2488565</wp:posOffset>
            </wp:positionH>
            <wp:positionV relativeFrom="paragraph">
              <wp:posOffset>1496695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5">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B55829" w:rsidRPr="00B55829">
        <w:rPr>
          <w:rStyle w:val="7371"/>
          <w:rFonts w:hint="cs"/>
          <w:noProof/>
          <w:rtl/>
        </w:rPr>
        <w:drawing>
          <wp:anchor distT="0" distB="0" distL="71755" distR="0" simplePos="0" relativeHeight="252460544" behindDoc="1" locked="0" layoutInCell="1" allowOverlap="1" wp14:anchorId="11A19E15" wp14:editId="003A43D4">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028044801" name="תמונה 202804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55829" w:rsidRPr="00B55829">
        <w:rPr>
          <w:rStyle w:val="7371"/>
          <w:rtl/>
        </w:rPr>
        <w:t>השלכות מעמד האיתנות על הרשויות המקומיות</w:t>
      </w:r>
      <w:r w:rsidR="00B55829" w:rsidRPr="008D6189">
        <w:rPr>
          <w:rtl/>
        </w:rPr>
        <w:t xml:space="preserve"> - מהביקורת עלה כי הרשויות המקומיות עושות רק שימוש חלקי בהקלות שהן זוכות להן בדרישות האסדרה מצד משרד הפנים, הקלות שנועדו להגביר את עצמאותן בניהול ענייניהן ולעודד רשויות מקומיות להתנהל באופן תקין כדי ליהנות מביזור סמכויות. ייתכן כי שימוש חלקי זה מושפע, בין השאר, ממאפייניה של כל רשות ומצרכיה. מהביקורת עלה עוד שההכרזה על רשויות מקומיות כאיתנות מונעת מהן לזכות במענקים מהקרן לצמצום פערים, ומהרשויות האיתנות הסמוכות לנתב"ג - גם חלוקת כספים נוספת, והדבר עלול להשפיע על מידת המוטיבציה שלהן לעמוד בתנאים ובתבחינים הנדרשים כדי להיות מוכרזות כאיתנות</w:t>
      </w:r>
      <w:r w:rsidR="00B55829" w:rsidRPr="00303B4E">
        <w:rPr>
          <w:rtl/>
        </w:rPr>
        <w:t>.</w:t>
      </w:r>
    </w:p>
    <w:p w14:paraId="4A9F3764" w14:textId="76E887E4" w:rsidR="00420374" w:rsidRPr="00CA4EB1" w:rsidRDefault="00B55829" w:rsidP="00B55829">
      <w:pPr>
        <w:pStyle w:val="73f7"/>
        <w:spacing w:before="360"/>
        <w:rPr>
          <w:rtl/>
        </w:rPr>
      </w:pPr>
      <w:r w:rsidRPr="00B55829">
        <w:rPr>
          <w:rStyle w:val="7371"/>
          <w:rtl/>
        </w:rPr>
        <w:t>כלי בקרה</w:t>
      </w:r>
      <w:r w:rsidRPr="008D6189">
        <w:rPr>
          <w:rtl/>
        </w:rPr>
        <w:t xml:space="preserve"> - מחוזות דרום, </w:t>
      </w:r>
      <w:r w:rsidRPr="00B51F99">
        <w:rPr>
          <w:rtl/>
        </w:rPr>
        <w:t>חיפה</w:t>
      </w:r>
      <w:r w:rsidRPr="008D6189">
        <w:rPr>
          <w:rtl/>
        </w:rPr>
        <w:t>, מרכז ותל אביב במשרד הפנים פיתחו כלים עצמאיים למעקב אחר התנהלות הרשויות בתחומם שהוכרזו כאיתנות</w:t>
      </w:r>
      <w:r w:rsidR="00420374" w:rsidRPr="00CA4EB1">
        <w:rPr>
          <w:rFonts w:hint="cs"/>
          <w:rtl/>
        </w:rPr>
        <w:t>.</w:t>
      </w:r>
    </w:p>
    <w:p w14:paraId="1E8FF4A6" w14:textId="43852BC2" w:rsidR="00AD1000" w:rsidRPr="00CA4EB1" w:rsidRDefault="00B55829" w:rsidP="00CA4EB1">
      <w:pPr>
        <w:pStyle w:val="73f7"/>
        <w:rPr>
          <w:rtl/>
        </w:rPr>
      </w:pPr>
      <w:r w:rsidRPr="00B55829">
        <w:rPr>
          <w:rStyle w:val="7371"/>
          <w:rtl/>
        </w:rPr>
        <w:t>דיון בתקציב הרגיל</w:t>
      </w:r>
      <w:r w:rsidRPr="008D6189">
        <w:rPr>
          <w:rtl/>
        </w:rPr>
        <w:t xml:space="preserve"> - העיריות </w:t>
      </w:r>
      <w:r w:rsidRPr="00AB3387">
        <w:rPr>
          <w:b/>
          <w:bCs/>
          <w:rtl/>
        </w:rPr>
        <w:t>חולון</w:t>
      </w:r>
      <w:r w:rsidRPr="008D6189">
        <w:rPr>
          <w:rtl/>
        </w:rPr>
        <w:t xml:space="preserve">, </w:t>
      </w:r>
      <w:r w:rsidRPr="00AB3387">
        <w:rPr>
          <w:b/>
          <w:bCs/>
          <w:rtl/>
        </w:rPr>
        <w:t>חיפה</w:t>
      </w:r>
      <w:r w:rsidRPr="008D6189">
        <w:rPr>
          <w:rtl/>
        </w:rPr>
        <w:t xml:space="preserve"> ו</w:t>
      </w:r>
      <w:r w:rsidRPr="00AB3387">
        <w:rPr>
          <w:b/>
          <w:bCs/>
          <w:rtl/>
        </w:rPr>
        <w:t>כפר סבא</w:t>
      </w:r>
      <w:r w:rsidRPr="008D6189">
        <w:rPr>
          <w:rtl/>
        </w:rPr>
        <w:t xml:space="preserve"> דנו בתקציביהן באופן שוטף בשנים 2017 - 2019</w:t>
      </w:r>
      <w:r>
        <w:rPr>
          <w:rFonts w:hint="cs"/>
          <w:rtl/>
        </w:rPr>
        <w:t>.</w:t>
      </w:r>
    </w:p>
    <w:p w14:paraId="7C748CCB" w14:textId="7A75E04D" w:rsidR="002753C7" w:rsidRPr="00662020" w:rsidRDefault="002753C7" w:rsidP="002753C7">
      <w:pPr>
        <w:pStyle w:val="73fd"/>
        <w:spacing w:before="480"/>
        <w:rPr>
          <w:rtl/>
        </w:rPr>
      </w:pPr>
      <w:r w:rsidRPr="00662020">
        <w:rPr>
          <w:rFonts w:hint="cs"/>
          <w:rtl/>
        </w:rPr>
        <w:lastRenderedPageBreak/>
        <w:t>עיקרי המלצות הביקורת</w:t>
      </w:r>
    </w:p>
    <w:p w14:paraId="0466320B" w14:textId="7BFDD583" w:rsidR="0093709F" w:rsidRPr="00486EB5" w:rsidRDefault="0072357A" w:rsidP="007C7D40">
      <w:pPr>
        <w:pStyle w:val="73f7"/>
        <w:rPr>
          <w:spacing w:val="-2"/>
        </w:rPr>
      </w:pPr>
      <w:r w:rsidRPr="00486EB5">
        <w:rPr>
          <w:rFonts w:hint="cs"/>
          <w:noProof/>
          <w:spacing w:val="-2"/>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486EB5" w:rsidRPr="00486EB5">
        <w:rPr>
          <w:spacing w:val="-2"/>
          <w:rtl/>
        </w:rPr>
        <w:t>מומלץ למשרד הפנים לפעול להסדרת הליכי בחינת הנתונים וקבלת ההחלטות בהליכי הכרזה וביטול הכרזה על רשויות איתנות, בתוך קביעת תחומי אחריות ולוחות זמנים ברורים. בין השאר מומלץ לקבוע שהתהליך יתחיל מדי שנה בשנה עם פרסום הדוחות המבוקרים ויסתיים בפרסום רשימת רשויות איתנות עדכנית בתוך פרק זמן סביר, שבו הממצאים שנאספו יהיו עדכניים וישקפו נאמנה את מצבן של הרשויות. עוד מומלץ שמשרד הפנים יפעל להגברת השקיפות ויפרסם את החלטותיו בשימועים לרשויות איתנות ואת הנימוקים להן. התנהלות שקופה שתחשוף לפני כול את התנאים שעל פיהם רשות מקומית יכולה לזכות במעמד האיתנות, יכולה להגדיל את מספר הרשויות המקומיות שיוכרזו כאיתנות ויכולה להגביר את ההתנהלות התקינה בקרב כלל הרשויות המקומיות, ובהתאמה גם את הביזוריות</w:t>
      </w:r>
      <w:r w:rsidR="005D0F8C" w:rsidRPr="00486EB5">
        <w:rPr>
          <w:rFonts w:hint="cs"/>
          <w:spacing w:val="-2"/>
          <w:rtl/>
        </w:rPr>
        <w:t xml:space="preserve">. </w:t>
      </w:r>
    </w:p>
    <w:p w14:paraId="6C626C68" w14:textId="28F90EEB"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486EB5" w:rsidRPr="007463EE">
        <w:rPr>
          <w:rtl/>
        </w:rPr>
        <w:t xml:space="preserve">מומלץ למשרד הפנים לבחון את תנאי הסף הפיננסיים ואת היכולת לשקף באופן מיטבי את איתנותן הפיננסית של הרשויות כדי שהמעמד יוענק לכלל הרשויות הראויות לו. כמו כן, מומלץ למשרד הפנים לשקול להוסיף תבחינים לבחינת </w:t>
      </w:r>
      <w:proofErr w:type="spellStart"/>
      <w:r w:rsidR="00486EB5" w:rsidRPr="007463EE">
        <w:rPr>
          <w:rtl/>
        </w:rPr>
        <w:t>המינהל</w:t>
      </w:r>
      <w:proofErr w:type="spellEnd"/>
      <w:r w:rsidR="00486EB5" w:rsidRPr="007463EE">
        <w:rPr>
          <w:rtl/>
        </w:rPr>
        <w:t xml:space="preserve"> התקין של הרשויות, וכך לתמרץ את הרשויות לשפר ככל האפשר את</w:t>
      </w:r>
      <w:r w:rsidR="00A1015B">
        <w:rPr>
          <w:rFonts w:hint="cs"/>
          <w:rtl/>
        </w:rPr>
        <w:t xml:space="preserve"> תהליכי העבודה</w:t>
      </w:r>
      <w:r w:rsidR="00486EB5" w:rsidRPr="007463EE">
        <w:rPr>
          <w:rtl/>
        </w:rPr>
        <w:t xml:space="preserve"> </w:t>
      </w:r>
      <w:r w:rsidR="00934038">
        <w:rPr>
          <w:rFonts w:hint="cs"/>
          <w:rtl/>
        </w:rPr>
        <w:t>ו</w:t>
      </w:r>
      <w:r w:rsidR="00486EB5" w:rsidRPr="007463EE">
        <w:rPr>
          <w:rtl/>
        </w:rPr>
        <w:t>התנהלות המנגנונים הפנימיים שלהן</w:t>
      </w:r>
      <w:r w:rsidR="005D0F8C" w:rsidRPr="007C7D40">
        <w:rPr>
          <w:rtl/>
        </w:rPr>
        <w:t xml:space="preserve">. </w:t>
      </w:r>
    </w:p>
    <w:p w14:paraId="16E5BFEE" w14:textId="61544798"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486EB5" w:rsidRPr="007463EE">
        <w:rPr>
          <w:rtl/>
        </w:rPr>
        <w:t>מומלץ למשרד הפנים לבחון את האפשרות לתקן את תנאי הסף בדבר מענק איזון - כך שלא תישלל מרשויות הזכאיות למענק איזון בשיעורים נמוכים ביחס להכנסותיהן, האפשרות להיות מוכרזות כאיתנות</w:t>
      </w:r>
      <w:r w:rsidR="005D0F8C" w:rsidRPr="007C7D40">
        <w:rPr>
          <w:rFonts w:hint="cs"/>
          <w:rtl/>
        </w:rPr>
        <w:t>.</w:t>
      </w:r>
    </w:p>
    <w:p w14:paraId="3F6A2BE4" w14:textId="53D6B3B1" w:rsidR="00706096" w:rsidRPr="007C7D40" w:rsidRDefault="0072357A" w:rsidP="007C7D40">
      <w:pPr>
        <w:pStyle w:val="73f7"/>
        <w:rPr>
          <w:rtl/>
        </w:rPr>
      </w:pPr>
      <w:r w:rsidRPr="007C7D40">
        <w:rPr>
          <w:rFonts w:hint="cs"/>
          <w:noProof/>
          <w:rtl/>
        </w:rPr>
        <w:drawing>
          <wp:anchor distT="0" distB="1440180" distL="107950" distR="114300" simplePos="0" relativeHeight="252416512" behindDoc="1" locked="0" layoutInCell="1" allowOverlap="1" wp14:anchorId="1073A94E" wp14:editId="65FBADED">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486EB5" w:rsidRPr="007463EE">
        <w:rPr>
          <w:rtl/>
        </w:rPr>
        <w:t xml:space="preserve">מומלץ למשרד הפנים לבחון את כללי החשבונאות החלים על הרשויות המקומיות כדי לאפשר שימוש אחיד ושוויוני במדד שיעור ההכנסות העצמיות ולהביאו לשקף באופן מהימן את איתנותן של הרשויות המקומיות. לחלופין </w:t>
      </w:r>
      <w:r w:rsidR="00934038">
        <w:rPr>
          <w:rFonts w:hint="cs"/>
          <w:rtl/>
        </w:rPr>
        <w:t>מ</w:t>
      </w:r>
      <w:r w:rsidR="00486EB5" w:rsidRPr="007463EE">
        <w:rPr>
          <w:rtl/>
        </w:rPr>
        <w:t>וצע לפרסם התאמות במבחני הזכאות למעמד רשות מקומית איתנה אשר ינטרלו את הפערים הנובעים מכללי החשבונאות</w:t>
      </w:r>
      <w:r w:rsidR="00706096" w:rsidRPr="007C7D40">
        <w:rPr>
          <w:rFonts w:hint="cs"/>
          <w:rtl/>
        </w:rPr>
        <w:t>.</w:t>
      </w:r>
    </w:p>
    <w:p w14:paraId="36B4D251" w14:textId="7C91DF8F" w:rsidR="00706096" w:rsidRPr="007C7D40" w:rsidRDefault="0072357A" w:rsidP="007C7D40">
      <w:pPr>
        <w:pStyle w:val="73f7"/>
      </w:pPr>
      <w:r w:rsidRPr="007C7D40">
        <w:rPr>
          <w:rFonts w:hint="cs"/>
          <w:noProof/>
          <w:rtl/>
        </w:rPr>
        <w:drawing>
          <wp:anchor distT="0" distB="1440180" distL="107950" distR="114300" simplePos="0" relativeHeight="252418560" behindDoc="1" locked="0" layoutInCell="1" allowOverlap="1" wp14:anchorId="188088D1" wp14:editId="5D809F5B">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486EB5" w:rsidRPr="007463EE">
        <w:rPr>
          <w:rtl/>
        </w:rPr>
        <w:t xml:space="preserve">מומלץ למשרד הפנים לפעול להסדרת הליכי הבקרה על הרשויות שהוכרזו כאיתנות ולכלול באיסוף המידע והנתונים </w:t>
      </w:r>
      <w:r w:rsidR="00934038">
        <w:rPr>
          <w:rFonts w:hint="cs"/>
          <w:rtl/>
        </w:rPr>
        <w:t>שאמור לה</w:t>
      </w:r>
      <w:r w:rsidR="00486EB5" w:rsidRPr="007463EE">
        <w:rPr>
          <w:rtl/>
        </w:rPr>
        <w:t>תקיים מדי שנה בשנה כחלק מתהליכי הכרזה על רשויות כאיתנות וביטול הכרזה את נתוני הבקרות שייערכו במחוזות. כן הוצע למשרד הפנים להתחשב בחוות הדעת של הממונים על המחוזות</w:t>
      </w:r>
      <w:r w:rsidR="00706096" w:rsidRPr="007C7D40">
        <w:rPr>
          <w:rFonts w:hint="cs"/>
          <w:rtl/>
        </w:rPr>
        <w:t>.</w:t>
      </w:r>
    </w:p>
    <w:p w14:paraId="30F30DD7" w14:textId="7131573E" w:rsidR="00706096" w:rsidRDefault="0072357A" w:rsidP="007C7D40">
      <w:pPr>
        <w:pStyle w:val="73f7"/>
        <w:rPr>
          <w:rtl/>
        </w:rPr>
      </w:pPr>
      <w:r w:rsidRPr="007C7D40">
        <w:rPr>
          <w:rFonts w:hint="cs"/>
          <w:noProof/>
          <w:rtl/>
        </w:rPr>
        <w:drawing>
          <wp:anchor distT="0" distB="1440180" distL="107950" distR="114300" simplePos="0" relativeHeight="252420608" behindDoc="1" locked="0" layoutInCell="1" allowOverlap="1" wp14:anchorId="663354A2" wp14:editId="15C741B3">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486EB5" w:rsidRPr="007463EE">
        <w:rPr>
          <w:rtl/>
        </w:rPr>
        <w:t xml:space="preserve">מומלץ לעיריות </w:t>
      </w:r>
      <w:r w:rsidR="00486EB5" w:rsidRPr="00AB3387">
        <w:rPr>
          <w:b/>
          <w:bCs/>
          <w:rtl/>
        </w:rPr>
        <w:t>חולון</w:t>
      </w:r>
      <w:r w:rsidR="00486EB5" w:rsidRPr="007463EE">
        <w:rPr>
          <w:rtl/>
        </w:rPr>
        <w:t xml:space="preserve">, </w:t>
      </w:r>
      <w:r w:rsidR="00486EB5" w:rsidRPr="00AB3387">
        <w:rPr>
          <w:b/>
          <w:bCs/>
          <w:rtl/>
        </w:rPr>
        <w:t>חיפה</w:t>
      </w:r>
      <w:r w:rsidR="00486EB5" w:rsidRPr="007463EE">
        <w:rPr>
          <w:rtl/>
        </w:rPr>
        <w:t xml:space="preserve"> ו</w:t>
      </w:r>
      <w:r w:rsidR="00486EB5" w:rsidRPr="00AB3387">
        <w:rPr>
          <w:b/>
          <w:bCs/>
          <w:rtl/>
        </w:rPr>
        <w:t>כפר סבא</w:t>
      </w:r>
      <w:r w:rsidR="00486EB5" w:rsidRPr="007463EE">
        <w:rPr>
          <w:rtl/>
        </w:rPr>
        <w:t xml:space="preserve"> והמועצה המקומית </w:t>
      </w:r>
      <w:r w:rsidR="00486EB5" w:rsidRPr="00AB3387">
        <w:rPr>
          <w:b/>
          <w:bCs/>
          <w:rtl/>
        </w:rPr>
        <w:t>אבן יהודה</w:t>
      </w:r>
      <w:r w:rsidR="00486EB5" w:rsidRPr="007463EE">
        <w:rPr>
          <w:rtl/>
        </w:rPr>
        <w:t xml:space="preserve"> להקפיד לאשר את תקציב הרשות המקומית במועצת הרשות עד תחילת שנת הכספים, בהתאם להוראות הדין הנוגעות לעניין זה</w:t>
      </w:r>
      <w:r w:rsidR="00706096" w:rsidRPr="008E57FE">
        <w:rPr>
          <w:rFonts w:hint="cs"/>
          <w:rtl/>
        </w:rPr>
        <w:t>.</w:t>
      </w:r>
    </w:p>
    <w:p w14:paraId="6C33BE0F" w14:textId="6B580C41" w:rsidR="00486EB5" w:rsidRPr="00486EB5" w:rsidRDefault="00486EB5" w:rsidP="00486EB5">
      <w:pPr>
        <w:pStyle w:val="73f7"/>
        <w:rPr>
          <w:spacing w:val="-2"/>
          <w:rtl/>
        </w:rPr>
      </w:pPr>
      <w:r w:rsidRPr="00486EB5">
        <w:rPr>
          <w:rFonts w:hint="cs"/>
          <w:noProof/>
          <w:spacing w:val="-2"/>
          <w:rtl/>
        </w:rPr>
        <w:drawing>
          <wp:anchor distT="0" distB="1440180" distL="107950" distR="114300" simplePos="0" relativeHeight="252462592" behindDoc="1" locked="0" layoutInCell="1" allowOverlap="1" wp14:anchorId="180F285B" wp14:editId="188BFBE9">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527266145" name="תמונה 152726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86EB5">
        <w:rPr>
          <w:spacing w:val="-2"/>
          <w:rtl/>
        </w:rPr>
        <w:t xml:space="preserve">מומלץ למשרד הפנים לבחון אם יש </w:t>
      </w:r>
      <w:r w:rsidR="00934038" w:rsidRPr="00934038">
        <w:rPr>
          <w:spacing w:val="-2"/>
          <w:rtl/>
        </w:rPr>
        <w:t>בביזור הסמכויות</w:t>
      </w:r>
      <w:r w:rsidR="00934038">
        <w:rPr>
          <w:rFonts w:hint="cs"/>
          <w:spacing w:val="-2"/>
          <w:rtl/>
        </w:rPr>
        <w:t xml:space="preserve"> </w:t>
      </w:r>
      <w:r w:rsidRPr="00486EB5">
        <w:rPr>
          <w:spacing w:val="-2"/>
          <w:rtl/>
        </w:rPr>
        <w:t>כדי לעודד רשויות מקומיות להתנהל בצורה תקינה כדי לזכות ב</w:t>
      </w:r>
      <w:r w:rsidR="00934038">
        <w:rPr>
          <w:rFonts w:hint="cs"/>
          <w:spacing w:val="-2"/>
          <w:rtl/>
        </w:rPr>
        <w:t>סמכויות</w:t>
      </w:r>
      <w:r w:rsidRPr="00486EB5">
        <w:rPr>
          <w:spacing w:val="-2"/>
          <w:rtl/>
        </w:rPr>
        <w:t xml:space="preserve"> האמורות ואם יש מקום להרחיב את ביזור הסמכויות הניתנות לרשויות המקומיות המוכרזות כאיתנות בתוך ניהול בקרה סדורה על התנהלותן בתחומים המבוזרים. כמו כן, מומלץ למשרד הפנים ולמשרד האוצר לבחון את השלכות מדיניות חלוקת הקרן לצמצום פערים והתקציב המיועד לרשויות הסמוכות לנתב"ג ואת השפעתה על מידת המוטיבציה של רשויות מקומיות לעמוד בתנאים ובתבחינים הנדרשים כדי להיות מוכרזות כאיתנות. כן הוצע לבדוק את הקשר בין איתנות הרשויות המקומיות ובין </w:t>
      </w:r>
      <w:r w:rsidRPr="00486EB5">
        <w:rPr>
          <w:spacing w:val="-2"/>
          <w:rtl/>
        </w:rPr>
        <w:lastRenderedPageBreak/>
        <w:t>הרציונל העומד מאחורי חלוקת כספים זו. לבדיקה האמורה חשיבות יתרה כיוון שהרשות המקומית אינה סוברנית להחליט אם היא מקבלת את מעמד האיתנות או דוחה אותו</w:t>
      </w:r>
      <w:r w:rsidRPr="00486EB5">
        <w:rPr>
          <w:rFonts w:hint="cs"/>
          <w:spacing w:val="-2"/>
          <w:rtl/>
        </w:rPr>
        <w:t>.</w:t>
      </w:r>
    </w:p>
    <w:p w14:paraId="377E6FE3" w14:textId="522B8B2D" w:rsidR="004E71DD" w:rsidRDefault="00486EB5" w:rsidP="005D0F8C">
      <w:pPr>
        <w:pStyle w:val="73f7"/>
        <w:rPr>
          <w:rtl/>
        </w:rPr>
      </w:pPr>
      <w:r w:rsidRPr="00D527BD">
        <w:rPr>
          <w:noProof/>
          <w:szCs w:val="20"/>
          <w:rtl/>
        </w:rPr>
        <mc:AlternateContent>
          <mc:Choice Requires="wps">
            <w:drawing>
              <wp:anchor distT="0" distB="0" distL="114300" distR="114300" simplePos="0" relativeHeight="252192256" behindDoc="0" locked="0" layoutInCell="1" allowOverlap="1" wp14:anchorId="03F075C7" wp14:editId="017B3377">
                <wp:simplePos x="0" y="0"/>
                <wp:positionH relativeFrom="column">
                  <wp:posOffset>86360</wp:posOffset>
                </wp:positionH>
                <wp:positionV relativeFrom="paragraph">
                  <wp:posOffset>206375</wp:posOffset>
                </wp:positionV>
                <wp:extent cx="4436745" cy="434975"/>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14:paraId="1D5D7976" w14:textId="3852FFC5" w:rsidR="005D0F8C" w:rsidRPr="005C7ABF" w:rsidRDefault="00486EB5" w:rsidP="00662020">
                            <w:pPr>
                              <w:spacing w:line="240" w:lineRule="auto"/>
                              <w:ind w:right="113"/>
                              <w:suppressOverlap/>
                              <w:jc w:val="left"/>
                              <w:rPr>
                                <w:rFonts w:ascii="Tahoma" w:hAnsi="Tahoma" w:cs="Tahoma"/>
                                <w:b/>
                                <w:bCs/>
                                <w:color w:val="FFFFFF" w:themeColor="background1"/>
                                <w:spacing w:val="-4"/>
                                <w:sz w:val="22"/>
                                <w:szCs w:val="22"/>
                                <w:rtl/>
                              </w:rPr>
                            </w:pPr>
                            <w:r w:rsidRPr="00486EB5">
                              <w:rPr>
                                <w:rFonts w:ascii="Tahoma" w:hAnsi="Tahoma" w:cs="Tahoma"/>
                                <w:b/>
                                <w:bCs/>
                                <w:color w:val="FFFFFF" w:themeColor="background1"/>
                                <w:spacing w:val="-4"/>
                                <w:sz w:val="22"/>
                                <w:szCs w:val="22"/>
                                <w:rtl/>
                              </w:rPr>
                              <w:t>מאפיינים עיקריים של הרשויות המקומיות שהוכרזו כאיתנות, 2021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27" type="#_x0000_t202" style="position:absolute;left:0;text-align:left;margin-left:6.8pt;margin-top:16.25pt;width:349.35pt;height:34.25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" fillcolor="#f05260" stroked="f">
                <v:textbox>
                  <w:txbxContent>
                    <w:p w14:paraId="1D5D7976" w14:textId="3852FFC5" w:rsidR="005D0F8C" w:rsidRPr="005C7ABF" w:rsidRDefault="00486EB5" w:rsidP="00662020">
                      <w:pPr>
                        <w:spacing w:line="240" w:lineRule="auto"/>
                        <w:ind w:right="113"/>
                        <w:suppressOverlap/>
                        <w:jc w:val="left"/>
                        <w:rPr>
                          <w:rFonts w:ascii="Tahoma" w:hAnsi="Tahoma" w:cs="Tahoma"/>
                          <w:b/>
                          <w:bCs/>
                          <w:color w:val="FFFFFF" w:themeColor="background1"/>
                          <w:spacing w:val="-4"/>
                          <w:sz w:val="22"/>
                          <w:szCs w:val="22"/>
                          <w:rtl/>
                        </w:rPr>
                      </w:pPr>
                      <w:r w:rsidRPr="00486EB5">
                        <w:rPr>
                          <w:rFonts w:ascii="Tahoma" w:hAnsi="Tahoma" w:cs="Tahoma"/>
                          <w:b/>
                          <w:bCs/>
                          <w:color w:val="FFFFFF" w:themeColor="background1"/>
                          <w:spacing w:val="-4"/>
                          <w:sz w:val="22"/>
                          <w:szCs w:val="22"/>
                          <w:rtl/>
                        </w:rPr>
                        <w:t>מאפיינים עיקריים של הרשויות המקומיות שהוכרזו כאיתנות, 2021</w:t>
                      </w:r>
                    </w:p>
                  </w:txbxContent>
                </v:textbox>
              </v:shape>
            </w:pict>
          </mc:Fallback>
        </mc:AlternateContent>
      </w:r>
      <w:r w:rsidRPr="00D527BD">
        <w:rPr>
          <w:noProof/>
          <w:szCs w:val="20"/>
          <w:rtl/>
        </w:rPr>
        <w:drawing>
          <wp:anchor distT="0" distB="0" distL="114300" distR="114300" simplePos="0" relativeHeight="252191232" behindDoc="0" locked="0" layoutInCell="1" allowOverlap="1" wp14:anchorId="29327287" wp14:editId="1113427D">
            <wp:simplePos x="0" y="0"/>
            <wp:positionH relativeFrom="column">
              <wp:posOffset>-107950</wp:posOffset>
            </wp:positionH>
            <wp:positionV relativeFrom="paragraph">
              <wp:posOffset>111903</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p>
    <w:p w14:paraId="6DC28C4F" w14:textId="76EC0E3D" w:rsidR="005D0F8C" w:rsidRDefault="005D0F8C" w:rsidP="004E71DD">
      <w:pPr>
        <w:tabs>
          <w:tab w:val="right" w:pos="7370"/>
        </w:tabs>
        <w:bidi w:val="0"/>
        <w:spacing w:after="200" w:line="276" w:lineRule="auto"/>
        <w:rPr>
          <w:rtl/>
        </w:rPr>
      </w:pPr>
      <w:r>
        <w:rPr>
          <w:rtl/>
        </w:rPr>
        <w:t xml:space="preserve"> </w:t>
      </w:r>
    </w:p>
    <w:p w14:paraId="5B8DB107" w14:textId="20FFFE4E" w:rsidR="005D0F8C" w:rsidRDefault="005D0F8C" w:rsidP="005D0F8C">
      <w:pPr>
        <w:pStyle w:val="73f7"/>
        <w:rPr>
          <w:rtl/>
        </w:rPr>
      </w:pPr>
    </w:p>
    <w:p w14:paraId="70881590" w14:textId="73220EC1" w:rsidR="000B31AA" w:rsidRPr="00486EB5" w:rsidRDefault="00486EB5" w:rsidP="00B36B66">
      <w:pPr>
        <w:spacing w:before="240"/>
        <w:ind w:left="227"/>
        <w:jc w:val="center"/>
      </w:pPr>
      <w:r>
        <w:rPr>
          <w:noProof/>
          <w:rtl/>
          <w:lang w:val="he-IL"/>
        </w:rPr>
        <w:drawing>
          <wp:inline distT="0" distB="0" distL="0" distR="0" wp14:anchorId="387DCE54" wp14:editId="49815E9A">
            <wp:extent cx="4009804" cy="5762056"/>
            <wp:effectExtent l="0" t="0" r="3810" b="3810"/>
            <wp:docPr id="18024628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62897" name="תמונה 1"/>
                    <pic:cNvPicPr/>
                  </pic:nvPicPr>
                  <pic:blipFill rotWithShape="1">
                    <a:blip r:embed="rId28">
                      <a:extLst>
                        <a:ext uri="{28A0092B-C50C-407E-A947-70E740481C1C}">
                          <a14:useLocalDpi xmlns:a14="http://schemas.microsoft.com/office/drawing/2010/main" val="0"/>
                        </a:ext>
                      </a:extLst>
                    </a:blip>
                    <a:srcRect l="6366" t="9116" r="3883"/>
                    <a:stretch/>
                  </pic:blipFill>
                  <pic:spPr bwMode="auto">
                    <a:xfrm>
                      <a:off x="0" y="0"/>
                      <a:ext cx="4026798" cy="5786476"/>
                    </a:xfrm>
                    <a:prstGeom prst="rect">
                      <a:avLst/>
                    </a:prstGeom>
                    <a:ln>
                      <a:noFill/>
                    </a:ln>
                    <a:extLst>
                      <a:ext uri="{53640926-AAD7-44D8-BBD7-CCE9431645EC}">
                        <a14:shadowObscured xmlns:a14="http://schemas.microsoft.com/office/drawing/2010/main"/>
                      </a:ext>
                    </a:extLst>
                  </pic:spPr>
                </pic:pic>
              </a:graphicData>
            </a:graphic>
          </wp:inline>
        </w:drawing>
      </w:r>
    </w:p>
    <w:p w14:paraId="0260407C" w14:textId="6341939A" w:rsidR="00486EB5" w:rsidRDefault="00486EB5" w:rsidP="00486EB5">
      <w:pPr>
        <w:spacing w:before="120"/>
        <w:jc w:val="right"/>
        <w:rPr>
          <w:rtl/>
        </w:rPr>
      </w:pPr>
      <w:r w:rsidRPr="00DC1D24">
        <w:rPr>
          <w:noProof/>
          <w:rtl/>
        </w:rPr>
        <w:lastRenderedPageBreak/>
        <mc:AlternateContent>
          <mc:Choice Requires="wpg">
            <w:drawing>
              <wp:anchor distT="0" distB="0" distL="114300" distR="114300" simplePos="0" relativeHeight="252349952" behindDoc="0" locked="0" layoutInCell="1" allowOverlap="1" wp14:anchorId="7F689661" wp14:editId="2725DBBB">
                <wp:simplePos x="0" y="0"/>
                <wp:positionH relativeFrom="margin">
                  <wp:posOffset>-61595</wp:posOffset>
                </wp:positionH>
                <wp:positionV relativeFrom="paragraph">
                  <wp:posOffset>1905</wp:posOffset>
                </wp:positionV>
                <wp:extent cx="4824730" cy="767080"/>
                <wp:effectExtent l="0" t="0" r="0" b="0"/>
                <wp:wrapSquare wrapText="bothSides"/>
                <wp:docPr id="1113575890" name="Group 2052770959"/>
                <wp:cNvGraphicFramePr/>
                <a:graphic xmlns:a="http://schemas.openxmlformats.org/drawingml/2006/main">
                  <a:graphicData uri="http://schemas.microsoft.com/office/word/2010/wordprocessingGroup">
                    <wpg:wgp>
                      <wpg:cNvGrpSpPr/>
                      <wpg:grpSpPr>
                        <a:xfrm>
                          <a:off x="0" y="0"/>
                          <a:ext cx="4824730" cy="767080"/>
                          <a:chOff x="0" y="181533"/>
                          <a:chExt cx="4787900" cy="614829"/>
                        </a:xfrm>
                      </wpg:grpSpPr>
                      <pic:pic xmlns:pic="http://schemas.openxmlformats.org/drawingml/2006/picture">
                        <pic:nvPicPr>
                          <pic:cNvPr id="1113575891" name="Picture 23"/>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wps:cNvPr id="1113575892" name="Text Box 2"/>
                        <wps:cNvSpPr txBox="1">
                          <a:spLocks noChangeArrowheads="1"/>
                        </wps:cNvSpPr>
                        <wps:spPr bwMode="auto">
                          <a:xfrm>
                            <a:off x="202806" y="231043"/>
                            <a:ext cx="4428490" cy="399692"/>
                          </a:xfrm>
                          <a:prstGeom prst="rect">
                            <a:avLst/>
                          </a:prstGeom>
                          <a:solidFill>
                            <a:srgbClr val="F05260"/>
                          </a:solidFill>
                          <a:ln w="9525">
                            <a:noFill/>
                            <a:miter lim="800000"/>
                            <a:headEnd/>
                            <a:tailEnd/>
                          </a:ln>
                        </wps:spPr>
                        <wps:txbx>
                          <w:txbxContent>
                            <w:p w14:paraId="64B50804" w14:textId="77D4BBF3" w:rsidR="000B31AA" w:rsidRPr="00361C09" w:rsidRDefault="00486EB5" w:rsidP="00361C09">
                              <w:pPr>
                                <w:spacing w:before="60" w:after="60" w:line="240" w:lineRule="auto"/>
                                <w:ind w:right="113"/>
                                <w:jc w:val="left"/>
                                <w:rPr>
                                  <w:b/>
                                  <w:bCs/>
                                </w:rPr>
                              </w:pPr>
                              <w:r w:rsidRPr="00486EB5">
                                <w:rPr>
                                  <w:rFonts w:ascii="Tahoma" w:hAnsi="Tahoma" w:cs="Tahoma"/>
                                  <w:b/>
                                  <w:bCs/>
                                  <w:color w:val="FFFFFF" w:themeColor="background1"/>
                                  <w:spacing w:val="-4"/>
                                  <w:sz w:val="22"/>
                                  <w:szCs w:val="22"/>
                                  <w:rtl/>
                                </w:rPr>
                                <w:t>ממוצע ההכנסות העצמיות לתושב, לפי סוגי ההכנסות ברשויות שהוכרזו כאיתנות וברשויות שלא הוכרזו כאיתנות, 2019</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689661" id="Group 2052770959" o:spid="_x0000_s1028" style="position:absolute;margin-left:-4.85pt;margin-top:.15pt;width:379.9pt;height:60.4pt;z-index:252349952;mso-position-horizontal-relative:margin;mso-width-relative:margin;mso-height-relative:margin" coordorigin=",1815" coordsize="47879,61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top:1815;width:47879;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">
                  <v:imagedata r:id="rId29" o:title=""/>
                </v:shape>
                <v:shape id="_x0000_s1030" type="#_x0000_t202" style="position:absolute;left:2028;top:2310;width:44284;height:39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" fillcolor="#f05260" stroked="f">
                  <v:textbox>
                    <w:txbxContent>
                      <w:p w14:paraId="64B50804" w14:textId="77D4BBF3" w:rsidR="000B31AA" w:rsidRPr="00361C09" w:rsidRDefault="00486EB5" w:rsidP="00361C09">
                        <w:pPr>
                          <w:spacing w:before="60" w:after="60" w:line="240" w:lineRule="auto"/>
                          <w:ind w:right="113"/>
                          <w:jc w:val="left"/>
                          <w:rPr>
                            <w:b/>
                            <w:bCs/>
                          </w:rPr>
                        </w:pPr>
                        <w:r w:rsidRPr="00486EB5">
                          <w:rPr>
                            <w:rFonts w:ascii="Tahoma" w:hAnsi="Tahoma" w:cs="Tahoma"/>
                            <w:b/>
                            <w:bCs/>
                            <w:color w:val="FFFFFF" w:themeColor="background1"/>
                            <w:spacing w:val="-4"/>
                            <w:sz w:val="22"/>
                            <w:szCs w:val="22"/>
                            <w:rtl/>
                          </w:rPr>
                          <w:t>ממוצע ההכנסות העצמיות לתושב, לפי סוגי ההכנסות ברשויות שהוכרזו כאיתנות וברשויות שלא הוכרזו כאיתנות, 2019</w:t>
                        </w:r>
                      </w:p>
                    </w:txbxContent>
                  </v:textbox>
                </v:shape>
                <w10:wrap type="square" anchorx="margin"/>
              </v:group>
            </w:pict>
          </mc:Fallback>
        </mc:AlternateContent>
      </w:r>
      <w:r>
        <w:rPr>
          <w:noProof/>
          <w:rtl/>
          <w:lang w:val="he-IL"/>
        </w:rPr>
        <w:drawing>
          <wp:inline distT="0" distB="0" distL="0" distR="0" wp14:anchorId="41E01F69" wp14:editId="035AC5BD">
            <wp:extent cx="4684661" cy="3533366"/>
            <wp:effectExtent l="0" t="0" r="1905" b="0"/>
            <wp:docPr id="788637102"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37102" name="תמונה 2" descr="תמונה שמכילה טקסט, צילום מסך, עיצוב&#10;&#10;התיאור נוצר באופן אוטומטי"/>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87602" cy="3535584"/>
                    </a:xfrm>
                    <a:prstGeom prst="rect">
                      <a:avLst/>
                    </a:prstGeom>
                  </pic:spPr>
                </pic:pic>
              </a:graphicData>
            </a:graphic>
          </wp:inline>
        </w:drawing>
      </w:r>
    </w:p>
    <w:p w14:paraId="5C1AE375" w14:textId="0BD76E58" w:rsidR="000B31AA" w:rsidRPr="00486EB5" w:rsidRDefault="00486EB5" w:rsidP="00486EB5">
      <w:pPr>
        <w:pStyle w:val="73e"/>
        <w:rPr>
          <w:rtl/>
        </w:rPr>
      </w:pPr>
      <w:r w:rsidRPr="00486EB5">
        <w:rPr>
          <w:rtl/>
        </w:rPr>
        <w:t>על פי דוחות כספיים מבוקרים של הרשויות המקומיות לשנת 2019, בעיבוד משרד מבקר המדינה.</w:t>
      </w:r>
    </w:p>
    <w:p w14:paraId="7757BE7E" w14:textId="61C755C3" w:rsidR="004E71DD" w:rsidRPr="00486EB5" w:rsidRDefault="004E71DD" w:rsidP="00486EB5">
      <w:pPr>
        <w:rPr>
          <w:rtl/>
        </w:rPr>
      </w:pPr>
      <w:r>
        <w:rPr>
          <w:rtl/>
        </w:rPr>
        <w:br w:type="page"/>
      </w:r>
    </w:p>
    <w:p w14:paraId="45C98E5F" w14:textId="77777777" w:rsidR="00486EB5" w:rsidRDefault="00486EB5" w:rsidP="00486EB5">
      <w:pPr>
        <w:bidi w:val="0"/>
        <w:spacing w:after="200" w:line="276" w:lineRule="auto"/>
        <w:rPr>
          <w:rFonts w:ascii="Tahoma" w:hAnsi="Tahoma" w:cs="Tahoma"/>
          <w:color w:val="0D0D0D" w:themeColor="text1" w:themeTint="F2"/>
          <w:sz w:val="18"/>
          <w:szCs w:val="18"/>
          <w:rtl/>
        </w:rPr>
      </w:pPr>
    </w:p>
    <w:p w14:paraId="1D24973A" w14:textId="77777777" w:rsidR="00486EB5" w:rsidRDefault="00486EB5" w:rsidP="00486EB5">
      <w:pPr>
        <w:bidi w:val="0"/>
        <w:spacing w:after="200" w:line="276" w:lineRule="auto"/>
        <w:rPr>
          <w:rFonts w:ascii="Tahoma" w:hAnsi="Tahoma" w:cs="Tahoma"/>
          <w:color w:val="0D0D0D" w:themeColor="text1" w:themeTint="F2"/>
          <w:sz w:val="18"/>
          <w:szCs w:val="18"/>
          <w:rtl/>
        </w:rPr>
      </w:pPr>
    </w:p>
    <w:p w14:paraId="7C33D7DD" w14:textId="77777777" w:rsidR="004E71DD" w:rsidRDefault="004E71DD" w:rsidP="004E71DD">
      <w:pPr>
        <w:pStyle w:val="732"/>
        <w:rPr>
          <w:rtl/>
        </w:rPr>
      </w:pPr>
      <w:r w:rsidRPr="00EF3061">
        <w:rPr>
          <w:rFonts w:hint="cs"/>
          <w:rtl/>
        </w:rPr>
        <w:t>סיכום</w:t>
      </w:r>
    </w:p>
    <w:p w14:paraId="79AC3D56" w14:textId="77777777" w:rsidR="00486EB5" w:rsidRPr="007463EE" w:rsidRDefault="00486EB5" w:rsidP="00486EB5">
      <w:pPr>
        <w:widowControl w:val="0"/>
        <w:tabs>
          <w:tab w:val="left" w:pos="9604"/>
        </w:tabs>
        <w:spacing w:before="240" w:line="276" w:lineRule="auto"/>
        <w:ind w:left="-1"/>
        <w:rPr>
          <w:rFonts w:ascii="Tahoma" w:hAnsi="Tahoma" w:cs="Tahoma"/>
          <w:sz w:val="18"/>
          <w:szCs w:val="18"/>
          <w:rtl/>
        </w:rPr>
      </w:pPr>
      <w:r w:rsidRPr="007463EE">
        <w:rPr>
          <w:rFonts w:ascii="Tahoma" w:hAnsi="Tahoma" w:cs="Tahoma"/>
          <w:sz w:val="18"/>
          <w:szCs w:val="18"/>
          <w:rtl/>
        </w:rPr>
        <w:t xml:space="preserve">תיקון פקודת העיריות בשנת 2014 היה נקודת מפנה ביחסי שלטון מקומי ושלטון מרכזי בישראל לאחר שהניח אבן יסוד בתהליך ביזור מוסדר של סמכויות שהיו נתונות עד אז למשרד הפנים, והעבירן לידי רשויות מקומיות שניהלו את ענייניהן הכספיים </w:t>
      </w:r>
      <w:proofErr w:type="spellStart"/>
      <w:r w:rsidRPr="007463EE">
        <w:rPr>
          <w:rFonts w:ascii="Tahoma" w:hAnsi="Tahoma" w:cs="Tahoma"/>
          <w:sz w:val="18"/>
          <w:szCs w:val="18"/>
          <w:rtl/>
        </w:rPr>
        <w:t>והמינהליים</w:t>
      </w:r>
      <w:proofErr w:type="spellEnd"/>
      <w:r w:rsidRPr="007463EE">
        <w:rPr>
          <w:rFonts w:ascii="Tahoma" w:hAnsi="Tahoma" w:cs="Tahoma"/>
          <w:sz w:val="18"/>
          <w:szCs w:val="18"/>
          <w:rtl/>
        </w:rPr>
        <w:t xml:space="preserve"> באורח תקין. אלו הוכרזו "רשויות איתנות", ונכון למועד הביקורת נמנות עם קבוצה זו 36 רשויות שמאכלסות 3.12 מיליון תושבים (33.7% מתושבי המדינה), ורובן מתאפיינות בהכנסות עצמיות גבוהות לתושב.</w:t>
      </w:r>
    </w:p>
    <w:p w14:paraId="57A1960C" w14:textId="0F6591BD" w:rsidR="00486EB5" w:rsidRPr="007463EE" w:rsidRDefault="00486EB5" w:rsidP="00486EB5">
      <w:pPr>
        <w:widowControl w:val="0"/>
        <w:tabs>
          <w:tab w:val="left" w:pos="9604"/>
        </w:tabs>
        <w:spacing w:before="240" w:line="276" w:lineRule="auto"/>
        <w:ind w:left="-1"/>
        <w:rPr>
          <w:rFonts w:ascii="Tahoma" w:hAnsi="Tahoma" w:cs="Tahoma"/>
          <w:sz w:val="18"/>
          <w:szCs w:val="18"/>
          <w:rtl/>
        </w:rPr>
      </w:pPr>
      <w:r w:rsidRPr="007463EE">
        <w:rPr>
          <w:rFonts w:ascii="Tahoma" w:hAnsi="Tahoma" w:cs="Tahoma"/>
          <w:sz w:val="18"/>
          <w:szCs w:val="18"/>
          <w:rtl/>
        </w:rPr>
        <w:t xml:space="preserve">נמצא כי משרד הפנים לא פעל לגבש נוהל סדור שיכלול לוחות זמנים ותחומי אחריות לניהול מנגנון ההכרזה על רשויות מקומיות כרשויות איתנות; מתוך תשע השנים שחלפו מאז נכנס לתוקף התיקון לפקודת העיריות, לא השלים משרד הפנים את הליכי הבחינה עד תומם בחמש שנים. בחינת תנאי הסף הפיננסיים הנדרשים לצורך ההכרזה העלתה כי יש תנאים פיננסיים שנקבעו כתנאים להכרה כרשות איתנה, אך מרבית הרשויות המקומיות מתקשות לעמוד בהם, והתנאי המרכזי שבהם הוא שיעור ההכנסות העצמיות. הביקורת העלתה ליקויים בשימוש שעשה משרד הפנים בתבחיני </w:t>
      </w:r>
      <w:proofErr w:type="spellStart"/>
      <w:r w:rsidRPr="007463EE">
        <w:rPr>
          <w:rFonts w:ascii="Tahoma" w:hAnsi="Tahoma" w:cs="Tahoma"/>
          <w:sz w:val="18"/>
          <w:szCs w:val="18"/>
          <w:rtl/>
        </w:rPr>
        <w:t>מינהל</w:t>
      </w:r>
      <w:proofErr w:type="spellEnd"/>
      <w:r w:rsidRPr="007463EE">
        <w:rPr>
          <w:rFonts w:ascii="Tahoma" w:hAnsi="Tahoma" w:cs="Tahoma"/>
          <w:sz w:val="18"/>
          <w:szCs w:val="18"/>
          <w:rtl/>
        </w:rPr>
        <w:t xml:space="preserve"> תקין לצורך גיבוש חוות דעתו של מנכ"ל</w:t>
      </w:r>
      <w:r w:rsidR="00934038">
        <w:rPr>
          <w:rFonts w:ascii="Tahoma" w:hAnsi="Tahoma" w:cs="Tahoma" w:hint="cs"/>
          <w:sz w:val="18"/>
          <w:szCs w:val="18"/>
          <w:rtl/>
        </w:rPr>
        <w:t xml:space="preserve"> המשרד</w:t>
      </w:r>
      <w:r w:rsidRPr="007463EE">
        <w:rPr>
          <w:rFonts w:ascii="Tahoma" w:hAnsi="Tahoma" w:cs="Tahoma"/>
          <w:sz w:val="18"/>
          <w:szCs w:val="18"/>
          <w:rtl/>
        </w:rPr>
        <w:t xml:space="preserve"> טרם ההכרזה. נוסף על כך נמצאו ליקויים בבקרה העצמית ברשויות שנבדקו בביקורת עומק בתחומי מנגנון הביקורת הפנימית ואישור התקציב הרגיל. עוד עלה בביקורת כי הרשויות עושות שימוש חלקי בלבד בהקלות שהן זוכות להן בדרישות האסדרה מצד משרד הפנים. שימוש זה מושפע, בין השאר, ממאפייניה של כל רשות ומצרכיה. כן עלה כי ההכרזה על רשויות מקומיות כאיתנות מונעת מהן לזכות במענקים ממשלתיים מסוימים, והדבר עלול להשפיע על מידת המוטיבציה שלהן לעמוד בתנאים ובתבחינים הנדרשים כדי להיות מוכרזות כאיתנות.</w:t>
      </w:r>
    </w:p>
    <w:p w14:paraId="23F478AB" w14:textId="77777777" w:rsidR="00486EB5" w:rsidRPr="007463EE" w:rsidRDefault="00486EB5" w:rsidP="00486EB5">
      <w:pPr>
        <w:widowControl w:val="0"/>
        <w:tabs>
          <w:tab w:val="left" w:pos="9604"/>
        </w:tabs>
        <w:spacing w:before="240" w:line="276" w:lineRule="auto"/>
        <w:ind w:left="-1"/>
        <w:rPr>
          <w:rFonts w:ascii="Tahoma" w:hAnsi="Tahoma" w:cs="Tahoma"/>
          <w:sz w:val="18"/>
          <w:szCs w:val="18"/>
          <w:rtl/>
        </w:rPr>
      </w:pPr>
      <w:r w:rsidRPr="007463EE">
        <w:rPr>
          <w:rFonts w:ascii="Tahoma" w:hAnsi="Tahoma" w:cs="Tahoma"/>
          <w:sz w:val="18"/>
          <w:szCs w:val="18"/>
          <w:rtl/>
        </w:rPr>
        <w:t>מומלץ כי משרד הפנים יפעל לתיקון הליקויים ולבחינת ההמלצות האמורות בפעולותיו לביזור סמכויות לרשויות מקומיות - הן בתהליך קבלת ההחלטות בנוגע לרשויות שלהן יבוזרו הסמכויות הן בהפעלת מנגנון עקבי ושקוף, הכולל תשתית מוסדרת לבקרה על הסמכויות המבוזרות. כמו כן, על הרשויות המקומיות שנמצאו ליקויים בהתנהלותן בדוח זה לפעול לתקנם.</w:t>
      </w:r>
    </w:p>
    <w:p w14:paraId="74C60C1D" w14:textId="77777777" w:rsidR="00486EB5" w:rsidRPr="007463EE" w:rsidRDefault="00486EB5" w:rsidP="00486EB5">
      <w:pPr>
        <w:widowControl w:val="0"/>
        <w:tabs>
          <w:tab w:val="left" w:pos="9604"/>
        </w:tabs>
        <w:spacing w:before="240" w:line="276" w:lineRule="auto"/>
        <w:ind w:left="-1"/>
        <w:rPr>
          <w:rFonts w:ascii="Tahoma" w:hAnsi="Tahoma" w:cs="Tahoma"/>
          <w:sz w:val="18"/>
          <w:szCs w:val="18"/>
          <w:rtl/>
        </w:rPr>
      </w:pPr>
    </w:p>
    <w:p w14:paraId="1B37DAFD" w14:textId="77777777" w:rsidR="00E56721" w:rsidRDefault="00E56721" w:rsidP="004E71DD">
      <w:pPr>
        <w:widowControl w:val="0"/>
        <w:tabs>
          <w:tab w:val="left" w:pos="9604"/>
        </w:tabs>
        <w:spacing w:before="240" w:line="276" w:lineRule="auto"/>
        <w:ind w:left="-1"/>
        <w:rPr>
          <w:rFonts w:ascii="Tahoma" w:hAnsi="Tahoma" w:cs="Tahoma"/>
          <w:sz w:val="18"/>
          <w:szCs w:val="18"/>
          <w:rtl/>
        </w:rPr>
        <w:sectPr w:rsidR="00E56721" w:rsidSect="00B47710">
          <w:headerReference w:type="even" r:id="rId31"/>
          <w:footerReference w:type="even" r:id="rId32"/>
          <w:pgSz w:w="11906" w:h="16838" w:code="9"/>
          <w:pgMar w:top="3062" w:right="2268" w:bottom="2552" w:left="2268" w:header="1134" w:footer="1361" w:gutter="0"/>
          <w:pgNumType w:start="115"/>
          <w:cols w:space="708"/>
          <w:bidi/>
          <w:rtlGutter/>
          <w:docGrid w:linePitch="360"/>
        </w:sectPr>
      </w:pPr>
    </w:p>
    <w:p w14:paraId="4E9E45BD" w14:textId="1C5563E4" w:rsidR="005B2BF5" w:rsidRDefault="005B2BF5" w:rsidP="00674E46">
      <w:pPr>
        <w:pStyle w:val="7310"/>
        <w:bidi/>
        <w:rPr>
          <w:rtl/>
        </w:rPr>
      </w:pPr>
    </w:p>
    <w:sectPr w:rsidR="005B2BF5" w:rsidSect="00F35B8C">
      <w:headerReference w:type="default" r:id="rId33"/>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9A1A" w14:textId="77777777" w:rsidR="00ED3A0B" w:rsidRDefault="00ED3A0B">
      <w:pPr>
        <w:spacing w:line="240" w:lineRule="auto"/>
      </w:pPr>
      <w:r>
        <w:separator/>
      </w:r>
    </w:p>
    <w:p w14:paraId="74259B54" w14:textId="77777777" w:rsidR="00ED3A0B" w:rsidRDefault="00ED3A0B"/>
    <w:p w14:paraId="61C4D515" w14:textId="77777777" w:rsidR="00ED3A0B" w:rsidRDefault="00ED3A0B"/>
    <w:p w14:paraId="572F724D" w14:textId="77777777" w:rsidR="00ED3A0B" w:rsidRDefault="00ED3A0B"/>
  </w:endnote>
  <w:endnote w:type="continuationSeparator" w:id="0">
    <w:p w14:paraId="1B3E5513" w14:textId="77777777" w:rsidR="00ED3A0B" w:rsidRDefault="00ED3A0B">
      <w:pPr>
        <w:spacing w:line="240" w:lineRule="auto"/>
      </w:pPr>
      <w:r>
        <w:continuationSeparator/>
      </w:r>
    </w:p>
    <w:p w14:paraId="41526E34" w14:textId="77777777" w:rsidR="00ED3A0B" w:rsidRDefault="00ED3A0B"/>
    <w:p w14:paraId="125A927E" w14:textId="77777777" w:rsidR="00ED3A0B" w:rsidRDefault="00ED3A0B"/>
    <w:p w14:paraId="37B297D5" w14:textId="77777777" w:rsidR="00ED3A0B" w:rsidRDefault="00ED3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78A0" w14:textId="77777777" w:rsidR="003B6CE3" w:rsidRDefault="003B6CE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7"/>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7"/>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2DE6" w14:textId="77777777" w:rsidR="003B6CE3" w:rsidRDefault="003B6CE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7"/>
      <w:spacing w:after="120" w:line="312" w:lineRule="auto"/>
      <w:ind w:left="-510"/>
      <w:jc w:val="left"/>
      <w:rPr>
        <w:rFonts w:ascii="Tahoma" w:hAnsi="Tahoma" w:cs="Tahoma"/>
        <w:sz w:val="18"/>
        <w:szCs w:val="18"/>
        <w:rtl/>
      </w:rPr>
    </w:pPr>
  </w:p>
  <w:p w14:paraId="4838AE27" w14:textId="77777777" w:rsidR="004E71DD" w:rsidRDefault="004E71DD" w:rsidP="004E71DD">
    <w:pPr>
      <w:pStyle w:val="a7"/>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7"/>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2A5B" w14:textId="77777777" w:rsidR="00ED3A0B" w:rsidRDefault="00ED3A0B" w:rsidP="00E7235E">
      <w:pPr>
        <w:spacing w:line="240" w:lineRule="auto"/>
      </w:pPr>
      <w:r>
        <w:separator/>
      </w:r>
    </w:p>
  </w:footnote>
  <w:footnote w:type="continuationSeparator" w:id="0">
    <w:p w14:paraId="47DF6F30" w14:textId="77777777" w:rsidR="00ED3A0B" w:rsidRDefault="00ED3A0B" w:rsidP="00C23CC9">
      <w:pPr>
        <w:spacing w:line="240" w:lineRule="auto"/>
      </w:pPr>
      <w:r>
        <w:continuationSeparator/>
      </w:r>
    </w:p>
    <w:p w14:paraId="61B95296" w14:textId="77777777" w:rsidR="00ED3A0B" w:rsidRDefault="00ED3A0B"/>
    <w:p w14:paraId="1DA22FA4" w14:textId="77777777" w:rsidR="00ED3A0B" w:rsidRDefault="00ED3A0B"/>
    <w:p w14:paraId="720A76AC" w14:textId="77777777" w:rsidR="00ED3A0B" w:rsidRDefault="00ED3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6"/>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6"/>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1"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2"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6AB4D726" w:rsidR="00F73EE0" w:rsidRPr="009B7D1B" w:rsidRDefault="00F73EE0" w:rsidP="0060519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605190" w:rsidRPr="00605190">
                            <w:rPr>
                              <w:rFonts w:ascii="Tahoma" w:hAnsi="Tahoma" w:cs="Tahoma"/>
                              <w:b/>
                              <w:bCs/>
                              <w:rtl/>
                            </w:rPr>
                            <w:t>ביקורת פיננסית ברשויות מקומיות איתנות</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3"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6AB4D726" w:rsidR="00F73EE0" w:rsidRPr="009B7D1B" w:rsidRDefault="00F73EE0" w:rsidP="0060519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605190" w:rsidRPr="00605190">
                      <w:rPr>
                        <w:rFonts w:ascii="Tahoma" w:hAnsi="Tahoma" w:cs="Tahoma"/>
                        <w:b/>
                        <w:bCs/>
                        <w:rtl/>
                      </w:rPr>
                      <w:t>ביקורת פיננסית ברשויות מקומיות איתנות</w:t>
                    </w:r>
                  </w:p>
                </w:txbxContent>
              </v:textbox>
              <w10:wrap type="square"/>
            </v:shape>
          </w:pict>
        </mc:Fallback>
      </mc:AlternateContent>
    </w:r>
  </w:p>
  <w:p w14:paraId="18DE0C7A" w14:textId="26DB997D" w:rsidR="00F73EE0" w:rsidRDefault="00F73EE0" w:rsidP="001526AC">
    <w:pPr>
      <w:pStyle w:val="a6"/>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4"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6"/>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5"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6"/>
      <w:ind w:firstLine="720"/>
      <w:rPr>
        <w:rtl/>
      </w:rPr>
    </w:pPr>
  </w:p>
  <w:p w14:paraId="09A29170" w14:textId="077B7887" w:rsidR="00F73EE0" w:rsidRDefault="00F73EE0">
    <w:pPr>
      <w:pStyle w:val="a6"/>
      <w:rPr>
        <w:rtl/>
      </w:rPr>
    </w:pPr>
  </w:p>
  <w:p w14:paraId="1CB0A19A" w14:textId="7E7CB891" w:rsidR="00F73EE0" w:rsidRDefault="00F73EE0">
    <w:pPr>
      <w:pStyle w:val="a6"/>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6"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6"/>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6"/>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37"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6"/>
      <w:ind w:firstLine="720"/>
      <w:rPr>
        <w:rtl/>
      </w:rPr>
    </w:pPr>
  </w:p>
  <w:p w14:paraId="78DBB37C" w14:textId="77777777" w:rsidR="004E71DD" w:rsidRDefault="004E71DD" w:rsidP="004E71DD">
    <w:pPr>
      <w:pStyle w:val="a6"/>
      <w:rPr>
        <w:rtl/>
      </w:rPr>
    </w:pPr>
  </w:p>
  <w:p w14:paraId="1F8198CE" w14:textId="77777777" w:rsidR="004E71DD" w:rsidRDefault="004E71DD" w:rsidP="004E71DD">
    <w:pPr>
      <w:pStyle w:val="a6"/>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457445B9" w:rsidR="004E71DD" w:rsidRPr="003D62C4" w:rsidRDefault="00605190" w:rsidP="004E71DD">
                          <w:pPr>
                            <w:pStyle w:val="1"/>
                            <w:spacing w:line="269" w:lineRule="auto"/>
                            <w:jc w:val="left"/>
                            <w:rPr>
                              <w:rFonts w:ascii="Tahoma" w:eastAsiaTheme="minorHAnsi" w:hAnsi="Tahoma" w:cs="Tahoma"/>
                              <w:bCs w:val="0"/>
                              <w:color w:val="0D0D0D" w:themeColor="text1" w:themeTint="F2"/>
                              <w:sz w:val="16"/>
                              <w:szCs w:val="16"/>
                              <w:u w:val="none"/>
                            </w:rPr>
                          </w:pPr>
                          <w:r w:rsidRPr="00605190">
                            <w:rPr>
                              <w:rFonts w:ascii="Tahoma" w:eastAsiaTheme="minorHAnsi" w:hAnsi="Tahoma" w:cs="Tahoma"/>
                              <w:bCs w:val="0"/>
                              <w:color w:val="0D0D0D" w:themeColor="text1" w:themeTint="F2"/>
                              <w:sz w:val="16"/>
                              <w:szCs w:val="16"/>
                              <w:u w:val="none"/>
                              <w:rtl/>
                            </w:rPr>
                            <w:t>ביקורת פיננסית ברשויות מקומיות איתנות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60F5406" id="_x0000_s1038"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457445B9" w:rsidR="004E71DD" w:rsidRPr="003D62C4" w:rsidRDefault="00605190" w:rsidP="004E71DD">
                    <w:pPr>
                      <w:pStyle w:val="1"/>
                      <w:spacing w:line="269" w:lineRule="auto"/>
                      <w:jc w:val="left"/>
                      <w:rPr>
                        <w:rFonts w:ascii="Tahoma" w:eastAsiaTheme="minorHAnsi" w:hAnsi="Tahoma" w:cs="Tahoma"/>
                        <w:bCs w:val="0"/>
                        <w:color w:val="0D0D0D" w:themeColor="text1" w:themeTint="F2"/>
                        <w:sz w:val="16"/>
                        <w:szCs w:val="16"/>
                        <w:u w:val="none"/>
                      </w:rPr>
                    </w:pPr>
                    <w:r w:rsidRPr="00605190">
                      <w:rPr>
                        <w:rFonts w:ascii="Tahoma" w:eastAsiaTheme="minorHAnsi" w:hAnsi="Tahoma" w:cs="Tahoma"/>
                        <w:bCs w:val="0"/>
                        <w:color w:val="0D0D0D" w:themeColor="text1" w:themeTint="F2"/>
                        <w:sz w:val="16"/>
                        <w:szCs w:val="16"/>
                        <w:u w:val="none"/>
                        <w:rtl/>
                      </w:rPr>
                      <w:t>ביקורת פיננסית ברשויות מקומיות איתנות</w:t>
                    </w:r>
                  </w:p>
                </w:txbxContent>
              </v:textbox>
              <w10:wrap type="square"/>
            </v:shape>
          </w:pict>
        </mc:Fallback>
      </mc:AlternateContent>
    </w:r>
  </w:p>
  <w:p w14:paraId="49CFDAF2" w14:textId="77777777" w:rsidR="004E71DD" w:rsidRDefault="004E71DD" w:rsidP="004E71DD">
    <w:pPr>
      <w:pStyle w:val="a6"/>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6"/>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39"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51FDFDAE">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49F11FB8" w:rsidR="00E56721" w:rsidRPr="009B7D1B" w:rsidRDefault="00E56721" w:rsidP="0060519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605190" w:rsidRPr="00605190">
                            <w:rPr>
                              <w:rFonts w:ascii="Tahoma" w:hAnsi="Tahoma" w:cs="Tahoma"/>
                              <w:b/>
                              <w:bCs/>
                              <w:rtl/>
                            </w:rPr>
                            <w:t>ביקורת פיננסית ברשויות מקומיות איתנות</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F392" id="_x0000_s1040"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49F11FB8" w:rsidR="00E56721" w:rsidRPr="009B7D1B" w:rsidRDefault="00E56721" w:rsidP="0060519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605190" w:rsidRPr="00605190">
                      <w:rPr>
                        <w:rFonts w:ascii="Tahoma" w:hAnsi="Tahoma" w:cs="Tahoma"/>
                        <w:b/>
                        <w:bCs/>
                        <w:rtl/>
                      </w:rPr>
                      <w:t>ביקורת פיננסית ברשויות מקומיות איתנות</w:t>
                    </w:r>
                  </w:p>
                </w:txbxContent>
              </v:textbox>
              <w10:wrap type="square"/>
            </v:shape>
          </w:pict>
        </mc:Fallback>
      </mc:AlternateContent>
    </w:r>
  </w:p>
  <w:p w14:paraId="708CEE93" w14:textId="77777777" w:rsidR="00E56721" w:rsidRDefault="00E56721" w:rsidP="001526AC">
    <w:pPr>
      <w:pStyle w:val="a6"/>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41"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5EE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147AC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3FCA783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D98F34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BC82E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F345E3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3E2FEB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4140C68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15:restartNumberingAfterBreak="0">
    <w:nsid w:val="0D291684"/>
    <w:multiLevelType w:val="hybridMultilevel"/>
    <w:tmpl w:val="ED963A96"/>
    <w:lvl w:ilvl="0" w:tplc="45F8C3C8">
      <w:start w:val="1"/>
      <w:numFmt w:val="decimal"/>
      <w:lvlText w:val="%1."/>
      <w:lvlJc w:val="left"/>
      <w:pPr>
        <w:ind w:left="397" w:hanging="39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1" w15:restartNumberingAfterBreak="0">
    <w:nsid w:val="1A764B3A"/>
    <w:multiLevelType w:val="hybridMultilevel"/>
    <w:tmpl w:val="1F9CE618"/>
    <w:lvl w:ilvl="0" w:tplc="C4DA8E08">
      <w:start w:val="3"/>
      <w:numFmt w:val="decimal"/>
      <w:lvlText w:val="%1."/>
      <w:lvlJc w:val="left"/>
      <w:pPr>
        <w:ind w:left="397" w:hanging="39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E5BEF"/>
    <w:multiLevelType w:val="hybridMultilevel"/>
    <w:tmpl w:val="5FEAF57A"/>
    <w:lvl w:ilvl="0" w:tplc="590A537A">
      <w:start w:val="1"/>
      <w:numFmt w:val="decimal"/>
      <w:lvlText w:val="%1."/>
      <w:lvlJc w:val="left"/>
      <w:pPr>
        <w:ind w:left="397" w:hanging="39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4"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EA61F9F"/>
    <w:multiLevelType w:val="hybridMultilevel"/>
    <w:tmpl w:val="B6D81A72"/>
    <w:lvl w:ilvl="0" w:tplc="45F8C3C8">
      <w:start w:val="1"/>
      <w:numFmt w:val="decimal"/>
      <w:lvlText w:val="%1."/>
      <w:lvlJc w:val="left"/>
      <w:pPr>
        <w:ind w:left="397" w:hanging="39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7" w15:restartNumberingAfterBreak="0">
    <w:nsid w:val="510B5DBF"/>
    <w:multiLevelType w:val="hybridMultilevel"/>
    <w:tmpl w:val="7A627A04"/>
    <w:lvl w:ilvl="0" w:tplc="D7208ADC">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6228F"/>
    <w:multiLevelType w:val="hybridMultilevel"/>
    <w:tmpl w:val="920C466E"/>
    <w:lvl w:ilvl="0" w:tplc="A874F93E">
      <w:start w:val="1"/>
      <w:numFmt w:val="decimal"/>
      <w:pStyle w:val="a"/>
      <w:suff w:val="nothing"/>
      <w:lvlText w:val="לוח %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E5074AC" w:tentative="1">
      <w:start w:val="1"/>
      <w:numFmt w:val="lowerLetter"/>
      <w:lvlText w:val="%2."/>
      <w:lvlJc w:val="left"/>
      <w:pPr>
        <w:ind w:left="1440" w:hanging="360"/>
      </w:pPr>
    </w:lvl>
    <w:lvl w:ilvl="2" w:tplc="461851DE" w:tentative="1">
      <w:start w:val="1"/>
      <w:numFmt w:val="lowerRoman"/>
      <w:lvlText w:val="%3."/>
      <w:lvlJc w:val="right"/>
      <w:pPr>
        <w:ind w:left="2160" w:hanging="180"/>
      </w:pPr>
    </w:lvl>
    <w:lvl w:ilvl="3" w:tplc="0EF08852" w:tentative="1">
      <w:start w:val="1"/>
      <w:numFmt w:val="decimal"/>
      <w:lvlText w:val="%4."/>
      <w:lvlJc w:val="left"/>
      <w:pPr>
        <w:ind w:left="2880" w:hanging="360"/>
      </w:pPr>
    </w:lvl>
    <w:lvl w:ilvl="4" w:tplc="3BB27E7C" w:tentative="1">
      <w:start w:val="1"/>
      <w:numFmt w:val="lowerLetter"/>
      <w:lvlText w:val="%5."/>
      <w:lvlJc w:val="left"/>
      <w:pPr>
        <w:ind w:left="3600" w:hanging="360"/>
      </w:pPr>
    </w:lvl>
    <w:lvl w:ilvl="5" w:tplc="EF82EF2E" w:tentative="1">
      <w:start w:val="1"/>
      <w:numFmt w:val="lowerRoman"/>
      <w:lvlText w:val="%6."/>
      <w:lvlJc w:val="right"/>
      <w:pPr>
        <w:ind w:left="4320" w:hanging="180"/>
      </w:pPr>
    </w:lvl>
    <w:lvl w:ilvl="6" w:tplc="75085422" w:tentative="1">
      <w:start w:val="1"/>
      <w:numFmt w:val="decimal"/>
      <w:lvlText w:val="%7."/>
      <w:lvlJc w:val="left"/>
      <w:pPr>
        <w:ind w:left="5040" w:hanging="360"/>
      </w:pPr>
    </w:lvl>
    <w:lvl w:ilvl="7" w:tplc="F4E211CC" w:tentative="1">
      <w:start w:val="1"/>
      <w:numFmt w:val="lowerLetter"/>
      <w:lvlText w:val="%8."/>
      <w:lvlJc w:val="left"/>
      <w:pPr>
        <w:ind w:left="5760" w:hanging="360"/>
      </w:pPr>
    </w:lvl>
    <w:lvl w:ilvl="8" w:tplc="42C4E7D8" w:tentative="1">
      <w:start w:val="1"/>
      <w:numFmt w:val="lowerRoman"/>
      <w:lvlText w:val="%9."/>
      <w:lvlJc w:val="right"/>
      <w:pPr>
        <w:ind w:left="6480" w:hanging="180"/>
      </w:pPr>
    </w:lvl>
  </w:abstractNum>
  <w:abstractNum w:abstractNumId="19"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0"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43717"/>
    <w:multiLevelType w:val="multilevel"/>
    <w:tmpl w:val="54B40DD4"/>
    <w:lvl w:ilvl="0">
      <w:start w:val="1"/>
      <w:numFmt w:val="decimal"/>
      <w:pStyle w:val="a0"/>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2" w15:restartNumberingAfterBreak="0">
    <w:nsid w:val="61FA6CCE"/>
    <w:multiLevelType w:val="hybridMultilevel"/>
    <w:tmpl w:val="C4325DDC"/>
    <w:lvl w:ilvl="0" w:tplc="590A537A">
      <w:start w:val="1"/>
      <w:numFmt w:val="decimal"/>
      <w:lvlText w:val="%1."/>
      <w:lvlJc w:val="left"/>
      <w:pPr>
        <w:ind w:left="397" w:hanging="39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441F10"/>
    <w:multiLevelType w:val="hybridMultilevel"/>
    <w:tmpl w:val="38E8A4BC"/>
    <w:lvl w:ilvl="0" w:tplc="0E8692C2">
      <w:start w:val="1"/>
      <w:numFmt w:val="decimal"/>
      <w:pStyle w:val="a1"/>
      <w:suff w:val="nothing"/>
      <w:lvlText w:val="תרשים %1"/>
      <w:lvlJc w:val="left"/>
      <w:pPr>
        <w:ind w:left="2729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0569902" w:tentative="1">
      <w:start w:val="1"/>
      <w:numFmt w:val="lowerLetter"/>
      <w:lvlText w:val="%2."/>
      <w:lvlJc w:val="left"/>
      <w:pPr>
        <w:ind w:left="24735" w:hanging="360"/>
      </w:pPr>
    </w:lvl>
    <w:lvl w:ilvl="2" w:tplc="5FCC770C" w:tentative="1">
      <w:start w:val="1"/>
      <w:numFmt w:val="lowerRoman"/>
      <w:lvlText w:val="%3."/>
      <w:lvlJc w:val="right"/>
      <w:pPr>
        <w:ind w:left="25455" w:hanging="180"/>
      </w:pPr>
    </w:lvl>
    <w:lvl w:ilvl="3" w:tplc="7798A172" w:tentative="1">
      <w:start w:val="1"/>
      <w:numFmt w:val="decimal"/>
      <w:lvlText w:val="%4."/>
      <w:lvlJc w:val="left"/>
      <w:pPr>
        <w:ind w:left="26175" w:hanging="360"/>
      </w:pPr>
    </w:lvl>
    <w:lvl w:ilvl="4" w:tplc="0B04F4D2" w:tentative="1">
      <w:start w:val="1"/>
      <w:numFmt w:val="lowerLetter"/>
      <w:lvlText w:val="%5."/>
      <w:lvlJc w:val="left"/>
      <w:pPr>
        <w:ind w:left="26895" w:hanging="360"/>
      </w:pPr>
    </w:lvl>
    <w:lvl w:ilvl="5" w:tplc="CB96C2EE" w:tentative="1">
      <w:start w:val="1"/>
      <w:numFmt w:val="lowerRoman"/>
      <w:lvlText w:val="%6."/>
      <w:lvlJc w:val="right"/>
      <w:pPr>
        <w:ind w:left="27615" w:hanging="180"/>
      </w:pPr>
    </w:lvl>
    <w:lvl w:ilvl="6" w:tplc="D7126CBC" w:tentative="1">
      <w:start w:val="1"/>
      <w:numFmt w:val="decimal"/>
      <w:lvlText w:val="%7."/>
      <w:lvlJc w:val="left"/>
      <w:pPr>
        <w:ind w:left="28335" w:hanging="360"/>
      </w:pPr>
    </w:lvl>
    <w:lvl w:ilvl="7" w:tplc="BFDE3F46" w:tentative="1">
      <w:start w:val="1"/>
      <w:numFmt w:val="lowerLetter"/>
      <w:lvlText w:val="%8."/>
      <w:lvlJc w:val="left"/>
      <w:pPr>
        <w:ind w:left="29055" w:hanging="360"/>
      </w:pPr>
    </w:lvl>
    <w:lvl w:ilvl="8" w:tplc="AA18ECBC" w:tentative="1">
      <w:start w:val="1"/>
      <w:numFmt w:val="lowerRoman"/>
      <w:lvlText w:val="%9."/>
      <w:lvlJc w:val="right"/>
      <w:pPr>
        <w:ind w:left="29775" w:hanging="180"/>
      </w:pPr>
    </w:lvl>
  </w:abstractNum>
  <w:abstractNum w:abstractNumId="24" w15:restartNumberingAfterBreak="0">
    <w:nsid w:val="73432C08"/>
    <w:multiLevelType w:val="hybridMultilevel"/>
    <w:tmpl w:val="E856D81E"/>
    <w:lvl w:ilvl="0" w:tplc="45F8C3C8">
      <w:start w:val="1"/>
      <w:numFmt w:val="decimal"/>
      <w:lvlText w:val="%1."/>
      <w:lvlJc w:val="left"/>
      <w:pPr>
        <w:ind w:left="397" w:hanging="39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3619B"/>
    <w:multiLevelType w:val="hybridMultilevel"/>
    <w:tmpl w:val="A5321086"/>
    <w:lvl w:ilvl="0" w:tplc="45F8C3C8">
      <w:start w:val="1"/>
      <w:numFmt w:val="decimal"/>
      <w:lvlText w:val="%1."/>
      <w:lvlJc w:val="left"/>
      <w:pPr>
        <w:ind w:left="397" w:hanging="39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19"/>
  </w:num>
  <w:num w:numId="2" w16cid:durableId="159808484">
    <w:abstractNumId w:val="13"/>
  </w:num>
  <w:num w:numId="3" w16cid:durableId="2074310673">
    <w:abstractNumId w:val="14"/>
  </w:num>
  <w:num w:numId="4" w16cid:durableId="1596554476">
    <w:abstractNumId w:val="26"/>
  </w:num>
  <w:num w:numId="5" w16cid:durableId="781269690">
    <w:abstractNumId w:val="8"/>
  </w:num>
  <w:num w:numId="6" w16cid:durableId="1087919862">
    <w:abstractNumId w:val="16"/>
  </w:num>
  <w:num w:numId="7" w16cid:durableId="1266497691">
    <w:abstractNumId w:val="21"/>
  </w:num>
  <w:num w:numId="8" w16cid:durableId="1873692319">
    <w:abstractNumId w:val="10"/>
  </w:num>
  <w:num w:numId="9" w16cid:durableId="1057507424">
    <w:abstractNumId w:val="20"/>
  </w:num>
  <w:num w:numId="10" w16cid:durableId="417137635">
    <w:abstractNumId w:val="23"/>
  </w:num>
  <w:num w:numId="11" w16cid:durableId="1194197958">
    <w:abstractNumId w:val="18"/>
  </w:num>
  <w:num w:numId="12" w16cid:durableId="427039598">
    <w:abstractNumId w:val="25"/>
  </w:num>
  <w:num w:numId="13" w16cid:durableId="465902009">
    <w:abstractNumId w:val="24"/>
  </w:num>
  <w:num w:numId="14" w16cid:durableId="927884325">
    <w:abstractNumId w:val="15"/>
  </w:num>
  <w:num w:numId="15" w16cid:durableId="1946569149">
    <w:abstractNumId w:val="9"/>
  </w:num>
  <w:num w:numId="16" w16cid:durableId="621575019">
    <w:abstractNumId w:val="11"/>
  </w:num>
  <w:num w:numId="17" w16cid:durableId="523396571">
    <w:abstractNumId w:val="22"/>
  </w:num>
  <w:num w:numId="18" w16cid:durableId="769853657">
    <w:abstractNumId w:val="12"/>
  </w:num>
  <w:num w:numId="19" w16cid:durableId="835460756">
    <w:abstractNumId w:val="17"/>
  </w:num>
  <w:num w:numId="20" w16cid:durableId="1468619331">
    <w:abstractNumId w:val="3"/>
  </w:num>
  <w:num w:numId="21" w16cid:durableId="180899289">
    <w:abstractNumId w:val="4"/>
  </w:num>
  <w:num w:numId="22" w16cid:durableId="1911113337">
    <w:abstractNumId w:val="5"/>
  </w:num>
  <w:num w:numId="23" w16cid:durableId="480469300">
    <w:abstractNumId w:val="6"/>
  </w:num>
  <w:num w:numId="24" w16cid:durableId="1566523976">
    <w:abstractNumId w:val="7"/>
  </w:num>
  <w:num w:numId="25" w16cid:durableId="1957171384">
    <w:abstractNumId w:val="0"/>
  </w:num>
  <w:num w:numId="26" w16cid:durableId="445849265">
    <w:abstractNumId w:val="1"/>
  </w:num>
  <w:num w:numId="27" w16cid:durableId="76564210">
    <w:abstractNumId w:val="2"/>
  </w:num>
  <w:num w:numId="28" w16cid:durableId="550844678">
    <w:abstractNumId w:val="3"/>
  </w:num>
  <w:num w:numId="29" w16cid:durableId="981034896">
    <w:abstractNumId w:val="4"/>
  </w:num>
  <w:num w:numId="30" w16cid:durableId="350498549">
    <w:abstractNumId w:val="5"/>
  </w:num>
  <w:num w:numId="31" w16cid:durableId="1766458828">
    <w:abstractNumId w:val="6"/>
  </w:num>
  <w:num w:numId="32" w16cid:durableId="1958752216">
    <w:abstractNumId w:val="7"/>
  </w:num>
  <w:num w:numId="33" w16cid:durableId="676268143">
    <w:abstractNumId w:val="0"/>
  </w:num>
  <w:num w:numId="34" w16cid:durableId="2118326621">
    <w:abstractNumId w:val="1"/>
  </w:num>
  <w:num w:numId="35" w16cid:durableId="556624568">
    <w:abstractNumId w:val="2"/>
  </w:num>
  <w:num w:numId="36" w16cid:durableId="132990702">
    <w:abstractNumId w:val="3"/>
  </w:num>
  <w:num w:numId="37" w16cid:durableId="1753816404">
    <w:abstractNumId w:val="4"/>
  </w:num>
  <w:num w:numId="38" w16cid:durableId="1487630568">
    <w:abstractNumId w:val="5"/>
  </w:num>
  <w:num w:numId="39" w16cid:durableId="1268807080">
    <w:abstractNumId w:val="6"/>
  </w:num>
  <w:num w:numId="40" w16cid:durableId="691540149">
    <w:abstractNumId w:val="7"/>
  </w:num>
  <w:num w:numId="41" w16cid:durableId="408306358">
    <w:abstractNumId w:val="0"/>
  </w:num>
  <w:num w:numId="42" w16cid:durableId="779833800">
    <w:abstractNumId w:val="1"/>
  </w:num>
  <w:num w:numId="43" w16cid:durableId="364260765">
    <w:abstractNumId w:val="2"/>
  </w:num>
  <w:num w:numId="44" w16cid:durableId="1767992154">
    <w:abstractNumId w:val="3"/>
  </w:num>
  <w:num w:numId="45" w16cid:durableId="384571018">
    <w:abstractNumId w:val="4"/>
  </w:num>
  <w:num w:numId="46" w16cid:durableId="1768966242">
    <w:abstractNumId w:val="5"/>
  </w:num>
  <w:num w:numId="47" w16cid:durableId="1371999931">
    <w:abstractNumId w:val="6"/>
  </w:num>
  <w:num w:numId="48" w16cid:durableId="833837008">
    <w:abstractNumId w:val="7"/>
  </w:num>
  <w:num w:numId="49" w16cid:durableId="673606961">
    <w:abstractNumId w:val="0"/>
  </w:num>
  <w:num w:numId="50" w16cid:durableId="671180326">
    <w:abstractNumId w:val="1"/>
  </w:num>
  <w:num w:numId="51" w16cid:durableId="243686199">
    <w:abstractNumId w:val="2"/>
  </w:num>
  <w:num w:numId="52" w16cid:durableId="1360929480">
    <w:abstractNumId w:val="3"/>
  </w:num>
  <w:num w:numId="53" w16cid:durableId="225074813">
    <w:abstractNumId w:val="4"/>
  </w:num>
  <w:num w:numId="54" w16cid:durableId="366443759">
    <w:abstractNumId w:val="5"/>
  </w:num>
  <w:num w:numId="55" w16cid:durableId="216863787">
    <w:abstractNumId w:val="6"/>
  </w:num>
  <w:num w:numId="56" w16cid:durableId="1251544620">
    <w:abstractNumId w:val="7"/>
  </w:num>
  <w:num w:numId="57" w16cid:durableId="761144991">
    <w:abstractNumId w:val="0"/>
  </w:num>
  <w:num w:numId="58" w16cid:durableId="836530208">
    <w:abstractNumId w:val="1"/>
  </w:num>
  <w:num w:numId="59" w16cid:durableId="1154837853">
    <w:abstractNumId w:val="2"/>
  </w:num>
  <w:num w:numId="60" w16cid:durableId="1146698465">
    <w:abstractNumId w:val="3"/>
  </w:num>
  <w:num w:numId="61" w16cid:durableId="1385056864">
    <w:abstractNumId w:val="4"/>
  </w:num>
  <w:num w:numId="62" w16cid:durableId="1572302738">
    <w:abstractNumId w:val="5"/>
  </w:num>
  <w:num w:numId="63" w16cid:durableId="1790011070">
    <w:abstractNumId w:val="6"/>
  </w:num>
  <w:num w:numId="64" w16cid:durableId="1505820704">
    <w:abstractNumId w:val="7"/>
  </w:num>
  <w:num w:numId="65" w16cid:durableId="108092881">
    <w:abstractNumId w:val="0"/>
  </w:num>
  <w:num w:numId="66" w16cid:durableId="1734617773">
    <w:abstractNumId w:val="1"/>
  </w:num>
  <w:num w:numId="67" w16cid:durableId="1145782013">
    <w:abstractNumId w:val="2"/>
  </w:num>
  <w:num w:numId="68" w16cid:durableId="1378889862">
    <w:abstractNumId w:val="3"/>
  </w:num>
  <w:num w:numId="69" w16cid:durableId="1879128258">
    <w:abstractNumId w:val="4"/>
  </w:num>
  <w:num w:numId="70" w16cid:durableId="783501055">
    <w:abstractNumId w:val="5"/>
  </w:num>
  <w:num w:numId="71" w16cid:durableId="145368413">
    <w:abstractNumId w:val="6"/>
  </w:num>
  <w:num w:numId="72" w16cid:durableId="821387685">
    <w:abstractNumId w:val="7"/>
  </w:num>
  <w:num w:numId="73" w16cid:durableId="392898201">
    <w:abstractNumId w:val="0"/>
  </w:num>
  <w:num w:numId="74" w16cid:durableId="2124838391">
    <w:abstractNumId w:val="1"/>
  </w:num>
  <w:num w:numId="75" w16cid:durableId="155921913">
    <w:abstractNumId w:val="2"/>
  </w:num>
  <w:num w:numId="76" w16cid:durableId="1317614416">
    <w:abstractNumId w:val="3"/>
  </w:num>
  <w:num w:numId="77" w16cid:durableId="587691662">
    <w:abstractNumId w:val="4"/>
  </w:num>
  <w:num w:numId="78" w16cid:durableId="636883620">
    <w:abstractNumId w:val="5"/>
  </w:num>
  <w:num w:numId="79" w16cid:durableId="847673413">
    <w:abstractNumId w:val="6"/>
  </w:num>
  <w:num w:numId="80" w16cid:durableId="1997953864">
    <w:abstractNumId w:val="7"/>
  </w:num>
  <w:num w:numId="81" w16cid:durableId="1337727007">
    <w:abstractNumId w:val="0"/>
  </w:num>
  <w:num w:numId="82" w16cid:durableId="562640879">
    <w:abstractNumId w:val="1"/>
  </w:num>
  <w:num w:numId="83" w16cid:durableId="420030622">
    <w:abstractNumId w:val="2"/>
  </w:num>
  <w:num w:numId="84" w16cid:durableId="1250192995">
    <w:abstractNumId w:val="3"/>
  </w:num>
  <w:num w:numId="85" w16cid:durableId="1110665461">
    <w:abstractNumId w:val="4"/>
  </w:num>
  <w:num w:numId="86" w16cid:durableId="1580476619">
    <w:abstractNumId w:val="5"/>
  </w:num>
  <w:num w:numId="87" w16cid:durableId="395738655">
    <w:abstractNumId w:val="6"/>
  </w:num>
  <w:num w:numId="88" w16cid:durableId="228031739">
    <w:abstractNumId w:val="7"/>
  </w:num>
  <w:num w:numId="89" w16cid:durableId="1622420690">
    <w:abstractNumId w:val="0"/>
  </w:num>
  <w:num w:numId="90" w16cid:durableId="1482238199">
    <w:abstractNumId w:val="1"/>
  </w:num>
  <w:num w:numId="91" w16cid:durableId="421536459">
    <w:abstractNumId w:val="2"/>
  </w:num>
  <w:num w:numId="92" w16cid:durableId="238449230">
    <w:abstractNumId w:val="3"/>
  </w:num>
  <w:num w:numId="93" w16cid:durableId="1146892803">
    <w:abstractNumId w:val="4"/>
  </w:num>
  <w:num w:numId="94" w16cid:durableId="297537539">
    <w:abstractNumId w:val="5"/>
  </w:num>
  <w:num w:numId="95" w16cid:durableId="1431465002">
    <w:abstractNumId w:val="6"/>
  </w:num>
  <w:num w:numId="96" w16cid:durableId="215972137">
    <w:abstractNumId w:val="7"/>
  </w:num>
  <w:num w:numId="97" w16cid:durableId="1923441654">
    <w:abstractNumId w:val="0"/>
  </w:num>
  <w:num w:numId="98" w16cid:durableId="1899389582">
    <w:abstractNumId w:val="1"/>
  </w:num>
  <w:num w:numId="99" w16cid:durableId="1463114850">
    <w:abstractNumId w:val="2"/>
  </w:num>
  <w:num w:numId="100" w16cid:durableId="1238708911">
    <w:abstractNumId w:val="3"/>
  </w:num>
  <w:num w:numId="101" w16cid:durableId="587231585">
    <w:abstractNumId w:val="4"/>
  </w:num>
  <w:num w:numId="102" w16cid:durableId="984822576">
    <w:abstractNumId w:val="5"/>
  </w:num>
  <w:num w:numId="103" w16cid:durableId="650132524">
    <w:abstractNumId w:val="6"/>
  </w:num>
  <w:num w:numId="104" w16cid:durableId="244725353">
    <w:abstractNumId w:val="7"/>
  </w:num>
  <w:num w:numId="105" w16cid:durableId="1320039063">
    <w:abstractNumId w:val="0"/>
  </w:num>
  <w:num w:numId="106" w16cid:durableId="899092177">
    <w:abstractNumId w:val="1"/>
  </w:num>
  <w:num w:numId="107" w16cid:durableId="1532114105">
    <w:abstractNumId w:val="2"/>
  </w:num>
  <w:num w:numId="108" w16cid:durableId="453257007">
    <w:abstractNumId w:val="3"/>
  </w:num>
  <w:num w:numId="109" w16cid:durableId="1030106133">
    <w:abstractNumId w:val="4"/>
  </w:num>
  <w:num w:numId="110" w16cid:durableId="969361330">
    <w:abstractNumId w:val="5"/>
  </w:num>
  <w:num w:numId="111" w16cid:durableId="1036585923">
    <w:abstractNumId w:val="6"/>
  </w:num>
  <w:num w:numId="112" w16cid:durableId="424155264">
    <w:abstractNumId w:val="7"/>
  </w:num>
  <w:num w:numId="113" w16cid:durableId="2136365957">
    <w:abstractNumId w:val="0"/>
  </w:num>
  <w:num w:numId="114" w16cid:durableId="8878685">
    <w:abstractNumId w:val="1"/>
  </w:num>
  <w:num w:numId="115" w16cid:durableId="16784913">
    <w:abstractNumId w:val="2"/>
  </w:num>
  <w:num w:numId="116" w16cid:durableId="339744670">
    <w:abstractNumId w:val="3"/>
  </w:num>
  <w:num w:numId="117" w16cid:durableId="1454715283">
    <w:abstractNumId w:val="4"/>
  </w:num>
  <w:num w:numId="118" w16cid:durableId="578365926">
    <w:abstractNumId w:val="5"/>
  </w:num>
  <w:num w:numId="119" w16cid:durableId="2083984176">
    <w:abstractNumId w:val="6"/>
  </w:num>
  <w:num w:numId="120" w16cid:durableId="1544051672">
    <w:abstractNumId w:val="7"/>
  </w:num>
  <w:num w:numId="121" w16cid:durableId="654727847">
    <w:abstractNumId w:val="0"/>
  </w:num>
  <w:num w:numId="122" w16cid:durableId="740181049">
    <w:abstractNumId w:val="1"/>
  </w:num>
  <w:num w:numId="123" w16cid:durableId="627594058">
    <w:abstractNumId w:val="2"/>
  </w:num>
  <w:num w:numId="124" w16cid:durableId="145778719">
    <w:abstractNumId w:val="3"/>
  </w:num>
  <w:num w:numId="125" w16cid:durableId="1776435244">
    <w:abstractNumId w:val="4"/>
  </w:num>
  <w:num w:numId="126" w16cid:durableId="1676806823">
    <w:abstractNumId w:val="5"/>
  </w:num>
  <w:num w:numId="127" w16cid:durableId="1766069292">
    <w:abstractNumId w:val="6"/>
  </w:num>
  <w:num w:numId="128" w16cid:durableId="1241062332">
    <w:abstractNumId w:val="7"/>
  </w:num>
  <w:num w:numId="129" w16cid:durableId="1008219685">
    <w:abstractNumId w:val="0"/>
  </w:num>
  <w:num w:numId="130" w16cid:durableId="1874607073">
    <w:abstractNumId w:val="1"/>
  </w:num>
  <w:num w:numId="131" w16cid:durableId="1907688374">
    <w:abstractNumId w:val="2"/>
  </w:num>
  <w:num w:numId="132" w16cid:durableId="1282227091">
    <w:abstractNumId w:val="3"/>
  </w:num>
  <w:num w:numId="133" w16cid:durableId="192113081">
    <w:abstractNumId w:val="4"/>
  </w:num>
  <w:num w:numId="134" w16cid:durableId="791020242">
    <w:abstractNumId w:val="5"/>
  </w:num>
  <w:num w:numId="135" w16cid:durableId="1220441066">
    <w:abstractNumId w:val="6"/>
  </w:num>
  <w:num w:numId="136" w16cid:durableId="825055135">
    <w:abstractNumId w:val="7"/>
  </w:num>
  <w:num w:numId="137" w16cid:durableId="1289704080">
    <w:abstractNumId w:val="0"/>
  </w:num>
  <w:num w:numId="138" w16cid:durableId="294410009">
    <w:abstractNumId w:val="1"/>
  </w:num>
  <w:num w:numId="139" w16cid:durableId="1447308990">
    <w:abstractNumId w:val="2"/>
  </w:num>
  <w:num w:numId="140" w16cid:durableId="2132821538">
    <w:abstractNumId w:val="3"/>
  </w:num>
  <w:num w:numId="141" w16cid:durableId="1960455302">
    <w:abstractNumId w:val="4"/>
  </w:num>
  <w:num w:numId="142" w16cid:durableId="457376188">
    <w:abstractNumId w:val="5"/>
  </w:num>
  <w:num w:numId="143" w16cid:durableId="198784163">
    <w:abstractNumId w:val="6"/>
  </w:num>
  <w:num w:numId="144" w16cid:durableId="1402168771">
    <w:abstractNumId w:val="7"/>
  </w:num>
  <w:num w:numId="145" w16cid:durableId="1778669169">
    <w:abstractNumId w:val="0"/>
  </w:num>
  <w:num w:numId="146" w16cid:durableId="1238513452">
    <w:abstractNumId w:val="1"/>
  </w:num>
  <w:num w:numId="147" w16cid:durableId="1532648002">
    <w:abstractNumId w:val="2"/>
  </w:num>
  <w:num w:numId="148" w16cid:durableId="849641300">
    <w:abstractNumId w:val="3"/>
  </w:num>
  <w:num w:numId="149" w16cid:durableId="753473614">
    <w:abstractNumId w:val="4"/>
  </w:num>
  <w:num w:numId="150" w16cid:durableId="289867654">
    <w:abstractNumId w:val="5"/>
  </w:num>
  <w:num w:numId="151" w16cid:durableId="1480339515">
    <w:abstractNumId w:val="6"/>
  </w:num>
  <w:num w:numId="152" w16cid:durableId="599728371">
    <w:abstractNumId w:val="7"/>
  </w:num>
  <w:num w:numId="153" w16cid:durableId="989360343">
    <w:abstractNumId w:val="0"/>
  </w:num>
  <w:num w:numId="154" w16cid:durableId="32579770">
    <w:abstractNumId w:val="1"/>
  </w:num>
  <w:num w:numId="155" w16cid:durableId="503207957">
    <w:abstractNumId w:val="2"/>
  </w:num>
  <w:num w:numId="156" w16cid:durableId="1681929830">
    <w:abstractNumId w:val="3"/>
  </w:num>
  <w:num w:numId="157" w16cid:durableId="1010912569">
    <w:abstractNumId w:val="4"/>
  </w:num>
  <w:num w:numId="158" w16cid:durableId="132523490">
    <w:abstractNumId w:val="5"/>
  </w:num>
  <w:num w:numId="159" w16cid:durableId="1187213736">
    <w:abstractNumId w:val="6"/>
  </w:num>
  <w:num w:numId="160" w16cid:durableId="1988048724">
    <w:abstractNumId w:val="7"/>
  </w:num>
  <w:num w:numId="161" w16cid:durableId="1686396271">
    <w:abstractNumId w:val="0"/>
  </w:num>
  <w:num w:numId="162" w16cid:durableId="1312096986">
    <w:abstractNumId w:val="1"/>
  </w:num>
  <w:num w:numId="163" w16cid:durableId="961495528">
    <w:abstractNumId w:val="2"/>
  </w:num>
  <w:num w:numId="164" w16cid:durableId="1277449398">
    <w:abstractNumId w:val="3"/>
  </w:num>
  <w:num w:numId="165" w16cid:durableId="429349810">
    <w:abstractNumId w:val="4"/>
  </w:num>
  <w:num w:numId="166" w16cid:durableId="165557754">
    <w:abstractNumId w:val="5"/>
  </w:num>
  <w:num w:numId="167" w16cid:durableId="1710914302">
    <w:abstractNumId w:val="6"/>
  </w:num>
  <w:num w:numId="168" w16cid:durableId="1668942902">
    <w:abstractNumId w:val="7"/>
  </w:num>
  <w:num w:numId="169" w16cid:durableId="223102997">
    <w:abstractNumId w:val="0"/>
  </w:num>
  <w:num w:numId="170" w16cid:durableId="1070615525">
    <w:abstractNumId w:val="1"/>
  </w:num>
  <w:num w:numId="171" w16cid:durableId="348915771">
    <w:abstractNumId w:val="2"/>
  </w:num>
  <w:num w:numId="172" w16cid:durableId="596253723">
    <w:abstractNumId w:val="3"/>
  </w:num>
  <w:num w:numId="173" w16cid:durableId="860511068">
    <w:abstractNumId w:val="4"/>
  </w:num>
  <w:num w:numId="174" w16cid:durableId="1659263188">
    <w:abstractNumId w:val="5"/>
  </w:num>
  <w:num w:numId="175" w16cid:durableId="1201435529">
    <w:abstractNumId w:val="6"/>
  </w:num>
  <w:num w:numId="176" w16cid:durableId="1872573496">
    <w:abstractNumId w:val="7"/>
  </w:num>
  <w:num w:numId="177" w16cid:durableId="1690328832">
    <w:abstractNumId w:val="0"/>
  </w:num>
  <w:num w:numId="178" w16cid:durableId="281098">
    <w:abstractNumId w:val="1"/>
  </w:num>
  <w:num w:numId="179" w16cid:durableId="358627638">
    <w:abstractNumId w:val="2"/>
  </w:num>
  <w:num w:numId="180" w16cid:durableId="1884635042">
    <w:abstractNumId w:val="3"/>
  </w:num>
  <w:num w:numId="181" w16cid:durableId="1862477424">
    <w:abstractNumId w:val="4"/>
  </w:num>
  <w:num w:numId="182" w16cid:durableId="856425886">
    <w:abstractNumId w:val="5"/>
  </w:num>
  <w:num w:numId="183" w16cid:durableId="2140996896">
    <w:abstractNumId w:val="6"/>
  </w:num>
  <w:num w:numId="184" w16cid:durableId="1339891607">
    <w:abstractNumId w:val="7"/>
  </w:num>
  <w:num w:numId="185" w16cid:durableId="1821145328">
    <w:abstractNumId w:val="0"/>
  </w:num>
  <w:num w:numId="186" w16cid:durableId="213583353">
    <w:abstractNumId w:val="1"/>
  </w:num>
  <w:num w:numId="187" w16cid:durableId="608121733">
    <w:abstractNumId w:val="2"/>
  </w:num>
  <w:num w:numId="188" w16cid:durableId="236938246">
    <w:abstractNumId w:val="3"/>
  </w:num>
  <w:num w:numId="189" w16cid:durableId="1198815558">
    <w:abstractNumId w:val="4"/>
  </w:num>
  <w:num w:numId="190" w16cid:durableId="1333220256">
    <w:abstractNumId w:val="5"/>
  </w:num>
  <w:num w:numId="191" w16cid:durableId="1783496898">
    <w:abstractNumId w:val="6"/>
  </w:num>
  <w:num w:numId="192" w16cid:durableId="1763716726">
    <w:abstractNumId w:val="7"/>
  </w:num>
  <w:num w:numId="193" w16cid:durableId="1525941641">
    <w:abstractNumId w:val="0"/>
  </w:num>
  <w:num w:numId="194" w16cid:durableId="455224244">
    <w:abstractNumId w:val="1"/>
  </w:num>
  <w:num w:numId="195" w16cid:durableId="363871113">
    <w:abstractNumId w:val="2"/>
  </w:num>
  <w:num w:numId="196" w16cid:durableId="1522279757">
    <w:abstractNumId w:val="3"/>
  </w:num>
  <w:num w:numId="197" w16cid:durableId="1629966042">
    <w:abstractNumId w:val="4"/>
  </w:num>
  <w:num w:numId="198" w16cid:durableId="467430212">
    <w:abstractNumId w:val="5"/>
  </w:num>
  <w:num w:numId="199" w16cid:durableId="315961542">
    <w:abstractNumId w:val="6"/>
  </w:num>
  <w:num w:numId="200" w16cid:durableId="800922470">
    <w:abstractNumId w:val="7"/>
  </w:num>
  <w:num w:numId="201" w16cid:durableId="486895886">
    <w:abstractNumId w:val="0"/>
  </w:num>
  <w:num w:numId="202" w16cid:durableId="1927614669">
    <w:abstractNumId w:val="1"/>
  </w:num>
  <w:num w:numId="203" w16cid:durableId="527373073">
    <w:abstractNumId w:val="2"/>
  </w:num>
  <w:num w:numId="204" w16cid:durableId="1265964386">
    <w:abstractNumId w:val="3"/>
  </w:num>
  <w:num w:numId="205" w16cid:durableId="171385616">
    <w:abstractNumId w:val="4"/>
  </w:num>
  <w:num w:numId="206" w16cid:durableId="1444954458">
    <w:abstractNumId w:val="5"/>
  </w:num>
  <w:num w:numId="207" w16cid:durableId="1991859768">
    <w:abstractNumId w:val="6"/>
  </w:num>
  <w:num w:numId="208" w16cid:durableId="1760591146">
    <w:abstractNumId w:val="7"/>
  </w:num>
  <w:num w:numId="209" w16cid:durableId="460727422">
    <w:abstractNumId w:val="0"/>
  </w:num>
  <w:num w:numId="210" w16cid:durableId="120341403">
    <w:abstractNumId w:val="1"/>
  </w:num>
  <w:num w:numId="211" w16cid:durableId="1695034842">
    <w:abstractNumId w:val="2"/>
  </w:num>
  <w:num w:numId="212" w16cid:durableId="2136483102">
    <w:abstractNumId w:val="3"/>
  </w:num>
  <w:num w:numId="213" w16cid:durableId="1513715131">
    <w:abstractNumId w:val="4"/>
  </w:num>
  <w:num w:numId="214" w16cid:durableId="383139668">
    <w:abstractNumId w:val="5"/>
  </w:num>
  <w:num w:numId="215" w16cid:durableId="892231855">
    <w:abstractNumId w:val="6"/>
  </w:num>
  <w:num w:numId="216" w16cid:durableId="890115166">
    <w:abstractNumId w:val="7"/>
  </w:num>
  <w:num w:numId="217" w16cid:durableId="1714307469">
    <w:abstractNumId w:val="0"/>
  </w:num>
  <w:num w:numId="218" w16cid:durableId="1645817631">
    <w:abstractNumId w:val="1"/>
  </w:num>
  <w:num w:numId="219" w16cid:durableId="136120150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AC0"/>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5CAE"/>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C0A"/>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0D4F"/>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13"/>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019"/>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4CB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66B"/>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CE3"/>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266"/>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42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488"/>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025"/>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46A"/>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1E3"/>
    <w:rsid w:val="00464D56"/>
    <w:rsid w:val="00464DF0"/>
    <w:rsid w:val="00465562"/>
    <w:rsid w:val="00465DDF"/>
    <w:rsid w:val="004661DB"/>
    <w:rsid w:val="004663C7"/>
    <w:rsid w:val="00466B28"/>
    <w:rsid w:val="004676B5"/>
    <w:rsid w:val="00467828"/>
    <w:rsid w:val="0046783B"/>
    <w:rsid w:val="00467D5E"/>
    <w:rsid w:val="004700FD"/>
    <w:rsid w:val="0047012B"/>
    <w:rsid w:val="004705A4"/>
    <w:rsid w:val="0047076A"/>
    <w:rsid w:val="0047089B"/>
    <w:rsid w:val="0047099E"/>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6EB5"/>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8B3"/>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6D69"/>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44C"/>
    <w:rsid w:val="0057372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6C6E"/>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5912"/>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190"/>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4C0"/>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793"/>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4E46"/>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24"/>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524"/>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D96"/>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398"/>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6B3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70"/>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5B1F"/>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1C8"/>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038"/>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033"/>
    <w:rsid w:val="00944192"/>
    <w:rsid w:val="00944F8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6F4"/>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87E"/>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4368"/>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5B"/>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48A0"/>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9FF"/>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3387"/>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1CC6"/>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075D6"/>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1D48"/>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6"/>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710"/>
    <w:rsid w:val="00B47896"/>
    <w:rsid w:val="00B47C72"/>
    <w:rsid w:val="00B47D36"/>
    <w:rsid w:val="00B507E9"/>
    <w:rsid w:val="00B50878"/>
    <w:rsid w:val="00B50894"/>
    <w:rsid w:val="00B50D0F"/>
    <w:rsid w:val="00B51EF7"/>
    <w:rsid w:val="00B51F99"/>
    <w:rsid w:val="00B5205A"/>
    <w:rsid w:val="00B52363"/>
    <w:rsid w:val="00B524C0"/>
    <w:rsid w:val="00B52693"/>
    <w:rsid w:val="00B52CF9"/>
    <w:rsid w:val="00B52D9E"/>
    <w:rsid w:val="00B52E12"/>
    <w:rsid w:val="00B530F8"/>
    <w:rsid w:val="00B53C31"/>
    <w:rsid w:val="00B5445A"/>
    <w:rsid w:val="00B555A9"/>
    <w:rsid w:val="00B55829"/>
    <w:rsid w:val="00B55A15"/>
    <w:rsid w:val="00B55A1E"/>
    <w:rsid w:val="00B55E82"/>
    <w:rsid w:val="00B5605F"/>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67A4"/>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12"/>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841"/>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47A"/>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3265"/>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5AA9"/>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0C05"/>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EA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3D"/>
    <w:rsid w:val="00ED0EA7"/>
    <w:rsid w:val="00ED172E"/>
    <w:rsid w:val="00ED179E"/>
    <w:rsid w:val="00ED19D4"/>
    <w:rsid w:val="00ED1F4F"/>
    <w:rsid w:val="00ED33A3"/>
    <w:rsid w:val="00ED353C"/>
    <w:rsid w:val="00ED36F0"/>
    <w:rsid w:val="00ED3A0B"/>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4D58"/>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4CEF"/>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5E5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E2619"/>
    <w:pPr>
      <w:bidi/>
      <w:spacing w:after="0" w:line="312" w:lineRule="auto"/>
    </w:pPr>
  </w:style>
  <w:style w:type="paragraph" w:styleId="1">
    <w:name w:val="heading 1"/>
    <w:basedOn w:val="a2"/>
    <w:next w:val="a2"/>
    <w:link w:val="11"/>
    <w:uiPriority w:val="1"/>
    <w:qFormat/>
    <w:rsid w:val="00F41DE0"/>
    <w:pPr>
      <w:keepNext/>
      <w:keepLines/>
      <w:jc w:val="center"/>
      <w:outlineLvl w:val="0"/>
    </w:pPr>
    <w:rPr>
      <w:rFonts w:eastAsiaTheme="majorEastAsia"/>
      <w:bCs/>
      <w:szCs w:val="36"/>
      <w:u w:val="single"/>
    </w:rPr>
  </w:style>
  <w:style w:type="paragraph" w:styleId="2">
    <w:name w:val="heading 2"/>
    <w:basedOn w:val="a2"/>
    <w:next w:val="a2"/>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2"/>
    <w:next w:val="a2"/>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2"/>
    <w:next w:val="a2"/>
    <w:link w:val="41"/>
    <w:uiPriority w:val="1"/>
    <w:qFormat/>
    <w:rsid w:val="00F41DE0"/>
    <w:pPr>
      <w:keepNext/>
      <w:keepLines/>
      <w:spacing w:before="240"/>
      <w:outlineLvl w:val="3"/>
    </w:pPr>
    <w:rPr>
      <w:rFonts w:eastAsiaTheme="majorEastAsia"/>
      <w:bCs/>
      <w:szCs w:val="26"/>
    </w:rPr>
  </w:style>
  <w:style w:type="paragraph" w:styleId="5">
    <w:name w:val="heading 5"/>
    <w:basedOn w:val="a2"/>
    <w:next w:val="a2"/>
    <w:link w:val="51"/>
    <w:uiPriority w:val="1"/>
    <w:qFormat/>
    <w:rsid w:val="00F41DE0"/>
    <w:pPr>
      <w:keepNext/>
      <w:keepLines/>
      <w:outlineLvl w:val="4"/>
    </w:pPr>
    <w:rPr>
      <w:rFonts w:eastAsiaTheme="majorEastAsia"/>
      <w:bCs/>
      <w:spacing w:val="40"/>
    </w:rPr>
  </w:style>
  <w:style w:type="paragraph" w:styleId="6">
    <w:name w:val="heading 6"/>
    <w:basedOn w:val="a2"/>
    <w:next w:val="a2"/>
    <w:link w:val="61"/>
    <w:uiPriority w:val="1"/>
    <w:qFormat/>
    <w:rsid w:val="00F41DE0"/>
    <w:pPr>
      <w:keepNext/>
      <w:keepLines/>
      <w:outlineLvl w:val="5"/>
    </w:pPr>
    <w:rPr>
      <w:rFonts w:eastAsiaTheme="majorEastAsia"/>
      <w:spacing w:val="40"/>
    </w:rPr>
  </w:style>
  <w:style w:type="paragraph" w:styleId="70">
    <w:name w:val="heading 7"/>
    <w:basedOn w:val="a2"/>
    <w:next w:val="a2"/>
    <w:link w:val="71"/>
    <w:uiPriority w:val="1"/>
    <w:qFormat/>
    <w:rsid w:val="00F41DE0"/>
    <w:pPr>
      <w:keepNext/>
      <w:keepLines/>
      <w:outlineLvl w:val="6"/>
    </w:pPr>
    <w:rPr>
      <w:rFonts w:eastAsiaTheme="majorEastAsia"/>
      <w:bCs/>
      <w:spacing w:val="40"/>
    </w:rPr>
  </w:style>
  <w:style w:type="paragraph" w:styleId="8">
    <w:name w:val="heading 8"/>
    <w:basedOn w:val="a2"/>
    <w:next w:val="a2"/>
    <w:link w:val="81"/>
    <w:uiPriority w:val="1"/>
    <w:qFormat/>
    <w:rsid w:val="00F41DE0"/>
    <w:pPr>
      <w:keepNext/>
      <w:keepLines/>
      <w:outlineLvl w:val="7"/>
    </w:pPr>
    <w:rPr>
      <w:rFonts w:eastAsiaTheme="majorEastAsia"/>
      <w:spacing w:val="40"/>
    </w:rPr>
  </w:style>
  <w:style w:type="paragraph" w:styleId="9">
    <w:name w:val="heading 9"/>
    <w:basedOn w:val="a2"/>
    <w:next w:val="a2"/>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כותרת 1 תו1"/>
    <w:basedOn w:val="a3"/>
    <w:link w:val="1"/>
    <w:uiPriority w:val="1"/>
    <w:rsid w:val="00F41DE0"/>
    <w:rPr>
      <w:rFonts w:eastAsiaTheme="majorEastAsia"/>
      <w:bCs/>
      <w:szCs w:val="36"/>
      <w:u w:val="single"/>
    </w:rPr>
  </w:style>
  <w:style w:type="character" w:customStyle="1" w:styleId="22">
    <w:name w:val="כותרת 2 תו2"/>
    <w:basedOn w:val="a3"/>
    <w:link w:val="2"/>
    <w:uiPriority w:val="1"/>
    <w:rsid w:val="00F41DE0"/>
    <w:rPr>
      <w:rFonts w:eastAsiaTheme="majorEastAsia"/>
      <w:bCs/>
      <w:szCs w:val="32"/>
    </w:rPr>
  </w:style>
  <w:style w:type="character" w:customStyle="1" w:styleId="32">
    <w:name w:val="כותרת 3 תו2"/>
    <w:basedOn w:val="a3"/>
    <w:link w:val="3"/>
    <w:uiPriority w:val="1"/>
    <w:rsid w:val="00F41DE0"/>
    <w:rPr>
      <w:rFonts w:eastAsiaTheme="majorEastAsia"/>
      <w:bCs/>
      <w:szCs w:val="28"/>
      <w:u w:val="single"/>
    </w:rPr>
  </w:style>
  <w:style w:type="character" w:customStyle="1" w:styleId="41">
    <w:name w:val="כותרת 4 תו1"/>
    <w:basedOn w:val="a3"/>
    <w:link w:val="4"/>
    <w:uiPriority w:val="1"/>
    <w:rsid w:val="00F41DE0"/>
    <w:rPr>
      <w:rFonts w:eastAsiaTheme="majorEastAsia"/>
      <w:bCs/>
      <w:szCs w:val="26"/>
    </w:rPr>
  </w:style>
  <w:style w:type="character" w:customStyle="1" w:styleId="51">
    <w:name w:val="כותרת 5 תו1"/>
    <w:basedOn w:val="a3"/>
    <w:link w:val="5"/>
    <w:uiPriority w:val="1"/>
    <w:rsid w:val="00F41DE0"/>
    <w:rPr>
      <w:rFonts w:eastAsiaTheme="majorEastAsia"/>
      <w:bCs/>
      <w:spacing w:val="40"/>
    </w:rPr>
  </w:style>
  <w:style w:type="character" w:customStyle="1" w:styleId="61">
    <w:name w:val="כותרת 6 תו1"/>
    <w:basedOn w:val="a3"/>
    <w:link w:val="6"/>
    <w:uiPriority w:val="1"/>
    <w:rsid w:val="00F41DE0"/>
    <w:rPr>
      <w:rFonts w:eastAsiaTheme="majorEastAsia"/>
      <w:spacing w:val="40"/>
    </w:rPr>
  </w:style>
  <w:style w:type="character" w:customStyle="1" w:styleId="71">
    <w:name w:val="כותרת 7 תו1"/>
    <w:basedOn w:val="a3"/>
    <w:link w:val="70"/>
    <w:uiPriority w:val="1"/>
    <w:rsid w:val="00F41DE0"/>
    <w:rPr>
      <w:rFonts w:eastAsiaTheme="majorEastAsia"/>
      <w:bCs/>
      <w:spacing w:val="40"/>
    </w:rPr>
  </w:style>
  <w:style w:type="character" w:customStyle="1" w:styleId="81">
    <w:name w:val="כותרת 8 תו1"/>
    <w:basedOn w:val="a3"/>
    <w:link w:val="8"/>
    <w:uiPriority w:val="1"/>
    <w:rsid w:val="00F41DE0"/>
    <w:rPr>
      <w:rFonts w:eastAsiaTheme="majorEastAsia"/>
      <w:spacing w:val="40"/>
    </w:rPr>
  </w:style>
  <w:style w:type="paragraph" w:styleId="a6">
    <w:name w:val="header"/>
    <w:basedOn w:val="a2"/>
    <w:link w:val="10"/>
    <w:uiPriority w:val="99"/>
    <w:unhideWhenUsed/>
    <w:rsid w:val="000501A4"/>
    <w:pPr>
      <w:tabs>
        <w:tab w:val="center" w:pos="4153"/>
        <w:tab w:val="right" w:pos="8306"/>
      </w:tabs>
      <w:spacing w:line="240" w:lineRule="auto"/>
    </w:pPr>
  </w:style>
  <w:style w:type="character" w:customStyle="1" w:styleId="10">
    <w:name w:val="כותרת עליונה תו1"/>
    <w:basedOn w:val="a3"/>
    <w:link w:val="a6"/>
    <w:uiPriority w:val="99"/>
    <w:rsid w:val="000501A4"/>
  </w:style>
  <w:style w:type="paragraph" w:styleId="a7">
    <w:name w:val="footer"/>
    <w:aliases w:val="כותרת תחתונה תו תו תו,כותרת תחתונה תו תו תו תו תו"/>
    <w:basedOn w:val="a2"/>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3"/>
    <w:link w:val="a7"/>
    <w:uiPriority w:val="99"/>
    <w:rsid w:val="000501A4"/>
  </w:style>
  <w:style w:type="paragraph" w:styleId="a8">
    <w:name w:val="Date"/>
    <w:basedOn w:val="a2"/>
    <w:next w:val="a2"/>
    <w:link w:val="21"/>
    <w:uiPriority w:val="99"/>
    <w:unhideWhenUsed/>
    <w:rsid w:val="000501A4"/>
    <w:pPr>
      <w:spacing w:before="120" w:line="240" w:lineRule="auto"/>
    </w:pPr>
  </w:style>
  <w:style w:type="character" w:customStyle="1" w:styleId="21">
    <w:name w:val="תאריך תו2"/>
    <w:basedOn w:val="a3"/>
    <w:link w:val="a8"/>
    <w:uiPriority w:val="99"/>
    <w:rsid w:val="000501A4"/>
  </w:style>
  <w:style w:type="paragraph" w:styleId="a9">
    <w:name w:val="footnote text"/>
    <w:aliases w:val=" Char,FOOTNOTES,Footnote Text - Sharp,Footnote Text - Sharp Char,Footnote Text - Sharp Char Char,Footnote Text Char Char Char Char Char,Footnote reference,Sharp - Footnote Text,Sharp - Footnote Text1 Char,fn,footnote text,single space,F"/>
    <w:basedOn w:val="a2"/>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3"/>
    <w:link w:val="a9"/>
    <w:uiPriority w:val="99"/>
    <w:rsid w:val="00574579"/>
    <w:rPr>
      <w:szCs w:val="20"/>
    </w:rPr>
  </w:style>
  <w:style w:type="table" w:styleId="aa">
    <w:name w:val="Table Grid"/>
    <w:basedOn w:val="a4"/>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4"/>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b">
    <w:name w:val="Balloon Text"/>
    <w:basedOn w:val="a2"/>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3"/>
    <w:link w:val="ab"/>
    <w:uiPriority w:val="99"/>
    <w:rsid w:val="00AF6305"/>
    <w:rPr>
      <w:rFonts w:ascii="Tahoma" w:hAnsi="Tahoma" w:cs="Tahoma"/>
      <w:sz w:val="18"/>
      <w:szCs w:val="18"/>
    </w:rPr>
  </w:style>
  <w:style w:type="paragraph" w:styleId="ac">
    <w:name w:val="annotation text"/>
    <w:basedOn w:val="a2"/>
    <w:link w:val="13"/>
    <w:uiPriority w:val="99"/>
    <w:unhideWhenUsed/>
    <w:rsid w:val="005F492A"/>
    <w:pPr>
      <w:spacing w:line="240" w:lineRule="auto"/>
    </w:pPr>
    <w:rPr>
      <w:szCs w:val="20"/>
    </w:rPr>
  </w:style>
  <w:style w:type="character" w:customStyle="1" w:styleId="13">
    <w:name w:val="טקסט הערה תו1"/>
    <w:basedOn w:val="a3"/>
    <w:link w:val="ac"/>
    <w:uiPriority w:val="99"/>
    <w:rsid w:val="005F492A"/>
    <w:rPr>
      <w:szCs w:val="20"/>
    </w:rPr>
  </w:style>
  <w:style w:type="paragraph" w:styleId="ad">
    <w:name w:val="annotation subject"/>
    <w:basedOn w:val="ac"/>
    <w:next w:val="ac"/>
    <w:link w:val="23"/>
    <w:uiPriority w:val="99"/>
    <w:unhideWhenUsed/>
    <w:rsid w:val="005F492A"/>
    <w:rPr>
      <w:b/>
      <w:bCs/>
    </w:rPr>
  </w:style>
  <w:style w:type="character" w:customStyle="1" w:styleId="23">
    <w:name w:val="נושא הערה תו2"/>
    <w:basedOn w:val="13"/>
    <w:link w:val="ad"/>
    <w:uiPriority w:val="99"/>
    <w:rsid w:val="005F492A"/>
    <w:rPr>
      <w:b/>
      <w:bCs/>
      <w:szCs w:val="20"/>
    </w:rPr>
  </w:style>
  <w:style w:type="paragraph" w:styleId="ae">
    <w:name w:val="List Paragraph"/>
    <w:aliases w:val="LP1,פיסקת bullets,Bullet List,FooterText,List Paragraph_0,List Paragraph_1,List Paragraph_2,Paragraphe de liste1,lp1,numbered,List Paragraph1,style 2"/>
    <w:basedOn w:val="a2"/>
    <w:link w:val="af"/>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3"/>
    <w:uiPriority w:val="99"/>
    <w:unhideWhenUsed/>
    <w:rsid w:val="005A4042"/>
    <w:rPr>
      <w:color w:val="6B9F25" w:themeColor="hyperlink"/>
      <w:u w:val="single"/>
    </w:rPr>
  </w:style>
  <w:style w:type="paragraph" w:customStyle="1" w:styleId="p00">
    <w:name w:val="p00"/>
    <w:basedOn w:val="a2"/>
    <w:rsid w:val="00C24503"/>
    <w:pPr>
      <w:bidi w:val="0"/>
      <w:spacing w:before="100" w:beforeAutospacing="1" w:after="100" w:afterAutospacing="1" w:line="240" w:lineRule="auto"/>
      <w:jc w:val="left"/>
    </w:pPr>
    <w:rPr>
      <w:rFonts w:eastAsia="Times New Roman" w:cs="Times New Roman"/>
      <w:sz w:val="24"/>
    </w:rPr>
  </w:style>
  <w:style w:type="paragraph" w:styleId="af0">
    <w:name w:val="Revision"/>
    <w:hidden/>
    <w:uiPriority w:val="99"/>
    <w:semiHidden/>
    <w:rsid w:val="00AF6A68"/>
    <w:pPr>
      <w:spacing w:after="0" w:line="240" w:lineRule="auto"/>
      <w:jc w:val="left"/>
    </w:pPr>
  </w:style>
  <w:style w:type="character" w:customStyle="1" w:styleId="default">
    <w:name w:val="default"/>
    <w:basedOn w:val="a3"/>
    <w:rsid w:val="00C24503"/>
  </w:style>
  <w:style w:type="paragraph" w:customStyle="1" w:styleId="NAME">
    <w:name w:val="NAME"/>
    <w:basedOn w:val="a2"/>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3"/>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3"/>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4"/>
    <w:next w:val="aa"/>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4"/>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1">
    <w:name w:val="Strong"/>
    <w:basedOn w:val="a3"/>
    <w:uiPriority w:val="22"/>
    <w:qFormat/>
    <w:rsid w:val="00444597"/>
    <w:rPr>
      <w:b/>
      <w:bCs/>
    </w:rPr>
  </w:style>
  <w:style w:type="paragraph" w:customStyle="1" w:styleId="rtejustify">
    <w:name w:val="rtejustify"/>
    <w:basedOn w:val="a2"/>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4"/>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2">
    <w:name w:val="caption"/>
    <w:basedOn w:val="a2"/>
    <w:next w:val="a2"/>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3"/>
    <w:link w:val="Bodytext20"/>
    <w:rsid w:val="00444597"/>
    <w:rPr>
      <w:rFonts w:eastAsia="Times New Roman" w:cs="Times New Roman"/>
      <w:sz w:val="22"/>
      <w:szCs w:val="22"/>
      <w:shd w:val="clear" w:color="auto" w:fill="FFFFFF"/>
    </w:rPr>
  </w:style>
  <w:style w:type="paragraph" w:customStyle="1" w:styleId="Bodytext20">
    <w:name w:val="Body text (2)"/>
    <w:basedOn w:val="a2"/>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3"/>
    <w:link w:val="Bodytext70"/>
    <w:rsid w:val="00444597"/>
    <w:rPr>
      <w:rFonts w:eastAsia="Times New Roman" w:cs="Times New Roman"/>
      <w:sz w:val="22"/>
      <w:szCs w:val="22"/>
      <w:shd w:val="clear" w:color="auto" w:fill="FFFFFF"/>
    </w:rPr>
  </w:style>
  <w:style w:type="paragraph" w:customStyle="1" w:styleId="Bodytext70">
    <w:name w:val="Body text (7)"/>
    <w:basedOn w:val="a2"/>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3"/>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3"/>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2"/>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3">
    <w:name w:val="Body Text Indent"/>
    <w:basedOn w:val="a2"/>
    <w:link w:val="af4"/>
    <w:uiPriority w:val="99"/>
    <w:unhideWhenUsed/>
    <w:rsid w:val="0006189A"/>
    <w:pPr>
      <w:spacing w:after="120"/>
      <w:ind w:left="340"/>
    </w:pPr>
    <w:rPr>
      <w:rFonts w:ascii="Tahoma" w:hAnsi="Tahoma" w:cs="Tahoma"/>
      <w:sz w:val="16"/>
      <w:szCs w:val="20"/>
    </w:rPr>
  </w:style>
  <w:style w:type="character" w:customStyle="1" w:styleId="af4">
    <w:name w:val="כניסה בגוף טקסט תו"/>
    <w:basedOn w:val="a3"/>
    <w:link w:val="af3"/>
    <w:uiPriority w:val="99"/>
    <w:rsid w:val="0006189A"/>
    <w:rPr>
      <w:rFonts w:ascii="Tahoma" w:hAnsi="Tahoma" w:cs="Tahoma"/>
      <w:sz w:val="16"/>
      <w:szCs w:val="20"/>
    </w:rPr>
  </w:style>
  <w:style w:type="paragraph" w:customStyle="1" w:styleId="121">
    <w:name w:val="כותרת 1_21"/>
    <w:basedOn w:val="a2"/>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3"/>
    <w:rsid w:val="00417266"/>
    <w:rPr>
      <w:color w:val="0000FF"/>
    </w:rPr>
  </w:style>
  <w:style w:type="paragraph" w:customStyle="1" w:styleId="af5">
    <w:name w:val="תואר"/>
    <w:basedOn w:val="a2"/>
    <w:link w:val="af6"/>
    <w:qFormat/>
    <w:rsid w:val="00417266"/>
    <w:pPr>
      <w:spacing w:line="240" w:lineRule="auto"/>
      <w:jc w:val="center"/>
    </w:pPr>
    <w:rPr>
      <w:rFonts w:eastAsia="Times New Roman" w:cs="Times New Roman"/>
      <w:b/>
      <w:bCs/>
      <w:sz w:val="32"/>
      <w:szCs w:val="32"/>
      <w:lang w:eastAsia="he-IL"/>
    </w:rPr>
  </w:style>
  <w:style w:type="character" w:customStyle="1" w:styleId="af6">
    <w:name w:val="תואר תו"/>
    <w:link w:val="af5"/>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7">
    <w:name w:val="TOC Heading"/>
    <w:basedOn w:val="1"/>
    <w:next w:val="a2"/>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3"/>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3"/>
    <w:uiPriority w:val="99"/>
    <w:semiHidden/>
    <w:unhideWhenUsed/>
    <w:rsid w:val="00417266"/>
    <w:rPr>
      <w:color w:val="B26B02" w:themeColor="followedHyperlink"/>
      <w:u w:val="single"/>
    </w:rPr>
  </w:style>
  <w:style w:type="paragraph" w:styleId="af8">
    <w:name w:val="table of figures"/>
    <w:basedOn w:val="a2"/>
    <w:next w:val="a2"/>
    <w:uiPriority w:val="99"/>
    <w:semiHidden/>
    <w:unhideWhenUsed/>
    <w:rsid w:val="00417266"/>
  </w:style>
  <w:style w:type="character" w:styleId="af9">
    <w:name w:val="Placeholder Text"/>
    <w:basedOn w:val="a3"/>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2"/>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9"/>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2"/>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
    <w:name w:val="פיסקת רשימה תו"/>
    <w:aliases w:val="LP1 תו,פיסקת bullets תו,Bullet List תו,FooterText תו,List Paragraph_0 תו,List Paragraph_1 תו,List Paragraph_2 תו,Paragraphe de liste1 תו,lp1 תו,numbered תו,List Paragraph1 תו,style 2 תו"/>
    <w:link w:val="ae"/>
    <w:uiPriority w:val="34"/>
    <w:rsid w:val="00DD7B55"/>
  </w:style>
  <w:style w:type="paragraph" w:customStyle="1" w:styleId="739">
    <w:name w:val="73א הזחה ראשונה מספר"/>
    <w:basedOn w:val="ae"/>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3"/>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e"/>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2"/>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4"/>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2"/>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2"/>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2"/>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a">
    <w:name w:val="כניסה שלישית"/>
    <w:basedOn w:val="ae"/>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2"/>
    <w:uiPriority w:val="99"/>
    <w:rsid w:val="006D5CCE"/>
    <w:pPr>
      <w:bidi w:val="0"/>
      <w:spacing w:before="100" w:beforeAutospacing="1" w:after="100" w:afterAutospacing="1" w:line="240" w:lineRule="auto"/>
      <w:jc w:val="left"/>
    </w:pPr>
    <w:rPr>
      <w:rFonts w:cs="Times New Roman"/>
      <w:sz w:val="24"/>
    </w:rPr>
  </w:style>
  <w:style w:type="paragraph" w:styleId="afb">
    <w:name w:val="Plain Text"/>
    <w:basedOn w:val="a2"/>
    <w:link w:val="afc"/>
    <w:uiPriority w:val="99"/>
    <w:unhideWhenUsed/>
    <w:rsid w:val="006D5CCE"/>
    <w:pPr>
      <w:spacing w:line="240" w:lineRule="auto"/>
      <w:jc w:val="left"/>
    </w:pPr>
    <w:rPr>
      <w:rFonts w:ascii="Calibri" w:hAnsi="Calibri" w:cstheme="minorBidi"/>
      <w:sz w:val="22"/>
      <w:szCs w:val="21"/>
    </w:rPr>
  </w:style>
  <w:style w:type="character" w:customStyle="1" w:styleId="afc">
    <w:name w:val="טקסט רגיל תו"/>
    <w:basedOn w:val="a3"/>
    <w:link w:val="afb"/>
    <w:uiPriority w:val="99"/>
    <w:rsid w:val="006D5CCE"/>
    <w:rPr>
      <w:rFonts w:ascii="Calibri" w:hAnsi="Calibri" w:cstheme="minorBidi"/>
      <w:sz w:val="22"/>
      <w:szCs w:val="21"/>
    </w:rPr>
  </w:style>
  <w:style w:type="table" w:customStyle="1" w:styleId="25">
    <w:name w:val="רשת טבלה2"/>
    <w:basedOn w:val="a4"/>
    <w:next w:val="aa"/>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2"/>
    <w:link w:val="afe"/>
    <w:uiPriority w:val="99"/>
    <w:semiHidden/>
    <w:unhideWhenUsed/>
    <w:rsid w:val="006D5CCE"/>
    <w:pPr>
      <w:spacing w:line="240" w:lineRule="auto"/>
    </w:pPr>
    <w:rPr>
      <w:szCs w:val="20"/>
    </w:rPr>
  </w:style>
  <w:style w:type="character" w:customStyle="1" w:styleId="afe">
    <w:name w:val="טקסט הערת סיום תו"/>
    <w:basedOn w:val="a3"/>
    <w:link w:val="afd"/>
    <w:uiPriority w:val="99"/>
    <w:semiHidden/>
    <w:rsid w:val="006D5CCE"/>
    <w:rPr>
      <w:szCs w:val="20"/>
    </w:rPr>
  </w:style>
  <w:style w:type="paragraph" w:customStyle="1" w:styleId="110">
    <w:name w:val="כותרת 11"/>
    <w:basedOn w:val="a2"/>
    <w:next w:val="a2"/>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2"/>
    <w:next w:val="a2"/>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2"/>
    <w:next w:val="a2"/>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2"/>
    <w:next w:val="a2"/>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2"/>
    <w:next w:val="a2"/>
    <w:link w:val="50"/>
    <w:uiPriority w:val="1"/>
    <w:qFormat/>
    <w:rsid w:val="002516DF"/>
    <w:pPr>
      <w:keepNext/>
      <w:keepLines/>
      <w:outlineLvl w:val="4"/>
    </w:pPr>
    <w:rPr>
      <w:rFonts w:eastAsia="Times New Roman"/>
      <w:bCs/>
      <w:spacing w:val="40"/>
    </w:rPr>
  </w:style>
  <w:style w:type="paragraph" w:customStyle="1" w:styleId="610">
    <w:name w:val="כותרת 61"/>
    <w:basedOn w:val="a2"/>
    <w:next w:val="a2"/>
    <w:link w:val="60"/>
    <w:uiPriority w:val="1"/>
    <w:qFormat/>
    <w:rsid w:val="002516DF"/>
    <w:pPr>
      <w:keepNext/>
      <w:keepLines/>
      <w:outlineLvl w:val="5"/>
    </w:pPr>
    <w:rPr>
      <w:rFonts w:eastAsia="Times New Roman"/>
      <w:spacing w:val="40"/>
    </w:rPr>
  </w:style>
  <w:style w:type="paragraph" w:customStyle="1" w:styleId="710">
    <w:name w:val="כותרת 71"/>
    <w:basedOn w:val="a2"/>
    <w:next w:val="a2"/>
    <w:link w:val="72"/>
    <w:uiPriority w:val="1"/>
    <w:qFormat/>
    <w:rsid w:val="002516DF"/>
    <w:pPr>
      <w:keepNext/>
      <w:keepLines/>
      <w:outlineLvl w:val="6"/>
    </w:pPr>
    <w:rPr>
      <w:rFonts w:eastAsia="Times New Roman"/>
      <w:bCs/>
      <w:spacing w:val="40"/>
    </w:rPr>
  </w:style>
  <w:style w:type="paragraph" w:customStyle="1" w:styleId="810">
    <w:name w:val="כותרת 81"/>
    <w:basedOn w:val="a2"/>
    <w:next w:val="a2"/>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2"/>
    <w:link w:val="aff"/>
    <w:uiPriority w:val="99"/>
    <w:unhideWhenUsed/>
    <w:rsid w:val="002516DF"/>
    <w:pPr>
      <w:tabs>
        <w:tab w:val="center" w:pos="4153"/>
        <w:tab w:val="right" w:pos="8306"/>
      </w:tabs>
      <w:spacing w:line="240" w:lineRule="auto"/>
    </w:pPr>
    <w:rPr>
      <w:rFonts w:eastAsia="Calibri"/>
    </w:rPr>
  </w:style>
  <w:style w:type="character" w:customStyle="1" w:styleId="aff">
    <w:name w:val="כותרת עליונה תו"/>
    <w:basedOn w:val="a3"/>
    <w:link w:val="18"/>
    <w:uiPriority w:val="99"/>
    <w:rsid w:val="002516DF"/>
    <w:rPr>
      <w:rFonts w:eastAsia="Calibri"/>
    </w:rPr>
  </w:style>
  <w:style w:type="paragraph" w:customStyle="1" w:styleId="19">
    <w:name w:val="כותרת תחתונה1"/>
    <w:basedOn w:val="a2"/>
    <w:link w:val="aff0"/>
    <w:uiPriority w:val="99"/>
    <w:unhideWhenUsed/>
    <w:rsid w:val="002516DF"/>
    <w:pPr>
      <w:tabs>
        <w:tab w:val="center" w:pos="4153"/>
        <w:tab w:val="right" w:pos="8306"/>
      </w:tabs>
      <w:spacing w:line="240" w:lineRule="auto"/>
    </w:pPr>
    <w:rPr>
      <w:rFonts w:eastAsia="Calibri"/>
    </w:rPr>
  </w:style>
  <w:style w:type="character" w:customStyle="1" w:styleId="aff0">
    <w:name w:val="כותרת תחתונה תו"/>
    <w:basedOn w:val="a3"/>
    <w:link w:val="19"/>
    <w:uiPriority w:val="99"/>
    <w:rsid w:val="002516DF"/>
    <w:rPr>
      <w:rFonts w:eastAsia="Calibri"/>
    </w:rPr>
  </w:style>
  <w:style w:type="paragraph" w:customStyle="1" w:styleId="1a">
    <w:name w:val="תאריך1"/>
    <w:basedOn w:val="a2"/>
    <w:next w:val="a2"/>
    <w:link w:val="aff1"/>
    <w:uiPriority w:val="99"/>
    <w:unhideWhenUsed/>
    <w:rsid w:val="002516DF"/>
    <w:pPr>
      <w:spacing w:before="120" w:line="240" w:lineRule="auto"/>
    </w:pPr>
    <w:rPr>
      <w:rFonts w:eastAsia="Calibri"/>
    </w:rPr>
  </w:style>
  <w:style w:type="character" w:customStyle="1" w:styleId="aff1">
    <w:name w:val="תאריך תו"/>
    <w:basedOn w:val="a3"/>
    <w:link w:val="1a"/>
    <w:uiPriority w:val="99"/>
    <w:rsid w:val="002516DF"/>
    <w:rPr>
      <w:rFonts w:eastAsia="Calibri"/>
    </w:rPr>
  </w:style>
  <w:style w:type="character" w:customStyle="1" w:styleId="aff2">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2"/>
    <w:uiPriority w:val="34"/>
    <w:qFormat/>
    <w:rsid w:val="002516DF"/>
    <w:pPr>
      <w:ind w:left="720"/>
      <w:contextualSpacing/>
    </w:pPr>
    <w:rPr>
      <w:rFonts w:eastAsia="Calibri"/>
    </w:rPr>
  </w:style>
  <w:style w:type="paragraph" w:customStyle="1" w:styleId="aff3">
    <w:name w:val="סגנון רגיל +"/>
    <w:basedOn w:val="a2"/>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2"/>
    <w:link w:val="aff4"/>
    <w:uiPriority w:val="99"/>
    <w:semiHidden/>
    <w:unhideWhenUsed/>
    <w:rsid w:val="002516DF"/>
    <w:pPr>
      <w:spacing w:line="240" w:lineRule="auto"/>
    </w:pPr>
    <w:rPr>
      <w:rFonts w:ascii="Tahoma" w:eastAsia="Calibri" w:hAnsi="Tahoma" w:cs="Tahoma"/>
      <w:sz w:val="18"/>
      <w:szCs w:val="18"/>
    </w:rPr>
  </w:style>
  <w:style w:type="character" w:customStyle="1" w:styleId="aff4">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2"/>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2"/>
    <w:next w:val="a2"/>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4"/>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4"/>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4"/>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4"/>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2"/>
    <w:link w:val="aff5"/>
    <w:uiPriority w:val="99"/>
    <w:unhideWhenUsed/>
    <w:rsid w:val="002516DF"/>
    <w:pPr>
      <w:spacing w:line="240" w:lineRule="auto"/>
    </w:pPr>
    <w:rPr>
      <w:rFonts w:eastAsia="Calibri"/>
      <w:szCs w:val="20"/>
    </w:rPr>
  </w:style>
  <w:style w:type="character" w:customStyle="1" w:styleId="aff5">
    <w:name w:val="טקסט הערה תו"/>
    <w:link w:val="1f0"/>
    <w:uiPriority w:val="99"/>
    <w:rsid w:val="002516DF"/>
    <w:rPr>
      <w:rFonts w:eastAsia="Calibri"/>
      <w:szCs w:val="20"/>
    </w:rPr>
  </w:style>
  <w:style w:type="paragraph" w:customStyle="1" w:styleId="1f1">
    <w:name w:val="נושא הערה1"/>
    <w:basedOn w:val="1f0"/>
    <w:next w:val="1f0"/>
    <w:link w:val="aff6"/>
    <w:uiPriority w:val="99"/>
    <w:semiHidden/>
    <w:unhideWhenUsed/>
    <w:rsid w:val="002516DF"/>
    <w:rPr>
      <w:b/>
      <w:bCs/>
    </w:rPr>
  </w:style>
  <w:style w:type="character" w:customStyle="1" w:styleId="aff6">
    <w:name w:val="נושא הערה תו"/>
    <w:link w:val="1f1"/>
    <w:uiPriority w:val="99"/>
    <w:semiHidden/>
    <w:rsid w:val="002516DF"/>
    <w:rPr>
      <w:rFonts w:eastAsia="Calibri"/>
      <w:b/>
      <w:bCs/>
      <w:szCs w:val="20"/>
    </w:rPr>
  </w:style>
  <w:style w:type="character" w:customStyle="1" w:styleId="212">
    <w:name w:val="כותרת 2 תו1"/>
    <w:basedOn w:val="a3"/>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3"/>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3"/>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3"/>
    <w:rsid w:val="00387987"/>
  </w:style>
  <w:style w:type="paragraph" w:customStyle="1" w:styleId="p22">
    <w:name w:val="p22"/>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2"/>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4"/>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4"/>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4"/>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4"/>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4"/>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4"/>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4"/>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2"/>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e"/>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e"/>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7">
    <w:name w:val="נבנצלים"/>
    <w:basedOn w:val="a2"/>
    <w:next w:val="a2"/>
    <w:rsid w:val="00114E4E"/>
    <w:pPr>
      <w:widowControl w:val="0"/>
      <w:ind w:left="-567"/>
    </w:pPr>
    <w:rPr>
      <w:rFonts w:eastAsia="Times New Roman"/>
      <w:sz w:val="24"/>
      <w:szCs w:val="20"/>
      <w:lang w:eastAsia="he-IL"/>
    </w:rPr>
  </w:style>
  <w:style w:type="character" w:customStyle="1" w:styleId="Bodytext5">
    <w:name w:val="Body text (5)_"/>
    <w:basedOn w:val="a3"/>
    <w:link w:val="Bodytext50"/>
    <w:rsid w:val="00114E4E"/>
    <w:rPr>
      <w:rFonts w:ascii="David" w:eastAsia="David" w:hAnsi="David"/>
      <w:sz w:val="21"/>
      <w:szCs w:val="21"/>
      <w:shd w:val="clear" w:color="auto" w:fill="FFFFFF"/>
    </w:rPr>
  </w:style>
  <w:style w:type="paragraph" w:customStyle="1" w:styleId="Bodytext50">
    <w:name w:val="Body text (5)"/>
    <w:basedOn w:val="a2"/>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8">
    <w:name w:val="Subtitle"/>
    <w:basedOn w:val="a2"/>
    <w:next w:val="a2"/>
    <w:link w:val="aff9"/>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9">
    <w:name w:val="כותרת משנה תו"/>
    <w:basedOn w:val="a3"/>
    <w:link w:val="aff8"/>
    <w:rsid w:val="00114E4E"/>
    <w:rPr>
      <w:rFonts w:ascii="Cambria" w:eastAsia="Times New Roman" w:hAnsi="Cambria" w:cs="Times New Roman"/>
      <w:sz w:val="24"/>
      <w:lang w:val="x-none" w:eastAsia="x-none"/>
    </w:rPr>
  </w:style>
  <w:style w:type="paragraph" w:styleId="z-">
    <w:name w:val="HTML Top of Form"/>
    <w:basedOn w:val="a2"/>
    <w:next w:val="a2"/>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3"/>
    <w:link w:val="z-"/>
    <w:uiPriority w:val="99"/>
    <w:semiHidden/>
    <w:rsid w:val="00114E4E"/>
    <w:rPr>
      <w:rFonts w:ascii="Arial" w:eastAsia="Times New Roman" w:hAnsi="Arial" w:cs="Arial"/>
      <w:vanish/>
      <w:sz w:val="16"/>
      <w:szCs w:val="16"/>
    </w:rPr>
  </w:style>
  <w:style w:type="character" w:customStyle="1" w:styleId="92">
    <w:name w:val="כותרת 9 תו2"/>
    <w:basedOn w:val="a3"/>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2"/>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4"/>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4"/>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2"/>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2"/>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4"/>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a">
    <w:name w:val="No Spacing"/>
    <w:link w:val="affb"/>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b">
    <w:name w:val="ללא מרווח תו"/>
    <w:basedOn w:val="a3"/>
    <w:link w:val="affa"/>
    <w:uiPriority w:val="1"/>
    <w:rsid w:val="00BA23AE"/>
    <w:rPr>
      <w:rFonts w:asciiTheme="minorHAnsi" w:eastAsiaTheme="minorEastAsia" w:hAnsiTheme="minorHAnsi" w:cstheme="minorBidi"/>
      <w:sz w:val="22"/>
      <w:szCs w:val="22"/>
    </w:rPr>
  </w:style>
  <w:style w:type="character" w:customStyle="1" w:styleId="91">
    <w:name w:val="כותרת 9 תו1"/>
    <w:basedOn w:val="a3"/>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4"/>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4"/>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c">
    <w:name w:val="טבלה הערות מתחת"/>
    <w:basedOn w:val="736"/>
    <w:qFormat/>
    <w:rsid w:val="00771BEC"/>
    <w:pPr>
      <w:spacing w:before="120"/>
    </w:pPr>
  </w:style>
  <w:style w:type="paragraph" w:customStyle="1" w:styleId="730">
    <w:name w:val="73א אותיות רשימה א"/>
    <w:aliases w:val="ב"/>
    <w:basedOn w:val="ae"/>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d">
    <w:name w:val="קריאות"/>
    <w:basedOn w:val="a2"/>
    <w:next w:val="a2"/>
    <w:rsid w:val="00CF1EB5"/>
    <w:pPr>
      <w:spacing w:line="240" w:lineRule="exact"/>
    </w:pPr>
    <w:rPr>
      <w:rFonts w:ascii="David" w:eastAsia="Times New Roman" w:hAnsi="David"/>
      <w:sz w:val="24"/>
      <w:u w:val="single"/>
      <w:lang w:eastAsia="he-IL"/>
    </w:rPr>
  </w:style>
  <w:style w:type="paragraph" w:customStyle="1" w:styleId="affe">
    <w:name w:val="יור"/>
    <w:basedOn w:val="a2"/>
    <w:next w:val="a2"/>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
    <w:locked/>
    <w:rsid w:val="00CF1EB5"/>
    <w:rPr>
      <w:bCs/>
      <w:noProof/>
      <w:sz w:val="24"/>
      <w:lang w:eastAsia="he-IL"/>
    </w:rPr>
  </w:style>
  <w:style w:type="paragraph" w:customStyle="1" w:styleId="afff">
    <w:name w:val="ציטוט בג&quot;צ"/>
    <w:basedOn w:val="a2"/>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4"/>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4"/>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4"/>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4"/>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3"/>
    <w:rsid w:val="00D81F77"/>
  </w:style>
  <w:style w:type="paragraph" w:customStyle="1" w:styleId="a0">
    <w:name w:val="כותרת סעיף"/>
    <w:basedOn w:val="a2"/>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e"/>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3"/>
    <w:uiPriority w:val="99"/>
    <w:semiHidden/>
    <w:rsid w:val="00DF2BC6"/>
    <w:rPr>
      <w:szCs w:val="20"/>
    </w:rPr>
  </w:style>
  <w:style w:type="character" w:customStyle="1" w:styleId="UnresolvedMention1">
    <w:name w:val="Unresolved Mention1"/>
    <w:basedOn w:val="a3"/>
    <w:uiPriority w:val="99"/>
    <w:semiHidden/>
    <w:unhideWhenUsed/>
    <w:rsid w:val="00B24213"/>
    <w:rPr>
      <w:color w:val="605E5C"/>
      <w:shd w:val="clear" w:color="auto" w:fill="E1DFDD"/>
    </w:rPr>
  </w:style>
  <w:style w:type="character" w:customStyle="1" w:styleId="Bodytext4">
    <w:name w:val="Body text (4)_"/>
    <w:basedOn w:val="a3"/>
    <w:link w:val="Bodytext40"/>
    <w:rsid w:val="008C0B8B"/>
    <w:rPr>
      <w:rFonts w:ascii="David" w:eastAsia="David" w:hAnsi="David"/>
      <w:b/>
      <w:bCs/>
      <w:sz w:val="22"/>
      <w:szCs w:val="22"/>
      <w:shd w:val="clear" w:color="auto" w:fill="FFFFFF"/>
    </w:rPr>
  </w:style>
  <w:style w:type="paragraph" w:customStyle="1" w:styleId="Bodytext40">
    <w:name w:val="Body text (4)"/>
    <w:basedOn w:val="a2"/>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3"/>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2"/>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3"/>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0">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3"/>
    <w:link w:val="100"/>
    <w:rsid w:val="00D17911"/>
    <w:rPr>
      <w:rFonts w:ascii="Tahoma" w:hAnsi="Tahoma" w:cs="Tahoma"/>
      <w:szCs w:val="20"/>
    </w:rPr>
  </w:style>
  <w:style w:type="character" w:customStyle="1" w:styleId="Char0">
    <w:name w:val="טקסט רץ Char"/>
    <w:basedOn w:val="10Char"/>
    <w:link w:val="afff0"/>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3"/>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2"/>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2"/>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3"/>
    <w:link w:val="214"/>
    <w:rsid w:val="00454096"/>
    <w:rPr>
      <w:rFonts w:ascii="Tahoma" w:eastAsiaTheme="minorEastAsia" w:hAnsi="Tahoma" w:cs="Tahoma"/>
      <w:b/>
      <w:bCs/>
      <w:color w:val="00305F"/>
      <w:sz w:val="34"/>
      <w:szCs w:val="32"/>
    </w:rPr>
  </w:style>
  <w:style w:type="paragraph" w:customStyle="1" w:styleId="210">
    <w:name w:val="פעולות הביקורת 21"/>
    <w:basedOn w:val="a2"/>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3"/>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3"/>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2"/>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2"/>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1">
    <w:name w:val="לוחות/תרשימים/תמונות/אינפוגרפיקה/מפות"/>
    <w:basedOn w:val="a2"/>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1"/>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3"/>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3"/>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2"/>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3"/>
    <w:link w:val="34"/>
    <w:rsid w:val="001F3363"/>
    <w:rPr>
      <w:rFonts w:ascii="Tahoma" w:hAnsi="Tahoma" w:cs="Tahoma"/>
      <w:color w:val="0D0D0D" w:themeColor="text1" w:themeTint="F2"/>
      <w:sz w:val="18"/>
      <w:szCs w:val="18"/>
    </w:rPr>
  </w:style>
  <w:style w:type="paragraph" w:customStyle="1" w:styleId="7312">
    <w:name w:val="73א מרווח של 1 בטקס רץ"/>
    <w:basedOn w:val="a2"/>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3"/>
    <w:link w:val="7312"/>
    <w:rsid w:val="001F3363"/>
    <w:rPr>
      <w:rFonts w:ascii="Tahoma" w:hAnsi="Tahoma" w:cs="Tahoma"/>
      <w:color w:val="0D0D0D" w:themeColor="text1" w:themeTint="F2"/>
      <w:spacing w:val="20"/>
      <w:sz w:val="18"/>
      <w:szCs w:val="18"/>
    </w:rPr>
  </w:style>
  <w:style w:type="paragraph" w:customStyle="1" w:styleId="afff2">
    <w:name w:val="כותרת לבנה בתוך תבנית אדומה בתקציר"/>
    <w:basedOn w:val="a2"/>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2"/>
    <w:link w:val="73ff0"/>
    <w:qFormat/>
    <w:rsid w:val="009D41AC"/>
  </w:style>
  <w:style w:type="character" w:customStyle="1" w:styleId="Char1">
    <w:name w:val="כותרת לבנה בתוך תבנית אדומה בתקציר Char"/>
    <w:basedOn w:val="a3"/>
    <w:link w:val="afff2"/>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4"/>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f"/>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2"/>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3"/>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2"/>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3">
    <w:name w:val="מלל מוצלל"/>
    <w:basedOn w:val="a2"/>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2"/>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3"/>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4"/>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4">
    <w:name w:val="נבנצאל תו"/>
    <w:basedOn w:val="a3"/>
    <w:link w:val="afff5"/>
    <w:uiPriority w:val="99"/>
    <w:locked/>
    <w:rsid w:val="00905FB1"/>
    <w:rPr>
      <w:szCs w:val="20"/>
    </w:rPr>
  </w:style>
  <w:style w:type="paragraph" w:customStyle="1" w:styleId="afff5">
    <w:name w:val="נבנצאל"/>
    <w:basedOn w:val="a2"/>
    <w:next w:val="a2"/>
    <w:link w:val="afff4"/>
    <w:uiPriority w:val="99"/>
    <w:rsid w:val="00905FB1"/>
    <w:pPr>
      <w:ind w:left="-567"/>
    </w:pPr>
    <w:rPr>
      <w:szCs w:val="20"/>
    </w:rPr>
  </w:style>
  <w:style w:type="paragraph" w:styleId="afff6">
    <w:name w:val="Document Map"/>
    <w:basedOn w:val="a2"/>
    <w:link w:val="afff7"/>
    <w:uiPriority w:val="99"/>
    <w:semiHidden/>
    <w:unhideWhenUsed/>
    <w:rsid w:val="0030451F"/>
    <w:pPr>
      <w:spacing w:line="240" w:lineRule="auto"/>
    </w:pPr>
    <w:rPr>
      <w:rFonts w:ascii="Tahoma" w:hAnsi="Tahoma" w:cs="Tahoma"/>
      <w:sz w:val="16"/>
      <w:szCs w:val="16"/>
    </w:rPr>
  </w:style>
  <w:style w:type="character" w:customStyle="1" w:styleId="afff7">
    <w:name w:val="מפת מסמך תו"/>
    <w:basedOn w:val="a3"/>
    <w:link w:val="afff6"/>
    <w:uiPriority w:val="99"/>
    <w:semiHidden/>
    <w:rsid w:val="0030451F"/>
    <w:rPr>
      <w:rFonts w:ascii="Tahoma" w:hAnsi="Tahoma" w:cs="Tahoma"/>
      <w:sz w:val="16"/>
      <w:szCs w:val="16"/>
    </w:rPr>
  </w:style>
  <w:style w:type="paragraph" w:customStyle="1" w:styleId="1f4">
    <w:name w:val="סגנון1"/>
    <w:basedOn w:val="af2"/>
    <w:qFormat/>
    <w:rsid w:val="0030451F"/>
    <w:pPr>
      <w:jc w:val="center"/>
    </w:pPr>
    <w:rPr>
      <w:b/>
      <w:bCs/>
      <w:iCs w:val="0"/>
      <w:color w:val="000000" w:themeColor="text1"/>
      <w:sz w:val="24"/>
      <w:szCs w:val="24"/>
    </w:rPr>
  </w:style>
  <w:style w:type="paragraph" w:customStyle="1" w:styleId="27">
    <w:name w:val="סגנון2"/>
    <w:basedOn w:val="af2"/>
    <w:autoRedefine/>
    <w:qFormat/>
    <w:rsid w:val="0030451F"/>
    <w:pPr>
      <w:jc w:val="center"/>
    </w:pPr>
    <w:rPr>
      <w:b/>
      <w:bCs/>
      <w:iCs w:val="0"/>
      <w:color w:val="000000" w:themeColor="text1"/>
      <w:sz w:val="24"/>
      <w:szCs w:val="24"/>
    </w:rPr>
  </w:style>
  <w:style w:type="paragraph" w:customStyle="1" w:styleId="35">
    <w:name w:val="סגנון3"/>
    <w:basedOn w:val="af2"/>
    <w:autoRedefine/>
    <w:qFormat/>
    <w:rsid w:val="0030451F"/>
    <w:pPr>
      <w:jc w:val="center"/>
    </w:pPr>
    <w:rPr>
      <w:b/>
      <w:bCs/>
      <w:iCs w:val="0"/>
      <w:color w:val="000000" w:themeColor="text1"/>
      <w:sz w:val="24"/>
      <w:szCs w:val="24"/>
    </w:rPr>
  </w:style>
  <w:style w:type="paragraph" w:customStyle="1" w:styleId="42">
    <w:name w:val="סגנון4"/>
    <w:basedOn w:val="af2"/>
    <w:autoRedefine/>
    <w:qFormat/>
    <w:rsid w:val="0030451F"/>
    <w:pPr>
      <w:jc w:val="center"/>
    </w:pPr>
    <w:rPr>
      <w:b/>
      <w:bCs/>
      <w:iCs w:val="0"/>
      <w:color w:val="000000" w:themeColor="text1"/>
      <w:sz w:val="24"/>
      <w:szCs w:val="24"/>
    </w:rPr>
  </w:style>
  <w:style w:type="paragraph" w:customStyle="1" w:styleId="afff8">
    <w:name w:val="סגנון כיתוב + לא מודגש לא נטוי"/>
    <w:basedOn w:val="af2"/>
    <w:rsid w:val="0030451F"/>
    <w:pPr>
      <w:spacing w:after="0"/>
    </w:pPr>
    <w:rPr>
      <w:i w:val="0"/>
      <w:color w:val="auto"/>
      <w:sz w:val="20"/>
      <w:szCs w:val="24"/>
    </w:rPr>
  </w:style>
  <w:style w:type="paragraph" w:customStyle="1" w:styleId="-8">
    <w:name w:val="רשויות מקומיות - כותרת 8 בתוך טקסט"/>
    <w:basedOn w:val="a2"/>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3"/>
    <w:link w:val="-8"/>
    <w:rsid w:val="001F3363"/>
    <w:rPr>
      <w:rFonts w:ascii="Tahoma" w:hAnsi="Tahoma" w:cs="Tahoma"/>
      <w:color w:val="00305F"/>
      <w:spacing w:val="20"/>
      <w:sz w:val="18"/>
      <w:szCs w:val="18"/>
    </w:rPr>
  </w:style>
  <w:style w:type="paragraph" w:customStyle="1" w:styleId="7350">
    <w:name w:val="73א כותרת 5 בתוך טקסט מודגש"/>
    <w:basedOn w:val="a2"/>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3"/>
    <w:link w:val="7350"/>
    <w:rsid w:val="001F3363"/>
    <w:rPr>
      <w:rFonts w:ascii="Tahoma" w:hAnsi="Tahoma" w:cs="Tahoma"/>
      <w:bCs/>
      <w:color w:val="00305F"/>
      <w:sz w:val="18"/>
      <w:szCs w:val="18"/>
    </w:rPr>
  </w:style>
  <w:style w:type="paragraph" w:customStyle="1" w:styleId="7381">
    <w:name w:val="73א כותרת 8 בתוך טקסט"/>
    <w:basedOn w:val="a2"/>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3"/>
    <w:link w:val="7381"/>
    <w:rsid w:val="0078358A"/>
    <w:rPr>
      <w:rFonts w:ascii="Tahoma" w:hAnsi="Tahoma" w:cs="Tahoma"/>
      <w:color w:val="0D0D0D" w:themeColor="text1" w:themeTint="F2"/>
      <w:spacing w:val="20"/>
      <w:sz w:val="19"/>
      <w:szCs w:val="18"/>
    </w:rPr>
  </w:style>
  <w:style w:type="paragraph" w:styleId="NormalWeb">
    <w:name w:val="Normal (Web)"/>
    <w:basedOn w:val="a2"/>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9">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2"/>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3"/>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2"/>
    <w:qFormat/>
    <w:rsid w:val="003570AC"/>
    <w:pPr>
      <w:ind w:left="2268"/>
    </w:pPr>
    <w:rPr>
      <w:rFonts w:ascii="Tahoma" w:hAnsi="Tahoma" w:cs="Tahoma"/>
      <w:sz w:val="18"/>
      <w:szCs w:val="18"/>
    </w:rPr>
  </w:style>
  <w:style w:type="paragraph" w:customStyle="1" w:styleId="-1">
    <w:name w:val="עמוד שער פנימי - שם החטיבה"/>
    <w:basedOn w:val="a2"/>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2"/>
    <w:qFormat/>
    <w:rsid w:val="003570AC"/>
    <w:pPr>
      <w:spacing w:before="360" w:line="600" w:lineRule="exact"/>
      <w:ind w:left="2268"/>
      <w:jc w:val="left"/>
    </w:pPr>
    <w:rPr>
      <w:rFonts w:ascii="Tahoma" w:hAnsi="Tahoma" w:cs="Tahoma"/>
      <w:b/>
      <w:bCs/>
      <w:sz w:val="40"/>
      <w:szCs w:val="40"/>
    </w:rPr>
  </w:style>
  <w:style w:type="paragraph" w:customStyle="1" w:styleId="afffa">
    <w:name w:val="מספרים גדולים בנתוני מפתח"/>
    <w:basedOn w:val="a2"/>
    <w:qFormat/>
    <w:rsid w:val="002D4D38"/>
    <w:pPr>
      <w:spacing w:before="120" w:line="240" w:lineRule="auto"/>
      <w:jc w:val="center"/>
    </w:pPr>
    <w:rPr>
      <w:rFonts w:ascii="Tahoma" w:hAnsi="Tahoma" w:cs="Tahoma"/>
      <w:b/>
      <w:bCs/>
      <w:spacing w:val="-28"/>
      <w:sz w:val="36"/>
      <w:szCs w:val="36"/>
    </w:rPr>
  </w:style>
  <w:style w:type="paragraph" w:styleId="36">
    <w:name w:val="List Number 3"/>
    <w:basedOn w:val="a2"/>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4"/>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4"/>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f0"/>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b">
    <w:name w:val="Subtle Reference"/>
    <w:basedOn w:val="a3"/>
    <w:uiPriority w:val="31"/>
    <w:rsid w:val="003B23BE"/>
    <w:rPr>
      <w:smallCaps/>
      <w:color w:val="5A5A5A" w:themeColor="text1" w:themeTint="A5"/>
    </w:rPr>
  </w:style>
  <w:style w:type="paragraph" w:customStyle="1" w:styleId="RESHET">
    <w:name w:val="RESHET"/>
    <w:basedOn w:val="a2"/>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2"/>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2"/>
    <w:next w:val="a2"/>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3"/>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2"/>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2"/>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2"/>
    <w:next w:val="a2"/>
    <w:autoRedefine/>
    <w:uiPriority w:val="39"/>
    <w:unhideWhenUsed/>
    <w:qFormat/>
    <w:rsid w:val="00C9003B"/>
    <w:pPr>
      <w:tabs>
        <w:tab w:val="right" w:leader="dot" w:pos="8211"/>
      </w:tabs>
      <w:spacing w:after="100"/>
      <w:ind w:left="200"/>
    </w:pPr>
  </w:style>
  <w:style w:type="paragraph" w:styleId="TOC3">
    <w:name w:val="toc 3"/>
    <w:basedOn w:val="a2"/>
    <w:next w:val="a2"/>
    <w:autoRedefine/>
    <w:uiPriority w:val="39"/>
    <w:unhideWhenUsed/>
    <w:qFormat/>
    <w:rsid w:val="00C9003B"/>
    <w:pPr>
      <w:spacing w:after="100"/>
      <w:ind w:left="400"/>
    </w:pPr>
  </w:style>
  <w:style w:type="paragraph" w:styleId="TOC1">
    <w:name w:val="toc 1"/>
    <w:basedOn w:val="a2"/>
    <w:next w:val="a2"/>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2"/>
    <w:next w:val="a2"/>
    <w:autoRedefine/>
    <w:uiPriority w:val="39"/>
    <w:unhideWhenUsed/>
    <w:rsid w:val="00C9003B"/>
    <w:pPr>
      <w:spacing w:after="100"/>
      <w:ind w:left="600"/>
    </w:pPr>
  </w:style>
  <w:style w:type="paragraph" w:styleId="TOC6">
    <w:name w:val="toc 6"/>
    <w:basedOn w:val="a2"/>
    <w:next w:val="a2"/>
    <w:autoRedefine/>
    <w:uiPriority w:val="39"/>
    <w:unhideWhenUsed/>
    <w:rsid w:val="00C9003B"/>
    <w:pPr>
      <w:spacing w:after="100"/>
      <w:ind w:left="1000"/>
    </w:pPr>
  </w:style>
  <w:style w:type="paragraph" w:styleId="TOC5">
    <w:name w:val="toc 5"/>
    <w:basedOn w:val="a2"/>
    <w:next w:val="a2"/>
    <w:autoRedefine/>
    <w:uiPriority w:val="39"/>
    <w:unhideWhenUsed/>
    <w:rsid w:val="00C9003B"/>
    <w:pPr>
      <w:spacing w:after="100"/>
      <w:ind w:left="800"/>
    </w:pPr>
  </w:style>
  <w:style w:type="paragraph" w:customStyle="1" w:styleId="ruller41">
    <w:name w:val="ruller41"/>
    <w:basedOn w:val="a2"/>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3"/>
    <w:link w:val="73610"/>
    <w:rsid w:val="0078358A"/>
    <w:rPr>
      <w:rFonts w:ascii="Tahoma" w:hAnsi="Tahoma" w:cs="Tahoma"/>
      <w:b/>
      <w:bCs/>
      <w:color w:val="00305F"/>
      <w:szCs w:val="20"/>
    </w:rPr>
  </w:style>
  <w:style w:type="paragraph" w:customStyle="1" w:styleId="msonormal0">
    <w:name w:val="msonormal"/>
    <w:basedOn w:val="a2"/>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2"/>
    <w:next w:val="a2"/>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2"/>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4"/>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4"/>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4"/>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4"/>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2"/>
    <w:next w:val="a2"/>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2"/>
    <w:next w:val="a2"/>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c">
    <w:name w:val="page number"/>
    <w:basedOn w:val="a3"/>
    <w:uiPriority w:val="99"/>
    <w:semiHidden/>
    <w:unhideWhenUsed/>
    <w:rsid w:val="005B2BF5"/>
  </w:style>
  <w:style w:type="table" w:customStyle="1" w:styleId="1f5">
    <w:name w:val="טבלת רשת1"/>
    <w:basedOn w:val="a4"/>
    <w:next w:val="aa"/>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List Number"/>
    <w:basedOn w:val="a2"/>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3"/>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3"/>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2"/>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2"/>
    <w:rsid w:val="005B2BF5"/>
    <w:pPr>
      <w:widowControl w:val="0"/>
      <w:shd w:val="clear" w:color="auto" w:fill="FFFFFF"/>
      <w:spacing w:line="371" w:lineRule="exact"/>
      <w:ind w:hanging="740"/>
    </w:pPr>
    <w:rPr>
      <w:rFonts w:ascii="David" w:eastAsia="David" w:hAnsi="David"/>
      <w:sz w:val="22"/>
      <w:szCs w:val="22"/>
    </w:rPr>
  </w:style>
  <w:style w:type="paragraph" w:customStyle="1" w:styleId="afffe">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f">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2"/>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9"/>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e"/>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2"/>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affff0">
    <w:name w:val="footnote reference"/>
    <w:aliases w:val="Footnote Reference_0,Footnote Reference_0_0,Footnote Reference_0_0_0,Footnote Reference_0_0_0_0,Footnote Reference_1,Footnote Reference_2,Footnote Reference_3,Footnote Reference_3_0,Footnote Reference_4,Footnote text,fr"/>
    <w:basedOn w:val="a3"/>
    <w:uiPriority w:val="99"/>
    <w:unhideWhenUsed/>
    <w:rsid w:val="003B6CE3"/>
    <w:rPr>
      <w:vertAlign w:val="superscript"/>
    </w:rPr>
  </w:style>
  <w:style w:type="character" w:styleId="affff1">
    <w:name w:val="endnote reference"/>
    <w:basedOn w:val="a3"/>
    <w:uiPriority w:val="99"/>
    <w:semiHidden/>
    <w:unhideWhenUsed/>
    <w:rsid w:val="003B6CE3"/>
    <w:rPr>
      <w:vertAlign w:val="superscript"/>
    </w:rPr>
  </w:style>
  <w:style w:type="character" w:styleId="affff2">
    <w:name w:val="annotation reference"/>
    <w:basedOn w:val="a3"/>
    <w:uiPriority w:val="99"/>
    <w:unhideWhenUsed/>
    <w:rsid w:val="003B6CE3"/>
    <w:rPr>
      <w:sz w:val="16"/>
      <w:szCs w:val="16"/>
    </w:rPr>
  </w:style>
  <w:style w:type="paragraph" w:customStyle="1" w:styleId="a1">
    <w:name w:val="כותרת תרשים"/>
    <w:qFormat/>
    <w:rsid w:val="003B6CE3"/>
    <w:pPr>
      <w:numPr>
        <w:numId w:val="10"/>
      </w:numPr>
      <w:bidi/>
      <w:ind w:left="357" w:hanging="357"/>
      <w:jc w:val="center"/>
      <w:outlineLvl w:val="6"/>
    </w:pPr>
    <w:rPr>
      <w:rFonts w:ascii="David" w:hAnsi="David"/>
      <w:b/>
      <w:i/>
      <w:sz w:val="24"/>
    </w:rPr>
  </w:style>
  <w:style w:type="paragraph" w:customStyle="1" w:styleId="a">
    <w:name w:val="כותרת לוח"/>
    <w:qFormat/>
    <w:rsid w:val="003B6CE3"/>
    <w:pPr>
      <w:widowControl w:val="0"/>
      <w:numPr>
        <w:numId w:val="11"/>
      </w:numPr>
      <w:bidi/>
      <w:ind w:left="714" w:hanging="357"/>
      <w:jc w:val="center"/>
      <w:outlineLvl w:val="6"/>
    </w:pPr>
    <w:rPr>
      <w:rFonts w:eastAsia="Times New Roman"/>
      <w:sz w:val="22"/>
      <w:lang w:eastAsia="he-IL"/>
    </w:rPr>
  </w:style>
  <w:style w:type="character" w:customStyle="1" w:styleId="1f6">
    <w:name w:val="אזכור לא מזוהה1"/>
    <w:basedOn w:val="a3"/>
    <w:uiPriority w:val="99"/>
    <w:semiHidden/>
    <w:unhideWhenUsed/>
    <w:rsid w:val="003B6CE3"/>
    <w:rPr>
      <w:color w:val="605E5C"/>
      <w:shd w:val="clear" w:color="auto" w:fill="E1DFDD"/>
    </w:rPr>
  </w:style>
  <w:style w:type="character" w:customStyle="1" w:styleId="28">
    <w:name w:val="אזכור לא מזוהה2"/>
    <w:basedOn w:val="a3"/>
    <w:uiPriority w:val="99"/>
    <w:semiHidden/>
    <w:unhideWhenUsed/>
    <w:rsid w:val="003B6CE3"/>
    <w:rPr>
      <w:color w:val="605E5C"/>
      <w:shd w:val="clear" w:color="auto" w:fill="E1DFDD"/>
    </w:rPr>
  </w:style>
  <w:style w:type="character" w:customStyle="1" w:styleId="37">
    <w:name w:val="אזכור לא מזוהה3"/>
    <w:basedOn w:val="a3"/>
    <w:uiPriority w:val="99"/>
    <w:semiHidden/>
    <w:unhideWhenUsed/>
    <w:rsid w:val="003B6CE3"/>
    <w:rPr>
      <w:color w:val="605E5C"/>
      <w:shd w:val="clear" w:color="auto" w:fill="E1DFDD"/>
    </w:rPr>
  </w:style>
  <w:style w:type="character" w:customStyle="1" w:styleId="43">
    <w:name w:val="אזכור לא מזוהה4"/>
    <w:basedOn w:val="a3"/>
    <w:uiPriority w:val="99"/>
    <w:semiHidden/>
    <w:unhideWhenUsed/>
    <w:rsid w:val="003B6CE3"/>
    <w:rPr>
      <w:color w:val="605E5C"/>
      <w:shd w:val="clear" w:color="auto" w:fill="E1DFDD"/>
    </w:rPr>
  </w:style>
  <w:style w:type="character" w:customStyle="1" w:styleId="53">
    <w:name w:val="אזכור לא מזוהה5"/>
    <w:basedOn w:val="a3"/>
    <w:uiPriority w:val="99"/>
    <w:semiHidden/>
    <w:unhideWhenUsed/>
    <w:rsid w:val="003B6CE3"/>
    <w:rPr>
      <w:color w:val="605E5C"/>
      <w:shd w:val="clear" w:color="auto" w:fill="E1DFDD"/>
    </w:rPr>
  </w:style>
  <w:style w:type="character" w:customStyle="1" w:styleId="63">
    <w:name w:val="אזכור לא מזוהה6"/>
    <w:basedOn w:val="a3"/>
    <w:uiPriority w:val="99"/>
    <w:semiHidden/>
    <w:unhideWhenUsed/>
    <w:rsid w:val="003B6CE3"/>
    <w:rPr>
      <w:color w:val="605E5C"/>
      <w:shd w:val="clear" w:color="auto" w:fill="E1DFDD"/>
    </w:rPr>
  </w:style>
  <w:style w:type="character" w:customStyle="1" w:styleId="74">
    <w:name w:val="אזכור לא מזוהה7"/>
    <w:basedOn w:val="a3"/>
    <w:uiPriority w:val="99"/>
    <w:semiHidden/>
    <w:unhideWhenUsed/>
    <w:rsid w:val="003B6CE3"/>
    <w:rPr>
      <w:color w:val="605E5C"/>
      <w:shd w:val="clear" w:color="auto" w:fill="E1DFDD"/>
    </w:rPr>
  </w:style>
  <w:style w:type="character" w:customStyle="1" w:styleId="82">
    <w:name w:val="אזכור לא מזוהה8"/>
    <w:basedOn w:val="a3"/>
    <w:uiPriority w:val="99"/>
    <w:semiHidden/>
    <w:unhideWhenUsed/>
    <w:rsid w:val="003B6CE3"/>
    <w:rPr>
      <w:color w:val="605E5C"/>
      <w:shd w:val="clear" w:color="auto" w:fill="E1DFDD"/>
    </w:rPr>
  </w:style>
  <w:style w:type="character" w:customStyle="1" w:styleId="94">
    <w:name w:val="אזכור לא מזוהה9"/>
    <w:basedOn w:val="a3"/>
    <w:uiPriority w:val="99"/>
    <w:semiHidden/>
    <w:unhideWhenUsed/>
    <w:rsid w:val="003B6CE3"/>
    <w:rPr>
      <w:color w:val="605E5C"/>
      <w:shd w:val="clear" w:color="auto" w:fill="E1DFDD"/>
    </w:rPr>
  </w:style>
  <w:style w:type="character" w:customStyle="1" w:styleId="main">
    <w:name w:val="main"/>
    <w:basedOn w:val="a3"/>
    <w:rsid w:val="003B6CE3"/>
  </w:style>
  <w:style w:type="character" w:customStyle="1" w:styleId="102">
    <w:name w:val="אזכור לא מזוהה10"/>
    <w:basedOn w:val="a3"/>
    <w:uiPriority w:val="99"/>
    <w:semiHidden/>
    <w:unhideWhenUsed/>
    <w:rsid w:val="003B6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9.jp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3.jpe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76EF2-7DE5-4183-A568-4F605E46A01B}"/>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2</TotalTime>
  <Pages>11</Pages>
  <Words>1968</Words>
  <Characters>9841</Characters>
  <Application>Microsoft Office Word</Application>
  <DocSecurity>0</DocSecurity>
  <Lines>82</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3</cp:revision>
  <cp:lastPrinted>2023-06-06T07:12:00Z</cp:lastPrinted>
  <dcterms:created xsi:type="dcterms:W3CDTF">2023-06-22T11:42:00Z</dcterms:created>
  <dcterms:modified xsi:type="dcterms:W3CDTF">2023-06-22T11:44:00Z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