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2567BE" w:rsidRPr="00927FC0" w:rsidP="002567BE" w14:paraId="2AEFF398" w14:textId="10EDD639">
      <w:pPr>
        <w:pStyle w:val="KOT1N"/>
        <w:bidi/>
        <w:spacing w:after="600"/>
        <w:jc w:val="left"/>
        <w:rPr>
          <w:rtl/>
        </w:rPr>
      </w:pPr>
      <w:r w:rsidRPr="00A81021">
        <w:rPr>
          <w:rtl/>
          <w:lang w:bidi="ar-SA"/>
        </w:rPr>
        <w:t xml:space="preserve">المقدمة </w:t>
      </w:r>
      <w:r w:rsidR="00D1100E">
        <w:rPr>
          <w:rFonts w:hint="cs"/>
          <w:rtl/>
        </w:rPr>
        <w:t xml:space="preserve"> </w:t>
      </w:r>
    </w:p>
    <w:p w:rsidR="00342EBC" w:rsidRPr="00C94C05" w:rsidP="00C94C05" w14:paraId="5CD807A0" w14:textId="00B9852B">
      <w:pPr>
        <w:pStyle w:val="7193"/>
        <w:spacing w:line="324" w:lineRule="auto"/>
        <w:rPr>
          <w:rFonts w:eastAsia="Calibri" w:asciiTheme="majorBidi" w:hAnsiTheme="majorBidi" w:cstheme="majorBidi"/>
          <w:color w:val="auto"/>
          <w:sz w:val="24"/>
          <w:szCs w:val="24"/>
          <w:rtl/>
        </w:rPr>
      </w:pPr>
      <w:r w:rsidRPr="00C94C05">
        <w:rPr>
          <w:rFonts w:eastAsia="Calibri" w:asciiTheme="majorBidi" w:hAnsiTheme="majorBidi" w:cstheme="majorBidi"/>
          <w:color w:val="auto"/>
          <w:sz w:val="24"/>
          <w:szCs w:val="24"/>
          <w:rtl/>
          <w:lang w:bidi="ar-SA"/>
        </w:rPr>
        <w:t xml:space="preserve">هذا التقرير هو الجزء الثاني من تقرير الرقابة السنوية، الموضوع على طاولة الكنيست بموجب قانون مراقب الدولة، </w:t>
      </w:r>
      <w:r w:rsidRPr="00C94C05">
        <w:rPr>
          <w:rFonts w:eastAsia="Calibri" w:asciiTheme="majorBidi" w:hAnsiTheme="majorBidi" w:cstheme="majorBidi"/>
          <w:color w:val="auto"/>
          <w:sz w:val="24"/>
          <w:szCs w:val="24"/>
          <w:rtl/>
        </w:rPr>
        <w:t>1958 [</w:t>
      </w:r>
      <w:r w:rsidRPr="00C94C05">
        <w:rPr>
          <w:rFonts w:eastAsia="Calibri" w:asciiTheme="majorBidi" w:hAnsiTheme="majorBidi" w:cstheme="majorBidi"/>
          <w:color w:val="auto"/>
          <w:sz w:val="24"/>
          <w:szCs w:val="24"/>
          <w:rtl/>
          <w:lang w:bidi="ar-SA"/>
        </w:rPr>
        <w:t>صيغة مدموجة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يتناول هذا التقرير بمعظمة جهاز الأمن، وجزء منه يتعامل مع سلطة تبييض الأموال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عدا عن الفصول التي يتم نشرها في هذا التقرير، يوجد فصلين تم تقديمهما لرئيس الحكومة بخصوص جهوزية واستعداد حكومة اسرائيل وجهاز الأمن للتعامل مع تهديدات</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من الحلقة الثالثة، ولكن لحساسيتهم الأمنية وبهدف الحفاظ على أمن الدولة لن يتم نشرهما للجمهور</w:t>
      </w:r>
      <w:r w:rsidRPr="00C94C05">
        <w:rPr>
          <w:rFonts w:eastAsia="Calibri" w:asciiTheme="majorBidi" w:hAnsiTheme="majorBidi" w:cstheme="majorBidi"/>
          <w:color w:val="auto"/>
          <w:sz w:val="24"/>
          <w:szCs w:val="24"/>
          <w:rtl/>
        </w:rPr>
        <w:t xml:space="preserve">. </w:t>
      </w:r>
    </w:p>
    <w:p w:rsidR="00342EBC" w:rsidRPr="00C94C05" w:rsidP="00C94C05" w14:paraId="66A9742B" w14:textId="211876F8">
      <w:pPr>
        <w:pStyle w:val="7193"/>
        <w:spacing w:line="324" w:lineRule="auto"/>
        <w:rPr>
          <w:rFonts w:eastAsia="Calibri" w:asciiTheme="majorBidi" w:hAnsiTheme="majorBidi" w:cstheme="majorBidi"/>
          <w:color w:val="auto"/>
          <w:sz w:val="24"/>
          <w:szCs w:val="24"/>
          <w:rtl/>
        </w:rPr>
      </w:pPr>
      <w:r w:rsidRPr="00C94C05">
        <w:rPr>
          <w:rFonts w:eastAsia="Calibri" w:asciiTheme="majorBidi" w:hAnsiTheme="majorBidi" w:cstheme="majorBidi"/>
          <w:color w:val="auto"/>
          <w:sz w:val="24"/>
          <w:szCs w:val="24"/>
          <w:rtl/>
          <w:lang w:bidi="ar-SA"/>
        </w:rPr>
        <w:t>يعبر هذا التقرير عن رؤية مكتب مراقب الدولة، وبموجبه سنعمل على تحويل رقابة الدولة الى رقابة مبتكرة، ذات علاقة، فعالة ومحفزة للعمل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يشمل هذا التقرير </w:t>
      </w:r>
      <w:r w:rsidR="008D7EA1">
        <w:rPr>
          <w:rFonts w:eastAsia="Calibri" w:asciiTheme="majorBidi" w:hAnsiTheme="majorBidi" w:cstheme="majorBidi" w:hint="cs"/>
          <w:color w:val="auto"/>
          <w:sz w:val="24"/>
          <w:szCs w:val="24"/>
          <w:rtl/>
        </w:rPr>
        <w:t>15</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فصلا بمواضيع مختلفة ومتنوعة تتعلق بجهاز الأمن</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في مجال العمليات، في مجالات النشاطات الوطنية </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الاستراتيجية، في المجال المالي وفي مجال الظروف المعيشية لمن يخدم في جيش الدفاع الاسرائيلي والمزيد</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جميع المواضيع </w:t>
      </w:r>
      <w:r w:rsidRPr="00C94C05">
        <w:rPr>
          <w:rFonts w:eastAsia="Calibri" w:asciiTheme="majorBidi" w:hAnsiTheme="majorBidi" w:cstheme="majorBidi"/>
          <w:color w:val="auto"/>
          <w:sz w:val="24"/>
          <w:szCs w:val="24"/>
          <w:rtl/>
          <w:lang w:bidi="ar-SA"/>
        </w:rPr>
        <w:t>هامة</w:t>
      </w:r>
      <w:r w:rsidRPr="00C94C05">
        <w:rPr>
          <w:rFonts w:eastAsia="Calibri" w:asciiTheme="majorBidi" w:hAnsiTheme="majorBidi" w:cstheme="majorBidi"/>
          <w:color w:val="auto"/>
          <w:sz w:val="24"/>
          <w:szCs w:val="24"/>
          <w:rtl/>
          <w:lang w:bidi="ar-SA"/>
        </w:rPr>
        <w:t>، لكن لن نستطيع ذكرها جميعها في المقدمة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ولهذا سيتم ذكر البضع منها</w:t>
      </w:r>
      <w:r w:rsidRPr="00C94C05">
        <w:rPr>
          <w:rFonts w:eastAsia="Calibri" w:asciiTheme="majorBidi" w:hAnsiTheme="majorBidi" w:cstheme="majorBidi"/>
          <w:color w:val="auto"/>
          <w:sz w:val="24"/>
          <w:szCs w:val="24"/>
          <w:rtl/>
        </w:rPr>
        <w:t xml:space="preserve">: </w:t>
      </w:r>
    </w:p>
    <w:p w:rsidR="00342EBC" w:rsidRPr="00C94C05" w:rsidP="00C94C05" w14:paraId="110C86DE" w14:textId="1CEC1780">
      <w:pPr>
        <w:pStyle w:val="7193"/>
        <w:numPr>
          <w:ilvl w:val="0"/>
          <w:numId w:val="43"/>
        </w:numPr>
        <w:spacing w:line="324" w:lineRule="auto"/>
        <w:rPr>
          <w:rFonts w:eastAsia="Calibri" w:asciiTheme="majorBidi" w:hAnsiTheme="majorBidi" w:cstheme="majorBidi"/>
          <w:color w:val="auto"/>
          <w:sz w:val="24"/>
          <w:szCs w:val="24"/>
          <w:rtl/>
        </w:rPr>
      </w:pPr>
      <w:r w:rsidRPr="00C94C05">
        <w:rPr>
          <w:rFonts w:eastAsia="Calibri" w:asciiTheme="majorBidi" w:hAnsiTheme="majorBidi" w:cstheme="majorBidi"/>
          <w:b/>
          <w:bCs/>
          <w:color w:val="auto"/>
          <w:sz w:val="24"/>
          <w:szCs w:val="24"/>
          <w:rtl/>
          <w:lang w:bidi="ar-SA"/>
        </w:rPr>
        <w:t>مجال الفضاء</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يعتبر مجال الفضاء مجالا استراتيجيا لدولة اسرائيل، وقد تزايدت أهميته للأمن القومي خلال السنوات الأخيرة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منذ منتصف التسعينات، دأب جهاز الأمن على تشغيل مجموعة من الأقمار الاصطناعية لجمع المعلومات الاستخبارية من الفضاء، ومن ضمنها العديد من أقمار </w:t>
      </w:r>
      <w:r w:rsidRPr="00C94C05">
        <w:rPr>
          <w:rFonts w:eastAsia="Calibri" w:asciiTheme="majorBidi" w:hAnsiTheme="majorBidi" w:cstheme="majorBidi"/>
          <w:color w:val="auto"/>
          <w:sz w:val="24"/>
          <w:szCs w:val="24"/>
          <w:rtl/>
        </w:rPr>
        <w:t>"</w:t>
      </w:r>
      <w:r w:rsidRPr="00C94C05">
        <w:rPr>
          <w:rFonts w:eastAsia="Calibri" w:asciiTheme="majorBidi" w:hAnsiTheme="majorBidi" w:cstheme="majorBidi"/>
          <w:color w:val="auto"/>
          <w:sz w:val="24"/>
          <w:szCs w:val="24"/>
          <w:rtl/>
          <w:lang w:bidi="ar-SA"/>
        </w:rPr>
        <w:t>أوفك</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مديرية برنامج </w:t>
      </w:r>
      <w:r w:rsidRPr="00C94C05">
        <w:rPr>
          <w:rFonts w:eastAsia="Calibri" w:asciiTheme="majorBidi" w:hAnsiTheme="majorBidi" w:cstheme="majorBidi"/>
          <w:color w:val="auto"/>
          <w:sz w:val="24"/>
          <w:szCs w:val="24"/>
          <w:rtl/>
        </w:rPr>
        <w:t>"</w:t>
      </w:r>
      <w:r w:rsidRPr="00C94C05">
        <w:rPr>
          <w:rFonts w:eastAsia="Calibri" w:asciiTheme="majorBidi" w:hAnsiTheme="majorBidi" w:cstheme="majorBidi"/>
          <w:color w:val="auto"/>
          <w:sz w:val="24"/>
          <w:szCs w:val="24"/>
          <w:rtl/>
          <w:lang w:bidi="ar-SA"/>
        </w:rPr>
        <w:t>تحدي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مسؤولة عن تطوير وصناعة الأقمار الصناعية لجهاز الأمن، وميزانيتها في السنوات </w:t>
      </w:r>
      <w:r w:rsidRPr="00C94C05">
        <w:rPr>
          <w:rFonts w:eastAsia="Calibri" w:asciiTheme="majorBidi" w:hAnsiTheme="majorBidi" w:cstheme="majorBidi"/>
          <w:color w:val="auto"/>
          <w:sz w:val="24"/>
          <w:szCs w:val="24"/>
          <w:rtl/>
        </w:rPr>
        <w:t xml:space="preserve">2016- 2024 </w:t>
      </w:r>
      <w:r w:rsidRPr="00C94C05">
        <w:rPr>
          <w:rFonts w:eastAsia="Calibri" w:asciiTheme="majorBidi" w:hAnsiTheme="majorBidi" w:cstheme="majorBidi"/>
          <w:color w:val="auto"/>
          <w:sz w:val="24"/>
          <w:szCs w:val="24"/>
          <w:rtl/>
          <w:lang w:bidi="ar-SA"/>
        </w:rPr>
        <w:t>تصل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الى</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عدة مئات الملايين من </w:t>
      </w:r>
      <w:r w:rsidRPr="00C94C05">
        <w:rPr>
          <w:rFonts w:eastAsia="Calibri" w:asciiTheme="majorBidi" w:hAnsiTheme="majorBidi" w:cstheme="majorBidi"/>
          <w:color w:val="auto"/>
          <w:sz w:val="24"/>
          <w:szCs w:val="24"/>
          <w:rtl/>
          <w:lang w:bidi="ar-SA"/>
        </w:rPr>
        <w:t>الشواقل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وجدت أوجه قصور في الرقابة </w:t>
      </w:r>
      <w:r w:rsidRPr="00C94C05">
        <w:rPr>
          <w:rFonts w:eastAsia="Calibri" w:asciiTheme="majorBidi" w:hAnsiTheme="majorBidi" w:cstheme="majorBidi"/>
          <w:color w:val="auto"/>
          <w:sz w:val="24"/>
          <w:szCs w:val="24"/>
          <w:rtl/>
          <w:lang w:bidi="ar-SA"/>
        </w:rPr>
        <w:t xml:space="preserve">بموضوع  </w:t>
      </w:r>
      <w:r w:rsidRPr="00C94C05">
        <w:rPr>
          <w:rFonts w:eastAsia="Calibri" w:asciiTheme="majorBidi" w:hAnsiTheme="majorBidi" w:cstheme="majorBidi"/>
          <w:b/>
          <w:bCs/>
          <w:color w:val="auto"/>
          <w:sz w:val="24"/>
          <w:szCs w:val="24"/>
          <w:rtl/>
          <w:lang w:bidi="ar-SA"/>
        </w:rPr>
        <w:t>مديرية</w:t>
      </w:r>
      <w:r w:rsidRPr="00C94C05">
        <w:rPr>
          <w:rFonts w:eastAsia="Calibri" w:asciiTheme="majorBidi" w:hAnsiTheme="majorBidi" w:cstheme="majorBidi"/>
          <w:b/>
          <w:bCs/>
          <w:color w:val="auto"/>
          <w:sz w:val="24"/>
          <w:szCs w:val="24"/>
          <w:rtl/>
          <w:lang w:bidi="ar-SA"/>
        </w:rPr>
        <w:t xml:space="preserve"> برنامج </w:t>
      </w:r>
      <w:r w:rsidRPr="00C94C05">
        <w:rPr>
          <w:rFonts w:eastAsia="Calibri" w:asciiTheme="majorBidi" w:hAnsiTheme="majorBidi" w:cstheme="majorBidi"/>
          <w:b/>
          <w:bCs/>
          <w:color w:val="auto"/>
          <w:sz w:val="24"/>
          <w:szCs w:val="24"/>
          <w:rtl/>
        </w:rPr>
        <w:t>"</w:t>
      </w:r>
      <w:r w:rsidRPr="00C94C05">
        <w:rPr>
          <w:rFonts w:eastAsia="Calibri" w:asciiTheme="majorBidi" w:hAnsiTheme="majorBidi" w:cstheme="majorBidi"/>
          <w:b/>
          <w:bCs/>
          <w:color w:val="auto"/>
          <w:sz w:val="24"/>
          <w:szCs w:val="24"/>
          <w:rtl/>
          <w:lang w:bidi="ar-SA"/>
        </w:rPr>
        <w:t>تحدي</w:t>
      </w:r>
      <w:r w:rsidRPr="00C94C05">
        <w:rPr>
          <w:rFonts w:eastAsia="Calibri" w:asciiTheme="majorBidi" w:hAnsiTheme="majorBidi" w:cstheme="majorBidi"/>
          <w:b/>
          <w:bCs/>
          <w:color w:val="auto"/>
          <w:sz w:val="24"/>
          <w:szCs w:val="24"/>
          <w:rtl/>
        </w:rPr>
        <w:t xml:space="preserve">"- </w:t>
      </w:r>
      <w:r w:rsidRPr="008D7EA1" w:rsidR="008D7EA1">
        <w:rPr>
          <w:rFonts w:eastAsia="Calibri" w:asciiTheme="majorBidi" w:hAnsiTheme="majorBidi" w:cs="Times New Roman"/>
          <w:b/>
          <w:bCs/>
          <w:color w:val="auto"/>
          <w:sz w:val="24"/>
          <w:szCs w:val="24"/>
          <w:rtl/>
          <w:lang w:bidi="ar-SA"/>
        </w:rPr>
        <w:t>اللأقمار</w:t>
      </w:r>
      <w:r w:rsidRPr="008D7EA1" w:rsidR="008D7EA1">
        <w:rPr>
          <w:rFonts w:eastAsia="Calibri" w:asciiTheme="majorBidi" w:hAnsiTheme="majorBidi" w:cs="Times New Roman"/>
          <w:b/>
          <w:bCs/>
          <w:color w:val="auto"/>
          <w:sz w:val="24"/>
          <w:szCs w:val="24"/>
          <w:rtl/>
          <w:lang w:bidi="ar-SA"/>
        </w:rPr>
        <w:t xml:space="preserve"> </w:t>
      </w:r>
      <w:r w:rsidRPr="00C94C05">
        <w:rPr>
          <w:rFonts w:eastAsia="Calibri" w:asciiTheme="majorBidi" w:hAnsiTheme="majorBidi" w:cstheme="majorBidi"/>
          <w:b/>
          <w:bCs/>
          <w:color w:val="auto"/>
          <w:sz w:val="24"/>
          <w:szCs w:val="24"/>
          <w:rtl/>
          <w:lang w:bidi="ar-SA"/>
        </w:rPr>
        <w:t>الاصطناعية في جهاز الأمن</w:t>
      </w:r>
      <w:r w:rsidRPr="00C94C05">
        <w:rPr>
          <w:rFonts w:eastAsia="Calibri" w:asciiTheme="majorBidi" w:hAnsiTheme="majorBidi" w:cstheme="majorBidi"/>
          <w:color w:val="auto"/>
          <w:sz w:val="24"/>
          <w:szCs w:val="24"/>
          <w:rtl/>
          <w:lang w:bidi="ar-SA"/>
        </w:rPr>
        <w:t>، من بينها عدم تحديد سياسة وطنية في مجال الفضاء المدني والعسكري وبرنامج فضاء وطني، وعدم ترتيب وتنظيم مجال الفضاء على المستوى الوطني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بالإضافة الى ذلك، كشفت الرقابة عن فجوات معينة في توفير الاستجابة </w:t>
      </w:r>
      <w:r w:rsidRPr="00C94C05">
        <w:rPr>
          <w:rFonts w:eastAsia="Calibri" w:asciiTheme="majorBidi" w:hAnsiTheme="majorBidi" w:cstheme="majorBidi"/>
          <w:color w:val="auto"/>
          <w:sz w:val="24"/>
          <w:szCs w:val="24"/>
          <w:rtl/>
          <w:lang w:bidi="ar-SA"/>
        </w:rPr>
        <w:t>المطلوبة  للاحتياجات</w:t>
      </w:r>
      <w:r w:rsidRPr="00C94C05">
        <w:rPr>
          <w:rFonts w:eastAsia="Calibri" w:asciiTheme="majorBidi" w:hAnsiTheme="majorBidi" w:cstheme="majorBidi"/>
          <w:color w:val="auto"/>
          <w:sz w:val="24"/>
          <w:szCs w:val="24"/>
          <w:rtl/>
          <w:lang w:bidi="ar-SA"/>
        </w:rPr>
        <w:t xml:space="preserve"> العملية لجيش الدفاع الاسرائيلي في موضوع الأقمار الاصطناعية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نظرا لأهمية مجال الفضاء لدولة اسرائيل يوصى بأن تقوم قيادة جيش الأمن القومي، وزارة الأمن وجيش الدفاع الاسرائيلي بصياغة مفهوم شامل </w:t>
      </w:r>
      <w:r w:rsidRPr="00C94C05">
        <w:rPr>
          <w:rFonts w:eastAsia="Calibri" w:asciiTheme="majorBidi" w:hAnsiTheme="majorBidi" w:cstheme="majorBidi"/>
          <w:color w:val="auto"/>
          <w:sz w:val="24"/>
          <w:szCs w:val="24"/>
          <w:rtl/>
        </w:rPr>
        <w:t>(</w:t>
      </w:r>
      <w:r w:rsidRPr="00C94C05">
        <w:rPr>
          <w:rFonts w:eastAsia="Calibri" w:asciiTheme="majorBidi" w:hAnsiTheme="majorBidi" w:cstheme="majorBidi"/>
          <w:color w:val="auto"/>
          <w:sz w:val="24"/>
          <w:szCs w:val="24"/>
          <w:rtl/>
          <w:lang w:bidi="ar-SA"/>
        </w:rPr>
        <w:t>مدني وعسكري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في مجال الفضاء، وتحديد أي موارد مطلوبة لتحقيقها وعرضها أمام المجلس السياسي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الأمني المصغر</w:t>
      </w:r>
      <w:r w:rsidRPr="00C94C05">
        <w:rPr>
          <w:rFonts w:eastAsia="Calibri" w:asciiTheme="majorBidi" w:hAnsiTheme="majorBidi" w:cstheme="majorBidi"/>
          <w:color w:val="auto"/>
          <w:sz w:val="24"/>
          <w:szCs w:val="24"/>
          <w:rtl/>
        </w:rPr>
        <w:t xml:space="preserve">. </w:t>
      </w:r>
    </w:p>
    <w:p w:rsidR="00342EBC" w:rsidRPr="00C94C05" w:rsidP="00C94C05" w14:paraId="6BFE4CC6" w14:textId="77777777">
      <w:pPr>
        <w:pStyle w:val="7193"/>
        <w:numPr>
          <w:ilvl w:val="0"/>
          <w:numId w:val="43"/>
        </w:numPr>
        <w:spacing w:line="324" w:lineRule="auto"/>
        <w:rPr>
          <w:rFonts w:eastAsia="Calibri" w:asciiTheme="majorBidi" w:hAnsiTheme="majorBidi" w:cstheme="majorBidi"/>
          <w:color w:val="auto"/>
          <w:szCs w:val="24"/>
          <w:lang w:bidi="ar-SA"/>
        </w:rPr>
      </w:pPr>
      <w:r w:rsidRPr="00C94C05">
        <w:rPr>
          <w:rFonts w:eastAsia="Calibri" w:asciiTheme="majorBidi" w:hAnsiTheme="majorBidi" w:cstheme="majorBidi"/>
          <w:b/>
          <w:bCs/>
          <w:color w:val="auto"/>
          <w:szCs w:val="24"/>
          <w:rtl/>
          <w:lang w:bidi="ar-SA"/>
        </w:rPr>
        <w:t>سفن الصواريخ في أمن المجال البحري في الحروب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شاطئ دولة اسرائيل يعتبر البوابة الأساسية لتجارتها الخارجية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المجال البحري الذي يمتد من الشاطئ حتى مسافة حوالي </w:t>
      </w:r>
      <w:r w:rsidRPr="00C94C05">
        <w:rPr>
          <w:rFonts w:eastAsia="Calibri" w:asciiTheme="majorBidi" w:hAnsiTheme="majorBidi" w:cstheme="majorBidi"/>
          <w:color w:val="auto"/>
          <w:szCs w:val="24"/>
          <w:rtl/>
        </w:rPr>
        <w:t xml:space="preserve">115 </w:t>
      </w:r>
      <w:r w:rsidRPr="00C94C05">
        <w:rPr>
          <w:rFonts w:eastAsia="Calibri" w:asciiTheme="majorBidi" w:hAnsiTheme="majorBidi" w:cstheme="majorBidi"/>
          <w:color w:val="auto"/>
          <w:szCs w:val="24"/>
          <w:rtl/>
          <w:lang w:bidi="ar-SA"/>
        </w:rPr>
        <w:t xml:space="preserve">ميل بحري يعتبر المنطقة الاقتصادية الحصرية لدولة اسرائيل ويسمى أيضا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المياه الاقتصادية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كشفت الرقابة بموضوع </w:t>
      </w:r>
      <w:r w:rsidRPr="00C94C05">
        <w:rPr>
          <w:rFonts w:eastAsia="Calibri" w:asciiTheme="majorBidi" w:hAnsiTheme="majorBidi" w:cstheme="majorBidi"/>
          <w:b/>
          <w:bCs/>
          <w:color w:val="auto"/>
          <w:szCs w:val="24"/>
          <w:rtl/>
          <w:lang w:bidi="ar-SA"/>
        </w:rPr>
        <w:t>سفن الصواريخ في حماية المجال البحري في الحروب</w:t>
      </w:r>
      <w:r w:rsidRPr="00C94C05">
        <w:rPr>
          <w:rFonts w:eastAsia="Calibri" w:asciiTheme="majorBidi" w:hAnsiTheme="majorBidi" w:cstheme="majorBidi"/>
          <w:color w:val="auto"/>
          <w:szCs w:val="24"/>
          <w:rtl/>
          <w:lang w:bidi="ar-SA"/>
        </w:rPr>
        <w:t xml:space="preserve"> أنه في فترة الرقابة كانت هناك ثلاث منصات غاز في المياه الاقتصادية لدولة اسرائيل بالإضافة الى سفينة دعم جزئية </w:t>
      </w:r>
      <w:r w:rsidRPr="00C94C05">
        <w:rPr>
          <w:rFonts w:eastAsia="Calibri" w:asciiTheme="majorBidi" w:hAnsiTheme="majorBidi" w:cstheme="majorBidi"/>
          <w:color w:val="auto"/>
          <w:szCs w:val="24"/>
          <w:rtl/>
          <w:lang w:bidi="ar-SA"/>
        </w:rPr>
        <w:t>وكلها  مهددة</w:t>
      </w:r>
      <w:r w:rsidRPr="00C94C05">
        <w:rPr>
          <w:rFonts w:eastAsia="Calibri" w:asciiTheme="majorBidi" w:hAnsiTheme="majorBidi" w:cstheme="majorBidi"/>
          <w:color w:val="auto"/>
          <w:szCs w:val="24"/>
          <w:rtl/>
          <w:lang w:bidi="ar-SA"/>
        </w:rPr>
        <w:t xml:space="preserve"> من قبل جهات مختلفة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بهدف حماية المياه الاقتصادية تم شراء أربع سفن صواريخ من نوع </w:t>
      </w:r>
      <w:r w:rsidRPr="00C94C05">
        <w:rPr>
          <w:rFonts w:eastAsia="Calibri" w:asciiTheme="majorBidi" w:hAnsiTheme="majorBidi" w:cstheme="majorBidi"/>
          <w:color w:val="auto"/>
          <w:szCs w:val="24"/>
          <w:rtl/>
          <w:lang w:bidi="ar-SA"/>
        </w:rPr>
        <w:t>ساعار</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6</w:t>
      </w:r>
      <w:r w:rsidRPr="00C94C05">
        <w:rPr>
          <w:rFonts w:eastAsia="Calibri" w:asciiTheme="majorBidi" w:hAnsiTheme="majorBidi" w:cstheme="majorBidi"/>
          <w:color w:val="auto"/>
          <w:szCs w:val="24"/>
          <w:rtl/>
          <w:lang w:bidi="ar-SA"/>
        </w:rPr>
        <w:t xml:space="preserve">، لكن حصل تأخير أربع سنوات في </w:t>
      </w:r>
      <w:r w:rsidRPr="00C94C05">
        <w:rPr>
          <w:rFonts w:eastAsia="Calibri" w:asciiTheme="majorBidi" w:hAnsiTheme="majorBidi" w:cstheme="majorBidi"/>
          <w:color w:val="auto"/>
          <w:szCs w:val="24"/>
          <w:rtl/>
          <w:lang w:bidi="ar-SA"/>
        </w:rPr>
        <w:t>إستكمال</w:t>
      </w:r>
      <w:r w:rsidRPr="00C94C05">
        <w:rPr>
          <w:rFonts w:eastAsia="Calibri" w:asciiTheme="majorBidi" w:hAnsiTheme="majorBidi" w:cstheme="majorBidi"/>
          <w:color w:val="auto"/>
          <w:szCs w:val="24"/>
          <w:rtl/>
          <w:lang w:bidi="ar-SA"/>
        </w:rPr>
        <w:t xml:space="preserve"> عملها، والذي كان من المفترض أن يبدأ سنة </w:t>
      </w:r>
      <w:r w:rsidRPr="00C94C05">
        <w:rPr>
          <w:rFonts w:eastAsia="Calibri" w:asciiTheme="majorBidi" w:hAnsiTheme="majorBidi" w:cstheme="majorBidi"/>
          <w:color w:val="auto"/>
          <w:szCs w:val="24"/>
          <w:rtl/>
        </w:rPr>
        <w:t xml:space="preserve">2019. </w:t>
      </w:r>
      <w:r w:rsidRPr="00C94C05">
        <w:rPr>
          <w:rFonts w:eastAsia="Calibri" w:asciiTheme="majorBidi" w:hAnsiTheme="majorBidi" w:cstheme="majorBidi"/>
          <w:color w:val="auto"/>
          <w:szCs w:val="24"/>
          <w:rtl/>
          <w:lang w:bidi="ar-SA"/>
        </w:rPr>
        <w:t>على ضوء تطور التهديدات، يوصى بأن يوجه رئيس الأركان فحصا للحاجة العملياتية لقوات أسطول السفن البحرية في ذراع البحر وصياغة خطة بناء قوى وفقا لنتائجه، ويوصى بأن يتم تطبيق الخطة وتنفيذها بشكل دوري وفقا للسيناريوهات المرجعية المحدثة</w:t>
      </w:r>
      <w:r w:rsidRPr="00C94C05">
        <w:rPr>
          <w:rFonts w:eastAsia="Calibri" w:asciiTheme="majorBidi" w:hAnsiTheme="majorBidi" w:cstheme="majorBidi"/>
          <w:color w:val="auto"/>
          <w:szCs w:val="24"/>
          <w:rtl/>
        </w:rPr>
        <w:t xml:space="preserve">.  </w:t>
      </w:r>
    </w:p>
    <w:p w:rsidR="00342EBC" w:rsidRPr="00C94C05" w:rsidP="00C94C05" w14:paraId="09C96A28" w14:textId="36820828">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نجاعة عقبة خط التماس</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يوليو </w:t>
      </w:r>
      <w:r w:rsidRPr="00C94C05">
        <w:rPr>
          <w:rFonts w:eastAsia="Calibri" w:asciiTheme="majorBidi" w:hAnsiTheme="majorBidi" w:cstheme="majorBidi"/>
          <w:color w:val="auto"/>
          <w:szCs w:val="24"/>
          <w:rtl/>
        </w:rPr>
        <w:t xml:space="preserve">2001 </w:t>
      </w:r>
      <w:r w:rsidRPr="00C94C05">
        <w:rPr>
          <w:rFonts w:eastAsia="Calibri" w:asciiTheme="majorBidi" w:hAnsiTheme="majorBidi" w:cstheme="majorBidi"/>
          <w:color w:val="auto"/>
          <w:szCs w:val="24"/>
          <w:rtl/>
          <w:lang w:bidi="ar-SA"/>
        </w:rPr>
        <w:t>قرر المجلس الوزاري السياسي</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الأمني المصغر الموافقة على برنامج شامل بخصوص مجال التماس، وهدفه  </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التعامل الناجع مع الإرهاب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لسوء الحظ، في النصف الأول من سنة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 xml:space="preserve">قام ارهابيون تسللوا الى اسرائيل عن طريق فتحات في جدار خط التماس بتنفيذ </w:t>
      </w:r>
      <w:r w:rsidRPr="00C94C05">
        <w:rPr>
          <w:rFonts w:eastAsia="Calibri" w:asciiTheme="majorBidi" w:hAnsiTheme="majorBidi" w:cstheme="majorBidi"/>
          <w:color w:val="auto"/>
          <w:szCs w:val="24"/>
          <w:rtl/>
          <w:lang w:bidi="ar-SA"/>
        </w:rPr>
        <w:t>ثلاثة</w:t>
      </w:r>
      <w:r w:rsidRPr="00C94C05">
        <w:rPr>
          <w:rFonts w:eastAsia="Calibri" w:asciiTheme="majorBidi" w:hAnsiTheme="majorBidi" w:cstheme="majorBidi"/>
          <w:color w:val="auto"/>
          <w:szCs w:val="24"/>
          <w:rtl/>
          <w:lang w:bidi="ar-SA"/>
        </w:rPr>
        <w:t xml:space="preserve"> عمليات أدت الى مقتل </w:t>
      </w:r>
      <w:r w:rsidRPr="00C94C05">
        <w:rPr>
          <w:rFonts w:eastAsia="Calibri" w:asciiTheme="majorBidi" w:hAnsiTheme="majorBidi" w:cstheme="majorBidi"/>
          <w:color w:val="auto"/>
          <w:szCs w:val="24"/>
          <w:rtl/>
        </w:rPr>
        <w:t xml:space="preserve">11 </w:t>
      </w:r>
      <w:r w:rsidRPr="00C94C05">
        <w:rPr>
          <w:rFonts w:eastAsia="Calibri" w:asciiTheme="majorBidi" w:hAnsiTheme="majorBidi" w:cstheme="majorBidi"/>
          <w:color w:val="auto"/>
          <w:szCs w:val="24"/>
          <w:rtl/>
          <w:lang w:bidi="ar-SA"/>
        </w:rPr>
        <w:t>شخصا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الرقابة بموضوع </w:t>
      </w:r>
      <w:r w:rsidRPr="00C94C05">
        <w:rPr>
          <w:rFonts w:eastAsia="Calibri" w:asciiTheme="majorBidi" w:hAnsiTheme="majorBidi" w:cstheme="majorBidi"/>
          <w:b/>
          <w:bCs/>
          <w:color w:val="auto"/>
          <w:szCs w:val="24"/>
          <w:rtl/>
          <w:lang w:bidi="ar-SA"/>
        </w:rPr>
        <w:t>نجاعة عقبة خط التماس</w:t>
      </w:r>
      <w:r w:rsidRPr="00C94C05">
        <w:rPr>
          <w:rFonts w:eastAsia="Calibri" w:asciiTheme="majorBidi" w:hAnsiTheme="majorBidi" w:cstheme="majorBidi"/>
          <w:b/>
          <w:bCs/>
          <w:color w:val="auto"/>
          <w:szCs w:val="24"/>
          <w:rtl/>
        </w:rPr>
        <w:t xml:space="preserve">- </w:t>
      </w:r>
      <w:r w:rsidRPr="00C94C05">
        <w:rPr>
          <w:rFonts w:eastAsia="Calibri" w:asciiTheme="majorBidi" w:hAnsiTheme="majorBidi" w:cstheme="majorBidi"/>
          <w:b/>
          <w:bCs/>
          <w:color w:val="auto"/>
          <w:szCs w:val="24"/>
          <w:rtl/>
          <w:lang w:bidi="ar-SA"/>
        </w:rPr>
        <w:t>الإستجابة</w:t>
      </w:r>
      <w:r w:rsidRPr="00C94C05">
        <w:rPr>
          <w:rFonts w:eastAsia="Calibri" w:asciiTheme="majorBidi" w:hAnsiTheme="majorBidi" w:cstheme="majorBidi"/>
          <w:b/>
          <w:bCs/>
          <w:color w:val="auto"/>
          <w:szCs w:val="24"/>
          <w:rtl/>
          <w:lang w:bidi="ar-SA"/>
        </w:rPr>
        <w:t xml:space="preserve"> التشغيلية والتنفيذية</w:t>
      </w:r>
      <w:r w:rsidRPr="00C94C05">
        <w:rPr>
          <w:rFonts w:eastAsia="Calibri" w:asciiTheme="majorBidi" w:hAnsiTheme="majorBidi" w:cstheme="majorBidi"/>
          <w:color w:val="auto"/>
          <w:szCs w:val="24"/>
          <w:rtl/>
          <w:lang w:bidi="ar-SA"/>
        </w:rPr>
        <w:t xml:space="preserve"> ذكر أن طول مسار خط التماس هو </w:t>
      </w:r>
      <w:r w:rsidRPr="00C94C05">
        <w:rPr>
          <w:rFonts w:eastAsia="Calibri" w:asciiTheme="majorBidi" w:hAnsiTheme="majorBidi" w:cstheme="majorBidi"/>
          <w:color w:val="auto"/>
          <w:szCs w:val="24"/>
          <w:rtl/>
        </w:rPr>
        <w:t xml:space="preserve">554 </w:t>
      </w:r>
      <w:r w:rsidRPr="00C94C05">
        <w:rPr>
          <w:rFonts w:eastAsia="Calibri" w:asciiTheme="majorBidi" w:hAnsiTheme="majorBidi" w:cstheme="majorBidi"/>
          <w:color w:val="auto"/>
          <w:szCs w:val="24"/>
          <w:rtl/>
          <w:lang w:bidi="ar-SA"/>
        </w:rPr>
        <w:t>كم</w:t>
      </w:r>
      <w:r w:rsidRPr="00C94C05">
        <w:rPr>
          <w:rFonts w:eastAsia="Calibri" w:asciiTheme="majorBidi" w:hAnsiTheme="majorBidi" w:cstheme="majorBidi"/>
          <w:color w:val="auto"/>
          <w:szCs w:val="24"/>
          <w:rtl/>
        </w:rPr>
        <w:t xml:space="preserve">- 124 </w:t>
      </w:r>
      <w:r w:rsidRPr="00C94C05">
        <w:rPr>
          <w:rFonts w:eastAsia="Calibri" w:asciiTheme="majorBidi" w:hAnsiTheme="majorBidi" w:cstheme="majorBidi"/>
          <w:color w:val="auto"/>
          <w:szCs w:val="24"/>
          <w:rtl/>
          <w:lang w:bidi="ar-SA"/>
        </w:rPr>
        <w:t xml:space="preserve">كم على شكل جدار، </w:t>
      </w:r>
      <w:r w:rsidRPr="00C94C05">
        <w:rPr>
          <w:rFonts w:eastAsia="Calibri" w:asciiTheme="majorBidi" w:hAnsiTheme="majorBidi" w:cstheme="majorBidi"/>
          <w:color w:val="auto"/>
          <w:szCs w:val="24"/>
          <w:rtl/>
        </w:rPr>
        <w:t xml:space="preserve">364 </w:t>
      </w:r>
      <w:r w:rsidRPr="00C94C05">
        <w:rPr>
          <w:rFonts w:eastAsia="Calibri" w:asciiTheme="majorBidi" w:hAnsiTheme="majorBidi" w:cstheme="majorBidi"/>
          <w:color w:val="auto"/>
          <w:szCs w:val="24"/>
          <w:rtl/>
          <w:lang w:bidi="ar-SA"/>
        </w:rPr>
        <w:t>على شكل سياج و</w:t>
      </w:r>
      <w:r w:rsidRPr="00C94C05">
        <w:rPr>
          <w:rFonts w:eastAsia="Calibri" w:asciiTheme="majorBidi" w:hAnsiTheme="majorBidi" w:cstheme="majorBidi"/>
          <w:color w:val="auto"/>
          <w:szCs w:val="24"/>
          <w:rtl/>
        </w:rPr>
        <w:t xml:space="preserve">- 66 </w:t>
      </w:r>
      <w:r w:rsidRPr="00C94C05">
        <w:rPr>
          <w:rFonts w:eastAsia="Calibri" w:asciiTheme="majorBidi" w:hAnsiTheme="majorBidi" w:cstheme="majorBidi"/>
          <w:color w:val="auto"/>
          <w:szCs w:val="24"/>
          <w:rtl/>
          <w:lang w:bidi="ar-SA"/>
        </w:rPr>
        <w:t>كم بدون عائق أبدا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اتضح أنه في نهاية سنة </w:t>
      </w:r>
      <w:r w:rsidRPr="00C94C05">
        <w:rPr>
          <w:rFonts w:eastAsia="Calibri" w:asciiTheme="majorBidi" w:hAnsiTheme="majorBidi" w:cstheme="majorBidi"/>
          <w:color w:val="auto"/>
          <w:szCs w:val="24"/>
          <w:rtl/>
        </w:rPr>
        <w:t>2021</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48% </w:t>
      </w:r>
      <w:r w:rsidRPr="00C94C05">
        <w:rPr>
          <w:rFonts w:eastAsia="Calibri" w:asciiTheme="majorBidi" w:hAnsiTheme="majorBidi" w:cstheme="majorBidi"/>
          <w:color w:val="auto"/>
          <w:szCs w:val="24"/>
          <w:rtl/>
          <w:lang w:bidi="ar-SA"/>
        </w:rPr>
        <w:t>من سياج خط التماس</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لم يكن في الخدمة، أي أنه في حالة يسمح بالتسلل بدون أي رادع، وأنه </w:t>
      </w:r>
      <w:r w:rsidRPr="008D7EA1" w:rsidR="008D7EA1">
        <w:rPr>
          <w:rFonts w:eastAsia="Calibri" w:asciiTheme="majorBidi" w:hAnsiTheme="majorBidi" w:cs="Times New Roman"/>
          <w:color w:val="auto"/>
          <w:szCs w:val="24"/>
          <w:rtl/>
          <w:lang w:bidi="ar-SA"/>
        </w:rPr>
        <w:t xml:space="preserve">حتى </w:t>
      </w:r>
      <w:r w:rsidRPr="00C94C05">
        <w:rPr>
          <w:rFonts w:eastAsia="Calibri" w:asciiTheme="majorBidi" w:hAnsiTheme="majorBidi" w:cstheme="majorBidi"/>
          <w:color w:val="auto"/>
          <w:szCs w:val="24"/>
          <w:rtl/>
          <w:lang w:bidi="ar-SA"/>
        </w:rPr>
        <w:t xml:space="preserve">لمايو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 xml:space="preserve">تسلل الى اسرائيل ما معدله </w:t>
      </w:r>
      <w:r w:rsidRPr="00C94C05">
        <w:rPr>
          <w:rFonts w:eastAsia="Calibri" w:asciiTheme="majorBidi" w:hAnsiTheme="majorBidi" w:cstheme="majorBidi"/>
          <w:color w:val="auto"/>
          <w:szCs w:val="24"/>
          <w:rtl/>
        </w:rPr>
        <w:t xml:space="preserve">3,600  </w:t>
      </w:r>
      <w:r w:rsidRPr="00C94C05">
        <w:rPr>
          <w:rFonts w:eastAsia="Calibri" w:asciiTheme="majorBidi" w:hAnsiTheme="majorBidi" w:cstheme="majorBidi"/>
          <w:color w:val="auto"/>
          <w:szCs w:val="24"/>
          <w:rtl/>
          <w:lang w:bidi="ar-SA"/>
        </w:rPr>
        <w:t>متسلل</w:t>
      </w:r>
      <w:r w:rsidRPr="00C94C05">
        <w:rPr>
          <w:rFonts w:eastAsia="Calibri" w:asciiTheme="majorBidi" w:hAnsiTheme="majorBidi" w:cstheme="majorBidi"/>
          <w:color w:val="auto"/>
          <w:szCs w:val="24"/>
          <w:rtl/>
          <w:lang w:bidi="ar-SA"/>
        </w:rPr>
        <w:t xml:space="preserve"> تقريبا في كل يوم من خلال الفتحات في سياج خط التماس</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لضمان الحفاظ على نجاعة العائق والتأكد بأن الاستثمارات بقيمة إجمالية تقارب ال</w:t>
      </w:r>
      <w:r w:rsidRPr="00C94C05">
        <w:rPr>
          <w:rFonts w:eastAsia="Calibri" w:asciiTheme="majorBidi" w:hAnsiTheme="majorBidi" w:cstheme="majorBidi"/>
          <w:color w:val="auto"/>
          <w:szCs w:val="24"/>
          <w:rtl/>
        </w:rPr>
        <w:t xml:space="preserve">- 400 </w:t>
      </w:r>
      <w:r w:rsidRPr="00C94C05">
        <w:rPr>
          <w:rFonts w:eastAsia="Calibri" w:asciiTheme="majorBidi" w:hAnsiTheme="majorBidi" w:cstheme="majorBidi"/>
          <w:color w:val="auto"/>
          <w:szCs w:val="24"/>
          <w:rtl/>
          <w:lang w:bidi="ar-SA"/>
        </w:rPr>
        <w:t xml:space="preserve">مليون شيكل جديد والعمليات التي نفذت في الفترة الأخيرة ستساهم في تقليل ظاهرة التسلل ككل، واستمرارا لبيان رئيس الحكومة ووزير الأمن في أبريل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أنه من أجل بناء العائق على طول خط التماس، كجزء من رؤية الدفاع، يتطلب خطة متعددة السنوات</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يجب على مجلس الأمن القومي أن يتأكد من صياغة خطة شاملة متعددة السنوات تحت قيادة مجلس الأمن القومي وبالتعاون مع طاقم مشترك بين الوزارات يتضمن ممثلين عن الجهاز الأمني ووزارة الأمن الداخلي ووزارة القضاء ووزارة المالية وجهات إضافية ذات علاقة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كجزء من صياغة الخطة يجب فحص طرق لتشجيع الفلسطينيين ممن يملكون تصاريح عمل للدخول الى اسرائيل عن طريق المعابر المنظمة، وذلك من خلال ملائمة عدد المعابر وموقعها وجودة الخدمة التي تقدم بها لعدد العابرين المطلوب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يوصى كذلك، أنه عند </w:t>
      </w:r>
      <w:r w:rsidRPr="00C94C05">
        <w:rPr>
          <w:rFonts w:eastAsia="Calibri" w:asciiTheme="majorBidi" w:hAnsiTheme="majorBidi" w:cstheme="majorBidi"/>
          <w:color w:val="auto"/>
          <w:szCs w:val="24"/>
          <w:rtl/>
          <w:lang w:bidi="ar-SA"/>
        </w:rPr>
        <w:t>الإنتهاء</w:t>
      </w:r>
      <w:r w:rsidRPr="00C94C05">
        <w:rPr>
          <w:rFonts w:eastAsia="Calibri" w:asciiTheme="majorBidi" w:hAnsiTheme="majorBidi" w:cstheme="majorBidi"/>
          <w:color w:val="auto"/>
          <w:szCs w:val="24"/>
          <w:rtl/>
          <w:lang w:bidi="ar-SA"/>
        </w:rPr>
        <w:t xml:space="preserve"> من صياغة الخطة متعددة السنوات، أن يطرح رئيس الوزراء ووزير الأمن الخطة لمناقشتها في المجلس السياسي </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الامني المصغر بهدف المصادقة عليها، وتخصيص الميزانيات </w:t>
      </w:r>
      <w:r w:rsidRPr="00C94C05">
        <w:rPr>
          <w:rFonts w:eastAsia="Calibri" w:asciiTheme="majorBidi" w:hAnsiTheme="majorBidi" w:cstheme="majorBidi"/>
          <w:color w:val="auto"/>
          <w:szCs w:val="24"/>
          <w:rtl/>
          <w:lang w:bidi="ar-SA"/>
        </w:rPr>
        <w:t>وتحديد جدول زمني لتحقيقها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هذه الإجراءات ستقلل من ظاهرة المقيمين غير الشرعيين والمخاطر الأمنية والجنائية المتعلقة بها، والتي تمس شعور الأمن في اسرائيل</w:t>
      </w:r>
      <w:r w:rsidRPr="00C94C05">
        <w:rPr>
          <w:rFonts w:eastAsia="Calibri" w:asciiTheme="majorBidi" w:hAnsiTheme="majorBidi" w:cstheme="majorBidi"/>
          <w:color w:val="auto"/>
          <w:szCs w:val="24"/>
          <w:rtl/>
        </w:rPr>
        <w:t xml:space="preserve">. </w:t>
      </w:r>
    </w:p>
    <w:p w:rsidR="00342EBC" w:rsidRPr="00C94C05" w:rsidP="00C94C05" w14:paraId="0D4BEF41" w14:textId="31CC5308">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ظروف المعيشة والبنى التحتية في جيش الدفاع الاسرائيلي</w:t>
      </w:r>
      <w:r w:rsidRPr="00C94C05">
        <w:rPr>
          <w:rFonts w:eastAsia="Calibri" w:asciiTheme="majorBidi" w:hAnsiTheme="majorBidi" w:cstheme="majorBidi"/>
          <w:color w:val="auto"/>
          <w:szCs w:val="24"/>
          <w:rtl/>
        </w:rPr>
        <w:t>-</w:t>
      </w:r>
      <w:r w:rsidRPr="00C94C05" w:rsidR="00C94C05">
        <w:rPr>
          <w:rFonts w:eastAsia="Calibri" w:asciiTheme="majorBidi" w:hAnsiTheme="majorBidi" w:cstheme="majorBidi"/>
          <w:color w:val="auto"/>
          <w:szCs w:val="24"/>
        </w:rPr>
        <w:t xml:space="preserve"> </w:t>
      </w:r>
      <w:r w:rsidRPr="00C94C05">
        <w:rPr>
          <w:rFonts w:eastAsia="Calibri" w:asciiTheme="majorBidi" w:hAnsiTheme="majorBidi" w:cstheme="majorBidi"/>
          <w:color w:val="auto"/>
          <w:szCs w:val="24"/>
          <w:rtl/>
          <w:lang w:bidi="ar-SA"/>
        </w:rPr>
        <w:t>تؤثر ظروف المعيشة والبنى التحتية المناسبة والمحترمة من بين الكثير من الأمور، على حافز الجنود الذين يخدمون في الخدمة الإلزامية وخدمة الاحتياط للخدمة فيها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بالإضافة الى ذلك، للبنى التحتية السكنية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المراحيض والحمامات، غرف الطعام والمطابخ</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تأثير على نجاعة </w:t>
      </w:r>
      <w:r w:rsidRPr="00C94C05">
        <w:rPr>
          <w:rFonts w:eastAsia="Calibri" w:asciiTheme="majorBidi" w:hAnsiTheme="majorBidi" w:cstheme="majorBidi"/>
          <w:color w:val="auto"/>
          <w:szCs w:val="24"/>
          <w:rtl/>
          <w:lang w:bidi="ar-SA"/>
        </w:rPr>
        <w:t>التأهيلات</w:t>
      </w:r>
      <w:r w:rsidRPr="00C94C05">
        <w:rPr>
          <w:rFonts w:eastAsia="Calibri" w:asciiTheme="majorBidi" w:hAnsiTheme="majorBidi" w:cstheme="majorBidi"/>
          <w:color w:val="auto"/>
          <w:szCs w:val="24"/>
          <w:rtl/>
          <w:lang w:bidi="ar-SA"/>
        </w:rPr>
        <w:t>، التدريبات وتنفيذ مهمات العمل العملياتية من قبل الجنود</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الفصل بموضوع </w:t>
      </w:r>
      <w:r w:rsidRPr="00C94C05">
        <w:rPr>
          <w:rFonts w:eastAsia="Calibri" w:asciiTheme="majorBidi" w:hAnsiTheme="majorBidi" w:cstheme="majorBidi"/>
          <w:b/>
          <w:bCs/>
          <w:color w:val="auto"/>
          <w:szCs w:val="24"/>
          <w:rtl/>
          <w:lang w:bidi="ar-SA"/>
        </w:rPr>
        <w:t xml:space="preserve">ظروف المعيشة والبنى التحتية للجنود في الخدمة الإلزامية وخدمة </w:t>
      </w:r>
      <w:r w:rsidRPr="00C94C05">
        <w:rPr>
          <w:rFonts w:eastAsia="Calibri" w:asciiTheme="majorBidi" w:hAnsiTheme="majorBidi" w:cstheme="majorBidi"/>
          <w:b/>
          <w:bCs/>
          <w:color w:val="auto"/>
          <w:szCs w:val="24"/>
          <w:rtl/>
          <w:lang w:bidi="ar-SA"/>
        </w:rPr>
        <w:t>الاحتياط</w:t>
      </w:r>
      <w:r w:rsidRPr="008D7EA1" w:rsidR="008D7EA1">
        <w:rPr>
          <w:rFonts w:eastAsia="Calibri" w:asciiTheme="majorBidi" w:hAnsiTheme="majorBidi" w:cstheme="majorBidi" w:hint="cs"/>
          <w:color w:val="auto"/>
          <w:sz w:val="2"/>
          <w:szCs w:val="2"/>
          <w:rtl/>
        </w:rPr>
        <w:t xml:space="preserve"> </w:t>
      </w:r>
      <w:r w:rsidRPr="00C94C05">
        <w:rPr>
          <w:rFonts w:eastAsia="Calibri" w:asciiTheme="majorBidi" w:hAnsiTheme="majorBidi" w:cstheme="majorBidi"/>
          <w:color w:val="auto"/>
          <w:szCs w:val="24"/>
          <w:rtl/>
          <w:lang w:bidi="ar-SA"/>
        </w:rPr>
        <w:t xml:space="preserve"> ذكر</w:t>
      </w:r>
      <w:r w:rsidRPr="00C94C05">
        <w:rPr>
          <w:rFonts w:eastAsia="Calibri" w:asciiTheme="majorBidi" w:hAnsiTheme="majorBidi" w:cstheme="majorBidi"/>
          <w:color w:val="auto"/>
          <w:szCs w:val="24"/>
          <w:rtl/>
          <w:lang w:bidi="ar-SA"/>
        </w:rPr>
        <w:t xml:space="preserve"> أن الميزانية التي خطط جيش الدفاع الاسرائيلي تخصيصها لخطط البنى التحتية الإلزامية للجندي لسنة</w:t>
      </w:r>
      <w:r w:rsidRPr="00C94C05">
        <w:rPr>
          <w:rFonts w:eastAsia="Calibri" w:asciiTheme="majorBidi" w:hAnsiTheme="majorBidi" w:cstheme="majorBidi"/>
          <w:color w:val="auto"/>
          <w:szCs w:val="24"/>
          <w:rtl/>
        </w:rPr>
        <w:t xml:space="preserve"> 2016- 2021 </w:t>
      </w:r>
      <w:r w:rsidRPr="00C94C05">
        <w:rPr>
          <w:rFonts w:eastAsia="Calibri" w:asciiTheme="majorBidi" w:hAnsiTheme="majorBidi" w:cstheme="majorBidi"/>
          <w:color w:val="auto"/>
          <w:szCs w:val="24"/>
          <w:rtl/>
          <w:lang w:bidi="ar-SA"/>
        </w:rPr>
        <w:t xml:space="preserve">كانت </w:t>
      </w:r>
      <w:r w:rsidRPr="00C94C05">
        <w:rPr>
          <w:rFonts w:eastAsia="Calibri" w:asciiTheme="majorBidi" w:hAnsiTheme="majorBidi" w:cstheme="majorBidi"/>
          <w:color w:val="auto"/>
          <w:szCs w:val="24"/>
          <w:rtl/>
        </w:rPr>
        <w:t xml:space="preserve">256 </w:t>
      </w:r>
      <w:r w:rsidRPr="00C94C05">
        <w:rPr>
          <w:rFonts w:eastAsia="Calibri" w:asciiTheme="majorBidi" w:hAnsiTheme="majorBidi" w:cstheme="majorBidi"/>
          <w:color w:val="auto"/>
          <w:szCs w:val="24"/>
          <w:rtl/>
          <w:lang w:bidi="ar-SA"/>
        </w:rPr>
        <w:t>مليون شيكل جديد لمعسكرات التأهيل و</w:t>
      </w:r>
      <w:r w:rsidRPr="00C94C05">
        <w:rPr>
          <w:rFonts w:eastAsia="Calibri" w:asciiTheme="majorBidi" w:hAnsiTheme="majorBidi" w:cstheme="majorBidi"/>
          <w:color w:val="auto"/>
          <w:szCs w:val="24"/>
          <w:rtl/>
        </w:rPr>
        <w:t xml:space="preserve">- 420 </w:t>
      </w:r>
      <w:r w:rsidRPr="00C94C05">
        <w:rPr>
          <w:rFonts w:eastAsia="Calibri" w:asciiTheme="majorBidi" w:hAnsiTheme="majorBidi" w:cstheme="majorBidi"/>
          <w:color w:val="auto"/>
          <w:szCs w:val="24"/>
          <w:rtl/>
          <w:lang w:bidi="ar-SA"/>
        </w:rPr>
        <w:t>مليون شيكل جديد لخطط معسكرات التدريب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كانت الميزانية الفعلية </w:t>
      </w:r>
      <w:r w:rsidRPr="00C94C05">
        <w:rPr>
          <w:rFonts w:eastAsia="Calibri" w:asciiTheme="majorBidi" w:hAnsiTheme="majorBidi" w:cstheme="majorBidi"/>
          <w:color w:val="auto"/>
          <w:szCs w:val="24"/>
          <w:rtl/>
        </w:rPr>
        <w:t xml:space="preserve">202.6 </w:t>
      </w:r>
      <w:r w:rsidRPr="00C94C05">
        <w:rPr>
          <w:rFonts w:eastAsia="Calibri" w:asciiTheme="majorBidi" w:hAnsiTheme="majorBidi" w:cstheme="majorBidi"/>
          <w:color w:val="auto"/>
          <w:szCs w:val="24"/>
          <w:rtl/>
          <w:lang w:bidi="ar-SA"/>
        </w:rPr>
        <w:t>مليون شيكل جديد و</w:t>
      </w:r>
      <w:r w:rsidRPr="00C94C05">
        <w:rPr>
          <w:rFonts w:eastAsia="Calibri" w:asciiTheme="majorBidi" w:hAnsiTheme="majorBidi" w:cstheme="majorBidi"/>
          <w:color w:val="auto"/>
          <w:szCs w:val="24"/>
          <w:rtl/>
        </w:rPr>
        <w:t xml:space="preserve">- 290 </w:t>
      </w:r>
      <w:r w:rsidRPr="00C94C05">
        <w:rPr>
          <w:rFonts w:eastAsia="Calibri" w:asciiTheme="majorBidi" w:hAnsiTheme="majorBidi" w:cstheme="majorBidi"/>
          <w:color w:val="auto"/>
          <w:szCs w:val="24"/>
          <w:rtl/>
          <w:lang w:bidi="ar-SA"/>
        </w:rPr>
        <w:t>مليون شيكل جديد وفق الترتيب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من درجات الكفاءة لعناصر النظام اللوجستي في جيش الدفاع الاسرائيلي، ومن الجولات التي قام بها مكتب مراقب الدولة في الوحدات المختلفة في جيش الدفاع الاسرائيلي ومن الاستطلاع الذي أجري بين الجنود في الخدمة الإلزامية تبين أنه على الرغم من أهمية ظروف المعيشة والبنى التحتية الملائمة في معسكرات التأهيل ومعسكرات التدريب والمواقع العسكرية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يواجه الجنود في الخدمة الإلزامية وخدمة الاحتياط ببنى تحتية بحالة متوسطة وحتى متدنية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ينعكس ذلك في البنى التحتية المهتزة في السكن، </w:t>
      </w:r>
      <w:r w:rsidRPr="00C94C05">
        <w:rPr>
          <w:rFonts w:eastAsia="Calibri" w:asciiTheme="majorBidi" w:hAnsiTheme="majorBidi" w:cstheme="majorBidi"/>
          <w:color w:val="auto"/>
          <w:szCs w:val="24"/>
          <w:rtl/>
          <w:lang w:bidi="ar-SA"/>
        </w:rPr>
        <w:t>المراحيض</w:t>
      </w:r>
      <w:r w:rsidRPr="00C94C05">
        <w:rPr>
          <w:rFonts w:eastAsia="Calibri" w:asciiTheme="majorBidi" w:hAnsiTheme="majorBidi" w:cstheme="majorBidi"/>
          <w:color w:val="auto"/>
          <w:szCs w:val="24"/>
          <w:rtl/>
          <w:lang w:bidi="ar-SA"/>
        </w:rPr>
        <w:t xml:space="preserve"> والحمامات وغرف الطعام والمطابخ</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بموجب الاستطلاع الذي أجراه مكتب مراقب الدولة، تبين أن نسبة الجنود</w:t>
      </w:r>
      <w:r w:rsidR="002D0C0C">
        <w:rPr>
          <w:rFonts w:eastAsia="Calibri" w:asciiTheme="majorBidi" w:hAnsiTheme="majorBidi" w:cstheme="majorBidi" w:hint="cs"/>
          <w:color w:val="auto"/>
          <w:szCs w:val="24"/>
          <w:rtl/>
        </w:rPr>
        <w:t xml:space="preserve">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راضين جزئيا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من ظروف المعيشة والبنى التحتية في معسكرات التدريب والمواقع العسكرية كان </w:t>
      </w:r>
      <w:r w:rsidRPr="00C94C05">
        <w:rPr>
          <w:rFonts w:eastAsia="Calibri" w:asciiTheme="majorBidi" w:hAnsiTheme="majorBidi" w:cstheme="majorBidi"/>
          <w:color w:val="auto"/>
          <w:szCs w:val="24"/>
          <w:rtl/>
        </w:rPr>
        <w:t>29%- 40%</w:t>
      </w:r>
      <w:r w:rsidRPr="00C94C05">
        <w:rPr>
          <w:rFonts w:eastAsia="Calibri" w:asciiTheme="majorBidi" w:hAnsiTheme="majorBidi" w:cstheme="majorBidi"/>
          <w:color w:val="auto"/>
          <w:szCs w:val="24"/>
          <w:rtl/>
          <w:lang w:bidi="ar-SA"/>
        </w:rPr>
        <w:t xml:space="preserve">، وأن نسبة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غير الراضين جدا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كانت </w:t>
      </w:r>
      <w:r w:rsidRPr="00C94C05">
        <w:rPr>
          <w:rFonts w:eastAsia="Calibri" w:asciiTheme="majorBidi" w:hAnsiTheme="majorBidi" w:cstheme="majorBidi"/>
          <w:color w:val="auto"/>
          <w:szCs w:val="24"/>
          <w:rtl/>
        </w:rPr>
        <w:t xml:space="preserve">31%- 36%.  </w:t>
      </w:r>
    </w:p>
    <w:p w:rsidR="00342EBC" w:rsidRPr="00C94C05" w:rsidP="00C94C05" w14:paraId="1B4DB2A8" w14:textId="1F90320E">
      <w:pPr>
        <w:pStyle w:val="7193"/>
        <w:spacing w:line="324" w:lineRule="auto"/>
        <w:ind w:left="397"/>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 xml:space="preserve">يذكر أنه خلال </w:t>
      </w:r>
      <w:r w:rsidRPr="00C94C05">
        <w:rPr>
          <w:rFonts w:eastAsia="Calibri" w:asciiTheme="majorBidi" w:hAnsiTheme="majorBidi" w:cstheme="majorBidi"/>
          <w:color w:val="auto"/>
          <w:szCs w:val="24"/>
          <w:rtl/>
          <w:lang w:bidi="ar-SA"/>
        </w:rPr>
        <w:t>أوكتوبر</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تم نشر تقرير مرحلي خاص عرض نتائج زيارة مراقب الدولة لمعسكر تدريب لواء كفير في غور الأردن وفي الموقع العسكري يكير في السامرة</w:t>
      </w:r>
      <w:r w:rsidRPr="00C94C05">
        <w:rPr>
          <w:rFonts w:eastAsia="Calibri" w:asciiTheme="majorBidi" w:hAnsiTheme="majorBidi" w:cstheme="majorBidi"/>
          <w:color w:val="auto"/>
          <w:szCs w:val="24"/>
          <w:rtl/>
        </w:rPr>
        <w:t xml:space="preserve">. </w:t>
      </w:r>
    </w:p>
    <w:p w:rsidR="00342EBC" w:rsidRPr="00C94C05" w:rsidP="00C94C05" w14:paraId="313A12A6" w14:textId="79DD17D4">
      <w:pPr>
        <w:pStyle w:val="7193"/>
        <w:spacing w:line="324" w:lineRule="auto"/>
        <w:ind w:left="397"/>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يوصى بأن يستخلص جيش الدفاع الاسرائيلي العبر من الحالة التي تستشف من هذا الفصل وأن يقدم الحلول للثغرات في الظروف المعيشية والبنى التحتية للجنود</w:t>
      </w:r>
      <w:r w:rsidRPr="00C94C05">
        <w:rPr>
          <w:rFonts w:eastAsia="Calibri" w:asciiTheme="majorBidi" w:hAnsiTheme="majorBidi" w:cstheme="majorBidi"/>
          <w:color w:val="auto"/>
          <w:szCs w:val="24"/>
          <w:rtl/>
        </w:rPr>
        <w:t xml:space="preserve">. </w:t>
      </w:r>
    </w:p>
    <w:p w:rsidR="00342EBC" w:rsidRPr="00C94C05" w:rsidP="00C94C05" w14:paraId="1BEA481E" w14:textId="2ADF7781">
      <w:pPr>
        <w:pStyle w:val="7193"/>
        <w:numPr>
          <w:ilvl w:val="0"/>
          <w:numId w:val="43"/>
        </w:numPr>
        <w:spacing w:line="324" w:lineRule="auto"/>
        <w:rPr>
          <w:rFonts w:eastAsia="Calibri" w:asciiTheme="majorBidi" w:hAnsiTheme="majorBidi" w:cstheme="majorBidi"/>
          <w:color w:val="auto"/>
          <w:szCs w:val="24"/>
          <w:rtl/>
          <w:lang w:bidi="ar-SA"/>
        </w:rPr>
      </w:pPr>
      <w:r w:rsidRPr="00C94C05">
        <w:rPr>
          <w:rFonts w:eastAsia="Calibri" w:asciiTheme="majorBidi" w:hAnsiTheme="majorBidi" w:cstheme="majorBidi"/>
          <w:b/>
          <w:bCs/>
          <w:color w:val="auto"/>
          <w:szCs w:val="24"/>
          <w:rtl/>
          <w:lang w:bidi="ar-SA"/>
        </w:rPr>
        <w:t xml:space="preserve">برنامج </w:t>
      </w:r>
      <w:r w:rsidRPr="00C94C05">
        <w:rPr>
          <w:rFonts w:eastAsia="Calibri" w:asciiTheme="majorBidi" w:hAnsiTheme="majorBidi" w:cstheme="majorBidi"/>
          <w:b/>
          <w:bCs/>
          <w:color w:val="auto"/>
          <w:szCs w:val="24"/>
          <w:rtl/>
          <w:lang w:bidi="ar-SA"/>
        </w:rPr>
        <w:t>شوهام</w:t>
      </w:r>
      <w:r w:rsidRPr="00C94C05">
        <w:rPr>
          <w:rFonts w:eastAsia="Calibri" w:asciiTheme="majorBidi" w:hAnsiTheme="majorBidi" w:cstheme="majorBidi"/>
          <w:b/>
          <w:bCs/>
          <w:color w:val="auto"/>
          <w:szCs w:val="24"/>
          <w:rtl/>
          <w:lang w:bidi="ar-SA"/>
        </w:rPr>
        <w:t xml:space="preserve"> </w:t>
      </w:r>
      <w:r w:rsidRPr="00C94C05">
        <w:rPr>
          <w:rFonts w:eastAsia="Calibri" w:asciiTheme="majorBidi" w:hAnsiTheme="majorBidi" w:cstheme="majorBidi"/>
          <w:b/>
          <w:bCs/>
          <w:color w:val="auto"/>
          <w:szCs w:val="24"/>
          <w:rtl/>
        </w:rPr>
        <w:t>3</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برنامج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3 </w:t>
      </w:r>
      <w:r w:rsidRPr="00C94C05">
        <w:rPr>
          <w:rFonts w:eastAsia="Calibri" w:asciiTheme="majorBidi" w:hAnsiTheme="majorBidi" w:cstheme="majorBidi"/>
          <w:color w:val="auto"/>
          <w:szCs w:val="24"/>
          <w:rtl/>
          <w:lang w:bidi="ar-SA"/>
        </w:rPr>
        <w:t xml:space="preserve">هو برنامج وطني استراتيجي تبلغ ميزانيته حوالي </w:t>
      </w:r>
      <w:r w:rsidRPr="00C94C05">
        <w:rPr>
          <w:rFonts w:eastAsia="Calibri" w:asciiTheme="majorBidi" w:hAnsiTheme="majorBidi" w:cstheme="majorBidi"/>
          <w:color w:val="auto"/>
          <w:szCs w:val="24"/>
          <w:rtl/>
        </w:rPr>
        <w:t xml:space="preserve">18.5 </w:t>
      </w:r>
      <w:r w:rsidRPr="00C94C05">
        <w:rPr>
          <w:rFonts w:eastAsia="Calibri" w:asciiTheme="majorBidi" w:hAnsiTheme="majorBidi" w:cstheme="majorBidi"/>
          <w:color w:val="auto"/>
          <w:szCs w:val="24"/>
          <w:rtl/>
          <w:lang w:bidi="ar-SA"/>
        </w:rPr>
        <w:t>مليارد</w:t>
      </w:r>
      <w:r w:rsidRPr="00C94C05">
        <w:rPr>
          <w:rFonts w:eastAsia="Calibri" w:asciiTheme="majorBidi" w:hAnsiTheme="majorBidi" w:cstheme="majorBidi"/>
          <w:color w:val="auto"/>
          <w:szCs w:val="24"/>
          <w:rtl/>
          <w:lang w:bidi="ar-SA"/>
        </w:rPr>
        <w:t xml:space="preserve"> شيكل جديد، في نطاق عمليات الجهاز الأمني وسلطة أراضي اسرائيل لنقل معسكرات الجيش الاسرائيلي من المناطق </w:t>
      </w:r>
      <w:r w:rsidRPr="00C94C05">
        <w:rPr>
          <w:rFonts w:eastAsia="Calibri" w:asciiTheme="majorBidi" w:hAnsiTheme="majorBidi" w:cstheme="majorBidi"/>
          <w:color w:val="auto"/>
          <w:szCs w:val="24"/>
          <w:rtl/>
          <w:lang w:bidi="ar-SA"/>
        </w:rPr>
        <w:t>المطلوبه</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للسكن، بهدف تسويق الأراضي في المعسكرات التي يتم </w:t>
      </w:r>
      <w:r w:rsidRPr="00C94C05">
        <w:rPr>
          <w:rFonts w:eastAsia="Calibri" w:asciiTheme="majorBidi" w:hAnsiTheme="majorBidi" w:cstheme="majorBidi"/>
          <w:color w:val="auto"/>
          <w:szCs w:val="24"/>
          <w:rtl/>
          <w:lang w:bidi="ar-SA"/>
        </w:rPr>
        <w:t>اخلائها</w:t>
      </w:r>
      <w:r w:rsidRPr="00C94C05">
        <w:rPr>
          <w:rFonts w:eastAsia="Calibri" w:asciiTheme="majorBidi" w:hAnsiTheme="majorBidi" w:cstheme="majorBidi"/>
          <w:color w:val="auto"/>
          <w:szCs w:val="24"/>
          <w:rtl/>
          <w:lang w:bidi="ar-SA"/>
        </w:rPr>
        <w:t xml:space="preserve"> وزيادة عرض وحدات السكن</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الرقابة بموضوع </w:t>
      </w:r>
      <w:r w:rsidRPr="00C94C05">
        <w:rPr>
          <w:rFonts w:eastAsia="Calibri" w:asciiTheme="majorBidi" w:hAnsiTheme="majorBidi" w:cstheme="majorBidi"/>
          <w:b/>
          <w:bCs/>
          <w:color w:val="auto"/>
          <w:szCs w:val="24"/>
          <w:rtl/>
          <w:lang w:bidi="ar-SA"/>
        </w:rPr>
        <w:t xml:space="preserve">تطبيق خطة </w:t>
      </w:r>
      <w:r w:rsidRPr="00C94C05">
        <w:rPr>
          <w:rFonts w:eastAsia="Calibri" w:asciiTheme="majorBidi" w:hAnsiTheme="majorBidi" w:cstheme="majorBidi"/>
          <w:b/>
          <w:bCs/>
          <w:color w:val="auto"/>
          <w:szCs w:val="24"/>
          <w:rtl/>
          <w:lang w:bidi="ar-SA"/>
        </w:rPr>
        <w:t>شوهام</w:t>
      </w:r>
      <w:r w:rsidRPr="00C94C05">
        <w:rPr>
          <w:rFonts w:eastAsia="Calibri" w:asciiTheme="majorBidi" w:hAnsiTheme="majorBidi" w:cstheme="majorBidi"/>
          <w:b/>
          <w:bCs/>
          <w:color w:val="auto"/>
          <w:szCs w:val="24"/>
          <w:rtl/>
          <w:lang w:bidi="ar-SA"/>
        </w:rPr>
        <w:t xml:space="preserve"> </w:t>
      </w:r>
      <w:r w:rsidRPr="00C94C05">
        <w:rPr>
          <w:rFonts w:eastAsia="Calibri" w:asciiTheme="majorBidi" w:hAnsiTheme="majorBidi" w:cstheme="majorBidi"/>
          <w:b/>
          <w:bCs/>
          <w:color w:val="auto"/>
          <w:szCs w:val="24"/>
          <w:rtl/>
        </w:rPr>
        <w:t>3</w:t>
      </w:r>
      <w:r w:rsidRPr="00C94C05">
        <w:rPr>
          <w:rFonts w:eastAsia="Calibri" w:asciiTheme="majorBidi" w:hAnsiTheme="majorBidi" w:cstheme="majorBidi"/>
          <w:b/>
          <w:bCs/>
          <w:color w:val="auto"/>
          <w:szCs w:val="24"/>
          <w:rtl/>
          <w:lang w:bidi="ar-SA"/>
        </w:rPr>
        <w:t xml:space="preserve"> </w:t>
      </w:r>
      <w:r w:rsidRPr="00C94C05">
        <w:rPr>
          <w:rFonts w:eastAsia="Calibri" w:asciiTheme="majorBidi" w:hAnsiTheme="majorBidi" w:cstheme="majorBidi"/>
          <w:color w:val="auto"/>
          <w:szCs w:val="24"/>
          <w:rtl/>
          <w:lang w:bidi="ar-SA"/>
        </w:rPr>
        <w:t xml:space="preserve">تبين أنه </w:t>
      </w:r>
      <w:r w:rsidRPr="00C94C05">
        <w:rPr>
          <w:rFonts w:eastAsia="Calibri" w:asciiTheme="majorBidi" w:hAnsiTheme="majorBidi" w:cstheme="majorBidi"/>
          <w:color w:val="auto"/>
          <w:szCs w:val="24"/>
          <w:rtl/>
          <w:lang w:bidi="ar-SA"/>
        </w:rPr>
        <w:t xml:space="preserve">حتى موعد انتهاء الرقابة قام جهاز الأمن بإخلاء حوالي </w:t>
      </w:r>
      <w:r w:rsidRPr="00C94C05">
        <w:rPr>
          <w:rFonts w:eastAsia="Calibri" w:asciiTheme="majorBidi" w:hAnsiTheme="majorBidi" w:cstheme="majorBidi"/>
          <w:color w:val="auto"/>
          <w:szCs w:val="24"/>
          <w:rtl/>
        </w:rPr>
        <w:t xml:space="preserve">- 65% </w:t>
      </w:r>
      <w:r w:rsidRPr="00C94C05">
        <w:rPr>
          <w:rFonts w:eastAsia="Calibri" w:asciiTheme="majorBidi" w:hAnsiTheme="majorBidi" w:cstheme="majorBidi"/>
          <w:color w:val="auto"/>
          <w:szCs w:val="24"/>
          <w:rtl/>
          <w:lang w:bidi="ar-SA"/>
        </w:rPr>
        <w:t xml:space="preserve">من مجموع الأراضي التي من المفترض أن يتم اخلائها بموجب الخطة، وأنه من حوالي </w:t>
      </w:r>
      <w:r w:rsidRPr="00C94C05">
        <w:rPr>
          <w:rFonts w:eastAsia="Calibri" w:asciiTheme="majorBidi" w:hAnsiTheme="majorBidi" w:cstheme="majorBidi"/>
          <w:color w:val="auto"/>
          <w:szCs w:val="24"/>
          <w:rtl/>
        </w:rPr>
        <w:t xml:space="preserve">69,185 </w:t>
      </w:r>
      <w:r w:rsidRPr="00C94C05">
        <w:rPr>
          <w:rFonts w:eastAsia="Calibri" w:asciiTheme="majorBidi" w:hAnsiTheme="majorBidi" w:cstheme="majorBidi"/>
          <w:color w:val="auto"/>
          <w:szCs w:val="24"/>
          <w:rtl/>
          <w:lang w:bidi="ar-SA"/>
        </w:rPr>
        <w:t xml:space="preserve">وحدة سكن مخطط بناءها على أراضي المعسكرات التي تم </w:t>
      </w:r>
      <w:r w:rsidRPr="00C94C05">
        <w:rPr>
          <w:rFonts w:eastAsia="Calibri" w:asciiTheme="majorBidi" w:hAnsiTheme="majorBidi" w:cstheme="majorBidi"/>
          <w:color w:val="auto"/>
          <w:szCs w:val="24"/>
          <w:rtl/>
          <w:lang w:bidi="ar-SA"/>
        </w:rPr>
        <w:t>اخلائها</w:t>
      </w:r>
      <w:r w:rsidRPr="00C94C05">
        <w:rPr>
          <w:rFonts w:eastAsia="Calibri" w:asciiTheme="majorBidi" w:hAnsiTheme="majorBidi" w:cstheme="majorBidi"/>
          <w:color w:val="auto"/>
          <w:szCs w:val="24"/>
          <w:rtl/>
          <w:lang w:bidi="ar-SA"/>
        </w:rPr>
        <w:t xml:space="preserve"> سوقت حتى نفس الموعد </w:t>
      </w:r>
      <w:r w:rsidRPr="00C94C05">
        <w:rPr>
          <w:rFonts w:eastAsia="Calibri" w:asciiTheme="majorBidi" w:hAnsiTheme="majorBidi" w:cstheme="majorBidi"/>
          <w:color w:val="auto"/>
          <w:szCs w:val="24"/>
          <w:rtl/>
        </w:rPr>
        <w:t xml:space="preserve">11,404 </w:t>
      </w:r>
      <w:r w:rsidRPr="00C94C05">
        <w:rPr>
          <w:rFonts w:eastAsia="Calibri" w:asciiTheme="majorBidi" w:hAnsiTheme="majorBidi" w:cstheme="majorBidi"/>
          <w:color w:val="auto"/>
          <w:szCs w:val="24"/>
          <w:rtl/>
          <w:lang w:bidi="ar-SA"/>
        </w:rPr>
        <w:t xml:space="preserve">وحدة سكن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 xml:space="preserve">حوالي </w:t>
      </w:r>
      <w:r w:rsidRPr="00C94C05">
        <w:rPr>
          <w:rFonts w:eastAsia="Calibri" w:asciiTheme="majorBidi" w:hAnsiTheme="majorBidi" w:cstheme="majorBidi"/>
          <w:color w:val="auto"/>
          <w:szCs w:val="24"/>
          <w:rtl/>
        </w:rPr>
        <w:t>16.5%)</w:t>
      </w:r>
      <w:r w:rsidRPr="00C94C05">
        <w:rPr>
          <w:rFonts w:eastAsia="Calibri" w:asciiTheme="majorBidi" w:hAnsiTheme="majorBidi" w:cstheme="majorBidi"/>
          <w:color w:val="auto"/>
          <w:szCs w:val="24"/>
          <w:rtl/>
          <w:lang w:bidi="ar-SA"/>
        </w:rPr>
        <w:t xml:space="preserve">، وبدأت عملية بناء </w:t>
      </w:r>
      <w:r w:rsidRPr="00C94C05">
        <w:rPr>
          <w:rFonts w:eastAsia="Calibri" w:asciiTheme="majorBidi" w:hAnsiTheme="majorBidi" w:cstheme="majorBidi"/>
          <w:color w:val="auto"/>
          <w:szCs w:val="24"/>
          <w:rtl/>
        </w:rPr>
        <w:t xml:space="preserve">6,855 </w:t>
      </w:r>
      <w:r w:rsidRPr="00C94C05">
        <w:rPr>
          <w:rFonts w:eastAsia="Calibri" w:asciiTheme="majorBidi" w:hAnsiTheme="majorBidi" w:cstheme="majorBidi"/>
          <w:color w:val="auto"/>
          <w:szCs w:val="24"/>
          <w:rtl/>
          <w:lang w:bidi="ar-SA"/>
        </w:rPr>
        <w:t xml:space="preserve">وحدة سكن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حوالي</w:t>
      </w:r>
      <w:r w:rsidRPr="00C94C05">
        <w:rPr>
          <w:rFonts w:eastAsia="Calibri" w:asciiTheme="majorBidi" w:hAnsiTheme="majorBidi" w:cstheme="majorBidi"/>
          <w:color w:val="auto"/>
          <w:szCs w:val="24"/>
          <w:rtl/>
        </w:rPr>
        <w:t xml:space="preserve">- 10% </w:t>
      </w:r>
      <w:r w:rsidRPr="00C94C05">
        <w:rPr>
          <w:rFonts w:eastAsia="Calibri" w:asciiTheme="majorBidi" w:hAnsiTheme="majorBidi" w:cstheme="majorBidi"/>
          <w:color w:val="auto"/>
          <w:szCs w:val="24"/>
          <w:rtl/>
          <w:lang w:bidi="ar-SA"/>
        </w:rPr>
        <w:t>من وحدات السكن المخطط بناءها بموجب الخطة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وحوالي</w:t>
      </w:r>
      <w:r w:rsidRPr="00C94C05">
        <w:rPr>
          <w:rFonts w:eastAsia="Calibri" w:asciiTheme="majorBidi" w:hAnsiTheme="majorBidi" w:cstheme="majorBidi"/>
          <w:color w:val="auto"/>
          <w:szCs w:val="24"/>
          <w:rtl/>
        </w:rPr>
        <w:t xml:space="preserve">- 60% </w:t>
      </w:r>
      <w:r w:rsidRPr="00C94C05">
        <w:rPr>
          <w:rFonts w:eastAsia="Calibri" w:asciiTheme="majorBidi" w:hAnsiTheme="majorBidi" w:cstheme="majorBidi"/>
          <w:color w:val="auto"/>
          <w:szCs w:val="24"/>
          <w:rtl/>
          <w:lang w:bidi="ar-SA"/>
        </w:rPr>
        <w:t>من الوحدات التي تم تسويقها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كانت التأخيرات البارزة في مشاريع </w:t>
      </w:r>
      <w:r w:rsidRPr="00C94C05">
        <w:rPr>
          <w:rFonts w:eastAsia="Calibri" w:asciiTheme="majorBidi" w:hAnsiTheme="majorBidi" w:cstheme="majorBidi"/>
          <w:color w:val="auto"/>
          <w:szCs w:val="24"/>
          <w:rtl/>
        </w:rPr>
        <w:t>PFI</w:t>
      </w:r>
      <w:r w:rsidRPr="00C94C05">
        <w:rPr>
          <w:rFonts w:eastAsia="Calibri" w:asciiTheme="majorBidi" w:hAnsiTheme="majorBidi" w:cstheme="majorBidi"/>
          <w:color w:val="auto"/>
          <w:szCs w:val="24"/>
          <w:rtl/>
          <w:lang w:bidi="ar-SA"/>
        </w:rPr>
        <w:t xml:space="preserve">، وهي تؤثر على الجانب الاستراتيجي </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الوطني وعلى مسألة أزمة السكن، حيث يتأخر تسويق حوالي </w:t>
      </w:r>
      <w:r w:rsidRPr="00C94C05">
        <w:rPr>
          <w:rFonts w:eastAsia="Calibri" w:asciiTheme="majorBidi" w:hAnsiTheme="majorBidi" w:cstheme="majorBidi"/>
          <w:color w:val="auto"/>
          <w:szCs w:val="24"/>
          <w:rtl/>
        </w:rPr>
        <w:t xml:space="preserve">15,929 </w:t>
      </w:r>
      <w:r w:rsidRPr="00C94C05">
        <w:rPr>
          <w:rFonts w:eastAsia="Calibri" w:asciiTheme="majorBidi" w:hAnsiTheme="majorBidi" w:cstheme="majorBidi"/>
          <w:color w:val="auto"/>
          <w:szCs w:val="24"/>
          <w:rtl/>
          <w:lang w:bidi="ar-SA"/>
        </w:rPr>
        <w:t xml:space="preserve">حتى </w:t>
      </w:r>
      <w:r w:rsidRPr="00C94C05">
        <w:rPr>
          <w:rFonts w:eastAsia="Calibri" w:asciiTheme="majorBidi" w:hAnsiTheme="majorBidi" w:cstheme="majorBidi"/>
          <w:color w:val="auto"/>
          <w:szCs w:val="24"/>
          <w:rtl/>
        </w:rPr>
        <w:t xml:space="preserve">22,680 </w:t>
      </w:r>
      <w:r w:rsidRPr="00C94C05">
        <w:rPr>
          <w:rFonts w:eastAsia="Calibri" w:asciiTheme="majorBidi" w:hAnsiTheme="majorBidi" w:cstheme="majorBidi"/>
          <w:color w:val="auto"/>
          <w:szCs w:val="24"/>
          <w:rtl/>
          <w:lang w:bidi="ar-SA"/>
        </w:rPr>
        <w:t>وحدة سكن معظمها في مركز البلاد</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اعتبارا من موعد انتهاء الرقابة، لم يتم التوصل الى اتفاق بين سلطة أراضي اسرائيل ووزارة الأمن ووزارة المالية بخصوص أي المعسكرات والمناطق التي سيتم إخلاؤها في إطار خطط الإخلاء المستقبلية، للسماح ببناء </w:t>
      </w:r>
      <w:r w:rsidRPr="00C94C05">
        <w:rPr>
          <w:rFonts w:eastAsia="Calibri" w:asciiTheme="majorBidi" w:hAnsiTheme="majorBidi" w:cstheme="majorBidi"/>
          <w:color w:val="auto"/>
          <w:szCs w:val="24"/>
          <w:rtl/>
        </w:rPr>
        <w:t xml:space="preserve">30,694 </w:t>
      </w:r>
      <w:r w:rsidRPr="00C94C05">
        <w:rPr>
          <w:rFonts w:eastAsia="Calibri" w:asciiTheme="majorBidi" w:hAnsiTheme="majorBidi" w:cstheme="majorBidi"/>
          <w:color w:val="auto"/>
          <w:szCs w:val="24"/>
          <w:rtl/>
          <w:lang w:bidi="ar-SA"/>
        </w:rPr>
        <w:t xml:space="preserve">وحدة سكن على الأقل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 xml:space="preserve">منها </w:t>
      </w:r>
      <w:r w:rsidRPr="00C94C05">
        <w:rPr>
          <w:rFonts w:eastAsia="Calibri" w:asciiTheme="majorBidi" w:hAnsiTheme="majorBidi" w:cstheme="majorBidi"/>
          <w:color w:val="auto"/>
          <w:szCs w:val="24"/>
          <w:rtl/>
        </w:rPr>
        <w:t xml:space="preserve">586 </w:t>
      </w:r>
      <w:r w:rsidRPr="00C94C05">
        <w:rPr>
          <w:rFonts w:eastAsia="Calibri" w:asciiTheme="majorBidi" w:hAnsiTheme="majorBidi" w:cstheme="majorBidi"/>
          <w:color w:val="auto"/>
          <w:szCs w:val="24"/>
          <w:rtl/>
          <w:lang w:bidi="ar-SA"/>
        </w:rPr>
        <w:t>سكن محمي</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وعلى الأقل </w:t>
      </w:r>
      <w:r w:rsidRPr="00C94C05">
        <w:rPr>
          <w:rFonts w:eastAsia="Calibri" w:asciiTheme="majorBidi" w:hAnsiTheme="majorBidi" w:cstheme="majorBidi"/>
          <w:color w:val="auto"/>
          <w:szCs w:val="24"/>
          <w:rtl/>
        </w:rPr>
        <w:t xml:space="preserve">100 </w:t>
      </w:r>
      <w:r w:rsidRPr="00C94C05">
        <w:rPr>
          <w:rFonts w:eastAsia="Calibri" w:asciiTheme="majorBidi" w:hAnsiTheme="majorBidi" w:cstheme="majorBidi"/>
          <w:color w:val="auto"/>
          <w:szCs w:val="24"/>
          <w:rtl/>
          <w:lang w:bidi="ar-SA"/>
        </w:rPr>
        <w:t xml:space="preserve">وحدة سكن للفنادق واستخدام حوالي </w:t>
      </w:r>
      <w:r w:rsidRPr="00C94C05">
        <w:rPr>
          <w:rFonts w:eastAsia="Calibri" w:asciiTheme="majorBidi" w:hAnsiTheme="majorBidi" w:cstheme="majorBidi"/>
          <w:color w:val="auto"/>
          <w:szCs w:val="24"/>
          <w:rtl/>
        </w:rPr>
        <w:t xml:space="preserve">1,765 </w:t>
      </w:r>
      <w:r w:rsidRPr="00C94C05">
        <w:rPr>
          <w:rFonts w:eastAsia="Calibri" w:asciiTheme="majorBidi" w:hAnsiTheme="majorBidi" w:cstheme="majorBidi"/>
          <w:color w:val="auto"/>
          <w:szCs w:val="24"/>
          <w:rtl/>
          <w:lang w:bidi="ar-SA"/>
        </w:rPr>
        <w:t>دونم للتجارة والصناعة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نظرا لأن برنامج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3 </w:t>
      </w:r>
      <w:r w:rsidRPr="00C94C05">
        <w:rPr>
          <w:rFonts w:eastAsia="Calibri" w:asciiTheme="majorBidi" w:hAnsiTheme="majorBidi" w:cstheme="majorBidi"/>
          <w:color w:val="auto"/>
          <w:szCs w:val="24"/>
          <w:rtl/>
          <w:lang w:bidi="ar-SA"/>
        </w:rPr>
        <w:t>مهم على المستوى الوطني والمستوى الأمني، يوصي مراقب الدولة جميع الجهات المعنية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سلطة أراضي اسرائيل ووزارة الأمن ووزارة المالية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بإجراء فحص شامل وأساسي لتحقيق الخطة وإدارتها، لتطبيق الدروس وتحسين اجراءات العمل التي تتعلق بالاتفاقيات المستقبلية لإخلاء معسكرات الجيش</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يوصى أيضا بأن يبادر وزير البناء والإسكان بالتنسيق مع وزير الأمن ووزير المالية الى إجراء نقاش في المجلس الوزاري المصغر للسكن بخصوص فحص امكانيات إخلاء المزيد من معسكرات الجيش التي ستبقى بعد تحقيق خطة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3 (</w:t>
      </w:r>
      <w:r w:rsidRPr="00C94C05">
        <w:rPr>
          <w:rFonts w:eastAsia="Calibri" w:asciiTheme="majorBidi" w:hAnsiTheme="majorBidi" w:cstheme="majorBidi"/>
          <w:color w:val="auto"/>
          <w:szCs w:val="24"/>
          <w:rtl/>
          <w:lang w:bidi="ar-SA"/>
        </w:rPr>
        <w:t xml:space="preserve">حوالي </w:t>
      </w:r>
      <w:r w:rsidRPr="00C94C05">
        <w:rPr>
          <w:rFonts w:eastAsia="Calibri" w:asciiTheme="majorBidi" w:hAnsiTheme="majorBidi" w:cstheme="majorBidi"/>
          <w:color w:val="auto"/>
          <w:szCs w:val="24"/>
          <w:rtl/>
        </w:rPr>
        <w:t xml:space="preserve">60,000 </w:t>
      </w:r>
      <w:r w:rsidRPr="00C94C05">
        <w:rPr>
          <w:rFonts w:eastAsia="Calibri" w:asciiTheme="majorBidi" w:hAnsiTheme="majorBidi" w:cstheme="majorBidi"/>
          <w:color w:val="auto"/>
          <w:szCs w:val="24"/>
          <w:rtl/>
          <w:lang w:bidi="ar-SA"/>
        </w:rPr>
        <w:t>دونم</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 وصياغة سياسية على المستوى الوطني تشتق منها خطة تشغيلية متعددة السنوات</w:t>
      </w:r>
      <w:r w:rsidRPr="00C94C05">
        <w:rPr>
          <w:rFonts w:eastAsia="Calibri" w:asciiTheme="majorBidi" w:hAnsiTheme="majorBidi" w:cstheme="majorBidi"/>
          <w:color w:val="auto"/>
          <w:szCs w:val="24"/>
          <w:rtl/>
        </w:rPr>
        <w:t xml:space="preserve">. </w:t>
      </w:r>
    </w:p>
    <w:p w:rsidR="00342EBC" w:rsidRPr="00C94C05" w:rsidP="00C94C05" w14:paraId="7C491311" w14:textId="59F86C06">
      <w:pPr>
        <w:pStyle w:val="7193"/>
        <w:spacing w:line="324" w:lineRule="auto"/>
        <w:ind w:left="397"/>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في الفصل الخاص بموضوع ظروف المعيشة والبنى التحتية للجنود في الخدمة الإلزامية وفي الاحتياط المدرجة في هذا التقرير، ذكر بأن الجنود يواجهون بنية تحتية سيئة في المعسكرات</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ذكر أيضا، بشكل عام، أن برنامج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3 </w:t>
      </w:r>
      <w:r w:rsidRPr="00C94C05">
        <w:rPr>
          <w:rFonts w:eastAsia="Calibri" w:asciiTheme="majorBidi" w:hAnsiTheme="majorBidi" w:cstheme="majorBidi"/>
          <w:color w:val="auto"/>
          <w:szCs w:val="24"/>
          <w:rtl/>
          <w:lang w:bidi="ar-SA"/>
        </w:rPr>
        <w:t>لم يخصص لمعالجة الثغرات في البنى التحتية في المعسكرات الموجودة التي يخدم بها الجنود</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في ضوء ذلك يوصى جيش الدفاع الاسرائيلي، كجزء من خطة متعددة السنوات بناء بنى تحتية وفي إطار خطط الإخلاء المستقبلية ستعطى أفضلية لبناء معسكرات جديدة للجنود</w:t>
      </w:r>
      <w:r w:rsidRPr="00C94C05">
        <w:rPr>
          <w:rFonts w:eastAsia="Calibri" w:asciiTheme="majorBidi" w:hAnsiTheme="majorBidi" w:cstheme="majorBidi"/>
          <w:color w:val="auto"/>
          <w:szCs w:val="24"/>
          <w:rtl/>
        </w:rPr>
        <w:t>.</w:t>
      </w:r>
    </w:p>
    <w:p w:rsidR="00342EBC" w:rsidRPr="00C94C05" w:rsidP="00C94C05" w14:paraId="1A6D6A77" w14:textId="04F42A95">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رفائيل</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رفائيل هي شركة حكومية من أكبر الشركات في دولة اسرائيل</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وهي تتعامل في مجالات الأمن، بما في ذلك تطوير وإنتاج وسائل قتالية لجيش الدفاع الاسرائيلي وبيع مجموعة متنوعة من المنتجات في المجالات الأمنية في أنحاء العالم</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الحفاظ على قوتها العملية والمالية يعتبر مصلحة أمنية واقتصادية للدولة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يتضمن التقرير رقابة بموضوع </w:t>
      </w:r>
      <w:r w:rsidRPr="00C94C05">
        <w:rPr>
          <w:rFonts w:eastAsia="Calibri" w:asciiTheme="majorBidi" w:hAnsiTheme="majorBidi" w:cstheme="majorBidi"/>
          <w:b/>
          <w:bCs/>
          <w:color w:val="auto"/>
          <w:szCs w:val="24"/>
          <w:rtl/>
          <w:lang w:bidi="ar-SA"/>
        </w:rPr>
        <w:t xml:space="preserve">التقارير المالية لرفائيل أنظمة </w:t>
      </w:r>
      <w:r w:rsidRPr="00C94C05">
        <w:rPr>
          <w:rFonts w:eastAsia="Calibri" w:asciiTheme="majorBidi" w:hAnsiTheme="majorBidi" w:cstheme="majorBidi"/>
          <w:b/>
          <w:bCs/>
          <w:color w:val="auto"/>
          <w:szCs w:val="24"/>
          <w:rtl/>
          <w:lang w:bidi="ar-SA"/>
        </w:rPr>
        <w:t>دفاعية متقدمة م</w:t>
      </w:r>
      <w:r w:rsidRPr="00C94C05">
        <w:rPr>
          <w:rFonts w:eastAsia="Calibri" w:asciiTheme="majorBidi" w:hAnsiTheme="majorBidi" w:cstheme="majorBidi"/>
          <w:b/>
          <w:bCs/>
          <w:color w:val="auto"/>
          <w:szCs w:val="24"/>
          <w:rtl/>
        </w:rPr>
        <w:t>.</w:t>
      </w:r>
      <w:r w:rsidRPr="00C94C05">
        <w:rPr>
          <w:rFonts w:eastAsia="Calibri" w:asciiTheme="majorBidi" w:hAnsiTheme="majorBidi" w:cstheme="majorBidi"/>
          <w:b/>
          <w:bCs/>
          <w:color w:val="auto"/>
          <w:szCs w:val="24"/>
          <w:rtl/>
          <w:lang w:bidi="ar-SA"/>
        </w:rPr>
        <w:t>ض</w:t>
      </w:r>
      <w:r w:rsidRPr="00C94C05">
        <w:rPr>
          <w:rFonts w:eastAsia="Calibri" w:asciiTheme="majorBidi" w:hAnsiTheme="majorBidi" w:cstheme="majorBidi"/>
          <w:b/>
          <w:bCs/>
          <w:color w:val="auto"/>
          <w:szCs w:val="24"/>
          <w:rtl/>
        </w:rPr>
        <w:t xml:space="preserve">- </w:t>
      </w:r>
      <w:r w:rsidRPr="00C94C05">
        <w:rPr>
          <w:rFonts w:eastAsia="Calibri" w:asciiTheme="majorBidi" w:hAnsiTheme="majorBidi" w:cstheme="majorBidi"/>
          <w:b/>
          <w:bCs/>
          <w:color w:val="auto"/>
          <w:szCs w:val="24"/>
          <w:rtl/>
          <w:lang w:bidi="ar-SA"/>
        </w:rPr>
        <w:t>وضع الشركة ومخاطرها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يشير تحليل النتائج العملية لرفائيل في السنوات الأخيرة أنه الى جانب المدخولات المتراكمة بقيمة حوالي </w:t>
      </w:r>
      <w:r w:rsidRPr="00C94C05">
        <w:rPr>
          <w:rFonts w:eastAsia="Calibri" w:asciiTheme="majorBidi" w:hAnsiTheme="majorBidi" w:cstheme="majorBidi"/>
          <w:color w:val="auto"/>
          <w:szCs w:val="24"/>
          <w:rtl/>
        </w:rPr>
        <w:t xml:space="preserve">46.5 </w:t>
      </w:r>
      <w:r w:rsidRPr="00C94C05">
        <w:rPr>
          <w:rFonts w:eastAsia="Calibri" w:asciiTheme="majorBidi" w:hAnsiTheme="majorBidi" w:cstheme="majorBidi"/>
          <w:color w:val="auto"/>
          <w:szCs w:val="24"/>
          <w:rtl/>
          <w:lang w:bidi="ar-SA"/>
        </w:rPr>
        <w:t>مليارد</w:t>
      </w:r>
      <w:r w:rsidRPr="00C94C05">
        <w:rPr>
          <w:rFonts w:eastAsia="Calibri" w:asciiTheme="majorBidi" w:hAnsiTheme="majorBidi" w:cstheme="majorBidi"/>
          <w:color w:val="auto"/>
          <w:szCs w:val="24"/>
          <w:rtl/>
          <w:lang w:bidi="ar-SA"/>
        </w:rPr>
        <w:t xml:space="preserve"> شيكل في السنوات </w:t>
      </w:r>
      <w:r w:rsidRPr="00C94C05">
        <w:rPr>
          <w:rFonts w:eastAsia="Calibri" w:asciiTheme="majorBidi" w:hAnsiTheme="majorBidi" w:cstheme="majorBidi"/>
          <w:color w:val="auto"/>
          <w:szCs w:val="24"/>
          <w:rtl/>
        </w:rPr>
        <w:t xml:space="preserve">2017- 2021 </w:t>
      </w:r>
      <w:r w:rsidRPr="00C94C05">
        <w:rPr>
          <w:rFonts w:eastAsia="Calibri" w:asciiTheme="majorBidi" w:hAnsiTheme="majorBidi" w:cstheme="majorBidi"/>
          <w:color w:val="auto"/>
          <w:szCs w:val="24"/>
          <w:rtl/>
          <w:lang w:bidi="ar-SA"/>
        </w:rPr>
        <w:t xml:space="preserve">والأرباح التراكمية بقيمة حوالي </w:t>
      </w:r>
      <w:r w:rsidRPr="00C94C05">
        <w:rPr>
          <w:rFonts w:eastAsia="Calibri" w:asciiTheme="majorBidi" w:hAnsiTheme="majorBidi" w:cstheme="majorBidi"/>
          <w:color w:val="auto"/>
          <w:szCs w:val="24"/>
          <w:rtl/>
        </w:rPr>
        <w:t xml:space="preserve">4.5 </w:t>
      </w:r>
      <w:r w:rsidRPr="00C94C05">
        <w:rPr>
          <w:rFonts w:eastAsia="Calibri" w:asciiTheme="majorBidi" w:hAnsiTheme="majorBidi" w:cstheme="majorBidi"/>
          <w:color w:val="auto"/>
          <w:szCs w:val="24"/>
          <w:rtl/>
          <w:lang w:bidi="ar-SA"/>
        </w:rPr>
        <w:t>مليارد</w:t>
      </w:r>
      <w:r w:rsidRPr="00C94C05">
        <w:rPr>
          <w:rFonts w:eastAsia="Calibri" w:asciiTheme="majorBidi" w:hAnsiTheme="majorBidi" w:cstheme="majorBidi"/>
          <w:color w:val="auto"/>
          <w:szCs w:val="24"/>
          <w:rtl/>
          <w:lang w:bidi="ar-SA"/>
        </w:rPr>
        <w:t xml:space="preserve"> شيكل حتى موعد </w:t>
      </w:r>
      <w:r w:rsidRPr="00C94C05">
        <w:rPr>
          <w:rFonts w:eastAsia="Calibri" w:asciiTheme="majorBidi" w:hAnsiTheme="majorBidi" w:cstheme="majorBidi"/>
          <w:color w:val="auto"/>
          <w:szCs w:val="24"/>
          <w:rtl/>
        </w:rPr>
        <w:t>31.12.21</w:t>
      </w:r>
      <w:r w:rsidRPr="00C94C05">
        <w:rPr>
          <w:rFonts w:eastAsia="Calibri" w:asciiTheme="majorBidi" w:hAnsiTheme="majorBidi" w:cstheme="majorBidi"/>
          <w:color w:val="auto"/>
          <w:szCs w:val="24"/>
          <w:rtl/>
          <w:lang w:bidi="ar-SA"/>
        </w:rPr>
        <w:t xml:space="preserve">، تواجه الشركة صعوبات، منها انخفاض الإيرادات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بدون الشركات التابعة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السنوات </w:t>
      </w:r>
      <w:r w:rsidRPr="00C94C05">
        <w:rPr>
          <w:rFonts w:eastAsia="Calibri" w:asciiTheme="majorBidi" w:hAnsiTheme="majorBidi" w:cstheme="majorBidi"/>
          <w:color w:val="auto"/>
          <w:szCs w:val="24"/>
          <w:rtl/>
        </w:rPr>
        <w:t xml:space="preserve">2020 </w:t>
      </w:r>
      <w:r w:rsidRPr="00C94C05">
        <w:rPr>
          <w:rFonts w:eastAsia="Calibri" w:asciiTheme="majorBidi" w:hAnsiTheme="majorBidi" w:cstheme="majorBidi"/>
          <w:color w:val="auto"/>
          <w:szCs w:val="24"/>
          <w:rtl/>
          <w:lang w:bidi="ar-SA"/>
        </w:rPr>
        <w:t>و</w:t>
      </w:r>
      <w:r w:rsidRPr="00C94C05">
        <w:rPr>
          <w:rFonts w:eastAsia="Calibri" w:asciiTheme="majorBidi" w:hAnsiTheme="majorBidi" w:cstheme="majorBidi"/>
          <w:color w:val="auto"/>
          <w:szCs w:val="24"/>
          <w:rtl/>
        </w:rPr>
        <w:t>- 2021</w:t>
      </w:r>
      <w:r w:rsidRPr="00C94C05">
        <w:rPr>
          <w:rFonts w:eastAsia="Calibri" w:asciiTheme="majorBidi" w:hAnsiTheme="majorBidi" w:cstheme="majorBidi"/>
          <w:color w:val="auto"/>
          <w:szCs w:val="24"/>
          <w:rtl/>
          <w:lang w:bidi="ar-SA"/>
        </w:rPr>
        <w:t xml:space="preserve">، انخفاض في الربح التشغيلي في بعض من مشاريع الشركة مقابل سنة </w:t>
      </w:r>
      <w:r w:rsidRPr="00C94C05">
        <w:rPr>
          <w:rFonts w:eastAsia="Calibri" w:asciiTheme="majorBidi" w:hAnsiTheme="majorBidi" w:cstheme="majorBidi"/>
          <w:color w:val="auto"/>
          <w:szCs w:val="24"/>
          <w:rtl/>
        </w:rPr>
        <w:t>2020</w:t>
      </w:r>
      <w:r w:rsidRPr="00C94C05">
        <w:rPr>
          <w:rFonts w:eastAsia="Calibri" w:asciiTheme="majorBidi" w:hAnsiTheme="majorBidi" w:cstheme="majorBidi"/>
          <w:color w:val="auto"/>
          <w:szCs w:val="24"/>
          <w:rtl/>
          <w:lang w:bidi="ar-SA"/>
        </w:rPr>
        <w:t>، وتوقعات خسارة تشغيلية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بالإضافة، حتى نهاية سنة </w:t>
      </w:r>
      <w:r w:rsidRPr="00C94C05">
        <w:rPr>
          <w:rFonts w:eastAsia="Calibri" w:asciiTheme="majorBidi" w:hAnsiTheme="majorBidi" w:cstheme="majorBidi"/>
          <w:color w:val="auto"/>
          <w:szCs w:val="24"/>
          <w:rtl/>
        </w:rPr>
        <w:t xml:space="preserve">2021 </w:t>
      </w:r>
      <w:r w:rsidRPr="00C94C05">
        <w:rPr>
          <w:rFonts w:eastAsia="Calibri" w:asciiTheme="majorBidi" w:hAnsiTheme="majorBidi" w:cstheme="majorBidi"/>
          <w:color w:val="auto"/>
          <w:szCs w:val="24"/>
          <w:rtl/>
          <w:lang w:bidi="ar-SA"/>
        </w:rPr>
        <w:t xml:space="preserve">شغل أربعة فقط منصب مديرين فعليين في مجلس الإدارة في الشركة، مقابل عشرة في شركة الكهرباء وتسعة في الصناعة الجوية </w:t>
      </w:r>
      <w:r w:rsidRPr="00C94C05">
        <w:rPr>
          <w:rFonts w:eastAsia="Calibri" w:asciiTheme="majorBidi" w:hAnsiTheme="majorBidi" w:cstheme="majorBidi"/>
          <w:color w:val="auto"/>
          <w:szCs w:val="24"/>
          <w:rtl/>
          <w:lang w:bidi="ar-SA"/>
        </w:rPr>
        <w:t>لاسرائيل</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يوصي مكتب مراقب الدولة أن تعمل شركة رفائيل على تحديث خطتها الاستراتيجية، من بين العديد من الأمور على ضوء نتائج هذا الفصل ووفقا لتوصياته والأهداف المالية التي تم الاتفاق عليها مع سلطة الشركات الحكومية، وأن يتم عرض الخطة على مجلس الإدارة لفحصها والمصادقة عليها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يوصى أيضا أن تقوم سلطة الشركات الحكومية بمتابعة عملية صياغة الخطة وتنفيذها</w:t>
      </w:r>
      <w:r w:rsidRPr="00C94C05">
        <w:rPr>
          <w:rFonts w:eastAsia="Calibri" w:asciiTheme="majorBidi" w:hAnsiTheme="majorBidi" w:cstheme="majorBidi"/>
          <w:color w:val="auto"/>
          <w:szCs w:val="24"/>
          <w:rtl/>
        </w:rPr>
        <w:t xml:space="preserve">. </w:t>
      </w:r>
    </w:p>
    <w:p w:rsidR="00342EBC" w:rsidRPr="00C94C05" w:rsidP="00C94C05" w14:paraId="78EDFC83" w14:textId="24D2A5AD">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بناء القوة في المجال العملياتي</w:t>
      </w:r>
      <w:r w:rsidRPr="00C94C05">
        <w:rPr>
          <w:rFonts w:eastAsia="Calibri" w:asciiTheme="majorBidi" w:hAnsiTheme="majorBidi" w:cstheme="majorBidi"/>
          <w:color w:val="auto"/>
          <w:szCs w:val="24"/>
          <w:rtl/>
        </w:rPr>
        <w:t xml:space="preserve"> - </w:t>
      </w:r>
      <w:r w:rsidRPr="00C94C05">
        <w:rPr>
          <w:rFonts w:eastAsia="Calibri" w:asciiTheme="majorBidi" w:hAnsiTheme="majorBidi" w:cstheme="majorBidi"/>
          <w:color w:val="auto"/>
          <w:szCs w:val="24"/>
          <w:rtl/>
          <w:lang w:bidi="ar-SA"/>
        </w:rPr>
        <w:t>في العقدين الأخيرين تغيرت ساحة المعركة بشكل تدريجي لكن جوهري</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كشفت الرقابة في موضوع </w:t>
      </w:r>
      <w:r w:rsidRPr="00C94C05">
        <w:rPr>
          <w:rFonts w:eastAsia="Calibri" w:asciiTheme="majorBidi" w:hAnsiTheme="majorBidi" w:cstheme="majorBidi"/>
          <w:b/>
          <w:bCs/>
          <w:color w:val="auto"/>
          <w:szCs w:val="24"/>
          <w:rtl/>
          <w:lang w:bidi="ar-SA"/>
        </w:rPr>
        <w:t>برنامج معين لبناء القوة في المجال العملياتي</w:t>
      </w:r>
      <w:r w:rsidRPr="00C94C05">
        <w:rPr>
          <w:rFonts w:eastAsia="Calibri" w:asciiTheme="majorBidi" w:hAnsiTheme="majorBidi" w:cstheme="majorBidi"/>
          <w:color w:val="auto"/>
          <w:szCs w:val="24"/>
          <w:rtl/>
          <w:lang w:bidi="ar-SA"/>
        </w:rPr>
        <w:t xml:space="preserve"> فجوات بخصوص تحسين قدرة الجنود، وقررت اللجنة الثانوية للجنة شؤون رقابة الدولة فرض رقابة على هذه الفجوات وعدم نشرها للجمهور</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كما كشفت الرقابة عن أوجه قصور في إجراءات عمل جيش الدفاع الاسرائيلي ووزارة الأمن بخصوص الشروع في مشاريع وسائل قتالية معينة والرقابة عليها</w:t>
      </w:r>
      <w:r w:rsidRPr="00C94C05">
        <w:rPr>
          <w:rFonts w:eastAsia="Calibri" w:asciiTheme="majorBidi" w:hAnsiTheme="majorBidi" w:cstheme="majorBidi"/>
          <w:color w:val="auto"/>
          <w:szCs w:val="24"/>
          <w:rtl/>
        </w:rPr>
        <w:t xml:space="preserve">.  </w:t>
      </w:r>
    </w:p>
    <w:p w:rsidR="00342EBC" w:rsidRPr="00AF21DB" w:rsidP="00C94C05" w14:paraId="5CFD2AB8" w14:textId="3E344C4B">
      <w:pPr>
        <w:pStyle w:val="7193"/>
        <w:numPr>
          <w:ilvl w:val="0"/>
          <w:numId w:val="43"/>
        </w:numPr>
        <w:spacing w:line="324" w:lineRule="auto"/>
        <w:rPr>
          <w:rFonts w:eastAsia="Calibri" w:asciiTheme="majorBidi" w:hAnsiTheme="majorBidi" w:cstheme="majorBidi"/>
          <w:color w:val="auto"/>
          <w:spacing w:val="2"/>
          <w:szCs w:val="24"/>
          <w:rtl/>
        </w:rPr>
      </w:pPr>
      <w:r w:rsidRPr="00AF21DB">
        <w:rPr>
          <w:rFonts w:eastAsia="Calibri" w:asciiTheme="majorBidi" w:hAnsiTheme="majorBidi" w:cstheme="majorBidi"/>
          <w:b/>
          <w:bCs/>
          <w:color w:val="auto"/>
          <w:spacing w:val="2"/>
          <w:szCs w:val="24"/>
          <w:rtl/>
          <w:lang w:bidi="ar-SA"/>
        </w:rPr>
        <w:t>رقابات</w:t>
      </w:r>
      <w:r w:rsidRPr="00AF21DB">
        <w:rPr>
          <w:rFonts w:eastAsia="Calibri" w:asciiTheme="majorBidi" w:hAnsiTheme="majorBidi" w:cstheme="majorBidi"/>
          <w:b/>
          <w:bCs/>
          <w:color w:val="auto"/>
          <w:spacing w:val="2"/>
          <w:szCs w:val="24"/>
          <w:rtl/>
          <w:lang w:bidi="ar-SA"/>
        </w:rPr>
        <w:t xml:space="preserve"> متابعة</w:t>
      </w:r>
      <w:r w:rsidRPr="00AF21DB">
        <w:rPr>
          <w:rFonts w:eastAsia="Calibri" w:asciiTheme="majorBidi" w:hAnsiTheme="majorBidi" w:cstheme="majorBidi"/>
          <w:color w:val="auto"/>
          <w:spacing w:val="2"/>
          <w:szCs w:val="24"/>
          <w:rtl/>
          <w:lang w:bidi="ar-SA"/>
        </w:rPr>
        <w:t>- يواصل مكتب مراقب الدولة باتجاه توسيع نطاق الرقابة والمتابعة</w:t>
      </w:r>
      <w:r w:rsidRPr="00AF21DB">
        <w:rPr>
          <w:rFonts w:eastAsia="Calibri" w:asciiTheme="majorBidi" w:hAnsiTheme="majorBidi" w:cstheme="majorBidi"/>
          <w:color w:val="auto"/>
          <w:spacing w:val="2"/>
          <w:szCs w:val="24"/>
          <w:rtl/>
        </w:rPr>
        <w:t xml:space="preserve">. </w:t>
      </w:r>
      <w:r w:rsidRPr="00AF21DB">
        <w:rPr>
          <w:rFonts w:eastAsia="Calibri" w:asciiTheme="majorBidi" w:hAnsiTheme="majorBidi" w:cstheme="majorBidi"/>
          <w:color w:val="auto"/>
          <w:spacing w:val="2"/>
          <w:szCs w:val="24"/>
          <w:rtl/>
          <w:lang w:bidi="ar-SA"/>
        </w:rPr>
        <w:t xml:space="preserve">يتضمن هذا التقرير رقابة متابعة بموضوع </w:t>
      </w:r>
      <w:r w:rsidRPr="00AF21DB">
        <w:rPr>
          <w:rFonts w:eastAsia="Calibri" w:asciiTheme="majorBidi" w:hAnsiTheme="majorBidi" w:cstheme="majorBidi"/>
          <w:b/>
          <w:bCs/>
          <w:color w:val="auto"/>
          <w:spacing w:val="2"/>
          <w:szCs w:val="24"/>
          <w:rtl/>
          <w:lang w:bidi="ar-SA"/>
        </w:rPr>
        <w:t>العناية بالجنود الوحيدين خلال خدمتهم العسكرية وبعد تسريحهم من جيش الدفاع وفي موضوع المناطق الصناعية</w:t>
      </w:r>
      <w:r w:rsidRPr="00AF21DB" w:rsidR="008D7EA1">
        <w:rPr>
          <w:rFonts w:eastAsia="Calibri" w:asciiTheme="majorBidi" w:hAnsiTheme="majorBidi" w:cstheme="majorBidi" w:hint="cs"/>
          <w:b/>
          <w:bCs/>
          <w:color w:val="auto"/>
          <w:spacing w:val="2"/>
          <w:szCs w:val="24"/>
          <w:rtl/>
        </w:rPr>
        <w:t xml:space="preserve"> </w:t>
      </w:r>
      <w:r w:rsidRPr="00AF21DB">
        <w:rPr>
          <w:rFonts w:eastAsia="Calibri" w:asciiTheme="majorBidi" w:hAnsiTheme="majorBidi" w:cstheme="majorBidi"/>
          <w:b/>
          <w:bCs/>
          <w:color w:val="auto"/>
          <w:spacing w:val="2"/>
          <w:szCs w:val="24"/>
          <w:rtl/>
          <w:lang w:bidi="ar-SA"/>
        </w:rPr>
        <w:t>بإدارة اسرائيلية في منطقة يهودا والسامرة</w:t>
      </w:r>
      <w:r w:rsidRPr="00AF21DB">
        <w:rPr>
          <w:rFonts w:eastAsia="Calibri" w:asciiTheme="majorBidi" w:hAnsiTheme="majorBidi" w:cstheme="majorBidi"/>
          <w:b/>
          <w:bCs/>
          <w:color w:val="auto"/>
          <w:spacing w:val="2"/>
          <w:szCs w:val="24"/>
          <w:rtl/>
        </w:rPr>
        <w:t xml:space="preserve">- </w:t>
      </w:r>
      <w:r w:rsidRPr="00AF21DB">
        <w:rPr>
          <w:rFonts w:eastAsia="Calibri" w:asciiTheme="majorBidi" w:hAnsiTheme="majorBidi" w:cstheme="majorBidi"/>
          <w:b/>
          <w:bCs/>
          <w:color w:val="auto"/>
          <w:spacing w:val="2"/>
          <w:szCs w:val="24"/>
          <w:rtl/>
          <w:lang w:bidi="ar-SA"/>
        </w:rPr>
        <w:t>جوانب في تنفيذ القانون</w:t>
      </w:r>
      <w:r w:rsidRPr="00AF21DB">
        <w:rPr>
          <w:rFonts w:eastAsia="Calibri" w:asciiTheme="majorBidi" w:hAnsiTheme="majorBidi" w:cstheme="majorBidi"/>
          <w:b/>
          <w:bCs/>
          <w:color w:val="auto"/>
          <w:spacing w:val="2"/>
          <w:szCs w:val="24"/>
          <w:rtl/>
        </w:rPr>
        <w:t>.</w:t>
      </w:r>
    </w:p>
    <w:p w:rsidR="00342EBC" w:rsidRPr="00C94C05" w:rsidP="00C94C05" w14:paraId="0A8AB430" w14:textId="03C4A679">
      <w:pPr>
        <w:pStyle w:val="7193"/>
        <w:spacing w:line="324" w:lineRule="auto"/>
        <w:rPr>
          <w:rFonts w:eastAsia="Calibri" w:asciiTheme="majorBidi" w:hAnsiTheme="majorBidi" w:cstheme="majorBidi"/>
          <w:color w:val="auto"/>
          <w:szCs w:val="24"/>
          <w:rtl/>
          <w:lang w:bidi="ar-SA"/>
        </w:rPr>
      </w:pPr>
      <w:r w:rsidRPr="00C94C05">
        <w:rPr>
          <w:rFonts w:eastAsia="Calibri" w:asciiTheme="majorBidi" w:hAnsiTheme="majorBidi" w:cstheme="majorBidi"/>
          <w:color w:val="auto"/>
          <w:szCs w:val="24"/>
          <w:rtl/>
          <w:lang w:bidi="ar-SA"/>
        </w:rPr>
        <w:t>في نهاية المطاف، يؤثر مجال مكافحة تبييض الأموال بشكل غير مباشر على معظم مواطني اسرائيل، الذين يطلب منهم الامتثال لتعليمات الأحكام التنظيمية المختلفة. في إطار الجهود المبذولة لتحصين وتعزيز نظام مكافحة تبييض الأموال ومحاربة تمويل الإرهاب في اسرائيل، واستمرارا للرقابة الدولية منذ سنة 2018، أجرى مراقب الدولة عمليتي رقابة بين السنوات 2020-2022 بموضوع تطبيق نظام تبييض الأموال في اسرائيل: (أ) نشرت الرقابة الأولى في مايو 2021 وتناولت فحص النشاط المنهجي لجميع جهات تنفيذ القانون والتنظيم ذات الصلة بالموضوع</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 المراجعة الثانية التي يتم نشرها الآن </w:t>
      </w:r>
      <w:r w:rsidRPr="00C94C05">
        <w:rPr>
          <w:rFonts w:eastAsia="Calibri" w:asciiTheme="majorBidi" w:hAnsiTheme="majorBidi" w:cstheme="majorBidi"/>
          <w:color w:val="auto"/>
          <w:szCs w:val="24"/>
          <w:rtl/>
          <w:lang w:bidi="ar-SA"/>
        </w:rPr>
        <w:t xml:space="preserve">بموضوع </w:t>
      </w:r>
      <w:r w:rsidRPr="00C94C05">
        <w:rPr>
          <w:rFonts w:eastAsia="Calibri" w:asciiTheme="majorBidi" w:hAnsiTheme="majorBidi" w:cstheme="majorBidi"/>
          <w:b/>
          <w:bCs/>
          <w:color w:val="auto"/>
          <w:szCs w:val="24"/>
          <w:rtl/>
          <w:lang w:bidi="ar-SA"/>
        </w:rPr>
        <w:t>سلطة مكافحة تبييض الأموال- التعامل مع المعلومات التي تجسد شبهات لتبييض الأموال وتمويل الإرهاب</w:t>
      </w:r>
      <w:r w:rsidRPr="00C94C05">
        <w:rPr>
          <w:rFonts w:eastAsia="Calibri" w:asciiTheme="majorBidi" w:hAnsiTheme="majorBidi" w:cstheme="majorBidi"/>
          <w:color w:val="auto"/>
          <w:szCs w:val="24"/>
          <w:rtl/>
          <w:lang w:bidi="ar-SA"/>
        </w:rPr>
        <w:t>، تركز على معالجة السلطة للمعلومات التي تجسد شبهات تبييض الأموال وتمويل الإرهاب.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يتضمن تقريري الرقابة الاثنين، الذين تم إعدادهما بهذا الموضوع للمرة الأولى في مكتب مراقب الدولة، النتائج الكثيرة والمهمة. بدأت الجهات التي تتم الرقابة عليها في عمليات التصليح، ومن المناسب أن تستمر هكذا حتى إتمامها. تجدر الإشارة الى أن جميع مؤسسات الدولة ملزمة بمكافحة تبييض الأموال ومكافحة الإرهاب وهي تعمل في الكثير من المجالات- السرية والعلنية، المحلية – والدولية- وتستثمر جهودا وموارد بشرية وميزانية بذلك. </w:t>
      </w:r>
    </w:p>
    <w:p w:rsidR="00342EBC" w:rsidRPr="00C94C05" w:rsidP="00C94C05" w14:paraId="5DC8394B" w14:textId="77777777">
      <w:pPr>
        <w:pStyle w:val="7193"/>
        <w:spacing w:line="324" w:lineRule="auto"/>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أود أن أشير الى أن عملية الرقابة في سلطة مكافحة تبييض الأموال ومكافحة الإرهاب أجريت وفق المنهجية التي تم تطبيقها من قبل مكتب مراقب الدولة، التي تختلف عن</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منهجية منظمة ال</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lang w:bidi="ar-SA"/>
        </w:rPr>
        <w:t>FATF</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lang w:bidi="ar-SA"/>
        </w:rPr>
        <w:t>(Financial Action Task Force)</w:t>
      </w:r>
      <w:r w:rsidRPr="00C94C05">
        <w:rPr>
          <w:rFonts w:eastAsia="Calibri" w:asciiTheme="majorBidi" w:hAnsiTheme="majorBidi" w:cstheme="majorBidi"/>
          <w:color w:val="auto"/>
          <w:szCs w:val="24"/>
          <w:rtl/>
          <w:lang w:bidi="ar-SA"/>
        </w:rPr>
        <w:t xml:space="preserve">، المنظمة الجامعة الدولية التي تضم 37 دولة عضوة، والتي تحدد القواعد الدولية التي بموجبها تم إنشاء سلطة منع تبييض الأموال وتمويل الإرهاب في دولة اسرائيل والتي تعمل بموجبها. هذه </w:t>
      </w:r>
      <w:r w:rsidRPr="00C94C05">
        <w:rPr>
          <w:rFonts w:eastAsia="Calibri" w:asciiTheme="majorBidi" w:hAnsiTheme="majorBidi" w:cstheme="majorBidi"/>
          <w:color w:val="auto"/>
          <w:szCs w:val="24"/>
          <w:rtl/>
          <w:lang w:bidi="ar-SA"/>
        </w:rPr>
        <w:t>الرقابات</w:t>
      </w:r>
      <w:r w:rsidRPr="00C94C05">
        <w:rPr>
          <w:rFonts w:eastAsia="Calibri" w:asciiTheme="majorBidi" w:hAnsiTheme="majorBidi" w:cstheme="majorBidi"/>
          <w:color w:val="auto"/>
          <w:szCs w:val="24"/>
          <w:rtl/>
          <w:lang w:bidi="ar-SA"/>
        </w:rPr>
        <w:t xml:space="preserve"> هي طبقة إضافية خصصت لتقوية سلطة تبييض الأموال الموجودة في اسرائيل. </w:t>
      </w:r>
    </w:p>
    <w:p w:rsidR="00342EBC" w:rsidRPr="00C94C05" w:rsidP="00C94C05" w14:paraId="023F1143" w14:textId="77777777">
      <w:pPr>
        <w:pStyle w:val="7193"/>
        <w:spacing w:line="324" w:lineRule="auto"/>
        <w:rPr>
          <w:rFonts w:eastAsia="Calibri" w:asciiTheme="majorBidi" w:hAnsiTheme="majorBidi" w:cstheme="majorBidi"/>
          <w:b/>
          <w:bCs/>
          <w:color w:val="auto"/>
          <w:szCs w:val="24"/>
          <w:rtl/>
          <w:lang w:bidi="ar-SA"/>
        </w:rPr>
      </w:pPr>
      <w:r w:rsidRPr="00C94C05">
        <w:rPr>
          <w:rFonts w:eastAsia="Calibri" w:asciiTheme="majorBidi" w:hAnsiTheme="majorBidi" w:cstheme="majorBidi"/>
          <w:b/>
          <w:bCs/>
          <w:color w:val="auto"/>
          <w:szCs w:val="24"/>
          <w:rtl/>
          <w:lang w:bidi="ar-SA"/>
        </w:rPr>
        <w:t xml:space="preserve">تقع مسؤولية النشاط السليم لسلطة منع تبييض الأموال على وزير القضاء، مدير عام وزارة القضاء ورئيس سلطة منع تبييض الأموال. هذه الجهات ملزمة باتخاذ جميع الإجراءات المطلوبة لتأمين التحسين المطلوب في النشاط الأساسي لسلطة منع تبييض الأموال، والعمل على استمرار تحسين التعاون بينها وبين عملاء المعلومات. هذه الإجراءات ضرورية لتبرير فرض نظام </w:t>
      </w:r>
      <w:r w:rsidRPr="00C94C05">
        <w:rPr>
          <w:rFonts w:eastAsia="Calibri" w:asciiTheme="majorBidi" w:hAnsiTheme="majorBidi" w:cstheme="majorBidi"/>
          <w:b/>
          <w:bCs/>
          <w:color w:val="auto"/>
          <w:szCs w:val="24"/>
          <w:rtl/>
          <w:lang w:bidi="ar-SA"/>
        </w:rPr>
        <w:t>الإبلاغات</w:t>
      </w:r>
      <w:r w:rsidRPr="00C94C05">
        <w:rPr>
          <w:rFonts w:eastAsia="Calibri" w:asciiTheme="majorBidi" w:hAnsiTheme="majorBidi" w:cstheme="majorBidi"/>
          <w:b/>
          <w:bCs/>
          <w:color w:val="auto"/>
          <w:szCs w:val="24"/>
          <w:rtl/>
          <w:lang w:bidi="ar-SA"/>
        </w:rPr>
        <w:t xml:space="preserve"> وتكاليفه على المجتمع، </w:t>
      </w:r>
      <w:r w:rsidRPr="00C94C05">
        <w:rPr>
          <w:rFonts w:eastAsia="Calibri" w:asciiTheme="majorBidi" w:hAnsiTheme="majorBidi" w:cstheme="majorBidi"/>
          <w:b/>
          <w:bCs/>
          <w:color w:val="auto"/>
          <w:szCs w:val="24"/>
          <w:rtl/>
          <w:lang w:bidi="ar-SA"/>
        </w:rPr>
        <w:t>لتقديم  مساهمة</w:t>
      </w:r>
      <w:r w:rsidRPr="00C94C05">
        <w:rPr>
          <w:rFonts w:eastAsia="Calibri" w:asciiTheme="majorBidi" w:hAnsiTheme="majorBidi" w:cstheme="majorBidi"/>
          <w:b/>
          <w:bCs/>
          <w:color w:val="auto"/>
          <w:szCs w:val="24"/>
          <w:rtl/>
          <w:lang w:bidi="ar-SA"/>
        </w:rPr>
        <w:t xml:space="preserve"> ناجعة لسلطات التحقيق والأمن، وعلى وجه الخصوص في نطاق مكافحة الإجرام المنظم، الإجرام الخطير وتمويل الإرهاب، وحتى تتمكن سلطة منع تبييض الأموال من القيام  بكل ما أسست لأجله بموجب القانون، بنجاعة وفعالية. </w:t>
      </w:r>
    </w:p>
    <w:p w:rsidR="00342EBC" w:rsidRPr="00C94C05" w:rsidP="00C94C05" w14:paraId="37188CA6" w14:textId="7420845D">
      <w:pPr>
        <w:pStyle w:val="7193"/>
        <w:spacing w:line="324" w:lineRule="auto"/>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 xml:space="preserve">تتطلب إعداد هذا التقرير، مثل سابقيه، الكثير من الجهد من قبل موظفي الرقابة في مكتبي، وعلى وجه الخصوص في قسم الرقابة على جهاز الأمن والشاباك، الذين يؤدون وظيفتهم العامة انطلاقا من </w:t>
      </w:r>
      <w:r w:rsidRPr="00C94C05">
        <w:rPr>
          <w:rFonts w:eastAsia="Calibri" w:asciiTheme="majorBidi" w:hAnsiTheme="majorBidi" w:cstheme="majorBidi"/>
          <w:color w:val="auto"/>
          <w:szCs w:val="24"/>
          <w:rtl/>
          <w:lang w:bidi="ar-SA"/>
        </w:rPr>
        <w:t>الاحساس الحقيقي بالرسالة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عمل موظفو الرقابة على إعداد هذا التقرير بمهنية ودقة </w:t>
      </w:r>
      <w:r w:rsidRPr="00C94C05">
        <w:rPr>
          <w:rFonts w:eastAsia="Calibri" w:asciiTheme="majorBidi" w:hAnsiTheme="majorBidi" w:cstheme="majorBidi"/>
          <w:color w:val="auto"/>
          <w:szCs w:val="24"/>
          <w:rtl/>
          <w:lang w:bidi="ar-SA"/>
        </w:rPr>
        <w:t>تامة  وأشكرهم</w:t>
      </w:r>
      <w:r w:rsidRPr="00C94C05">
        <w:rPr>
          <w:rFonts w:eastAsia="Calibri" w:asciiTheme="majorBidi" w:hAnsiTheme="majorBidi" w:cstheme="majorBidi"/>
          <w:color w:val="auto"/>
          <w:szCs w:val="24"/>
          <w:rtl/>
          <w:lang w:bidi="ar-SA"/>
        </w:rPr>
        <w:t xml:space="preserve"> على ذلك</w:t>
      </w:r>
      <w:r w:rsidRPr="00C94C05">
        <w:rPr>
          <w:rFonts w:eastAsia="Calibri" w:asciiTheme="majorBidi" w:hAnsiTheme="majorBidi" w:cstheme="majorBidi"/>
          <w:color w:val="auto"/>
          <w:szCs w:val="24"/>
          <w:rtl/>
        </w:rPr>
        <w:t xml:space="preserve">.  </w:t>
      </w:r>
    </w:p>
    <w:p w:rsidR="00342EBC" w:rsidRPr="00C94C05" w:rsidP="00C94C05" w14:paraId="43D88296" w14:textId="77777777">
      <w:pPr>
        <w:pStyle w:val="7193"/>
        <w:spacing w:line="324" w:lineRule="auto"/>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يجب على الهيئات الخاضعة للرقابة العمل بطريقة سريعة وناجعة لتصحيح أوجه القصور التي أثيرت في هذا التقرير لتقوية أمن اسرائيل وحماية مواطني الدولة وتحسين رفاهية من يخدم بجيش الدفاع الاسرائيلي والبنى التحتية الصناعية والأمنية</w:t>
      </w:r>
      <w:r w:rsidRPr="00C94C05">
        <w:rPr>
          <w:rFonts w:eastAsia="Calibri" w:asciiTheme="majorBidi" w:hAnsiTheme="majorBidi" w:cstheme="majorBidi"/>
          <w:color w:val="auto"/>
          <w:szCs w:val="24"/>
          <w:rtl/>
        </w:rPr>
        <w:t xml:space="preserve">.  </w:t>
      </w:r>
    </w:p>
    <w:p w:rsidR="002567BE" w:rsidP="006427EB" w14:paraId="3912D521" w14:textId="045B1D57">
      <w:pPr>
        <w:widowControl w:val="0"/>
        <w:spacing w:after="120" w:line="276" w:lineRule="auto"/>
        <w:ind w:left="3402"/>
        <w:jc w:val="center"/>
        <w:rPr>
          <w:rFonts w:asciiTheme="majorBidi" w:hAnsiTheme="majorBidi" w:cstheme="majorBidi"/>
          <w:b/>
          <w:bCs/>
          <w:sz w:val="24"/>
          <w:lang w:eastAsia="he-IL"/>
        </w:rPr>
      </w:pPr>
    </w:p>
    <w:p w:rsidR="00C94C05" w:rsidP="006427EB" w14:paraId="368146E8" w14:textId="77777777">
      <w:pPr>
        <w:widowControl w:val="0"/>
        <w:spacing w:after="120" w:line="276" w:lineRule="auto"/>
        <w:ind w:left="3402"/>
        <w:jc w:val="center"/>
        <w:rPr>
          <w:rFonts w:asciiTheme="majorBidi" w:hAnsiTheme="majorBidi" w:cstheme="majorBidi"/>
          <w:b/>
          <w:bCs/>
          <w:sz w:val="24"/>
          <w:rtl/>
          <w:lang w:eastAsia="he-IL"/>
        </w:rPr>
      </w:pPr>
    </w:p>
    <w:p w:rsidR="002567BE" w:rsidP="006427EB" w14:paraId="22872AF5" w14:textId="77777777">
      <w:pPr>
        <w:widowControl w:val="0"/>
        <w:spacing w:after="120" w:line="276" w:lineRule="auto"/>
        <w:ind w:left="3402"/>
        <w:jc w:val="center"/>
        <w:rPr>
          <w:rFonts w:asciiTheme="majorBidi" w:hAnsiTheme="majorBidi" w:cstheme="majorBidi"/>
          <w:b/>
          <w:bCs/>
          <w:sz w:val="24"/>
          <w:rtl/>
          <w:lang w:eastAsia="he-IL"/>
        </w:rPr>
      </w:pPr>
    </w:p>
    <w:p w:rsidR="002567BE" w:rsidP="002567BE" w14:paraId="3687B5EC" w14:textId="77777777">
      <w:pPr>
        <w:widowControl w:val="0"/>
        <w:spacing w:after="180"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558800</wp:posOffset>
            </wp:positionH>
            <wp:positionV relativeFrom="paragraph">
              <wp:posOffset>149860</wp:posOffset>
            </wp:positionV>
            <wp:extent cx="1213485" cy="382905"/>
            <wp:effectExtent l="0" t="0" r="5715" b="0"/>
            <wp:wrapSquare wrapText="bothSides"/>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2567BE" w:rsidP="002567BE" w14:paraId="0F5AEC10" w14:textId="77777777">
      <w:pPr>
        <w:widowControl w:val="0"/>
        <w:spacing w:after="180" w:line="276" w:lineRule="auto"/>
        <w:ind w:left="3402"/>
        <w:jc w:val="center"/>
        <w:rPr>
          <w:rFonts w:asciiTheme="majorBidi" w:hAnsiTheme="majorBidi" w:cstheme="majorBidi"/>
          <w:b/>
          <w:bCs/>
          <w:sz w:val="24"/>
          <w:rtl/>
          <w:lang w:eastAsia="he-IL"/>
        </w:rPr>
      </w:pPr>
    </w:p>
    <w:p w:rsidR="000A1C64" w:rsidRPr="00342EBC" w:rsidP="002567BE" w14:paraId="173A7FEC" w14:textId="77777777">
      <w:pPr>
        <w:pStyle w:val="7195"/>
        <w:spacing w:line="276" w:lineRule="auto"/>
        <w:ind w:left="3396"/>
        <w:jc w:val="center"/>
        <w:rPr>
          <w:b/>
          <w:szCs w:val="18"/>
          <w:lang w:val="en-US" w:bidi="ar-SA"/>
        </w:rPr>
      </w:pPr>
      <w:r w:rsidRPr="00A86EC4">
        <w:rPr>
          <w:rFonts w:eastAsia="Calibri" w:asciiTheme="majorBidi" w:hAnsiTheme="majorBidi" w:cstheme="majorBidi"/>
          <w:b/>
          <w:noProof w:val="0"/>
          <w:color w:val="auto"/>
          <w:szCs w:val="24"/>
          <w:rtl/>
          <w:lang w:val="en-US" w:bidi="ar-SA"/>
        </w:rPr>
        <w:t>متنياهو</w:t>
      </w:r>
      <w:r w:rsidRPr="00BD0148">
        <w:rPr>
          <w:rFonts w:eastAsia="Calibri" w:asciiTheme="majorBidi" w:hAnsiTheme="majorBidi" w:cstheme="majorBidi"/>
          <w:szCs w:val="24"/>
          <w:rtl/>
        </w:rPr>
        <w:t xml:space="preserve"> </w:t>
      </w:r>
      <w:r w:rsidRPr="00BD0148">
        <w:rPr>
          <w:rFonts w:eastAsia="Calibri" w:asciiTheme="majorBidi" w:hAnsiTheme="majorBidi" w:cstheme="majorBidi"/>
          <w:szCs w:val="24"/>
          <w:rtl/>
          <w:lang w:bidi="ar-SA"/>
        </w:rPr>
        <w:t>أنجلمان</w:t>
      </w:r>
    </w:p>
    <w:p w:rsidR="002567BE" w:rsidRPr="000A1C64" w:rsidP="002567BE" w14:paraId="148FE52A" w14:textId="7445076B">
      <w:pPr>
        <w:pStyle w:val="7195"/>
        <w:spacing w:line="276" w:lineRule="auto"/>
        <w:ind w:left="3396"/>
        <w:jc w:val="center"/>
        <w:rPr>
          <w:rFonts w:eastAsia="Calibri" w:asciiTheme="majorBidi" w:hAnsiTheme="majorBidi" w:cstheme="majorBidi"/>
          <w:b/>
          <w:bCs w:val="0"/>
          <w:color w:val="auto"/>
          <w:szCs w:val="24"/>
          <w:rtl/>
          <w:lang w:bidi="ar-SA"/>
        </w:rPr>
      </w:pPr>
      <w:r w:rsidRPr="000A1C64">
        <w:rPr>
          <w:rFonts w:eastAsia="Calibri" w:asciiTheme="majorBidi" w:hAnsiTheme="majorBidi" w:cstheme="majorBidi"/>
          <w:b/>
          <w:bCs w:val="0"/>
          <w:color w:val="auto"/>
          <w:szCs w:val="24"/>
          <w:rtl/>
          <w:lang w:bidi="ar-SA"/>
        </w:rPr>
        <w:t>مراقِب الدولة</w:t>
      </w:r>
      <w:r w:rsidRPr="000A1C64">
        <w:rPr>
          <w:rFonts w:eastAsia="Calibri" w:asciiTheme="majorBidi" w:hAnsiTheme="majorBidi" w:cstheme="majorBidi"/>
          <w:b/>
          <w:bCs w:val="0"/>
          <w:color w:val="auto"/>
          <w:szCs w:val="24"/>
          <w:rtl/>
          <w:lang w:bidi="ar-SA"/>
        </w:rPr>
        <w:br/>
        <w:t>ومفوَّض شكاوى الجمهور</w:t>
      </w:r>
    </w:p>
    <w:p w:rsidR="002567BE" w:rsidRPr="00B76D04" w:rsidP="006427EB" w14:paraId="6F574396" w14:textId="77777777">
      <w:pPr>
        <w:spacing w:after="360" w:line="276" w:lineRule="auto"/>
        <w:ind w:left="424"/>
        <w:rPr>
          <w:rFonts w:ascii="Tahoma" w:hAnsi="Tahoma" w:cs="Tahoma"/>
          <w:sz w:val="16"/>
          <w:szCs w:val="20"/>
          <w:rtl/>
          <w:lang w:bidi="ar-SA"/>
        </w:rPr>
      </w:pPr>
    </w:p>
    <w:p w:rsidR="002567BE" w:rsidRPr="00262C43" w:rsidP="002567BE" w14:paraId="01C8CEB4" w14:textId="525CA8C7">
      <w:pPr>
        <w:spacing w:after="180" w:line="276" w:lineRule="auto"/>
        <w:ind w:left="424"/>
        <w:rPr>
          <w:rFonts w:eastAsia="Calibri" w:asciiTheme="majorBidi" w:hAnsiTheme="majorBidi" w:cstheme="majorBidi"/>
          <w:sz w:val="18"/>
          <w:rtl/>
        </w:rPr>
      </w:pPr>
      <w:r w:rsidRPr="00C5363E">
        <w:rPr>
          <w:rFonts w:eastAsia="Calibri" w:asciiTheme="majorBidi" w:hAnsiTheme="majorBidi" w:cs="Times New Roman"/>
          <w:sz w:val="18"/>
          <w:rtl/>
          <w:lang w:bidi="ar-SA"/>
        </w:rPr>
        <w:t>القدس,</w:t>
      </w:r>
      <w:r w:rsidRPr="00C5363E">
        <w:rPr>
          <w:rFonts w:eastAsia="Calibri" w:asciiTheme="majorBidi" w:hAnsiTheme="majorBidi" w:cs="Times New Roman"/>
          <w:sz w:val="18"/>
          <w:rtl/>
          <w:lang w:bidi="ar-SA"/>
        </w:rPr>
        <w:t xml:space="preserve"> شباط</w:t>
      </w:r>
      <w:r>
        <w:rPr>
          <w:rFonts w:ascii="Tahoma" w:eastAsia="Calibri" w:hAnsi="Tahoma" w:cs="Tahoma" w:hint="cs"/>
          <w:szCs w:val="20"/>
          <w:rtl/>
        </w:rPr>
        <w:t xml:space="preserve"> </w:t>
      </w:r>
      <w:r>
        <w:rPr>
          <w:rFonts w:eastAsia="Calibri" w:asciiTheme="majorBidi" w:hAnsiTheme="majorBidi" w:cstheme="majorBidi" w:hint="cs"/>
          <w:rtl/>
        </w:rPr>
        <w:t>2023</w:t>
      </w:r>
    </w:p>
    <w:p w:rsidR="00B86B10" w14:paraId="41D261C9" w14:textId="77777777">
      <w:pPr>
        <w:bidi w:val="0"/>
        <w:spacing w:after="200" w:line="276" w:lineRule="auto"/>
        <w:rPr>
          <w:rFonts w:asciiTheme="minorHAnsi" w:eastAsiaTheme="majorEastAsia" w:hAnsiTheme="minorHAnsi" w:cs="Tahoma"/>
          <w:sz w:val="34"/>
          <w:szCs w:val="34"/>
          <w:lang w:bidi="ar-SA"/>
        </w:rPr>
      </w:pPr>
    </w:p>
    <w:p w:rsidR="00652A94" w:rsidRPr="00652A94" w:rsidP="000960BA" w14:paraId="05AB505B" w14:textId="6824B9FF">
      <w:pPr>
        <w:rPr>
          <w:rFonts w:ascii="Tahoma" w:hAnsi="Tahoma" w:cs="Tahoma"/>
          <w:sz w:val="24"/>
        </w:rPr>
      </w:pPr>
    </w:p>
    <w:sectPr w:rsidSect="008F6BC5">
      <w:headerReference w:type="even" r:id="rId11"/>
      <w:headerReference w:type="default" r:id="rId12"/>
      <w:footerReference w:type="even" r:id="rId13"/>
      <w:footerReference w:type="default" r:id="rId14"/>
      <w:footnotePr>
        <w:numRestart w:val="eachSect"/>
      </w:footnotePr>
      <w:pgSz w:w="11906" w:h="16838" w:code="9"/>
      <w:pgMar w:top="3062" w:right="2268" w:bottom="2552" w:left="2268" w:header="1134" w:footer="1361" w:gutter="0"/>
      <w:pgNumType w:start="1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52E95" w14:paraId="6574DF20" w14:textId="77777777">
      <w:pPr>
        <w:spacing w:line="240" w:lineRule="auto"/>
      </w:pPr>
      <w:r>
        <w:separator/>
      </w:r>
    </w:p>
    <w:p w:rsidR="00552E95" w14:paraId="4FA0BDE5" w14:textId="77777777"/>
  </w:endnote>
  <w:endnote w:type="continuationSeparator" w:id="1">
    <w:p w:rsidR="00552E95" w14:paraId="2DCBFA0A" w14:textId="77777777">
      <w:pPr>
        <w:spacing w:line="240" w:lineRule="auto"/>
      </w:pPr>
      <w:r>
        <w:continuationSeparator/>
      </w:r>
    </w:p>
    <w:p w:rsidR="00552E95" w14:paraId="054417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6BC5" w:rsidP="008F6BC5" w14:paraId="509DB1A8" w14:textId="77777777">
    <w:pPr>
      <w:pStyle w:val="Footer"/>
      <w:spacing w:after="120" w:line="312" w:lineRule="auto"/>
      <w:ind w:left="-510"/>
      <w:jc w:val="left"/>
      <w:rPr>
        <w:rFonts w:ascii="Tahoma" w:hAnsi="Tahoma" w:cs="Tahoma"/>
        <w:sz w:val="18"/>
        <w:szCs w:val="18"/>
        <w:rtl/>
      </w:rPr>
    </w:pPr>
  </w:p>
  <w:p w:rsidR="008F6BC5" w:rsidP="008F6BC5" w14:paraId="4CB566E7"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8F6BC5" w:rsidRPr="008F6BC5" w:rsidP="008F6BC5" w14:paraId="6462A7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6BC5" w:rsidP="008F6BC5" w14:paraId="38CAA88F"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rsidRPr="008F6BC5" w:rsidP="008F6BC5" w14:paraId="2117287C" w14:textId="10F4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52E95" w:rsidP="00C23CC9" w14:paraId="4E344E11" w14:textId="77777777">
      <w:pPr>
        <w:spacing w:line="240" w:lineRule="auto"/>
      </w:pPr>
      <w:r>
        <w:separator/>
      </w:r>
    </w:p>
  </w:footnote>
  <w:footnote w:type="continuationSeparator" w:id="1">
    <w:p w:rsidR="00552E95" w:rsidP="00C23CC9" w14:paraId="6D7F6D7F" w14:textId="77777777">
      <w:pPr>
        <w:spacing w:line="240" w:lineRule="auto"/>
      </w:pPr>
      <w:r>
        <w:continuationSeparator/>
      </w:r>
    </w:p>
    <w:p w:rsidR="00552E95" w14:paraId="4C9890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6BC5" w:rsidP="008F6BC5" w14:paraId="01BA825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8F6BC5" w:rsidP="008F6BC5" w14:paraId="6B2818AD"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8F6BC5" w:rsidRPr="00DE3ECA" w:rsidP="008F6BC5"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8F6BC5" w:rsidRPr="00DE3ECA" w:rsidP="008F6BC5" w14:paraId="613F3173"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8F6BC5" w:rsidP="008F6BC5" w14:paraId="7C479E7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8F6BC5" w:rsidP="008F6BC5" w14:paraId="6296D7C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8F6BC5" w:rsidRPr="008F6BC5" w:rsidP="008F6BC5" w14:paraId="42CE60A1" w14:textId="01206115">
    <w:pPr>
      <w:pStyle w:val="Header"/>
      <w:tabs>
        <w:tab w:val="left" w:pos="493"/>
        <w:tab w:val="clear" w:pos="4153"/>
        <w:tab w:val="left" w:pos="5150"/>
        <w:tab w:val="clear" w:pos="8306"/>
      </w:tabs>
    </w:pP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8F6BC5" w:rsidRPr="00587631" w:rsidP="008F6BC5"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0" type="#_x0000_t202" style="width:261.2pt;height:22.1pt;margin-top:5.85pt;margin-left:112.4pt;mso-wrap-distance-bottom:0;mso-wrap-distance-left:9pt;mso-wrap-distance-right:9pt;mso-wrap-distance-top:0;mso-wrap-style:square;position:absolute;visibility:visible;v-text-anchor:top;z-index:251670528" stroked="f">
              <v:textbox style="mso-fit-shape-to-text:t">
                <w:txbxContent>
                  <w:p w:rsidR="008F6BC5" w:rsidRPr="00587631" w:rsidP="008F6BC5" w14:paraId="5059024F"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1" style="flip:x;mso-height-percent:0;mso-height-relative:margin;mso-width-percent:0;mso-width-relative:margin;mso-wrap-distance-bottom:0;mso-wrap-distance-left:9pt;mso-wrap-distance-right:9pt;mso-wrap-distance-top:0;mso-wrap-style:square;position:absolute;visibility:visible;z-index:251666432" from="-122.4pt,30.05pt" to="368.6pt,30.05pt" strokecolor="#0d0d0d" strokeweight="0.25pt"/>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6BC5" w:rsidP="008F6BC5" w14:paraId="70137DDE"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8F6BC5" w:rsidRPr="00DE3ECA" w:rsidP="008F6BC5"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8F6BC5" w:rsidRPr="00DE3ECA" w:rsidP="008F6BC5" w14:paraId="7A1BB8B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8F6BC5" w:rsidP="008F6BC5" w14:paraId="36D0A16A" w14:textId="77777777">
    <w:pPr>
      <w:pStyle w:val="Header"/>
      <w:tabs>
        <w:tab w:val="left" w:pos="493"/>
        <w:tab w:val="center" w:pos="4111"/>
        <w:tab w:val="clear" w:pos="4153"/>
        <w:tab w:val="right" w:pos="7478"/>
        <w:tab w:val="right" w:pos="8222"/>
        <w:tab w:val="clear" w:pos="8306"/>
      </w:tabs>
      <w:jc w:val="left"/>
      <w:rPr>
        <w:rtl/>
      </w:rPr>
    </w:pPr>
  </w:p>
  <w:p w:rsidR="008F6BC5" w:rsidP="008F6BC5" w14:paraId="7CCD2B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1474A2" w:rsidRPr="008F6BC5" w:rsidP="008F6BC5" w14:paraId="08AF4C85" w14:textId="31A85CE8">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8F6BC5" w:rsidRPr="00136A3E" w:rsidP="008F6BC5"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8F6BC5" w:rsidRPr="002B39F7" w:rsidP="008F6BC5"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8F6BC5" w:rsidRPr="00136A3E" w:rsidP="008F6BC5" w14:paraId="1489E873"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8F6BC5" w:rsidRPr="002B39F7" w:rsidP="008F6BC5" w14:paraId="09A73E73" w14:textId="77777777">
                    <w:pPr>
                      <w:jc w:val="right"/>
                      <w:rPr>
                        <w:color w:val="0D0D0D" w:themeColor="text1" w:themeTint="F2"/>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3">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5">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9">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2">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4">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5">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6">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7">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2">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6"/>
  </w:num>
  <w:num w:numId="4">
    <w:abstractNumId w:val="31"/>
  </w:num>
  <w:num w:numId="5">
    <w:abstractNumId w:val="18"/>
  </w:num>
  <w:num w:numId="6">
    <w:abstractNumId w:val="20"/>
  </w:num>
  <w:num w:numId="7">
    <w:abstractNumId w:val="41"/>
  </w:num>
  <w:num w:numId="8">
    <w:abstractNumId w:val="1"/>
  </w:num>
  <w:num w:numId="9">
    <w:abstractNumId w:val="24"/>
  </w:num>
  <w:num w:numId="10">
    <w:abstractNumId w:val="6"/>
  </w:num>
  <w:num w:numId="11">
    <w:abstractNumId w:val="33"/>
  </w:num>
  <w:num w:numId="12">
    <w:abstractNumId w:val="5"/>
  </w:num>
  <w:num w:numId="13">
    <w:abstractNumId w:val="12"/>
  </w:num>
  <w:num w:numId="14">
    <w:abstractNumId w:val="35"/>
  </w:num>
  <w:num w:numId="15">
    <w:abstractNumId w:val="14"/>
  </w:num>
  <w:num w:numId="16">
    <w:abstractNumId w:val="37"/>
  </w:num>
  <w:num w:numId="17">
    <w:abstractNumId w:val="11"/>
  </w:num>
  <w:num w:numId="18">
    <w:abstractNumId w:val="2"/>
  </w:num>
  <w:num w:numId="19">
    <w:abstractNumId w:val="38"/>
  </w:num>
  <w:num w:numId="20">
    <w:abstractNumId w:val="26"/>
  </w:num>
  <w:num w:numId="21">
    <w:abstractNumId w:val="16"/>
  </w:num>
  <w:num w:numId="22">
    <w:abstractNumId w:val="0"/>
  </w:num>
  <w:num w:numId="23">
    <w:abstractNumId w:val="32"/>
  </w:num>
  <w:num w:numId="24">
    <w:abstractNumId w:val="3"/>
  </w:num>
  <w:num w:numId="25">
    <w:abstractNumId w:val="27"/>
  </w:num>
  <w:num w:numId="26">
    <w:abstractNumId w:val="40"/>
  </w:num>
  <w:num w:numId="27">
    <w:abstractNumId w:val="7"/>
  </w:num>
  <w:num w:numId="28">
    <w:abstractNumId w:val="8"/>
  </w:num>
  <w:num w:numId="29">
    <w:abstractNumId w:val="42"/>
  </w:num>
  <w:num w:numId="30">
    <w:abstractNumId w:val="23"/>
  </w:num>
  <w:num w:numId="31">
    <w:abstractNumId w:val="10"/>
  </w:num>
  <w:num w:numId="32">
    <w:abstractNumId w:val="9"/>
  </w:num>
  <w:num w:numId="33">
    <w:abstractNumId w:val="25"/>
  </w:num>
  <w:num w:numId="34">
    <w:abstractNumId w:val="29"/>
  </w:num>
  <w:num w:numId="35">
    <w:abstractNumId w:val="15"/>
  </w:num>
  <w:num w:numId="36">
    <w:abstractNumId w:val="22"/>
  </w:num>
  <w:num w:numId="37">
    <w:abstractNumId w:val="28"/>
  </w:num>
  <w:num w:numId="38">
    <w:abstractNumId w:val="39"/>
  </w:num>
  <w:num w:numId="39">
    <w:abstractNumId w:val="19"/>
  </w:num>
  <w:num w:numId="40">
    <w:abstractNumId w:val="30"/>
  </w:num>
  <w:num w:numId="41">
    <w:abstractNumId w:val="17"/>
  </w:num>
  <w:num w:numId="42">
    <w:abstractNumId w:val="4"/>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886"/>
    <w:rsid w:val="00031990"/>
    <w:rsid w:val="00031C68"/>
    <w:rsid w:val="00031C69"/>
    <w:rsid w:val="00031CEB"/>
    <w:rsid w:val="00032932"/>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9AC"/>
    <w:rsid w:val="00261C84"/>
    <w:rsid w:val="00262A9E"/>
    <w:rsid w:val="00262C43"/>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29B"/>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1CC"/>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2E95"/>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6BC5"/>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27FC0"/>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774"/>
    <w:rsid w:val="00B739E0"/>
    <w:rsid w:val="00B741EF"/>
    <w:rsid w:val="00B747A2"/>
    <w:rsid w:val="00B75001"/>
    <w:rsid w:val="00B75D6E"/>
    <w:rsid w:val="00B75F72"/>
    <w:rsid w:val="00B76D04"/>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148"/>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00E"/>
    <w:rsid w:val="00D11B4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7C5"/>
    <w:rsid w:val="00F348D1"/>
    <w:rsid w:val="00F3595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2.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F473696-DD7E-44D2-8B96-BA1310AF776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