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6E4866" w:rsidRPr="0047129E" w:rsidP="006E4866" w14:paraId="50E84E0E" w14:textId="77777777">
      <w:pPr>
        <w:pStyle w:val="7125"/>
        <w:spacing w:before="0" w:after="0"/>
        <w:ind w:left="4082"/>
        <w:rPr>
          <w:spacing w:val="16"/>
          <w:sz w:val="33"/>
          <w:szCs w:val="33"/>
          <w:rtl/>
        </w:rPr>
      </w:pPr>
      <w:r w:rsidRPr="0047129E">
        <w:rPr>
          <w:rFonts w:hint="cs"/>
          <w:spacing w:val="16"/>
          <w:sz w:val="33"/>
          <w:szCs w:val="33"/>
          <w:rtl/>
        </w:rPr>
        <w:t>דוח מבקר המדינה</w:t>
      </w:r>
    </w:p>
    <w:p w:rsidR="006E4866" w:rsidRPr="002B39F7" w:rsidP="006E4866" w14:paraId="7B0762C6" w14:textId="77777777">
      <w:pPr>
        <w:pStyle w:val="7125"/>
        <w:spacing w:before="0" w:after="0"/>
        <w:ind w:left="4083" w:hanging="1"/>
        <w:rPr>
          <w:b w:val="0"/>
          <w:bCs w:val="0"/>
          <w:spacing w:val="4"/>
          <w:sz w:val="24"/>
          <w:szCs w:val="24"/>
          <w:rtl/>
        </w:rPr>
      </w:pPr>
      <w:r w:rsidRPr="002B39F7">
        <w:rPr>
          <w:rFonts w:hint="cs"/>
          <w:b w:val="0"/>
          <w:bCs w:val="0"/>
          <w:spacing w:val="4"/>
          <w:sz w:val="24"/>
          <w:szCs w:val="24"/>
          <w:rtl/>
        </w:rPr>
        <w:t xml:space="preserve">אדר </w:t>
      </w:r>
      <w:r w:rsidRPr="002B39F7">
        <w:rPr>
          <w:rFonts w:hint="cs"/>
          <w:b w:val="0"/>
          <w:bCs w:val="0"/>
          <w:spacing w:val="4"/>
          <w:sz w:val="24"/>
          <w:szCs w:val="24"/>
          <w:rtl/>
        </w:rPr>
        <w:t>התשפ״ג</w:t>
      </w:r>
      <w:r w:rsidRPr="002B39F7">
        <w:rPr>
          <w:rFonts w:hint="cs"/>
          <w:b w:val="0"/>
          <w:bCs w:val="0"/>
          <w:spacing w:val="4"/>
          <w:sz w:val="24"/>
          <w:szCs w:val="24"/>
          <w:rtl/>
        </w:rPr>
        <w:t xml:space="preserve"> | פברואר 2023</w:t>
      </w:r>
    </w:p>
    <w:p w:rsidR="0047129E" w:rsidRPr="002B39F7" w:rsidP="006E4866" w14:paraId="1B1FA9EF" w14:textId="65653126">
      <w:pPr>
        <w:pStyle w:val="7125"/>
        <w:spacing w:before="80" w:after="0"/>
        <w:ind w:left="4083" w:hanging="1"/>
        <w:rPr>
          <w:b w:val="0"/>
          <w:bCs w:val="0"/>
          <w:spacing w:val="4"/>
          <w:sz w:val="24"/>
          <w:szCs w:val="24"/>
          <w:rtl/>
        </w:rPr>
      </w:pPr>
      <w:r w:rsidRPr="0047129E">
        <w:rPr>
          <w:rFonts w:hint="cs"/>
          <w:b w:val="0"/>
          <w:bCs w:val="0"/>
          <w:noProof/>
          <w:spacing w:val="194"/>
          <w:sz w:val="28"/>
          <w:rtl/>
          <w:lang w:val="he-IL"/>
        </w:rPr>
        <mc:AlternateContent>
          <mc:Choice Requires="wps">
            <w:drawing>
              <wp:anchor distT="0" distB="0" distL="114300" distR="114300" simplePos="0" relativeHeight="251685888" behindDoc="0" locked="0" layoutInCell="1" allowOverlap="1">
                <wp:simplePos x="0" y="0"/>
                <wp:positionH relativeFrom="column">
                  <wp:posOffset>141585</wp:posOffset>
                </wp:positionH>
                <wp:positionV relativeFrom="paragraph">
                  <wp:posOffset>45606</wp:posOffset>
                </wp:positionV>
                <wp:extent cx="2015728" cy="0"/>
                <wp:effectExtent l="0" t="0" r="16510" b="12700"/>
                <wp:wrapNone/>
                <wp:docPr id="20"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015728"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86912" from="11.15pt,3.6pt" to="169.85pt,3.6pt" strokecolor="#00305f" strokeweight="1pt"/>
            </w:pict>
          </mc:Fallback>
        </mc:AlternateContent>
      </w:r>
      <w:r w:rsidRPr="0047129E">
        <w:rPr>
          <w:rFonts w:hint="cs"/>
          <w:b w:val="0"/>
          <w:bCs w:val="0"/>
          <w:spacing w:val="194"/>
          <w:sz w:val="28"/>
          <w:rtl/>
        </w:rPr>
        <w:t>כרך ראשון</w:t>
      </w:r>
    </w:p>
    <w:p w:rsidR="000304A1" w:rsidRPr="0047129E" w:rsidP="002B39F7" w14:paraId="38B37098" w14:textId="52C4C583">
      <w:pPr>
        <w:pStyle w:val="7125"/>
        <w:spacing w:before="120" w:after="0"/>
        <w:rPr>
          <w:spacing w:val="194"/>
          <w:rtl/>
        </w:rPr>
      </w:pPr>
    </w:p>
    <w:p w:rsidR="00E82EA3" w:rsidRPr="00A76A67" w:rsidP="000304A1" w14:paraId="74C4190E" w14:textId="214D9756">
      <w:pPr>
        <w:pStyle w:val="7125"/>
        <w:spacing w:before="120" w:after="0"/>
        <w:ind w:left="4536" w:right="142" w:hanging="1"/>
        <w:rPr>
          <w:spacing w:val="274"/>
        </w:rPr>
      </w:pPr>
      <w:r w:rsidRPr="00A76A67">
        <w:rPr>
          <w:spacing w:val="274"/>
          <w:rtl/>
        </w:rPr>
        <w:br w:type="page"/>
      </w:r>
    </w:p>
    <w:p w:rsidR="0019167B" w14:paraId="0C3CB364" w14:textId="46DA4CA9">
      <w:pPr>
        <w:bidi w:val="0"/>
        <w:spacing w:after="200" w:line="276" w:lineRule="auto"/>
        <w:rPr>
          <w:rFonts w:ascii="Tahoma" w:hAnsi="Tahoma" w:cs="Tahoma"/>
          <w:color w:val="00305F"/>
          <w:spacing w:val="86"/>
          <w:sz w:val="40"/>
          <w:szCs w:val="34"/>
          <w:rtl/>
        </w:rPr>
      </w:pPr>
      <w:r>
        <w:rPr>
          <w:b/>
          <w:bCs/>
          <w:noProof/>
          <w:spacing w:val="86"/>
          <w:rtl/>
          <w:lang w:val="he-IL"/>
        </w:rPr>
        <mc:AlternateContent>
          <mc:Choice Requires="wps">
            <w:drawing>
              <wp:anchor distT="0" distB="0" distL="114300" distR="114300" simplePos="0" relativeHeight="251674624" behindDoc="0" locked="0" layoutInCell="1" allowOverlap="1">
                <wp:simplePos x="0" y="0"/>
                <wp:positionH relativeFrom="column">
                  <wp:posOffset>2508997</wp:posOffset>
                </wp:positionH>
                <wp:positionV relativeFrom="paragraph">
                  <wp:posOffset>6957060</wp:posOffset>
                </wp:positionV>
                <wp:extent cx="2904154" cy="895350"/>
                <wp:effectExtent l="0" t="0" r="4445" b="6350"/>
                <wp:wrapNone/>
                <wp:docPr id="2"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2904154"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7" style="width:228.65pt;height:70.5pt;margin-top:547.8pt;margin-left:197.55pt;mso-height-percent:0;mso-height-relative:margin;mso-width-percent:0;mso-width-relative:margin;mso-wrap-distance-bottom:0;mso-wrap-distance-left:9pt;mso-wrap-distance-right:9pt;mso-wrap-distance-top:0;mso-wrap-style:square;position:absolute;visibility:visible;v-text-anchor:middle;z-index:251675648" fillcolor="white" stroked="f" strokeweight="2pt"/>
            </w:pict>
          </mc:Fallback>
        </mc:AlternateContent>
      </w:r>
      <w:r>
        <w:rPr>
          <w:b/>
          <w:bCs/>
          <w:noProof/>
          <w:spacing w:val="86"/>
          <w:rtl/>
          <w:lang w:val="he-IL"/>
        </w:rPr>
        <mc:AlternateContent>
          <mc:Choice Requires="wps">
            <w:drawing>
              <wp:anchor distT="0" distB="0" distL="114300" distR="114300" simplePos="0" relativeHeight="251660288" behindDoc="0" locked="0" layoutInCell="1" allowOverlap="1">
                <wp:simplePos x="0" y="0"/>
                <wp:positionH relativeFrom="column">
                  <wp:posOffset>-2498053</wp:posOffset>
                </wp:positionH>
                <wp:positionV relativeFrom="paragraph">
                  <wp:posOffset>-793488</wp:posOffset>
                </wp:positionV>
                <wp:extent cx="7413625" cy="895350"/>
                <wp:effectExtent l="0" t="0" r="0"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8" style="width:583.75pt;height:70.5pt;margin-top:-62.5pt;margin-left:-196.7pt;mso-height-percent:0;mso-height-relative:margin;mso-wrap-distance-bottom:0;mso-wrap-distance-left:9pt;mso-wrap-distance-right:9pt;mso-wrap-distance-top:0;mso-wrap-style:square;position:absolute;visibility:visible;v-text-anchor:middle;z-index:251661312" fillcolor="white" stroked="f" strokeweight="2pt"/>
            </w:pict>
          </mc:Fallback>
        </mc:AlternateContent>
      </w:r>
      <w:r>
        <w:rPr>
          <w:b/>
          <w:bCs/>
          <w:spacing w:val="86"/>
          <w:rtl/>
        </w:rPr>
        <w:br w:type="page"/>
      </w:r>
    </w:p>
    <w:p w:rsidR="00E82EA3" w:rsidP="00B535DF" w14:paraId="1F4B8C82" w14:textId="77777777">
      <w:pPr>
        <w:pStyle w:val="7125"/>
        <w:spacing w:before="120"/>
        <w:ind w:hanging="1"/>
        <w:jc w:val="right"/>
        <w:rPr>
          <w:b w:val="0"/>
          <w:bCs w:val="0"/>
          <w:spacing w:val="86"/>
          <w:rtl/>
        </w:rPr>
        <w:sectPr w:rsidSect="00A76A67">
          <w:headerReference w:type="even" r:id="rId10"/>
          <w:headerReference w:type="default" r:id="rId11"/>
          <w:footerReference w:type="even" r:id="rId12"/>
          <w:headerReference w:type="first" r:id="rId13"/>
          <w:footnotePr>
            <w:numRestart w:val="eachSect"/>
          </w:footnotePr>
          <w:pgSz w:w="11906" w:h="16838" w:code="9"/>
          <w:pgMar w:top="3062" w:right="2268" w:bottom="2552" w:left="2126" w:header="1134" w:footer="1361" w:gutter="0"/>
          <w:cols w:space="720"/>
          <w:titlePg/>
          <w:bidi/>
          <w:rtlGutter/>
          <w:docGrid w:linePitch="272"/>
        </w:sectPr>
      </w:pPr>
    </w:p>
    <w:p w:rsidR="00E82EA3" w:rsidP="00B535DF" w14:paraId="2691CAFE" w14:textId="0ACFAF9E">
      <w:pPr>
        <w:pStyle w:val="7125"/>
        <w:spacing w:before="120"/>
        <w:ind w:hanging="1"/>
        <w:jc w:val="right"/>
        <w:rPr>
          <w:b w:val="0"/>
          <w:bCs w:val="0"/>
          <w:spacing w:val="86"/>
        </w:rPr>
      </w:pPr>
      <w:r>
        <w:rPr>
          <w:noProof/>
          <w:color w:val="002060"/>
          <w:sz w:val="18"/>
          <w:szCs w:val="18"/>
        </w:rPr>
        <w:drawing>
          <wp:anchor distT="0" distB="0" distL="114300" distR="114300" simplePos="0" relativeHeight="251658240" behindDoc="0" locked="0" layoutInCell="1" allowOverlap="1">
            <wp:simplePos x="0" y="0"/>
            <wp:positionH relativeFrom="column">
              <wp:posOffset>2095500</wp:posOffset>
            </wp:positionH>
            <wp:positionV relativeFrom="paragraph">
              <wp:posOffset>92710</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6"/>
                    <pic:cNvPicPr/>
                  </pic:nvPicPr>
                  <pic:blipFill>
                    <a:blip xmlns:r="http://schemas.openxmlformats.org/officeDocument/2006/relationships" r:embed="rId14"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A76E5A" w:rsidP="00B535DF" w14:paraId="789EDB20" w14:textId="34601368">
      <w:pPr>
        <w:pStyle w:val="7125"/>
        <w:spacing w:before="120"/>
        <w:ind w:hanging="1"/>
        <w:jc w:val="right"/>
        <w:rPr>
          <w:b w:val="0"/>
          <w:bCs w:val="0"/>
          <w:spacing w:val="86"/>
          <w:rtl/>
        </w:rPr>
      </w:pPr>
    </w:p>
    <w:p w:rsidR="000F0FAA" w:rsidP="000F0FAA" w14:paraId="6107C4ED" w14:textId="5453D83C">
      <w:pPr>
        <w:pStyle w:val="12021"/>
        <w:spacing w:before="480"/>
        <w:rPr>
          <w:sz w:val="52"/>
          <w:szCs w:val="52"/>
          <w:rtl/>
        </w:rPr>
      </w:pPr>
    </w:p>
    <w:p w:rsidR="005414ED" w:rsidP="000F0FAA" w14:paraId="2F9B558E" w14:textId="77777777">
      <w:pPr>
        <w:pStyle w:val="12021"/>
        <w:spacing w:before="480"/>
        <w:rPr>
          <w:sz w:val="52"/>
          <w:szCs w:val="52"/>
          <w:rtl/>
        </w:rPr>
      </w:pPr>
    </w:p>
    <w:p w:rsidR="006E4866" w:rsidRPr="003D3B44" w:rsidP="006E4866" w14:paraId="29C716DA" w14:textId="77777777">
      <w:pPr>
        <w:pStyle w:val="12021"/>
        <w:spacing w:before="480"/>
        <w:rPr>
          <w:sz w:val="52"/>
          <w:szCs w:val="52"/>
          <w:rtl/>
        </w:rPr>
      </w:pPr>
      <w:r w:rsidRPr="003D3B44">
        <w:rPr>
          <w:rFonts w:hint="cs"/>
          <w:sz w:val="52"/>
          <w:szCs w:val="52"/>
          <w:rtl/>
        </w:rPr>
        <w:t>דוח מבקר המדינה</w:t>
      </w:r>
    </w:p>
    <w:p w:rsidR="006E4866" w:rsidRPr="002B39F7" w:rsidP="006E4866" w14:paraId="55C4625D" w14:textId="77777777">
      <w:pPr>
        <w:pStyle w:val="7125"/>
        <w:spacing w:before="0" w:after="120"/>
        <w:ind w:left="1" w:hanging="1"/>
        <w:jc w:val="center"/>
        <w:rPr>
          <w:b w:val="0"/>
          <w:bCs w:val="0"/>
          <w:spacing w:val="20"/>
          <w:sz w:val="32"/>
          <w:szCs w:val="32"/>
          <w:rtl/>
        </w:rPr>
      </w:pPr>
      <w:r w:rsidRPr="002B39F7">
        <w:rPr>
          <w:b w:val="0"/>
          <w:bCs w:val="0"/>
          <w:noProof/>
          <w:spacing w:val="20"/>
          <w:sz w:val="32"/>
          <w:szCs w:val="32"/>
          <w:rtl/>
        </w:rPr>
        <w:t>אדר התשפ״ג | פברואר 2023</w:t>
      </w:r>
    </w:p>
    <w:p w:rsidR="003D3B44" w:rsidRPr="003D3B44" w:rsidP="006E4866" w14:paraId="1073F646" w14:textId="69FE7A53">
      <w:pPr>
        <w:pStyle w:val="7125"/>
        <w:ind w:left="284" w:hanging="1"/>
        <w:jc w:val="center"/>
        <w:rPr>
          <w:b w:val="0"/>
          <w:bCs w:val="0"/>
          <w:spacing w:val="332"/>
          <w:sz w:val="42"/>
          <w:szCs w:val="42"/>
          <w:rtl/>
        </w:rPr>
      </w:pPr>
      <w:r w:rsidRPr="00896313">
        <w:rPr>
          <w:rFonts w:hint="cs"/>
          <w:b w:val="0"/>
          <w:bCs w:val="0"/>
          <w:noProof/>
          <w:color w:val="FFFFFF" w:themeColor="background1"/>
          <w:spacing w:val="20"/>
          <w:sz w:val="32"/>
          <w:szCs w:val="32"/>
          <w:rtl/>
        </w:rPr>
        <mc:AlternateContent>
          <mc:Choice Requires="wps">
            <w:drawing>
              <wp:anchor distT="0" distB="0" distL="114300" distR="114300" simplePos="0" relativeHeight="251687936" behindDoc="0" locked="0" layoutInCell="1" allowOverlap="1">
                <wp:simplePos x="0" y="0"/>
                <wp:positionH relativeFrom="column">
                  <wp:posOffset>862330</wp:posOffset>
                </wp:positionH>
                <wp:positionV relativeFrom="paragraph">
                  <wp:posOffset>44994</wp:posOffset>
                </wp:positionV>
                <wp:extent cx="2934970" cy="0"/>
                <wp:effectExtent l="12700" t="12700" r="11430" b="12700"/>
                <wp:wrapNone/>
                <wp:docPr id="23" name="Straight Connector 580"/>
                <wp:cNvGraphicFramePr/>
                <a:graphic xmlns:a="http://schemas.openxmlformats.org/drawingml/2006/main">
                  <a:graphicData uri="http://schemas.microsoft.com/office/word/2010/wordprocessingShape">
                    <wps:wsp xmlns:wps="http://schemas.microsoft.com/office/word/2010/wordprocessingShape">
                      <wps:cNvCnPr/>
                      <wps:spPr>
                        <a:xfrm flipH="1">
                          <a:off x="0" y="0"/>
                          <a:ext cx="293497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29" style="flip:x;mso-width-percent:0;mso-width-relative:margin;mso-wrap-distance-bottom:0;mso-wrap-distance-left:9pt;mso-wrap-distance-right:9pt;mso-wrap-distance-top:0;mso-wrap-style:square;position:absolute;visibility:visible;z-index:251688960" from="67.9pt,3.55pt" to="299pt,3.55pt" strokecolor="#00305f" strokeweight="1.5pt"/>
            </w:pict>
          </mc:Fallback>
        </mc:AlternateContent>
      </w:r>
      <w:r w:rsidRPr="00896313">
        <w:rPr>
          <w:rFonts w:hint="cs"/>
          <w:b w:val="0"/>
          <w:bCs w:val="0"/>
          <w:color w:val="FFFFFF" w:themeColor="background1"/>
          <w:spacing w:val="332"/>
          <w:sz w:val="42"/>
          <w:szCs w:val="42"/>
          <w:rtl/>
        </w:rPr>
        <w:t>כרך ראשון</w:t>
      </w:r>
    </w:p>
    <w:p w:rsidR="005414ED" w:rsidP="00BA14FE" w14:paraId="500A1AEF" w14:textId="77777777">
      <w:pPr>
        <w:spacing w:line="240" w:lineRule="atLeast"/>
        <w:rPr>
          <w:rFonts w:ascii="Tahoma" w:hAnsi="Tahoma" w:cs="Tahoma"/>
          <w:sz w:val="22"/>
          <w:szCs w:val="22"/>
          <w:rtl/>
        </w:rPr>
      </w:pPr>
    </w:p>
    <w:p w:rsidR="009C0D3F" w:rsidP="00BA14FE" w14:paraId="4A9449C4" w14:textId="50389F28">
      <w:pPr>
        <w:spacing w:line="240" w:lineRule="atLeast"/>
        <w:rPr>
          <w:rFonts w:ascii="Tahoma" w:hAnsi="Tahoma" w:cs="Tahoma"/>
          <w:sz w:val="22"/>
          <w:szCs w:val="22"/>
          <w:rtl/>
        </w:rPr>
      </w:pPr>
    </w:p>
    <w:p w:rsidR="009C0D3F" w:rsidP="00BA14FE" w14:paraId="3D7DFA0C" w14:textId="143F3E76">
      <w:pPr>
        <w:spacing w:line="240" w:lineRule="atLeast"/>
        <w:rPr>
          <w:rFonts w:ascii="Tahoma" w:hAnsi="Tahoma" w:cs="Tahoma"/>
          <w:sz w:val="22"/>
          <w:szCs w:val="22"/>
          <w:rtl/>
        </w:rPr>
      </w:pPr>
    </w:p>
    <w:p w:rsidR="009C0D3F" w:rsidP="00BA14FE" w14:paraId="7E860458" w14:textId="3FFB0405">
      <w:pPr>
        <w:spacing w:line="240" w:lineRule="atLeast"/>
        <w:rPr>
          <w:rFonts w:ascii="Tahoma" w:hAnsi="Tahoma" w:cs="Tahoma"/>
          <w:sz w:val="22"/>
          <w:szCs w:val="22"/>
          <w:rtl/>
        </w:rPr>
      </w:pPr>
    </w:p>
    <w:p w:rsidR="000F1AFB" w:rsidP="00BA14FE" w14:paraId="54FBE4CD" w14:textId="2750E2DF">
      <w:pPr>
        <w:spacing w:line="240" w:lineRule="atLeast"/>
        <w:rPr>
          <w:rFonts w:ascii="Tahoma" w:hAnsi="Tahoma" w:cs="Tahoma"/>
          <w:sz w:val="22"/>
          <w:szCs w:val="22"/>
          <w:rtl/>
        </w:rPr>
      </w:pPr>
    </w:p>
    <w:p w:rsidR="001309F2" w:rsidP="00BA14FE" w14:paraId="1C4099CE" w14:textId="77777777">
      <w:pPr>
        <w:spacing w:line="240" w:lineRule="atLeast"/>
        <w:rPr>
          <w:rFonts w:ascii="Tahoma" w:hAnsi="Tahoma" w:cs="Tahoma"/>
          <w:sz w:val="22"/>
          <w:szCs w:val="22"/>
          <w:rtl/>
        </w:rPr>
      </w:pPr>
    </w:p>
    <w:p w:rsidR="000F1AFB" w:rsidP="00BA14FE" w14:paraId="3EB2DCBC" w14:textId="635AB096">
      <w:pPr>
        <w:spacing w:line="240" w:lineRule="atLeast"/>
        <w:rPr>
          <w:rFonts w:ascii="Tahoma" w:hAnsi="Tahoma" w:cs="Tahoma"/>
          <w:sz w:val="22"/>
          <w:szCs w:val="22"/>
          <w:rtl/>
        </w:rPr>
      </w:pPr>
    </w:p>
    <w:p w:rsidR="000F1AFB" w:rsidP="00BA14FE" w14:paraId="7AA6BB29" w14:textId="70A054B5">
      <w:pPr>
        <w:spacing w:line="240" w:lineRule="atLeast"/>
        <w:rPr>
          <w:rFonts w:ascii="Tahoma" w:hAnsi="Tahoma" w:cs="Tahoma"/>
          <w:sz w:val="22"/>
          <w:szCs w:val="22"/>
          <w:rtl/>
        </w:rPr>
      </w:pPr>
    </w:p>
    <w:p w:rsidR="005414ED" w:rsidP="00BA14FE" w14:paraId="51DE8C47" w14:textId="61B8689E">
      <w:pPr>
        <w:spacing w:line="240" w:lineRule="atLeast"/>
        <w:rPr>
          <w:rFonts w:ascii="Tahoma" w:hAnsi="Tahoma" w:cs="Tahoma"/>
          <w:sz w:val="22"/>
          <w:szCs w:val="22"/>
          <w:rtl/>
        </w:rPr>
      </w:pPr>
    </w:p>
    <w:p w:rsidR="005414ED" w:rsidP="00BA14FE" w14:paraId="7A9253A8" w14:textId="5AA04133">
      <w:pPr>
        <w:spacing w:line="240" w:lineRule="atLeast"/>
        <w:rPr>
          <w:rFonts w:ascii="Tahoma" w:hAnsi="Tahoma" w:cs="Tahoma"/>
          <w:sz w:val="22"/>
          <w:szCs w:val="22"/>
          <w:rtl/>
        </w:rPr>
      </w:pPr>
    </w:p>
    <w:p w:rsidR="00A76A67" w:rsidP="00BA14FE" w14:paraId="509D967C" w14:textId="16F433A6">
      <w:pPr>
        <w:spacing w:line="240" w:lineRule="atLeast"/>
        <w:rPr>
          <w:rFonts w:ascii="Tahoma" w:hAnsi="Tahoma" w:cs="Tahoma"/>
          <w:sz w:val="22"/>
          <w:szCs w:val="22"/>
          <w:rtl/>
        </w:rPr>
      </w:pPr>
    </w:p>
    <w:p w:rsidR="00496A6C" w:rsidP="00BA14FE" w14:paraId="316E189C" w14:textId="67B2F714">
      <w:pPr>
        <w:spacing w:line="240" w:lineRule="atLeast"/>
        <w:rPr>
          <w:rFonts w:ascii="Tahoma" w:hAnsi="Tahoma" w:cs="Tahoma"/>
          <w:sz w:val="22"/>
          <w:szCs w:val="22"/>
          <w:rtl/>
        </w:rPr>
      </w:pPr>
    </w:p>
    <w:p w:rsidR="00496A6C" w:rsidP="00BA14FE" w14:paraId="57BDB55F" w14:textId="77777777">
      <w:pPr>
        <w:spacing w:line="240" w:lineRule="atLeast"/>
        <w:rPr>
          <w:rFonts w:ascii="Tahoma" w:hAnsi="Tahoma" w:cs="Tahoma"/>
          <w:sz w:val="22"/>
          <w:szCs w:val="22"/>
          <w:rtl/>
        </w:rPr>
      </w:pPr>
    </w:p>
    <w:p w:rsidR="009C0D3F" w:rsidP="00BA14FE" w14:paraId="4FCD524B" w14:textId="60FFEA80">
      <w:pPr>
        <w:spacing w:line="240" w:lineRule="atLeast"/>
        <w:rPr>
          <w:rFonts w:ascii="Tahoma" w:hAnsi="Tahoma" w:cs="Tahoma"/>
          <w:sz w:val="22"/>
          <w:szCs w:val="22"/>
          <w:rtl/>
        </w:rPr>
      </w:pPr>
    </w:p>
    <w:p w:rsidR="009C0D3F" w:rsidP="00BA14FE" w14:paraId="735E4AA0" w14:textId="654F6AFB">
      <w:pPr>
        <w:spacing w:line="240" w:lineRule="atLeast"/>
        <w:rPr>
          <w:rFonts w:ascii="Tahoma" w:hAnsi="Tahoma" w:cs="Tahoma"/>
          <w:sz w:val="22"/>
          <w:szCs w:val="22"/>
          <w:rtl/>
        </w:rPr>
      </w:pPr>
    </w:p>
    <w:p w:rsidR="009C0D3F" w:rsidP="00BA14FE" w14:paraId="220D50AA" w14:textId="3E9BAD46">
      <w:pPr>
        <w:spacing w:line="240" w:lineRule="atLeast"/>
        <w:rPr>
          <w:rFonts w:ascii="Tahoma" w:hAnsi="Tahoma" w:cs="Tahoma"/>
          <w:sz w:val="22"/>
          <w:szCs w:val="22"/>
          <w:rtl/>
        </w:rPr>
      </w:pPr>
    </w:p>
    <w:p w:rsidR="009C0D3F" w:rsidP="00BA14FE" w14:paraId="14A3F766" w14:textId="452FC34A">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59264" behindDoc="0" locked="0" layoutInCell="1" allowOverlap="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9C0D3F" w:rsidP="00BA14FE" w14:paraId="260836E0" w14:textId="25800577">
      <w:pPr>
        <w:spacing w:line="240" w:lineRule="atLeast"/>
        <w:rPr>
          <w:rFonts w:ascii="Tahoma" w:hAnsi="Tahoma" w:cs="Tahoma"/>
          <w:sz w:val="22"/>
          <w:szCs w:val="22"/>
          <w:rtl/>
        </w:rPr>
      </w:pPr>
    </w:p>
    <w:p w:rsidR="009C0D3F" w:rsidP="00BA14FE" w14:paraId="11198336"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423AEFBF">
      <w:pPr>
        <w:spacing w:line="240" w:lineRule="atLeast"/>
        <w:rPr>
          <w:rFonts w:ascii="Tahoma" w:hAnsi="Tahoma" w:cs="Tahoma"/>
          <w:sz w:val="22"/>
          <w:szCs w:val="22"/>
          <w:rtl/>
        </w:rPr>
      </w:pPr>
    </w:p>
    <w:p w:rsidR="009C0D3F" w:rsidP="00BA14FE" w14:paraId="6303BB99" w14:textId="77777777">
      <w:pPr>
        <w:spacing w:line="240" w:lineRule="atLeast"/>
        <w:rPr>
          <w:rFonts w:ascii="Tahoma" w:hAnsi="Tahoma" w:cs="Tahoma"/>
          <w:sz w:val="22"/>
          <w:szCs w:val="22"/>
          <w:rtl/>
        </w:rPr>
      </w:pPr>
    </w:p>
    <w:p w:rsidR="00977579" w:rsidRPr="00112923" w:rsidP="00112923" w14:paraId="721366B6" w14:textId="15089780">
      <w:pPr>
        <w:spacing w:line="240" w:lineRule="atLeast"/>
        <w:jc w:val="center"/>
        <w:rPr>
          <w:rFonts w:ascii="Tahoma" w:hAnsi="Tahoma" w:cs="Tahoma"/>
          <w:sz w:val="24"/>
          <w:rtl/>
        </w:rPr>
      </w:pPr>
      <w:r>
        <w:rPr>
          <w:rFonts w:ascii="Tahoma" w:hAnsi="Tahoma" w:cs="Tahoma" w:hint="cs"/>
          <w:sz w:val="24"/>
          <w:rtl/>
        </w:rPr>
        <w:t xml:space="preserve">משרד מבקר המדינה ונציב תלונות הציבור | </w:t>
      </w:r>
      <w:r w:rsidRPr="009C0D3F" w:rsidR="009C0D3F">
        <w:rPr>
          <w:rFonts w:ascii="Tahoma" w:hAnsi="Tahoma" w:cs="Tahoma" w:hint="cs"/>
          <w:sz w:val="24"/>
          <w:rtl/>
        </w:rPr>
        <w:t>ירושלים</w:t>
      </w:r>
      <w:r w:rsidR="00D6278C">
        <w:rPr>
          <w:rFonts w:ascii="Tahoma" w:hAnsi="Tahoma" w:cs="Tahoma"/>
          <w:sz w:val="24"/>
        </w:rPr>
        <w:t xml:space="preserve"> </w:t>
      </w:r>
    </w:p>
    <w:p w:rsidR="00112923" w:rsidP="00977579" w14:paraId="57967539" w14:textId="77777777">
      <w:pPr>
        <w:pStyle w:val="7190"/>
        <w:jc w:val="center"/>
        <w:rPr>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977579" w:rsidP="00977579" w14:paraId="6E269C4C" w14:textId="0C00A03C">
      <w:pPr>
        <w:pStyle w:val="7190"/>
        <w:jc w:val="center"/>
        <w:rPr>
          <w:rtl/>
        </w:rPr>
      </w:pPr>
    </w:p>
    <w:p w:rsidR="00977579" w:rsidP="00977579" w14:paraId="72E5F3ED" w14:textId="4010413A">
      <w:pPr>
        <w:pStyle w:val="7190"/>
        <w:jc w:val="center"/>
        <w:rPr>
          <w:rtl/>
        </w:rPr>
      </w:pPr>
    </w:p>
    <w:p w:rsidR="00977579" w:rsidP="00977579" w14:paraId="7848AF06" w14:textId="1287F91D">
      <w:pPr>
        <w:pStyle w:val="7190"/>
        <w:jc w:val="center"/>
        <w:rPr>
          <w:rtl/>
        </w:rPr>
      </w:pPr>
    </w:p>
    <w:p w:rsidR="00977579" w:rsidP="00977579" w14:paraId="28239249" w14:textId="4D992115">
      <w:pPr>
        <w:pStyle w:val="7190"/>
        <w:jc w:val="center"/>
        <w:rPr>
          <w:rtl/>
        </w:rPr>
      </w:pPr>
    </w:p>
    <w:p w:rsidR="00977579" w:rsidP="00977579" w14:paraId="2BD7E89C" w14:textId="452E1B23">
      <w:pPr>
        <w:pStyle w:val="7190"/>
        <w:jc w:val="center"/>
        <w:rPr>
          <w:rtl/>
        </w:rPr>
      </w:pPr>
    </w:p>
    <w:p w:rsidR="00977579" w:rsidP="00977579" w14:paraId="3FAA902E" w14:textId="7005D448">
      <w:pPr>
        <w:pStyle w:val="7190"/>
        <w:jc w:val="center"/>
        <w:rPr>
          <w:rtl/>
        </w:rPr>
      </w:pPr>
    </w:p>
    <w:p w:rsidR="00977579" w:rsidP="00977579" w14:paraId="38B1896A" w14:textId="1F76384F">
      <w:pPr>
        <w:pStyle w:val="7190"/>
        <w:jc w:val="center"/>
        <w:rPr>
          <w:rtl/>
        </w:rPr>
      </w:pPr>
    </w:p>
    <w:p w:rsidR="00977579" w:rsidP="00977579" w14:paraId="01A36B8C" w14:textId="50F5C785">
      <w:pPr>
        <w:pStyle w:val="7190"/>
        <w:jc w:val="center"/>
        <w:rPr>
          <w:rtl/>
        </w:rPr>
      </w:pPr>
    </w:p>
    <w:p w:rsidR="00977579" w:rsidP="00977579" w14:paraId="3A77EDEA" w14:textId="366F9679">
      <w:pPr>
        <w:pStyle w:val="7190"/>
        <w:jc w:val="center"/>
        <w:rPr>
          <w:rtl/>
        </w:rPr>
      </w:pPr>
    </w:p>
    <w:p w:rsidR="00977579" w:rsidP="00977579" w14:paraId="5F1CDA5D" w14:textId="2C9215FB">
      <w:pPr>
        <w:pStyle w:val="7190"/>
        <w:jc w:val="center"/>
        <w:rPr>
          <w:rtl/>
        </w:rPr>
      </w:pPr>
    </w:p>
    <w:p w:rsidR="000F1AFB" w:rsidP="00977579" w14:paraId="0910B21A" w14:textId="6FD33B51">
      <w:pPr>
        <w:pStyle w:val="7190"/>
        <w:jc w:val="center"/>
        <w:rPr>
          <w:rtl/>
        </w:rPr>
      </w:pPr>
    </w:p>
    <w:p w:rsidR="000F1AFB" w:rsidP="00977579" w14:paraId="011544FB" w14:textId="42603B0F">
      <w:pPr>
        <w:pStyle w:val="7190"/>
        <w:jc w:val="center"/>
        <w:rPr>
          <w:rtl/>
        </w:rPr>
      </w:pPr>
    </w:p>
    <w:p w:rsidR="000F1AFB" w:rsidP="00977579" w14:paraId="3A6AB924" w14:textId="1CCAEB5C">
      <w:pPr>
        <w:pStyle w:val="7190"/>
        <w:jc w:val="center"/>
        <w:rPr>
          <w:rtl/>
        </w:rPr>
      </w:pPr>
    </w:p>
    <w:p w:rsidR="00977579" w:rsidP="00977579" w14:paraId="0ED334DA" w14:textId="77777777">
      <w:pPr>
        <w:pStyle w:val="7190"/>
        <w:jc w:val="center"/>
        <w:rPr>
          <w:rtl/>
        </w:rPr>
      </w:pPr>
    </w:p>
    <w:p w:rsidR="00977579" w:rsidP="00977579" w14:paraId="14128F0E" w14:textId="0E1563F2">
      <w:pPr>
        <w:pStyle w:val="7190"/>
        <w:jc w:val="center"/>
        <w:rPr>
          <w:rtl/>
        </w:rPr>
      </w:pPr>
    </w:p>
    <w:p w:rsidR="00977579" w:rsidP="00977579" w14:paraId="4B4B6DD3" w14:textId="3CB2F28D">
      <w:pPr>
        <w:pStyle w:val="7190"/>
        <w:jc w:val="center"/>
        <w:rPr>
          <w:rtl/>
        </w:rPr>
      </w:pPr>
    </w:p>
    <w:p w:rsidR="00977579" w:rsidP="00977579" w14:paraId="374143FF" w14:textId="4FA7E829">
      <w:pPr>
        <w:pStyle w:val="7190"/>
        <w:jc w:val="center"/>
        <w:rPr>
          <w:rtl/>
        </w:rPr>
      </w:pPr>
    </w:p>
    <w:p w:rsidR="00977579" w:rsidP="00977579" w14:paraId="1B0BEFAC" w14:textId="70A506A1">
      <w:pPr>
        <w:pStyle w:val="7190"/>
        <w:jc w:val="center"/>
        <w:rPr>
          <w:rtl/>
        </w:rPr>
      </w:pPr>
    </w:p>
    <w:p w:rsidR="00064016" w:rsidP="00064016" w14:paraId="62C72E9D" w14:textId="0F640E52">
      <w:pPr>
        <w:pStyle w:val="7190"/>
        <w:spacing w:after="120"/>
        <w:jc w:val="center"/>
        <w:rPr>
          <w:rtl/>
        </w:rPr>
      </w:pPr>
    </w:p>
    <w:p w:rsidR="00064016" w:rsidP="00064016" w14:paraId="4DCD00B7" w14:textId="2640AF55">
      <w:pPr>
        <w:pStyle w:val="7190"/>
        <w:spacing w:after="120"/>
        <w:jc w:val="center"/>
        <w:rPr>
          <w:rtl/>
        </w:rPr>
      </w:pPr>
    </w:p>
    <w:p w:rsidR="00064016" w:rsidRPr="00064016" w:rsidP="00064016" w14:paraId="132AAB22" w14:textId="18BF95A3">
      <w:pPr>
        <w:pStyle w:val="7190"/>
        <w:spacing w:after="120"/>
        <w:jc w:val="center"/>
      </w:pPr>
      <w:r w:rsidRPr="00064016">
        <w:rPr>
          <w:rtl/>
        </w:rPr>
        <w:t xml:space="preserve">מס' קטלוגי </w:t>
      </w:r>
      <w:r w:rsidR="00BE3F2A">
        <w:t>A</w:t>
      </w:r>
      <w:r w:rsidR="00D6278C">
        <w:t>-</w:t>
      </w:r>
      <w:r w:rsidR="006F45A4">
        <w:t>001</w:t>
      </w:r>
      <w:r w:rsidRPr="00064016">
        <w:rPr>
          <w:rtl/>
        </w:rPr>
        <w:t>-</w:t>
      </w:r>
      <w:r w:rsidR="006F45A4">
        <w:t>2023</w:t>
      </w:r>
    </w:p>
    <w:p w:rsidR="00064016" w:rsidRPr="00064016" w:rsidP="00064016" w14:paraId="66F3EDD3" w14:textId="2D1E9C78">
      <w:pPr>
        <w:pStyle w:val="7190"/>
        <w:jc w:val="center"/>
        <w:rPr>
          <w:rtl/>
        </w:rPr>
      </w:pPr>
      <w:r w:rsidRPr="00064016">
        <w:t xml:space="preserve">ISSN </w:t>
      </w:r>
      <w:r w:rsidR="005777F4">
        <w:t>0334</w:t>
      </w:r>
      <w:r w:rsidRPr="00064016">
        <w:t>-</w:t>
      </w:r>
      <w:r w:rsidR="00D11B41">
        <w:t>9713</w:t>
      </w:r>
    </w:p>
    <w:p w:rsidR="00064016" w:rsidP="00064016" w14:paraId="52E2FCF4" w14:textId="77777777">
      <w:pPr>
        <w:pStyle w:val="7190"/>
        <w:spacing w:after="0"/>
        <w:jc w:val="center"/>
      </w:pPr>
      <w:r>
        <w:rPr>
          <w:rtl/>
        </w:rPr>
        <w:t xml:space="preserve">דוח זה מובא גם באתר האינטרנט של </w:t>
      </w:r>
      <w:r>
        <w:br/>
      </w:r>
      <w:r>
        <w:rPr>
          <w:rtl/>
        </w:rPr>
        <w:t>משרד מבקר המדינה</w:t>
      </w:r>
    </w:p>
    <w:p w:rsidR="00064016" w:rsidRPr="00064016" w:rsidP="00064016" w14:paraId="690EF9D9" w14:textId="44B52660">
      <w:pPr>
        <w:pStyle w:val="7190"/>
        <w:jc w:val="center"/>
        <w:rPr>
          <w:rtl/>
        </w:rPr>
      </w:pPr>
      <w:hyperlink r:id="rId16" w:history="1">
        <w:r w:rsidRPr="00064016">
          <w:t>www.mevaker.gov.il</w:t>
        </w:r>
      </w:hyperlink>
    </w:p>
    <w:p w:rsidR="00064016" w:rsidP="00064016" w14:paraId="62D700AA" w14:textId="3A3498A0">
      <w:pPr>
        <w:pStyle w:val="7190"/>
        <w:jc w:val="center"/>
        <w:rPr>
          <w:rtl/>
        </w:rPr>
      </w:pPr>
    </w:p>
    <w:p w:rsidR="009C0D3F" w:rsidP="00064016" w14:paraId="3AEEC7F7" w14:textId="72C74CC6">
      <w:pPr>
        <w:pStyle w:val="7190"/>
        <w:jc w:val="center"/>
        <w:rPr>
          <w:rtl/>
        </w:rPr>
      </w:pPr>
      <w:r>
        <w:rPr>
          <w:rFonts w:hint="cs"/>
          <w:rtl/>
        </w:rPr>
        <w:t xml:space="preserve">עיצוב גרפי: </w:t>
      </w:r>
      <w:r w:rsidR="00DB5E51">
        <w:rPr>
          <w:rFonts w:hint="cs"/>
          <w:rtl/>
        </w:rPr>
        <w:t xml:space="preserve">צוות </w:t>
      </w:r>
      <w:r w:rsidR="00DB5E51">
        <w:rPr>
          <w:rFonts w:hint="cs"/>
          <w:rtl/>
        </w:rPr>
        <w:t>אי.אר</w:t>
      </w:r>
      <w:r w:rsidR="00DB5E51">
        <w:rPr>
          <w:rFonts w:hint="cs"/>
          <w:rtl/>
        </w:rPr>
        <w:t xml:space="preserve"> </w:t>
      </w:r>
      <w:r w:rsidR="00DB5E51">
        <w:rPr>
          <w:rFonts w:hint="cs"/>
          <w:rtl/>
        </w:rPr>
        <w:t>דיזיין</w:t>
      </w:r>
      <w:r w:rsidR="00DB5E51">
        <w:rPr>
          <w:rFonts w:hint="cs"/>
          <w:rtl/>
        </w:rPr>
        <w:t xml:space="preserve"> </w:t>
      </w:r>
    </w:p>
    <w:p w:rsidR="00421B27" w:rsidRPr="009C0D3F" w:rsidP="00064016" w14:paraId="4570961E" w14:textId="7CE366E1">
      <w:pPr>
        <w:pStyle w:val="7190"/>
        <w:jc w:val="center"/>
        <w:rPr>
          <w:sz w:val="24"/>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AA5AC3" w:rsidRPr="00C04B74" w:rsidP="00AA5AC3" w14:paraId="1F6B6266" w14:textId="77777777">
      <w:pPr>
        <w:pStyle w:val="71316"/>
        <w:rPr>
          <w:sz w:val="36"/>
          <w:szCs w:val="36"/>
          <w:rtl/>
        </w:rPr>
      </w:pPr>
      <w:r w:rsidRPr="00107944">
        <w:rPr>
          <w:rFonts w:hint="cs"/>
          <w:b w:val="0"/>
          <w:bCs w:val="0"/>
          <w:noProof/>
          <w:spacing w:val="112"/>
          <w:rtl/>
          <w:lang w:val="he-IL"/>
        </w:rPr>
        <mc:AlternateContent>
          <mc:Choice Requires="wps">
            <w:drawing>
              <wp:anchor distT="0" distB="0" distL="114300" distR="114300" simplePos="0" relativeHeight="251678720" behindDoc="0" locked="0" layoutInCell="1" allowOverlap="1">
                <wp:simplePos x="0" y="0"/>
                <wp:positionH relativeFrom="column">
                  <wp:posOffset>3116580</wp:posOffset>
                </wp:positionH>
                <wp:positionV relativeFrom="paragraph">
                  <wp:posOffset>489322</wp:posOffset>
                </wp:positionV>
                <wp:extent cx="1531620" cy="0"/>
                <wp:effectExtent l="0" t="0" r="17780" b="12700"/>
                <wp:wrapNone/>
                <wp:docPr id="9"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30" style="flip:x;mso-width-percent:0;mso-width-relative:margin;mso-wrap-distance-bottom:0;mso-wrap-distance-left:9pt;mso-wrap-distance-right:9pt;mso-wrap-distance-top:0;mso-wrap-style:square;position:absolute;visibility:visible;z-index:251679744" from="245.4pt,38.55pt" to="366pt,38.55pt" strokecolor="#00305f" strokeweight="1pt"/>
            </w:pict>
          </mc:Fallback>
        </mc:AlternateContent>
      </w:r>
      <w:r w:rsidRPr="00C04B74">
        <w:rPr>
          <w:rFonts w:hint="cs"/>
          <w:sz w:val="36"/>
          <w:szCs w:val="36"/>
          <w:rtl/>
        </w:rPr>
        <w:t>תוכן העניינים</w:t>
      </w:r>
    </w:p>
    <w:p w:rsidR="00AA5AC3" w:rsidRPr="009758C5" w:rsidP="0028030F" w14:paraId="75AA99AD" w14:textId="00A72034">
      <w:pPr>
        <w:pStyle w:val="71316"/>
        <w:spacing w:before="120" w:after="120"/>
        <w:rPr>
          <w:b w:val="0"/>
          <w:bCs w:val="0"/>
          <w:spacing w:val="112"/>
          <w:rtl/>
        </w:rPr>
      </w:pPr>
      <w:r>
        <w:rPr>
          <w:b w:val="0"/>
          <w:bCs w:val="0"/>
          <w:noProof/>
          <w:spacing w:val="112"/>
          <w:rtl/>
          <w:lang w:val="he-IL"/>
        </w:rPr>
        <mc:AlternateContent>
          <mc:Choice Requires="wps">
            <w:drawing>
              <wp:anchor distT="0" distB="0" distL="114300" distR="114300" simplePos="0" relativeHeight="251694080" behindDoc="0" locked="0" layoutInCell="1" allowOverlap="1">
                <wp:simplePos x="0" y="0"/>
                <wp:positionH relativeFrom="column">
                  <wp:posOffset>-724898</wp:posOffset>
                </wp:positionH>
                <wp:positionV relativeFrom="paragraph">
                  <wp:posOffset>6944088</wp:posOffset>
                </wp:positionV>
                <wp:extent cx="914400" cy="240393"/>
                <wp:effectExtent l="12700" t="12700" r="12700" b="13970"/>
                <wp:wrapNone/>
                <wp:docPr id="16" name="מלבן 16"/>
                <wp:cNvGraphicFramePr/>
                <a:graphic xmlns:a="http://schemas.openxmlformats.org/drawingml/2006/main">
                  <a:graphicData uri="http://schemas.microsoft.com/office/word/2010/wordprocessingShape">
                    <wps:wsp xmlns:wps="http://schemas.microsoft.com/office/word/2010/wordprocessingShape">
                      <wps:cNvSpPr/>
                      <wps:spPr>
                        <a:xfrm>
                          <a:off x="0" y="0"/>
                          <a:ext cx="914400" cy="2403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6" o:spid="_x0000_s1031" style="width:1in;height:18.95pt;margin-top:546.8pt;margin-left:-57.1pt;mso-height-percent:0;mso-height-relative:margin;mso-wrap-distance-bottom:0;mso-wrap-distance-left:9pt;mso-wrap-distance-right:9pt;mso-wrap-distance-top:0;mso-wrap-style:square;position:absolute;visibility:visible;v-text-anchor:middle;z-index:251695104" fillcolor="white" strokecolor="white" strokeweight="2pt"/>
            </w:pict>
          </mc:Fallback>
        </mc:AlternateConten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9"/>
        <w:gridCol w:w="1121"/>
      </w:tblGrid>
      <w:tr w14:paraId="09D9C205" w14:textId="77777777" w:rsidTr="00B6233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39" w:type="dxa"/>
          </w:tcPr>
          <w:p w:rsidR="00AA5AC3" w:rsidRPr="00C237BB" w:rsidP="00896313" w14:paraId="3E8D413A" w14:textId="77777777">
            <w:pPr>
              <w:pStyle w:val="7190"/>
              <w:spacing w:before="360" w:after="100"/>
              <w:rPr>
                <w:b/>
                <w:bCs/>
                <w:rtl/>
              </w:rPr>
            </w:pPr>
            <w:r w:rsidRPr="00C237BB">
              <w:rPr>
                <w:rFonts w:hint="cs"/>
                <w:b/>
                <w:bCs/>
                <w:color w:val="00305F"/>
                <w:sz w:val="22"/>
                <w:szCs w:val="22"/>
                <w:rtl/>
              </w:rPr>
              <w:t>פתח דבר</w:t>
            </w:r>
          </w:p>
        </w:tc>
        <w:tc>
          <w:tcPr>
            <w:tcW w:w="1121" w:type="dxa"/>
          </w:tcPr>
          <w:p w:rsidR="00AA5AC3" w:rsidRPr="003A4571" w:rsidP="00896313" w14:paraId="4C0C2AFB" w14:textId="62E216E4">
            <w:pPr>
              <w:widowControl w:val="0"/>
              <w:spacing w:before="360" w:after="100" w:line="260" w:lineRule="exact"/>
              <w:rPr>
                <w:rFonts w:ascii="Arial" w:hAnsi="Arial" w:cs="Tahoma"/>
                <w:color w:val="000000"/>
                <w:sz w:val="24"/>
                <w:szCs w:val="18"/>
                <w:rtl/>
              </w:rPr>
            </w:pPr>
            <w:r>
              <w:rPr>
                <w:rFonts w:ascii="Arial" w:hAnsi="Arial" w:cs="Tahoma" w:hint="cs"/>
                <w:color w:val="000000"/>
                <w:sz w:val="24"/>
                <w:szCs w:val="18"/>
                <w:rtl/>
              </w:rPr>
              <w:t>7</w:t>
            </w:r>
          </w:p>
        </w:tc>
      </w:tr>
      <w:tr w14:paraId="73B2210C" w14:textId="77777777" w:rsidTr="00B6233D">
        <w:tblPrEx>
          <w:tblW w:w="0" w:type="auto"/>
          <w:tblLook w:val="04A0"/>
        </w:tblPrEx>
        <w:tc>
          <w:tcPr>
            <w:tcW w:w="6239" w:type="dxa"/>
          </w:tcPr>
          <w:p w:rsidR="00AA5AC3" w:rsidRPr="00C237BB" w:rsidP="00B6233D" w14:paraId="01F4DD56" w14:textId="3DB5772A">
            <w:pPr>
              <w:pStyle w:val="7190"/>
              <w:spacing w:before="100" w:after="100"/>
              <w:rPr>
                <w:b/>
                <w:bCs/>
                <w:rtl/>
              </w:rPr>
            </w:pPr>
            <w:r w:rsidRPr="00C237BB">
              <w:rPr>
                <w:rFonts w:hint="eastAsia"/>
                <w:b/>
                <w:bCs/>
                <w:color w:val="00305F"/>
                <w:sz w:val="22"/>
                <w:szCs w:val="22"/>
                <w:rtl/>
                <w:lang w:bidi="ar-SA"/>
              </w:rPr>
              <w:t>المقدمة</w:t>
            </w:r>
            <w:r w:rsidR="00A81021">
              <w:rPr>
                <w:rFonts w:hint="cs"/>
                <w:b/>
                <w:bCs/>
                <w:rtl/>
              </w:rPr>
              <w:t xml:space="preserve"> </w:t>
            </w:r>
          </w:p>
        </w:tc>
        <w:tc>
          <w:tcPr>
            <w:tcW w:w="1121" w:type="dxa"/>
          </w:tcPr>
          <w:p w:rsidR="00AA5AC3" w:rsidRPr="003A4571" w:rsidP="00B6233D" w14:paraId="29DBE377" w14:textId="736CE532">
            <w:pPr>
              <w:widowControl w:val="0"/>
              <w:spacing w:before="100" w:after="100" w:line="260" w:lineRule="exact"/>
              <w:rPr>
                <w:rFonts w:ascii="Arial" w:hAnsi="Arial" w:cs="Tahoma"/>
                <w:color w:val="000000"/>
                <w:sz w:val="24"/>
                <w:szCs w:val="18"/>
                <w:rtl/>
              </w:rPr>
            </w:pPr>
            <w:r>
              <w:rPr>
                <w:rFonts w:ascii="Arial" w:hAnsi="Arial" w:cs="Tahoma" w:hint="cs"/>
                <w:color w:val="000000"/>
                <w:sz w:val="24"/>
                <w:szCs w:val="18"/>
                <w:rtl/>
              </w:rPr>
              <w:t>13</w:t>
            </w:r>
          </w:p>
        </w:tc>
      </w:tr>
      <w:tr w14:paraId="60B9C88A" w14:textId="77777777" w:rsidTr="00B6233D">
        <w:tblPrEx>
          <w:tblW w:w="0" w:type="auto"/>
          <w:tblLook w:val="04A0"/>
        </w:tblPrEx>
        <w:tc>
          <w:tcPr>
            <w:tcW w:w="6239" w:type="dxa"/>
          </w:tcPr>
          <w:p w:rsidR="00AA5AC3" w:rsidRPr="00C237BB" w:rsidP="00B6233D" w14:paraId="13AAD1E2" w14:textId="77777777">
            <w:pPr>
              <w:pStyle w:val="7190"/>
              <w:spacing w:before="100" w:after="100"/>
              <w:rPr>
                <w:b/>
                <w:bCs/>
                <w:color w:val="00305F"/>
                <w:sz w:val="22"/>
                <w:szCs w:val="22"/>
                <w:lang w:bidi="ar-SA"/>
              </w:rPr>
            </w:pPr>
            <w:r w:rsidRPr="00C237BB">
              <w:rPr>
                <w:b/>
                <w:bCs/>
                <w:color w:val="00305F"/>
                <w:sz w:val="22"/>
                <w:szCs w:val="22"/>
                <w:lang w:bidi="ar-SA"/>
              </w:rPr>
              <w:t>Foreword</w:t>
            </w:r>
          </w:p>
        </w:tc>
        <w:tc>
          <w:tcPr>
            <w:tcW w:w="1121" w:type="dxa"/>
          </w:tcPr>
          <w:p w:rsidR="00AA5AC3" w:rsidP="00B6233D" w14:paraId="1B427CC8" w14:textId="0B5DF44D">
            <w:pPr>
              <w:widowControl w:val="0"/>
              <w:spacing w:before="100" w:after="100" w:line="260" w:lineRule="exact"/>
              <w:rPr>
                <w:rFonts w:ascii="Arial" w:hAnsi="Arial" w:cs="Tahoma"/>
                <w:color w:val="000000"/>
                <w:sz w:val="24"/>
                <w:szCs w:val="18"/>
              </w:rPr>
            </w:pPr>
            <w:r>
              <w:rPr>
                <w:rFonts w:ascii="Arial" w:hAnsi="Arial" w:cs="Tahoma" w:hint="cs"/>
                <w:color w:val="000000"/>
                <w:sz w:val="24"/>
                <w:szCs w:val="18"/>
                <w:rtl/>
              </w:rPr>
              <w:t>750</w:t>
            </w:r>
          </w:p>
        </w:tc>
      </w:tr>
      <w:tr w14:paraId="761777EF"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39" w:type="dxa"/>
            <w:tcBorders>
              <w:top w:val="nil"/>
              <w:left w:val="nil"/>
              <w:bottom w:val="nil"/>
              <w:right w:val="nil"/>
            </w:tcBorders>
          </w:tcPr>
          <w:p w:rsidR="00AA5AC3" w:rsidRPr="00924D92" w:rsidP="005F2377" w14:paraId="1001C523" w14:textId="679F94D8">
            <w:pPr>
              <w:spacing w:before="80" w:after="80" w:line="260" w:lineRule="exact"/>
              <w:rPr>
                <w:rFonts w:ascii="Arial" w:hAnsi="Arial" w:cs="Tahoma"/>
                <w:color w:val="000000"/>
                <w:sz w:val="24"/>
                <w:szCs w:val="18"/>
                <w:rtl/>
              </w:rPr>
            </w:pPr>
          </w:p>
        </w:tc>
        <w:tc>
          <w:tcPr>
            <w:tcW w:w="1121" w:type="dxa"/>
            <w:tcBorders>
              <w:top w:val="nil"/>
              <w:left w:val="nil"/>
              <w:bottom w:val="nil"/>
              <w:right w:val="nil"/>
            </w:tcBorders>
          </w:tcPr>
          <w:p w:rsidR="00AA5AC3" w:rsidRPr="00136CC3" w:rsidP="00B6233D" w14:paraId="2EF48823" w14:textId="2AF72DAA">
            <w:pPr>
              <w:pStyle w:val="7190"/>
              <w:widowControl w:val="0"/>
              <w:spacing w:before="80" w:after="80"/>
              <w:rPr>
                <w:rFonts w:ascii="Arial" w:hAnsi="Arial"/>
                <w:color w:val="000000"/>
                <w:sz w:val="24"/>
                <w:rtl/>
              </w:rPr>
            </w:pPr>
          </w:p>
        </w:tc>
      </w:tr>
      <w:tr w14:paraId="295FD509"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7360" w:type="dxa"/>
            <w:gridSpan w:val="2"/>
            <w:tcBorders>
              <w:top w:val="nil"/>
              <w:left w:val="nil"/>
              <w:bottom w:val="nil"/>
              <w:right w:val="nil"/>
            </w:tcBorders>
          </w:tcPr>
          <w:p w:rsidR="00AA5AC3" w:rsidRPr="00D20731" w:rsidP="006E4866" w14:paraId="0C5B65DF" w14:textId="19591EB3">
            <w:pPr>
              <w:pStyle w:val="71316"/>
              <w:spacing w:before="380" w:after="200" w:line="240" w:lineRule="auto"/>
              <w:rPr>
                <w:rFonts w:ascii="Arial" w:hAnsi="Arial"/>
                <w:b w:val="0"/>
                <w:bCs w:val="0"/>
                <w:color w:val="000000"/>
                <w:sz w:val="26"/>
                <w:szCs w:val="26"/>
                <w:rtl/>
              </w:rPr>
            </w:pPr>
            <w:r w:rsidRPr="00D20731">
              <w:rPr>
                <w:rFonts w:hint="cs"/>
                <w:b w:val="0"/>
                <w:bCs w:val="0"/>
                <w:sz w:val="26"/>
                <w:szCs w:val="26"/>
                <w:rtl/>
              </w:rPr>
              <w:t xml:space="preserve">פרק </w:t>
            </w:r>
            <w:r w:rsidR="00262275">
              <w:rPr>
                <w:rFonts w:hint="cs"/>
                <w:b w:val="0"/>
                <w:bCs w:val="0"/>
                <w:sz w:val="26"/>
                <w:szCs w:val="26"/>
                <w:rtl/>
              </w:rPr>
              <w:t>ראשון</w:t>
            </w:r>
            <w:r w:rsidRPr="00D20731">
              <w:rPr>
                <w:rFonts w:hint="cs"/>
                <w:b w:val="0"/>
                <w:bCs w:val="0"/>
                <w:sz w:val="26"/>
                <w:szCs w:val="26"/>
                <w:rtl/>
              </w:rPr>
              <w:t xml:space="preserve"> |</w:t>
            </w:r>
            <w:r w:rsidRPr="00D20731">
              <w:rPr>
                <w:rFonts w:hint="cs"/>
                <w:sz w:val="26"/>
                <w:szCs w:val="26"/>
                <w:rtl/>
              </w:rPr>
              <w:t xml:space="preserve"> </w:t>
            </w:r>
            <w:r w:rsidR="005F2377">
              <w:rPr>
                <w:rFonts w:hint="cs"/>
                <w:sz w:val="26"/>
                <w:szCs w:val="26"/>
                <w:rtl/>
              </w:rPr>
              <w:t>מערכת הביטחון</w:t>
            </w:r>
            <w:r>
              <w:rPr>
                <w:rFonts w:hint="cs"/>
                <w:sz w:val="26"/>
                <w:szCs w:val="26"/>
                <w:rtl/>
              </w:rPr>
              <w:t xml:space="preserve"> </w:t>
            </w:r>
          </w:p>
        </w:tc>
      </w:tr>
      <w:tr w14:paraId="533C200C"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5F2377" w:rsidP="005F2377" w14:paraId="5C7C7683" w14:textId="260018F5">
            <w:pPr>
              <w:pStyle w:val="7190"/>
              <w:spacing w:before="200" w:after="80"/>
              <w:rPr>
                <w:b/>
                <w:bCs/>
                <w:color w:val="00305F"/>
                <w:sz w:val="22"/>
                <w:szCs w:val="22"/>
                <w:rtl/>
              </w:rPr>
            </w:pPr>
            <w:r w:rsidRPr="00C903C2">
              <w:rPr>
                <w:rFonts w:hint="cs"/>
                <w:b/>
                <w:bCs/>
                <w:color w:val="00305F"/>
                <w:sz w:val="22"/>
                <w:szCs w:val="22"/>
                <w:rtl/>
              </w:rPr>
              <w:t>תחומי פעילות לאומיים-אסטרטגיים</w:t>
            </w:r>
          </w:p>
        </w:tc>
        <w:tc>
          <w:tcPr>
            <w:tcW w:w="1121" w:type="dxa"/>
            <w:tcBorders>
              <w:top w:val="nil"/>
              <w:left w:val="nil"/>
              <w:bottom w:val="nil"/>
              <w:right w:val="nil"/>
            </w:tcBorders>
          </w:tcPr>
          <w:p w:rsidR="00AA5AC3" w:rsidRPr="00B7140B" w:rsidP="00B7140B" w14:paraId="2DDB5AEE" w14:textId="77777777">
            <w:pPr>
              <w:pStyle w:val="71316"/>
              <w:spacing w:before="200" w:after="80" w:line="240" w:lineRule="auto"/>
              <w:rPr>
                <w:rFonts w:ascii="Arial" w:hAnsi="Arial"/>
                <w:b w:val="0"/>
                <w:bCs w:val="0"/>
                <w:color w:val="000000"/>
                <w:sz w:val="22"/>
                <w:szCs w:val="22"/>
                <w:rtl/>
              </w:rPr>
            </w:pPr>
          </w:p>
        </w:tc>
      </w:tr>
      <w:tr w14:paraId="0AB466E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924D92" w:rsidP="005F2377" w14:paraId="44A6400E" w14:textId="6DE7E588">
            <w:pPr>
              <w:spacing w:before="80" w:after="80" w:line="260" w:lineRule="exact"/>
              <w:rPr>
                <w:rFonts w:ascii="Arial" w:hAnsi="Arial" w:cs="Tahoma"/>
                <w:color w:val="000000"/>
                <w:sz w:val="24"/>
                <w:szCs w:val="18"/>
                <w:rtl/>
              </w:rPr>
            </w:pPr>
            <w:r w:rsidRPr="00C903C2">
              <w:rPr>
                <w:rFonts w:ascii="Arial" w:hAnsi="Arial" w:cs="Tahoma" w:hint="cs"/>
                <w:color w:val="000000"/>
                <w:sz w:val="24"/>
                <w:szCs w:val="18"/>
                <w:rtl/>
              </w:rPr>
              <w:t xml:space="preserve">מימוש תוכנית </w:t>
            </w:r>
            <w:r w:rsidRPr="00C903C2">
              <w:rPr>
                <w:rFonts w:ascii="Arial" w:hAnsi="Arial" w:cs="Tahoma" w:hint="cs"/>
                <w:color w:val="000000"/>
                <w:sz w:val="24"/>
                <w:szCs w:val="18"/>
                <w:rtl/>
              </w:rPr>
              <w:t>שוה"ם</w:t>
            </w:r>
            <w:r w:rsidRPr="00C903C2">
              <w:rPr>
                <w:rFonts w:ascii="Arial" w:hAnsi="Arial" w:cs="Tahoma" w:hint="cs"/>
                <w:color w:val="000000"/>
                <w:sz w:val="24"/>
                <w:szCs w:val="18"/>
                <w:rtl/>
              </w:rPr>
              <w:t xml:space="preserve"> 3 - התוכנית להעתקת מחנות צה"ל לצורך שיווק יחידות דיור באזורי ביקוש</w:t>
            </w:r>
          </w:p>
        </w:tc>
        <w:tc>
          <w:tcPr>
            <w:tcW w:w="1121" w:type="dxa"/>
            <w:tcBorders>
              <w:top w:val="nil"/>
              <w:left w:val="nil"/>
              <w:bottom w:val="nil"/>
              <w:right w:val="nil"/>
            </w:tcBorders>
          </w:tcPr>
          <w:p w:rsidR="00AA5AC3" w:rsidP="00B6233D" w14:paraId="38F42ECE" w14:textId="7B0EEB89">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23</w:t>
            </w:r>
          </w:p>
        </w:tc>
      </w:tr>
      <w:tr w14:paraId="346A84A6"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5F2377" w:rsidP="005F2377" w14:paraId="0484A2CB" w14:textId="26DADDD5">
            <w:pPr>
              <w:spacing w:before="80" w:after="80" w:line="260" w:lineRule="exact"/>
              <w:rPr>
                <w:rFonts w:ascii="Arial" w:hAnsi="Arial" w:cs="Tahoma"/>
                <w:color w:val="000000"/>
                <w:sz w:val="24"/>
                <w:szCs w:val="18"/>
                <w:rtl/>
              </w:rPr>
            </w:pPr>
            <w:r w:rsidRPr="00C903C2">
              <w:rPr>
                <w:rFonts w:ascii="Arial" w:hAnsi="Arial" w:cs="Tahoma" w:hint="cs"/>
                <w:color w:val="000000"/>
                <w:sz w:val="24"/>
                <w:szCs w:val="18"/>
                <w:rtl/>
              </w:rPr>
              <w:t>אפקטיביות מכשול קו התפר</w:t>
            </w:r>
            <w:r w:rsidR="00212638">
              <w:rPr>
                <w:rFonts w:ascii="Arial" w:hAnsi="Arial" w:cs="Tahoma" w:hint="cs"/>
                <w:color w:val="000000"/>
                <w:sz w:val="24"/>
                <w:szCs w:val="18"/>
                <w:rtl/>
              </w:rPr>
              <w:t xml:space="preserve"> </w:t>
            </w:r>
            <w:r w:rsidRPr="00C903C2">
              <w:rPr>
                <w:rFonts w:ascii="Arial" w:hAnsi="Arial" w:cs="Tahoma" w:hint="cs"/>
                <w:color w:val="000000"/>
                <w:sz w:val="24"/>
                <w:szCs w:val="18"/>
                <w:rtl/>
              </w:rPr>
              <w:t>-</w:t>
            </w:r>
            <w:r w:rsidR="00212638">
              <w:rPr>
                <w:rFonts w:ascii="Arial" w:hAnsi="Arial" w:cs="Tahoma" w:hint="cs"/>
                <w:color w:val="000000"/>
                <w:sz w:val="24"/>
                <w:szCs w:val="18"/>
                <w:rtl/>
              </w:rPr>
              <w:t xml:space="preserve"> </w:t>
            </w:r>
            <w:r w:rsidRPr="00C903C2">
              <w:rPr>
                <w:rFonts w:ascii="Arial" w:hAnsi="Arial" w:cs="Tahoma" w:hint="cs"/>
                <w:color w:val="000000"/>
                <w:sz w:val="24"/>
                <w:szCs w:val="18"/>
                <w:rtl/>
              </w:rPr>
              <w:t>המענה המבצעי והתפעולי</w:t>
            </w:r>
          </w:p>
        </w:tc>
        <w:tc>
          <w:tcPr>
            <w:tcW w:w="1121" w:type="dxa"/>
            <w:tcBorders>
              <w:top w:val="nil"/>
              <w:left w:val="nil"/>
              <w:bottom w:val="nil"/>
              <w:right w:val="nil"/>
            </w:tcBorders>
          </w:tcPr>
          <w:p w:rsidR="005F2377" w:rsidP="00B6233D" w14:paraId="6F65EE0E" w14:textId="4D5817C1">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107</w:t>
            </w:r>
          </w:p>
        </w:tc>
      </w:tr>
      <w:tr w14:paraId="0D55EF1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C903C2" w:rsidP="005F2377" w14:paraId="79B3FC64" w14:textId="14A37888">
            <w:pPr>
              <w:spacing w:before="80" w:after="80" w:line="260" w:lineRule="exact"/>
              <w:rPr>
                <w:rFonts w:ascii="Arial" w:hAnsi="Arial" w:cs="Tahoma"/>
                <w:color w:val="000000"/>
                <w:sz w:val="24"/>
                <w:szCs w:val="18"/>
                <w:rtl/>
              </w:rPr>
            </w:pPr>
            <w:r w:rsidRPr="00C903C2">
              <w:rPr>
                <w:rFonts w:ascii="Arial" w:hAnsi="Arial" w:cs="Tahoma" w:hint="cs"/>
                <w:color w:val="000000"/>
                <w:sz w:val="24"/>
                <w:szCs w:val="18"/>
                <w:rtl/>
              </w:rPr>
              <w:t>מינהלת</w:t>
            </w:r>
            <w:r w:rsidRPr="00C903C2">
              <w:rPr>
                <w:rFonts w:ascii="Arial" w:hAnsi="Arial" w:cs="Tahoma" w:hint="cs"/>
                <w:color w:val="000000"/>
                <w:sz w:val="24"/>
                <w:szCs w:val="18"/>
                <w:rtl/>
              </w:rPr>
              <w:t xml:space="preserve"> תוכנית "אתגר" - לוו</w:t>
            </w:r>
            <w:r w:rsidR="00A43D25">
              <w:rPr>
                <w:rFonts w:ascii="Arial" w:hAnsi="Arial" w:cs="Tahoma" w:hint="cs"/>
                <w:color w:val="000000"/>
                <w:sz w:val="24"/>
                <w:szCs w:val="18"/>
                <w:rtl/>
              </w:rPr>
              <w:t>י</w:t>
            </w:r>
            <w:r w:rsidRPr="00C903C2">
              <w:rPr>
                <w:rFonts w:ascii="Arial" w:hAnsi="Arial" w:cs="Tahoma" w:hint="cs"/>
                <w:color w:val="000000"/>
                <w:sz w:val="24"/>
                <w:szCs w:val="18"/>
                <w:rtl/>
              </w:rPr>
              <w:t>יני תצפית במערכת הביטחון</w:t>
            </w:r>
          </w:p>
        </w:tc>
        <w:tc>
          <w:tcPr>
            <w:tcW w:w="1121" w:type="dxa"/>
            <w:tcBorders>
              <w:top w:val="nil"/>
              <w:left w:val="nil"/>
              <w:bottom w:val="nil"/>
              <w:right w:val="nil"/>
            </w:tcBorders>
          </w:tcPr>
          <w:p w:rsidR="005F2377" w:rsidP="00B6233D" w14:paraId="08E67CFF" w14:textId="6BBA4549">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175</w:t>
            </w:r>
          </w:p>
        </w:tc>
      </w:tr>
      <w:tr w14:paraId="7FC0F7E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B7140B" w:rsidP="005F2377" w14:paraId="45DBC1F8" w14:textId="550C0C17">
            <w:pPr>
              <w:pStyle w:val="7190"/>
              <w:spacing w:before="200" w:after="80"/>
              <w:rPr>
                <w:b/>
                <w:bCs/>
                <w:color w:val="00305F"/>
                <w:rtl/>
              </w:rPr>
            </w:pPr>
            <w:r w:rsidRPr="005F2377">
              <w:rPr>
                <w:rFonts w:hint="cs"/>
                <w:b/>
                <w:bCs/>
                <w:color w:val="00305F"/>
                <w:sz w:val="22"/>
                <w:szCs w:val="22"/>
                <w:rtl/>
              </w:rPr>
              <w:t>משרד הביטחון</w:t>
            </w:r>
          </w:p>
        </w:tc>
        <w:tc>
          <w:tcPr>
            <w:tcW w:w="1121" w:type="dxa"/>
            <w:tcBorders>
              <w:top w:val="nil"/>
              <w:left w:val="nil"/>
              <w:bottom w:val="nil"/>
              <w:right w:val="nil"/>
            </w:tcBorders>
          </w:tcPr>
          <w:p w:rsidR="00AA5AC3" w:rsidRPr="00B7140B" w:rsidP="00B7140B" w14:paraId="1AAD2714" w14:textId="77777777">
            <w:pPr>
              <w:pStyle w:val="71316"/>
              <w:spacing w:before="200" w:after="80" w:line="240" w:lineRule="auto"/>
              <w:rPr>
                <w:rFonts w:ascii="Arial" w:hAnsi="Arial"/>
                <w:b w:val="0"/>
                <w:bCs w:val="0"/>
                <w:color w:val="000000"/>
                <w:sz w:val="18"/>
                <w:szCs w:val="18"/>
                <w:rtl/>
              </w:rPr>
            </w:pPr>
          </w:p>
        </w:tc>
      </w:tr>
      <w:tr w14:paraId="2CD436F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739CF" w:rsidRPr="00924D92" w:rsidP="005F2377" w14:paraId="28F2C690" w14:textId="26EE41FE">
            <w:pPr>
              <w:spacing w:before="80" w:after="80" w:line="260" w:lineRule="exact"/>
              <w:rPr>
                <w:rFonts w:ascii="Arial" w:hAnsi="Arial" w:cs="Tahoma"/>
                <w:color w:val="000000"/>
                <w:sz w:val="24"/>
                <w:szCs w:val="18"/>
                <w:rtl/>
              </w:rPr>
            </w:pPr>
            <w:r w:rsidRPr="00C903C2">
              <w:rPr>
                <w:rFonts w:ascii="Arial" w:hAnsi="Arial" w:cs="Tahoma" w:hint="cs"/>
                <w:color w:val="000000"/>
                <w:sz w:val="24"/>
                <w:szCs w:val="18"/>
                <w:rtl/>
              </w:rPr>
              <w:t>תוכנית מסוימת לבניין הכוח</w:t>
            </w:r>
          </w:p>
        </w:tc>
        <w:tc>
          <w:tcPr>
            <w:tcW w:w="1121" w:type="dxa"/>
            <w:tcBorders>
              <w:top w:val="nil"/>
              <w:left w:val="nil"/>
              <w:bottom w:val="nil"/>
              <w:right w:val="nil"/>
            </w:tcBorders>
          </w:tcPr>
          <w:p w:rsidR="00A739CF" w:rsidP="00A739CF" w14:paraId="04B848F9" w14:textId="043D7A5B">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195</w:t>
            </w:r>
          </w:p>
        </w:tc>
      </w:tr>
      <w:tr w14:paraId="1C90A5A8"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5F2377" w:rsidP="005F2377" w14:paraId="4573CD0D" w14:textId="1238C129">
            <w:pPr>
              <w:pStyle w:val="7190"/>
              <w:spacing w:before="200" w:after="80"/>
              <w:rPr>
                <w:b/>
                <w:bCs/>
                <w:color w:val="00305F"/>
                <w:sz w:val="22"/>
                <w:szCs w:val="22"/>
                <w:rtl/>
              </w:rPr>
            </w:pPr>
            <w:r w:rsidRPr="00C903C2">
              <w:rPr>
                <w:rFonts w:hint="cs"/>
                <w:b/>
                <w:bCs/>
                <w:color w:val="00305F"/>
                <w:sz w:val="22"/>
                <w:szCs w:val="22"/>
                <w:rtl/>
              </w:rPr>
              <w:t xml:space="preserve">צבא ההגנה לישראל </w:t>
            </w:r>
          </w:p>
        </w:tc>
        <w:tc>
          <w:tcPr>
            <w:tcW w:w="1121" w:type="dxa"/>
            <w:tcBorders>
              <w:top w:val="nil"/>
              <w:left w:val="nil"/>
              <w:bottom w:val="nil"/>
              <w:right w:val="nil"/>
            </w:tcBorders>
          </w:tcPr>
          <w:p w:rsidR="005F2377" w:rsidP="00A739CF" w14:paraId="068E4F9B" w14:textId="77777777">
            <w:pPr>
              <w:pStyle w:val="71316"/>
              <w:spacing w:before="80" w:after="80" w:line="240" w:lineRule="auto"/>
              <w:rPr>
                <w:rFonts w:ascii="Arial" w:hAnsi="Arial"/>
                <w:b w:val="0"/>
                <w:bCs w:val="0"/>
                <w:color w:val="000000"/>
                <w:sz w:val="18"/>
                <w:szCs w:val="18"/>
                <w:rtl/>
              </w:rPr>
            </w:pPr>
          </w:p>
        </w:tc>
      </w:tr>
      <w:tr w14:paraId="2AA8C4DB"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C903C2" w:rsidP="005F2377" w14:paraId="742FE848" w14:textId="2656F97E">
            <w:pPr>
              <w:spacing w:before="80" w:after="80" w:line="260" w:lineRule="exact"/>
              <w:rPr>
                <w:rFonts w:ascii="Arial" w:hAnsi="Arial" w:cs="Tahoma"/>
                <w:color w:val="000000"/>
                <w:sz w:val="24"/>
                <w:szCs w:val="18"/>
                <w:rtl/>
              </w:rPr>
            </w:pPr>
            <w:r w:rsidRPr="00C903C2">
              <w:rPr>
                <w:rFonts w:ascii="Arial" w:hAnsi="Arial" w:cs="Tahoma" w:hint="cs"/>
                <w:color w:val="000000"/>
                <w:sz w:val="24"/>
                <w:szCs w:val="18"/>
                <w:rtl/>
              </w:rPr>
              <w:t>היבטים בבניין הכוח של מערך השריון</w:t>
            </w:r>
          </w:p>
        </w:tc>
        <w:tc>
          <w:tcPr>
            <w:tcW w:w="1121" w:type="dxa"/>
            <w:tcBorders>
              <w:top w:val="nil"/>
              <w:left w:val="nil"/>
              <w:bottom w:val="nil"/>
              <w:right w:val="nil"/>
            </w:tcBorders>
          </w:tcPr>
          <w:p w:rsidR="005F2377" w:rsidP="00A739CF" w14:paraId="6CEF1295" w14:textId="63D39A6C">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213</w:t>
            </w:r>
          </w:p>
        </w:tc>
      </w:tr>
      <w:tr w14:paraId="2B9941F6"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5F2377" w:rsidP="005F2377" w14:paraId="6C44799B" w14:textId="70EA1E4A">
            <w:pPr>
              <w:spacing w:before="80" w:after="80" w:line="260" w:lineRule="exact"/>
              <w:rPr>
                <w:rFonts w:ascii="Arial" w:hAnsi="Arial" w:cs="Tahoma"/>
                <w:color w:val="000000"/>
                <w:sz w:val="24"/>
                <w:szCs w:val="18"/>
                <w:rtl/>
              </w:rPr>
            </w:pPr>
            <w:r w:rsidRPr="00C903C2">
              <w:rPr>
                <w:rFonts w:ascii="Arial" w:hAnsi="Arial" w:cs="Tahoma" w:hint="cs"/>
                <w:color w:val="000000"/>
                <w:sz w:val="24"/>
                <w:szCs w:val="18"/>
                <w:rtl/>
              </w:rPr>
              <w:t>ספינות הטילים בהגנה על המרחב הימי בלחימה</w:t>
            </w:r>
          </w:p>
        </w:tc>
        <w:tc>
          <w:tcPr>
            <w:tcW w:w="1121" w:type="dxa"/>
            <w:tcBorders>
              <w:top w:val="nil"/>
              <w:left w:val="nil"/>
              <w:bottom w:val="nil"/>
              <w:right w:val="nil"/>
            </w:tcBorders>
          </w:tcPr>
          <w:p w:rsidR="005F2377" w:rsidP="00A739CF" w14:paraId="19FA1F8E" w14:textId="4ABD721B">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225</w:t>
            </w:r>
          </w:p>
        </w:tc>
      </w:tr>
      <w:tr w14:paraId="3773C107"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5F2377" w:rsidP="005F2377" w14:paraId="7B583C74" w14:textId="2E4B33C8">
            <w:pPr>
              <w:spacing w:before="80" w:after="80" w:line="260" w:lineRule="exact"/>
              <w:rPr>
                <w:rFonts w:ascii="Arial" w:hAnsi="Arial" w:cs="Tahoma"/>
                <w:color w:val="000000"/>
                <w:sz w:val="24"/>
                <w:szCs w:val="18"/>
                <w:rtl/>
              </w:rPr>
            </w:pPr>
            <w:r w:rsidRPr="00C903C2">
              <w:rPr>
                <w:rFonts w:ascii="Arial" w:hAnsi="Arial" w:cs="Tahoma" w:hint="cs"/>
                <w:color w:val="000000"/>
                <w:sz w:val="24"/>
                <w:szCs w:val="18"/>
                <w:rtl/>
              </w:rPr>
              <w:t>המיון והגיוס לצה"ל - ביקורת מעקב מורחבת</w:t>
            </w:r>
          </w:p>
        </w:tc>
        <w:tc>
          <w:tcPr>
            <w:tcW w:w="1121" w:type="dxa"/>
            <w:tcBorders>
              <w:top w:val="nil"/>
              <w:left w:val="nil"/>
              <w:bottom w:val="nil"/>
              <w:right w:val="nil"/>
            </w:tcBorders>
          </w:tcPr>
          <w:p w:rsidR="005F2377" w:rsidP="00A739CF" w14:paraId="031428F4" w14:textId="11E3E455">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231</w:t>
            </w:r>
          </w:p>
        </w:tc>
      </w:tr>
      <w:tr w14:paraId="4A321804"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5F2377" w:rsidP="005F2377" w14:paraId="51065B37" w14:textId="008CC544">
            <w:pPr>
              <w:spacing w:before="80" w:after="80" w:line="260" w:lineRule="exact"/>
              <w:rPr>
                <w:rFonts w:ascii="Arial" w:hAnsi="Arial" w:cs="Tahoma"/>
                <w:color w:val="000000"/>
                <w:sz w:val="24"/>
                <w:szCs w:val="18"/>
                <w:rtl/>
              </w:rPr>
            </w:pPr>
            <w:r w:rsidRPr="00C903C2">
              <w:rPr>
                <w:rFonts w:ascii="Arial" w:hAnsi="Arial" w:cs="Tahoma" w:hint="cs"/>
                <w:color w:val="000000"/>
                <w:sz w:val="24"/>
                <w:szCs w:val="18"/>
                <w:rtl/>
              </w:rPr>
              <w:t>תנאי מחיה ותשתיות ללוחמים בשירות חובה ובמילואים</w:t>
            </w:r>
          </w:p>
        </w:tc>
        <w:tc>
          <w:tcPr>
            <w:tcW w:w="1121" w:type="dxa"/>
            <w:tcBorders>
              <w:top w:val="nil"/>
              <w:left w:val="nil"/>
              <w:bottom w:val="nil"/>
              <w:right w:val="nil"/>
            </w:tcBorders>
          </w:tcPr>
          <w:p w:rsidR="005F2377" w:rsidP="00A739CF" w14:paraId="7BE63953" w14:textId="5797BF92">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313</w:t>
            </w:r>
          </w:p>
        </w:tc>
      </w:tr>
      <w:tr w14:paraId="278EB42D"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5F2377" w:rsidP="005F2377" w14:paraId="7ED03CD2" w14:textId="276CBA50">
            <w:pPr>
              <w:spacing w:before="80" w:after="80" w:line="260" w:lineRule="exact"/>
              <w:rPr>
                <w:rFonts w:ascii="Arial" w:hAnsi="Arial" w:cs="Tahoma"/>
                <w:color w:val="000000"/>
                <w:sz w:val="24"/>
                <w:szCs w:val="18"/>
                <w:rtl/>
              </w:rPr>
            </w:pPr>
            <w:r w:rsidRPr="00C903C2">
              <w:rPr>
                <w:rFonts w:ascii="Arial" w:hAnsi="Arial" w:cs="Tahoma" w:hint="cs"/>
                <w:color w:val="000000"/>
                <w:sz w:val="24"/>
                <w:szCs w:val="18"/>
                <w:rtl/>
              </w:rPr>
              <w:t xml:space="preserve">הטיפול בחיילים הבודדים בעת שירותם בצה"ל ולאחר שחרורם - ביקורת מעקב </w:t>
            </w:r>
          </w:p>
        </w:tc>
        <w:tc>
          <w:tcPr>
            <w:tcW w:w="1121" w:type="dxa"/>
            <w:tcBorders>
              <w:top w:val="nil"/>
              <w:left w:val="nil"/>
              <w:bottom w:val="nil"/>
              <w:right w:val="nil"/>
            </w:tcBorders>
          </w:tcPr>
          <w:p w:rsidR="005F2377" w:rsidP="00A739CF" w14:paraId="15BA4FA9" w14:textId="2CDDCB52">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383</w:t>
            </w:r>
          </w:p>
        </w:tc>
      </w:tr>
      <w:tr w14:paraId="28844386"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5F2377" w:rsidP="00896313" w14:paraId="4ED1800C" w14:textId="10D70EB2">
            <w:pPr>
              <w:pStyle w:val="7190"/>
              <w:spacing w:before="360" w:after="80"/>
              <w:rPr>
                <w:b/>
                <w:bCs/>
                <w:color w:val="00305F"/>
                <w:sz w:val="22"/>
                <w:szCs w:val="22"/>
                <w:rtl/>
              </w:rPr>
            </w:pPr>
            <w:r w:rsidRPr="00C903C2">
              <w:rPr>
                <w:rFonts w:hint="cs"/>
                <w:b/>
                <w:bCs/>
                <w:color w:val="00305F"/>
                <w:sz w:val="22"/>
                <w:szCs w:val="22"/>
                <w:rtl/>
              </w:rPr>
              <w:t xml:space="preserve">ביקורת בין-תחומית </w:t>
            </w:r>
          </w:p>
        </w:tc>
        <w:tc>
          <w:tcPr>
            <w:tcW w:w="1121" w:type="dxa"/>
            <w:tcBorders>
              <w:top w:val="nil"/>
              <w:left w:val="nil"/>
              <w:bottom w:val="nil"/>
              <w:right w:val="nil"/>
            </w:tcBorders>
          </w:tcPr>
          <w:p w:rsidR="005F2377" w:rsidRPr="005F2377" w:rsidP="00896313" w14:paraId="562A1C15" w14:textId="77777777">
            <w:pPr>
              <w:pStyle w:val="71316"/>
              <w:spacing w:after="80" w:line="240" w:lineRule="auto"/>
              <w:rPr>
                <w:rFonts w:eastAsiaTheme="minorHAnsi"/>
                <w:sz w:val="22"/>
                <w:szCs w:val="22"/>
                <w:rtl/>
              </w:rPr>
            </w:pPr>
          </w:p>
        </w:tc>
      </w:tr>
      <w:tr w14:paraId="52C083E1"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5F2377" w:rsidP="005F2377" w14:paraId="0181C15B" w14:textId="6BEC174B">
            <w:pPr>
              <w:spacing w:before="80" w:after="80" w:line="260" w:lineRule="exact"/>
              <w:rPr>
                <w:rFonts w:ascii="Arial" w:hAnsi="Arial" w:cs="Tahoma"/>
                <w:color w:val="000000"/>
                <w:sz w:val="24"/>
                <w:szCs w:val="18"/>
                <w:rtl/>
              </w:rPr>
            </w:pPr>
            <w:r w:rsidRPr="00C903C2">
              <w:rPr>
                <w:rFonts w:ascii="Arial" w:hAnsi="Arial" w:cs="Tahoma" w:hint="cs"/>
                <w:color w:val="000000"/>
                <w:sz w:val="24"/>
                <w:szCs w:val="18"/>
                <w:rtl/>
              </w:rPr>
              <w:t>אזורי תעשייה שבניהול ישראלי באזור יהודה והשומרון - ביקורת מעקב</w:t>
            </w:r>
          </w:p>
        </w:tc>
        <w:tc>
          <w:tcPr>
            <w:tcW w:w="1121" w:type="dxa"/>
            <w:tcBorders>
              <w:top w:val="nil"/>
              <w:left w:val="nil"/>
              <w:bottom w:val="nil"/>
              <w:right w:val="nil"/>
            </w:tcBorders>
          </w:tcPr>
          <w:p w:rsidR="005F2377" w:rsidRPr="005F2377" w:rsidP="00A739CF" w14:paraId="69E35F00" w14:textId="4C59267B">
            <w:pPr>
              <w:pStyle w:val="71316"/>
              <w:spacing w:before="80" w:after="80" w:line="240" w:lineRule="auto"/>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455</w:t>
            </w:r>
          </w:p>
        </w:tc>
      </w:tr>
      <w:tr w14:paraId="19F4DA5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5F2377" w:rsidP="005F2377" w14:paraId="3B2EC444" w14:textId="2F44E1F5">
            <w:pPr>
              <w:spacing w:before="80" w:after="80" w:line="260" w:lineRule="exact"/>
              <w:rPr>
                <w:rFonts w:ascii="Arial" w:hAnsi="Arial" w:cs="Tahoma"/>
                <w:color w:val="000000"/>
                <w:sz w:val="24"/>
                <w:szCs w:val="18"/>
                <w:rtl/>
              </w:rPr>
            </w:pPr>
            <w:r w:rsidRPr="00C903C2">
              <w:rPr>
                <w:rFonts w:ascii="Arial" w:hAnsi="Arial" w:cs="Tahoma" w:hint="cs"/>
                <w:color w:val="000000"/>
                <w:sz w:val="24"/>
                <w:szCs w:val="18"/>
                <w:rtl/>
              </w:rPr>
              <w:t>פינוי נקודות יישוב ישראליות באזור יהודה והשומרון והטיפול במפונים</w:t>
            </w:r>
          </w:p>
        </w:tc>
        <w:tc>
          <w:tcPr>
            <w:tcW w:w="1121" w:type="dxa"/>
            <w:tcBorders>
              <w:top w:val="nil"/>
              <w:left w:val="nil"/>
              <w:bottom w:val="nil"/>
              <w:right w:val="nil"/>
            </w:tcBorders>
          </w:tcPr>
          <w:p w:rsidR="005F2377" w:rsidRPr="005F2377" w:rsidP="00A739CF" w14:paraId="0C2C48E3" w14:textId="5342AC6B">
            <w:pPr>
              <w:pStyle w:val="71316"/>
              <w:spacing w:before="80" w:after="80" w:line="240" w:lineRule="auto"/>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509</w:t>
            </w:r>
          </w:p>
        </w:tc>
      </w:tr>
      <w:tr w14:paraId="62F4BEB1"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5F2377" w:rsidP="005F2377" w14:paraId="05401620" w14:textId="381E027A">
            <w:pPr>
              <w:pStyle w:val="7190"/>
              <w:spacing w:before="200" w:after="80"/>
              <w:rPr>
                <w:b/>
                <w:bCs/>
                <w:color w:val="00305F"/>
                <w:sz w:val="22"/>
                <w:szCs w:val="22"/>
                <w:rtl/>
              </w:rPr>
            </w:pPr>
            <w:r w:rsidRPr="00C903C2">
              <w:rPr>
                <w:rFonts w:hint="cs"/>
                <w:b/>
                <w:bCs/>
                <w:color w:val="00305F"/>
                <w:sz w:val="22"/>
                <w:szCs w:val="22"/>
                <w:rtl/>
              </w:rPr>
              <w:t xml:space="preserve">התעשיות הביטחוניות הממשלתיות </w:t>
            </w:r>
          </w:p>
        </w:tc>
        <w:tc>
          <w:tcPr>
            <w:tcW w:w="1121" w:type="dxa"/>
            <w:tcBorders>
              <w:top w:val="nil"/>
              <w:left w:val="nil"/>
              <w:bottom w:val="nil"/>
              <w:right w:val="nil"/>
            </w:tcBorders>
          </w:tcPr>
          <w:p w:rsidR="005F2377" w:rsidP="00A739CF" w14:paraId="069D7DEE" w14:textId="77777777">
            <w:pPr>
              <w:pStyle w:val="71316"/>
              <w:spacing w:before="80" w:after="80" w:line="240" w:lineRule="auto"/>
              <w:rPr>
                <w:rFonts w:ascii="Arial" w:hAnsi="Arial" w:eastAsiaTheme="minorHAnsi"/>
                <w:b w:val="0"/>
                <w:bCs w:val="0"/>
                <w:color w:val="000000"/>
                <w:sz w:val="24"/>
                <w:szCs w:val="18"/>
                <w:rtl/>
              </w:rPr>
            </w:pPr>
          </w:p>
        </w:tc>
      </w:tr>
      <w:tr w14:paraId="4D6627FC"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5F2377" w:rsidP="005F2377" w14:paraId="62448515" w14:textId="4EA5A309">
            <w:pPr>
              <w:spacing w:before="80" w:after="80" w:line="260" w:lineRule="exact"/>
              <w:rPr>
                <w:rFonts w:ascii="Arial" w:hAnsi="Arial" w:cs="Tahoma"/>
                <w:color w:val="000000"/>
                <w:sz w:val="24"/>
                <w:szCs w:val="18"/>
                <w:rtl/>
              </w:rPr>
            </w:pPr>
            <w:r w:rsidRPr="00C903C2">
              <w:rPr>
                <w:rFonts w:ascii="Arial" w:hAnsi="Arial" w:cs="Tahoma" w:hint="cs"/>
                <w:color w:val="000000"/>
                <w:sz w:val="24"/>
                <w:szCs w:val="18"/>
                <w:rtl/>
              </w:rPr>
              <w:t>ייצוג אוכלוסיות שונות בחברות ממשלתיות-ביטחוניות</w:t>
            </w:r>
          </w:p>
        </w:tc>
        <w:tc>
          <w:tcPr>
            <w:tcW w:w="1121" w:type="dxa"/>
            <w:tcBorders>
              <w:top w:val="nil"/>
              <w:left w:val="nil"/>
              <w:bottom w:val="nil"/>
              <w:right w:val="nil"/>
            </w:tcBorders>
          </w:tcPr>
          <w:p w:rsidR="005F2377" w:rsidP="00A739CF" w14:paraId="79B26F56" w14:textId="31130D53">
            <w:pPr>
              <w:pStyle w:val="71316"/>
              <w:spacing w:before="80" w:after="80" w:line="240" w:lineRule="auto"/>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569</w:t>
            </w:r>
          </w:p>
        </w:tc>
      </w:tr>
      <w:tr w14:paraId="4BAFB879"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5F2377" w:rsidP="005F2377" w14:paraId="6318BE32" w14:textId="2B0D1A5A">
            <w:pPr>
              <w:spacing w:before="80" w:after="80" w:line="260" w:lineRule="exact"/>
              <w:rPr>
                <w:rFonts w:ascii="Arial" w:hAnsi="Arial" w:cs="Tahoma"/>
                <w:color w:val="000000"/>
                <w:sz w:val="24"/>
                <w:szCs w:val="18"/>
                <w:rtl/>
              </w:rPr>
            </w:pPr>
            <w:r w:rsidRPr="00C903C2">
              <w:rPr>
                <w:rFonts w:ascii="Arial" w:hAnsi="Arial" w:cs="Tahoma" w:hint="cs"/>
                <w:color w:val="000000"/>
                <w:sz w:val="24"/>
                <w:szCs w:val="18"/>
                <w:rtl/>
              </w:rPr>
              <w:t xml:space="preserve">הדוחות הכספיים של רפאל מערכות לחימה מתקדמות בע"מ - </w:t>
            </w:r>
            <w:r>
              <w:rPr>
                <w:rFonts w:ascii="Arial" w:hAnsi="Arial" w:cs="Tahoma"/>
                <w:color w:val="000000"/>
                <w:sz w:val="24"/>
                <w:szCs w:val="18"/>
                <w:rtl/>
              </w:rPr>
              <w:br/>
            </w:r>
            <w:r w:rsidRPr="00C903C2">
              <w:rPr>
                <w:rFonts w:ascii="Arial" w:hAnsi="Arial" w:cs="Tahoma" w:hint="cs"/>
                <w:color w:val="000000"/>
                <w:sz w:val="24"/>
                <w:szCs w:val="18"/>
                <w:rtl/>
              </w:rPr>
              <w:t>מצב החברה וסיכוניה</w:t>
            </w:r>
          </w:p>
        </w:tc>
        <w:tc>
          <w:tcPr>
            <w:tcW w:w="1121" w:type="dxa"/>
            <w:tcBorders>
              <w:top w:val="nil"/>
              <w:left w:val="nil"/>
              <w:bottom w:val="nil"/>
              <w:right w:val="nil"/>
            </w:tcBorders>
          </w:tcPr>
          <w:p w:rsidR="005F2377" w:rsidP="00A739CF" w14:paraId="4745613A" w14:textId="23958851">
            <w:pPr>
              <w:pStyle w:val="71316"/>
              <w:spacing w:before="80" w:after="80" w:line="240" w:lineRule="auto"/>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633</w:t>
            </w:r>
          </w:p>
        </w:tc>
      </w:tr>
      <w:tr w14:paraId="424C544F"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6E2138" w:rsidRPr="00B7140B" w:rsidP="005F2377" w14:paraId="2483E518" w14:textId="20F7FD80">
            <w:pPr>
              <w:spacing w:before="480" w:after="200" w:line="260" w:lineRule="exact"/>
              <w:rPr>
                <w:rFonts w:ascii="Tahoma" w:hAnsi="Tahoma" w:cs="Tahoma"/>
                <w:b/>
                <w:bCs/>
                <w:color w:val="00305F"/>
                <w:sz w:val="18"/>
                <w:szCs w:val="18"/>
                <w:rtl/>
              </w:rPr>
            </w:pPr>
            <w:r w:rsidRPr="006E2138">
              <w:rPr>
                <w:rFonts w:ascii="Tahoma" w:eastAsia="Times New Roman" w:hAnsi="Tahoma" w:cs="Tahoma" w:hint="cs"/>
                <w:color w:val="00305F"/>
                <w:sz w:val="26"/>
                <w:szCs w:val="26"/>
                <w:rtl/>
              </w:rPr>
              <w:t xml:space="preserve">פרק </w:t>
            </w:r>
            <w:r w:rsidR="00262275">
              <w:rPr>
                <w:rFonts w:ascii="Tahoma" w:eastAsia="Times New Roman" w:hAnsi="Tahoma" w:cs="Tahoma" w:hint="cs"/>
                <w:color w:val="00305F"/>
                <w:sz w:val="26"/>
                <w:szCs w:val="26"/>
                <w:rtl/>
              </w:rPr>
              <w:t>שני</w:t>
            </w:r>
            <w:r w:rsidRPr="006E2138">
              <w:rPr>
                <w:rFonts w:ascii="Tahoma" w:eastAsia="Times New Roman" w:hAnsi="Tahoma" w:cs="Tahoma" w:hint="cs"/>
                <w:color w:val="00305F"/>
                <w:sz w:val="26"/>
                <w:szCs w:val="26"/>
                <w:rtl/>
              </w:rPr>
              <w:t xml:space="preserve"> | </w:t>
            </w:r>
            <w:r w:rsidR="005F2377">
              <w:rPr>
                <w:rFonts w:ascii="Tahoma" w:eastAsia="Times New Roman" w:hAnsi="Tahoma" w:cs="Tahoma" w:hint="cs"/>
                <w:b/>
                <w:bCs/>
                <w:color w:val="00305F"/>
                <w:sz w:val="26"/>
                <w:szCs w:val="26"/>
                <w:rtl/>
              </w:rPr>
              <w:t>דוחות מסווגים מיוחדים</w:t>
            </w:r>
          </w:p>
        </w:tc>
        <w:tc>
          <w:tcPr>
            <w:tcW w:w="1121" w:type="dxa"/>
            <w:tcBorders>
              <w:top w:val="nil"/>
              <w:left w:val="nil"/>
              <w:bottom w:val="nil"/>
              <w:right w:val="nil"/>
            </w:tcBorders>
          </w:tcPr>
          <w:p w:rsidR="006E2138" w:rsidP="005F2377" w14:paraId="72F87FD0" w14:textId="77777777">
            <w:pPr>
              <w:pStyle w:val="71316"/>
              <w:spacing w:before="480" w:after="200" w:line="240" w:lineRule="auto"/>
              <w:rPr>
                <w:rFonts w:ascii="Arial" w:hAnsi="Arial"/>
                <w:b w:val="0"/>
                <w:bCs w:val="0"/>
                <w:color w:val="000000"/>
                <w:sz w:val="18"/>
                <w:szCs w:val="18"/>
                <w:rtl/>
              </w:rPr>
            </w:pPr>
          </w:p>
        </w:tc>
      </w:tr>
      <w:tr w14:paraId="3C90D959"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924D92" w:rsidRPr="00924D92" w:rsidP="005F2377" w14:paraId="613B2939" w14:textId="6A6E3E77">
            <w:pPr>
              <w:spacing w:before="80" w:after="80" w:line="260" w:lineRule="exact"/>
              <w:rPr>
                <w:rFonts w:ascii="Arial" w:hAnsi="Arial" w:cs="Tahoma"/>
                <w:color w:val="000000"/>
                <w:sz w:val="24"/>
                <w:szCs w:val="18"/>
                <w:rtl/>
              </w:rPr>
            </w:pPr>
            <w:r w:rsidRPr="00C903C2">
              <w:rPr>
                <w:rFonts w:ascii="Arial" w:hAnsi="Arial" w:cs="Tahoma"/>
                <w:color w:val="000000"/>
                <w:sz w:val="24"/>
                <w:szCs w:val="18"/>
                <w:rtl/>
              </w:rPr>
              <w:t xml:space="preserve">דוחות בעניין </w:t>
            </w:r>
            <w:r w:rsidRPr="00A43D25" w:rsidR="00A43D25">
              <w:rPr>
                <w:rFonts w:ascii="Arial" w:hAnsi="Arial" w:cs="Tahoma"/>
                <w:color w:val="000000"/>
                <w:sz w:val="24"/>
                <w:szCs w:val="18"/>
                <w:rtl/>
              </w:rPr>
              <w:t xml:space="preserve">ההיערכות והמוכנות של </w:t>
            </w:r>
            <w:r w:rsidRPr="00C903C2">
              <w:rPr>
                <w:rFonts w:ascii="Arial" w:hAnsi="Arial" w:cs="Tahoma"/>
                <w:color w:val="000000"/>
                <w:sz w:val="24"/>
                <w:szCs w:val="18"/>
                <w:rtl/>
              </w:rPr>
              <w:t xml:space="preserve">ממשלת ישראל ומערכת הביטחון </w:t>
            </w:r>
            <w:r>
              <w:rPr>
                <w:rFonts w:ascii="Arial" w:hAnsi="Arial" w:cs="Tahoma"/>
                <w:color w:val="000000"/>
                <w:sz w:val="24"/>
                <w:szCs w:val="18"/>
                <w:rtl/>
              </w:rPr>
              <w:br/>
            </w:r>
            <w:r w:rsidRPr="00C903C2">
              <w:rPr>
                <w:rFonts w:ascii="Arial" w:hAnsi="Arial" w:cs="Tahoma"/>
                <w:color w:val="000000"/>
                <w:sz w:val="24"/>
                <w:szCs w:val="18"/>
                <w:rtl/>
              </w:rPr>
              <w:t>להתמודדות עם איומים ממעגל שלישי</w:t>
            </w:r>
          </w:p>
        </w:tc>
        <w:tc>
          <w:tcPr>
            <w:tcW w:w="1121" w:type="dxa"/>
            <w:tcBorders>
              <w:top w:val="nil"/>
              <w:left w:val="nil"/>
              <w:bottom w:val="nil"/>
              <w:right w:val="nil"/>
            </w:tcBorders>
          </w:tcPr>
          <w:p w:rsidR="00924D92" w:rsidP="00B6233D" w14:paraId="35A9578F" w14:textId="7E9066D4">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717</w:t>
            </w:r>
          </w:p>
        </w:tc>
      </w:tr>
      <w:tr w14:paraId="715FCA1E" w14:textId="77777777" w:rsidTr="006273CE">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92"/>
        </w:trPr>
        <w:tc>
          <w:tcPr>
            <w:tcW w:w="7360" w:type="dxa"/>
            <w:gridSpan w:val="2"/>
            <w:tcBorders>
              <w:top w:val="nil"/>
              <w:left w:val="nil"/>
              <w:bottom w:val="nil"/>
              <w:right w:val="nil"/>
            </w:tcBorders>
          </w:tcPr>
          <w:p w:rsidR="00262275" w:rsidRPr="00D20731" w:rsidP="006273CE" w14:paraId="01854975" w14:textId="299A6112">
            <w:pPr>
              <w:pStyle w:val="7190"/>
              <w:spacing w:before="520" w:after="240"/>
              <w:rPr>
                <w:rFonts w:eastAsia="Times New Roman"/>
                <w:color w:val="00305F"/>
                <w:sz w:val="26"/>
                <w:szCs w:val="26"/>
                <w:rtl/>
              </w:rPr>
            </w:pPr>
            <w:r w:rsidRPr="00D20731">
              <w:rPr>
                <w:rFonts w:hint="cs"/>
                <w:color w:val="00305F"/>
                <w:sz w:val="26"/>
                <w:szCs w:val="26"/>
                <w:rtl/>
              </w:rPr>
              <w:t xml:space="preserve">פרק </w:t>
            </w:r>
            <w:r>
              <w:rPr>
                <w:rFonts w:hint="cs"/>
                <w:color w:val="00305F"/>
                <w:sz w:val="26"/>
                <w:szCs w:val="26"/>
                <w:rtl/>
              </w:rPr>
              <w:t>שלישי</w:t>
            </w:r>
            <w:r w:rsidRPr="00D20731">
              <w:rPr>
                <w:rFonts w:hint="cs"/>
                <w:color w:val="00305F"/>
                <w:sz w:val="26"/>
                <w:szCs w:val="26"/>
                <w:rtl/>
              </w:rPr>
              <w:t xml:space="preserve"> | </w:t>
            </w:r>
            <w:r>
              <w:rPr>
                <w:rFonts w:hint="cs"/>
                <w:b/>
                <w:bCs/>
                <w:color w:val="00305F"/>
                <w:sz w:val="26"/>
                <w:szCs w:val="26"/>
                <w:rtl/>
              </w:rPr>
              <w:t>דוחות מערכתיים</w:t>
            </w:r>
          </w:p>
        </w:tc>
      </w:tr>
      <w:tr w14:paraId="42C9FD54" w14:textId="77777777" w:rsidTr="006273CE">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39" w:type="dxa"/>
            <w:tcBorders>
              <w:top w:val="nil"/>
              <w:left w:val="nil"/>
              <w:bottom w:val="nil"/>
              <w:right w:val="nil"/>
            </w:tcBorders>
          </w:tcPr>
          <w:p w:rsidR="00262275" w:rsidRPr="00924D92" w:rsidP="006273CE" w14:paraId="02D9DF15" w14:textId="77777777">
            <w:pPr>
              <w:spacing w:before="80" w:after="80" w:line="260" w:lineRule="exact"/>
              <w:rPr>
                <w:rFonts w:ascii="Arial" w:hAnsi="Arial" w:cs="Tahoma"/>
                <w:color w:val="000000"/>
                <w:sz w:val="24"/>
                <w:szCs w:val="18"/>
                <w:rtl/>
              </w:rPr>
            </w:pPr>
            <w:r w:rsidRPr="00C903C2">
              <w:rPr>
                <w:rFonts w:ascii="Arial" w:hAnsi="Arial" w:cs="Tahoma"/>
                <w:color w:val="000000"/>
                <w:sz w:val="24"/>
                <w:szCs w:val="18"/>
                <w:rtl/>
              </w:rPr>
              <w:t>הרשות לאיסור הלבנת הון</w:t>
            </w:r>
            <w:r>
              <w:rPr>
                <w:rFonts w:ascii="Arial" w:hAnsi="Arial" w:cs="Tahoma" w:hint="cs"/>
                <w:color w:val="000000"/>
                <w:sz w:val="24"/>
                <w:szCs w:val="18"/>
                <w:rtl/>
              </w:rPr>
              <w:t xml:space="preserve"> ומימון טרור</w:t>
            </w:r>
            <w:r w:rsidRPr="00C903C2">
              <w:rPr>
                <w:rFonts w:ascii="Arial" w:hAnsi="Arial" w:cs="Tahoma"/>
                <w:color w:val="000000"/>
                <w:sz w:val="24"/>
                <w:szCs w:val="18"/>
                <w:rtl/>
              </w:rPr>
              <w:t xml:space="preserve"> - הטיפול במידע המגלם חשש להלבנת הון ומימון טרור</w:t>
            </w:r>
          </w:p>
        </w:tc>
        <w:tc>
          <w:tcPr>
            <w:tcW w:w="1121" w:type="dxa"/>
            <w:tcBorders>
              <w:top w:val="nil"/>
              <w:left w:val="nil"/>
              <w:bottom w:val="nil"/>
              <w:right w:val="nil"/>
            </w:tcBorders>
          </w:tcPr>
          <w:p w:rsidR="00262275" w:rsidRPr="00136CC3" w:rsidP="006273CE" w14:paraId="7B4FE325" w14:textId="10CA6525">
            <w:pPr>
              <w:pStyle w:val="7190"/>
              <w:widowControl w:val="0"/>
              <w:spacing w:before="80" w:after="80"/>
              <w:rPr>
                <w:rFonts w:ascii="Arial" w:hAnsi="Arial"/>
                <w:color w:val="000000"/>
                <w:sz w:val="24"/>
                <w:rtl/>
              </w:rPr>
            </w:pPr>
            <w:r>
              <w:rPr>
                <w:rFonts w:ascii="Arial" w:hAnsi="Arial" w:hint="cs"/>
                <w:color w:val="000000"/>
                <w:sz w:val="24"/>
                <w:rtl/>
              </w:rPr>
              <w:t>723</w:t>
            </w:r>
          </w:p>
        </w:tc>
      </w:tr>
      <w:tr w14:paraId="69158D1F"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262275" w:rsidRPr="00C903C2" w:rsidP="005F2377" w14:paraId="5E9ED452" w14:textId="77777777">
            <w:pPr>
              <w:spacing w:before="80" w:after="80" w:line="260" w:lineRule="exact"/>
              <w:rPr>
                <w:rFonts w:ascii="Arial" w:hAnsi="Arial" w:cs="Tahoma"/>
                <w:color w:val="000000"/>
                <w:sz w:val="24"/>
                <w:szCs w:val="18"/>
                <w:rtl/>
              </w:rPr>
            </w:pPr>
          </w:p>
        </w:tc>
        <w:tc>
          <w:tcPr>
            <w:tcW w:w="1121" w:type="dxa"/>
            <w:tcBorders>
              <w:top w:val="nil"/>
              <w:left w:val="nil"/>
              <w:bottom w:val="nil"/>
              <w:right w:val="nil"/>
            </w:tcBorders>
          </w:tcPr>
          <w:p w:rsidR="00262275" w:rsidP="00B6233D" w14:paraId="0E4430EC" w14:textId="77777777">
            <w:pPr>
              <w:pStyle w:val="71316"/>
              <w:spacing w:before="80" w:after="80" w:line="240" w:lineRule="auto"/>
              <w:rPr>
                <w:rFonts w:ascii="Arial" w:hAnsi="Arial"/>
                <w:b w:val="0"/>
                <w:bCs w:val="0"/>
                <w:color w:val="000000"/>
                <w:sz w:val="18"/>
                <w:szCs w:val="18"/>
                <w:rtl/>
              </w:rPr>
            </w:pPr>
          </w:p>
        </w:tc>
      </w:tr>
      <w:tr w14:paraId="4472C1E5"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262275" w:rsidRPr="00C903C2" w:rsidP="005F2377" w14:paraId="7AD3D1B9" w14:textId="77777777">
            <w:pPr>
              <w:spacing w:before="80" w:after="80" w:line="260" w:lineRule="exact"/>
              <w:rPr>
                <w:rFonts w:ascii="Arial" w:hAnsi="Arial" w:cs="Tahoma"/>
                <w:color w:val="000000"/>
                <w:sz w:val="24"/>
                <w:szCs w:val="18"/>
                <w:rtl/>
              </w:rPr>
            </w:pPr>
          </w:p>
        </w:tc>
        <w:tc>
          <w:tcPr>
            <w:tcW w:w="1121" w:type="dxa"/>
            <w:tcBorders>
              <w:top w:val="nil"/>
              <w:left w:val="nil"/>
              <w:bottom w:val="nil"/>
              <w:right w:val="nil"/>
            </w:tcBorders>
          </w:tcPr>
          <w:p w:rsidR="00262275" w:rsidP="00B6233D" w14:paraId="2B21A2E4" w14:textId="77777777">
            <w:pPr>
              <w:pStyle w:val="71316"/>
              <w:spacing w:before="80" w:after="80" w:line="240" w:lineRule="auto"/>
              <w:rPr>
                <w:rFonts w:ascii="Arial" w:hAnsi="Arial"/>
                <w:b w:val="0"/>
                <w:bCs w:val="0"/>
                <w:color w:val="000000"/>
                <w:sz w:val="18"/>
                <w:szCs w:val="18"/>
                <w:rtl/>
              </w:rPr>
            </w:pPr>
          </w:p>
        </w:tc>
      </w:tr>
    </w:tbl>
    <w:p w:rsidR="004D01DF" w14:paraId="34544008" w14:textId="6B7D598E">
      <w:pPr>
        <w:bidi w:val="0"/>
        <w:spacing w:after="200" w:line="276" w:lineRule="auto"/>
        <w:rPr>
          <w:rFonts w:ascii="Tahoma" w:eastAsia="Times New Roman" w:hAnsi="Tahoma" w:cs="Tahoma"/>
          <w:b/>
          <w:bCs/>
          <w:color w:val="00305F"/>
          <w:sz w:val="32"/>
          <w:szCs w:val="32"/>
          <w:rtl/>
        </w:rPr>
      </w:pPr>
      <w:r>
        <w:rPr>
          <w:noProof/>
          <w:rtl/>
          <w:lang w:val="he-IL"/>
        </w:rPr>
        <mc:AlternateContent>
          <mc:Choice Requires="wps">
            <w:drawing>
              <wp:anchor distT="0" distB="0" distL="114300" distR="114300" simplePos="0" relativeHeight="251680768" behindDoc="0" locked="0" layoutInCell="1" allowOverlap="1">
                <wp:simplePos x="0" y="0"/>
                <wp:positionH relativeFrom="column">
                  <wp:posOffset>3303269</wp:posOffset>
                </wp:positionH>
                <wp:positionV relativeFrom="paragraph">
                  <wp:posOffset>2321016</wp:posOffset>
                </wp:positionV>
                <wp:extent cx="2134507" cy="782048"/>
                <wp:effectExtent l="12700" t="12700" r="12065" b="18415"/>
                <wp:wrapNone/>
                <wp:docPr id="8" name="מלבן 8"/>
                <wp:cNvGraphicFramePr/>
                <a:graphic xmlns:a="http://schemas.openxmlformats.org/drawingml/2006/main">
                  <a:graphicData uri="http://schemas.microsoft.com/office/word/2010/wordprocessingShape">
                    <wps:wsp xmlns:wps="http://schemas.microsoft.com/office/word/2010/wordprocessingShape">
                      <wps:cNvSpPr/>
                      <wps:spPr>
                        <a:xfrm>
                          <a:off x="0" y="0"/>
                          <a:ext cx="2134507" cy="78204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8" o:spid="_x0000_s1032" style="width:168.05pt;height:61.6pt;margin-top:182.75pt;margin-left:260.1pt;mso-height-percent:0;mso-height-relative:margin;mso-width-percent:0;mso-width-relative:margin;mso-wrap-distance-bottom:0;mso-wrap-distance-left:9pt;mso-wrap-distance-right:9pt;mso-wrap-distance-top:0;mso-wrap-style:square;position:absolute;visibility:visible;v-text-anchor:middle;z-index:251681792" fillcolor="white" strokecolor="white" strokeweight="2pt"/>
            </w:pict>
          </mc:Fallback>
        </mc:AlternateContent>
      </w:r>
      <w:r>
        <w:rPr>
          <w:noProof/>
          <w:rtl/>
          <w:lang w:val="he-IL"/>
        </w:rPr>
        <mc:AlternateContent>
          <mc:Choice Requires="wps">
            <w:drawing>
              <wp:anchor distT="0" distB="0" distL="114300" distR="114300" simplePos="0" relativeHeight="251682816" behindDoc="0" locked="0" layoutInCell="1" allowOverlap="1">
                <wp:simplePos x="0" y="0"/>
                <wp:positionH relativeFrom="column">
                  <wp:posOffset>2147570</wp:posOffset>
                </wp:positionH>
                <wp:positionV relativeFrom="paragraph">
                  <wp:posOffset>7095888</wp:posOffset>
                </wp:positionV>
                <wp:extent cx="3166389" cy="728420"/>
                <wp:effectExtent l="12700" t="12700" r="8890" b="8255"/>
                <wp:wrapNone/>
                <wp:docPr id="11" name="מלבן 11"/>
                <wp:cNvGraphicFramePr/>
                <a:graphic xmlns:a="http://schemas.openxmlformats.org/drawingml/2006/main">
                  <a:graphicData uri="http://schemas.microsoft.com/office/word/2010/wordprocessingShape">
                    <wps:wsp xmlns:wps="http://schemas.microsoft.com/office/word/2010/wordprocessingShape">
                      <wps:cNvSpPr/>
                      <wps:spPr>
                        <a:xfrm>
                          <a:off x="0" y="0"/>
                          <a:ext cx="3166389" cy="7284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1" o:spid="_x0000_s1033" style="width:249.3pt;height:57.35pt;margin-top:558.75pt;margin-left:169.1pt;mso-width-percent:0;mso-width-relative:margin;mso-wrap-distance-bottom:0;mso-wrap-distance-left:9pt;mso-wrap-distance-right:9pt;mso-wrap-distance-top:0;mso-wrap-style:square;position:absolute;visibility:visible;v-text-anchor:middle;z-index:251683840" fillcolor="white" strokecolor="white" strokeweight="2pt"/>
            </w:pict>
          </mc:Fallback>
        </mc:AlternateContent>
      </w:r>
      <w:r>
        <w:rPr>
          <w:rtl/>
        </w:rPr>
        <w:br w:type="page"/>
      </w:r>
    </w:p>
    <w:p w:rsidR="00047E7B" w:rsidP="00047E7B" w14:paraId="7990FA4C" w14:textId="6419295A">
      <w:pPr>
        <w:pStyle w:val="71316"/>
        <w:rPr>
          <w:rtl/>
        </w:rPr>
      </w:pPr>
      <w:r>
        <w:rPr>
          <w:rFonts w:hint="cs"/>
          <w:rtl/>
        </w:rPr>
        <w:t>פתח דבר</w:t>
      </w:r>
    </w:p>
    <w:p w:rsidR="009A24D6" w:rsidP="000A33BE" w14:paraId="3545810E" w14:textId="77777777">
      <w:pPr>
        <w:pStyle w:val="7191"/>
        <w:rPr>
          <w:b/>
          <w:bCs/>
        </w:rPr>
      </w:pPr>
    </w:p>
    <w:p w:rsidR="006E4866" w:rsidRPr="008F00D9" w:rsidP="006E4866" w14:paraId="0808497E" w14:textId="77777777">
      <w:pPr>
        <w:pStyle w:val="7191"/>
        <w:rPr>
          <w:rtl/>
        </w:rPr>
      </w:pPr>
      <w:r w:rsidRPr="008F00D9">
        <w:rPr>
          <w:rFonts w:hint="cs"/>
          <w:rtl/>
        </w:rPr>
        <w:t>דוח זה הוא החלק השני של דוח הביקורת השנתי, המונח על שולחן הכנסת על פי חוק מבקר המדינה, התשי"ח-1958 [נוסח משולב]. הדוח</w:t>
      </w:r>
      <w:r w:rsidRPr="008F00D9">
        <w:rPr>
          <w:rtl/>
        </w:rPr>
        <w:t xml:space="preserve"> עוסק ברובו במערכת הביטחון</w:t>
      </w:r>
      <w:r w:rsidRPr="008F00D9">
        <w:rPr>
          <w:rFonts w:hint="cs"/>
          <w:rtl/>
        </w:rPr>
        <w:t>, ופרק אחד בו עוסק ברשות להלבנת הון.</w:t>
      </w:r>
      <w:r w:rsidRPr="008F00D9">
        <w:rPr>
          <w:rtl/>
        </w:rPr>
        <w:t xml:space="preserve"> </w:t>
      </w:r>
      <w:r w:rsidRPr="008F00D9">
        <w:rPr>
          <w:rFonts w:hint="cs"/>
          <w:rtl/>
        </w:rPr>
        <w:t>יובהר כי לבד מהפרקים המתפרסמים בדוח זה, שני פרקים בנושא ה</w:t>
      </w:r>
      <w:r w:rsidRPr="008F00D9">
        <w:rPr>
          <w:rtl/>
        </w:rPr>
        <w:t>היערכות ו</w:t>
      </w:r>
      <w:r w:rsidRPr="008F00D9">
        <w:rPr>
          <w:rFonts w:hint="cs"/>
          <w:rtl/>
        </w:rPr>
        <w:t>ה</w:t>
      </w:r>
      <w:r w:rsidRPr="008F00D9">
        <w:rPr>
          <w:rtl/>
        </w:rPr>
        <w:t xml:space="preserve">מוכנות </w:t>
      </w:r>
      <w:r w:rsidRPr="008F00D9">
        <w:rPr>
          <w:rFonts w:hint="cs"/>
          <w:rtl/>
        </w:rPr>
        <w:t xml:space="preserve">של </w:t>
      </w:r>
      <w:r w:rsidRPr="008F00D9">
        <w:rPr>
          <w:rtl/>
        </w:rPr>
        <w:t>ממשלת ישראל ומערכת הביטחון להתמודדות עם איומים ממעגל שלישי</w:t>
      </w:r>
      <w:r w:rsidRPr="008F00D9">
        <w:rPr>
          <w:rFonts w:hint="cs"/>
          <w:rtl/>
        </w:rPr>
        <w:t xml:space="preserve"> הוגשו לראש הממשלה, ו</w:t>
      </w:r>
      <w:r w:rsidRPr="008F00D9">
        <w:rPr>
          <w:rtl/>
        </w:rPr>
        <w:t>עקב רגישות</w:t>
      </w:r>
      <w:r w:rsidRPr="008F00D9">
        <w:rPr>
          <w:rFonts w:hint="cs"/>
          <w:rtl/>
        </w:rPr>
        <w:t>ם</w:t>
      </w:r>
      <w:r w:rsidRPr="008F00D9">
        <w:rPr>
          <w:rtl/>
        </w:rPr>
        <w:t xml:space="preserve"> הביטחונית </w:t>
      </w:r>
      <w:r w:rsidRPr="008F00D9">
        <w:rPr>
          <w:rFonts w:hint="cs"/>
          <w:rtl/>
        </w:rPr>
        <w:t>ו</w:t>
      </w:r>
      <w:r w:rsidRPr="008F00D9">
        <w:rPr>
          <w:rtl/>
        </w:rPr>
        <w:t>לשם שמירה על ביטחון המדינה</w:t>
      </w:r>
      <w:r w:rsidRPr="008F00D9">
        <w:rPr>
          <w:rFonts w:hint="cs"/>
          <w:rtl/>
        </w:rPr>
        <w:t xml:space="preserve"> הם</w:t>
      </w:r>
      <w:r w:rsidRPr="008F00D9">
        <w:rPr>
          <w:rtl/>
        </w:rPr>
        <w:t xml:space="preserve"> </w:t>
      </w:r>
      <w:r w:rsidRPr="008F00D9">
        <w:rPr>
          <w:rFonts w:hint="cs"/>
          <w:rtl/>
        </w:rPr>
        <w:t>לא יפורסמו לציבור</w:t>
      </w:r>
      <w:r w:rsidRPr="008F00D9">
        <w:rPr>
          <w:rtl/>
        </w:rPr>
        <w:t>.</w:t>
      </w:r>
    </w:p>
    <w:p w:rsidR="006E4866" w:rsidRPr="008F00D9" w:rsidP="006E4866" w14:paraId="40F812AF" w14:textId="69C62A20">
      <w:pPr>
        <w:pStyle w:val="7191"/>
        <w:rPr>
          <w:rtl/>
        </w:rPr>
      </w:pPr>
      <w:r w:rsidRPr="008F00D9">
        <w:rPr>
          <w:rFonts w:hint="cs"/>
          <w:rtl/>
        </w:rPr>
        <w:t>גם דוח זה מביא לידי ביטוי את</w:t>
      </w:r>
      <w:r w:rsidRPr="008F00D9">
        <w:rPr>
          <w:rtl/>
        </w:rPr>
        <w:t xml:space="preserve"> </w:t>
      </w:r>
      <w:r w:rsidRPr="008F00D9">
        <w:rPr>
          <w:rFonts w:hint="cs"/>
          <w:rtl/>
        </w:rPr>
        <w:t>ה</w:t>
      </w:r>
      <w:r w:rsidRPr="008F00D9">
        <w:rPr>
          <w:rtl/>
        </w:rPr>
        <w:t>חזון</w:t>
      </w:r>
      <w:r w:rsidRPr="008F00D9">
        <w:rPr>
          <w:rFonts w:hint="cs"/>
          <w:rtl/>
        </w:rPr>
        <w:t xml:space="preserve"> של משרד מבקר המדינה</w:t>
      </w:r>
      <w:r w:rsidRPr="008F00D9">
        <w:rPr>
          <w:rtl/>
        </w:rPr>
        <w:t>,</w:t>
      </w:r>
      <w:r w:rsidRPr="008F00D9">
        <w:rPr>
          <w:rFonts w:hint="cs"/>
          <w:rtl/>
        </w:rPr>
        <w:t xml:space="preserve"> ולפיו</w:t>
      </w:r>
      <w:r w:rsidRPr="008F00D9">
        <w:rPr>
          <w:rtl/>
        </w:rPr>
        <w:t xml:space="preserve"> נפעל למצ</w:t>
      </w:r>
      <w:r w:rsidRPr="008F00D9">
        <w:rPr>
          <w:rFonts w:hint="cs"/>
          <w:rtl/>
        </w:rPr>
        <w:t>ֵ</w:t>
      </w:r>
      <w:r w:rsidRPr="008F00D9">
        <w:rPr>
          <w:rtl/>
        </w:rPr>
        <w:t xml:space="preserve">ב את ביקורת המדינה כביקורת </w:t>
      </w:r>
      <w:r w:rsidRPr="008F00D9">
        <w:rPr>
          <w:rFonts w:hint="cs"/>
          <w:rtl/>
        </w:rPr>
        <w:t>חדשנית</w:t>
      </w:r>
      <w:r w:rsidRPr="008F00D9">
        <w:rPr>
          <w:rtl/>
        </w:rPr>
        <w:t>, רלוונטית</w:t>
      </w:r>
      <w:r w:rsidRPr="008F00D9">
        <w:rPr>
          <w:rFonts w:hint="cs"/>
          <w:rtl/>
        </w:rPr>
        <w:t>,</w:t>
      </w:r>
      <w:r w:rsidRPr="008F00D9">
        <w:rPr>
          <w:rtl/>
        </w:rPr>
        <w:t xml:space="preserve"> אפקטיבית</w:t>
      </w:r>
      <w:r w:rsidRPr="008F00D9">
        <w:rPr>
          <w:rFonts w:hint="cs"/>
          <w:rtl/>
        </w:rPr>
        <w:t xml:space="preserve"> ומניעה לפעולה</w:t>
      </w:r>
      <w:r w:rsidRPr="008F00D9">
        <w:rPr>
          <w:rtl/>
        </w:rPr>
        <w:t>.</w:t>
      </w:r>
      <w:r w:rsidRPr="008F00D9">
        <w:rPr>
          <w:rFonts w:hint="cs"/>
          <w:rtl/>
        </w:rPr>
        <w:t xml:space="preserve"> דוח זה כולל </w:t>
      </w:r>
      <w:r w:rsidR="008D7EA1">
        <w:rPr>
          <w:rFonts w:hint="cs"/>
          <w:rtl/>
        </w:rPr>
        <w:t>15</w:t>
      </w:r>
      <w:r w:rsidRPr="008F00D9">
        <w:rPr>
          <w:rFonts w:hint="cs"/>
          <w:rtl/>
        </w:rPr>
        <w:t xml:space="preserve"> פרקים בנושאים שונים ומגוונים הנוגעים למערכת הביטחון - בתחום המבצעי, בתחומי פעילות לאומיים-אסטרטגיים, בתחום הפיננסי, בתחום תנאי המחיה למשרתים בצה"ל ועוד. כל הנושאים חשובים, אך מן הסתם לא נוכל לסקור במבוא את כולם. ולכן תובא להלן סקירה של כמה מהם:</w:t>
      </w:r>
    </w:p>
    <w:p w:rsidR="006E4866" w:rsidRPr="008F00D9" w:rsidP="006E4866" w14:paraId="57FAA22A" w14:textId="77777777">
      <w:pPr>
        <w:pStyle w:val="7112"/>
        <w:numPr>
          <w:ilvl w:val="0"/>
          <w:numId w:val="42"/>
        </w:numPr>
        <w:rPr>
          <w:color w:val="auto"/>
          <w:rtl/>
        </w:rPr>
      </w:pPr>
      <w:r w:rsidRPr="006E4866">
        <w:rPr>
          <w:rFonts w:hint="cs"/>
          <w:b/>
          <w:bCs/>
          <w:color w:val="auto"/>
          <w:rtl/>
        </w:rPr>
        <w:t>תחום החלל</w:t>
      </w:r>
      <w:r w:rsidRPr="008F00D9">
        <w:rPr>
          <w:rFonts w:hint="cs"/>
          <w:color w:val="auto"/>
          <w:rtl/>
        </w:rPr>
        <w:t xml:space="preserve"> - תחום החלל הוא תחום אסטרטגי למדינת ישראל, וחשיבותו לביטחונה הלאומי הולכת וגוברת בשנים האחרונות. מערכת הביטחון מפעילה מאמצע שנות התשעים של המאה העשרים מערך לוויינים לאיסוף מודיעין מהחלל, ובכללם כמה לווייני "אופק". </w:t>
      </w:r>
      <w:r w:rsidRPr="008F00D9">
        <w:rPr>
          <w:rFonts w:hint="cs"/>
          <w:color w:val="auto"/>
          <w:rtl/>
        </w:rPr>
        <w:t>מינהלת</w:t>
      </w:r>
      <w:r w:rsidRPr="008F00D9">
        <w:rPr>
          <w:rFonts w:hint="cs"/>
          <w:color w:val="auto"/>
          <w:rtl/>
        </w:rPr>
        <w:t xml:space="preserve"> תוכנית "אתגר" אחראית לפיתוח ולייצור של לוויינים עבור מערכת הביטחון, ותקציבה השנתי בשנים 2016 - 2024 היה כמה מאות מיליוני ש"ח. בביקורת בנושא </w:t>
      </w:r>
      <w:r w:rsidRPr="006E4866">
        <w:rPr>
          <w:rFonts w:hint="cs"/>
          <w:b/>
          <w:bCs/>
          <w:color w:val="auto"/>
          <w:rtl/>
        </w:rPr>
        <w:t>מינהלת</w:t>
      </w:r>
      <w:r w:rsidRPr="006E4866">
        <w:rPr>
          <w:rFonts w:hint="cs"/>
          <w:b/>
          <w:bCs/>
          <w:color w:val="auto"/>
          <w:rtl/>
        </w:rPr>
        <w:t xml:space="preserve"> תוכנית "אתגר" - לווייני תצפית במערכת הביטחון</w:t>
      </w:r>
      <w:r w:rsidRPr="008F00D9">
        <w:rPr>
          <w:rFonts w:hint="cs"/>
          <w:color w:val="auto"/>
          <w:rtl/>
        </w:rPr>
        <w:t xml:space="preserve"> נמצאו ליקויים, ובהם אי-קביעת מדיניות לאומית בתחום החלל האזרחי והצבאי ותוכנית חלל לאומית וכן היעדר הסדרה ואסדרה של תחום לוחמת החלל ברמה הלאומית. כמו כן העלתה הביקורת פערים מסוימים במתן המענה הנדרש על הצורך המבצעי של צה"ל בתחום הלוויינים. נוכח חשיבותו של תחום החלל למדינת ישראל מומלץ כי המטה לביטחון לאומי (</w:t>
      </w:r>
      <w:r w:rsidRPr="008F00D9">
        <w:rPr>
          <w:rFonts w:hint="cs"/>
          <w:color w:val="auto"/>
          <w:rtl/>
        </w:rPr>
        <w:t>המל"ל</w:t>
      </w:r>
      <w:r w:rsidRPr="008F00D9">
        <w:rPr>
          <w:rFonts w:hint="cs"/>
          <w:color w:val="auto"/>
          <w:rtl/>
        </w:rPr>
        <w:t>), משרד הביטחון וצה"ל יגבשו תפיסה כוללת (אזרחית וצבאית) לגבי תחום החלל, יקבעו אילו משאבים נדרשים למימושה ויציגו אותה לפני הקבינט המדיני-ביטחוני.</w:t>
      </w:r>
    </w:p>
    <w:p w:rsidR="006E4866" w:rsidRPr="008F00D9" w:rsidP="006E4866" w14:paraId="47FC84AE" w14:textId="77777777">
      <w:pPr>
        <w:pStyle w:val="7112"/>
        <w:numPr>
          <w:ilvl w:val="0"/>
          <w:numId w:val="42"/>
        </w:numPr>
        <w:rPr>
          <w:color w:val="auto"/>
        </w:rPr>
      </w:pPr>
      <w:r w:rsidRPr="006E4866">
        <w:rPr>
          <w:rFonts w:hint="cs"/>
          <w:b/>
          <w:bCs/>
          <w:color w:val="auto"/>
          <w:rtl/>
        </w:rPr>
        <w:t>ספינות הטילים בהגנה על המרחב הימי בלחימה</w:t>
      </w:r>
      <w:r w:rsidRPr="008F00D9">
        <w:rPr>
          <w:rFonts w:hint="cs"/>
          <w:color w:val="auto"/>
          <w:rtl/>
        </w:rPr>
        <w:t xml:space="preserve"> </w:t>
      </w:r>
      <w:r w:rsidRPr="008F00D9">
        <w:rPr>
          <w:color w:val="auto"/>
          <w:rtl/>
        </w:rPr>
        <w:t>-</w:t>
      </w:r>
      <w:r w:rsidRPr="008F00D9">
        <w:rPr>
          <w:rFonts w:hint="cs"/>
          <w:color w:val="auto"/>
          <w:rtl/>
        </w:rPr>
        <w:t xml:space="preserve"> החוף של מדינת ישראל הוא השער העיקרי לסחר החוץ שלה. המרחב הימי המשתרע מן החוף ועד למרחק של כ-115 מייל ימי הוא האזור הכלכלי הבלעדי של המדינה הנקרא גם "המים הכלכליים". הביקורת בנושא </w:t>
      </w:r>
      <w:r w:rsidRPr="006E4866">
        <w:rPr>
          <w:b/>
          <w:bCs/>
          <w:color w:val="auto"/>
          <w:rtl/>
        </w:rPr>
        <w:t>ספינות הטילים בהגנה על המרחב הימי בלחימה</w:t>
      </w:r>
      <w:r w:rsidRPr="008F00D9">
        <w:rPr>
          <w:color w:val="auto"/>
          <w:rtl/>
        </w:rPr>
        <w:t xml:space="preserve"> </w:t>
      </w:r>
      <w:r w:rsidRPr="008F00D9">
        <w:rPr>
          <w:rFonts w:hint="cs"/>
          <w:color w:val="auto"/>
          <w:rtl/>
        </w:rPr>
        <w:t xml:space="preserve">העלתה כי בתקופת הביקורת היו במים הכלכליים של מדינת ישראל שלוש אסדות גז וכן אוניית גיבוי מגזזת אחת המאוימות על ידי גורמים שונים. לשם הגנת המים הכלכליים נרכשו ארבע ספינות טילים מסוג סער 6, אולם חל עיכוב של ארבע שנים בהשלמת </w:t>
      </w:r>
      <w:r w:rsidRPr="008F00D9">
        <w:rPr>
          <w:rFonts w:hint="cs"/>
          <w:color w:val="auto"/>
          <w:rtl/>
        </w:rPr>
        <w:t>המבצוע</w:t>
      </w:r>
      <w:r w:rsidRPr="008F00D9">
        <w:rPr>
          <w:rFonts w:hint="cs"/>
          <w:color w:val="auto"/>
          <w:rtl/>
        </w:rPr>
        <w:t xml:space="preserve"> שלהן, שהייתה מתוכננת לתחילת שנת 2019. נוכח התפתחות האיומים, מומלץ כי הרמטכ"ל ינחה לבחון את הצורך המבצעי של סד"כ הסטי"לים בזרוע הים ולגבש בהתאם לתוצאות הבחינה תוכנית בניין כוח, וכן מומלץ כי התוכנית תיושם ותתוקף באופן עיתי בהתאם לתרחישי הייחוס המתעדכנים.</w:t>
      </w:r>
    </w:p>
    <w:p w:rsidR="006E4866" w:rsidRPr="008F00D9" w:rsidP="006E4866" w14:paraId="2D71C8E6" w14:textId="77777777">
      <w:pPr>
        <w:pStyle w:val="7112"/>
        <w:numPr>
          <w:ilvl w:val="0"/>
          <w:numId w:val="42"/>
        </w:numPr>
        <w:rPr>
          <w:color w:val="auto"/>
          <w:rtl/>
        </w:rPr>
      </w:pPr>
      <w:r w:rsidRPr="006E4866">
        <w:rPr>
          <w:rFonts w:hint="cs"/>
          <w:b/>
          <w:bCs/>
          <w:color w:val="auto"/>
          <w:rtl/>
        </w:rPr>
        <w:t>אפקטיביות מכשול קו התפר</w:t>
      </w:r>
      <w:r w:rsidRPr="008F00D9">
        <w:rPr>
          <w:rFonts w:hint="cs"/>
          <w:color w:val="auto"/>
          <w:rtl/>
        </w:rPr>
        <w:t xml:space="preserve"> - </w:t>
      </w:r>
      <w:r w:rsidRPr="008F00D9">
        <w:rPr>
          <w:color w:val="auto"/>
          <w:rtl/>
        </w:rPr>
        <w:t>ביולי 2001 החליט הקבינט המדיני-ביטחוני לאשר תוכנית מקיפה בנוגע למרחב התפר, שנועדה לה</w:t>
      </w:r>
      <w:r w:rsidRPr="008F00D9">
        <w:rPr>
          <w:rFonts w:hint="cs"/>
          <w:color w:val="auto"/>
          <w:rtl/>
        </w:rPr>
        <w:t>י</w:t>
      </w:r>
      <w:r w:rsidRPr="008F00D9">
        <w:rPr>
          <w:color w:val="auto"/>
          <w:rtl/>
        </w:rPr>
        <w:t xml:space="preserve">ות מרכיב בהתמודדות אפקטיבית עם הטרור. לצערנו, במחצית הראשונה של שנת 2022 ביצעו מחבלים שהסתננו לישראל דרך פרצות </w:t>
      </w:r>
      <w:r w:rsidRPr="008F00D9">
        <w:rPr>
          <w:color w:val="auto"/>
          <w:rtl/>
        </w:rPr>
        <w:t>בגדר קו התפר שלושה פיגועים</w:t>
      </w:r>
      <w:r w:rsidRPr="008F00D9">
        <w:rPr>
          <w:rFonts w:hint="cs"/>
          <w:color w:val="auto"/>
          <w:rtl/>
        </w:rPr>
        <w:t>,</w:t>
      </w:r>
      <w:r w:rsidRPr="008F00D9">
        <w:rPr>
          <w:color w:val="auto"/>
          <w:rtl/>
        </w:rPr>
        <w:t xml:space="preserve"> </w:t>
      </w:r>
      <w:r w:rsidRPr="008F00D9">
        <w:rPr>
          <w:rFonts w:hint="cs"/>
          <w:color w:val="auto"/>
          <w:rtl/>
        </w:rPr>
        <w:t xml:space="preserve">ואלה </w:t>
      </w:r>
      <w:r w:rsidRPr="008F00D9">
        <w:rPr>
          <w:color w:val="auto"/>
          <w:rtl/>
        </w:rPr>
        <w:t xml:space="preserve">גבו את חייהם של 11 נרצחים. בביקורת בנושא </w:t>
      </w:r>
      <w:r w:rsidRPr="00513A75">
        <w:rPr>
          <w:b/>
          <w:bCs/>
          <w:color w:val="auto"/>
          <w:rtl/>
        </w:rPr>
        <w:t>אפקטיביות מכשול קו התפר - המענה המבצעי והתפעולי</w:t>
      </w:r>
      <w:r w:rsidRPr="008F00D9">
        <w:rPr>
          <w:color w:val="auto"/>
          <w:rtl/>
        </w:rPr>
        <w:t xml:space="preserve"> צוין כי אורך תוואי קו התפר </w:t>
      </w:r>
      <w:r w:rsidRPr="008F00D9">
        <w:rPr>
          <w:rFonts w:hint="cs"/>
          <w:color w:val="auto"/>
          <w:rtl/>
        </w:rPr>
        <w:t>הוא</w:t>
      </w:r>
      <w:r w:rsidRPr="008F00D9">
        <w:rPr>
          <w:color w:val="auto"/>
          <w:rtl/>
        </w:rPr>
        <w:t xml:space="preserve"> 554 ק"מ</w:t>
      </w:r>
      <w:r w:rsidRPr="008F00D9">
        <w:rPr>
          <w:rFonts w:hint="cs"/>
          <w:color w:val="auto"/>
          <w:rtl/>
        </w:rPr>
        <w:t xml:space="preserve"> - </w:t>
      </w:r>
      <w:r w:rsidRPr="008F00D9">
        <w:rPr>
          <w:color w:val="auto"/>
          <w:rtl/>
        </w:rPr>
        <w:t>124 ק"מ בתצורת חומה, 364 בתצורת גדר ו-66 ק"מ ללא מכשול כלל. עלה כי נכון לסוף שנת 2021</w:t>
      </w:r>
      <w:r w:rsidRPr="008F00D9">
        <w:rPr>
          <w:rFonts w:hint="cs"/>
          <w:color w:val="auto"/>
          <w:rtl/>
        </w:rPr>
        <w:t>,</w:t>
      </w:r>
      <w:r w:rsidRPr="008F00D9">
        <w:rPr>
          <w:color w:val="auto"/>
          <w:rtl/>
        </w:rPr>
        <w:t xml:space="preserve"> 48% מגדר קו התפר לא הי</w:t>
      </w:r>
      <w:r w:rsidRPr="008F00D9">
        <w:rPr>
          <w:rFonts w:hint="cs"/>
          <w:color w:val="auto"/>
          <w:rtl/>
        </w:rPr>
        <w:t>ו</w:t>
      </w:r>
      <w:r w:rsidRPr="008F00D9">
        <w:rPr>
          <w:color w:val="auto"/>
          <w:rtl/>
        </w:rPr>
        <w:t xml:space="preserve"> בכשירות</w:t>
      </w:r>
      <w:r w:rsidRPr="008F00D9">
        <w:rPr>
          <w:rFonts w:hint="cs"/>
          <w:color w:val="auto"/>
          <w:rtl/>
        </w:rPr>
        <w:t>, דהיינו היו במצב המאפשר הסתננות ללא התרעה,</w:t>
      </w:r>
      <w:r w:rsidRPr="008F00D9">
        <w:rPr>
          <w:color w:val="auto"/>
          <w:rtl/>
        </w:rPr>
        <w:t xml:space="preserve"> </w:t>
      </w:r>
      <w:r w:rsidRPr="008F00D9">
        <w:rPr>
          <w:rFonts w:hint="cs"/>
          <w:color w:val="auto"/>
          <w:rtl/>
        </w:rPr>
        <w:t xml:space="preserve">וכי </w:t>
      </w:r>
      <w:r w:rsidRPr="008F00D9">
        <w:rPr>
          <w:color w:val="auto"/>
          <w:rtl/>
        </w:rPr>
        <w:t>נכון למאי 2022 הסתננו לישראל</w:t>
      </w:r>
      <w:r w:rsidRPr="008F00D9">
        <w:rPr>
          <w:rFonts w:hint="cs"/>
          <w:color w:val="auto"/>
          <w:rtl/>
        </w:rPr>
        <w:t xml:space="preserve"> בכל יום </w:t>
      </w:r>
      <w:r w:rsidRPr="008F00D9">
        <w:rPr>
          <w:color w:val="auto"/>
          <w:rtl/>
        </w:rPr>
        <w:t>בממוצע 3,600 מסתננים דרך פרצות בגדר קו התפר. כדי להבטיח שמירה על אפקטיביות המכשול ולוודא שההשקעות בעלות כוללת של כ-400 מיליון ש"ח והפעולות שבוצעו לאחרונה יתרמו לצמצום תופעת ההסתננות בכללותה, ובהמשך לאמירת ראש הממשלה ושר הביטחון באפריל 2022 כי</w:t>
      </w:r>
      <w:r w:rsidRPr="008F00D9">
        <w:rPr>
          <w:rFonts w:hint="cs"/>
          <w:color w:val="auto"/>
          <w:rtl/>
        </w:rPr>
        <w:t xml:space="preserve"> לצורך</w:t>
      </w:r>
      <w:r w:rsidRPr="008F00D9">
        <w:rPr>
          <w:color w:val="auto"/>
          <w:rtl/>
        </w:rPr>
        <w:t xml:space="preserve"> הקמת המכשול לכל אורך קו התפר</w:t>
      </w:r>
      <w:r w:rsidRPr="008F00D9">
        <w:rPr>
          <w:rFonts w:hint="cs"/>
          <w:color w:val="auto"/>
          <w:rtl/>
        </w:rPr>
        <w:t>,</w:t>
      </w:r>
      <w:r w:rsidRPr="008F00D9">
        <w:rPr>
          <w:color w:val="auto"/>
          <w:rtl/>
        </w:rPr>
        <w:t xml:space="preserve"> </w:t>
      </w:r>
      <w:r w:rsidRPr="008F00D9">
        <w:rPr>
          <w:rFonts w:hint="cs"/>
          <w:color w:val="auto"/>
          <w:rtl/>
        </w:rPr>
        <w:t>כ</w:t>
      </w:r>
      <w:r w:rsidRPr="008F00D9">
        <w:rPr>
          <w:color w:val="auto"/>
          <w:rtl/>
        </w:rPr>
        <w:t>חלק מתפיסת ההגנה</w:t>
      </w:r>
      <w:r w:rsidRPr="008F00D9">
        <w:rPr>
          <w:rFonts w:hint="cs"/>
          <w:color w:val="auto"/>
          <w:rtl/>
        </w:rPr>
        <w:t xml:space="preserve">, </w:t>
      </w:r>
      <w:r w:rsidRPr="008F00D9">
        <w:rPr>
          <w:color w:val="auto"/>
          <w:rtl/>
        </w:rPr>
        <w:t>נדרשת תוכנית רב-שנתית</w:t>
      </w:r>
      <w:r w:rsidRPr="008F00D9">
        <w:rPr>
          <w:rFonts w:hint="cs"/>
          <w:color w:val="auto"/>
          <w:rtl/>
        </w:rPr>
        <w:t xml:space="preserve"> -</w:t>
      </w:r>
      <w:r w:rsidRPr="008F00D9">
        <w:rPr>
          <w:color w:val="auto"/>
          <w:rtl/>
        </w:rPr>
        <w:t xml:space="preserve"> על </w:t>
      </w:r>
      <w:r w:rsidRPr="008F00D9">
        <w:rPr>
          <w:color w:val="auto"/>
          <w:rtl/>
        </w:rPr>
        <w:t>המל"ל</w:t>
      </w:r>
      <w:r w:rsidRPr="008F00D9">
        <w:rPr>
          <w:rFonts w:hint="cs"/>
          <w:color w:val="auto"/>
          <w:rtl/>
        </w:rPr>
        <w:t xml:space="preserve"> </w:t>
      </w:r>
      <w:r w:rsidRPr="008F00D9">
        <w:rPr>
          <w:color w:val="auto"/>
          <w:rtl/>
        </w:rPr>
        <w:t>לוודא את גיבושה של תוכנית רב</w:t>
      </w:r>
      <w:r w:rsidRPr="008F00D9">
        <w:rPr>
          <w:rFonts w:hint="cs"/>
          <w:color w:val="auto"/>
          <w:rtl/>
        </w:rPr>
        <w:t>-</w:t>
      </w:r>
      <w:r w:rsidRPr="008F00D9">
        <w:rPr>
          <w:color w:val="auto"/>
          <w:rtl/>
        </w:rPr>
        <w:t>ש</w:t>
      </w:r>
      <w:r w:rsidRPr="008F00D9">
        <w:rPr>
          <w:rFonts w:hint="cs"/>
          <w:color w:val="auto"/>
          <w:rtl/>
        </w:rPr>
        <w:t>נ</w:t>
      </w:r>
      <w:r w:rsidRPr="008F00D9">
        <w:rPr>
          <w:color w:val="auto"/>
          <w:rtl/>
        </w:rPr>
        <w:t>תית מקיפה</w:t>
      </w:r>
      <w:r w:rsidRPr="008F00D9">
        <w:rPr>
          <w:rFonts w:hint="cs"/>
          <w:color w:val="auto"/>
          <w:rtl/>
        </w:rPr>
        <w:t xml:space="preserve">. תוכנית זו תגובש בהובלת </w:t>
      </w:r>
      <w:r w:rsidRPr="008F00D9">
        <w:rPr>
          <w:rFonts w:hint="cs"/>
          <w:color w:val="auto"/>
          <w:rtl/>
        </w:rPr>
        <w:t>המל"ל</w:t>
      </w:r>
      <w:r w:rsidRPr="008F00D9">
        <w:rPr>
          <w:color w:val="auto"/>
          <w:rtl/>
        </w:rPr>
        <w:t xml:space="preserve"> </w:t>
      </w:r>
      <w:r w:rsidRPr="008F00D9">
        <w:rPr>
          <w:rFonts w:hint="cs"/>
          <w:color w:val="auto"/>
          <w:rtl/>
        </w:rPr>
        <w:t xml:space="preserve">ובשיתוף </w:t>
      </w:r>
      <w:r w:rsidRPr="008F00D9">
        <w:rPr>
          <w:color w:val="auto"/>
          <w:rtl/>
        </w:rPr>
        <w:t>צוות בין-משרדי שיכלול נציגים ממערכת הביטחון, מהמשרד לביטחון הפנים, ממשרד המשפטים, ממשרד האוצר ומגו</w:t>
      </w:r>
      <w:r w:rsidRPr="008F00D9">
        <w:rPr>
          <w:rFonts w:hint="cs"/>
          <w:color w:val="auto"/>
          <w:rtl/>
        </w:rPr>
        <w:t>פים</w:t>
      </w:r>
      <w:r w:rsidRPr="008F00D9">
        <w:rPr>
          <w:color w:val="auto"/>
          <w:rtl/>
        </w:rPr>
        <w:t xml:space="preserve"> רלוונטיים נוספים. במסגרת גיבוש התוכנית יש לבחון דרכים לע</w:t>
      </w:r>
      <w:r w:rsidRPr="008F00D9">
        <w:rPr>
          <w:rFonts w:hint="cs"/>
          <w:color w:val="auto"/>
          <w:rtl/>
        </w:rPr>
        <w:t>י</w:t>
      </w:r>
      <w:r w:rsidRPr="008F00D9">
        <w:rPr>
          <w:color w:val="auto"/>
          <w:rtl/>
        </w:rPr>
        <w:t>ד</w:t>
      </w:r>
      <w:r w:rsidRPr="008F00D9">
        <w:rPr>
          <w:rFonts w:hint="cs"/>
          <w:color w:val="auto"/>
          <w:rtl/>
        </w:rPr>
        <w:t>ו</w:t>
      </w:r>
      <w:r w:rsidRPr="008F00D9">
        <w:rPr>
          <w:color w:val="auto"/>
          <w:rtl/>
        </w:rPr>
        <w:t>ד פלסטינים בעלי היתר תעסוקה להיכנס לישראל במעברים המוסדרים</w:t>
      </w:r>
      <w:r w:rsidRPr="008F00D9">
        <w:rPr>
          <w:rFonts w:hint="cs"/>
          <w:color w:val="auto"/>
          <w:rtl/>
        </w:rPr>
        <w:t>, זאת</w:t>
      </w:r>
      <w:r w:rsidRPr="008F00D9">
        <w:rPr>
          <w:color w:val="auto"/>
          <w:rtl/>
        </w:rPr>
        <w:t xml:space="preserve"> באמצעות התאמת מספר המעברים, מקומם ואיכות השירות הניתן בהם למספר העוברים הרצוי בהם. עוד מומלץ כי בתום גיבוש התוכנית הרב-שנתית, ראש הממשלה ושר הביטחון יביאו את התוכנית לדיון בקבינט המדיני-ביטחוני לצורך אישורה</w:t>
      </w:r>
      <w:r w:rsidRPr="008F00D9">
        <w:rPr>
          <w:rFonts w:hint="cs"/>
          <w:color w:val="auto"/>
          <w:rtl/>
        </w:rPr>
        <w:t>,</w:t>
      </w:r>
      <w:r w:rsidRPr="008F00D9">
        <w:rPr>
          <w:color w:val="auto"/>
          <w:rtl/>
        </w:rPr>
        <w:t xml:space="preserve"> תוך הקצאת תקציבים והגדרת לוח זמנים למימושה</w:t>
      </w:r>
      <w:r w:rsidRPr="008F00D9">
        <w:rPr>
          <w:rFonts w:hint="cs"/>
          <w:color w:val="auto"/>
          <w:rtl/>
        </w:rPr>
        <w:t>.</w:t>
      </w:r>
      <w:r w:rsidRPr="008F00D9">
        <w:rPr>
          <w:color w:val="auto"/>
          <w:rtl/>
        </w:rPr>
        <w:t xml:space="preserve"> בפעולות אלה יהיה כדי לצמצם את תופעת השב"חים ואת הסיכו</w:t>
      </w:r>
      <w:r w:rsidRPr="008F00D9">
        <w:rPr>
          <w:rFonts w:hint="cs"/>
          <w:color w:val="auto"/>
          <w:rtl/>
        </w:rPr>
        <w:t>נים</w:t>
      </w:r>
      <w:r w:rsidRPr="008F00D9">
        <w:rPr>
          <w:color w:val="auto"/>
          <w:rtl/>
        </w:rPr>
        <w:t xml:space="preserve"> הביטחוני</w:t>
      </w:r>
      <w:r w:rsidRPr="008F00D9">
        <w:rPr>
          <w:rFonts w:hint="cs"/>
          <w:color w:val="auto"/>
          <w:rtl/>
        </w:rPr>
        <w:t>ים</w:t>
      </w:r>
      <w:r w:rsidRPr="008F00D9">
        <w:rPr>
          <w:color w:val="auto"/>
          <w:rtl/>
        </w:rPr>
        <w:t xml:space="preserve"> והפלילי</w:t>
      </w:r>
      <w:r w:rsidRPr="008F00D9">
        <w:rPr>
          <w:rFonts w:hint="cs"/>
          <w:color w:val="auto"/>
          <w:rtl/>
        </w:rPr>
        <w:t>ים</w:t>
      </w:r>
      <w:r w:rsidRPr="008F00D9">
        <w:rPr>
          <w:color w:val="auto"/>
          <w:rtl/>
        </w:rPr>
        <w:t xml:space="preserve"> הכרו</w:t>
      </w:r>
      <w:r w:rsidRPr="008F00D9">
        <w:rPr>
          <w:rFonts w:hint="cs"/>
          <w:color w:val="auto"/>
          <w:rtl/>
        </w:rPr>
        <w:t>כים</w:t>
      </w:r>
      <w:r w:rsidRPr="008F00D9">
        <w:rPr>
          <w:color w:val="auto"/>
          <w:rtl/>
        </w:rPr>
        <w:t xml:space="preserve"> בה, אשר פוגעים בתחושת הביטחון בישראל.</w:t>
      </w:r>
    </w:p>
    <w:p w:rsidR="006E4866" w:rsidRPr="008F00D9" w:rsidP="006E4866" w14:paraId="21E179EA" w14:textId="77777777">
      <w:pPr>
        <w:pStyle w:val="7112"/>
        <w:numPr>
          <w:ilvl w:val="0"/>
          <w:numId w:val="42"/>
        </w:numPr>
        <w:rPr>
          <w:color w:val="auto"/>
          <w:rtl/>
        </w:rPr>
      </w:pPr>
      <w:r w:rsidRPr="00513A75">
        <w:rPr>
          <w:rFonts w:hint="cs"/>
          <w:b/>
          <w:bCs/>
          <w:color w:val="auto"/>
          <w:rtl/>
        </w:rPr>
        <w:t>תנאי המחיה והתשתיות בצה"ל</w:t>
      </w:r>
      <w:r w:rsidRPr="008F00D9">
        <w:rPr>
          <w:rFonts w:hint="cs"/>
          <w:color w:val="auto"/>
          <w:rtl/>
        </w:rPr>
        <w:t xml:space="preserve"> - תנאי מחיה ותשתיות ראויים ומכבדים משפיעים בין היתר על המוכנות של צה"ל ועל המוטיבציה של לוחמים בשירות חובה ובמילואים לשרת בו. נוסף על כך, לתשתיות של המגורים - השירותים והמקלחות, חדרי האוכל והמטבחים - יש השפעה על אפקטיביות ההכשרות, האימונים ומילוי משימות התעסוקה המבצעית על ידי הלוחמים. בפרק בנושא </w:t>
      </w:r>
      <w:r w:rsidRPr="00513A75">
        <w:rPr>
          <w:rFonts w:hint="cs"/>
          <w:b/>
          <w:bCs/>
          <w:color w:val="auto"/>
          <w:rtl/>
        </w:rPr>
        <w:t>תנאי מחיה ותשתיות ללוחמים בשירות חובה ובמילואים</w:t>
      </w:r>
      <w:r w:rsidRPr="008F00D9">
        <w:rPr>
          <w:rFonts w:hint="cs"/>
          <w:color w:val="auto"/>
          <w:rtl/>
        </w:rPr>
        <w:t xml:space="preserve"> צוין כי התקציב שצה"ל תכנן להקצות לתוכניות תה"ל (תשתיות הכרחיות לחייל) לשנים </w:t>
      </w:r>
      <w:r w:rsidRPr="008F00D9">
        <w:rPr>
          <w:color w:val="auto"/>
          <w:rtl/>
        </w:rPr>
        <w:br/>
      </w:r>
      <w:r w:rsidRPr="008F00D9">
        <w:rPr>
          <w:rFonts w:hint="cs"/>
          <w:color w:val="auto"/>
          <w:rtl/>
        </w:rPr>
        <w:t xml:space="preserve">2016 - 2021 היה 256 מיליון ש"ח למחנות הכשרה ו-420 מיליון ש"ח לתוכניות מחנות אימונים. התקצוב בפועל היה 202.6 מיליון ש"ח ו-290 מיליון ש"ח, בהתאמה. מציוני הכשירות של גורמי המערך הלוגיסטי בצה"ל, מהסיורים שקיים משרד מבקר המדינה ביחידות שונות בצה"ל ומהסקר שביצע בקרב לוחמים בשירות חובה עולה כי על אף החשיבות שיש לתנאי מחיה ולתשתיות נאותים במחנות ההכשרה, במחנות האימונים ובמוצבים - לוחמים בשירות חובה ובמילואים נתקלים בתשתיות שמצבן בינוני ואף ירוד. הדבר בא לידי ביטוי בתשתיות רעועות במגורים, בשירותים, במקלחות, בחדרי האוכל ובמטבחים. על פי סקר שערך משרד מבקר המדינה, שיעור ה"מרוצים חלקית" מתנאי </w:t>
      </w:r>
      <w:r w:rsidRPr="008F00D9">
        <w:rPr>
          <w:rFonts w:hint="cs"/>
          <w:color w:val="auto"/>
          <w:rtl/>
        </w:rPr>
        <w:t xml:space="preserve">המחיה והתשתיות במחנות האימונים ובמוצבים היה 29% - 40%, ושיעור "המאוד לא מרוצים" היה 31% - 36%. </w:t>
      </w:r>
    </w:p>
    <w:p w:rsidR="006E4866" w:rsidRPr="008F00D9" w:rsidP="00513A75" w14:paraId="620EBCEE" w14:textId="77777777">
      <w:pPr>
        <w:pStyle w:val="7112"/>
        <w:rPr>
          <w:color w:val="auto"/>
          <w:rtl/>
        </w:rPr>
      </w:pPr>
      <w:r w:rsidRPr="008F00D9">
        <w:rPr>
          <w:rFonts w:hint="cs"/>
          <w:color w:val="auto"/>
          <w:rtl/>
        </w:rPr>
        <w:t>יצוין כי באוקטובר 2022 פורסם דוח ביניים מיוחד שהציג את ממצאי הביקור של מבקר המדינה בבסיס האימונים של חטיבת כפיר בבקעת הירדן ובמוצב יקיר בשומרון.</w:t>
      </w:r>
    </w:p>
    <w:p w:rsidR="006E4866" w:rsidRPr="008F00D9" w:rsidP="00513A75" w14:paraId="6A72D5C4" w14:textId="77777777">
      <w:pPr>
        <w:pStyle w:val="7112"/>
        <w:rPr>
          <w:color w:val="auto"/>
          <w:rtl/>
        </w:rPr>
      </w:pPr>
      <w:r w:rsidRPr="008F00D9">
        <w:rPr>
          <w:rFonts w:hint="cs"/>
          <w:color w:val="auto"/>
          <w:rtl/>
        </w:rPr>
        <w:t>מומלץ כי צה"ל יפיק לקחים מתמונת המצב שעולה מפרק זה וייתן מענה לפערים בתנאי המחיה ובתשתיות של הלוחמים.</w:t>
      </w:r>
    </w:p>
    <w:p w:rsidR="006E4866" w:rsidRPr="008F00D9" w:rsidP="006E4866" w14:paraId="0A4A245A" w14:textId="4C7092B3">
      <w:pPr>
        <w:pStyle w:val="7112"/>
        <w:numPr>
          <w:ilvl w:val="0"/>
          <w:numId w:val="42"/>
        </w:numPr>
        <w:rPr>
          <w:color w:val="auto"/>
          <w:rtl/>
        </w:rPr>
      </w:pPr>
      <w:r w:rsidRPr="00513A75">
        <w:rPr>
          <w:b/>
          <w:bCs/>
          <w:color w:val="auto"/>
          <w:rtl/>
        </w:rPr>
        <w:t xml:space="preserve">תוכנית </w:t>
      </w:r>
      <w:r w:rsidRPr="00513A75">
        <w:rPr>
          <w:b/>
          <w:bCs/>
          <w:color w:val="auto"/>
          <w:rtl/>
        </w:rPr>
        <w:t>שוה"ם</w:t>
      </w:r>
      <w:r w:rsidRPr="00513A75">
        <w:rPr>
          <w:b/>
          <w:bCs/>
          <w:color w:val="auto"/>
          <w:rtl/>
        </w:rPr>
        <w:t xml:space="preserve"> 3</w:t>
      </w:r>
      <w:r w:rsidRPr="008F00D9">
        <w:rPr>
          <w:color w:val="auto"/>
          <w:rtl/>
        </w:rPr>
        <w:t xml:space="preserve"> </w:t>
      </w:r>
      <w:r w:rsidRPr="008F00D9">
        <w:rPr>
          <w:rFonts w:hint="cs"/>
          <w:color w:val="auto"/>
          <w:rtl/>
        </w:rPr>
        <w:t xml:space="preserve">- תוכנית </w:t>
      </w:r>
      <w:r w:rsidRPr="008F00D9">
        <w:rPr>
          <w:rFonts w:hint="cs"/>
          <w:color w:val="auto"/>
          <w:rtl/>
        </w:rPr>
        <w:t>שוה"ם</w:t>
      </w:r>
      <w:r w:rsidRPr="008F00D9">
        <w:rPr>
          <w:rFonts w:hint="cs"/>
          <w:color w:val="auto"/>
          <w:rtl/>
        </w:rPr>
        <w:t xml:space="preserve"> 3 היא תוכנית לאומית אסטרטגית שתקציבה מסתכם בכ-18.5 מיליארד ש"ח, ובמסגרתה פועלות מערכת הביטחון ורשות מקרקעי ישראל להעתקת מחנות צה"ל מאזורי ביקוש, לצורך שיווק הקרקעות במחנות המתפנים והגדלת היצע יחידות הדיור. בביקורת בנושא </w:t>
      </w:r>
      <w:r w:rsidRPr="00513A75">
        <w:rPr>
          <w:rFonts w:hint="cs"/>
          <w:b/>
          <w:bCs/>
          <w:color w:val="auto"/>
          <w:rtl/>
        </w:rPr>
        <w:t xml:space="preserve">מימוש תוכנית </w:t>
      </w:r>
      <w:r w:rsidRPr="00513A75">
        <w:rPr>
          <w:rFonts w:hint="cs"/>
          <w:b/>
          <w:bCs/>
          <w:color w:val="auto"/>
          <w:rtl/>
        </w:rPr>
        <w:t>שוה"ם</w:t>
      </w:r>
      <w:r w:rsidRPr="00513A75">
        <w:rPr>
          <w:rFonts w:hint="cs"/>
          <w:b/>
          <w:bCs/>
          <w:color w:val="auto"/>
          <w:rtl/>
        </w:rPr>
        <w:t xml:space="preserve"> 3</w:t>
      </w:r>
      <w:r w:rsidRPr="008F00D9">
        <w:rPr>
          <w:rFonts w:hint="cs"/>
          <w:color w:val="auto"/>
          <w:rtl/>
        </w:rPr>
        <w:t xml:space="preserve"> עלה כי נכון למועד סיום הביקורת פינתה מערכת הביטחון כ-65% מכלל הקרקעות שהיו אמורות להתפנות על פי התוכנית, וכי מכ-69,185 יחידות הדיור שמתוכננות להיבנות על קרקעות המחנות המתפנים שווקו נכון לאותו מועד 11,404 יחידות דיור (כ-5%.16), והחל הליך בנייתן של 6,855 יחידות דיור (כ-10% מיחידות הדיור שמתוכננות להיבנות לפי התוכנית וכ-60% מהיחידות ששווקו). העיכובים הניכרים ביותר הם </w:t>
      </w:r>
      <w:r w:rsidRPr="008F00D9">
        <w:rPr>
          <w:rFonts w:hint="cs"/>
          <w:color w:val="auto"/>
          <w:rtl/>
        </w:rPr>
        <w:t>בפרויקטי</w:t>
      </w:r>
      <w:r w:rsidRPr="008F00D9">
        <w:rPr>
          <w:rFonts w:hint="cs"/>
          <w:color w:val="auto"/>
          <w:rtl/>
        </w:rPr>
        <w:t xml:space="preserve"> </w:t>
      </w:r>
      <w:r w:rsidRPr="008F00D9">
        <w:rPr>
          <w:rFonts w:hint="cs"/>
          <w:color w:val="auto"/>
        </w:rPr>
        <w:t>PFI</w:t>
      </w:r>
      <w:r w:rsidRPr="008F00D9">
        <w:rPr>
          <w:rFonts w:hint="cs"/>
          <w:color w:val="auto"/>
          <w:rtl/>
        </w:rPr>
        <w:t>, והם משפיעים בפן האסטרטגי-לאומי על סוגיית משבר הדיור, מאחר שמתעכב שיווקן של כ-15,929 עד 22,680 יחידות דיור שרובן במרכז הארץ. נכון למועד סיום הביקורת, רשות מקרקעי ישראל, משרד הביטחון ומשרד האוצר לא סיכמו אילו מחנות ומתחמים יפונו במסגרת תוכניות פינוי עתידיות, כדי לאפשר הקמה של לפחות 30,694 יחידות דיור (מהן 586 לדיור מוגן) ולפחות 100 יחידות למלונאות ושימוש בכ-1,765 דונם למסחר ולתעסוקה. מכיוון של</w:t>
      </w:r>
      <w:r w:rsidRPr="008F00D9">
        <w:rPr>
          <w:color w:val="auto"/>
          <w:rtl/>
        </w:rPr>
        <w:t>תוכנית</w:t>
      </w:r>
      <w:r w:rsidRPr="008F00D9">
        <w:rPr>
          <w:rFonts w:hint="cs"/>
          <w:color w:val="auto"/>
          <w:rtl/>
        </w:rPr>
        <w:t xml:space="preserve"> </w:t>
      </w:r>
      <w:r w:rsidRPr="008F00D9">
        <w:rPr>
          <w:rFonts w:hint="cs"/>
          <w:color w:val="auto"/>
          <w:rtl/>
        </w:rPr>
        <w:t>שוה"ם</w:t>
      </w:r>
      <w:r w:rsidRPr="008F00D9">
        <w:rPr>
          <w:rFonts w:hint="cs"/>
          <w:color w:val="auto"/>
          <w:rtl/>
        </w:rPr>
        <w:t xml:space="preserve"> 3 יש</w:t>
      </w:r>
      <w:r w:rsidRPr="008F00D9">
        <w:rPr>
          <w:color w:val="auto"/>
          <w:rtl/>
        </w:rPr>
        <w:t xml:space="preserve"> חשיבות ברמה הלאומית וברמה הביטחונית</w:t>
      </w:r>
      <w:r w:rsidRPr="008F00D9">
        <w:rPr>
          <w:rFonts w:hint="cs"/>
          <w:color w:val="auto"/>
          <w:rtl/>
        </w:rPr>
        <w:t xml:space="preserve">, משרד מבקר המדינה ממליץ כי כל הגופים </w:t>
      </w:r>
      <w:r w:rsidRPr="008F00D9">
        <w:rPr>
          <w:rFonts w:hint="cs"/>
          <w:color w:val="auto"/>
          <w:rtl/>
        </w:rPr>
        <w:t>הרלוונטים</w:t>
      </w:r>
      <w:r w:rsidRPr="008F00D9">
        <w:rPr>
          <w:rFonts w:hint="cs"/>
          <w:color w:val="auto"/>
          <w:rtl/>
        </w:rPr>
        <w:t xml:space="preserve"> - רשות מקרקעי ישראל, משרד הביטחון ומשרד האוצר - יבחנו באופן מקיף ויסודי את מימוש התוכנית ואת ניהולה, כדי ליישם לקחים ולטייב את תהליכי העבודה הנוגעים להסכמים עתידיים לפינוי מחנות צבאיים. עוד מומלץ כי שר הבינוי והשיכון ייזום, בתיאום עם שר הביטחון ושר האוצר, דיון בקבינט הדיור בעניין בחינת האפשרויות לפינוי עוד מחנות צה"ל ממרכז הארץ לצורכי בינוי ודיור מתוך השטח הכולל של מחנות צה"ל שיישארו לאחר מימוש תוכנית </w:t>
      </w:r>
      <w:r w:rsidRPr="008F00D9">
        <w:rPr>
          <w:rFonts w:hint="cs"/>
          <w:color w:val="auto"/>
          <w:rtl/>
        </w:rPr>
        <w:t>שוה"ם</w:t>
      </w:r>
      <w:r w:rsidRPr="008F00D9">
        <w:rPr>
          <w:rFonts w:hint="cs"/>
          <w:color w:val="auto"/>
          <w:rtl/>
        </w:rPr>
        <w:t xml:space="preserve"> 3 (כ-60,000 דונם) וכן בעניין גיבוש מדיניות ברמה הלאומית שממנה תיגזר תוכנית אופרטיבית רב-שנתית.</w:t>
      </w:r>
    </w:p>
    <w:p w:rsidR="006E4866" w:rsidRPr="008F00D9" w:rsidP="00513A75" w14:paraId="596153E8" w14:textId="77777777">
      <w:pPr>
        <w:pStyle w:val="7112"/>
        <w:rPr>
          <w:color w:val="auto"/>
          <w:rtl/>
        </w:rPr>
      </w:pPr>
      <w:r w:rsidRPr="008F00D9">
        <w:rPr>
          <w:color w:val="auto"/>
          <w:rtl/>
        </w:rPr>
        <w:t>ב</w:t>
      </w:r>
      <w:r w:rsidRPr="008F00D9">
        <w:rPr>
          <w:rFonts w:hint="cs"/>
          <w:color w:val="auto"/>
          <w:rtl/>
        </w:rPr>
        <w:t>פרק</w:t>
      </w:r>
      <w:r w:rsidRPr="008F00D9">
        <w:rPr>
          <w:color w:val="auto"/>
          <w:rtl/>
        </w:rPr>
        <w:t xml:space="preserve"> בנושא תנאי מחיה ותשתיות ללוחמים בשירות חובה ובמילואים </w:t>
      </w:r>
      <w:r w:rsidRPr="008F00D9">
        <w:rPr>
          <w:rFonts w:hint="cs"/>
          <w:color w:val="auto"/>
          <w:rtl/>
        </w:rPr>
        <w:t>הכלול בדוח זה צוין</w:t>
      </w:r>
      <w:r w:rsidRPr="008F00D9">
        <w:rPr>
          <w:color w:val="auto"/>
          <w:rtl/>
        </w:rPr>
        <w:t xml:space="preserve"> כי לוחמים נתקלים בתשתיות רעועות במחנות</w:t>
      </w:r>
      <w:r w:rsidRPr="008F00D9">
        <w:rPr>
          <w:rFonts w:hint="cs"/>
          <w:color w:val="auto"/>
          <w:rtl/>
        </w:rPr>
        <w:t>.</w:t>
      </w:r>
      <w:r w:rsidRPr="008F00D9">
        <w:rPr>
          <w:color w:val="auto"/>
          <w:rtl/>
        </w:rPr>
        <w:t xml:space="preserve"> </w:t>
      </w:r>
      <w:r w:rsidRPr="008F00D9">
        <w:rPr>
          <w:rFonts w:hint="cs"/>
          <w:color w:val="auto"/>
          <w:rtl/>
        </w:rPr>
        <w:t xml:space="preserve">כמו </w:t>
      </w:r>
      <w:r w:rsidRPr="008F00D9">
        <w:rPr>
          <w:color w:val="auto"/>
          <w:rtl/>
        </w:rPr>
        <w:t xml:space="preserve">כן </w:t>
      </w:r>
      <w:r w:rsidRPr="008F00D9">
        <w:rPr>
          <w:rFonts w:hint="cs"/>
          <w:color w:val="auto"/>
          <w:rtl/>
        </w:rPr>
        <w:t>צוין</w:t>
      </w:r>
      <w:r w:rsidRPr="008F00D9">
        <w:rPr>
          <w:color w:val="auto"/>
          <w:rtl/>
        </w:rPr>
        <w:t xml:space="preserve"> </w:t>
      </w:r>
      <w:r w:rsidRPr="008F00D9">
        <w:rPr>
          <w:rFonts w:hint="cs"/>
          <w:color w:val="auto"/>
          <w:rtl/>
        </w:rPr>
        <w:t>ש</w:t>
      </w:r>
      <w:r w:rsidRPr="008F00D9">
        <w:rPr>
          <w:color w:val="auto"/>
          <w:rtl/>
        </w:rPr>
        <w:t>ככלל</w:t>
      </w:r>
      <w:r w:rsidRPr="008F00D9">
        <w:rPr>
          <w:rFonts w:hint="cs"/>
          <w:color w:val="auto"/>
          <w:rtl/>
        </w:rPr>
        <w:t>,</w:t>
      </w:r>
      <w:r w:rsidRPr="008F00D9">
        <w:rPr>
          <w:color w:val="auto"/>
          <w:rtl/>
        </w:rPr>
        <w:t xml:space="preserve"> תוכנית</w:t>
      </w:r>
      <w:r w:rsidRPr="008F00D9">
        <w:rPr>
          <w:rFonts w:hint="cs"/>
          <w:color w:val="auto"/>
          <w:rtl/>
        </w:rPr>
        <w:t xml:space="preserve"> </w:t>
      </w:r>
      <w:r w:rsidRPr="008F00D9">
        <w:rPr>
          <w:color w:val="auto"/>
          <w:rtl/>
        </w:rPr>
        <w:t>שוה"ם</w:t>
      </w:r>
      <w:r w:rsidRPr="008F00D9">
        <w:rPr>
          <w:color w:val="auto"/>
          <w:rtl/>
        </w:rPr>
        <w:t xml:space="preserve"> 3 לא נועדה </w:t>
      </w:r>
      <w:r w:rsidRPr="008F00D9">
        <w:rPr>
          <w:rFonts w:hint="cs"/>
          <w:color w:val="auto"/>
          <w:rtl/>
        </w:rPr>
        <w:t>לענות</w:t>
      </w:r>
      <w:r w:rsidRPr="008F00D9">
        <w:rPr>
          <w:color w:val="auto"/>
          <w:rtl/>
        </w:rPr>
        <w:t xml:space="preserve"> על פערים בתשתיות במחנות קיימים שבהם משרתים לוחמים</w:t>
      </w:r>
      <w:r w:rsidRPr="008F00D9">
        <w:rPr>
          <w:rFonts w:hint="cs"/>
          <w:color w:val="auto"/>
          <w:rtl/>
        </w:rPr>
        <w:t>.</w:t>
      </w:r>
      <w:r w:rsidRPr="008F00D9">
        <w:rPr>
          <w:color w:val="auto"/>
          <w:rtl/>
        </w:rPr>
        <w:t xml:space="preserve"> </w:t>
      </w:r>
      <w:r w:rsidRPr="008F00D9">
        <w:rPr>
          <w:rFonts w:hint="cs"/>
          <w:color w:val="auto"/>
          <w:rtl/>
        </w:rPr>
        <w:t xml:space="preserve">נוכח זאת </w:t>
      </w:r>
      <w:r w:rsidRPr="008F00D9">
        <w:rPr>
          <w:color w:val="auto"/>
          <w:rtl/>
        </w:rPr>
        <w:t xml:space="preserve">מומלץ לצה"ל כי </w:t>
      </w:r>
      <w:r w:rsidRPr="008F00D9">
        <w:rPr>
          <w:rFonts w:hint="cs"/>
          <w:color w:val="auto"/>
          <w:rtl/>
        </w:rPr>
        <w:t xml:space="preserve">במסגרת </w:t>
      </w:r>
      <w:r w:rsidRPr="008F00D9">
        <w:rPr>
          <w:color w:val="auto"/>
          <w:rtl/>
        </w:rPr>
        <w:t xml:space="preserve">תוכנית רב-שנתית להקמת תשתיות </w:t>
      </w:r>
      <w:r w:rsidRPr="008F00D9">
        <w:rPr>
          <w:rFonts w:hint="cs"/>
          <w:color w:val="auto"/>
          <w:rtl/>
        </w:rPr>
        <w:t>ו</w:t>
      </w:r>
      <w:r w:rsidRPr="008F00D9">
        <w:rPr>
          <w:color w:val="auto"/>
          <w:rtl/>
        </w:rPr>
        <w:t>במסגרת תוכניות פינוי עתידיות תינתן עדיפות להקמת מחנות חדשים ללוחמים.</w:t>
      </w:r>
    </w:p>
    <w:p w:rsidR="006E4866" w:rsidRPr="008F00D9" w:rsidP="006E4866" w14:paraId="05DCC280" w14:textId="77777777">
      <w:pPr>
        <w:pStyle w:val="7112"/>
        <w:numPr>
          <w:ilvl w:val="0"/>
          <w:numId w:val="42"/>
        </w:numPr>
        <w:rPr>
          <w:color w:val="auto"/>
          <w:rtl/>
        </w:rPr>
      </w:pPr>
      <w:r w:rsidRPr="00513A75">
        <w:rPr>
          <w:rFonts w:hint="cs"/>
          <w:b/>
          <w:bCs/>
          <w:color w:val="auto"/>
          <w:rtl/>
        </w:rPr>
        <w:t xml:space="preserve">רפאל </w:t>
      </w:r>
      <w:r w:rsidRPr="008F00D9">
        <w:rPr>
          <w:rFonts w:hint="cs"/>
          <w:color w:val="auto"/>
          <w:rtl/>
        </w:rPr>
        <w:t xml:space="preserve">- רפאל היא חברה ממשלתית מהגדולות במדינת ישראל. היא עוסקת בתחומי הביטחון, ובכלל זה בפיתוח ובייצור של אמצעי לחימה לצה"ל ובמכירת מגוון מוצרים בתחומים הביטחוניים ברחבי העולם. שימור איתנותה העסקית והפיננסית הוא אינטרס ביטחוני וכלכלי של המדינה. הדוח כולל ביקורת בנושא </w:t>
      </w:r>
      <w:r w:rsidRPr="00513A75">
        <w:rPr>
          <w:rFonts w:hint="cs"/>
          <w:b/>
          <w:bCs/>
          <w:color w:val="auto"/>
          <w:rtl/>
        </w:rPr>
        <w:t>הדוחות הכספיים של רפאל מערכות לחימה מתקדמות בע"מ - מצב החברה וסיכוניה</w:t>
      </w:r>
      <w:r w:rsidRPr="008F00D9">
        <w:rPr>
          <w:rFonts w:hint="cs"/>
          <w:color w:val="auto"/>
          <w:rtl/>
        </w:rPr>
        <w:t xml:space="preserve">. ניתוח התוצאות העסקיות של חברת רפאל בשנים האחרונות מעיד כי לצד הכנסות מצטברות בסך כ-46.5 מיליארד </w:t>
      </w:r>
      <w:r w:rsidRPr="008F00D9">
        <w:rPr>
          <w:rFonts w:hint="cs"/>
          <w:color w:val="auto"/>
          <w:rtl/>
        </w:rPr>
        <w:t xml:space="preserve">ש"ח בשנים 2017 - 2021 ורווחים צבורים בסך כ-4.5 מיליארד ש"ח נכון ל-31.12.21, מתמודדת החברה עם קשיים, ובהם ירידה בהכנסותיה (ללא החברות הבנות) בשנים 2020 ו-2021; ירידה ברווח התפעולי לעומת שנת 2020; ותחזיות להפסד תפעולי בכמה פרויקטים. כמו כן, נכון לסוף שנת 2021 כיהנו בחברה בפועל ארבעה דירקטורים בלבד, לעומת עשרה בחברת החשמל ותשעה בתעשייה האווירית לישראל. משרד מבקר המדינה ממליץ כי </w:t>
      </w:r>
      <w:bookmarkStart w:id="0" w:name="_Hlk127706334"/>
      <w:r w:rsidRPr="008F00D9">
        <w:rPr>
          <w:rFonts w:hint="cs"/>
          <w:color w:val="auto"/>
          <w:rtl/>
        </w:rPr>
        <w:t>הנהלת רפאל תפעל לעדכון תוכניתה האסטרטגית, בין היתר נוכח ממצאי פרק זה ובהתאם להמלצותיו וליעדים הפיננסיים שיסוכמו עם רשות החברות הממשלתיות</w:t>
      </w:r>
      <w:bookmarkEnd w:id="0"/>
      <w:r w:rsidRPr="008F00D9">
        <w:rPr>
          <w:rFonts w:hint="cs"/>
          <w:color w:val="auto"/>
          <w:rtl/>
        </w:rPr>
        <w:t>, וכי התוכנית תובא לבחינת הדירקטוריון ולאישורו. עוד מומלץ כי רשות החברות הממשלתיות תעקוב אחר הליך גיבוש התוכנית ואחר מימושה.</w:t>
      </w:r>
    </w:p>
    <w:p w:rsidR="006E4866" w:rsidRPr="008F00D9" w:rsidP="006E4866" w14:paraId="011E6C77" w14:textId="77777777">
      <w:pPr>
        <w:pStyle w:val="7112"/>
        <w:numPr>
          <w:ilvl w:val="0"/>
          <w:numId w:val="42"/>
        </w:numPr>
        <w:rPr>
          <w:color w:val="auto"/>
          <w:rtl/>
        </w:rPr>
      </w:pPr>
      <w:r w:rsidRPr="00513A75">
        <w:rPr>
          <w:rFonts w:hint="cs"/>
          <w:b/>
          <w:bCs/>
          <w:color w:val="auto"/>
          <w:rtl/>
        </w:rPr>
        <w:t>בניין הכוח בתחום המבצעי</w:t>
      </w:r>
      <w:r w:rsidRPr="008F00D9">
        <w:rPr>
          <w:rFonts w:hint="cs"/>
          <w:color w:val="auto"/>
          <w:rtl/>
        </w:rPr>
        <w:t xml:space="preserve"> - בשני העשורים האחרונים השתנה שדה הקרב באופן הדרגתי אך מהותי. הביקורת בנושא </w:t>
      </w:r>
      <w:r w:rsidRPr="00513A75">
        <w:rPr>
          <w:rFonts w:hint="cs"/>
          <w:b/>
          <w:bCs/>
          <w:color w:val="auto"/>
          <w:rtl/>
        </w:rPr>
        <w:t>תוכנית מסוימת לבניין הכוח בתחום מבצעי</w:t>
      </w:r>
      <w:r w:rsidRPr="008F00D9">
        <w:rPr>
          <w:rFonts w:hint="cs"/>
          <w:color w:val="auto"/>
          <w:rtl/>
        </w:rPr>
        <w:t xml:space="preserve"> העלתה פערים בנוגע לשיפור יכולות הלוחמים, וּועדת המשנה של הוועדה לענייני ביקורת המדינה החליטה להטיל על פערים אלה חיסיון ולא לפרסמם לציבור. בביקורת גם נמצאו ליקויים בתהליכי העבודה של צה"ל ושל משרד הביטחון בייזום </w:t>
      </w:r>
      <w:r w:rsidRPr="008F00D9">
        <w:rPr>
          <w:rFonts w:hint="cs"/>
          <w:color w:val="auto"/>
          <w:rtl/>
        </w:rPr>
        <w:t>פרויקטי</w:t>
      </w:r>
      <w:r w:rsidRPr="008F00D9">
        <w:rPr>
          <w:rFonts w:hint="cs"/>
          <w:color w:val="auto"/>
          <w:rtl/>
        </w:rPr>
        <w:t xml:space="preserve"> אמל"ח מסוימים ובבקרה עליהם.  </w:t>
      </w:r>
    </w:p>
    <w:p w:rsidR="006E4866" w:rsidRPr="008F00D9" w:rsidP="006E4866" w14:paraId="0733BB0B" w14:textId="77777777">
      <w:pPr>
        <w:pStyle w:val="7112"/>
        <w:numPr>
          <w:ilvl w:val="0"/>
          <w:numId w:val="42"/>
        </w:numPr>
        <w:rPr>
          <w:color w:val="auto"/>
          <w:rtl/>
        </w:rPr>
      </w:pPr>
      <w:r w:rsidRPr="00513A75">
        <w:rPr>
          <w:rFonts w:hint="cs"/>
          <w:b/>
          <w:bCs/>
          <w:color w:val="auto"/>
          <w:rtl/>
        </w:rPr>
        <w:t>ביקורות מעקב</w:t>
      </w:r>
      <w:r w:rsidRPr="008F00D9">
        <w:rPr>
          <w:rFonts w:hint="cs"/>
          <w:color w:val="auto"/>
          <w:rtl/>
        </w:rPr>
        <w:t xml:space="preserve"> - </w:t>
      </w:r>
      <w:r w:rsidRPr="008F00D9">
        <w:rPr>
          <w:color w:val="auto"/>
          <w:rtl/>
        </w:rPr>
        <w:t xml:space="preserve">משרד מבקר המדינה </w:t>
      </w:r>
      <w:r w:rsidRPr="008F00D9">
        <w:rPr>
          <w:rFonts w:hint="cs"/>
          <w:color w:val="auto"/>
          <w:rtl/>
        </w:rPr>
        <w:t>ממשיך במגמה להרחבת היקף ביקורות המעקב</w:t>
      </w:r>
      <w:r w:rsidRPr="008F00D9">
        <w:rPr>
          <w:color w:val="auto"/>
          <w:rtl/>
        </w:rPr>
        <w:t xml:space="preserve">. דוח זה כולל ביקורת מעקב בנושא </w:t>
      </w:r>
      <w:r w:rsidRPr="00513A75">
        <w:rPr>
          <w:rFonts w:hint="cs"/>
          <w:b/>
          <w:bCs/>
          <w:color w:val="auto"/>
          <w:rtl/>
        </w:rPr>
        <w:t>הטיפול בחיילים בודדים במהלך שירותם הצבאי ולאחר שחרורם מצה"ל</w:t>
      </w:r>
      <w:r w:rsidRPr="008F00D9">
        <w:rPr>
          <w:rFonts w:hint="cs"/>
          <w:color w:val="auto"/>
          <w:rtl/>
        </w:rPr>
        <w:t xml:space="preserve"> ובנושא </w:t>
      </w:r>
      <w:r w:rsidRPr="00513A75">
        <w:rPr>
          <w:rFonts w:hint="cs"/>
          <w:b/>
          <w:bCs/>
          <w:color w:val="auto"/>
          <w:rtl/>
        </w:rPr>
        <w:t>אזורי תעשייה בניהול ישראלי באזור יהודה והשומרון - היבטים באכיפת החוק</w:t>
      </w:r>
      <w:r w:rsidRPr="008F00D9">
        <w:rPr>
          <w:rFonts w:hint="cs"/>
          <w:color w:val="auto"/>
          <w:rtl/>
        </w:rPr>
        <w:t>.</w:t>
      </w:r>
    </w:p>
    <w:p w:rsidR="006E4866" w:rsidRPr="00D81607" w:rsidP="006E4866" w14:paraId="61514D16" w14:textId="0C6A428C">
      <w:pPr>
        <w:pStyle w:val="7191"/>
        <w:rPr>
          <w:rtl/>
        </w:rPr>
      </w:pPr>
      <w:r w:rsidRPr="00D81607">
        <w:rPr>
          <w:rtl/>
        </w:rPr>
        <w:t xml:space="preserve">תחום המאבק בהלבנת ההון נוגע בסופו של יום באופן עקיף למרבית אזרחי ישראל, הנדרשים לעמוד בהוראות רגולטוריות שונות. כחלק מהמאמצים לבצר ולחזק את משטר איסור הלבנת ההון ולהילחם במימון הטרור בישראל, ובהמשך לביקורת הבין-לאומית משנת 2018, משרד מבקר המדינה ביצע בשנים 2020 - 2022 שתי ביקורות מקיפות בנושא יישום משטר הלבנת ההון בישראל: (א) הביקורת הראשונה פורסמה במאי 2021 ועסקה בבחינת הפעילות המערכתית של כלל גופי האכיפה והאסדרה (הרגולציה) הרלוונטיים בנושא; (ב) הביקורת השנייה המתפרסמת כעת בנושא </w:t>
      </w:r>
      <w:r w:rsidRPr="00D81607">
        <w:rPr>
          <w:b/>
          <w:bCs/>
          <w:rtl/>
        </w:rPr>
        <w:t>הרשות לאיסור הלבנת הון - הטיפול במידע המגלם חשש להלבנת הון ומימון טרור</w:t>
      </w:r>
      <w:r w:rsidRPr="00D81607">
        <w:rPr>
          <w:rtl/>
        </w:rPr>
        <w:t xml:space="preserve">, מתמקדת בטיפולה של הרשות במידע המגלם חשש להלבנת הון ומימון טרור. שני דוחות הביקורת, שהוכנו בנושא זה בפעם הראשונה במשרד מבקר המדינה, כוללים ממצאים רבים ומשמעותיים. הגופים המבוקרים כבר החלו בפעולות התיקון, וראוי כי ימשיכו בכך עד השלמתן. ראוי לציין כי ניכר שכלל מוסדות המדינה מחויבים למלחמה בהלבנת הון ומימון טרור, וכי הם פועלים בזירות רבות - חשאיות וגלויות, מקומיות ובין-לאומיות - ומשקיעים בכך מאמצים, כוח אדם ותקציב. </w:t>
      </w:r>
    </w:p>
    <w:p w:rsidR="006E4866" w:rsidRPr="00D81607" w:rsidP="006E4866" w14:paraId="3C60E790" w14:textId="224F2A89">
      <w:pPr>
        <w:pStyle w:val="7191"/>
        <w:rPr>
          <w:rtl/>
        </w:rPr>
      </w:pPr>
      <w:r w:rsidRPr="00D81607">
        <w:rPr>
          <w:rtl/>
        </w:rPr>
        <w:t>אציין כי הליך הביקורת ברשות לאיסור הלבנת הון ומימון טרור (</w:t>
      </w:r>
      <w:r w:rsidRPr="00D81607">
        <w:rPr>
          <w:rtl/>
        </w:rPr>
        <w:t>רשל"ה</w:t>
      </w:r>
      <w:r w:rsidRPr="00D81607">
        <w:rPr>
          <w:rtl/>
        </w:rPr>
        <w:t>) בוצע בהתאם למתודולוגיה שיושמה על ידי משרד מבקר המדינה, השונה מהמתודולוגיה של ארגון ה-</w:t>
      </w:r>
      <w:r w:rsidRPr="00D81607">
        <w:t>FATF</w:t>
      </w:r>
      <w:r w:rsidRPr="00D81607">
        <w:rPr>
          <w:rFonts w:hint="cs"/>
          <w:rtl/>
        </w:rPr>
        <w:t xml:space="preserve"> </w:t>
      </w:r>
      <w:r w:rsidRPr="00D81607">
        <w:t>(Financial Action Task Force)</w:t>
      </w:r>
      <w:r w:rsidRPr="00D81607">
        <w:rPr>
          <w:rtl/>
        </w:rPr>
        <w:t xml:space="preserve">, ארגון הגג הבין-לאומי שבו חברות 37 מדינות, אשר קובע את הכללים הבין-לאומיים שמכוחם הוקמה הרשות לאיסור הלבנת הון ומימון טרור במדינת ישראל ושלאורם היא פועלת. ביקורות אלו הן אפוא נדבך נוסף שנועד לחזק את משטר הלבנת ההון הקיים בישראל. </w:t>
      </w:r>
    </w:p>
    <w:p w:rsidR="006E4866" w:rsidRPr="00D81607" w:rsidP="006E4866" w14:paraId="5C165B08" w14:textId="77777777">
      <w:pPr>
        <w:pStyle w:val="7191"/>
        <w:rPr>
          <w:rtl/>
        </w:rPr>
      </w:pPr>
      <w:r w:rsidRPr="00D81607">
        <w:rPr>
          <w:rtl/>
        </w:rPr>
        <w:t xml:space="preserve">האחריות לפעילותה התקינה של </w:t>
      </w:r>
      <w:r w:rsidRPr="00D81607">
        <w:rPr>
          <w:rtl/>
        </w:rPr>
        <w:t>רשל"ה</w:t>
      </w:r>
      <w:r w:rsidRPr="00D81607">
        <w:rPr>
          <w:rtl/>
        </w:rPr>
        <w:t xml:space="preserve"> מוטלת על שר המשפטים, מנכ"ל משרד המשפטים וראשת </w:t>
      </w:r>
      <w:r w:rsidRPr="00D81607">
        <w:rPr>
          <w:rtl/>
        </w:rPr>
        <w:t>רשל"ה</w:t>
      </w:r>
      <w:r w:rsidRPr="00D81607">
        <w:rPr>
          <w:rtl/>
        </w:rPr>
        <w:t xml:space="preserve">. גורמים אלו מחויבים לנקוט את כל הפעולות הדרושות כדי להבטיח את השיפור הנדרש בפעילות הליבה של </w:t>
      </w:r>
      <w:r w:rsidRPr="00D81607">
        <w:rPr>
          <w:rtl/>
        </w:rPr>
        <w:t>רשל"ה</w:t>
      </w:r>
      <w:r w:rsidRPr="00D81607">
        <w:rPr>
          <w:rtl/>
        </w:rPr>
        <w:t xml:space="preserve">, וכן לפעול להמשך טיוב שיתוף הפעולה בינה ובין לקוחות המידע. פעולות אלה דרושות כדי להצדיק את הטלת משטר הדיווחים ועלויותיו על הציבור, כדי לתרום תרומה אפקטיבית לרשויות החקירה והביטחון, בפרט במלחמה כנגד פשיעה מאורגנת, פשיעה חמורה ומימון טרור, וכדי </w:t>
      </w:r>
      <w:r w:rsidRPr="00D81607">
        <w:rPr>
          <w:rtl/>
        </w:rPr>
        <w:t>שרשל"ה</w:t>
      </w:r>
      <w:r w:rsidRPr="00D81607">
        <w:rPr>
          <w:rtl/>
        </w:rPr>
        <w:t xml:space="preserve"> תוכל לקיים את ייעודה לפי חוק, ביעילות ובמועילות.</w:t>
      </w:r>
    </w:p>
    <w:p w:rsidR="006E4866" w:rsidRPr="00D81607" w:rsidP="006E4866" w14:paraId="2582CB62" w14:textId="77777777">
      <w:pPr>
        <w:pStyle w:val="7191"/>
        <w:rPr>
          <w:b/>
          <w:bCs/>
          <w:rtl/>
        </w:rPr>
      </w:pPr>
      <w:r w:rsidRPr="00D81607">
        <w:rPr>
          <w:b/>
          <w:bCs/>
          <w:rtl/>
        </w:rPr>
        <w:t>הכנתו של דוח זה, כמו קודמי</w:t>
      </w:r>
      <w:r w:rsidRPr="00D81607">
        <w:rPr>
          <w:rFonts w:hint="cs"/>
          <w:b/>
          <w:bCs/>
          <w:rtl/>
        </w:rPr>
        <w:t>ו</w:t>
      </w:r>
      <w:r w:rsidRPr="00D81607">
        <w:rPr>
          <w:b/>
          <w:bCs/>
          <w:rtl/>
        </w:rPr>
        <w:t xml:space="preserve">, הצריכה מאמץ רב </w:t>
      </w:r>
      <w:r w:rsidRPr="00D81607">
        <w:rPr>
          <w:rFonts w:hint="cs"/>
          <w:b/>
          <w:bCs/>
          <w:rtl/>
        </w:rPr>
        <w:t xml:space="preserve">של עובדי הביקורת במשרדי, ובייחוד בחטיבה לביקורת מערכת הביטחון </w:t>
      </w:r>
      <w:r w:rsidRPr="00D81607">
        <w:rPr>
          <w:rFonts w:hint="eastAsia"/>
          <w:b/>
          <w:bCs/>
          <w:rtl/>
        </w:rPr>
        <w:t>ובחטיבת</w:t>
      </w:r>
      <w:r w:rsidRPr="00D81607">
        <w:rPr>
          <w:b/>
          <w:bCs/>
          <w:rtl/>
        </w:rPr>
        <w:t xml:space="preserve"> </w:t>
      </w:r>
      <w:r w:rsidRPr="00D81607">
        <w:rPr>
          <w:rFonts w:hint="eastAsia"/>
          <w:b/>
          <w:bCs/>
          <w:rtl/>
        </w:rPr>
        <w:t>ה</w:t>
      </w:r>
      <w:r w:rsidRPr="00D81607">
        <w:rPr>
          <w:rFonts w:hint="cs"/>
          <w:b/>
          <w:bCs/>
          <w:rtl/>
        </w:rPr>
        <w:t>מטה</w:t>
      </w:r>
      <w:r w:rsidRPr="00D81607">
        <w:rPr>
          <w:b/>
          <w:bCs/>
          <w:rtl/>
        </w:rPr>
        <w:t xml:space="preserve">, אשר ממלאים את תפקידם הציבורי מתוך </w:t>
      </w:r>
      <w:r w:rsidRPr="00D81607">
        <w:rPr>
          <w:rFonts w:hint="cs"/>
          <w:b/>
          <w:bCs/>
          <w:rtl/>
        </w:rPr>
        <w:t>תחושת</w:t>
      </w:r>
      <w:r w:rsidRPr="00D81607">
        <w:rPr>
          <w:b/>
          <w:bCs/>
          <w:rtl/>
        </w:rPr>
        <w:t xml:space="preserve"> שליחות של ממש. </w:t>
      </w:r>
      <w:r w:rsidRPr="00D81607">
        <w:rPr>
          <w:rFonts w:hint="cs"/>
          <w:b/>
          <w:bCs/>
          <w:rtl/>
        </w:rPr>
        <w:t>עובדי הביקורת</w:t>
      </w:r>
      <w:r w:rsidRPr="00D81607">
        <w:rPr>
          <w:b/>
          <w:bCs/>
          <w:rtl/>
        </w:rPr>
        <w:t xml:space="preserve"> עמלו על הכנתו</w:t>
      </w:r>
      <w:r w:rsidRPr="00D81607">
        <w:rPr>
          <w:rFonts w:hint="cs"/>
          <w:b/>
          <w:bCs/>
          <w:rtl/>
        </w:rPr>
        <w:t xml:space="preserve"> של הדוח</w:t>
      </w:r>
      <w:r w:rsidRPr="00D81607">
        <w:rPr>
          <w:b/>
          <w:bCs/>
          <w:rtl/>
        </w:rPr>
        <w:t xml:space="preserve"> במלוא המקצועיות והיסודיות, </w:t>
      </w:r>
      <w:r w:rsidRPr="00D81607">
        <w:rPr>
          <w:rFonts w:hint="cs"/>
          <w:b/>
          <w:bCs/>
          <w:rtl/>
        </w:rPr>
        <w:t>ו</w:t>
      </w:r>
      <w:r w:rsidRPr="00D81607">
        <w:rPr>
          <w:b/>
          <w:bCs/>
          <w:rtl/>
        </w:rPr>
        <w:t>תודתי נתונה להם.</w:t>
      </w:r>
    </w:p>
    <w:p w:rsidR="006E4866" w:rsidRPr="008D792F" w:rsidP="006E4866" w14:paraId="028F0E07" w14:textId="77777777">
      <w:pPr>
        <w:pStyle w:val="7191"/>
        <w:rPr>
          <w:rtl/>
        </w:rPr>
      </w:pPr>
      <w:r w:rsidRPr="00D81607">
        <w:rPr>
          <w:rFonts w:hint="cs"/>
          <w:rtl/>
        </w:rPr>
        <w:t>חובתם של הגופים המבוקרים היא לפעול בדרך מהירה ויעילה לתיקון הליקויים שהועלו בדוח זה כדי לחזק את</w:t>
      </w:r>
      <w:r w:rsidRPr="00D81607">
        <w:rPr>
          <w:rtl/>
        </w:rPr>
        <w:t xml:space="preserve"> ביטחונה של מדינת ישראל</w:t>
      </w:r>
      <w:r w:rsidRPr="00D81607">
        <w:rPr>
          <w:rFonts w:hint="cs"/>
          <w:rtl/>
        </w:rPr>
        <w:t xml:space="preserve"> ואת ההגנה על תושבי המדינה, לשפר את רווחתם של המשרתים בצה"ל </w:t>
      </w:r>
      <w:r w:rsidRPr="00D81607">
        <w:rPr>
          <w:rtl/>
        </w:rPr>
        <w:t>ולבצר</w:t>
      </w:r>
      <w:r w:rsidRPr="00D81607">
        <w:rPr>
          <w:rFonts w:hint="cs"/>
          <w:rtl/>
        </w:rPr>
        <w:t xml:space="preserve"> את </w:t>
      </w:r>
      <w:r w:rsidRPr="00D81607">
        <w:rPr>
          <w:rtl/>
        </w:rPr>
        <w:t>התשתית התעשייתית הביטחונית</w:t>
      </w:r>
      <w:r w:rsidRPr="00D81607">
        <w:rPr>
          <w:rFonts w:hint="cs"/>
          <w:rtl/>
        </w:rPr>
        <w:t>.</w:t>
      </w:r>
    </w:p>
    <w:p w:rsidR="000A33BE" w:rsidRPr="000A33BE" w:rsidP="000A33BE" w14:paraId="4F535706" w14:textId="445E9B77">
      <w:pPr>
        <w:pStyle w:val="7190"/>
        <w:rPr>
          <w:rtl/>
        </w:rPr>
      </w:pPr>
    </w:p>
    <w:p w:rsidR="00A0272B" w:rsidP="00A0272B" w14:paraId="0416ABC2" w14:textId="2FEDC90D">
      <w:pPr>
        <w:spacing w:line="240" w:lineRule="exact"/>
        <w:rPr>
          <w:rFonts w:ascii="Tahoma" w:eastAsia="Calibri" w:hAnsi="Tahoma" w:cs="Tahoma"/>
          <w:sz w:val="18"/>
          <w:szCs w:val="18"/>
        </w:rPr>
      </w:pPr>
    </w:p>
    <w:p w:rsidR="00513A75" w:rsidP="00A0272B" w14:paraId="5046BA1C" w14:textId="77777777">
      <w:pPr>
        <w:spacing w:line="240" w:lineRule="exact"/>
        <w:rPr>
          <w:rFonts w:ascii="Tahoma" w:eastAsia="Calibri" w:hAnsi="Tahoma" w:cs="Tahoma"/>
          <w:sz w:val="18"/>
          <w:szCs w:val="18"/>
          <w:rtl/>
        </w:rPr>
      </w:pPr>
    </w:p>
    <w:p w:rsidR="002D707E" w:rsidP="00A0272B" w14:paraId="5A728BE6" w14:textId="77777777">
      <w:pPr>
        <w:spacing w:line="240" w:lineRule="exact"/>
        <w:rPr>
          <w:rFonts w:ascii="Tahoma" w:eastAsia="Calibri" w:hAnsi="Tahoma" w:cs="Tahoma"/>
          <w:sz w:val="18"/>
          <w:szCs w:val="18"/>
          <w:rtl/>
        </w:rPr>
      </w:pPr>
    </w:p>
    <w:p w:rsidR="002D707E" w:rsidP="00A0272B" w14:paraId="3920B7C9" w14:textId="77777777">
      <w:pPr>
        <w:spacing w:line="240" w:lineRule="exact"/>
        <w:rPr>
          <w:rFonts w:ascii="Tahoma" w:eastAsia="Calibri" w:hAnsi="Tahoma" w:cs="Tahoma"/>
          <w:sz w:val="18"/>
          <w:szCs w:val="18"/>
          <w:rtl/>
        </w:rPr>
      </w:pPr>
    </w:p>
    <w:p w:rsidR="00A0272B" w:rsidRPr="006613B0" w:rsidP="00A0272B" w14:paraId="74C7DE95" w14:textId="77777777">
      <w:pPr>
        <w:spacing w:line="240" w:lineRule="exact"/>
        <w:rPr>
          <w:rFonts w:ascii="Tahoma" w:eastAsia="Calibri" w:hAnsi="Tahoma" w:cs="Tahoma"/>
          <w:sz w:val="18"/>
          <w:szCs w:val="18"/>
          <w:rtl/>
        </w:rPr>
      </w:pPr>
    </w:p>
    <w:p w:rsidR="00A0272B" w:rsidRPr="00D70CA7" w:rsidP="00A0272B" w14:paraId="32B2E14E" w14:textId="77777777">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06083"/>
            <wp:effectExtent l="0" t="0" r="0"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תמונה 29"/>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06083"/>
                    </a:xfrm>
                    <a:prstGeom prst="rect">
                      <a:avLst/>
                    </a:prstGeom>
                  </pic:spPr>
                </pic:pic>
              </a:graphicData>
            </a:graphic>
          </wp:inline>
        </w:drawing>
      </w:r>
    </w:p>
    <w:p w:rsidR="00A0272B" w:rsidRPr="001A7FEE" w:rsidP="00A0272B" w14:paraId="137A4BD3" w14:textId="77777777">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rsidR="00A0272B" w:rsidRPr="001A7FEE" w:rsidP="00CA1F53" w14:paraId="55BB9300"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rsidR="00A0272B" w:rsidP="00CA1F53" w14:paraId="18034D6E" w14:textId="6798594F">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rsidR="00522B69" w:rsidP="00CA1F53" w14:paraId="5AA70CA8" w14:textId="559D6485">
      <w:pPr>
        <w:widowControl w:val="0"/>
        <w:spacing w:line="276" w:lineRule="auto"/>
        <w:ind w:left="3402"/>
        <w:jc w:val="center"/>
        <w:rPr>
          <w:rFonts w:ascii="Tahoma" w:hAnsi="Tahoma" w:cs="Tahoma"/>
          <w:sz w:val="18"/>
          <w:szCs w:val="18"/>
          <w:rtl/>
          <w:lang w:eastAsia="he-IL"/>
        </w:rPr>
      </w:pPr>
    </w:p>
    <w:p w:rsidR="00522B69" w:rsidRPr="001A7FEE" w:rsidP="00CA1F53" w14:paraId="122613D7" w14:textId="77777777">
      <w:pPr>
        <w:widowControl w:val="0"/>
        <w:spacing w:line="276" w:lineRule="auto"/>
        <w:ind w:left="3402"/>
        <w:jc w:val="center"/>
        <w:rPr>
          <w:rFonts w:ascii="Tahoma" w:hAnsi="Tahoma" w:cs="Tahoma"/>
          <w:sz w:val="18"/>
          <w:szCs w:val="18"/>
          <w:rtl/>
          <w:lang w:eastAsia="he-IL"/>
        </w:rPr>
      </w:pPr>
    </w:p>
    <w:p w:rsidR="00D41E88" w:rsidP="00D41E88" w14:paraId="7F6F01A4" w14:textId="63879E4B">
      <w:pPr>
        <w:spacing w:line="240" w:lineRule="exact"/>
        <w:rPr>
          <w:rFonts w:ascii="Tahoma" w:eastAsia="Calibri" w:hAnsi="Tahoma" w:cs="Tahoma"/>
          <w:sz w:val="18"/>
          <w:szCs w:val="18"/>
        </w:rPr>
      </w:pPr>
    </w:p>
    <w:p w:rsidR="00513A75" w:rsidP="00D41E88" w14:paraId="64D08E3E" w14:textId="77777777">
      <w:pPr>
        <w:spacing w:line="240" w:lineRule="exact"/>
        <w:rPr>
          <w:rFonts w:ascii="Tahoma" w:eastAsia="Calibri" w:hAnsi="Tahoma" w:cs="Tahoma"/>
          <w:sz w:val="18"/>
          <w:szCs w:val="18"/>
        </w:rPr>
      </w:pPr>
    </w:p>
    <w:p w:rsidR="00D947CE" w:rsidRPr="00D41E88" w:rsidP="00D41E88" w14:paraId="3758383F" w14:textId="77777777">
      <w:pPr>
        <w:spacing w:line="240" w:lineRule="exact"/>
        <w:rPr>
          <w:rFonts w:ascii="Tahoma" w:eastAsia="Calibri" w:hAnsi="Tahoma" w:cs="Tahoma"/>
          <w:sz w:val="18"/>
          <w:szCs w:val="18"/>
          <w:rtl/>
        </w:rPr>
      </w:pPr>
    </w:p>
    <w:p w:rsidR="002D707E" w:rsidRPr="00D41E88" w:rsidP="00D41E88" w14:paraId="0481BE7F" w14:textId="77777777">
      <w:pPr>
        <w:spacing w:line="240" w:lineRule="exact"/>
        <w:rPr>
          <w:rFonts w:ascii="Tahoma" w:eastAsia="Calibri" w:hAnsi="Tahoma" w:cs="Tahoma"/>
          <w:sz w:val="18"/>
          <w:szCs w:val="18"/>
          <w:rtl/>
        </w:rPr>
      </w:pPr>
    </w:p>
    <w:p w:rsidR="00A0272B" w:rsidRPr="00720CC7" w:rsidP="00A0272B" w14:paraId="51BE340D" w14:textId="67C100B7">
      <w:pPr>
        <w:pStyle w:val="7190"/>
        <w:spacing w:line="360" w:lineRule="auto"/>
      </w:pPr>
      <w:r w:rsidRPr="00720CC7">
        <w:rPr>
          <w:rFonts w:hint="cs"/>
          <w:rtl/>
        </w:rPr>
        <w:t xml:space="preserve">ירושלים, </w:t>
      </w:r>
      <w:r w:rsidR="00FE5CCB">
        <w:rPr>
          <w:rFonts w:hint="cs"/>
          <w:rtl/>
        </w:rPr>
        <w:t>אדר</w:t>
      </w:r>
      <w:r w:rsidRPr="00720CC7">
        <w:rPr>
          <w:rFonts w:hint="cs"/>
          <w:rtl/>
        </w:rPr>
        <w:t xml:space="preserve"> </w:t>
      </w:r>
      <w:r w:rsidRPr="00720CC7">
        <w:rPr>
          <w:rFonts w:hint="cs"/>
          <w:rtl/>
        </w:rPr>
        <w:t>התש</w:t>
      </w:r>
      <w:r w:rsidR="00F347C5">
        <w:rPr>
          <w:rFonts w:hint="cs"/>
          <w:rtl/>
        </w:rPr>
        <w:t>פ</w:t>
      </w:r>
      <w:r w:rsidRPr="00720CC7">
        <w:rPr>
          <w:rFonts w:hint="cs"/>
          <w:rtl/>
        </w:rPr>
        <w:t>"</w:t>
      </w:r>
      <w:r w:rsidR="00F347C5">
        <w:rPr>
          <w:rFonts w:hint="cs"/>
          <w:rtl/>
        </w:rPr>
        <w:t>ג</w:t>
      </w:r>
      <w:r w:rsidRPr="00720CC7">
        <w:rPr>
          <w:rFonts w:hint="cs"/>
          <w:rtl/>
        </w:rPr>
        <w:t xml:space="preserve">, </w:t>
      </w:r>
      <w:r w:rsidR="00FE5CCB">
        <w:rPr>
          <w:rFonts w:hint="cs"/>
          <w:rtl/>
        </w:rPr>
        <w:t>פברואר</w:t>
      </w:r>
      <w:r w:rsidRPr="00720CC7">
        <w:rPr>
          <w:rFonts w:hint="cs"/>
          <w:rtl/>
        </w:rPr>
        <w:t xml:space="preserve"> </w:t>
      </w:r>
      <w:r w:rsidR="00BE3F2A">
        <w:rPr>
          <w:rFonts w:hint="cs"/>
          <w:rtl/>
        </w:rPr>
        <w:t>202</w:t>
      </w:r>
      <w:r w:rsidR="00FE5CCB">
        <w:rPr>
          <w:rFonts w:hint="cs"/>
          <w:rtl/>
        </w:rPr>
        <w:t>3</w:t>
      </w:r>
    </w:p>
    <w:p w:rsidR="00A0272B" w:rsidRPr="00F70ABC" w:rsidP="00A0272B" w14:paraId="08DFAE51" w14:textId="5FCFAA23">
      <w:pPr>
        <w:pStyle w:val="running-text"/>
        <w:bidi/>
        <w:ind w:right="0"/>
        <w:rPr>
          <w:sz w:val="18"/>
          <w:rtl/>
        </w:rPr>
      </w:pPr>
    </w:p>
    <w:p w:rsidR="00EA22FE" w14:paraId="6C1E41D5" w14:textId="77777777">
      <w:pPr>
        <w:bidi w:val="0"/>
        <w:spacing w:after="200" w:line="276" w:lineRule="auto"/>
        <w:rPr>
          <w:lang w:bidi="ar-SA"/>
        </w:rPr>
        <w:sectPr w:rsidSect="00824844">
          <w:headerReference w:type="even" r:id="rId18"/>
          <w:footerReference w:type="even" r:id="rId19"/>
          <w:footerReference w:type="default" r:id="rId20"/>
          <w:footnotePr>
            <w:numRestart w:val="eachSect"/>
          </w:footnotePr>
          <w:pgSz w:w="11906" w:h="16838" w:code="9"/>
          <w:pgMar w:top="3062" w:right="2268" w:bottom="2552" w:left="2268" w:header="1134" w:footer="1304" w:gutter="0"/>
          <w:cols w:space="708"/>
          <w:bidi/>
          <w:rtlGutter/>
          <w:docGrid w:linePitch="360"/>
        </w:sectPr>
      </w:pPr>
    </w:p>
    <w:p w:rsidR="00824844" w14:paraId="64FE3C09" w14:textId="77777777">
      <w:pPr>
        <w:bidi w:val="0"/>
        <w:spacing w:after="200" w:line="276" w:lineRule="auto"/>
        <w:rPr>
          <w:rtl/>
          <w:lang w:bidi="ar-SA"/>
        </w:rPr>
      </w:pPr>
      <w:r>
        <w:rPr>
          <w:rFonts w:cs="Times New Roman"/>
          <w:b/>
          <w:bCs/>
          <w:rtl/>
          <w:lang w:bidi="ar-SA"/>
        </w:rPr>
        <w:br w:type="page"/>
      </w:r>
    </w:p>
    <w:p w:rsidR="00824844" w14:paraId="0F3FF152" w14:textId="6DCB36EB">
      <w:pPr>
        <w:bidi w:val="0"/>
        <w:spacing w:after="200" w:line="276" w:lineRule="auto"/>
        <w:rPr>
          <w:rFonts w:ascii="Arial Bold" w:hAnsi="Arial Bold" w:eastAsiaTheme="majorEastAsia" w:cs="Tahoma"/>
          <w:b/>
          <w:bCs/>
          <w:color w:val="00305F"/>
          <w:sz w:val="34"/>
          <w:szCs w:val="34"/>
          <w:rtl/>
          <w:lang w:bidi="ar-SA"/>
        </w:rPr>
      </w:pPr>
      <w:r>
        <w:rPr>
          <w:noProof/>
          <w:rtl/>
          <w:lang w:val="ar-SA" w:bidi="ar-SA"/>
        </w:rPr>
        <mc:AlternateContent>
          <mc:Choice Requires="wps">
            <w:drawing>
              <wp:anchor distT="0" distB="0" distL="114300" distR="114300" simplePos="0" relativeHeight="251692032" behindDoc="0" locked="0" layoutInCell="1" allowOverlap="1">
                <wp:simplePos x="0" y="0"/>
                <wp:positionH relativeFrom="column">
                  <wp:posOffset>3948249</wp:posOffset>
                </wp:positionH>
                <wp:positionV relativeFrom="paragraph">
                  <wp:posOffset>6987359</wp:posOffset>
                </wp:positionV>
                <wp:extent cx="1469571" cy="914400"/>
                <wp:effectExtent l="12700" t="12700" r="16510" b="12700"/>
                <wp:wrapNone/>
                <wp:docPr id="6" name="מלבן 6"/>
                <wp:cNvGraphicFramePr/>
                <a:graphic xmlns:a="http://schemas.openxmlformats.org/drawingml/2006/main">
                  <a:graphicData uri="http://schemas.microsoft.com/office/word/2010/wordprocessingShape">
                    <wps:wsp xmlns:wps="http://schemas.microsoft.com/office/word/2010/wordprocessingShape">
                      <wps:cNvSpPr/>
                      <wps:spPr>
                        <a:xfrm>
                          <a:off x="0" y="0"/>
                          <a:ext cx="1469571"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6" o:spid="_x0000_s1034" style="width:115.7pt;height:1in;margin-top:550.2pt;margin-left:310.9pt;mso-wrap-distance-bottom:0;mso-wrap-distance-left:9pt;mso-wrap-distance-right:9pt;mso-wrap-distance-top:0;mso-wrap-style:square;position:absolute;visibility:visible;v-text-anchor:middle;z-index:251693056" fillcolor="white" strokecolor="white" strokeweight="2pt"/>
            </w:pict>
          </mc:Fallback>
        </mc:AlternateContent>
      </w:r>
      <w:r>
        <w:rPr>
          <w:noProof/>
          <w:rtl/>
          <w:lang w:val="ar-SA" w:bidi="ar-SA"/>
        </w:rPr>
        <mc:AlternateContent>
          <mc:Choice Requires="wps">
            <w:drawing>
              <wp:anchor distT="0" distB="0" distL="114300" distR="114300" simplePos="0" relativeHeight="251689984" behindDoc="0" locked="0" layoutInCell="1" allowOverlap="1">
                <wp:simplePos x="0" y="0"/>
                <wp:positionH relativeFrom="column">
                  <wp:posOffset>-1415687</wp:posOffset>
                </wp:positionH>
                <wp:positionV relativeFrom="paragraph">
                  <wp:posOffset>-719727</wp:posOffset>
                </wp:positionV>
                <wp:extent cx="6498771" cy="710293"/>
                <wp:effectExtent l="12700" t="12700" r="16510" b="13970"/>
                <wp:wrapNone/>
                <wp:docPr id="3" name="מלבן 3"/>
                <wp:cNvGraphicFramePr/>
                <a:graphic xmlns:a="http://schemas.openxmlformats.org/drawingml/2006/main">
                  <a:graphicData uri="http://schemas.microsoft.com/office/word/2010/wordprocessingShape">
                    <wps:wsp xmlns:wps="http://schemas.microsoft.com/office/word/2010/wordprocessingShape">
                      <wps:cNvSpPr/>
                      <wps:spPr>
                        <a:xfrm>
                          <a:off x="0" y="0"/>
                          <a:ext cx="6498771" cy="7102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 o:spid="_x0000_s1035" style="width:511.7pt;height:55.95pt;margin-top:-56.65pt;margin-left:-111.45pt;mso-wrap-distance-bottom:0;mso-wrap-distance-left:9pt;mso-wrap-distance-right:9pt;mso-wrap-distance-top:0;mso-wrap-style:square;position:absolute;visibility:visible;v-text-anchor:middle;z-index:251691008" fillcolor="white" strokecolor="white" strokeweight="2pt"/>
            </w:pict>
          </mc:Fallback>
        </mc:AlternateContent>
      </w:r>
      <w:r>
        <w:rPr>
          <w:rtl/>
          <w:lang w:bidi="ar-SA"/>
        </w:rPr>
        <w:br w:type="page"/>
      </w:r>
    </w:p>
    <w:p w:rsidR="002567BE" w:rsidRPr="00927FC0" w:rsidP="002567BE" w14:paraId="2AEFF398" w14:textId="10EDD639">
      <w:pPr>
        <w:pStyle w:val="KOT1N"/>
        <w:bidi/>
        <w:spacing w:after="600"/>
        <w:jc w:val="left"/>
        <w:rPr>
          <w:rtl/>
        </w:rPr>
      </w:pPr>
      <w:r w:rsidRPr="00A81021">
        <w:rPr>
          <w:rtl/>
          <w:lang w:bidi="ar-SA"/>
        </w:rPr>
        <w:t xml:space="preserve">المقدمة </w:t>
      </w:r>
      <w:r w:rsidR="00D1100E">
        <w:rPr>
          <w:rFonts w:hint="cs"/>
          <w:rtl/>
        </w:rPr>
        <w:t xml:space="preserve"> </w:t>
      </w:r>
    </w:p>
    <w:p w:rsidR="00342EBC" w:rsidRPr="00C94C05" w:rsidP="00C94C05" w14:paraId="5CD807A0" w14:textId="00B9852B">
      <w:pPr>
        <w:pStyle w:val="7193"/>
        <w:spacing w:line="324" w:lineRule="auto"/>
        <w:rPr>
          <w:rFonts w:eastAsia="Calibri" w:asciiTheme="majorBidi" w:hAnsiTheme="majorBidi" w:cstheme="majorBidi"/>
          <w:color w:val="auto"/>
          <w:sz w:val="24"/>
          <w:szCs w:val="24"/>
          <w:rtl/>
        </w:rPr>
      </w:pPr>
      <w:r w:rsidRPr="00C94C05">
        <w:rPr>
          <w:rFonts w:eastAsia="Calibri" w:asciiTheme="majorBidi" w:hAnsiTheme="majorBidi" w:cstheme="majorBidi"/>
          <w:color w:val="auto"/>
          <w:sz w:val="24"/>
          <w:szCs w:val="24"/>
          <w:rtl/>
          <w:lang w:bidi="ar-SA"/>
        </w:rPr>
        <w:t xml:space="preserve">هذا التقرير هو الجزء الثاني من تقرير الرقابة السنوية، الموضوع على طاولة الكنيست بموجب قانون مراقب الدولة، </w:t>
      </w:r>
      <w:r w:rsidRPr="00C94C05">
        <w:rPr>
          <w:rFonts w:eastAsia="Calibri" w:asciiTheme="majorBidi" w:hAnsiTheme="majorBidi" w:cstheme="majorBidi"/>
          <w:color w:val="auto"/>
          <w:sz w:val="24"/>
          <w:szCs w:val="24"/>
          <w:rtl/>
        </w:rPr>
        <w:t>1958 [</w:t>
      </w:r>
      <w:r w:rsidRPr="00C94C05">
        <w:rPr>
          <w:rFonts w:eastAsia="Calibri" w:asciiTheme="majorBidi" w:hAnsiTheme="majorBidi" w:cstheme="majorBidi"/>
          <w:color w:val="auto"/>
          <w:sz w:val="24"/>
          <w:szCs w:val="24"/>
          <w:rtl/>
          <w:lang w:bidi="ar-SA"/>
        </w:rPr>
        <w:t>صيغة مدموجة</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يتناول هذا التقرير بمعظمة جهاز الأمن، وجزء منه يتعامل مع سلطة تبييض الأموال</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عدا عن الفصول التي يتم نشرها في هذا التقرير، يوجد فصلين تم تقديمهما لرئيس الحكومة بخصوص جهوزية واستعداد حكومة اسرائيل وجهاز الأمن للتعامل مع تهديدات</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من الحلقة الثالثة، ولكن لحساسيتهم الأمنية وبهدف الحفاظ على أمن الدولة لن يتم نشرهما للجمهور</w:t>
      </w:r>
      <w:r w:rsidRPr="00C94C05">
        <w:rPr>
          <w:rFonts w:eastAsia="Calibri" w:asciiTheme="majorBidi" w:hAnsiTheme="majorBidi" w:cstheme="majorBidi"/>
          <w:color w:val="auto"/>
          <w:sz w:val="24"/>
          <w:szCs w:val="24"/>
          <w:rtl/>
        </w:rPr>
        <w:t xml:space="preserve">. </w:t>
      </w:r>
    </w:p>
    <w:p w:rsidR="00342EBC" w:rsidRPr="00C94C05" w:rsidP="00C94C05" w14:paraId="66A9742B" w14:textId="211876F8">
      <w:pPr>
        <w:pStyle w:val="7193"/>
        <w:spacing w:line="324" w:lineRule="auto"/>
        <w:rPr>
          <w:rFonts w:eastAsia="Calibri" w:asciiTheme="majorBidi" w:hAnsiTheme="majorBidi" w:cstheme="majorBidi"/>
          <w:color w:val="auto"/>
          <w:sz w:val="24"/>
          <w:szCs w:val="24"/>
          <w:rtl/>
        </w:rPr>
      </w:pPr>
      <w:r w:rsidRPr="00C94C05">
        <w:rPr>
          <w:rFonts w:eastAsia="Calibri" w:asciiTheme="majorBidi" w:hAnsiTheme="majorBidi" w:cstheme="majorBidi"/>
          <w:color w:val="auto"/>
          <w:sz w:val="24"/>
          <w:szCs w:val="24"/>
          <w:rtl/>
          <w:lang w:bidi="ar-SA"/>
        </w:rPr>
        <w:t>يعبر هذا التقرير عن رؤية مكتب مراقب الدولة، وبموجبه سنعمل على تحويل رقابة الدولة الى رقابة مبتكرة، ذات علاقة، فعالة ومحفزة للعمل</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يشمل هذا التقرير </w:t>
      </w:r>
      <w:r w:rsidR="008D7EA1">
        <w:rPr>
          <w:rFonts w:eastAsia="Calibri" w:asciiTheme="majorBidi" w:hAnsiTheme="majorBidi" w:cstheme="majorBidi" w:hint="cs"/>
          <w:color w:val="auto"/>
          <w:sz w:val="24"/>
          <w:szCs w:val="24"/>
          <w:rtl/>
        </w:rPr>
        <w:t>15</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فصلا بمواضيع مختلفة ومتنوعة تتعلق بجهاز الأمن</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في مجال العمليات، في مجالات النشاطات الوطنية </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الاستراتيجية، في المجال المالي وفي مجال الظروف المعيشية لمن يخدم في جيش الدفاع الاسرائيلي والمزيد</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جميع المواضيع </w:t>
      </w:r>
      <w:r w:rsidRPr="00C94C05">
        <w:rPr>
          <w:rFonts w:eastAsia="Calibri" w:asciiTheme="majorBidi" w:hAnsiTheme="majorBidi" w:cstheme="majorBidi"/>
          <w:color w:val="auto"/>
          <w:sz w:val="24"/>
          <w:szCs w:val="24"/>
          <w:rtl/>
          <w:lang w:bidi="ar-SA"/>
        </w:rPr>
        <w:t>هامة</w:t>
      </w:r>
      <w:r w:rsidRPr="00C94C05">
        <w:rPr>
          <w:rFonts w:eastAsia="Calibri" w:asciiTheme="majorBidi" w:hAnsiTheme="majorBidi" w:cstheme="majorBidi"/>
          <w:color w:val="auto"/>
          <w:sz w:val="24"/>
          <w:szCs w:val="24"/>
          <w:rtl/>
          <w:lang w:bidi="ar-SA"/>
        </w:rPr>
        <w:t>، لكن لن نستطيع ذكرها جميعها في المقدمة</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ولهذا سيتم ذكر البضع منها</w:t>
      </w:r>
      <w:r w:rsidRPr="00C94C05">
        <w:rPr>
          <w:rFonts w:eastAsia="Calibri" w:asciiTheme="majorBidi" w:hAnsiTheme="majorBidi" w:cstheme="majorBidi"/>
          <w:color w:val="auto"/>
          <w:sz w:val="24"/>
          <w:szCs w:val="24"/>
          <w:rtl/>
        </w:rPr>
        <w:t xml:space="preserve">: </w:t>
      </w:r>
    </w:p>
    <w:p w:rsidR="00342EBC" w:rsidRPr="00C94C05" w:rsidP="00C94C05" w14:paraId="110C86DE" w14:textId="1CEC1780">
      <w:pPr>
        <w:pStyle w:val="7193"/>
        <w:numPr>
          <w:ilvl w:val="0"/>
          <w:numId w:val="43"/>
        </w:numPr>
        <w:spacing w:line="324" w:lineRule="auto"/>
        <w:rPr>
          <w:rFonts w:eastAsia="Calibri" w:asciiTheme="majorBidi" w:hAnsiTheme="majorBidi" w:cstheme="majorBidi"/>
          <w:color w:val="auto"/>
          <w:sz w:val="24"/>
          <w:szCs w:val="24"/>
          <w:rtl/>
        </w:rPr>
      </w:pPr>
      <w:r w:rsidRPr="00C94C05">
        <w:rPr>
          <w:rFonts w:eastAsia="Calibri" w:asciiTheme="majorBidi" w:hAnsiTheme="majorBidi" w:cstheme="majorBidi"/>
          <w:b/>
          <w:bCs/>
          <w:color w:val="auto"/>
          <w:sz w:val="24"/>
          <w:szCs w:val="24"/>
          <w:rtl/>
          <w:lang w:bidi="ar-SA"/>
        </w:rPr>
        <w:t>مجال الفضاء</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يعتبر مجال الفضاء مجالا استراتيجيا لدولة اسرائيل، وقد تزايدت أهميته للأمن القومي خلال السنوات الأخيرة</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منذ منتصف التسعينات، دأب جهاز الأمن على تشغيل مجموعة من الأقمار الاصطناعية لجمع المعلومات الاستخبارية من الفضاء، ومن ضمنها العديد من أقمار </w:t>
      </w:r>
      <w:r w:rsidRPr="00C94C05">
        <w:rPr>
          <w:rFonts w:eastAsia="Calibri" w:asciiTheme="majorBidi" w:hAnsiTheme="majorBidi" w:cstheme="majorBidi"/>
          <w:color w:val="auto"/>
          <w:sz w:val="24"/>
          <w:szCs w:val="24"/>
          <w:rtl/>
        </w:rPr>
        <w:t>"</w:t>
      </w:r>
      <w:r w:rsidRPr="00C94C05">
        <w:rPr>
          <w:rFonts w:eastAsia="Calibri" w:asciiTheme="majorBidi" w:hAnsiTheme="majorBidi" w:cstheme="majorBidi"/>
          <w:color w:val="auto"/>
          <w:sz w:val="24"/>
          <w:szCs w:val="24"/>
          <w:rtl/>
          <w:lang w:bidi="ar-SA"/>
        </w:rPr>
        <w:t>أوفك</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مديرية برنامج </w:t>
      </w:r>
      <w:r w:rsidRPr="00C94C05">
        <w:rPr>
          <w:rFonts w:eastAsia="Calibri" w:asciiTheme="majorBidi" w:hAnsiTheme="majorBidi" w:cstheme="majorBidi"/>
          <w:color w:val="auto"/>
          <w:sz w:val="24"/>
          <w:szCs w:val="24"/>
          <w:rtl/>
        </w:rPr>
        <w:t>"</w:t>
      </w:r>
      <w:r w:rsidRPr="00C94C05">
        <w:rPr>
          <w:rFonts w:eastAsia="Calibri" w:asciiTheme="majorBidi" w:hAnsiTheme="majorBidi" w:cstheme="majorBidi"/>
          <w:color w:val="auto"/>
          <w:sz w:val="24"/>
          <w:szCs w:val="24"/>
          <w:rtl/>
          <w:lang w:bidi="ar-SA"/>
        </w:rPr>
        <w:t>تحدي</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مسؤولة عن تطوير وصناعة الأقمار الصناعية لجهاز الأمن، وميزانيتها في السنوات </w:t>
      </w:r>
      <w:r w:rsidRPr="00C94C05">
        <w:rPr>
          <w:rFonts w:eastAsia="Calibri" w:asciiTheme="majorBidi" w:hAnsiTheme="majorBidi" w:cstheme="majorBidi"/>
          <w:color w:val="auto"/>
          <w:sz w:val="24"/>
          <w:szCs w:val="24"/>
          <w:rtl/>
        </w:rPr>
        <w:t xml:space="preserve">2016- 2024 </w:t>
      </w:r>
      <w:r w:rsidRPr="00C94C05">
        <w:rPr>
          <w:rFonts w:eastAsia="Calibri" w:asciiTheme="majorBidi" w:hAnsiTheme="majorBidi" w:cstheme="majorBidi"/>
          <w:color w:val="auto"/>
          <w:sz w:val="24"/>
          <w:szCs w:val="24"/>
          <w:rtl/>
          <w:lang w:bidi="ar-SA"/>
        </w:rPr>
        <w:t>تصل</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الى</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عدة مئات الملايين من </w:t>
      </w:r>
      <w:r w:rsidRPr="00C94C05">
        <w:rPr>
          <w:rFonts w:eastAsia="Calibri" w:asciiTheme="majorBidi" w:hAnsiTheme="majorBidi" w:cstheme="majorBidi"/>
          <w:color w:val="auto"/>
          <w:sz w:val="24"/>
          <w:szCs w:val="24"/>
          <w:rtl/>
          <w:lang w:bidi="ar-SA"/>
        </w:rPr>
        <w:t>الشواقل</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وجدت أوجه قصور في الرقابة </w:t>
      </w:r>
      <w:r w:rsidRPr="00C94C05">
        <w:rPr>
          <w:rFonts w:eastAsia="Calibri" w:asciiTheme="majorBidi" w:hAnsiTheme="majorBidi" w:cstheme="majorBidi"/>
          <w:color w:val="auto"/>
          <w:sz w:val="24"/>
          <w:szCs w:val="24"/>
          <w:rtl/>
          <w:lang w:bidi="ar-SA"/>
        </w:rPr>
        <w:t xml:space="preserve">بموضوع  </w:t>
      </w:r>
      <w:r w:rsidRPr="00C94C05">
        <w:rPr>
          <w:rFonts w:eastAsia="Calibri" w:asciiTheme="majorBidi" w:hAnsiTheme="majorBidi" w:cstheme="majorBidi"/>
          <w:b/>
          <w:bCs/>
          <w:color w:val="auto"/>
          <w:sz w:val="24"/>
          <w:szCs w:val="24"/>
          <w:rtl/>
          <w:lang w:bidi="ar-SA"/>
        </w:rPr>
        <w:t>مديرية</w:t>
      </w:r>
      <w:r w:rsidRPr="00C94C05">
        <w:rPr>
          <w:rFonts w:eastAsia="Calibri" w:asciiTheme="majorBidi" w:hAnsiTheme="majorBidi" w:cstheme="majorBidi"/>
          <w:b/>
          <w:bCs/>
          <w:color w:val="auto"/>
          <w:sz w:val="24"/>
          <w:szCs w:val="24"/>
          <w:rtl/>
          <w:lang w:bidi="ar-SA"/>
        </w:rPr>
        <w:t xml:space="preserve"> برنامج </w:t>
      </w:r>
      <w:r w:rsidRPr="00C94C05">
        <w:rPr>
          <w:rFonts w:eastAsia="Calibri" w:asciiTheme="majorBidi" w:hAnsiTheme="majorBidi" w:cstheme="majorBidi"/>
          <w:b/>
          <w:bCs/>
          <w:color w:val="auto"/>
          <w:sz w:val="24"/>
          <w:szCs w:val="24"/>
          <w:rtl/>
        </w:rPr>
        <w:t>"</w:t>
      </w:r>
      <w:r w:rsidRPr="00C94C05">
        <w:rPr>
          <w:rFonts w:eastAsia="Calibri" w:asciiTheme="majorBidi" w:hAnsiTheme="majorBidi" w:cstheme="majorBidi"/>
          <w:b/>
          <w:bCs/>
          <w:color w:val="auto"/>
          <w:sz w:val="24"/>
          <w:szCs w:val="24"/>
          <w:rtl/>
          <w:lang w:bidi="ar-SA"/>
        </w:rPr>
        <w:t>تحدي</w:t>
      </w:r>
      <w:r w:rsidRPr="00C94C05">
        <w:rPr>
          <w:rFonts w:eastAsia="Calibri" w:asciiTheme="majorBidi" w:hAnsiTheme="majorBidi" w:cstheme="majorBidi"/>
          <w:b/>
          <w:bCs/>
          <w:color w:val="auto"/>
          <w:sz w:val="24"/>
          <w:szCs w:val="24"/>
          <w:rtl/>
        </w:rPr>
        <w:t xml:space="preserve">"- </w:t>
      </w:r>
      <w:r w:rsidRPr="008D7EA1" w:rsidR="008D7EA1">
        <w:rPr>
          <w:rFonts w:eastAsia="Calibri" w:asciiTheme="majorBidi" w:hAnsiTheme="majorBidi" w:cs="Times New Roman"/>
          <w:b/>
          <w:bCs/>
          <w:color w:val="auto"/>
          <w:sz w:val="24"/>
          <w:szCs w:val="24"/>
          <w:rtl/>
          <w:lang w:bidi="ar-SA"/>
        </w:rPr>
        <w:t>اللأقمار</w:t>
      </w:r>
      <w:r w:rsidRPr="008D7EA1" w:rsidR="008D7EA1">
        <w:rPr>
          <w:rFonts w:eastAsia="Calibri" w:asciiTheme="majorBidi" w:hAnsiTheme="majorBidi" w:cs="Times New Roman"/>
          <w:b/>
          <w:bCs/>
          <w:color w:val="auto"/>
          <w:sz w:val="24"/>
          <w:szCs w:val="24"/>
          <w:rtl/>
          <w:lang w:bidi="ar-SA"/>
        </w:rPr>
        <w:t xml:space="preserve"> </w:t>
      </w:r>
      <w:r w:rsidRPr="00C94C05">
        <w:rPr>
          <w:rFonts w:eastAsia="Calibri" w:asciiTheme="majorBidi" w:hAnsiTheme="majorBidi" w:cstheme="majorBidi"/>
          <w:b/>
          <w:bCs/>
          <w:color w:val="auto"/>
          <w:sz w:val="24"/>
          <w:szCs w:val="24"/>
          <w:rtl/>
          <w:lang w:bidi="ar-SA"/>
        </w:rPr>
        <w:t>الاصطناعية في جهاز الأمن</w:t>
      </w:r>
      <w:r w:rsidRPr="00C94C05">
        <w:rPr>
          <w:rFonts w:eastAsia="Calibri" w:asciiTheme="majorBidi" w:hAnsiTheme="majorBidi" w:cstheme="majorBidi"/>
          <w:color w:val="auto"/>
          <w:sz w:val="24"/>
          <w:szCs w:val="24"/>
          <w:rtl/>
          <w:lang w:bidi="ar-SA"/>
        </w:rPr>
        <w:t>، من بينها عدم تحديد سياسة وطنية في مجال الفضاء المدني والعسكري وبرنامج فضاء وطني، وعدم ترتيب وتنظيم مجال الفضاء على المستوى الوطني</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بالإضافة الى ذلك، كشفت الرقابة عن فجوات معينة في توفير الاستجابة </w:t>
      </w:r>
      <w:r w:rsidRPr="00C94C05">
        <w:rPr>
          <w:rFonts w:eastAsia="Calibri" w:asciiTheme="majorBidi" w:hAnsiTheme="majorBidi" w:cstheme="majorBidi"/>
          <w:color w:val="auto"/>
          <w:sz w:val="24"/>
          <w:szCs w:val="24"/>
          <w:rtl/>
          <w:lang w:bidi="ar-SA"/>
        </w:rPr>
        <w:t>المطلوبة  للاحتياجات</w:t>
      </w:r>
      <w:r w:rsidRPr="00C94C05">
        <w:rPr>
          <w:rFonts w:eastAsia="Calibri" w:asciiTheme="majorBidi" w:hAnsiTheme="majorBidi" w:cstheme="majorBidi"/>
          <w:color w:val="auto"/>
          <w:sz w:val="24"/>
          <w:szCs w:val="24"/>
          <w:rtl/>
          <w:lang w:bidi="ar-SA"/>
        </w:rPr>
        <w:t xml:space="preserve"> العملية لجيش الدفاع الاسرائيلي في موضوع الأقمار الاصطناعية</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 xml:space="preserve">نظرا لأهمية مجال الفضاء لدولة اسرائيل يوصى بأن تقوم قيادة جيش الأمن القومي، وزارة الأمن وجيش الدفاع الاسرائيلي بصياغة مفهوم شامل </w:t>
      </w:r>
      <w:r w:rsidRPr="00C94C05">
        <w:rPr>
          <w:rFonts w:eastAsia="Calibri" w:asciiTheme="majorBidi" w:hAnsiTheme="majorBidi" w:cstheme="majorBidi"/>
          <w:color w:val="auto"/>
          <w:sz w:val="24"/>
          <w:szCs w:val="24"/>
          <w:rtl/>
        </w:rPr>
        <w:t>(</w:t>
      </w:r>
      <w:r w:rsidRPr="00C94C05">
        <w:rPr>
          <w:rFonts w:eastAsia="Calibri" w:asciiTheme="majorBidi" w:hAnsiTheme="majorBidi" w:cstheme="majorBidi"/>
          <w:color w:val="auto"/>
          <w:sz w:val="24"/>
          <w:szCs w:val="24"/>
          <w:rtl/>
          <w:lang w:bidi="ar-SA"/>
        </w:rPr>
        <w:t>مدني وعسكري</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في مجال الفضاء، وتحديد أي موارد مطلوبة لتحقيقها وعرضها أمام المجلس السياسي</w:t>
      </w:r>
      <w:r w:rsidRPr="00C94C05">
        <w:rPr>
          <w:rFonts w:eastAsia="Calibri" w:asciiTheme="majorBidi" w:hAnsiTheme="majorBidi" w:cstheme="majorBidi"/>
          <w:color w:val="auto"/>
          <w:sz w:val="24"/>
          <w:szCs w:val="24"/>
          <w:rtl/>
        </w:rPr>
        <w:t xml:space="preserve">- </w:t>
      </w:r>
      <w:r w:rsidRPr="00C94C05">
        <w:rPr>
          <w:rFonts w:eastAsia="Calibri" w:asciiTheme="majorBidi" w:hAnsiTheme="majorBidi" w:cstheme="majorBidi"/>
          <w:color w:val="auto"/>
          <w:sz w:val="24"/>
          <w:szCs w:val="24"/>
          <w:rtl/>
          <w:lang w:bidi="ar-SA"/>
        </w:rPr>
        <w:t>الأمني المصغر</w:t>
      </w:r>
      <w:r w:rsidRPr="00C94C05">
        <w:rPr>
          <w:rFonts w:eastAsia="Calibri" w:asciiTheme="majorBidi" w:hAnsiTheme="majorBidi" w:cstheme="majorBidi"/>
          <w:color w:val="auto"/>
          <w:sz w:val="24"/>
          <w:szCs w:val="24"/>
          <w:rtl/>
        </w:rPr>
        <w:t xml:space="preserve">. </w:t>
      </w:r>
    </w:p>
    <w:p w:rsidR="00342EBC" w:rsidRPr="00C94C05" w:rsidP="00C94C05" w14:paraId="6BFE4CC6" w14:textId="77777777">
      <w:pPr>
        <w:pStyle w:val="7193"/>
        <w:numPr>
          <w:ilvl w:val="0"/>
          <w:numId w:val="43"/>
        </w:numPr>
        <w:spacing w:line="324" w:lineRule="auto"/>
        <w:rPr>
          <w:rFonts w:eastAsia="Calibri" w:asciiTheme="majorBidi" w:hAnsiTheme="majorBidi" w:cstheme="majorBidi"/>
          <w:color w:val="auto"/>
          <w:szCs w:val="24"/>
          <w:lang w:bidi="ar-SA"/>
        </w:rPr>
      </w:pPr>
      <w:r w:rsidRPr="00C94C05">
        <w:rPr>
          <w:rFonts w:eastAsia="Calibri" w:asciiTheme="majorBidi" w:hAnsiTheme="majorBidi" w:cstheme="majorBidi"/>
          <w:b/>
          <w:bCs/>
          <w:color w:val="auto"/>
          <w:szCs w:val="24"/>
          <w:rtl/>
          <w:lang w:bidi="ar-SA"/>
        </w:rPr>
        <w:t>سفن الصواريخ في أمن المجال البحري في الحروب</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شاطئ دولة اسرائيل يعتبر البوابة الأساسية لتجارتها الخارجية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المجال البحري الذي يمتد من الشاطئ حتى مسافة حوالي </w:t>
      </w:r>
      <w:r w:rsidRPr="00C94C05">
        <w:rPr>
          <w:rFonts w:eastAsia="Calibri" w:asciiTheme="majorBidi" w:hAnsiTheme="majorBidi" w:cstheme="majorBidi"/>
          <w:color w:val="auto"/>
          <w:szCs w:val="24"/>
          <w:rtl/>
        </w:rPr>
        <w:t xml:space="preserve">115 </w:t>
      </w:r>
      <w:r w:rsidRPr="00C94C05">
        <w:rPr>
          <w:rFonts w:eastAsia="Calibri" w:asciiTheme="majorBidi" w:hAnsiTheme="majorBidi" w:cstheme="majorBidi"/>
          <w:color w:val="auto"/>
          <w:szCs w:val="24"/>
          <w:rtl/>
          <w:lang w:bidi="ar-SA"/>
        </w:rPr>
        <w:t xml:space="preserve">ميل بحري يعتبر المنطقة الاقتصادية الحصرية لدولة اسرائيل ويسمى أيضا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المياه الاقتصادية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كشفت الرقابة بموضوع </w:t>
      </w:r>
      <w:r w:rsidRPr="00C94C05">
        <w:rPr>
          <w:rFonts w:eastAsia="Calibri" w:asciiTheme="majorBidi" w:hAnsiTheme="majorBidi" w:cstheme="majorBidi"/>
          <w:b/>
          <w:bCs/>
          <w:color w:val="auto"/>
          <w:szCs w:val="24"/>
          <w:rtl/>
          <w:lang w:bidi="ar-SA"/>
        </w:rPr>
        <w:t>سفن الصواريخ في حماية المجال البحري في الحروب</w:t>
      </w:r>
      <w:r w:rsidRPr="00C94C05">
        <w:rPr>
          <w:rFonts w:eastAsia="Calibri" w:asciiTheme="majorBidi" w:hAnsiTheme="majorBidi" w:cstheme="majorBidi"/>
          <w:color w:val="auto"/>
          <w:szCs w:val="24"/>
          <w:rtl/>
          <w:lang w:bidi="ar-SA"/>
        </w:rPr>
        <w:t xml:space="preserve"> أنه في فترة الرقابة كانت هناك ثلاث منصات غاز في المياه الاقتصادية لدولة اسرائيل بالإضافة الى سفينة دعم جزئية </w:t>
      </w:r>
      <w:r w:rsidRPr="00C94C05">
        <w:rPr>
          <w:rFonts w:eastAsia="Calibri" w:asciiTheme="majorBidi" w:hAnsiTheme="majorBidi" w:cstheme="majorBidi"/>
          <w:color w:val="auto"/>
          <w:szCs w:val="24"/>
          <w:rtl/>
          <w:lang w:bidi="ar-SA"/>
        </w:rPr>
        <w:t>وكلها  مهددة</w:t>
      </w:r>
      <w:r w:rsidRPr="00C94C05">
        <w:rPr>
          <w:rFonts w:eastAsia="Calibri" w:asciiTheme="majorBidi" w:hAnsiTheme="majorBidi" w:cstheme="majorBidi"/>
          <w:color w:val="auto"/>
          <w:szCs w:val="24"/>
          <w:rtl/>
          <w:lang w:bidi="ar-SA"/>
        </w:rPr>
        <w:t xml:space="preserve"> من قبل جهات مختلفة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بهدف حماية المياه الاقتصادية تم شراء أربع سفن صواريخ من نوع </w:t>
      </w:r>
      <w:r w:rsidRPr="00C94C05">
        <w:rPr>
          <w:rFonts w:eastAsia="Calibri" w:asciiTheme="majorBidi" w:hAnsiTheme="majorBidi" w:cstheme="majorBidi"/>
          <w:color w:val="auto"/>
          <w:szCs w:val="24"/>
          <w:rtl/>
          <w:lang w:bidi="ar-SA"/>
        </w:rPr>
        <w:t>ساعار</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6</w:t>
      </w:r>
      <w:r w:rsidRPr="00C94C05">
        <w:rPr>
          <w:rFonts w:eastAsia="Calibri" w:asciiTheme="majorBidi" w:hAnsiTheme="majorBidi" w:cstheme="majorBidi"/>
          <w:color w:val="auto"/>
          <w:szCs w:val="24"/>
          <w:rtl/>
          <w:lang w:bidi="ar-SA"/>
        </w:rPr>
        <w:t xml:space="preserve">، لكن حصل تأخير أربع سنوات في </w:t>
      </w:r>
      <w:r w:rsidRPr="00C94C05">
        <w:rPr>
          <w:rFonts w:eastAsia="Calibri" w:asciiTheme="majorBidi" w:hAnsiTheme="majorBidi" w:cstheme="majorBidi"/>
          <w:color w:val="auto"/>
          <w:szCs w:val="24"/>
          <w:rtl/>
          <w:lang w:bidi="ar-SA"/>
        </w:rPr>
        <w:t>إستكمال</w:t>
      </w:r>
      <w:r w:rsidRPr="00C94C05">
        <w:rPr>
          <w:rFonts w:eastAsia="Calibri" w:asciiTheme="majorBidi" w:hAnsiTheme="majorBidi" w:cstheme="majorBidi"/>
          <w:color w:val="auto"/>
          <w:szCs w:val="24"/>
          <w:rtl/>
          <w:lang w:bidi="ar-SA"/>
        </w:rPr>
        <w:t xml:space="preserve"> عملها، والذي كان من المفترض أن يبدأ سنة </w:t>
      </w:r>
      <w:r w:rsidRPr="00C94C05">
        <w:rPr>
          <w:rFonts w:eastAsia="Calibri" w:asciiTheme="majorBidi" w:hAnsiTheme="majorBidi" w:cstheme="majorBidi"/>
          <w:color w:val="auto"/>
          <w:szCs w:val="24"/>
          <w:rtl/>
        </w:rPr>
        <w:t xml:space="preserve">2019. </w:t>
      </w:r>
      <w:r w:rsidRPr="00C94C05">
        <w:rPr>
          <w:rFonts w:eastAsia="Calibri" w:asciiTheme="majorBidi" w:hAnsiTheme="majorBidi" w:cstheme="majorBidi"/>
          <w:color w:val="auto"/>
          <w:szCs w:val="24"/>
          <w:rtl/>
          <w:lang w:bidi="ar-SA"/>
        </w:rPr>
        <w:t>على ضوء تطور التهديدات، يوصى بأن يوجه رئيس الأركان فحصا للحاجة العملياتية لقوات أسطول السفن البحرية في ذراع البحر وصياغة خطة بناء قوى وفقا لنتائجه، ويوصى بأن يتم تطبيق الخطة وتنفيذها بشكل دوري وفقا للسيناريوهات المرجعية المحدثة</w:t>
      </w:r>
      <w:r w:rsidRPr="00C94C05">
        <w:rPr>
          <w:rFonts w:eastAsia="Calibri" w:asciiTheme="majorBidi" w:hAnsiTheme="majorBidi" w:cstheme="majorBidi"/>
          <w:color w:val="auto"/>
          <w:szCs w:val="24"/>
          <w:rtl/>
        </w:rPr>
        <w:t xml:space="preserve">.  </w:t>
      </w:r>
    </w:p>
    <w:p w:rsidR="00342EBC" w:rsidRPr="00C94C05" w:rsidP="00C94C05" w14:paraId="09C96A28" w14:textId="36820828">
      <w:pPr>
        <w:pStyle w:val="7193"/>
        <w:numPr>
          <w:ilvl w:val="0"/>
          <w:numId w:val="43"/>
        </w:numPr>
        <w:spacing w:line="324" w:lineRule="auto"/>
        <w:rPr>
          <w:rFonts w:eastAsia="Calibri" w:asciiTheme="majorBidi" w:hAnsiTheme="majorBidi" w:cstheme="majorBidi"/>
          <w:color w:val="auto"/>
          <w:szCs w:val="24"/>
          <w:rtl/>
        </w:rPr>
      </w:pPr>
      <w:r w:rsidRPr="00C94C05">
        <w:rPr>
          <w:rFonts w:eastAsia="Calibri" w:asciiTheme="majorBidi" w:hAnsiTheme="majorBidi" w:cstheme="majorBidi"/>
          <w:b/>
          <w:bCs/>
          <w:color w:val="auto"/>
          <w:szCs w:val="24"/>
          <w:rtl/>
          <w:lang w:bidi="ar-SA"/>
        </w:rPr>
        <w:t>نجاعة عقبة خط التماس</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في يوليو </w:t>
      </w:r>
      <w:r w:rsidRPr="00C94C05">
        <w:rPr>
          <w:rFonts w:eastAsia="Calibri" w:asciiTheme="majorBidi" w:hAnsiTheme="majorBidi" w:cstheme="majorBidi"/>
          <w:color w:val="auto"/>
          <w:szCs w:val="24"/>
          <w:rtl/>
        </w:rPr>
        <w:t xml:space="preserve">2001 </w:t>
      </w:r>
      <w:r w:rsidRPr="00C94C05">
        <w:rPr>
          <w:rFonts w:eastAsia="Calibri" w:asciiTheme="majorBidi" w:hAnsiTheme="majorBidi" w:cstheme="majorBidi"/>
          <w:color w:val="auto"/>
          <w:szCs w:val="24"/>
          <w:rtl/>
          <w:lang w:bidi="ar-SA"/>
        </w:rPr>
        <w:t>قرر المجلس الوزاري السياسي</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الأمني المصغر الموافقة على برنامج شامل بخصوص مجال التماس، وهدفه  </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التعامل الناجع مع الإرهاب</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لسوء الحظ، في النصف الأول من سنة </w:t>
      </w:r>
      <w:r w:rsidRPr="00C94C05">
        <w:rPr>
          <w:rFonts w:eastAsia="Calibri" w:asciiTheme="majorBidi" w:hAnsiTheme="majorBidi" w:cstheme="majorBidi"/>
          <w:color w:val="auto"/>
          <w:szCs w:val="24"/>
          <w:rtl/>
        </w:rPr>
        <w:t xml:space="preserve">2022 </w:t>
      </w:r>
      <w:r w:rsidRPr="00C94C05">
        <w:rPr>
          <w:rFonts w:eastAsia="Calibri" w:asciiTheme="majorBidi" w:hAnsiTheme="majorBidi" w:cstheme="majorBidi"/>
          <w:color w:val="auto"/>
          <w:szCs w:val="24"/>
          <w:rtl/>
          <w:lang w:bidi="ar-SA"/>
        </w:rPr>
        <w:t xml:space="preserve">قام ارهابيون تسللوا الى اسرائيل عن طريق فتحات في جدار خط التماس بتنفيذ </w:t>
      </w:r>
      <w:r w:rsidRPr="00C94C05">
        <w:rPr>
          <w:rFonts w:eastAsia="Calibri" w:asciiTheme="majorBidi" w:hAnsiTheme="majorBidi" w:cstheme="majorBidi"/>
          <w:color w:val="auto"/>
          <w:szCs w:val="24"/>
          <w:rtl/>
          <w:lang w:bidi="ar-SA"/>
        </w:rPr>
        <w:t>ثلاثة</w:t>
      </w:r>
      <w:r w:rsidRPr="00C94C05">
        <w:rPr>
          <w:rFonts w:eastAsia="Calibri" w:asciiTheme="majorBidi" w:hAnsiTheme="majorBidi" w:cstheme="majorBidi"/>
          <w:color w:val="auto"/>
          <w:szCs w:val="24"/>
          <w:rtl/>
          <w:lang w:bidi="ar-SA"/>
        </w:rPr>
        <w:t xml:space="preserve"> عمليات أدت الى مقتل </w:t>
      </w:r>
      <w:r w:rsidRPr="00C94C05">
        <w:rPr>
          <w:rFonts w:eastAsia="Calibri" w:asciiTheme="majorBidi" w:hAnsiTheme="majorBidi" w:cstheme="majorBidi"/>
          <w:color w:val="auto"/>
          <w:szCs w:val="24"/>
          <w:rtl/>
        </w:rPr>
        <w:t xml:space="preserve">11 </w:t>
      </w:r>
      <w:r w:rsidRPr="00C94C05">
        <w:rPr>
          <w:rFonts w:eastAsia="Calibri" w:asciiTheme="majorBidi" w:hAnsiTheme="majorBidi" w:cstheme="majorBidi"/>
          <w:color w:val="auto"/>
          <w:szCs w:val="24"/>
          <w:rtl/>
          <w:lang w:bidi="ar-SA"/>
        </w:rPr>
        <w:t>شخصا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في الرقابة بموضوع </w:t>
      </w:r>
      <w:r w:rsidRPr="00C94C05">
        <w:rPr>
          <w:rFonts w:eastAsia="Calibri" w:asciiTheme="majorBidi" w:hAnsiTheme="majorBidi" w:cstheme="majorBidi"/>
          <w:b/>
          <w:bCs/>
          <w:color w:val="auto"/>
          <w:szCs w:val="24"/>
          <w:rtl/>
          <w:lang w:bidi="ar-SA"/>
        </w:rPr>
        <w:t>نجاعة عقبة خط التماس</w:t>
      </w:r>
      <w:r w:rsidRPr="00C94C05">
        <w:rPr>
          <w:rFonts w:eastAsia="Calibri" w:asciiTheme="majorBidi" w:hAnsiTheme="majorBidi" w:cstheme="majorBidi"/>
          <w:b/>
          <w:bCs/>
          <w:color w:val="auto"/>
          <w:szCs w:val="24"/>
          <w:rtl/>
        </w:rPr>
        <w:t xml:space="preserve">- </w:t>
      </w:r>
      <w:r w:rsidRPr="00C94C05">
        <w:rPr>
          <w:rFonts w:eastAsia="Calibri" w:asciiTheme="majorBidi" w:hAnsiTheme="majorBidi" w:cstheme="majorBidi"/>
          <w:b/>
          <w:bCs/>
          <w:color w:val="auto"/>
          <w:szCs w:val="24"/>
          <w:rtl/>
          <w:lang w:bidi="ar-SA"/>
        </w:rPr>
        <w:t>الإستجابة</w:t>
      </w:r>
      <w:r w:rsidRPr="00C94C05">
        <w:rPr>
          <w:rFonts w:eastAsia="Calibri" w:asciiTheme="majorBidi" w:hAnsiTheme="majorBidi" w:cstheme="majorBidi"/>
          <w:b/>
          <w:bCs/>
          <w:color w:val="auto"/>
          <w:szCs w:val="24"/>
          <w:rtl/>
          <w:lang w:bidi="ar-SA"/>
        </w:rPr>
        <w:t xml:space="preserve"> التشغيلية والتنفيذية</w:t>
      </w:r>
      <w:r w:rsidRPr="00C94C05">
        <w:rPr>
          <w:rFonts w:eastAsia="Calibri" w:asciiTheme="majorBidi" w:hAnsiTheme="majorBidi" w:cstheme="majorBidi"/>
          <w:color w:val="auto"/>
          <w:szCs w:val="24"/>
          <w:rtl/>
          <w:lang w:bidi="ar-SA"/>
        </w:rPr>
        <w:t xml:space="preserve"> ذكر أن طول مسار خط التماس هو </w:t>
      </w:r>
      <w:r w:rsidRPr="00C94C05">
        <w:rPr>
          <w:rFonts w:eastAsia="Calibri" w:asciiTheme="majorBidi" w:hAnsiTheme="majorBidi" w:cstheme="majorBidi"/>
          <w:color w:val="auto"/>
          <w:szCs w:val="24"/>
          <w:rtl/>
        </w:rPr>
        <w:t xml:space="preserve">554 </w:t>
      </w:r>
      <w:r w:rsidRPr="00C94C05">
        <w:rPr>
          <w:rFonts w:eastAsia="Calibri" w:asciiTheme="majorBidi" w:hAnsiTheme="majorBidi" w:cstheme="majorBidi"/>
          <w:color w:val="auto"/>
          <w:szCs w:val="24"/>
          <w:rtl/>
          <w:lang w:bidi="ar-SA"/>
        </w:rPr>
        <w:t>كم</w:t>
      </w:r>
      <w:r w:rsidRPr="00C94C05">
        <w:rPr>
          <w:rFonts w:eastAsia="Calibri" w:asciiTheme="majorBidi" w:hAnsiTheme="majorBidi" w:cstheme="majorBidi"/>
          <w:color w:val="auto"/>
          <w:szCs w:val="24"/>
          <w:rtl/>
        </w:rPr>
        <w:t xml:space="preserve">- 124 </w:t>
      </w:r>
      <w:r w:rsidRPr="00C94C05">
        <w:rPr>
          <w:rFonts w:eastAsia="Calibri" w:asciiTheme="majorBidi" w:hAnsiTheme="majorBidi" w:cstheme="majorBidi"/>
          <w:color w:val="auto"/>
          <w:szCs w:val="24"/>
          <w:rtl/>
          <w:lang w:bidi="ar-SA"/>
        </w:rPr>
        <w:t xml:space="preserve">كم على شكل جدار، </w:t>
      </w:r>
      <w:r w:rsidRPr="00C94C05">
        <w:rPr>
          <w:rFonts w:eastAsia="Calibri" w:asciiTheme="majorBidi" w:hAnsiTheme="majorBidi" w:cstheme="majorBidi"/>
          <w:color w:val="auto"/>
          <w:szCs w:val="24"/>
          <w:rtl/>
        </w:rPr>
        <w:t xml:space="preserve">364 </w:t>
      </w:r>
      <w:r w:rsidRPr="00C94C05">
        <w:rPr>
          <w:rFonts w:eastAsia="Calibri" w:asciiTheme="majorBidi" w:hAnsiTheme="majorBidi" w:cstheme="majorBidi"/>
          <w:color w:val="auto"/>
          <w:szCs w:val="24"/>
          <w:rtl/>
          <w:lang w:bidi="ar-SA"/>
        </w:rPr>
        <w:t>على شكل سياج و</w:t>
      </w:r>
      <w:r w:rsidRPr="00C94C05">
        <w:rPr>
          <w:rFonts w:eastAsia="Calibri" w:asciiTheme="majorBidi" w:hAnsiTheme="majorBidi" w:cstheme="majorBidi"/>
          <w:color w:val="auto"/>
          <w:szCs w:val="24"/>
          <w:rtl/>
        </w:rPr>
        <w:t xml:space="preserve">- 66 </w:t>
      </w:r>
      <w:r w:rsidRPr="00C94C05">
        <w:rPr>
          <w:rFonts w:eastAsia="Calibri" w:asciiTheme="majorBidi" w:hAnsiTheme="majorBidi" w:cstheme="majorBidi"/>
          <w:color w:val="auto"/>
          <w:szCs w:val="24"/>
          <w:rtl/>
          <w:lang w:bidi="ar-SA"/>
        </w:rPr>
        <w:t>كم بدون عائق أبدا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اتضح أنه في نهاية سنة </w:t>
      </w:r>
      <w:r w:rsidRPr="00C94C05">
        <w:rPr>
          <w:rFonts w:eastAsia="Calibri" w:asciiTheme="majorBidi" w:hAnsiTheme="majorBidi" w:cstheme="majorBidi"/>
          <w:color w:val="auto"/>
          <w:szCs w:val="24"/>
          <w:rtl/>
        </w:rPr>
        <w:t>2021</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 xml:space="preserve">48% </w:t>
      </w:r>
      <w:r w:rsidRPr="00C94C05">
        <w:rPr>
          <w:rFonts w:eastAsia="Calibri" w:asciiTheme="majorBidi" w:hAnsiTheme="majorBidi" w:cstheme="majorBidi"/>
          <w:color w:val="auto"/>
          <w:szCs w:val="24"/>
          <w:rtl/>
          <w:lang w:bidi="ar-SA"/>
        </w:rPr>
        <w:t>من سياج خط التماس</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لم يكن في الخدمة، أي أنه في حالة يسمح بالتسلل بدون أي رادع، وأنه </w:t>
      </w:r>
      <w:r w:rsidRPr="008D7EA1" w:rsidR="008D7EA1">
        <w:rPr>
          <w:rFonts w:eastAsia="Calibri" w:asciiTheme="majorBidi" w:hAnsiTheme="majorBidi" w:cs="Times New Roman"/>
          <w:color w:val="auto"/>
          <w:szCs w:val="24"/>
          <w:rtl/>
          <w:lang w:bidi="ar-SA"/>
        </w:rPr>
        <w:t xml:space="preserve">حتى </w:t>
      </w:r>
      <w:r w:rsidRPr="00C94C05">
        <w:rPr>
          <w:rFonts w:eastAsia="Calibri" w:asciiTheme="majorBidi" w:hAnsiTheme="majorBidi" w:cstheme="majorBidi"/>
          <w:color w:val="auto"/>
          <w:szCs w:val="24"/>
          <w:rtl/>
          <w:lang w:bidi="ar-SA"/>
        </w:rPr>
        <w:t xml:space="preserve">لمايو </w:t>
      </w:r>
      <w:r w:rsidRPr="00C94C05">
        <w:rPr>
          <w:rFonts w:eastAsia="Calibri" w:asciiTheme="majorBidi" w:hAnsiTheme="majorBidi" w:cstheme="majorBidi"/>
          <w:color w:val="auto"/>
          <w:szCs w:val="24"/>
          <w:rtl/>
        </w:rPr>
        <w:t xml:space="preserve">2022 </w:t>
      </w:r>
      <w:r w:rsidRPr="00C94C05">
        <w:rPr>
          <w:rFonts w:eastAsia="Calibri" w:asciiTheme="majorBidi" w:hAnsiTheme="majorBidi" w:cstheme="majorBidi"/>
          <w:color w:val="auto"/>
          <w:szCs w:val="24"/>
          <w:rtl/>
          <w:lang w:bidi="ar-SA"/>
        </w:rPr>
        <w:t xml:space="preserve">تسلل الى اسرائيل ما معدله </w:t>
      </w:r>
      <w:r w:rsidRPr="00C94C05">
        <w:rPr>
          <w:rFonts w:eastAsia="Calibri" w:asciiTheme="majorBidi" w:hAnsiTheme="majorBidi" w:cstheme="majorBidi"/>
          <w:color w:val="auto"/>
          <w:szCs w:val="24"/>
          <w:rtl/>
        </w:rPr>
        <w:t xml:space="preserve">3,600  </w:t>
      </w:r>
      <w:r w:rsidRPr="00C94C05">
        <w:rPr>
          <w:rFonts w:eastAsia="Calibri" w:asciiTheme="majorBidi" w:hAnsiTheme="majorBidi" w:cstheme="majorBidi"/>
          <w:color w:val="auto"/>
          <w:szCs w:val="24"/>
          <w:rtl/>
          <w:lang w:bidi="ar-SA"/>
        </w:rPr>
        <w:t>متسلل</w:t>
      </w:r>
      <w:r w:rsidRPr="00C94C05">
        <w:rPr>
          <w:rFonts w:eastAsia="Calibri" w:asciiTheme="majorBidi" w:hAnsiTheme="majorBidi" w:cstheme="majorBidi"/>
          <w:color w:val="auto"/>
          <w:szCs w:val="24"/>
          <w:rtl/>
          <w:lang w:bidi="ar-SA"/>
        </w:rPr>
        <w:t xml:space="preserve"> تقريبا في كل يوم من خلال الفتحات في سياج خط التماس</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لضمان الحفاظ على نجاعة العائق والتأكد بأن الاستثمارات بقيمة إجمالية تقارب ال</w:t>
      </w:r>
      <w:r w:rsidRPr="00C94C05">
        <w:rPr>
          <w:rFonts w:eastAsia="Calibri" w:asciiTheme="majorBidi" w:hAnsiTheme="majorBidi" w:cstheme="majorBidi"/>
          <w:color w:val="auto"/>
          <w:szCs w:val="24"/>
          <w:rtl/>
        </w:rPr>
        <w:t xml:space="preserve">- 400 </w:t>
      </w:r>
      <w:r w:rsidRPr="00C94C05">
        <w:rPr>
          <w:rFonts w:eastAsia="Calibri" w:asciiTheme="majorBidi" w:hAnsiTheme="majorBidi" w:cstheme="majorBidi"/>
          <w:color w:val="auto"/>
          <w:szCs w:val="24"/>
          <w:rtl/>
          <w:lang w:bidi="ar-SA"/>
        </w:rPr>
        <w:t xml:space="preserve">مليون شيكل جديد والعمليات التي نفذت في الفترة الأخيرة ستساهم في تقليل ظاهرة التسلل ككل، واستمرارا لبيان رئيس الحكومة ووزير الأمن في أبريل </w:t>
      </w:r>
      <w:r w:rsidRPr="00C94C05">
        <w:rPr>
          <w:rFonts w:eastAsia="Calibri" w:asciiTheme="majorBidi" w:hAnsiTheme="majorBidi" w:cstheme="majorBidi"/>
          <w:color w:val="auto"/>
          <w:szCs w:val="24"/>
          <w:rtl/>
        </w:rPr>
        <w:t xml:space="preserve">2022  </w:t>
      </w:r>
      <w:r w:rsidRPr="00C94C05">
        <w:rPr>
          <w:rFonts w:eastAsia="Calibri" w:asciiTheme="majorBidi" w:hAnsiTheme="majorBidi" w:cstheme="majorBidi"/>
          <w:color w:val="auto"/>
          <w:szCs w:val="24"/>
          <w:rtl/>
          <w:lang w:bidi="ar-SA"/>
        </w:rPr>
        <w:t>أنه من أجل بناء العائق على طول خط التماس، كجزء من رؤية الدفاع، يتطلب خطة متعددة السنوات</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يجب على مجلس الأمن القومي أن يتأكد من صياغة خطة شاملة متعددة السنوات تحت قيادة مجلس الأمن القومي وبالتعاون مع طاقم مشترك بين الوزارات يتضمن ممثلين عن الجهاز الأمني ووزارة الأمن الداخلي ووزارة القضاء ووزارة المالية وجهات إضافية ذات علاقة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كجزء من صياغة الخطة يجب فحص طرق لتشجيع الفلسطينيين ممن يملكون تصاريح عمل للدخول الى اسرائيل عن طريق المعابر المنظمة، وذلك من خلال ملائمة عدد المعابر وموقعها وجودة الخدمة التي تقدم بها لعدد العابرين المطلوب</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يوصى كذلك، أنه عند </w:t>
      </w:r>
      <w:r w:rsidRPr="00C94C05">
        <w:rPr>
          <w:rFonts w:eastAsia="Calibri" w:asciiTheme="majorBidi" w:hAnsiTheme="majorBidi" w:cstheme="majorBidi"/>
          <w:color w:val="auto"/>
          <w:szCs w:val="24"/>
          <w:rtl/>
          <w:lang w:bidi="ar-SA"/>
        </w:rPr>
        <w:t>الإنتهاء</w:t>
      </w:r>
      <w:r w:rsidRPr="00C94C05">
        <w:rPr>
          <w:rFonts w:eastAsia="Calibri" w:asciiTheme="majorBidi" w:hAnsiTheme="majorBidi" w:cstheme="majorBidi"/>
          <w:color w:val="auto"/>
          <w:szCs w:val="24"/>
          <w:rtl/>
          <w:lang w:bidi="ar-SA"/>
        </w:rPr>
        <w:t xml:space="preserve"> من صياغة الخطة متعددة السنوات، أن يطرح رئيس الوزراء ووزير الأمن الخطة لمناقشتها في المجلس السياسي </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الامني المصغر بهدف المصادقة عليها، وتخصيص الميزانيات </w:t>
      </w:r>
      <w:r w:rsidRPr="00C94C05">
        <w:rPr>
          <w:rFonts w:eastAsia="Calibri" w:asciiTheme="majorBidi" w:hAnsiTheme="majorBidi" w:cstheme="majorBidi"/>
          <w:color w:val="auto"/>
          <w:szCs w:val="24"/>
          <w:rtl/>
          <w:lang w:bidi="ar-SA"/>
        </w:rPr>
        <w:t>وتحديد جدول زمني لتحقيقها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هذه الإجراءات ستقلل من ظاهرة المقيمين غير الشرعيين والمخاطر الأمنية والجنائية المتعلقة بها، والتي تمس شعور الأمن في اسرائيل</w:t>
      </w:r>
      <w:r w:rsidRPr="00C94C05">
        <w:rPr>
          <w:rFonts w:eastAsia="Calibri" w:asciiTheme="majorBidi" w:hAnsiTheme="majorBidi" w:cstheme="majorBidi"/>
          <w:color w:val="auto"/>
          <w:szCs w:val="24"/>
          <w:rtl/>
        </w:rPr>
        <w:t xml:space="preserve">. </w:t>
      </w:r>
    </w:p>
    <w:p w:rsidR="00342EBC" w:rsidRPr="00C94C05" w:rsidP="00C94C05" w14:paraId="0D4BEF41" w14:textId="31CC5308">
      <w:pPr>
        <w:pStyle w:val="7193"/>
        <w:numPr>
          <w:ilvl w:val="0"/>
          <w:numId w:val="43"/>
        </w:numPr>
        <w:spacing w:line="324" w:lineRule="auto"/>
        <w:rPr>
          <w:rFonts w:eastAsia="Calibri" w:asciiTheme="majorBidi" w:hAnsiTheme="majorBidi" w:cstheme="majorBidi"/>
          <w:color w:val="auto"/>
          <w:szCs w:val="24"/>
          <w:rtl/>
        </w:rPr>
      </w:pPr>
      <w:r w:rsidRPr="00C94C05">
        <w:rPr>
          <w:rFonts w:eastAsia="Calibri" w:asciiTheme="majorBidi" w:hAnsiTheme="majorBidi" w:cstheme="majorBidi"/>
          <w:b/>
          <w:bCs/>
          <w:color w:val="auto"/>
          <w:szCs w:val="24"/>
          <w:rtl/>
          <w:lang w:bidi="ar-SA"/>
        </w:rPr>
        <w:t>ظروف المعيشة والبنى التحتية في جيش الدفاع الاسرائيلي</w:t>
      </w:r>
      <w:r w:rsidRPr="00C94C05">
        <w:rPr>
          <w:rFonts w:eastAsia="Calibri" w:asciiTheme="majorBidi" w:hAnsiTheme="majorBidi" w:cstheme="majorBidi"/>
          <w:color w:val="auto"/>
          <w:szCs w:val="24"/>
          <w:rtl/>
        </w:rPr>
        <w:t>-</w:t>
      </w:r>
      <w:r w:rsidRPr="00C94C05" w:rsidR="00C94C05">
        <w:rPr>
          <w:rFonts w:eastAsia="Calibri" w:asciiTheme="majorBidi" w:hAnsiTheme="majorBidi" w:cstheme="majorBidi"/>
          <w:color w:val="auto"/>
          <w:szCs w:val="24"/>
        </w:rPr>
        <w:t xml:space="preserve"> </w:t>
      </w:r>
      <w:r w:rsidRPr="00C94C05">
        <w:rPr>
          <w:rFonts w:eastAsia="Calibri" w:asciiTheme="majorBidi" w:hAnsiTheme="majorBidi" w:cstheme="majorBidi"/>
          <w:color w:val="auto"/>
          <w:szCs w:val="24"/>
          <w:rtl/>
          <w:lang w:bidi="ar-SA"/>
        </w:rPr>
        <w:t>تؤثر ظروف المعيشة والبنى التحتية المناسبة والمحترمة من بين الكثير من الأمور، على حافز الجنود الذين يخدمون في الخدمة الإلزامية وخدمة الاحتياط للخدمة فيها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بالإضافة الى ذلك، للبنى التحتية السكنية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المراحيض والحمامات، غرف الطعام والمطابخ</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تأثير على نجاعة </w:t>
      </w:r>
      <w:r w:rsidRPr="00C94C05">
        <w:rPr>
          <w:rFonts w:eastAsia="Calibri" w:asciiTheme="majorBidi" w:hAnsiTheme="majorBidi" w:cstheme="majorBidi"/>
          <w:color w:val="auto"/>
          <w:szCs w:val="24"/>
          <w:rtl/>
          <w:lang w:bidi="ar-SA"/>
        </w:rPr>
        <w:t>التأهيلات</w:t>
      </w:r>
      <w:r w:rsidRPr="00C94C05">
        <w:rPr>
          <w:rFonts w:eastAsia="Calibri" w:asciiTheme="majorBidi" w:hAnsiTheme="majorBidi" w:cstheme="majorBidi"/>
          <w:color w:val="auto"/>
          <w:szCs w:val="24"/>
          <w:rtl/>
          <w:lang w:bidi="ar-SA"/>
        </w:rPr>
        <w:t>، التدريبات وتنفيذ مهمات العمل العملياتية من قبل الجنود</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في الفصل بموضوع </w:t>
      </w:r>
      <w:r w:rsidRPr="00C94C05">
        <w:rPr>
          <w:rFonts w:eastAsia="Calibri" w:asciiTheme="majorBidi" w:hAnsiTheme="majorBidi" w:cstheme="majorBidi"/>
          <w:b/>
          <w:bCs/>
          <w:color w:val="auto"/>
          <w:szCs w:val="24"/>
          <w:rtl/>
          <w:lang w:bidi="ar-SA"/>
        </w:rPr>
        <w:t xml:space="preserve">ظروف المعيشة والبنى التحتية للجنود في الخدمة الإلزامية وخدمة </w:t>
      </w:r>
      <w:r w:rsidRPr="00C94C05">
        <w:rPr>
          <w:rFonts w:eastAsia="Calibri" w:asciiTheme="majorBidi" w:hAnsiTheme="majorBidi" w:cstheme="majorBidi"/>
          <w:b/>
          <w:bCs/>
          <w:color w:val="auto"/>
          <w:szCs w:val="24"/>
          <w:rtl/>
          <w:lang w:bidi="ar-SA"/>
        </w:rPr>
        <w:t>الاحتياط</w:t>
      </w:r>
      <w:r w:rsidRPr="008D7EA1" w:rsidR="008D7EA1">
        <w:rPr>
          <w:rFonts w:eastAsia="Calibri" w:asciiTheme="majorBidi" w:hAnsiTheme="majorBidi" w:cstheme="majorBidi" w:hint="cs"/>
          <w:color w:val="auto"/>
          <w:sz w:val="2"/>
          <w:szCs w:val="2"/>
          <w:rtl/>
        </w:rPr>
        <w:t xml:space="preserve"> </w:t>
      </w:r>
      <w:r w:rsidRPr="00C94C05">
        <w:rPr>
          <w:rFonts w:eastAsia="Calibri" w:asciiTheme="majorBidi" w:hAnsiTheme="majorBidi" w:cstheme="majorBidi"/>
          <w:color w:val="auto"/>
          <w:szCs w:val="24"/>
          <w:rtl/>
          <w:lang w:bidi="ar-SA"/>
        </w:rPr>
        <w:t xml:space="preserve"> ذكر</w:t>
      </w:r>
      <w:r w:rsidRPr="00C94C05">
        <w:rPr>
          <w:rFonts w:eastAsia="Calibri" w:asciiTheme="majorBidi" w:hAnsiTheme="majorBidi" w:cstheme="majorBidi"/>
          <w:color w:val="auto"/>
          <w:szCs w:val="24"/>
          <w:rtl/>
          <w:lang w:bidi="ar-SA"/>
        </w:rPr>
        <w:t xml:space="preserve"> أن الميزانية التي خطط جيش الدفاع الاسرائيلي تخصيصها لخطط البنى التحتية الإلزامية للجندي لسنة</w:t>
      </w:r>
      <w:r w:rsidRPr="00C94C05">
        <w:rPr>
          <w:rFonts w:eastAsia="Calibri" w:asciiTheme="majorBidi" w:hAnsiTheme="majorBidi" w:cstheme="majorBidi"/>
          <w:color w:val="auto"/>
          <w:szCs w:val="24"/>
          <w:rtl/>
        </w:rPr>
        <w:t xml:space="preserve"> 2016- 2021 </w:t>
      </w:r>
      <w:r w:rsidRPr="00C94C05">
        <w:rPr>
          <w:rFonts w:eastAsia="Calibri" w:asciiTheme="majorBidi" w:hAnsiTheme="majorBidi" w:cstheme="majorBidi"/>
          <w:color w:val="auto"/>
          <w:szCs w:val="24"/>
          <w:rtl/>
          <w:lang w:bidi="ar-SA"/>
        </w:rPr>
        <w:t xml:space="preserve">كانت </w:t>
      </w:r>
      <w:r w:rsidRPr="00C94C05">
        <w:rPr>
          <w:rFonts w:eastAsia="Calibri" w:asciiTheme="majorBidi" w:hAnsiTheme="majorBidi" w:cstheme="majorBidi"/>
          <w:color w:val="auto"/>
          <w:szCs w:val="24"/>
          <w:rtl/>
        </w:rPr>
        <w:t xml:space="preserve">256 </w:t>
      </w:r>
      <w:r w:rsidRPr="00C94C05">
        <w:rPr>
          <w:rFonts w:eastAsia="Calibri" w:asciiTheme="majorBidi" w:hAnsiTheme="majorBidi" w:cstheme="majorBidi"/>
          <w:color w:val="auto"/>
          <w:szCs w:val="24"/>
          <w:rtl/>
          <w:lang w:bidi="ar-SA"/>
        </w:rPr>
        <w:t>مليون شيكل جديد لمعسكرات التأهيل و</w:t>
      </w:r>
      <w:r w:rsidRPr="00C94C05">
        <w:rPr>
          <w:rFonts w:eastAsia="Calibri" w:asciiTheme="majorBidi" w:hAnsiTheme="majorBidi" w:cstheme="majorBidi"/>
          <w:color w:val="auto"/>
          <w:szCs w:val="24"/>
          <w:rtl/>
        </w:rPr>
        <w:t xml:space="preserve">- 420 </w:t>
      </w:r>
      <w:r w:rsidRPr="00C94C05">
        <w:rPr>
          <w:rFonts w:eastAsia="Calibri" w:asciiTheme="majorBidi" w:hAnsiTheme="majorBidi" w:cstheme="majorBidi"/>
          <w:color w:val="auto"/>
          <w:szCs w:val="24"/>
          <w:rtl/>
          <w:lang w:bidi="ar-SA"/>
        </w:rPr>
        <w:t>مليون شيكل جديد لخطط معسكرات التدريب</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كانت الميزانية الفعلية </w:t>
      </w:r>
      <w:r w:rsidRPr="00C94C05">
        <w:rPr>
          <w:rFonts w:eastAsia="Calibri" w:asciiTheme="majorBidi" w:hAnsiTheme="majorBidi" w:cstheme="majorBidi"/>
          <w:color w:val="auto"/>
          <w:szCs w:val="24"/>
          <w:rtl/>
        </w:rPr>
        <w:t xml:space="preserve">202.6 </w:t>
      </w:r>
      <w:r w:rsidRPr="00C94C05">
        <w:rPr>
          <w:rFonts w:eastAsia="Calibri" w:asciiTheme="majorBidi" w:hAnsiTheme="majorBidi" w:cstheme="majorBidi"/>
          <w:color w:val="auto"/>
          <w:szCs w:val="24"/>
          <w:rtl/>
          <w:lang w:bidi="ar-SA"/>
        </w:rPr>
        <w:t>مليون شيكل جديد و</w:t>
      </w:r>
      <w:r w:rsidRPr="00C94C05">
        <w:rPr>
          <w:rFonts w:eastAsia="Calibri" w:asciiTheme="majorBidi" w:hAnsiTheme="majorBidi" w:cstheme="majorBidi"/>
          <w:color w:val="auto"/>
          <w:szCs w:val="24"/>
          <w:rtl/>
        </w:rPr>
        <w:t xml:space="preserve">- 290 </w:t>
      </w:r>
      <w:r w:rsidRPr="00C94C05">
        <w:rPr>
          <w:rFonts w:eastAsia="Calibri" w:asciiTheme="majorBidi" w:hAnsiTheme="majorBidi" w:cstheme="majorBidi"/>
          <w:color w:val="auto"/>
          <w:szCs w:val="24"/>
          <w:rtl/>
          <w:lang w:bidi="ar-SA"/>
        </w:rPr>
        <w:t>مليون شيكل جديد وفق الترتيب</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من درجات الكفاءة لعناصر النظام اللوجستي في جيش الدفاع الاسرائيلي، ومن الجولات التي قام بها مكتب مراقب الدولة في الوحدات المختلفة في جيش الدفاع الاسرائيلي ومن الاستطلاع الذي أجري بين الجنود في الخدمة الإلزامية تبين أنه على الرغم من أهمية ظروف المعيشة والبنى التحتية الملائمة في معسكرات التأهيل ومعسكرات التدريب والمواقع العسكرية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يواجه الجنود في الخدمة الإلزامية وخدمة الاحتياط ببنى تحتية بحالة متوسطة وحتى متدنية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ينعكس ذلك في البنى التحتية المهتزة في السكن، </w:t>
      </w:r>
      <w:r w:rsidRPr="00C94C05">
        <w:rPr>
          <w:rFonts w:eastAsia="Calibri" w:asciiTheme="majorBidi" w:hAnsiTheme="majorBidi" w:cstheme="majorBidi"/>
          <w:color w:val="auto"/>
          <w:szCs w:val="24"/>
          <w:rtl/>
          <w:lang w:bidi="ar-SA"/>
        </w:rPr>
        <w:t>المراحيض</w:t>
      </w:r>
      <w:r w:rsidRPr="00C94C05">
        <w:rPr>
          <w:rFonts w:eastAsia="Calibri" w:asciiTheme="majorBidi" w:hAnsiTheme="majorBidi" w:cstheme="majorBidi"/>
          <w:color w:val="auto"/>
          <w:szCs w:val="24"/>
          <w:rtl/>
          <w:lang w:bidi="ar-SA"/>
        </w:rPr>
        <w:t xml:space="preserve"> والحمامات وغرف الطعام والمطابخ</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بموجب الاستطلاع الذي أجراه مكتب مراقب الدولة، تبين أن نسبة الجنود</w:t>
      </w:r>
      <w:r w:rsidR="002D0C0C">
        <w:rPr>
          <w:rFonts w:eastAsia="Calibri" w:asciiTheme="majorBidi" w:hAnsiTheme="majorBidi" w:cstheme="majorBidi" w:hint="cs"/>
          <w:color w:val="auto"/>
          <w:szCs w:val="24"/>
          <w:rtl/>
        </w:rPr>
        <w:t xml:space="preserve">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راضين جزئيا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من ظروف المعيشة والبنى التحتية في معسكرات التدريب والمواقع العسكرية كان </w:t>
      </w:r>
      <w:r w:rsidRPr="00C94C05">
        <w:rPr>
          <w:rFonts w:eastAsia="Calibri" w:asciiTheme="majorBidi" w:hAnsiTheme="majorBidi" w:cstheme="majorBidi"/>
          <w:color w:val="auto"/>
          <w:szCs w:val="24"/>
          <w:rtl/>
        </w:rPr>
        <w:t>29%- 40%</w:t>
      </w:r>
      <w:r w:rsidRPr="00C94C05">
        <w:rPr>
          <w:rFonts w:eastAsia="Calibri" w:asciiTheme="majorBidi" w:hAnsiTheme="majorBidi" w:cstheme="majorBidi"/>
          <w:color w:val="auto"/>
          <w:szCs w:val="24"/>
          <w:rtl/>
          <w:lang w:bidi="ar-SA"/>
        </w:rPr>
        <w:t xml:space="preserve">، وأن نسبة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غير الراضين جدا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كانت </w:t>
      </w:r>
      <w:r w:rsidRPr="00C94C05">
        <w:rPr>
          <w:rFonts w:eastAsia="Calibri" w:asciiTheme="majorBidi" w:hAnsiTheme="majorBidi" w:cstheme="majorBidi"/>
          <w:color w:val="auto"/>
          <w:szCs w:val="24"/>
          <w:rtl/>
        </w:rPr>
        <w:t xml:space="preserve">31%- 36%.  </w:t>
      </w:r>
    </w:p>
    <w:p w:rsidR="00342EBC" w:rsidRPr="00C94C05" w:rsidP="00C94C05" w14:paraId="1B4DB2A8" w14:textId="1F90320E">
      <w:pPr>
        <w:pStyle w:val="7193"/>
        <w:spacing w:line="324" w:lineRule="auto"/>
        <w:ind w:left="397"/>
        <w:rPr>
          <w:rFonts w:eastAsia="Calibri" w:asciiTheme="majorBidi" w:hAnsiTheme="majorBidi" w:cstheme="majorBidi"/>
          <w:color w:val="auto"/>
          <w:szCs w:val="24"/>
          <w:rtl/>
        </w:rPr>
      </w:pPr>
      <w:r w:rsidRPr="00C94C05">
        <w:rPr>
          <w:rFonts w:eastAsia="Calibri" w:asciiTheme="majorBidi" w:hAnsiTheme="majorBidi" w:cstheme="majorBidi"/>
          <w:color w:val="auto"/>
          <w:szCs w:val="24"/>
          <w:rtl/>
          <w:lang w:bidi="ar-SA"/>
        </w:rPr>
        <w:t xml:space="preserve">يذكر أنه خلال </w:t>
      </w:r>
      <w:r w:rsidRPr="00C94C05">
        <w:rPr>
          <w:rFonts w:eastAsia="Calibri" w:asciiTheme="majorBidi" w:hAnsiTheme="majorBidi" w:cstheme="majorBidi"/>
          <w:color w:val="auto"/>
          <w:szCs w:val="24"/>
          <w:rtl/>
          <w:lang w:bidi="ar-SA"/>
        </w:rPr>
        <w:t>أوكتوبر</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 xml:space="preserve">2022 </w:t>
      </w:r>
      <w:r w:rsidRPr="00C94C05">
        <w:rPr>
          <w:rFonts w:eastAsia="Calibri" w:asciiTheme="majorBidi" w:hAnsiTheme="majorBidi" w:cstheme="majorBidi"/>
          <w:color w:val="auto"/>
          <w:szCs w:val="24"/>
          <w:rtl/>
          <w:lang w:bidi="ar-SA"/>
        </w:rPr>
        <w:t>تم نشر تقرير مرحلي خاص عرض نتائج زيارة مراقب الدولة لمعسكر تدريب لواء كفير في غور الأردن وفي الموقع العسكري يكير في السامرة</w:t>
      </w:r>
      <w:r w:rsidRPr="00C94C05">
        <w:rPr>
          <w:rFonts w:eastAsia="Calibri" w:asciiTheme="majorBidi" w:hAnsiTheme="majorBidi" w:cstheme="majorBidi"/>
          <w:color w:val="auto"/>
          <w:szCs w:val="24"/>
          <w:rtl/>
        </w:rPr>
        <w:t xml:space="preserve">. </w:t>
      </w:r>
    </w:p>
    <w:p w:rsidR="00342EBC" w:rsidRPr="00C94C05" w:rsidP="00C94C05" w14:paraId="313A12A6" w14:textId="79DD17D4">
      <w:pPr>
        <w:pStyle w:val="7193"/>
        <w:spacing w:line="324" w:lineRule="auto"/>
        <w:ind w:left="397"/>
        <w:rPr>
          <w:rFonts w:eastAsia="Calibri" w:asciiTheme="majorBidi" w:hAnsiTheme="majorBidi" w:cstheme="majorBidi"/>
          <w:color w:val="auto"/>
          <w:szCs w:val="24"/>
          <w:rtl/>
        </w:rPr>
      </w:pPr>
      <w:r w:rsidRPr="00C94C05">
        <w:rPr>
          <w:rFonts w:eastAsia="Calibri" w:asciiTheme="majorBidi" w:hAnsiTheme="majorBidi" w:cstheme="majorBidi"/>
          <w:color w:val="auto"/>
          <w:szCs w:val="24"/>
          <w:rtl/>
          <w:lang w:bidi="ar-SA"/>
        </w:rPr>
        <w:t>يوصى بأن يستخلص جيش الدفاع الاسرائيلي العبر من الحالة التي تستشف من هذا الفصل وأن يقدم الحلول للثغرات في الظروف المعيشية والبنى التحتية للجنود</w:t>
      </w:r>
      <w:r w:rsidRPr="00C94C05">
        <w:rPr>
          <w:rFonts w:eastAsia="Calibri" w:asciiTheme="majorBidi" w:hAnsiTheme="majorBidi" w:cstheme="majorBidi"/>
          <w:color w:val="auto"/>
          <w:szCs w:val="24"/>
          <w:rtl/>
        </w:rPr>
        <w:t xml:space="preserve">. </w:t>
      </w:r>
    </w:p>
    <w:p w:rsidR="00342EBC" w:rsidRPr="00C94C05" w:rsidP="00C94C05" w14:paraId="1BEA481E" w14:textId="2ADF7781">
      <w:pPr>
        <w:pStyle w:val="7193"/>
        <w:numPr>
          <w:ilvl w:val="0"/>
          <w:numId w:val="43"/>
        </w:numPr>
        <w:spacing w:line="324" w:lineRule="auto"/>
        <w:rPr>
          <w:rFonts w:eastAsia="Calibri" w:asciiTheme="majorBidi" w:hAnsiTheme="majorBidi" w:cstheme="majorBidi"/>
          <w:color w:val="auto"/>
          <w:szCs w:val="24"/>
          <w:rtl/>
          <w:lang w:bidi="ar-SA"/>
        </w:rPr>
      </w:pPr>
      <w:r w:rsidRPr="00C94C05">
        <w:rPr>
          <w:rFonts w:eastAsia="Calibri" w:asciiTheme="majorBidi" w:hAnsiTheme="majorBidi" w:cstheme="majorBidi"/>
          <w:b/>
          <w:bCs/>
          <w:color w:val="auto"/>
          <w:szCs w:val="24"/>
          <w:rtl/>
          <w:lang w:bidi="ar-SA"/>
        </w:rPr>
        <w:t xml:space="preserve">برنامج </w:t>
      </w:r>
      <w:r w:rsidRPr="00C94C05">
        <w:rPr>
          <w:rFonts w:eastAsia="Calibri" w:asciiTheme="majorBidi" w:hAnsiTheme="majorBidi" w:cstheme="majorBidi"/>
          <w:b/>
          <w:bCs/>
          <w:color w:val="auto"/>
          <w:szCs w:val="24"/>
          <w:rtl/>
          <w:lang w:bidi="ar-SA"/>
        </w:rPr>
        <w:t>شوهام</w:t>
      </w:r>
      <w:r w:rsidRPr="00C94C05">
        <w:rPr>
          <w:rFonts w:eastAsia="Calibri" w:asciiTheme="majorBidi" w:hAnsiTheme="majorBidi" w:cstheme="majorBidi"/>
          <w:b/>
          <w:bCs/>
          <w:color w:val="auto"/>
          <w:szCs w:val="24"/>
          <w:rtl/>
          <w:lang w:bidi="ar-SA"/>
        </w:rPr>
        <w:t xml:space="preserve"> </w:t>
      </w:r>
      <w:r w:rsidRPr="00C94C05">
        <w:rPr>
          <w:rFonts w:eastAsia="Calibri" w:asciiTheme="majorBidi" w:hAnsiTheme="majorBidi" w:cstheme="majorBidi"/>
          <w:b/>
          <w:bCs/>
          <w:color w:val="auto"/>
          <w:szCs w:val="24"/>
          <w:rtl/>
        </w:rPr>
        <w:t>3</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برنامج </w:t>
      </w:r>
      <w:r w:rsidRPr="00C94C05">
        <w:rPr>
          <w:rFonts w:eastAsia="Calibri" w:asciiTheme="majorBidi" w:hAnsiTheme="majorBidi" w:cstheme="majorBidi"/>
          <w:color w:val="auto"/>
          <w:szCs w:val="24"/>
          <w:rtl/>
          <w:lang w:bidi="ar-SA"/>
        </w:rPr>
        <w:t>شوهام</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 xml:space="preserve">3 </w:t>
      </w:r>
      <w:r w:rsidRPr="00C94C05">
        <w:rPr>
          <w:rFonts w:eastAsia="Calibri" w:asciiTheme="majorBidi" w:hAnsiTheme="majorBidi" w:cstheme="majorBidi"/>
          <w:color w:val="auto"/>
          <w:szCs w:val="24"/>
          <w:rtl/>
          <w:lang w:bidi="ar-SA"/>
        </w:rPr>
        <w:t xml:space="preserve">هو برنامج وطني استراتيجي تبلغ ميزانيته حوالي </w:t>
      </w:r>
      <w:r w:rsidRPr="00C94C05">
        <w:rPr>
          <w:rFonts w:eastAsia="Calibri" w:asciiTheme="majorBidi" w:hAnsiTheme="majorBidi" w:cstheme="majorBidi"/>
          <w:color w:val="auto"/>
          <w:szCs w:val="24"/>
          <w:rtl/>
        </w:rPr>
        <w:t xml:space="preserve">18.5 </w:t>
      </w:r>
      <w:r w:rsidRPr="00C94C05">
        <w:rPr>
          <w:rFonts w:eastAsia="Calibri" w:asciiTheme="majorBidi" w:hAnsiTheme="majorBidi" w:cstheme="majorBidi"/>
          <w:color w:val="auto"/>
          <w:szCs w:val="24"/>
          <w:rtl/>
          <w:lang w:bidi="ar-SA"/>
        </w:rPr>
        <w:t>مليارد</w:t>
      </w:r>
      <w:r w:rsidRPr="00C94C05">
        <w:rPr>
          <w:rFonts w:eastAsia="Calibri" w:asciiTheme="majorBidi" w:hAnsiTheme="majorBidi" w:cstheme="majorBidi"/>
          <w:color w:val="auto"/>
          <w:szCs w:val="24"/>
          <w:rtl/>
          <w:lang w:bidi="ar-SA"/>
        </w:rPr>
        <w:t xml:space="preserve"> شيكل جديد، في نطاق عمليات الجهاز الأمني وسلطة أراضي اسرائيل لنقل معسكرات الجيش الاسرائيلي من المناطق </w:t>
      </w:r>
      <w:r w:rsidRPr="00C94C05">
        <w:rPr>
          <w:rFonts w:eastAsia="Calibri" w:asciiTheme="majorBidi" w:hAnsiTheme="majorBidi" w:cstheme="majorBidi"/>
          <w:color w:val="auto"/>
          <w:szCs w:val="24"/>
          <w:rtl/>
          <w:lang w:bidi="ar-SA"/>
        </w:rPr>
        <w:t>المطلوبه</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للسكن، بهدف تسويق الأراضي في المعسكرات التي يتم </w:t>
      </w:r>
      <w:r w:rsidRPr="00C94C05">
        <w:rPr>
          <w:rFonts w:eastAsia="Calibri" w:asciiTheme="majorBidi" w:hAnsiTheme="majorBidi" w:cstheme="majorBidi"/>
          <w:color w:val="auto"/>
          <w:szCs w:val="24"/>
          <w:rtl/>
          <w:lang w:bidi="ar-SA"/>
        </w:rPr>
        <w:t>اخلائها</w:t>
      </w:r>
      <w:r w:rsidRPr="00C94C05">
        <w:rPr>
          <w:rFonts w:eastAsia="Calibri" w:asciiTheme="majorBidi" w:hAnsiTheme="majorBidi" w:cstheme="majorBidi"/>
          <w:color w:val="auto"/>
          <w:szCs w:val="24"/>
          <w:rtl/>
          <w:lang w:bidi="ar-SA"/>
        </w:rPr>
        <w:t xml:space="preserve"> وزيادة عرض وحدات السكن</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في الرقابة بموضوع </w:t>
      </w:r>
      <w:r w:rsidRPr="00C94C05">
        <w:rPr>
          <w:rFonts w:eastAsia="Calibri" w:asciiTheme="majorBidi" w:hAnsiTheme="majorBidi" w:cstheme="majorBidi"/>
          <w:b/>
          <w:bCs/>
          <w:color w:val="auto"/>
          <w:szCs w:val="24"/>
          <w:rtl/>
          <w:lang w:bidi="ar-SA"/>
        </w:rPr>
        <w:t xml:space="preserve">تطبيق خطة </w:t>
      </w:r>
      <w:r w:rsidRPr="00C94C05">
        <w:rPr>
          <w:rFonts w:eastAsia="Calibri" w:asciiTheme="majorBidi" w:hAnsiTheme="majorBidi" w:cstheme="majorBidi"/>
          <w:b/>
          <w:bCs/>
          <w:color w:val="auto"/>
          <w:szCs w:val="24"/>
          <w:rtl/>
          <w:lang w:bidi="ar-SA"/>
        </w:rPr>
        <w:t>شوهام</w:t>
      </w:r>
      <w:r w:rsidRPr="00C94C05">
        <w:rPr>
          <w:rFonts w:eastAsia="Calibri" w:asciiTheme="majorBidi" w:hAnsiTheme="majorBidi" w:cstheme="majorBidi"/>
          <w:b/>
          <w:bCs/>
          <w:color w:val="auto"/>
          <w:szCs w:val="24"/>
          <w:rtl/>
          <w:lang w:bidi="ar-SA"/>
        </w:rPr>
        <w:t xml:space="preserve"> </w:t>
      </w:r>
      <w:r w:rsidRPr="00C94C05">
        <w:rPr>
          <w:rFonts w:eastAsia="Calibri" w:asciiTheme="majorBidi" w:hAnsiTheme="majorBidi" w:cstheme="majorBidi"/>
          <w:b/>
          <w:bCs/>
          <w:color w:val="auto"/>
          <w:szCs w:val="24"/>
          <w:rtl/>
        </w:rPr>
        <w:t>3</w:t>
      </w:r>
      <w:r w:rsidRPr="00C94C05">
        <w:rPr>
          <w:rFonts w:eastAsia="Calibri" w:asciiTheme="majorBidi" w:hAnsiTheme="majorBidi" w:cstheme="majorBidi"/>
          <w:b/>
          <w:bCs/>
          <w:color w:val="auto"/>
          <w:szCs w:val="24"/>
          <w:rtl/>
          <w:lang w:bidi="ar-SA"/>
        </w:rPr>
        <w:t xml:space="preserve"> </w:t>
      </w:r>
      <w:r w:rsidRPr="00C94C05">
        <w:rPr>
          <w:rFonts w:eastAsia="Calibri" w:asciiTheme="majorBidi" w:hAnsiTheme="majorBidi" w:cstheme="majorBidi"/>
          <w:color w:val="auto"/>
          <w:szCs w:val="24"/>
          <w:rtl/>
          <w:lang w:bidi="ar-SA"/>
        </w:rPr>
        <w:t xml:space="preserve">تبين أنه </w:t>
      </w:r>
      <w:r w:rsidRPr="00C94C05">
        <w:rPr>
          <w:rFonts w:eastAsia="Calibri" w:asciiTheme="majorBidi" w:hAnsiTheme="majorBidi" w:cstheme="majorBidi"/>
          <w:color w:val="auto"/>
          <w:szCs w:val="24"/>
          <w:rtl/>
          <w:lang w:bidi="ar-SA"/>
        </w:rPr>
        <w:t xml:space="preserve">حتى موعد انتهاء الرقابة قام جهاز الأمن بإخلاء حوالي </w:t>
      </w:r>
      <w:r w:rsidRPr="00C94C05">
        <w:rPr>
          <w:rFonts w:eastAsia="Calibri" w:asciiTheme="majorBidi" w:hAnsiTheme="majorBidi" w:cstheme="majorBidi"/>
          <w:color w:val="auto"/>
          <w:szCs w:val="24"/>
          <w:rtl/>
        </w:rPr>
        <w:t xml:space="preserve">- 65% </w:t>
      </w:r>
      <w:r w:rsidRPr="00C94C05">
        <w:rPr>
          <w:rFonts w:eastAsia="Calibri" w:asciiTheme="majorBidi" w:hAnsiTheme="majorBidi" w:cstheme="majorBidi"/>
          <w:color w:val="auto"/>
          <w:szCs w:val="24"/>
          <w:rtl/>
          <w:lang w:bidi="ar-SA"/>
        </w:rPr>
        <w:t xml:space="preserve">من مجموع الأراضي التي من المفترض أن يتم اخلائها بموجب الخطة، وأنه من حوالي </w:t>
      </w:r>
      <w:r w:rsidRPr="00C94C05">
        <w:rPr>
          <w:rFonts w:eastAsia="Calibri" w:asciiTheme="majorBidi" w:hAnsiTheme="majorBidi" w:cstheme="majorBidi"/>
          <w:color w:val="auto"/>
          <w:szCs w:val="24"/>
          <w:rtl/>
        </w:rPr>
        <w:t xml:space="preserve">69,185 </w:t>
      </w:r>
      <w:r w:rsidRPr="00C94C05">
        <w:rPr>
          <w:rFonts w:eastAsia="Calibri" w:asciiTheme="majorBidi" w:hAnsiTheme="majorBidi" w:cstheme="majorBidi"/>
          <w:color w:val="auto"/>
          <w:szCs w:val="24"/>
          <w:rtl/>
          <w:lang w:bidi="ar-SA"/>
        </w:rPr>
        <w:t xml:space="preserve">وحدة سكن مخطط بناءها على أراضي المعسكرات التي تم </w:t>
      </w:r>
      <w:r w:rsidRPr="00C94C05">
        <w:rPr>
          <w:rFonts w:eastAsia="Calibri" w:asciiTheme="majorBidi" w:hAnsiTheme="majorBidi" w:cstheme="majorBidi"/>
          <w:color w:val="auto"/>
          <w:szCs w:val="24"/>
          <w:rtl/>
          <w:lang w:bidi="ar-SA"/>
        </w:rPr>
        <w:t>اخلائها</w:t>
      </w:r>
      <w:r w:rsidRPr="00C94C05">
        <w:rPr>
          <w:rFonts w:eastAsia="Calibri" w:asciiTheme="majorBidi" w:hAnsiTheme="majorBidi" w:cstheme="majorBidi"/>
          <w:color w:val="auto"/>
          <w:szCs w:val="24"/>
          <w:rtl/>
          <w:lang w:bidi="ar-SA"/>
        </w:rPr>
        <w:t xml:space="preserve"> سوقت حتى نفس الموعد </w:t>
      </w:r>
      <w:r w:rsidRPr="00C94C05">
        <w:rPr>
          <w:rFonts w:eastAsia="Calibri" w:asciiTheme="majorBidi" w:hAnsiTheme="majorBidi" w:cstheme="majorBidi"/>
          <w:color w:val="auto"/>
          <w:szCs w:val="24"/>
          <w:rtl/>
        </w:rPr>
        <w:t xml:space="preserve">11,404 </w:t>
      </w:r>
      <w:r w:rsidRPr="00C94C05">
        <w:rPr>
          <w:rFonts w:eastAsia="Calibri" w:asciiTheme="majorBidi" w:hAnsiTheme="majorBidi" w:cstheme="majorBidi"/>
          <w:color w:val="auto"/>
          <w:szCs w:val="24"/>
          <w:rtl/>
          <w:lang w:bidi="ar-SA"/>
        </w:rPr>
        <w:t xml:space="preserve">وحدة سكن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 xml:space="preserve">حوالي </w:t>
      </w:r>
      <w:r w:rsidRPr="00C94C05">
        <w:rPr>
          <w:rFonts w:eastAsia="Calibri" w:asciiTheme="majorBidi" w:hAnsiTheme="majorBidi" w:cstheme="majorBidi"/>
          <w:color w:val="auto"/>
          <w:szCs w:val="24"/>
          <w:rtl/>
        </w:rPr>
        <w:t>16.5%)</w:t>
      </w:r>
      <w:r w:rsidRPr="00C94C05">
        <w:rPr>
          <w:rFonts w:eastAsia="Calibri" w:asciiTheme="majorBidi" w:hAnsiTheme="majorBidi" w:cstheme="majorBidi"/>
          <w:color w:val="auto"/>
          <w:szCs w:val="24"/>
          <w:rtl/>
          <w:lang w:bidi="ar-SA"/>
        </w:rPr>
        <w:t xml:space="preserve">، وبدأت عملية بناء </w:t>
      </w:r>
      <w:r w:rsidRPr="00C94C05">
        <w:rPr>
          <w:rFonts w:eastAsia="Calibri" w:asciiTheme="majorBidi" w:hAnsiTheme="majorBidi" w:cstheme="majorBidi"/>
          <w:color w:val="auto"/>
          <w:szCs w:val="24"/>
          <w:rtl/>
        </w:rPr>
        <w:t xml:space="preserve">6,855 </w:t>
      </w:r>
      <w:r w:rsidRPr="00C94C05">
        <w:rPr>
          <w:rFonts w:eastAsia="Calibri" w:asciiTheme="majorBidi" w:hAnsiTheme="majorBidi" w:cstheme="majorBidi"/>
          <w:color w:val="auto"/>
          <w:szCs w:val="24"/>
          <w:rtl/>
          <w:lang w:bidi="ar-SA"/>
        </w:rPr>
        <w:t xml:space="preserve">وحدة سكن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حوالي</w:t>
      </w:r>
      <w:r w:rsidRPr="00C94C05">
        <w:rPr>
          <w:rFonts w:eastAsia="Calibri" w:asciiTheme="majorBidi" w:hAnsiTheme="majorBidi" w:cstheme="majorBidi"/>
          <w:color w:val="auto"/>
          <w:szCs w:val="24"/>
          <w:rtl/>
        </w:rPr>
        <w:t xml:space="preserve">- 10% </w:t>
      </w:r>
      <w:r w:rsidRPr="00C94C05">
        <w:rPr>
          <w:rFonts w:eastAsia="Calibri" w:asciiTheme="majorBidi" w:hAnsiTheme="majorBidi" w:cstheme="majorBidi"/>
          <w:color w:val="auto"/>
          <w:szCs w:val="24"/>
          <w:rtl/>
          <w:lang w:bidi="ar-SA"/>
        </w:rPr>
        <w:t>من وحدات السكن المخطط بناءها بموجب الخطة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وحوالي</w:t>
      </w:r>
      <w:r w:rsidRPr="00C94C05">
        <w:rPr>
          <w:rFonts w:eastAsia="Calibri" w:asciiTheme="majorBidi" w:hAnsiTheme="majorBidi" w:cstheme="majorBidi"/>
          <w:color w:val="auto"/>
          <w:szCs w:val="24"/>
          <w:rtl/>
        </w:rPr>
        <w:t xml:space="preserve">- 60% </w:t>
      </w:r>
      <w:r w:rsidRPr="00C94C05">
        <w:rPr>
          <w:rFonts w:eastAsia="Calibri" w:asciiTheme="majorBidi" w:hAnsiTheme="majorBidi" w:cstheme="majorBidi"/>
          <w:color w:val="auto"/>
          <w:szCs w:val="24"/>
          <w:rtl/>
          <w:lang w:bidi="ar-SA"/>
        </w:rPr>
        <w:t>من الوحدات التي تم تسويقها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كانت التأخيرات البارزة في مشاريع </w:t>
      </w:r>
      <w:r w:rsidRPr="00C94C05">
        <w:rPr>
          <w:rFonts w:eastAsia="Calibri" w:asciiTheme="majorBidi" w:hAnsiTheme="majorBidi" w:cstheme="majorBidi"/>
          <w:color w:val="auto"/>
          <w:szCs w:val="24"/>
          <w:rtl/>
        </w:rPr>
        <w:t>PFI</w:t>
      </w:r>
      <w:r w:rsidRPr="00C94C05">
        <w:rPr>
          <w:rFonts w:eastAsia="Calibri" w:asciiTheme="majorBidi" w:hAnsiTheme="majorBidi" w:cstheme="majorBidi"/>
          <w:color w:val="auto"/>
          <w:szCs w:val="24"/>
          <w:rtl/>
          <w:lang w:bidi="ar-SA"/>
        </w:rPr>
        <w:t xml:space="preserve">، وهي تؤثر على الجانب الاستراتيجي </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الوطني وعلى مسألة أزمة السكن، حيث يتأخر تسويق حوالي </w:t>
      </w:r>
      <w:r w:rsidRPr="00C94C05">
        <w:rPr>
          <w:rFonts w:eastAsia="Calibri" w:asciiTheme="majorBidi" w:hAnsiTheme="majorBidi" w:cstheme="majorBidi"/>
          <w:color w:val="auto"/>
          <w:szCs w:val="24"/>
          <w:rtl/>
        </w:rPr>
        <w:t xml:space="preserve">15,929 </w:t>
      </w:r>
      <w:r w:rsidRPr="00C94C05">
        <w:rPr>
          <w:rFonts w:eastAsia="Calibri" w:asciiTheme="majorBidi" w:hAnsiTheme="majorBidi" w:cstheme="majorBidi"/>
          <w:color w:val="auto"/>
          <w:szCs w:val="24"/>
          <w:rtl/>
          <w:lang w:bidi="ar-SA"/>
        </w:rPr>
        <w:t xml:space="preserve">حتى </w:t>
      </w:r>
      <w:r w:rsidRPr="00C94C05">
        <w:rPr>
          <w:rFonts w:eastAsia="Calibri" w:asciiTheme="majorBidi" w:hAnsiTheme="majorBidi" w:cstheme="majorBidi"/>
          <w:color w:val="auto"/>
          <w:szCs w:val="24"/>
          <w:rtl/>
        </w:rPr>
        <w:t xml:space="preserve">22,680 </w:t>
      </w:r>
      <w:r w:rsidRPr="00C94C05">
        <w:rPr>
          <w:rFonts w:eastAsia="Calibri" w:asciiTheme="majorBidi" w:hAnsiTheme="majorBidi" w:cstheme="majorBidi"/>
          <w:color w:val="auto"/>
          <w:szCs w:val="24"/>
          <w:rtl/>
          <w:lang w:bidi="ar-SA"/>
        </w:rPr>
        <w:t>وحدة سكن معظمها في مركز البلاد</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اعتبارا من موعد انتهاء الرقابة، لم يتم التوصل الى اتفاق بين سلطة أراضي اسرائيل ووزارة الأمن ووزارة المالية بخصوص أي المعسكرات والمناطق التي سيتم إخلاؤها في إطار خطط الإخلاء المستقبلية، للسماح ببناء </w:t>
      </w:r>
      <w:r w:rsidRPr="00C94C05">
        <w:rPr>
          <w:rFonts w:eastAsia="Calibri" w:asciiTheme="majorBidi" w:hAnsiTheme="majorBidi" w:cstheme="majorBidi"/>
          <w:color w:val="auto"/>
          <w:szCs w:val="24"/>
          <w:rtl/>
        </w:rPr>
        <w:t xml:space="preserve">30,694 </w:t>
      </w:r>
      <w:r w:rsidRPr="00C94C05">
        <w:rPr>
          <w:rFonts w:eastAsia="Calibri" w:asciiTheme="majorBidi" w:hAnsiTheme="majorBidi" w:cstheme="majorBidi"/>
          <w:color w:val="auto"/>
          <w:szCs w:val="24"/>
          <w:rtl/>
          <w:lang w:bidi="ar-SA"/>
        </w:rPr>
        <w:t xml:space="preserve">وحدة سكن على الأقل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 xml:space="preserve">منها </w:t>
      </w:r>
      <w:r w:rsidRPr="00C94C05">
        <w:rPr>
          <w:rFonts w:eastAsia="Calibri" w:asciiTheme="majorBidi" w:hAnsiTheme="majorBidi" w:cstheme="majorBidi"/>
          <w:color w:val="auto"/>
          <w:szCs w:val="24"/>
          <w:rtl/>
        </w:rPr>
        <w:t xml:space="preserve">586 </w:t>
      </w:r>
      <w:r w:rsidRPr="00C94C05">
        <w:rPr>
          <w:rFonts w:eastAsia="Calibri" w:asciiTheme="majorBidi" w:hAnsiTheme="majorBidi" w:cstheme="majorBidi"/>
          <w:color w:val="auto"/>
          <w:szCs w:val="24"/>
          <w:rtl/>
          <w:lang w:bidi="ar-SA"/>
        </w:rPr>
        <w:t>سكن محمي</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وعلى الأقل </w:t>
      </w:r>
      <w:r w:rsidRPr="00C94C05">
        <w:rPr>
          <w:rFonts w:eastAsia="Calibri" w:asciiTheme="majorBidi" w:hAnsiTheme="majorBidi" w:cstheme="majorBidi"/>
          <w:color w:val="auto"/>
          <w:szCs w:val="24"/>
          <w:rtl/>
        </w:rPr>
        <w:t xml:space="preserve">100 </w:t>
      </w:r>
      <w:r w:rsidRPr="00C94C05">
        <w:rPr>
          <w:rFonts w:eastAsia="Calibri" w:asciiTheme="majorBidi" w:hAnsiTheme="majorBidi" w:cstheme="majorBidi"/>
          <w:color w:val="auto"/>
          <w:szCs w:val="24"/>
          <w:rtl/>
          <w:lang w:bidi="ar-SA"/>
        </w:rPr>
        <w:t xml:space="preserve">وحدة سكن للفنادق واستخدام حوالي </w:t>
      </w:r>
      <w:r w:rsidRPr="00C94C05">
        <w:rPr>
          <w:rFonts w:eastAsia="Calibri" w:asciiTheme="majorBidi" w:hAnsiTheme="majorBidi" w:cstheme="majorBidi"/>
          <w:color w:val="auto"/>
          <w:szCs w:val="24"/>
          <w:rtl/>
        </w:rPr>
        <w:t xml:space="preserve">1,765 </w:t>
      </w:r>
      <w:r w:rsidRPr="00C94C05">
        <w:rPr>
          <w:rFonts w:eastAsia="Calibri" w:asciiTheme="majorBidi" w:hAnsiTheme="majorBidi" w:cstheme="majorBidi"/>
          <w:color w:val="auto"/>
          <w:szCs w:val="24"/>
          <w:rtl/>
          <w:lang w:bidi="ar-SA"/>
        </w:rPr>
        <w:t>دونم للتجارة والصناعة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نظرا لأن برنامج </w:t>
      </w:r>
      <w:r w:rsidRPr="00C94C05">
        <w:rPr>
          <w:rFonts w:eastAsia="Calibri" w:asciiTheme="majorBidi" w:hAnsiTheme="majorBidi" w:cstheme="majorBidi"/>
          <w:color w:val="auto"/>
          <w:szCs w:val="24"/>
          <w:rtl/>
          <w:lang w:bidi="ar-SA"/>
        </w:rPr>
        <w:t>شوهام</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 xml:space="preserve">3 </w:t>
      </w:r>
      <w:r w:rsidRPr="00C94C05">
        <w:rPr>
          <w:rFonts w:eastAsia="Calibri" w:asciiTheme="majorBidi" w:hAnsiTheme="majorBidi" w:cstheme="majorBidi"/>
          <w:color w:val="auto"/>
          <w:szCs w:val="24"/>
          <w:rtl/>
          <w:lang w:bidi="ar-SA"/>
        </w:rPr>
        <w:t>مهم على المستوى الوطني والمستوى الأمني، يوصي مراقب الدولة جميع الجهات المعنية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سلطة أراضي اسرائيل ووزارة الأمن ووزارة المالية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بإجراء فحص شامل وأساسي لتحقيق الخطة وإدارتها، لتطبيق الدروس وتحسين اجراءات العمل التي تتعلق بالاتفاقيات المستقبلية لإخلاء معسكرات الجيش</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يوصى أيضا بأن يبادر وزير البناء والإسكان بالتنسيق مع وزير الأمن ووزير المالية الى إجراء نقاش في المجلس الوزاري المصغر للسكن بخصوص فحص امكانيات إخلاء المزيد من معسكرات الجيش التي ستبقى بعد تحقيق خطة </w:t>
      </w:r>
      <w:r w:rsidRPr="00C94C05">
        <w:rPr>
          <w:rFonts w:eastAsia="Calibri" w:asciiTheme="majorBidi" w:hAnsiTheme="majorBidi" w:cstheme="majorBidi"/>
          <w:color w:val="auto"/>
          <w:szCs w:val="24"/>
          <w:rtl/>
          <w:lang w:bidi="ar-SA"/>
        </w:rPr>
        <w:t>شوهام</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3 (</w:t>
      </w:r>
      <w:r w:rsidRPr="00C94C05">
        <w:rPr>
          <w:rFonts w:eastAsia="Calibri" w:asciiTheme="majorBidi" w:hAnsiTheme="majorBidi" w:cstheme="majorBidi"/>
          <w:color w:val="auto"/>
          <w:szCs w:val="24"/>
          <w:rtl/>
          <w:lang w:bidi="ar-SA"/>
        </w:rPr>
        <w:t xml:space="preserve">حوالي </w:t>
      </w:r>
      <w:r w:rsidRPr="00C94C05">
        <w:rPr>
          <w:rFonts w:eastAsia="Calibri" w:asciiTheme="majorBidi" w:hAnsiTheme="majorBidi" w:cstheme="majorBidi"/>
          <w:color w:val="auto"/>
          <w:szCs w:val="24"/>
          <w:rtl/>
        </w:rPr>
        <w:t xml:space="preserve">60,000 </w:t>
      </w:r>
      <w:r w:rsidRPr="00C94C05">
        <w:rPr>
          <w:rFonts w:eastAsia="Calibri" w:asciiTheme="majorBidi" w:hAnsiTheme="majorBidi" w:cstheme="majorBidi"/>
          <w:color w:val="auto"/>
          <w:szCs w:val="24"/>
          <w:rtl/>
          <w:lang w:bidi="ar-SA"/>
        </w:rPr>
        <w:t>دونم</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 وصياغة سياسية على المستوى الوطني تشتق منها خطة تشغيلية متعددة السنوات</w:t>
      </w:r>
      <w:r w:rsidRPr="00C94C05">
        <w:rPr>
          <w:rFonts w:eastAsia="Calibri" w:asciiTheme="majorBidi" w:hAnsiTheme="majorBidi" w:cstheme="majorBidi"/>
          <w:color w:val="auto"/>
          <w:szCs w:val="24"/>
          <w:rtl/>
        </w:rPr>
        <w:t xml:space="preserve">. </w:t>
      </w:r>
    </w:p>
    <w:p w:rsidR="00342EBC" w:rsidRPr="00C94C05" w:rsidP="00C94C05" w14:paraId="7C491311" w14:textId="59F86C06">
      <w:pPr>
        <w:pStyle w:val="7193"/>
        <w:spacing w:line="324" w:lineRule="auto"/>
        <w:ind w:left="397"/>
        <w:rPr>
          <w:rFonts w:eastAsia="Calibri" w:asciiTheme="majorBidi" w:hAnsiTheme="majorBidi" w:cstheme="majorBidi"/>
          <w:color w:val="auto"/>
          <w:szCs w:val="24"/>
          <w:rtl/>
        </w:rPr>
      </w:pPr>
      <w:r w:rsidRPr="00C94C05">
        <w:rPr>
          <w:rFonts w:eastAsia="Calibri" w:asciiTheme="majorBidi" w:hAnsiTheme="majorBidi" w:cstheme="majorBidi"/>
          <w:color w:val="auto"/>
          <w:szCs w:val="24"/>
          <w:rtl/>
          <w:lang w:bidi="ar-SA"/>
        </w:rPr>
        <w:t>في الفصل الخاص بموضوع ظروف المعيشة والبنى التحتية للجنود في الخدمة الإلزامية وفي الاحتياط المدرجة في هذا التقرير، ذكر بأن الجنود يواجهون بنية تحتية سيئة في المعسكرات</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ذكر أيضا، بشكل عام، أن برنامج </w:t>
      </w:r>
      <w:r w:rsidRPr="00C94C05">
        <w:rPr>
          <w:rFonts w:eastAsia="Calibri" w:asciiTheme="majorBidi" w:hAnsiTheme="majorBidi" w:cstheme="majorBidi"/>
          <w:color w:val="auto"/>
          <w:szCs w:val="24"/>
          <w:rtl/>
          <w:lang w:bidi="ar-SA"/>
        </w:rPr>
        <w:t>شوهام</w:t>
      </w:r>
      <w:r w:rsidRPr="00C94C05">
        <w:rPr>
          <w:rFonts w:eastAsia="Calibri" w:asciiTheme="majorBidi" w:hAnsiTheme="majorBidi" w:cstheme="majorBidi"/>
          <w:color w:val="auto"/>
          <w:szCs w:val="24"/>
          <w:rtl/>
          <w:lang w:bidi="ar-SA"/>
        </w:rPr>
        <w:t xml:space="preserve"> </w:t>
      </w:r>
      <w:r w:rsidRPr="00C94C05">
        <w:rPr>
          <w:rFonts w:eastAsia="Calibri" w:asciiTheme="majorBidi" w:hAnsiTheme="majorBidi" w:cstheme="majorBidi"/>
          <w:color w:val="auto"/>
          <w:szCs w:val="24"/>
          <w:rtl/>
        </w:rPr>
        <w:t xml:space="preserve">3 </w:t>
      </w:r>
      <w:r w:rsidRPr="00C94C05">
        <w:rPr>
          <w:rFonts w:eastAsia="Calibri" w:asciiTheme="majorBidi" w:hAnsiTheme="majorBidi" w:cstheme="majorBidi"/>
          <w:color w:val="auto"/>
          <w:szCs w:val="24"/>
          <w:rtl/>
          <w:lang w:bidi="ar-SA"/>
        </w:rPr>
        <w:t>لم يخصص لمعالجة الثغرات في البنى التحتية في المعسكرات الموجودة التي يخدم بها الجنود</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في ضوء ذلك يوصى جيش الدفاع الاسرائيلي، كجزء من خطة متعددة السنوات بناء بنى تحتية وفي إطار خطط الإخلاء المستقبلية ستعطى أفضلية لبناء معسكرات جديدة للجنود</w:t>
      </w:r>
      <w:r w:rsidRPr="00C94C05">
        <w:rPr>
          <w:rFonts w:eastAsia="Calibri" w:asciiTheme="majorBidi" w:hAnsiTheme="majorBidi" w:cstheme="majorBidi"/>
          <w:color w:val="auto"/>
          <w:szCs w:val="24"/>
          <w:rtl/>
        </w:rPr>
        <w:t>.</w:t>
      </w:r>
    </w:p>
    <w:p w:rsidR="00342EBC" w:rsidRPr="00C94C05" w:rsidP="00C94C05" w14:paraId="1A6D6A77" w14:textId="04F42A95">
      <w:pPr>
        <w:pStyle w:val="7193"/>
        <w:numPr>
          <w:ilvl w:val="0"/>
          <w:numId w:val="43"/>
        </w:numPr>
        <w:spacing w:line="324" w:lineRule="auto"/>
        <w:rPr>
          <w:rFonts w:eastAsia="Calibri" w:asciiTheme="majorBidi" w:hAnsiTheme="majorBidi" w:cstheme="majorBidi"/>
          <w:color w:val="auto"/>
          <w:szCs w:val="24"/>
          <w:rtl/>
        </w:rPr>
      </w:pPr>
      <w:r w:rsidRPr="00C94C05">
        <w:rPr>
          <w:rFonts w:eastAsia="Calibri" w:asciiTheme="majorBidi" w:hAnsiTheme="majorBidi" w:cstheme="majorBidi"/>
          <w:b/>
          <w:bCs/>
          <w:color w:val="auto"/>
          <w:szCs w:val="24"/>
          <w:rtl/>
          <w:lang w:bidi="ar-SA"/>
        </w:rPr>
        <w:t>رفائيل</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رفائيل هي شركة حكومية من أكبر الشركات في دولة اسرائيل</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وهي تتعامل في مجالات الأمن، بما في ذلك تطوير وإنتاج وسائل قتالية لجيش الدفاع الاسرائيلي وبيع مجموعة متنوعة من المنتجات في المجالات الأمنية في أنحاء العالم</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الحفاظ على قوتها العملية والمالية يعتبر مصلحة أمنية واقتصادية للدولة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يتضمن التقرير رقابة بموضوع </w:t>
      </w:r>
      <w:r w:rsidRPr="00C94C05">
        <w:rPr>
          <w:rFonts w:eastAsia="Calibri" w:asciiTheme="majorBidi" w:hAnsiTheme="majorBidi" w:cstheme="majorBidi"/>
          <w:b/>
          <w:bCs/>
          <w:color w:val="auto"/>
          <w:szCs w:val="24"/>
          <w:rtl/>
          <w:lang w:bidi="ar-SA"/>
        </w:rPr>
        <w:t xml:space="preserve">التقارير المالية لرفائيل أنظمة </w:t>
      </w:r>
      <w:r w:rsidRPr="00C94C05">
        <w:rPr>
          <w:rFonts w:eastAsia="Calibri" w:asciiTheme="majorBidi" w:hAnsiTheme="majorBidi" w:cstheme="majorBidi"/>
          <w:b/>
          <w:bCs/>
          <w:color w:val="auto"/>
          <w:szCs w:val="24"/>
          <w:rtl/>
          <w:lang w:bidi="ar-SA"/>
        </w:rPr>
        <w:t>دفاعية متقدمة م</w:t>
      </w:r>
      <w:r w:rsidRPr="00C94C05">
        <w:rPr>
          <w:rFonts w:eastAsia="Calibri" w:asciiTheme="majorBidi" w:hAnsiTheme="majorBidi" w:cstheme="majorBidi"/>
          <w:b/>
          <w:bCs/>
          <w:color w:val="auto"/>
          <w:szCs w:val="24"/>
          <w:rtl/>
        </w:rPr>
        <w:t>.</w:t>
      </w:r>
      <w:r w:rsidRPr="00C94C05">
        <w:rPr>
          <w:rFonts w:eastAsia="Calibri" w:asciiTheme="majorBidi" w:hAnsiTheme="majorBidi" w:cstheme="majorBidi"/>
          <w:b/>
          <w:bCs/>
          <w:color w:val="auto"/>
          <w:szCs w:val="24"/>
          <w:rtl/>
          <w:lang w:bidi="ar-SA"/>
        </w:rPr>
        <w:t>ض</w:t>
      </w:r>
      <w:r w:rsidRPr="00C94C05">
        <w:rPr>
          <w:rFonts w:eastAsia="Calibri" w:asciiTheme="majorBidi" w:hAnsiTheme="majorBidi" w:cstheme="majorBidi"/>
          <w:b/>
          <w:bCs/>
          <w:color w:val="auto"/>
          <w:szCs w:val="24"/>
          <w:rtl/>
        </w:rPr>
        <w:t xml:space="preserve">- </w:t>
      </w:r>
      <w:r w:rsidRPr="00C94C05">
        <w:rPr>
          <w:rFonts w:eastAsia="Calibri" w:asciiTheme="majorBidi" w:hAnsiTheme="majorBidi" w:cstheme="majorBidi"/>
          <w:b/>
          <w:bCs/>
          <w:color w:val="auto"/>
          <w:szCs w:val="24"/>
          <w:rtl/>
          <w:lang w:bidi="ar-SA"/>
        </w:rPr>
        <w:t>وضع الشركة ومخاطرها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يشير تحليل النتائج العملية لرفائيل في السنوات الأخيرة أنه الى جانب المدخولات المتراكمة بقيمة حوالي </w:t>
      </w:r>
      <w:r w:rsidRPr="00C94C05">
        <w:rPr>
          <w:rFonts w:eastAsia="Calibri" w:asciiTheme="majorBidi" w:hAnsiTheme="majorBidi" w:cstheme="majorBidi"/>
          <w:color w:val="auto"/>
          <w:szCs w:val="24"/>
          <w:rtl/>
        </w:rPr>
        <w:t xml:space="preserve">46.5 </w:t>
      </w:r>
      <w:r w:rsidRPr="00C94C05">
        <w:rPr>
          <w:rFonts w:eastAsia="Calibri" w:asciiTheme="majorBidi" w:hAnsiTheme="majorBidi" w:cstheme="majorBidi"/>
          <w:color w:val="auto"/>
          <w:szCs w:val="24"/>
          <w:rtl/>
          <w:lang w:bidi="ar-SA"/>
        </w:rPr>
        <w:t>مليارد</w:t>
      </w:r>
      <w:r w:rsidRPr="00C94C05">
        <w:rPr>
          <w:rFonts w:eastAsia="Calibri" w:asciiTheme="majorBidi" w:hAnsiTheme="majorBidi" w:cstheme="majorBidi"/>
          <w:color w:val="auto"/>
          <w:szCs w:val="24"/>
          <w:rtl/>
          <w:lang w:bidi="ar-SA"/>
        </w:rPr>
        <w:t xml:space="preserve"> شيكل في السنوات </w:t>
      </w:r>
      <w:r w:rsidRPr="00C94C05">
        <w:rPr>
          <w:rFonts w:eastAsia="Calibri" w:asciiTheme="majorBidi" w:hAnsiTheme="majorBidi" w:cstheme="majorBidi"/>
          <w:color w:val="auto"/>
          <w:szCs w:val="24"/>
          <w:rtl/>
        </w:rPr>
        <w:t xml:space="preserve">2017- 2021 </w:t>
      </w:r>
      <w:r w:rsidRPr="00C94C05">
        <w:rPr>
          <w:rFonts w:eastAsia="Calibri" w:asciiTheme="majorBidi" w:hAnsiTheme="majorBidi" w:cstheme="majorBidi"/>
          <w:color w:val="auto"/>
          <w:szCs w:val="24"/>
          <w:rtl/>
          <w:lang w:bidi="ar-SA"/>
        </w:rPr>
        <w:t xml:space="preserve">والأرباح التراكمية بقيمة حوالي </w:t>
      </w:r>
      <w:r w:rsidRPr="00C94C05">
        <w:rPr>
          <w:rFonts w:eastAsia="Calibri" w:asciiTheme="majorBidi" w:hAnsiTheme="majorBidi" w:cstheme="majorBidi"/>
          <w:color w:val="auto"/>
          <w:szCs w:val="24"/>
          <w:rtl/>
        </w:rPr>
        <w:t xml:space="preserve">4.5 </w:t>
      </w:r>
      <w:r w:rsidRPr="00C94C05">
        <w:rPr>
          <w:rFonts w:eastAsia="Calibri" w:asciiTheme="majorBidi" w:hAnsiTheme="majorBidi" w:cstheme="majorBidi"/>
          <w:color w:val="auto"/>
          <w:szCs w:val="24"/>
          <w:rtl/>
          <w:lang w:bidi="ar-SA"/>
        </w:rPr>
        <w:t>مليارد</w:t>
      </w:r>
      <w:r w:rsidRPr="00C94C05">
        <w:rPr>
          <w:rFonts w:eastAsia="Calibri" w:asciiTheme="majorBidi" w:hAnsiTheme="majorBidi" w:cstheme="majorBidi"/>
          <w:color w:val="auto"/>
          <w:szCs w:val="24"/>
          <w:rtl/>
          <w:lang w:bidi="ar-SA"/>
        </w:rPr>
        <w:t xml:space="preserve"> شيكل حتى موعد </w:t>
      </w:r>
      <w:r w:rsidRPr="00C94C05">
        <w:rPr>
          <w:rFonts w:eastAsia="Calibri" w:asciiTheme="majorBidi" w:hAnsiTheme="majorBidi" w:cstheme="majorBidi"/>
          <w:color w:val="auto"/>
          <w:szCs w:val="24"/>
          <w:rtl/>
        </w:rPr>
        <w:t>31.12.21</w:t>
      </w:r>
      <w:r w:rsidRPr="00C94C05">
        <w:rPr>
          <w:rFonts w:eastAsia="Calibri" w:asciiTheme="majorBidi" w:hAnsiTheme="majorBidi" w:cstheme="majorBidi"/>
          <w:color w:val="auto"/>
          <w:szCs w:val="24"/>
          <w:rtl/>
          <w:lang w:bidi="ar-SA"/>
        </w:rPr>
        <w:t xml:space="preserve">، تواجه الشركة صعوبات، منها انخفاض الإيرادات </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rtl/>
          <w:lang w:bidi="ar-SA"/>
        </w:rPr>
        <w:t>بدون الشركات التابعة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في السنوات </w:t>
      </w:r>
      <w:r w:rsidRPr="00C94C05">
        <w:rPr>
          <w:rFonts w:eastAsia="Calibri" w:asciiTheme="majorBidi" w:hAnsiTheme="majorBidi" w:cstheme="majorBidi"/>
          <w:color w:val="auto"/>
          <w:szCs w:val="24"/>
          <w:rtl/>
        </w:rPr>
        <w:t xml:space="preserve">2020 </w:t>
      </w:r>
      <w:r w:rsidRPr="00C94C05">
        <w:rPr>
          <w:rFonts w:eastAsia="Calibri" w:asciiTheme="majorBidi" w:hAnsiTheme="majorBidi" w:cstheme="majorBidi"/>
          <w:color w:val="auto"/>
          <w:szCs w:val="24"/>
          <w:rtl/>
          <w:lang w:bidi="ar-SA"/>
        </w:rPr>
        <w:t>و</w:t>
      </w:r>
      <w:r w:rsidRPr="00C94C05">
        <w:rPr>
          <w:rFonts w:eastAsia="Calibri" w:asciiTheme="majorBidi" w:hAnsiTheme="majorBidi" w:cstheme="majorBidi"/>
          <w:color w:val="auto"/>
          <w:szCs w:val="24"/>
          <w:rtl/>
        </w:rPr>
        <w:t>- 2021</w:t>
      </w:r>
      <w:r w:rsidRPr="00C94C05">
        <w:rPr>
          <w:rFonts w:eastAsia="Calibri" w:asciiTheme="majorBidi" w:hAnsiTheme="majorBidi" w:cstheme="majorBidi"/>
          <w:color w:val="auto"/>
          <w:szCs w:val="24"/>
          <w:rtl/>
          <w:lang w:bidi="ar-SA"/>
        </w:rPr>
        <w:t xml:space="preserve">، انخفاض في الربح التشغيلي في بعض من مشاريع الشركة مقابل سنة </w:t>
      </w:r>
      <w:r w:rsidRPr="00C94C05">
        <w:rPr>
          <w:rFonts w:eastAsia="Calibri" w:asciiTheme="majorBidi" w:hAnsiTheme="majorBidi" w:cstheme="majorBidi"/>
          <w:color w:val="auto"/>
          <w:szCs w:val="24"/>
          <w:rtl/>
        </w:rPr>
        <w:t>2020</w:t>
      </w:r>
      <w:r w:rsidRPr="00C94C05">
        <w:rPr>
          <w:rFonts w:eastAsia="Calibri" w:asciiTheme="majorBidi" w:hAnsiTheme="majorBidi" w:cstheme="majorBidi"/>
          <w:color w:val="auto"/>
          <w:szCs w:val="24"/>
          <w:rtl/>
          <w:lang w:bidi="ar-SA"/>
        </w:rPr>
        <w:t>، وتوقعات خسارة تشغيلية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بالإضافة، حتى نهاية سنة </w:t>
      </w:r>
      <w:r w:rsidRPr="00C94C05">
        <w:rPr>
          <w:rFonts w:eastAsia="Calibri" w:asciiTheme="majorBidi" w:hAnsiTheme="majorBidi" w:cstheme="majorBidi"/>
          <w:color w:val="auto"/>
          <w:szCs w:val="24"/>
          <w:rtl/>
        </w:rPr>
        <w:t xml:space="preserve">2021 </w:t>
      </w:r>
      <w:r w:rsidRPr="00C94C05">
        <w:rPr>
          <w:rFonts w:eastAsia="Calibri" w:asciiTheme="majorBidi" w:hAnsiTheme="majorBidi" w:cstheme="majorBidi"/>
          <w:color w:val="auto"/>
          <w:szCs w:val="24"/>
          <w:rtl/>
          <w:lang w:bidi="ar-SA"/>
        </w:rPr>
        <w:t xml:space="preserve">شغل أربعة فقط منصب مديرين فعليين في مجلس الإدارة في الشركة، مقابل عشرة في شركة الكهرباء وتسعة في الصناعة الجوية </w:t>
      </w:r>
      <w:r w:rsidRPr="00C94C05">
        <w:rPr>
          <w:rFonts w:eastAsia="Calibri" w:asciiTheme="majorBidi" w:hAnsiTheme="majorBidi" w:cstheme="majorBidi"/>
          <w:color w:val="auto"/>
          <w:szCs w:val="24"/>
          <w:rtl/>
          <w:lang w:bidi="ar-SA"/>
        </w:rPr>
        <w:t>لاسرائيل</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يوصي مكتب مراقب الدولة أن تعمل شركة رفائيل على تحديث خطتها الاستراتيجية، من بين العديد من الأمور على ضوء نتائج هذا الفصل ووفقا لتوصياته والأهداف المالية التي تم الاتفاق عليها مع سلطة الشركات الحكومية، وأن يتم عرض الخطة على مجلس الإدارة لفحصها والمصادقة عليها</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يوصى أيضا أن تقوم سلطة الشركات الحكومية بمتابعة عملية صياغة الخطة وتنفيذها</w:t>
      </w:r>
      <w:r w:rsidRPr="00C94C05">
        <w:rPr>
          <w:rFonts w:eastAsia="Calibri" w:asciiTheme="majorBidi" w:hAnsiTheme="majorBidi" w:cstheme="majorBidi"/>
          <w:color w:val="auto"/>
          <w:szCs w:val="24"/>
          <w:rtl/>
        </w:rPr>
        <w:t xml:space="preserve">. </w:t>
      </w:r>
    </w:p>
    <w:p w:rsidR="00342EBC" w:rsidRPr="00C94C05" w:rsidP="00C94C05" w14:paraId="78EDFC83" w14:textId="24D2A5AD">
      <w:pPr>
        <w:pStyle w:val="7193"/>
        <w:numPr>
          <w:ilvl w:val="0"/>
          <w:numId w:val="43"/>
        </w:numPr>
        <w:spacing w:line="324" w:lineRule="auto"/>
        <w:rPr>
          <w:rFonts w:eastAsia="Calibri" w:asciiTheme="majorBidi" w:hAnsiTheme="majorBidi" w:cstheme="majorBidi"/>
          <w:color w:val="auto"/>
          <w:szCs w:val="24"/>
          <w:rtl/>
        </w:rPr>
      </w:pPr>
      <w:r w:rsidRPr="00C94C05">
        <w:rPr>
          <w:rFonts w:eastAsia="Calibri" w:asciiTheme="majorBidi" w:hAnsiTheme="majorBidi" w:cstheme="majorBidi"/>
          <w:b/>
          <w:bCs/>
          <w:color w:val="auto"/>
          <w:szCs w:val="24"/>
          <w:rtl/>
          <w:lang w:bidi="ar-SA"/>
        </w:rPr>
        <w:t>بناء القوة في المجال العملياتي</w:t>
      </w:r>
      <w:r w:rsidRPr="00C94C05">
        <w:rPr>
          <w:rFonts w:eastAsia="Calibri" w:asciiTheme="majorBidi" w:hAnsiTheme="majorBidi" w:cstheme="majorBidi"/>
          <w:color w:val="auto"/>
          <w:szCs w:val="24"/>
          <w:rtl/>
        </w:rPr>
        <w:t xml:space="preserve"> - </w:t>
      </w:r>
      <w:r w:rsidRPr="00C94C05">
        <w:rPr>
          <w:rFonts w:eastAsia="Calibri" w:asciiTheme="majorBidi" w:hAnsiTheme="majorBidi" w:cstheme="majorBidi"/>
          <w:color w:val="auto"/>
          <w:szCs w:val="24"/>
          <w:rtl/>
          <w:lang w:bidi="ar-SA"/>
        </w:rPr>
        <w:t>في العقدين الأخيرين تغيرت ساحة المعركة بشكل تدريجي لكن جوهري</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كشفت الرقابة في موضوع </w:t>
      </w:r>
      <w:r w:rsidRPr="00C94C05">
        <w:rPr>
          <w:rFonts w:eastAsia="Calibri" w:asciiTheme="majorBidi" w:hAnsiTheme="majorBidi" w:cstheme="majorBidi"/>
          <w:b/>
          <w:bCs/>
          <w:color w:val="auto"/>
          <w:szCs w:val="24"/>
          <w:rtl/>
          <w:lang w:bidi="ar-SA"/>
        </w:rPr>
        <w:t>برنامج معين لبناء القوة في المجال العملياتي</w:t>
      </w:r>
      <w:r w:rsidRPr="00C94C05">
        <w:rPr>
          <w:rFonts w:eastAsia="Calibri" w:asciiTheme="majorBidi" w:hAnsiTheme="majorBidi" w:cstheme="majorBidi"/>
          <w:color w:val="auto"/>
          <w:szCs w:val="24"/>
          <w:rtl/>
          <w:lang w:bidi="ar-SA"/>
        </w:rPr>
        <w:t xml:space="preserve"> فجوات بخصوص تحسين قدرة الجنود، وقررت اللجنة الثانوية للجنة شؤون رقابة الدولة فرض رقابة على هذه الفجوات وعدم نشرها للجمهور</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كما كشفت الرقابة عن أوجه قصور في إجراءات عمل جيش الدفاع الاسرائيلي ووزارة الأمن بخصوص الشروع في مشاريع وسائل قتالية معينة والرقابة عليها</w:t>
      </w:r>
      <w:r w:rsidRPr="00C94C05">
        <w:rPr>
          <w:rFonts w:eastAsia="Calibri" w:asciiTheme="majorBidi" w:hAnsiTheme="majorBidi" w:cstheme="majorBidi"/>
          <w:color w:val="auto"/>
          <w:szCs w:val="24"/>
          <w:rtl/>
        </w:rPr>
        <w:t xml:space="preserve">.  </w:t>
      </w:r>
    </w:p>
    <w:p w:rsidR="00342EBC" w:rsidRPr="00AF21DB" w:rsidP="00C94C05" w14:paraId="5CFD2AB8" w14:textId="3E344C4B">
      <w:pPr>
        <w:pStyle w:val="7193"/>
        <w:numPr>
          <w:ilvl w:val="0"/>
          <w:numId w:val="43"/>
        </w:numPr>
        <w:spacing w:line="324" w:lineRule="auto"/>
        <w:rPr>
          <w:rFonts w:eastAsia="Calibri" w:asciiTheme="majorBidi" w:hAnsiTheme="majorBidi" w:cstheme="majorBidi"/>
          <w:color w:val="auto"/>
          <w:spacing w:val="2"/>
          <w:szCs w:val="24"/>
          <w:rtl/>
        </w:rPr>
      </w:pPr>
      <w:r w:rsidRPr="00AF21DB">
        <w:rPr>
          <w:rFonts w:eastAsia="Calibri" w:asciiTheme="majorBidi" w:hAnsiTheme="majorBidi" w:cstheme="majorBidi"/>
          <w:b/>
          <w:bCs/>
          <w:color w:val="auto"/>
          <w:spacing w:val="2"/>
          <w:szCs w:val="24"/>
          <w:rtl/>
          <w:lang w:bidi="ar-SA"/>
        </w:rPr>
        <w:t>رقابات</w:t>
      </w:r>
      <w:r w:rsidRPr="00AF21DB">
        <w:rPr>
          <w:rFonts w:eastAsia="Calibri" w:asciiTheme="majorBidi" w:hAnsiTheme="majorBidi" w:cstheme="majorBidi"/>
          <w:b/>
          <w:bCs/>
          <w:color w:val="auto"/>
          <w:spacing w:val="2"/>
          <w:szCs w:val="24"/>
          <w:rtl/>
          <w:lang w:bidi="ar-SA"/>
        </w:rPr>
        <w:t xml:space="preserve"> متابعة</w:t>
      </w:r>
      <w:r w:rsidRPr="00AF21DB">
        <w:rPr>
          <w:rFonts w:eastAsia="Calibri" w:asciiTheme="majorBidi" w:hAnsiTheme="majorBidi" w:cstheme="majorBidi"/>
          <w:color w:val="auto"/>
          <w:spacing w:val="2"/>
          <w:szCs w:val="24"/>
          <w:rtl/>
          <w:lang w:bidi="ar-SA"/>
        </w:rPr>
        <w:t>- يواصل مكتب مراقب الدولة باتجاه توسيع نطاق الرقابة والمتابعة</w:t>
      </w:r>
      <w:r w:rsidRPr="00AF21DB">
        <w:rPr>
          <w:rFonts w:eastAsia="Calibri" w:asciiTheme="majorBidi" w:hAnsiTheme="majorBidi" w:cstheme="majorBidi"/>
          <w:color w:val="auto"/>
          <w:spacing w:val="2"/>
          <w:szCs w:val="24"/>
          <w:rtl/>
        </w:rPr>
        <w:t xml:space="preserve">. </w:t>
      </w:r>
      <w:r w:rsidRPr="00AF21DB">
        <w:rPr>
          <w:rFonts w:eastAsia="Calibri" w:asciiTheme="majorBidi" w:hAnsiTheme="majorBidi" w:cstheme="majorBidi"/>
          <w:color w:val="auto"/>
          <w:spacing w:val="2"/>
          <w:szCs w:val="24"/>
          <w:rtl/>
          <w:lang w:bidi="ar-SA"/>
        </w:rPr>
        <w:t xml:space="preserve">يتضمن هذا التقرير رقابة متابعة بموضوع </w:t>
      </w:r>
      <w:r w:rsidRPr="00AF21DB">
        <w:rPr>
          <w:rFonts w:eastAsia="Calibri" w:asciiTheme="majorBidi" w:hAnsiTheme="majorBidi" w:cstheme="majorBidi"/>
          <w:b/>
          <w:bCs/>
          <w:color w:val="auto"/>
          <w:spacing w:val="2"/>
          <w:szCs w:val="24"/>
          <w:rtl/>
          <w:lang w:bidi="ar-SA"/>
        </w:rPr>
        <w:t>العناية بالجنود الوحيدين خلال خدمتهم العسكرية وبعد تسريحهم من جيش الدفاع وفي موضوع المناطق الصناعية</w:t>
      </w:r>
      <w:r w:rsidRPr="00AF21DB" w:rsidR="008D7EA1">
        <w:rPr>
          <w:rFonts w:eastAsia="Calibri" w:asciiTheme="majorBidi" w:hAnsiTheme="majorBidi" w:cstheme="majorBidi" w:hint="cs"/>
          <w:b/>
          <w:bCs/>
          <w:color w:val="auto"/>
          <w:spacing w:val="2"/>
          <w:szCs w:val="24"/>
          <w:rtl/>
        </w:rPr>
        <w:t xml:space="preserve"> </w:t>
      </w:r>
      <w:r w:rsidRPr="00AF21DB">
        <w:rPr>
          <w:rFonts w:eastAsia="Calibri" w:asciiTheme="majorBidi" w:hAnsiTheme="majorBidi" w:cstheme="majorBidi"/>
          <w:b/>
          <w:bCs/>
          <w:color w:val="auto"/>
          <w:spacing w:val="2"/>
          <w:szCs w:val="24"/>
          <w:rtl/>
          <w:lang w:bidi="ar-SA"/>
        </w:rPr>
        <w:t>بإدارة اسرائيلية في منطقة يهودا والسامرة</w:t>
      </w:r>
      <w:r w:rsidRPr="00AF21DB">
        <w:rPr>
          <w:rFonts w:eastAsia="Calibri" w:asciiTheme="majorBidi" w:hAnsiTheme="majorBidi" w:cstheme="majorBidi"/>
          <w:b/>
          <w:bCs/>
          <w:color w:val="auto"/>
          <w:spacing w:val="2"/>
          <w:szCs w:val="24"/>
          <w:rtl/>
        </w:rPr>
        <w:t xml:space="preserve">- </w:t>
      </w:r>
      <w:r w:rsidRPr="00AF21DB">
        <w:rPr>
          <w:rFonts w:eastAsia="Calibri" w:asciiTheme="majorBidi" w:hAnsiTheme="majorBidi" w:cstheme="majorBidi"/>
          <w:b/>
          <w:bCs/>
          <w:color w:val="auto"/>
          <w:spacing w:val="2"/>
          <w:szCs w:val="24"/>
          <w:rtl/>
          <w:lang w:bidi="ar-SA"/>
        </w:rPr>
        <w:t>جوانب في تنفيذ القانون</w:t>
      </w:r>
      <w:r w:rsidRPr="00AF21DB">
        <w:rPr>
          <w:rFonts w:eastAsia="Calibri" w:asciiTheme="majorBidi" w:hAnsiTheme="majorBidi" w:cstheme="majorBidi"/>
          <w:b/>
          <w:bCs/>
          <w:color w:val="auto"/>
          <w:spacing w:val="2"/>
          <w:szCs w:val="24"/>
          <w:rtl/>
        </w:rPr>
        <w:t>.</w:t>
      </w:r>
    </w:p>
    <w:p w:rsidR="00342EBC" w:rsidRPr="00C94C05" w:rsidP="00C94C05" w14:paraId="0A8AB430" w14:textId="03C4A679">
      <w:pPr>
        <w:pStyle w:val="7193"/>
        <w:spacing w:line="324" w:lineRule="auto"/>
        <w:rPr>
          <w:rFonts w:eastAsia="Calibri" w:asciiTheme="majorBidi" w:hAnsiTheme="majorBidi" w:cstheme="majorBidi"/>
          <w:color w:val="auto"/>
          <w:szCs w:val="24"/>
          <w:rtl/>
          <w:lang w:bidi="ar-SA"/>
        </w:rPr>
      </w:pPr>
      <w:r w:rsidRPr="00C94C05">
        <w:rPr>
          <w:rFonts w:eastAsia="Calibri" w:asciiTheme="majorBidi" w:hAnsiTheme="majorBidi" w:cstheme="majorBidi"/>
          <w:color w:val="auto"/>
          <w:szCs w:val="24"/>
          <w:rtl/>
          <w:lang w:bidi="ar-SA"/>
        </w:rPr>
        <w:t>في نهاية المطاف، يؤثر مجال مكافحة تبييض الأموال بشكل غير مباشر على معظم مواطني اسرائيل، الذين يطلب منهم الامتثال لتعليمات الأحكام التنظيمية المختلفة. في إطار الجهود المبذولة لتحصين وتعزيز نظام مكافحة تبييض الأموال ومحاربة تمويل الإرهاب في اسرائيل، واستمرارا للرقابة الدولية منذ سنة 2018، أجرى مراقب الدولة عمليتي رقابة بين السنوات 2020-2022 بموضوع تطبيق نظام تبييض الأموال في اسرائيل: (أ) نشرت الرقابة الأولى في مايو 2021 وتناولت فحص النشاط المنهجي لجميع جهات تنفيذ القانون والتنظيم ذات الصلة بالموضوع</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(ب) المراجعة الثانية التي يتم نشرها الآن </w:t>
      </w:r>
      <w:r w:rsidRPr="00C94C05">
        <w:rPr>
          <w:rFonts w:eastAsia="Calibri" w:asciiTheme="majorBidi" w:hAnsiTheme="majorBidi" w:cstheme="majorBidi"/>
          <w:color w:val="auto"/>
          <w:szCs w:val="24"/>
          <w:rtl/>
          <w:lang w:bidi="ar-SA"/>
        </w:rPr>
        <w:t xml:space="preserve">بموضوع </w:t>
      </w:r>
      <w:r w:rsidRPr="00C94C05">
        <w:rPr>
          <w:rFonts w:eastAsia="Calibri" w:asciiTheme="majorBidi" w:hAnsiTheme="majorBidi" w:cstheme="majorBidi"/>
          <w:b/>
          <w:bCs/>
          <w:color w:val="auto"/>
          <w:szCs w:val="24"/>
          <w:rtl/>
          <w:lang w:bidi="ar-SA"/>
        </w:rPr>
        <w:t>سلطة مكافحة تبييض الأموال- التعامل مع المعلومات التي تجسد شبهات لتبييض الأموال وتمويل الإرهاب</w:t>
      </w:r>
      <w:r w:rsidRPr="00C94C05">
        <w:rPr>
          <w:rFonts w:eastAsia="Calibri" w:asciiTheme="majorBidi" w:hAnsiTheme="majorBidi" w:cstheme="majorBidi"/>
          <w:color w:val="auto"/>
          <w:szCs w:val="24"/>
          <w:rtl/>
          <w:lang w:bidi="ar-SA"/>
        </w:rPr>
        <w:t>، تركز على معالجة السلطة للمعلومات التي تجسد شبهات تبييض الأموال وتمويل الإرهاب.</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يتضمن تقريري الرقابة الاثنين، الذين تم إعدادهما بهذا الموضوع للمرة الأولى في مكتب مراقب الدولة، النتائج الكثيرة والمهمة. بدأت الجهات التي تتم الرقابة عليها في عمليات التصليح، ومن المناسب أن تستمر هكذا حتى إتمامها. تجدر الإشارة الى أن جميع مؤسسات الدولة ملزمة بمكافحة تبييض الأموال ومكافحة الإرهاب وهي تعمل في الكثير من المجالات- السرية والعلنية، المحلية – والدولية- وتستثمر جهودا وموارد بشرية وميزانية بذلك. </w:t>
      </w:r>
    </w:p>
    <w:p w:rsidR="00342EBC" w:rsidRPr="00C94C05" w:rsidP="00C94C05" w14:paraId="5DC8394B" w14:textId="77777777">
      <w:pPr>
        <w:pStyle w:val="7193"/>
        <w:spacing w:line="324" w:lineRule="auto"/>
        <w:rPr>
          <w:rFonts w:eastAsia="Calibri" w:asciiTheme="majorBidi" w:hAnsiTheme="majorBidi" w:cstheme="majorBidi"/>
          <w:color w:val="auto"/>
          <w:szCs w:val="24"/>
          <w:rtl/>
        </w:rPr>
      </w:pPr>
      <w:r w:rsidRPr="00C94C05">
        <w:rPr>
          <w:rFonts w:eastAsia="Calibri" w:asciiTheme="majorBidi" w:hAnsiTheme="majorBidi" w:cstheme="majorBidi"/>
          <w:color w:val="auto"/>
          <w:szCs w:val="24"/>
          <w:rtl/>
          <w:lang w:bidi="ar-SA"/>
        </w:rPr>
        <w:t>أود أن أشير الى أن عملية الرقابة في سلطة مكافحة تبييض الأموال ومكافحة الإرهاب أجريت وفق المنهجية التي تم تطبيقها من قبل مكتب مراقب الدولة، التي تختلف عن</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منهجية منظمة ال</w:t>
      </w:r>
      <w:r w:rsidRPr="00C94C05">
        <w:rPr>
          <w:rFonts w:eastAsia="Calibri" w:asciiTheme="majorBidi" w:hAnsiTheme="majorBidi" w:cstheme="majorBidi"/>
          <w:color w:val="auto"/>
          <w:szCs w:val="24"/>
          <w:rtl/>
        </w:rPr>
        <w:t>-</w:t>
      </w:r>
      <w:r w:rsidRPr="00C94C05">
        <w:rPr>
          <w:rFonts w:eastAsia="Calibri" w:asciiTheme="majorBidi" w:hAnsiTheme="majorBidi" w:cstheme="majorBidi"/>
          <w:color w:val="auto"/>
          <w:szCs w:val="24"/>
          <w:lang w:bidi="ar-SA"/>
        </w:rPr>
        <w:t>FATF</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lang w:bidi="ar-SA"/>
        </w:rPr>
        <w:t>(Financial Action Task Force)</w:t>
      </w:r>
      <w:r w:rsidRPr="00C94C05">
        <w:rPr>
          <w:rFonts w:eastAsia="Calibri" w:asciiTheme="majorBidi" w:hAnsiTheme="majorBidi" w:cstheme="majorBidi"/>
          <w:color w:val="auto"/>
          <w:szCs w:val="24"/>
          <w:rtl/>
          <w:lang w:bidi="ar-SA"/>
        </w:rPr>
        <w:t xml:space="preserve">، المنظمة الجامعة الدولية التي تضم 37 دولة عضوة، والتي تحدد القواعد الدولية التي بموجبها تم إنشاء سلطة منع تبييض الأموال وتمويل الإرهاب في دولة اسرائيل والتي تعمل بموجبها. هذه </w:t>
      </w:r>
      <w:r w:rsidRPr="00C94C05">
        <w:rPr>
          <w:rFonts w:eastAsia="Calibri" w:asciiTheme="majorBidi" w:hAnsiTheme="majorBidi" w:cstheme="majorBidi"/>
          <w:color w:val="auto"/>
          <w:szCs w:val="24"/>
          <w:rtl/>
          <w:lang w:bidi="ar-SA"/>
        </w:rPr>
        <w:t>الرقابات</w:t>
      </w:r>
      <w:r w:rsidRPr="00C94C05">
        <w:rPr>
          <w:rFonts w:eastAsia="Calibri" w:asciiTheme="majorBidi" w:hAnsiTheme="majorBidi" w:cstheme="majorBidi"/>
          <w:color w:val="auto"/>
          <w:szCs w:val="24"/>
          <w:rtl/>
          <w:lang w:bidi="ar-SA"/>
        </w:rPr>
        <w:t xml:space="preserve"> هي طبقة إضافية خصصت لتقوية سلطة تبييض الأموال الموجودة في اسرائيل. </w:t>
      </w:r>
    </w:p>
    <w:p w:rsidR="00342EBC" w:rsidRPr="00C94C05" w:rsidP="00C94C05" w14:paraId="023F1143" w14:textId="77777777">
      <w:pPr>
        <w:pStyle w:val="7193"/>
        <w:spacing w:line="324" w:lineRule="auto"/>
        <w:rPr>
          <w:rFonts w:eastAsia="Calibri" w:asciiTheme="majorBidi" w:hAnsiTheme="majorBidi" w:cstheme="majorBidi"/>
          <w:b/>
          <w:bCs/>
          <w:color w:val="auto"/>
          <w:szCs w:val="24"/>
          <w:rtl/>
          <w:lang w:bidi="ar-SA"/>
        </w:rPr>
      </w:pPr>
      <w:r w:rsidRPr="00C94C05">
        <w:rPr>
          <w:rFonts w:eastAsia="Calibri" w:asciiTheme="majorBidi" w:hAnsiTheme="majorBidi" w:cstheme="majorBidi"/>
          <w:b/>
          <w:bCs/>
          <w:color w:val="auto"/>
          <w:szCs w:val="24"/>
          <w:rtl/>
          <w:lang w:bidi="ar-SA"/>
        </w:rPr>
        <w:t xml:space="preserve">تقع مسؤولية النشاط السليم لسلطة منع تبييض الأموال على وزير القضاء، مدير عام وزارة القضاء ورئيس سلطة منع تبييض الأموال. هذه الجهات ملزمة باتخاذ جميع الإجراءات المطلوبة لتأمين التحسين المطلوب في النشاط الأساسي لسلطة منع تبييض الأموال، والعمل على استمرار تحسين التعاون بينها وبين عملاء المعلومات. هذه الإجراءات ضرورية لتبرير فرض نظام </w:t>
      </w:r>
      <w:r w:rsidRPr="00C94C05">
        <w:rPr>
          <w:rFonts w:eastAsia="Calibri" w:asciiTheme="majorBidi" w:hAnsiTheme="majorBidi" w:cstheme="majorBidi"/>
          <w:b/>
          <w:bCs/>
          <w:color w:val="auto"/>
          <w:szCs w:val="24"/>
          <w:rtl/>
          <w:lang w:bidi="ar-SA"/>
        </w:rPr>
        <w:t>الإبلاغات</w:t>
      </w:r>
      <w:r w:rsidRPr="00C94C05">
        <w:rPr>
          <w:rFonts w:eastAsia="Calibri" w:asciiTheme="majorBidi" w:hAnsiTheme="majorBidi" w:cstheme="majorBidi"/>
          <w:b/>
          <w:bCs/>
          <w:color w:val="auto"/>
          <w:szCs w:val="24"/>
          <w:rtl/>
          <w:lang w:bidi="ar-SA"/>
        </w:rPr>
        <w:t xml:space="preserve"> وتكاليفه على المجتمع، </w:t>
      </w:r>
      <w:r w:rsidRPr="00C94C05">
        <w:rPr>
          <w:rFonts w:eastAsia="Calibri" w:asciiTheme="majorBidi" w:hAnsiTheme="majorBidi" w:cstheme="majorBidi"/>
          <w:b/>
          <w:bCs/>
          <w:color w:val="auto"/>
          <w:szCs w:val="24"/>
          <w:rtl/>
          <w:lang w:bidi="ar-SA"/>
        </w:rPr>
        <w:t>لتقديم  مساهمة</w:t>
      </w:r>
      <w:r w:rsidRPr="00C94C05">
        <w:rPr>
          <w:rFonts w:eastAsia="Calibri" w:asciiTheme="majorBidi" w:hAnsiTheme="majorBidi" w:cstheme="majorBidi"/>
          <w:b/>
          <w:bCs/>
          <w:color w:val="auto"/>
          <w:szCs w:val="24"/>
          <w:rtl/>
          <w:lang w:bidi="ar-SA"/>
        </w:rPr>
        <w:t xml:space="preserve"> ناجعة لسلطات التحقيق والأمن، وعلى وجه الخصوص في نطاق مكافحة الإجرام المنظم، الإجرام الخطير وتمويل الإرهاب، وحتى تتمكن سلطة منع تبييض الأموال من القيام  بكل ما أسست لأجله بموجب القانون، بنجاعة وفعالية. </w:t>
      </w:r>
    </w:p>
    <w:p w:rsidR="00342EBC" w:rsidRPr="00C94C05" w:rsidP="00C94C05" w14:paraId="37188CA6" w14:textId="7420845D">
      <w:pPr>
        <w:pStyle w:val="7193"/>
        <w:spacing w:line="324" w:lineRule="auto"/>
        <w:rPr>
          <w:rFonts w:eastAsia="Calibri" w:asciiTheme="majorBidi" w:hAnsiTheme="majorBidi" w:cstheme="majorBidi"/>
          <w:color w:val="auto"/>
          <w:szCs w:val="24"/>
          <w:rtl/>
        </w:rPr>
      </w:pPr>
      <w:r w:rsidRPr="00C94C05">
        <w:rPr>
          <w:rFonts w:eastAsia="Calibri" w:asciiTheme="majorBidi" w:hAnsiTheme="majorBidi" w:cstheme="majorBidi"/>
          <w:color w:val="auto"/>
          <w:szCs w:val="24"/>
          <w:rtl/>
          <w:lang w:bidi="ar-SA"/>
        </w:rPr>
        <w:t xml:space="preserve">تتطلب إعداد هذا التقرير، مثل سابقيه، الكثير من الجهد من قبل موظفي الرقابة في مكتبي، وعلى وجه الخصوص في قسم الرقابة على جهاز الأمن والشاباك، الذين يؤدون وظيفتهم العامة انطلاقا من </w:t>
      </w:r>
      <w:r w:rsidRPr="00C94C05">
        <w:rPr>
          <w:rFonts w:eastAsia="Calibri" w:asciiTheme="majorBidi" w:hAnsiTheme="majorBidi" w:cstheme="majorBidi"/>
          <w:color w:val="auto"/>
          <w:szCs w:val="24"/>
          <w:rtl/>
          <w:lang w:bidi="ar-SA"/>
        </w:rPr>
        <w:t>الاحساس الحقيقي بالرسالة</w:t>
      </w:r>
      <w:r w:rsidRPr="00C94C05">
        <w:rPr>
          <w:rFonts w:eastAsia="Calibri" w:asciiTheme="majorBidi" w:hAnsiTheme="majorBidi" w:cstheme="majorBidi"/>
          <w:color w:val="auto"/>
          <w:szCs w:val="24"/>
          <w:rtl/>
        </w:rPr>
        <w:t xml:space="preserve">. </w:t>
      </w:r>
      <w:r w:rsidRPr="00C94C05">
        <w:rPr>
          <w:rFonts w:eastAsia="Calibri" w:asciiTheme="majorBidi" w:hAnsiTheme="majorBidi" w:cstheme="majorBidi"/>
          <w:color w:val="auto"/>
          <w:szCs w:val="24"/>
          <w:rtl/>
          <w:lang w:bidi="ar-SA"/>
        </w:rPr>
        <w:t xml:space="preserve">عمل موظفو الرقابة على إعداد هذا التقرير بمهنية ودقة </w:t>
      </w:r>
      <w:r w:rsidRPr="00C94C05">
        <w:rPr>
          <w:rFonts w:eastAsia="Calibri" w:asciiTheme="majorBidi" w:hAnsiTheme="majorBidi" w:cstheme="majorBidi"/>
          <w:color w:val="auto"/>
          <w:szCs w:val="24"/>
          <w:rtl/>
          <w:lang w:bidi="ar-SA"/>
        </w:rPr>
        <w:t>تامة  وأشكرهم</w:t>
      </w:r>
      <w:r w:rsidRPr="00C94C05">
        <w:rPr>
          <w:rFonts w:eastAsia="Calibri" w:asciiTheme="majorBidi" w:hAnsiTheme="majorBidi" w:cstheme="majorBidi"/>
          <w:color w:val="auto"/>
          <w:szCs w:val="24"/>
          <w:rtl/>
          <w:lang w:bidi="ar-SA"/>
        </w:rPr>
        <w:t xml:space="preserve"> على ذلك</w:t>
      </w:r>
      <w:r w:rsidRPr="00C94C05">
        <w:rPr>
          <w:rFonts w:eastAsia="Calibri" w:asciiTheme="majorBidi" w:hAnsiTheme="majorBidi" w:cstheme="majorBidi"/>
          <w:color w:val="auto"/>
          <w:szCs w:val="24"/>
          <w:rtl/>
        </w:rPr>
        <w:t xml:space="preserve">.  </w:t>
      </w:r>
    </w:p>
    <w:p w:rsidR="00342EBC" w:rsidRPr="00C94C05" w:rsidP="00C94C05" w14:paraId="43D88296" w14:textId="77777777">
      <w:pPr>
        <w:pStyle w:val="7193"/>
        <w:spacing w:line="324" w:lineRule="auto"/>
        <w:rPr>
          <w:rFonts w:eastAsia="Calibri" w:asciiTheme="majorBidi" w:hAnsiTheme="majorBidi" w:cstheme="majorBidi"/>
          <w:color w:val="auto"/>
          <w:szCs w:val="24"/>
          <w:rtl/>
        </w:rPr>
      </w:pPr>
      <w:r w:rsidRPr="00C94C05">
        <w:rPr>
          <w:rFonts w:eastAsia="Calibri" w:asciiTheme="majorBidi" w:hAnsiTheme="majorBidi" w:cstheme="majorBidi"/>
          <w:color w:val="auto"/>
          <w:szCs w:val="24"/>
          <w:rtl/>
          <w:lang w:bidi="ar-SA"/>
        </w:rPr>
        <w:t>يجب على الهيئات الخاضعة للرقابة العمل بطريقة سريعة وناجعة لتصحيح أوجه القصور التي أثيرت في هذا التقرير لتقوية أمن اسرائيل وحماية مواطني الدولة وتحسين رفاهية من يخدم بجيش الدفاع الاسرائيلي والبنى التحتية الصناعية والأمنية</w:t>
      </w:r>
      <w:r w:rsidRPr="00C94C05">
        <w:rPr>
          <w:rFonts w:eastAsia="Calibri" w:asciiTheme="majorBidi" w:hAnsiTheme="majorBidi" w:cstheme="majorBidi"/>
          <w:color w:val="auto"/>
          <w:szCs w:val="24"/>
          <w:rtl/>
        </w:rPr>
        <w:t xml:space="preserve">.  </w:t>
      </w:r>
    </w:p>
    <w:p w:rsidR="002567BE" w:rsidP="006427EB" w14:paraId="3912D521" w14:textId="045B1D57">
      <w:pPr>
        <w:widowControl w:val="0"/>
        <w:spacing w:after="120" w:line="276" w:lineRule="auto"/>
        <w:ind w:left="3402"/>
        <w:jc w:val="center"/>
        <w:rPr>
          <w:rFonts w:asciiTheme="majorBidi" w:hAnsiTheme="majorBidi" w:cstheme="majorBidi"/>
          <w:b/>
          <w:bCs/>
          <w:sz w:val="24"/>
          <w:lang w:eastAsia="he-IL"/>
        </w:rPr>
      </w:pPr>
    </w:p>
    <w:p w:rsidR="00C94C05" w:rsidP="006427EB" w14:paraId="368146E8" w14:textId="77777777">
      <w:pPr>
        <w:widowControl w:val="0"/>
        <w:spacing w:after="120" w:line="276" w:lineRule="auto"/>
        <w:ind w:left="3402"/>
        <w:jc w:val="center"/>
        <w:rPr>
          <w:rFonts w:asciiTheme="majorBidi" w:hAnsiTheme="majorBidi" w:cstheme="majorBidi"/>
          <w:b/>
          <w:bCs/>
          <w:sz w:val="24"/>
          <w:rtl/>
          <w:lang w:eastAsia="he-IL"/>
        </w:rPr>
      </w:pPr>
    </w:p>
    <w:p w:rsidR="002567BE" w:rsidP="006427EB" w14:paraId="22872AF5" w14:textId="77777777">
      <w:pPr>
        <w:widowControl w:val="0"/>
        <w:spacing w:after="120" w:line="276" w:lineRule="auto"/>
        <w:ind w:left="3402"/>
        <w:jc w:val="center"/>
        <w:rPr>
          <w:rFonts w:asciiTheme="majorBidi" w:hAnsiTheme="majorBidi" w:cstheme="majorBidi"/>
          <w:b/>
          <w:bCs/>
          <w:sz w:val="24"/>
          <w:rtl/>
          <w:lang w:eastAsia="he-IL"/>
        </w:rPr>
      </w:pPr>
    </w:p>
    <w:p w:rsidR="002567BE" w:rsidP="002567BE" w14:paraId="3687B5EC" w14:textId="77777777">
      <w:pPr>
        <w:widowControl w:val="0"/>
        <w:spacing w:after="180" w:line="276" w:lineRule="auto"/>
        <w:ind w:left="3402"/>
        <w:jc w:val="center"/>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84864" behindDoc="0" locked="0" layoutInCell="1" allowOverlap="1">
            <wp:simplePos x="0" y="0"/>
            <wp:positionH relativeFrom="column">
              <wp:posOffset>558800</wp:posOffset>
            </wp:positionH>
            <wp:positionV relativeFrom="paragraph">
              <wp:posOffset>149860</wp:posOffset>
            </wp:positionV>
            <wp:extent cx="1213485" cy="382905"/>
            <wp:effectExtent l="0" t="0" r="5715" b="0"/>
            <wp:wrapSquare wrapText="bothSides"/>
            <wp:docPr id="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13485" cy="382905"/>
                    </a:xfrm>
                    <a:prstGeom prst="rect">
                      <a:avLst/>
                    </a:prstGeom>
                  </pic:spPr>
                </pic:pic>
              </a:graphicData>
            </a:graphic>
            <wp14:sizeRelH relativeFrom="margin">
              <wp14:pctWidth>0</wp14:pctWidth>
            </wp14:sizeRelH>
            <wp14:sizeRelV relativeFrom="margin">
              <wp14:pctHeight>0</wp14:pctHeight>
            </wp14:sizeRelV>
          </wp:anchor>
        </w:drawing>
      </w:r>
    </w:p>
    <w:p w:rsidR="002567BE" w:rsidP="002567BE" w14:paraId="0F5AEC10" w14:textId="77777777">
      <w:pPr>
        <w:widowControl w:val="0"/>
        <w:spacing w:after="180" w:line="276" w:lineRule="auto"/>
        <w:ind w:left="3402"/>
        <w:jc w:val="center"/>
        <w:rPr>
          <w:rFonts w:asciiTheme="majorBidi" w:hAnsiTheme="majorBidi" w:cstheme="majorBidi"/>
          <w:b/>
          <w:bCs/>
          <w:sz w:val="24"/>
          <w:rtl/>
          <w:lang w:eastAsia="he-IL"/>
        </w:rPr>
      </w:pPr>
    </w:p>
    <w:p w:rsidR="000A1C64" w:rsidRPr="00342EBC" w:rsidP="002567BE" w14:paraId="173A7FEC" w14:textId="77777777">
      <w:pPr>
        <w:pStyle w:val="7195"/>
        <w:spacing w:line="276" w:lineRule="auto"/>
        <w:ind w:left="3396"/>
        <w:jc w:val="center"/>
        <w:rPr>
          <w:b/>
          <w:szCs w:val="18"/>
          <w:lang w:val="en-US" w:bidi="ar-SA"/>
        </w:rPr>
      </w:pPr>
      <w:r w:rsidRPr="00A86EC4">
        <w:rPr>
          <w:rFonts w:eastAsia="Calibri" w:asciiTheme="majorBidi" w:hAnsiTheme="majorBidi" w:cstheme="majorBidi"/>
          <w:b/>
          <w:noProof w:val="0"/>
          <w:color w:val="auto"/>
          <w:szCs w:val="24"/>
          <w:rtl/>
          <w:lang w:val="en-US" w:bidi="ar-SA"/>
        </w:rPr>
        <w:t>متنياهو</w:t>
      </w:r>
      <w:r w:rsidRPr="00BD0148">
        <w:rPr>
          <w:rFonts w:eastAsia="Calibri" w:asciiTheme="majorBidi" w:hAnsiTheme="majorBidi" w:cstheme="majorBidi"/>
          <w:szCs w:val="24"/>
          <w:rtl/>
        </w:rPr>
        <w:t xml:space="preserve"> </w:t>
      </w:r>
      <w:r w:rsidRPr="00BD0148">
        <w:rPr>
          <w:rFonts w:eastAsia="Calibri" w:asciiTheme="majorBidi" w:hAnsiTheme="majorBidi" w:cstheme="majorBidi"/>
          <w:szCs w:val="24"/>
          <w:rtl/>
          <w:lang w:bidi="ar-SA"/>
        </w:rPr>
        <w:t>أنجلمان</w:t>
      </w:r>
    </w:p>
    <w:p w:rsidR="002567BE" w:rsidRPr="000A1C64" w:rsidP="002567BE" w14:paraId="148FE52A" w14:textId="7445076B">
      <w:pPr>
        <w:pStyle w:val="7195"/>
        <w:spacing w:line="276" w:lineRule="auto"/>
        <w:ind w:left="3396"/>
        <w:jc w:val="center"/>
        <w:rPr>
          <w:rFonts w:eastAsia="Calibri" w:asciiTheme="majorBidi" w:hAnsiTheme="majorBidi" w:cstheme="majorBidi"/>
          <w:b/>
          <w:bCs w:val="0"/>
          <w:color w:val="auto"/>
          <w:szCs w:val="24"/>
          <w:rtl/>
          <w:lang w:bidi="ar-SA"/>
        </w:rPr>
      </w:pPr>
      <w:r w:rsidRPr="000A1C64">
        <w:rPr>
          <w:rFonts w:eastAsia="Calibri" w:asciiTheme="majorBidi" w:hAnsiTheme="majorBidi" w:cstheme="majorBidi"/>
          <w:b/>
          <w:bCs w:val="0"/>
          <w:color w:val="auto"/>
          <w:szCs w:val="24"/>
          <w:rtl/>
          <w:lang w:bidi="ar-SA"/>
        </w:rPr>
        <w:t>مراقِب الدولة</w:t>
      </w:r>
      <w:r w:rsidRPr="000A1C64">
        <w:rPr>
          <w:rFonts w:eastAsia="Calibri" w:asciiTheme="majorBidi" w:hAnsiTheme="majorBidi" w:cstheme="majorBidi"/>
          <w:b/>
          <w:bCs w:val="0"/>
          <w:color w:val="auto"/>
          <w:szCs w:val="24"/>
          <w:rtl/>
          <w:lang w:bidi="ar-SA"/>
        </w:rPr>
        <w:br/>
        <w:t>ومفوَّض شكاوى الجمهور</w:t>
      </w:r>
    </w:p>
    <w:p w:rsidR="002567BE" w:rsidRPr="00B76D04" w:rsidP="006427EB" w14:paraId="6F574396" w14:textId="77777777">
      <w:pPr>
        <w:spacing w:after="360" w:line="276" w:lineRule="auto"/>
        <w:ind w:left="424"/>
        <w:rPr>
          <w:rFonts w:ascii="Tahoma" w:hAnsi="Tahoma" w:cs="Tahoma"/>
          <w:sz w:val="16"/>
          <w:szCs w:val="20"/>
          <w:rtl/>
          <w:lang w:bidi="ar-SA"/>
        </w:rPr>
      </w:pPr>
    </w:p>
    <w:p w:rsidR="002567BE" w:rsidRPr="00262C43" w:rsidP="002567BE" w14:paraId="01C8CEB4" w14:textId="525CA8C7">
      <w:pPr>
        <w:spacing w:after="180" w:line="276" w:lineRule="auto"/>
        <w:ind w:left="424"/>
        <w:rPr>
          <w:rFonts w:eastAsia="Calibri" w:asciiTheme="majorBidi" w:hAnsiTheme="majorBidi" w:cstheme="majorBidi"/>
          <w:sz w:val="18"/>
          <w:rtl/>
        </w:rPr>
      </w:pPr>
      <w:r w:rsidRPr="00C5363E">
        <w:rPr>
          <w:rFonts w:eastAsia="Calibri" w:asciiTheme="majorBidi" w:hAnsiTheme="majorBidi" w:cs="Times New Roman"/>
          <w:sz w:val="18"/>
          <w:rtl/>
          <w:lang w:bidi="ar-SA"/>
        </w:rPr>
        <w:t>القدس,</w:t>
      </w:r>
      <w:r w:rsidRPr="00C5363E">
        <w:rPr>
          <w:rFonts w:eastAsia="Calibri" w:asciiTheme="majorBidi" w:hAnsiTheme="majorBidi" w:cs="Times New Roman"/>
          <w:sz w:val="18"/>
          <w:rtl/>
          <w:lang w:bidi="ar-SA"/>
        </w:rPr>
        <w:t xml:space="preserve"> شباط</w:t>
      </w:r>
      <w:r>
        <w:rPr>
          <w:rFonts w:ascii="Tahoma" w:eastAsia="Calibri" w:hAnsi="Tahoma" w:cs="Tahoma" w:hint="cs"/>
          <w:szCs w:val="20"/>
          <w:rtl/>
        </w:rPr>
        <w:t xml:space="preserve"> </w:t>
      </w:r>
      <w:r>
        <w:rPr>
          <w:rFonts w:eastAsia="Calibri" w:asciiTheme="majorBidi" w:hAnsiTheme="majorBidi" w:cstheme="majorBidi" w:hint="cs"/>
          <w:rtl/>
        </w:rPr>
        <w:t>2023</w:t>
      </w:r>
    </w:p>
    <w:p w:rsidR="00B86B10" w14:paraId="41D261C9" w14:textId="77777777">
      <w:pPr>
        <w:bidi w:val="0"/>
        <w:spacing w:after="200" w:line="276" w:lineRule="auto"/>
        <w:rPr>
          <w:rFonts w:asciiTheme="minorHAnsi" w:eastAsiaTheme="majorEastAsia" w:hAnsiTheme="minorHAnsi" w:cs="Tahoma"/>
          <w:sz w:val="34"/>
          <w:szCs w:val="34"/>
          <w:lang w:bidi="ar-SA"/>
        </w:rPr>
      </w:pPr>
    </w:p>
    <w:p w:rsidR="00C94C05" w:rsidP="00C94C05" w14:paraId="37D5F33E" w14:textId="22A57DA8">
      <w:pPr>
        <w:bidi w:val="0"/>
        <w:spacing w:after="200" w:line="276" w:lineRule="auto"/>
        <w:rPr>
          <w:rFonts w:asciiTheme="minorHAnsi" w:eastAsiaTheme="majorEastAsia" w:hAnsiTheme="minorHAnsi" w:cs="Tahoma"/>
          <w:sz w:val="34"/>
          <w:szCs w:val="34"/>
          <w:lang w:bidi="ar-SA"/>
        </w:rPr>
        <w:sectPr w:rsidSect="00A8428C">
          <w:headerReference w:type="default" r:id="rId22"/>
          <w:footnotePr>
            <w:numRestart w:val="eachSect"/>
          </w:footnotePr>
          <w:type w:val="continuous"/>
          <w:pgSz w:w="11906" w:h="16838" w:code="9"/>
          <w:pgMar w:top="3062" w:right="2268" w:bottom="2552" w:left="2268" w:header="1134" w:footer="1361" w:gutter="0"/>
          <w:cols w:space="708"/>
          <w:bidi/>
          <w:rtlGutter/>
          <w:docGrid w:linePitch="360"/>
        </w:sectPr>
      </w:pPr>
    </w:p>
    <w:p w:rsidR="003342DA" w:rsidRPr="003342DA" w:rsidP="003342DA" w14:paraId="6405789D" w14:textId="37A66F03">
      <w:pPr>
        <w:tabs>
          <w:tab w:val="left" w:pos="5240"/>
        </w:tabs>
        <w:bidi w:val="0"/>
        <w:rPr>
          <w:rFonts w:asciiTheme="minorHAnsi" w:eastAsiaTheme="majorEastAsia" w:hAnsiTheme="minorHAnsi" w:cs="Tahoma"/>
          <w:sz w:val="34"/>
          <w:szCs w:val="34"/>
          <w:lang w:bidi="ar-SA"/>
        </w:rPr>
        <w:sectPr w:rsidSect="00B86B10">
          <w:headerReference w:type="even" r:id="rId23"/>
          <w:footerReference w:type="even" r:id="rId24"/>
          <w:footnotePr>
            <w:numRestart w:val="eachSect"/>
          </w:footnotePr>
          <w:pgSz w:w="11906" w:h="16838" w:code="9"/>
          <w:pgMar w:top="3062" w:right="2268" w:bottom="2552" w:left="2268" w:header="1134" w:footer="1361" w:gutter="0"/>
          <w:cols w:space="708"/>
          <w:bidi/>
          <w:rtlGutter/>
          <w:docGrid w:linePitch="360"/>
        </w:sectPr>
      </w:pPr>
      <w:r>
        <w:rPr>
          <w:rFonts w:ascii="Tahoma" w:hAnsi="Tahoma" w:cs="Tahoma"/>
          <w:noProof/>
          <w:sz w:val="22"/>
          <w:szCs w:val="22"/>
          <w:rtl/>
          <w:lang w:val="he-IL"/>
        </w:rPr>
        <mc:AlternateContent>
          <mc:Choice Requires="wps">
            <w:drawing>
              <wp:anchor distT="0" distB="0" distL="114300" distR="114300" simplePos="0" relativeHeight="251676672" behindDoc="0" locked="0" layoutInCell="1" allowOverlap="1">
                <wp:simplePos x="0" y="0"/>
                <wp:positionH relativeFrom="column">
                  <wp:posOffset>3752306</wp:posOffset>
                </wp:positionH>
                <wp:positionV relativeFrom="paragraph">
                  <wp:posOffset>7434761</wp:posOffset>
                </wp:positionV>
                <wp:extent cx="1195251" cy="522515"/>
                <wp:effectExtent l="12700" t="12700" r="11430" b="11430"/>
                <wp:wrapNone/>
                <wp:docPr id="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195251" cy="5225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6" style="width:94.1pt;height:41.15pt;margin-top:585.4pt;margin-left:295.45pt;mso-wrap-distance-bottom:0;mso-wrap-distance-left:9pt;mso-wrap-distance-right:9pt;mso-wrap-distance-top:0;mso-wrap-style:square;position:absolute;visibility:visible;v-text-anchor:middle;z-index:251677696" fillcolor="white" strokecolor="white" strokeweight="2pt"/>
            </w:pict>
          </mc:Fallback>
        </mc:AlternateContent>
      </w:r>
      <w:r>
        <w:rPr>
          <w:rFonts w:ascii="Tahoma" w:hAnsi="Tahoma" w:cs="Tahoma"/>
          <w:noProof/>
          <w:sz w:val="22"/>
          <w:szCs w:val="22"/>
          <w:rtl/>
          <w:lang w:val="he-IL"/>
        </w:rPr>
        <mc:AlternateContent>
          <mc:Choice Requires="wps">
            <w:drawing>
              <wp:anchor distT="0" distB="0" distL="114300" distR="114300" simplePos="0" relativeHeight="251672576" behindDoc="0" locked="0" layoutInCell="1" allowOverlap="1">
                <wp:simplePos x="0" y="0"/>
                <wp:positionH relativeFrom="column">
                  <wp:posOffset>-330200</wp:posOffset>
                </wp:positionH>
                <wp:positionV relativeFrom="paragraph">
                  <wp:posOffset>5850043</wp:posOffset>
                </wp:positionV>
                <wp:extent cx="7601578" cy="1543050"/>
                <wp:effectExtent l="0" t="0" r="0" b="0"/>
                <wp:wrapNone/>
                <wp:docPr id="2123057045"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7" style="width:598.55pt;height:121.5pt;margin-top:460.65pt;margin-left:-26pt;flip:y;mso-height-percent:0;mso-height-relative:margin;mso-width-percent:0;mso-width-relative:margin;mso-wrap-distance-bottom:0;mso-wrap-distance-left:9pt;mso-wrap-distance-right:9pt;mso-wrap-distance-top:0;mso-wrap-style:square;position:absolute;visibility:visible;v-text-anchor:middle;z-index:251673600" fillcolor="white" stroked="f" strokeweight="2pt"/>
            </w:pict>
          </mc:Fallback>
        </mc:AlternateContent>
      </w:r>
    </w:p>
    <w:p w:rsidR="007D4879" w:rsidP="000960BA" w14:paraId="125F06A1" w14:textId="24F4CB12">
      <w:pPr>
        <w:spacing w:line="240" w:lineRule="atLeast"/>
        <w:jc w:val="center"/>
        <w:rPr>
          <w:rFonts w:ascii="Tahoma" w:hAnsi="Tahoma" w:cs="Tahoma"/>
          <w:sz w:val="22"/>
          <w:szCs w:val="22"/>
          <w:rtl/>
        </w:rPr>
        <w:sectPr w:rsidSect="00B86B10">
          <w:headerReference w:type="even" r:id="rId25"/>
          <w:headerReference w:type="default" r:id="rId26"/>
          <w:footerReference w:type="default" r:id="rId27"/>
          <w:footnotePr>
            <w:numRestart w:val="eachSect"/>
          </w:footnotePr>
          <w:pgSz w:w="11906" w:h="16838" w:code="9"/>
          <w:pgMar w:top="3062" w:right="2268" w:bottom="2552" w:left="2268" w:header="1134" w:footer="1361" w:gutter="0"/>
          <w:cols w:space="720"/>
          <w:titlePg/>
          <w:bidi/>
          <w:rtlGutter/>
          <w:docGrid w:linePitch="272"/>
        </w:sectPr>
      </w:pPr>
      <w:r w:rsidRPr="0030415A">
        <w:rPr>
          <w:rFonts w:ascii="Tahoma" w:hAnsi="Tahoma" w:cs="Tahoma"/>
          <w:noProof/>
          <w:sz w:val="22"/>
          <w:szCs w:val="22"/>
          <w:rtl/>
        </w:rPr>
        <mc:AlternateContent>
          <mc:Choice Requires="wps">
            <w:drawing>
              <wp:anchor distT="45720" distB="45720" distL="114300" distR="114300" simplePos="0" relativeHeight="251666432" behindDoc="0" locked="0" layoutInCell="1" allowOverlap="1">
                <wp:simplePos x="0" y="0"/>
                <wp:positionH relativeFrom="column">
                  <wp:posOffset>-19050</wp:posOffset>
                </wp:positionH>
                <wp:positionV relativeFrom="paragraph">
                  <wp:posOffset>260350</wp:posOffset>
                </wp:positionV>
                <wp:extent cx="4428490" cy="4273550"/>
                <wp:effectExtent l="0" t="0" r="3810" b="6350"/>
                <wp:wrapSquare wrapText="bothSides"/>
                <wp:docPr id="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8490" cy="4273550"/>
                        </a:xfrm>
                        <a:prstGeom prst="rect">
                          <a:avLst/>
                        </a:prstGeom>
                        <a:solidFill>
                          <a:srgbClr val="00305F"/>
                        </a:solidFill>
                        <a:ln w="9525">
                          <a:noFill/>
                          <a:miter lim="800000"/>
                          <a:headEnd/>
                          <a:tailEnd/>
                        </a:ln>
                      </wps:spPr>
                      <wps:txbx>
                        <w:txbxContent>
                          <w:p w:rsidR="007D4879" w:rsidP="007D4879" w14:textId="77777777">
                            <w:pPr>
                              <w:ind w:left="2268"/>
                              <w:rPr>
                                <w:rFonts w:ascii="Tahoma" w:hAnsi="Tahoma" w:cs="Tahoma"/>
                                <w:sz w:val="18"/>
                                <w:szCs w:val="18"/>
                                <w:rtl/>
                              </w:rPr>
                            </w:pPr>
                          </w:p>
                          <w:p w:rsidR="007D4879" w:rsidP="007D4879" w14:textId="77777777">
                            <w:pPr>
                              <w:ind w:left="2268"/>
                              <w:rPr>
                                <w:rFonts w:ascii="Tahoma" w:hAnsi="Tahoma" w:cs="Tahoma"/>
                                <w:sz w:val="18"/>
                                <w:szCs w:val="18"/>
                                <w:rtl/>
                              </w:rPr>
                            </w:pPr>
                          </w:p>
                          <w:p w:rsidR="002B39F7" w:rsidRPr="0052031E" w:rsidP="002B39F7" w14:textId="77777777">
                            <w:pPr>
                              <w:pStyle w:val="a44"/>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אדר התשפ״ג </w:t>
                            </w:r>
                            <w:r w:rsidRPr="0052031E">
                              <w:rPr>
                                <w:rtl/>
                              </w:rPr>
                              <w:t>|</w:t>
                            </w:r>
                            <w:r>
                              <w:rPr>
                                <w:rFonts w:hint="cs"/>
                                <w:rtl/>
                              </w:rPr>
                              <w:t xml:space="preserve"> פברואר 2023 </w:t>
                            </w:r>
                          </w:p>
                          <w:p w:rsidR="007D4879" w:rsidP="00942C02" w14:textId="77777777">
                            <w:pPr>
                              <w:rPr>
                                <w:rtl/>
                              </w:rPr>
                            </w:pPr>
                          </w:p>
                          <w:p w:rsidR="00536511" w:rsidP="007D4879" w14:textId="33DF3CB3">
                            <w:pPr>
                              <w:ind w:left="2268"/>
                              <w:rPr>
                                <w:rtl/>
                              </w:rPr>
                            </w:pPr>
                          </w:p>
                          <w:p w:rsidR="00B92F85" w:rsidP="007D4879" w14:textId="00AF6549">
                            <w:pPr>
                              <w:ind w:left="2268"/>
                            </w:pPr>
                          </w:p>
                          <w:p w:rsidR="00CA1F53" w:rsidP="007D4879" w14:textId="77777777">
                            <w:pPr>
                              <w:ind w:left="2268"/>
                              <w:rPr>
                                <w:rtl/>
                              </w:rPr>
                            </w:pPr>
                          </w:p>
                          <w:p w:rsidR="007D4879" w:rsidRPr="007D4879" w:rsidP="007D4879" w14:textId="644AD440">
                            <w:pPr>
                              <w:ind w:left="2268"/>
                              <w:rPr>
                                <w:rFonts w:ascii="Tahoma" w:hAnsi="Tahoma" w:eastAsiaTheme="minorEastAsia" w:cs="Tahoma"/>
                                <w:color w:val="FFFFFF" w:themeColor="background1"/>
                                <w:sz w:val="36"/>
                                <w:szCs w:val="36"/>
                                <w:rtl/>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ראשון</w:t>
                            </w:r>
                          </w:p>
                          <w:p w:rsidR="008A3B36" w:rsidRPr="00097DDD" w:rsidP="00536511" w14:textId="2ED4E9DF">
                            <w:pPr>
                              <w:spacing w:before="360" w:line="240" w:lineRule="auto"/>
                              <w:ind w:left="2268"/>
                              <w:jc w:val="left"/>
                              <w:rPr>
                                <w:rFonts w:ascii="Tahoma" w:hAnsi="Tahoma" w:cs="Tahoma"/>
                                <w:b/>
                                <w:bCs/>
                                <w:color w:val="FFFFFF" w:themeColor="background1"/>
                                <w:sz w:val="60"/>
                                <w:szCs w:val="60"/>
                                <w:rtl/>
                              </w:rPr>
                            </w:pPr>
                            <w:r w:rsidRPr="00262275">
                              <w:rPr>
                                <w:rFonts w:ascii="Tahoma" w:hAnsi="Tahoma" w:cs="Tahoma"/>
                                <w:b/>
                                <w:bCs/>
                                <w:color w:val="FFFFFF" w:themeColor="background1"/>
                                <w:sz w:val="60"/>
                                <w:szCs w:val="60"/>
                                <w:rtl/>
                              </w:rPr>
                              <w:t>מערכת הביטחון</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width:348.7pt;height:336.5pt;margin-top:20.5pt;margin-left:-1.5pt;mso-height-percent:0;mso-height-relative:margin;mso-width-percent:0;mso-width-relative:margin;mso-wrap-distance-bottom:3.6pt;mso-wrap-distance-left:9pt;mso-wrap-distance-right:9pt;mso-wrap-distance-top:3.6pt;mso-wrap-style:square;position:absolute;visibility:visible;v-text-anchor:top;z-index:251667456" fillcolor="#00305f" stroked="f">
                <v:textbox>
                  <w:txbxContent>
                    <w:p w:rsidR="007D4879" w:rsidP="007D4879" w14:paraId="03FB1104" w14:textId="77777777">
                      <w:pPr>
                        <w:ind w:left="2268"/>
                        <w:rPr>
                          <w:rFonts w:ascii="Tahoma" w:hAnsi="Tahoma" w:cs="Tahoma"/>
                          <w:sz w:val="18"/>
                          <w:szCs w:val="18"/>
                          <w:rtl/>
                        </w:rPr>
                      </w:pPr>
                    </w:p>
                    <w:p w:rsidR="007D4879" w:rsidP="007D4879" w14:paraId="51C88AB6" w14:textId="77777777">
                      <w:pPr>
                        <w:ind w:left="2268"/>
                        <w:rPr>
                          <w:rFonts w:ascii="Tahoma" w:hAnsi="Tahoma" w:cs="Tahoma"/>
                          <w:sz w:val="18"/>
                          <w:szCs w:val="18"/>
                          <w:rtl/>
                        </w:rPr>
                      </w:pPr>
                    </w:p>
                    <w:p w:rsidR="002B39F7" w:rsidRPr="0052031E" w:rsidP="002B39F7" w14:paraId="677DFBFE" w14:textId="77777777">
                      <w:pPr>
                        <w:pStyle w:val="a44"/>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אדר התשפ״ג </w:t>
                      </w:r>
                      <w:r w:rsidRPr="0052031E">
                        <w:rPr>
                          <w:rtl/>
                        </w:rPr>
                        <w:t>|</w:t>
                      </w:r>
                      <w:r>
                        <w:rPr>
                          <w:rFonts w:hint="cs"/>
                          <w:rtl/>
                        </w:rPr>
                        <w:t xml:space="preserve"> פברואר 2023 </w:t>
                      </w:r>
                    </w:p>
                    <w:p w:rsidR="007D4879" w:rsidP="00942C02" w14:paraId="2A6FA640" w14:textId="77777777">
                      <w:pPr>
                        <w:rPr>
                          <w:rtl/>
                        </w:rPr>
                      </w:pPr>
                    </w:p>
                    <w:p w:rsidR="00536511" w:rsidP="007D4879" w14:paraId="0F528BDE" w14:textId="33DF3CB3">
                      <w:pPr>
                        <w:ind w:left="2268"/>
                        <w:rPr>
                          <w:rtl/>
                        </w:rPr>
                      </w:pPr>
                    </w:p>
                    <w:p w:rsidR="00B92F85" w:rsidP="007D4879" w14:paraId="719CD493" w14:textId="00AF6549">
                      <w:pPr>
                        <w:ind w:left="2268"/>
                      </w:pPr>
                    </w:p>
                    <w:p w:rsidR="00CA1F53" w:rsidP="007D4879" w14:paraId="0B9A6B56" w14:textId="77777777">
                      <w:pPr>
                        <w:ind w:left="2268"/>
                        <w:rPr>
                          <w:rtl/>
                        </w:rPr>
                      </w:pPr>
                    </w:p>
                    <w:p w:rsidR="007D4879" w:rsidRPr="007D4879" w:rsidP="007D4879" w14:paraId="5F8B0EA8" w14:textId="644AD440">
                      <w:pPr>
                        <w:ind w:left="2268"/>
                        <w:rPr>
                          <w:rFonts w:ascii="Tahoma" w:hAnsi="Tahoma" w:eastAsiaTheme="minorEastAsia" w:cs="Tahoma"/>
                          <w:color w:val="FFFFFF" w:themeColor="background1"/>
                          <w:sz w:val="36"/>
                          <w:szCs w:val="36"/>
                          <w:rtl/>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ראשון</w:t>
                      </w:r>
                    </w:p>
                    <w:p w:rsidR="008A3B36" w:rsidRPr="00097DDD" w:rsidP="00536511" w14:paraId="7EB0E764" w14:textId="2ED4E9DF">
                      <w:pPr>
                        <w:spacing w:before="360" w:line="240" w:lineRule="auto"/>
                        <w:ind w:left="2268"/>
                        <w:jc w:val="left"/>
                        <w:rPr>
                          <w:rFonts w:ascii="Tahoma" w:hAnsi="Tahoma" w:cs="Tahoma"/>
                          <w:b/>
                          <w:bCs/>
                          <w:color w:val="FFFFFF" w:themeColor="background1"/>
                          <w:sz w:val="60"/>
                          <w:szCs w:val="60"/>
                          <w:rtl/>
                        </w:rPr>
                      </w:pPr>
                      <w:r w:rsidRPr="00262275">
                        <w:rPr>
                          <w:rFonts w:ascii="Tahoma" w:hAnsi="Tahoma" w:cs="Tahoma"/>
                          <w:b/>
                          <w:bCs/>
                          <w:color w:val="FFFFFF" w:themeColor="background1"/>
                          <w:sz w:val="60"/>
                          <w:szCs w:val="60"/>
                          <w:rtl/>
                        </w:rPr>
                        <w:t>מערכת הביטחון</w:t>
                      </w: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3072814</wp:posOffset>
                </wp:positionH>
                <wp:positionV relativeFrom="paragraph">
                  <wp:posOffset>369765</wp:posOffset>
                </wp:positionV>
                <wp:extent cx="0" cy="3530991"/>
                <wp:effectExtent l="25400" t="0" r="25400" b="25400"/>
                <wp:wrapNone/>
                <wp:docPr id="3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53099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9" style="mso-height-percent:0;mso-height-relative:margin;mso-wrap-distance-bottom:0;mso-wrap-distance-left:9pt;mso-wrap-distance-right:9pt;mso-wrap-distance-top:0;mso-wrap-style:square;position:absolute;visibility:visible;z-index:251671552" from="241.95pt,29.1pt" to="241.95pt,307.15pt" strokecolor="white" strokeweight="4pt"/>
            </w:pict>
          </mc:Fallback>
        </mc:AlternateContent>
      </w:r>
      <w:r w:rsidR="007D4879">
        <w:rPr>
          <w:rFonts w:ascii="Tahoma" w:hAnsi="Tahoma" w:cs="Tahoma"/>
          <w:noProof/>
          <w:szCs w:val="18"/>
        </w:rPr>
        <mc:AlternateContent>
          <mc:Choice Requires="wps">
            <w:drawing>
              <wp:anchor distT="0" distB="0" distL="114300" distR="114300" simplePos="0" relativeHeight="251664384" behindDoc="0" locked="0" layoutInCell="1" allowOverlap="1">
                <wp:simplePos x="0" y="0"/>
                <wp:positionH relativeFrom="column">
                  <wp:posOffset>-15163846</wp:posOffset>
                </wp:positionH>
                <wp:positionV relativeFrom="paragraph">
                  <wp:posOffset>-5918996</wp:posOffset>
                </wp:positionV>
                <wp:extent cx="20269200" cy="15478699"/>
                <wp:effectExtent l="12700" t="12700" r="12700" b="15875"/>
                <wp:wrapNone/>
                <wp:docPr id="33"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40"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5408" fillcolor="#00305f" strokecolor="#00305f" strokeweight="2pt"/>
            </w:pict>
          </mc:Fallback>
        </mc:AlternateContent>
      </w:r>
      <w:r w:rsidR="007D4879">
        <w:rPr>
          <w:rFonts w:hint="cs"/>
          <w:noProof/>
          <w:rtl/>
          <w:lang w:val="he-IL"/>
        </w:rPr>
        <w:drawing>
          <wp:anchor distT="0" distB="0" distL="114300" distR="114300" simplePos="0" relativeHeight="251668480"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47" name="Picture 26"/>
            <wp:cNvGraphicFramePr/>
            <a:graphic xmlns:a="http://schemas.openxmlformats.org/drawingml/2006/main">
              <a:graphicData uri="http://schemas.openxmlformats.org/drawingml/2006/picture">
                <pic:pic xmlns:pic="http://schemas.openxmlformats.org/drawingml/2006/picture">
                  <pic:nvPicPr>
                    <pic:cNvPr id="47" name="Picture 956"/>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Pr="0030415A" w:rsidR="007D4879">
        <w:rPr>
          <w:rFonts w:ascii="Tahoma" w:hAnsi="Tahoma" w:cs="Tahoma"/>
          <w:noProof/>
          <w:sz w:val="22"/>
          <w:szCs w:val="22"/>
          <w:rtl/>
        </w:rPr>
        <mc:AlternateContent>
          <mc:Choice Requires="wps">
            <w:drawing>
              <wp:anchor distT="0" distB="0" distL="114300" distR="114300" simplePos="0" relativeHeight="251662336"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34"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41" style="mso-wrap-distance-bottom:0;mso-wrap-distance-left:9pt;mso-wrap-distance-right:9pt;mso-wrap-distance-top:0;mso-wrap-style:square;position:absolute;visibility:visible;z-index:251663360" from="564.25pt,22.15pt" to="564.25pt,198.2pt" strokecolor="white" strokeweight="3.5pt"/>
            </w:pict>
          </mc:Fallback>
        </mc:AlternateContent>
      </w:r>
      <w:r w:rsidR="007D4879">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0"/>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652A94" w:rsidRPr="00652A94" w:rsidP="000960BA" w14:paraId="05AB505B" w14:textId="6824B9FF">
      <w:pPr>
        <w:rPr>
          <w:rFonts w:ascii="Tahoma" w:hAnsi="Tahoma" w:cs="Tahoma"/>
          <w:sz w:val="24"/>
        </w:rPr>
      </w:pPr>
    </w:p>
    <w:sectPr w:rsidSect="00384CCC">
      <w:headerReference w:type="default" r:id="rId29"/>
      <w:footerReference w:type="default" r:id="rId30"/>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C2DB9" w14:paraId="26FFCF6C" w14:textId="77777777">
      <w:pPr>
        <w:spacing w:line="240" w:lineRule="auto"/>
      </w:pPr>
      <w:r>
        <w:separator/>
      </w:r>
    </w:p>
    <w:p w:rsidR="00DC2DB9" w14:paraId="3EC516D6" w14:textId="77777777"/>
  </w:endnote>
  <w:endnote w:type="continuationSeparator" w:id="1">
    <w:p w:rsidR="00DC2DB9" w14:paraId="56842B22" w14:textId="77777777">
      <w:pPr>
        <w:spacing w:line="240" w:lineRule="auto"/>
      </w:pPr>
      <w:r>
        <w:continuationSeparator/>
      </w:r>
    </w:p>
    <w:p w:rsidR="00DC2DB9" w14:paraId="27778B3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rial"/>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1B27" w:rsidP="00421B27" w14:paraId="03B2A4D0" w14:textId="77777777">
    <w:pPr>
      <w:pStyle w:val="Footer"/>
      <w:spacing w:after="120" w:line="312" w:lineRule="auto"/>
      <w:ind w:left="-510"/>
      <w:jc w:val="left"/>
      <w:rPr>
        <w:rFonts w:ascii="Tahoma" w:hAnsi="Tahoma" w:cs="Tahoma"/>
        <w:sz w:val="18"/>
        <w:szCs w:val="18"/>
        <w:rtl/>
      </w:rPr>
    </w:pPr>
  </w:p>
  <w:p w:rsidR="00421B27" w:rsidP="00421B27" w14:paraId="776980F9" w14:textId="3936E3AF">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Pr>
        <w:rFonts w:ascii="Tahoma" w:hAnsi="Tahoma" w:cs="Tahoma"/>
        <w:color w:val="004E6C"/>
        <w:sz w:val="18"/>
        <w:szCs w:val="18"/>
        <w:rtl/>
      </w:rPr>
      <w:tab/>
    </w:r>
  </w:p>
  <w:p w:rsidR="00421B27" w:rsidRPr="00421B27" w:rsidP="00421B27" w14:paraId="54BADE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BA" w:rsidP="00421B27" w14:paraId="28C6F32C" w14:textId="77777777">
    <w:pPr>
      <w:pStyle w:val="Footer"/>
      <w:spacing w:after="120" w:line="312" w:lineRule="auto"/>
      <w:ind w:left="-510"/>
      <w:jc w:val="left"/>
      <w:rPr>
        <w:rFonts w:ascii="Tahoma" w:hAnsi="Tahoma" w:cs="Tahoma"/>
        <w:sz w:val="18"/>
        <w:szCs w:val="18"/>
        <w:rtl/>
      </w:rPr>
    </w:pPr>
  </w:p>
  <w:p w:rsidR="000960BA" w:rsidP="00421B27" w14:paraId="736B9933"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0960BA" w:rsidRPr="00421B27" w:rsidP="00421B27" w14:paraId="01E13EE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BA" w:rsidP="00421B27" w14:paraId="0778CDE0"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960BA" w14:paraId="407EB19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6B10" w:rsidRPr="00870DCF" w:rsidP="00870DCF" w14:paraId="4BE05C95" w14:textId="4E60D3A2">
    <w:pPr>
      <w:pStyle w:val="Footer"/>
      <w:spacing w:after="120" w:line="312" w:lineRule="auto"/>
      <w:ind w:right="-737"/>
      <w:jc w:val="left"/>
      <w:rPr>
        <w:rFonts w:ascii="Tahoma" w:hAnsi="Tahoma" w:cs="Tahoma"/>
        <w:sz w:val="18"/>
        <w:szCs w:val="18"/>
        <w:rtl/>
      </w:rPr>
    </w:pPr>
    <w:r w:rsidRPr="00F94EB4">
      <w:rPr>
        <w:rFonts w:ascii="Tahoma" w:hAnsi="Tahoma" w:cs="Tahoma"/>
        <w:sz w:val="18"/>
        <w:szCs w:val="18"/>
      </w:rPr>
      <w:t>|</w:t>
    </w:r>
    <w:r w:rsidRPr="005B086D">
      <w:rPr>
        <w:noProof/>
      </w:rPr>
      <w:t xml:space="preserve"> </w:t>
    </w: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t xml:space="preserve"> </w:t>
    </w:r>
    <w:r>
      <w:rPr>
        <w:rFonts w:ascii="Tahoma" w:hAnsi="Tahoma" w:cs="Tahoma" w:hint="cs"/>
        <w:sz w:val="18"/>
        <w:szCs w:val="18"/>
        <w:rtl/>
      </w:rPr>
      <w:t xml:space="preserve">18 </w:t>
    </w:r>
    <w:r w:rsidRPr="00F94EB4">
      <w:rPr>
        <w:rFonts w:ascii="Tahoma" w:hAnsi="Tahoma" w:cs="Tahoma"/>
        <w:sz w:val="18"/>
        <w:szCs w:val="18"/>
        <w:rtl/>
      </w:rPr>
      <w:t xml:space="preserve"> </w:t>
    </w:r>
    <w:r>
      <w:rPr>
        <w:rFonts w:ascii="Tahoma" w:hAnsi="Tahoma" w:cs="Tahoma" w:hint="cs"/>
        <w:sz w:val="18"/>
        <w:szCs w:val="18"/>
        <w:rt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33CF" w:rsidP="00F533CF" w14:paraId="3972D953" w14:textId="77777777">
    <w:pPr>
      <w:pStyle w:val="Footer"/>
      <w:spacing w:after="120" w:line="312" w:lineRule="auto"/>
      <w:ind w:right="-567"/>
      <w:jc w:val="right"/>
      <w:rPr>
        <w:rFonts w:ascii="Tahoma" w:hAnsi="Tahoma" w:cs="Tahoma"/>
        <w:sz w:val="18"/>
        <w:szCs w:val="18"/>
        <w:rtl/>
      </w:rPr>
    </w:pPr>
  </w:p>
  <w:p w:rsidR="007D4879" w:rsidRPr="00F533CF" w:rsidP="00F533CF" w14:paraId="2FB1586D" w14:textId="68236B78">
    <w:pPr>
      <w:pStyle w:val="Footer"/>
      <w:spacing w:after="120" w:line="312" w:lineRule="auto"/>
      <w:ind w:right="-737"/>
      <w:jc w:val="right"/>
      <w:rPr>
        <w:rFonts w:ascii="Tahoma" w:hAnsi="Tahoma" w:cs="Tahoma"/>
        <w:sz w:val="18"/>
        <w:szCs w:val="18"/>
      </w:rPr>
    </w:pPr>
    <w:r w:rsidRPr="00F94EB4">
      <w:rPr>
        <w:rFonts w:ascii="Tahoma" w:hAnsi="Tahoma" w:cs="Tahoma"/>
        <w:sz w:val="18"/>
        <w:szCs w:val="18"/>
      </w:rPr>
      <w:t>|</w:t>
    </w:r>
    <w:r w:rsidRPr="005B086D">
      <w:rPr>
        <w:noProof/>
      </w:rPr>
      <w:t xml:space="preserve"> </w:t>
    </w: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t xml:space="preserve"> </w:t>
    </w:r>
    <w:r w:rsidR="00870DCF">
      <w:rPr>
        <w:rFonts w:ascii="Tahoma" w:hAnsi="Tahoma" w:cs="Tahoma" w:hint="cs"/>
        <w:sz w:val="18"/>
        <w:szCs w:val="18"/>
        <w:rtl/>
      </w:rPr>
      <w:t>19</w:t>
    </w:r>
    <w:r>
      <w:rPr>
        <w:rFonts w:ascii="Tahoma" w:hAnsi="Tahoma" w:cs="Tahoma" w:hint="cs"/>
        <w:sz w:val="18"/>
        <w:szCs w:val="18"/>
        <w:rtl/>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C2DB9" w:rsidP="00C23CC9" w14:paraId="41203FDD" w14:textId="77777777">
      <w:pPr>
        <w:spacing w:line="240" w:lineRule="auto"/>
      </w:pPr>
      <w:r>
        <w:separator/>
      </w:r>
    </w:p>
  </w:footnote>
  <w:footnote w:type="continuationSeparator" w:id="1">
    <w:p w:rsidR="00DC2DB9" w:rsidP="00C23CC9" w14:paraId="40EA5AF8" w14:textId="77777777">
      <w:pPr>
        <w:spacing w:line="240" w:lineRule="auto"/>
      </w:pPr>
      <w:r>
        <w:continuationSeparator/>
      </w:r>
    </w:p>
    <w:p w:rsidR="00DC2DB9" w14:paraId="79B0A65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7255AF" w14:paraId="5CDEE855" w14:textId="55C8974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F2565F" w14:paraId="5465C61E" w14:textId="0B61943C">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0272B" w14:paraId="3BA5282B" w14:textId="48BA833E">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DA4697" w:rsidP="00A33696" w14:paraId="0929BB0C" w14:textId="0BB42EA0">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7696" from="-122.4pt,30.05pt" to="362.75pt,30.05pt" strokecolor="#0d0d0d" strokeweight="0.25pt"/>
          </w:pict>
        </mc:Fallback>
      </mc:AlternateContent>
    </w:r>
    <w:r w:rsidR="00587631">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sidR="00587631">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RPr="00587631" w:rsidP="006637B9"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1"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DA4697" w:rsidRPr="00587631" w:rsidP="006637B9" w14:paraId="7647DFBB"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1526AC" w14:paraId="1C6E1265" w14:textId="3F303209">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A4697"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14:paraId="18DE0C7A" w14:textId="26DB997D">
    <w:pPr>
      <w:pStyle w:val="Header"/>
      <w:tabs>
        <w:tab w:val="left" w:pos="493"/>
        <w:tab w:val="center" w:pos="4111"/>
        <w:tab w:val="clear" w:pos="4153"/>
        <w:tab w:val="right" w:pos="7478"/>
        <w:tab w:val="right" w:pos="8222"/>
        <w:tab w:val="clear" w:pos="8306"/>
      </w:tabs>
      <w:jc w:val="left"/>
      <w:rPr>
        <w:rtl/>
      </w:rPr>
    </w:pPr>
  </w:p>
  <w:p w:rsidR="00DA4697" w:rsidP="00005B23" w14:paraId="1172F310" w14:textId="0B0E20C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76672" from="-4.4pt,50.4pt" to="524.85pt,50.4pt" strokecolor="#0d0d0d" strokeweight="0.25pt"/>
          </w:pict>
        </mc:Fallback>
      </mc:AlternateContent>
    </w:r>
  </w:p>
  <w:p w:rsidR="00DA4697" w:rsidRPr="001526AC" w:rsidP="00005B23" w14:paraId="7C0E7E90" w14:textId="380C7A4A">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rsidR="00FE5CCB" w:rsidRPr="00136A3E" w:rsidP="00FE5CCB"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14:textId="3721DC5B">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3.5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FE5CCB" w:rsidRPr="00136A3E" w:rsidP="00FE5CCB" w14:paraId="598144C9"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14:paraId="1CF273F4" w14:textId="3721DC5B">
                    <w:pPr>
                      <w:bidi w:val="0"/>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E5A" w:rsidP="006B15E1" w14:paraId="767AEAC6" w14:textId="684D7A20">
    <w:pPr>
      <w:pStyle w:val="Header"/>
    </w:pP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76E5A" w:rsidRPr="00DE3ECA" w:rsidP="00A76E5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0048" filled="f" strokecolor="#a5a5a5" strokeweight="0.25pt">
              <v:stroke dashstyle="longDash"/>
              <v:textbox>
                <w:txbxContent>
                  <w:p w:rsidR="00A76E5A" w:rsidRPr="00DE3ECA" w:rsidP="00A76E5A" w14:paraId="29421C89"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146" w:rsidP="007255AF" w14:paraId="3C9D1752"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51146" w:rsidP="00F2565F" w14:paraId="71947901"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1"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051146"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56"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051146" w:rsidRPr="00DE3ECA" w:rsidP="00E82EA3" w14:paraId="411ABCD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051146" w:rsidP="007255AF" w14:paraId="67F321D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51146" w:rsidP="007255AF" w14:paraId="7566D08E"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51146" w:rsidP="00A33696" w14:paraId="045BDD69"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91008"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051146" w:rsidRPr="00587631" w:rsidP="006637B9" w14:textId="46A5C3C4">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7" type="#_x0000_t202" style="width:261.2pt;height:22.1pt;margin-top:5.85pt;margin-left:112.4pt;mso-wrap-distance-bottom:0;mso-wrap-distance-left:9pt;mso-wrap-distance-right:9pt;mso-wrap-distance-top:0;mso-wrap-style:square;position:absolute;visibility:visible;v-text-anchor:top;z-index:251692032" stroked="f">
              <v:textbox style="mso-fit-shape-to-text:t">
                <w:txbxContent>
                  <w:p w:rsidR="00051146" w:rsidRPr="00587631" w:rsidP="006637B9" w14:paraId="39CB0574" w14:textId="46A5C3C4">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55"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58" style="flip:x;mso-height-percent:0;mso-height-relative:margin;mso-width-percent:0;mso-width-relative:margin;mso-wrap-distance-bottom:0;mso-wrap-distance-left:9pt;mso-wrap-distance-right:9pt;mso-wrap-distance-top:0;mso-wrap-style:square;position:absolute;visibility:visible;z-index:251687936" from="-122.4pt,30.05pt" to="368.6pt,30.05pt" strokecolor="#0d0d0d" strokeweight="0.25pt"/>
          </w:pict>
        </mc:Fallback>
      </mc:AlternateContent>
    </w:r>
    <w:r>
      <w:rPr>
        <w:rFonts w:ascii="Tahoma" w:hAnsi="Tahoma" w:cs="Tahoma"/>
        <w:color w:val="002060"/>
        <w:sz w:val="18"/>
        <w:szCs w:val="18"/>
      </w:rPr>
      <w:tab/>
    </w:r>
    <w:r>
      <w:rPr>
        <w:rtl/>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105" w:rsidP="001526AC" w14:paraId="0B18CF71"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281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D6105"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2640" filled="f" strokecolor="#a5a5a5" strokeweight="0.25pt">
              <v:stroke dashstyle="longDash"/>
              <v:textbox>
                <w:txbxContent>
                  <w:p w:rsidR="004D6105" w:rsidRPr="00DE3ECA" w:rsidP="00C86967" w14:paraId="624F7C0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4D6105" w:rsidP="001526AC" w14:paraId="51DAD23B" w14:textId="77777777">
    <w:pPr>
      <w:pStyle w:val="Header"/>
      <w:tabs>
        <w:tab w:val="left" w:pos="493"/>
        <w:tab w:val="center" w:pos="4111"/>
        <w:tab w:val="clear" w:pos="4153"/>
        <w:tab w:val="right" w:pos="7478"/>
        <w:tab w:val="right" w:pos="8222"/>
        <w:tab w:val="clear" w:pos="8306"/>
      </w:tabs>
      <w:jc w:val="left"/>
      <w:rPr>
        <w:rtl/>
      </w:rPr>
    </w:pPr>
  </w:p>
  <w:p w:rsidR="004D6105" w:rsidP="00005B23" w14:paraId="52BFF368"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81792"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0" style="flip:x;mso-height-percent:0;mso-height-relative:margin;mso-width-percent:0;mso-width-relative:margin;mso-wrap-distance-bottom:0;mso-wrap-distance-left:9pt;mso-wrap-distance-right:9pt;mso-wrap-distance-top:0;mso-wrap-style:square;position:absolute;visibility:visible;z-index:251685888" from="-4.4pt,50.4pt" to="524.85pt,50.4pt" strokecolor="#0d0d0d" strokeweight="0.25pt"/>
          </w:pict>
        </mc:Fallback>
      </mc:AlternateContent>
    </w:r>
  </w:p>
  <w:p w:rsidR="004D6105" w:rsidRPr="001526AC" w:rsidP="00005B23" w14:paraId="28E9ABA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9744"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2B39F7" w:rsidRPr="00136A3E" w:rsidP="002B39F7"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4D6105" w:rsidRPr="002B39F7"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1"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80768" strokecolor="white">
              <v:textbox>
                <w:txbxContent>
                  <w:p w:rsidR="002B39F7" w:rsidRPr="00136A3E" w:rsidP="002B39F7" w14:paraId="07E93776"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4D6105" w:rsidRPr="002B39F7" w:rsidP="00B244B0" w14:paraId="606A8C54" w14:textId="77777777">
                    <w:pPr>
                      <w:jc w:val="right"/>
                      <w:rPr>
                        <w:color w:val="0D0D0D" w:themeColor="text1" w:themeTint="F2"/>
                        <w:sz w:val="16"/>
                        <w:szCs w:val="16"/>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6B10" w:rsidP="007255AF" w14:paraId="5DC84216"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B86B10" w:rsidP="00F2565F" w14:paraId="669C1CE8" w14:textId="7BF0478E">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B86B10" w:rsidP="007255AF" w14:paraId="0E0DE519"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B86B10" w:rsidP="007255AF" w14:paraId="461AAA60"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B86B10" w:rsidP="00A33696" w14:paraId="08070ADB" w14:textId="3DFC8308">
    <w:pPr>
      <w:pStyle w:val="Header"/>
      <w:tabs>
        <w:tab w:val="left" w:pos="493"/>
        <w:tab w:val="clear" w:pos="4153"/>
        <w:tab w:val="left" w:pos="5150"/>
        <w:tab w:val="clear" w:pos="8306"/>
      </w:tabs>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4879" w:rsidP="00A33696" w14:paraId="45F53B68" w14:textId="1D5BCE4C">
    <w:pPr>
      <w:pStyle w:val="Header"/>
      <w:tabs>
        <w:tab w:val="left" w:pos="493"/>
        <w:tab w:val="clear" w:pos="4153"/>
        <w:tab w:val="left" w:pos="5150"/>
        <w:tab w:val="clear" w:pos="8306"/>
      </w:tabs>
      <w:rPr>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4879" w:rsidRPr="001526AC" w:rsidP="00005B23" w14:paraId="6C4C705A"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3600" behindDoc="0" locked="0" layoutInCell="1" allowOverlap="1">
              <wp:simplePos x="0" y="0"/>
              <wp:positionH relativeFrom="column">
                <wp:posOffset>270856</wp:posOffset>
              </wp:positionH>
              <wp:positionV relativeFrom="paragraph">
                <wp:posOffset>353637</wp:posOffset>
              </wp:positionV>
              <wp:extent cx="4239491" cy="259080"/>
              <wp:effectExtent l="0" t="0" r="15240" b="7620"/>
              <wp:wrapNone/>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39491" cy="259080"/>
                      </a:xfrm>
                      <a:prstGeom prst="rect">
                        <a:avLst/>
                      </a:prstGeom>
                      <a:solidFill>
                        <a:srgbClr val="FFFFFF"/>
                      </a:solidFill>
                      <a:ln w="9525">
                        <a:solidFill>
                          <a:schemeClr val="bg1"/>
                        </a:solidFill>
                        <a:miter lim="800000"/>
                        <a:headEnd/>
                        <a:tailEnd/>
                      </a:ln>
                    </wps:spPr>
                    <wps:txbx>
                      <w:txbxContent>
                        <w:p w:rsidR="00F533CF" w:rsidRPr="004D562B" w:rsidP="00F533CF" w14:textId="77777777">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rsidR="007D4879" w:rsidRPr="00A4133B" w:rsidP="00B244B0" w14:textId="6685C329">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333.8pt;height:20.4pt;margin-top:27.85pt;margin-left:21.35pt;mso-height-percent:0;mso-height-relative:margin;mso-width-percent:0;mso-width-relative:margin;mso-wrap-distance-bottom:3.6pt;mso-wrap-distance-left:9pt;mso-wrap-distance-right:9pt;mso-wrap-distance-top:3.6pt;mso-wrap-style:square;position:absolute;visibility:visible;v-text-anchor:top;z-index:251674624" strokecolor="white">
              <v:textbox>
                <w:txbxContent>
                  <w:p w:rsidR="00F533CF" w:rsidRPr="004D562B" w:rsidP="00F533CF" w14:paraId="349CF56E" w14:textId="77777777">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rsidR="007D4879" w:rsidRPr="00A4133B" w:rsidP="00B244B0" w14:paraId="462A99C9" w14:textId="6685C329">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4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4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46"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3" style="flip:x;mso-height-percent:0;mso-height-relative:margin;mso-width-percent:0;mso-width-relative:margin;mso-wrap-distance-bottom:0;mso-wrap-distance-left:9pt;mso-wrap-distance-right:9pt;mso-wrap-distance-top:0;mso-wrap-style:square;position:absolute;visibility:visible;z-index:251684864" from="-4.4pt,50.4pt" to="524.85pt,50.4pt" strokecolor="#0d0d0d" strokeweight="0.25p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ED08E0"/>
    <w:multiLevelType w:val="hybridMultilevel"/>
    <w:tmpl w:val="8842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1335D4"/>
    <w:multiLevelType w:val="hybridMultilevel"/>
    <w:tmpl w:val="4C3A9AAA"/>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7">
    <w:nsid w:val="0E045C0F"/>
    <w:multiLevelType w:val="hybridMultilevel"/>
    <w:tmpl w:val="C67E8806"/>
    <w:lvl w:ilvl="0">
      <w:start w:val="2"/>
      <w:numFmt w:val="bullet"/>
      <w:lvlText w:val=""/>
      <w:lvlJc w:val="left"/>
      <w:pPr>
        <w:ind w:left="357" w:hanging="357"/>
      </w:pPr>
      <w:rPr>
        <w:rFonts w:ascii="Symbol" w:hAnsi="Symbol" w:eastAsiaTheme="minorHAnsi" w:cs="David"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2C3937"/>
    <w:multiLevelType w:val="hybridMultilevel"/>
    <w:tmpl w:val="C37608C4"/>
    <w:lvl w:ilvl="0">
      <w:start w:val="1"/>
      <w:numFmt w:val="bullet"/>
      <w:lvlText w:val=""/>
      <w:lvlJc w:val="left"/>
      <w:pPr>
        <w:ind w:left="357" w:hanging="357"/>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2B13D4"/>
    <w:multiLevelType w:val="hybridMultilevel"/>
    <w:tmpl w:val="2DBE336E"/>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E10EBA"/>
    <w:multiLevelType w:val="hybridMultilevel"/>
    <w:tmpl w:val="0EBA394A"/>
    <w:lvl w:ilvl="0">
      <w:start w:val="0"/>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3">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5">
    <w:nsid w:val="21EE70E2"/>
    <w:multiLevelType w:val="hybridMultilevel"/>
    <w:tmpl w:val="7106960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292364C6"/>
    <w:multiLevelType w:val="hybridMultilevel"/>
    <w:tmpl w:val="FCA620AC"/>
    <w:lvl w:ilvl="0">
      <w:start w:val="0"/>
      <w:numFmt w:val="bullet"/>
      <w:lvlText w:val=""/>
      <w:lvlJc w:val="left"/>
      <w:pPr>
        <w:ind w:left="720" w:hanging="360"/>
      </w:pPr>
      <w:rPr>
        <w:rFonts w:ascii="Symbol" w:eastAsia="Times New Roman" w:hAnsi="Symbol" w:cs="David"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9">
    <w:nsid w:val="3B7379FB"/>
    <w:multiLevelType w:val="hybridMultilevel"/>
    <w:tmpl w:val="02E2136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40B06D5B"/>
    <w:multiLevelType w:val="hybridMultilevel"/>
    <w:tmpl w:val="D9D4280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AC1DE8"/>
    <w:multiLevelType w:val="hybridMultilevel"/>
    <w:tmpl w:val="00D0679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78A4FE2"/>
    <w:multiLevelType w:val="hybridMultilevel"/>
    <w:tmpl w:val="EE8AD47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C6B7235"/>
    <w:multiLevelType w:val="hybridMultilevel"/>
    <w:tmpl w:val="4ED01AB4"/>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921EF8"/>
    <w:multiLevelType w:val="hybridMultilevel"/>
    <w:tmpl w:val="ED2C344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E9165F5"/>
    <w:multiLevelType w:val="hybridMultilevel"/>
    <w:tmpl w:val="B0B833D0"/>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1950108"/>
    <w:multiLevelType w:val="hybridMultilevel"/>
    <w:tmpl w:val="B7AA794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2">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4">
    <w:nsid w:val="60FC7869"/>
    <w:multiLevelType w:val="hybridMultilevel"/>
    <w:tmpl w:val="0E64532A"/>
    <w:lvl w:ilvl="0">
      <w:start w:val="1"/>
      <w:numFmt w:val="bullet"/>
      <w:lvlText w:val=""/>
      <w:lvlJc w:val="left"/>
      <w:pPr>
        <w:ind w:left="397" w:hanging="397"/>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35">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6">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7">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3148AF"/>
    <w:multiLevelType w:val="hybridMultilevel"/>
    <w:tmpl w:val="8BE8EA88"/>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D37C9C"/>
    <w:multiLevelType w:val="hybridMultilevel"/>
    <w:tmpl w:val="A454CDD6"/>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42">
    <w:nsid w:val="7D4B785D"/>
    <w:multiLevelType w:val="hybridMultilevel"/>
    <w:tmpl w:val="A456EF1A"/>
    <w:lvl w:ilvl="0">
      <w:start w:val="5"/>
      <w:numFmt w:val="bullet"/>
      <w:lvlText w:val=""/>
      <w:lvlJc w:val="left"/>
      <w:pPr>
        <w:ind w:left="36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36"/>
  </w:num>
  <w:num w:numId="4">
    <w:abstractNumId w:val="31"/>
  </w:num>
  <w:num w:numId="5">
    <w:abstractNumId w:val="18"/>
  </w:num>
  <w:num w:numId="6">
    <w:abstractNumId w:val="20"/>
  </w:num>
  <w:num w:numId="7">
    <w:abstractNumId w:val="41"/>
  </w:num>
  <w:num w:numId="8">
    <w:abstractNumId w:val="1"/>
  </w:num>
  <w:num w:numId="9">
    <w:abstractNumId w:val="24"/>
  </w:num>
  <w:num w:numId="10">
    <w:abstractNumId w:val="6"/>
  </w:num>
  <w:num w:numId="11">
    <w:abstractNumId w:val="33"/>
  </w:num>
  <w:num w:numId="12">
    <w:abstractNumId w:val="5"/>
  </w:num>
  <w:num w:numId="13">
    <w:abstractNumId w:val="12"/>
  </w:num>
  <w:num w:numId="14">
    <w:abstractNumId w:val="35"/>
  </w:num>
  <w:num w:numId="15">
    <w:abstractNumId w:val="14"/>
  </w:num>
  <w:num w:numId="16">
    <w:abstractNumId w:val="37"/>
  </w:num>
  <w:num w:numId="17">
    <w:abstractNumId w:val="11"/>
  </w:num>
  <w:num w:numId="18">
    <w:abstractNumId w:val="2"/>
  </w:num>
  <w:num w:numId="19">
    <w:abstractNumId w:val="38"/>
  </w:num>
  <w:num w:numId="20">
    <w:abstractNumId w:val="26"/>
  </w:num>
  <w:num w:numId="21">
    <w:abstractNumId w:val="16"/>
  </w:num>
  <w:num w:numId="22">
    <w:abstractNumId w:val="0"/>
  </w:num>
  <w:num w:numId="23">
    <w:abstractNumId w:val="32"/>
  </w:num>
  <w:num w:numId="24">
    <w:abstractNumId w:val="3"/>
  </w:num>
  <w:num w:numId="25">
    <w:abstractNumId w:val="27"/>
  </w:num>
  <w:num w:numId="26">
    <w:abstractNumId w:val="40"/>
  </w:num>
  <w:num w:numId="27">
    <w:abstractNumId w:val="7"/>
  </w:num>
  <w:num w:numId="28">
    <w:abstractNumId w:val="8"/>
  </w:num>
  <w:num w:numId="29">
    <w:abstractNumId w:val="42"/>
  </w:num>
  <w:num w:numId="30">
    <w:abstractNumId w:val="23"/>
  </w:num>
  <w:num w:numId="31">
    <w:abstractNumId w:val="10"/>
  </w:num>
  <w:num w:numId="32">
    <w:abstractNumId w:val="9"/>
  </w:num>
  <w:num w:numId="33">
    <w:abstractNumId w:val="25"/>
  </w:num>
  <w:num w:numId="34">
    <w:abstractNumId w:val="29"/>
  </w:num>
  <w:num w:numId="35">
    <w:abstractNumId w:val="15"/>
  </w:num>
  <w:num w:numId="36">
    <w:abstractNumId w:val="22"/>
  </w:num>
  <w:num w:numId="37">
    <w:abstractNumId w:val="28"/>
  </w:num>
  <w:num w:numId="38">
    <w:abstractNumId w:val="39"/>
  </w:num>
  <w:num w:numId="39">
    <w:abstractNumId w:val="19"/>
  </w:num>
  <w:num w:numId="40">
    <w:abstractNumId w:val="30"/>
  </w:num>
  <w:num w:numId="41">
    <w:abstractNumId w:val="17"/>
  </w:num>
  <w:num w:numId="42">
    <w:abstractNumId w:val="4"/>
  </w:num>
  <w:num w:numId="43">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56"/>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886"/>
    <w:rsid w:val="00031990"/>
    <w:rsid w:val="00031C68"/>
    <w:rsid w:val="00031C69"/>
    <w:rsid w:val="00031CEB"/>
    <w:rsid w:val="00032932"/>
    <w:rsid w:val="00032F4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A3E"/>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A7FEE"/>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F9B"/>
    <w:rsid w:val="0023589B"/>
    <w:rsid w:val="00235AEE"/>
    <w:rsid w:val="00235D75"/>
    <w:rsid w:val="002364D6"/>
    <w:rsid w:val="002366CE"/>
    <w:rsid w:val="002375D3"/>
    <w:rsid w:val="0024001A"/>
    <w:rsid w:val="00240887"/>
    <w:rsid w:val="00240AFF"/>
    <w:rsid w:val="002419F2"/>
    <w:rsid w:val="00243E20"/>
    <w:rsid w:val="00244096"/>
    <w:rsid w:val="0024417D"/>
    <w:rsid w:val="00244C55"/>
    <w:rsid w:val="00245470"/>
    <w:rsid w:val="00246CD7"/>
    <w:rsid w:val="00247C83"/>
    <w:rsid w:val="00250370"/>
    <w:rsid w:val="0025068A"/>
    <w:rsid w:val="00250751"/>
    <w:rsid w:val="00250A4B"/>
    <w:rsid w:val="002516DF"/>
    <w:rsid w:val="00251766"/>
    <w:rsid w:val="00251B50"/>
    <w:rsid w:val="00253775"/>
    <w:rsid w:val="00254CF4"/>
    <w:rsid w:val="00255877"/>
    <w:rsid w:val="002567BE"/>
    <w:rsid w:val="0025701A"/>
    <w:rsid w:val="002575ED"/>
    <w:rsid w:val="002576EB"/>
    <w:rsid w:val="002578A9"/>
    <w:rsid w:val="00260BF5"/>
    <w:rsid w:val="00260D04"/>
    <w:rsid w:val="0026130F"/>
    <w:rsid w:val="00261861"/>
    <w:rsid w:val="002619AC"/>
    <w:rsid w:val="00261C84"/>
    <w:rsid w:val="00262275"/>
    <w:rsid w:val="00262A9E"/>
    <w:rsid w:val="00262C43"/>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A79"/>
    <w:rsid w:val="00276563"/>
    <w:rsid w:val="00276D55"/>
    <w:rsid w:val="00277114"/>
    <w:rsid w:val="00277246"/>
    <w:rsid w:val="0028030F"/>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E45"/>
    <w:rsid w:val="00290B29"/>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2FCB"/>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429B"/>
    <w:rsid w:val="0042545B"/>
    <w:rsid w:val="00425C95"/>
    <w:rsid w:val="00425E72"/>
    <w:rsid w:val="00425E85"/>
    <w:rsid w:val="0042649D"/>
    <w:rsid w:val="00426862"/>
    <w:rsid w:val="00426CE7"/>
    <w:rsid w:val="00426D50"/>
    <w:rsid w:val="004276E0"/>
    <w:rsid w:val="00427959"/>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6F7"/>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4E5"/>
    <w:rsid w:val="00511F6D"/>
    <w:rsid w:val="005130A4"/>
    <w:rsid w:val="0051326F"/>
    <w:rsid w:val="00513A75"/>
    <w:rsid w:val="00513BCD"/>
    <w:rsid w:val="00513F33"/>
    <w:rsid w:val="00514635"/>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8B2"/>
    <w:rsid w:val="0056099A"/>
    <w:rsid w:val="00560A43"/>
    <w:rsid w:val="00561000"/>
    <w:rsid w:val="00561471"/>
    <w:rsid w:val="005622E3"/>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AC8"/>
    <w:rsid w:val="00571D67"/>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3CE"/>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3B0"/>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5A4"/>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0CC7"/>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961"/>
    <w:rsid w:val="00823E80"/>
    <w:rsid w:val="00824844"/>
    <w:rsid w:val="00824AA0"/>
    <w:rsid w:val="00825A1B"/>
    <w:rsid w:val="00825AAA"/>
    <w:rsid w:val="0082763E"/>
    <w:rsid w:val="00831AF4"/>
    <w:rsid w:val="00831C86"/>
    <w:rsid w:val="00831FC6"/>
    <w:rsid w:val="008327D7"/>
    <w:rsid w:val="00832A1F"/>
    <w:rsid w:val="00833E19"/>
    <w:rsid w:val="00834535"/>
    <w:rsid w:val="00834E18"/>
    <w:rsid w:val="00834E9C"/>
    <w:rsid w:val="00834F0B"/>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313"/>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92F"/>
    <w:rsid w:val="008D7D2D"/>
    <w:rsid w:val="008D7EA1"/>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0D9"/>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27FC0"/>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78B3"/>
    <w:rsid w:val="009B0A9C"/>
    <w:rsid w:val="009B10AE"/>
    <w:rsid w:val="009B1240"/>
    <w:rsid w:val="009B1690"/>
    <w:rsid w:val="009B18D7"/>
    <w:rsid w:val="009B1956"/>
    <w:rsid w:val="009B23EE"/>
    <w:rsid w:val="009B2769"/>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6435"/>
    <w:rsid w:val="009F70B7"/>
    <w:rsid w:val="009F711E"/>
    <w:rsid w:val="009F7F2B"/>
    <w:rsid w:val="00A0001D"/>
    <w:rsid w:val="00A01037"/>
    <w:rsid w:val="00A0119C"/>
    <w:rsid w:val="00A017D4"/>
    <w:rsid w:val="00A01C9C"/>
    <w:rsid w:val="00A01F05"/>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8EB"/>
    <w:rsid w:val="00A4133B"/>
    <w:rsid w:val="00A4189A"/>
    <w:rsid w:val="00A41A4E"/>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0DC3"/>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0B77"/>
    <w:rsid w:val="00AF11B5"/>
    <w:rsid w:val="00AF1F48"/>
    <w:rsid w:val="00AF21DB"/>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3E09"/>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33D"/>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75C"/>
    <w:rsid w:val="00B72D75"/>
    <w:rsid w:val="00B72F97"/>
    <w:rsid w:val="00B73774"/>
    <w:rsid w:val="00B739E0"/>
    <w:rsid w:val="00B741EF"/>
    <w:rsid w:val="00B747A2"/>
    <w:rsid w:val="00B75001"/>
    <w:rsid w:val="00B75D6E"/>
    <w:rsid w:val="00B75F72"/>
    <w:rsid w:val="00B76D04"/>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148"/>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A1E"/>
    <w:rsid w:val="00BF0159"/>
    <w:rsid w:val="00BF0D84"/>
    <w:rsid w:val="00BF1423"/>
    <w:rsid w:val="00BF18FE"/>
    <w:rsid w:val="00BF1B8A"/>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2AA"/>
    <w:rsid w:val="00C433C4"/>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7198"/>
    <w:rsid w:val="00C5776F"/>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3C2"/>
    <w:rsid w:val="00C906CF"/>
    <w:rsid w:val="00C9091D"/>
    <w:rsid w:val="00C90FA2"/>
    <w:rsid w:val="00C91CA5"/>
    <w:rsid w:val="00C91D17"/>
    <w:rsid w:val="00C91D26"/>
    <w:rsid w:val="00C92267"/>
    <w:rsid w:val="00C92D31"/>
    <w:rsid w:val="00C94857"/>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EF9"/>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20"/>
    <w:rsid w:val="00D0304E"/>
    <w:rsid w:val="00D04EC9"/>
    <w:rsid w:val="00D053C2"/>
    <w:rsid w:val="00D05E0E"/>
    <w:rsid w:val="00D06218"/>
    <w:rsid w:val="00D066C4"/>
    <w:rsid w:val="00D104AC"/>
    <w:rsid w:val="00D10566"/>
    <w:rsid w:val="00D105A1"/>
    <w:rsid w:val="00D1100E"/>
    <w:rsid w:val="00D11B4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182A"/>
    <w:rsid w:val="00D32136"/>
    <w:rsid w:val="00D3222B"/>
    <w:rsid w:val="00D3227D"/>
    <w:rsid w:val="00D330D8"/>
    <w:rsid w:val="00D33197"/>
    <w:rsid w:val="00D33567"/>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15C2"/>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607"/>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2769"/>
    <w:rsid w:val="00DC2DB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061C"/>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E"/>
    <w:rsid w:val="00F332ED"/>
    <w:rsid w:val="00F33552"/>
    <w:rsid w:val="00F335AB"/>
    <w:rsid w:val="00F33C8D"/>
    <w:rsid w:val="00F347C5"/>
    <w:rsid w:val="00F348D1"/>
    <w:rsid w:val="00F3595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ABC"/>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21" Type="http://schemas.openxmlformats.org/officeDocument/2006/relationships/image" Target="media/image5.jpe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eader" Target="header7.xml"/><Relationship Id="rId33" Type="http://schemas.openxmlformats.org/officeDocument/2006/relationships/styles" Target="styles.xml"/><Relationship Id="rId7" Type="http://schemas.openxmlformats.org/officeDocument/2006/relationships/customXml" Target="../customXml/item2.xml"/><Relationship Id="rId16" Type="http://schemas.openxmlformats.org/officeDocument/2006/relationships/hyperlink" Target="https://edit.mevaker.gov.il/" TargetMode="External"/><Relationship Id="rId2" Type="http://schemas.openxmlformats.org/officeDocument/2006/relationships/endnotes" Target="endnotes.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numbering" Target="numbering.xml"/><Relationship Id="rId6" Type="http://schemas.openxmlformats.org/officeDocument/2006/relationships/customXml" Target="../customXml/item1.xml"/><Relationship Id="rId15" Type="http://schemas.openxmlformats.org/officeDocument/2006/relationships/image" Target="media/image2.jpeg"/><Relationship Id="rId23" Type="http://schemas.openxmlformats.org/officeDocument/2006/relationships/header" Target="header6.xml"/><Relationship Id="rId28" Type="http://schemas.openxmlformats.org/officeDocument/2006/relationships/image" Target="media/image6.jpeg"/><Relationship Id="rId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theme" Target="theme/theme1.xml"/><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customXml" Target="../customXml/item4.xml"/><Relationship Id="rId8" Type="http://schemas.openxmlformats.org/officeDocument/2006/relationships/customXml" Target="../customXml/item3.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8.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7.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278F-0B73-4987-818D-CE4676627F08}"/>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