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8BBB81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611496"/>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1149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05.2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170180</wp:posOffset>
                </wp:positionH>
                <wp:positionV relativeFrom="paragraph">
                  <wp:posOffset>341630</wp:posOffset>
                </wp:positionV>
                <wp:extent cx="4298950" cy="4273550"/>
                <wp:effectExtent l="0" t="0" r="635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895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1F039EB7">
                            <w:pPr>
                              <w:pStyle w:val="-2"/>
                              <w:rPr>
                                <w:rtl/>
                              </w:rPr>
                            </w:pPr>
                            <w:r>
                              <w:rPr>
                                <w:rFonts w:hint="cs"/>
                                <w:rtl/>
                              </w:rPr>
                              <w:t>צבא ההגנה לישראל</w:t>
                            </w:r>
                            <w:r w:rsidR="00C30482">
                              <w:rPr>
                                <w:rFonts w:hint="cs"/>
                                <w:rtl/>
                              </w:rPr>
                              <w:t xml:space="preserve"> </w:t>
                            </w:r>
                          </w:p>
                          <w:p w:rsidR="00C30482" w:rsidP="000F5023" w14:textId="1BD5D10A">
                            <w:pPr>
                              <w:pStyle w:val="a35"/>
                              <w:bidi/>
                              <w:rPr>
                                <w:rtl/>
                              </w:rPr>
                            </w:pPr>
                            <w:r w:rsidRPr="00D338F1">
                              <w:rPr>
                                <w:rtl/>
                              </w:rPr>
                              <w:t>היבטים בבניין הכוח של מערך השריון</w:t>
                            </w:r>
                          </w:p>
                          <w:p w:rsidR="00D338F1" w:rsidRPr="000F5023" w:rsidP="00D338F1"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38.5pt;height:336.5pt;margin-top:26.9pt;margin-left:13.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1F039EB7">
                      <w:pPr>
                        <w:pStyle w:val="-2"/>
                        <w:rPr>
                          <w:rtl/>
                        </w:rPr>
                      </w:pPr>
                      <w:r>
                        <w:rPr>
                          <w:rFonts w:hint="cs"/>
                          <w:rtl/>
                        </w:rPr>
                        <w:t>צבא ההגנה לישראל</w:t>
                      </w:r>
                      <w:r w:rsidR="00C30482">
                        <w:rPr>
                          <w:rFonts w:hint="cs"/>
                          <w:rtl/>
                        </w:rPr>
                        <w:t xml:space="preserve"> </w:t>
                      </w:r>
                    </w:p>
                    <w:p w:rsidR="00C30482" w:rsidP="000F5023" w14:paraId="5BE5E625" w14:textId="1BD5D10A">
                      <w:pPr>
                        <w:pStyle w:val="a35"/>
                        <w:bidi/>
                        <w:rPr>
                          <w:rtl/>
                        </w:rPr>
                      </w:pPr>
                      <w:r w:rsidRPr="00D338F1">
                        <w:rPr>
                          <w:rtl/>
                        </w:rPr>
                        <w:t>היבטים בבניין הכוח של מערך השריון</w:t>
                      </w:r>
                    </w:p>
                    <w:p w:rsidR="00D338F1" w:rsidRPr="000F5023" w:rsidP="00D338F1" w14:paraId="74C13F20"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3A31AF53">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656003</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7C7D40">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D338F1">
        <w:rPr>
          <w:noProof/>
          <w:rtl/>
        </w:rPr>
        <w:t>היבטים בבניין הכוח של מערך השריון</w:t>
      </w:r>
    </w:p>
    <w:p w:rsidR="007F4A20" w:rsidP="007F4A20" w14:paraId="0B41EED6" w14:textId="43EAC293">
      <w:pPr>
        <w:pStyle w:val="7392"/>
        <w:spacing w:before="360"/>
        <w:rPr>
          <w:rtl/>
        </w:rPr>
      </w:pPr>
      <w:r w:rsidRPr="00C74119">
        <w:rPr>
          <w:rtl/>
        </w:rPr>
        <w:t>מערך השריון הוא מרכיב מרכזי במאמץ התמרון של צה"ל בשדה הקרב, בהביאו לידי ביטוי את השילוב בין ניידות לכוח האש של טנקי המרכבה, שהם מהמתקדמים בעולם מהבחינה הטכנולוגית. ההסתמכות על הטנק כמרכיב מרכזי בלחימה מצריכה הן רמת כושר מבצעי</w:t>
      </w:r>
      <w:r>
        <w:rPr>
          <w:vertAlign w:val="superscript"/>
          <w:rtl/>
        </w:rPr>
        <w:footnoteReference w:id="2"/>
      </w:r>
      <w:r w:rsidRPr="00C74119">
        <w:rPr>
          <w:rtl/>
        </w:rPr>
        <w:t xml:space="preserve"> גבוה של הלוחמים והמפקדים - מבחינת ההכשרות והאימונים, והן רמת כשירות</w:t>
      </w:r>
      <w:r>
        <w:rPr>
          <w:vertAlign w:val="superscript"/>
          <w:rtl/>
        </w:rPr>
        <w:footnoteReference w:id="3"/>
      </w:r>
      <w:r w:rsidRPr="00C74119">
        <w:rPr>
          <w:rtl/>
        </w:rPr>
        <w:t xml:space="preserve"> גבוהה של הטנק, מהבחינה הטכנית, בדגש על זמינות החלפים. במסגרת התוכנית הרב-שנתית (</w:t>
      </w:r>
      <w:r w:rsidRPr="00C74119">
        <w:rPr>
          <w:rtl/>
        </w:rPr>
        <w:t>תר"ש</w:t>
      </w:r>
      <w:r w:rsidRPr="00C74119">
        <w:rPr>
          <w:rtl/>
        </w:rPr>
        <w:t xml:space="preserve">) "תנופה" של צה"ל לשנים 2020 - 2024 הוחלט על </w:t>
      </w:r>
      <w:r w:rsidRPr="00C74119">
        <w:rPr>
          <w:rFonts w:hint="cs"/>
          <w:rtl/>
        </w:rPr>
        <w:t>היקף</w:t>
      </w:r>
      <w:r w:rsidRPr="00C74119">
        <w:rPr>
          <w:rtl/>
        </w:rPr>
        <w:t xml:space="preserve"> סדר כוחות (סד"כ) הטנקים</w:t>
      </w:r>
      <w:r w:rsidRPr="00C74119">
        <w:rPr>
          <w:rFonts w:hint="cs"/>
          <w:rtl/>
        </w:rPr>
        <w:t>.</w:t>
      </w:r>
      <w:r w:rsidRPr="00C74119">
        <w:rPr>
          <w:rtl/>
        </w:rPr>
        <w:t xml:space="preserve"> בהתאמה, נסגרו </w:t>
      </w:r>
      <w:r w:rsidRPr="00C74119">
        <w:rPr>
          <w:rFonts w:hint="cs"/>
          <w:rtl/>
        </w:rPr>
        <w:t xml:space="preserve">יחידות </w:t>
      </w:r>
      <w:r w:rsidRPr="00C74119">
        <w:rPr>
          <w:rtl/>
        </w:rPr>
        <w:t>שריון מסוימות</w:t>
      </w:r>
      <w:r w:rsidRPr="00C74119">
        <w:rPr>
          <w:rFonts w:hint="cs"/>
          <w:rtl/>
        </w:rPr>
        <w:t xml:space="preserve">. </w:t>
      </w:r>
      <w:r w:rsidRPr="00C74119">
        <w:rPr>
          <w:rtl/>
        </w:rPr>
        <w:t>בד בבד מתחדש סד"כ הטנקים שנותר בצה"ל</w:t>
      </w:r>
      <w:r w:rsidRPr="001F3363" w:rsidR="0036097F">
        <w:rPr>
          <w:rFonts w:hint="cs"/>
          <w:rtl/>
        </w:rPr>
        <w:t>.</w:t>
      </w:r>
      <w:r w:rsidRPr="001F3363"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0"/>
      </w:tblGrid>
      <w:tr w14:paraId="58B4726B" w14:textId="77777777" w:rsidTr="00D338F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bottom w:val="single" w:sz="12" w:space="0" w:color="000000" w:themeColor="text1"/>
            </w:tcBorders>
            <w:vAlign w:val="bottom"/>
          </w:tcPr>
          <w:p w:rsidR="00D338F1" w:rsidRPr="004562F8" w:rsidP="00D338F1" w14:paraId="23EB689E" w14:textId="03EA378A">
            <w:pPr>
              <w:spacing w:after="60" w:line="240" w:lineRule="auto"/>
              <w:jc w:val="left"/>
              <w:rPr>
                <w:b/>
                <w:bCs/>
                <w:spacing w:val="-28"/>
                <w:rtl/>
              </w:rPr>
            </w:pPr>
            <w:r w:rsidRPr="00D338F1">
              <w:rPr>
                <w:rFonts w:ascii="Tahoma" w:hAnsi="Tahoma" w:eastAsiaTheme="minorEastAsia" w:cs="Tahoma" w:hint="cs"/>
                <w:b/>
                <w:bCs/>
                <w:color w:val="0D0D0D" w:themeColor="text1" w:themeTint="F2"/>
                <w:spacing w:val="-10"/>
                <w:sz w:val="26"/>
                <w:szCs w:val="26"/>
                <w:rtl/>
              </w:rPr>
              <w:t>זה כ-</w:t>
            </w:r>
            <w:r>
              <w:rPr>
                <w:rFonts w:ascii="Tahoma" w:hAnsi="Tahoma" w:eastAsiaTheme="minorEastAsia" w:cs="Tahoma" w:hint="cs"/>
                <w:b/>
                <w:bCs/>
                <w:color w:val="0D0D0D" w:themeColor="text1" w:themeTint="F2"/>
                <w:spacing w:val="-10"/>
                <w:sz w:val="36"/>
                <w:szCs w:val="36"/>
                <w:rtl/>
              </w:rPr>
              <w:t xml:space="preserve">6 </w:t>
            </w:r>
            <w:r>
              <w:rPr>
                <w:rFonts w:ascii="Tahoma" w:hAnsi="Tahoma" w:eastAsiaTheme="minorEastAsia" w:cs="Tahoma" w:hint="cs"/>
                <w:b/>
                <w:bCs/>
                <w:color w:val="0D0D0D" w:themeColor="text1" w:themeTint="F2"/>
                <w:spacing w:val="-10"/>
                <w:sz w:val="26"/>
                <w:szCs w:val="26"/>
                <w:rtl/>
              </w:rPr>
              <w:t>שנים</w:t>
            </w:r>
          </w:p>
        </w:tc>
      </w:tr>
      <w:tr w14:paraId="6DFAF81C" w14:textId="77777777" w:rsidTr="00D338F1">
        <w:tblPrEx>
          <w:tblW w:w="5000" w:type="pct"/>
          <w:tblLook w:val="04A0"/>
        </w:tblPrEx>
        <w:tc>
          <w:tcPr>
            <w:tcW w:w="5000" w:type="pct"/>
            <w:tcBorders>
              <w:top w:val="single" w:sz="12" w:space="0" w:color="000000" w:themeColor="text1"/>
            </w:tcBorders>
          </w:tcPr>
          <w:p w:rsidR="00D338F1" w:rsidRPr="00E52143" w:rsidP="00D338F1" w14:paraId="1D96599A" w14:textId="37A98E24">
            <w:pPr>
              <w:pStyle w:val="732021"/>
              <w:spacing w:before="0"/>
              <w:rPr>
                <w:rtl/>
              </w:rPr>
            </w:pPr>
            <w:r w:rsidRPr="00C74119">
              <w:rPr>
                <w:rtl/>
              </w:rPr>
              <w:t>לא הציגו שרי הביטחון לממשלה את נושא כשירות מערך המילואים, ובכלל זה את נושא מערך השריון במילואים (משנת 2016 ועד שנת 2022)</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865B78" w:rsidP="00420374" w14:paraId="32ADC56B" w14:textId="1D9C2D95">
      <w:pPr>
        <w:pStyle w:val="7317"/>
        <w:rPr>
          <w:rtl/>
        </w:rPr>
      </w:pPr>
      <w:r w:rsidRPr="001F3363">
        <w:rPr>
          <w:noProof/>
        </w:rPr>
        <w:drawing>
          <wp:anchor distT="0" distB="0" distL="114300" distR="114300" simplePos="0" relativeHeight="251678720"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4119">
        <w:rPr>
          <w:rtl/>
        </w:rPr>
        <w:t>בחודשים פברואר עד יוני 2022 (מועד סיום הביקורת) בדק משרד מבקר המדינה היבטים בבניין הכוח של מערך השריון. בביקורת נבדקו נושאים אלה: הצגה לממשלה של סד"כ הטנקים במערך השריון במילואים וכשירותו; חלפים לחירום לטנקים; מאמן צוות טנק. הביקורת נעשתה בעיקר בצה"ל - בזרוע היבשה (</w:t>
      </w:r>
      <w:r w:rsidRPr="00C74119">
        <w:rPr>
          <w:rtl/>
        </w:rPr>
        <w:t>ז"י</w:t>
      </w:r>
      <w:r w:rsidRPr="00C74119">
        <w:rPr>
          <w:rtl/>
        </w:rPr>
        <w:t>), במפקדת קצין שריון ראשי (</w:t>
      </w:r>
      <w:r w:rsidRPr="00C74119">
        <w:rPr>
          <w:rtl/>
        </w:rPr>
        <w:t>מקשנ"ר</w:t>
      </w:r>
      <w:r w:rsidRPr="00C74119">
        <w:rPr>
          <w:rtl/>
        </w:rPr>
        <w:t>), בחטיבה הטכנולוגית ליבשה (</w:t>
      </w:r>
      <w:r w:rsidRPr="00C74119">
        <w:rPr>
          <w:rtl/>
        </w:rPr>
        <w:t>חט"ל</w:t>
      </w:r>
      <w:r w:rsidRPr="00C74119">
        <w:rPr>
          <w:rtl/>
        </w:rPr>
        <w:t>), במרכז הלאומי לאימונים ביבשה (מל"י), בחטיבות טנקים; באגף המבצעים; באגף תכנון ובניין כוח רב-זרועי (</w:t>
      </w:r>
      <w:r w:rsidRPr="00C74119">
        <w:rPr>
          <w:rtl/>
        </w:rPr>
        <w:t>אג"ת</w:t>
      </w:r>
      <w:r w:rsidRPr="00C74119">
        <w:rPr>
          <w:rtl/>
        </w:rPr>
        <w:t xml:space="preserve">); באגף המודיעין, בזרוע האוויר והחלל; במשרד הביטחון - </w:t>
      </w:r>
      <w:r w:rsidRPr="00C74119">
        <w:rPr>
          <w:rtl/>
        </w:rPr>
        <w:t>במנת"ק</w:t>
      </w:r>
      <w:r w:rsidRPr="00C74119">
        <w:rPr>
          <w:rtl/>
        </w:rPr>
        <w:t xml:space="preserve"> </w:t>
      </w:r>
      <w:r w:rsidRPr="00C74119">
        <w:rPr>
          <w:rtl/>
        </w:rPr>
        <w:t>ובמינהל</w:t>
      </w:r>
      <w:r w:rsidRPr="00C74119">
        <w:rPr>
          <w:rtl/>
        </w:rPr>
        <w:t xml:space="preserve"> למחקר, לפיתוח אמצעי לחימה ותשתית טכנולוגית (</w:t>
      </w:r>
      <w:r w:rsidRPr="00C74119">
        <w:rPr>
          <w:rtl/>
        </w:rPr>
        <w:t>מפא"ת</w:t>
      </w:r>
      <w:r w:rsidRPr="00C74119">
        <w:rPr>
          <w:rtl/>
        </w:rPr>
        <w:t>); ובמטה לביטחון לאומי שבמשרד ראש הממשלה (</w:t>
      </w:r>
      <w:r w:rsidRPr="00C74119">
        <w:rPr>
          <w:rtl/>
        </w:rPr>
        <w:t>מל"ל</w:t>
      </w:r>
      <w:r>
        <w:rPr>
          <w:rFonts w:hint="cs"/>
          <w:rtl/>
        </w:rPr>
        <w:t>).</w:t>
      </w:r>
    </w:p>
    <w:p w:rsidR="00420374" w:rsidP="00420374" w14:paraId="0AF4CED3" w14:textId="7D478391">
      <w:pPr>
        <w:pStyle w:val="7317"/>
        <w:rPr>
          <w:rtl/>
        </w:rPr>
      </w:pPr>
      <w:r w:rsidRPr="00C74119">
        <w:rPr>
          <w:rFonts w:hint="cs"/>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P="002753C7" w14:paraId="690F076D" w14:textId="3CC89604">
      <w:pPr>
        <w:pStyle w:val="7327"/>
        <w:rPr>
          <w:rtl/>
        </w:rPr>
      </w:pPr>
      <w:r w:rsidRPr="00662020">
        <w:rPr>
          <w:rFonts w:hint="cs"/>
          <w:rtl/>
        </w:rPr>
        <w:t>תמונת המצב העולה מן הביקורת</w:t>
      </w:r>
    </w:p>
    <w:p w:rsidR="002753C7" w:rsidRPr="001F3363" w:rsidP="00420374" w14:paraId="0B2F822B" w14:textId="762FE5AD">
      <w:pPr>
        <w:pStyle w:val="7317"/>
        <w:rPr>
          <w:rtl/>
        </w:rPr>
      </w:pPr>
      <w:r w:rsidRPr="00362C00">
        <w:rPr>
          <w:noProof/>
          <w:rtl/>
        </w:rPr>
        <w:drawing>
          <wp:anchor distT="0" distB="0" distL="114300" distR="114300" simplePos="0" relativeHeight="251679744" behindDoc="0" locked="0" layoutInCell="1" allowOverlap="1">
            <wp:simplePos x="0" y="0"/>
            <wp:positionH relativeFrom="column">
              <wp:posOffset>2569845</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6DA4785D">
      <w:pPr>
        <w:pStyle w:val="7392"/>
        <w:ind w:left="424"/>
        <w:rPr>
          <w:rtl/>
        </w:rPr>
      </w:pPr>
      <w:r w:rsidRPr="00865B78">
        <w:rPr>
          <w:rFonts w:hint="cs"/>
          <w:b/>
          <w:bCs/>
          <w:noProof/>
          <w:rtl/>
        </w:rPr>
        <w:drawing>
          <wp:anchor distT="0" distB="720090" distL="114300" distR="114300" simplePos="0" relativeHeight="25168076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5B78" w:rsidR="00865B78">
        <w:rPr>
          <w:b/>
          <w:bCs/>
          <w:rtl/>
        </w:rPr>
        <w:t xml:space="preserve">הצגת </w:t>
      </w:r>
      <w:r w:rsidRPr="00865B78" w:rsidR="00865B78">
        <w:rPr>
          <w:rFonts w:hint="cs"/>
          <w:b/>
          <w:bCs/>
          <w:rtl/>
        </w:rPr>
        <w:t>היקף</w:t>
      </w:r>
      <w:r w:rsidRPr="00865B78" w:rsidR="00865B78">
        <w:rPr>
          <w:b/>
          <w:bCs/>
          <w:rtl/>
        </w:rPr>
        <w:t xml:space="preserve"> סד"כ הטנקים בחטיבות המילואים לממשלה</w:t>
      </w:r>
      <w:r w:rsidRPr="00C74119" w:rsidR="00865B78">
        <w:rPr>
          <w:rtl/>
        </w:rPr>
        <w:t xml:space="preserve"> - במהלך שנת 2020 החלה לצאת לפועל התוכנית ל</w:t>
      </w:r>
      <w:r w:rsidRPr="00C74119" w:rsidR="00865B78">
        <w:rPr>
          <w:rFonts w:hint="cs"/>
          <w:rtl/>
        </w:rPr>
        <w:t>קביעת היקף</w:t>
      </w:r>
      <w:r w:rsidRPr="00C74119" w:rsidR="00865B78">
        <w:rPr>
          <w:rtl/>
        </w:rPr>
        <w:t xml:space="preserve"> סד"כ הטנקים, בלא ששר הביטחון הציג זאת מראש לוועדת השרים לענייני ביטחון לאומי כדי שתבחן את הצורך בכך, ושלא בהתאם לנקבע בחוק שירות המילואים ולסיכום הדיון של ראש הממשלה מינואר 2020. בישיבת ועדת השרים בנובמבר 2020, שבה הוצג </w:t>
      </w:r>
      <w:r w:rsidRPr="00C74119" w:rsidR="00865B78">
        <w:rPr>
          <w:rFonts w:hint="cs"/>
          <w:rtl/>
        </w:rPr>
        <w:t>היקף</w:t>
      </w:r>
      <w:r w:rsidRPr="00C74119" w:rsidR="00865B78">
        <w:rPr>
          <w:rtl/>
        </w:rPr>
        <w:t xml:space="preserve"> </w:t>
      </w:r>
      <w:r w:rsidRPr="00C74119" w:rsidR="00865B78">
        <w:rPr>
          <w:rtl/>
        </w:rPr>
        <w:t>הסד"כ</w:t>
      </w:r>
      <w:r w:rsidRPr="00C74119" w:rsidR="00865B78">
        <w:rPr>
          <w:rtl/>
        </w:rPr>
        <w:t xml:space="preserve"> לאחר ש</w:t>
      </w:r>
      <w:r w:rsidRPr="00C74119" w:rsidR="00865B78">
        <w:rPr>
          <w:rFonts w:hint="cs"/>
          <w:rtl/>
        </w:rPr>
        <w:t xml:space="preserve">השינוי </w:t>
      </w:r>
      <w:r w:rsidRPr="00C74119" w:rsidR="00865B78">
        <w:rPr>
          <w:rtl/>
        </w:rPr>
        <w:t>בוצע, לא נתבקשו השרים לאשר זאת</w:t>
      </w:r>
      <w:r w:rsidRPr="0093709F">
        <w:rPr>
          <w:rtl/>
        </w:rPr>
        <w:t>.</w:t>
      </w:r>
    </w:p>
    <w:p w:rsidR="00420374" w:rsidRPr="0093709F" w:rsidP="00DA022A" w14:paraId="1D22E15A" w14:textId="248D8096">
      <w:pPr>
        <w:pStyle w:val="7392"/>
        <w:ind w:left="424"/>
      </w:pPr>
      <w:r w:rsidRPr="00865B78">
        <w:rPr>
          <w:rFonts w:hint="cs"/>
          <w:b/>
          <w:bCs/>
          <w:noProof/>
          <w:rtl/>
        </w:rPr>
        <w:drawing>
          <wp:anchor distT="0" distB="360045" distL="114300" distR="114300" simplePos="0" relativeHeight="25168179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5B78" w:rsidR="00865B78">
        <w:rPr>
          <w:b/>
          <w:bCs/>
          <w:rtl/>
        </w:rPr>
        <w:t>הצגת כשירות מערך השריון במילואים לממשלה</w:t>
      </w:r>
      <w:r w:rsidRPr="00C74119" w:rsidR="00865B78">
        <w:rPr>
          <w:rtl/>
        </w:rPr>
        <w:t xml:space="preserve"> - הגם שחוק שירות המילואים מחייב את שר הביטחון להציג את רמת הכשירות של מערך המילואים לממשלה אחת לשנה, משנת 2016 עד שנת 2022 לא הוצגה לממשלה רמת הכשירות של מערך השריון במילואים</w:t>
      </w:r>
      <w:r w:rsidRPr="0093709F">
        <w:rPr>
          <w:rFonts w:hint="cs"/>
          <w:rtl/>
        </w:rPr>
        <w:t xml:space="preserve">. </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6859ADDA">
      <w:pPr>
        <w:pStyle w:val="7317"/>
      </w:pPr>
      <w:r w:rsidRPr="007C7D40">
        <w:rPr>
          <w:rFonts w:hint="cs"/>
          <w:noProof/>
          <w:rtl/>
        </w:rPr>
        <w:drawing>
          <wp:anchor distT="0" distB="1440180" distL="107950" distR="114300" simplePos="0" relativeHeight="25168691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74119" w:rsidR="00865B78">
        <w:rPr>
          <w:rtl/>
        </w:rPr>
        <w:t xml:space="preserve">על שר הביטחון לוודא כי </w:t>
      </w:r>
      <w:r w:rsidR="00E10F30">
        <w:rPr>
          <w:rFonts w:hint="cs"/>
          <w:rtl/>
        </w:rPr>
        <w:t>כל קביעה ב</w:t>
      </w:r>
      <w:r w:rsidRPr="00C74119" w:rsidR="00865B78">
        <w:rPr>
          <w:rtl/>
        </w:rPr>
        <w:t>היקף מערך המילואים, ובכלל זה במערך השריון, מובא</w:t>
      </w:r>
      <w:r w:rsidR="00E10F30">
        <w:rPr>
          <w:rFonts w:hint="cs"/>
          <w:rtl/>
        </w:rPr>
        <w:t>ת</w:t>
      </w:r>
      <w:r w:rsidRPr="00C74119" w:rsidR="00865B78">
        <w:rPr>
          <w:rtl/>
        </w:rPr>
        <w:t xml:space="preserve"> לאישור הממשלה קודם שה</w:t>
      </w:r>
      <w:r w:rsidR="00E10F30">
        <w:rPr>
          <w:rFonts w:hint="cs"/>
          <w:rtl/>
        </w:rPr>
        <w:t>יא</w:t>
      </w:r>
      <w:r w:rsidRPr="00C74119" w:rsidR="00865B78">
        <w:rPr>
          <w:rtl/>
        </w:rPr>
        <w:t xml:space="preserve"> מבוצע</w:t>
      </w:r>
      <w:r w:rsidR="00E10F30">
        <w:rPr>
          <w:rFonts w:hint="cs"/>
          <w:rtl/>
        </w:rPr>
        <w:t>ת</w:t>
      </w:r>
      <w:r w:rsidRPr="00C74119" w:rsidR="00865B78">
        <w:rPr>
          <w:rtl/>
        </w:rPr>
        <w:t xml:space="preserve"> בפועל, וכמו כן, מדי שנה עליו להציג לממשלה את רמת הכשירות הנדרשת של מערך המילואים, ובכלל זה של מערך השריון. על </w:t>
      </w:r>
      <w:r w:rsidRPr="00C74119" w:rsidR="00865B78">
        <w:rPr>
          <w:rtl/>
        </w:rPr>
        <w:t>המל"ל</w:t>
      </w:r>
      <w:r w:rsidRPr="00C74119" w:rsidR="00865B78">
        <w:rPr>
          <w:rtl/>
        </w:rPr>
        <w:t xml:space="preserve"> לוודא שנושא זה נכלל בסדר יומה של הממשלה מדי שנה. זאת, על מנת להבטיח כי רמת המוכנות של צה"ל למלחמה הובאה לידיעת הממשלה וכי היא תוכל להביאה בחשבון במסגרת קבלת החלטות בעניין מהלכים צבאיים ובעניין אישור תוכניות רב-שנתיות ותקצובן</w:t>
      </w:r>
      <w:r w:rsidRPr="007C7D40" w:rsidR="005D0F8C">
        <w:rPr>
          <w:rFonts w:hint="cs"/>
          <w:rtl/>
        </w:rPr>
        <w:t xml:space="preserve">. </w:t>
      </w:r>
    </w:p>
    <w:p w:rsidR="005D0F8C" w:rsidP="005D0F8C" w14:paraId="5B8DB107" w14:textId="20FFFE4E">
      <w:pPr>
        <w:pStyle w:val="7317"/>
        <w:rPr>
          <w:rtl/>
        </w:rPr>
      </w:pPr>
    </w:p>
    <w:p w:rsidR="000B31AA" w:rsidRPr="000B31AA" w:rsidP="00662020" w14:paraId="1001632A" w14:textId="7B4C344E">
      <w:pPr>
        <w:pStyle w:val="738"/>
        <w:spacing w:before="0" w:after="0"/>
        <w:rPr>
          <w:rtl/>
        </w:rPr>
      </w:pPr>
    </w:p>
    <w:p w:rsidR="000B31AA" w:rsidRPr="003A253B" w:rsidP="000B31AA" w14:paraId="5C1AE375" w14:textId="00DDF82D">
      <w:pPr>
        <w:pStyle w:val="7317"/>
        <w:rPr>
          <w:rtl/>
        </w:rPr>
      </w:pPr>
    </w:p>
    <w:p w:rsidR="004E71DD" w14:paraId="7757BE7E" w14:textId="61C755C3">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4E71DD" w:rsidRPr="006615C6" w:rsidP="004E71DD" w14:paraId="6BED2F4B" w14:textId="4D936BEA">
      <w:pPr>
        <w:widowControl w:val="0"/>
        <w:spacing w:before="240" w:line="276" w:lineRule="auto"/>
        <w:ind w:left="-1"/>
        <w:rPr>
          <w:rFonts w:ascii="Tahoma" w:hAnsi="Tahoma" w:cs="Tahoma"/>
          <w:sz w:val="18"/>
          <w:szCs w:val="18"/>
          <w:rtl/>
        </w:rPr>
      </w:pPr>
      <w:r w:rsidRPr="00C74119">
        <w:rPr>
          <w:rFonts w:ascii="Tahoma" w:hAnsi="Tahoma" w:cs="Tahoma"/>
          <w:sz w:val="18"/>
          <w:szCs w:val="18"/>
          <w:rtl/>
        </w:rPr>
        <w:t xml:space="preserve">בביקורת נמצא כי צה"ל הציג לממשלה בדיעבד את </w:t>
      </w:r>
      <w:r w:rsidRPr="00C74119">
        <w:rPr>
          <w:rFonts w:ascii="Tahoma" w:hAnsi="Tahoma" w:cs="Tahoma" w:hint="cs"/>
          <w:sz w:val="18"/>
          <w:szCs w:val="18"/>
          <w:rtl/>
        </w:rPr>
        <w:t>הקביעה בנוגע להיקף</w:t>
      </w:r>
      <w:r w:rsidRPr="00C74119">
        <w:rPr>
          <w:rFonts w:ascii="Tahoma" w:hAnsi="Tahoma" w:cs="Tahoma"/>
          <w:sz w:val="18"/>
          <w:szCs w:val="18"/>
          <w:rtl/>
        </w:rPr>
        <w:t xml:space="preserve"> סד"כ הטנקים, וכי במשך כשש שנים, בשנים 2016 עד 2022, לא הציגו שרי הביטחון לממשלה את מצב כשירות מערך המילואים, ובכלל זה את מצב כשירות מערך השריון במילואים</w:t>
      </w:r>
      <w:r w:rsidRPr="006615C6">
        <w:rPr>
          <w:rFonts w:ascii="Tahoma" w:hAnsi="Tahoma" w:cs="Tahoma" w:hint="cs"/>
          <w:sz w:val="18"/>
          <w:szCs w:val="18"/>
          <w:rtl/>
        </w:rPr>
        <w:t xml:space="preserve">. </w:t>
      </w:r>
    </w:p>
    <w:p w:rsidR="004E71DD" w:rsidP="004E71DD" w14:paraId="766597D5" w14:textId="217DCC71">
      <w:pPr>
        <w:widowControl w:val="0"/>
        <w:tabs>
          <w:tab w:val="left" w:pos="9604"/>
        </w:tabs>
        <w:spacing w:before="240" w:line="276" w:lineRule="auto"/>
        <w:ind w:left="-1"/>
        <w:rPr>
          <w:rFonts w:ascii="Tahoma" w:hAnsi="Tahoma" w:cs="Tahoma"/>
          <w:sz w:val="18"/>
          <w:szCs w:val="18"/>
          <w:rtl/>
        </w:rPr>
      </w:pPr>
      <w:r w:rsidRPr="00C74119">
        <w:rPr>
          <w:rFonts w:ascii="Tahoma" w:hAnsi="Tahoma" w:cs="Tahoma"/>
          <w:sz w:val="18"/>
          <w:szCs w:val="18"/>
          <w:rtl/>
        </w:rPr>
        <w:t xml:space="preserve">על שר הביטחון לוודא כי היקף מערך המילואים מובא לאישור הממשלה, וכן עליו להציג לממשלה מדי שנה את רמת הכשירות של מערך המילואים. על </w:t>
      </w:r>
      <w:r w:rsidRPr="00C74119">
        <w:rPr>
          <w:rFonts w:ascii="Tahoma" w:hAnsi="Tahoma" w:cs="Tahoma"/>
          <w:sz w:val="18"/>
          <w:szCs w:val="18"/>
          <w:rtl/>
        </w:rPr>
        <w:t>המל"ל</w:t>
      </w:r>
      <w:r w:rsidRPr="00C74119">
        <w:rPr>
          <w:rFonts w:ascii="Tahoma" w:hAnsi="Tahoma" w:cs="Tahoma"/>
          <w:sz w:val="18"/>
          <w:szCs w:val="18"/>
          <w:rtl/>
        </w:rPr>
        <w:t xml:space="preserve"> לוודא שנושא זה נכלל בסדר יומה של הממשלה</w:t>
      </w:r>
      <w:r w:rsidRPr="006615C6">
        <w:rPr>
          <w:rFonts w:ascii="Tahoma" w:hAnsi="Tahoma" w:cs="Tahoma" w:hint="cs"/>
          <w:sz w:val="18"/>
          <w:szCs w:val="18"/>
          <w:rtl/>
        </w:rPr>
        <w:t xml:space="preserve">. </w:t>
      </w:r>
    </w:p>
    <w:p w:rsidR="00E56721" w:rsidP="004E71DD" w14:paraId="127631FF" w14:textId="77777777">
      <w:pPr>
        <w:widowControl w:val="0"/>
        <w:tabs>
          <w:tab w:val="left" w:pos="9604"/>
        </w:tabs>
        <w:spacing w:before="240" w:line="276" w:lineRule="auto"/>
        <w:ind w:left="-1"/>
        <w:rPr>
          <w:rFonts w:ascii="Tahoma" w:hAnsi="Tahoma" w:cs="Tahoma"/>
          <w:sz w:val="18"/>
          <w:szCs w:val="18"/>
          <w:rtl/>
        </w:rPr>
      </w:pPr>
    </w:p>
    <w:p w:rsidR="00D56D15" w:rsidP="004E71DD" w14:paraId="3B8FFE86" w14:textId="77777777">
      <w:pPr>
        <w:widowControl w:val="0"/>
        <w:tabs>
          <w:tab w:val="left" w:pos="9604"/>
        </w:tabs>
        <w:spacing w:before="240" w:line="276" w:lineRule="auto"/>
        <w:ind w:left="-1"/>
        <w:rPr>
          <w:rFonts w:ascii="Tahoma" w:hAnsi="Tahoma" w:cs="Tahoma"/>
          <w:sz w:val="18"/>
          <w:szCs w:val="18"/>
          <w:rtl/>
        </w:rPr>
      </w:pPr>
    </w:p>
    <w:p w:rsidR="00D56D15" w:rsidP="004E71DD" w14:paraId="1B37DAFD" w14:textId="32F6A7CC">
      <w:pPr>
        <w:widowControl w:val="0"/>
        <w:tabs>
          <w:tab w:val="left" w:pos="9604"/>
        </w:tabs>
        <w:spacing w:before="240" w:line="276" w:lineRule="auto"/>
        <w:ind w:left="-1"/>
        <w:rPr>
          <w:rFonts w:ascii="Tahoma" w:hAnsi="Tahoma" w:cs="Tahoma"/>
          <w:sz w:val="18"/>
          <w:szCs w:val="18"/>
          <w:rtl/>
        </w:rPr>
        <w:sectPr w:rsidSect="00FC4D4A">
          <w:headerReference w:type="even" r:id="rId25"/>
          <w:footerReference w:type="even" r:id="rId26"/>
          <w:pgSz w:w="11906" w:h="16838" w:code="9"/>
          <w:pgMar w:top="3062" w:right="2268" w:bottom="2552" w:left="2268" w:header="1134" w:footer="1361" w:gutter="0"/>
          <w:pgNumType w:start="89"/>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84864"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4" style="width:101.95pt;height:59.15pt;margin-top:560.5pt;margin-left:312.2pt;mso-height-percent:0;mso-height-relative:margin;mso-wrap-distance-bottom:0;mso-wrap-distance-left:9pt;mso-wrap-distance-right:9pt;mso-wrap-distance-top:0;mso-wrap-style:square;position:absolute;visibility:visible;v-text-anchor:middle;z-index:251685888"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82816"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5" style="width:502.55pt;height:122.6pt;margin-top:-88.25pt;margin-left:-109.85pt;mso-wrap-distance-bottom:0;mso-wrap-distance-left:9pt;mso-wrap-distance-right:9pt;mso-wrap-distance-top:0;mso-wrap-style:square;position:absolute;visibility:visible;v-text-anchor:middle;z-index:251683840" fillcolor="white" strokecolor="white" strokeweight="1.25pt"/>
            </w:pict>
          </mc:Fallback>
        </mc:AlternateContent>
      </w:r>
    </w:p>
    <w:p w:rsidR="005B2BF5" w:rsidP="00865B78" w14:paraId="4E9E45BD" w14:textId="76E8892E">
      <w:pPr>
        <w:pStyle w:val="7392"/>
        <w:rPr>
          <w:rtl/>
        </w:rPr>
      </w:pPr>
      <w:r>
        <w:rPr>
          <w:noProof/>
          <w:rtl/>
          <w:lang w:val="he-IL"/>
        </w:rPr>
        <mc:AlternateContent>
          <mc:Choice Requires="wps">
            <w:drawing>
              <wp:anchor distT="0" distB="0" distL="114300" distR="114300" simplePos="0" relativeHeight="251687936" behindDoc="0" locked="0" layoutInCell="1" allowOverlap="1">
                <wp:simplePos x="0" y="0"/>
                <wp:positionH relativeFrom="column">
                  <wp:posOffset>2494915</wp:posOffset>
                </wp:positionH>
                <wp:positionV relativeFrom="paragraph">
                  <wp:posOffset>6955155</wp:posOffset>
                </wp:positionV>
                <wp:extent cx="2767148" cy="669471"/>
                <wp:effectExtent l="0" t="0" r="14605" b="16510"/>
                <wp:wrapNone/>
                <wp:docPr id="14" name="מלבן 14"/>
                <wp:cNvGraphicFramePr/>
                <a:graphic xmlns:a="http://schemas.openxmlformats.org/drawingml/2006/main">
                  <a:graphicData uri="http://schemas.microsoft.com/office/word/2010/wordprocessingShape">
                    <wps:wsp xmlns:wps="http://schemas.microsoft.com/office/word/2010/wordprocessingShape">
                      <wps:cNvSpPr/>
                      <wps:spPr>
                        <a:xfrm>
                          <a:off x="0" y="0"/>
                          <a:ext cx="2767148" cy="6694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4" o:spid="_x0000_s1036" style="width:217.9pt;height:52.7pt;margin-top:547.65pt;margin-left:196.45pt;mso-width-percent:0;mso-width-relative:margin;mso-wrap-distance-bottom:0;mso-wrap-distance-left:9pt;mso-wrap-distance-right:9pt;mso-wrap-distance-top:0;mso-wrap-style:square;position:absolute;visibility:visible;v-text-anchor:middle;z-index:251688960"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C0040" w14:paraId="3AB8792B" w14:textId="77777777">
      <w:pPr>
        <w:spacing w:line="240" w:lineRule="auto"/>
      </w:pPr>
      <w:r>
        <w:separator/>
      </w:r>
    </w:p>
    <w:p w:rsidR="00CC0040" w14:paraId="520D4747" w14:textId="77777777"/>
    <w:p w:rsidR="00CC0040" w14:paraId="627454C5" w14:textId="77777777"/>
    <w:p w:rsidR="00CC0040" w14:paraId="23E4EB93" w14:textId="77777777"/>
  </w:endnote>
  <w:endnote w:type="continuationSeparator" w:id="1">
    <w:p w:rsidR="00CC0040" w14:paraId="2701F79D" w14:textId="77777777">
      <w:pPr>
        <w:spacing w:line="240" w:lineRule="auto"/>
      </w:pPr>
      <w:r>
        <w:continuationSeparator/>
      </w:r>
    </w:p>
    <w:p w:rsidR="00CC0040" w14:paraId="118512BC" w14:textId="77777777"/>
    <w:p w:rsidR="00CC0040" w14:paraId="392C81D3" w14:textId="77777777"/>
    <w:p w:rsidR="00CC0040" w14:paraId="7B7D59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C31" w14:paraId="6D23AE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C31" w14:paraId="469A314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C0040" w:rsidP="00E7235E" w14:paraId="56D28C58" w14:textId="77777777">
      <w:pPr>
        <w:spacing w:line="240" w:lineRule="auto"/>
      </w:pPr>
      <w:r>
        <w:separator/>
      </w:r>
    </w:p>
  </w:footnote>
  <w:footnote w:type="continuationSeparator" w:id="1">
    <w:p w:rsidR="00CC0040" w:rsidP="00C23CC9" w14:paraId="6415BA10" w14:textId="77777777">
      <w:pPr>
        <w:spacing w:line="240" w:lineRule="auto"/>
      </w:pPr>
      <w:r>
        <w:continuationSeparator/>
      </w:r>
    </w:p>
    <w:p w:rsidR="00CC0040" w14:paraId="308FE2BD" w14:textId="77777777"/>
    <w:p w:rsidR="00CC0040" w14:paraId="1AFA27DB" w14:textId="77777777"/>
    <w:p w:rsidR="00CC0040" w14:paraId="09D7C312" w14:textId="77777777"/>
  </w:footnote>
  <w:footnote w:id="2">
    <w:p w:rsidR="00D338F1" w:rsidRPr="00865B78" w:rsidP="00865B78" w14:paraId="2037570C" w14:textId="77777777">
      <w:pPr>
        <w:pStyle w:val="733"/>
      </w:pPr>
      <w:r w:rsidRPr="00865B78">
        <w:rPr>
          <w:rStyle w:val="FootnoteReference0"/>
          <w:vertAlign w:val="baseline"/>
        </w:rPr>
        <w:footnoteRef/>
      </w:r>
      <w:r w:rsidRPr="00865B78">
        <w:rPr>
          <w:rtl/>
        </w:rPr>
        <w:t xml:space="preserve"> </w:t>
      </w:r>
      <w:r w:rsidRPr="00865B78">
        <w:rPr>
          <w:rtl/>
        </w:rPr>
        <w:tab/>
        <w:t>כושר מבצעי - כושרם ומוכנותם של גוף צבאי, של כלי ירייה וכיו"ב למלא ביעילות מטלות מבצעיות. המילון למונחי צה"ל.</w:t>
      </w:r>
    </w:p>
  </w:footnote>
  <w:footnote w:id="3">
    <w:p w:rsidR="00D338F1" w:rsidRPr="00865B78" w:rsidP="00865B78" w14:paraId="06133271" w14:textId="77777777">
      <w:pPr>
        <w:pStyle w:val="733"/>
        <w:rPr>
          <w:rtl/>
        </w:rPr>
      </w:pPr>
      <w:r w:rsidRPr="00865B78">
        <w:rPr>
          <w:rStyle w:val="FootnoteReference0"/>
          <w:vertAlign w:val="baseline"/>
        </w:rPr>
        <w:footnoteRef/>
      </w:r>
      <w:r w:rsidRPr="00865B78">
        <w:rPr>
          <w:rtl/>
        </w:rPr>
        <w:t xml:space="preserve"> </w:t>
      </w:r>
      <w:r w:rsidRPr="00865B78">
        <w:rPr>
          <w:rtl/>
        </w:rPr>
        <w:tab/>
        <w:t>כשירות - הכושר הדרוש למלא משימה כלשהיא או להגשים דבר</w:t>
      </w:r>
      <w:r w:rsidRPr="00865B78">
        <w:rPr>
          <w:rFonts w:hint="cs"/>
          <w:rtl/>
        </w:rPr>
        <w:t xml:space="preserve"> </w:t>
      </w:r>
      <w:r w:rsidRPr="00865B78">
        <w:rPr>
          <w:rtl/>
        </w:rPr>
        <w:t>מה. לדוגמה: ימי מילואים, שעות מנוע, מקדמי תחמושת והפשרות כלי רכב הם רכיבי תשומה עיקריים לשמירת כשירות במילואים. המילון למונחי צה"ל.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5885967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5885967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58329CE4">
                          <w:pPr>
                            <w:pStyle w:val="Heading1"/>
                            <w:spacing w:line="269" w:lineRule="auto"/>
                            <w:jc w:val="left"/>
                            <w:rPr>
                              <w:rFonts w:ascii="Tahoma" w:hAnsi="Tahoma" w:eastAsiaTheme="minorHAnsi" w:cs="Tahoma"/>
                              <w:bCs w:val="0"/>
                              <w:color w:val="0D0D0D" w:themeColor="text1" w:themeTint="F2"/>
                              <w:sz w:val="16"/>
                              <w:szCs w:val="16"/>
                              <w:u w:val="none"/>
                            </w:rPr>
                          </w:pPr>
                          <w:r w:rsidRPr="00D338F1">
                            <w:rPr>
                              <w:rFonts w:ascii="Tahoma" w:hAnsi="Tahoma" w:eastAsiaTheme="minorHAnsi" w:cs="Tahoma"/>
                              <w:bCs w:val="0"/>
                              <w:color w:val="0D0D0D" w:themeColor="text1" w:themeTint="F2"/>
                              <w:sz w:val="16"/>
                              <w:szCs w:val="16"/>
                              <w:u w:val="none"/>
                              <w:rtl/>
                            </w:rPr>
                            <w:t>היבטים בבניין הכוח של מערך השריון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58329CE4">
                    <w:pPr>
                      <w:pStyle w:val="Heading1"/>
                      <w:spacing w:line="269" w:lineRule="auto"/>
                      <w:jc w:val="left"/>
                      <w:rPr>
                        <w:rFonts w:ascii="Tahoma" w:hAnsi="Tahoma" w:eastAsiaTheme="minorHAnsi" w:cs="Tahoma"/>
                        <w:bCs w:val="0"/>
                        <w:color w:val="0D0D0D" w:themeColor="text1" w:themeTint="F2"/>
                        <w:sz w:val="16"/>
                        <w:szCs w:val="16"/>
                        <w:u w:val="none"/>
                      </w:rPr>
                    </w:pPr>
                    <w:r w:rsidRPr="00D338F1">
                      <w:rPr>
                        <w:rFonts w:ascii="Tahoma" w:hAnsi="Tahoma" w:eastAsiaTheme="minorHAnsi" w:cs="Tahoma"/>
                        <w:bCs w:val="0"/>
                        <w:color w:val="0D0D0D" w:themeColor="text1" w:themeTint="F2"/>
                        <w:sz w:val="16"/>
                        <w:szCs w:val="16"/>
                        <w:u w:val="none"/>
                        <w:rtl/>
                      </w:rPr>
                      <w:t>היבטים בבניין הכוח של מערך השריון</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032D17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6851" w14:paraId="3B4CCAD6" w14:textId="032D17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8162542"/>
    <w:lvl w:ilvl="0">
      <w:start w:val="1"/>
      <w:numFmt w:val="decimal"/>
      <w:lvlText w:val="%1."/>
      <w:lvlJc w:val="left"/>
      <w:pPr>
        <w:tabs>
          <w:tab w:val="num" w:pos="1492"/>
        </w:tabs>
        <w:ind w:left="1492" w:hanging="360"/>
      </w:pPr>
    </w:lvl>
  </w:abstractNum>
  <w:abstractNum w:abstractNumId="1">
    <w:nsid w:val="FFFFFF7D"/>
    <w:multiLevelType w:val="singleLevel"/>
    <w:tmpl w:val="B726A1D8"/>
    <w:lvl w:ilvl="0">
      <w:start w:val="1"/>
      <w:numFmt w:val="decimal"/>
      <w:lvlText w:val="%1."/>
      <w:lvlJc w:val="left"/>
      <w:pPr>
        <w:tabs>
          <w:tab w:val="num" w:pos="1209"/>
        </w:tabs>
        <w:ind w:left="1209" w:hanging="360"/>
      </w:pPr>
    </w:lvl>
  </w:abstractNum>
  <w:abstractNum w:abstractNumId="2">
    <w:nsid w:val="FFFFFF7F"/>
    <w:multiLevelType w:val="singleLevel"/>
    <w:tmpl w:val="834A3F00"/>
    <w:lvl w:ilvl="0">
      <w:start w:val="1"/>
      <w:numFmt w:val="decimal"/>
      <w:lvlText w:val="%1."/>
      <w:lvlJc w:val="left"/>
      <w:pPr>
        <w:tabs>
          <w:tab w:val="num" w:pos="643"/>
        </w:tabs>
        <w:ind w:left="643" w:hanging="360"/>
      </w:pPr>
    </w:lvl>
  </w:abstractNum>
  <w:abstractNum w:abstractNumId="3">
    <w:nsid w:val="FFFFFF80"/>
    <w:multiLevelType w:val="singleLevel"/>
    <w:tmpl w:val="15B2C94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E8AB7A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E124B6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F049E2C"/>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A4CF380"/>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8A8"/>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62E"/>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8C"/>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4F0"/>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739"/>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14F"/>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68EA"/>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07DAC"/>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40E"/>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2C82"/>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70E"/>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5B78"/>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25F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06F"/>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31"/>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972"/>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926"/>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19"/>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040"/>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7F"/>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2E6"/>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8F1"/>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15"/>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B22"/>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0F30"/>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1DB"/>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900"/>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0E9C"/>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29F"/>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3C79"/>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D4A"/>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400"/>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header" Target="header5.xml" /><Relationship Id="rId26" Type="http://schemas.openxmlformats.org/officeDocument/2006/relationships/footer" Target="footer4.xml" /><Relationship Id="rId27" Type="http://schemas.openxmlformats.org/officeDocument/2006/relationships/header" Target="header6.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5FAB89-2DAA-49FB-8ABB-077D2EF9188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