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D6E426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580760"/>
                <wp:effectExtent l="25400" t="0" r="25400" b="2667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807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02.8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40D25638">
                            <w:pPr>
                              <w:pStyle w:val="-2"/>
                              <w:rPr>
                                <w:rtl/>
                              </w:rPr>
                            </w:pPr>
                            <w:r>
                              <w:rPr>
                                <w:rFonts w:hint="cs"/>
                                <w:rtl/>
                              </w:rPr>
                              <w:t>צבא ההגנה לישראל</w:t>
                            </w:r>
                            <w:r w:rsidR="00C30482">
                              <w:rPr>
                                <w:rFonts w:hint="cs"/>
                                <w:rtl/>
                              </w:rPr>
                              <w:t xml:space="preserve"> </w:t>
                            </w:r>
                          </w:p>
                          <w:p w:rsidR="00C30482" w:rsidP="000F5023" w14:textId="6520345C">
                            <w:pPr>
                              <w:pStyle w:val="a35"/>
                              <w:bidi/>
                            </w:pPr>
                            <w:r w:rsidRPr="00821E1F">
                              <w:rPr>
                                <w:rtl/>
                              </w:rPr>
                              <w:t>ספינות הטילים בהגנה על המרחב הימי בלחימה</w:t>
                            </w:r>
                          </w:p>
                          <w:p w:rsidR="00821E1F" w:rsidRPr="000F5023" w:rsidP="00821E1F"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1.65pt;height:336.5pt;margin-top:27.2pt;margin-left:0.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40D25638">
                      <w:pPr>
                        <w:pStyle w:val="-2"/>
                        <w:rPr>
                          <w:rtl/>
                        </w:rPr>
                      </w:pPr>
                      <w:r>
                        <w:rPr>
                          <w:rFonts w:hint="cs"/>
                          <w:rtl/>
                        </w:rPr>
                        <w:t>צבא ההגנה לישראל</w:t>
                      </w:r>
                      <w:r w:rsidR="00C30482">
                        <w:rPr>
                          <w:rFonts w:hint="cs"/>
                          <w:rtl/>
                        </w:rPr>
                        <w:t xml:space="preserve"> </w:t>
                      </w:r>
                    </w:p>
                    <w:p w:rsidR="00C30482" w:rsidP="000F5023" w14:paraId="5BE5E625" w14:textId="6520345C">
                      <w:pPr>
                        <w:pStyle w:val="a35"/>
                        <w:bidi/>
                      </w:pPr>
                      <w:r w:rsidRPr="00821E1F">
                        <w:rPr>
                          <w:rtl/>
                        </w:rPr>
                        <w:t>ספינות הטילים בהגנה על המרחב הימי בלחימה</w:t>
                      </w:r>
                    </w:p>
                    <w:p w:rsidR="00821E1F" w:rsidRPr="000F5023" w:rsidP="00821E1F" w14:paraId="1F859C2B"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2D8C39AC">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-1603466</wp:posOffset>
                </wp:positionH>
                <wp:positionV relativeFrom="paragraph">
                  <wp:posOffset>-1185091</wp:posOffset>
                </wp:positionV>
                <wp:extent cx="7601578" cy="9503228"/>
                <wp:effectExtent l="0" t="0" r="635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95032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748.3pt;margin-top:-93.3pt;margin-left:-126.2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3D14D648">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-648244</wp:posOffset>
                </wp:positionH>
                <wp:positionV relativeFrom="paragraph">
                  <wp:posOffset>202837</wp:posOffset>
                </wp:positionV>
                <wp:extent cx="146957" cy="5686879"/>
                <wp:effectExtent l="0" t="0" r="5715" b="3175"/>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6957" cy="568687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1.55pt;height:447.8pt;margin-top:15.95pt;margin-left:-51.05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21E1F" w:rsidR="00821E1F">
        <w:rPr>
          <w:noProof/>
          <w:rtl/>
        </w:rPr>
        <w:t>ספינות הטילים בהגנה על המרחב הימי בלחימה</w:t>
      </w:r>
    </w:p>
    <w:p w:rsidR="007F4A20" w:rsidP="007F4A20" w14:paraId="0B41EED6" w14:textId="3973C8B0">
      <w:pPr>
        <w:pStyle w:val="7392"/>
        <w:spacing w:before="360"/>
        <w:rPr>
          <w:rtl/>
        </w:rPr>
      </w:pPr>
      <w:r w:rsidRPr="007C6510">
        <w:rPr>
          <w:rtl/>
        </w:rPr>
        <w:t>החוף של מדינת ישראל הוא השער העיקרי לסחר חוץ. ממנו משתרעים 12 מייל של מרחב ימי הנמצא בריבונות המדינה (מים טריטוריאליים). המרחב הימי המשתרע מן החוף (וכולל את המים הטריטוריאליים) ועד למרחק של כ-115 מייל ימי הוא האזור הכלכלי הבלעדי שלה ונקרא גם המים הכלכליים</w:t>
      </w:r>
      <w:r>
        <w:rPr>
          <w:vertAlign w:val="superscript"/>
          <w:rtl/>
        </w:rPr>
        <w:footnoteReference w:id="2"/>
      </w:r>
      <w:r w:rsidRPr="000B0969">
        <w:rPr>
          <w:rtl/>
        </w:rPr>
        <w:t>,</w:t>
      </w:r>
      <w:r w:rsidRPr="007C6510">
        <w:rPr>
          <w:rtl/>
        </w:rPr>
        <w:t xml:space="preserve"> ובו ישנם מתקני חיפוש והפקת גז המהווים מקור אנרגיה מרכזי למדינת ישראל. מרחב זה מאוים על ידי גורמים שונים. ייעודה של זרוע הים של צה"ל הוא לפעול בממד הימי להגנת מדינת ישראל, וסדר הכוחות (סד"כ) המרכזי המשמש לכך הוא ספינות הטילים (סטי"לים, מסוג סער 5 ו-4.5). בשנים האחרונות גיבשה זרוע הים תפיסה </w:t>
      </w:r>
      <w:r w:rsidRPr="007C6510">
        <w:rPr>
          <w:rtl/>
        </w:rPr>
        <w:t>זרועית</w:t>
      </w:r>
      <w:r w:rsidRPr="007C6510">
        <w:rPr>
          <w:rtl/>
        </w:rPr>
        <w:t xml:space="preserve"> להשגת עליונות ימית, ופיתחה יכולות של אש מכלי השיט השונים</w:t>
      </w:r>
      <w:r w:rsidRPr="001F3363" w:rsidR="0036097F">
        <w:rPr>
          <w:rFonts w:hint="cs"/>
          <w:rtl/>
        </w:rPr>
        <w:t>.</w:t>
      </w:r>
      <w:r w:rsidRPr="001F3363"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3280410</wp:posOffset>
            </wp:positionH>
            <wp:positionV relativeFrom="paragraph">
              <wp:posOffset>176733</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B83D3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4562F8" w:rsidP="00937056" w14:paraId="23EB689E" w14:textId="27F491FE">
            <w:pPr>
              <w:spacing w:after="60" w:line="240" w:lineRule="auto"/>
              <w:rPr>
                <w:b/>
                <w:bCs/>
                <w:spacing w:val="-28"/>
                <w:rtl/>
              </w:rPr>
            </w:pPr>
            <w:r w:rsidRPr="00B83D3A">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115</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מייל ימי</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hemeColor="text1"/>
            </w:tcBorders>
            <w:vAlign w:val="bottom"/>
          </w:tcPr>
          <w:p w:rsidR="00420374" w:rsidRPr="005C7ABF" w:rsidP="00937056" w14:paraId="761F4116" w14:textId="514B0EFD">
            <w:pPr>
              <w:pStyle w:val="2021"/>
              <w:spacing w:before="0" w:after="60"/>
              <w:rPr>
                <w:spacing w:val="-10"/>
                <w:rtl/>
              </w:rPr>
            </w:pPr>
            <w:r>
              <w:rPr>
                <w:rFonts w:hint="cs"/>
                <w:spacing w:val="-10"/>
                <w:rtl/>
              </w:rPr>
              <w:t>3</w:t>
            </w:r>
            <w:r>
              <w:rPr>
                <w:rFonts w:hint="cs"/>
                <w:spacing w:val="-10"/>
                <w:rtl/>
              </w:rPr>
              <w:t xml:space="preserve"> </w:t>
            </w:r>
            <w:r>
              <w:rPr>
                <w:spacing w:val="-10"/>
                <w:sz w:val="26"/>
                <w:szCs w:val="26"/>
                <w:rtl/>
              </w:rPr>
              <w:br/>
            </w:r>
            <w:r>
              <w:rPr>
                <w:rFonts w:hint="cs"/>
                <w:spacing w:val="-10"/>
                <w:sz w:val="26"/>
                <w:szCs w:val="26"/>
                <w:rtl/>
              </w:rPr>
              <w:t>אסדות גז</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hemeColor="text1"/>
            </w:tcBorders>
            <w:vAlign w:val="bottom"/>
          </w:tcPr>
          <w:p w:rsidR="00420374" w:rsidRPr="00340353" w:rsidP="00937056" w14:paraId="2A2E27BD" w14:textId="2B287282">
            <w:pPr>
              <w:pStyle w:val="2021"/>
              <w:spacing w:before="0" w:after="60"/>
              <w:rPr>
                <w:b w:val="0"/>
                <w:bCs w:val="0"/>
                <w:spacing w:val="-20"/>
                <w:sz w:val="24"/>
                <w:rtl/>
              </w:rPr>
            </w:pPr>
            <w:r>
              <w:rPr>
                <w:rFonts w:hint="cs"/>
                <w:spacing w:val="-10"/>
                <w:rtl/>
              </w:rPr>
              <w:t xml:space="preserve">4 </w:t>
            </w:r>
            <w:r>
              <w:rPr>
                <w:spacing w:val="-10"/>
                <w:rtl/>
              </w:rPr>
              <w:br/>
            </w:r>
            <w:r w:rsidRPr="00B83D3A">
              <w:rPr>
                <w:rFonts w:hint="cs"/>
                <w:spacing w:val="-10"/>
                <w:sz w:val="26"/>
                <w:szCs w:val="26"/>
                <w:rtl/>
              </w:rPr>
              <w:t>סטי״לים סער</w:t>
            </w:r>
            <w:r>
              <w:rPr>
                <w:rFonts w:hint="cs"/>
                <w:spacing w:val="-10"/>
                <w:rtl/>
              </w:rPr>
              <w:t xml:space="preserve"> 6</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937056" w14:paraId="5F3A3FF5" w14:textId="04FC4A09">
            <w:pPr>
              <w:pStyle w:val="2021"/>
              <w:spacing w:before="0" w:after="60"/>
              <w:rPr>
                <w:spacing w:val="-10"/>
                <w:rtl/>
              </w:rPr>
            </w:pPr>
            <w:r>
              <w:rPr>
                <w:rFonts w:hint="cs"/>
                <w:spacing w:val="-10"/>
                <w:rtl/>
              </w:rPr>
              <w:t xml:space="preserve">4 </w:t>
            </w:r>
            <w:r w:rsidRPr="00B83D3A">
              <w:rPr>
                <w:rFonts w:hint="cs"/>
                <w:spacing w:val="-10"/>
                <w:sz w:val="26"/>
                <w:szCs w:val="26"/>
                <w:rtl/>
              </w:rPr>
              <w:t>שנים</w:t>
            </w:r>
            <w:r>
              <w:rPr>
                <w:rFonts w:hint="cs"/>
                <w:spacing w:val="-10"/>
                <w:rtl/>
              </w:rPr>
              <w:t xml:space="preserve"> </w:t>
            </w:r>
          </w:p>
        </w:tc>
      </w:tr>
      <w:tr w14:paraId="6DFAF81C" w14:textId="77777777" w:rsidTr="00B83D3A">
        <w:tblPrEx>
          <w:tblW w:w="5000" w:type="pct"/>
          <w:tblLook w:val="04A0"/>
        </w:tblPrEx>
        <w:tc>
          <w:tcPr>
            <w:tcW w:w="1164" w:type="pct"/>
            <w:tcBorders>
              <w:top w:val="single" w:sz="12" w:space="0" w:color="000000" w:themeColor="text1"/>
            </w:tcBorders>
          </w:tcPr>
          <w:p w:rsidR="00B83D3A" w:rsidRPr="00E52143" w:rsidP="00B83D3A" w14:paraId="1D96599A" w14:textId="5D63CEE1">
            <w:pPr>
              <w:pStyle w:val="732021"/>
              <w:spacing w:before="0"/>
              <w:rPr>
                <w:rtl/>
              </w:rPr>
            </w:pPr>
            <w:r w:rsidRPr="007C6510">
              <w:rPr>
                <w:rtl/>
              </w:rPr>
              <w:t>הם גבול מרחב המים הכלכליים של מדינת ישראל (בנקודה הרחוקה ביותר מהחוף)</w:t>
            </w:r>
          </w:p>
        </w:tc>
        <w:tc>
          <w:tcPr>
            <w:tcW w:w="161" w:type="pct"/>
          </w:tcPr>
          <w:p w:rsidR="00B83D3A" w:rsidRPr="00E52143" w:rsidP="00B83D3A" w14:paraId="2BF81D8C" w14:textId="77777777">
            <w:pPr>
              <w:pStyle w:val="732021"/>
              <w:spacing w:before="0"/>
              <w:rPr>
                <w:rtl/>
              </w:rPr>
            </w:pPr>
          </w:p>
        </w:tc>
        <w:tc>
          <w:tcPr>
            <w:tcW w:w="1038" w:type="pct"/>
            <w:tcBorders>
              <w:top w:val="single" w:sz="12" w:space="0" w:color="000000" w:themeColor="text1"/>
            </w:tcBorders>
          </w:tcPr>
          <w:p w:rsidR="00B83D3A" w:rsidRPr="00E52143" w:rsidP="00B83D3A" w14:paraId="68924AF7" w14:textId="1956E6D2">
            <w:pPr>
              <w:pStyle w:val="732021"/>
              <w:spacing w:before="0"/>
              <w:rPr>
                <w:rtl/>
              </w:rPr>
            </w:pPr>
            <w:r w:rsidRPr="007C6510">
              <w:rPr>
                <w:rtl/>
              </w:rPr>
              <w:t xml:space="preserve">היו במים הכלכליים של מדינת ישראל בתקופת הביקורת, וכן אוניית גיבוי מגזזת אחת. </w:t>
            </w:r>
            <w:r w:rsidRPr="007C6510">
              <w:rPr>
                <w:rFonts w:hint="cs"/>
                <w:rtl/>
              </w:rPr>
              <w:t>מתקנים אלה מאוימים על ידי גורמים שונים</w:t>
            </w:r>
          </w:p>
        </w:tc>
        <w:tc>
          <w:tcPr>
            <w:tcW w:w="161" w:type="pct"/>
          </w:tcPr>
          <w:p w:rsidR="00B83D3A" w:rsidRPr="00E52143" w:rsidP="00B83D3A" w14:paraId="4F52CE08" w14:textId="77777777">
            <w:pPr>
              <w:pStyle w:val="732021"/>
              <w:spacing w:before="0"/>
              <w:rPr>
                <w:rtl/>
              </w:rPr>
            </w:pPr>
          </w:p>
        </w:tc>
        <w:tc>
          <w:tcPr>
            <w:tcW w:w="1151" w:type="pct"/>
            <w:tcBorders>
              <w:top w:val="single" w:sz="12" w:space="0" w:color="000000" w:themeColor="text1"/>
            </w:tcBorders>
          </w:tcPr>
          <w:p w:rsidR="00B83D3A" w:rsidRPr="007C6510" w:rsidP="00B83D3A" w14:paraId="35E1B904" w14:textId="77777777">
            <w:pPr>
              <w:pStyle w:val="732021"/>
              <w:spacing w:before="0"/>
              <w:rPr>
                <w:rtl/>
              </w:rPr>
            </w:pPr>
            <w:r w:rsidRPr="007C6510">
              <w:rPr>
                <w:rtl/>
              </w:rPr>
              <w:t xml:space="preserve">הנקראים גם ספינות מגן, נרכשו להגנת המים הכלכליים. מתוכנן לסיים את תהליכי הקליטה </w:t>
            </w:r>
            <w:r w:rsidRPr="007C6510">
              <w:rPr>
                <w:rtl/>
              </w:rPr>
              <w:t>והמבצוע</w:t>
            </w:r>
            <w:r w:rsidRPr="007C6510">
              <w:rPr>
                <w:rtl/>
              </w:rPr>
              <w:t xml:space="preserve"> שלהם במהלך </w:t>
            </w:r>
            <w:r w:rsidRPr="007C6510">
              <w:rPr>
                <w:rtl/>
              </w:rPr>
              <w:t>תר"ש</w:t>
            </w:r>
            <w:r w:rsidRPr="007C6510">
              <w:rPr>
                <w:rtl/>
              </w:rPr>
              <w:t xml:space="preserve"> "תנופה"</w:t>
            </w:r>
          </w:p>
          <w:p w:rsidR="00B83D3A" w:rsidRPr="00E52143" w:rsidP="00B83D3A" w14:paraId="203F9568" w14:textId="77777777">
            <w:pPr>
              <w:pStyle w:val="732021"/>
              <w:spacing w:before="0"/>
              <w:rPr>
                <w:rtl/>
              </w:rPr>
            </w:pPr>
          </w:p>
        </w:tc>
        <w:tc>
          <w:tcPr>
            <w:tcW w:w="182" w:type="pct"/>
          </w:tcPr>
          <w:p w:rsidR="00B83D3A" w:rsidRPr="00E52143" w:rsidP="00B83D3A" w14:paraId="42538096" w14:textId="77777777">
            <w:pPr>
              <w:pStyle w:val="732021"/>
              <w:spacing w:before="0"/>
              <w:rPr>
                <w:rtl/>
              </w:rPr>
            </w:pPr>
          </w:p>
        </w:tc>
        <w:tc>
          <w:tcPr>
            <w:tcW w:w="1143" w:type="pct"/>
            <w:tcBorders>
              <w:top w:val="single" w:sz="12" w:space="0" w:color="000000" w:themeColor="text1"/>
            </w:tcBorders>
          </w:tcPr>
          <w:p w:rsidR="00B83D3A" w:rsidRPr="007C6510" w:rsidP="00B83D3A" w14:paraId="68B0F8DB" w14:textId="77777777">
            <w:pPr>
              <w:pStyle w:val="732021"/>
              <w:spacing w:before="0"/>
              <w:rPr>
                <w:rtl/>
              </w:rPr>
            </w:pPr>
            <w:r w:rsidRPr="007C6510">
              <w:rPr>
                <w:rtl/>
              </w:rPr>
              <w:t xml:space="preserve">עיכוב בהשלמת </w:t>
            </w:r>
            <w:r w:rsidRPr="007C6510">
              <w:rPr>
                <w:rtl/>
              </w:rPr>
              <w:t>המבצוע</w:t>
            </w:r>
            <w:r w:rsidRPr="007C6510">
              <w:rPr>
                <w:rtl/>
              </w:rPr>
              <w:t xml:space="preserve"> של ארבע ספינות המגן, שהייתה מתוכננת לתחילת שנת 2019</w:t>
            </w:r>
          </w:p>
          <w:p w:rsidR="00B83D3A" w:rsidRPr="00E52143" w:rsidP="00B83D3A" w14:paraId="1878D11D" w14:textId="2F83A72B">
            <w:pPr>
              <w:pStyle w:val="732021"/>
              <w:spacing w:before="0"/>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B83D3A" w:rsidP="00420374" w14:paraId="7CB0FC04" w14:textId="05D1D22F">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510">
        <w:rPr>
          <w:rtl/>
        </w:rPr>
        <w:t>בחודשים פברואר 2020 עד יוני 2022, לסירוגין, ביצע משרד מבקר המדינה ביקורת בנושא "ספינות הטילים בהגנה על המרחב הימי בלחימה". בביקורת נבדקו סוגיות בבניין הכוח של זרוע הים ושיתוף הפעולה בין זרוע הים לזרוע האוויר והחלל (זרוע האוויר). הביקורת נעשתה בצה"ל - בזרוע הים, באגף תכנון ובניין כוח רב-זרועי (</w:t>
      </w:r>
      <w:r w:rsidRPr="007C6510">
        <w:rPr>
          <w:rtl/>
        </w:rPr>
        <w:t>אג"ת</w:t>
      </w:r>
      <w:r w:rsidRPr="007C6510">
        <w:rPr>
          <w:rtl/>
        </w:rPr>
        <w:t>), באגף המבצעים (</w:t>
      </w:r>
      <w:r w:rsidRPr="007C6510">
        <w:rPr>
          <w:rtl/>
        </w:rPr>
        <w:t>אמ"ץ</w:t>
      </w:r>
      <w:r w:rsidRPr="007C6510">
        <w:rPr>
          <w:rtl/>
        </w:rPr>
        <w:t xml:space="preserve">), באגף המודיעין (אמ"ן) ובזרוע האוויר. בדיקות השלמה נעשו במטה לביטחון לאומי שבמשרד ראש הממשלה ובמשרד </w:t>
      </w:r>
      <w:r w:rsidRPr="007C6510">
        <w:rPr>
          <w:rtl/>
        </w:rPr>
        <w:t>האנרגייה</w:t>
      </w:r>
      <w:r>
        <w:rPr>
          <w:rFonts w:hint="cs"/>
          <w:rtl/>
        </w:rPr>
        <w:t>.</w:t>
      </w:r>
    </w:p>
    <w:p w:rsidR="00420374" w:rsidP="00420374" w14:paraId="0AF4CED3" w14:textId="6BED2C7E">
      <w:pPr>
        <w:pStyle w:val="7317"/>
        <w:rPr>
          <w:rtl/>
        </w:rPr>
      </w:pPr>
      <w:r w:rsidRPr="007C6510">
        <w:rPr>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sidRPr="001F3363">
        <w:rPr>
          <w:rFonts w:hint="cs"/>
          <w:rtl/>
        </w:rPr>
        <w:t xml:space="preserve"> </w:t>
      </w:r>
    </w:p>
    <w:p w:rsidR="002753C7" w:rsidRPr="00662020" w:rsidP="002753C7" w14:paraId="690F076D" w14:textId="22A17189">
      <w:pPr>
        <w:pStyle w:val="7327"/>
        <w:rPr>
          <w:rtl/>
        </w:rPr>
      </w:pPr>
      <w:r w:rsidRPr="00662020">
        <w:rPr>
          <w:rFonts w:hint="cs"/>
          <w:rtl/>
        </w:rPr>
        <w:t>תמונת המצב העולה מן הביקורת</w:t>
      </w:r>
    </w:p>
    <w:p w:rsidR="002753C7" w:rsidRPr="001F3363" w:rsidP="00420374" w14:paraId="0B2F822B" w14:textId="268D5B94">
      <w:pPr>
        <w:pStyle w:val="7317"/>
        <w:rPr>
          <w:rtl/>
        </w:rPr>
      </w:pPr>
      <w:r w:rsidRPr="00362C00">
        <w:rPr>
          <w:noProof/>
          <w:rtl/>
        </w:rPr>
        <w:drawing>
          <wp:anchor distT="0" distB="0" distL="114300" distR="114300" simplePos="0" relativeHeight="251683840" behindDoc="0" locked="0" layoutInCell="1" allowOverlap="1">
            <wp:simplePos x="0" y="0"/>
            <wp:positionH relativeFrom="column">
              <wp:posOffset>2569659</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2DE2B8B3">
      <w:pPr>
        <w:pStyle w:val="7392"/>
        <w:ind w:left="424"/>
        <w:rPr>
          <w:rtl/>
        </w:rPr>
      </w:pPr>
      <w:r w:rsidRPr="00B83D3A">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83D3A" w:rsidR="00B83D3A">
        <w:rPr>
          <w:b/>
          <w:bCs/>
          <w:rtl/>
        </w:rPr>
        <w:t>עמידה ביעד שנקבע בשנת 2013 לאספקה של ספינות המגן</w:t>
      </w:r>
      <w:r w:rsidRPr="007C6510" w:rsidR="00B83D3A">
        <w:rPr>
          <w:rtl/>
        </w:rPr>
        <w:t xml:space="preserve"> </w:t>
      </w:r>
      <w:r w:rsidRPr="007C6510" w:rsidR="00B83D3A">
        <w:rPr>
          <w:rFonts w:hint="cs"/>
          <w:rtl/>
        </w:rPr>
        <w:t>-</w:t>
      </w:r>
      <w:r w:rsidRPr="007C6510" w:rsidR="00B83D3A">
        <w:rPr>
          <w:rtl/>
        </w:rPr>
        <w:t xml:space="preserve"> נכון למועד ביצוע הביקורת יש פיגור של כארבע שנים בהשלמת האספקה </w:t>
      </w:r>
      <w:r w:rsidRPr="007C6510" w:rsidR="00B83D3A">
        <w:rPr>
          <w:rtl/>
        </w:rPr>
        <w:t>והמבצוע</w:t>
      </w:r>
      <w:r w:rsidRPr="007C6510" w:rsidR="00B83D3A">
        <w:rPr>
          <w:rtl/>
        </w:rPr>
        <w:t xml:space="preserve"> של ארבע ספינות המגן, שכן בהתאם להחלטת הממשלה ב/53</w:t>
      </w:r>
      <w:r>
        <w:rPr>
          <w:vertAlign w:val="superscript"/>
          <w:rtl/>
        </w:rPr>
        <w:footnoteReference w:id="3"/>
      </w:r>
      <w:r w:rsidRPr="007C6510" w:rsidR="00B83D3A">
        <w:rPr>
          <w:rtl/>
        </w:rPr>
        <w:t xml:space="preserve"> יעד </w:t>
      </w:r>
      <w:r w:rsidRPr="007C6510" w:rsidR="00B83D3A">
        <w:rPr>
          <w:rtl/>
        </w:rPr>
        <w:t>המבצוע</w:t>
      </w:r>
      <w:r w:rsidRPr="007C6510" w:rsidR="00B83D3A">
        <w:rPr>
          <w:rtl/>
        </w:rPr>
        <w:t xml:space="preserve"> של כל ספינות המגן היה בתחילת שנת 2019, והצפי הנוכחי להשלמתו של תהליך זה הוא בשנת 2023</w:t>
      </w:r>
      <w:r w:rsidR="00B83D3A">
        <w:rPr>
          <w:rFonts w:hint="cs"/>
          <w:rtl/>
        </w:rPr>
        <w:t>.</w:t>
      </w:r>
    </w:p>
    <w:p w:rsidR="00420374" w:rsidP="00B83D3A" w14:paraId="39D5E97C" w14:textId="25019A75">
      <w:pPr>
        <w:pStyle w:val="7392"/>
        <w:ind w:left="424"/>
        <w:rPr>
          <w:rtl/>
        </w:rPr>
      </w:pPr>
      <w:r w:rsidRPr="00B4206F">
        <w:rPr>
          <w:rStyle w:val="7371"/>
          <w:rFonts w:hint="cs"/>
          <w:noProof/>
          <w:rtl/>
        </w:rPr>
        <w:drawing>
          <wp:anchor distT="0" distB="0" distL="114300" distR="114300" simplePos="0" relativeHeight="251681792" behindDoc="0" locked="0" layoutInCell="1" allowOverlap="1">
            <wp:simplePos x="0" y="0"/>
            <wp:positionH relativeFrom="column">
              <wp:posOffset>2470476</wp:posOffset>
            </wp:positionH>
            <wp:positionV relativeFrom="paragraph">
              <wp:posOffset>820713</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B83D3A" w:rsidR="00DA022A">
        <w:rPr>
          <w:rFonts w:hint="cs"/>
          <w:b/>
          <w:bCs/>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83D3A">
        <w:rPr>
          <w:b/>
          <w:bCs/>
          <w:rtl/>
        </w:rPr>
        <w:t xml:space="preserve">התיישנות ספינות </w:t>
      </w:r>
      <w:r w:rsidRPr="00B83D3A">
        <w:rPr>
          <w:rFonts w:hint="eastAsia"/>
          <w:b/>
          <w:bCs/>
          <w:rtl/>
        </w:rPr>
        <w:t>מסוימות</w:t>
      </w:r>
      <w:r w:rsidRPr="00B83D3A">
        <w:rPr>
          <w:rFonts w:hint="cs"/>
          <w:b/>
          <w:bCs/>
          <w:rtl/>
        </w:rPr>
        <w:t xml:space="preserve"> </w:t>
      </w:r>
      <w:r w:rsidRPr="00B83D3A">
        <w:rPr>
          <w:b/>
          <w:bCs/>
          <w:rtl/>
        </w:rPr>
        <w:t>והצורך בהחלפתן</w:t>
      </w:r>
      <w:r w:rsidRPr="007C6510">
        <w:rPr>
          <w:rtl/>
        </w:rPr>
        <w:t xml:space="preserve"> -</w:t>
      </w:r>
      <w:r w:rsidR="00496E03">
        <w:rPr>
          <w:rFonts w:hint="cs"/>
          <w:rtl/>
        </w:rPr>
        <w:t xml:space="preserve"> </w:t>
      </w:r>
      <w:r w:rsidRPr="007C6510">
        <w:rPr>
          <w:rtl/>
        </w:rPr>
        <w:t xml:space="preserve">אף שעוד בשנת 2018 אושר הצורך המבצעי בהחלפת </w:t>
      </w:r>
      <w:r w:rsidRPr="007C6510">
        <w:rPr>
          <w:rFonts w:hint="cs"/>
          <w:rtl/>
        </w:rPr>
        <w:t xml:space="preserve">ספינות </w:t>
      </w:r>
      <w:r w:rsidRPr="007C6510">
        <w:rPr>
          <w:rFonts w:hint="eastAsia"/>
          <w:rtl/>
        </w:rPr>
        <w:t>מסוימות</w:t>
      </w:r>
      <w:r w:rsidRPr="007C6510">
        <w:rPr>
          <w:rtl/>
        </w:rPr>
        <w:t xml:space="preserve">, במועד סיום הביקורת, יוני 2022, טרם ניתן אישור </w:t>
      </w:r>
      <w:r w:rsidRPr="007C6510">
        <w:rPr>
          <w:rtl/>
        </w:rPr>
        <w:t>אג"ת</w:t>
      </w:r>
      <w:r w:rsidRPr="007C6510">
        <w:rPr>
          <w:rtl/>
        </w:rPr>
        <w:t xml:space="preserve"> לרכש ולתקצובו, אישור שהיה אמור להתקבל לפי </w:t>
      </w:r>
      <w:r w:rsidRPr="007C6510">
        <w:rPr>
          <w:rtl/>
        </w:rPr>
        <w:t>הגאנט</w:t>
      </w:r>
      <w:r w:rsidRPr="007C6510">
        <w:rPr>
          <w:rtl/>
        </w:rPr>
        <w:t xml:space="preserve"> שהציגה זרוע הים בספטמבר 2021</w:t>
      </w:r>
      <w:r w:rsidRPr="0093709F">
        <w:rPr>
          <w:rFonts w:hint="cs"/>
          <w:rtl/>
        </w:rPr>
        <w:t xml:space="preserve">. </w:t>
      </w:r>
      <w:r w:rsidRPr="00B02658" w:rsidR="00DA022A">
        <w:rPr>
          <w:rFonts w:hint="cs"/>
          <w:b/>
          <w:bCs/>
          <w:noProof/>
          <w:rtl/>
        </w:rPr>
        <w:drawing>
          <wp:anchor distT="0" distB="720090" distL="114300" distR="114300" simplePos="0" relativeHeight="251686912"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3709F">
        <w:rPr>
          <w:rFonts w:hint="cs"/>
          <w:rtl/>
        </w:rPr>
        <w:t xml:space="preserve"> </w:t>
      </w:r>
    </w:p>
    <w:p w:rsidR="00420374" w:rsidRPr="00411396" w:rsidP="00420374" w14:paraId="5E6B04AD" w14:textId="6DD3B915">
      <w:pPr>
        <w:pStyle w:val="7392"/>
        <w:spacing w:before="360"/>
        <w:rPr>
          <w:rtl/>
        </w:rPr>
      </w:pPr>
      <w:r w:rsidRPr="007C6510">
        <w:rPr>
          <w:rtl/>
        </w:rPr>
        <w:t xml:space="preserve">שיתוף פעולה בין-זרועי עם זרוע האוויר - קיים מאמץ מתמיד הן של זרוע הים והן של זרוע האוויר לקדם את ההתמודדות עם משימת הגנת המים הכלכליים ועם האתגרים בתחום זה. לשתי הזרועות יש תוכניות עבודה שנתיות משותפות המסדירות את האימונים המשותפים ובניין הכוח, נוהלי התכנון והתחקיר, אופן הביצוע </w:t>
      </w:r>
      <w:r w:rsidRPr="007C6510">
        <w:rPr>
          <w:rtl/>
        </w:rPr>
        <w:t>והסד"כ</w:t>
      </w:r>
      <w:r w:rsidRPr="007C6510">
        <w:rPr>
          <w:rtl/>
        </w:rPr>
        <w:t xml:space="preserve"> המוקצה לכל אימון</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6E1E746B">
      <w:pPr>
        <w:pStyle w:val="7317"/>
      </w:pPr>
      <w:r w:rsidRPr="007C7D40">
        <w:rPr>
          <w:rFonts w:hint="cs"/>
          <w:noProof/>
          <w:rtl/>
        </w:rPr>
        <w:drawing>
          <wp:anchor distT="0" distB="1440180" distL="107950" distR="114300" simplePos="0" relativeHeight="25168793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C6510" w:rsidR="00B83D3A">
        <w:rPr>
          <w:rtl/>
        </w:rPr>
        <w:t>מומלץ כי הרמטכ"ל ינחה לבחון את הצורך המבצעי של סד"כ הסטי"לים בזרוע הים ולגבש בהתאם לתוצאות הבחינה תוכנית בניין כוח מעודכנת שתביא בחשבון את כלל משימות צה"ל, ובהן את משימות זרוע הים - הקיימות, המתהוות והעתידיות - ואת האיומים המתפתחים</w:t>
      </w:r>
      <w:r w:rsidRPr="007C7D40" w:rsidR="005D0F8C">
        <w:rPr>
          <w:rFonts w:hint="cs"/>
          <w:rtl/>
        </w:rPr>
        <w:t xml:space="preserve">. </w:t>
      </w:r>
    </w:p>
    <w:p w:rsidR="005D0F8C" w:rsidRPr="007C7D40" w:rsidP="007C7D40" w14:paraId="6C626C68" w14:textId="3455EFF7">
      <w:pPr>
        <w:pStyle w:val="7317"/>
      </w:pPr>
      <w:r w:rsidRPr="007C7D40">
        <w:rPr>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C6510" w:rsidR="00B83D3A">
        <w:rPr>
          <w:rtl/>
        </w:rPr>
        <w:t xml:space="preserve">מומלץ כי צה"ל ומשרד הביטחון יבצעו הליך הפקת לקחים בכל הנוגע ליעדי העמידה </w:t>
      </w:r>
      <w:r w:rsidRPr="007C6510" w:rsidR="00B83D3A">
        <w:rPr>
          <w:rtl/>
        </w:rPr>
        <w:t>בלו"ז</w:t>
      </w:r>
      <w:r w:rsidRPr="007C6510" w:rsidR="00B83D3A">
        <w:rPr>
          <w:rtl/>
        </w:rPr>
        <w:t xml:space="preserve"> האספקה של ארבע ספינות המגן בנושאים שבאחריותם</w:t>
      </w:r>
      <w:r w:rsidRPr="007C7D40">
        <w:rPr>
          <w:rtl/>
        </w:rPr>
        <w:t xml:space="preserve">. </w:t>
      </w:r>
    </w:p>
    <w:p w:rsidR="005D0F8C" w:rsidRPr="007C7D40" w:rsidP="007C7D40" w14:paraId="16E5BFEE" w14:textId="58AFB80E">
      <w:pPr>
        <w:pStyle w:val="7317"/>
        <w:rPr>
          <w:rtl/>
        </w:rPr>
      </w:pPr>
      <w:r w:rsidRPr="007C7D40">
        <w:rPr>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C6510" w:rsidR="00B83D3A">
        <w:rPr>
          <w:rtl/>
        </w:rPr>
        <w:t xml:space="preserve">מומלץ כי </w:t>
      </w:r>
      <w:r w:rsidRPr="007C6510" w:rsidR="00B83D3A">
        <w:rPr>
          <w:rtl/>
        </w:rPr>
        <w:t>אג"ת</w:t>
      </w:r>
      <w:r w:rsidRPr="007C6510" w:rsidR="00B83D3A">
        <w:rPr>
          <w:rtl/>
        </w:rPr>
        <w:t xml:space="preserve"> וזרוע הים, כל אחד בתחומו, יקיימו בקרה על פרויקט החלפת ספינות </w:t>
      </w:r>
      <w:r w:rsidRPr="007C6510" w:rsidR="00B83D3A">
        <w:rPr>
          <w:rFonts w:hint="cs"/>
          <w:rtl/>
        </w:rPr>
        <w:t xml:space="preserve"> </w:t>
      </w:r>
      <w:r w:rsidRPr="007C6510" w:rsidR="00B83D3A">
        <w:rPr>
          <w:rFonts w:hint="eastAsia"/>
          <w:rtl/>
        </w:rPr>
        <w:t>מסוימות</w:t>
      </w:r>
      <w:r w:rsidRPr="007C6510" w:rsidR="00B83D3A">
        <w:rPr>
          <w:rFonts w:hint="cs"/>
          <w:rtl/>
        </w:rPr>
        <w:t xml:space="preserve"> </w:t>
      </w:r>
      <w:r w:rsidRPr="007C6510" w:rsidR="00B83D3A">
        <w:rPr>
          <w:rtl/>
        </w:rPr>
        <w:t>ויוודאו כי נעשים כל המאמצים לקדם את החלפת</w:t>
      </w:r>
      <w:r w:rsidRPr="007C6510" w:rsidR="00B83D3A">
        <w:rPr>
          <w:rFonts w:hint="cs"/>
          <w:rtl/>
        </w:rPr>
        <w:t>ן</w:t>
      </w:r>
      <w:r w:rsidRPr="007C6510" w:rsidR="00B83D3A">
        <w:rPr>
          <w:rtl/>
        </w:rPr>
        <w:t>, לרבות בקרה על תקצוב הפרויקט ועל מימוש התקציב</w:t>
      </w:r>
      <w:r w:rsidRPr="007C7D40">
        <w:rPr>
          <w:rFonts w:hint="cs"/>
          <w:rtl/>
        </w:rPr>
        <w:t>.</w:t>
      </w:r>
    </w:p>
    <w:p w:rsidR="004E71DD" w:rsidP="005D0F8C" w14:paraId="377E6FE3" w14:textId="1FCBB0A7">
      <w:pPr>
        <w:pStyle w:val="7317"/>
        <w:rPr>
          <w:rtl/>
        </w:rPr>
      </w:pPr>
      <w:r w:rsidRPr="00D527BD">
        <w:rPr>
          <w:noProof/>
          <w:szCs w:val="20"/>
          <w:rtl/>
        </w:rPr>
        <w:drawing>
          <wp:anchor distT="0" distB="0" distL="114300" distR="114300" simplePos="0" relativeHeight="251678720" behindDoc="0" locked="0" layoutInCell="1" allowOverlap="1">
            <wp:simplePos x="0" y="0"/>
            <wp:positionH relativeFrom="column">
              <wp:posOffset>-110842</wp:posOffset>
            </wp:positionH>
            <wp:positionV relativeFrom="paragraph">
              <wp:posOffset>226177</wp:posOffset>
            </wp:positionV>
            <wp:extent cx="4731385" cy="622407"/>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9524" cy="626109"/>
                    </a:xfrm>
                    <a:prstGeom prst="rect">
                      <a:avLst/>
                    </a:prstGeom>
                  </pic:spPr>
                </pic:pic>
              </a:graphicData>
            </a:graphic>
            <wp14:sizeRelV relativeFrom="margin">
              <wp14:pctHeight>0</wp14:pctHeight>
            </wp14:sizeRelV>
          </wp:anchor>
        </w:drawing>
      </w:r>
    </w:p>
    <w:p w:rsidR="005D0F8C" w:rsidP="004E71DD" w14:paraId="6DC28C4F" w14:textId="16AFFAC2">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88943</wp:posOffset>
                </wp:positionH>
                <wp:positionV relativeFrom="paragraph">
                  <wp:posOffset>46670</wp:posOffset>
                </wp:positionV>
                <wp:extent cx="4436745" cy="307361"/>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07361"/>
                        </a:xfrm>
                        <a:prstGeom prst="rect">
                          <a:avLst/>
                        </a:prstGeom>
                        <a:solidFill>
                          <a:srgbClr val="F05260"/>
                        </a:solidFill>
                        <a:ln w="9525">
                          <a:noFill/>
                          <a:miter lim="800000"/>
                          <a:headEnd/>
                          <a:tailEnd/>
                        </a:ln>
                      </wps:spPr>
                      <wps:txbx>
                        <w:txbxContent>
                          <w:p w:rsidR="005D0F8C" w:rsidRPr="005C7ABF" w:rsidP="00662020" w14:textId="3E6E4587">
                            <w:pPr>
                              <w:spacing w:line="240" w:lineRule="auto"/>
                              <w:ind w:right="113"/>
                              <w:suppressOverlap/>
                              <w:jc w:val="left"/>
                              <w:rPr>
                                <w:rFonts w:ascii="Tahoma" w:hAnsi="Tahoma" w:cs="Tahoma"/>
                                <w:b/>
                                <w:bCs/>
                                <w:color w:val="FFFFFF" w:themeColor="background1"/>
                                <w:spacing w:val="-4"/>
                                <w:sz w:val="22"/>
                                <w:szCs w:val="22"/>
                                <w:rtl/>
                              </w:rPr>
                            </w:pPr>
                            <w:r w:rsidRPr="00B83D3A">
                              <w:rPr>
                                <w:rFonts w:ascii="Tahoma" w:hAnsi="Tahoma" w:cs="Tahoma"/>
                                <w:b/>
                                <w:bCs/>
                                <w:color w:val="FFFFFF" w:themeColor="background1"/>
                                <w:spacing w:val="-4"/>
                                <w:sz w:val="22"/>
                                <w:szCs w:val="22"/>
                                <w:rtl/>
                              </w:rPr>
                              <w:t>סטי"ל מסוג סער 6 (ספינת מגן)</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24.2pt;margin-top:3.65pt;margin-left:7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3E6E4587">
                      <w:pPr>
                        <w:spacing w:line="240" w:lineRule="auto"/>
                        <w:ind w:right="113"/>
                        <w:suppressOverlap/>
                        <w:jc w:val="left"/>
                        <w:rPr>
                          <w:rFonts w:ascii="Tahoma" w:hAnsi="Tahoma" w:cs="Tahoma"/>
                          <w:b/>
                          <w:bCs/>
                          <w:color w:val="FFFFFF" w:themeColor="background1"/>
                          <w:spacing w:val="-4"/>
                          <w:sz w:val="22"/>
                          <w:szCs w:val="22"/>
                          <w:rtl/>
                        </w:rPr>
                      </w:pPr>
                      <w:r w:rsidRPr="00B83D3A">
                        <w:rPr>
                          <w:rFonts w:ascii="Tahoma" w:hAnsi="Tahoma" w:cs="Tahoma"/>
                          <w:b/>
                          <w:bCs/>
                          <w:color w:val="FFFFFF" w:themeColor="background1"/>
                          <w:spacing w:val="-4"/>
                          <w:sz w:val="22"/>
                          <w:szCs w:val="22"/>
                          <w:rtl/>
                        </w:rPr>
                        <w:t>סטי"ל מסוג סער 6 (ספינת מגן)</w:t>
                      </w:r>
                    </w:p>
                  </w:txbxContent>
                </v:textbox>
              </v:shape>
            </w:pict>
          </mc:Fallback>
        </mc:AlternateContent>
      </w:r>
      <w:r>
        <w:rPr>
          <w:rtl/>
        </w:rPr>
        <w:t xml:space="preserve"> </w:t>
      </w:r>
    </w:p>
    <w:p w:rsidR="005D0F8C" w:rsidP="005D0F8C" w14:paraId="5B8DB107" w14:textId="4E52C038">
      <w:pPr>
        <w:pStyle w:val="7317"/>
        <w:rPr>
          <w:rtl/>
        </w:rPr>
      </w:pPr>
      <w:r w:rsidRPr="00CB1B76">
        <w:rPr>
          <w:noProof/>
          <w:sz w:val="19"/>
          <w:szCs w:val="19"/>
          <w:rtl/>
        </w:rPr>
        <w:drawing>
          <wp:anchor distT="0" distB="0" distL="114300" distR="114300" simplePos="0" relativeHeight="251691008" behindDoc="0" locked="0" layoutInCell="1" allowOverlap="1">
            <wp:simplePos x="0" y="0"/>
            <wp:positionH relativeFrom="column">
              <wp:posOffset>42545</wp:posOffset>
            </wp:positionH>
            <wp:positionV relativeFrom="paragraph">
              <wp:posOffset>330835</wp:posOffset>
            </wp:positionV>
            <wp:extent cx="4483735" cy="2696845"/>
            <wp:effectExtent l="0" t="0" r="0" b="0"/>
            <wp:wrapTopAndBottom/>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3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83735" cy="269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F8C" w:rsidP="005D0F8C" w14:paraId="0DA8F7B9" w14:textId="477525E8">
      <w:pPr>
        <w:pStyle w:val="738"/>
        <w:spacing w:before="360" w:after="0"/>
        <w:rPr>
          <w:b/>
          <w:bCs/>
          <w:noProof/>
          <w:color w:val="FFFFFF" w:themeColor="background1"/>
          <w:sz w:val="22"/>
          <w:szCs w:val="22"/>
        </w:rPr>
      </w:pPr>
      <w:r>
        <w:rPr>
          <w:rFonts w:hint="cs"/>
          <w:rtl/>
        </w:rPr>
        <w:t>המקור: זרוע הים, צה״ל</w:t>
      </w:r>
      <w:r w:rsidRPr="00BE0973">
        <w:rPr>
          <w:rFonts w:hint="cs"/>
          <w:rtl/>
        </w:rPr>
        <w:t>.</w:t>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C33D7DD" w14:textId="77777777">
      <w:pPr>
        <w:pStyle w:val="73"/>
        <w:rPr>
          <w:rtl/>
        </w:rPr>
      </w:pPr>
      <w:r w:rsidRPr="00EF3061">
        <w:rPr>
          <w:rFonts w:hint="cs"/>
          <w:rtl/>
        </w:rPr>
        <w:t>סיכום</w:t>
      </w:r>
    </w:p>
    <w:p w:rsidR="00B83D3A" w:rsidRPr="009C07C3" w:rsidP="00E951C8" w14:paraId="22C5728A" w14:textId="165E6113">
      <w:pPr>
        <w:widowControl w:val="0"/>
        <w:spacing w:before="240" w:line="276" w:lineRule="auto"/>
        <w:ind w:left="-1"/>
        <w:rPr>
          <w:rtl/>
        </w:rPr>
      </w:pPr>
      <w:r w:rsidRPr="007C6510">
        <w:rPr>
          <w:rFonts w:ascii="Tahoma" w:hAnsi="Tahoma" w:cs="Tahoma"/>
          <w:sz w:val="18"/>
          <w:szCs w:val="18"/>
          <w:rtl/>
        </w:rPr>
        <w:t xml:space="preserve">בשנים האחרונות חל שינוי ניכר באיומים שבתווך הימי: הוקמו מתקנים אסטרטגיים חיוניים לחיפוש ולהפקה של גז, שהם מקורות </w:t>
      </w:r>
      <w:r w:rsidRPr="007C6510">
        <w:rPr>
          <w:rFonts w:ascii="Tahoma" w:hAnsi="Tahoma" w:cs="Tahoma"/>
          <w:sz w:val="18"/>
          <w:szCs w:val="18"/>
          <w:rtl/>
        </w:rPr>
        <w:t>אנרגייה</w:t>
      </w:r>
      <w:r w:rsidRPr="007C6510">
        <w:rPr>
          <w:rFonts w:ascii="Tahoma" w:hAnsi="Tahoma" w:cs="Tahoma"/>
          <w:sz w:val="18"/>
          <w:szCs w:val="18"/>
          <w:rtl/>
        </w:rPr>
        <w:t xml:space="preserve"> מרכזיים עבור מדינת ישראל, </w:t>
      </w:r>
      <w:r w:rsidRPr="007C6510">
        <w:rPr>
          <w:rFonts w:ascii="Tahoma" w:hAnsi="Tahoma" w:cs="Tahoma" w:hint="cs"/>
          <w:sz w:val="18"/>
          <w:szCs w:val="18"/>
          <w:rtl/>
        </w:rPr>
        <w:t>ומאוימים על ידי גורמים שונים</w:t>
      </w:r>
      <w:r w:rsidRPr="007C6510">
        <w:rPr>
          <w:rFonts w:ascii="Tahoma" w:hAnsi="Tahoma" w:cs="Tahoma"/>
          <w:sz w:val="18"/>
          <w:szCs w:val="18"/>
          <w:rtl/>
        </w:rPr>
        <w:t>. נוכח התפתחות האיומים, מומלץ כי הרמטכ"ל ינחה לבחון את הצורך המבצעי של סד"כ הסטי"לים בזרוע הים ולגבש בהתאם לתוצאות הבחינה תוכנית בניין כוח, וכן מומלץ כי התוכנית תיושם ותתוקף באופן עיתי בהתאם לתרחישי הייחוס המתעדכנים</w:t>
      </w:r>
      <w:r w:rsidRPr="006615C6" w:rsidR="004E71DD">
        <w:rPr>
          <w:rFonts w:ascii="Tahoma" w:hAnsi="Tahoma" w:cs="Tahoma" w:hint="cs"/>
          <w:sz w:val="18"/>
          <w:szCs w:val="18"/>
          <w:rtl/>
        </w:rPr>
        <w:t xml:space="preserve">. </w:t>
      </w:r>
    </w:p>
    <w:sectPr w:rsidSect="00FA5FAA">
      <w:headerReference w:type="default" r:id="rId28"/>
      <w:pgSz w:w="11906" w:h="16838" w:code="9"/>
      <w:pgMar w:top="3062" w:right="2268" w:bottom="2552" w:left="2268" w:header="1134" w:footer="1361" w:gutter="0"/>
      <w:pgNumType w:start="9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F1561" w14:paraId="31B2700F" w14:textId="77777777">
      <w:pPr>
        <w:spacing w:line="240" w:lineRule="auto"/>
      </w:pPr>
      <w:r>
        <w:separator/>
      </w:r>
    </w:p>
    <w:p w:rsidR="00CF1561" w14:paraId="2581C877" w14:textId="77777777"/>
    <w:p w:rsidR="00CF1561" w14:paraId="7EF44EF9" w14:textId="77777777"/>
    <w:p w:rsidR="00CF1561" w14:paraId="7D86AD2D" w14:textId="77777777"/>
  </w:endnote>
  <w:endnote w:type="continuationSeparator" w:id="1">
    <w:p w:rsidR="00CF1561" w14:paraId="6CA2E8DE" w14:textId="77777777">
      <w:pPr>
        <w:spacing w:line="240" w:lineRule="auto"/>
      </w:pPr>
      <w:r>
        <w:continuationSeparator/>
      </w:r>
    </w:p>
    <w:p w:rsidR="00CF1561" w14:paraId="40CC7A32" w14:textId="77777777"/>
    <w:p w:rsidR="00CF1561" w14:paraId="7F789937" w14:textId="77777777"/>
    <w:p w:rsidR="00CF1561" w14:paraId="509AD7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1C8" w:rsidP="00E951C8" w14:paraId="1B6ECD06"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366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562902" w:rsidRPr="00E951C8" w:rsidP="00E951C8" w14:paraId="7AAFF2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3A5" w14:paraId="38FE46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1561" w:rsidP="00E7235E" w14:paraId="5AF1F2C4" w14:textId="77777777">
      <w:pPr>
        <w:spacing w:line="240" w:lineRule="auto"/>
      </w:pPr>
      <w:r>
        <w:separator/>
      </w:r>
    </w:p>
  </w:footnote>
  <w:footnote w:type="continuationSeparator" w:id="1">
    <w:p w:rsidR="00CF1561" w:rsidP="00C23CC9" w14:paraId="5456A4D7" w14:textId="77777777">
      <w:pPr>
        <w:spacing w:line="240" w:lineRule="auto"/>
      </w:pPr>
      <w:r>
        <w:continuationSeparator/>
      </w:r>
    </w:p>
    <w:p w:rsidR="00CF1561" w14:paraId="1AFE9F34" w14:textId="77777777"/>
    <w:p w:rsidR="00CF1561" w14:paraId="352E523A" w14:textId="77777777"/>
    <w:p w:rsidR="00CF1561" w14:paraId="4D1547B9" w14:textId="77777777"/>
  </w:footnote>
  <w:footnote w:id="2">
    <w:p w:rsidR="00B83D3A" w:rsidRPr="00B83D3A" w:rsidP="00B83D3A" w14:paraId="29E6E021" w14:textId="77777777">
      <w:pPr>
        <w:pStyle w:val="733"/>
        <w:rPr>
          <w:rtl/>
        </w:rPr>
      </w:pPr>
      <w:r w:rsidRPr="00B83D3A">
        <w:rPr>
          <w:rStyle w:val="FootnoteReference0"/>
          <w:vertAlign w:val="baseline"/>
        </w:rPr>
        <w:footnoteRef/>
      </w:r>
      <w:r w:rsidRPr="00B83D3A">
        <w:rPr>
          <w:rtl/>
        </w:rPr>
        <w:t xml:space="preserve"> </w:t>
      </w:r>
      <w:r w:rsidRPr="00B83D3A">
        <w:rPr>
          <w:rtl/>
        </w:rPr>
        <w:tab/>
        <w:t>שטח המגיע ע</w:t>
      </w:r>
      <w:r w:rsidRPr="00B83D3A">
        <w:rPr>
          <w:rFonts w:hint="cs"/>
          <w:rtl/>
        </w:rPr>
        <w:t>ד</w:t>
      </w:r>
      <w:r w:rsidRPr="00B83D3A">
        <w:rPr>
          <w:rtl/>
        </w:rPr>
        <w:t xml:space="preserve"> לכ-200 מייל ימי מחופיה של מדינה חופית, ושבו יש לאותה מדינה זכויות ריבוניות, בין היתר להפקת אנרגייה ולהקמת מתקנים.</w:t>
      </w:r>
    </w:p>
  </w:footnote>
  <w:footnote w:id="3">
    <w:p w:rsidR="00B83D3A" w:rsidRPr="00B83D3A" w:rsidP="00B83D3A" w14:paraId="3F0D2EAC" w14:textId="6D3018F9">
      <w:pPr>
        <w:pStyle w:val="733"/>
      </w:pPr>
      <w:r w:rsidRPr="00B83D3A">
        <w:rPr>
          <w:rStyle w:val="FootnoteReference0"/>
          <w:vertAlign w:val="baseline"/>
        </w:rPr>
        <w:footnoteRef/>
      </w:r>
      <w:r w:rsidRPr="00B83D3A">
        <w:rPr>
          <w:rtl/>
        </w:rPr>
        <w:t xml:space="preserve"> </w:t>
      </w:r>
      <w:r w:rsidRPr="00B83D3A">
        <w:rPr>
          <w:rtl/>
        </w:rPr>
        <w:tab/>
        <w:t xml:space="preserve">ב-13.11.13, בעקבות גילוי שדות הגז החליטה ועדת השרים לענייני ביטחון לאומי (הקבינט המדיני </w:t>
      </w:r>
      <w:r w:rsidRPr="00B83D3A" w:rsidR="00496E03">
        <w:rPr>
          <w:rtl/>
        </w:rPr>
        <w:t xml:space="preserve">- </w:t>
      </w:r>
      <w:r w:rsidRPr="00B83D3A">
        <w:rPr>
          <w:rtl/>
        </w:rPr>
        <w:t>בטחוני) (החלטה ב/53) להטיל על צה"ל לפעול להגנת האינטרסים החיוניים של מדינת ישראל בתחום האנרגייה המצויים באזור הכלכלי הבלעדי.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188EAC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21E1F" w:rsidR="00821E1F">
                            <w:rPr>
                              <w:rFonts w:ascii="Tahoma" w:hAnsi="Tahoma" w:cs="Tahoma"/>
                              <w:b/>
                              <w:bCs/>
                              <w:rtl/>
                            </w:rPr>
                            <w:t>ספינות הטילים בהגנה על המרחב הימי בלחימה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188EAC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821E1F" w:rsidR="00821E1F">
                      <w:rPr>
                        <w:rFonts w:ascii="Tahoma" w:hAnsi="Tahoma" w:cs="Tahoma"/>
                        <w:b/>
                        <w:bCs/>
                        <w:rtl/>
                      </w:rPr>
                      <w:t>ספינות הטילים בהגנה על המרחב הימי בלחימה</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4277F8A8">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2395BCC8">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E951C8" w:rsidP="00E951C8" w14:textId="1494BBAF">
                          <w:pPr>
                            <w:pStyle w:val="Heading1"/>
                            <w:spacing w:line="269" w:lineRule="auto"/>
                            <w:jc w:val="left"/>
                            <w:rPr>
                              <w:rFonts w:ascii="Tahoma" w:hAnsi="Tahoma" w:eastAsiaTheme="minorHAnsi" w:cs="Tahoma"/>
                              <w:bCs w:val="0"/>
                              <w:color w:val="0D0D0D" w:themeColor="text1" w:themeTint="F2"/>
                              <w:sz w:val="16"/>
                              <w:szCs w:val="16"/>
                              <w:u w:val="none"/>
                            </w:rPr>
                          </w:pPr>
                          <w:r w:rsidRPr="00821E1F">
                            <w:rPr>
                              <w:rFonts w:ascii="Tahoma" w:hAnsi="Tahoma" w:eastAsiaTheme="minorHAnsi" w:cs="Tahoma"/>
                              <w:bCs w:val="0"/>
                              <w:color w:val="0D0D0D" w:themeColor="text1" w:themeTint="F2"/>
                              <w:sz w:val="16"/>
                              <w:szCs w:val="16"/>
                              <w:u w:val="none"/>
                              <w:rtl/>
                            </w:rPr>
                            <w:t>ספינות הטילים בהגנה על המרחב הימי בלחימה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E951C8" w:rsidP="00E951C8" w14:paraId="111D0894" w14:textId="1494BBAF">
                    <w:pPr>
                      <w:pStyle w:val="Heading1"/>
                      <w:spacing w:line="269" w:lineRule="auto"/>
                      <w:jc w:val="left"/>
                      <w:rPr>
                        <w:rFonts w:ascii="Tahoma" w:hAnsi="Tahoma" w:eastAsiaTheme="minorHAnsi" w:cs="Tahoma"/>
                        <w:bCs w:val="0"/>
                        <w:color w:val="0D0D0D" w:themeColor="text1" w:themeTint="F2"/>
                        <w:sz w:val="16"/>
                        <w:szCs w:val="16"/>
                        <w:u w:val="none"/>
                      </w:rPr>
                    </w:pPr>
                    <w:r w:rsidRPr="00821E1F">
                      <w:rPr>
                        <w:rFonts w:ascii="Tahoma" w:hAnsi="Tahoma" w:eastAsiaTheme="minorHAnsi" w:cs="Tahoma"/>
                        <w:bCs w:val="0"/>
                        <w:color w:val="0D0D0D" w:themeColor="text1" w:themeTint="F2"/>
                        <w:sz w:val="16"/>
                        <w:szCs w:val="16"/>
                        <w:u w:val="none"/>
                        <w:rtl/>
                      </w:rPr>
                      <w:t>ספינות הטילים בהגנה על המרחב הימי בלחימה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21E1F" w14:textId="3E0160A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9F451A">
                            <w:rPr>
                              <w:rFonts w:ascii="Tahoma" w:hAnsi="Tahoma" w:cs="Tahoma" w:hint="cs"/>
                              <w:sz w:val="24"/>
                              <w:szCs w:val="24"/>
                              <w:rtl/>
                            </w:rPr>
                            <w:t xml:space="preserve"> 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21E1F" w:rsidR="00821E1F">
                            <w:rPr>
                              <w:rFonts w:ascii="Tahoma" w:hAnsi="Tahoma" w:cs="Tahoma"/>
                              <w:b/>
                              <w:bCs/>
                              <w:rtl/>
                            </w:rPr>
                            <w:t>ספינות הטילים בהגנה על המרחב הימי בלחימה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21E1F" w14:paraId="3B4CCAD6" w14:textId="3E0160A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9F451A">
                      <w:rPr>
                        <w:rFonts w:ascii="Tahoma" w:hAnsi="Tahoma" w:cs="Tahoma" w:hint="cs"/>
                        <w:sz w:val="24"/>
                        <w:szCs w:val="24"/>
                        <w:rtl/>
                      </w:rPr>
                      <w:t xml:space="preserve"> 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21E1F" w:rsidR="00821E1F">
                      <w:rPr>
                        <w:rFonts w:ascii="Tahoma" w:hAnsi="Tahoma" w:cs="Tahoma"/>
                        <w:b/>
                        <w:bCs/>
                        <w:rtl/>
                      </w:rPr>
                      <w:t>ספינות הטילים בהגנה על המרחב הימי בלחימה</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F6E6294"/>
    <w:lvl w:ilvl="0">
      <w:start w:val="1"/>
      <w:numFmt w:val="decimal"/>
      <w:lvlText w:val="%1."/>
      <w:lvlJc w:val="left"/>
      <w:pPr>
        <w:tabs>
          <w:tab w:val="num" w:pos="1492"/>
        </w:tabs>
        <w:ind w:left="1492" w:hanging="360"/>
      </w:pPr>
    </w:lvl>
  </w:abstractNum>
  <w:abstractNum w:abstractNumId="1">
    <w:nsid w:val="FFFFFF7D"/>
    <w:multiLevelType w:val="singleLevel"/>
    <w:tmpl w:val="2464525C"/>
    <w:lvl w:ilvl="0">
      <w:start w:val="1"/>
      <w:numFmt w:val="decimal"/>
      <w:lvlText w:val="%1."/>
      <w:lvlJc w:val="left"/>
      <w:pPr>
        <w:tabs>
          <w:tab w:val="num" w:pos="1209"/>
        </w:tabs>
        <w:ind w:left="1209" w:hanging="360"/>
      </w:pPr>
    </w:lvl>
  </w:abstractNum>
  <w:abstractNum w:abstractNumId="2">
    <w:nsid w:val="FFFFFF7F"/>
    <w:multiLevelType w:val="singleLevel"/>
    <w:tmpl w:val="E356FE9A"/>
    <w:lvl w:ilvl="0">
      <w:start w:val="1"/>
      <w:numFmt w:val="decimal"/>
      <w:lvlText w:val="%1."/>
      <w:lvlJc w:val="left"/>
      <w:pPr>
        <w:tabs>
          <w:tab w:val="num" w:pos="643"/>
        </w:tabs>
        <w:ind w:left="643" w:hanging="360"/>
      </w:pPr>
    </w:lvl>
  </w:abstractNum>
  <w:abstractNum w:abstractNumId="3">
    <w:nsid w:val="FFFFFF80"/>
    <w:multiLevelType w:val="singleLevel"/>
    <w:tmpl w:val="F6D25FE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8E879C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314956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E40F0E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6B83C62"/>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1832EF"/>
    <w:multiLevelType w:val="hybridMultilevel"/>
    <w:tmpl w:val="3B105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4B464D"/>
    <w:multiLevelType w:val="hybridMultilevel"/>
    <w:tmpl w:val="1F24F08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2"/>
  </w:num>
  <w:num w:numId="2">
    <w:abstractNumId w:val="14"/>
  </w:num>
  <w:num w:numId="3">
    <w:abstractNumId w:val="17"/>
  </w:num>
  <w:num w:numId="4">
    <w:abstractNumId w:val="29"/>
  </w:num>
  <w:num w:numId="5">
    <w:abstractNumId w:val="9"/>
  </w:num>
  <w:num w:numId="6">
    <w:abstractNumId w:val="18"/>
  </w:num>
  <w:num w:numId="7">
    <w:abstractNumId w:val="24"/>
  </w:num>
  <w:num w:numId="8">
    <w:abstractNumId w:val="12"/>
  </w:num>
  <w:num w:numId="9">
    <w:abstractNumId w:val="11"/>
  </w:num>
  <w:num w:numId="10">
    <w:abstractNumId w:val="8"/>
  </w:num>
  <w:num w:numId="11">
    <w:abstractNumId w:val="19"/>
  </w:num>
  <w:num w:numId="12">
    <w:abstractNumId w:val="23"/>
  </w:num>
  <w:num w:numId="13">
    <w:abstractNumId w:val="26"/>
  </w:num>
  <w:num w:numId="14">
    <w:abstractNumId w:val="20"/>
  </w:num>
  <w:num w:numId="15">
    <w:abstractNumId w:val="27"/>
  </w:num>
  <w:num w:numId="16">
    <w:abstractNumId w:val="13"/>
  </w:num>
  <w:num w:numId="17">
    <w:abstractNumId w:val="28"/>
  </w:num>
  <w:num w:numId="18">
    <w:abstractNumId w:val="25"/>
  </w:num>
  <w:num w:numId="19">
    <w:abstractNumId w:val="16"/>
  </w:num>
  <w:num w:numId="20">
    <w:abstractNumId w:val="15"/>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10"/>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B4"/>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96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2D"/>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CC8"/>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44F"/>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0C"/>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1E3"/>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100"/>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243"/>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6E03"/>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2D1"/>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902"/>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91E"/>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1D45"/>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510"/>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E1F"/>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216"/>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512"/>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773"/>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2F2F"/>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968"/>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3C9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803"/>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07C3"/>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12C"/>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51A"/>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3A"/>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291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23A5"/>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A7E2C"/>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561"/>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B5"/>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86A"/>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51C8"/>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AA"/>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4CA68-2BBC-485C-AA8F-CB03E17A1264}"/>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