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70568DB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209006</wp:posOffset>
                </wp:positionH>
                <wp:positionV relativeFrom="paragraph">
                  <wp:posOffset>1934845</wp:posOffset>
                </wp:positionV>
                <wp:extent cx="2738664" cy="0"/>
                <wp:effectExtent l="12700" t="12700" r="508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3866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16.45pt,152.35pt" to="232.1pt,152.3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10795</wp:posOffset>
                </wp:positionH>
                <wp:positionV relativeFrom="paragraph">
                  <wp:posOffset>345440</wp:posOffset>
                </wp:positionV>
                <wp:extent cx="4457065" cy="4273550"/>
                <wp:effectExtent l="0" t="0" r="63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706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5161B0C">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B4F46">
                              <w:rPr>
                                <w:rFonts w:hint="cs"/>
                                <w:rtl/>
                              </w:rPr>
                              <w:t>אדר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766379">
                              <w:rPr>
                                <w:rFonts w:hint="cs"/>
                                <w:rtl/>
                              </w:rPr>
                              <w:t>פברואר</w:t>
                            </w:r>
                            <w:r>
                              <w:rPr>
                                <w:rFonts w:hint="cs"/>
                                <w:rtl/>
                              </w:rPr>
                              <w:t xml:space="preserve"> </w:t>
                            </w:r>
                            <w:r w:rsidR="0076637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53460443">
                            <w:pPr>
                              <w:pStyle w:val="-2"/>
                              <w:rPr>
                                <w:rtl/>
                              </w:rPr>
                            </w:pPr>
                            <w:r>
                              <w:rPr>
                                <w:rFonts w:hint="cs"/>
                                <w:rtl/>
                              </w:rPr>
                              <w:t>התעשיות הביטחוניות</w:t>
                            </w:r>
                            <w:r w:rsidR="00C30482">
                              <w:rPr>
                                <w:rFonts w:hint="cs"/>
                                <w:rtl/>
                              </w:rPr>
                              <w:t xml:space="preserve"> </w:t>
                            </w:r>
                            <w:r>
                              <w:rPr>
                                <w:rFonts w:hint="cs"/>
                                <w:rtl/>
                              </w:rPr>
                              <w:t>הממשלתיות</w:t>
                            </w:r>
                            <w:r w:rsidR="00C30482">
                              <w:rPr>
                                <w:rFonts w:hint="cs"/>
                                <w:rtl/>
                              </w:rPr>
                              <w:t xml:space="preserve"> </w:t>
                            </w:r>
                          </w:p>
                          <w:p w:rsidR="00C30482" w:rsidRPr="000F5023" w:rsidP="000F5023" w14:textId="4F965ABF">
                            <w:pPr>
                              <w:pStyle w:val="a35"/>
                              <w:bidi/>
                              <w:rPr>
                                <w:rtl/>
                              </w:rPr>
                            </w:pPr>
                            <w:r w:rsidRPr="00766379">
                              <w:rPr>
                                <w:rtl/>
                              </w:rPr>
                              <w:t>ייצוג אוכלוסיות שונות בחברות ממשלתיות-ביטחוניות</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350.95pt;height:336.5pt;margin-top:27.2pt;margin-left:0.85pt;mso-height-percent:0;mso-height-relative:margin;mso-width-percent:0;mso-width-relative:margin;mso-wrap-distance-bottom:3.6pt;mso-wrap-distance-left:9pt;mso-wrap-distance-right:9pt;mso-wrap-distance-top:3.6pt;position:absolute;v-text-anchor:top;z-index:251662336" fillcolor="#00305f" stroked="f" strokeweight="0.75pt">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5161B0C">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B4F46">
                        <w:rPr>
                          <w:rFonts w:hint="cs"/>
                          <w:rtl/>
                        </w:rPr>
                        <w:t>אדר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766379">
                        <w:rPr>
                          <w:rFonts w:hint="cs"/>
                          <w:rtl/>
                        </w:rPr>
                        <w:t>פברואר</w:t>
                      </w:r>
                      <w:r>
                        <w:rPr>
                          <w:rFonts w:hint="cs"/>
                          <w:rtl/>
                        </w:rPr>
                        <w:t xml:space="preserve"> </w:t>
                      </w:r>
                      <w:r w:rsidR="0076637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53460443">
                      <w:pPr>
                        <w:pStyle w:val="-2"/>
                        <w:rPr>
                          <w:rtl/>
                        </w:rPr>
                      </w:pPr>
                      <w:r>
                        <w:rPr>
                          <w:rFonts w:hint="cs"/>
                          <w:rtl/>
                        </w:rPr>
                        <w:t>התעשיות הביטחוניות</w:t>
                      </w:r>
                      <w:r w:rsidR="00C30482">
                        <w:rPr>
                          <w:rFonts w:hint="cs"/>
                          <w:rtl/>
                        </w:rPr>
                        <w:t xml:space="preserve"> </w:t>
                      </w:r>
                      <w:r>
                        <w:rPr>
                          <w:rFonts w:hint="cs"/>
                          <w:rtl/>
                        </w:rPr>
                        <w:t>הממשלתיות</w:t>
                      </w:r>
                      <w:r w:rsidR="00C30482">
                        <w:rPr>
                          <w:rFonts w:hint="cs"/>
                          <w:rtl/>
                        </w:rPr>
                        <w:t xml:space="preserve"> </w:t>
                      </w:r>
                    </w:p>
                    <w:p w:rsidR="00C30482" w:rsidRPr="000F5023" w:rsidP="000F5023" w14:paraId="5BE5E625" w14:textId="4F965ABF">
                      <w:pPr>
                        <w:pStyle w:val="a35"/>
                        <w:bidi/>
                        <w:rPr>
                          <w:rtl/>
                        </w:rPr>
                      </w:pPr>
                      <w:r w:rsidRPr="00766379">
                        <w:rPr>
                          <w:rtl/>
                        </w:rPr>
                        <w:t>ייצוג אוכלוסיות שונות בחברות ממשלתיות-ביטחוניות</w:t>
                      </w:r>
                    </w:p>
                  </w:txbxContent>
                </v:textbox>
                <w10:wrap type="square"/>
              </v:shape>
            </w:pict>
          </mc:Fallback>
        </mc:AlternateContent>
      </w:r>
      <w:r w:rsidR="00517E6B">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3064941</wp:posOffset>
                </wp:positionH>
                <wp:positionV relativeFrom="paragraph">
                  <wp:posOffset>270562</wp:posOffset>
                </wp:positionV>
                <wp:extent cx="0" cy="3842158"/>
                <wp:effectExtent l="25400" t="0" r="25400" b="317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4215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35pt,21.3pt" to="241.35pt,323.8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7C7D40" w14:paraId="4ED3AA37" w14:textId="6106A970">
      <w:pPr>
        <w:pStyle w:val="7329"/>
        <w:bidi/>
        <w:jc w:val="left"/>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9.85pt;margin-top:14pt;margin-left:-51.3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766379" w:rsidR="00766379">
        <w:rPr>
          <w:noProof/>
          <w:rtl/>
        </w:rPr>
        <w:t>ייצוג אוכלוסיות שונות בחברות ממשלתיות-ביטחוניות</w:t>
      </w:r>
    </w:p>
    <w:p w:rsidR="007F4A20" w:rsidRPr="00F862EF" w:rsidP="00F862EF" w14:paraId="0B41EED6" w14:textId="05C429BB">
      <w:pPr>
        <w:pStyle w:val="7392"/>
        <w:rPr>
          <w:rtl/>
        </w:rPr>
      </w:pPr>
      <w:r w:rsidRPr="00F862EF">
        <w:rPr>
          <w:rtl/>
        </w:rPr>
        <w:t>גיוון עובדים בארגון מבטא תפיסה של העסקת עובדים מאוכלוסיות שונות. להעסקה מגוונת יש יתרונות רבים, כגון שיפור היצירתיות והחדשנות. באוכלוסיות המגוונות נכללים בני שני המינים; אנשים עם מוגבלות; בני האוכלוסייה הערבית, הצ'רקסית ובני העדה הדרוזית; יוצאי אתיופיה; בני האוכלוסייה החרדית; ועולים חדשים. רפאל מערכות לחימה מתקדמות בע"מ (רפאל), התעשייה האווירית לישראל בע"מ (</w:t>
      </w:r>
      <w:r w:rsidRPr="00F862EF">
        <w:rPr>
          <w:rtl/>
        </w:rPr>
        <w:t>התע"א</w:t>
      </w:r>
      <w:r w:rsidRPr="00F862EF">
        <w:rPr>
          <w:rtl/>
        </w:rPr>
        <w:t xml:space="preserve">) </w:t>
      </w:r>
      <w:r w:rsidRPr="00F862EF">
        <w:rPr>
          <w:rtl/>
        </w:rPr>
        <w:t>ואלתא</w:t>
      </w:r>
      <w:r w:rsidRPr="00F862EF">
        <w:rPr>
          <w:rtl/>
        </w:rPr>
        <w:t xml:space="preserve"> מערכות בע"מ</w:t>
      </w:r>
      <w:r>
        <w:rPr>
          <w:vertAlign w:val="superscript"/>
          <w:rtl/>
        </w:rPr>
        <w:footnoteReference w:id="2"/>
      </w:r>
      <w:r w:rsidRPr="00F862EF">
        <w:rPr>
          <w:rtl/>
        </w:rPr>
        <w:t xml:space="preserve"> (</w:t>
      </w:r>
      <w:r w:rsidRPr="00F862EF">
        <w:rPr>
          <w:rtl/>
        </w:rPr>
        <w:t>אלתא</w:t>
      </w:r>
      <w:r w:rsidRPr="00F862EF">
        <w:rPr>
          <w:rtl/>
        </w:rPr>
        <w:t>) הן חברות ממשלתיות</w:t>
      </w:r>
      <w:r w:rsidRPr="00F862EF">
        <w:rPr>
          <w:rFonts w:hint="cs"/>
          <w:rtl/>
        </w:rPr>
        <w:t>.</w:t>
      </w:r>
      <w:r w:rsidRPr="00F862EF">
        <w:rPr>
          <w:rtl/>
        </w:rPr>
        <w:t xml:space="preserve"> </w:t>
      </w:r>
      <w:r w:rsidRPr="00F862EF">
        <w:rPr>
          <w:rFonts w:hint="cs"/>
          <w:rtl/>
        </w:rPr>
        <w:t xml:space="preserve">בחוק החברות הממשלתיות, התשל"ה-1975 (חוק החברות הממשלתיות) נקבע כי ככלל </w:t>
      </w:r>
      <w:r w:rsidRPr="00F862EF">
        <w:rPr>
          <w:rtl/>
        </w:rPr>
        <w:t xml:space="preserve">עליהן לפעול לפי השיקולים העסקיים שעל פיהם נוהגות לפעול חברות לא-ממשלתיות. אוכלוסיות הגיוון בקרב העובדים </w:t>
      </w:r>
      <w:r w:rsidRPr="00F862EF">
        <w:rPr>
          <w:rtl/>
        </w:rPr>
        <w:t>בתע"א</w:t>
      </w:r>
      <w:r w:rsidRPr="00F862EF">
        <w:rPr>
          <w:rtl/>
        </w:rPr>
        <w:t xml:space="preserve"> וברפאל מורכבות מיוצאי אתיופיה, בני העדה הדרוזית, אנשים עם מוגבלות, בני האוכלוסייה החרדית ונשים בתפקידי ניהול בכיר. בכל הנוגע לייצוג הולם חלים על החברות הממשלתיות ההוראות של חוק החברות הממשלתיות; חוק שיווי זכויות </w:t>
      </w:r>
      <w:r w:rsidRPr="00F862EF">
        <w:rPr>
          <w:rtl/>
        </w:rPr>
        <w:t>האשה</w:t>
      </w:r>
      <w:r w:rsidRPr="00F862EF">
        <w:rPr>
          <w:rtl/>
        </w:rPr>
        <w:t>, התשי"א-1951 (חוק שיווי זכויות האישה); חוק שוויון ההזדמנויות בעבודה, התשמ"ח-1988; חוק שוויון זכויות לאנשים עם מוגבלות, התשנ"ח-1998; צו הרחבה לעידוד והגברת התעסוקה של אנשים עם מוגבלות לפי חוק הסכמים קיבוציים, התשי"ז-1957 (צו ההרחבה) שהוציא שר הכלכלה בשנת 2014; והנחיות של רשות החברות הממשלתיות (רשות החברות) שפורטו בחוזרים שונים</w:t>
      </w:r>
      <w:r w:rsidRPr="00F862EF" w:rsidR="0036097F">
        <w:rPr>
          <w:rFonts w:hint="cs"/>
          <w:rtl/>
        </w:rPr>
        <w:t>.</w:t>
      </w:r>
      <w:r w:rsidRPr="00F862EF"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3344455</wp:posOffset>
            </wp:positionH>
            <wp:positionV relativeFrom="paragraph">
              <wp:posOffset>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5"/>
        <w:gridCol w:w="240"/>
        <w:gridCol w:w="1531"/>
        <w:gridCol w:w="236"/>
        <w:gridCol w:w="1871"/>
        <w:gridCol w:w="236"/>
        <w:gridCol w:w="1585"/>
      </w:tblGrid>
      <w:tr w14:paraId="58B4726B" w14:textId="77777777" w:rsidTr="00EC3BBF">
        <w:tblPrEx>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07" w:type="pct"/>
            <w:tcBorders>
              <w:bottom w:val="single" w:sz="12" w:space="0" w:color="auto"/>
            </w:tcBorders>
            <w:vAlign w:val="bottom"/>
          </w:tcPr>
          <w:p w:rsidR="00F862EF" w:rsidRPr="004562F8" w:rsidP="00A77995" w14:paraId="23EB689E" w14:textId="5769D6B0">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 xml:space="preserve">615 </w:t>
            </w:r>
            <w:r>
              <w:rPr>
                <w:rFonts w:ascii="Tahoma" w:hAnsi="Tahoma" w:eastAsiaTheme="minorEastAsia" w:cs="Tahoma" w:hint="cs"/>
                <w:b/>
                <w:bCs/>
                <w:color w:val="0D0D0D" w:themeColor="text1" w:themeTint="F2"/>
                <w:spacing w:val="-10"/>
                <w:sz w:val="26"/>
                <w:szCs w:val="26"/>
                <w:rtl/>
              </w:rPr>
              <w:t>עובדים</w:t>
            </w:r>
          </w:p>
        </w:tc>
        <w:tc>
          <w:tcPr>
            <w:tcW w:w="160" w:type="pct"/>
            <w:vAlign w:val="bottom"/>
          </w:tcPr>
          <w:p w:rsidR="00F862EF" w:rsidRPr="00A77995" w:rsidP="00A77995" w14:paraId="19192EA5"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019" w:type="pct"/>
            <w:tcBorders>
              <w:bottom w:val="single" w:sz="12" w:space="0" w:color="auto"/>
            </w:tcBorders>
            <w:vAlign w:val="bottom"/>
          </w:tcPr>
          <w:p w:rsidR="00F862EF" w:rsidRPr="005C7ABF" w:rsidP="00A77995" w14:paraId="761F4116" w14:textId="1DD2CA73">
            <w:pPr>
              <w:pStyle w:val="2021"/>
              <w:spacing w:before="0" w:after="60"/>
              <w:rPr>
                <w:spacing w:val="-10"/>
                <w:rtl/>
              </w:rPr>
            </w:pPr>
            <w:r>
              <w:rPr>
                <w:rFonts w:hint="cs"/>
                <w:spacing w:val="-10"/>
                <w:rtl/>
              </w:rPr>
              <w:t xml:space="preserve">117 </w:t>
            </w:r>
            <w:r>
              <w:rPr>
                <w:rFonts w:hint="cs"/>
                <w:spacing w:val="-10"/>
                <w:sz w:val="26"/>
                <w:szCs w:val="26"/>
                <w:rtl/>
              </w:rPr>
              <w:t>עובדים</w:t>
            </w:r>
          </w:p>
        </w:tc>
        <w:tc>
          <w:tcPr>
            <w:tcW w:w="157" w:type="pct"/>
            <w:vAlign w:val="bottom"/>
          </w:tcPr>
          <w:p w:rsidR="00F862EF" w:rsidRPr="00F862EF" w:rsidP="00A77995" w14:paraId="2810DE55" w14:textId="77777777">
            <w:pPr>
              <w:spacing w:before="120" w:after="60" w:line="240" w:lineRule="auto"/>
              <w:jc w:val="left"/>
              <w:rPr>
                <w:sz w:val="16"/>
                <w:szCs w:val="16"/>
                <w:rtl/>
              </w:rPr>
            </w:pPr>
          </w:p>
        </w:tc>
        <w:tc>
          <w:tcPr>
            <w:tcW w:w="1245" w:type="pct"/>
            <w:tcBorders>
              <w:bottom w:val="single" w:sz="12" w:space="0" w:color="auto"/>
            </w:tcBorders>
            <w:vAlign w:val="bottom"/>
          </w:tcPr>
          <w:p w:rsidR="00F862EF" w:rsidRPr="00F862EF" w:rsidP="00A77995" w14:paraId="2A2E27BD" w14:textId="3A2A6D7A">
            <w:pPr>
              <w:pStyle w:val="2021"/>
              <w:spacing w:before="0" w:after="60"/>
              <w:rPr>
                <w:spacing w:val="-20"/>
                <w:sz w:val="24"/>
                <w:rtl/>
              </w:rPr>
            </w:pPr>
            <w:r w:rsidRPr="00F862EF">
              <w:rPr>
                <w:rFonts w:hint="cs"/>
                <w:spacing w:val="-10"/>
                <w:rtl/>
              </w:rPr>
              <w:t>2.3%, 0.58%</w:t>
            </w:r>
          </w:p>
        </w:tc>
        <w:tc>
          <w:tcPr>
            <w:tcW w:w="157" w:type="pct"/>
            <w:vAlign w:val="bottom"/>
          </w:tcPr>
          <w:p w:rsidR="00F862EF" w:rsidP="00A77995" w14:paraId="47B754BA" w14:textId="77777777">
            <w:pPr>
              <w:pStyle w:val="2021"/>
              <w:spacing w:before="0" w:after="60"/>
              <w:rPr>
                <w:spacing w:val="-10"/>
                <w:rtl/>
              </w:rPr>
            </w:pPr>
          </w:p>
        </w:tc>
        <w:tc>
          <w:tcPr>
            <w:tcW w:w="1055" w:type="pct"/>
            <w:tcBorders>
              <w:bottom w:val="single" w:sz="12" w:space="0" w:color="auto"/>
            </w:tcBorders>
            <w:vAlign w:val="bottom"/>
          </w:tcPr>
          <w:p w:rsidR="00F862EF" w:rsidRPr="00F862EF" w:rsidP="00A77995" w14:paraId="5F3A3FF5" w14:textId="390EE992">
            <w:pPr>
              <w:pStyle w:val="2021"/>
              <w:spacing w:before="0" w:after="60"/>
              <w:rPr>
                <w:spacing w:val="-10"/>
                <w:rtl/>
              </w:rPr>
            </w:pPr>
            <w:r w:rsidRPr="00F862EF">
              <w:rPr>
                <w:rFonts w:hint="cs"/>
                <w:spacing w:val="-10"/>
                <w:rtl/>
              </w:rPr>
              <w:t xml:space="preserve">0.16%, </w:t>
            </w:r>
            <w:r w:rsidR="00BB4F46">
              <w:rPr>
                <w:rFonts w:hint="cs"/>
                <w:spacing w:val="-10"/>
                <w:rtl/>
              </w:rPr>
              <w:t>0.15</w:t>
            </w:r>
            <w:r w:rsidRPr="00F862EF">
              <w:rPr>
                <w:rFonts w:hint="cs"/>
                <w:spacing w:val="-10"/>
                <w:rtl/>
              </w:rPr>
              <w:t>%</w:t>
            </w:r>
          </w:p>
        </w:tc>
      </w:tr>
      <w:tr w14:paraId="6DFAF81C" w14:textId="77777777" w:rsidTr="00EC3BBF">
        <w:tblPrEx>
          <w:tblW w:w="5098" w:type="pct"/>
          <w:tblLook w:val="04A0"/>
        </w:tblPrEx>
        <w:tc>
          <w:tcPr>
            <w:tcW w:w="1207" w:type="pct"/>
            <w:tcBorders>
              <w:top w:val="single" w:sz="12" w:space="0" w:color="auto"/>
            </w:tcBorders>
          </w:tcPr>
          <w:p w:rsidR="00F862EF" w:rsidRPr="00E52143" w:rsidP="00F862EF" w14:paraId="1D96599A" w14:textId="5750B95B">
            <w:pPr>
              <w:pStyle w:val="732021"/>
              <w:spacing w:before="0"/>
              <w:rPr>
                <w:rtl/>
              </w:rPr>
            </w:pPr>
            <w:r w:rsidRPr="008173EA">
              <w:rPr>
                <w:rtl/>
              </w:rPr>
              <w:t xml:space="preserve">מאוכלוסיות הגיוון הועסקו </w:t>
            </w:r>
            <w:r w:rsidRPr="008173EA">
              <w:rPr>
                <w:rtl/>
              </w:rPr>
              <w:t>בתע"א</w:t>
            </w:r>
            <w:r w:rsidRPr="008173EA">
              <w:rPr>
                <w:rtl/>
              </w:rPr>
              <w:t xml:space="preserve"> בשנת 2021 (4.</w:t>
            </w:r>
            <w:r w:rsidRPr="008173EA">
              <w:rPr>
                <w:rFonts w:hint="cs"/>
                <w:rtl/>
              </w:rPr>
              <w:t>6</w:t>
            </w:r>
            <w:r w:rsidRPr="008173EA">
              <w:rPr>
                <w:rtl/>
              </w:rPr>
              <w:t xml:space="preserve">7% מכלל העובדים </w:t>
            </w:r>
            <w:r w:rsidRPr="008173EA">
              <w:rPr>
                <w:rtl/>
              </w:rPr>
              <w:t>בתע"א</w:t>
            </w:r>
            <w:r w:rsidRPr="008173EA">
              <w:rPr>
                <w:rtl/>
              </w:rPr>
              <w:t>)</w:t>
            </w:r>
          </w:p>
        </w:tc>
        <w:tc>
          <w:tcPr>
            <w:tcW w:w="160" w:type="pct"/>
          </w:tcPr>
          <w:p w:rsidR="00F862EF" w:rsidRPr="00E52143" w:rsidP="00F862EF" w14:paraId="2BF81D8C" w14:textId="77777777">
            <w:pPr>
              <w:pStyle w:val="732021"/>
              <w:spacing w:before="0"/>
              <w:rPr>
                <w:rtl/>
              </w:rPr>
            </w:pPr>
          </w:p>
        </w:tc>
        <w:tc>
          <w:tcPr>
            <w:tcW w:w="1019" w:type="pct"/>
            <w:tcBorders>
              <w:top w:val="single" w:sz="12" w:space="0" w:color="auto"/>
            </w:tcBorders>
          </w:tcPr>
          <w:p w:rsidR="00F862EF" w:rsidRPr="00E52143" w:rsidP="00F862EF" w14:paraId="68924AF7" w14:textId="7EC1807F">
            <w:pPr>
              <w:pStyle w:val="732021"/>
              <w:spacing w:before="0"/>
              <w:rPr>
                <w:rtl/>
              </w:rPr>
            </w:pPr>
            <w:r w:rsidRPr="008173EA">
              <w:rPr>
                <w:rtl/>
              </w:rPr>
              <w:t>מאוכלוסיות הגיוון הועסקו ברפאל בשנת 2021 (1.34% מכלל העובדים ברפאל)</w:t>
            </w:r>
          </w:p>
        </w:tc>
        <w:tc>
          <w:tcPr>
            <w:tcW w:w="157" w:type="pct"/>
          </w:tcPr>
          <w:p w:rsidR="00F862EF" w:rsidRPr="00F862EF" w:rsidP="00F862EF" w14:paraId="4F52CE08" w14:textId="77777777">
            <w:pPr>
              <w:pStyle w:val="732021"/>
              <w:spacing w:before="0"/>
              <w:rPr>
                <w:sz w:val="16"/>
                <w:szCs w:val="16"/>
                <w:rtl/>
              </w:rPr>
            </w:pPr>
          </w:p>
        </w:tc>
        <w:tc>
          <w:tcPr>
            <w:tcW w:w="1245" w:type="pct"/>
            <w:tcBorders>
              <w:top w:val="single" w:sz="12" w:space="0" w:color="auto"/>
            </w:tcBorders>
          </w:tcPr>
          <w:p w:rsidR="00F862EF" w:rsidRPr="00E52143" w:rsidP="00F862EF" w14:paraId="203F9568" w14:textId="7E32BEEB">
            <w:pPr>
              <w:pStyle w:val="732021"/>
              <w:spacing w:before="0"/>
              <w:rPr>
                <w:rtl/>
              </w:rPr>
            </w:pPr>
            <w:r w:rsidRPr="008173EA">
              <w:rPr>
                <w:rFonts w:hint="cs"/>
                <w:rtl/>
              </w:rPr>
              <w:t xml:space="preserve">שיעורי העסקת יוצאי אתיופיה בשנת 2021 </w:t>
            </w:r>
            <w:r w:rsidRPr="008173EA">
              <w:rPr>
                <w:rFonts w:hint="cs"/>
                <w:rtl/>
              </w:rPr>
              <w:t>בתע"א</w:t>
            </w:r>
            <w:r w:rsidRPr="008173EA">
              <w:rPr>
                <w:rFonts w:hint="cs"/>
                <w:rtl/>
              </w:rPr>
              <w:t xml:space="preserve"> וברפאל, בהתאמה. יעד העסקה בשירות המדינה - 1.7%</w:t>
            </w:r>
          </w:p>
        </w:tc>
        <w:tc>
          <w:tcPr>
            <w:tcW w:w="157" w:type="pct"/>
          </w:tcPr>
          <w:p w:rsidR="00F862EF" w:rsidRPr="00E52143" w:rsidP="00F862EF" w14:paraId="42538096" w14:textId="77777777">
            <w:pPr>
              <w:pStyle w:val="732021"/>
              <w:spacing w:before="0"/>
              <w:rPr>
                <w:rtl/>
              </w:rPr>
            </w:pPr>
          </w:p>
        </w:tc>
        <w:tc>
          <w:tcPr>
            <w:tcW w:w="1055" w:type="pct"/>
            <w:tcBorders>
              <w:top w:val="single" w:sz="12" w:space="0" w:color="auto"/>
            </w:tcBorders>
          </w:tcPr>
          <w:p w:rsidR="00F862EF" w:rsidRPr="00E52143" w:rsidP="00F862EF" w14:paraId="1878D11D" w14:textId="7BD3394D">
            <w:pPr>
              <w:pStyle w:val="732021"/>
              <w:spacing w:before="0"/>
              <w:rPr>
                <w:rtl/>
              </w:rPr>
            </w:pPr>
            <w:r w:rsidRPr="008173EA">
              <w:rPr>
                <w:rFonts w:hint="cs"/>
                <w:rtl/>
              </w:rPr>
              <w:t xml:space="preserve">שיעורי העסקת בני העדה הדרוזית בשנת 2021 </w:t>
            </w:r>
            <w:r w:rsidRPr="008173EA">
              <w:rPr>
                <w:rFonts w:hint="cs"/>
                <w:rtl/>
              </w:rPr>
              <w:t>בתע"א</w:t>
            </w:r>
            <w:r w:rsidRPr="008173EA">
              <w:rPr>
                <w:rFonts w:hint="cs"/>
                <w:rtl/>
              </w:rPr>
              <w:t xml:space="preserve"> וברפאל, בהתאמה. שיעורם באוכלוסייה - 1.6%</w:t>
            </w:r>
          </w:p>
        </w:tc>
      </w:tr>
      <w:tr w14:paraId="1BD5A20C" w14:textId="77777777" w:rsidTr="00EC3BBF">
        <w:tblPrEx>
          <w:tblW w:w="5098" w:type="pct"/>
          <w:tblLook w:val="04A0"/>
        </w:tblPrEx>
        <w:tc>
          <w:tcPr>
            <w:tcW w:w="1207" w:type="pct"/>
            <w:tcBorders>
              <w:bottom w:val="single" w:sz="12" w:space="0" w:color="auto"/>
            </w:tcBorders>
            <w:vAlign w:val="bottom"/>
          </w:tcPr>
          <w:p w:rsidR="00F862EF" w:rsidRPr="00411396" w:rsidP="00A77995" w14:paraId="500D3B50" w14:textId="25340BC6">
            <w:pPr>
              <w:spacing w:before="240" w:after="60" w:line="240" w:lineRule="auto"/>
              <w:jc w:val="left"/>
              <w:rPr>
                <w:rFonts w:ascii="Tahoma" w:hAnsi="Tahoma" w:eastAsiaTheme="minorEastAsia" w:cs="Tahoma"/>
                <w:b/>
                <w:bCs/>
                <w:color w:val="0D0D0D" w:themeColor="text1" w:themeTint="F2"/>
                <w:spacing w:val="-10"/>
                <w:sz w:val="36"/>
                <w:szCs w:val="36"/>
                <w:rtl/>
              </w:rPr>
            </w:pPr>
            <w:r w:rsidRPr="008173EA">
              <w:rPr>
                <w:rFonts w:ascii="Tahoma" w:hAnsi="Tahoma" w:eastAsiaTheme="minorEastAsia" w:cs="Tahoma" w:hint="cs"/>
                <w:b/>
                <w:bCs/>
                <w:color w:val="0D0D0D" w:themeColor="text1" w:themeTint="F2"/>
                <w:spacing w:val="-10"/>
                <w:sz w:val="36"/>
                <w:szCs w:val="36"/>
                <w:rtl/>
              </w:rPr>
              <w:t xml:space="preserve">2.3%, </w:t>
            </w:r>
            <w:r w:rsidR="00BB4F46">
              <w:rPr>
                <w:rFonts w:ascii="Tahoma" w:hAnsi="Tahoma" w:eastAsiaTheme="minorEastAsia" w:cs="Tahoma" w:hint="cs"/>
                <w:b/>
                <w:bCs/>
                <w:color w:val="0D0D0D" w:themeColor="text1" w:themeTint="F2"/>
                <w:spacing w:val="-10"/>
                <w:sz w:val="36"/>
                <w:szCs w:val="36"/>
                <w:rtl/>
              </w:rPr>
              <w:t>0.5</w:t>
            </w:r>
            <w:r w:rsidRPr="008173EA">
              <w:rPr>
                <w:rFonts w:ascii="Tahoma" w:hAnsi="Tahoma" w:eastAsiaTheme="minorEastAsia" w:cs="Tahoma" w:hint="cs"/>
                <w:b/>
                <w:bCs/>
                <w:color w:val="0D0D0D" w:themeColor="text1" w:themeTint="F2"/>
                <w:spacing w:val="-10"/>
                <w:sz w:val="36"/>
                <w:szCs w:val="36"/>
                <w:rtl/>
              </w:rPr>
              <w:t>8%</w:t>
            </w:r>
          </w:p>
        </w:tc>
        <w:tc>
          <w:tcPr>
            <w:tcW w:w="160" w:type="pct"/>
            <w:vAlign w:val="bottom"/>
          </w:tcPr>
          <w:p w:rsidR="00F862EF" w:rsidRPr="00E52143" w:rsidP="00A77995" w14:paraId="26A950B1" w14:textId="77777777">
            <w:pPr>
              <w:spacing w:before="240" w:after="60"/>
              <w:jc w:val="left"/>
              <w:rPr>
                <w:rFonts w:ascii="Tahoma" w:hAnsi="Tahoma" w:eastAsiaTheme="minorEastAsia" w:cs="Tahoma"/>
                <w:b/>
                <w:bCs/>
                <w:color w:val="0D0D0D" w:themeColor="text1" w:themeTint="F2"/>
                <w:spacing w:val="-10"/>
                <w:sz w:val="36"/>
                <w:szCs w:val="36"/>
                <w:rtl/>
              </w:rPr>
            </w:pPr>
          </w:p>
        </w:tc>
        <w:tc>
          <w:tcPr>
            <w:tcW w:w="1019" w:type="pct"/>
            <w:tcBorders>
              <w:bottom w:val="single" w:sz="12" w:space="0" w:color="auto"/>
            </w:tcBorders>
            <w:vAlign w:val="bottom"/>
          </w:tcPr>
          <w:p w:rsidR="00F862EF" w:rsidRPr="00F862EF" w:rsidP="00A77995" w14:paraId="48896DF7" w14:textId="74E9EF31">
            <w:pPr>
              <w:pStyle w:val="2021"/>
              <w:spacing w:before="240" w:after="60"/>
              <w:rPr>
                <w:spacing w:val="-10"/>
                <w:rtl/>
              </w:rPr>
            </w:pPr>
            <w:r w:rsidRPr="00F862EF">
              <w:rPr>
                <w:rFonts w:hint="cs"/>
                <w:spacing w:val="-10"/>
                <w:rtl/>
              </w:rPr>
              <w:t xml:space="preserve">2.6%, </w:t>
            </w:r>
            <w:r w:rsidR="00BB4F46">
              <w:rPr>
                <w:rFonts w:hint="cs"/>
                <w:spacing w:val="-10"/>
                <w:rtl/>
              </w:rPr>
              <w:t>0.9</w:t>
            </w:r>
            <w:r w:rsidRPr="00F862EF">
              <w:rPr>
                <w:rFonts w:hint="cs"/>
                <w:spacing w:val="-10"/>
                <w:rtl/>
              </w:rPr>
              <w:t>%</w:t>
            </w:r>
          </w:p>
        </w:tc>
        <w:tc>
          <w:tcPr>
            <w:tcW w:w="157" w:type="pct"/>
            <w:vAlign w:val="bottom"/>
          </w:tcPr>
          <w:p w:rsidR="00F862EF" w:rsidRPr="00F862EF" w:rsidP="00A77995" w14:paraId="5B4C8A80" w14:textId="77777777">
            <w:pPr>
              <w:spacing w:before="240" w:after="60" w:line="240" w:lineRule="auto"/>
              <w:jc w:val="left"/>
              <w:rPr>
                <w:sz w:val="16"/>
                <w:szCs w:val="16"/>
                <w:rtl/>
              </w:rPr>
            </w:pPr>
          </w:p>
        </w:tc>
        <w:tc>
          <w:tcPr>
            <w:tcW w:w="1245" w:type="pct"/>
            <w:tcBorders>
              <w:bottom w:val="single" w:sz="12" w:space="0" w:color="auto"/>
            </w:tcBorders>
            <w:vAlign w:val="bottom"/>
          </w:tcPr>
          <w:p w:rsidR="00F862EF" w:rsidRPr="0062456C" w:rsidP="00A77995" w14:paraId="226A2E50" w14:textId="1C88CFCD">
            <w:pPr>
              <w:spacing w:before="240"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15.3%, </w:t>
            </w:r>
            <w:r w:rsidR="00BB4F46">
              <w:rPr>
                <w:rFonts w:ascii="Tahoma" w:hAnsi="Tahoma" w:eastAsiaTheme="minorEastAsia" w:cs="Tahoma" w:hint="cs"/>
                <w:b/>
                <w:bCs/>
                <w:color w:val="0D0D0D" w:themeColor="text1" w:themeTint="F2"/>
                <w:spacing w:val="-10"/>
                <w:sz w:val="36"/>
                <w:szCs w:val="36"/>
                <w:rtl/>
              </w:rPr>
              <w:t>22</w:t>
            </w:r>
            <w:r>
              <w:rPr>
                <w:rFonts w:ascii="Tahoma" w:hAnsi="Tahoma" w:eastAsiaTheme="minorEastAsia" w:cs="Tahoma" w:hint="cs"/>
                <w:b/>
                <w:bCs/>
                <w:color w:val="0D0D0D" w:themeColor="text1" w:themeTint="F2"/>
                <w:spacing w:val="-10"/>
                <w:sz w:val="36"/>
                <w:szCs w:val="36"/>
                <w:rtl/>
              </w:rPr>
              <w:t>.6%</w:t>
            </w:r>
          </w:p>
        </w:tc>
        <w:tc>
          <w:tcPr>
            <w:tcW w:w="157" w:type="pct"/>
            <w:vAlign w:val="bottom"/>
          </w:tcPr>
          <w:p w:rsidR="00F862EF" w:rsidP="00A77995" w14:paraId="5E7F766C" w14:textId="77777777">
            <w:pPr>
              <w:spacing w:before="240" w:after="60" w:line="240" w:lineRule="auto"/>
              <w:jc w:val="left"/>
              <w:rPr>
                <w:rFonts w:ascii="Tahoma" w:hAnsi="Tahoma" w:eastAsiaTheme="minorEastAsia" w:cs="Tahoma"/>
                <w:b/>
                <w:bCs/>
                <w:color w:val="0D0D0D" w:themeColor="text1" w:themeTint="F2"/>
                <w:spacing w:val="-10"/>
                <w:sz w:val="36"/>
                <w:szCs w:val="36"/>
                <w:rtl/>
              </w:rPr>
            </w:pPr>
          </w:p>
        </w:tc>
        <w:tc>
          <w:tcPr>
            <w:tcW w:w="1055" w:type="pct"/>
            <w:tcBorders>
              <w:bottom w:val="single" w:sz="12" w:space="0" w:color="auto"/>
            </w:tcBorders>
            <w:vAlign w:val="bottom"/>
          </w:tcPr>
          <w:p w:rsidR="00F862EF" w:rsidP="00A77995" w14:paraId="5AEEF263" w14:textId="4AD94FF1">
            <w:pPr>
              <w:spacing w:before="240"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0</w:t>
            </w:r>
          </w:p>
        </w:tc>
      </w:tr>
      <w:tr w14:paraId="54154FA5" w14:textId="77777777" w:rsidTr="00EC3BBF">
        <w:tblPrEx>
          <w:tblW w:w="5098" w:type="pct"/>
          <w:tblLook w:val="04A0"/>
        </w:tblPrEx>
        <w:tc>
          <w:tcPr>
            <w:tcW w:w="1207" w:type="pct"/>
            <w:tcBorders>
              <w:top w:val="single" w:sz="12" w:space="0" w:color="auto"/>
            </w:tcBorders>
          </w:tcPr>
          <w:p w:rsidR="00F862EF" w:rsidRPr="008173EA" w:rsidP="00F862EF" w14:paraId="6AA02346" w14:textId="77777777">
            <w:pPr>
              <w:pStyle w:val="732021"/>
              <w:spacing w:before="0"/>
              <w:rPr>
                <w:rtl/>
              </w:rPr>
            </w:pPr>
            <w:r w:rsidRPr="008173EA">
              <w:rPr>
                <w:rFonts w:hint="cs"/>
                <w:rtl/>
              </w:rPr>
              <w:t xml:space="preserve">שיעורי העסקת אנשים עם מוגבלות בשנת 2021 </w:t>
            </w:r>
            <w:r w:rsidRPr="008173EA">
              <w:rPr>
                <w:rFonts w:hint="cs"/>
                <w:rtl/>
              </w:rPr>
              <w:t>בתע"א</w:t>
            </w:r>
            <w:r w:rsidRPr="008173EA">
              <w:rPr>
                <w:rFonts w:hint="cs"/>
                <w:rtl/>
              </w:rPr>
              <w:t xml:space="preserve"> וברפאל, בהתאמה. יעד העסקה נדרש לפי צו הרחבה - 3%</w:t>
            </w:r>
          </w:p>
          <w:p w:rsidR="00F862EF" w:rsidRPr="004562F8" w:rsidP="00F862EF" w14:paraId="6DB67748" w14:textId="138EDC25">
            <w:pPr>
              <w:pStyle w:val="732021"/>
              <w:spacing w:before="0" w:after="0"/>
              <w:rPr>
                <w:rtl/>
              </w:rPr>
            </w:pPr>
          </w:p>
        </w:tc>
        <w:tc>
          <w:tcPr>
            <w:tcW w:w="160" w:type="pct"/>
          </w:tcPr>
          <w:p w:rsidR="00F862EF" w:rsidRPr="008D750B" w:rsidP="00F862EF" w14:paraId="0C0AE598" w14:textId="77777777">
            <w:pPr>
              <w:pStyle w:val="732021"/>
              <w:spacing w:before="0" w:after="0"/>
              <w:rPr>
                <w:rtl/>
              </w:rPr>
            </w:pPr>
          </w:p>
        </w:tc>
        <w:tc>
          <w:tcPr>
            <w:tcW w:w="1019" w:type="pct"/>
            <w:tcBorders>
              <w:top w:val="single" w:sz="12" w:space="0" w:color="auto"/>
            </w:tcBorders>
          </w:tcPr>
          <w:p w:rsidR="00F862EF" w:rsidRPr="004562F8" w:rsidP="00F862EF" w14:paraId="1916A301" w14:textId="36122EDA">
            <w:pPr>
              <w:pStyle w:val="732021"/>
              <w:spacing w:before="0"/>
              <w:rPr>
                <w:rtl/>
              </w:rPr>
            </w:pPr>
            <w:r w:rsidRPr="008173EA">
              <w:rPr>
                <w:rFonts w:hint="cs"/>
                <w:rtl/>
              </w:rPr>
              <w:t xml:space="preserve">שיעורי העסקת בני האוכלוסייה החרדית בשנת 2021 </w:t>
            </w:r>
            <w:r w:rsidRPr="008173EA">
              <w:rPr>
                <w:rFonts w:hint="cs"/>
                <w:rtl/>
              </w:rPr>
              <w:t>בתע"א</w:t>
            </w:r>
            <w:r w:rsidRPr="008173EA">
              <w:rPr>
                <w:rFonts w:hint="cs"/>
                <w:rtl/>
              </w:rPr>
              <w:t xml:space="preserve"> וברפאל, בהתאמה. שיעורם באוכלוסייה בגיל העבודה - 8%</w:t>
            </w:r>
          </w:p>
        </w:tc>
        <w:tc>
          <w:tcPr>
            <w:tcW w:w="157" w:type="pct"/>
          </w:tcPr>
          <w:p w:rsidR="00F862EF" w:rsidRPr="00F862EF" w:rsidP="00F862EF" w14:paraId="14782C57" w14:textId="77777777">
            <w:pPr>
              <w:pStyle w:val="732021"/>
              <w:spacing w:before="0" w:after="0"/>
              <w:rPr>
                <w:sz w:val="16"/>
                <w:szCs w:val="16"/>
                <w:rtl/>
              </w:rPr>
            </w:pPr>
          </w:p>
        </w:tc>
        <w:tc>
          <w:tcPr>
            <w:tcW w:w="1245" w:type="pct"/>
            <w:tcBorders>
              <w:top w:val="single" w:sz="12" w:space="0" w:color="auto"/>
            </w:tcBorders>
          </w:tcPr>
          <w:p w:rsidR="00F862EF" w:rsidP="00F862EF" w14:paraId="1A252233" w14:textId="77777777">
            <w:pPr>
              <w:pStyle w:val="732021"/>
              <w:spacing w:before="0" w:after="0"/>
              <w:rPr>
                <w:rtl/>
              </w:rPr>
            </w:pPr>
            <w:r w:rsidRPr="008173EA">
              <w:rPr>
                <w:rFonts w:hint="cs"/>
                <w:rtl/>
              </w:rPr>
              <w:t xml:space="preserve">שיעור העסקת נשים בשלושת דרגי הניהול הבכיר בשנת 2021 </w:t>
            </w:r>
            <w:r w:rsidRPr="008173EA">
              <w:rPr>
                <w:rFonts w:hint="cs"/>
                <w:rtl/>
              </w:rPr>
              <w:t>בתע"א</w:t>
            </w:r>
            <w:r w:rsidRPr="008173EA">
              <w:rPr>
                <w:rFonts w:hint="cs"/>
                <w:rtl/>
              </w:rPr>
              <w:t xml:space="preserve"> וברפאל, בהתאמה. לדעת רשות החברות יעד ההעסקה הרצוי של נשים בתפקידי ניהול </w:t>
            </w:r>
            <w:r w:rsidRPr="008173EA">
              <w:rPr>
                <w:rtl/>
              </w:rPr>
              <w:t>בכיר הוא 50% מכלל המנהלים</w:t>
            </w:r>
          </w:p>
          <w:p w:rsidR="00F862EF" w:rsidRPr="0062456C" w:rsidP="00F862EF" w14:paraId="6149CA50" w14:textId="157A914E">
            <w:pPr>
              <w:pStyle w:val="732021"/>
              <w:spacing w:before="0" w:after="0"/>
              <w:rPr>
                <w:rtl/>
              </w:rPr>
            </w:pPr>
          </w:p>
        </w:tc>
        <w:tc>
          <w:tcPr>
            <w:tcW w:w="157" w:type="pct"/>
          </w:tcPr>
          <w:p w:rsidR="00F862EF" w:rsidRPr="00C92141" w:rsidP="00F862EF" w14:paraId="66E34E8E" w14:textId="77777777">
            <w:pPr>
              <w:pStyle w:val="732021"/>
              <w:spacing w:before="0" w:after="0"/>
              <w:rPr>
                <w:rtl/>
              </w:rPr>
            </w:pPr>
          </w:p>
        </w:tc>
        <w:tc>
          <w:tcPr>
            <w:tcW w:w="1055" w:type="pct"/>
            <w:tcBorders>
              <w:top w:val="single" w:sz="12" w:space="0" w:color="auto"/>
            </w:tcBorders>
          </w:tcPr>
          <w:p w:rsidR="00F862EF" w:rsidRPr="00C92141" w:rsidP="00F862EF" w14:paraId="39498237" w14:textId="7AA4D6F8">
            <w:pPr>
              <w:pStyle w:val="732021"/>
              <w:spacing w:before="0"/>
              <w:rPr>
                <w:rtl/>
              </w:rPr>
            </w:pPr>
            <w:r w:rsidRPr="008173EA">
              <w:rPr>
                <w:rFonts w:hint="cs"/>
                <w:rtl/>
              </w:rPr>
              <w:t xml:space="preserve">מנהלים בדרגי הניהול הבכיר מקרב יוצאי אתיופיה </w:t>
            </w:r>
            <w:r w:rsidRPr="008173EA">
              <w:rPr>
                <w:rFonts w:hint="cs"/>
                <w:rtl/>
              </w:rPr>
              <w:t>בתע"א</w:t>
            </w:r>
            <w:r w:rsidRPr="008173EA">
              <w:rPr>
                <w:rFonts w:hint="cs"/>
                <w:rtl/>
              </w:rPr>
              <w:t>.</w:t>
            </w:r>
            <w:r>
              <w:rPr>
                <w:rtl/>
              </w:rPr>
              <w:br/>
            </w:r>
            <w:r w:rsidRPr="008173EA">
              <w:rPr>
                <w:rFonts w:hint="cs"/>
                <w:rtl/>
              </w:rPr>
              <w:t>רפאל לא דיווחה לרשות החברות הממשלתיות בעניין זה</w:t>
            </w:r>
          </w:p>
        </w:tc>
      </w:tr>
      <w:tr w14:paraId="350D8EB0" w14:textId="77777777" w:rsidTr="00EC3BBF">
        <w:tblPrEx>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2457" w:type="dxa"/>
        </w:trPr>
        <w:tc>
          <w:tcPr>
            <w:tcW w:w="1207" w:type="pct"/>
            <w:tcBorders>
              <w:top w:val="nil"/>
              <w:left w:val="nil"/>
              <w:bottom w:val="single" w:sz="12" w:space="0" w:color="auto"/>
              <w:right w:val="nil"/>
            </w:tcBorders>
            <w:vAlign w:val="bottom"/>
          </w:tcPr>
          <w:p w:rsidR="00F862EF" w:rsidRPr="00EC3BBF" w:rsidP="00A77995" w14:paraId="5730CAB4" w14:textId="5CF770EE">
            <w:pPr>
              <w:spacing w:before="240" w:after="60" w:line="240" w:lineRule="auto"/>
              <w:jc w:val="left"/>
              <w:rPr>
                <w:rFonts w:ascii="Tahoma" w:hAnsi="Tahoma" w:eastAsiaTheme="minorEastAsia" w:cs="Tahoma"/>
                <w:b/>
                <w:bCs/>
                <w:color w:val="0D0D0D" w:themeColor="text1" w:themeTint="F2"/>
                <w:spacing w:val="-14"/>
                <w:sz w:val="36"/>
                <w:szCs w:val="36"/>
                <w:rtl/>
              </w:rPr>
            </w:pPr>
            <w:r w:rsidRPr="00EC3BBF">
              <w:rPr>
                <w:rFonts w:ascii="Tahoma" w:hAnsi="Tahoma" w:eastAsiaTheme="minorEastAsia" w:cs="Tahoma" w:hint="cs"/>
                <w:b/>
                <w:bCs/>
                <w:color w:val="0D0D0D" w:themeColor="text1" w:themeTint="F2"/>
                <w:spacing w:val="-14"/>
                <w:sz w:val="36"/>
                <w:szCs w:val="36"/>
                <w:rtl/>
              </w:rPr>
              <w:t xml:space="preserve">3,298, 5,650 </w:t>
            </w:r>
            <w:r w:rsidRPr="00EC3BBF">
              <w:rPr>
                <w:rFonts w:ascii="Tahoma" w:hAnsi="Tahoma" w:eastAsiaTheme="minorEastAsia" w:cs="Tahoma" w:hint="cs"/>
                <w:b/>
                <w:bCs/>
                <w:color w:val="0D0D0D" w:themeColor="text1" w:themeTint="F2"/>
                <w:spacing w:val="-14"/>
                <w:sz w:val="26"/>
                <w:szCs w:val="26"/>
                <w:rtl/>
              </w:rPr>
              <w:t>ש״ח</w:t>
            </w:r>
          </w:p>
        </w:tc>
        <w:tc>
          <w:tcPr>
            <w:tcW w:w="160" w:type="pct"/>
            <w:tcBorders>
              <w:top w:val="nil"/>
              <w:left w:val="nil"/>
              <w:bottom w:val="nil"/>
              <w:right w:val="nil"/>
            </w:tcBorders>
            <w:vAlign w:val="bottom"/>
          </w:tcPr>
          <w:p w:rsidR="00F862EF" w:rsidRPr="00E52143" w:rsidP="00A77995" w14:paraId="05DD468B" w14:textId="77777777">
            <w:pPr>
              <w:spacing w:before="240" w:after="60"/>
              <w:jc w:val="left"/>
              <w:rPr>
                <w:rFonts w:ascii="Tahoma" w:hAnsi="Tahoma" w:eastAsiaTheme="minorEastAsia" w:cs="Tahoma"/>
                <w:b/>
                <w:bCs/>
                <w:color w:val="0D0D0D" w:themeColor="text1" w:themeTint="F2"/>
                <w:spacing w:val="-10"/>
                <w:sz w:val="36"/>
                <w:szCs w:val="36"/>
                <w:rtl/>
              </w:rPr>
            </w:pPr>
          </w:p>
        </w:tc>
        <w:tc>
          <w:tcPr>
            <w:tcW w:w="1019" w:type="pct"/>
            <w:tcBorders>
              <w:top w:val="nil"/>
              <w:left w:val="nil"/>
              <w:bottom w:val="single" w:sz="12" w:space="0" w:color="auto"/>
              <w:right w:val="nil"/>
            </w:tcBorders>
            <w:vAlign w:val="bottom"/>
          </w:tcPr>
          <w:p w:rsidR="00F862EF" w:rsidRPr="00F862EF" w:rsidP="00A77995" w14:paraId="14E7EC3C" w14:textId="12D463CE">
            <w:pPr>
              <w:pStyle w:val="2021"/>
              <w:spacing w:before="240" w:after="60"/>
              <w:rPr>
                <w:spacing w:val="-10"/>
                <w:rtl/>
              </w:rPr>
            </w:pPr>
            <w:r>
              <w:rPr>
                <w:rFonts w:hint="cs"/>
                <w:spacing w:val="-10"/>
                <w:rtl/>
              </w:rPr>
              <w:t xml:space="preserve">4,428 </w:t>
            </w:r>
            <w:r w:rsidRPr="0046492D">
              <w:rPr>
                <w:rFonts w:hint="cs"/>
                <w:spacing w:val="-10"/>
                <w:sz w:val="26"/>
                <w:szCs w:val="26"/>
                <w:rtl/>
              </w:rPr>
              <w:t>ש״ח</w:t>
            </w:r>
          </w:p>
        </w:tc>
        <w:tc>
          <w:tcPr>
            <w:tcW w:w="157" w:type="pct"/>
            <w:tcBorders>
              <w:top w:val="nil"/>
              <w:left w:val="nil"/>
              <w:bottom w:val="nil"/>
              <w:right w:val="nil"/>
            </w:tcBorders>
          </w:tcPr>
          <w:p w:rsidR="00F862EF" w:rsidRPr="00F862EF" w:rsidP="0046492D" w14:paraId="205E73F2" w14:textId="77777777">
            <w:pPr>
              <w:spacing w:before="240" w:after="120" w:line="240" w:lineRule="auto"/>
              <w:jc w:val="left"/>
              <w:rPr>
                <w:sz w:val="16"/>
                <w:szCs w:val="16"/>
                <w:rtl/>
              </w:rPr>
            </w:pPr>
          </w:p>
        </w:tc>
      </w:tr>
      <w:tr w14:paraId="5917F18F" w14:textId="77777777" w:rsidTr="00EC3BBF">
        <w:tblPrEx>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2457" w:type="dxa"/>
        </w:trPr>
        <w:tc>
          <w:tcPr>
            <w:tcW w:w="1207" w:type="pct"/>
            <w:tcBorders>
              <w:top w:val="single" w:sz="12" w:space="0" w:color="auto"/>
              <w:left w:val="nil"/>
              <w:bottom w:val="nil"/>
              <w:right w:val="nil"/>
            </w:tcBorders>
          </w:tcPr>
          <w:p w:rsidR="0046492D" w:rsidRPr="004562F8" w:rsidP="00EC3BBF" w14:paraId="656961D4" w14:textId="577725EE">
            <w:pPr>
              <w:pStyle w:val="732021"/>
              <w:spacing w:before="0" w:after="0"/>
              <w:rPr>
                <w:rtl/>
              </w:rPr>
            </w:pPr>
            <w:r w:rsidRPr="008173EA">
              <w:rPr>
                <w:rFonts w:hint="cs"/>
                <w:rtl/>
              </w:rPr>
              <w:t>פערי השכר הממוצע החודשי "ברוטו" בין גברים לנשים ברפאל (מדגם אקראי לא מייצג של שתי קבוצות עובדים)</w:t>
            </w:r>
          </w:p>
        </w:tc>
        <w:tc>
          <w:tcPr>
            <w:tcW w:w="160" w:type="pct"/>
            <w:tcBorders>
              <w:top w:val="nil"/>
              <w:left w:val="nil"/>
              <w:bottom w:val="nil"/>
              <w:right w:val="nil"/>
            </w:tcBorders>
          </w:tcPr>
          <w:p w:rsidR="00F862EF" w:rsidRPr="008D750B" w:rsidP="00C40821" w14:paraId="16DADC4F" w14:textId="77777777">
            <w:pPr>
              <w:pStyle w:val="732021"/>
              <w:spacing w:before="0" w:after="0"/>
              <w:rPr>
                <w:rtl/>
              </w:rPr>
            </w:pPr>
          </w:p>
        </w:tc>
        <w:tc>
          <w:tcPr>
            <w:tcW w:w="1019" w:type="pct"/>
            <w:tcBorders>
              <w:top w:val="single" w:sz="12" w:space="0" w:color="auto"/>
              <w:left w:val="nil"/>
              <w:bottom w:val="nil"/>
              <w:right w:val="nil"/>
            </w:tcBorders>
          </w:tcPr>
          <w:p w:rsidR="00F862EF" w:rsidRPr="004562F8" w:rsidP="00C40821" w14:paraId="65427174" w14:textId="79792E77">
            <w:pPr>
              <w:pStyle w:val="732021"/>
              <w:spacing w:before="0"/>
              <w:rPr>
                <w:rtl/>
              </w:rPr>
            </w:pPr>
            <w:r w:rsidRPr="008173EA">
              <w:rPr>
                <w:rFonts w:hint="cs"/>
                <w:rtl/>
              </w:rPr>
              <w:t xml:space="preserve">פערי </w:t>
            </w:r>
            <w:r w:rsidRPr="008173EA">
              <w:rPr>
                <w:rFonts w:hint="eastAsia"/>
                <w:rtl/>
              </w:rPr>
              <w:t>השכר</w:t>
            </w:r>
            <w:r w:rsidRPr="008173EA">
              <w:rPr>
                <w:rtl/>
              </w:rPr>
              <w:t xml:space="preserve"> </w:t>
            </w:r>
            <w:r w:rsidRPr="008173EA">
              <w:rPr>
                <w:rFonts w:hint="cs"/>
                <w:rtl/>
              </w:rPr>
              <w:t>הממוצע החודשי "</w:t>
            </w:r>
            <w:r w:rsidRPr="008173EA">
              <w:rPr>
                <w:rtl/>
              </w:rPr>
              <w:t>ברוטו</w:t>
            </w:r>
            <w:r w:rsidRPr="008173EA">
              <w:rPr>
                <w:rFonts w:hint="cs"/>
                <w:rtl/>
              </w:rPr>
              <w:t xml:space="preserve">" בין גברים לנשים </w:t>
            </w:r>
            <w:r w:rsidRPr="008173EA">
              <w:rPr>
                <w:rFonts w:hint="cs"/>
                <w:rtl/>
              </w:rPr>
              <w:t>בתע"א</w:t>
            </w:r>
            <w:r w:rsidRPr="008173EA">
              <w:rPr>
                <w:rFonts w:hint="cs"/>
                <w:rtl/>
              </w:rPr>
              <w:t xml:space="preserve"> (מדגם אקראי לא מייצג של קבוצת עובדים אחת)</w:t>
            </w:r>
          </w:p>
        </w:tc>
        <w:tc>
          <w:tcPr>
            <w:tcW w:w="157" w:type="pct"/>
            <w:tcBorders>
              <w:top w:val="nil"/>
              <w:left w:val="nil"/>
              <w:bottom w:val="nil"/>
              <w:right w:val="nil"/>
            </w:tcBorders>
          </w:tcPr>
          <w:p w:rsidR="00F862EF" w:rsidP="00C40821" w14:paraId="4107562B" w14:textId="77777777">
            <w:pPr>
              <w:pStyle w:val="732021"/>
              <w:spacing w:before="0" w:after="0"/>
              <w:rPr>
                <w:rtl/>
              </w:rPr>
            </w:pPr>
          </w:p>
        </w:tc>
      </w:tr>
    </w:tbl>
    <w:p w:rsidR="0046492D" w14:paraId="56AA3DEB" w14:textId="77777777">
      <w:pPr>
        <w:bidi w:val="0"/>
        <w:spacing w:after="200" w:line="276" w:lineRule="auto"/>
        <w:rPr>
          <w:rFonts w:ascii="Tahoma" w:hAnsi="Tahoma" w:cs="Tahoma"/>
          <w:color w:val="0D0D0D" w:themeColor="text1" w:themeTint="F2"/>
          <w:sz w:val="18"/>
          <w:szCs w:val="18"/>
          <w:rtl/>
        </w:rPr>
      </w:pPr>
      <w:r>
        <w:rPr>
          <w:rtl/>
        </w:rPr>
        <w:br w:type="page"/>
      </w:r>
    </w:p>
    <w:p w:rsidR="0046492D" w:rsidRPr="0046492D" w:rsidP="0046492D" w14:paraId="28ED98B8" w14:textId="1C6EEAD7">
      <w:pPr>
        <w:pStyle w:val="73"/>
        <w:rPr>
          <w:rtl/>
        </w:rPr>
      </w:pPr>
      <w:r w:rsidRPr="0046492D">
        <w:rPr>
          <w:rFonts w:hint="cs"/>
          <w:rtl/>
        </w:rPr>
        <w:t xml:space="preserve">פעולות </w:t>
      </w:r>
      <w:r w:rsidR="00B45BCB">
        <w:rPr>
          <w:rFonts w:hint="cs"/>
          <w:rtl/>
        </w:rPr>
        <w:t>ה</w:t>
      </w:r>
      <w:r w:rsidRPr="0046492D">
        <w:rPr>
          <w:rFonts w:hint="cs"/>
          <w:rtl/>
        </w:rPr>
        <w:t>ביקורת</w:t>
      </w:r>
    </w:p>
    <w:p w:rsidR="00420374" w:rsidP="0046492D" w14:paraId="0AF4CED3" w14:textId="3EEBE37E">
      <w:pPr>
        <w:pStyle w:val="7317"/>
        <w:ind w:left="454"/>
        <w:rPr>
          <w:rtl/>
        </w:rPr>
      </w:pPr>
      <w:r w:rsidRPr="001F3363">
        <w:rPr>
          <w:noProof/>
        </w:rPr>
        <w:drawing>
          <wp:anchor distT="0" distB="0" distL="114300" distR="114300" simplePos="0" relativeHeight="251681792" behindDoc="0" locked="0" layoutInCell="1" allowOverlap="1">
            <wp:simplePos x="0" y="0"/>
            <wp:positionH relativeFrom="column">
              <wp:posOffset>4510906</wp:posOffset>
            </wp:positionH>
            <wp:positionV relativeFrom="paragraph">
              <wp:posOffset>50165</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6CA6" w:rsidR="0046492D">
        <w:rPr>
          <w:rtl/>
        </w:rPr>
        <w:t xml:space="preserve">בחודשים אוגוסט 2021 עד יולי 2022 ביצע משרד מבקר המדינה ביקורת בנושא ייצוג אוכלוסיות שונות בקרב העובדים והדירקטוריונים ברפאל, </w:t>
      </w:r>
      <w:r w:rsidRPr="007D6CA6" w:rsidR="0046492D">
        <w:rPr>
          <w:rtl/>
        </w:rPr>
        <w:t>התע"א</w:t>
      </w:r>
      <w:r w:rsidRPr="007D6CA6" w:rsidR="0046492D">
        <w:rPr>
          <w:rtl/>
        </w:rPr>
        <w:t xml:space="preserve"> </w:t>
      </w:r>
      <w:r w:rsidRPr="007D6CA6" w:rsidR="0046492D">
        <w:rPr>
          <w:rtl/>
        </w:rPr>
        <w:t>ואלתא</w:t>
      </w:r>
      <w:r w:rsidRPr="007D6CA6" w:rsidR="0046492D">
        <w:rPr>
          <w:rtl/>
        </w:rPr>
        <w:t xml:space="preserve">. הביקורת עסקה באוכלוסיות האלה: יוצאי אתיופיה; בני האוכלוסייה הערבית, לרבות הצ'רקסית ובני העדה הדרוזית; בני האוכלוסייה החרדית; אנשים עם מוגבלות; ונשים בדרג ניהולי בכיר. הביקורת נעשתה ברפאל, </w:t>
      </w:r>
      <w:r w:rsidRPr="007D6CA6" w:rsidR="0046492D">
        <w:rPr>
          <w:rtl/>
        </w:rPr>
        <w:t>בתע"א</w:t>
      </w:r>
      <w:r w:rsidRPr="007D6CA6" w:rsidR="0046492D">
        <w:rPr>
          <w:rtl/>
        </w:rPr>
        <w:t xml:space="preserve">, </w:t>
      </w:r>
      <w:r w:rsidRPr="007D6CA6" w:rsidR="0046492D">
        <w:rPr>
          <w:rtl/>
        </w:rPr>
        <w:t>באלתא</w:t>
      </w:r>
      <w:r w:rsidRPr="007D6CA6" w:rsidR="0046492D">
        <w:rPr>
          <w:rtl/>
        </w:rPr>
        <w:t xml:space="preserve"> וברשות החברות הממשלתיות. בדיקות השלמה נעשו בנציבות שוויון הזדמנויות בעבודה במשרד</w:t>
      </w:r>
      <w:r w:rsidRPr="007D6CA6" w:rsidR="0046492D">
        <w:rPr>
          <w:rFonts w:hint="cs"/>
          <w:rtl/>
        </w:rPr>
        <w:t xml:space="preserve"> </w:t>
      </w:r>
      <w:r w:rsidRPr="007D6CA6" w:rsidR="0046492D">
        <w:rPr>
          <w:rtl/>
        </w:rPr>
        <w:t>הכלכלה והתעשייה</w:t>
      </w:r>
      <w:r w:rsidRPr="007D6CA6" w:rsidR="0046492D">
        <w:rPr>
          <w:rFonts w:hint="cs"/>
          <w:rtl/>
        </w:rPr>
        <w:t xml:space="preserve"> (נציבות שוויון הזדמנויות בעבודה)</w:t>
      </w:r>
      <w:r w:rsidRPr="007D6CA6" w:rsidR="0046492D">
        <w:rPr>
          <w:rtl/>
        </w:rPr>
        <w:t xml:space="preserve"> </w:t>
      </w:r>
      <w:r w:rsidRPr="007D6CA6" w:rsidR="0046492D">
        <w:rPr>
          <w:rFonts w:hint="cs"/>
          <w:rtl/>
        </w:rPr>
        <w:t>ו</w:t>
      </w:r>
      <w:r w:rsidRPr="007D6CA6" w:rsidR="0046492D">
        <w:rPr>
          <w:rtl/>
        </w:rPr>
        <w:t>בנציבות שוויון זכויות לאנשים עם מוגבלות במשרד המשפטים</w:t>
      </w:r>
      <w:r w:rsidRPr="007D6CA6" w:rsidR="0046492D">
        <w:rPr>
          <w:rFonts w:hint="cs"/>
          <w:rtl/>
        </w:rPr>
        <w:t xml:space="preserve"> (נציבות שוויון זכויות לאנשים עם מוגבלות</w:t>
      </w:r>
      <w:r w:rsidR="0046492D">
        <w:rPr>
          <w:rFonts w:hint="cs"/>
          <w:rtl/>
        </w:rPr>
        <w:t>)</w:t>
      </w:r>
      <w:r>
        <w:rPr>
          <w:rFonts w:hint="cs"/>
          <w:rtl/>
        </w:rPr>
        <w:t>.</w:t>
      </w:r>
      <w:r w:rsidRPr="001F3363">
        <w:rPr>
          <w:rFonts w:hint="cs"/>
          <w:rtl/>
        </w:rPr>
        <w:t xml:space="preserve"> </w:t>
      </w:r>
    </w:p>
    <w:p w:rsidR="002753C7" w:rsidRPr="00662020" w:rsidP="002753C7" w14:paraId="690F076D" w14:textId="148D9D68">
      <w:pPr>
        <w:pStyle w:val="7327"/>
        <w:rPr>
          <w:rtl/>
        </w:rPr>
      </w:pPr>
      <w:r w:rsidRPr="00662020">
        <w:rPr>
          <w:rFonts w:hint="cs"/>
          <w:rtl/>
        </w:rPr>
        <w:t>תמונת המצב העולה מן הביקורת</w:t>
      </w:r>
    </w:p>
    <w:p w:rsidR="002753C7" w:rsidRPr="001F3363" w:rsidP="00420374" w14:paraId="0B2F822B" w14:textId="17DC551B">
      <w:pPr>
        <w:pStyle w:val="7317"/>
        <w:rPr>
          <w:rtl/>
        </w:rPr>
      </w:pPr>
      <w:r w:rsidRPr="00362C00">
        <w:rPr>
          <w:noProof/>
          <w:rtl/>
        </w:rPr>
        <w:drawing>
          <wp:anchor distT="0" distB="0" distL="114300" distR="114300" simplePos="0" relativeHeight="251682816" behindDoc="0" locked="0" layoutInCell="1" allowOverlap="1">
            <wp:simplePos x="0" y="0"/>
            <wp:positionH relativeFrom="column">
              <wp:posOffset>2556510</wp:posOffset>
            </wp:positionH>
            <wp:positionV relativeFrom="paragraph">
              <wp:posOffset>56381</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DA022A" w14:paraId="18555822" w14:textId="060F44E9">
      <w:pPr>
        <w:pStyle w:val="7392"/>
        <w:ind w:left="424"/>
        <w:rPr>
          <w:rtl/>
        </w:rPr>
      </w:pPr>
      <w:r w:rsidRPr="0046492D">
        <w:rPr>
          <w:rFonts w:hint="cs"/>
          <w:b/>
          <w:bCs/>
          <w:noProof/>
          <w:rtl/>
        </w:rPr>
        <w:drawing>
          <wp:anchor distT="0" distB="720090" distL="114300" distR="114300" simplePos="0" relativeHeight="25168384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6492D" w:rsidR="0046492D">
        <w:rPr>
          <w:rFonts w:hint="cs"/>
          <w:b/>
          <w:bCs/>
          <w:rtl/>
        </w:rPr>
        <w:t xml:space="preserve">נתונים על </w:t>
      </w:r>
      <w:r w:rsidRPr="0046492D" w:rsidR="0046492D">
        <w:rPr>
          <w:b/>
          <w:bCs/>
          <w:rtl/>
        </w:rPr>
        <w:t xml:space="preserve">העסקת אוכלוסיות הגיוון </w:t>
      </w:r>
      <w:r w:rsidRPr="0046492D" w:rsidR="0046492D">
        <w:rPr>
          <w:b/>
          <w:bCs/>
          <w:rtl/>
        </w:rPr>
        <w:t>בתע"א</w:t>
      </w:r>
      <w:r w:rsidRPr="0046492D" w:rsidR="0046492D">
        <w:rPr>
          <w:b/>
          <w:bCs/>
          <w:rtl/>
        </w:rPr>
        <w:t xml:space="preserve"> וברפאל</w:t>
      </w:r>
      <w:r w:rsidRPr="007D6CA6" w:rsidR="0046492D">
        <w:rPr>
          <w:rtl/>
        </w:rPr>
        <w:t xml:space="preserve"> - שיעורי העסקתם של אנשים עם מוגבלות </w:t>
      </w:r>
      <w:r w:rsidRPr="007D6CA6" w:rsidR="0046492D">
        <w:rPr>
          <w:rtl/>
        </w:rPr>
        <w:t>בתע"א</w:t>
      </w:r>
      <w:r w:rsidRPr="007D6CA6" w:rsidR="0046492D">
        <w:rPr>
          <w:rtl/>
        </w:rPr>
        <w:t xml:space="preserve"> וברפאל (</w:t>
      </w:r>
      <w:r w:rsidRPr="007D6CA6" w:rsidR="0046492D">
        <w:rPr>
          <w:rFonts w:hint="cs"/>
          <w:rtl/>
        </w:rPr>
        <w:t>2.3</w:t>
      </w:r>
      <w:r w:rsidRPr="007D6CA6" w:rsidR="0046492D">
        <w:rPr>
          <w:rtl/>
        </w:rPr>
        <w:t>% ו-</w:t>
      </w:r>
      <w:r w:rsidRPr="007D6CA6" w:rsidR="0046492D">
        <w:rPr>
          <w:rFonts w:hint="cs"/>
          <w:rtl/>
        </w:rPr>
        <w:t>0.58</w:t>
      </w:r>
      <w:r w:rsidRPr="007D6CA6" w:rsidR="0046492D">
        <w:rPr>
          <w:rtl/>
        </w:rPr>
        <w:t>%</w:t>
      </w:r>
      <w:r w:rsidRPr="007D6CA6" w:rsidR="0046492D">
        <w:rPr>
          <w:rFonts w:hint="cs"/>
          <w:rtl/>
        </w:rPr>
        <w:t>, בהתאמה</w:t>
      </w:r>
      <w:r w:rsidRPr="007D6CA6" w:rsidR="0046492D">
        <w:rPr>
          <w:rtl/>
        </w:rPr>
        <w:t>) נמוכים מהנקבע בצו ההרחבה (3%); שיעורי העסקתם של בני האוכלוסייה החרדית (</w:t>
      </w:r>
      <w:r w:rsidRPr="007D6CA6" w:rsidR="0046492D">
        <w:rPr>
          <w:rFonts w:hint="cs"/>
          <w:rtl/>
        </w:rPr>
        <w:t>2.6</w:t>
      </w:r>
      <w:r w:rsidRPr="007D6CA6" w:rsidR="0046492D">
        <w:rPr>
          <w:rtl/>
        </w:rPr>
        <w:t>% ו-</w:t>
      </w:r>
      <w:r w:rsidRPr="007D6CA6" w:rsidR="0046492D">
        <w:rPr>
          <w:rFonts w:hint="cs"/>
          <w:rtl/>
        </w:rPr>
        <w:t>0.9</w:t>
      </w:r>
      <w:r w:rsidRPr="007D6CA6" w:rsidR="0046492D">
        <w:rPr>
          <w:rtl/>
        </w:rPr>
        <w:t>%</w:t>
      </w:r>
      <w:r w:rsidRPr="007D6CA6" w:rsidR="0046492D">
        <w:rPr>
          <w:rFonts w:hint="cs"/>
          <w:rtl/>
        </w:rPr>
        <w:t>, בהתאמה</w:t>
      </w:r>
      <w:r w:rsidRPr="007D6CA6" w:rsidR="0046492D">
        <w:rPr>
          <w:rtl/>
        </w:rPr>
        <w:t>) נמוכים מ</w:t>
      </w:r>
      <w:r w:rsidRPr="007D6CA6" w:rsidR="0046492D">
        <w:rPr>
          <w:rFonts w:hint="cs"/>
          <w:rtl/>
        </w:rPr>
        <w:t>שיעור בני האוכלוסייה החרדית</w:t>
      </w:r>
      <w:r w:rsidRPr="007D6CA6" w:rsidR="0046492D">
        <w:rPr>
          <w:rtl/>
        </w:rPr>
        <w:t xml:space="preserve"> </w:t>
      </w:r>
      <w:r w:rsidRPr="007D6CA6" w:rsidR="0046492D">
        <w:rPr>
          <w:rFonts w:hint="cs"/>
          <w:rtl/>
        </w:rPr>
        <w:t>בגיל העבודה</w:t>
      </w:r>
      <w:r w:rsidRPr="007D6CA6" w:rsidR="0046492D">
        <w:rPr>
          <w:rtl/>
        </w:rPr>
        <w:t xml:space="preserve"> (</w:t>
      </w:r>
      <w:r w:rsidRPr="007D6CA6" w:rsidR="0046492D">
        <w:rPr>
          <w:rFonts w:hint="cs"/>
          <w:rtl/>
        </w:rPr>
        <w:t>8</w:t>
      </w:r>
      <w:r w:rsidRPr="007D6CA6" w:rsidR="0046492D">
        <w:rPr>
          <w:rtl/>
        </w:rPr>
        <w:t>%); ושיעורי העסקתם של בני העדה הדרוזית (0.1</w:t>
      </w:r>
      <w:r w:rsidRPr="007D6CA6" w:rsidR="0046492D">
        <w:rPr>
          <w:rFonts w:hint="cs"/>
          <w:rtl/>
        </w:rPr>
        <w:t>6</w:t>
      </w:r>
      <w:r w:rsidRPr="007D6CA6" w:rsidR="0046492D">
        <w:rPr>
          <w:rtl/>
        </w:rPr>
        <w:t>% ו-0.1</w:t>
      </w:r>
      <w:r w:rsidRPr="007D6CA6" w:rsidR="0046492D">
        <w:rPr>
          <w:rFonts w:hint="cs"/>
          <w:rtl/>
        </w:rPr>
        <w:t>5</w:t>
      </w:r>
      <w:r w:rsidRPr="007D6CA6" w:rsidR="0046492D">
        <w:rPr>
          <w:rtl/>
        </w:rPr>
        <w:t>%</w:t>
      </w:r>
      <w:r w:rsidRPr="007D6CA6" w:rsidR="0046492D">
        <w:rPr>
          <w:rFonts w:hint="cs"/>
          <w:rtl/>
        </w:rPr>
        <w:t>, בהתאמה</w:t>
      </w:r>
      <w:r w:rsidRPr="007D6CA6" w:rsidR="0046492D">
        <w:rPr>
          <w:rtl/>
        </w:rPr>
        <w:t>) נמוכים משיעורם של בני עדה זו בקרב אוכלוסיית המדינה (1.6%). כמו כן, שיעור ההעסקה</w:t>
      </w:r>
      <w:r w:rsidRPr="007D6CA6" w:rsidR="0046492D">
        <w:rPr>
          <w:rFonts w:hint="cs"/>
          <w:rtl/>
        </w:rPr>
        <w:t xml:space="preserve"> ברפאל</w:t>
      </w:r>
      <w:r w:rsidRPr="007D6CA6" w:rsidR="0046492D">
        <w:rPr>
          <w:rtl/>
        </w:rPr>
        <w:t xml:space="preserve"> של שלוש מארבע אוכלוסיות הגיוון - יוצאי אתיופיה</w:t>
      </w:r>
      <w:r w:rsidRPr="007D6CA6" w:rsidR="0046492D">
        <w:rPr>
          <w:rFonts w:hint="cs"/>
          <w:rtl/>
        </w:rPr>
        <w:t xml:space="preserve"> (0.58%)</w:t>
      </w:r>
      <w:r w:rsidRPr="007D6CA6" w:rsidR="0046492D">
        <w:rPr>
          <w:rtl/>
        </w:rPr>
        <w:t>, אנשים עם מוגבלות</w:t>
      </w:r>
      <w:r w:rsidRPr="007D6CA6" w:rsidR="0046492D">
        <w:rPr>
          <w:rFonts w:hint="cs"/>
          <w:rtl/>
        </w:rPr>
        <w:t xml:space="preserve"> (0.58%)</w:t>
      </w:r>
      <w:r w:rsidRPr="007D6CA6" w:rsidR="0046492D">
        <w:rPr>
          <w:rtl/>
        </w:rPr>
        <w:t xml:space="preserve"> ובני האוכלוסייה החרדית</w:t>
      </w:r>
      <w:r w:rsidRPr="007D6CA6" w:rsidR="0046492D">
        <w:rPr>
          <w:rFonts w:hint="cs"/>
          <w:rtl/>
        </w:rPr>
        <w:t xml:space="preserve"> (0.9%)</w:t>
      </w:r>
      <w:r w:rsidRPr="007D6CA6" w:rsidR="0046492D">
        <w:rPr>
          <w:rtl/>
        </w:rPr>
        <w:t xml:space="preserve"> נמוך בהשוואה </w:t>
      </w:r>
      <w:r w:rsidRPr="007D6CA6" w:rsidR="0046492D">
        <w:rPr>
          <w:rtl/>
        </w:rPr>
        <w:t>לתע"א</w:t>
      </w:r>
      <w:r w:rsidRPr="007D6CA6" w:rsidR="0046492D">
        <w:rPr>
          <w:rFonts w:hint="cs"/>
          <w:rtl/>
        </w:rPr>
        <w:t xml:space="preserve"> (2.3%, 2.3% ו-2.6%</w:t>
      </w:r>
      <w:r w:rsidR="0046492D">
        <w:rPr>
          <w:rFonts w:hint="cs"/>
          <w:rtl/>
        </w:rPr>
        <w:t>).</w:t>
      </w:r>
    </w:p>
    <w:p w:rsidR="00420374" w:rsidRPr="0093709F" w:rsidP="00DA022A" w14:paraId="1D22E15A" w14:textId="6D3B9C8B">
      <w:pPr>
        <w:pStyle w:val="7392"/>
        <w:ind w:left="424"/>
      </w:pPr>
      <w:r w:rsidRPr="0046492D">
        <w:rPr>
          <w:rFonts w:hint="cs"/>
          <w:b/>
          <w:bCs/>
          <w:noProof/>
          <w:rtl/>
        </w:rPr>
        <w:drawing>
          <wp:anchor distT="0" distB="720090" distL="114300" distR="114300" simplePos="0" relativeHeight="25168486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6492D" w:rsidR="0046492D">
        <w:rPr>
          <w:b/>
          <w:bCs/>
          <w:rtl/>
        </w:rPr>
        <w:t>נורמות בנוגע לייצוג הולם של יוצאי אתיופיה</w:t>
      </w:r>
      <w:r w:rsidRPr="0046492D" w:rsidR="0046492D">
        <w:rPr>
          <w:rFonts w:hint="cs"/>
          <w:b/>
          <w:bCs/>
          <w:rtl/>
        </w:rPr>
        <w:t xml:space="preserve"> ובני העדה הדרוזית</w:t>
      </w:r>
      <w:r w:rsidRPr="0046492D" w:rsidR="0046492D">
        <w:rPr>
          <w:b/>
          <w:bCs/>
          <w:rtl/>
        </w:rPr>
        <w:t xml:space="preserve"> בחברות הממשלתיות</w:t>
      </w:r>
      <w:r w:rsidRPr="007D6CA6" w:rsidR="0046492D">
        <w:rPr>
          <w:rtl/>
        </w:rPr>
        <w:t xml:space="preserve"> - על שירות המדינה ועל החברות הממשלתיות חלים חוקים שונים בנוגע לייצוגם של יוצאי אתיופי</w:t>
      </w:r>
      <w:r w:rsidRPr="007D6CA6" w:rsidR="0046492D">
        <w:rPr>
          <w:rFonts w:hint="cs"/>
          <w:rtl/>
        </w:rPr>
        <w:t>ה ובני העדה הדרוזית</w:t>
      </w:r>
      <w:r w:rsidRPr="007D6CA6" w:rsidR="0046492D">
        <w:rPr>
          <w:rtl/>
        </w:rPr>
        <w:t xml:space="preserve">; בשונה מהשירות הציבורי, אין החלטת ממשלה לגבי שיעור הייצוג ההולם של עובדים יוצאי אתיופיה </w:t>
      </w:r>
      <w:r w:rsidRPr="007D6CA6" w:rsidR="0046492D">
        <w:rPr>
          <w:rFonts w:hint="cs"/>
          <w:rtl/>
        </w:rPr>
        <w:t xml:space="preserve">ובני העדה הדרוזית </w:t>
      </w:r>
      <w:r w:rsidRPr="007D6CA6" w:rsidR="0046492D">
        <w:rPr>
          <w:rtl/>
        </w:rPr>
        <w:t xml:space="preserve">בחברות הממשלתיות; ושיעור הייצוג של יוצאי אתיופיה </w:t>
      </w:r>
      <w:r w:rsidRPr="007D6CA6" w:rsidR="0046492D">
        <w:rPr>
          <w:rFonts w:hint="cs"/>
          <w:rtl/>
        </w:rPr>
        <w:t xml:space="preserve">ובני העדה הדרוזית </w:t>
      </w:r>
      <w:r w:rsidRPr="007D6CA6" w:rsidR="0046492D">
        <w:rPr>
          <w:rtl/>
        </w:rPr>
        <w:t>בחברות ממשלתיות נתון לשיקול דעתו של דירקטוריון החברה.</w:t>
      </w:r>
      <w:r w:rsidRPr="007D6CA6" w:rsidR="0046492D">
        <w:rPr>
          <w:rFonts w:hint="cs"/>
          <w:rtl/>
        </w:rPr>
        <w:t xml:space="preserve"> </w:t>
      </w:r>
      <w:r w:rsidRPr="007D6CA6" w:rsidR="0046492D">
        <w:rPr>
          <w:rtl/>
        </w:rPr>
        <w:t>לגבי בני האוכלוסייה הערבית והצ'רקסית, אין חקיקה הנוגעת לייצוגם בחברות הממשלתיות</w:t>
      </w:r>
      <w:r w:rsidRPr="0093709F">
        <w:rPr>
          <w:rFonts w:hint="cs"/>
          <w:rtl/>
        </w:rPr>
        <w:t xml:space="preserve">. </w:t>
      </w:r>
    </w:p>
    <w:p w:rsidR="00420374" w:rsidRPr="0093709F" w:rsidP="00DA022A" w14:paraId="5E2BFABB" w14:textId="482B97A4">
      <w:pPr>
        <w:pStyle w:val="7392"/>
        <w:ind w:left="424"/>
        <w:rPr>
          <w:rtl/>
        </w:rPr>
      </w:pPr>
      <w:r w:rsidRPr="0046492D">
        <w:rPr>
          <w:rFonts w:hint="cs"/>
          <w:b/>
          <w:bCs/>
          <w:noProof/>
          <w:rtl/>
        </w:rPr>
        <w:drawing>
          <wp:anchor distT="0" distB="720090" distL="114300" distR="114300" simplePos="0" relativeHeight="25168588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6492D" w:rsidR="0046492D">
        <w:rPr>
          <w:b/>
          <w:bCs/>
          <w:rtl/>
        </w:rPr>
        <w:t xml:space="preserve">נורמות בנוגע לייצוג הולם של אנשים עם מוגבלות </w:t>
      </w:r>
      <w:r w:rsidRPr="0046492D" w:rsidR="0046492D">
        <w:rPr>
          <w:rFonts w:hint="cs"/>
          <w:b/>
          <w:bCs/>
          <w:rtl/>
        </w:rPr>
        <w:t>בחברות הממשלתיות</w:t>
      </w:r>
      <w:r w:rsidRPr="007D6CA6" w:rsidR="0046492D">
        <w:rPr>
          <w:rFonts w:hint="cs"/>
          <w:rtl/>
        </w:rPr>
        <w:t xml:space="preserve"> </w:t>
      </w:r>
      <w:r w:rsidRPr="007D6CA6" w:rsidR="0046492D">
        <w:rPr>
          <w:rtl/>
        </w:rPr>
        <w:t xml:space="preserve">- </w:t>
      </w:r>
      <w:r w:rsidRPr="007D6CA6" w:rsidR="0046492D">
        <w:rPr>
          <w:rFonts w:hint="cs"/>
          <w:rtl/>
        </w:rPr>
        <w:t xml:space="preserve">בין היתר </w:t>
      </w:r>
      <w:r w:rsidRPr="007D6CA6" w:rsidR="0046492D">
        <w:rPr>
          <w:rtl/>
        </w:rPr>
        <w:t xml:space="preserve">לגבי משרד ממשלתי ומעסיק ציבורי גדול נקבע </w:t>
      </w:r>
      <w:r w:rsidRPr="007D6CA6" w:rsidR="0046492D">
        <w:rPr>
          <w:rFonts w:hint="cs"/>
          <w:rtl/>
        </w:rPr>
        <w:t xml:space="preserve">בחוק שוויון זכויות לאנשים עם מוגבלות </w:t>
      </w:r>
      <w:r w:rsidRPr="007D6CA6" w:rsidR="0046492D">
        <w:rPr>
          <w:rtl/>
        </w:rPr>
        <w:t>יעד ייצוג הולם של 5% לאנשים עם מוגבלות משמעותית</w:t>
      </w:r>
      <w:r w:rsidRPr="007D6CA6" w:rsidR="0046492D">
        <w:rPr>
          <w:rFonts w:hint="cs"/>
          <w:rtl/>
        </w:rPr>
        <w:t xml:space="preserve"> ונקבעו בו תנאים לפיהם ייקבע מיהו אדם עם מוגבלות משמעותית.</w:t>
      </w:r>
      <w:r w:rsidRPr="007D6CA6" w:rsidR="0046492D">
        <w:rPr>
          <w:rtl/>
        </w:rPr>
        <w:t xml:space="preserve"> ואילו בצו </w:t>
      </w:r>
      <w:r w:rsidRPr="007D6CA6" w:rsidR="0046492D">
        <w:rPr>
          <w:rFonts w:hint="cs"/>
          <w:rtl/>
        </w:rPr>
        <w:t>ה</w:t>
      </w:r>
      <w:r w:rsidRPr="007D6CA6" w:rsidR="0046492D">
        <w:rPr>
          <w:rtl/>
        </w:rPr>
        <w:t>הרחבה</w:t>
      </w:r>
      <w:r w:rsidRPr="007D6CA6" w:rsidR="0046492D">
        <w:rPr>
          <w:rFonts w:hint="cs"/>
          <w:rtl/>
        </w:rPr>
        <w:t xml:space="preserve">, החל על מעסיקים שונים כהגדרתם בצו, ובהם </w:t>
      </w:r>
      <w:r w:rsidRPr="007D6CA6" w:rsidR="0046492D">
        <w:rPr>
          <w:rFonts w:hint="cs"/>
          <w:rtl/>
        </w:rPr>
        <w:t>התע"א</w:t>
      </w:r>
      <w:r w:rsidRPr="007D6CA6" w:rsidR="0046492D">
        <w:rPr>
          <w:rFonts w:hint="cs"/>
          <w:rtl/>
        </w:rPr>
        <w:t xml:space="preserve"> ורפאל, נקבע</w:t>
      </w:r>
      <w:r w:rsidRPr="007D6CA6" w:rsidR="0046492D">
        <w:rPr>
          <w:rtl/>
        </w:rPr>
        <w:t xml:space="preserve"> יעד ייצוג הולם של 3% לאנשים עם מוגבלות</w:t>
      </w:r>
      <w:r w:rsidRPr="007D6CA6" w:rsidR="0046492D">
        <w:rPr>
          <w:rFonts w:hint="cs"/>
          <w:rtl/>
        </w:rPr>
        <w:t>, ולא הוגדרו התנאים לפיהם ייקבע מיהו אדם עם מוגבלות כלשהי</w:t>
      </w:r>
      <w:r w:rsidRPr="007D6CA6" w:rsidR="0046492D">
        <w:rPr>
          <w:rtl/>
        </w:rPr>
        <w:t xml:space="preserve">. </w:t>
      </w:r>
      <w:r w:rsidRPr="007D6CA6" w:rsidR="0046492D">
        <w:rPr>
          <w:rFonts w:hint="cs"/>
          <w:rtl/>
        </w:rPr>
        <w:t xml:space="preserve">עוד עלה כי </w:t>
      </w:r>
      <w:r w:rsidRPr="007D6CA6" w:rsidR="0046492D">
        <w:rPr>
          <w:rtl/>
        </w:rPr>
        <w:t xml:space="preserve">לא קיים מנגנון שמאפשר למעסיק המעסיק יותר מ-100 עובדים, לרבות חברות ממשלתיות, וכן לנציבות שוויון </w:t>
      </w:r>
      <w:r w:rsidRPr="007D6CA6" w:rsidR="0046492D">
        <w:rPr>
          <w:rFonts w:hint="cs"/>
          <w:rtl/>
        </w:rPr>
        <w:t>זכויות לאנשים עם מוגבלות</w:t>
      </w:r>
      <w:r w:rsidRPr="007D6CA6" w:rsidR="0046492D">
        <w:rPr>
          <w:rtl/>
        </w:rPr>
        <w:t xml:space="preserve"> ולרשות החברות הממשלתיות, לקבל מידע לגבי שיעור הייצוג של העובדים שהם אנשים עם מוגבלות. זאת בשונה מהמנגנון שנקבע בחוק שוויון זכויות לאנשים עם מוגבלות לגבי ייצוגם של אנשים עם מוגבלות משמעותית</w:t>
      </w:r>
      <w:r w:rsidRPr="007D6CA6" w:rsidR="0046492D">
        <w:rPr>
          <w:rFonts w:hint="cs"/>
          <w:rtl/>
        </w:rPr>
        <w:t xml:space="preserve"> </w:t>
      </w:r>
      <w:r w:rsidRPr="007D6CA6" w:rsidR="0046492D">
        <w:rPr>
          <w:rtl/>
        </w:rPr>
        <w:t>בשירות המדינה</w:t>
      </w:r>
      <w:r w:rsidRPr="007D6CA6" w:rsidR="0046492D">
        <w:rPr>
          <w:rFonts w:hint="cs"/>
          <w:rtl/>
        </w:rPr>
        <w:t xml:space="preserve"> ובמעסיקים ציבוריים גדולים כהגדרתם בחוק זה</w:t>
      </w:r>
      <w:r w:rsidRPr="007D6CA6" w:rsidR="0046492D">
        <w:rPr>
          <w:rtl/>
        </w:rPr>
        <w:t>. במצב הדברים המתואר אין ביכולתן של החברות הממשלתיות ורשות החברות לדעת אם החברות הממשלתיות עומדות ביעד ההעסקה שנקבע בצו ההרחבה לגבי אנשים עם מוגבלות - 3%</w:t>
      </w:r>
      <w:r w:rsidRPr="0093709F">
        <w:rPr>
          <w:rFonts w:hint="cs"/>
          <w:rtl/>
        </w:rPr>
        <w:t>.</w:t>
      </w:r>
    </w:p>
    <w:p w:rsidR="00420374" w:rsidRPr="0093709F" w:rsidP="00DA022A" w14:paraId="583ECB3F" w14:textId="01CC30EC">
      <w:pPr>
        <w:pStyle w:val="7392"/>
        <w:ind w:left="424"/>
      </w:pPr>
      <w:r w:rsidRPr="0046492D">
        <w:rPr>
          <w:rFonts w:hint="cs"/>
          <w:b/>
          <w:bCs/>
          <w:noProof/>
          <w:rtl/>
        </w:rPr>
        <w:drawing>
          <wp:anchor distT="0" distB="720090" distL="114300" distR="114300" simplePos="0" relativeHeight="25168691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6492D" w:rsidR="0046492D">
        <w:rPr>
          <w:rFonts w:hint="cs"/>
          <w:b/>
          <w:bCs/>
          <w:rtl/>
        </w:rPr>
        <w:t>פעילות רפאל ל</w:t>
      </w:r>
      <w:r w:rsidRPr="0046492D" w:rsidR="0046492D">
        <w:rPr>
          <w:b/>
          <w:bCs/>
          <w:rtl/>
        </w:rPr>
        <w:t>קידום הייצוג ההולם</w:t>
      </w:r>
      <w:r w:rsidRPr="007D6CA6" w:rsidR="0046492D">
        <w:rPr>
          <w:rtl/>
        </w:rPr>
        <w:t xml:space="preserve"> - עד יוני 2022 דירקטוריון רפאל לא פעל לקידום הייצוג ההולם של יוצאי אתיופיה, בני העדה הדרוזית, אנשים עם מוגבלות ונשים בתפקידי ניהול בכיר ולא דן בנושא. </w:t>
      </w:r>
      <w:r w:rsidRPr="007D6CA6" w:rsidR="0046492D">
        <w:rPr>
          <w:rFonts w:hint="cs"/>
          <w:rtl/>
        </w:rPr>
        <w:t xml:space="preserve">כמו כן </w:t>
      </w:r>
      <w:r w:rsidRPr="007D6CA6" w:rsidR="0046492D">
        <w:rPr>
          <w:rtl/>
        </w:rPr>
        <w:t>דירקטוריון רפאל לא קבע יעדים לקליטתם של יוצאי אתיופיה ובני העדה הדרוזית, ועד ליוני 2022 לא נקט את האמצעים הנדרשים בנסיבות העניין, ובכלל זה לא גיבש מדיניות, כדי לאפשר ולעודד ייצוג הולם שלהם, לרבות באמצעות ייעוד משרות והעדפה מתקנת. זאת שלא בהתאם לחוק החברות הממשלתיות ולחוזרי רשות החברות הממשלתיות מהשנים 2011 ו-2012. כמו כן, דירקטוריון רפאל לא קבע את היעד הרצוי להעסקתם של אנשים עם מוגבלות; לא קיים עד יוני 2022 דיון בנוגע למדיניות החברה בנושא; וכן לא קבע הוראות בנושא, כל זאת שלא בהתאם לחוזר רשות החברות משנת 2014</w:t>
      </w:r>
      <w:r w:rsidRPr="0093709F">
        <w:rPr>
          <w:rFonts w:hint="cs"/>
          <w:rtl/>
        </w:rPr>
        <w:t xml:space="preserve">. </w:t>
      </w:r>
    </w:p>
    <w:p w:rsidR="00420374" w:rsidRPr="0093709F" w:rsidP="00DA022A" w14:paraId="7C081EA1" w14:textId="283C4144">
      <w:pPr>
        <w:pStyle w:val="7392"/>
        <w:ind w:left="424"/>
      </w:pPr>
      <w:r w:rsidRPr="0046492D">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6492D" w:rsidR="0046492D">
        <w:rPr>
          <w:rFonts w:hint="cs"/>
          <w:b/>
          <w:bCs/>
          <w:rtl/>
        </w:rPr>
        <w:t xml:space="preserve">קביעת יעדים על ידי דירקטוריון </w:t>
      </w:r>
      <w:r w:rsidRPr="0046492D" w:rsidR="0046492D">
        <w:rPr>
          <w:rFonts w:hint="cs"/>
          <w:b/>
          <w:bCs/>
          <w:rtl/>
        </w:rPr>
        <w:t>התע"א</w:t>
      </w:r>
      <w:r w:rsidRPr="007D6CA6" w:rsidR="0046492D">
        <w:rPr>
          <w:rFonts w:hint="cs"/>
          <w:rtl/>
        </w:rPr>
        <w:t xml:space="preserve"> - </w:t>
      </w:r>
      <w:r w:rsidRPr="007D6CA6" w:rsidR="0046492D">
        <w:rPr>
          <w:rtl/>
        </w:rPr>
        <w:t xml:space="preserve">ועדת הדירקטוריון של </w:t>
      </w:r>
      <w:r w:rsidRPr="007D6CA6" w:rsidR="0046492D">
        <w:rPr>
          <w:rtl/>
        </w:rPr>
        <w:t>התע"א</w:t>
      </w:r>
      <w:r w:rsidRPr="007D6CA6" w:rsidR="0046492D">
        <w:rPr>
          <w:rtl/>
        </w:rPr>
        <w:t xml:space="preserve"> בנושא ממשל תאגידי, קיימות, קידום נשים ואוכלוסיות מגוונות לא אישרה בישיבות שקיימה </w:t>
      </w:r>
      <w:r w:rsidRPr="007D6CA6" w:rsidR="0046492D">
        <w:rPr>
          <w:rFonts w:hint="cs"/>
          <w:rtl/>
        </w:rPr>
        <w:t>משנת 2017</w:t>
      </w:r>
      <w:r w:rsidRPr="007D6CA6" w:rsidR="0046492D">
        <w:rPr>
          <w:rtl/>
        </w:rPr>
        <w:t xml:space="preserve"> </w:t>
      </w:r>
      <w:r w:rsidRPr="007D6CA6" w:rsidR="0046492D">
        <w:rPr>
          <w:rFonts w:hint="cs"/>
          <w:rtl/>
        </w:rPr>
        <w:t>עד מועד סיום הביקורת, יולי 2022,</w:t>
      </w:r>
      <w:r w:rsidRPr="007D6CA6" w:rsidR="0046492D">
        <w:rPr>
          <w:rtl/>
        </w:rPr>
        <w:t xml:space="preserve"> יעדים לקליטת אוכלוסיות הגיוון</w:t>
      </w:r>
      <w:r w:rsidRPr="007D6CA6" w:rsidR="0046492D">
        <w:rPr>
          <w:rFonts w:hint="cs"/>
          <w:rtl/>
        </w:rPr>
        <w:t xml:space="preserve"> ולגבי נשים בתפקידי "ליבה בכיר", וכן לא אישרה יעדים לקליטת נשים בתפקידי ניהול בכיר לשנים 2021 - 2023</w:t>
      </w:r>
      <w:r w:rsidRPr="007D6CA6" w:rsidR="0046492D">
        <w:rPr>
          <w:rtl/>
        </w:rPr>
        <w:t>. היעדר קביעה מהו יעד הקליטה לגבי כל אוכלוסיי</w:t>
      </w:r>
      <w:r w:rsidRPr="007D6CA6" w:rsidR="0046492D">
        <w:rPr>
          <w:rFonts w:hint="cs"/>
          <w:rtl/>
        </w:rPr>
        <w:t>ת גיוון</w:t>
      </w:r>
      <w:r w:rsidRPr="007D6CA6" w:rsidR="0046492D">
        <w:rPr>
          <w:rtl/>
        </w:rPr>
        <w:t xml:space="preserve"> בנפרד עלול לפגוע בקליטה של אוכלוסיית גיוון זו או אחרת</w:t>
      </w:r>
      <w:r w:rsidRPr="0093709F">
        <w:rPr>
          <w:rFonts w:hint="cs"/>
          <w:rtl/>
        </w:rPr>
        <w:t xml:space="preserve">. </w:t>
      </w:r>
    </w:p>
    <w:p w:rsidR="00420374" w:rsidRPr="0093709F" w:rsidP="00DA022A" w14:paraId="5E8BF229" w14:textId="229E6167">
      <w:pPr>
        <w:pStyle w:val="7392"/>
        <w:ind w:left="424"/>
        <w:rPr>
          <w:rtl/>
        </w:rPr>
      </w:pPr>
      <w:r w:rsidRPr="0046492D">
        <w:rPr>
          <w:rFonts w:hint="cs"/>
          <w:b/>
          <w:bCs/>
          <w:noProof/>
          <w:rtl/>
        </w:rPr>
        <w:drawing>
          <wp:anchor distT="0" distB="720090" distL="114300" distR="114300" simplePos="0" relativeHeight="251688960"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6492D" w:rsidR="0046492D">
        <w:rPr>
          <w:rFonts w:hint="cs"/>
          <w:b/>
          <w:bCs/>
          <w:rtl/>
        </w:rPr>
        <w:t>ייעוד משרות</w:t>
      </w:r>
      <w:r w:rsidRPr="007D6CA6" w:rsidR="0046492D">
        <w:rPr>
          <w:rFonts w:hint="cs"/>
          <w:rtl/>
        </w:rPr>
        <w:t xml:space="preserve"> - הנהלת רפאל לא </w:t>
      </w:r>
      <w:r w:rsidRPr="007D6CA6" w:rsidR="0046492D">
        <w:rPr>
          <w:rFonts w:hint="eastAsia"/>
          <w:rtl/>
        </w:rPr>
        <w:t>ייעד</w:t>
      </w:r>
      <w:r w:rsidRPr="007D6CA6" w:rsidR="0046492D">
        <w:rPr>
          <w:rFonts w:hint="cs"/>
          <w:rtl/>
        </w:rPr>
        <w:t>ה</w:t>
      </w:r>
      <w:r w:rsidRPr="007D6CA6" w:rsidR="0046492D">
        <w:rPr>
          <w:rtl/>
        </w:rPr>
        <w:t xml:space="preserve"> משרות ליוצאי אתיופיה ולבני העדה הדרוזית</w:t>
      </w:r>
      <w:r w:rsidRPr="007D6CA6" w:rsidR="0046492D">
        <w:rPr>
          <w:rFonts w:hint="cs"/>
          <w:rtl/>
        </w:rPr>
        <w:t xml:space="preserve"> וכן הנהלת </w:t>
      </w:r>
      <w:r w:rsidRPr="007D6CA6" w:rsidR="0046492D">
        <w:rPr>
          <w:rFonts w:hint="eastAsia"/>
          <w:rtl/>
        </w:rPr>
        <w:t>התע</w:t>
      </w:r>
      <w:r w:rsidRPr="007D6CA6" w:rsidR="0046492D">
        <w:rPr>
          <w:rtl/>
        </w:rPr>
        <w:t>"א</w:t>
      </w:r>
      <w:r w:rsidRPr="007D6CA6" w:rsidR="0046492D">
        <w:rPr>
          <w:rtl/>
        </w:rPr>
        <w:t xml:space="preserve"> </w:t>
      </w:r>
      <w:r w:rsidRPr="007D6CA6" w:rsidR="0046492D">
        <w:rPr>
          <w:rFonts w:hint="eastAsia"/>
          <w:rtl/>
        </w:rPr>
        <w:t>לא</w:t>
      </w:r>
      <w:r w:rsidRPr="007D6CA6" w:rsidR="0046492D">
        <w:rPr>
          <w:rtl/>
        </w:rPr>
        <w:t xml:space="preserve"> </w:t>
      </w:r>
      <w:r w:rsidRPr="007D6CA6" w:rsidR="0046492D">
        <w:rPr>
          <w:rFonts w:hint="eastAsia"/>
          <w:rtl/>
        </w:rPr>
        <w:t>ייעדה</w:t>
      </w:r>
      <w:r w:rsidRPr="007D6CA6" w:rsidR="0046492D">
        <w:rPr>
          <w:rtl/>
        </w:rPr>
        <w:t xml:space="preserve"> משרות ל</w:t>
      </w:r>
      <w:r w:rsidRPr="007D6CA6" w:rsidR="0046492D">
        <w:rPr>
          <w:rFonts w:hint="cs"/>
          <w:rtl/>
        </w:rPr>
        <w:t>יוצאי אתיופיה, בני העדה הדרוזית ואנשים עם מוגבלות</w:t>
      </w:r>
      <w:r w:rsidRPr="007D6CA6" w:rsidR="0046492D">
        <w:rPr>
          <w:rtl/>
        </w:rPr>
        <w:t xml:space="preserve"> עד מועד סיום הביקורת, יולי 2022</w:t>
      </w:r>
      <w:r w:rsidRPr="007D6CA6" w:rsidR="0046492D">
        <w:rPr>
          <w:rFonts w:hint="cs"/>
          <w:rtl/>
        </w:rPr>
        <w:t>.</w:t>
      </w:r>
      <w:r w:rsidRPr="007D6CA6" w:rsidR="0046492D">
        <w:rPr>
          <w:rtl/>
        </w:rPr>
        <w:t xml:space="preserve"> </w:t>
      </w:r>
      <w:r w:rsidRPr="007D6CA6" w:rsidR="0046492D">
        <w:rPr>
          <w:rFonts w:hint="cs"/>
          <w:rtl/>
        </w:rPr>
        <w:t>עם זאת,</w:t>
      </w:r>
      <w:r w:rsidRPr="007D6CA6" w:rsidR="0046492D">
        <w:rPr>
          <w:rtl/>
        </w:rPr>
        <w:t xml:space="preserve"> </w:t>
      </w:r>
      <w:r w:rsidRPr="007D6CA6" w:rsidR="0046492D">
        <w:rPr>
          <w:rFonts w:hint="cs"/>
          <w:rtl/>
        </w:rPr>
        <w:t xml:space="preserve">שתי החברות </w:t>
      </w:r>
      <w:r w:rsidRPr="007D6CA6" w:rsidR="0046492D">
        <w:rPr>
          <w:rtl/>
        </w:rPr>
        <w:t>פעל</w:t>
      </w:r>
      <w:r w:rsidRPr="007D6CA6" w:rsidR="0046492D">
        <w:rPr>
          <w:rFonts w:hint="cs"/>
          <w:rtl/>
        </w:rPr>
        <w:t>ו</w:t>
      </w:r>
      <w:r w:rsidRPr="007D6CA6" w:rsidR="0046492D">
        <w:rPr>
          <w:rtl/>
        </w:rPr>
        <w:t xml:space="preserve"> </w:t>
      </w:r>
      <w:r w:rsidRPr="007D6CA6" w:rsidR="0046492D">
        <w:rPr>
          <w:rFonts w:hint="eastAsia"/>
          <w:rtl/>
        </w:rPr>
        <w:t>לאיתור</w:t>
      </w:r>
      <w:r w:rsidRPr="007D6CA6" w:rsidR="0046492D">
        <w:rPr>
          <w:rtl/>
        </w:rPr>
        <w:t xml:space="preserve"> </w:t>
      </w:r>
      <w:r w:rsidRPr="007D6CA6" w:rsidR="0046492D">
        <w:rPr>
          <w:rFonts w:hint="eastAsia"/>
          <w:rtl/>
        </w:rPr>
        <w:t>מועמדים</w:t>
      </w:r>
      <w:r w:rsidRPr="007D6CA6" w:rsidR="0046492D">
        <w:rPr>
          <w:rtl/>
        </w:rPr>
        <w:t xml:space="preserve"> </w:t>
      </w:r>
      <w:r w:rsidRPr="007D6CA6" w:rsidR="0046492D">
        <w:rPr>
          <w:rFonts w:hint="eastAsia"/>
          <w:rtl/>
        </w:rPr>
        <w:t>ולגיוס</w:t>
      </w:r>
      <w:r w:rsidRPr="007D6CA6" w:rsidR="0046492D">
        <w:rPr>
          <w:rtl/>
        </w:rPr>
        <w:t xml:space="preserve"> </w:t>
      </w:r>
      <w:r w:rsidRPr="007D6CA6" w:rsidR="0046492D">
        <w:rPr>
          <w:rFonts w:hint="eastAsia"/>
          <w:rtl/>
        </w:rPr>
        <w:t>עובדים</w:t>
      </w:r>
      <w:r w:rsidRPr="007D6CA6" w:rsidR="0046492D">
        <w:rPr>
          <w:rtl/>
        </w:rPr>
        <w:t xml:space="preserve"> </w:t>
      </w:r>
      <w:r w:rsidRPr="007D6CA6" w:rsidR="0046492D">
        <w:rPr>
          <w:rFonts w:hint="eastAsia"/>
          <w:rtl/>
        </w:rPr>
        <w:t>מאוכלוסיות</w:t>
      </w:r>
      <w:r w:rsidRPr="007D6CA6" w:rsidR="0046492D">
        <w:rPr>
          <w:rtl/>
        </w:rPr>
        <w:t xml:space="preserve"> </w:t>
      </w:r>
      <w:r w:rsidRPr="007D6CA6" w:rsidR="0046492D">
        <w:rPr>
          <w:rFonts w:hint="eastAsia"/>
          <w:rtl/>
        </w:rPr>
        <w:t>אלה</w:t>
      </w:r>
      <w:r w:rsidRPr="0093709F">
        <w:rPr>
          <w:rFonts w:hint="cs"/>
          <w:rtl/>
        </w:rPr>
        <w:t>.</w:t>
      </w:r>
    </w:p>
    <w:p w:rsidR="00420374" w:rsidP="00DA022A" w14:paraId="39D5E97C" w14:textId="398BB789">
      <w:pPr>
        <w:pStyle w:val="7392"/>
        <w:ind w:left="424"/>
        <w:rPr>
          <w:noProof/>
          <w:rtl/>
        </w:rPr>
      </w:pPr>
      <w:r w:rsidRPr="0046492D">
        <w:rPr>
          <w:rFonts w:hint="cs"/>
          <w:b/>
          <w:bCs/>
          <w:noProof/>
          <w:rtl/>
        </w:rPr>
        <w:drawing>
          <wp:anchor distT="0" distB="720090" distL="114300" distR="114300" simplePos="0" relativeHeight="251689984"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6492D" w:rsidR="0046492D">
        <w:rPr>
          <w:b/>
          <w:bCs/>
          <w:rtl/>
        </w:rPr>
        <w:t>הדיווח של רפאל לרשות החברות הממשלתיות</w:t>
      </w:r>
      <w:r w:rsidRPr="007D6CA6" w:rsidR="0046492D">
        <w:rPr>
          <w:rtl/>
        </w:rPr>
        <w:t xml:space="preserve"> - עד לשנת 2021 רפאל לא דיווחה לרשות החברות הממשלתיות על ביצוע הוראות חוק החברות הממשלתיות לגבי ייצוג הולם של יוצאי אתיופיה ובני העדה הדרוזית</w:t>
      </w:r>
      <w:r w:rsidRPr="0093709F">
        <w:rPr>
          <w:rFonts w:hint="cs"/>
          <w:rtl/>
        </w:rPr>
        <w:t xml:space="preserve">. </w:t>
      </w:r>
    </w:p>
    <w:p w:rsidR="0046492D" w:rsidP="0046492D" w14:paraId="6EAD3A45" w14:textId="2BF3C11F">
      <w:pPr>
        <w:pStyle w:val="7392"/>
        <w:ind w:left="424"/>
        <w:rPr>
          <w:noProof/>
          <w:rtl/>
        </w:rPr>
      </w:pPr>
      <w:r w:rsidRPr="0046492D">
        <w:rPr>
          <w:rFonts w:hint="cs"/>
          <w:b/>
          <w:bCs/>
          <w:noProof/>
          <w:rtl/>
        </w:rPr>
        <w:drawing>
          <wp:anchor distT="0" distB="720090" distL="114300" distR="114300" simplePos="0" relativeHeight="251697152"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6492D">
        <w:rPr>
          <w:b/>
          <w:bCs/>
          <w:rtl/>
        </w:rPr>
        <w:t>הפיקוח</w:t>
      </w:r>
      <w:r w:rsidRPr="0046492D">
        <w:rPr>
          <w:rFonts w:hint="cs"/>
          <w:b/>
          <w:bCs/>
          <w:rtl/>
        </w:rPr>
        <w:t>,</w:t>
      </w:r>
      <w:r w:rsidRPr="0046492D">
        <w:rPr>
          <w:b/>
          <w:bCs/>
          <w:rtl/>
        </w:rPr>
        <w:t xml:space="preserve"> הבקרה </w:t>
      </w:r>
      <w:r w:rsidRPr="0046492D">
        <w:rPr>
          <w:rFonts w:hint="cs"/>
          <w:b/>
          <w:bCs/>
          <w:rtl/>
        </w:rPr>
        <w:t xml:space="preserve">והדיווחים </w:t>
      </w:r>
      <w:r w:rsidRPr="0046492D">
        <w:rPr>
          <w:b/>
          <w:bCs/>
          <w:rtl/>
        </w:rPr>
        <w:t>של רשות החברות הממשלתיות</w:t>
      </w:r>
      <w:r w:rsidRPr="007D6CA6">
        <w:rPr>
          <w:rFonts w:hint="cs"/>
          <w:rtl/>
        </w:rPr>
        <w:t xml:space="preserve"> </w:t>
      </w:r>
      <w:r w:rsidRPr="007D6CA6">
        <w:rPr>
          <w:rtl/>
        </w:rPr>
        <w:t xml:space="preserve">- פרט לפניותיה לרפאל לגבי דיווח על אוכלוסיות הגיוון, </w:t>
      </w:r>
      <w:r w:rsidRPr="007D6CA6">
        <w:rPr>
          <w:rFonts w:hint="cs"/>
          <w:rtl/>
        </w:rPr>
        <w:t xml:space="preserve">עד לשנת 2022 </w:t>
      </w:r>
      <w:r w:rsidRPr="007D6CA6">
        <w:rPr>
          <w:rtl/>
        </w:rPr>
        <w:t xml:space="preserve">רשות החברות </w:t>
      </w:r>
      <w:r w:rsidRPr="007D6CA6">
        <w:rPr>
          <w:rFonts w:hint="cs"/>
          <w:rtl/>
        </w:rPr>
        <w:t xml:space="preserve">הממשלתיות </w:t>
      </w:r>
      <w:r w:rsidRPr="007D6CA6">
        <w:rPr>
          <w:rtl/>
        </w:rPr>
        <w:t>לא נקטה צעדים כדי לוודא ש</w:t>
      </w:r>
      <w:r w:rsidRPr="007D6CA6">
        <w:rPr>
          <w:rFonts w:hint="cs"/>
          <w:rtl/>
        </w:rPr>
        <w:t>רפאל</w:t>
      </w:r>
      <w:r w:rsidRPr="007D6CA6">
        <w:rPr>
          <w:rtl/>
        </w:rPr>
        <w:t xml:space="preserve"> ממלאת את החובות המוטלות עליה בחוק החברות הממשלתיות ובחוזרים שהוציאה רשות החברות בעניין הייצוג ההולם.</w:t>
      </w:r>
      <w:r w:rsidRPr="007D6CA6">
        <w:rPr>
          <w:rFonts w:hint="cs"/>
          <w:rtl/>
        </w:rPr>
        <w:t xml:space="preserve"> </w:t>
      </w:r>
      <w:r w:rsidRPr="007D6CA6">
        <w:rPr>
          <w:rtl/>
        </w:rPr>
        <w:t xml:space="preserve">על אף החובה הקבועה בחוק החברות הממשלתיות, רשות החברות הממשלתיות לא הגישה </w:t>
      </w:r>
      <w:r w:rsidRPr="007D6CA6">
        <w:rPr>
          <w:rFonts w:hint="cs"/>
          <w:rtl/>
        </w:rPr>
        <w:t>דיווחים</w:t>
      </w:r>
      <w:r w:rsidRPr="007D6CA6">
        <w:rPr>
          <w:rtl/>
        </w:rPr>
        <w:t xml:space="preserve"> לממשלה, לוועדות הכנסת ולנציבות שוויון הזדמנויות בעבודה לגבי העסקת יוצאי אתיופיה בחברות הממשלתיות בשנים 2019 - 202</w:t>
      </w:r>
      <w:r w:rsidRPr="007D6CA6">
        <w:rPr>
          <w:rFonts w:hint="cs"/>
          <w:rtl/>
        </w:rPr>
        <w:t>0</w:t>
      </w:r>
      <w:r w:rsidRPr="007D6CA6">
        <w:rPr>
          <w:rtl/>
        </w:rPr>
        <w:t xml:space="preserve"> ולגבי העסקת בני העדה הדרוזית בחברות הממשלתיות בשנ</w:t>
      </w:r>
      <w:r w:rsidRPr="007D6CA6">
        <w:rPr>
          <w:rFonts w:hint="cs"/>
          <w:rtl/>
        </w:rPr>
        <w:t>ת</w:t>
      </w:r>
      <w:r w:rsidRPr="007D6CA6">
        <w:rPr>
          <w:rtl/>
        </w:rPr>
        <w:t xml:space="preserve"> 2020</w:t>
      </w:r>
      <w:r w:rsidRPr="007D6CA6">
        <w:rPr>
          <w:rFonts w:hint="cs"/>
          <w:rtl/>
        </w:rPr>
        <w:t>. רק בספטמבר 2022 לאחר מועד סיום הביקורת, ולא מידי שנה בשנה,</w:t>
      </w:r>
      <w:r w:rsidRPr="007D6CA6">
        <w:rPr>
          <w:rtl/>
        </w:rPr>
        <w:t xml:space="preserve"> </w:t>
      </w:r>
      <w:r w:rsidRPr="007D6CA6">
        <w:rPr>
          <w:rFonts w:hint="cs"/>
          <w:rtl/>
        </w:rPr>
        <w:t xml:space="preserve">הגישה רשות החברות דיווחים כאמור </w:t>
      </w:r>
      <w:r w:rsidRPr="007D6CA6">
        <w:rPr>
          <w:rFonts w:hint="eastAsia"/>
          <w:rtl/>
        </w:rPr>
        <w:t>לשנים</w:t>
      </w:r>
      <w:r w:rsidRPr="007D6CA6">
        <w:rPr>
          <w:rtl/>
        </w:rPr>
        <w:t xml:space="preserve"> 2019</w:t>
      </w:r>
      <w:r w:rsidRPr="007D6CA6">
        <w:rPr>
          <w:rFonts w:hint="cs"/>
          <w:rtl/>
        </w:rPr>
        <w:t xml:space="preserve"> </w:t>
      </w:r>
      <w:r w:rsidRPr="007D6CA6">
        <w:rPr>
          <w:rtl/>
        </w:rPr>
        <w:t xml:space="preserve">ו-2020 וכן </w:t>
      </w:r>
      <w:r w:rsidRPr="007D6CA6">
        <w:rPr>
          <w:rFonts w:hint="cs"/>
          <w:rtl/>
        </w:rPr>
        <w:t>לגבי שנת 2021</w:t>
      </w:r>
      <w:r w:rsidRPr="0093709F">
        <w:rPr>
          <w:rFonts w:hint="cs"/>
          <w:rtl/>
        </w:rPr>
        <w:t xml:space="preserve">. </w:t>
      </w:r>
    </w:p>
    <w:p w:rsidR="0046492D" w:rsidP="0046492D" w14:paraId="1D8393AD" w14:textId="3948FBDB">
      <w:pPr>
        <w:pStyle w:val="7392"/>
        <w:ind w:left="424"/>
        <w:rPr>
          <w:noProof/>
          <w:rtl/>
        </w:rPr>
      </w:pPr>
      <w:r w:rsidRPr="0046492D">
        <w:rPr>
          <w:rFonts w:hint="cs"/>
          <w:b/>
          <w:bCs/>
          <w:noProof/>
          <w:rtl/>
        </w:rPr>
        <w:drawing>
          <wp:anchor distT="0" distB="720090" distL="114300" distR="114300" simplePos="0" relativeHeight="25169817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6492D">
        <w:rPr>
          <w:rFonts w:hint="cs"/>
          <w:b/>
          <w:bCs/>
          <w:rtl/>
        </w:rPr>
        <w:t>ייצוג בדירקטוריונים</w:t>
      </w:r>
      <w:r w:rsidRPr="007D6CA6">
        <w:rPr>
          <w:rFonts w:hint="cs"/>
          <w:rtl/>
        </w:rPr>
        <w:t xml:space="preserve"> - בשנים 2017 - 2021 היה ייצוג הולם לבני שני המינים בדירקטוריונים של רפאל, </w:t>
      </w:r>
      <w:r w:rsidRPr="007D6CA6">
        <w:rPr>
          <w:rFonts w:hint="cs"/>
          <w:rtl/>
        </w:rPr>
        <w:t>התע"א</w:t>
      </w:r>
      <w:r w:rsidRPr="007D6CA6">
        <w:rPr>
          <w:rFonts w:hint="cs"/>
          <w:rtl/>
        </w:rPr>
        <w:t xml:space="preserve"> </w:t>
      </w:r>
      <w:r w:rsidRPr="007D6CA6">
        <w:rPr>
          <w:rFonts w:hint="cs"/>
          <w:rtl/>
        </w:rPr>
        <w:t>ואלתא</w:t>
      </w:r>
      <w:r w:rsidRPr="007D6CA6">
        <w:rPr>
          <w:rFonts w:hint="cs"/>
          <w:rtl/>
        </w:rPr>
        <w:t xml:space="preserve">. בחלק מהשנים האמורות היה ייצוג לבני העדה הדרוזית בדירקטוריונים של </w:t>
      </w:r>
      <w:r w:rsidRPr="007D6CA6">
        <w:rPr>
          <w:rFonts w:hint="cs"/>
          <w:rtl/>
        </w:rPr>
        <w:t>התע"א</w:t>
      </w:r>
      <w:r w:rsidRPr="007D6CA6">
        <w:rPr>
          <w:rFonts w:hint="cs"/>
          <w:rtl/>
        </w:rPr>
        <w:t xml:space="preserve"> </w:t>
      </w:r>
      <w:r w:rsidRPr="007D6CA6">
        <w:rPr>
          <w:rFonts w:hint="cs"/>
          <w:rtl/>
        </w:rPr>
        <w:t>ואלתא</w:t>
      </w:r>
      <w:r w:rsidRPr="007D6CA6">
        <w:rPr>
          <w:rFonts w:hint="cs"/>
          <w:rtl/>
        </w:rPr>
        <w:t xml:space="preserve"> (דירקטורית - ארבע שנים מתוך חמש ודירקטור - שנה אחת מתוך חמש, בהתאמה). באותן שנים לא היה ייצוג בדירקטוריונים של שלוש </w:t>
      </w:r>
      <w:r w:rsidRPr="007D6CA6">
        <w:rPr>
          <w:rFonts w:hint="cs"/>
          <w:rtl/>
        </w:rPr>
        <w:t>החברות האמורות לאנשים עם מוגבלות, ליוצאי אתיופיה, לבני האוכלוסייה החרדית ולעולים חדשים</w:t>
      </w:r>
      <w:r w:rsidRPr="0093709F">
        <w:rPr>
          <w:rFonts w:hint="cs"/>
          <w:rtl/>
        </w:rPr>
        <w:t xml:space="preserve">. </w:t>
      </w:r>
    </w:p>
    <w:p w:rsidR="0046492D" w:rsidP="0046492D" w14:paraId="561664D6" w14:textId="4383E7B5">
      <w:pPr>
        <w:pStyle w:val="7392"/>
        <w:ind w:left="424"/>
        <w:rPr>
          <w:noProof/>
          <w:rtl/>
        </w:rPr>
      </w:pPr>
      <w:r w:rsidRPr="0046492D">
        <w:rPr>
          <w:rFonts w:hint="cs"/>
          <w:b/>
          <w:bCs/>
          <w:noProof/>
          <w:rtl/>
        </w:rPr>
        <w:drawing>
          <wp:anchor distT="0" distB="720090" distL="114300" distR="114300" simplePos="0" relativeHeight="251699200"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6492D">
        <w:rPr>
          <w:rFonts w:hint="cs"/>
          <w:b/>
          <w:bCs/>
          <w:rtl/>
        </w:rPr>
        <w:t>פערי שכר בין גברים לנשים</w:t>
      </w:r>
      <w:r w:rsidRPr="007D6CA6">
        <w:rPr>
          <w:rFonts w:hint="cs"/>
          <w:rtl/>
        </w:rPr>
        <w:t xml:space="preserve"> - נתוני מדגמי שכר ברפאל </w:t>
      </w:r>
      <w:r w:rsidRPr="007D6CA6">
        <w:rPr>
          <w:rFonts w:hint="cs"/>
          <w:rtl/>
        </w:rPr>
        <w:t>ובתע"א</w:t>
      </w:r>
      <w:r w:rsidRPr="007D6CA6">
        <w:rPr>
          <w:rFonts w:hint="cs"/>
          <w:rtl/>
        </w:rPr>
        <w:t xml:space="preserve"> מצביעים על קיום פערי שכר "ברוטו" בין גברים לנשים בקבוצות עובדים שנבדקו בחברות אלו ברכיבי שכר שונים, המסתכמים בכ-3,298 - 5,650 ש"ח וב-4,428 ש"ח בממוצע לחודש, בהתאמה. </w:t>
      </w:r>
      <w:r w:rsidRPr="007D6CA6">
        <w:rPr>
          <w:rFonts w:hint="eastAsia"/>
          <w:rtl/>
        </w:rPr>
        <w:t>ברפאל</w:t>
      </w:r>
      <w:r w:rsidRPr="007D6CA6">
        <w:rPr>
          <w:rtl/>
        </w:rPr>
        <w:t xml:space="preserve"> </w:t>
      </w:r>
      <w:r w:rsidRPr="007D6CA6">
        <w:rPr>
          <w:rFonts w:hint="cs"/>
          <w:rtl/>
        </w:rPr>
        <w:t>ההפרשים באים</w:t>
      </w:r>
      <w:r w:rsidRPr="007D6CA6">
        <w:rPr>
          <w:rtl/>
        </w:rPr>
        <w:t xml:space="preserve"> לידי ביטוי בעיקר ברכיבי השכר הבאים: ביצוע שעות נוספות, תוספת תפקיד, בונוסים, </w:t>
      </w:r>
      <w:r w:rsidRPr="007D6CA6">
        <w:rPr>
          <w:rFonts w:hint="cs"/>
          <w:rtl/>
        </w:rPr>
        <w:t>ו</w:t>
      </w:r>
      <w:r w:rsidRPr="007D6CA6">
        <w:rPr>
          <w:rtl/>
        </w:rPr>
        <w:t xml:space="preserve">זקיפת </w:t>
      </w:r>
      <w:r w:rsidRPr="007D6CA6">
        <w:rPr>
          <w:rFonts w:hint="eastAsia"/>
          <w:rtl/>
        </w:rPr>
        <w:t>הטב</w:t>
      </w:r>
      <w:r w:rsidRPr="007D6CA6">
        <w:rPr>
          <w:rFonts w:hint="cs"/>
          <w:rtl/>
        </w:rPr>
        <w:t>ת</w:t>
      </w:r>
      <w:r w:rsidRPr="007D6CA6">
        <w:rPr>
          <w:rtl/>
        </w:rPr>
        <w:t xml:space="preserve"> </w:t>
      </w:r>
      <w:r w:rsidRPr="007D6CA6">
        <w:rPr>
          <w:rFonts w:hint="eastAsia"/>
          <w:rtl/>
        </w:rPr>
        <w:t>רכב</w:t>
      </w:r>
      <w:r w:rsidRPr="007D6CA6">
        <w:rPr>
          <w:rFonts w:hint="cs"/>
          <w:rtl/>
        </w:rPr>
        <w:t>.</w:t>
      </w:r>
      <w:r w:rsidRPr="007D6CA6">
        <w:rPr>
          <w:rtl/>
        </w:rPr>
        <w:t xml:space="preserve"> </w:t>
      </w:r>
      <w:r w:rsidRPr="007D6CA6">
        <w:rPr>
          <w:rFonts w:hint="eastAsia"/>
          <w:rtl/>
        </w:rPr>
        <w:t>בתע</w:t>
      </w:r>
      <w:r w:rsidRPr="007D6CA6">
        <w:rPr>
          <w:rtl/>
        </w:rPr>
        <w:t>"א</w:t>
      </w:r>
      <w:r w:rsidRPr="007D6CA6">
        <w:rPr>
          <w:rtl/>
        </w:rPr>
        <w:t xml:space="preserve"> </w:t>
      </w:r>
      <w:r w:rsidRPr="007D6CA6">
        <w:rPr>
          <w:rFonts w:hint="eastAsia"/>
          <w:rtl/>
        </w:rPr>
        <w:t>ההפרשים</w:t>
      </w:r>
      <w:r w:rsidRPr="007D6CA6">
        <w:rPr>
          <w:rFonts w:hint="cs"/>
          <w:rtl/>
        </w:rPr>
        <w:t xml:space="preserve"> </w:t>
      </w:r>
      <w:r w:rsidRPr="007D6CA6">
        <w:rPr>
          <w:rFonts w:hint="eastAsia"/>
          <w:rtl/>
        </w:rPr>
        <w:t>באים</w:t>
      </w:r>
      <w:r w:rsidRPr="007D6CA6">
        <w:rPr>
          <w:rtl/>
        </w:rPr>
        <w:t xml:space="preserve"> </w:t>
      </w:r>
      <w:r w:rsidRPr="007D6CA6">
        <w:rPr>
          <w:rFonts w:hint="eastAsia"/>
          <w:rtl/>
        </w:rPr>
        <w:t>לידי</w:t>
      </w:r>
      <w:r w:rsidRPr="007D6CA6">
        <w:rPr>
          <w:rtl/>
        </w:rPr>
        <w:t xml:space="preserve"> </w:t>
      </w:r>
      <w:r w:rsidRPr="007D6CA6">
        <w:rPr>
          <w:rFonts w:hint="eastAsia"/>
          <w:rtl/>
        </w:rPr>
        <w:t>ביטוי</w:t>
      </w:r>
      <w:r w:rsidRPr="007D6CA6">
        <w:rPr>
          <w:rtl/>
        </w:rPr>
        <w:t xml:space="preserve"> בעיקר </w:t>
      </w:r>
      <w:r w:rsidRPr="007D6CA6">
        <w:rPr>
          <w:rFonts w:hint="eastAsia"/>
          <w:rtl/>
        </w:rPr>
        <w:t>ברכיבי</w:t>
      </w:r>
      <w:r w:rsidRPr="007D6CA6">
        <w:rPr>
          <w:rtl/>
        </w:rPr>
        <w:t xml:space="preserve"> השכר הבאים: ותק, </w:t>
      </w:r>
      <w:r w:rsidRPr="007D6CA6">
        <w:rPr>
          <w:rtl/>
        </w:rPr>
        <w:t>תמרוץ</w:t>
      </w:r>
      <w:r w:rsidRPr="007D6CA6">
        <w:rPr>
          <w:rtl/>
        </w:rPr>
        <w:t xml:space="preserve">, גמולי השכלה וכוננות, שעות נוספות ותוספות שכר כלליות. כמו כן הפער בשכר </w:t>
      </w:r>
      <w:r w:rsidRPr="007D6CA6">
        <w:rPr>
          <w:rFonts w:hint="cs"/>
          <w:rtl/>
        </w:rPr>
        <w:t>ה</w:t>
      </w:r>
      <w:r w:rsidRPr="007D6CA6">
        <w:rPr>
          <w:rtl/>
        </w:rPr>
        <w:t xml:space="preserve">ממוצע נובע </w:t>
      </w:r>
      <w:r w:rsidRPr="007D6CA6">
        <w:rPr>
          <w:rFonts w:hint="cs"/>
          <w:rtl/>
        </w:rPr>
        <w:t xml:space="preserve">גם </w:t>
      </w:r>
      <w:r w:rsidRPr="007D6CA6">
        <w:rPr>
          <w:rtl/>
        </w:rPr>
        <w:t xml:space="preserve">מכך שמספר הגברים בדרגות הגבוהות </w:t>
      </w:r>
      <w:r w:rsidRPr="007D6CA6">
        <w:rPr>
          <w:rFonts w:hint="cs"/>
          <w:rtl/>
        </w:rPr>
        <w:t>גדול</w:t>
      </w:r>
      <w:r w:rsidRPr="007D6CA6">
        <w:rPr>
          <w:rtl/>
        </w:rPr>
        <w:t xml:space="preserve"> ממספר הנשים</w:t>
      </w:r>
      <w:r w:rsidRPr="0093709F">
        <w:rPr>
          <w:rFonts w:hint="cs"/>
          <w:rtl/>
        </w:rPr>
        <w:t xml:space="preserve">. </w:t>
      </w:r>
      <w:r w:rsidRPr="00B02658">
        <w:rPr>
          <w:rFonts w:hint="cs"/>
          <w:b/>
          <w:bCs/>
          <w:noProof/>
          <w:rtl/>
        </w:rPr>
        <w:drawing>
          <wp:anchor distT="0" distB="720090" distL="114300" distR="114300" simplePos="0" relativeHeight="251700224"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3709F">
        <w:rPr>
          <w:rFonts w:hint="cs"/>
          <w:rtl/>
        </w:rPr>
        <w:t xml:space="preserve"> </w:t>
      </w:r>
    </w:p>
    <w:p w:rsidR="0046492D" w:rsidP="0046492D" w14:paraId="528252C3" w14:textId="365CEBB6">
      <w:pPr>
        <w:pStyle w:val="7392"/>
        <w:ind w:left="424"/>
        <w:rPr>
          <w:noProof/>
          <w:rtl/>
        </w:rPr>
      </w:pPr>
      <w:r w:rsidRPr="00B4206F">
        <w:rPr>
          <w:rStyle w:val="7371"/>
          <w:rFonts w:hint="cs"/>
          <w:noProof/>
          <w:rtl/>
        </w:rPr>
        <w:drawing>
          <wp:anchor distT="0" distB="0" distL="114300" distR="114300" simplePos="0" relativeHeight="251696128" behindDoc="0" locked="0" layoutInCell="1" allowOverlap="1">
            <wp:simplePos x="0" y="0"/>
            <wp:positionH relativeFrom="column">
              <wp:posOffset>2428240</wp:posOffset>
            </wp:positionH>
            <wp:positionV relativeFrom="paragraph">
              <wp:posOffset>178560</wp:posOffset>
            </wp:positionV>
            <wp:extent cx="2199640" cy="180340"/>
            <wp:effectExtent l="0" t="0" r="0" b="0"/>
            <wp:wrapTopAndBottom/>
            <wp:docPr id="38"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p>
    <w:p w:rsidR="00420374" w:rsidRPr="00411396" w:rsidP="00A430D6" w14:paraId="5E6B04AD" w14:textId="6873F3F7">
      <w:pPr>
        <w:pStyle w:val="7392"/>
        <w:spacing w:before="480"/>
        <w:rPr>
          <w:rtl/>
        </w:rPr>
      </w:pPr>
      <w:r w:rsidRPr="0046492D">
        <w:rPr>
          <w:b/>
          <w:bCs/>
          <w:rtl/>
        </w:rPr>
        <w:t xml:space="preserve">העסקת אוכלוסיות הגיוון </w:t>
      </w:r>
      <w:r w:rsidRPr="0046492D">
        <w:rPr>
          <w:b/>
          <w:bCs/>
          <w:rtl/>
        </w:rPr>
        <w:t>בתע"א</w:t>
      </w:r>
      <w:r w:rsidRPr="007D6CA6">
        <w:rPr>
          <w:rtl/>
        </w:rPr>
        <w:t xml:space="preserve"> - שיעור העסקת יוצאי אתיופיה </w:t>
      </w:r>
      <w:r w:rsidRPr="007D6CA6">
        <w:rPr>
          <w:rtl/>
        </w:rPr>
        <w:t>בתע"א</w:t>
      </w:r>
      <w:r w:rsidRPr="007D6CA6">
        <w:rPr>
          <w:rtl/>
        </w:rPr>
        <w:t xml:space="preserve"> </w:t>
      </w:r>
      <w:r w:rsidRPr="007D6CA6">
        <w:rPr>
          <w:rFonts w:hint="cs"/>
          <w:rtl/>
        </w:rPr>
        <w:t xml:space="preserve">בשנת 2021 (2.3%) </w:t>
      </w:r>
      <w:r w:rsidRPr="007D6CA6">
        <w:rPr>
          <w:rtl/>
        </w:rPr>
        <w:t>גבוה מהשיעור שנקבע לגבי העסקתם בשירות המדינה</w:t>
      </w:r>
      <w:r w:rsidRPr="007D6CA6">
        <w:rPr>
          <w:rFonts w:hint="cs"/>
          <w:rtl/>
        </w:rPr>
        <w:t xml:space="preserve"> (1.7%</w:t>
      </w:r>
      <w:r w:rsidRPr="00411396">
        <w:rPr>
          <w:rtl/>
        </w:rPr>
        <w:t>.</w:t>
      </w:r>
    </w:p>
    <w:p w:rsidR="0046492D" w:rsidP="00420374" w14:paraId="3EDEAE63" w14:textId="31495525">
      <w:pPr>
        <w:pStyle w:val="7392"/>
        <w:rPr>
          <w:rtl/>
        </w:rPr>
      </w:pPr>
      <w:r w:rsidRPr="0046492D">
        <w:rPr>
          <w:b/>
          <w:bCs/>
          <w:rtl/>
        </w:rPr>
        <w:t xml:space="preserve">פעילות רשות החברות הממשלתיות בשנת 2022 לקידום הגיוון התעסוקתי </w:t>
      </w:r>
      <w:r w:rsidRPr="0046492D">
        <w:rPr>
          <w:rFonts w:hint="cs"/>
          <w:b/>
          <w:bCs/>
          <w:rtl/>
        </w:rPr>
        <w:t xml:space="preserve">והייצוג ההולם </w:t>
      </w:r>
      <w:r w:rsidRPr="0046492D">
        <w:rPr>
          <w:b/>
          <w:bCs/>
          <w:rtl/>
        </w:rPr>
        <w:t>בתע"א</w:t>
      </w:r>
      <w:r w:rsidRPr="0046492D">
        <w:rPr>
          <w:b/>
          <w:bCs/>
          <w:rtl/>
        </w:rPr>
        <w:t xml:space="preserve"> וברפאל באמצעות תגמול מנהלים בכירים</w:t>
      </w:r>
      <w:r w:rsidRPr="007D6CA6">
        <w:rPr>
          <w:rtl/>
        </w:rPr>
        <w:t xml:space="preserve"> - בשנת 2022 אישרה רשות החברות הממשלתיות לחברות הממשלתיות לקבוע יעדים בנושא הייצוג ההולם אשר עמידה בהם תזכה את העובדים הבכירים בהן בתגמול כספי</w:t>
      </w:r>
      <w:r>
        <w:rPr>
          <w:rFonts w:hint="cs"/>
          <w:rtl/>
        </w:rPr>
        <w:t>.</w:t>
      </w:r>
    </w:p>
    <w:p w:rsidR="00420374" w:rsidRPr="00411396" w:rsidP="00420374" w14:paraId="4A9F3764" w14:textId="555F9B0D">
      <w:pPr>
        <w:pStyle w:val="7392"/>
        <w:rPr>
          <w:rtl/>
        </w:rPr>
      </w:pPr>
      <w:r w:rsidRPr="0046492D">
        <w:rPr>
          <w:b/>
          <w:bCs/>
          <w:rtl/>
        </w:rPr>
        <w:t>ייצוג הולם לבני שני המינים</w:t>
      </w:r>
      <w:r w:rsidRPr="007D6CA6">
        <w:rPr>
          <w:rtl/>
        </w:rPr>
        <w:t xml:space="preserve"> - חל גידול בשיעור העסקת הנשים </w:t>
      </w:r>
      <w:r w:rsidRPr="007D6CA6">
        <w:rPr>
          <w:rtl/>
        </w:rPr>
        <w:t>ב</w:t>
      </w:r>
      <w:r w:rsidRPr="007D6CA6">
        <w:rPr>
          <w:rFonts w:hint="cs"/>
          <w:rtl/>
        </w:rPr>
        <w:t>תע"א</w:t>
      </w:r>
      <w:r w:rsidRPr="007D6CA6">
        <w:rPr>
          <w:rFonts w:hint="cs"/>
          <w:rtl/>
        </w:rPr>
        <w:t xml:space="preserve"> וב</w:t>
      </w:r>
      <w:r w:rsidRPr="007D6CA6">
        <w:rPr>
          <w:rtl/>
        </w:rPr>
        <w:t>רפאל בדרגי הניהול הבכיר בשנים 2018 - 2021 -</w:t>
      </w:r>
      <w:r w:rsidRPr="007D6CA6">
        <w:rPr>
          <w:rFonts w:hint="cs"/>
          <w:rtl/>
        </w:rPr>
        <w:t xml:space="preserve"> מ-</w:t>
      </w:r>
      <w:r w:rsidRPr="007D6CA6">
        <w:rPr>
          <w:rtl/>
        </w:rPr>
        <w:t xml:space="preserve">12% </w:t>
      </w:r>
      <w:r w:rsidRPr="007D6CA6">
        <w:rPr>
          <w:rFonts w:hint="cs"/>
          <w:rtl/>
        </w:rPr>
        <w:t>עד 15.3</w:t>
      </w:r>
      <w:r w:rsidRPr="007D6CA6">
        <w:rPr>
          <w:rtl/>
        </w:rPr>
        <w:t>%</w:t>
      </w:r>
      <w:r w:rsidRPr="007D6CA6">
        <w:rPr>
          <w:rFonts w:hint="cs"/>
          <w:rtl/>
        </w:rPr>
        <w:t xml:space="preserve"> ומ-20.6% עד 22.6%, בהתאמה</w:t>
      </w:r>
      <w:r w:rsidRPr="007D6CA6">
        <w:rPr>
          <w:rtl/>
        </w:rPr>
        <w:t xml:space="preserve">, </w:t>
      </w:r>
      <w:r w:rsidRPr="007D6CA6">
        <w:rPr>
          <w:rFonts w:hint="cs"/>
          <w:rtl/>
        </w:rPr>
        <w:t>ו</w:t>
      </w:r>
      <w:r w:rsidRPr="007D6CA6">
        <w:rPr>
          <w:rtl/>
        </w:rPr>
        <w:t>זאת לעומת שנת 2012 שבה לא הועסקו נשים בדרגים אלה בשתי החברות</w:t>
      </w:r>
      <w:r w:rsidRPr="00411396">
        <w:rPr>
          <w:rFonts w:hint="cs"/>
          <w:rtl/>
        </w:rPr>
        <w:t>.</w:t>
      </w:r>
    </w:p>
    <w:p w:rsidR="002753C7" w:rsidRPr="00662020" w:rsidP="0046492D" w14:paraId="7C748CCB" w14:textId="7A75E04D">
      <w:pPr>
        <w:pStyle w:val="7327"/>
        <w:spacing w:before="600"/>
        <w:rPr>
          <w:rtl/>
        </w:rPr>
      </w:pPr>
      <w:r w:rsidRPr="00662020">
        <w:rPr>
          <w:rFonts w:hint="cs"/>
          <w:rtl/>
        </w:rPr>
        <w:t>עיקרי המלצות הביקורת</w:t>
      </w:r>
    </w:p>
    <w:p w:rsidR="0093709F" w:rsidRPr="007C7D40" w:rsidP="007C7D40" w14:paraId="0466320B" w14:textId="3B419820">
      <w:pPr>
        <w:pStyle w:val="7317"/>
      </w:pPr>
      <w:r w:rsidRPr="007C7D40">
        <w:rPr>
          <w:rFonts w:hint="cs"/>
          <w:noProof/>
          <w:rtl/>
        </w:rPr>
        <w:drawing>
          <wp:anchor distT="0" distB="1440180" distL="107950" distR="114300" simplePos="0" relativeHeight="25169100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D6CA6" w:rsidR="0046492D">
        <w:rPr>
          <w:rtl/>
        </w:rPr>
        <w:t>על דירקטוריון רפאל לפעול לקידום הייצוג ההולם בחברה של יוצאי אתיופיה ובני העדה הדרוזית</w:t>
      </w:r>
      <w:r w:rsidRPr="007D6CA6" w:rsidR="0046492D">
        <w:rPr>
          <w:rFonts w:hint="cs"/>
          <w:rtl/>
        </w:rPr>
        <w:t>,</w:t>
      </w:r>
      <w:r w:rsidRPr="007D6CA6" w:rsidR="0046492D">
        <w:rPr>
          <w:rtl/>
        </w:rPr>
        <w:t xml:space="preserve"> כנדרש בחוק החברות הממשלתיות, וכן לקידום הייצוג ההולם של אנשים עם מוגבלות ונשים בתפקידי ניהול בכיר ו"ליבה בכיר" כנדרש בחוזרי רשות החברות הממשלתיות מהשנים 2014 ו-2017</w:t>
      </w:r>
      <w:r w:rsidRPr="007D6CA6" w:rsidR="0046492D">
        <w:rPr>
          <w:rFonts w:hint="cs"/>
          <w:rtl/>
        </w:rPr>
        <w:t>,</w:t>
      </w:r>
      <w:r w:rsidRPr="007D6CA6" w:rsidR="0046492D">
        <w:rPr>
          <w:rtl/>
        </w:rPr>
        <w:t xml:space="preserve"> בהתאמה, לרבות קביעת יעדים לקליטה ולהעסקה ומעקב אחר מימושם. מומלץ כי דירקטוריון רפאל ישקול לקבוע יעדים לקליטה ולהעסקה של אוכלוסיות גיוון נוספות, כגון בני האוכלוסייה החרדית. מומלץ כי בבואו לקבוע את יעדי הקליטה ישקול הדירקטוריון את היעדים שנקבעו לגבי שירות המדינה</w:t>
      </w:r>
      <w:r w:rsidRPr="007C7D40" w:rsidR="005D0F8C">
        <w:rPr>
          <w:rFonts w:hint="cs"/>
          <w:rtl/>
        </w:rPr>
        <w:t xml:space="preserve">. </w:t>
      </w:r>
    </w:p>
    <w:p w:rsidR="005D0F8C" w:rsidRPr="007C7D40" w:rsidP="007C7D40" w14:paraId="6C626C68" w14:textId="2880B48F">
      <w:pPr>
        <w:pStyle w:val="7317"/>
      </w:pPr>
      <w:r w:rsidRPr="007C7D40">
        <w:rPr>
          <w:rFonts w:hint="cs"/>
          <w:noProof/>
          <w:rtl/>
        </w:rPr>
        <w:drawing>
          <wp:anchor distT="0" distB="1440180" distL="107950" distR="114300" simplePos="0" relativeHeight="25169203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D6CA6" w:rsidR="0046492D">
        <w:rPr>
          <w:rtl/>
        </w:rPr>
        <w:t xml:space="preserve">על דירקטוריון </w:t>
      </w:r>
      <w:r w:rsidRPr="007D6CA6" w:rsidR="0046492D">
        <w:rPr>
          <w:rtl/>
        </w:rPr>
        <w:t>התע"א</w:t>
      </w:r>
      <w:r w:rsidRPr="007D6CA6" w:rsidR="0046492D">
        <w:rPr>
          <w:rtl/>
        </w:rPr>
        <w:t xml:space="preserve"> לקבוע יעדים לייצוג הולם של יוצאי אתיופיה ובני העדה הדרוזית, כנדרש בחוק החברות הממשלתיות; של אנשים עם מוגבלות, כנדרש בחוזר רשות החברות הממשלתיות משנת 2014; ושל נשים בתפקידי ניהול בכיר ו"ליבה בכיר", כנדרש בחוזר רשות החברות משנת 2017, ולעקוב אחר מימושם. מומלץ כי בהמשך למדיניות קליטת העובדים מאוכלוסיות הגיוון </w:t>
      </w:r>
      <w:r w:rsidRPr="007D6CA6" w:rsidR="0046492D">
        <w:rPr>
          <w:rtl/>
        </w:rPr>
        <w:t>בתע"א</w:t>
      </w:r>
      <w:r w:rsidRPr="007D6CA6" w:rsidR="0046492D">
        <w:rPr>
          <w:rtl/>
        </w:rPr>
        <w:t xml:space="preserve"> שקבעה הנהלתה, יקבע הדירקטוריון יעד לקליטה </w:t>
      </w:r>
      <w:r w:rsidRPr="007D6CA6" w:rsidR="0046492D">
        <w:rPr>
          <w:rtl/>
        </w:rPr>
        <w:t>ולהעסקה גם של בני האוכלוסייה החרדית. מומלץ כי בבואו לקבוע את יעדי הקליטה ישקול הדירקטוריון את היעדים שנקבעו לגבי שירות המדינה</w:t>
      </w:r>
      <w:r w:rsidRPr="007C7D40">
        <w:rPr>
          <w:rtl/>
        </w:rPr>
        <w:t xml:space="preserve">. </w:t>
      </w:r>
    </w:p>
    <w:p w:rsidR="005D0F8C" w:rsidRPr="007C7D40" w:rsidP="007C7D40" w14:paraId="16E5BFEE" w14:textId="221E4CAC">
      <w:pPr>
        <w:pStyle w:val="7317"/>
        <w:rPr>
          <w:rtl/>
        </w:rPr>
      </w:pPr>
      <w:r w:rsidRPr="007C7D40">
        <w:rPr>
          <w:rFonts w:hint="cs"/>
          <w:noProof/>
          <w:rtl/>
        </w:rPr>
        <w:drawing>
          <wp:anchor distT="0" distB="1440180" distL="107950" distR="114300" simplePos="0" relativeHeight="25169305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D6CA6" w:rsidR="0046492D">
        <w:rPr>
          <w:rtl/>
        </w:rPr>
        <w:t xml:space="preserve">על רפאל להגיש לרשות החברות הממשלתיות דוחות מלאים </w:t>
      </w:r>
      <w:r w:rsidRPr="007D6CA6" w:rsidR="0046492D">
        <w:rPr>
          <w:rFonts w:hint="cs"/>
          <w:rtl/>
        </w:rPr>
        <w:t xml:space="preserve">על </w:t>
      </w:r>
      <w:r w:rsidRPr="007D6CA6" w:rsidR="0046492D">
        <w:rPr>
          <w:rtl/>
        </w:rPr>
        <w:t xml:space="preserve">יוצאי אתיופיה, בני העדה הדרוזית ואנשים עם מוגבלות. על רפאל </w:t>
      </w:r>
      <w:r w:rsidRPr="007D6CA6" w:rsidR="0046492D">
        <w:rPr>
          <w:rtl/>
        </w:rPr>
        <w:t>והתע"א</w:t>
      </w:r>
      <w:r w:rsidRPr="007D6CA6" w:rsidR="0046492D">
        <w:rPr>
          <w:rtl/>
        </w:rPr>
        <w:t xml:space="preserve"> להגיש דוחות כאמור לגבי נשים בתפקידי ניהול בכיר ו"ליבה בכיר". מומלץ כי רשות החברות הממשלתיות תקפיד </w:t>
      </w:r>
      <w:r w:rsidRPr="007D6CA6" w:rsidR="0046492D">
        <w:rPr>
          <w:rFonts w:hint="cs"/>
          <w:rtl/>
        </w:rPr>
        <w:t>על כך</w:t>
      </w:r>
      <w:r w:rsidRPr="007D6CA6" w:rsidR="0046492D">
        <w:rPr>
          <w:rtl/>
        </w:rPr>
        <w:t xml:space="preserve"> </w:t>
      </w:r>
      <w:r w:rsidRPr="007D6CA6" w:rsidR="0046492D">
        <w:rPr>
          <w:rFonts w:hint="cs"/>
          <w:rtl/>
        </w:rPr>
        <w:t>ש</w:t>
      </w:r>
      <w:r w:rsidRPr="007D6CA6" w:rsidR="0046492D">
        <w:rPr>
          <w:rtl/>
        </w:rPr>
        <w:t>החברות הממשלתיות</w:t>
      </w:r>
      <w:r w:rsidRPr="007D6CA6" w:rsidR="0046492D">
        <w:rPr>
          <w:rFonts w:hint="cs"/>
          <w:rtl/>
        </w:rPr>
        <w:t xml:space="preserve"> יגישו לה</w:t>
      </w:r>
      <w:r w:rsidRPr="007D6CA6" w:rsidR="0046492D">
        <w:rPr>
          <w:rtl/>
        </w:rPr>
        <w:t xml:space="preserve"> את </w:t>
      </w:r>
      <w:r w:rsidRPr="007D6CA6" w:rsidR="0046492D">
        <w:rPr>
          <w:rFonts w:hint="cs"/>
          <w:rtl/>
        </w:rPr>
        <w:t>הדוחות</w:t>
      </w:r>
      <w:r w:rsidRPr="007D6CA6" w:rsidR="0046492D">
        <w:rPr>
          <w:rtl/>
        </w:rPr>
        <w:t xml:space="preserve"> הנדרשים</w:t>
      </w:r>
      <w:r w:rsidRPr="007C7D40">
        <w:rPr>
          <w:rFonts w:hint="cs"/>
          <w:rtl/>
        </w:rPr>
        <w:t>.</w:t>
      </w:r>
    </w:p>
    <w:p w:rsidR="00706096" w:rsidRPr="007C7D40" w:rsidP="007C7D40" w14:paraId="3F6A2BE4" w14:textId="15F677CC">
      <w:pPr>
        <w:pStyle w:val="7317"/>
        <w:rPr>
          <w:rtl/>
        </w:rPr>
      </w:pPr>
      <w:r w:rsidRPr="007C7D40">
        <w:rPr>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54D68" w:rsidR="00151BD0">
        <w:rPr>
          <w:rtl/>
        </w:rPr>
        <w:t xml:space="preserve">מומלץ כי רשות החברות הממשלתיות תבחן את סוגיית שיעור הייצוג ההולם של יוצאי אתיופיה ובני העדה הדרוזית בקרב עובדי החברות הממשלתיות השונות, לרבות </w:t>
      </w:r>
      <w:r w:rsidRPr="00454D68" w:rsidR="00151BD0">
        <w:rPr>
          <w:rtl/>
        </w:rPr>
        <w:t>התע"א</w:t>
      </w:r>
      <w:r w:rsidRPr="00454D68" w:rsidR="00151BD0">
        <w:rPr>
          <w:rtl/>
        </w:rPr>
        <w:t xml:space="preserve"> ורפאל, ותציג את מסקנותיה והמלצותיה בעניין לשרים האחראים לענייני החברות</w:t>
      </w:r>
      <w:r w:rsidRPr="007C7D40">
        <w:rPr>
          <w:rFonts w:hint="cs"/>
          <w:rtl/>
        </w:rPr>
        <w:t>.</w:t>
      </w:r>
    </w:p>
    <w:p w:rsidR="00706096" w:rsidRPr="007C7D40" w:rsidP="007C7D40" w14:paraId="36B4D251" w14:textId="5D29E7C0">
      <w:pPr>
        <w:pStyle w:val="7317"/>
      </w:pPr>
      <w:r w:rsidRPr="007C7D40">
        <w:rPr>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D6CA6" w:rsidR="0046492D">
        <w:rPr>
          <w:rtl/>
        </w:rPr>
        <w:t xml:space="preserve">מומלץ כי נציבות שוויון </w:t>
      </w:r>
      <w:r w:rsidRPr="007D6CA6" w:rsidR="0046492D">
        <w:rPr>
          <w:rFonts w:hint="cs"/>
          <w:rtl/>
        </w:rPr>
        <w:t>זכויות</w:t>
      </w:r>
      <w:r w:rsidRPr="007D6CA6" w:rsidR="0046492D">
        <w:rPr>
          <w:rtl/>
        </w:rPr>
        <w:t xml:space="preserve"> לאנשים עם מוגבלות, בשיתוף רשות החברות הממשלתיות</w:t>
      </w:r>
      <w:r w:rsidRPr="007D6CA6" w:rsidR="0046492D">
        <w:rPr>
          <w:rFonts w:hint="cs"/>
          <w:rtl/>
        </w:rPr>
        <w:t>,</w:t>
      </w:r>
      <w:r w:rsidRPr="007D6CA6" w:rsidR="0046492D">
        <w:rPr>
          <w:rtl/>
        </w:rPr>
        <w:t xml:space="preserve"> תבחן בהקשר לחברות הממשלתיות</w:t>
      </w:r>
      <w:r w:rsidRPr="007D6CA6" w:rsidR="0046492D">
        <w:rPr>
          <w:rFonts w:hint="cs"/>
          <w:rtl/>
        </w:rPr>
        <w:t xml:space="preserve"> את האפשרות</w:t>
      </w:r>
      <w:r w:rsidRPr="007D6CA6" w:rsidR="0046492D">
        <w:rPr>
          <w:rtl/>
        </w:rPr>
        <w:t xml:space="preserve"> </w:t>
      </w:r>
      <w:r w:rsidRPr="007D6CA6" w:rsidR="0046492D">
        <w:rPr>
          <w:rFonts w:hint="cs"/>
          <w:rtl/>
        </w:rPr>
        <w:t>לגבש</w:t>
      </w:r>
      <w:r w:rsidRPr="007D6CA6" w:rsidR="0046492D">
        <w:rPr>
          <w:rtl/>
        </w:rPr>
        <w:t xml:space="preserve"> הגדרה של אדם עם מוגבלות</w:t>
      </w:r>
      <w:r w:rsidRPr="007D6CA6" w:rsidR="0046492D">
        <w:rPr>
          <w:rFonts w:hint="cs"/>
          <w:rtl/>
        </w:rPr>
        <w:t>, לרבות</w:t>
      </w:r>
      <w:r w:rsidRPr="007D6CA6" w:rsidR="0046492D">
        <w:rPr>
          <w:rtl/>
        </w:rPr>
        <w:t xml:space="preserve"> התנאים לכך, כגון אחוזי נכות; </w:t>
      </w:r>
      <w:r w:rsidRPr="007D6CA6" w:rsidR="0046492D">
        <w:rPr>
          <w:rFonts w:hint="cs"/>
          <w:rtl/>
        </w:rPr>
        <w:t>לקבוע</w:t>
      </w:r>
      <w:r w:rsidRPr="007D6CA6" w:rsidR="0046492D">
        <w:rPr>
          <w:rtl/>
        </w:rPr>
        <w:t xml:space="preserve"> מנגנון קבלת מידע על </w:t>
      </w:r>
      <w:r w:rsidRPr="007D6CA6" w:rsidR="0046492D">
        <w:rPr>
          <w:rFonts w:hint="cs"/>
          <w:rtl/>
        </w:rPr>
        <w:t xml:space="preserve">שיעור הייצוג של </w:t>
      </w:r>
      <w:r w:rsidRPr="007D6CA6" w:rsidR="0046492D">
        <w:rPr>
          <w:rtl/>
        </w:rPr>
        <w:t>אנשים עם מוגבלות</w:t>
      </w:r>
      <w:r w:rsidRPr="007D6CA6" w:rsidR="0046492D">
        <w:rPr>
          <w:rFonts w:hint="cs"/>
          <w:rtl/>
        </w:rPr>
        <w:t>;</w:t>
      </w:r>
      <w:r w:rsidRPr="007D6CA6" w:rsidR="0046492D">
        <w:rPr>
          <w:rtl/>
        </w:rPr>
        <w:t xml:space="preserve"> </w:t>
      </w:r>
      <w:r w:rsidRPr="007D6CA6" w:rsidR="0046492D">
        <w:rPr>
          <w:rFonts w:hint="cs"/>
          <w:rtl/>
        </w:rPr>
        <w:t xml:space="preserve">ולהסדיר את </w:t>
      </w:r>
      <w:r w:rsidRPr="007D6CA6" w:rsidR="0046492D">
        <w:rPr>
          <w:rtl/>
        </w:rPr>
        <w:t xml:space="preserve">סמכויות </w:t>
      </w:r>
      <w:r w:rsidRPr="007D6CA6" w:rsidR="0046492D">
        <w:rPr>
          <w:rFonts w:hint="cs"/>
          <w:rtl/>
        </w:rPr>
        <w:t>ה</w:t>
      </w:r>
      <w:r w:rsidRPr="007D6CA6" w:rsidR="0046492D">
        <w:rPr>
          <w:rtl/>
        </w:rPr>
        <w:t xml:space="preserve">אכיפה וסדרי הדיווח הנדרשים. זאת כדי לוודא את עמידתם של מעסיקים של יותר מ-100 עובדים, לרבות חברות ממשלתיות, ביעד הייצוג ההולם שנקבע בצו ההרחבה. מומלץ כי רשות החברות הממשלתיות תעדכן את החוזר </w:t>
      </w:r>
      <w:r w:rsidRPr="007D6CA6" w:rsidR="0046492D">
        <w:rPr>
          <w:rFonts w:hint="cs"/>
          <w:rtl/>
        </w:rPr>
        <w:t xml:space="preserve">שהוציאה </w:t>
      </w:r>
      <w:r w:rsidRPr="007D6CA6" w:rsidR="0046492D">
        <w:rPr>
          <w:rtl/>
        </w:rPr>
        <w:t>לחברות הממשלתיות בעניין אנשים עם מוגבלות</w:t>
      </w:r>
      <w:r w:rsidRPr="007C7D40">
        <w:rPr>
          <w:rFonts w:hint="cs"/>
          <w:rtl/>
        </w:rPr>
        <w:t>.</w:t>
      </w:r>
    </w:p>
    <w:p w:rsidR="0046492D" w14:paraId="2E0B2D11" w14:textId="77777777">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rsidR="005D0F8C" w:rsidP="004E71DD" w14:paraId="6DC28C4F" w14:textId="509A0F70">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80768" behindDoc="0" locked="0" layoutInCell="1" allowOverlap="1">
                <wp:simplePos x="0" y="0"/>
                <wp:positionH relativeFrom="column">
                  <wp:posOffset>170250</wp:posOffset>
                </wp:positionH>
                <wp:positionV relativeFrom="paragraph">
                  <wp:posOffset>44450</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46492D" w14:textId="65C07528">
                            <w:pPr>
                              <w:spacing w:line="240" w:lineRule="auto"/>
                              <w:ind w:right="113"/>
                              <w:jc w:val="left"/>
                              <w:rPr>
                                <w:rFonts w:ascii="Tahoma" w:hAnsi="Tahoma" w:cs="Tahoma"/>
                                <w:b/>
                                <w:bCs/>
                                <w:color w:val="FFFFFF" w:themeColor="background1"/>
                                <w:spacing w:val="-4"/>
                                <w:sz w:val="22"/>
                                <w:szCs w:val="22"/>
                                <w:rtl/>
                              </w:rPr>
                            </w:pPr>
                            <w:r w:rsidRPr="007D6CA6">
                              <w:rPr>
                                <w:rFonts w:ascii="Tahoma" w:hAnsi="Tahoma" w:cs="Tahoma"/>
                                <w:b/>
                                <w:bCs/>
                                <w:color w:val="FFFFFF" w:themeColor="background1"/>
                                <w:spacing w:val="-4"/>
                                <w:sz w:val="22"/>
                                <w:szCs w:val="22"/>
                                <w:rtl/>
                              </w:rPr>
                              <w:t>ה</w:t>
                            </w:r>
                            <w:r w:rsidRPr="007D6CA6">
                              <w:rPr>
                                <w:rFonts w:ascii="Tahoma" w:hAnsi="Tahoma" w:cs="Tahoma" w:hint="cs"/>
                                <w:b/>
                                <w:bCs/>
                                <w:color w:val="FFFFFF" w:themeColor="background1"/>
                                <w:spacing w:val="-4"/>
                                <w:sz w:val="22"/>
                                <w:szCs w:val="22"/>
                                <w:rtl/>
                              </w:rPr>
                              <w:t xml:space="preserve">שוואה בין שיעורי הייצוג של אוכלוסיות הגיוון </w:t>
                            </w:r>
                            <w:r w:rsidRPr="007D6CA6">
                              <w:rPr>
                                <w:rFonts w:ascii="Tahoma" w:hAnsi="Tahoma" w:cs="Tahoma" w:hint="cs"/>
                                <w:b/>
                                <w:bCs/>
                                <w:color w:val="FFFFFF" w:themeColor="background1"/>
                                <w:spacing w:val="-4"/>
                                <w:sz w:val="22"/>
                                <w:szCs w:val="22"/>
                                <w:rtl/>
                              </w:rPr>
                              <w:t>בתע"א</w:t>
                            </w:r>
                            <w:r w:rsidRPr="007D6CA6">
                              <w:rPr>
                                <w:rFonts w:ascii="Tahoma" w:hAnsi="Tahoma" w:cs="Tahoma" w:hint="cs"/>
                                <w:b/>
                                <w:bCs/>
                                <w:color w:val="FFFFFF" w:themeColor="background1"/>
                                <w:spacing w:val="-4"/>
                                <w:sz w:val="22"/>
                                <w:szCs w:val="22"/>
                                <w:rtl/>
                              </w:rPr>
                              <w:t xml:space="preserve"> וברפאל לבין יעדים להעסקתם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2" o:spid="_x0000_s1034" type="#_x0000_t202" style="width:349.35pt;height:34.26pt;margin-top:3.5pt;margin-left:13.41pt;mso-height-percent:0;mso-height-relative:margin;mso-width-percent:0;mso-width-relative:margin;mso-wrap-distance-bottom:0;mso-wrap-distance-left:9pt;mso-wrap-distance-right:9pt;mso-wrap-distance-top:0;position:absolute;v-text-anchor:middle;z-index:251679744" fillcolor="#f05260" stroked="f" strokeweight="0.75pt">
                <v:textbox>
                  <w:txbxContent>
                    <w:p w:rsidR="005D0F8C" w:rsidRPr="005C7ABF" w:rsidP="0046492D" w14:paraId="1D5D7976" w14:textId="65C07528">
                      <w:pPr>
                        <w:spacing w:line="240" w:lineRule="auto"/>
                        <w:ind w:right="113"/>
                        <w:jc w:val="left"/>
                        <w:rPr>
                          <w:rFonts w:ascii="Tahoma" w:hAnsi="Tahoma" w:cs="Tahoma"/>
                          <w:b/>
                          <w:bCs/>
                          <w:color w:val="FFFFFF" w:themeColor="background1"/>
                          <w:spacing w:val="-4"/>
                          <w:sz w:val="22"/>
                          <w:szCs w:val="22"/>
                          <w:rtl/>
                        </w:rPr>
                      </w:pPr>
                      <w:r w:rsidRPr="007D6CA6">
                        <w:rPr>
                          <w:rFonts w:ascii="Tahoma" w:hAnsi="Tahoma" w:cs="Tahoma"/>
                          <w:b/>
                          <w:bCs/>
                          <w:color w:val="FFFFFF" w:themeColor="background1"/>
                          <w:spacing w:val="-4"/>
                          <w:sz w:val="22"/>
                          <w:szCs w:val="22"/>
                          <w:rtl/>
                        </w:rPr>
                        <w:t>ה</w:t>
                      </w:r>
                      <w:r w:rsidRPr="007D6CA6">
                        <w:rPr>
                          <w:rFonts w:ascii="Tahoma" w:hAnsi="Tahoma" w:cs="Tahoma" w:hint="cs"/>
                          <w:b/>
                          <w:bCs/>
                          <w:color w:val="FFFFFF" w:themeColor="background1"/>
                          <w:spacing w:val="-4"/>
                          <w:sz w:val="22"/>
                          <w:szCs w:val="22"/>
                          <w:rtl/>
                        </w:rPr>
                        <w:t xml:space="preserve">שוואה בין שיעורי הייצוג של אוכלוסיות הגיוון </w:t>
                      </w:r>
                      <w:r w:rsidRPr="007D6CA6">
                        <w:rPr>
                          <w:rFonts w:ascii="Tahoma" w:hAnsi="Tahoma" w:cs="Tahoma" w:hint="cs"/>
                          <w:b/>
                          <w:bCs/>
                          <w:color w:val="FFFFFF" w:themeColor="background1"/>
                          <w:spacing w:val="-4"/>
                          <w:sz w:val="22"/>
                          <w:szCs w:val="22"/>
                          <w:rtl/>
                        </w:rPr>
                        <w:t>בתע"א</w:t>
                      </w:r>
                      <w:r w:rsidRPr="007D6CA6">
                        <w:rPr>
                          <w:rFonts w:ascii="Tahoma" w:hAnsi="Tahoma" w:cs="Tahoma" w:hint="cs"/>
                          <w:b/>
                          <w:bCs/>
                          <w:color w:val="FFFFFF" w:themeColor="background1"/>
                          <w:spacing w:val="-4"/>
                          <w:sz w:val="22"/>
                          <w:szCs w:val="22"/>
                          <w:rtl/>
                        </w:rPr>
                        <w:t xml:space="preserve"> וברפאל לבין יעדים להעסקתם</w:t>
                      </w:r>
                    </w:p>
                  </w:txbxContent>
                </v:textbox>
              </v:shape>
            </w:pict>
          </mc:Fallback>
        </mc:AlternateContent>
      </w:r>
      <w:r w:rsidRPr="00D527BD" w:rsidR="004E71DD">
        <w:rPr>
          <w:noProof/>
          <w:szCs w:val="20"/>
          <w:rtl/>
        </w:rPr>
        <w:drawing>
          <wp:anchor distT="0" distB="0" distL="114300" distR="114300" simplePos="0" relativeHeight="251678720" behindDoc="0" locked="0" layoutInCell="1" allowOverlap="1">
            <wp:simplePos x="0" y="0"/>
            <wp:positionH relativeFrom="column">
              <wp:posOffset>-106330</wp:posOffset>
            </wp:positionH>
            <wp:positionV relativeFrom="paragraph">
              <wp:posOffset>-48458</wp:posOffset>
            </wp:positionV>
            <wp:extent cx="4890781"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94634" cy="763236"/>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P="005D0F8C" w14:paraId="65CD3CF9" w14:textId="1257E12E">
      <w:pPr>
        <w:pStyle w:val="7317"/>
        <w:rPr>
          <w:rtl/>
        </w:rPr>
      </w:pPr>
    </w:p>
    <w:tbl>
      <w:tblPr>
        <w:tblStyle w:val="TableGrid"/>
        <w:bidiVisual/>
        <w:tblW w:w="5000" w:type="pct"/>
        <w:tblBorders>
          <w:top w:val="none" w:sz="0" w:space="0" w:color="auto"/>
          <w:bottom w:val="none" w:sz="0" w:space="0" w:color="auto"/>
          <w:insideH w:val="none" w:sz="0" w:space="0" w:color="auto"/>
        </w:tblBorders>
        <w:tblLook w:val="04A0"/>
      </w:tblPr>
      <w:tblGrid>
        <w:gridCol w:w="1840"/>
        <w:gridCol w:w="1840"/>
        <w:gridCol w:w="1840"/>
        <w:gridCol w:w="1840"/>
      </w:tblGrid>
      <w:tr w14:paraId="4E583695" w14:textId="77777777" w:rsidTr="00A77995">
        <w:tblPrEx>
          <w:tblW w:w="5000" w:type="pct"/>
          <w:tblBorders>
            <w:top w:val="none" w:sz="0" w:space="0" w:color="auto"/>
            <w:bottom w:val="none" w:sz="0" w:space="0" w:color="auto"/>
            <w:insideH w:val="none" w:sz="0" w:space="0" w:color="auto"/>
          </w:tblBorders>
          <w:tblLook w:val="04A0"/>
        </w:tblPrEx>
        <w:trPr>
          <w:trHeight w:val="51"/>
        </w:trPr>
        <w:tc>
          <w:tcPr>
            <w:tcW w:w="1250" w:type="pct"/>
            <w:vMerge w:val="restart"/>
            <w:shd w:val="clear" w:color="auto" w:fill="C8DCE4"/>
            <w:vAlign w:val="bottom"/>
          </w:tcPr>
          <w:p w:rsidR="00A77995" w:rsidRPr="00A77995" w:rsidP="00A77995" w14:paraId="204448AF" w14:textId="6703F33E">
            <w:pPr>
              <w:pStyle w:val="73R"/>
              <w:jc w:val="center"/>
              <w:rPr>
                <w:b/>
                <w:bCs/>
                <w:rtl/>
              </w:rPr>
            </w:pPr>
            <w:r w:rsidRPr="00A77995">
              <w:rPr>
                <w:b/>
                <w:bCs/>
                <w:rtl/>
              </w:rPr>
              <w:t>אוכלוסיית הגיוון</w:t>
            </w:r>
          </w:p>
        </w:tc>
        <w:tc>
          <w:tcPr>
            <w:tcW w:w="1250" w:type="pct"/>
            <w:vMerge w:val="restart"/>
            <w:shd w:val="clear" w:color="auto" w:fill="C8DCE4"/>
            <w:vAlign w:val="bottom"/>
          </w:tcPr>
          <w:p w:rsidR="00A77995" w:rsidRPr="00A77995" w:rsidP="00A77995" w14:paraId="490155B9" w14:textId="3725A9D3">
            <w:pPr>
              <w:pStyle w:val="73R"/>
              <w:jc w:val="center"/>
              <w:rPr>
                <w:b/>
                <w:bCs/>
                <w:rtl/>
              </w:rPr>
            </w:pPr>
            <w:r w:rsidRPr="00A77995">
              <w:rPr>
                <w:b/>
                <w:bCs/>
                <w:rtl/>
              </w:rPr>
              <w:t>יעדי העסקה</w:t>
            </w:r>
          </w:p>
        </w:tc>
        <w:tc>
          <w:tcPr>
            <w:tcW w:w="2500" w:type="pct"/>
            <w:gridSpan w:val="2"/>
            <w:shd w:val="clear" w:color="auto" w:fill="C8DCE4"/>
            <w:vAlign w:val="bottom"/>
          </w:tcPr>
          <w:p w:rsidR="00A77995" w:rsidRPr="00A77995" w:rsidP="00A77995" w14:paraId="4947E5F2" w14:textId="61EAB704">
            <w:pPr>
              <w:pStyle w:val="73R"/>
              <w:jc w:val="center"/>
              <w:rPr>
                <w:b/>
                <w:bCs/>
                <w:rtl/>
              </w:rPr>
            </w:pPr>
            <w:r w:rsidRPr="00A77995">
              <w:rPr>
                <w:b/>
                <w:bCs/>
                <w:rtl/>
              </w:rPr>
              <w:t>שיעור הייצוג בסוף</w:t>
            </w:r>
            <w:r>
              <w:rPr>
                <w:rFonts w:hint="cs"/>
                <w:b/>
                <w:bCs/>
                <w:rtl/>
              </w:rPr>
              <w:t xml:space="preserve"> </w:t>
            </w:r>
            <w:r w:rsidRPr="00A77995">
              <w:rPr>
                <w:b/>
                <w:bCs/>
                <w:rtl/>
              </w:rPr>
              <w:t>שנת 2021</w:t>
            </w:r>
          </w:p>
        </w:tc>
      </w:tr>
      <w:tr w14:paraId="7498B9AF" w14:textId="77777777" w:rsidTr="00A77995">
        <w:tblPrEx>
          <w:tblW w:w="5000" w:type="pct"/>
          <w:tblLook w:val="04A0"/>
        </w:tblPrEx>
        <w:trPr>
          <w:trHeight w:val="48"/>
        </w:trPr>
        <w:tc>
          <w:tcPr>
            <w:tcW w:w="1250" w:type="pct"/>
            <w:vMerge/>
            <w:shd w:val="clear" w:color="auto" w:fill="C8DCE4"/>
            <w:vAlign w:val="bottom"/>
          </w:tcPr>
          <w:p w:rsidR="00A77995" w:rsidRPr="00A77995" w:rsidP="00A77995" w14:paraId="35EBE7FB" w14:textId="77777777">
            <w:pPr>
              <w:pStyle w:val="73R"/>
              <w:jc w:val="center"/>
              <w:rPr>
                <w:b/>
                <w:bCs/>
                <w:rtl/>
              </w:rPr>
            </w:pPr>
          </w:p>
        </w:tc>
        <w:tc>
          <w:tcPr>
            <w:tcW w:w="1250" w:type="pct"/>
            <w:vMerge/>
            <w:shd w:val="clear" w:color="auto" w:fill="C8DCE4"/>
            <w:vAlign w:val="bottom"/>
          </w:tcPr>
          <w:p w:rsidR="00A77995" w:rsidRPr="00A77995" w:rsidP="00A77995" w14:paraId="36009254" w14:textId="77777777">
            <w:pPr>
              <w:pStyle w:val="73R"/>
              <w:jc w:val="center"/>
              <w:rPr>
                <w:b/>
                <w:bCs/>
                <w:rtl/>
              </w:rPr>
            </w:pPr>
          </w:p>
        </w:tc>
        <w:tc>
          <w:tcPr>
            <w:tcW w:w="1250" w:type="pct"/>
            <w:shd w:val="clear" w:color="auto" w:fill="BBCCD4"/>
            <w:vAlign w:val="bottom"/>
          </w:tcPr>
          <w:p w:rsidR="00A77995" w:rsidRPr="00A77995" w:rsidP="00A77995" w14:paraId="1046BC9F" w14:textId="2BF7485C">
            <w:pPr>
              <w:pStyle w:val="73R"/>
              <w:jc w:val="center"/>
              <w:rPr>
                <w:b/>
                <w:bCs/>
                <w:rtl/>
              </w:rPr>
            </w:pPr>
            <w:r w:rsidRPr="00A77995">
              <w:rPr>
                <w:b/>
                <w:bCs/>
                <w:rtl/>
              </w:rPr>
              <w:t>רפאל</w:t>
            </w:r>
          </w:p>
        </w:tc>
        <w:tc>
          <w:tcPr>
            <w:tcW w:w="1250" w:type="pct"/>
            <w:shd w:val="clear" w:color="auto" w:fill="BBCCD4"/>
            <w:vAlign w:val="bottom"/>
          </w:tcPr>
          <w:p w:rsidR="00A77995" w:rsidRPr="00A77995" w:rsidP="00A77995" w14:paraId="04BEE560" w14:textId="23D4A2A3">
            <w:pPr>
              <w:pStyle w:val="73R"/>
              <w:jc w:val="center"/>
              <w:rPr>
                <w:b/>
                <w:bCs/>
                <w:rtl/>
              </w:rPr>
            </w:pPr>
            <w:r w:rsidRPr="00A77995">
              <w:rPr>
                <w:b/>
                <w:bCs/>
                <w:rtl/>
              </w:rPr>
              <w:t>התע"א</w:t>
            </w:r>
          </w:p>
        </w:tc>
      </w:tr>
      <w:tr w14:paraId="1D956318" w14:textId="77777777" w:rsidTr="00A77995">
        <w:tblPrEx>
          <w:tblW w:w="5000" w:type="pct"/>
          <w:tblLook w:val="04A0"/>
        </w:tblPrEx>
        <w:trPr>
          <w:trHeight w:val="48"/>
        </w:trPr>
        <w:tc>
          <w:tcPr>
            <w:tcW w:w="1250" w:type="pct"/>
            <w:shd w:val="clear" w:color="auto" w:fill="DFECEF"/>
          </w:tcPr>
          <w:p w:rsidR="00A77995" w:rsidRPr="00A77995" w:rsidP="00A77995" w14:paraId="539F488A" w14:textId="1D978F2E">
            <w:pPr>
              <w:pStyle w:val="73R"/>
              <w:rPr>
                <w:rtl/>
              </w:rPr>
            </w:pPr>
            <w:r w:rsidRPr="00A77995">
              <w:rPr>
                <w:rtl/>
              </w:rPr>
              <w:t>יוצאי אתיופיה</w:t>
            </w:r>
          </w:p>
        </w:tc>
        <w:tc>
          <w:tcPr>
            <w:tcW w:w="1250" w:type="pct"/>
            <w:shd w:val="clear" w:color="auto" w:fill="DFECEF"/>
          </w:tcPr>
          <w:p w:rsidR="00A77995" w:rsidRPr="00A77995" w:rsidP="00A77995" w14:paraId="77776648" w14:textId="3AF0CB5C">
            <w:pPr>
              <w:pStyle w:val="73R"/>
              <w:rPr>
                <w:rtl/>
              </w:rPr>
            </w:pPr>
            <w:r w:rsidRPr="00A77995">
              <w:rPr>
                <w:rtl/>
              </w:rPr>
              <w:t>1.7% יעד העסקה בשירות המדינה</w:t>
            </w:r>
          </w:p>
        </w:tc>
        <w:tc>
          <w:tcPr>
            <w:tcW w:w="1250" w:type="pct"/>
            <w:shd w:val="clear" w:color="auto" w:fill="DFECEF"/>
          </w:tcPr>
          <w:p w:rsidR="00A77995" w:rsidRPr="00A77995" w:rsidP="00A77995" w14:paraId="20808E45" w14:textId="7F96A71D">
            <w:pPr>
              <w:pStyle w:val="73R"/>
              <w:rPr>
                <w:rtl/>
              </w:rPr>
            </w:pPr>
            <w:r w:rsidRPr="00A77995">
              <w:rPr>
                <w:rtl/>
              </w:rPr>
              <w:t xml:space="preserve">52 </w:t>
            </w:r>
            <w:r>
              <w:rPr>
                <w:rtl/>
              </w:rPr>
              <w:br/>
            </w:r>
            <w:r w:rsidRPr="00A77995">
              <w:rPr>
                <w:rtl/>
              </w:rPr>
              <w:t>(0.58%)</w:t>
            </w:r>
          </w:p>
        </w:tc>
        <w:tc>
          <w:tcPr>
            <w:tcW w:w="1250" w:type="pct"/>
            <w:shd w:val="clear" w:color="auto" w:fill="DFECEF"/>
          </w:tcPr>
          <w:p w:rsidR="00A77995" w:rsidRPr="00A77995" w:rsidP="00A77995" w14:paraId="7EDEBA9D" w14:textId="03C6B3A7">
            <w:pPr>
              <w:pStyle w:val="73R"/>
              <w:rPr>
                <w:rtl/>
              </w:rPr>
            </w:pPr>
            <w:r w:rsidRPr="00A77995">
              <w:rPr>
                <w:rtl/>
              </w:rPr>
              <w:t>299</w:t>
            </w:r>
            <w:r>
              <w:rPr>
                <w:rtl/>
              </w:rPr>
              <w:br/>
            </w:r>
            <w:r w:rsidRPr="00A77995">
              <w:rPr>
                <w:rtl/>
              </w:rPr>
              <w:t>(2.3%)</w:t>
            </w:r>
          </w:p>
        </w:tc>
      </w:tr>
      <w:tr w14:paraId="40A0592F" w14:textId="77777777" w:rsidTr="00A77995">
        <w:tblPrEx>
          <w:tblW w:w="5000" w:type="pct"/>
          <w:tblLook w:val="04A0"/>
        </w:tblPrEx>
        <w:trPr>
          <w:trHeight w:val="48"/>
        </w:trPr>
        <w:tc>
          <w:tcPr>
            <w:tcW w:w="1250" w:type="pct"/>
            <w:shd w:val="clear" w:color="auto" w:fill="F0F8F9"/>
          </w:tcPr>
          <w:p w:rsidR="00A77995" w:rsidRPr="00A77995" w:rsidP="00A77995" w14:paraId="6A176450" w14:textId="5A5CA2A3">
            <w:pPr>
              <w:pStyle w:val="73R"/>
              <w:rPr>
                <w:rtl/>
              </w:rPr>
            </w:pPr>
            <w:r w:rsidRPr="00A77995">
              <w:rPr>
                <w:rtl/>
              </w:rPr>
              <w:t>בני העדה הדרוזית</w:t>
            </w:r>
          </w:p>
        </w:tc>
        <w:tc>
          <w:tcPr>
            <w:tcW w:w="1250" w:type="pct"/>
            <w:shd w:val="clear" w:color="auto" w:fill="F0F8F9"/>
          </w:tcPr>
          <w:p w:rsidR="00A77995" w:rsidRPr="00A77995" w:rsidP="00A77995" w14:paraId="08ED45FB" w14:textId="42B65BBE">
            <w:pPr>
              <w:pStyle w:val="73R"/>
              <w:rPr>
                <w:rtl/>
              </w:rPr>
            </w:pPr>
            <w:r w:rsidRPr="00A77995">
              <w:rPr>
                <w:rtl/>
              </w:rPr>
              <w:t>1.6% שיעור באוכלוסייה*</w:t>
            </w:r>
          </w:p>
        </w:tc>
        <w:tc>
          <w:tcPr>
            <w:tcW w:w="1250" w:type="pct"/>
            <w:shd w:val="clear" w:color="auto" w:fill="F0F8F9"/>
          </w:tcPr>
          <w:p w:rsidR="00A77995" w:rsidRPr="00A77995" w:rsidP="00A77995" w14:paraId="3FD5FFC6" w14:textId="63A9A48B">
            <w:pPr>
              <w:pStyle w:val="73R"/>
              <w:rPr>
                <w:rtl/>
              </w:rPr>
            </w:pPr>
            <w:r w:rsidRPr="00A77995">
              <w:rPr>
                <w:rtl/>
              </w:rPr>
              <w:t>13**</w:t>
            </w:r>
            <w:r>
              <w:rPr>
                <w:rtl/>
              </w:rPr>
              <w:br/>
            </w:r>
            <w:r w:rsidRPr="00A77995">
              <w:rPr>
                <w:rtl/>
              </w:rPr>
              <w:t>(0.15%)</w:t>
            </w:r>
          </w:p>
        </w:tc>
        <w:tc>
          <w:tcPr>
            <w:tcW w:w="1250" w:type="pct"/>
            <w:shd w:val="clear" w:color="auto" w:fill="F0F8F9"/>
          </w:tcPr>
          <w:p w:rsidR="00A77995" w:rsidRPr="00A77995" w:rsidP="00A77995" w14:paraId="0FC23429" w14:textId="47F475EB">
            <w:pPr>
              <w:pStyle w:val="73R"/>
              <w:rPr>
                <w:rtl/>
              </w:rPr>
            </w:pPr>
            <w:r w:rsidRPr="00A77995">
              <w:rPr>
                <w:rtl/>
              </w:rPr>
              <w:t>23</w:t>
            </w:r>
            <w:r>
              <w:rPr>
                <w:rtl/>
              </w:rPr>
              <w:br/>
            </w:r>
            <w:r w:rsidRPr="00A77995">
              <w:rPr>
                <w:rtl/>
              </w:rPr>
              <w:t>(0.16%)</w:t>
            </w:r>
          </w:p>
        </w:tc>
      </w:tr>
      <w:tr w14:paraId="6C413327" w14:textId="77777777" w:rsidTr="00A77995">
        <w:tblPrEx>
          <w:tblW w:w="5000" w:type="pct"/>
          <w:tblLook w:val="04A0"/>
        </w:tblPrEx>
        <w:trPr>
          <w:trHeight w:val="48"/>
        </w:trPr>
        <w:tc>
          <w:tcPr>
            <w:tcW w:w="1250" w:type="pct"/>
            <w:shd w:val="clear" w:color="auto" w:fill="DFECEF"/>
          </w:tcPr>
          <w:p w:rsidR="00A77995" w:rsidRPr="00A77995" w:rsidP="00A77995" w14:paraId="560CEDD2" w14:textId="2ED839A2">
            <w:pPr>
              <w:pStyle w:val="73R"/>
              <w:rPr>
                <w:rtl/>
              </w:rPr>
            </w:pPr>
            <w:r w:rsidRPr="00A77995">
              <w:rPr>
                <w:rtl/>
              </w:rPr>
              <w:t>אנשים עם מוגבלות</w:t>
            </w:r>
          </w:p>
        </w:tc>
        <w:tc>
          <w:tcPr>
            <w:tcW w:w="1250" w:type="pct"/>
            <w:shd w:val="clear" w:color="auto" w:fill="DFECEF"/>
          </w:tcPr>
          <w:p w:rsidR="00A77995" w:rsidRPr="00A77995" w:rsidP="00A77995" w14:paraId="1EC2B3F9" w14:textId="68EA6143">
            <w:pPr>
              <w:pStyle w:val="73R"/>
              <w:rPr>
                <w:rtl/>
              </w:rPr>
            </w:pPr>
            <w:r w:rsidRPr="00A77995">
              <w:rPr>
                <w:rtl/>
              </w:rPr>
              <w:t>3%***</w:t>
            </w:r>
          </w:p>
        </w:tc>
        <w:tc>
          <w:tcPr>
            <w:tcW w:w="1250" w:type="pct"/>
            <w:shd w:val="clear" w:color="auto" w:fill="DFECEF"/>
          </w:tcPr>
          <w:p w:rsidR="00A77995" w:rsidRPr="00A77995" w:rsidP="00A77995" w14:paraId="0C3D9694" w14:textId="39A15D0E">
            <w:pPr>
              <w:pStyle w:val="73R"/>
              <w:rPr>
                <w:rtl/>
              </w:rPr>
            </w:pPr>
            <w:r w:rsidRPr="00A77995">
              <w:rPr>
                <w:rtl/>
              </w:rPr>
              <w:t xml:space="preserve">52 </w:t>
            </w:r>
            <w:r>
              <w:rPr>
                <w:rtl/>
              </w:rPr>
              <w:br/>
            </w:r>
            <w:r w:rsidRPr="00A77995">
              <w:rPr>
                <w:rtl/>
              </w:rPr>
              <w:t>(0.58%)</w:t>
            </w:r>
          </w:p>
        </w:tc>
        <w:tc>
          <w:tcPr>
            <w:tcW w:w="1250" w:type="pct"/>
            <w:shd w:val="clear" w:color="auto" w:fill="DFECEF"/>
          </w:tcPr>
          <w:p w:rsidR="00A77995" w:rsidRPr="00A77995" w:rsidP="00A77995" w14:paraId="31C673EC" w14:textId="68E8A72B">
            <w:pPr>
              <w:pStyle w:val="73R"/>
              <w:rPr>
                <w:rtl/>
              </w:rPr>
            </w:pPr>
            <w:r w:rsidRPr="00A77995">
              <w:rPr>
                <w:rtl/>
              </w:rPr>
              <w:t>293</w:t>
            </w:r>
            <w:r>
              <w:rPr>
                <w:rtl/>
              </w:rPr>
              <w:br/>
            </w:r>
            <w:r w:rsidRPr="00A77995">
              <w:rPr>
                <w:rtl/>
              </w:rPr>
              <w:t>(2.3%)</w:t>
            </w:r>
          </w:p>
        </w:tc>
      </w:tr>
      <w:tr w14:paraId="676C2444" w14:textId="77777777" w:rsidTr="00A77995">
        <w:tblPrEx>
          <w:tblW w:w="5000" w:type="pct"/>
          <w:tblLook w:val="04A0"/>
        </w:tblPrEx>
        <w:trPr>
          <w:trHeight w:val="48"/>
        </w:trPr>
        <w:tc>
          <w:tcPr>
            <w:tcW w:w="1250" w:type="pct"/>
            <w:shd w:val="clear" w:color="auto" w:fill="F0F8F9"/>
          </w:tcPr>
          <w:p w:rsidR="00A77995" w:rsidRPr="00A77995" w:rsidP="00A77995" w14:paraId="007BB45E" w14:textId="3827BD57">
            <w:pPr>
              <w:pStyle w:val="73R"/>
              <w:rPr>
                <w:rtl/>
              </w:rPr>
            </w:pPr>
            <w:r w:rsidRPr="00A77995">
              <w:rPr>
                <w:rtl/>
              </w:rPr>
              <w:t>בני האוכלוסייה החרדית</w:t>
            </w:r>
          </w:p>
        </w:tc>
        <w:tc>
          <w:tcPr>
            <w:tcW w:w="1250" w:type="pct"/>
            <w:shd w:val="clear" w:color="auto" w:fill="F0F8F9"/>
          </w:tcPr>
          <w:p w:rsidR="00A77995" w:rsidRPr="00A77995" w:rsidP="00A77995" w14:paraId="5C6E5200" w14:textId="0C74B94C">
            <w:pPr>
              <w:pStyle w:val="73R"/>
              <w:rPr>
                <w:rtl/>
              </w:rPr>
            </w:pPr>
            <w:r w:rsidRPr="00A77995">
              <w:rPr>
                <w:rtl/>
              </w:rPr>
              <w:t xml:space="preserve">7% לפחות מהעובדים הנקלטים בשנים 2018 - 2020 בשירות המדינה**** </w:t>
            </w:r>
            <w:r>
              <w:rPr>
                <w:rtl/>
              </w:rPr>
              <w:br/>
            </w:r>
            <w:r w:rsidRPr="00A77995">
              <w:rPr>
                <w:rtl/>
              </w:rPr>
              <w:t>שיעורם באוכלוסייה בגיל העבודה 8%*****</w:t>
            </w:r>
          </w:p>
        </w:tc>
        <w:tc>
          <w:tcPr>
            <w:tcW w:w="1250" w:type="pct"/>
            <w:shd w:val="clear" w:color="auto" w:fill="F0F8F9"/>
          </w:tcPr>
          <w:p w:rsidR="00A77995" w:rsidRPr="00A77995" w:rsidP="00A77995" w14:paraId="126E1E7B" w14:textId="01BF764E">
            <w:pPr>
              <w:pStyle w:val="73R"/>
              <w:rPr>
                <w:rtl/>
              </w:rPr>
            </w:pPr>
            <w:r w:rsidRPr="00A77995">
              <w:rPr>
                <w:rtl/>
              </w:rPr>
              <w:t>80</w:t>
            </w:r>
            <w:r>
              <w:rPr>
                <w:rtl/>
              </w:rPr>
              <w:br/>
            </w:r>
            <w:r w:rsidRPr="00A77995">
              <w:rPr>
                <w:rtl/>
              </w:rPr>
              <w:t>(0.9%)</w:t>
            </w:r>
          </w:p>
        </w:tc>
        <w:tc>
          <w:tcPr>
            <w:tcW w:w="1250" w:type="pct"/>
            <w:shd w:val="clear" w:color="auto" w:fill="F0F8F9"/>
          </w:tcPr>
          <w:p w:rsidR="00A77995" w:rsidRPr="00A77995" w:rsidP="00A77995" w14:paraId="259417BF" w14:textId="564B0D4E">
            <w:pPr>
              <w:pStyle w:val="73R"/>
              <w:rPr>
                <w:rtl/>
              </w:rPr>
            </w:pPr>
            <w:r w:rsidRPr="00A77995">
              <w:rPr>
                <w:rtl/>
              </w:rPr>
              <w:t>346</w:t>
            </w:r>
            <w:r>
              <w:rPr>
                <w:rtl/>
              </w:rPr>
              <w:br/>
            </w:r>
            <w:r w:rsidRPr="00A77995">
              <w:rPr>
                <w:rtl/>
              </w:rPr>
              <w:t>(2.6%)</w:t>
            </w:r>
          </w:p>
        </w:tc>
      </w:tr>
    </w:tbl>
    <w:p w:rsidR="00A77995" w:rsidP="00A77995" w14:paraId="74195998" w14:textId="38A75B06">
      <w:pPr>
        <w:pStyle w:val="738"/>
        <w:spacing w:before="240" w:after="0"/>
        <w:rPr>
          <w:rtl/>
        </w:rPr>
      </w:pPr>
      <w:r w:rsidRPr="009E4ED6">
        <w:rPr>
          <w:rtl/>
        </w:rPr>
        <w:t xml:space="preserve">על פי דיווחי רשות החברות הממשלתיות לוועדת העלייה, הקליטה והתפוצות ולוועדת החוקה, חוק ומשפט של הכנסת; טיוטת דוח ביקורת של מבקר </w:t>
      </w:r>
      <w:r w:rsidRPr="009E4ED6">
        <w:rPr>
          <w:rtl/>
        </w:rPr>
        <w:t>התע"א</w:t>
      </w:r>
      <w:r w:rsidRPr="009E4ED6">
        <w:rPr>
          <w:rtl/>
        </w:rPr>
        <w:t xml:space="preserve"> בנושא "פערי שכר על רקע גיוון אוכלוסייה" מאוקטובר 2021, דוחות שהגישו הדירקטוריונים של רפאל </w:t>
      </w:r>
      <w:r w:rsidRPr="009E4ED6">
        <w:rPr>
          <w:rtl/>
        </w:rPr>
        <w:t>והתע"א</w:t>
      </w:r>
      <w:r w:rsidRPr="009E4ED6">
        <w:rPr>
          <w:rtl/>
        </w:rPr>
        <w:t xml:space="preserve"> לרשות החברות, מסמכי </w:t>
      </w:r>
      <w:r w:rsidRPr="009E4ED6">
        <w:rPr>
          <w:rtl/>
        </w:rPr>
        <w:t>התע"א</w:t>
      </w:r>
      <w:r w:rsidRPr="009E4ED6">
        <w:rPr>
          <w:rtl/>
        </w:rPr>
        <w:t>, צו ההרחבה, לפי החלטת הממשלה 2579, "ייצוג הולם לבני האוכלוסייה הערבית, לרבות הדרוזית והצ'רקסית בשירות המדינה</w:t>
      </w:r>
      <w:r w:rsidRPr="009E4ED6" w:rsidR="00BB4F46">
        <w:rPr>
          <w:rtl/>
        </w:rPr>
        <w:t>"</w:t>
      </w:r>
      <w:r w:rsidRPr="009E4ED6">
        <w:rPr>
          <w:rtl/>
        </w:rPr>
        <w:t xml:space="preserve"> (11.11.07); החלטות הממשלה 1065 (28.1.06) ו-1107 (4.2.16) לגבי יוצאי אתיופיה; החלטת הממשלה 3268 לגבי בני האוכלוסייה החרדית (17.12.17); ונתוני הלשכה המרכזית לסטטיסטיקה, בעיבוד משרד מבקר המדינה. הנתונים הם לסוף כל שנה.</w:t>
      </w:r>
    </w:p>
    <w:p w:rsidR="00A77995" w:rsidRPr="009E4ED6" w:rsidP="00A77995" w14:paraId="0B8F013A" w14:textId="6FEF6CCA">
      <w:pPr>
        <w:pStyle w:val="738"/>
        <w:spacing w:before="0" w:after="0"/>
        <w:ind w:left="566" w:hanging="566"/>
        <w:rPr>
          <w:rtl/>
        </w:rPr>
      </w:pPr>
      <w:r w:rsidRPr="009E4ED6">
        <w:rPr>
          <w:rtl/>
        </w:rPr>
        <w:t xml:space="preserve">* </w:t>
      </w:r>
      <w:r>
        <w:rPr>
          <w:rtl/>
        </w:rPr>
        <w:tab/>
      </w:r>
      <w:r w:rsidRPr="009E4ED6">
        <w:rPr>
          <w:rtl/>
        </w:rPr>
        <w:t>בשירות המדינה נקבע יעד של העסקת 10% לפחות מבני האוכלוסייה הערבית, לרבות הצ'רקסית ובני העדה הדרוזית. אין בשירות המדינה יעד העסקה נפרד לבני העדה הדרוזית. לפי נתוני הלשכה המרכזית לסטטיסטיקה שיעור בני העדה הדרוזית מקרב תושבי ישראל בסוף שנת 2021 היה 1.6%.</w:t>
      </w:r>
    </w:p>
    <w:p w:rsidR="00A77995" w:rsidRPr="009E4ED6" w:rsidP="00A77995" w14:paraId="082EBBDB" w14:textId="4F2D833C">
      <w:pPr>
        <w:pStyle w:val="738"/>
        <w:spacing w:before="0" w:after="0"/>
        <w:ind w:left="566" w:hanging="566"/>
        <w:rPr>
          <w:rtl/>
        </w:rPr>
      </w:pPr>
      <w:r w:rsidRPr="009E4ED6">
        <w:rPr>
          <w:rtl/>
        </w:rPr>
        <w:t xml:space="preserve">** </w:t>
      </w:r>
      <w:r>
        <w:rPr>
          <w:rtl/>
        </w:rPr>
        <w:tab/>
      </w:r>
      <w:r w:rsidRPr="009E4ED6">
        <w:rPr>
          <w:rtl/>
        </w:rPr>
        <w:t>הנתון הוא לסוף יוני 2021.</w:t>
      </w:r>
    </w:p>
    <w:p w:rsidR="00A77995" w:rsidRPr="009E4ED6" w:rsidP="00A77995" w14:paraId="03E9735D" w14:textId="20106665">
      <w:pPr>
        <w:pStyle w:val="738"/>
        <w:spacing w:before="0" w:after="0"/>
        <w:ind w:left="566" w:hanging="566"/>
        <w:rPr>
          <w:rtl/>
        </w:rPr>
      </w:pPr>
      <w:r w:rsidRPr="009E4ED6">
        <w:rPr>
          <w:rtl/>
        </w:rPr>
        <w:t xml:space="preserve">*** </w:t>
      </w:r>
      <w:r>
        <w:rPr>
          <w:rtl/>
        </w:rPr>
        <w:tab/>
      </w:r>
      <w:r w:rsidRPr="009E4ED6">
        <w:rPr>
          <w:rtl/>
        </w:rPr>
        <w:t xml:space="preserve">היעד נקבע בצו ההרחבה החל על </w:t>
      </w:r>
      <w:r w:rsidRPr="009E4ED6">
        <w:rPr>
          <w:rtl/>
        </w:rPr>
        <w:t>התע"א</w:t>
      </w:r>
      <w:r w:rsidRPr="009E4ED6">
        <w:rPr>
          <w:rtl/>
        </w:rPr>
        <w:t xml:space="preserve"> ורפאל.</w:t>
      </w:r>
    </w:p>
    <w:p w:rsidR="00A77995" w:rsidRPr="009E4ED6" w:rsidP="00A77995" w14:paraId="2DFB701B" w14:textId="3035031D">
      <w:pPr>
        <w:pStyle w:val="738"/>
        <w:spacing w:before="0" w:after="0"/>
        <w:ind w:left="566" w:hanging="566"/>
        <w:rPr>
          <w:rtl/>
        </w:rPr>
      </w:pPr>
      <w:r w:rsidRPr="009E4ED6">
        <w:rPr>
          <w:rtl/>
        </w:rPr>
        <w:t xml:space="preserve">**** </w:t>
      </w:r>
      <w:r>
        <w:rPr>
          <w:rtl/>
        </w:rPr>
        <w:tab/>
      </w:r>
      <w:r w:rsidRPr="009E4ED6">
        <w:rPr>
          <w:rtl/>
        </w:rPr>
        <w:t>בשירות המדינה לא נקבע יעד להעסקת בני האוכלוסייה החרדית או לקליטתם בשנים 2021 ואילך.</w:t>
      </w:r>
    </w:p>
    <w:p w:rsidR="00A77995" w:rsidP="00A77995" w14:paraId="220893ED" w14:textId="59DCAB20">
      <w:pPr>
        <w:pStyle w:val="738"/>
        <w:spacing w:before="0" w:after="0"/>
        <w:rPr>
          <w:rtl/>
        </w:rPr>
      </w:pPr>
      <w:r w:rsidRPr="009E4ED6">
        <w:rPr>
          <w:rtl/>
        </w:rPr>
        <w:t xml:space="preserve">***** </w:t>
      </w:r>
      <w:r>
        <w:rPr>
          <w:rtl/>
        </w:rPr>
        <w:tab/>
      </w:r>
      <w:r w:rsidRPr="009E4ED6">
        <w:rPr>
          <w:rtl/>
        </w:rPr>
        <w:t>נתוני מרכז המחקר והמידע של הכנסת מ</w:t>
      </w:r>
      <w:r>
        <w:rPr>
          <w:rFonts w:hint="cs"/>
          <w:rtl/>
        </w:rPr>
        <w:t>יוני 2022.</w:t>
      </w: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4E71DD" w:rsidP="004E71DD" w14:paraId="7C33D7DD" w14:textId="77777777">
      <w:pPr>
        <w:pStyle w:val="73"/>
        <w:rPr>
          <w:rtl/>
        </w:rPr>
      </w:pPr>
      <w:r w:rsidRPr="00EF3061">
        <w:rPr>
          <w:rFonts w:hint="cs"/>
          <w:rtl/>
        </w:rPr>
        <w:t>סיכום</w:t>
      </w:r>
    </w:p>
    <w:p w:rsidR="00A77995" w:rsidP="004E71DD" w14:paraId="68882333" w14:textId="4E6FD474">
      <w:pPr>
        <w:widowControl w:val="0"/>
        <w:tabs>
          <w:tab w:val="left" w:pos="9604"/>
        </w:tabs>
        <w:spacing w:before="240" w:line="276" w:lineRule="auto"/>
        <w:ind w:left="-1"/>
        <w:rPr>
          <w:rFonts w:ascii="Tahoma" w:hAnsi="Tahoma" w:cs="Tahoma"/>
          <w:sz w:val="18"/>
          <w:szCs w:val="18"/>
          <w:rtl/>
        </w:rPr>
      </w:pPr>
      <w:r w:rsidRPr="00D0744E">
        <w:rPr>
          <w:rFonts w:ascii="Tahoma" w:hAnsi="Tahoma" w:cs="Tahoma"/>
          <w:sz w:val="18"/>
          <w:szCs w:val="18"/>
          <w:rtl/>
        </w:rPr>
        <w:t>במשך השנים התפתחה המודעות לחשיבות הייצוג ההולם לקבוצות אוכלוסייה שונות נוכח</w:t>
      </w:r>
      <w:r w:rsidRPr="00D0744E">
        <w:rPr>
          <w:rFonts w:ascii="Tahoma" w:hAnsi="Tahoma" w:cs="Tahoma" w:hint="cs"/>
          <w:sz w:val="18"/>
          <w:szCs w:val="18"/>
          <w:rtl/>
        </w:rPr>
        <w:t xml:space="preserve"> החשיבות החברתית</w:t>
      </w:r>
      <w:r w:rsidRPr="00D0744E">
        <w:rPr>
          <w:rFonts w:ascii="Tahoma" w:hAnsi="Tahoma" w:cs="Tahoma"/>
          <w:sz w:val="18"/>
          <w:szCs w:val="18"/>
          <w:rtl/>
        </w:rPr>
        <w:t xml:space="preserve"> </w:t>
      </w:r>
      <w:r w:rsidRPr="00D0744E">
        <w:rPr>
          <w:rFonts w:ascii="Tahoma" w:hAnsi="Tahoma" w:cs="Tahoma" w:hint="cs"/>
          <w:sz w:val="18"/>
          <w:szCs w:val="18"/>
          <w:rtl/>
        </w:rPr>
        <w:t>ו</w:t>
      </w:r>
      <w:r w:rsidRPr="00D0744E">
        <w:rPr>
          <w:rFonts w:ascii="Tahoma" w:hAnsi="Tahoma" w:cs="Tahoma"/>
          <w:sz w:val="18"/>
          <w:szCs w:val="18"/>
          <w:rtl/>
        </w:rPr>
        <w:t>תרומתן לארגונים, התפתח</w:t>
      </w:r>
      <w:r w:rsidRPr="00D0744E">
        <w:rPr>
          <w:rFonts w:ascii="Tahoma" w:hAnsi="Tahoma" w:cs="Tahoma" w:hint="cs"/>
          <w:sz w:val="18"/>
          <w:szCs w:val="18"/>
          <w:rtl/>
        </w:rPr>
        <w:t>ה</w:t>
      </w:r>
      <w:r w:rsidRPr="00D0744E">
        <w:rPr>
          <w:rFonts w:ascii="Tahoma" w:hAnsi="Tahoma" w:cs="Tahoma"/>
          <w:sz w:val="18"/>
          <w:szCs w:val="18"/>
          <w:rtl/>
        </w:rPr>
        <w:t xml:space="preserve"> החקיקה בעניין</w:t>
      </w:r>
      <w:r w:rsidRPr="00D0744E">
        <w:rPr>
          <w:rFonts w:ascii="Tahoma" w:hAnsi="Tahoma" w:cs="Tahoma" w:hint="cs"/>
          <w:sz w:val="18"/>
          <w:szCs w:val="18"/>
          <w:rtl/>
        </w:rPr>
        <w:t xml:space="preserve"> הייצוג ההולם</w:t>
      </w:r>
      <w:r w:rsidRPr="00D0744E">
        <w:rPr>
          <w:rFonts w:ascii="Tahoma" w:hAnsi="Tahoma" w:cs="Tahoma"/>
          <w:sz w:val="18"/>
          <w:szCs w:val="18"/>
          <w:rtl/>
        </w:rPr>
        <w:t xml:space="preserve"> בשירות המדינה ובחברות הממשלתיו</w:t>
      </w:r>
      <w:r w:rsidRPr="00D0744E">
        <w:rPr>
          <w:rFonts w:ascii="Tahoma" w:hAnsi="Tahoma" w:cs="Tahoma" w:hint="cs"/>
          <w:sz w:val="18"/>
          <w:szCs w:val="18"/>
          <w:rtl/>
        </w:rPr>
        <w:t>ת</w:t>
      </w:r>
      <w:r w:rsidRPr="00D0744E">
        <w:rPr>
          <w:rFonts w:ascii="Tahoma" w:hAnsi="Tahoma" w:cs="Tahoma"/>
          <w:sz w:val="18"/>
          <w:szCs w:val="18"/>
          <w:rtl/>
        </w:rPr>
        <w:t xml:space="preserve"> </w:t>
      </w:r>
      <w:r w:rsidRPr="00D0744E">
        <w:rPr>
          <w:rFonts w:ascii="Tahoma" w:hAnsi="Tahoma" w:cs="Tahoma" w:hint="cs"/>
          <w:sz w:val="18"/>
          <w:szCs w:val="18"/>
          <w:rtl/>
        </w:rPr>
        <w:t xml:space="preserve">והתקבלו מספר </w:t>
      </w:r>
      <w:r w:rsidRPr="00D0744E">
        <w:rPr>
          <w:rFonts w:ascii="Tahoma" w:hAnsi="Tahoma" w:cs="Tahoma"/>
          <w:sz w:val="18"/>
          <w:szCs w:val="18"/>
          <w:rtl/>
        </w:rPr>
        <w:t>החלטות ממשלה בנושא. החקיקה והחלטות</w:t>
      </w:r>
      <w:r w:rsidRPr="00D0744E">
        <w:rPr>
          <w:rFonts w:ascii="Tahoma" w:hAnsi="Tahoma" w:cs="Tahoma" w:hint="cs"/>
          <w:sz w:val="18"/>
          <w:szCs w:val="18"/>
          <w:rtl/>
        </w:rPr>
        <w:t xml:space="preserve"> הממשלה</w:t>
      </w:r>
      <w:r w:rsidRPr="00D0744E">
        <w:rPr>
          <w:rFonts w:ascii="Tahoma" w:hAnsi="Tahoma" w:cs="Tahoma"/>
          <w:sz w:val="18"/>
          <w:szCs w:val="18"/>
          <w:rtl/>
        </w:rPr>
        <w:t xml:space="preserve"> </w:t>
      </w:r>
      <w:r w:rsidRPr="00D0744E">
        <w:rPr>
          <w:rFonts w:ascii="Tahoma" w:hAnsi="Tahoma" w:cs="Tahoma" w:hint="cs"/>
          <w:sz w:val="18"/>
          <w:szCs w:val="18"/>
          <w:rtl/>
        </w:rPr>
        <w:t>בנוגע</w:t>
      </w:r>
      <w:r w:rsidRPr="00D0744E">
        <w:rPr>
          <w:rFonts w:ascii="Tahoma" w:hAnsi="Tahoma" w:cs="Tahoma"/>
          <w:sz w:val="18"/>
          <w:szCs w:val="18"/>
          <w:rtl/>
        </w:rPr>
        <w:t xml:space="preserve"> לשירות המדינה מקדימות ומפורטות</w:t>
      </w:r>
      <w:r w:rsidRPr="00D0744E">
        <w:rPr>
          <w:rFonts w:ascii="Tahoma" w:hAnsi="Tahoma" w:cs="Tahoma" w:hint="cs"/>
          <w:sz w:val="18"/>
          <w:szCs w:val="18"/>
          <w:rtl/>
        </w:rPr>
        <w:t>,</w:t>
      </w:r>
      <w:r w:rsidRPr="00D0744E">
        <w:rPr>
          <w:rFonts w:ascii="Tahoma" w:hAnsi="Tahoma" w:cs="Tahoma"/>
          <w:sz w:val="18"/>
          <w:szCs w:val="18"/>
          <w:rtl/>
        </w:rPr>
        <w:t xml:space="preserve"> ל</w:t>
      </w:r>
      <w:r w:rsidRPr="00D0744E">
        <w:rPr>
          <w:rFonts w:ascii="Tahoma" w:hAnsi="Tahoma" w:cs="Tahoma" w:hint="cs"/>
          <w:sz w:val="18"/>
          <w:szCs w:val="18"/>
          <w:rtl/>
        </w:rPr>
        <w:t>עומת אלה</w:t>
      </w:r>
      <w:r w:rsidRPr="00D0744E">
        <w:rPr>
          <w:rFonts w:ascii="Tahoma" w:hAnsi="Tahoma" w:cs="Tahoma"/>
          <w:sz w:val="18"/>
          <w:szCs w:val="18"/>
          <w:rtl/>
        </w:rPr>
        <w:t xml:space="preserve"> הנוגעות לחברות </w:t>
      </w:r>
      <w:r w:rsidRPr="00D0744E">
        <w:rPr>
          <w:rFonts w:ascii="Tahoma" w:hAnsi="Tahoma" w:cs="Tahoma" w:hint="cs"/>
          <w:sz w:val="18"/>
          <w:szCs w:val="18"/>
          <w:rtl/>
        </w:rPr>
        <w:t>ה</w:t>
      </w:r>
      <w:r w:rsidRPr="00D0744E">
        <w:rPr>
          <w:rFonts w:ascii="Tahoma" w:hAnsi="Tahoma" w:cs="Tahoma"/>
          <w:sz w:val="18"/>
          <w:szCs w:val="18"/>
          <w:rtl/>
        </w:rPr>
        <w:t xml:space="preserve">ממשלתיות. בביקורת </w:t>
      </w:r>
      <w:r w:rsidRPr="00D0744E">
        <w:rPr>
          <w:rFonts w:ascii="Tahoma" w:hAnsi="Tahoma" w:cs="Tahoma" w:hint="cs"/>
          <w:sz w:val="18"/>
          <w:szCs w:val="18"/>
          <w:rtl/>
        </w:rPr>
        <w:t xml:space="preserve">עלו ממצאים לגבי </w:t>
      </w:r>
      <w:r w:rsidRPr="00D0744E">
        <w:rPr>
          <w:rFonts w:ascii="Tahoma" w:hAnsi="Tahoma" w:cs="Tahoma"/>
          <w:sz w:val="18"/>
          <w:szCs w:val="18"/>
          <w:rtl/>
        </w:rPr>
        <w:t xml:space="preserve">היעדר קביעה של שיעור הייצוג ההולם לאוכלוסיות הגיוון </w:t>
      </w:r>
      <w:r w:rsidRPr="00D0744E">
        <w:rPr>
          <w:rFonts w:ascii="Tahoma" w:hAnsi="Tahoma" w:cs="Tahoma" w:hint="cs"/>
          <w:sz w:val="18"/>
          <w:szCs w:val="18"/>
          <w:rtl/>
        </w:rPr>
        <w:t xml:space="preserve">השונות </w:t>
      </w:r>
      <w:r w:rsidRPr="00D0744E">
        <w:rPr>
          <w:rFonts w:ascii="Tahoma" w:hAnsi="Tahoma" w:cs="Tahoma"/>
          <w:sz w:val="18"/>
          <w:szCs w:val="18"/>
          <w:rtl/>
        </w:rPr>
        <w:t xml:space="preserve">ברפאל </w:t>
      </w:r>
      <w:r w:rsidRPr="00D0744E">
        <w:rPr>
          <w:rFonts w:ascii="Tahoma" w:hAnsi="Tahoma" w:cs="Tahoma"/>
          <w:sz w:val="18"/>
          <w:szCs w:val="18"/>
          <w:rtl/>
        </w:rPr>
        <w:t>ובתע"א</w:t>
      </w:r>
      <w:r w:rsidRPr="00D0744E">
        <w:rPr>
          <w:rFonts w:ascii="Tahoma" w:hAnsi="Tahoma" w:cs="Tahoma"/>
          <w:sz w:val="18"/>
          <w:szCs w:val="18"/>
          <w:rtl/>
        </w:rPr>
        <w:t xml:space="preserve"> ופערים בין ההוראות המחייבות לבין ביצוען. על הנהלות רפאל </w:t>
      </w:r>
      <w:r w:rsidRPr="00D0744E">
        <w:rPr>
          <w:rFonts w:ascii="Tahoma" w:hAnsi="Tahoma" w:cs="Tahoma"/>
          <w:sz w:val="18"/>
          <w:szCs w:val="18"/>
          <w:rtl/>
        </w:rPr>
        <w:t>והתע"א</w:t>
      </w:r>
      <w:r w:rsidRPr="00D0744E">
        <w:rPr>
          <w:rFonts w:ascii="Tahoma" w:hAnsi="Tahoma" w:cs="Tahoma"/>
          <w:sz w:val="18"/>
          <w:szCs w:val="18"/>
          <w:rtl/>
        </w:rPr>
        <w:t xml:space="preserve"> והדירקטוריונים של חברות אלו </w:t>
      </w:r>
      <w:r w:rsidRPr="00D0744E">
        <w:rPr>
          <w:rFonts w:ascii="Tahoma" w:hAnsi="Tahoma" w:cs="Tahoma" w:hint="cs"/>
          <w:sz w:val="18"/>
          <w:szCs w:val="18"/>
          <w:rtl/>
        </w:rPr>
        <w:t>לפעול</w:t>
      </w:r>
      <w:r w:rsidRPr="00D0744E">
        <w:rPr>
          <w:rFonts w:ascii="Tahoma" w:hAnsi="Tahoma" w:cs="Tahoma"/>
          <w:sz w:val="18"/>
          <w:szCs w:val="18"/>
          <w:rtl/>
        </w:rPr>
        <w:t xml:space="preserve"> לשיפור הייצוג של אוכלוסיות הגיוון בהן</w:t>
      </w:r>
      <w:r w:rsidRPr="00D0744E">
        <w:rPr>
          <w:rFonts w:ascii="Tahoma" w:hAnsi="Tahoma" w:cs="Tahoma" w:hint="cs"/>
          <w:sz w:val="18"/>
          <w:szCs w:val="18"/>
          <w:rtl/>
        </w:rPr>
        <w:t>,</w:t>
      </w:r>
      <w:r w:rsidRPr="00D0744E">
        <w:rPr>
          <w:rFonts w:ascii="Tahoma" w:hAnsi="Tahoma" w:cs="Tahoma"/>
          <w:sz w:val="18"/>
          <w:szCs w:val="18"/>
          <w:rtl/>
        </w:rPr>
        <w:t xml:space="preserve"> בד בבד עם מחויבותם לפעול לפי שיקולים עסקיים. כמו כן, גוברת החשיבות של נקיטת אמצעי אכיפה על ידי רשות החברות, נציבות שוויון הזדמנויות בעבודה ונציבות שוויון זכויות לאנשים עם מוגבלות, לשם הבטחת העמידה של רפאל </w:t>
      </w:r>
      <w:r w:rsidRPr="00D0744E">
        <w:rPr>
          <w:rFonts w:ascii="Tahoma" w:hAnsi="Tahoma" w:cs="Tahoma"/>
          <w:sz w:val="18"/>
          <w:szCs w:val="18"/>
          <w:rtl/>
        </w:rPr>
        <w:t>והתע"א</w:t>
      </w:r>
      <w:r w:rsidRPr="00D0744E">
        <w:rPr>
          <w:rFonts w:ascii="Tahoma" w:hAnsi="Tahoma" w:cs="Tahoma"/>
          <w:sz w:val="18"/>
          <w:szCs w:val="18"/>
          <w:rtl/>
        </w:rPr>
        <w:t xml:space="preserve"> ביעדי הייצוג ההולם</w:t>
      </w:r>
      <w:r w:rsidRPr="006615C6" w:rsidR="004E71DD">
        <w:rPr>
          <w:rFonts w:ascii="Tahoma" w:hAnsi="Tahoma" w:cs="Tahoma" w:hint="cs"/>
          <w:sz w:val="18"/>
          <w:szCs w:val="18"/>
          <w:rtl/>
        </w:rPr>
        <w:t>.</w:t>
      </w:r>
    </w:p>
    <w:p w:rsidR="00B00DA4" w:rsidP="004E71DD" w14:paraId="33363F15" w14:textId="431ED368">
      <w:pPr>
        <w:widowControl w:val="0"/>
        <w:tabs>
          <w:tab w:val="left" w:pos="9604"/>
        </w:tabs>
        <w:spacing w:before="240" w:line="276" w:lineRule="auto"/>
        <w:ind w:left="-1"/>
        <w:rPr>
          <w:rFonts w:ascii="Tahoma" w:hAnsi="Tahoma" w:cs="Tahoma"/>
          <w:sz w:val="18"/>
          <w:szCs w:val="18"/>
          <w:rtl/>
        </w:rPr>
      </w:pPr>
    </w:p>
    <w:sectPr w:rsidSect="003E6481">
      <w:headerReference w:type="default" r:id="rId27"/>
      <w:pgSz w:w="11906" w:h="16838" w:code="9"/>
      <w:pgMar w:top="3062" w:right="2268" w:bottom="2552" w:left="2268" w:header="1134" w:footer="1361" w:gutter="0"/>
      <w:pgNumType w:start="15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3E4D10" w14:paraId="2B8F23C8" w14:textId="77777777">
      <w:pPr>
        <w:spacing w:line="240" w:lineRule="auto"/>
      </w:pPr>
      <w:r>
        <w:separator/>
      </w:r>
    </w:p>
    <w:p w:rsidR="003E4D10" w14:paraId="2D5C7F9B" w14:textId="77777777"/>
    <w:p w:rsidR="003E4D10" w14:paraId="50982FE1" w14:textId="77777777"/>
    <w:p w:rsidR="003E4D10" w14:paraId="7971AB05" w14:textId="77777777"/>
  </w:endnote>
  <w:endnote w:type="continuationSeparator" w:id="1">
    <w:p w:rsidR="003E4D10" w14:paraId="50A39BAC" w14:textId="77777777">
      <w:pPr>
        <w:spacing w:line="240" w:lineRule="auto"/>
      </w:pPr>
      <w:r>
        <w:continuationSeparator/>
      </w:r>
    </w:p>
    <w:p w:rsidR="003E4D10" w14:paraId="2F9803EE" w14:textId="77777777"/>
    <w:p w:rsidR="003E4D10" w14:paraId="75DB9142" w14:textId="77777777"/>
    <w:p w:rsidR="003E4D10" w14:paraId="03607B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0DA4" w:rsidP="00B00DA4" w14:paraId="3D0A732A" w14:textId="77777777">
    <w:pPr>
      <w:pStyle w:val="Footer"/>
      <w:spacing w:after="120" w:line="312" w:lineRule="auto"/>
      <w:ind w:left="-510"/>
      <w:jc w:val="left"/>
      <w:rPr>
        <w:rFonts w:ascii="Tahoma" w:hAnsi="Tahoma" w:cs="Tahoma"/>
        <w:sz w:val="18"/>
        <w:szCs w:val="18"/>
        <w:rtl/>
      </w:rPr>
    </w:pPr>
  </w:p>
  <w:p w:rsidR="00B00DA4" w:rsidP="00B00DA4" w14:paraId="54F0E654"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83304" w:rsidRPr="00B00DA4" w:rsidP="00B00DA4" w14:paraId="510729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3BBF" w14:paraId="52AA5D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E4D10" w:rsidP="00E7235E" w14:paraId="29A7D4A7" w14:textId="77777777">
      <w:pPr>
        <w:spacing w:line="240" w:lineRule="auto"/>
      </w:pPr>
      <w:r>
        <w:separator/>
      </w:r>
    </w:p>
  </w:footnote>
  <w:footnote w:type="continuationSeparator" w:id="1">
    <w:p w:rsidR="003E4D10" w:rsidP="00C23CC9" w14:paraId="5DE2529D" w14:textId="77777777">
      <w:pPr>
        <w:spacing w:line="240" w:lineRule="auto"/>
      </w:pPr>
      <w:r>
        <w:continuationSeparator/>
      </w:r>
    </w:p>
    <w:p w:rsidR="003E4D10" w14:paraId="4E8845EC" w14:textId="77777777"/>
    <w:p w:rsidR="003E4D10" w14:paraId="5CEF565C" w14:textId="77777777"/>
    <w:p w:rsidR="003E4D10" w14:paraId="64D0E947" w14:textId="77777777"/>
  </w:footnote>
  <w:footnote w:id="2">
    <w:p w:rsidR="00F862EF" w:rsidP="00E0701D" w14:paraId="3C648FF7" w14:textId="2504FC1B">
      <w:pPr>
        <w:pStyle w:val="733"/>
        <w:rPr>
          <w:rtl/>
        </w:rPr>
      </w:pPr>
      <w:r w:rsidRPr="00F862EF">
        <w:rPr>
          <w:rStyle w:val="FootnoteReference0"/>
          <w:vertAlign w:val="baseline"/>
        </w:rPr>
        <w:footnoteRef/>
      </w:r>
      <w:r w:rsidRPr="00F862EF">
        <w:rPr>
          <w:rtl/>
        </w:rPr>
        <w:t xml:space="preserve"> </w:t>
      </w:r>
      <w:r w:rsidRPr="00F862EF">
        <w:rPr>
          <w:rtl/>
        </w:rPr>
        <w:tab/>
      </w:r>
      <w:r w:rsidRPr="00F862EF">
        <w:rPr>
          <w:rtl/>
        </w:rPr>
        <w:t>אלתא</w:t>
      </w:r>
      <w:r w:rsidRPr="00F862EF">
        <w:rPr>
          <w:rtl/>
        </w:rPr>
        <w:t xml:space="preserve"> היא חברה ממשלתית וגם חברה בת ממשלתית של </w:t>
      </w:r>
      <w:r w:rsidRPr="00F862EF">
        <w:rPr>
          <w:rtl/>
        </w:rPr>
        <w:t>התע"א</w:t>
      </w:r>
      <w:r w:rsidRPr="00F862EF">
        <w:rPr>
          <w:rtl/>
        </w:rPr>
        <w:t xml:space="preserve"> וחטיבה עסקית </w:t>
      </w:r>
      <w:r w:rsidRPr="00F862EF">
        <w:rPr>
          <w:rtl/>
        </w:rPr>
        <w:t>בתע"א</w:t>
      </w:r>
      <w:r w:rsidRPr="00F862EF">
        <w:rPr>
          <w:rtl/>
        </w:rPr>
        <w:t xml:space="preserve">. בדוח זה נתוני הייצוג ההולם של המנהלים והעובדים </w:t>
      </w:r>
      <w:r w:rsidRPr="00F862EF">
        <w:rPr>
          <w:rtl/>
        </w:rPr>
        <w:t>בתע"א</w:t>
      </w:r>
      <w:r w:rsidRPr="00F862EF">
        <w:rPr>
          <w:rtl/>
        </w:rPr>
        <w:t xml:space="preserve"> כוללים את נתוני </w:t>
      </w:r>
      <w:r w:rsidRPr="00F862EF">
        <w:rPr>
          <w:rtl/>
        </w:rPr>
        <w:t>אלתא</w:t>
      </w:r>
      <w:r w:rsidRPr="00F862EF">
        <w:rPr>
          <w:rtl/>
        </w:rPr>
        <w:t xml:space="preserve">. נתוני הייצוג ההולם בדירקטוריון </w:t>
      </w:r>
      <w:r w:rsidRPr="00F862EF">
        <w:rPr>
          <w:rtl/>
        </w:rPr>
        <w:t>אלתא</w:t>
      </w:r>
      <w:r w:rsidRPr="00F862EF">
        <w:rPr>
          <w:rtl/>
        </w:rPr>
        <w:t xml:space="preserve"> מוצגים בנפרד.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1B90179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766379" w:rsidR="00766379">
                            <w:rPr>
                              <w:rFonts w:ascii="Tahoma" w:hAnsi="Tahoma" w:cs="Tahoma"/>
                              <w:b/>
                              <w:bCs/>
                              <w:rtl/>
                            </w:rPr>
                            <w:t>ייצוג אוכלוסיות שונות בחברות ממשלתיות-ביטחוניות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1B90179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766379" w:rsidR="00766379">
                      <w:rPr>
                        <w:rFonts w:ascii="Tahoma" w:hAnsi="Tahoma" w:cs="Tahoma"/>
                        <w:b/>
                        <w:bCs/>
                        <w:rtl/>
                      </w:rPr>
                      <w:t>ייצוג אוכלוסיות שונות בחברות ממשלתיות-ביטחוניות</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92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766379" w:rsidRPr="00136A3E" w:rsidP="00766379" w14:textId="00D7DD1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B4F46">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766379" w:rsidP="00B244B0" w14:textId="4388A57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3" type="#_x0000_t202" style="width:351.16pt;height:23.27pt;margin-top:27.7pt;margin-left:21.41pt;mso-height-percent:0;mso-height-relative:margin;mso-width-percent:0;mso-width-relative:margin;mso-wrap-distance-bottom:3.6pt;mso-wrap-distance-left:9pt;mso-wrap-distance-right:9pt;mso-wrap-distance-top:3.6pt;position:absolute;v-text-anchor:top;z-index:251658240" fillcolor="white" stroked="t" strokecolor="white" strokeweight="0.75pt">
              <v:textbox>
                <w:txbxContent>
                  <w:p w:rsidR="00766379" w:rsidRPr="00136A3E" w:rsidP="00766379" w14:paraId="6C4182CD" w14:textId="00D7DD1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B4F46">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766379" w:rsidP="00B244B0" w14:paraId="1CF273F4" w14:textId="4388A57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B00DA4" w14:textId="3D25378C">
                          <w:pPr>
                            <w:pStyle w:val="Heading1"/>
                            <w:spacing w:line="269" w:lineRule="auto"/>
                            <w:jc w:val="left"/>
                            <w:rPr>
                              <w:rFonts w:ascii="Tahoma" w:hAnsi="Tahoma" w:eastAsiaTheme="minorHAnsi" w:cs="Tahoma"/>
                              <w:bCs w:val="0"/>
                              <w:color w:val="0D0D0D" w:themeColor="text1" w:themeTint="F2"/>
                              <w:sz w:val="16"/>
                              <w:szCs w:val="16"/>
                              <w:u w:val="none"/>
                            </w:rPr>
                          </w:pPr>
                          <w:r w:rsidRPr="00766379">
                            <w:rPr>
                              <w:rFonts w:ascii="Tahoma" w:hAnsi="Tahoma" w:eastAsiaTheme="minorHAnsi" w:cs="Tahoma"/>
                              <w:bCs w:val="0"/>
                              <w:color w:val="0D0D0D" w:themeColor="text1" w:themeTint="F2"/>
                              <w:sz w:val="16"/>
                              <w:szCs w:val="16"/>
                              <w:u w:val="none"/>
                              <w:rtl/>
                            </w:rPr>
                            <w:t>ייצוג אוכלוסיות שונות בחברות ממשלתיות-ביטחוניות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B00DA4" w14:paraId="111D0894" w14:textId="3D25378C">
                    <w:pPr>
                      <w:pStyle w:val="Heading1"/>
                      <w:spacing w:line="269" w:lineRule="auto"/>
                      <w:jc w:val="left"/>
                      <w:rPr>
                        <w:rFonts w:ascii="Tahoma" w:hAnsi="Tahoma" w:eastAsiaTheme="minorHAnsi" w:cs="Tahoma"/>
                        <w:bCs w:val="0"/>
                        <w:color w:val="0D0D0D" w:themeColor="text1" w:themeTint="F2"/>
                        <w:sz w:val="16"/>
                        <w:szCs w:val="16"/>
                        <w:u w:val="none"/>
                      </w:rPr>
                    </w:pPr>
                    <w:r w:rsidRPr="00766379">
                      <w:rPr>
                        <w:rFonts w:ascii="Tahoma" w:hAnsi="Tahoma" w:eastAsiaTheme="minorHAnsi" w:cs="Tahoma"/>
                        <w:bCs w:val="0"/>
                        <w:color w:val="0D0D0D" w:themeColor="text1" w:themeTint="F2"/>
                        <w:sz w:val="16"/>
                        <w:szCs w:val="16"/>
                        <w:u w:val="none"/>
                        <w:rtl/>
                      </w:rPr>
                      <w:t>ייצוג אוכלוסיות שונות בחברות ממשלתיות-ביטחוניות</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766379" w14:textId="2D7F15C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6663FF">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766379" w:rsidR="00766379">
                            <w:rPr>
                              <w:rFonts w:ascii="Tahoma" w:hAnsi="Tahoma" w:cs="Tahoma"/>
                              <w:b/>
                              <w:bCs/>
                              <w:rtl/>
                            </w:rPr>
                            <w:t>ייצוג אוכלוסיות שונות בחברות ממשלתיות-ביטחוניות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766379" w14:paraId="3B4CCAD6" w14:textId="2D7F15C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6663FF">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766379" w:rsidR="00766379">
                      <w:rPr>
                        <w:rFonts w:ascii="Tahoma" w:hAnsi="Tahoma" w:cs="Tahoma"/>
                        <w:b/>
                        <w:bCs/>
                        <w:rtl/>
                      </w:rPr>
                      <w:t>ייצוג אוכלוסיות שונות בחברות ממשלתיות-ביטחוניות</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872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766379" w:rsidRPr="00136A3E" w:rsidP="00766379" w14:textId="7449B19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B4F46">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136A3E" w:rsidP="00B244B0" w14:textId="6E0C9876">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60" type="#_x0000_t202" style="width:351.16pt;height:23.27pt;margin-top:27.7pt;margin-left:21.41pt;mso-height-percent:0;mso-height-relative:margin;mso-width-percent:0;mso-width-relative:margin;mso-wrap-distance-bottom:3.6pt;mso-wrap-distance-left:9pt;mso-wrap-distance-right:9pt;mso-wrap-distance-top:3.6pt;position:absolute;v-text-anchor:top;z-index:251677696" fillcolor="white" stroked="t" strokecolor="white" strokeweight="0.75pt">
              <v:textbox>
                <w:txbxContent>
                  <w:p w:rsidR="00766379" w:rsidRPr="00136A3E" w:rsidP="00766379" w14:paraId="7441CF9D" w14:textId="7449B19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B4F46">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136A3E" w:rsidP="00B244B0" w14:paraId="0C0E463E" w14:textId="6E0C9876">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90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90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700B10"/>
    <w:lvl w:ilvl="0">
      <w:start w:val="1"/>
      <w:numFmt w:val="decimal"/>
      <w:lvlText w:val="%1."/>
      <w:lvlJc w:val="left"/>
      <w:pPr>
        <w:tabs>
          <w:tab w:val="num" w:pos="1492"/>
        </w:tabs>
        <w:ind w:left="1492" w:hanging="360"/>
      </w:pPr>
    </w:lvl>
  </w:abstractNum>
  <w:abstractNum w:abstractNumId="1">
    <w:nsid w:val="FFFFFF7D"/>
    <w:multiLevelType w:val="singleLevel"/>
    <w:tmpl w:val="C0FE5F9A"/>
    <w:lvl w:ilvl="0">
      <w:start w:val="1"/>
      <w:numFmt w:val="decimal"/>
      <w:lvlText w:val="%1."/>
      <w:lvlJc w:val="left"/>
      <w:pPr>
        <w:tabs>
          <w:tab w:val="num" w:pos="1209"/>
        </w:tabs>
        <w:ind w:left="1209" w:hanging="360"/>
      </w:pPr>
    </w:lvl>
  </w:abstractNum>
  <w:abstractNum w:abstractNumId="2">
    <w:nsid w:val="FFFFFF7F"/>
    <w:multiLevelType w:val="singleLevel"/>
    <w:tmpl w:val="183038DA"/>
    <w:lvl w:ilvl="0">
      <w:start w:val="1"/>
      <w:numFmt w:val="decimal"/>
      <w:lvlText w:val="%1."/>
      <w:lvlJc w:val="left"/>
      <w:pPr>
        <w:tabs>
          <w:tab w:val="num" w:pos="643"/>
        </w:tabs>
        <w:ind w:left="643" w:hanging="360"/>
      </w:pPr>
    </w:lvl>
  </w:abstractNum>
  <w:abstractNum w:abstractNumId="3">
    <w:nsid w:val="FFFFFF80"/>
    <w:multiLevelType w:val="singleLevel"/>
    <w:tmpl w:val="21AACC3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2E306CC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21146BE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4432B60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A8287B6E"/>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B96834"/>
    <w:multiLevelType w:val="hybridMultilevel"/>
    <w:tmpl w:val="18EECB5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DA2980"/>
    <w:multiLevelType w:val="hybridMultilevel"/>
    <w:tmpl w:val="8C70397C"/>
    <w:lvl w:ilvl="0">
      <w:start w:val="1"/>
      <w:numFmt w:val="decimal"/>
      <w:lvlText w:val="%1."/>
      <w:lvlJc w:val="left"/>
      <w:pPr>
        <w:ind w:left="227" w:hanging="22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22643E"/>
    <w:multiLevelType w:val="hybridMultilevel"/>
    <w:tmpl w:val="0AD8672A"/>
    <w:lvl w:ilvl="0">
      <w:start w:val="1"/>
      <w:numFmt w:val="decimal"/>
      <w:lvlText w:val="%1."/>
      <w:lvlJc w:val="left"/>
      <w:pPr>
        <w:ind w:left="227" w:hanging="22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283BBE"/>
    <w:multiLevelType w:val="hybridMultilevel"/>
    <w:tmpl w:val="4C7CA108"/>
    <w:lvl w:ilvl="0">
      <w:start w:val="1"/>
      <w:numFmt w:val="decimal"/>
      <w:lvlText w:val="%1."/>
      <w:lvlJc w:val="left"/>
      <w:pPr>
        <w:ind w:left="227" w:hanging="22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8">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1924BD"/>
    <w:multiLevelType w:val="hybridMultilevel"/>
    <w:tmpl w:val="50C2B042"/>
    <w:lvl w:ilvl="0">
      <w:start w:val="1"/>
      <w:numFmt w:val="decimal"/>
      <w:lvlText w:val="%1."/>
      <w:lvlJc w:val="left"/>
      <w:pPr>
        <w:ind w:left="227" w:hanging="22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2416A11"/>
    <w:multiLevelType w:val="hybridMultilevel"/>
    <w:tmpl w:val="7E420B04"/>
    <w:lvl w:ilvl="0">
      <w:start w:val="1"/>
      <w:numFmt w:val="decimal"/>
      <w:lvlText w:val="%1."/>
      <w:lvlJc w:val="left"/>
      <w:pPr>
        <w:ind w:left="227" w:hanging="22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B2561B"/>
    <w:multiLevelType w:val="hybridMultilevel"/>
    <w:tmpl w:val="4680EC44"/>
    <w:lvl w:ilvl="0">
      <w:start w:val="1"/>
      <w:numFmt w:val="decimal"/>
      <w:lvlText w:val="%1."/>
      <w:lvlJc w:val="left"/>
      <w:pPr>
        <w:ind w:left="227" w:hanging="22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6">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BC5BF3"/>
    <w:multiLevelType w:val="hybridMultilevel"/>
    <w:tmpl w:val="F8405584"/>
    <w:lvl w:ilvl="0">
      <w:start w:val="1"/>
      <w:numFmt w:val="decimal"/>
      <w:lvlText w:val="%1."/>
      <w:lvlJc w:val="left"/>
      <w:pPr>
        <w:ind w:left="227" w:hanging="22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362BA7"/>
    <w:multiLevelType w:val="hybridMultilevel"/>
    <w:tmpl w:val="0AACCF5E"/>
    <w:lvl w:ilvl="0">
      <w:start w:val="1"/>
      <w:numFmt w:val="decimal"/>
      <w:lvlText w:val="%1."/>
      <w:lvlJc w:val="left"/>
      <w:pPr>
        <w:ind w:left="227" w:hanging="22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0">
    <w:nsid w:val="5D205BB1"/>
    <w:multiLevelType w:val="multilevel"/>
    <w:tmpl w:val="6F0CB21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9"/>
  </w:num>
  <w:num w:numId="2">
    <w:abstractNumId w:val="17"/>
  </w:num>
  <w:num w:numId="3">
    <w:abstractNumId w:val="21"/>
  </w:num>
  <w:num w:numId="4">
    <w:abstractNumId w:val="37"/>
  </w:num>
  <w:num w:numId="5">
    <w:abstractNumId w:val="9"/>
  </w:num>
  <w:num w:numId="6">
    <w:abstractNumId w:val="24"/>
  </w:num>
  <w:num w:numId="7">
    <w:abstractNumId w:val="32"/>
  </w:num>
  <w:num w:numId="8">
    <w:abstractNumId w:val="11"/>
  </w:num>
  <w:num w:numId="9">
    <w:abstractNumId w:val="10"/>
  </w:num>
  <w:num w:numId="10">
    <w:abstractNumId w:val="8"/>
  </w:num>
  <w:num w:numId="11">
    <w:abstractNumId w:val="25"/>
  </w:num>
  <w:num w:numId="12">
    <w:abstractNumId w:val="31"/>
  </w:num>
  <w:num w:numId="13">
    <w:abstractNumId w:val="34"/>
  </w:num>
  <w:num w:numId="14">
    <w:abstractNumId w:val="26"/>
  </w:num>
  <w:num w:numId="15">
    <w:abstractNumId w:val="35"/>
  </w:num>
  <w:num w:numId="16">
    <w:abstractNumId w:val="13"/>
  </w:num>
  <w:num w:numId="17">
    <w:abstractNumId w:val="36"/>
  </w:num>
  <w:num w:numId="18">
    <w:abstractNumId w:val="33"/>
  </w:num>
  <w:num w:numId="19">
    <w:abstractNumId w:val="19"/>
  </w:num>
  <w:num w:numId="20">
    <w:abstractNumId w:val="18"/>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0"/>
  </w:num>
  <w:num w:numId="30">
    <w:abstractNumId w:val="12"/>
  </w:num>
  <w:num w:numId="31">
    <w:abstractNumId w:val="28"/>
  </w:num>
  <w:num w:numId="32">
    <w:abstractNumId w:val="23"/>
  </w:num>
  <w:num w:numId="33">
    <w:abstractNumId w:val="27"/>
  </w:num>
  <w:num w:numId="34">
    <w:abstractNumId w:val="22"/>
  </w:num>
  <w:num w:numId="35">
    <w:abstractNumId w:val="15"/>
  </w:num>
  <w:num w:numId="36">
    <w:abstractNumId w:val="14"/>
  </w:num>
  <w:num w:numId="37">
    <w:abstractNumId w:val="16"/>
  </w:num>
  <w:num w:numId="3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4"/>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77E0E"/>
    <w:rsid w:val="00080072"/>
    <w:rsid w:val="000803F2"/>
    <w:rsid w:val="00080C22"/>
    <w:rsid w:val="00081D0E"/>
    <w:rsid w:val="000821CA"/>
    <w:rsid w:val="000824F8"/>
    <w:rsid w:val="0008345D"/>
    <w:rsid w:val="00083692"/>
    <w:rsid w:val="000837F2"/>
    <w:rsid w:val="00083FD0"/>
    <w:rsid w:val="00084568"/>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715"/>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5C9C"/>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5FC"/>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1BD0"/>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FB4"/>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638"/>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4C67"/>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89F"/>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209"/>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10"/>
    <w:rsid w:val="003E4D21"/>
    <w:rsid w:val="003E4D5A"/>
    <w:rsid w:val="003E58C2"/>
    <w:rsid w:val="003E5FCA"/>
    <w:rsid w:val="003E6481"/>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036"/>
    <w:rsid w:val="00402817"/>
    <w:rsid w:val="0040285A"/>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6"/>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D68"/>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92D"/>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04"/>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5DB0"/>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CD0"/>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552"/>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18EC"/>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3D5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77B"/>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C7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1FE9"/>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904"/>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3FF"/>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8BB"/>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26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A3B"/>
    <w:rsid w:val="00764C13"/>
    <w:rsid w:val="0076503E"/>
    <w:rsid w:val="00765091"/>
    <w:rsid w:val="007657FC"/>
    <w:rsid w:val="00766379"/>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6AA"/>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A6"/>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173EA"/>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02A"/>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A2F"/>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3B50"/>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D6C"/>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50B3"/>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4ED6"/>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70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0D6"/>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86"/>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77995"/>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8F9"/>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438"/>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DA4"/>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2F0D"/>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4"/>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5BCB"/>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67D0F"/>
    <w:rsid w:val="00B707AF"/>
    <w:rsid w:val="00B70882"/>
    <w:rsid w:val="00B709B8"/>
    <w:rsid w:val="00B70C10"/>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4F46"/>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6A3"/>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821"/>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7B1"/>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7B8"/>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E6F"/>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44E"/>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EE6"/>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618"/>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2960"/>
    <w:rsid w:val="00D73677"/>
    <w:rsid w:val="00D73943"/>
    <w:rsid w:val="00D74912"/>
    <w:rsid w:val="00D74A6E"/>
    <w:rsid w:val="00D75805"/>
    <w:rsid w:val="00D75B50"/>
    <w:rsid w:val="00D75BE2"/>
    <w:rsid w:val="00D76480"/>
    <w:rsid w:val="00D76CF5"/>
    <w:rsid w:val="00D779F7"/>
    <w:rsid w:val="00D80754"/>
    <w:rsid w:val="00D81F77"/>
    <w:rsid w:val="00D8201F"/>
    <w:rsid w:val="00D82F54"/>
    <w:rsid w:val="00D83026"/>
    <w:rsid w:val="00D83045"/>
    <w:rsid w:val="00D8314F"/>
    <w:rsid w:val="00D83354"/>
    <w:rsid w:val="00D83636"/>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518"/>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01D"/>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2EA3"/>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4828"/>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0C3"/>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3BBF"/>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2EF"/>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A61"/>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table" w:customStyle="1" w:styleId="1111">
    <w:name w:val="רשת טבלה11"/>
    <w:basedOn w:val="TableNormal"/>
    <w:next w:val="TableGrid"/>
    <w:uiPriority w:val="59"/>
    <w:rsid w:val="00E840C3"/>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1829D-F098-4DE0-8B0C-0C6B29A3AE74}"/>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