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052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4928"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317465A5">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45719</wp:posOffset>
                </wp:positionH>
                <wp:positionV relativeFrom="paragraph">
                  <wp:posOffset>1934845</wp:posOffset>
                </wp:positionV>
                <wp:extent cx="2900045"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0004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3.6pt,152.35pt" to="231.95pt,152.3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45720</wp:posOffset>
                </wp:positionH>
                <wp:positionV relativeFrom="paragraph">
                  <wp:posOffset>337820</wp:posOffset>
                </wp:positionV>
                <wp:extent cx="4424680" cy="48577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4680" cy="48577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48130D9">
                            <w:pPr>
                              <w:pStyle w:val="-2"/>
                              <w:rPr>
                                <w:rtl/>
                              </w:rPr>
                            </w:pPr>
                            <w:r>
                              <w:rPr>
                                <w:rFonts w:hint="cs"/>
                                <w:rtl/>
                              </w:rPr>
                              <w:t>דוחות מסווגים מיוחדים</w:t>
                            </w:r>
                            <w:r w:rsidR="00C30482">
                              <w:rPr>
                                <w:rFonts w:hint="cs"/>
                                <w:rtl/>
                              </w:rPr>
                              <w:t xml:space="preserve"> </w:t>
                            </w:r>
                          </w:p>
                          <w:p w:rsidR="00C30482" w:rsidRPr="000F5023" w:rsidP="000F5023" w14:textId="2F150BAA">
                            <w:pPr>
                              <w:pStyle w:val="a35"/>
                              <w:bidi/>
                              <w:rPr>
                                <w:rtl/>
                              </w:rPr>
                            </w:pPr>
                            <w:r w:rsidRPr="00B27EE6">
                              <w:rPr>
                                <w:rtl/>
                              </w:rPr>
                              <w:t xml:space="preserve">דוחות בעניין </w:t>
                            </w:r>
                            <w:r w:rsidRPr="002B3AE7" w:rsidR="002B3AE7">
                              <w:rPr>
                                <w:rtl/>
                              </w:rPr>
                              <w:t xml:space="preserve">ההיערכות והמוכנות של </w:t>
                            </w:r>
                            <w:r w:rsidRPr="00B27EE6">
                              <w:rPr>
                                <w:rtl/>
                              </w:rPr>
                              <w:t>ממשלת ישראל ומערכת הביטחון להתמודדות עם איומים ממעגל שלישי</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348.4pt;height:382.5pt;margin-top:26.6pt;margin-left:3.6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348130D9">
                      <w:pPr>
                        <w:pStyle w:val="-2"/>
                        <w:rPr>
                          <w:rtl/>
                        </w:rPr>
                      </w:pPr>
                      <w:r>
                        <w:rPr>
                          <w:rFonts w:hint="cs"/>
                          <w:rtl/>
                        </w:rPr>
                        <w:t>דוחות מסווגים מיוחדים</w:t>
                      </w:r>
                      <w:r w:rsidR="00C30482">
                        <w:rPr>
                          <w:rFonts w:hint="cs"/>
                          <w:rtl/>
                        </w:rPr>
                        <w:t xml:space="preserve"> </w:t>
                      </w:r>
                    </w:p>
                    <w:p w:rsidR="00C30482" w:rsidRPr="000F5023" w:rsidP="000F5023" w14:paraId="5BE5E625" w14:textId="2F150BAA">
                      <w:pPr>
                        <w:pStyle w:val="a35"/>
                        <w:bidi/>
                        <w:rPr>
                          <w:rtl/>
                        </w:rPr>
                      </w:pPr>
                      <w:r w:rsidRPr="00B27EE6">
                        <w:rPr>
                          <w:rtl/>
                        </w:rPr>
                        <w:t xml:space="preserve">דוחות בעניין </w:t>
                      </w:r>
                      <w:r w:rsidRPr="002B3AE7" w:rsidR="002B3AE7">
                        <w:rPr>
                          <w:rtl/>
                        </w:rPr>
                        <w:t xml:space="preserve">ההיערכות והמוכנות של </w:t>
                      </w:r>
                      <w:r w:rsidRPr="00B27EE6">
                        <w:rPr>
                          <w:rtl/>
                        </w:rPr>
                        <w:t>ממשלת ישראל ומערכת הביטחון להתמודדות עם איומים ממעגל שלישי</w:t>
                      </w:r>
                    </w:p>
                  </w:txbxContent>
                </v:textbox>
                <w10:wrap type="square"/>
              </v:shape>
            </w:pict>
          </mc:Fallback>
        </mc:AlternateContent>
      </w:r>
      <w:r w:rsidR="00B27EE6">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4979254"/>
                <wp:effectExtent l="25400" t="0" r="25400" b="2476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97925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35pt,20.9pt" to="241.35pt,412.9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2B3AE7" w14:paraId="291315C1" w14:textId="5AC52725">
      <w:pPr>
        <w:bidi w:val="0"/>
        <w:spacing w:after="200" w:line="276" w:lineRule="auto"/>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2576" behindDoc="0" locked="0" layoutInCell="1" allowOverlap="1">
                <wp:simplePos x="0" y="0"/>
                <wp:positionH relativeFrom="column">
                  <wp:posOffset>-998945</wp:posOffset>
                </wp:positionH>
                <wp:positionV relativeFrom="paragraph">
                  <wp:posOffset>6921591</wp:posOffset>
                </wp:positionV>
                <wp:extent cx="1445079" cy="1420585"/>
                <wp:effectExtent l="0" t="0" r="15875" b="14605"/>
                <wp:wrapNone/>
                <wp:docPr id="4"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1445079" cy="14205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32" style="width:113.8pt;height:111.85pt;margin-top:545pt;margin-left:-78.65pt;mso-wrap-distance-bottom:0;mso-wrap-distance-left:9pt;mso-wrap-distance-right:9pt;mso-wrap-distance-top:0;mso-wrap-style:square;position:absolute;visibility:visible;v-text-anchor:middle;z-index:251673600" fillcolor="white" strokecolor="white" strokeweight="1.25pt"/>
            </w:pict>
          </mc:Fallback>
        </mc:AlternateContent>
      </w:r>
      <w:r>
        <w:rPr>
          <w:rFonts w:ascii="Tahoma" w:hAnsi="Tahoma" w:cs="Tahoma"/>
          <w:sz w:val="22"/>
          <w:szCs w:val="22"/>
          <w:rtl/>
        </w:rPr>
        <w:br w:type="page"/>
      </w:r>
    </w:p>
    <w:p w:rsidR="000E64A1" w:rsidP="000E64A1" w14:paraId="1B058208" w14:textId="77777777">
      <w:pPr>
        <w:jc w:val="left"/>
        <w:rPr>
          <w:rFonts w:ascii="Tahoma" w:hAnsi="Tahoma" w:cs="Tahoma"/>
          <w:sz w:val="22"/>
          <w:szCs w:val="22"/>
          <w:rtl/>
        </w:rPr>
        <w:sectPr w:rsidSect="00DA022A">
          <w:headerReference w:type="even" r:id="rId12"/>
          <w:headerReference w:type="default" r:id="rId13"/>
          <w:footerReference w:type="default" r:id="rId14"/>
          <w:headerReference w:type="first" r:id="rId15"/>
          <w:pgSz w:w="11906" w:h="16838" w:code="9"/>
          <w:pgMar w:top="3062" w:right="2268" w:bottom="2552" w:left="2268" w:header="709" w:footer="709" w:gutter="0"/>
          <w:pgNumType w:start="2"/>
          <w:cols w:space="720"/>
          <w:bidi/>
          <w:rtlGutter/>
          <w:docGrid w:linePitch="272"/>
        </w:sectPr>
      </w:pPr>
    </w:p>
    <w:p w:rsidR="00B93C72" w:rsidRPr="001F3363" w:rsidP="007C7D40" w14:paraId="4ED3AA37" w14:textId="1050D3C1">
      <w:pPr>
        <w:pStyle w:val="7329"/>
        <w:bidi/>
        <w:jc w:val="left"/>
        <w:rPr>
          <w:rtl/>
        </w:rPr>
      </w:pPr>
      <w:r w:rsidRPr="00B27EE6">
        <w:rPr>
          <w:noProof/>
          <w:rtl/>
        </w:rPr>
        <w:t xml:space="preserve">דוחות בעניין </w:t>
      </w:r>
      <w:r w:rsidRPr="002B3AE7" w:rsidR="002B3AE7">
        <w:rPr>
          <w:noProof/>
          <w:rtl/>
        </w:rPr>
        <w:t xml:space="preserve">ההיערכות והמוכנות של </w:t>
      </w:r>
      <w:r w:rsidRPr="00B27EE6">
        <w:rPr>
          <w:noProof/>
          <w:rtl/>
        </w:rPr>
        <w:t>ממשלת ישראל ומערכת הביטחון להתמודדות עם איומים ממעגל שלישי</w:t>
      </w:r>
    </w:p>
    <w:p w:rsidR="007F4A20" w:rsidP="007F4A20" w14:paraId="0B41EED6" w14:textId="0B27B916">
      <w:pPr>
        <w:pStyle w:val="7392"/>
        <w:spacing w:before="360"/>
        <w:rPr>
          <w:rtl/>
        </w:rPr>
      </w:pPr>
      <w:r>
        <w:rPr>
          <w:rFonts w:hint="cs"/>
          <w:rtl/>
        </w:rPr>
        <w:t>מ</w:t>
      </w:r>
      <w:r w:rsidRPr="00B27EE6">
        <w:rPr>
          <w:rtl/>
        </w:rPr>
        <w:t>בקר המדינה ערך ביקורות בנושא היערכות ומוכנות ממשלת ישראל ומערכת הביטחון בנוגע להתמודדות עם איומים ממעגל שלישי. בשים לב לצורך לשמור על ביטחון המדינה, ובהתאם לסעיף 17(ג) לחוק מבקר המדינה, התשי״ח-1958 [נוסח משולב], החליט מבקר המדינה שלא להניח על שולחן הכנסת ולא לפרסם דוחות אלה</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sectPr w:rsidSect="00AC4C31">
      <w:headerReference w:type="default" r:id="rId16"/>
      <w:pgSz w:w="11906" w:h="16838" w:code="9"/>
      <w:pgMar w:top="3062" w:right="2268" w:bottom="2552" w:left="2268" w:header="1134" w:footer="1361" w:gutter="0"/>
      <w:pgNumType w:start="85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561FD" w14:paraId="2809B4C4" w14:textId="77777777">
      <w:pPr>
        <w:spacing w:line="240" w:lineRule="auto"/>
      </w:pPr>
      <w:r>
        <w:separator/>
      </w:r>
    </w:p>
    <w:p w:rsidR="001561FD" w14:paraId="176883CB" w14:textId="77777777"/>
    <w:p w:rsidR="001561FD" w14:paraId="1F94CC41" w14:textId="77777777"/>
    <w:p w:rsidR="001561FD" w14:paraId="2A6C945C" w14:textId="77777777"/>
  </w:endnote>
  <w:endnote w:type="continuationSeparator" w:id="1">
    <w:p w:rsidR="001561FD" w14:paraId="49106E54" w14:textId="77777777">
      <w:pPr>
        <w:spacing w:line="240" w:lineRule="auto"/>
      </w:pPr>
      <w:r>
        <w:continuationSeparator/>
      </w:r>
    </w:p>
    <w:p w:rsidR="001561FD" w14:paraId="166558B8" w14:textId="77777777"/>
    <w:p w:rsidR="001561FD" w14:paraId="49095A44" w14:textId="77777777"/>
    <w:p w:rsidR="001561FD" w14:paraId="06D8D1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835" w:rsidP="00975835" w14:paraId="5A077147"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857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975835" w:rsidRPr="00975835" w:rsidP="00975835" w14:paraId="079F8D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561FD" w:rsidP="00E7235E" w14:paraId="0320A2A7" w14:textId="77777777">
      <w:pPr>
        <w:spacing w:line="240" w:lineRule="auto"/>
      </w:pPr>
      <w:r>
        <w:separator/>
      </w:r>
    </w:p>
  </w:footnote>
  <w:footnote w:type="continuationSeparator" w:id="1">
    <w:p w:rsidR="001561FD" w:rsidP="00C23CC9" w14:paraId="648DFB2E" w14:textId="77777777">
      <w:pPr>
        <w:spacing w:line="240" w:lineRule="auto"/>
      </w:pPr>
      <w:r>
        <w:continuationSeparator/>
      </w:r>
    </w:p>
    <w:p w:rsidR="001561FD" w14:paraId="35E9EE26" w14:textId="77777777"/>
    <w:p w:rsidR="001561FD" w14:paraId="6A620ADC" w14:textId="77777777"/>
    <w:p w:rsidR="001561FD" w14:paraId="4E4778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5824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7216"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42AA0438">
    <w:pPr>
      <w:pStyle w:val="Header"/>
      <w:rPr>
        <w:rtl/>
      </w:rPr>
    </w:pPr>
  </w:p>
  <w:p w:rsidR="00F73EE0" w:rsidP="009620E7" w14:paraId="53F52C1C" w14:textId="2DD7184D">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835" w14:paraId="3279F2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5835" w14:paraId="3891ECD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28706D4C">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4384" behindDoc="0" locked="0" layoutInCell="1" allowOverlap="1">
              <wp:simplePos x="0" y="0"/>
              <wp:positionH relativeFrom="column">
                <wp:posOffset>-713740</wp:posOffset>
              </wp:positionH>
              <wp:positionV relativeFrom="paragraph">
                <wp:posOffset>-727710</wp:posOffset>
              </wp:positionV>
              <wp:extent cx="304800" cy="8547735"/>
              <wp:effectExtent l="0" t="0" r="12700" b="1206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547735"/>
                      </a:xfrm>
                      <a:prstGeom prst="rect">
                        <a:avLst/>
                      </a:prstGeom>
                      <a:solidFill>
                        <a:srgbClr val="00305F"/>
                      </a:solidFill>
                      <a:ln>
                        <a:solidFill>
                          <a:srgbClr val="00305F"/>
                        </a:solidFill>
                      </a:ln>
                    </wps:spPr>
                    <wps:txbx>
                      <w:txbxContent>
                        <w:p w:rsidR="00975835" w:rsidRPr="00D80429" w:rsidP="00975835" w14:textId="77777777">
                          <w:pPr>
                            <w:pStyle w:val="Bodytext70"/>
                            <w:shd w:val="clear" w:color="auto" w:fill="003060"/>
                            <w:rPr>
                              <w:rFonts w:ascii="Tahoma" w:hAnsi="Tahoma" w:cs="Tahoma"/>
                              <w:b/>
                              <w:bCs/>
                              <w:spacing w:val="-4"/>
                              <w:sz w:val="20"/>
                              <w:szCs w:val="20"/>
                              <w:rtl/>
                            </w:rPr>
                          </w:pPr>
                          <w:r w:rsidRPr="00D80429">
                            <w:rPr>
                              <w:rStyle w:val="Bodytext7NotBoldExact"/>
                              <w:rFonts w:hint="cs"/>
                              <w:spacing w:val="-4"/>
                              <w:sz w:val="20"/>
                              <w:rtl/>
                            </w:rPr>
                            <w:t>....ה</w:t>
                          </w:r>
                          <w:r w:rsidRPr="00D80429">
                            <w:rPr>
                              <w:rFonts w:hint="cs"/>
                              <w:spacing w:val="-4"/>
                              <w:sz w:val="20"/>
                              <w:rtl/>
                            </w:rPr>
                            <w:t xml:space="preserve">                               </w:t>
                          </w:r>
                          <w:r>
                            <w:rPr>
                              <w:rFonts w:hint="cs"/>
                              <w:spacing w:val="-4"/>
                              <w:sz w:val="20"/>
                              <w:rtl/>
                            </w:rPr>
                            <w:t xml:space="preserve">          </w:t>
                          </w:r>
                          <w:r w:rsidRPr="00D80429">
                            <w:rPr>
                              <w:rFonts w:hint="cs"/>
                              <w:spacing w:val="-4"/>
                              <w:sz w:val="20"/>
                              <w:rtl/>
                            </w:rPr>
                            <w:t xml:space="preserve">     </w:t>
                          </w:r>
                          <w:r w:rsidRPr="00D80429">
                            <w:rPr>
                              <w:rFonts w:ascii="Tahoma" w:hAnsi="Tahoma" w:cs="Tahoma" w:hint="cs"/>
                              <w:spacing w:val="-4"/>
                              <w:sz w:val="20"/>
                              <w:szCs w:val="24"/>
                              <w:rtl/>
                            </w:rPr>
                            <w:t xml:space="preserve">  </w:t>
                          </w:r>
                          <w:r>
                            <w:rPr>
                              <w:rFonts w:ascii="Tahoma" w:hAnsi="Tahoma" w:cs="Tahoma" w:hint="cs"/>
                              <w:spacing w:val="-4"/>
                              <w:sz w:val="20"/>
                              <w:szCs w:val="24"/>
                              <w:rtl/>
                            </w:rPr>
                            <w:t xml:space="preserve"> </w:t>
                          </w:r>
                          <w:r w:rsidRPr="00D80429">
                            <w:rPr>
                              <w:rFonts w:ascii="Tahoma" w:hAnsi="Tahoma" w:cs="Tahoma" w:hint="cs"/>
                              <w:spacing w:val="-4"/>
                              <w:sz w:val="20"/>
                              <w:rtl/>
                            </w:rPr>
                            <w:t>|</w:t>
                          </w:r>
                          <w:r w:rsidRPr="00D80429">
                            <w:rPr>
                              <w:rFonts w:ascii="Tahoma" w:hAnsi="Tahoma" w:cs="Tahoma" w:hint="cs"/>
                              <w:spacing w:val="-4"/>
                              <w:sz w:val="20"/>
                              <w:szCs w:val="24"/>
                              <w:rtl/>
                            </w:rPr>
                            <w:t xml:space="preserve"> </w:t>
                          </w:r>
                          <w:r w:rsidRPr="00D80429">
                            <w:rPr>
                              <w:rFonts w:ascii="Tahoma" w:hAnsi="Tahoma" w:cs="Tahoma" w:hint="cs"/>
                              <w:spacing w:val="-4"/>
                              <w:sz w:val="20"/>
                              <w:rtl/>
                            </w:rPr>
                            <w:t xml:space="preserve"> </w:t>
                          </w:r>
                          <w:r w:rsidRPr="00D80429">
                            <w:rPr>
                              <w:rFonts w:ascii="Tahoma" w:hAnsi="Tahoma" w:cs="Tahoma"/>
                              <w:b/>
                              <w:bCs/>
                              <w:spacing w:val="-4"/>
                              <w:sz w:val="20"/>
                              <w:szCs w:val="20"/>
                              <w:rtl/>
                            </w:rPr>
                            <w:t>דוחות בעניין ההיערכות והמוכנות של ממשלת ישראל ומערכת הביטחון להתמודדות עם איומים ממעגל שלישי</w:t>
                          </w:r>
                        </w:p>
                        <w:p w:rsidR="00E56721" w:rsidRPr="009B7D1B" w:rsidP="00586851" w14:textId="2EC9C34C">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0" type="#_x0000_t202" style="width:24pt;height:673.05pt;margin-top:-57.3pt;margin-left:-56.2pt;mso-height-percent:0;mso-height-relative:margin;mso-width-percent:0;mso-width-relative:margin;mso-wrap-distance-bottom:0;mso-wrap-distance-left:9pt;mso-wrap-distance-right:9pt;mso-wrap-distance-top:0;mso-wrap-style:square;position:absolute;visibility:visible;v-text-anchor:top;z-index:251665408" fillcolor="#00305f" strokecolor="#00305f">
              <v:textbox style="layout-flow:vertical;mso-layout-flow-alt:bottom-to-top" inset="0,0,0,0">
                <w:txbxContent>
                  <w:p w:rsidR="00975835" w:rsidRPr="00D80429" w:rsidP="00975835" w14:paraId="0D56017F" w14:textId="77777777">
                    <w:pPr>
                      <w:pStyle w:val="Bodytext70"/>
                      <w:shd w:val="clear" w:color="auto" w:fill="003060"/>
                      <w:rPr>
                        <w:rFonts w:ascii="Tahoma" w:hAnsi="Tahoma" w:cs="Tahoma"/>
                        <w:b/>
                        <w:bCs/>
                        <w:spacing w:val="-4"/>
                        <w:sz w:val="20"/>
                        <w:szCs w:val="20"/>
                        <w:rtl/>
                      </w:rPr>
                    </w:pPr>
                    <w:r w:rsidRPr="00D80429">
                      <w:rPr>
                        <w:rStyle w:val="Bodytext7NotBoldExact"/>
                        <w:rFonts w:hint="cs"/>
                        <w:spacing w:val="-4"/>
                        <w:sz w:val="20"/>
                        <w:rtl/>
                      </w:rPr>
                      <w:t>....ה</w:t>
                    </w:r>
                    <w:r w:rsidRPr="00D80429">
                      <w:rPr>
                        <w:rFonts w:hint="cs"/>
                        <w:spacing w:val="-4"/>
                        <w:sz w:val="20"/>
                        <w:rtl/>
                      </w:rPr>
                      <w:t xml:space="preserve">                               </w:t>
                    </w:r>
                    <w:r>
                      <w:rPr>
                        <w:rFonts w:hint="cs"/>
                        <w:spacing w:val="-4"/>
                        <w:sz w:val="20"/>
                        <w:rtl/>
                      </w:rPr>
                      <w:t xml:space="preserve">          </w:t>
                    </w:r>
                    <w:r w:rsidRPr="00D80429">
                      <w:rPr>
                        <w:rFonts w:hint="cs"/>
                        <w:spacing w:val="-4"/>
                        <w:sz w:val="20"/>
                        <w:rtl/>
                      </w:rPr>
                      <w:t xml:space="preserve">     </w:t>
                    </w:r>
                    <w:r w:rsidRPr="00D80429">
                      <w:rPr>
                        <w:rFonts w:ascii="Tahoma" w:hAnsi="Tahoma" w:cs="Tahoma" w:hint="cs"/>
                        <w:spacing w:val="-4"/>
                        <w:sz w:val="20"/>
                        <w:szCs w:val="24"/>
                        <w:rtl/>
                      </w:rPr>
                      <w:t xml:space="preserve">  </w:t>
                    </w:r>
                    <w:r>
                      <w:rPr>
                        <w:rFonts w:ascii="Tahoma" w:hAnsi="Tahoma" w:cs="Tahoma" w:hint="cs"/>
                        <w:spacing w:val="-4"/>
                        <w:sz w:val="20"/>
                        <w:szCs w:val="24"/>
                        <w:rtl/>
                      </w:rPr>
                      <w:t xml:space="preserve"> </w:t>
                    </w:r>
                    <w:r w:rsidRPr="00D80429">
                      <w:rPr>
                        <w:rFonts w:ascii="Tahoma" w:hAnsi="Tahoma" w:cs="Tahoma" w:hint="cs"/>
                        <w:spacing w:val="-4"/>
                        <w:sz w:val="20"/>
                        <w:rtl/>
                      </w:rPr>
                      <w:t>|</w:t>
                    </w:r>
                    <w:r w:rsidRPr="00D80429">
                      <w:rPr>
                        <w:rFonts w:ascii="Tahoma" w:hAnsi="Tahoma" w:cs="Tahoma" w:hint="cs"/>
                        <w:spacing w:val="-4"/>
                        <w:sz w:val="20"/>
                        <w:szCs w:val="24"/>
                        <w:rtl/>
                      </w:rPr>
                      <w:t xml:space="preserve"> </w:t>
                    </w:r>
                    <w:r w:rsidRPr="00D80429">
                      <w:rPr>
                        <w:rFonts w:ascii="Tahoma" w:hAnsi="Tahoma" w:cs="Tahoma" w:hint="cs"/>
                        <w:spacing w:val="-4"/>
                        <w:sz w:val="20"/>
                        <w:rtl/>
                      </w:rPr>
                      <w:t xml:space="preserve"> </w:t>
                    </w:r>
                    <w:r w:rsidRPr="00D80429">
                      <w:rPr>
                        <w:rFonts w:ascii="Tahoma" w:hAnsi="Tahoma" w:cs="Tahoma"/>
                        <w:b/>
                        <w:bCs/>
                        <w:spacing w:val="-4"/>
                        <w:sz w:val="20"/>
                        <w:szCs w:val="20"/>
                        <w:rtl/>
                      </w:rPr>
                      <w:t>דוחות בעניין ההיערכות והמוכנות של ממשלת ישראל ומערכת הביטחון להתמודדות עם איומים ממעגל שלישי</w:t>
                    </w:r>
                  </w:p>
                  <w:p w:rsidR="00E56721" w:rsidRPr="009B7D1B" w:rsidP="00586851" w14:paraId="3B4CCAD6" w14:textId="2EC9C34C">
                    <w:pPr>
                      <w:pStyle w:val="Bodytext70"/>
                      <w:shd w:val="clear" w:color="auto" w:fill="003060"/>
                      <w:rPr>
                        <w:rFonts w:ascii="Tahoma" w:hAnsi="Tahoma" w:cs="Tahoma"/>
                        <w:b/>
                        <w:bCs/>
                        <w:rtl/>
                      </w:rPr>
                    </w:pPr>
                  </w:p>
                </w:txbxContent>
              </v:textbox>
              <w10:wrap type="square"/>
            </v:shape>
          </w:pict>
        </mc:Fallback>
      </mc:AlternateContent>
    </w: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2"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6432"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336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B5A8F78"/>
    <w:lvl w:ilvl="0">
      <w:start w:val="1"/>
      <w:numFmt w:val="decimal"/>
      <w:lvlText w:val="%1."/>
      <w:lvlJc w:val="left"/>
      <w:pPr>
        <w:tabs>
          <w:tab w:val="num" w:pos="1492"/>
        </w:tabs>
        <w:ind w:left="1492" w:hanging="360"/>
      </w:pPr>
    </w:lvl>
  </w:abstractNum>
  <w:abstractNum w:abstractNumId="1">
    <w:nsid w:val="FFFFFF7D"/>
    <w:multiLevelType w:val="singleLevel"/>
    <w:tmpl w:val="502AE120"/>
    <w:lvl w:ilvl="0">
      <w:start w:val="1"/>
      <w:numFmt w:val="decimal"/>
      <w:lvlText w:val="%1."/>
      <w:lvlJc w:val="left"/>
      <w:pPr>
        <w:tabs>
          <w:tab w:val="num" w:pos="1209"/>
        </w:tabs>
        <w:ind w:left="1209" w:hanging="360"/>
      </w:pPr>
    </w:lvl>
  </w:abstractNum>
  <w:abstractNum w:abstractNumId="2">
    <w:nsid w:val="FFFFFF7F"/>
    <w:multiLevelType w:val="singleLevel"/>
    <w:tmpl w:val="1574692A"/>
    <w:lvl w:ilvl="0">
      <w:start w:val="1"/>
      <w:numFmt w:val="decimal"/>
      <w:lvlText w:val="%1."/>
      <w:lvlJc w:val="left"/>
      <w:pPr>
        <w:tabs>
          <w:tab w:val="num" w:pos="643"/>
        </w:tabs>
        <w:ind w:left="643" w:hanging="360"/>
      </w:pPr>
    </w:lvl>
  </w:abstractNum>
  <w:abstractNum w:abstractNumId="3">
    <w:nsid w:val="FFFFFF80"/>
    <w:multiLevelType w:val="singleLevel"/>
    <w:tmpl w:val="45F4210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0842AD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A7ED30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D8A4C5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2B385900"/>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405"/>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A7FF5"/>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1FD"/>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566"/>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3AE7"/>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1B8"/>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1CB"/>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060"/>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47E89"/>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00F"/>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1E3"/>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835"/>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C31"/>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17DCE"/>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27EE6"/>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6C7B"/>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429"/>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4.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388F5C9C-CB3A-405B-960E-B942C1CC3E1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