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1B48F204">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3074093</wp:posOffset>
                </wp:positionH>
                <wp:positionV relativeFrom="paragraph">
                  <wp:posOffset>269990</wp:posOffset>
                </wp:positionV>
                <wp:extent cx="0" cy="3595255"/>
                <wp:effectExtent l="25400" t="0" r="25400" b="2476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595255"/>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2.05pt,21.25pt" to="242.05pt,304.35pt" strokecolor="white" strokeweight="4pt"/>
            </w:pict>
          </mc:Fallback>
        </mc:AlternateContent>
      </w: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294352</wp:posOffset>
                </wp:positionH>
                <wp:positionV relativeFrom="paragraph">
                  <wp:posOffset>2035005</wp:posOffset>
                </wp:positionV>
                <wp:extent cx="2648644" cy="0"/>
                <wp:effectExtent l="12700" t="12700" r="571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648644"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0" style="flip:x;mso-height-percent:0;mso-height-relative:margin;mso-width-percent:0;mso-width-relative:margin;mso-wrap-distance-bottom:0;mso-wrap-distance-left:9pt;mso-wrap-distance-right:9pt;mso-wrap-distance-top:0;mso-wrap-style:square;position:absolute;visibility:visible;z-index:251669504" from="23.2pt,160.25pt" to="231.75pt,160.25pt" strokecolor="white" strokeweight="1.5pt"/>
            </w:pict>
          </mc:Fallback>
        </mc:AlternateContent>
      </w:r>
      <w:r w:rsidRPr="0030415A" w:rsidR="00374E3E">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48895</wp:posOffset>
                </wp:positionH>
                <wp:positionV relativeFrom="paragraph">
                  <wp:posOffset>344170</wp:posOffset>
                </wp:positionV>
                <wp:extent cx="4425950" cy="4273550"/>
                <wp:effectExtent l="0" t="0" r="6350"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2595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F73EE0" w:rsidP="00F82137" w14:textId="536DD53D">
                            <w:pPr>
                              <w:ind w:left="2268"/>
                              <w:jc w:val="left"/>
                              <w:rPr>
                                <w:rtl/>
                              </w:rPr>
                            </w:pPr>
                            <w:r w:rsidRPr="00C32CC6">
                              <w:rPr>
                                <w:rFonts w:ascii="Tahoma" w:hAnsi="Tahoma" w:cs="Tahoma"/>
                                <w:sz w:val="18"/>
                                <w:szCs w:val="18"/>
                                <w:rtl/>
                              </w:rPr>
                              <w:t>דוח מבקר המדינה</w:t>
                            </w:r>
                            <w:r w:rsidR="00E97207">
                              <w:rPr>
                                <w:rFonts w:ascii="Tahoma" w:hAnsi="Tahoma" w:cs="Tahoma" w:hint="cs"/>
                                <w:sz w:val="18"/>
                                <w:szCs w:val="18"/>
                                <w:rtl/>
                              </w:rPr>
                              <w:t xml:space="preserve"> -</w:t>
                            </w:r>
                            <w:r w:rsidRPr="00C32CC6">
                              <w:rPr>
                                <w:rFonts w:ascii="Tahoma" w:hAnsi="Tahoma" w:cs="Tahoma"/>
                                <w:sz w:val="18"/>
                                <w:szCs w:val="18"/>
                                <w:rtl/>
                              </w:rPr>
                              <w:t xml:space="preserve"> סייבר ומערכות מידע </w:t>
                            </w:r>
                            <w:r w:rsidR="00F82137">
                              <w:rPr>
                                <w:rFonts w:ascii="Tahoma" w:hAnsi="Tahoma" w:cs="Tahoma"/>
                                <w:sz w:val="18"/>
                                <w:szCs w:val="18"/>
                                <w:rtl/>
                              </w:rPr>
                              <w:br/>
                            </w:r>
                            <w:r w:rsidRPr="00C32CC6">
                              <w:rPr>
                                <w:rFonts w:ascii="Tahoma" w:hAnsi="Tahoma" w:cs="Tahoma"/>
                                <w:sz w:val="18"/>
                                <w:szCs w:val="18"/>
                                <w:rtl/>
                              </w:rPr>
                              <w:t xml:space="preserve">אייר </w:t>
                            </w:r>
                            <w:r w:rsidRPr="00C32CC6">
                              <w:rPr>
                                <w:rFonts w:ascii="Tahoma" w:hAnsi="Tahoma" w:cs="Tahoma"/>
                                <w:sz w:val="18"/>
                                <w:szCs w:val="18"/>
                                <w:rtl/>
                              </w:rPr>
                              <w:t>התשפ"ג</w:t>
                            </w:r>
                            <w:r w:rsidRPr="00C32CC6">
                              <w:rPr>
                                <w:rFonts w:ascii="Tahoma" w:hAnsi="Tahoma" w:cs="Tahoma"/>
                                <w:sz w:val="18"/>
                                <w:szCs w:val="18"/>
                                <w:rtl/>
                              </w:rPr>
                              <w:t xml:space="preserve"> | מאי 2023</w:t>
                            </w:r>
                          </w:p>
                          <w:p w:rsidR="00E56721" w:rsidP="0052031E" w14:textId="77777777">
                            <w:pPr>
                              <w:ind w:left="2268"/>
                            </w:pPr>
                          </w:p>
                          <w:p w:rsidR="000E630E" w:rsidP="0052031E" w14:textId="77777777">
                            <w:pPr>
                              <w:ind w:left="2268"/>
                              <w:rPr>
                                <w:rtl/>
                              </w:rPr>
                            </w:pPr>
                          </w:p>
                          <w:p w:rsidR="00F73EE0" w:rsidP="0052031E" w14:textId="77777777">
                            <w:pPr>
                              <w:ind w:left="2268"/>
                              <w:rPr>
                                <w:rtl/>
                              </w:rPr>
                            </w:pPr>
                          </w:p>
                          <w:p w:rsidR="005D0F8C" w:rsidRPr="000A3ED4" w:rsidP="00A85BBF" w14:textId="327B090A">
                            <w:pPr>
                              <w:pStyle w:val="-2"/>
                              <w:rPr>
                                <w:rtl/>
                              </w:rPr>
                            </w:pPr>
                            <w:r>
                              <w:rPr>
                                <w:rFonts w:hint="cs"/>
                                <w:rtl/>
                              </w:rPr>
                              <w:t xml:space="preserve">ביקורות מערכתיות </w:t>
                            </w:r>
                          </w:p>
                          <w:p w:rsidR="00F73EE0" w:rsidRPr="000F5023" w:rsidP="0072357A" w14:textId="749F7ABC">
                            <w:pPr>
                              <w:pStyle w:val="a35"/>
                              <w:bidi/>
                              <w:spacing w:before="120"/>
                              <w:rPr>
                                <w:rtl/>
                              </w:rPr>
                            </w:pPr>
                            <w:r w:rsidRPr="002C1DC2">
                              <w:rPr>
                                <w:rtl/>
                              </w:rPr>
                              <w:t>התקשרויות בפטור ממכרז בתחום התקשוב</w:t>
                            </w:r>
                            <w:r>
                              <w:rPr>
                                <w:rFonts w:hint="cs"/>
                                <w:rtl/>
                              </w:rPr>
                              <w:t xml:space="preserve"> </w:t>
                            </w:r>
                          </w:p>
                          <w:p w:rsidR="00C30482" w:rsidRPr="000F5023" w:rsidP="000F5023" w14:textId="77777777">
                            <w:pPr>
                              <w:pStyle w:val="a35"/>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width:348.5pt;height:336.5pt;margin-top:27.1pt;margin-left:3.85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F73EE0" w:rsidP="00F82137" w14:paraId="7A4F68DA" w14:textId="536DD53D">
                      <w:pPr>
                        <w:ind w:left="2268"/>
                        <w:jc w:val="left"/>
                        <w:rPr>
                          <w:rtl/>
                        </w:rPr>
                      </w:pPr>
                      <w:r w:rsidRPr="00C32CC6">
                        <w:rPr>
                          <w:rFonts w:ascii="Tahoma" w:hAnsi="Tahoma" w:cs="Tahoma"/>
                          <w:sz w:val="18"/>
                          <w:szCs w:val="18"/>
                          <w:rtl/>
                        </w:rPr>
                        <w:t>דוח מבקר המדינה</w:t>
                      </w:r>
                      <w:r w:rsidR="00E97207">
                        <w:rPr>
                          <w:rFonts w:ascii="Tahoma" w:hAnsi="Tahoma" w:cs="Tahoma" w:hint="cs"/>
                          <w:sz w:val="18"/>
                          <w:szCs w:val="18"/>
                          <w:rtl/>
                        </w:rPr>
                        <w:t xml:space="preserve"> -</w:t>
                      </w:r>
                      <w:r w:rsidRPr="00C32CC6">
                        <w:rPr>
                          <w:rFonts w:ascii="Tahoma" w:hAnsi="Tahoma" w:cs="Tahoma"/>
                          <w:sz w:val="18"/>
                          <w:szCs w:val="18"/>
                          <w:rtl/>
                        </w:rPr>
                        <w:t xml:space="preserve"> סייבר ומערכות מידע </w:t>
                      </w:r>
                      <w:r w:rsidR="00F82137">
                        <w:rPr>
                          <w:rFonts w:ascii="Tahoma" w:hAnsi="Tahoma" w:cs="Tahoma"/>
                          <w:sz w:val="18"/>
                          <w:szCs w:val="18"/>
                          <w:rtl/>
                        </w:rPr>
                        <w:br/>
                      </w:r>
                      <w:r w:rsidRPr="00C32CC6">
                        <w:rPr>
                          <w:rFonts w:ascii="Tahoma" w:hAnsi="Tahoma" w:cs="Tahoma"/>
                          <w:sz w:val="18"/>
                          <w:szCs w:val="18"/>
                          <w:rtl/>
                        </w:rPr>
                        <w:t xml:space="preserve">אייר </w:t>
                      </w:r>
                      <w:r w:rsidRPr="00C32CC6">
                        <w:rPr>
                          <w:rFonts w:ascii="Tahoma" w:hAnsi="Tahoma" w:cs="Tahoma"/>
                          <w:sz w:val="18"/>
                          <w:szCs w:val="18"/>
                          <w:rtl/>
                        </w:rPr>
                        <w:t>התשפ"ג</w:t>
                      </w:r>
                      <w:r w:rsidRPr="00C32CC6">
                        <w:rPr>
                          <w:rFonts w:ascii="Tahoma" w:hAnsi="Tahoma" w:cs="Tahoma"/>
                          <w:sz w:val="18"/>
                          <w:szCs w:val="18"/>
                          <w:rtl/>
                        </w:rPr>
                        <w:t xml:space="preserve"> | מאי 2023</w:t>
                      </w:r>
                    </w:p>
                    <w:p w:rsidR="00E56721" w:rsidP="0052031E" w14:paraId="6A74246D" w14:textId="77777777">
                      <w:pPr>
                        <w:ind w:left="2268"/>
                      </w:pPr>
                    </w:p>
                    <w:p w:rsidR="000E630E" w:rsidP="0052031E" w14:paraId="57154837" w14:textId="77777777">
                      <w:pPr>
                        <w:ind w:left="2268"/>
                        <w:rPr>
                          <w:rtl/>
                        </w:rPr>
                      </w:pPr>
                    </w:p>
                    <w:p w:rsidR="00F73EE0" w:rsidP="0052031E" w14:paraId="537675A5" w14:textId="77777777">
                      <w:pPr>
                        <w:ind w:left="2268"/>
                        <w:rPr>
                          <w:rtl/>
                        </w:rPr>
                      </w:pPr>
                    </w:p>
                    <w:p w:rsidR="005D0F8C" w:rsidRPr="000A3ED4" w:rsidP="00A85BBF" w14:paraId="361EED1E" w14:textId="327B090A">
                      <w:pPr>
                        <w:pStyle w:val="-2"/>
                        <w:rPr>
                          <w:rtl/>
                        </w:rPr>
                      </w:pPr>
                      <w:r>
                        <w:rPr>
                          <w:rFonts w:hint="cs"/>
                          <w:rtl/>
                        </w:rPr>
                        <w:t xml:space="preserve">ביקורות מערכתיות </w:t>
                      </w:r>
                    </w:p>
                    <w:p w:rsidR="00F73EE0" w:rsidRPr="000F5023" w:rsidP="0072357A" w14:paraId="5464BE8D" w14:textId="749F7ABC">
                      <w:pPr>
                        <w:pStyle w:val="a35"/>
                        <w:bidi/>
                        <w:spacing w:before="120"/>
                        <w:rPr>
                          <w:rtl/>
                        </w:rPr>
                      </w:pPr>
                      <w:r w:rsidRPr="002C1DC2">
                        <w:rPr>
                          <w:rtl/>
                        </w:rPr>
                        <w:t>התקשרויות בפטור ממכרז בתחום התקשוב</w:t>
                      </w:r>
                      <w:r>
                        <w:rPr>
                          <w:rFonts w:hint="cs"/>
                          <w:rtl/>
                        </w:rPr>
                        <w:t xml:space="preserve"> </w:t>
                      </w:r>
                    </w:p>
                    <w:p w:rsidR="00C30482" w:rsidRPr="000F5023" w:rsidP="000F5023" w14:paraId="5BE5E625" w14:textId="77777777">
                      <w:pPr>
                        <w:pStyle w:val="a35"/>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A1467E9">
      <w:pPr>
        <w:spacing w:line="240" w:lineRule="atLeast"/>
        <w:jc w:val="center"/>
        <w:rPr>
          <w:rFonts w:ascii="Tahoma" w:hAnsi="Tahoma" w:cs="Tahoma"/>
          <w:sz w:val="22"/>
          <w:szCs w:val="22"/>
          <w:rtl/>
        </w:rPr>
      </w:pPr>
    </w:p>
    <w:p w:rsidR="00E35DF9" w:rsidRPr="00406E80" w:rsidP="008D2388" w14:paraId="5F398D7B" w14:textId="4F30E2B5">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7EB27B86">
      <w:pPr>
        <w:spacing w:line="240" w:lineRule="atLeast"/>
        <w:jc w:val="center"/>
        <w:rPr>
          <w:rFonts w:ascii="Tahoma" w:hAnsi="Tahoma" w:cs="Tahoma"/>
          <w:sz w:val="22"/>
          <w:szCs w:val="22"/>
          <w:rtl/>
        </w:rPr>
      </w:pPr>
    </w:p>
    <w:p w:rsidR="00E35DF9" w:rsidP="008D2388" w14:paraId="1081EBD1" w14:textId="1102587C">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-1718310</wp:posOffset>
                </wp:positionH>
                <wp:positionV relativeFrom="paragraph">
                  <wp:posOffset>-1534062</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120.8pt;margin-left:-135.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RPr="001F3363" w:rsidP="00BB0517" w14:paraId="4ED3AA37" w14:textId="1234113F">
      <w:pPr>
        <w:pStyle w:val="7329"/>
        <w:rPr>
          <w:rtl/>
        </w:rPr>
      </w:pPr>
      <w:r w:rsidRPr="001F3363">
        <w:rPr>
          <w:noProof/>
          <w:rtl/>
        </w:rPr>
        <mc:AlternateContent>
          <mc:Choice Requires="wps">
            <w:drawing>
              <wp:anchor distT="0" distB="0" distL="114300" distR="114300" simplePos="0" relativeHeight="251675648" behindDoc="0" locked="0" layoutInCell="1" allowOverlap="1">
                <wp:simplePos x="0" y="0"/>
                <wp:positionH relativeFrom="column">
                  <wp:posOffset>-655320</wp:posOffset>
                </wp:positionH>
                <wp:positionV relativeFrom="paragraph">
                  <wp:posOffset>236122</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15.3pt;height:446.2pt;margin-top:18.6pt;margin-left:-51.6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1F3363" w:rsidR="002C1DC2">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666568</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2C1DC2" w:rsidR="002C1DC2">
        <w:rPr>
          <w:noProof/>
          <w:rtl/>
        </w:rPr>
        <w:t>התקשרויות בפטור ממכרז בתחום התקשוב</w:t>
      </w:r>
      <w:r w:rsidR="002C1DC2">
        <w:rPr>
          <w:rFonts w:hint="cs"/>
          <w:noProof/>
          <w:rtl/>
        </w:rPr>
        <w:t xml:space="preserve"> </w:t>
      </w:r>
    </w:p>
    <w:p w:rsidR="00042C6C" w:rsidP="007F4A20" w14:paraId="042F8C3B" w14:textId="63F44297">
      <w:pPr>
        <w:pStyle w:val="7392"/>
        <w:spacing w:before="360"/>
        <w:rPr>
          <w:rtl/>
        </w:rPr>
      </w:pPr>
      <w:r w:rsidRPr="005C298B">
        <w:rPr>
          <w:rtl/>
        </w:rPr>
        <w:t>הרכש הממשלתי הוא נדבך מרכזי בפעילותם של הגופים הממשלתיים, שכן מרבית הפעילות הממשלתית תלויה ברכש של טובין או של שירותים. למערכת רכש ממשלתית יעילה יש תפקיד מרכזי בהבטחת התנהלות תקינה ובניצול מיטבי של כספי הציבור. ייעול הרכש בתחום התקשוב, המבוסס על טכנולוגיה המשתנה בתדירות גבוהה, הוא כלי מהותי לקידום מערך התקשוב והחדשנות הטכנולוגית בגופים הממשלתיים. לשקיפות הליכי הרכש בממשלה יש חשיבות רבה, הן מתוך תפיסה ערכית של אחריות לכספי הציבור, והן מתוך תפיסה מקצועית שלפיה הליך רכש שקוף ותחרותי יביא לתוצאות טובות יותר עבור הגופים הממשלתיים. יש לציין כי ביוני 2022 פורסמה להערות הציבור טיוטה לתיקון תקנות חובת המכרזים, התשנ"ג-1993</w:t>
      </w:r>
      <w:r>
        <w:rPr>
          <w:rFonts w:hint="cs"/>
          <w:rtl/>
        </w:rPr>
        <w:t>.</w:t>
      </w:r>
    </w:p>
    <w:p w:rsidR="007F4A20" w:rsidRPr="00042C6C" w:rsidP="00042C6C" w14:paraId="0B41EED6" w14:textId="62074C4A">
      <w:pPr>
        <w:pStyle w:val="7392"/>
        <w:rPr>
          <w:rtl/>
        </w:rPr>
      </w:pPr>
      <w:r w:rsidRPr="00042C6C">
        <w:rPr>
          <w:rtl/>
        </w:rPr>
        <w:t xml:space="preserve">היקף הרכש </w:t>
      </w:r>
      <w:r w:rsidRPr="00042C6C">
        <w:rPr>
          <w:rtl/>
        </w:rPr>
        <w:t>התקשובי</w:t>
      </w:r>
      <w:r w:rsidRPr="00042C6C">
        <w:rPr>
          <w:rtl/>
        </w:rPr>
        <w:t xml:space="preserve"> בשנים 2019 - 2021 היה כ-14.4 מיליארד ש"ח, והוא היה כ-15.6% מסך הרכש הממשלתי בשנים אלו. היקף הרכש </w:t>
      </w:r>
      <w:r w:rsidRPr="00042C6C">
        <w:rPr>
          <w:rtl/>
        </w:rPr>
        <w:t>התקשובי</w:t>
      </w:r>
      <w:r w:rsidRPr="00042C6C">
        <w:rPr>
          <w:rtl/>
        </w:rPr>
        <w:t xml:space="preserve"> שבוצע בפטור ממכרז בשנים 2019 - 2021 היה כ-1.79 מיליארד ש"ח, והוא היה כ-14.2% מסך הרכש </w:t>
      </w:r>
      <w:r w:rsidRPr="00042C6C">
        <w:rPr>
          <w:rtl/>
        </w:rPr>
        <w:t>התקשובי</w:t>
      </w:r>
      <w:r w:rsidRPr="00042C6C">
        <w:rPr>
          <w:rtl/>
        </w:rPr>
        <w:t xml:space="preserve"> באותן שנים</w:t>
      </w:r>
      <w:r w:rsidRPr="00042C6C" w:rsidR="0036097F">
        <w:rPr>
          <w:rFonts w:hint="cs"/>
          <w:rtl/>
        </w:rPr>
        <w:t>.</w:t>
      </w:r>
      <w:r w:rsidRPr="00042C6C"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042C6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hemeColor="text1"/>
            </w:tcBorders>
            <w:vAlign w:val="bottom"/>
          </w:tcPr>
          <w:p w:rsidR="00042C6C" w:rsidRPr="004562F8" w:rsidP="00042C6C" w14:paraId="23EB689E" w14:textId="26C7D07B">
            <w:pPr>
              <w:spacing w:after="60" w:line="240" w:lineRule="auto"/>
              <w:rPr>
                <w:b/>
                <w:bCs/>
                <w:spacing w:val="-28"/>
                <w:rtl/>
              </w:rPr>
            </w:pPr>
            <w:r>
              <w:rPr>
                <w:rFonts w:ascii="Tahoma" w:hAnsi="Tahoma" w:eastAsiaTheme="minorEastAsia" w:cs="Tahoma" w:hint="cs"/>
                <w:b/>
                <w:bCs/>
                <w:color w:val="0D0D0D" w:themeColor="text1" w:themeTint="F2"/>
                <w:spacing w:val="-10"/>
                <w:sz w:val="36"/>
                <w:szCs w:val="36"/>
                <w:rtl/>
              </w:rPr>
              <w:t xml:space="preserve">14.4 </w:t>
            </w:r>
            <w:r>
              <w:rPr>
                <w:rFonts w:ascii="Tahoma" w:hAnsi="Tahoma" w:eastAsiaTheme="minorEastAsia" w:cs="Tahoma" w:hint="cs"/>
                <w:b/>
                <w:bCs/>
                <w:color w:val="0D0D0D" w:themeColor="text1" w:themeTint="F2"/>
                <w:spacing w:val="-10"/>
                <w:sz w:val="26"/>
                <w:szCs w:val="26"/>
                <w:rtl/>
              </w:rPr>
              <w:t>מיליארד ש״ח</w:t>
            </w:r>
          </w:p>
        </w:tc>
        <w:tc>
          <w:tcPr>
            <w:tcW w:w="161" w:type="pct"/>
            <w:vAlign w:val="bottom"/>
          </w:tcPr>
          <w:p w:rsidR="00042C6C" w:rsidP="00042C6C" w14:paraId="19192EA5" w14:textId="77777777">
            <w:pPr>
              <w:spacing w:before="120" w:after="60" w:line="240" w:lineRule="auto"/>
              <w:rPr>
                <w:rtl/>
              </w:rPr>
            </w:pPr>
          </w:p>
        </w:tc>
        <w:tc>
          <w:tcPr>
            <w:tcW w:w="1038" w:type="pct"/>
            <w:tcBorders>
              <w:bottom w:val="single" w:sz="12" w:space="0" w:color="000000" w:themeColor="text1"/>
            </w:tcBorders>
            <w:vAlign w:val="bottom"/>
          </w:tcPr>
          <w:p w:rsidR="00042C6C" w:rsidRPr="005C7ABF" w:rsidP="00042C6C" w14:paraId="761F4116" w14:textId="231CEAFE">
            <w:pPr>
              <w:pStyle w:val="2021"/>
              <w:spacing w:before="0" w:after="60"/>
              <w:rPr>
                <w:spacing w:val="-10"/>
                <w:rtl/>
              </w:rPr>
            </w:pPr>
            <w:r>
              <w:rPr>
                <w:rFonts w:hint="cs"/>
                <w:spacing w:val="-10"/>
                <w:rtl/>
              </w:rPr>
              <w:t xml:space="preserve">4.2 </w:t>
            </w:r>
            <w:r w:rsidRPr="00411396">
              <w:rPr>
                <w:rFonts w:hint="cs"/>
                <w:spacing w:val="-10"/>
                <w:sz w:val="26"/>
                <w:szCs w:val="26"/>
                <w:rtl/>
              </w:rPr>
              <w:t>מיליארד ש״ח</w:t>
            </w:r>
          </w:p>
        </w:tc>
        <w:tc>
          <w:tcPr>
            <w:tcW w:w="161" w:type="pct"/>
            <w:vAlign w:val="bottom"/>
          </w:tcPr>
          <w:p w:rsidR="00042C6C" w:rsidP="00042C6C" w14:paraId="2810DE55" w14:textId="77777777">
            <w:pPr>
              <w:spacing w:before="120" w:after="60" w:line="240" w:lineRule="auto"/>
              <w:rPr>
                <w:rtl/>
              </w:rPr>
            </w:pPr>
          </w:p>
        </w:tc>
        <w:tc>
          <w:tcPr>
            <w:tcW w:w="1151" w:type="pct"/>
            <w:tcBorders>
              <w:bottom w:val="single" w:sz="12" w:space="0" w:color="000000" w:themeColor="text1"/>
            </w:tcBorders>
            <w:vAlign w:val="bottom"/>
          </w:tcPr>
          <w:p w:rsidR="00042C6C" w:rsidRPr="00340353" w:rsidP="00042C6C" w14:paraId="2A2E27BD" w14:textId="13191C47">
            <w:pPr>
              <w:pStyle w:val="2021"/>
              <w:spacing w:before="0" w:after="60"/>
              <w:rPr>
                <w:b w:val="0"/>
                <w:bCs w:val="0"/>
                <w:spacing w:val="-20"/>
                <w:sz w:val="24"/>
                <w:rtl/>
              </w:rPr>
            </w:pPr>
            <w:r>
              <w:rPr>
                <w:rFonts w:hint="cs"/>
                <w:spacing w:val="-10"/>
                <w:rtl/>
              </w:rPr>
              <w:t xml:space="preserve">1.79 </w:t>
            </w:r>
            <w:r w:rsidRPr="00411396">
              <w:rPr>
                <w:rFonts w:hint="cs"/>
                <w:spacing w:val="-10"/>
                <w:sz w:val="26"/>
                <w:szCs w:val="26"/>
                <w:rtl/>
              </w:rPr>
              <w:t>מיליארד ש״ח</w:t>
            </w:r>
          </w:p>
        </w:tc>
        <w:tc>
          <w:tcPr>
            <w:tcW w:w="182" w:type="pct"/>
          </w:tcPr>
          <w:p w:rsidR="00042C6C" w:rsidP="00042C6C" w14:paraId="47B754BA" w14:textId="77777777">
            <w:pPr>
              <w:pStyle w:val="2021"/>
              <w:spacing w:before="0" w:after="60"/>
              <w:rPr>
                <w:spacing w:val="-10"/>
                <w:rtl/>
              </w:rPr>
            </w:pPr>
          </w:p>
        </w:tc>
        <w:tc>
          <w:tcPr>
            <w:tcW w:w="1143" w:type="pct"/>
            <w:tcBorders>
              <w:bottom w:val="single" w:sz="12" w:space="0" w:color="000000" w:themeColor="text1"/>
            </w:tcBorders>
            <w:vAlign w:val="bottom"/>
          </w:tcPr>
          <w:p w:rsidR="00042C6C" w:rsidP="00042C6C" w14:paraId="5F3A3FF5" w14:textId="30F8DBC6">
            <w:pPr>
              <w:pStyle w:val="2021"/>
              <w:spacing w:before="0" w:after="60"/>
              <w:rPr>
                <w:spacing w:val="-10"/>
                <w:rtl/>
              </w:rPr>
            </w:pPr>
            <w:r>
              <w:rPr>
                <w:rFonts w:hint="cs"/>
                <w:spacing w:val="-10"/>
                <w:rtl/>
              </w:rPr>
              <w:t xml:space="preserve">717 </w:t>
            </w:r>
          </w:p>
        </w:tc>
      </w:tr>
      <w:tr w14:paraId="6DFAF81C" w14:textId="77777777" w:rsidTr="00042C6C">
        <w:tblPrEx>
          <w:tblW w:w="5000" w:type="pct"/>
          <w:tblLook w:val="04A0"/>
        </w:tblPrEx>
        <w:tc>
          <w:tcPr>
            <w:tcW w:w="1164" w:type="pct"/>
            <w:tcBorders>
              <w:top w:val="single" w:sz="12" w:space="0" w:color="000000" w:themeColor="text1"/>
            </w:tcBorders>
          </w:tcPr>
          <w:p w:rsidR="00042C6C" w:rsidRPr="00E52143" w:rsidP="00042C6C" w14:paraId="1D96599A" w14:textId="09C5D1D1">
            <w:pPr>
              <w:pStyle w:val="732021"/>
              <w:spacing w:before="0"/>
              <w:rPr>
                <w:rtl/>
              </w:rPr>
            </w:pPr>
            <w:r w:rsidRPr="005C298B">
              <w:rPr>
                <w:rtl/>
              </w:rPr>
              <w:t xml:space="preserve">היקף הרכש </w:t>
            </w:r>
            <w:r w:rsidRPr="005C298B">
              <w:rPr>
                <w:rtl/>
              </w:rPr>
              <w:t>התקשובי</w:t>
            </w:r>
            <w:r w:rsidRPr="005C298B">
              <w:rPr>
                <w:rtl/>
              </w:rPr>
              <w:t xml:space="preserve"> בשנים 2019 - 2021</w:t>
            </w:r>
          </w:p>
        </w:tc>
        <w:tc>
          <w:tcPr>
            <w:tcW w:w="161" w:type="pct"/>
          </w:tcPr>
          <w:p w:rsidR="00042C6C" w:rsidRPr="00E52143" w:rsidP="00042C6C" w14:paraId="2BF81D8C" w14:textId="77777777">
            <w:pPr>
              <w:pStyle w:val="732021"/>
              <w:spacing w:before="0"/>
              <w:rPr>
                <w:rtl/>
              </w:rPr>
            </w:pPr>
          </w:p>
        </w:tc>
        <w:tc>
          <w:tcPr>
            <w:tcW w:w="1038" w:type="pct"/>
            <w:tcBorders>
              <w:top w:val="single" w:sz="12" w:space="0" w:color="000000" w:themeColor="text1"/>
            </w:tcBorders>
          </w:tcPr>
          <w:p w:rsidR="00042C6C" w:rsidRPr="00E52143" w:rsidP="00042C6C" w14:paraId="68924AF7" w14:textId="1D03F68F">
            <w:pPr>
              <w:pStyle w:val="732021"/>
              <w:spacing w:before="0"/>
              <w:rPr>
                <w:rtl/>
              </w:rPr>
            </w:pPr>
            <w:r w:rsidRPr="005C298B">
              <w:rPr>
                <w:rtl/>
              </w:rPr>
              <w:t xml:space="preserve">ההפרש בין היקף הרכש לשנת 2020 במערכת </w:t>
            </w:r>
            <w:r w:rsidRPr="005C298B">
              <w:rPr>
                <w:rtl/>
              </w:rPr>
              <w:t>מרכב"ה</w:t>
            </w:r>
            <w:r w:rsidRPr="005C298B">
              <w:rPr>
                <w:rtl/>
              </w:rPr>
              <w:t xml:space="preserve"> לבין הנתונים שפרסם </w:t>
            </w:r>
            <w:r w:rsidRPr="005C298B">
              <w:rPr>
                <w:rtl/>
              </w:rPr>
              <w:t>מינהל</w:t>
            </w:r>
            <w:r w:rsidRPr="005C298B">
              <w:rPr>
                <w:rtl/>
              </w:rPr>
              <w:t xml:space="preserve"> הרכש הממשלתי (</w:t>
            </w:r>
            <w:r w:rsidRPr="005C298B">
              <w:rPr>
                <w:rtl/>
              </w:rPr>
              <w:t>מינהל</w:t>
            </w:r>
            <w:r w:rsidRPr="005C298B">
              <w:rPr>
                <w:rtl/>
              </w:rPr>
              <w:t xml:space="preserve"> הרכש) לציבור</w:t>
            </w:r>
          </w:p>
        </w:tc>
        <w:tc>
          <w:tcPr>
            <w:tcW w:w="161" w:type="pct"/>
          </w:tcPr>
          <w:p w:rsidR="00042C6C" w:rsidRPr="00E52143" w:rsidP="00042C6C" w14:paraId="4F52CE08" w14:textId="77777777">
            <w:pPr>
              <w:pStyle w:val="732021"/>
              <w:spacing w:before="0"/>
              <w:rPr>
                <w:rtl/>
              </w:rPr>
            </w:pPr>
          </w:p>
        </w:tc>
        <w:tc>
          <w:tcPr>
            <w:tcW w:w="1151" w:type="pct"/>
            <w:tcBorders>
              <w:top w:val="single" w:sz="12" w:space="0" w:color="000000" w:themeColor="text1"/>
            </w:tcBorders>
          </w:tcPr>
          <w:p w:rsidR="00042C6C" w:rsidRPr="00E52143" w:rsidP="00042C6C" w14:paraId="203F9568" w14:textId="3C168E56">
            <w:pPr>
              <w:pStyle w:val="732021"/>
              <w:spacing w:before="0"/>
              <w:rPr>
                <w:rtl/>
              </w:rPr>
            </w:pPr>
            <w:r w:rsidRPr="005C298B">
              <w:rPr>
                <w:rtl/>
              </w:rPr>
              <w:t xml:space="preserve">סך הרכש </w:t>
            </w:r>
            <w:r w:rsidRPr="005C298B">
              <w:rPr>
                <w:rtl/>
              </w:rPr>
              <w:t>התקשובי</w:t>
            </w:r>
            <w:r w:rsidRPr="005C298B">
              <w:rPr>
                <w:rtl/>
              </w:rPr>
              <w:t xml:space="preserve"> בפטור ממכרז בשנים 2019 - 2021 (14.2% מסך הרכש </w:t>
            </w:r>
            <w:r w:rsidRPr="005C298B">
              <w:rPr>
                <w:rtl/>
              </w:rPr>
              <w:t>התקשובי</w:t>
            </w:r>
            <w:r w:rsidRPr="005C298B">
              <w:rPr>
                <w:rtl/>
              </w:rPr>
              <w:t xml:space="preserve"> באותן שנים)</w:t>
            </w:r>
          </w:p>
        </w:tc>
        <w:tc>
          <w:tcPr>
            <w:tcW w:w="182" w:type="pct"/>
          </w:tcPr>
          <w:p w:rsidR="00042C6C" w:rsidRPr="00E52143" w:rsidP="00042C6C" w14:paraId="42538096" w14:textId="77777777">
            <w:pPr>
              <w:pStyle w:val="732021"/>
              <w:spacing w:before="0"/>
              <w:rPr>
                <w:rtl/>
              </w:rPr>
            </w:pPr>
          </w:p>
        </w:tc>
        <w:tc>
          <w:tcPr>
            <w:tcW w:w="1143" w:type="pct"/>
            <w:tcBorders>
              <w:top w:val="single" w:sz="12" w:space="0" w:color="000000" w:themeColor="text1"/>
            </w:tcBorders>
          </w:tcPr>
          <w:p w:rsidR="00042C6C" w:rsidRPr="00E52143" w:rsidP="00042C6C" w14:paraId="1878D11D" w14:textId="0BA162B4">
            <w:pPr>
              <w:pStyle w:val="732021"/>
              <w:spacing w:before="0"/>
              <w:rPr>
                <w:rtl/>
              </w:rPr>
            </w:pPr>
            <w:r w:rsidRPr="005C298B">
              <w:rPr>
                <w:rtl/>
              </w:rPr>
              <w:t xml:space="preserve">מספר הזמנות הרכש </w:t>
            </w:r>
            <w:r w:rsidRPr="005C298B">
              <w:rPr>
                <w:rtl/>
              </w:rPr>
              <w:t>התקשוביות</w:t>
            </w:r>
            <w:r w:rsidRPr="005C298B">
              <w:rPr>
                <w:rtl/>
              </w:rPr>
              <w:t xml:space="preserve"> בטווח הסכומים 47,500 ש"ח עד 50,000 ש"ח שבוצעו בפטור ממכרז בעילה של עד 50,000 ש"ח </w:t>
            </w:r>
          </w:p>
        </w:tc>
      </w:tr>
      <w:tr w14:paraId="1BD5A20C" w14:textId="77777777" w:rsidTr="00042C6C">
        <w:tblPrEx>
          <w:tblW w:w="5000" w:type="pct"/>
          <w:tblLook w:val="04A0"/>
        </w:tblPrEx>
        <w:tc>
          <w:tcPr>
            <w:tcW w:w="1164" w:type="pct"/>
            <w:tcBorders>
              <w:bottom w:val="single" w:sz="12" w:space="0" w:color="000000" w:themeColor="text1"/>
            </w:tcBorders>
            <w:vAlign w:val="bottom"/>
          </w:tcPr>
          <w:p w:rsidR="00042C6C" w:rsidRPr="00411396" w:rsidP="00042C6C" w14:paraId="500D3B50" w14:textId="6625E3E2">
            <w:pPr>
              <w:spacing w:line="240"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25%</w:t>
            </w:r>
          </w:p>
        </w:tc>
        <w:tc>
          <w:tcPr>
            <w:tcW w:w="161" w:type="pct"/>
            <w:vAlign w:val="bottom"/>
          </w:tcPr>
          <w:p w:rsidR="00042C6C" w:rsidRPr="00E52143" w:rsidP="00042C6C" w14:paraId="26A950B1" w14:textId="77777777">
            <w:pPr>
              <w:spacing w:after="12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042C6C" w:rsidRPr="008D750B" w:rsidP="00042C6C" w14:paraId="48896DF7" w14:textId="3C3C84C6">
            <w:pPr>
              <w:pStyle w:val="2021"/>
              <w:spacing w:before="0" w:after="60"/>
              <w:rPr>
                <w:spacing w:val="-10"/>
                <w:rtl/>
              </w:rPr>
            </w:pPr>
            <w:r>
              <w:rPr>
                <w:rFonts w:hint="cs"/>
                <w:spacing w:val="-10"/>
                <w:rtl/>
              </w:rPr>
              <w:t>40</w:t>
            </w:r>
            <w:r w:rsidRPr="008D750B">
              <w:rPr>
                <w:spacing w:val="-10"/>
                <w:rtl/>
              </w:rPr>
              <w:t>%</w:t>
            </w:r>
          </w:p>
        </w:tc>
        <w:tc>
          <w:tcPr>
            <w:tcW w:w="161" w:type="pct"/>
            <w:vAlign w:val="bottom"/>
          </w:tcPr>
          <w:p w:rsidR="00042C6C" w:rsidP="00042C6C" w14:paraId="5B4C8A80" w14:textId="77777777">
            <w:pPr>
              <w:spacing w:after="120" w:line="240" w:lineRule="auto"/>
              <w:jc w:val="left"/>
              <w:rPr>
                <w:rtl/>
              </w:rPr>
            </w:pPr>
          </w:p>
        </w:tc>
        <w:tc>
          <w:tcPr>
            <w:tcW w:w="1151" w:type="pct"/>
            <w:tcBorders>
              <w:bottom w:val="single" w:sz="12" w:space="0" w:color="000000" w:themeColor="text1"/>
            </w:tcBorders>
            <w:vAlign w:val="bottom"/>
          </w:tcPr>
          <w:p w:rsidR="00042C6C" w:rsidRPr="0062456C" w:rsidP="00042C6C" w14:paraId="226A2E50" w14:textId="71D2D9FC">
            <w:pPr>
              <w:spacing w:after="60" w:line="192"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61%</w:t>
            </w:r>
          </w:p>
        </w:tc>
        <w:tc>
          <w:tcPr>
            <w:tcW w:w="182" w:type="pct"/>
          </w:tcPr>
          <w:p w:rsidR="00042C6C" w:rsidP="00042C6C" w14:paraId="5E7F766C" w14:textId="77777777">
            <w:pPr>
              <w:spacing w:after="60" w:line="240" w:lineRule="auto"/>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042C6C" w:rsidP="00042C6C" w14:paraId="5AEEF263" w14:textId="7CF645A2">
            <w:pPr>
              <w:spacing w:after="60" w:line="240" w:lineRule="auto"/>
              <w:rPr>
                <w:rFonts w:ascii="Tahoma" w:hAnsi="Tahoma" w:eastAsiaTheme="minorEastAsia" w:cs="Tahoma"/>
                <w:b/>
                <w:bCs/>
                <w:color w:val="0D0D0D" w:themeColor="text1" w:themeTint="F2"/>
                <w:spacing w:val="-10"/>
                <w:sz w:val="36"/>
                <w:szCs w:val="36"/>
                <w:rtl/>
              </w:rPr>
            </w:pPr>
            <w:r w:rsidRPr="00042C6C">
              <w:rPr>
                <w:rFonts w:ascii="Tahoma" w:hAnsi="Tahoma" w:eastAsiaTheme="minorEastAsia" w:cs="Tahoma" w:hint="cs"/>
                <w:b/>
                <w:bCs/>
                <w:color w:val="0D0D0D" w:themeColor="text1" w:themeTint="F2"/>
                <w:spacing w:val="-10"/>
                <w:sz w:val="26"/>
                <w:szCs w:val="26"/>
                <w:rtl/>
              </w:rPr>
              <w:t xml:space="preserve">פי </w:t>
            </w:r>
            <w:r>
              <w:rPr>
                <w:rFonts w:ascii="Tahoma" w:hAnsi="Tahoma" w:eastAsiaTheme="minorEastAsia" w:cs="Tahoma" w:hint="cs"/>
                <w:b/>
                <w:bCs/>
                <w:color w:val="0D0D0D" w:themeColor="text1" w:themeTint="F2"/>
                <w:spacing w:val="-10"/>
                <w:sz w:val="36"/>
                <w:szCs w:val="36"/>
                <w:rtl/>
              </w:rPr>
              <w:t>6</w:t>
            </w:r>
          </w:p>
        </w:tc>
      </w:tr>
      <w:tr w14:paraId="54154FA5" w14:textId="77777777" w:rsidTr="00042C6C">
        <w:tblPrEx>
          <w:tblW w:w="5000" w:type="pct"/>
          <w:tblLook w:val="04A0"/>
        </w:tblPrEx>
        <w:tc>
          <w:tcPr>
            <w:tcW w:w="1164" w:type="pct"/>
            <w:tcBorders>
              <w:top w:val="single" w:sz="12" w:space="0" w:color="000000" w:themeColor="text1"/>
            </w:tcBorders>
          </w:tcPr>
          <w:p w:rsidR="00042C6C" w:rsidRPr="004562F8" w:rsidP="00042C6C" w14:paraId="6DB67748" w14:textId="29B45511">
            <w:pPr>
              <w:pStyle w:val="732021"/>
              <w:spacing w:before="0" w:after="0"/>
              <w:rPr>
                <w:rtl/>
              </w:rPr>
            </w:pPr>
            <w:r w:rsidRPr="005C298B">
              <w:rPr>
                <w:rtl/>
              </w:rPr>
              <w:t>מהגופים הממשלתיים לא הגישו את הדיווחים הנדרשים לשנת 2021 ליחידה הממשלתית לחופש המידע</w:t>
            </w:r>
          </w:p>
        </w:tc>
        <w:tc>
          <w:tcPr>
            <w:tcW w:w="161" w:type="pct"/>
          </w:tcPr>
          <w:p w:rsidR="00042C6C" w:rsidRPr="008D750B" w:rsidP="00042C6C" w14:paraId="0C0AE598" w14:textId="77777777">
            <w:pPr>
              <w:pStyle w:val="732021"/>
              <w:spacing w:before="0" w:after="0"/>
              <w:rPr>
                <w:rtl/>
              </w:rPr>
            </w:pPr>
          </w:p>
        </w:tc>
        <w:tc>
          <w:tcPr>
            <w:tcW w:w="1038" w:type="pct"/>
            <w:tcBorders>
              <w:top w:val="single" w:sz="12" w:space="0" w:color="000000" w:themeColor="text1"/>
            </w:tcBorders>
          </w:tcPr>
          <w:p w:rsidR="00042C6C" w:rsidRPr="004562F8" w:rsidP="00042C6C" w14:paraId="1916A301" w14:textId="697435C3">
            <w:pPr>
              <w:pStyle w:val="732021"/>
              <w:spacing w:before="0"/>
              <w:rPr>
                <w:rtl/>
              </w:rPr>
            </w:pPr>
            <w:r w:rsidRPr="005C298B">
              <w:rPr>
                <w:rtl/>
              </w:rPr>
              <w:t>מהפרסומים של התקשרויות פטורות ממכרז חסרו מידע מהותי הנדרש על פי דין</w:t>
            </w:r>
          </w:p>
        </w:tc>
        <w:tc>
          <w:tcPr>
            <w:tcW w:w="161" w:type="pct"/>
          </w:tcPr>
          <w:p w:rsidR="00042C6C" w:rsidP="00042C6C" w14:paraId="14782C57" w14:textId="77777777">
            <w:pPr>
              <w:pStyle w:val="732021"/>
              <w:spacing w:before="0" w:after="0"/>
              <w:rPr>
                <w:rtl/>
              </w:rPr>
            </w:pPr>
          </w:p>
        </w:tc>
        <w:tc>
          <w:tcPr>
            <w:tcW w:w="1151" w:type="pct"/>
            <w:tcBorders>
              <w:top w:val="single" w:sz="12" w:space="0" w:color="000000" w:themeColor="text1"/>
            </w:tcBorders>
          </w:tcPr>
          <w:p w:rsidR="00042C6C" w:rsidRPr="0062456C" w:rsidP="00042C6C" w14:paraId="6149CA50" w14:textId="612ED495">
            <w:pPr>
              <w:pStyle w:val="732021"/>
              <w:spacing w:before="0" w:after="0"/>
              <w:rPr>
                <w:rtl/>
              </w:rPr>
            </w:pPr>
            <w:r w:rsidRPr="005C298B">
              <w:rPr>
                <w:rtl/>
              </w:rPr>
              <w:t xml:space="preserve">מההתקשרויות בפטור ממכרז בתחום התקשוב בוצעו בעילת </w:t>
            </w:r>
            <w:r>
              <w:rPr>
                <w:rtl/>
              </w:rPr>
              <w:br/>
            </w:r>
            <w:r w:rsidRPr="005C298B">
              <w:rPr>
                <w:rtl/>
              </w:rPr>
              <w:t xml:space="preserve">ספק יחיד </w:t>
            </w:r>
            <w:r>
              <w:rPr>
                <w:rtl/>
              </w:rPr>
              <w:br/>
            </w:r>
            <w:r w:rsidRPr="005C298B">
              <w:rPr>
                <w:rtl/>
              </w:rPr>
              <w:t>(1.1 מיליארד ש"ח)</w:t>
            </w:r>
          </w:p>
        </w:tc>
        <w:tc>
          <w:tcPr>
            <w:tcW w:w="182" w:type="pct"/>
          </w:tcPr>
          <w:p w:rsidR="00042C6C" w:rsidRPr="00C92141" w:rsidP="00042C6C" w14:paraId="66E34E8E" w14:textId="77777777">
            <w:pPr>
              <w:pStyle w:val="732021"/>
              <w:spacing w:before="0" w:after="0"/>
              <w:rPr>
                <w:rtl/>
              </w:rPr>
            </w:pPr>
          </w:p>
        </w:tc>
        <w:tc>
          <w:tcPr>
            <w:tcW w:w="1143" w:type="pct"/>
            <w:tcBorders>
              <w:top w:val="single" w:sz="12" w:space="0" w:color="000000" w:themeColor="text1"/>
            </w:tcBorders>
          </w:tcPr>
          <w:p w:rsidR="00042C6C" w:rsidRPr="00C92141" w:rsidP="00042C6C" w14:paraId="39498237" w14:textId="60F1DED3">
            <w:pPr>
              <w:pStyle w:val="732021"/>
              <w:spacing w:before="0" w:after="0"/>
              <w:rPr>
                <w:rtl/>
              </w:rPr>
            </w:pPr>
            <w:r w:rsidRPr="005C298B">
              <w:rPr>
                <w:rtl/>
              </w:rPr>
              <w:t>שיעור השימוש שעשו הגופים הממשלתיים בפטור בעילת ספק יחיד ברכישות</w:t>
            </w:r>
            <w:r w:rsidRPr="005C298B">
              <w:rPr>
                <w:rFonts w:hint="cs"/>
                <w:rtl/>
              </w:rPr>
              <w:t xml:space="preserve"> </w:t>
            </w:r>
            <w:r w:rsidRPr="005C298B">
              <w:rPr>
                <w:rtl/>
              </w:rPr>
              <w:t>בתחום התקשוב (61%) גדול פי שישה משיעור השימוש שנעשה בעילת פטור זו ברכש ממשלתי שאינו תקשובי (9.72%)</w:t>
            </w: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420374" w:rsidP="00420374" w14:paraId="0AF4CED3" w14:textId="60BBB997">
      <w:pPr>
        <w:pStyle w:val="7317"/>
        <w:rPr>
          <w:rtl/>
        </w:rPr>
      </w:pPr>
      <w:r w:rsidRPr="001F3363">
        <w:rPr>
          <w:noProof/>
        </w:rPr>
        <w:drawing>
          <wp:anchor distT="0" distB="0" distL="114300" distR="114300" simplePos="0" relativeHeight="251684864"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98B" w:rsidR="00042C6C">
        <w:rPr>
          <w:rtl/>
        </w:rPr>
        <w:t>בחודשים אפריל עד אוקטובר 2022 בדק משרד מבקר המדינה היבטים בהתקשרויות שבוצעו בפטור ממכרז בתחום התקשוב בגופים ממשלתיים. הביקורת נעשתה באגף החשב הכללי במשרד האוצר (</w:t>
      </w:r>
      <w:r w:rsidRPr="005C298B" w:rsidR="00042C6C">
        <w:rPr>
          <w:rtl/>
        </w:rPr>
        <w:t>החשכ"ל</w:t>
      </w:r>
      <w:r w:rsidRPr="005C298B" w:rsidR="00042C6C">
        <w:rPr>
          <w:rtl/>
        </w:rPr>
        <w:t xml:space="preserve">) והתבססה על נתונים ששלף משרד מבקר המדינה ממערכת </w:t>
      </w:r>
      <w:r w:rsidRPr="005C298B" w:rsidR="00042C6C">
        <w:rPr>
          <w:rtl/>
        </w:rPr>
        <w:t>מרכב"ה</w:t>
      </w:r>
      <w:r w:rsidRPr="005C298B" w:rsidR="00042C6C">
        <w:rPr>
          <w:rtl/>
        </w:rPr>
        <w:t xml:space="preserve">, מאתר המרשתת (אינטרנט) של </w:t>
      </w:r>
      <w:r w:rsidRPr="005C298B" w:rsidR="00042C6C">
        <w:rPr>
          <w:rtl/>
        </w:rPr>
        <w:t>מינהל</w:t>
      </w:r>
      <w:r w:rsidRPr="005C298B" w:rsidR="00042C6C">
        <w:rPr>
          <w:rtl/>
        </w:rPr>
        <w:t xml:space="preserve"> הרכש במשרד האוצר ומאתר המרשתת של היחידה הממשלתית לחופש המידע. בדיקות השלמה בוצעו במשרד הרווחה </w:t>
      </w:r>
      <w:r w:rsidRPr="005C298B" w:rsidR="00042C6C">
        <w:rPr>
          <w:rtl/>
        </w:rPr>
        <w:t xml:space="preserve">והביטחון החברתי, במשרד הבינוי והשיכון, במערך </w:t>
      </w:r>
      <w:r w:rsidRPr="005C298B" w:rsidR="00042C6C">
        <w:rPr>
          <w:rtl/>
        </w:rPr>
        <w:t>הדיגיטל</w:t>
      </w:r>
      <w:r w:rsidRPr="005C298B" w:rsidR="00042C6C">
        <w:rPr>
          <w:rtl/>
        </w:rPr>
        <w:t xml:space="preserve"> הלאומי שבמשרד הכלכלה והתעשייה (מערך </w:t>
      </w:r>
      <w:r w:rsidRPr="005C298B" w:rsidR="00042C6C">
        <w:rPr>
          <w:rtl/>
        </w:rPr>
        <w:t>הדיגיטל</w:t>
      </w:r>
      <w:r w:rsidRPr="005C298B" w:rsidR="00042C6C">
        <w:rPr>
          <w:rtl/>
        </w:rPr>
        <w:t>), במרכז למיפוי ישראל וברשות התחרות</w:t>
      </w:r>
      <w:r>
        <w:rPr>
          <w:rFonts w:hint="cs"/>
          <w:rtl/>
        </w:rPr>
        <w:t>.</w:t>
      </w:r>
      <w:r w:rsidRPr="001F3363">
        <w:rPr>
          <w:rFonts w:hint="cs"/>
          <w:rtl/>
        </w:rPr>
        <w:t xml:space="preserve"> </w:t>
      </w:r>
    </w:p>
    <w:p w:rsidR="002753C7" w:rsidRPr="00662020" w:rsidP="002753C7" w14:paraId="690F076D" w14:textId="7470F9B1">
      <w:pPr>
        <w:pStyle w:val="7327"/>
        <w:rPr>
          <w:rtl/>
        </w:rPr>
      </w:pPr>
      <w:r w:rsidRPr="00662020">
        <w:rPr>
          <w:rFonts w:hint="cs"/>
          <w:rtl/>
        </w:rPr>
        <w:t>תמונת המצב העולה מן הביקורת</w:t>
      </w:r>
    </w:p>
    <w:p w:rsidR="002753C7" w:rsidRPr="001F3363" w:rsidP="00420374" w14:paraId="0B2F822B" w14:textId="2D27DEBB">
      <w:pPr>
        <w:pStyle w:val="7317"/>
        <w:rPr>
          <w:rtl/>
        </w:rPr>
      </w:pPr>
      <w:r w:rsidRPr="00362C00">
        <w:rPr>
          <w:noProof/>
          <w:rtl/>
        </w:rPr>
        <w:drawing>
          <wp:anchor distT="0" distB="0" distL="114300" distR="114300" simplePos="0" relativeHeight="251685888" behindDoc="0" locked="0" layoutInCell="1" allowOverlap="1">
            <wp:simplePos x="0" y="0"/>
            <wp:positionH relativeFrom="column">
              <wp:posOffset>2540000</wp:posOffset>
            </wp:positionH>
            <wp:positionV relativeFrom="paragraph">
              <wp:posOffset>23858</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042C6C" w:rsidRPr="005C298B" w:rsidP="00042C6C" w14:paraId="7FD5DAF8" w14:textId="2807CBF3">
      <w:pPr>
        <w:pStyle w:val="7317"/>
      </w:pPr>
      <w:r w:rsidRPr="00303B4E">
        <w:rPr>
          <w:rFonts w:hint="cs"/>
          <w:noProof/>
          <w:rtl/>
        </w:rPr>
        <w:drawing>
          <wp:anchor distT="0" distB="0" distL="71755" distR="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1" w:name="_Hlk125888086"/>
      <w:r w:rsidRPr="005C298B">
        <w:rPr>
          <w:b/>
          <w:bCs/>
          <w:rtl/>
        </w:rPr>
        <w:t>התקשרויות בתחום התקשוב שבוצעו בפטור ממכרז בעילת ספק יחיד</w:t>
      </w:r>
      <w:r w:rsidRPr="005C298B">
        <w:rPr>
          <w:rFonts w:hint="cs"/>
          <w:rtl/>
        </w:rPr>
        <w:t xml:space="preserve"> -</w:t>
      </w:r>
      <w:bookmarkEnd w:id="1"/>
      <w:r w:rsidRPr="005C298B">
        <w:rPr>
          <w:rFonts w:hint="cs"/>
          <w:rtl/>
        </w:rPr>
        <w:t xml:space="preserve"> </w:t>
      </w:r>
      <w:r w:rsidRPr="005C298B">
        <w:rPr>
          <w:rtl/>
        </w:rPr>
        <w:t xml:space="preserve">הרכש </w:t>
      </w:r>
      <w:r w:rsidRPr="005C298B">
        <w:rPr>
          <w:rtl/>
        </w:rPr>
        <w:t>התקשובי</w:t>
      </w:r>
      <w:r w:rsidRPr="005C298B">
        <w:rPr>
          <w:rtl/>
        </w:rPr>
        <w:t xml:space="preserve"> שבוצע בפטור ממכרז בעילת ספק יחיד בשנים 2019 - 2021 הסתכם ב-1.1 מיליארד ש"ח - כ-61% מסך הרכש </w:t>
      </w:r>
      <w:r w:rsidRPr="005C298B">
        <w:rPr>
          <w:rtl/>
        </w:rPr>
        <w:t>התקשובי</w:t>
      </w:r>
      <w:r w:rsidRPr="005C298B">
        <w:rPr>
          <w:rtl/>
        </w:rPr>
        <w:t xml:space="preserve"> שבוצע בפטור ממכרז, זאת לעומת שיעור מקביל של 9.7% ברכש הכללי (ללא תקשוב).</w:t>
      </w:r>
    </w:p>
    <w:p w:rsidR="00042C6C" w:rsidRPr="005C298B" w14:paraId="4A3E698F" w14:textId="77777777">
      <w:pPr>
        <w:pStyle w:val="7317"/>
        <w:numPr>
          <w:ilvl w:val="1"/>
          <w:numId w:val="10"/>
        </w:numPr>
      </w:pPr>
      <w:r w:rsidRPr="005C298B">
        <w:rPr>
          <w:rtl/>
        </w:rPr>
        <w:t xml:space="preserve">נמצא כי השימוש שעשו הגופים הממשלתיים בפטור בעילת ספק יחיד ברכישות בתחום התקשוב (61%) היה גדול יותר מפי שישה מהשימוש שנעשה בעילת פטור זו ברכש ממשלתי שאינו תקשובי (9.72%). </w:t>
      </w:r>
    </w:p>
    <w:p w:rsidR="00042C6C" w:rsidRPr="005C298B" w14:paraId="57646A64" w14:textId="77777777">
      <w:pPr>
        <w:pStyle w:val="7317"/>
        <w:numPr>
          <w:ilvl w:val="1"/>
          <w:numId w:val="10"/>
        </w:numPr>
      </w:pPr>
      <w:r w:rsidRPr="005C298B">
        <w:rPr>
          <w:rtl/>
        </w:rPr>
        <w:t xml:space="preserve">נמצא כי במערכת הרכש הממשלתית קיימים שמונה ספקים אשר שני שלישים ויותר מהזמנות הרכש </w:t>
      </w:r>
      <w:r w:rsidRPr="005C298B">
        <w:rPr>
          <w:rtl/>
        </w:rPr>
        <w:t>התקשוביות</w:t>
      </w:r>
      <w:r w:rsidRPr="005C298B">
        <w:rPr>
          <w:rtl/>
        </w:rPr>
        <w:t xml:space="preserve"> מהם (במונחים כספיים), בסכום כולל של כ-130 מיליון ש"ח, נעשו בפטור ממכרז בעילת ספק יחיד. כמו כן, נמצאו שישה ספקים אשר סכום ההתקשרויות הפטורות ממכרז בעילת ספק יחיד שבוצעו עימם היה גדול ביותר - כ-467 מיליון ש"ח. יש לציין כי עם אותם הספקים בוצעו התקשרויות גם בהליכים </w:t>
      </w:r>
      <w:r w:rsidRPr="005C298B">
        <w:rPr>
          <w:rtl/>
        </w:rPr>
        <w:t>מכרזיים</w:t>
      </w:r>
      <w:r w:rsidRPr="005C298B">
        <w:rPr>
          <w:rtl/>
        </w:rPr>
        <w:t>. הדבר יכול להעלות חשש להיעדר תחרות משוכללת ולפגיעה בעקרון השוויון בהתאם לעקרונות שנקבעו בדין, וכן לאי-מיצוי של בחינת החלופות מצד הגוף הממשלתי לפני ההחלטה על שימוש בפטור בעילת ספק יחיד.</w:t>
      </w:r>
    </w:p>
    <w:p w:rsidR="00042C6C" w:rsidRPr="005C298B" w14:paraId="42525731" w14:textId="77777777">
      <w:pPr>
        <w:pStyle w:val="7317"/>
        <w:numPr>
          <w:ilvl w:val="1"/>
          <w:numId w:val="10"/>
        </w:numPr>
      </w:pPr>
      <w:r w:rsidRPr="005C298B">
        <w:rPr>
          <w:rtl/>
        </w:rPr>
        <w:t>נמצא כי בארבעה גופים ממשלתיים -</w:t>
      </w:r>
      <w:bookmarkStart w:id="2" w:name="_Hlk121139238"/>
      <w:r w:rsidRPr="005C298B">
        <w:rPr>
          <w:rtl/>
        </w:rPr>
        <w:t xml:space="preserve"> משרד התחבורה והבטיחות בדרכים (משרד התחבורה), משרד החקלאות ופיתוח הכפר, זרוע העבודה במשרד הכלכלה והתעשייה ורשות המיסים בישראל (רשות המיסים) </w:t>
      </w:r>
      <w:bookmarkEnd w:id="2"/>
      <w:r w:rsidRPr="005C298B">
        <w:rPr>
          <w:rtl/>
        </w:rPr>
        <w:t xml:space="preserve">- שיעור הרכש </w:t>
      </w:r>
      <w:r w:rsidRPr="005C298B">
        <w:rPr>
          <w:rtl/>
        </w:rPr>
        <w:t>התקשובי</w:t>
      </w:r>
      <w:r w:rsidRPr="005C298B">
        <w:rPr>
          <w:rtl/>
        </w:rPr>
        <w:t xml:space="preserve"> הממוצע שבוצע בפטור ממכרז בעילת ספק יחיד בשנים 2019 - 2021 הוא כמעט כפול עד יותר מכפול משיעור הרכש </w:t>
      </w:r>
      <w:r w:rsidRPr="005C298B">
        <w:rPr>
          <w:rtl/>
        </w:rPr>
        <w:t>התקשובי</w:t>
      </w:r>
      <w:r w:rsidRPr="005C298B">
        <w:rPr>
          <w:rtl/>
        </w:rPr>
        <w:t xml:space="preserve"> הממוצע שמבוצע בפטור ממכרז בכלל משרדי הממשלה (14%) (משרד התחבורה - 31%; משרד החקלאות ופיתוח הכפר - 31%; זרוע העבודה במשרד הכלכלה והתעשייה - 27%; רשות המיסים - 26%). </w:t>
      </w:r>
      <w:bookmarkStart w:id="3" w:name="_Hlk121139258"/>
      <w:r w:rsidRPr="005C298B">
        <w:rPr>
          <w:rtl/>
        </w:rPr>
        <w:t xml:space="preserve">הסכום הכולל של הרכש </w:t>
      </w:r>
      <w:r w:rsidRPr="005C298B">
        <w:rPr>
          <w:rtl/>
        </w:rPr>
        <w:t>התקשובי</w:t>
      </w:r>
      <w:r w:rsidRPr="005C298B">
        <w:rPr>
          <w:rtl/>
        </w:rPr>
        <w:t xml:space="preserve"> שבוצע בפטור ממכרז בעילת ספק יחיד בארבעת הגופים היה כ-627.7 מיליון ש"ח.</w:t>
      </w:r>
      <w:bookmarkEnd w:id="3"/>
    </w:p>
    <w:p w:rsidR="00042C6C" w:rsidRPr="005C298B" w14:paraId="6BE7DCF9" w14:textId="77777777">
      <w:pPr>
        <w:pStyle w:val="7317"/>
        <w:numPr>
          <w:ilvl w:val="1"/>
          <w:numId w:val="10"/>
        </w:numPr>
      </w:pPr>
      <w:r w:rsidRPr="005C298B">
        <w:rPr>
          <w:rtl/>
        </w:rPr>
        <w:t xml:space="preserve">בבדיקת 65 פרוטוקולים של ועדות משרדיות שנערכו בשנים 2019 - 2021 עלה כי ברוב המוחלט (97%) של חוות הדעת המקצועיות שהונחו לפני ועדות המכרזים לא פורטו הפעולות לאיתור ספקים נוספים, כנדרש על פי הוראות </w:t>
      </w:r>
      <w:r w:rsidRPr="005C298B">
        <w:rPr>
          <w:rtl/>
        </w:rPr>
        <w:t>התכ"ם</w:t>
      </w:r>
      <w:r w:rsidRPr="005C298B">
        <w:rPr>
          <w:rtl/>
        </w:rPr>
        <w:t xml:space="preserve"> (תקנון כספים ומשק). ללא מידע זה יכולת הוועדה להגיע לרמת הוודאות הנדרשת לאישור הבקשה נפגעת מאוד.</w:t>
      </w:r>
    </w:p>
    <w:p w:rsidR="00042C6C" w:rsidRPr="005C298B" w14:paraId="3915250F" w14:textId="77777777">
      <w:pPr>
        <w:pStyle w:val="7317"/>
        <w:numPr>
          <w:ilvl w:val="1"/>
          <w:numId w:val="10"/>
        </w:numPr>
      </w:pPr>
      <w:r w:rsidRPr="005C298B">
        <w:rPr>
          <w:rtl/>
        </w:rPr>
        <w:t xml:space="preserve">בביקורת עלה כי </w:t>
      </w:r>
      <w:r w:rsidRPr="005C298B">
        <w:rPr>
          <w:rtl/>
        </w:rPr>
        <w:t>למינהל</w:t>
      </w:r>
      <w:r w:rsidRPr="005C298B">
        <w:rPr>
          <w:rtl/>
        </w:rPr>
        <w:t xml:space="preserve"> הרכש אין מידע כולל בדבר ההשגות על הכוונה להתקשר בפטור ממכרז בעילה של ספק יחיד, ובפועל כל גוף ממשלתי מתמודד בנפרד עם </w:t>
      </w:r>
      <w:r w:rsidRPr="005C298B">
        <w:rPr>
          <w:rtl/>
        </w:rPr>
        <w:t xml:space="preserve">ההשגות שהוגשו לו בעניין כוונותיו להתקשר בפטור ממכרז בעילה זו. הימצאות מידע כולל על השגות שהוגשו לגופים הממשלתיים בגין הכוונה להתקשר בפטור ממכרז אצל הגורם הממשלתי האמון על הרכש הממשלתי - </w:t>
      </w:r>
      <w:r w:rsidRPr="005C298B">
        <w:rPr>
          <w:rtl/>
        </w:rPr>
        <w:t>מינהל</w:t>
      </w:r>
      <w:r w:rsidRPr="005C298B">
        <w:rPr>
          <w:rtl/>
        </w:rPr>
        <w:t xml:space="preserve"> הרכש - תשפר את יכולתו לקבל החלטות בכל הקשור לשיפור ולייעול של תהליכי הרכש הממשלתיים בכללותם.</w:t>
      </w:r>
    </w:p>
    <w:p w:rsidR="00042C6C" w:rsidRPr="005C298B" w:rsidP="00042C6C" w14:paraId="66C3E2CE" w14:textId="2DC120E1">
      <w:pPr>
        <w:pStyle w:val="7317"/>
      </w:pPr>
      <w:r w:rsidRPr="00042C6C">
        <w:rPr>
          <w:rFonts w:hint="cs"/>
          <w:b/>
          <w:bCs/>
          <w:noProof/>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42C6C">
        <w:rPr>
          <w:b/>
          <w:bCs/>
          <w:rtl/>
        </w:rPr>
        <w:t>התקשרויות בתחום התקשוב שבוצעו בפטור ממכרז בעילת התקשרות של עד 50,000 ש"ח</w:t>
      </w:r>
      <w:r w:rsidRPr="005C298B">
        <w:rPr>
          <w:rFonts w:hint="cs"/>
          <w:rtl/>
        </w:rPr>
        <w:t xml:space="preserve"> - </w:t>
      </w:r>
      <w:r w:rsidRPr="005C298B">
        <w:rPr>
          <w:rtl/>
        </w:rPr>
        <w:t xml:space="preserve">בשנים 2019 - 2021 ההזמנות </w:t>
      </w:r>
      <w:r w:rsidRPr="005C298B">
        <w:rPr>
          <w:rtl/>
        </w:rPr>
        <w:t>התקשוביות</w:t>
      </w:r>
      <w:r w:rsidRPr="005C298B">
        <w:rPr>
          <w:rtl/>
        </w:rPr>
        <w:t xml:space="preserve"> שבוצעו בפטור ממכרז בעילת התקשרות של עד 50,000 ש"ח (תקנה 3(1)) הסתכמו ב-161 מיליון ש"ח, שהם כ-9.1% מסך ההזמנות </w:t>
      </w:r>
      <w:r w:rsidRPr="005C298B">
        <w:rPr>
          <w:rtl/>
        </w:rPr>
        <w:t>התקשוביות</w:t>
      </w:r>
      <w:r w:rsidRPr="005C298B">
        <w:rPr>
          <w:rtl/>
        </w:rPr>
        <w:t xml:space="preserve"> שבוצעו בפטור ממכרז בשנים אלו. זאת לעומת שיעור מקביל של 2.8% ברכש הכללי (ללא תקשוב).</w:t>
      </w:r>
      <w:r w:rsidRPr="005C298B">
        <w:t xml:space="preserve"> </w:t>
      </w:r>
    </w:p>
    <w:p w:rsidR="00042C6C" w:rsidRPr="005C298B" w14:paraId="03E0D946" w14:textId="77777777">
      <w:pPr>
        <w:pStyle w:val="7317"/>
        <w:numPr>
          <w:ilvl w:val="0"/>
          <w:numId w:val="11"/>
        </w:numPr>
      </w:pPr>
      <w:r w:rsidRPr="005C298B">
        <w:rPr>
          <w:rtl/>
        </w:rPr>
        <w:t>נמצאו תשעה מקרים, בסכום כולל של 898,000 ש"ח, שבהם בוצעו בטווח של עד 14 יום כמה הזמנות מאותו ספק לאותו שירות אשר כל אחת מהן קטנה מ-50,000 ש"ח, אולם סכומן המצטבר גדול מסכום זה. פיצול התקשרויות מלאכותי, אם נעשה, חוטא לעקרון השוויון שבבסיס דיני המכרזים, ובאמצעותו נעקפת חובת הביצוע של הרכש באמצעות מכרז. יתרה מזאת, עקב הפיצול ייתכן שימוש יתר בכספי ציבור בשל אי-ניצול היתרון לגודל.</w:t>
      </w:r>
    </w:p>
    <w:p w:rsidR="00042C6C" w:rsidRPr="005C298B" w14:paraId="63FBFD23" w14:textId="77777777">
      <w:pPr>
        <w:pStyle w:val="7317"/>
        <w:numPr>
          <w:ilvl w:val="0"/>
          <w:numId w:val="11"/>
        </w:numPr>
      </w:pPr>
      <w:r w:rsidRPr="005C298B">
        <w:rPr>
          <w:rtl/>
        </w:rPr>
        <w:t xml:space="preserve">לגבי הזמנות רכש אשר סווגו כהתקשרויות בפטור ממכרז לפי תקנה 3(1) ובוצעו בטווח הסכומים 25,000 ש"ח - 50,000 ש"ח, עולה כי בשנים 2019 - 2021 בוצעו 717 הזמנות רכש במדרגת הסכומים 47,500 ש"ח - 50,000 ש"ח - מספר ההזמנות הרב ביותר מכל מדרגות הסכומים הכלולות בטווח הסכומים 25,000 ש"ח - 50,000 ש"ח. מספר ההזמנות במדרגת הסכומים השנייה בגודלה היה 202 הזמנות. כלומר, מספר הזמנות הרכש </w:t>
      </w:r>
      <w:r w:rsidRPr="005C298B">
        <w:rPr>
          <w:rtl/>
        </w:rPr>
        <w:t>התקשוביות</w:t>
      </w:r>
      <w:r w:rsidRPr="005C298B">
        <w:rPr>
          <w:rtl/>
        </w:rPr>
        <w:t xml:space="preserve"> המסווגות כהתקשרויות בפטור ממכרז לפי תקנה 3(1) ומבוצעות בסכומים הקרובים לתקרת הפטור הקבועה בתקנות גדול פי שלושה ויותר מממספר ההזמנות בכל מדרגת סכומים אחרת.</w:t>
      </w:r>
    </w:p>
    <w:p w:rsidR="00042C6C" w:rsidRPr="005C298B" w14:paraId="552B1615" w14:textId="77777777">
      <w:pPr>
        <w:pStyle w:val="7317"/>
        <w:numPr>
          <w:ilvl w:val="0"/>
          <w:numId w:val="11"/>
        </w:numPr>
        <w:rPr>
          <w:rtl/>
        </w:rPr>
      </w:pPr>
      <w:r w:rsidRPr="005C298B">
        <w:rPr>
          <w:rtl/>
        </w:rPr>
        <w:t>כמו כן, נמצא כי משרד ראש הממשלה ביצע כ-22% (156) מ-717 הזמנות הרכש האמורות, הלשכה המרכזית לסטטיסטיקה ביצעה כ-7.5% (53) מההזמנות האמורות, משרד המשפטים ביצע כ-7.3% (52) מההזמנות האמורות, ומשרד הבריאות ביצע כ-5.9% (42) מההזמנות האמורות. עוד עולה כי קיימים שלושה ספקים אשר מספר ההתקשרויות של הגופים הממשלתיים עימם בטווח זה היה גדול מ-40% מסך ההתקשרויות עימם בשנים 2019 - 2021. ממצא זה מעלה חשש כי גופים ממשלתיים נהגו לעיתים לבצע התאמה של הזמנות רכש לסכום הפטור ממכרז. בשל הפחתת איכותו או כמותו של הרכש כדי להימנע ממכרז, ייתכן ויתור על דרישות נחוצות לפעילות הגוף הממשלתי. כמו כן, תיתכן פגיעה ביכולת התכנון של הרכש בשל היעדר תמונה מלאה של כלל צורכי הרכש של הגוף הממשלתי.</w:t>
      </w:r>
    </w:p>
    <w:p w:rsidR="00042C6C" w:rsidRPr="00042C6C" w:rsidP="00042C6C" w14:paraId="44592E69" w14:textId="1ED0E2C1">
      <w:pPr>
        <w:pStyle w:val="7317"/>
        <w:rPr>
          <w:b/>
          <w:bCs/>
        </w:rPr>
      </w:pPr>
      <w:r w:rsidRPr="00042C6C">
        <w:rPr>
          <w:rFonts w:hint="cs"/>
          <w:b/>
          <w:bCs/>
          <w:noProof/>
          <w:rtl/>
        </w:rPr>
        <w:drawing>
          <wp:anchor distT="0" distB="720090" distL="114300" distR="114300" simplePos="0" relativeHeight="25168896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42C6C">
        <w:rPr>
          <w:b/>
          <w:bCs/>
          <w:rtl/>
        </w:rPr>
        <w:t>פרסום התקשרויות ממשלתיות</w:t>
      </w:r>
    </w:p>
    <w:p w:rsidR="00042C6C" w:rsidRPr="005C298B" w14:paraId="2C5648FD" w14:textId="77777777">
      <w:pPr>
        <w:pStyle w:val="7317"/>
        <w:numPr>
          <w:ilvl w:val="0"/>
          <w:numId w:val="11"/>
        </w:numPr>
      </w:pPr>
      <w:r w:rsidRPr="005C298B">
        <w:rPr>
          <w:rtl/>
        </w:rPr>
        <w:t xml:space="preserve">נמצא כי בכ-40% (כ-7,000) מהפרסומים הנוגעים להתקשרויות שבוצעו בפטור ממכרז בשנים 2019 - 2021, הגופים הממשלתיים פרסמו לציבור מידע חסר (שם הספק; שווי ההתקשרות או אומדנה; תאריכי תחילת ההתקשרות וסיומה) שלא בהתאם לדרישות </w:t>
      </w:r>
      <w:r w:rsidRPr="005C298B">
        <w:rPr>
          <w:rtl/>
        </w:rPr>
        <w:t xml:space="preserve">הדין בקשר לכוונותיהם להתקשר עם ספקים בפטור ממכרז. בכך נפגעה השקיפות כלפי הציבור וכן יכולת הבקרה של </w:t>
      </w:r>
      <w:r w:rsidRPr="005C298B">
        <w:rPr>
          <w:rtl/>
        </w:rPr>
        <w:t>מינהל</w:t>
      </w:r>
      <w:r w:rsidRPr="005C298B">
        <w:rPr>
          <w:rtl/>
        </w:rPr>
        <w:t xml:space="preserve"> הרכש. </w:t>
      </w:r>
    </w:p>
    <w:p w:rsidR="00042C6C" w:rsidRPr="005C298B" w14:paraId="053AD965" w14:textId="77777777">
      <w:pPr>
        <w:pStyle w:val="7317"/>
        <w:numPr>
          <w:ilvl w:val="0"/>
          <w:numId w:val="11"/>
        </w:numPr>
      </w:pPr>
      <w:r w:rsidRPr="005C298B">
        <w:rPr>
          <w:rtl/>
        </w:rPr>
        <w:t xml:space="preserve">בנוגע לשלמות הנתונים שפורסמו בדוח ההתקשרויות ולמהימנותם, עלה כי במאות רבות של מקרים נמצאו טעויות מהותיות בפרטי ההתקשרות: בשישה מקרים ההתקשרות סווגה לפי עילת פטור של עד 50,000 ש"ח, אף שהיקפה גדול מסכום זה; ב-822 מקרים ההתקשרות סווגה לפי עילת פטור אשר הגורם המאשר הנדרש לפי עילה זו שונה מהגורם שצוין כגורם המאשר; ב-585 מקרים ההתקשרות סווגה לפי עילת פטור של ספק יחיד, אך לא צורפה חוות הדעת המקצועית הקובעת כי מדובר כספק יחיד, כנדרש בהוראות </w:t>
      </w:r>
      <w:r w:rsidRPr="005C298B">
        <w:rPr>
          <w:rtl/>
        </w:rPr>
        <w:t>התכ"ם</w:t>
      </w:r>
      <w:r w:rsidRPr="005C298B">
        <w:rPr>
          <w:rtl/>
        </w:rPr>
        <w:t>. טעויות אלו היו יכולות להימנע, אילו היו במודול הפרסומים בקרות בסיסיות אשר היו מתריעות לפני הגופים הממשלתיים על טעויות או על חוסרים בהזנת הנתונים.</w:t>
      </w:r>
    </w:p>
    <w:p w:rsidR="00042C6C" w:rsidRPr="005C298B" w14:paraId="3DB2B61B" w14:textId="7286551B">
      <w:pPr>
        <w:pStyle w:val="7317"/>
        <w:numPr>
          <w:ilvl w:val="0"/>
          <w:numId w:val="11"/>
        </w:numPr>
      </w:pPr>
      <w:r w:rsidRPr="005C298B">
        <w:rPr>
          <w:rtl/>
        </w:rPr>
        <w:t>נמצא כי בשנים 2019 - 2021 הגישו הגופים הממשלתיים בממוצע כ-62.5% מהדיווחים במועד הקבוע בהנח</w:t>
      </w:r>
      <w:r w:rsidR="00D0066A">
        <w:rPr>
          <w:rFonts w:hint="cs"/>
          <w:rtl/>
        </w:rPr>
        <w:t>י</w:t>
      </w:r>
      <w:r w:rsidRPr="005C298B">
        <w:rPr>
          <w:rtl/>
        </w:rPr>
        <w:t>ית היחידה לחופש המידע. לעומת זאת, יותר משליש מהגופים (37.5%) לא הגישו דיווח או הגישו אותו באיחור שנע בין כמה ימים לבין כמה חודשים. זאת שלא בהתאם להנחיית היחידה ולהחלטת הממשלה לקדם את השקיפות ולהרחיב את הפצת המידע היזום לטובת הציבור.</w:t>
      </w:r>
    </w:p>
    <w:p w:rsidR="00420374" w:rsidRPr="0093709F" w14:paraId="5E2BFABB" w14:textId="0C010F6A">
      <w:pPr>
        <w:pStyle w:val="7317"/>
        <w:numPr>
          <w:ilvl w:val="0"/>
          <w:numId w:val="11"/>
        </w:numPr>
        <w:rPr>
          <w:rtl/>
        </w:rPr>
      </w:pPr>
      <w:r w:rsidRPr="005C298B">
        <w:rPr>
          <w:rtl/>
        </w:rPr>
        <w:t xml:space="preserve">לגבי 70 הזמנות רכש </w:t>
      </w:r>
      <w:r w:rsidRPr="005C298B">
        <w:rPr>
          <w:rtl/>
        </w:rPr>
        <w:t>תקשוביות</w:t>
      </w:r>
      <w:r w:rsidRPr="005C298B">
        <w:rPr>
          <w:rtl/>
        </w:rPr>
        <w:t xml:space="preserve"> של משרד התחבורה אשר בוצעו בשנים 2019 - 2020, עלה כי 9 (13%) מהן, בסכום כולל של כ-3.3 מיליון ש"ח, לא פורסמו באתר היחידה לחופש המידע. לגבי 135 הזמנות רכש </w:t>
      </w:r>
      <w:r w:rsidRPr="005C298B">
        <w:rPr>
          <w:rtl/>
        </w:rPr>
        <w:t>תקשוביות</w:t>
      </w:r>
      <w:r w:rsidRPr="005C298B">
        <w:rPr>
          <w:rtl/>
        </w:rPr>
        <w:t xml:space="preserve"> של משרד הבריאות אשר בוצעו בשנים 2019 - 2020, עלה כי 7 (5%) מהן, בסכום כולל של כ-5.2 מיליון ש"ח, לא פורסמו באתר היחידה לחופש המידע.</w:t>
      </w:r>
    </w:p>
    <w:p w:rsidR="003B0B44" w:rsidRPr="005C298B" w:rsidP="003B0B44" w14:paraId="3477E9A6" w14:textId="77777777">
      <w:pPr>
        <w:pStyle w:val="7317"/>
      </w:pPr>
      <w:r w:rsidRPr="005C298B">
        <w:rPr>
          <w:rFonts w:hint="cs"/>
          <w:b/>
          <w:bCs/>
          <w:noProof/>
          <w:rtl/>
        </w:rPr>
        <w:drawing>
          <wp:anchor distT="0" distB="0" distL="0" distR="114300" simplePos="0" relativeHeight="251697152" behindDoc="1" locked="0" layoutInCell="1" allowOverlap="1">
            <wp:simplePos x="0" y="0"/>
            <wp:positionH relativeFrom="column">
              <wp:posOffset>4518025</wp:posOffset>
            </wp:positionH>
            <wp:positionV relativeFrom="paragraph">
              <wp:posOffset>29301</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C298B">
        <w:rPr>
          <w:b/>
          <w:bCs/>
          <w:rtl/>
        </w:rPr>
        <w:t xml:space="preserve">מידע </w:t>
      </w:r>
      <w:r w:rsidRPr="005C298B">
        <w:rPr>
          <w:b/>
          <w:bCs/>
          <w:rtl/>
        </w:rPr>
        <w:t>שמינהל</w:t>
      </w:r>
      <w:r w:rsidRPr="005C298B">
        <w:rPr>
          <w:b/>
          <w:bCs/>
          <w:rtl/>
        </w:rPr>
        <w:t xml:space="preserve"> הרכש מפרסם בדוחות הרכש הממשלתיים השנתיים</w:t>
      </w:r>
      <w:r w:rsidRPr="005C298B">
        <w:rPr>
          <w:rtl/>
        </w:rPr>
        <w:t xml:space="preserve"> - </w:t>
      </w:r>
      <w:r w:rsidRPr="005C298B">
        <w:rPr>
          <w:rtl/>
        </w:rPr>
        <w:t>מינהל</w:t>
      </w:r>
      <w:r w:rsidRPr="005C298B">
        <w:rPr>
          <w:rtl/>
        </w:rPr>
        <w:t xml:space="preserve"> הרכש מציג בדוח השנתי שהוא מפרסם לציבור את נתוני ההשוואה של השנה הקודמת על בסיס הנתונים שפורסמו בשנה הקודמת, ולא על בסיס שליפה חדשה לקבלת נתונים עדכניים. עקב כך עדכונים שבוצעו על ידי הגופים הממשלתיים בהזמנות רכש שנוצרו בשנים עוקבות אינם מופיעים בנתוני </w:t>
      </w:r>
      <w:r w:rsidRPr="005C298B">
        <w:rPr>
          <w:rtl/>
        </w:rPr>
        <w:t>מינהל</w:t>
      </w:r>
      <w:r w:rsidRPr="005C298B">
        <w:rPr>
          <w:rtl/>
        </w:rPr>
        <w:t xml:space="preserve"> הרכש. נמצא כי קיימים פערים של 1.2 - 4.2 מיליארד ש"ח בין היקף הרכש המוצג בדוח של </w:t>
      </w:r>
      <w:r w:rsidRPr="005C298B">
        <w:rPr>
          <w:rtl/>
        </w:rPr>
        <w:t>מינהל</w:t>
      </w:r>
      <w:r w:rsidRPr="005C298B">
        <w:rPr>
          <w:rtl/>
        </w:rPr>
        <w:t xml:space="preserve"> הרכש לשנים 2019 - 2020 (27.3 מיליארד ש"ח ו-30.5 מיליארד ש"ח בהתאמה) להיקף הרכש לשנים אלו כפי שעולה מנתוני מערכת </w:t>
      </w:r>
      <w:r w:rsidRPr="005C298B">
        <w:rPr>
          <w:rtl/>
        </w:rPr>
        <w:t>מרכב"ה</w:t>
      </w:r>
      <w:r w:rsidRPr="005C298B">
        <w:rPr>
          <w:rtl/>
        </w:rPr>
        <w:t xml:space="preserve"> נכון ליוני 2022 (28.5 מיליארד ש"ח ו-34.7 מיליארד ש"ח בהתאמה).</w:t>
      </w:r>
    </w:p>
    <w:p w:rsidR="003B0B44" w:rsidRPr="005C298B" w:rsidP="003B0B44" w14:paraId="774B4F55" w14:textId="77777777">
      <w:pPr>
        <w:pStyle w:val="7317"/>
      </w:pPr>
      <w:r w:rsidRPr="005C298B">
        <w:rPr>
          <w:rFonts w:hint="cs"/>
          <w:b/>
          <w:bCs/>
          <w:noProof/>
          <w:rtl/>
        </w:rPr>
        <w:drawing>
          <wp:anchor distT="0" distB="0" distL="0" distR="114300" simplePos="0" relativeHeight="251698176" behindDoc="1" locked="0" layoutInCell="1" allowOverlap="1">
            <wp:simplePos x="0" y="0"/>
            <wp:positionH relativeFrom="column">
              <wp:posOffset>4518025</wp:posOffset>
            </wp:positionH>
            <wp:positionV relativeFrom="paragraph">
              <wp:posOffset>29301</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1" name="תמונה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C298B">
        <w:rPr>
          <w:b/>
          <w:bCs/>
          <w:rtl/>
        </w:rPr>
        <w:t xml:space="preserve">סיווג הרכש בתחום התקשוב </w:t>
      </w:r>
      <w:r w:rsidRPr="005C298B">
        <w:rPr>
          <w:b/>
          <w:bCs/>
          <w:rtl/>
        </w:rPr>
        <w:t>במרכב"ה</w:t>
      </w:r>
      <w:r w:rsidRPr="005C298B">
        <w:rPr>
          <w:rtl/>
        </w:rPr>
        <w:t xml:space="preserve"> - אין </w:t>
      </w:r>
      <w:r w:rsidRPr="005C298B">
        <w:rPr>
          <w:rtl/>
        </w:rPr>
        <w:t>במרכב"ה</w:t>
      </w:r>
      <w:r w:rsidRPr="005C298B">
        <w:rPr>
          <w:rtl/>
        </w:rPr>
        <w:t xml:space="preserve"> כללים מוגדרים או הנחיה ממשלתית מחייבת לשימוש </w:t>
      </w:r>
      <w:r w:rsidRPr="005C298B">
        <w:rPr>
          <w:rtl/>
        </w:rPr>
        <w:t>במק"טים</w:t>
      </w:r>
      <w:r w:rsidRPr="005C298B">
        <w:rPr>
          <w:rtl/>
        </w:rPr>
        <w:t xml:space="preserve"> או בקבוצות חומר ספציפיות שיאפשרו זיהוי של כלל פעולות הרכש שנעשו בתחום התקשוב או חלקן. עוד עלה כי אין </w:t>
      </w:r>
      <w:r w:rsidRPr="005C298B">
        <w:rPr>
          <w:rtl/>
        </w:rPr>
        <w:t>במרכב"ה</w:t>
      </w:r>
      <w:r w:rsidRPr="005C298B">
        <w:rPr>
          <w:rtl/>
        </w:rPr>
        <w:t xml:space="preserve"> בקרה מפצה, דוגמת מנגנון בקרה מחשובי להתראה על שימוש </w:t>
      </w:r>
      <w:r w:rsidRPr="005C298B">
        <w:rPr>
          <w:rtl/>
        </w:rPr>
        <w:t>במק"טים</w:t>
      </w:r>
      <w:r w:rsidRPr="005C298B">
        <w:rPr>
          <w:rtl/>
        </w:rPr>
        <w:t xml:space="preserve"> אשר אינם תואמים את קבוצת הרכש או למניעת שימוש זה. לכן לגופים הממשלתיים אין אפשרות לקבל באמצעים ממוחשבים תמונת רכש עדכנית ומדויקת של תחום התקשוב. נוסף על כך, אין באפשרותם של גורמי הפיקוח והבקרה - </w:t>
      </w:r>
      <w:r w:rsidRPr="005C298B">
        <w:rPr>
          <w:rtl/>
        </w:rPr>
        <w:t>בחשכ"ל</w:t>
      </w:r>
      <w:r w:rsidRPr="005C298B">
        <w:rPr>
          <w:rtl/>
        </w:rPr>
        <w:t xml:space="preserve">, </w:t>
      </w:r>
      <w:r w:rsidRPr="005C298B">
        <w:rPr>
          <w:rtl/>
        </w:rPr>
        <w:t>במינהל</w:t>
      </w:r>
      <w:r w:rsidRPr="005C298B">
        <w:rPr>
          <w:rtl/>
        </w:rPr>
        <w:t xml:space="preserve"> הרכש ובמערך </w:t>
      </w:r>
      <w:r w:rsidRPr="005C298B">
        <w:rPr>
          <w:rtl/>
        </w:rPr>
        <w:t>הדיגיטל</w:t>
      </w:r>
      <w:r w:rsidRPr="005C298B">
        <w:rPr>
          <w:rtl/>
        </w:rPr>
        <w:t xml:space="preserve"> - לקבל מידע כולל על הרכש </w:t>
      </w:r>
      <w:r w:rsidRPr="005C298B">
        <w:rPr>
          <w:rtl/>
        </w:rPr>
        <w:t>התקשובי</w:t>
      </w:r>
      <w:r w:rsidRPr="005C298B">
        <w:rPr>
          <w:rtl/>
        </w:rPr>
        <w:t xml:space="preserve"> בכלל הגופים הממשלתיים. לדוגמה, ועדת הבחירות המרכזית הזינה </w:t>
      </w:r>
      <w:r w:rsidRPr="005C298B">
        <w:rPr>
          <w:rtl/>
        </w:rPr>
        <w:t>למרכב"ה</w:t>
      </w:r>
      <w:r w:rsidRPr="005C298B">
        <w:rPr>
          <w:rtl/>
        </w:rPr>
        <w:t xml:space="preserve"> בשנים 2019 - 2021 הזמנות רכש בסכום של 227 מיליון ש"ח, בגין תשלומים לסיעות הכנסת על ישיבת נציגיהן בקלפיות. הזמנות אלו סווגו </w:t>
      </w:r>
      <w:r w:rsidRPr="005C298B">
        <w:rPr>
          <w:rtl/>
        </w:rPr>
        <w:t>במרכב"ה</w:t>
      </w:r>
      <w:r w:rsidRPr="005C298B">
        <w:rPr>
          <w:rtl/>
        </w:rPr>
        <w:t xml:space="preserve"> כ"שירותי </w:t>
      </w:r>
      <w:r w:rsidRPr="005C298B">
        <w:rPr>
          <w:rtl/>
        </w:rPr>
        <w:t xml:space="preserve">מחשוב", הגם שמדובר בתשלומים לסיעות. כלומר, ניתוח הרכש </w:t>
      </w:r>
      <w:r w:rsidRPr="005C298B">
        <w:rPr>
          <w:rtl/>
        </w:rPr>
        <w:t>התקשובי</w:t>
      </w:r>
      <w:r w:rsidRPr="005C298B">
        <w:rPr>
          <w:rtl/>
        </w:rPr>
        <w:t xml:space="preserve"> הכולל את הסיווג "שירותי מחשוב" היה יוצר עיוות משמעותי בנתונים.</w:t>
      </w:r>
    </w:p>
    <w:p w:rsidR="003B0B44" w:rsidRPr="005C298B" w:rsidP="003B0B44" w14:paraId="1F2F5B67" w14:textId="77777777">
      <w:pPr>
        <w:pStyle w:val="7317"/>
      </w:pPr>
      <w:r w:rsidRPr="005C298B">
        <w:rPr>
          <w:rFonts w:hint="cs"/>
          <w:b/>
          <w:bCs/>
          <w:noProof/>
          <w:rtl/>
        </w:rPr>
        <w:drawing>
          <wp:anchor distT="0" distB="0" distL="0" distR="114300" simplePos="0" relativeHeight="251699200" behindDoc="1" locked="0" layoutInCell="1" allowOverlap="1">
            <wp:simplePos x="0" y="0"/>
            <wp:positionH relativeFrom="column">
              <wp:posOffset>4518025</wp:posOffset>
            </wp:positionH>
            <wp:positionV relativeFrom="paragraph">
              <wp:posOffset>37374</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451066630" name="תמונה 145106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C298B">
        <w:rPr>
          <w:b/>
          <w:bCs/>
          <w:rtl/>
        </w:rPr>
        <w:t xml:space="preserve">בקרות מובנות במערכת </w:t>
      </w:r>
      <w:r w:rsidRPr="005C298B">
        <w:rPr>
          <w:b/>
          <w:bCs/>
          <w:rtl/>
        </w:rPr>
        <w:t>מרכב"ה</w:t>
      </w:r>
      <w:r w:rsidRPr="005C298B">
        <w:rPr>
          <w:rtl/>
        </w:rPr>
        <w:t xml:space="preserve"> - </w:t>
      </w:r>
      <w:r w:rsidRPr="005C298B">
        <w:rPr>
          <w:rtl/>
        </w:rPr>
        <w:t>במרכב"ה</w:t>
      </w:r>
      <w:r w:rsidRPr="005C298B">
        <w:rPr>
          <w:rtl/>
        </w:rPr>
        <w:t xml:space="preserve"> חסרות כמה בקרות מובנות אשר יכלו למנוע שגיאות המבוצעות במסגרת ביצוע הזמנת רכש בפטור ממכרז או להתריע על שגיאות כאלה, כגון סיווג הזמנות רכש כפטורות ממכרז בעילת התקשרות עם חברה ממשלתית, אף שההתקשרות היא עם חברה פרטית; סיווג הזמנות רכש כפטורות ממכרז בעילת התקשרות של עד 50,000 ש"ח, אף שסכום ההזמנה גדול מסכום זה ומגיע גם למאות אלפי ומיליוני ש"ח. </w:t>
      </w:r>
    </w:p>
    <w:p w:rsidR="003B0B44" w:rsidRPr="005C298B" w:rsidP="003B0B44" w14:paraId="76D24B11" w14:textId="77777777">
      <w:pPr>
        <w:pStyle w:val="7317"/>
      </w:pPr>
      <w:r w:rsidRPr="005C298B">
        <w:rPr>
          <w:rFonts w:hint="cs"/>
          <w:b/>
          <w:bCs/>
          <w:noProof/>
          <w:rtl/>
        </w:rPr>
        <w:drawing>
          <wp:anchor distT="0" distB="0" distL="0" distR="114300" simplePos="0" relativeHeight="251700224" behindDoc="1" locked="0" layoutInCell="1" allowOverlap="1">
            <wp:simplePos x="0" y="0"/>
            <wp:positionH relativeFrom="column">
              <wp:posOffset>4518025</wp:posOffset>
            </wp:positionH>
            <wp:positionV relativeFrom="paragraph">
              <wp:posOffset>42001</wp:posOffset>
            </wp:positionV>
            <wp:extent cx="161925" cy="161925"/>
            <wp:effectExtent l="0" t="0" r="3175" b="3175"/>
            <wp:wrapTight wrapText="bothSides">
              <wp:wrapPolygon>
                <wp:start x="0" y="0"/>
                <wp:lineTo x="0" y="15247"/>
                <wp:lineTo x="5082" y="20329"/>
                <wp:lineTo x="15247" y="20329"/>
                <wp:lineTo x="20329" y="15247"/>
                <wp:lineTo x="20329" y="0"/>
                <wp:lineTo x="0" y="0"/>
              </wp:wrapPolygon>
            </wp:wrapTight>
            <wp:docPr id="1451066631" name="תמונה 145106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1"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C298B">
        <w:rPr>
          <w:b/>
          <w:bCs/>
          <w:rtl/>
        </w:rPr>
        <w:t xml:space="preserve">מידע שמפרסם מערך </w:t>
      </w:r>
      <w:r w:rsidRPr="005C298B">
        <w:rPr>
          <w:b/>
          <w:bCs/>
          <w:rtl/>
        </w:rPr>
        <w:t>הדיגיטל</w:t>
      </w:r>
      <w:r w:rsidRPr="005C298B">
        <w:rPr>
          <w:b/>
          <w:bCs/>
          <w:rtl/>
        </w:rPr>
        <w:t xml:space="preserve"> בנושא היקף פעילות הרכש בתחום התקשוב</w:t>
      </w:r>
      <w:r w:rsidRPr="005C298B">
        <w:rPr>
          <w:rtl/>
        </w:rPr>
        <w:t xml:space="preserve"> - מנהלי אגפי טכנולוגיות דיגיטליות ומידע (</w:t>
      </w:r>
      <w:r w:rsidRPr="005C298B">
        <w:rPr>
          <w:rtl/>
        </w:rPr>
        <w:t>טד"ם</w:t>
      </w:r>
      <w:r w:rsidRPr="005C298B">
        <w:rPr>
          <w:rtl/>
        </w:rPr>
        <w:t xml:space="preserve">) מזינים את הנתונים שעליהם מערך </w:t>
      </w:r>
      <w:r w:rsidRPr="005C298B">
        <w:rPr>
          <w:rtl/>
        </w:rPr>
        <w:t>הדיגיטל</w:t>
      </w:r>
      <w:r w:rsidRPr="005C298B">
        <w:rPr>
          <w:rtl/>
        </w:rPr>
        <w:t xml:space="preserve"> מבסס את הדוח בדרך ידנית במערכת ייעודית של המערך. נתונים אלו אינם מקושרים לנתוני </w:t>
      </w:r>
      <w:r w:rsidRPr="005C298B">
        <w:rPr>
          <w:rtl/>
        </w:rPr>
        <w:t>מרכב"ה</w:t>
      </w:r>
      <w:r w:rsidRPr="005C298B">
        <w:rPr>
          <w:rtl/>
        </w:rPr>
        <w:t xml:space="preserve">, ובפועל נוצרים פערים בין המידע המדווח במערך לבין הנתונים </w:t>
      </w:r>
      <w:r w:rsidRPr="005C298B">
        <w:rPr>
          <w:rtl/>
        </w:rPr>
        <w:t>במרכב"ה</w:t>
      </w:r>
      <w:r w:rsidRPr="005C298B">
        <w:rPr>
          <w:rtl/>
        </w:rPr>
        <w:t xml:space="preserve">, והסכומים לפי המידע המדווח במערך עלולים להיות גדולים או קטנים מהסכומים לפי הנתונים </w:t>
      </w:r>
      <w:r w:rsidRPr="005C298B">
        <w:rPr>
          <w:rtl/>
        </w:rPr>
        <w:t>במרכב"ה</w:t>
      </w:r>
      <w:r w:rsidRPr="005C298B">
        <w:rPr>
          <w:rtl/>
        </w:rPr>
        <w:t xml:space="preserve">. בביקורת עלה כי קיימים פערים של 1.2 - 1.4 מיליארד ש"ח לשנה בין הסכומים לפי המידע שפורסם על ידי מערך </w:t>
      </w:r>
      <w:r w:rsidRPr="005C298B">
        <w:rPr>
          <w:rtl/>
        </w:rPr>
        <w:t>הדיגיטל</w:t>
      </w:r>
      <w:r w:rsidRPr="005C298B">
        <w:rPr>
          <w:rtl/>
        </w:rPr>
        <w:t xml:space="preserve"> בכל שנה, לבין הסכומים לפי המידע המופיע </w:t>
      </w:r>
      <w:r w:rsidRPr="005C298B">
        <w:rPr>
          <w:rtl/>
        </w:rPr>
        <w:t>במרכב"ה</w:t>
      </w:r>
      <w:r w:rsidRPr="005C298B">
        <w:rPr>
          <w:rtl/>
        </w:rPr>
        <w:t xml:space="preserve"> והוגדר כרכש בתחום התקשוב בידי משרד מבקר המדינה.</w:t>
      </w:r>
    </w:p>
    <w:p w:rsidR="00420374" w:rsidP="003B0B44" w14:paraId="39D5E97C" w14:textId="4B69FF6A">
      <w:pPr>
        <w:pStyle w:val="7317"/>
        <w:rPr>
          <w:rtl/>
        </w:rPr>
      </w:pPr>
      <w:r w:rsidRPr="00B4206F">
        <w:rPr>
          <w:rStyle w:val="7371"/>
          <w:rFonts w:hint="cs"/>
          <w:noProof/>
          <w:rtl/>
        </w:rPr>
        <w:drawing>
          <wp:anchor distT="0" distB="0" distL="114300" distR="114300" simplePos="0" relativeHeight="251683840" behindDoc="0" locked="0" layoutInCell="1" allowOverlap="1">
            <wp:simplePos x="0" y="0"/>
            <wp:positionH relativeFrom="column">
              <wp:posOffset>2469878</wp:posOffset>
            </wp:positionH>
            <wp:positionV relativeFrom="paragraph">
              <wp:posOffset>921567</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5C298B">
        <w:rPr>
          <w:rFonts w:hint="cs"/>
          <w:b/>
          <w:bCs/>
          <w:noProof/>
          <w:rtl/>
        </w:rPr>
        <w:drawing>
          <wp:anchor distT="0" distB="0" distL="0" distR="114300" simplePos="0" relativeHeight="251701248" behindDoc="1" locked="0" layoutInCell="1" allowOverlap="1">
            <wp:simplePos x="0" y="0"/>
            <wp:positionH relativeFrom="column">
              <wp:posOffset>4518025</wp:posOffset>
            </wp:positionH>
            <wp:positionV relativeFrom="paragraph">
              <wp:posOffset>35469</wp:posOffset>
            </wp:positionV>
            <wp:extent cx="161925" cy="161925"/>
            <wp:effectExtent l="0" t="0" r="3175" b="3175"/>
            <wp:wrapTight wrapText="bothSides">
              <wp:wrapPolygon>
                <wp:start x="0" y="0"/>
                <wp:lineTo x="0" y="15247"/>
                <wp:lineTo x="5082" y="20329"/>
                <wp:lineTo x="15247" y="20329"/>
                <wp:lineTo x="20329" y="15247"/>
                <wp:lineTo x="20329" y="0"/>
                <wp:lineTo x="0" y="0"/>
              </wp:wrapPolygon>
            </wp:wrapTight>
            <wp:docPr id="1451066632" name="תמונה 145106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2"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C298B">
        <w:rPr>
          <w:b/>
          <w:bCs/>
          <w:rtl/>
        </w:rPr>
        <w:t>סיווג התקשרויות כרגישות</w:t>
      </w:r>
      <w:r w:rsidRPr="005C298B">
        <w:rPr>
          <w:rtl/>
        </w:rPr>
        <w:t xml:space="preserve"> - משרד מבקר המדינה דגם 25 הזמנות מתוך התקשרויות הגופים הממשלתיים בתחום התקשוב בשנים 2019 - 2021 שבוצעו בפטור ממכרז וסווגו כרגישות. נמצא כי 5 (20%) מההזמנות, בערך כספי של 390,000 ש"ח, סווגו כרגישות שלא לצורך, ועקב כך לא פורסמו באתר היחידה הממשלתית לחופש המידע.</w:t>
      </w:r>
      <w:r w:rsidRPr="00B02658" w:rsidR="00DA022A">
        <w:rPr>
          <w:rFonts w:hint="cs"/>
          <w:b/>
          <w:bCs/>
          <w:noProof/>
          <w:rtl/>
        </w:rPr>
        <w:drawing>
          <wp:anchor distT="0" distB="720090" distL="114300" distR="114300" simplePos="0" relativeHeight="251689984"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p>
    <w:p w:rsidR="00420374" w:rsidRPr="00411396" w:rsidP="00420374" w14:paraId="5E6B04AD" w14:textId="4994BAD3">
      <w:pPr>
        <w:pStyle w:val="7392"/>
        <w:spacing w:before="360"/>
        <w:rPr>
          <w:rtl/>
        </w:rPr>
      </w:pPr>
      <w:r w:rsidRPr="005C298B">
        <w:rPr>
          <w:b/>
          <w:bCs/>
          <w:rtl/>
        </w:rPr>
        <w:t xml:space="preserve">פעילות </w:t>
      </w:r>
      <w:r w:rsidRPr="005C298B">
        <w:rPr>
          <w:b/>
          <w:bCs/>
          <w:rtl/>
        </w:rPr>
        <w:t>מינהל</w:t>
      </w:r>
      <w:r w:rsidRPr="005C298B">
        <w:rPr>
          <w:b/>
          <w:bCs/>
          <w:rtl/>
        </w:rPr>
        <w:t xml:space="preserve"> הרכש לחיזוק השקיפות</w:t>
      </w:r>
      <w:r w:rsidRPr="005C298B">
        <w:rPr>
          <w:rtl/>
        </w:rPr>
        <w:t xml:space="preserve"> - משרד מבקר המדינה מציין את פעולות </w:t>
      </w:r>
      <w:r w:rsidRPr="005C298B">
        <w:rPr>
          <w:rtl/>
        </w:rPr>
        <w:t>מינהל</w:t>
      </w:r>
      <w:r w:rsidRPr="005C298B">
        <w:rPr>
          <w:rtl/>
        </w:rPr>
        <w:t xml:space="preserve"> הרכש באתר המרשתת שלו לחיזוק השקיפות של היבטים שונים ברכש הממשלתי, ובכללם ההתקשרויות שמבוצעות בפטור ממכרז. הפעולות הן בין היתר פרסום מידע כללי על פעילות </w:t>
      </w:r>
      <w:r w:rsidRPr="005C298B">
        <w:rPr>
          <w:rtl/>
        </w:rPr>
        <w:t>מינהל</w:t>
      </w:r>
      <w:r w:rsidRPr="005C298B">
        <w:rPr>
          <w:rtl/>
        </w:rPr>
        <w:t xml:space="preserve"> הרכש, פרסום דוחות, יצירת לוח מחוונים ומאגר שאלות ותשובות</w:t>
      </w:r>
      <w:r w:rsidRPr="00411396">
        <w:rPr>
          <w:rtl/>
        </w:rPr>
        <w:t>.</w:t>
      </w:r>
    </w:p>
    <w:p w:rsidR="002753C7" w:rsidRPr="00662020" w:rsidP="002753C7" w14:paraId="7C748CCB" w14:textId="7A75E04D">
      <w:pPr>
        <w:pStyle w:val="7327"/>
        <w:spacing w:before="480"/>
        <w:rPr>
          <w:rtl/>
        </w:rPr>
      </w:pPr>
      <w:r w:rsidRPr="00662020">
        <w:rPr>
          <w:rFonts w:hint="cs"/>
          <w:rtl/>
        </w:rPr>
        <w:t>עיקרי המלצות הביקורת</w:t>
      </w:r>
    </w:p>
    <w:p w:rsidR="0093709F" w:rsidRPr="007C7D40" w:rsidP="007C7D40" w14:paraId="0466320B" w14:textId="6DA7B093">
      <w:pPr>
        <w:pStyle w:val="7317"/>
      </w:pPr>
      <w:r w:rsidRPr="007C7D40">
        <w:rPr>
          <w:rFonts w:hint="cs"/>
          <w:noProof/>
          <w:rtl/>
        </w:rPr>
        <w:drawing>
          <wp:anchor distT="0" distB="1440180" distL="107950" distR="114300" simplePos="0" relativeHeight="25169100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113F54" w:rsidR="003B0B44">
        <w:rPr>
          <w:rtl/>
        </w:rPr>
        <w:t xml:space="preserve">על </w:t>
      </w:r>
      <w:r w:rsidRPr="00113F54" w:rsidR="003B0B44">
        <w:rPr>
          <w:rtl/>
        </w:rPr>
        <w:t>מינהל</w:t>
      </w:r>
      <w:r w:rsidRPr="00113F54" w:rsidR="003B0B44">
        <w:rPr>
          <w:rtl/>
        </w:rPr>
        <w:t xml:space="preserve"> הרכש לבחון את הפערים בין נתוני הרכש שבפרסומיו לבין נתוני הרכש בפועל המבוצעים בשנה מסוימת כפי שמובאים במערכת </w:t>
      </w:r>
      <w:r w:rsidRPr="00113F54" w:rsidR="003B0B44">
        <w:rPr>
          <w:rtl/>
        </w:rPr>
        <w:t>מרכב"ה</w:t>
      </w:r>
      <w:r w:rsidRPr="00113F54" w:rsidR="003B0B44">
        <w:rPr>
          <w:rtl/>
        </w:rPr>
        <w:t xml:space="preserve">. כמו כן, מוצע לבחון כי הדוח הרשמי של </w:t>
      </w:r>
      <w:r w:rsidRPr="00113F54" w:rsidR="003B0B44">
        <w:rPr>
          <w:rtl/>
        </w:rPr>
        <w:t>מינהל</w:t>
      </w:r>
      <w:r w:rsidRPr="00113F54" w:rsidR="003B0B44">
        <w:rPr>
          <w:rtl/>
        </w:rPr>
        <w:t xml:space="preserve"> הרכש יציג תמונה מלאה ומעודכנת של נתוני הרכש המבוצעים בפועל בכל שנה, ולא יסתמך על נתונים שהוזנו בשנים קודמות ואינם משקפים כאמור את הרכש בפועל</w:t>
      </w:r>
      <w:r w:rsidRPr="007C7D40" w:rsidR="005D0F8C">
        <w:rPr>
          <w:rFonts w:hint="cs"/>
          <w:rtl/>
        </w:rPr>
        <w:t xml:space="preserve">. </w:t>
      </w:r>
    </w:p>
    <w:p w:rsidR="005D0F8C" w:rsidRPr="007C7D40" w:rsidP="007C7D40" w14:paraId="6C626C68" w14:textId="23C66C69">
      <w:pPr>
        <w:pStyle w:val="7317"/>
      </w:pPr>
      <w:r w:rsidRPr="007C7D40">
        <w:rPr>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13F54" w:rsidR="003B0B44">
        <w:rPr>
          <w:rtl/>
        </w:rPr>
        <w:t xml:space="preserve">עקב היקפו של הרכש בכלל, והיקף הרכש בתחום התקשוב בפרט, על </w:t>
      </w:r>
      <w:r w:rsidRPr="00113F54" w:rsidR="003B0B44">
        <w:rPr>
          <w:rtl/>
        </w:rPr>
        <w:t>מינהל</w:t>
      </w:r>
      <w:r w:rsidRPr="00113F54" w:rsidR="003B0B44">
        <w:rPr>
          <w:rtl/>
        </w:rPr>
        <w:t xml:space="preserve"> הרכש ויחידת </w:t>
      </w:r>
      <w:r w:rsidRPr="00113F54" w:rsidR="003B0B44">
        <w:rPr>
          <w:rtl/>
        </w:rPr>
        <w:t>מרכב"ה</w:t>
      </w:r>
      <w:r w:rsidRPr="00113F54" w:rsidR="003B0B44">
        <w:rPr>
          <w:rtl/>
        </w:rPr>
        <w:t xml:space="preserve">, בשיתוף מערך </w:t>
      </w:r>
      <w:r w:rsidRPr="00113F54" w:rsidR="003B0B44">
        <w:rPr>
          <w:rtl/>
        </w:rPr>
        <w:t>הדיגיטל</w:t>
      </w:r>
      <w:r w:rsidRPr="00113F54" w:rsidR="003B0B44">
        <w:rPr>
          <w:rtl/>
        </w:rPr>
        <w:t xml:space="preserve">, לקבוע מתווה שיאפשר לסווג באמצעים </w:t>
      </w:r>
      <w:r w:rsidRPr="00113F54" w:rsidR="003B0B44">
        <w:rPr>
          <w:rtl/>
        </w:rPr>
        <w:t xml:space="preserve">ממוחשבים את ההוצאה המשרדית ואת ההוצאה הממשלתית בתחום התקשוב. כמו כן, מוצע לקבוע מנגנון דיווח ממוחשב לשם קבלת מידע מהימן מהגופים הממשלתיים השונים. כך תמונת המצב של הפעילות </w:t>
      </w:r>
      <w:r w:rsidRPr="00113F54" w:rsidR="003B0B44">
        <w:rPr>
          <w:rtl/>
        </w:rPr>
        <w:t>התקשובית</w:t>
      </w:r>
      <w:r w:rsidRPr="00113F54" w:rsidR="003B0B44">
        <w:rPr>
          <w:rtl/>
        </w:rPr>
        <w:t xml:space="preserve"> הממשלתית תשקף את הרכש בפועל ותהיה תואמת את נתוני הרכש </w:t>
      </w:r>
      <w:r w:rsidRPr="00113F54" w:rsidR="003B0B44">
        <w:rPr>
          <w:rtl/>
        </w:rPr>
        <w:t>במרכב"ה</w:t>
      </w:r>
      <w:r w:rsidRPr="007C7D40">
        <w:rPr>
          <w:rtl/>
        </w:rPr>
        <w:t xml:space="preserve">. </w:t>
      </w:r>
    </w:p>
    <w:p w:rsidR="005D0F8C" w:rsidRPr="007C7D40" w:rsidP="007C7D40" w14:paraId="16E5BFEE" w14:textId="3C5301FD">
      <w:pPr>
        <w:pStyle w:val="7317"/>
        <w:rPr>
          <w:rtl/>
        </w:rPr>
      </w:pPr>
      <w:r w:rsidRPr="007C7D40">
        <w:rPr>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13F54" w:rsidR="003B0B44">
        <w:rPr>
          <w:rtl/>
        </w:rPr>
        <w:t xml:space="preserve">מומלץ כי </w:t>
      </w:r>
      <w:r w:rsidRPr="00113F54" w:rsidR="003B0B44">
        <w:rPr>
          <w:rtl/>
        </w:rPr>
        <w:t>מינהל</w:t>
      </w:r>
      <w:r w:rsidRPr="00113F54" w:rsidR="003B0B44">
        <w:rPr>
          <w:rtl/>
        </w:rPr>
        <w:t xml:space="preserve"> הרכש ויחידת </w:t>
      </w:r>
      <w:r w:rsidRPr="00113F54" w:rsidR="003B0B44">
        <w:rPr>
          <w:rtl/>
        </w:rPr>
        <w:t>מרכב"ה</w:t>
      </w:r>
      <w:r w:rsidRPr="00113F54" w:rsidR="003B0B44">
        <w:rPr>
          <w:rtl/>
        </w:rPr>
        <w:t xml:space="preserve"> יישמו בקרות מובנות </w:t>
      </w:r>
      <w:r w:rsidRPr="00113F54" w:rsidR="003B0B44">
        <w:rPr>
          <w:rtl/>
        </w:rPr>
        <w:t>במרכב"ה</w:t>
      </w:r>
      <w:r w:rsidRPr="00113F54" w:rsidR="003B0B44">
        <w:rPr>
          <w:rtl/>
        </w:rPr>
        <w:t xml:space="preserve"> ובקרות מפצות מתאימות אשר יסייעו במניעה ואיתור של שגיאות בהזנת נתוני הרכש </w:t>
      </w:r>
      <w:r w:rsidRPr="00113F54" w:rsidR="003B0B44">
        <w:rPr>
          <w:rtl/>
        </w:rPr>
        <w:t>למרכב"ה</w:t>
      </w:r>
      <w:r w:rsidRPr="00113F54" w:rsidR="003B0B44">
        <w:rPr>
          <w:rtl/>
        </w:rPr>
        <w:t xml:space="preserve">, בהצגה אמינה של הנתונים לציבור ובניתוח הנתונים בידי הגופים הממשלתיים </w:t>
      </w:r>
      <w:r w:rsidRPr="00113F54" w:rsidR="003B0B44">
        <w:rPr>
          <w:rtl/>
        </w:rPr>
        <w:t>ומינהל</w:t>
      </w:r>
      <w:r w:rsidRPr="00113F54" w:rsidR="003B0B44">
        <w:rPr>
          <w:rtl/>
        </w:rPr>
        <w:t xml:space="preserve"> הרכש</w:t>
      </w:r>
      <w:r w:rsidRPr="007C7D40">
        <w:rPr>
          <w:rFonts w:hint="cs"/>
          <w:rtl/>
        </w:rPr>
        <w:t>.</w:t>
      </w:r>
    </w:p>
    <w:p w:rsidR="00706096" w:rsidRPr="007C7D40" w:rsidP="007C7D40" w14:paraId="3F6A2BE4" w14:textId="602187DF">
      <w:pPr>
        <w:pStyle w:val="7317"/>
        <w:rPr>
          <w:rtl/>
        </w:rPr>
      </w:pPr>
      <w:r w:rsidRPr="007C7D40">
        <w:rPr>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13F54" w:rsidR="003B0B44">
        <w:rPr>
          <w:rtl/>
        </w:rPr>
        <w:t xml:space="preserve">מומלץ כי </w:t>
      </w:r>
      <w:r w:rsidRPr="00113F54" w:rsidR="003B0B44">
        <w:rPr>
          <w:rtl/>
        </w:rPr>
        <w:t>החשכ"ל</w:t>
      </w:r>
      <w:r w:rsidRPr="00113F54" w:rsidR="003B0B44">
        <w:rPr>
          <w:rtl/>
        </w:rPr>
        <w:t xml:space="preserve"> יבחן באופן פרטני את ההתקשרויות של הגופים הממשלתיים עם הספקים אשר מרבית ההתקשרויות עימם נעשו בפטור ממכרז בעילת ספק יחיד, וכן את ההתקשרויות עם הספקים אשר היקפן הפטור ממכרז בעילה זו מגיע לעשרות ומאות מיליוני ש"ח. עוד מומלץ כי </w:t>
      </w:r>
      <w:r w:rsidRPr="00113F54" w:rsidR="003B0B44">
        <w:rPr>
          <w:rtl/>
        </w:rPr>
        <w:t>החשכ"ל</w:t>
      </w:r>
      <w:r w:rsidRPr="00113F54" w:rsidR="003B0B44">
        <w:rPr>
          <w:rtl/>
        </w:rPr>
        <w:t xml:space="preserve"> יפעיל כלים דיגיטליים לניטור רציף של הזמנות רכש מרובות מאותו ספק בפטור בעילת ספק יחיד ויבחן את הצורך בהתערבות במקרים המתאימים. כמו כן מומלץ כי </w:t>
      </w:r>
      <w:r w:rsidRPr="00113F54" w:rsidR="003B0B44">
        <w:rPr>
          <w:rtl/>
        </w:rPr>
        <w:t>מינהל</w:t>
      </w:r>
      <w:r w:rsidRPr="00113F54" w:rsidR="003B0B44">
        <w:rPr>
          <w:rtl/>
        </w:rPr>
        <w:t xml:space="preserve"> הרכש ייוועץ, ככל שנדרש, ברשות התחרות לגבי בחינת הממצאים שהועלו ודרכי ההתמודדות האפשריות לשיפור התחרות המשוכללת</w:t>
      </w:r>
      <w:r w:rsidRPr="007C7D40">
        <w:rPr>
          <w:rFonts w:hint="cs"/>
          <w:rtl/>
        </w:rPr>
        <w:t>.</w:t>
      </w:r>
    </w:p>
    <w:p w:rsidR="00706096" w:rsidRPr="007C7D40" w:rsidP="007C7D40" w14:paraId="36B4D251" w14:textId="25FA093C">
      <w:pPr>
        <w:pStyle w:val="7317"/>
      </w:pPr>
      <w:r w:rsidRPr="007C7D40">
        <w:rPr>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113F54" w:rsidR="003B0B44">
        <w:rPr>
          <w:rtl/>
        </w:rPr>
        <w:t xml:space="preserve">מומלץ כי </w:t>
      </w:r>
      <w:r w:rsidRPr="00113F54" w:rsidR="003B0B44">
        <w:rPr>
          <w:rtl/>
        </w:rPr>
        <w:t>החשכ"ל</w:t>
      </w:r>
      <w:r w:rsidRPr="00113F54" w:rsidR="003B0B44">
        <w:rPr>
          <w:rtl/>
        </w:rPr>
        <w:t xml:space="preserve"> יבצע בקרה על יישום ההנחיות בקרב כלל הגופים הממשלתיים בעניינים האלו: (א) רמת הפירוט הנדרשת בחוות הדעת המקצועית מכל יחידה מזמינה, לרבות צירוף מסמכים על הבדיקות שבוצעו ותוצאותיהן; (ב) רמת הוודאות הנדרשת מהוועדות המשרדיות לפני אישור התקשרות בעילת ספק יחיד. מוצע כי בהתאם לתוצאות הבקרה </w:t>
      </w:r>
      <w:r w:rsidRPr="00113F54" w:rsidR="003B0B44">
        <w:rPr>
          <w:rtl/>
        </w:rPr>
        <w:t>החשכ"ל</w:t>
      </w:r>
      <w:r w:rsidRPr="00113F54" w:rsidR="003B0B44">
        <w:rPr>
          <w:rtl/>
        </w:rPr>
        <w:t xml:space="preserve"> ישקול לחדד את הנחיותיו בנושא. כמו כן מוצע כי </w:t>
      </w:r>
      <w:r w:rsidRPr="00113F54" w:rsidR="003B0B44">
        <w:rPr>
          <w:rFonts w:hint="cs"/>
          <w:rtl/>
        </w:rPr>
        <w:t>החשכ"ל</w:t>
      </w:r>
      <w:r w:rsidRPr="00113F54" w:rsidR="003B0B44">
        <w:rPr>
          <w:rtl/>
        </w:rPr>
        <w:t xml:space="preserve"> יאפיין כלי דיגיטלי אשר </w:t>
      </w:r>
      <w:r w:rsidRPr="00113F54" w:rsidR="003B0B44">
        <w:rPr>
          <w:rtl/>
        </w:rPr>
        <w:t>יאגם</w:t>
      </w:r>
      <w:r w:rsidRPr="00113F54" w:rsidR="003B0B44">
        <w:rPr>
          <w:rtl/>
        </w:rPr>
        <w:t xml:space="preserve"> את כלל ההשגות שהתקבלו בהליכי הרכש השונים במשרדים וישקף </w:t>
      </w:r>
      <w:r w:rsidRPr="00113F54" w:rsidR="003B0B44">
        <w:rPr>
          <w:rtl/>
        </w:rPr>
        <w:t>למינהל</w:t>
      </w:r>
      <w:r w:rsidRPr="00113F54" w:rsidR="003B0B44">
        <w:rPr>
          <w:rtl/>
        </w:rPr>
        <w:t xml:space="preserve"> הרכש מקרים של השגות מרובות על ספק מסוים, של השגות מרובות על מושא התקשרות מסוים או של השגות מרובות על כוונות של גוף ממשלתי מסוים. זאת כדי </w:t>
      </w:r>
      <w:r w:rsidRPr="00113F54" w:rsidR="003B0B44">
        <w:rPr>
          <w:rtl/>
        </w:rPr>
        <w:t>שהמינהל</w:t>
      </w:r>
      <w:r w:rsidRPr="00113F54" w:rsidR="003B0B44">
        <w:rPr>
          <w:rtl/>
        </w:rPr>
        <w:t xml:space="preserve"> יוכל להשתמש בכלים שברשותו בהתאם לצורך בנוגע להחלטה על פטור ממכרז למשרדי הממשלה, יצירה של הסכם תנאים ומחירים מוסכמים, העברת הנחיות ייעודיות לוועדות המכרזים ועוד</w:t>
      </w:r>
      <w:r w:rsidRPr="007C7D40">
        <w:rPr>
          <w:rFonts w:hint="cs"/>
          <w:rtl/>
        </w:rPr>
        <w:t>.</w:t>
      </w:r>
    </w:p>
    <w:p w:rsidR="00706096" w:rsidP="007C7D40" w14:paraId="30F30DD7" w14:textId="5A2DC51B">
      <w:pPr>
        <w:pStyle w:val="7317"/>
        <w:rPr>
          <w:rtl/>
        </w:rPr>
      </w:pPr>
      <w:r w:rsidRPr="007C7D40">
        <w:rPr>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13F54" w:rsidR="003B0B44">
        <w:rPr>
          <w:rtl/>
        </w:rPr>
        <w:t xml:space="preserve">מומלץ כי הגופים הממשלתיים יוודאו כי דרישות הרכש אינן מופחתות בכמות או באיכות, ולא ינסו להימנע כך ממכרז. כמו כן מוצע כי משרד האוצר יפעל לקידום של השלמת תיקון התקנות, ובכלל זה לגבי העלאה של הרף המחייב מימוש רכש באמצעות מכרז, שהיה במועד סיום הביקורת 50,000 ש"ח. עוד מומלץ כי </w:t>
      </w:r>
      <w:r w:rsidRPr="00113F54" w:rsidR="003B0B44">
        <w:rPr>
          <w:rtl/>
        </w:rPr>
        <w:t>מינהל</w:t>
      </w:r>
      <w:r w:rsidRPr="00113F54" w:rsidR="003B0B44">
        <w:rPr>
          <w:rtl/>
        </w:rPr>
        <w:t xml:space="preserve"> הרכש יבחן אפשרות לבצע בקרות נוספות על התקשרויות שבוצעו בסכומים הקרובים לתקרת הפטור, כדי לוודא שאין מדובר בהפחתת כמות או איכות, וכן כדי לבחון את הצורך בעריכת מכרז מרכזי למוצרי מחשוב הנרכשים בסכומים הקרובים לתקרת הפטור</w:t>
      </w:r>
      <w:r w:rsidRPr="008E57FE">
        <w:rPr>
          <w:rFonts w:hint="cs"/>
          <w:rtl/>
        </w:rPr>
        <w:t>.</w:t>
      </w:r>
    </w:p>
    <w:p w:rsidR="003B0B44" w:rsidP="003B0B44" w14:paraId="43294F54" w14:textId="267BE7FE">
      <w:pPr>
        <w:pStyle w:val="7317"/>
        <w:rPr>
          <w:rtl/>
        </w:rPr>
      </w:pPr>
      <w:r w:rsidRPr="007C7D40">
        <w:rPr>
          <w:rFonts w:hint="cs"/>
          <w:noProof/>
          <w:rtl/>
        </w:rPr>
        <w:drawing>
          <wp:anchor distT="0" distB="1440180" distL="107950" distR="114300" simplePos="0" relativeHeight="25170227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33" name="תמונה 145106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3"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13F54">
        <w:rPr>
          <w:rtl/>
        </w:rPr>
        <w:t xml:space="preserve">על הגופים הממשלתיים להקפיד על פרסום מלא ומדויק של נתוני ההתקשרויות בהתאם להוראות </w:t>
      </w:r>
      <w:r w:rsidRPr="00113F54">
        <w:rPr>
          <w:rtl/>
        </w:rPr>
        <w:t>התכ"ם</w:t>
      </w:r>
      <w:r w:rsidRPr="00113F54">
        <w:rPr>
          <w:rtl/>
        </w:rPr>
        <w:t xml:space="preserve">. על היחידה לחופש המידע, בשיתוף </w:t>
      </w:r>
      <w:r w:rsidRPr="00113F54">
        <w:rPr>
          <w:rtl/>
        </w:rPr>
        <w:t>החשכ"ל</w:t>
      </w:r>
      <w:r w:rsidRPr="00113F54">
        <w:rPr>
          <w:rtl/>
        </w:rPr>
        <w:t xml:space="preserve">, לנקוט את הפעולות הנחוצות לאכיפת פרסום ההתקשרויות של כלל הגופים, בסייגים שנקבעו בחוק חופש המידע. כמו כן מומלץ כי כלל הגורמים המעורבים - </w:t>
      </w:r>
      <w:r w:rsidRPr="00113F54">
        <w:rPr>
          <w:rtl/>
        </w:rPr>
        <w:t>מינהל</w:t>
      </w:r>
      <w:r w:rsidRPr="00113F54">
        <w:rPr>
          <w:rtl/>
        </w:rPr>
        <w:t xml:space="preserve"> הרכש, יחידת </w:t>
      </w:r>
      <w:r w:rsidRPr="00113F54">
        <w:rPr>
          <w:rtl/>
        </w:rPr>
        <w:t>מרכב"ה</w:t>
      </w:r>
      <w:r w:rsidRPr="00113F54">
        <w:rPr>
          <w:rtl/>
        </w:rPr>
        <w:t xml:space="preserve"> והיחידה לחופש המידע - יבחנו את הקמתם של ממשקים ממוחשבים בין המערכות, כדי לוודא הצגה מדויקת של ההתקשרויות הממשלתיות שבוצעו</w:t>
      </w:r>
      <w:r w:rsidRPr="008E57FE">
        <w:rPr>
          <w:rFonts w:hint="cs"/>
          <w:rtl/>
        </w:rPr>
        <w:t>.</w:t>
      </w:r>
    </w:p>
    <w:p w:rsidR="00160564" w:rsidP="005D0F8C" w14:paraId="3D2A5A47" w14:textId="77777777">
      <w:pPr>
        <w:pStyle w:val="7317"/>
        <w:rPr>
          <w:rtl/>
        </w:rPr>
      </w:pPr>
    </w:p>
    <w:p w:rsidR="004E71DD" w:rsidP="005D0F8C" w14:paraId="377E6FE3" w14:textId="2781E491">
      <w:pPr>
        <w:pStyle w:val="7317"/>
        <w:rPr>
          <w:rtl/>
        </w:rPr>
      </w:pPr>
      <w:r w:rsidRPr="00D527BD">
        <w:rPr>
          <w:noProof/>
          <w:szCs w:val="20"/>
          <w:rtl/>
        </w:rPr>
        <w:drawing>
          <wp:anchor distT="0" distB="0" distL="114300" distR="114300" simplePos="0" relativeHeight="251678720" behindDoc="0" locked="0" layoutInCell="1" allowOverlap="1">
            <wp:simplePos x="0" y="0"/>
            <wp:positionH relativeFrom="column">
              <wp:posOffset>-109401</wp:posOffset>
            </wp:positionH>
            <wp:positionV relativeFrom="paragraph">
              <wp:posOffset>230051</wp:posOffset>
            </wp:positionV>
            <wp:extent cx="4731385" cy="1069522"/>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31385" cy="1069522"/>
                    </a:xfrm>
                    <a:prstGeom prst="rect">
                      <a:avLst/>
                    </a:prstGeom>
                  </pic:spPr>
                </pic:pic>
              </a:graphicData>
            </a:graphic>
            <wp14:sizeRelH relativeFrom="margin">
              <wp14:pctWidth>0</wp14:pctWidth>
            </wp14:sizeRelH>
            <wp14:sizeRelV relativeFrom="margin">
              <wp14:pctHeight>0</wp14:pctHeight>
            </wp14:sizeRelV>
          </wp:anchor>
        </w:drawing>
      </w:r>
    </w:p>
    <w:p w:rsidR="005D0F8C" w:rsidP="004E71DD" w14:paraId="6DC28C4F" w14:textId="4BA39D48">
      <w:pPr>
        <w:tabs>
          <w:tab w:val="right" w:pos="7370"/>
        </w:tabs>
        <w:bidi w:val="0"/>
        <w:spacing w:after="200" w:line="276" w:lineRule="auto"/>
        <w:rPr>
          <w:rtl/>
        </w:rPr>
      </w:pP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86541</wp:posOffset>
                </wp:positionH>
                <wp:positionV relativeFrom="paragraph">
                  <wp:posOffset>40459</wp:posOffset>
                </wp:positionV>
                <wp:extent cx="4436745" cy="672827"/>
                <wp:effectExtent l="0" t="0" r="0" b="635"/>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672827"/>
                        </a:xfrm>
                        <a:prstGeom prst="rect">
                          <a:avLst/>
                        </a:prstGeom>
                        <a:solidFill>
                          <a:srgbClr val="F05260"/>
                        </a:solidFill>
                        <a:ln w="9525">
                          <a:noFill/>
                          <a:miter lim="800000"/>
                          <a:headEnd/>
                          <a:tailEnd/>
                        </a:ln>
                      </wps:spPr>
                      <wps:txbx>
                        <w:txbxContent>
                          <w:p w:rsidR="005D0F8C" w:rsidRPr="005C7ABF" w:rsidP="00662020" w14:textId="0C181DE6">
                            <w:pPr>
                              <w:spacing w:line="240" w:lineRule="auto"/>
                              <w:ind w:right="113"/>
                              <w:suppressOverlap/>
                              <w:jc w:val="left"/>
                              <w:rPr>
                                <w:rFonts w:ascii="Tahoma" w:hAnsi="Tahoma" w:cs="Tahoma"/>
                                <w:b/>
                                <w:bCs/>
                                <w:color w:val="FFFFFF" w:themeColor="background1"/>
                                <w:spacing w:val="-4"/>
                                <w:sz w:val="22"/>
                                <w:szCs w:val="22"/>
                                <w:rtl/>
                              </w:rPr>
                            </w:pPr>
                            <w:r w:rsidRPr="003B0B44">
                              <w:rPr>
                                <w:rFonts w:ascii="Tahoma" w:hAnsi="Tahoma" w:cs="Tahoma"/>
                                <w:b/>
                                <w:bCs/>
                                <w:color w:val="FFFFFF" w:themeColor="background1"/>
                                <w:spacing w:val="-4"/>
                                <w:sz w:val="22"/>
                                <w:szCs w:val="22"/>
                                <w:rtl/>
                              </w:rPr>
                              <w:t xml:space="preserve">השכיחות של הזמנות רכש </w:t>
                            </w:r>
                            <w:r w:rsidRPr="003B0B44">
                              <w:rPr>
                                <w:rFonts w:ascii="Tahoma" w:hAnsi="Tahoma" w:cs="Tahoma"/>
                                <w:b/>
                                <w:bCs/>
                                <w:color w:val="FFFFFF" w:themeColor="background1"/>
                                <w:spacing w:val="-4"/>
                                <w:sz w:val="22"/>
                                <w:szCs w:val="22"/>
                                <w:rtl/>
                              </w:rPr>
                              <w:t>תקשוביות</w:t>
                            </w:r>
                            <w:r w:rsidRPr="003B0B44">
                              <w:rPr>
                                <w:rFonts w:ascii="Tahoma" w:hAnsi="Tahoma" w:cs="Tahoma"/>
                                <w:b/>
                                <w:bCs/>
                                <w:color w:val="FFFFFF" w:themeColor="background1"/>
                                <w:spacing w:val="-4"/>
                                <w:sz w:val="22"/>
                                <w:szCs w:val="22"/>
                                <w:rtl/>
                              </w:rPr>
                              <w:t xml:space="preserve"> שסווגו כפטור לפי תקנה 3(1) ובוצעו בסכומים של 40,000 - 50,000 ש"ח, במדרגות של 1,000 ש"ח, 2019 - 2021</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53pt;margin-top:3.2pt;margin-left:6.8pt;mso-height-percent:0;mso-height-relative:margin;mso-width-percent:0;mso-width-relative:margin;mso-wrap-distance-bottom:0;mso-wrap-distance-left:9pt;mso-wrap-distance-right:9pt;mso-wrap-distance-top:0;mso-wrap-style:square;position:absolute;visibility:visible;v-text-anchor:middle;z-index:251680768" fillcolor="#f05260" stroked="f">
                <v:textbox>
                  <w:txbxContent>
                    <w:p w:rsidR="005D0F8C" w:rsidRPr="005C7ABF" w:rsidP="00662020" w14:paraId="1D5D7976" w14:textId="0C181DE6">
                      <w:pPr>
                        <w:spacing w:line="240" w:lineRule="auto"/>
                        <w:ind w:right="113"/>
                        <w:suppressOverlap/>
                        <w:jc w:val="left"/>
                        <w:rPr>
                          <w:rFonts w:ascii="Tahoma" w:hAnsi="Tahoma" w:cs="Tahoma"/>
                          <w:b/>
                          <w:bCs/>
                          <w:color w:val="FFFFFF" w:themeColor="background1"/>
                          <w:spacing w:val="-4"/>
                          <w:sz w:val="22"/>
                          <w:szCs w:val="22"/>
                          <w:rtl/>
                        </w:rPr>
                      </w:pPr>
                      <w:r w:rsidRPr="003B0B44">
                        <w:rPr>
                          <w:rFonts w:ascii="Tahoma" w:hAnsi="Tahoma" w:cs="Tahoma"/>
                          <w:b/>
                          <w:bCs/>
                          <w:color w:val="FFFFFF" w:themeColor="background1"/>
                          <w:spacing w:val="-4"/>
                          <w:sz w:val="22"/>
                          <w:szCs w:val="22"/>
                          <w:rtl/>
                        </w:rPr>
                        <w:t xml:space="preserve">השכיחות של הזמנות רכש </w:t>
                      </w:r>
                      <w:r w:rsidRPr="003B0B44">
                        <w:rPr>
                          <w:rFonts w:ascii="Tahoma" w:hAnsi="Tahoma" w:cs="Tahoma"/>
                          <w:b/>
                          <w:bCs/>
                          <w:color w:val="FFFFFF" w:themeColor="background1"/>
                          <w:spacing w:val="-4"/>
                          <w:sz w:val="22"/>
                          <w:szCs w:val="22"/>
                          <w:rtl/>
                        </w:rPr>
                        <w:t>תקשוביות</w:t>
                      </w:r>
                      <w:r w:rsidRPr="003B0B44">
                        <w:rPr>
                          <w:rFonts w:ascii="Tahoma" w:hAnsi="Tahoma" w:cs="Tahoma"/>
                          <w:b/>
                          <w:bCs/>
                          <w:color w:val="FFFFFF" w:themeColor="background1"/>
                          <w:spacing w:val="-4"/>
                          <w:sz w:val="22"/>
                          <w:szCs w:val="22"/>
                          <w:rtl/>
                        </w:rPr>
                        <w:t xml:space="preserve"> שסווגו כפטור לפי תקנה 3(1) ובוצעו בסכומים של 40,000 - 50,000 ש"ח, במדרגות של 1,000 ש"ח, 2019 - 2021</w:t>
                      </w:r>
                    </w:p>
                  </w:txbxContent>
                </v:textbox>
              </v:shape>
            </w:pict>
          </mc:Fallback>
        </mc:AlternateContent>
      </w:r>
      <w:r>
        <w:rPr>
          <w:rtl/>
        </w:rPr>
        <w:t xml:space="preserve"> </w:t>
      </w:r>
    </w:p>
    <w:p w:rsidR="005D0F8C" w:rsidP="005D0F8C" w14:paraId="5B8DB107" w14:textId="19A71590">
      <w:pPr>
        <w:pStyle w:val="7317"/>
        <w:rPr>
          <w:rtl/>
        </w:rPr>
      </w:pPr>
    </w:p>
    <w:p w:rsidR="005D0F8C" w:rsidP="005D0F8C" w14:paraId="65CD3CF9" w14:textId="3C38D23E">
      <w:pPr>
        <w:pStyle w:val="7317"/>
        <w:rPr>
          <w:rtl/>
        </w:rPr>
      </w:pPr>
      <w:r w:rsidRPr="002F4895">
        <w:rPr>
          <w:noProof/>
        </w:rPr>
        <w:drawing>
          <wp:anchor distT="0" distB="0" distL="114300" distR="114300" simplePos="0" relativeHeight="251703296" behindDoc="0" locked="0" layoutInCell="1" allowOverlap="1">
            <wp:simplePos x="0" y="0"/>
            <wp:positionH relativeFrom="column">
              <wp:posOffset>20955</wp:posOffset>
            </wp:positionH>
            <wp:positionV relativeFrom="paragraph">
              <wp:posOffset>387985</wp:posOffset>
            </wp:positionV>
            <wp:extent cx="4500245" cy="4418330"/>
            <wp:effectExtent l="0" t="0" r="0" b="1270"/>
            <wp:wrapTopAndBottom/>
            <wp:docPr id="1451066636" name="תמונה 145106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6" name="תמונה 1451066636"/>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rcRect l="1442" r="1442"/>
                    <a:stretch>
                      <a:fillRect/>
                    </a:stretch>
                  </pic:blipFill>
                  <pic:spPr bwMode="auto">
                    <a:xfrm>
                      <a:off x="0" y="0"/>
                      <a:ext cx="4500245" cy="44183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0564" w:rsidP="005D0F8C" w14:paraId="0DA8F7B9" w14:textId="05968915">
      <w:pPr>
        <w:pStyle w:val="738"/>
        <w:spacing w:before="360" w:after="0"/>
        <w:rPr>
          <w:b/>
          <w:bCs/>
          <w:noProof/>
          <w:color w:val="FFFFFF" w:themeColor="background1"/>
          <w:sz w:val="22"/>
          <w:szCs w:val="22"/>
        </w:rPr>
      </w:pPr>
      <w:r w:rsidRPr="002F4895">
        <w:rPr>
          <w:rtl/>
        </w:rPr>
        <w:t xml:space="preserve">על פי נתוני </w:t>
      </w:r>
      <w:r w:rsidRPr="002F4895">
        <w:rPr>
          <w:rtl/>
        </w:rPr>
        <w:t>מרכב"ה</w:t>
      </w:r>
      <w:r w:rsidRPr="002F4895">
        <w:rPr>
          <w:rtl/>
        </w:rPr>
        <w:t>, בעיבוד משרד מבקר המדינה</w:t>
      </w:r>
      <w:r w:rsidRPr="00BE0973" w:rsidR="005D0F8C">
        <w:rPr>
          <w:rFonts w:hint="cs"/>
          <w:rtl/>
        </w:rPr>
        <w:t>.</w:t>
      </w:r>
    </w:p>
    <w:p w:rsidR="00160564" w14:paraId="7B1592CA" w14:textId="77777777">
      <w:pPr>
        <w:bidi w:val="0"/>
        <w:spacing w:after="200" w:line="276" w:lineRule="auto"/>
        <w:rPr>
          <w:rFonts w:ascii="Tahoma" w:hAnsi="Tahoma" w:cs="Tahoma"/>
          <w:b/>
          <w:bCs/>
          <w:noProof/>
          <w:color w:val="FFFFFF" w:themeColor="background1"/>
          <w:sz w:val="22"/>
          <w:szCs w:val="22"/>
        </w:rPr>
      </w:pPr>
      <w:r>
        <w:rPr>
          <w:b/>
          <w:bCs/>
          <w:noProof/>
          <w:color w:val="FFFFFF" w:themeColor="background1"/>
          <w:sz w:val="22"/>
          <w:szCs w:val="22"/>
        </w:rPr>
        <w:br w:type="page"/>
      </w:r>
    </w:p>
    <w:p w:rsidR="003B0B44" w:rsidRPr="002F4895" w:rsidP="003B0B44" w14:paraId="71556324" w14:textId="3D673A6A">
      <w:pPr>
        <w:pStyle w:val="738"/>
        <w:spacing w:before="0" w:after="0"/>
        <w:rPr>
          <w:rtl/>
        </w:rPr>
      </w:pPr>
      <w:r w:rsidRPr="002F4895">
        <w:rPr>
          <w:noProof/>
        </w:rPr>
        <w:drawing>
          <wp:anchor distT="0" distB="0" distL="114300" distR="114300" simplePos="0" relativeHeight="251704320" behindDoc="0" locked="0" layoutInCell="1" allowOverlap="1">
            <wp:simplePos x="0" y="0"/>
            <wp:positionH relativeFrom="column">
              <wp:posOffset>-15240</wp:posOffset>
            </wp:positionH>
            <wp:positionV relativeFrom="paragraph">
              <wp:posOffset>1174750</wp:posOffset>
            </wp:positionV>
            <wp:extent cx="4632325" cy="3610610"/>
            <wp:effectExtent l="0" t="0" r="3175" b="0"/>
            <wp:wrapTopAndBottom/>
            <wp:docPr id="1451066637" name="תמונה 145106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7" name="תמונה 145106663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rcRect t="2317" b="2317"/>
                    <a:stretch>
                      <a:fillRect/>
                    </a:stretch>
                  </pic:blipFill>
                  <pic:spPr bwMode="auto">
                    <a:xfrm>
                      <a:off x="0" y="0"/>
                      <a:ext cx="4632325" cy="36106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1D24" w:rsidR="00662020">
        <w:rPr>
          <w:noProof/>
          <w:rtl/>
        </w:rPr>
        <mc:AlternateContent>
          <mc:Choice Requires="wpg">
            <w:drawing>
              <wp:anchor distT="0" distB="0" distL="114300" distR="114300" simplePos="0" relativeHeight="251681792" behindDoc="0" locked="0" layoutInCell="1" allowOverlap="1">
                <wp:simplePos x="0" y="0"/>
                <wp:positionH relativeFrom="margin">
                  <wp:posOffset>-109855</wp:posOffset>
                </wp:positionH>
                <wp:positionV relativeFrom="paragraph">
                  <wp:posOffset>104775</wp:posOffset>
                </wp:positionV>
                <wp:extent cx="4787900" cy="1069340"/>
                <wp:effectExtent l="0" t="0" r="0" b="0"/>
                <wp:wrapSquare wrapText="bothSides"/>
                <wp:docPr id="1113575890" name="Group 2052770959"/>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1069340"/>
                          <a:chOff x="0" y="181533"/>
                          <a:chExt cx="4787900" cy="857951"/>
                        </a:xfrm>
                      </wpg:grpSpPr>
                      <pic:pic xmlns:pic="http://schemas.openxmlformats.org/drawingml/2006/picture">
                        <pic:nvPicPr>
                          <pic:cNvPr id="1113575891" name="Picture 23"/>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857951"/>
                          </a:xfrm>
                          <a:prstGeom prst="rect">
                            <a:avLst/>
                          </a:prstGeom>
                        </pic:spPr>
                      </pic:pic>
                      <wps:wsp xmlns:wps="http://schemas.microsoft.com/office/word/2010/wordprocessingShape">
                        <wps:cNvPr id="1113575892" name="Text Box 2"/>
                        <wps:cNvSpPr txBox="1">
                          <a:spLocks noChangeArrowheads="1"/>
                        </wps:cNvSpPr>
                        <wps:spPr bwMode="auto">
                          <a:xfrm>
                            <a:off x="202806" y="266505"/>
                            <a:ext cx="4428490" cy="529857"/>
                          </a:xfrm>
                          <a:prstGeom prst="rect">
                            <a:avLst/>
                          </a:prstGeom>
                          <a:solidFill>
                            <a:srgbClr val="F05260"/>
                          </a:solidFill>
                          <a:ln w="9525">
                            <a:noFill/>
                            <a:miter lim="800000"/>
                            <a:headEnd/>
                            <a:tailEnd/>
                          </a:ln>
                        </wps:spPr>
                        <wps:txbx>
                          <w:txbxContent>
                            <w:p w:rsidR="000B31AA" w:rsidRPr="00361C09" w:rsidP="00361C09" w14:textId="3463CC09">
                              <w:pPr>
                                <w:spacing w:before="60" w:after="60" w:line="240" w:lineRule="auto"/>
                                <w:ind w:right="113"/>
                                <w:jc w:val="left"/>
                                <w:rPr>
                                  <w:b/>
                                  <w:bCs/>
                                </w:rPr>
                              </w:pPr>
                              <w:r w:rsidRPr="003B0B44">
                                <w:rPr>
                                  <w:rFonts w:ascii="Tahoma" w:hAnsi="Tahoma" w:cs="Tahoma"/>
                                  <w:b/>
                                  <w:bCs/>
                                  <w:color w:val="FFFFFF" w:themeColor="background1"/>
                                  <w:spacing w:val="-4"/>
                                  <w:sz w:val="22"/>
                                  <w:szCs w:val="22"/>
                                  <w:rtl/>
                                </w:rPr>
                                <w:t xml:space="preserve">היקף ומספר הזמנות הרכש </w:t>
                              </w:r>
                              <w:r w:rsidRPr="003B0B44">
                                <w:rPr>
                                  <w:rFonts w:ascii="Tahoma" w:hAnsi="Tahoma" w:cs="Tahoma"/>
                                  <w:b/>
                                  <w:bCs/>
                                  <w:color w:val="FFFFFF" w:themeColor="background1"/>
                                  <w:spacing w:val="-4"/>
                                  <w:sz w:val="22"/>
                                  <w:szCs w:val="22"/>
                                  <w:rtl/>
                                </w:rPr>
                                <w:t>התקשוביות</w:t>
                              </w:r>
                              <w:r w:rsidRPr="003B0B44">
                                <w:rPr>
                                  <w:rFonts w:ascii="Tahoma" w:hAnsi="Tahoma" w:cs="Tahoma"/>
                                  <w:b/>
                                  <w:bCs/>
                                  <w:color w:val="FFFFFF" w:themeColor="background1"/>
                                  <w:spacing w:val="-4"/>
                                  <w:sz w:val="22"/>
                                  <w:szCs w:val="22"/>
                                  <w:rtl/>
                                </w:rPr>
                                <w:t xml:space="preserve"> אשר סווגו בפטור לפי תקנה 3(1) ובוצעו בסכומים 47,500 ש"ח - 50,000 ש"ח, על פי גופים ממשלתיים שביצעו לפחות 30 הזמנות, 2019 - 2021</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5" style="width:377pt;height:84.2pt;margin-top:8.25pt;margin-left:-8.65pt;mso-height-relative:margin;mso-position-horizontal-relative:margin;mso-width-relative:margin;position:absolute;z-index:251682816" coordorigin="0,1815" coordsize="47879,8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6" type="#_x0000_t75" style="width:47879;height:8579;mso-wrap-style:square;position:absolute;top:1815;visibility:visible">
                  <v:imagedata r:id="rId29" o:title=""/>
                </v:shape>
                <v:shape id="_x0000_s1037" type="#_x0000_t202" style="width:44284;height:5298;left:2028;mso-wrap-style:square;position:absolute;top:2665;visibility:visible;v-text-anchor:middle" fillcolor="#f05260" stroked="f">
                  <v:textbox>
                    <w:txbxContent>
                      <w:p w:rsidR="000B31AA" w:rsidRPr="00361C09" w:rsidP="00361C09" w14:paraId="64B50804" w14:textId="3463CC09">
                        <w:pPr>
                          <w:spacing w:before="60" w:after="60" w:line="240" w:lineRule="auto"/>
                          <w:ind w:right="113"/>
                          <w:jc w:val="left"/>
                          <w:rPr>
                            <w:b/>
                            <w:bCs/>
                          </w:rPr>
                        </w:pPr>
                        <w:r w:rsidRPr="003B0B44">
                          <w:rPr>
                            <w:rFonts w:ascii="Tahoma" w:hAnsi="Tahoma" w:cs="Tahoma"/>
                            <w:b/>
                            <w:bCs/>
                            <w:color w:val="FFFFFF" w:themeColor="background1"/>
                            <w:spacing w:val="-4"/>
                            <w:sz w:val="22"/>
                            <w:szCs w:val="22"/>
                            <w:rtl/>
                          </w:rPr>
                          <w:t xml:space="preserve">היקף ומספר הזמנות הרכש </w:t>
                        </w:r>
                        <w:r w:rsidRPr="003B0B44">
                          <w:rPr>
                            <w:rFonts w:ascii="Tahoma" w:hAnsi="Tahoma" w:cs="Tahoma"/>
                            <w:b/>
                            <w:bCs/>
                            <w:color w:val="FFFFFF" w:themeColor="background1"/>
                            <w:spacing w:val="-4"/>
                            <w:sz w:val="22"/>
                            <w:szCs w:val="22"/>
                            <w:rtl/>
                          </w:rPr>
                          <w:t>התקשוביות</w:t>
                        </w:r>
                        <w:r w:rsidRPr="003B0B44">
                          <w:rPr>
                            <w:rFonts w:ascii="Tahoma" w:hAnsi="Tahoma" w:cs="Tahoma"/>
                            <w:b/>
                            <w:bCs/>
                            <w:color w:val="FFFFFF" w:themeColor="background1"/>
                            <w:spacing w:val="-4"/>
                            <w:sz w:val="22"/>
                            <w:szCs w:val="22"/>
                            <w:rtl/>
                          </w:rPr>
                          <w:t xml:space="preserve"> אשר סווגו בפטור לפי תקנה 3(1) ובוצעו בסכומים 47,500 ש"ח - 50,000 ש"ח, על פי גופים ממשלתיים שביצעו לפחות 30 הזמנות, 2019 - 2021</w:t>
                        </w:r>
                      </w:p>
                    </w:txbxContent>
                  </v:textbox>
                </v:shape>
                <w10:wrap type="square"/>
              </v:group>
            </w:pict>
          </mc:Fallback>
        </mc:AlternateContent>
      </w:r>
      <w:r w:rsidRPr="002F4895">
        <w:rPr>
          <w:rtl/>
        </w:rPr>
        <w:t xml:space="preserve">על פי נתוני </w:t>
      </w:r>
      <w:r w:rsidRPr="002F4895">
        <w:rPr>
          <w:rtl/>
        </w:rPr>
        <w:t>מרכב"ה</w:t>
      </w:r>
      <w:r w:rsidRPr="002F4895">
        <w:rPr>
          <w:rtl/>
        </w:rPr>
        <w:t>, בעיבוד משרד מבקר המדינה.</w:t>
      </w:r>
    </w:p>
    <w:p w:rsidR="004E71DD" w14:paraId="7757BE7E" w14:textId="61C755C3">
      <w:pPr>
        <w:bidi w:val="0"/>
        <w:spacing w:after="200" w:line="276" w:lineRule="auto"/>
        <w:rPr>
          <w:rFonts w:ascii="Tahoma" w:hAnsi="Tahoma" w:cs="Tahoma"/>
          <w:color w:val="0D0D0D" w:themeColor="text1" w:themeTint="F2"/>
          <w:sz w:val="18"/>
          <w:szCs w:val="18"/>
          <w:rtl/>
        </w:rPr>
      </w:pPr>
      <w:r>
        <w:rPr>
          <w:rtl/>
        </w:rPr>
        <w:br w:type="page"/>
      </w:r>
    </w:p>
    <w:p w:rsidR="004E71DD" w:rsidP="004E71DD" w14:paraId="7C33D7DD" w14:textId="77777777">
      <w:pPr>
        <w:pStyle w:val="73"/>
        <w:rPr>
          <w:rtl/>
        </w:rPr>
      </w:pPr>
      <w:r w:rsidRPr="00EF3061">
        <w:rPr>
          <w:rFonts w:hint="cs"/>
          <w:rtl/>
        </w:rPr>
        <w:t>סיכום</w:t>
      </w:r>
    </w:p>
    <w:p w:rsidR="003B0B44" w:rsidRPr="00113F54" w:rsidP="003B0B44" w14:paraId="6EFB07E6" w14:textId="77777777">
      <w:pPr>
        <w:widowControl w:val="0"/>
        <w:spacing w:before="240" w:line="276" w:lineRule="auto"/>
        <w:ind w:left="-1"/>
        <w:rPr>
          <w:rFonts w:ascii="Tahoma" w:hAnsi="Tahoma" w:cs="Tahoma"/>
          <w:sz w:val="18"/>
          <w:szCs w:val="18"/>
          <w:rtl/>
        </w:rPr>
      </w:pPr>
      <w:r w:rsidRPr="00113F54">
        <w:rPr>
          <w:rFonts w:ascii="Tahoma" w:hAnsi="Tahoma" w:cs="Tahoma"/>
          <w:sz w:val="18"/>
          <w:szCs w:val="18"/>
          <w:rtl/>
        </w:rPr>
        <w:t xml:space="preserve">ההתפתחות המהירה של תחום התקשוב גורמת לכך שגופים ממשלתיים נדרשים ליישם חדשנות בתחום זה במהירות וביעילות, כדי למנוע את התיישנות הטכנולוגיה הרלוונטית עד להשלמת הליך הרכש. לצד זאת, האינטרס הציבורי מחייב שהליכי הרכש יתנהלו באופן הוגן, שוויוני ושקוף ובאופן העולה בקנה אחד עם הוראות הדין ויביאו לתוצאות עסקיות וליעילות כלכלית. </w:t>
      </w:r>
    </w:p>
    <w:p w:rsidR="003B0B44" w:rsidRPr="00113F54" w:rsidP="003B0B44" w14:paraId="2F6AEB02" w14:textId="77777777">
      <w:pPr>
        <w:widowControl w:val="0"/>
        <w:spacing w:before="240" w:line="276" w:lineRule="auto"/>
        <w:ind w:left="-1"/>
        <w:rPr>
          <w:rFonts w:ascii="Tahoma" w:hAnsi="Tahoma" w:cs="Tahoma"/>
          <w:sz w:val="18"/>
          <w:szCs w:val="18"/>
          <w:rtl/>
        </w:rPr>
      </w:pPr>
      <w:r w:rsidRPr="00113F54">
        <w:rPr>
          <w:rFonts w:ascii="Tahoma" w:hAnsi="Tahoma" w:cs="Tahoma"/>
          <w:sz w:val="18"/>
          <w:szCs w:val="18"/>
          <w:rtl/>
        </w:rPr>
        <w:t xml:space="preserve">ממצאי דוח זה מצביעים על שורה של ליקויים בתחום הרכש, בדגש על התקשרויות בפטור ממכרז בתחום התקשוב. להלן הליקויים העיקריים: המידע שמפרסמים לציבור </w:t>
      </w:r>
      <w:r w:rsidRPr="00113F54">
        <w:rPr>
          <w:rFonts w:ascii="Tahoma" w:hAnsi="Tahoma" w:cs="Tahoma"/>
          <w:sz w:val="18"/>
          <w:szCs w:val="18"/>
          <w:rtl/>
        </w:rPr>
        <w:t>מינהל</w:t>
      </w:r>
      <w:r w:rsidRPr="00113F54">
        <w:rPr>
          <w:rFonts w:ascii="Tahoma" w:hAnsi="Tahoma" w:cs="Tahoma"/>
          <w:sz w:val="18"/>
          <w:szCs w:val="18"/>
          <w:rtl/>
        </w:rPr>
        <w:t xml:space="preserve"> הרכש ומערך </w:t>
      </w:r>
      <w:r w:rsidRPr="00113F54">
        <w:rPr>
          <w:rFonts w:ascii="Tahoma" w:hAnsi="Tahoma" w:cs="Tahoma"/>
          <w:sz w:val="18"/>
          <w:szCs w:val="18"/>
          <w:rtl/>
        </w:rPr>
        <w:t>הדיגיטל</w:t>
      </w:r>
      <w:r w:rsidRPr="00113F54">
        <w:rPr>
          <w:rFonts w:ascii="Tahoma" w:hAnsi="Tahoma" w:cs="Tahoma"/>
          <w:sz w:val="18"/>
          <w:szCs w:val="18"/>
          <w:rtl/>
        </w:rPr>
        <w:t xml:space="preserve"> בתחום הרכש אינו תואם את המידע במערכת </w:t>
      </w:r>
      <w:r w:rsidRPr="00113F54">
        <w:rPr>
          <w:rFonts w:ascii="Tahoma" w:hAnsi="Tahoma" w:cs="Tahoma"/>
          <w:sz w:val="18"/>
          <w:szCs w:val="18"/>
          <w:rtl/>
        </w:rPr>
        <w:t>מרכב"ה</w:t>
      </w:r>
      <w:r w:rsidRPr="00113F54">
        <w:rPr>
          <w:rFonts w:ascii="Tahoma" w:hAnsi="Tahoma" w:cs="Tahoma"/>
          <w:sz w:val="18"/>
          <w:szCs w:val="18"/>
          <w:rtl/>
        </w:rPr>
        <w:t xml:space="preserve">, ובכך נפגעת השקיפות לציבור ויכולות הבקרה על פעילות הרכש הממשלתי; שימוש גדול במאות אחוזים של הגופים הממשלתיים בפטור ממכרז בעילת ספק יחיד ובעילת התקשרות של עד 50,000 ש"ח ברכש </w:t>
      </w:r>
      <w:r w:rsidRPr="00113F54">
        <w:rPr>
          <w:rFonts w:ascii="Tahoma" w:hAnsi="Tahoma" w:cs="Tahoma"/>
          <w:sz w:val="18"/>
          <w:szCs w:val="18"/>
          <w:rtl/>
        </w:rPr>
        <w:t>התקשובי</w:t>
      </w:r>
      <w:r w:rsidRPr="00113F54">
        <w:rPr>
          <w:rFonts w:ascii="Tahoma" w:hAnsi="Tahoma" w:cs="Tahoma"/>
          <w:sz w:val="18"/>
          <w:szCs w:val="18"/>
          <w:rtl/>
        </w:rPr>
        <w:t>, לעומת הרכש הכללי; ואי-עמידה בהוראות הדין הנוגעות לפרסום התקשרויות.</w:t>
      </w:r>
    </w:p>
    <w:p w:rsidR="003B0B44" w:rsidRPr="00113F54" w:rsidP="003B0B44" w14:paraId="33C6674C" w14:textId="77777777">
      <w:pPr>
        <w:widowControl w:val="0"/>
        <w:spacing w:before="240" w:line="276" w:lineRule="auto"/>
        <w:ind w:left="-1"/>
        <w:rPr>
          <w:rFonts w:ascii="Tahoma" w:hAnsi="Tahoma" w:cs="Tahoma"/>
          <w:sz w:val="18"/>
          <w:szCs w:val="18"/>
        </w:rPr>
      </w:pPr>
      <w:r w:rsidRPr="00113F54">
        <w:rPr>
          <w:rFonts w:ascii="Tahoma" w:hAnsi="Tahoma" w:cs="Tahoma"/>
          <w:sz w:val="18"/>
          <w:szCs w:val="18"/>
          <w:rtl/>
        </w:rPr>
        <w:t xml:space="preserve">על הגופים הממשלתיים להקפיד על הוראות הדין והוראות </w:t>
      </w:r>
      <w:r w:rsidRPr="00113F54">
        <w:rPr>
          <w:rFonts w:ascii="Tahoma" w:hAnsi="Tahoma" w:cs="Tahoma"/>
          <w:sz w:val="18"/>
          <w:szCs w:val="18"/>
          <w:rtl/>
        </w:rPr>
        <w:t>התכ"ם</w:t>
      </w:r>
      <w:r w:rsidRPr="00113F54">
        <w:rPr>
          <w:rFonts w:ascii="Tahoma" w:hAnsi="Tahoma" w:cs="Tahoma"/>
          <w:sz w:val="18"/>
          <w:szCs w:val="18"/>
          <w:rtl/>
        </w:rPr>
        <w:t xml:space="preserve"> הנוגעות לרכש הממשלתי. מומלץ כי </w:t>
      </w:r>
      <w:r w:rsidRPr="00113F54">
        <w:rPr>
          <w:rFonts w:ascii="Tahoma" w:hAnsi="Tahoma" w:cs="Tahoma"/>
          <w:sz w:val="18"/>
          <w:szCs w:val="18"/>
          <w:rtl/>
        </w:rPr>
        <w:t>מינהל</w:t>
      </w:r>
      <w:r w:rsidRPr="00113F54">
        <w:rPr>
          <w:rFonts w:ascii="Tahoma" w:hAnsi="Tahoma" w:cs="Tahoma"/>
          <w:sz w:val="18"/>
          <w:szCs w:val="18"/>
          <w:rtl/>
        </w:rPr>
        <w:t xml:space="preserve"> הרכש יפעל לשיפור תהליך הרכש במערכת </w:t>
      </w:r>
      <w:r w:rsidRPr="00113F54">
        <w:rPr>
          <w:rFonts w:ascii="Tahoma" w:hAnsi="Tahoma" w:cs="Tahoma"/>
          <w:sz w:val="18"/>
          <w:szCs w:val="18"/>
          <w:rtl/>
        </w:rPr>
        <w:t>מרכב"ה</w:t>
      </w:r>
      <w:r w:rsidRPr="00113F54">
        <w:rPr>
          <w:rFonts w:ascii="Tahoma" w:hAnsi="Tahoma" w:cs="Tahoma"/>
          <w:sz w:val="18"/>
          <w:szCs w:val="18"/>
          <w:rtl/>
        </w:rPr>
        <w:t xml:space="preserve">, לרבות יישום בקרות ממוחשבות ובקרות מפצות, כדי לוודא את השלמות והמהימנות של המידע ולשפר את הפיקוח והבקרה השוטפים ואת תהליכי קבלת ההחלטות. על </w:t>
      </w:r>
      <w:r w:rsidRPr="00113F54">
        <w:rPr>
          <w:rFonts w:ascii="Tahoma" w:hAnsi="Tahoma" w:cs="Tahoma"/>
          <w:sz w:val="18"/>
          <w:szCs w:val="18"/>
          <w:rtl/>
        </w:rPr>
        <w:t>החשכ"ל</w:t>
      </w:r>
      <w:r w:rsidRPr="00113F54">
        <w:rPr>
          <w:rFonts w:ascii="Tahoma" w:hAnsi="Tahoma" w:cs="Tahoma"/>
          <w:sz w:val="18"/>
          <w:szCs w:val="18"/>
          <w:rtl/>
        </w:rPr>
        <w:t xml:space="preserve"> והיחידה לחופש המידע לפעול לאכיפת פרסום ההתקשרויות של כלל הגופים בהתאם להוראות הדין ותוך הקפדה על מהימנות המידע המתפרסם לציבור</w:t>
      </w:r>
      <w:r w:rsidRPr="00113F54">
        <w:rPr>
          <w:rFonts w:ascii="Tahoma" w:hAnsi="Tahoma" w:cs="Tahoma"/>
          <w:sz w:val="18"/>
          <w:szCs w:val="18"/>
        </w:rPr>
        <w:t>.</w:t>
      </w:r>
    </w:p>
    <w:p w:rsidR="00E56721" w:rsidRPr="003B0B44" w:rsidP="004E71DD" w14:paraId="1B37DAFD" w14:textId="77777777">
      <w:pPr>
        <w:widowControl w:val="0"/>
        <w:tabs>
          <w:tab w:val="left" w:pos="9604"/>
        </w:tabs>
        <w:spacing w:before="240" w:line="276" w:lineRule="auto"/>
        <w:ind w:left="-1"/>
        <w:rPr>
          <w:rFonts w:ascii="Tahoma" w:hAnsi="Tahoma" w:cs="Tahoma"/>
          <w:sz w:val="18"/>
          <w:szCs w:val="18"/>
          <w:rtl/>
        </w:rPr>
        <w:sectPr w:rsidSect="00A34042">
          <w:headerReference w:type="even" r:id="rId30"/>
          <w:footerReference w:type="even" r:id="rId31"/>
          <w:pgSz w:w="11906" w:h="16838" w:code="9"/>
          <w:pgMar w:top="3062" w:right="2268" w:bottom="2552" w:left="2268" w:header="1134" w:footer="1361" w:gutter="0"/>
          <w:pgNumType w:start="19"/>
          <w:cols w:space="708"/>
          <w:bidi/>
          <w:rtlGutter/>
          <w:docGrid w:linePitch="360"/>
        </w:sectPr>
      </w:pPr>
    </w:p>
    <w:p w:rsidR="00A34042" w:rsidRPr="00A34042" w:rsidP="005D7B60" w14:paraId="416B283E" w14:textId="3D972319">
      <w:pPr>
        <w:pStyle w:val="731"/>
        <w:bidi/>
        <w:rPr>
          <w:rtl/>
        </w:rPr>
      </w:pPr>
    </w:p>
    <w:sectPr w:rsidSect="00F35B8C">
      <w:headerReference w:type="default" r:id="rId32"/>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C73B2" w14:paraId="15B37815" w14:textId="77777777">
      <w:pPr>
        <w:spacing w:line="240" w:lineRule="auto"/>
      </w:pPr>
      <w:r>
        <w:separator/>
      </w:r>
    </w:p>
    <w:p w:rsidR="008C73B2" w14:paraId="21128C6B" w14:textId="77777777"/>
    <w:p w:rsidR="008C73B2" w14:paraId="5FA1AB57" w14:textId="77777777"/>
    <w:p w:rsidR="008C73B2" w14:paraId="58370F38" w14:textId="77777777"/>
  </w:endnote>
  <w:endnote w:type="continuationSeparator" w:id="1">
    <w:p w:rsidR="008C73B2" w14:paraId="34C5B8CE" w14:textId="77777777">
      <w:pPr>
        <w:spacing w:line="240" w:lineRule="auto"/>
      </w:pPr>
      <w:r>
        <w:continuationSeparator/>
      </w:r>
    </w:p>
    <w:p w:rsidR="008C73B2" w14:paraId="204F8D75" w14:textId="77777777"/>
    <w:p w:rsidR="008C73B2" w14:paraId="26F27415" w14:textId="77777777"/>
    <w:p w:rsidR="008C73B2" w14:paraId="3E5C14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00000087" w:usb1="00000000"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207" w14:paraId="573F52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207" w14:paraId="0900679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C73B2" w:rsidP="00E7235E" w14:paraId="57642A5A" w14:textId="77777777">
      <w:pPr>
        <w:spacing w:line="240" w:lineRule="auto"/>
      </w:pPr>
      <w:r>
        <w:separator/>
      </w:r>
    </w:p>
  </w:footnote>
  <w:footnote w:type="continuationSeparator" w:id="1">
    <w:p w:rsidR="008C73B2" w:rsidP="00C23CC9" w14:paraId="46876A20" w14:textId="77777777">
      <w:pPr>
        <w:spacing w:line="240" w:lineRule="auto"/>
      </w:pPr>
      <w:r>
        <w:continuationSeparator/>
      </w:r>
    </w:p>
    <w:p w:rsidR="008C73B2" w14:paraId="53FF3433" w14:textId="77777777"/>
    <w:p w:rsidR="008C73B2" w14:paraId="00827BEC" w14:textId="77777777"/>
    <w:p w:rsidR="008C73B2" w14:paraId="28D8B5B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2C1DC2" w14:textId="3A51059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2C1DC2" w:rsidR="002C1DC2">
                            <w:rPr>
                              <w:rFonts w:ascii="Tahoma" w:hAnsi="Tahoma" w:cs="Tahoma"/>
                              <w:b/>
                              <w:bCs/>
                              <w:rtl/>
                            </w:rPr>
                            <w:t>התקשרויות בפטור ממכרז בתחום התקשוב</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2C1DC2" w14:paraId="77809697" w14:textId="3A51059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2C1DC2" w:rsidR="002C1DC2">
                      <w:rPr>
                        <w:rFonts w:ascii="Tahoma" w:hAnsi="Tahoma" w:cs="Tahoma"/>
                        <w:b/>
                        <w:bCs/>
                        <w:rtl/>
                      </w:rPr>
                      <w:t>התקשרויות בפטור ממכרז בתחום התקשוב</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4605896A">
                          <w:pPr>
                            <w:jc w:val="right"/>
                            <w:rPr>
                              <w:color w:val="0D0D0D" w:themeColor="text1" w:themeTint="F2"/>
                              <w:sz w:val="16"/>
                              <w:szCs w:val="16"/>
                            </w:rPr>
                          </w:pPr>
                          <w:r w:rsidRPr="00C32CC6">
                            <w:rPr>
                              <w:rFonts w:ascii="Tahoma" w:hAnsi="Tahoma" w:cs="Tahoma"/>
                              <w:color w:val="0D0D0D"/>
                              <w:sz w:val="16"/>
                              <w:szCs w:val="16"/>
                              <w:rtl/>
                            </w:rPr>
                            <w:t>דוח מבקר המדינה</w:t>
                          </w:r>
                          <w:r w:rsidR="00E97207">
                            <w:rPr>
                              <w:rFonts w:ascii="Tahoma" w:hAnsi="Tahoma" w:cs="Tahoma" w:hint="cs"/>
                              <w:color w:val="0D0D0D"/>
                              <w:sz w:val="16"/>
                              <w:szCs w:val="16"/>
                              <w:rtl/>
                            </w:rPr>
                            <w:t xml:space="preserve"> -</w:t>
                          </w:r>
                          <w:r w:rsidRPr="00C32CC6">
                            <w:rPr>
                              <w:rFonts w:ascii="Tahoma" w:hAnsi="Tahoma" w:cs="Tahoma"/>
                              <w:color w:val="0D0D0D"/>
                              <w:sz w:val="16"/>
                              <w:szCs w:val="16"/>
                              <w:rtl/>
                            </w:rPr>
                            <w:t xml:space="preserve"> סייבר ומערכות מידע | אייר </w:t>
                          </w:r>
                          <w:r w:rsidRPr="00C32CC6">
                            <w:rPr>
                              <w:rFonts w:ascii="Tahoma" w:hAnsi="Tahoma" w:cs="Tahoma"/>
                              <w:color w:val="0D0D0D"/>
                              <w:sz w:val="16"/>
                              <w:szCs w:val="16"/>
                              <w:rtl/>
                            </w:rPr>
                            <w:t>התשפ"ג</w:t>
                          </w:r>
                          <w:r w:rsidRPr="00C32CC6">
                            <w:rPr>
                              <w:rFonts w:ascii="Tahoma" w:hAnsi="Tahoma" w:cs="Tahoma"/>
                              <w:color w:val="0D0D0D"/>
                              <w:sz w:val="16"/>
                              <w:szCs w:val="16"/>
                              <w:rtl/>
                            </w:rPr>
                            <w:t xml:space="preserve">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605896A">
                    <w:pPr>
                      <w:jc w:val="right"/>
                      <w:rPr>
                        <w:color w:val="0D0D0D" w:themeColor="text1" w:themeTint="F2"/>
                        <w:sz w:val="16"/>
                        <w:szCs w:val="16"/>
                      </w:rPr>
                    </w:pPr>
                    <w:r w:rsidRPr="00C32CC6">
                      <w:rPr>
                        <w:rFonts w:ascii="Tahoma" w:hAnsi="Tahoma" w:cs="Tahoma"/>
                        <w:color w:val="0D0D0D"/>
                        <w:sz w:val="16"/>
                        <w:szCs w:val="16"/>
                        <w:rtl/>
                      </w:rPr>
                      <w:t>דוח מבקר המדינה</w:t>
                    </w:r>
                    <w:r w:rsidR="00E97207">
                      <w:rPr>
                        <w:rFonts w:ascii="Tahoma" w:hAnsi="Tahoma" w:cs="Tahoma" w:hint="cs"/>
                        <w:color w:val="0D0D0D"/>
                        <w:sz w:val="16"/>
                        <w:szCs w:val="16"/>
                        <w:rtl/>
                      </w:rPr>
                      <w:t xml:space="preserve"> -</w:t>
                    </w:r>
                    <w:r w:rsidRPr="00C32CC6">
                      <w:rPr>
                        <w:rFonts w:ascii="Tahoma" w:hAnsi="Tahoma" w:cs="Tahoma"/>
                        <w:color w:val="0D0D0D"/>
                        <w:sz w:val="16"/>
                        <w:szCs w:val="16"/>
                        <w:rtl/>
                      </w:rPr>
                      <w:t xml:space="preserve"> סייבר ומערכות מידע | אייר </w:t>
                    </w:r>
                    <w:r w:rsidRPr="00C32CC6">
                      <w:rPr>
                        <w:rFonts w:ascii="Tahoma" w:hAnsi="Tahoma" w:cs="Tahoma"/>
                        <w:color w:val="0D0D0D"/>
                        <w:sz w:val="16"/>
                        <w:szCs w:val="16"/>
                        <w:rtl/>
                      </w:rPr>
                      <w:t>התשפ"ג</w:t>
                    </w:r>
                    <w:r w:rsidRPr="00C32CC6">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23100494">
                          <w:pPr>
                            <w:pStyle w:val="Heading1"/>
                            <w:spacing w:line="269" w:lineRule="auto"/>
                            <w:jc w:val="left"/>
                            <w:rPr>
                              <w:rFonts w:ascii="Tahoma" w:hAnsi="Tahoma" w:eastAsiaTheme="minorHAnsi" w:cs="Tahoma"/>
                              <w:bCs w:val="0"/>
                              <w:color w:val="0D0D0D" w:themeColor="text1" w:themeTint="F2"/>
                              <w:sz w:val="16"/>
                              <w:szCs w:val="16"/>
                              <w:u w:val="none"/>
                            </w:rPr>
                          </w:pPr>
                          <w:r w:rsidRPr="002C1DC2">
                            <w:rPr>
                              <w:rFonts w:ascii="Tahoma" w:hAnsi="Tahoma" w:eastAsiaTheme="minorHAnsi" w:cs="Tahoma"/>
                              <w:bCs w:val="0"/>
                              <w:color w:val="0D0D0D" w:themeColor="text1" w:themeTint="F2"/>
                              <w:sz w:val="16"/>
                              <w:szCs w:val="16"/>
                              <w:u w:val="none"/>
                              <w:rtl/>
                            </w:rPr>
                            <w:t>התקשרויות בפטור ממכרז בתחום התקשוב</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66EBAA16" w14:textId="23100494">
                    <w:pPr>
                      <w:pStyle w:val="Heading1"/>
                      <w:spacing w:line="269" w:lineRule="auto"/>
                      <w:jc w:val="left"/>
                      <w:rPr>
                        <w:rFonts w:ascii="Tahoma" w:hAnsi="Tahoma" w:eastAsiaTheme="minorHAnsi" w:cs="Tahoma"/>
                        <w:bCs w:val="0"/>
                        <w:color w:val="0D0D0D" w:themeColor="text1" w:themeTint="F2"/>
                        <w:sz w:val="16"/>
                        <w:szCs w:val="16"/>
                        <w:u w:val="none"/>
                      </w:rPr>
                    </w:pPr>
                    <w:r w:rsidRPr="002C1DC2">
                      <w:rPr>
                        <w:rFonts w:ascii="Tahoma" w:hAnsi="Tahoma" w:eastAsiaTheme="minorHAnsi" w:cs="Tahoma"/>
                        <w:bCs w:val="0"/>
                        <w:color w:val="0D0D0D" w:themeColor="text1" w:themeTint="F2"/>
                        <w:sz w:val="16"/>
                        <w:szCs w:val="16"/>
                        <w:u w:val="none"/>
                        <w:rtl/>
                      </w:rPr>
                      <w:t>התקשרויות בפטור ממכרז בתחום התקשוב</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2C1DC2" w14:textId="7DABA89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2C1DC2" w:rsidR="002C1DC2">
                            <w:rPr>
                              <w:rFonts w:ascii="Tahoma" w:hAnsi="Tahoma" w:cs="Tahoma"/>
                              <w:b/>
                              <w:bCs/>
                              <w:rtl/>
                            </w:rPr>
                            <w:t>התקשרויות בפטור ממכרז בתחום התקשוב</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2C1DC2" w14:paraId="3B4CCAD6" w14:textId="7DABA89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2C1DC2" w:rsidR="002C1DC2">
                      <w:rPr>
                        <w:rFonts w:ascii="Tahoma" w:hAnsi="Tahoma" w:cs="Tahoma"/>
                        <w:b/>
                        <w:bCs/>
                        <w:rtl/>
                      </w:rPr>
                      <w:t>התקשרויות בפטור ממכרז בתחום התקשוב</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009C7D40">
                          <w:pPr>
                            <w:jc w:val="right"/>
                            <w:rPr>
                              <w:color w:val="0D0D0D" w:themeColor="text1" w:themeTint="F2"/>
                              <w:sz w:val="16"/>
                              <w:szCs w:val="16"/>
                            </w:rPr>
                          </w:pPr>
                          <w:r w:rsidRPr="00C32CC6">
                            <w:rPr>
                              <w:rFonts w:ascii="Tahoma" w:hAnsi="Tahoma" w:cs="Tahoma"/>
                              <w:color w:val="0D0D0D"/>
                              <w:sz w:val="16"/>
                              <w:szCs w:val="16"/>
                              <w:rtl/>
                            </w:rPr>
                            <w:t>דוח מבקר המדינה</w:t>
                          </w:r>
                          <w:r w:rsidR="00E97207">
                            <w:rPr>
                              <w:rFonts w:ascii="Tahoma" w:hAnsi="Tahoma" w:cs="Tahoma" w:hint="cs"/>
                              <w:color w:val="0D0D0D"/>
                              <w:sz w:val="16"/>
                              <w:szCs w:val="16"/>
                              <w:rtl/>
                            </w:rPr>
                            <w:t xml:space="preserve"> -</w:t>
                          </w:r>
                          <w:r w:rsidRPr="00C32CC6">
                            <w:rPr>
                              <w:rFonts w:ascii="Tahoma" w:hAnsi="Tahoma" w:cs="Tahoma"/>
                              <w:color w:val="0D0D0D"/>
                              <w:sz w:val="16"/>
                              <w:szCs w:val="16"/>
                              <w:rtl/>
                            </w:rPr>
                            <w:t xml:space="preserve"> סייבר ומערכות מידע | אייר </w:t>
                          </w:r>
                          <w:r w:rsidRPr="00C32CC6">
                            <w:rPr>
                              <w:rFonts w:ascii="Tahoma" w:hAnsi="Tahoma" w:cs="Tahoma"/>
                              <w:color w:val="0D0D0D"/>
                              <w:sz w:val="16"/>
                              <w:szCs w:val="16"/>
                              <w:rtl/>
                            </w:rPr>
                            <w:t>התשפ"ג</w:t>
                          </w:r>
                          <w:r w:rsidRPr="00C32CC6">
                            <w:rPr>
                              <w:rFonts w:ascii="Tahoma" w:hAnsi="Tahoma" w:cs="Tahoma"/>
                              <w:color w:val="0D0D0D"/>
                              <w:sz w:val="16"/>
                              <w:szCs w:val="16"/>
                              <w:rtl/>
                            </w:rPr>
                            <w:t xml:space="preserve">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009C7D40">
                    <w:pPr>
                      <w:jc w:val="right"/>
                      <w:rPr>
                        <w:color w:val="0D0D0D" w:themeColor="text1" w:themeTint="F2"/>
                        <w:sz w:val="16"/>
                        <w:szCs w:val="16"/>
                      </w:rPr>
                    </w:pPr>
                    <w:r w:rsidRPr="00C32CC6">
                      <w:rPr>
                        <w:rFonts w:ascii="Tahoma" w:hAnsi="Tahoma" w:cs="Tahoma"/>
                        <w:color w:val="0D0D0D"/>
                        <w:sz w:val="16"/>
                        <w:szCs w:val="16"/>
                        <w:rtl/>
                      </w:rPr>
                      <w:t>דוח מבקר המדינה</w:t>
                    </w:r>
                    <w:r w:rsidR="00E97207">
                      <w:rPr>
                        <w:rFonts w:ascii="Tahoma" w:hAnsi="Tahoma" w:cs="Tahoma" w:hint="cs"/>
                        <w:color w:val="0D0D0D"/>
                        <w:sz w:val="16"/>
                        <w:szCs w:val="16"/>
                        <w:rtl/>
                      </w:rPr>
                      <w:t xml:space="preserve"> -</w:t>
                    </w:r>
                    <w:r w:rsidRPr="00C32CC6">
                      <w:rPr>
                        <w:rFonts w:ascii="Tahoma" w:hAnsi="Tahoma" w:cs="Tahoma"/>
                        <w:color w:val="0D0D0D"/>
                        <w:sz w:val="16"/>
                        <w:szCs w:val="16"/>
                        <w:rtl/>
                      </w:rPr>
                      <w:t xml:space="preserve"> סייבר ומערכות מידע | אייר </w:t>
                    </w:r>
                    <w:r w:rsidRPr="00C32CC6">
                      <w:rPr>
                        <w:rFonts w:ascii="Tahoma" w:hAnsi="Tahoma" w:cs="Tahoma"/>
                        <w:color w:val="0D0D0D"/>
                        <w:sz w:val="16"/>
                        <w:szCs w:val="16"/>
                        <w:rtl/>
                      </w:rPr>
                      <w:t>התשפ"ג</w:t>
                    </w:r>
                    <w:r w:rsidRPr="00C32CC6">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F6A9EA6"/>
    <w:lvl w:ilvl="0">
      <w:start w:val="1"/>
      <w:numFmt w:val="decimal"/>
      <w:lvlText w:val="%1."/>
      <w:lvlJc w:val="left"/>
      <w:pPr>
        <w:tabs>
          <w:tab w:val="num" w:pos="1492"/>
        </w:tabs>
        <w:ind w:left="1492" w:hanging="360"/>
      </w:pPr>
    </w:lvl>
  </w:abstractNum>
  <w:abstractNum w:abstractNumId="1">
    <w:nsid w:val="FFFFFF7D"/>
    <w:multiLevelType w:val="singleLevel"/>
    <w:tmpl w:val="BB8C8C00"/>
    <w:lvl w:ilvl="0">
      <w:start w:val="1"/>
      <w:numFmt w:val="decimal"/>
      <w:lvlText w:val="%1."/>
      <w:lvlJc w:val="left"/>
      <w:pPr>
        <w:tabs>
          <w:tab w:val="num" w:pos="1209"/>
        </w:tabs>
        <w:ind w:left="1209" w:hanging="360"/>
      </w:pPr>
    </w:lvl>
  </w:abstractNum>
  <w:abstractNum w:abstractNumId="2">
    <w:nsid w:val="FFFFFF7F"/>
    <w:multiLevelType w:val="singleLevel"/>
    <w:tmpl w:val="9E687B6C"/>
    <w:lvl w:ilvl="0">
      <w:start w:val="1"/>
      <w:numFmt w:val="decimal"/>
      <w:lvlText w:val="%1."/>
      <w:lvlJc w:val="left"/>
      <w:pPr>
        <w:tabs>
          <w:tab w:val="num" w:pos="643"/>
        </w:tabs>
        <w:ind w:left="643" w:hanging="360"/>
      </w:pPr>
    </w:lvl>
  </w:abstractNum>
  <w:abstractNum w:abstractNumId="3">
    <w:nsid w:val="FFFFFF80"/>
    <w:multiLevelType w:val="singleLevel"/>
    <w:tmpl w:val="FA067528"/>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D158BAB2"/>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21CCE81A"/>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568D3D4"/>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4F54D966"/>
    <w:lvl w:ilvl="0">
      <w:start w:val="1"/>
      <w:numFmt w:val="bullet"/>
      <w:lvlText w:val=""/>
      <w:lvlJc w:val="left"/>
      <w:pPr>
        <w:tabs>
          <w:tab w:val="num" w:pos="360"/>
        </w:tabs>
        <w:ind w:left="360" w:hanging="360"/>
      </w:pPr>
      <w:rPr>
        <w:rFonts w:ascii="Symbol" w:hAnsi="Symbol" w:hint="default"/>
      </w:rPr>
    </w:lvl>
  </w:abstractNum>
  <w:abstractNum w:abstractNumId="8">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072CA6"/>
    <w:multiLevelType w:val="hybridMultilevel"/>
    <w:tmpl w:val="94921920"/>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563BFB"/>
    <w:multiLevelType w:val="hybridMultilevel"/>
    <w:tmpl w:val="9DBEEEEE"/>
    <w:lvl w:ilvl="0">
      <w:start w:val="1"/>
      <w:numFmt w:val="decimal"/>
      <w:lvlText w:val="%1."/>
      <w:lvlJc w:val="left"/>
      <w:pPr>
        <w:ind w:left="284" w:hanging="2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656B05"/>
    <w:multiLevelType w:val="hybridMultilevel"/>
    <w:tmpl w:val="1278DA22"/>
    <w:lvl w:ilvl="0">
      <w:start w:val="1"/>
      <w:numFmt w:val="bullet"/>
      <w:lvlText w:val=""/>
      <w:lvlJc w:val="left"/>
      <w:pPr>
        <w:ind w:left="794" w:hanging="397"/>
      </w:pPr>
      <w:rPr>
        <w:rFonts w:ascii="Symbol" w:hAnsi="Symbol" w:cs="Symbol" w:hint="default"/>
        <w:b/>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3">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4">
    <w:nsid w:val="31C810A5"/>
    <w:multiLevelType w:val="hybridMultilevel"/>
    <w:tmpl w:val="DA1ADAAA"/>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794" w:hanging="397"/>
      </w:pPr>
      <w:rPr>
        <w:rFonts w:ascii="Symbol" w:hAnsi="Symbol" w:cs="Symbol" w:hint="default"/>
        <w:b/>
        <w:i w:val="0"/>
        <w:caps w:val="0"/>
        <w:strike w:val="0"/>
        <w:dstrike w:val="0"/>
        <w:vanish w:val="0"/>
        <w:color w:val="E41E2A"/>
        <w:sz w:val="28"/>
        <w:szCs w:val="28"/>
        <w:vertAlign w:val="baseline"/>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47D54A9"/>
    <w:multiLevelType w:val="hybridMultilevel"/>
    <w:tmpl w:val="39142B12"/>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4D66146D"/>
    <w:multiLevelType w:val="hybridMultilevel"/>
    <w:tmpl w:val="761CA008"/>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DE31EA"/>
    <w:multiLevelType w:val="hybridMultilevel"/>
    <w:tmpl w:val="3E06D070"/>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3">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20"/>
  </w:num>
  <w:num w:numId="2">
    <w:abstractNumId w:val="13"/>
  </w:num>
  <w:num w:numId="3">
    <w:abstractNumId w:val="16"/>
  </w:num>
  <w:num w:numId="4">
    <w:abstractNumId w:val="23"/>
  </w:num>
  <w:num w:numId="5">
    <w:abstractNumId w:val="8"/>
  </w:num>
  <w:num w:numId="6">
    <w:abstractNumId w:val="17"/>
  </w:num>
  <w:num w:numId="7">
    <w:abstractNumId w:val="22"/>
  </w:num>
  <w:num w:numId="8">
    <w:abstractNumId w:val="9"/>
  </w:num>
  <w:num w:numId="9">
    <w:abstractNumId w:val="21"/>
  </w:num>
  <w:num w:numId="10">
    <w:abstractNumId w:val="14"/>
  </w:num>
  <w:num w:numId="11">
    <w:abstractNumId w:val="12"/>
  </w:num>
  <w:num w:numId="12">
    <w:abstractNumId w:val="18"/>
  </w:num>
  <w:num w:numId="13">
    <w:abstractNumId w:val="15"/>
  </w:num>
  <w:num w:numId="14">
    <w:abstractNumId w:val="19"/>
  </w:num>
  <w:num w:numId="15">
    <w:abstractNumId w:val="11"/>
  </w:num>
  <w:num w:numId="16">
    <w:abstractNumId w:val="10"/>
  </w:num>
  <w:num w:numId="17">
    <w:abstractNumId w:val="3"/>
  </w:num>
  <w:num w:numId="18">
    <w:abstractNumId w:val="4"/>
  </w:num>
  <w:num w:numId="19">
    <w:abstractNumId w:val="5"/>
  </w:num>
  <w:num w:numId="20">
    <w:abstractNumId w:val="6"/>
  </w:num>
  <w:num w:numId="21">
    <w:abstractNumId w:val="7"/>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0"/>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0"/>
  </w:num>
  <w:num w:numId="39">
    <w:abstractNumId w:val="1"/>
  </w:num>
  <w:num w:numId="40">
    <w:abstractNumId w:val="2"/>
  </w:num>
  <w:num w:numId="41">
    <w:abstractNumId w:val="3"/>
  </w:num>
  <w:num w:numId="42">
    <w:abstractNumId w:val="4"/>
  </w:num>
  <w:num w:numId="43">
    <w:abstractNumId w:val="5"/>
  </w:num>
  <w:num w:numId="44">
    <w:abstractNumId w:val="6"/>
  </w:num>
  <w:num w:numId="45">
    <w:abstractNumId w:val="7"/>
  </w:num>
  <w:num w:numId="46">
    <w:abstractNumId w:val="0"/>
  </w:num>
  <w:num w:numId="47">
    <w:abstractNumId w:val="1"/>
  </w:num>
  <w:num w:numId="4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3"/>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2C6C"/>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766"/>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4F2"/>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38E"/>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30E"/>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20D"/>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3F54"/>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17F6E"/>
    <w:rsid w:val="0012049B"/>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77C"/>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0564"/>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73"/>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2A80"/>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B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7B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DC2"/>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4895"/>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29E"/>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1AD"/>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D4D"/>
    <w:rsid w:val="0034149F"/>
    <w:rsid w:val="003417BA"/>
    <w:rsid w:val="003419FB"/>
    <w:rsid w:val="00341C37"/>
    <w:rsid w:val="00341C70"/>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4E3E"/>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BF2"/>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44"/>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A80"/>
    <w:rsid w:val="003D0F6A"/>
    <w:rsid w:val="003D0F91"/>
    <w:rsid w:val="003D130F"/>
    <w:rsid w:val="003D16F2"/>
    <w:rsid w:val="003D1801"/>
    <w:rsid w:val="003D1D5C"/>
    <w:rsid w:val="003D1EB4"/>
    <w:rsid w:val="003D2136"/>
    <w:rsid w:val="003D2796"/>
    <w:rsid w:val="003D29BF"/>
    <w:rsid w:val="003D2AE6"/>
    <w:rsid w:val="003D2C35"/>
    <w:rsid w:val="003D2FC4"/>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396"/>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2D7"/>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18"/>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5164"/>
    <w:rsid w:val="0047620F"/>
    <w:rsid w:val="004763DF"/>
    <w:rsid w:val="00476508"/>
    <w:rsid w:val="004767BA"/>
    <w:rsid w:val="00476C99"/>
    <w:rsid w:val="00477447"/>
    <w:rsid w:val="0047794C"/>
    <w:rsid w:val="004779AA"/>
    <w:rsid w:val="00477F44"/>
    <w:rsid w:val="00480011"/>
    <w:rsid w:val="00480107"/>
    <w:rsid w:val="004809CB"/>
    <w:rsid w:val="00482259"/>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128"/>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4302"/>
    <w:rsid w:val="004E5265"/>
    <w:rsid w:val="004E5B3C"/>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8"/>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1FE"/>
    <w:rsid w:val="005608B2"/>
    <w:rsid w:val="0056099A"/>
    <w:rsid w:val="00560A43"/>
    <w:rsid w:val="00560FD3"/>
    <w:rsid w:val="00561000"/>
    <w:rsid w:val="00561471"/>
    <w:rsid w:val="0056270E"/>
    <w:rsid w:val="00562ECE"/>
    <w:rsid w:val="00563749"/>
    <w:rsid w:val="00563C85"/>
    <w:rsid w:val="00563DDB"/>
    <w:rsid w:val="00564813"/>
    <w:rsid w:val="0056546C"/>
    <w:rsid w:val="00565486"/>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98B"/>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D7B60"/>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359E"/>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8F"/>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20C"/>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2AC8"/>
    <w:rsid w:val="008148B4"/>
    <w:rsid w:val="0081495F"/>
    <w:rsid w:val="008153A7"/>
    <w:rsid w:val="008153B7"/>
    <w:rsid w:val="00815EB6"/>
    <w:rsid w:val="0081653B"/>
    <w:rsid w:val="008166A5"/>
    <w:rsid w:val="008168F8"/>
    <w:rsid w:val="00816F7B"/>
    <w:rsid w:val="008172A2"/>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4ED"/>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308"/>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A6C"/>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5CE"/>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9D2"/>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C48"/>
    <w:rsid w:val="008C3DBB"/>
    <w:rsid w:val="008C4092"/>
    <w:rsid w:val="008C4722"/>
    <w:rsid w:val="008C5036"/>
    <w:rsid w:val="008C520D"/>
    <w:rsid w:val="008C5D99"/>
    <w:rsid w:val="008C61AE"/>
    <w:rsid w:val="008C6560"/>
    <w:rsid w:val="008C6F75"/>
    <w:rsid w:val="008C7200"/>
    <w:rsid w:val="008C73B2"/>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4CF"/>
    <w:rsid w:val="009B5A8C"/>
    <w:rsid w:val="009B5C74"/>
    <w:rsid w:val="009B6070"/>
    <w:rsid w:val="009B614C"/>
    <w:rsid w:val="009B615E"/>
    <w:rsid w:val="009B661E"/>
    <w:rsid w:val="009B68A4"/>
    <w:rsid w:val="009B75F0"/>
    <w:rsid w:val="009B7AD5"/>
    <w:rsid w:val="009B7D1B"/>
    <w:rsid w:val="009C01B9"/>
    <w:rsid w:val="009C0342"/>
    <w:rsid w:val="009C0408"/>
    <w:rsid w:val="009C0D9E"/>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042"/>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4DEA"/>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6FCC"/>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BBF"/>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9C8"/>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6F60"/>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931"/>
    <w:rsid w:val="00BB2C04"/>
    <w:rsid w:val="00BB30F3"/>
    <w:rsid w:val="00BB315F"/>
    <w:rsid w:val="00BB3186"/>
    <w:rsid w:val="00BB325E"/>
    <w:rsid w:val="00BB3D90"/>
    <w:rsid w:val="00BB48F1"/>
    <w:rsid w:val="00BB5036"/>
    <w:rsid w:val="00BB5BAF"/>
    <w:rsid w:val="00BB5F46"/>
    <w:rsid w:val="00BB6218"/>
    <w:rsid w:val="00BB6888"/>
    <w:rsid w:val="00BB69EC"/>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434"/>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973"/>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15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9C2"/>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CC6"/>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4D84"/>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0EF"/>
    <w:rsid w:val="00C74181"/>
    <w:rsid w:val="00C7460F"/>
    <w:rsid w:val="00C74636"/>
    <w:rsid w:val="00C74AF1"/>
    <w:rsid w:val="00C752C9"/>
    <w:rsid w:val="00C759F1"/>
    <w:rsid w:val="00C7613A"/>
    <w:rsid w:val="00C761B9"/>
    <w:rsid w:val="00C766AB"/>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66A"/>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76"/>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038"/>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6E4"/>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1D2E"/>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CC0"/>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2E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57E7"/>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7E4"/>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207"/>
    <w:rsid w:val="00E97421"/>
    <w:rsid w:val="00E974B7"/>
    <w:rsid w:val="00E97DD3"/>
    <w:rsid w:val="00EA00A6"/>
    <w:rsid w:val="00EA1134"/>
    <w:rsid w:val="00EA1489"/>
    <w:rsid w:val="00EA148E"/>
    <w:rsid w:val="00EA1A6D"/>
    <w:rsid w:val="00EA21DA"/>
    <w:rsid w:val="00EA28D1"/>
    <w:rsid w:val="00EA2AE4"/>
    <w:rsid w:val="00EA335A"/>
    <w:rsid w:val="00EA3D63"/>
    <w:rsid w:val="00EA4DC2"/>
    <w:rsid w:val="00EA4DF2"/>
    <w:rsid w:val="00EA4F3D"/>
    <w:rsid w:val="00EA5342"/>
    <w:rsid w:val="00EA55C1"/>
    <w:rsid w:val="00EA5AC0"/>
    <w:rsid w:val="00EA61F0"/>
    <w:rsid w:val="00EA65D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86"/>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137"/>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49AC"/>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53"/>
    <w:rsid w:val="00FB3DE3"/>
    <w:rsid w:val="00FB3E4E"/>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9"/>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6"/>
    <w:qFormat/>
    <w:rsid w:val="00F07E70"/>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4B039B"/>
    <w:pPr>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9"/>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semiHidden/>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Sharp - Footnote Text1 Char תו"/>
    <w:uiPriority w:val="99"/>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8">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9">
    <w:name w:val="הפניה להערה1"/>
    <w:uiPriority w:val="99"/>
    <w:semiHidden/>
    <w:unhideWhenUsed/>
    <w:rsid w:val="002516DF"/>
    <w:rPr>
      <w:sz w:val="16"/>
      <w:szCs w:val="16"/>
    </w:rPr>
  </w:style>
  <w:style w:type="paragraph" w:customStyle="1" w:styleId="120">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0"/>
    <w:uiPriority w:val="99"/>
    <w:rsid w:val="002516DF"/>
    <w:rPr>
      <w:rFonts w:eastAsia="Calibri"/>
      <w:szCs w:val="20"/>
    </w:rPr>
  </w:style>
  <w:style w:type="paragraph" w:customStyle="1" w:styleId="122">
    <w:name w:val="נושא הערה1"/>
    <w:basedOn w:val="120"/>
    <w:next w:val="120"/>
    <w:link w:val="a14"/>
    <w:uiPriority w:val="99"/>
    <w:semiHidden/>
    <w:unhideWhenUsed/>
    <w:rsid w:val="002516DF"/>
    <w:rPr>
      <w:b/>
      <w:bCs/>
    </w:rPr>
  </w:style>
  <w:style w:type="character" w:customStyle="1" w:styleId="a14">
    <w:name w:val="נושא הערה תו"/>
    <w:link w:val="122"/>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23">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8">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4">
    <w:name w:val="כותרת טקסט1"/>
    <w:basedOn w:val="DefaultParagraphFont"/>
    <w:rsid w:val="00D81F77"/>
  </w:style>
  <w:style w:type="paragraph" w:customStyle="1" w:styleId="a23">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4">
    <w:name w:val="סיכום תקציר 21"/>
    <w:basedOn w:val="Normal"/>
    <w:link w:val="21Char0"/>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5">
    <w:name w:val="עיקרי המלצות הביקורת 21"/>
    <w:basedOn w:val="Normal"/>
    <w:link w:val="21Char1"/>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0">
    <w:name w:val="סיכום תקציר 21 Char"/>
    <w:basedOn w:val="DefaultParagraphFont"/>
    <w:link w:val="214"/>
    <w:rsid w:val="00454096"/>
    <w:rPr>
      <w:rFonts w:ascii="Tahoma" w:hAnsi="Tahoma" w:eastAsiaTheme="minorEastAsia" w:cs="Tahoma"/>
      <w:b/>
      <w:bCs/>
      <w:color w:val="00305F"/>
      <w:sz w:val="34"/>
      <w:szCs w:val="32"/>
    </w:rPr>
  </w:style>
  <w:style w:type="paragraph" w:customStyle="1" w:styleId="216">
    <w:name w:val="פעולות הביקורת 21"/>
    <w:basedOn w:val="Normal"/>
    <w:link w:val="21Char2"/>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1">
    <w:name w:val="עיקרי המלצות הביקורת 21 Char"/>
    <w:basedOn w:val="DefaultParagraphFont"/>
    <w:link w:val="215"/>
    <w:rsid w:val="00454096"/>
    <w:rPr>
      <w:rFonts w:ascii="Tahoma" w:hAnsi="Tahoma" w:eastAsiaTheme="minorEastAsia" w:cs="Tahoma"/>
      <w:b/>
      <w:bCs/>
      <w:color w:val="002E5F"/>
      <w:sz w:val="34"/>
      <w:szCs w:val="32"/>
    </w:rPr>
  </w:style>
  <w:style w:type="character" w:customStyle="1" w:styleId="21Char2">
    <w:name w:val="פעולות הביקורת 21 Char"/>
    <w:basedOn w:val="DefaultParagraphFont"/>
    <w:link w:val="216"/>
    <w:rsid w:val="00454096"/>
    <w:rPr>
      <w:rFonts w:ascii="Tahoma" w:hAnsi="Tahoma" w:eastAsiaTheme="minorEastAsia" w:cs="Tahoma"/>
      <w:b w:val="0"/>
      <w:bCs/>
      <w:color w:val="00305F"/>
      <w:sz w:val="32"/>
      <w:szCs w:val="32"/>
    </w:rPr>
  </w:style>
  <w:style w:type="paragraph" w:customStyle="1" w:styleId="217">
    <w:name w:val="פעולות הביקורת21"/>
    <w:basedOn w:val="Normal"/>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6"/>
    <w:link w:val="7328"/>
    <w:qFormat/>
    <w:rsid w:val="00F07E70"/>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2"/>
    <w:link w:val="7327"/>
    <w:rsid w:val="00F07E70"/>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DefaultParagraphFont"/>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7">
    <w:name w:val="כותרת לבנה בתוך תבנית אדומה בתקציר"/>
    <w:basedOn w:val="Normal"/>
    <w:link w:val="Char6"/>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7"/>
    <w:link w:val="7333"/>
    <w:qFormat/>
    <w:rsid w:val="009D41AC"/>
  </w:style>
  <w:style w:type="character" w:customStyle="1" w:styleId="Char6">
    <w:name w:val="כותרת לבנה בתוך תבנית אדומה בתקציר Char"/>
    <w:basedOn w:val="DefaultParagraphFont"/>
    <w:link w:val="a27"/>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6"/>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9">
    <w:name w:val="נבנצאל תו"/>
    <w:basedOn w:val="DefaultParagraphFont"/>
    <w:link w:val="a30"/>
    <w:uiPriority w:val="99"/>
    <w:locked/>
    <w:rsid w:val="00905FB1"/>
    <w:rPr>
      <w:szCs w:val="20"/>
    </w:rPr>
  </w:style>
  <w:style w:type="paragraph" w:customStyle="1" w:styleId="a30">
    <w:name w:val="נבנצאל"/>
    <w:basedOn w:val="Normal"/>
    <w:next w:val="Normal"/>
    <w:link w:val="a29"/>
    <w:uiPriority w:val="99"/>
    <w:rsid w:val="00905FB1"/>
    <w:pPr>
      <w:ind w:left="-567"/>
    </w:pPr>
    <w:rPr>
      <w:szCs w:val="20"/>
    </w:rPr>
  </w:style>
  <w:style w:type="paragraph" w:styleId="DocumentMap">
    <w:name w:val="Document Map"/>
    <w:basedOn w:val="Normal"/>
    <w:link w:val="a31"/>
    <w:uiPriority w:val="99"/>
    <w:semiHidden/>
    <w:unhideWhenUsed/>
    <w:rsid w:val="0030451F"/>
    <w:pPr>
      <w:spacing w:line="240" w:lineRule="auto"/>
    </w:pPr>
    <w:rPr>
      <w:rFonts w:ascii="Tahoma" w:hAnsi="Tahoma" w:cs="Tahoma"/>
      <w:sz w:val="16"/>
      <w:szCs w:val="16"/>
    </w:rPr>
  </w:style>
  <w:style w:type="character" w:customStyle="1" w:styleId="a31">
    <w:name w:val="מפת מסמך תו"/>
    <w:basedOn w:val="DefaultParagraphFont"/>
    <w:link w:val="DocumentMap"/>
    <w:uiPriority w:val="99"/>
    <w:semiHidden/>
    <w:rsid w:val="0030451F"/>
    <w:rPr>
      <w:rFonts w:ascii="Tahoma" w:hAnsi="Tahoma" w:cs="Tahoma"/>
      <w:sz w:val="16"/>
      <w:szCs w:val="16"/>
    </w:rPr>
  </w:style>
  <w:style w:type="paragraph" w:customStyle="1" w:styleId="125">
    <w:name w:val="סגנון1"/>
    <w:basedOn w:val="Caption"/>
    <w:qFormat/>
    <w:rsid w:val="0030451F"/>
    <w:pPr>
      <w:jc w:val="center"/>
    </w:pPr>
    <w:rPr>
      <w:b/>
      <w:bCs/>
      <w:iCs w:val="0"/>
      <w:color w:val="000000" w:themeColor="text1"/>
      <w:sz w:val="24"/>
      <w:szCs w:val="24"/>
    </w:rPr>
  </w:style>
  <w:style w:type="paragraph" w:customStyle="1" w:styleId="29">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3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3">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Normal"/>
    <w:qFormat/>
    <w:rsid w:val="003570AC"/>
    <w:pPr>
      <w:ind w:left="2268"/>
    </w:pPr>
    <w:rPr>
      <w:rFonts w:ascii="Tahoma" w:hAnsi="Tahoma" w:cs="Tahoma"/>
      <w:sz w:val="18"/>
      <w:szCs w:val="18"/>
    </w:rPr>
  </w:style>
  <w:style w:type="paragraph" w:customStyle="1" w:styleId="-2">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4"/>
    <w:link w:val="7393"/>
    <w:qFormat/>
    <w:rsid w:val="0078358A"/>
    <w:rPr>
      <w:color w:val="0D0D0D" w:themeColor="text1" w:themeTint="F2"/>
      <w:sz w:val="18"/>
    </w:rPr>
  </w:style>
  <w:style w:type="character" w:customStyle="1" w:styleId="7393">
    <w:name w:val="73א טקסט רץ 9 תו"/>
    <w:basedOn w:val="Char4"/>
    <w:link w:val="7392"/>
    <w:rsid w:val="0078358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6">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6">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437586"/>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42">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 w:type="character" w:customStyle="1" w:styleId="mw-headline">
    <w:name w:val="mw-headline"/>
    <w:basedOn w:val="DefaultParagraphFont"/>
    <w:rsid w:val="003D0A80"/>
  </w:style>
  <w:style w:type="paragraph" w:customStyle="1" w:styleId="HNormal">
    <w:name w:val="HNormal"/>
    <w:rsid w:val="003D0A80"/>
    <w:pPr>
      <w:bidi/>
      <w:spacing w:after="120" w:line="240" w:lineRule="auto"/>
    </w:pPr>
    <w:rPr>
      <w:rFonts w:eastAsia="Times New Roman"/>
      <w:noProof/>
      <w:lang w:eastAsia="he-IL"/>
    </w:rPr>
  </w:style>
  <w:style w:type="paragraph" w:customStyle="1" w:styleId="a37">
    <w:name w:val="הערות שוליים"/>
    <w:basedOn w:val="FootnoteText"/>
    <w:qFormat/>
    <w:rsid w:val="003D0A80"/>
    <w:pPr>
      <w:spacing w:after="60" w:line="312" w:lineRule="auto"/>
      <w:ind w:left="397" w:hanging="397"/>
    </w:pPr>
    <w:rPr>
      <w:rFonts w:ascii="Tahoma" w:hAnsi="Tahoma" w:cs="Tahoma"/>
      <w:sz w:val="16"/>
      <w:szCs w:val="16"/>
    </w:rPr>
  </w:style>
  <w:style w:type="paragraph" w:customStyle="1" w:styleId="R">
    <w:name w:val="טקסט R טבלה"/>
    <w:basedOn w:val="Normal"/>
    <w:qFormat/>
    <w:rsid w:val="003D0A80"/>
    <w:pPr>
      <w:spacing w:before="40" w:after="40"/>
      <w:jc w:val="left"/>
    </w:pPr>
    <w:rPr>
      <w:rFonts w:ascii="Tahoma" w:hAnsi="Tahoma" w:eastAsiaTheme="minorEastAsia" w:cs="Tahoma"/>
      <w:szCs w:val="20"/>
    </w:rPr>
  </w:style>
  <w:style w:type="paragraph" w:customStyle="1" w:styleId="a38">
    <w:name w:val="כותרת טבלה"/>
    <w:basedOn w:val="Normal"/>
    <w:qFormat/>
    <w:rsid w:val="003D0A80"/>
    <w:pPr>
      <w:spacing w:before="40" w:after="40"/>
      <w:jc w:val="left"/>
    </w:pPr>
    <w:rPr>
      <w:rFonts w:ascii="Tahoma" w:hAnsi="Tahoma" w:eastAsiaTheme="minorEastAsia" w:cs="Tahoma"/>
      <w:b/>
      <w:bCs/>
      <w:color w:val="000000" w:themeColor="text1"/>
      <w:szCs w:val="20"/>
    </w:rPr>
  </w:style>
  <w:style w:type="table" w:styleId="GridTableLight">
    <w:name w:val="Grid Table Light"/>
    <w:basedOn w:val="TableNormal"/>
    <w:uiPriority w:val="40"/>
    <w:rsid w:val="003D0A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
    <w:name w:val="Grid Table 5 Dark"/>
    <w:basedOn w:val="TableNormal"/>
    <w:uiPriority w:val="50"/>
    <w:rsid w:val="003D0A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3D0A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3D0A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1">
    <w:name w:val="Plain Table 1"/>
    <w:basedOn w:val="TableNormal"/>
    <w:uiPriority w:val="41"/>
    <w:rsid w:val="003D0A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316">
    <w:name w:val="כותרת 3_16"/>
    <w:basedOn w:val="Heading3"/>
    <w:link w:val="316Char"/>
    <w:qFormat/>
    <w:rsid w:val="003D0A80"/>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3D0A80"/>
    <w:rPr>
      <w:rFonts w:ascii="Tahoma" w:eastAsia="Times New Roman" w:hAnsi="Tahoma" w:cs="Tahoma"/>
      <w:color w:val="009692"/>
      <w:sz w:val="32"/>
      <w:szCs w:val="32"/>
    </w:rPr>
  </w:style>
  <w:style w:type="table" w:styleId="GridTable1Light">
    <w:name w:val="Grid Table 1 Light"/>
    <w:basedOn w:val="TableNormal"/>
    <w:uiPriority w:val="46"/>
    <w:rsid w:val="003D0A80"/>
    <w:pPr>
      <w:spacing w:after="0" w:line="240" w:lineRule="auto"/>
      <w:jc w:val="left"/>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27">
    <w:name w:val="אזכור לא מזוהה1"/>
    <w:basedOn w:val="DefaultParagraphFont"/>
    <w:uiPriority w:val="99"/>
    <w:semiHidden/>
    <w:unhideWhenUsed/>
    <w:rsid w:val="003D0A80"/>
    <w:rPr>
      <w:color w:val="605E5C"/>
      <w:shd w:val="clear" w:color="auto" w:fill="E1DFDD"/>
    </w:rPr>
  </w:style>
  <w:style w:type="table" w:styleId="GridTable6ColorfulAccent1">
    <w:name w:val="Grid Table 6 Colorful Accent 1"/>
    <w:basedOn w:val="TableNormal"/>
    <w:uiPriority w:val="51"/>
    <w:rsid w:val="003D0A80"/>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219">
    <w:name w:val="אזכור לא מזוהה2"/>
    <w:basedOn w:val="DefaultParagraphFont"/>
    <w:uiPriority w:val="99"/>
    <w:semiHidden/>
    <w:unhideWhenUsed/>
    <w:rsid w:val="003D0A80"/>
    <w:rPr>
      <w:color w:val="605E5C"/>
      <w:shd w:val="clear" w:color="auto" w:fill="E1DFDD"/>
    </w:rPr>
  </w:style>
  <w:style w:type="character" w:customStyle="1" w:styleId="35">
    <w:name w:val="אזכור לא מזוהה3"/>
    <w:basedOn w:val="DefaultParagraphFont"/>
    <w:uiPriority w:val="99"/>
    <w:semiHidden/>
    <w:unhideWhenUsed/>
    <w:rsid w:val="003D0A80"/>
    <w:rPr>
      <w:color w:val="605E5C"/>
      <w:shd w:val="clear" w:color="auto" w:fill="E1DFDD"/>
    </w:rPr>
  </w:style>
  <w:style w:type="character" w:customStyle="1" w:styleId="42">
    <w:name w:val="אזכור לא מזוהה4"/>
    <w:basedOn w:val="DefaultParagraphFont"/>
    <w:uiPriority w:val="99"/>
    <w:semiHidden/>
    <w:unhideWhenUsed/>
    <w:rsid w:val="003D0A80"/>
    <w:rPr>
      <w:color w:val="605E5C"/>
      <w:shd w:val="clear" w:color="auto" w:fill="E1DFDD"/>
    </w:rPr>
  </w:style>
  <w:style w:type="character" w:customStyle="1" w:styleId="52">
    <w:name w:val="אזכור לא מזוהה5"/>
    <w:basedOn w:val="DefaultParagraphFont"/>
    <w:uiPriority w:val="99"/>
    <w:semiHidden/>
    <w:unhideWhenUsed/>
    <w:rsid w:val="003D0A80"/>
    <w:rPr>
      <w:color w:val="605E5C"/>
      <w:shd w:val="clear" w:color="auto" w:fill="E1DFDD"/>
    </w:rPr>
  </w:style>
  <w:style w:type="character" w:customStyle="1" w:styleId="62">
    <w:name w:val="אזכור לא מזוהה6"/>
    <w:basedOn w:val="DefaultParagraphFont"/>
    <w:uiPriority w:val="99"/>
    <w:semiHidden/>
    <w:unhideWhenUsed/>
    <w:rsid w:val="003D0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image" Target="media/image14.png"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4.xml" /><Relationship Id="rId32" Type="http://schemas.openxmlformats.org/officeDocument/2006/relationships/header" Target="header6.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A8C6D426-1154-4DED-A7AD-65C919088DC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