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4.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bookmarkStart w:id="0" w:name="_Hlk63775048"/>
    <w:bookmarkStart w:id="1" w:name="_GoBack"/>
    <w:bookmarkEnd w:id="0"/>
    <w:bookmarkEnd w:id="1"/>
    <w:p w:rsidR="008B2E28" w:rsidRDefault="00DF6A0A" w:rsidP="001F3363">
      <w:pPr>
        <w:rPr>
          <w:rtl/>
        </w:rPr>
      </w:pPr>
      <w:r>
        <w:rPr>
          <w:noProof/>
        </w:rPr>
        <mc:AlternateContent>
          <mc:Choice Requires="wps">
            <w:drawing>
              <wp:anchor distT="0" distB="0" distL="114300" distR="114300" simplePos="0" relativeHeight="251672576" behindDoc="1" locked="0" layoutInCell="1" allowOverlap="1">
                <wp:simplePos x="0" y="0"/>
                <wp:positionH relativeFrom="column">
                  <wp:posOffset>-589915</wp:posOffset>
                </wp:positionH>
                <wp:positionV relativeFrom="paragraph">
                  <wp:posOffset>-243673</wp:posOffset>
                </wp:positionV>
                <wp:extent cx="6721475" cy="0"/>
                <wp:effectExtent l="0" t="0" r="9525" b="12700"/>
                <wp:wrapNone/>
                <wp:docPr id="618" name="Straight Connector 618"/>
                <wp:cNvGraphicFramePr/>
                <a:graphic xmlns:a="http://schemas.openxmlformats.org/drawingml/2006/main">
                  <a:graphicData uri="http://schemas.microsoft.com/office/word/2010/wordprocessingShape">
                    <wps:wsp>
                      <wps:cNvCnPr/>
                      <wps:spPr>
                        <a:xfrm flipH="1">
                          <a:off x="0" y="0"/>
                          <a:ext cx="672147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8" o:spid="_x0000_s1026" style="flip:x;mso-height-percent:0;mso-height-relative:margin;mso-width-percent:0;mso-width-relative:margin;mso-wrap-distance-bottom:0;mso-wrap-distance-left:9pt;mso-wrap-distance-right:9pt;mso-wrap-distance-top:0;mso-wrap-style:square;position:absolute;visibility:visible;z-index:-251642880" from="-46.45pt,-19.2pt" to="482.8pt,-19.2pt" strokecolor="white"/>
            </w:pict>
          </mc:Fallback>
        </mc:AlternateContent>
      </w:r>
      <w:r w:rsidR="003C32FE">
        <w:rPr>
          <w:noProof/>
          <w:szCs w:val="18"/>
        </w:rPr>
        <mc:AlternateContent>
          <mc:Choice Requires="wps">
            <w:drawing>
              <wp:anchor distT="0" distB="0" distL="114300" distR="114300" simplePos="0" relativeHeight="251660288" behindDoc="0" locked="0" layoutInCell="1" allowOverlap="1">
                <wp:simplePos x="0" y="0"/>
                <wp:positionH relativeFrom="column">
                  <wp:posOffset>-15163846</wp:posOffset>
                </wp:positionH>
                <wp:positionV relativeFrom="paragraph">
                  <wp:posOffset>-5918996</wp:posOffset>
                </wp:positionV>
                <wp:extent cx="20269200" cy="15478699"/>
                <wp:effectExtent l="0" t="0" r="12700" b="15875"/>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69200" cy="15478699"/>
                        </a:xfrm>
                        <a:prstGeom prst="rect">
                          <a:avLst/>
                        </a:prstGeom>
                        <a:solidFill>
                          <a:srgbClr val="00305F"/>
                        </a:solidFill>
                        <a:ln>
                          <a:solidFill>
                            <a:srgbClr val="00305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27" style="width:0.75pt;height:1218.8pt;margin-top:-466.05pt;margin-left:-1194pt;mso-height-percent:0;mso-height-relative:margin;mso-width-percent:0;mso-width-relative:margin;mso-wrap-distance-bottom:0;mso-wrap-distance-left:9pt;mso-wrap-distance-right:9pt;mso-wrap-distance-top:0;mso-wrap-style:square;position:absolute;visibility:visible;v-text-anchor:middle;z-index:251661312" fillcolor="#00305f" strokecolor="#00305f" strokeweight="1.25pt"/>
            </w:pict>
          </mc:Fallback>
        </mc:AlternateContent>
      </w:r>
      <w:r w:rsidR="003C32FE">
        <w:rPr>
          <w:rFonts w:hint="cs"/>
          <w:noProof/>
          <w:rtl/>
          <w:lang w:val="he-IL"/>
        </w:rPr>
        <w:drawing>
          <wp:anchor distT="0" distB="0" distL="114300" distR="114300" simplePos="0" relativeHeight="251664384" behindDoc="0" locked="0" layoutInCell="1" allowOverlap="1">
            <wp:simplePos x="0" y="0"/>
            <wp:positionH relativeFrom="column">
              <wp:posOffset>-7113867</wp:posOffset>
            </wp:positionH>
            <wp:positionV relativeFrom="paragraph">
              <wp:posOffset>-4161346</wp:posOffset>
            </wp:positionV>
            <wp:extent cx="474980" cy="177800"/>
            <wp:effectExtent l="0" t="0" r="1270" b="0"/>
            <wp:wrapNone/>
            <wp:docPr id="26" name="Picture 26"/>
            <wp:cNvGraphicFramePr/>
            <a:graphic xmlns:a="http://schemas.openxmlformats.org/drawingml/2006/main">
              <a:graphicData uri="http://schemas.openxmlformats.org/drawingml/2006/picture">
                <pic:pic xmlns:pic="http://schemas.openxmlformats.org/drawingml/2006/picture">
                  <pic:nvPicPr>
                    <pic:cNvPr id="26" name="Picture 9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4980" cy="177800"/>
                    </a:xfrm>
                    <a:prstGeom prst="rect">
                      <a:avLst/>
                    </a:prstGeom>
                  </pic:spPr>
                </pic:pic>
              </a:graphicData>
            </a:graphic>
            <wp14:sizeRelH relativeFrom="margin">
              <wp14:pctWidth>0</wp14:pctWidth>
            </wp14:sizeRelH>
            <wp14:sizeRelV relativeFrom="margin">
              <wp14:pctHeight>0</wp14:pctHeight>
            </wp14:sizeRelV>
          </wp:anchor>
        </w:drawing>
      </w:r>
      <w:r w:rsidR="008B694B">
        <w:rPr>
          <w:rtl/>
        </w:rPr>
        <w:tab/>
      </w:r>
    </w:p>
    <w:p w:rsidR="008B694B" w:rsidRDefault="008B694B" w:rsidP="005169B9">
      <w:pPr>
        <w:rPr>
          <w:rtl/>
        </w:rPr>
      </w:pPr>
    </w:p>
    <w:p w:rsidR="008B2E28" w:rsidRDefault="00DF6A0A" w:rsidP="008D2388">
      <w:pPr>
        <w:spacing w:line="240" w:lineRule="atLeast"/>
        <w:jc w:val="center"/>
        <w:rPr>
          <w:rFonts w:ascii="Tahoma" w:hAnsi="Tahoma" w:cs="Tahoma"/>
          <w:sz w:val="22"/>
          <w:szCs w:val="22"/>
          <w:rtl/>
        </w:rPr>
      </w:pPr>
      <w:r w:rsidRPr="0030415A">
        <w:rPr>
          <w:rFonts w:ascii="Tahoma" w:hAnsi="Tahoma" w:cs="Tahoma"/>
          <w:noProof/>
          <w:sz w:val="22"/>
          <w:szCs w:val="22"/>
          <w:rtl/>
        </w:rPr>
        <mc:AlternateContent>
          <mc:Choice Requires="wps">
            <w:drawing>
              <wp:anchor distT="0" distB="0" distL="114300" distR="114300" simplePos="0" relativeHeight="251658240" behindDoc="0" locked="0" layoutInCell="1" allowOverlap="1">
                <wp:simplePos x="0" y="0"/>
                <wp:positionH relativeFrom="column">
                  <wp:posOffset>7165975</wp:posOffset>
                </wp:positionH>
                <wp:positionV relativeFrom="paragraph">
                  <wp:posOffset>281305</wp:posOffset>
                </wp:positionV>
                <wp:extent cx="0" cy="2235835"/>
                <wp:effectExtent l="19050" t="0" r="19050" b="31115"/>
                <wp:wrapNone/>
                <wp:docPr id="16" name="Straight Connector 16"/>
                <wp:cNvGraphicFramePr/>
                <a:graphic xmlns:a="http://schemas.openxmlformats.org/drawingml/2006/main">
                  <a:graphicData uri="http://schemas.microsoft.com/office/word/2010/wordprocessingShape">
                    <wps:wsp>
                      <wps:cNvCnPr/>
                      <wps:spPr>
                        <a:xfrm>
                          <a:off x="0" y="0"/>
                          <a:ext cx="0" cy="2235835"/>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6" o:spid="_x0000_s1028" style="mso-wrap-distance-bottom:0;mso-wrap-distance-left:9pt;mso-wrap-distance-right:9pt;mso-wrap-distance-top:0;mso-wrap-style:square;position:absolute;visibility:visible;z-index:251659264" from="564.25pt,22.15pt" to="564.25pt,198.2pt" strokecolor="white" strokeweight="3.5pt"/>
            </w:pict>
          </mc:Fallback>
        </mc:AlternateContent>
      </w:r>
    </w:p>
    <w:p w:rsidR="008B2E28" w:rsidRDefault="008B2E28" w:rsidP="008D2388">
      <w:pPr>
        <w:spacing w:line="240" w:lineRule="atLeast"/>
        <w:jc w:val="center"/>
        <w:rPr>
          <w:rFonts w:ascii="Tahoma" w:hAnsi="Tahoma" w:cs="Tahoma"/>
          <w:sz w:val="22"/>
          <w:szCs w:val="22"/>
          <w:rtl/>
        </w:rPr>
      </w:pPr>
    </w:p>
    <w:p w:rsidR="008B2E28" w:rsidRDefault="008B2E28" w:rsidP="008D2388">
      <w:pPr>
        <w:spacing w:line="240" w:lineRule="atLeast"/>
        <w:jc w:val="center"/>
        <w:rPr>
          <w:rFonts w:ascii="Tahoma" w:hAnsi="Tahoma" w:cs="Tahoma"/>
          <w:sz w:val="22"/>
          <w:szCs w:val="22"/>
          <w:rtl/>
        </w:rPr>
      </w:pPr>
    </w:p>
    <w:p w:rsidR="003C32FE" w:rsidRPr="00170230" w:rsidRDefault="003C32FE" w:rsidP="003C32FE">
      <w:pPr>
        <w:spacing w:line="240" w:lineRule="atLeast"/>
        <w:jc w:val="center"/>
        <w:rPr>
          <w:rFonts w:ascii="Tahoma" w:hAnsi="Tahoma" w:cs="Tahoma"/>
          <w:szCs w:val="18"/>
          <w:rtl/>
        </w:rPr>
      </w:pPr>
    </w:p>
    <w:p w:rsidR="003C32FE" w:rsidRDefault="00DF6A0A" w:rsidP="003C32FE">
      <w:pPr>
        <w:spacing w:line="240" w:lineRule="atLeast"/>
        <w:jc w:val="center"/>
        <w:rPr>
          <w:rFonts w:ascii="Tahoma" w:hAnsi="Tahoma" w:cs="Tahoma"/>
          <w:sz w:val="22"/>
          <w:szCs w:val="22"/>
          <w:rtl/>
        </w:rPr>
      </w:pPr>
      <w:r>
        <w:rPr>
          <w:rFonts w:ascii="Tahoma" w:hAnsi="Tahoma" w:cs="Tahoma"/>
          <w:noProof/>
          <w:sz w:val="22"/>
          <w:szCs w:val="22"/>
          <w:rtl/>
          <w:lang w:val="he-IL"/>
        </w:rPr>
        <mc:AlternateContent>
          <mc:Choice Requires="wps">
            <w:drawing>
              <wp:anchor distT="0" distB="0" distL="114300" distR="114300" simplePos="0" relativeHeight="251666432" behindDoc="0" locked="0" layoutInCell="1" allowOverlap="1">
                <wp:simplePos x="0" y="0"/>
                <wp:positionH relativeFrom="column">
                  <wp:posOffset>3072379</wp:posOffset>
                </wp:positionH>
                <wp:positionV relativeFrom="paragraph">
                  <wp:posOffset>268919</wp:posOffset>
                </wp:positionV>
                <wp:extent cx="0" cy="4581427"/>
                <wp:effectExtent l="25400" t="0" r="25400" b="29210"/>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4581427"/>
                        </a:xfrm>
                        <a:prstGeom prst="line">
                          <a:avLst/>
                        </a:prstGeom>
                        <a:ln w="508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 o:spid="_x0000_s1029" style="mso-height-percent:0;mso-height-relative:margin;mso-width-percent:0;mso-width-relative:margin;mso-wrap-distance-bottom:0;mso-wrap-distance-left:9pt;mso-wrap-distance-right:9pt;mso-wrap-distance-top:0;mso-wrap-style:square;position:absolute;visibility:visible;z-index:251667456" from="241.9pt,21.15pt" to="241.9pt,381.9pt" strokecolor="white" strokeweight="4pt"/>
            </w:pict>
          </mc:Fallback>
        </mc:AlternateContent>
      </w:r>
      <w:r w:rsidR="004712DB">
        <w:rPr>
          <w:rFonts w:ascii="Tahoma" w:hAnsi="Tahoma" w:cs="Tahoma"/>
          <w:noProof/>
          <w:sz w:val="22"/>
          <w:szCs w:val="22"/>
          <w:rtl/>
          <w:lang w:val="he-IL"/>
        </w:rPr>
        <mc:AlternateContent>
          <mc:Choice Requires="wps">
            <w:drawing>
              <wp:anchor distT="0" distB="0" distL="114300" distR="114300" simplePos="0" relativeHeight="251668480" behindDoc="0" locked="0" layoutInCell="1" allowOverlap="1">
                <wp:simplePos x="0" y="0"/>
                <wp:positionH relativeFrom="column">
                  <wp:posOffset>-63500</wp:posOffset>
                </wp:positionH>
                <wp:positionV relativeFrom="paragraph">
                  <wp:posOffset>2006063</wp:posOffset>
                </wp:positionV>
                <wp:extent cx="3004428" cy="0"/>
                <wp:effectExtent l="12700" t="12700" r="5715" b="127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004428"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 o:spid="_x0000_s1030" style="flip:x;mso-height-percent:0;mso-height-relative:margin;mso-width-percent:0;mso-width-relative:margin;mso-wrap-distance-bottom:0;mso-wrap-distance-left:9pt;mso-wrap-distance-right:9pt;mso-wrap-distance-top:0;mso-wrap-style:square;position:absolute;visibility:visible;z-index:251669504" from="-5pt,157.95pt" to="231.55pt,157.95pt" strokecolor="white" strokeweight="1.5pt"/>
            </w:pict>
          </mc:Fallback>
        </mc:AlternateContent>
      </w:r>
      <w:r w:rsidR="00D04DF9" w:rsidRPr="0030415A">
        <w:rPr>
          <w:rFonts w:ascii="Tahoma" w:hAnsi="Tahoma" w:cs="Tahoma"/>
          <w:noProof/>
          <w:sz w:val="22"/>
          <w:szCs w:val="22"/>
          <w:rtl/>
        </w:rPr>
        <mc:AlternateContent>
          <mc:Choice Requires="wps">
            <w:drawing>
              <wp:anchor distT="45720" distB="45720" distL="114300" distR="114300" simplePos="0" relativeHeight="251662336" behindDoc="0" locked="0" layoutInCell="1" allowOverlap="1">
                <wp:simplePos x="0" y="0"/>
                <wp:positionH relativeFrom="column">
                  <wp:posOffset>-68580</wp:posOffset>
                </wp:positionH>
                <wp:positionV relativeFrom="paragraph">
                  <wp:posOffset>344805</wp:posOffset>
                </wp:positionV>
                <wp:extent cx="4542155" cy="4389120"/>
                <wp:effectExtent l="0" t="0" r="4445" b="5080"/>
                <wp:wrapSquare wrapText="bothSides"/>
                <wp:docPr id="13" name="Text Box 2" descr="בדיקה בדיקה בדיקה הנגשת שירותי ממשל בעידן הדיגיטלי לאנשים עם מוגבלות ולציבור שאינו משתמש במדיה הדיגיטלית.&#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2155" cy="4389120"/>
                        </a:xfrm>
                        <a:prstGeom prst="rect">
                          <a:avLst/>
                        </a:prstGeom>
                        <a:solidFill>
                          <a:srgbClr val="00305F"/>
                        </a:solidFill>
                        <a:ln w="9525">
                          <a:noFill/>
                          <a:miter lim="800000"/>
                          <a:headEnd/>
                          <a:tailEnd/>
                        </a:ln>
                      </wps:spPr>
                      <wps:txbx>
                        <w:txbxContent>
                          <w:p w:rsidR="00B14302" w:rsidRDefault="00B14302" w:rsidP="0052031E">
                            <w:pPr>
                              <w:ind w:left="2268"/>
                              <w:rPr>
                                <w:rFonts w:ascii="Tahoma" w:hAnsi="Tahoma" w:cs="Tahoma"/>
                                <w:sz w:val="18"/>
                                <w:szCs w:val="18"/>
                                <w:rtl/>
                              </w:rPr>
                            </w:pPr>
                          </w:p>
                          <w:p w:rsidR="00B14302" w:rsidRDefault="00B14302" w:rsidP="0052031E">
                            <w:pPr>
                              <w:ind w:left="2268"/>
                              <w:rPr>
                                <w:rFonts w:ascii="Tahoma" w:hAnsi="Tahoma" w:cs="Tahoma"/>
                                <w:sz w:val="18"/>
                                <w:szCs w:val="18"/>
                                <w:rtl/>
                              </w:rPr>
                            </w:pPr>
                          </w:p>
                          <w:p w:rsidR="00B14302" w:rsidRDefault="00DF6A0A" w:rsidP="004712DB">
                            <w:pPr>
                              <w:ind w:left="2268"/>
                              <w:jc w:val="left"/>
                            </w:pPr>
                            <w:r w:rsidRPr="00C8552C">
                              <w:rPr>
                                <w:rFonts w:ascii="Tahoma" w:hAnsi="Tahoma" w:cs="Tahoma"/>
                                <w:sz w:val="18"/>
                                <w:szCs w:val="18"/>
                                <w:rtl/>
                              </w:rPr>
                              <w:t>דוח מבקר המדינה</w:t>
                            </w:r>
                            <w:r>
                              <w:rPr>
                                <w:rFonts w:ascii="Tahoma" w:hAnsi="Tahoma" w:cs="Tahoma" w:hint="cs"/>
                                <w:sz w:val="18"/>
                                <w:szCs w:val="18"/>
                                <w:rtl/>
                              </w:rPr>
                              <w:t xml:space="preserve"> -</w:t>
                            </w:r>
                            <w:r w:rsidRPr="00C8552C">
                              <w:rPr>
                                <w:rFonts w:ascii="Tahoma" w:hAnsi="Tahoma" w:cs="Tahoma"/>
                                <w:sz w:val="18"/>
                                <w:szCs w:val="18"/>
                                <w:rtl/>
                              </w:rPr>
                              <w:t xml:space="preserve"> סייבר ומערכות מידע </w:t>
                            </w:r>
                            <w:r>
                              <w:rPr>
                                <w:rFonts w:ascii="Tahoma" w:hAnsi="Tahoma" w:cs="Tahoma"/>
                                <w:sz w:val="18"/>
                                <w:szCs w:val="18"/>
                                <w:rtl/>
                              </w:rPr>
                              <w:br/>
                            </w:r>
                            <w:r w:rsidRPr="00C8552C">
                              <w:rPr>
                                <w:rFonts w:ascii="Tahoma" w:hAnsi="Tahoma" w:cs="Tahoma"/>
                                <w:sz w:val="18"/>
                                <w:szCs w:val="18"/>
                                <w:rtl/>
                              </w:rPr>
                              <w:t>אייר התשפ"ג | מאי 2023</w:t>
                            </w:r>
                          </w:p>
                          <w:p w:rsidR="00B14302" w:rsidRPr="006D7F1E" w:rsidRDefault="00B14302" w:rsidP="0052031E">
                            <w:pPr>
                              <w:ind w:left="2268"/>
                              <w:rPr>
                                <w:rtl/>
                              </w:rPr>
                            </w:pPr>
                          </w:p>
                          <w:p w:rsidR="00B14302" w:rsidRDefault="00B14302" w:rsidP="0052031E">
                            <w:pPr>
                              <w:ind w:left="2268"/>
                              <w:rPr>
                                <w:rtl/>
                              </w:rPr>
                            </w:pPr>
                          </w:p>
                          <w:p w:rsidR="00B14302" w:rsidRDefault="00B14302" w:rsidP="0052031E">
                            <w:pPr>
                              <w:ind w:left="2268"/>
                              <w:rPr>
                                <w:rtl/>
                              </w:rPr>
                            </w:pPr>
                          </w:p>
                          <w:p w:rsidR="00B14302" w:rsidRPr="000A3ED4" w:rsidRDefault="00DF6A0A" w:rsidP="000F5023">
                            <w:pPr>
                              <w:pStyle w:val="-2"/>
                              <w:rPr>
                                <w:rtl/>
                              </w:rPr>
                            </w:pPr>
                            <w:r>
                              <w:rPr>
                                <w:rFonts w:hint="cs"/>
                                <w:rtl/>
                              </w:rPr>
                              <w:t xml:space="preserve">ביקורות מערכתיות </w:t>
                            </w:r>
                          </w:p>
                          <w:p w:rsidR="00B14302" w:rsidRPr="000F5023" w:rsidRDefault="00DF6A0A" w:rsidP="0072357A">
                            <w:pPr>
                              <w:pStyle w:val="affff5"/>
                              <w:bidi/>
                              <w:spacing w:before="120"/>
                              <w:rPr>
                                <w:rtl/>
                              </w:rPr>
                            </w:pPr>
                            <w:r w:rsidRPr="00447427">
                              <w:rPr>
                                <w:rtl/>
                              </w:rPr>
                              <w:t>הנגשת שירותי ממשל בעידן הדיגיטלי לאנשים עם מוגבלות ולציבור שאינו משתמש במדיה הדיגיטלית</w:t>
                            </w:r>
                            <w:r w:rsidRPr="00A15917">
                              <w:rPr>
                                <w:rtl/>
                              </w:rPr>
                              <w:t xml:space="preserve"> </w:t>
                            </w:r>
                          </w:p>
                          <w:p w:rsidR="00B14302" w:rsidRPr="000F5023" w:rsidRDefault="00B14302" w:rsidP="000F5023">
                            <w:pPr>
                              <w:pStyle w:val="affff5"/>
                              <w:bidi/>
                              <w:rPr>
                                <w:rt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alt="בדיקה בדיקה בדיקה הנגשת שירותי ממשל בעידן הדיגיטלי לאנשים עם מוגבלות ולציבור שאינו משתמש במדיה הדיגיטלית.&#10;" style="width:357.65pt;height:345.6pt;margin-top:27.15pt;margin-left:-5.4pt;mso-height-percent:0;mso-height-relative:margin;mso-width-percent:0;mso-width-relative:margin;mso-wrap-distance-bottom:3.6pt;mso-wrap-distance-left:9pt;mso-wrap-distance-right:9pt;mso-wrap-distance-top:3.6pt;mso-wrap-style:square;position:absolute;visibility:visible;v-text-anchor:top;z-index:251663360" fillcolor="#00305f" stroked="f">
                <v:textbox>
                  <w:txbxContent>
                    <w:p w:rsidR="00B14302" w:rsidP="0052031E">
                      <w:pPr>
                        <w:ind w:left="2268"/>
                        <w:rPr>
                          <w:rFonts w:ascii="Tahoma" w:hAnsi="Tahoma" w:cs="Tahoma"/>
                          <w:sz w:val="18"/>
                          <w:szCs w:val="18"/>
                          <w:rtl/>
                        </w:rPr>
                      </w:pPr>
                    </w:p>
                    <w:p w:rsidR="00B14302" w:rsidP="0052031E">
                      <w:pPr>
                        <w:ind w:left="2268"/>
                        <w:rPr>
                          <w:rFonts w:ascii="Tahoma" w:hAnsi="Tahoma" w:cs="Tahoma"/>
                          <w:sz w:val="18"/>
                          <w:szCs w:val="18"/>
                          <w:rtl/>
                        </w:rPr>
                      </w:pPr>
                    </w:p>
                    <w:p w:rsidR="00B14302" w:rsidP="004712DB">
                      <w:pPr>
                        <w:ind w:left="2268"/>
                        <w:jc w:val="left"/>
                      </w:pPr>
                      <w:r w:rsidRPr="00C8552C">
                        <w:rPr>
                          <w:rFonts w:ascii="Tahoma" w:hAnsi="Tahoma" w:cs="Tahoma"/>
                          <w:sz w:val="18"/>
                          <w:szCs w:val="18"/>
                          <w:rtl/>
                        </w:rPr>
                        <w:t>דוח מבקר המדינה</w:t>
                      </w:r>
                      <w:r>
                        <w:rPr>
                          <w:rFonts w:ascii="Tahoma" w:hAnsi="Tahoma" w:cs="Tahoma" w:hint="cs"/>
                          <w:sz w:val="18"/>
                          <w:szCs w:val="18"/>
                          <w:rtl/>
                        </w:rPr>
                        <w:t xml:space="preserve"> -</w:t>
                      </w:r>
                      <w:r w:rsidRPr="00C8552C">
                        <w:rPr>
                          <w:rFonts w:ascii="Tahoma" w:hAnsi="Tahoma" w:cs="Tahoma"/>
                          <w:sz w:val="18"/>
                          <w:szCs w:val="18"/>
                          <w:rtl/>
                        </w:rPr>
                        <w:t xml:space="preserve"> סייבר ומערכות מידע </w:t>
                      </w:r>
                      <w:r>
                        <w:rPr>
                          <w:rFonts w:ascii="Tahoma" w:hAnsi="Tahoma" w:cs="Tahoma"/>
                          <w:sz w:val="18"/>
                          <w:szCs w:val="18"/>
                          <w:rtl/>
                        </w:rPr>
                        <w:br/>
                      </w:r>
                      <w:r w:rsidRPr="00C8552C">
                        <w:rPr>
                          <w:rFonts w:ascii="Tahoma" w:hAnsi="Tahoma" w:cs="Tahoma"/>
                          <w:sz w:val="18"/>
                          <w:szCs w:val="18"/>
                          <w:rtl/>
                        </w:rPr>
                        <w:t>אייר התשפ"ג | מאי 2023</w:t>
                      </w:r>
                    </w:p>
                    <w:p w:rsidR="00B14302" w:rsidRPr="006D7F1E" w:rsidP="0052031E">
                      <w:pPr>
                        <w:ind w:left="2268"/>
                        <w:rPr>
                          <w:rtl/>
                        </w:rPr>
                      </w:pPr>
                    </w:p>
                    <w:p w:rsidR="00B14302" w:rsidP="0052031E">
                      <w:pPr>
                        <w:ind w:left="2268"/>
                        <w:rPr>
                          <w:rtl/>
                        </w:rPr>
                      </w:pPr>
                    </w:p>
                    <w:p w:rsidR="00B14302" w:rsidP="0052031E">
                      <w:pPr>
                        <w:ind w:left="2268"/>
                        <w:rPr>
                          <w:rtl/>
                        </w:rPr>
                      </w:pPr>
                    </w:p>
                    <w:p w:rsidR="00B14302" w:rsidRPr="000A3ED4" w:rsidP="000F5023">
                      <w:pPr>
                        <w:pStyle w:val="-2"/>
                        <w:rPr>
                          <w:rtl/>
                        </w:rPr>
                      </w:pPr>
                      <w:r>
                        <w:rPr>
                          <w:rFonts w:hint="cs"/>
                          <w:rtl/>
                        </w:rPr>
                        <w:t xml:space="preserve">ביקורות מערכתיות </w:t>
                      </w:r>
                    </w:p>
                    <w:p w:rsidR="00B14302" w:rsidRPr="000F5023" w:rsidP="0072357A">
                      <w:pPr>
                        <w:pStyle w:val="a35"/>
                        <w:bidi/>
                        <w:spacing w:before="120"/>
                        <w:rPr>
                          <w:rtl/>
                        </w:rPr>
                      </w:pPr>
                      <w:r w:rsidRPr="00447427">
                        <w:rPr>
                          <w:rtl/>
                        </w:rPr>
                        <w:t>הנגשת שירותי ממשל בעידן הדיגיטלי לאנשים עם מוגבלות ולציבור שאינו משתמש במדיה הדיגיטלית</w:t>
                      </w:r>
                      <w:r w:rsidRPr="00A15917">
                        <w:rPr>
                          <w:rtl/>
                        </w:rPr>
                        <w:t xml:space="preserve"> </w:t>
                      </w:r>
                    </w:p>
                    <w:p w:rsidR="00B14302" w:rsidRPr="000F5023" w:rsidP="000F5023">
                      <w:pPr>
                        <w:pStyle w:val="a35"/>
                        <w:bidi/>
                        <w:rPr>
                          <w:rtl/>
                        </w:rPr>
                      </w:pPr>
                    </w:p>
                  </w:txbxContent>
                </v:textbox>
                <w10:wrap type="square"/>
              </v:shape>
            </w:pict>
          </mc:Fallback>
        </mc:AlternateContent>
      </w:r>
      <w:r w:rsidR="006E08BF">
        <w:rPr>
          <w:rFonts w:ascii="Tahoma" w:hAnsi="Tahoma" w:cs="Tahoma"/>
          <w:noProof/>
          <w:sz w:val="22"/>
          <w:szCs w:val="22"/>
          <w:rtl/>
          <w:lang w:val="he-IL"/>
        </w:rPr>
        <w:drawing>
          <wp:anchor distT="0" distB="0" distL="114300" distR="114300" simplePos="0" relativeHeight="251665408" behindDoc="0" locked="0" layoutInCell="1" allowOverlap="1">
            <wp:simplePos x="0" y="0"/>
            <wp:positionH relativeFrom="column">
              <wp:posOffset>3257550</wp:posOffset>
            </wp:positionH>
            <wp:positionV relativeFrom="paragraph">
              <wp:posOffset>439420</wp:posOffset>
            </wp:positionV>
            <wp:extent cx="1010285" cy="707390"/>
            <wp:effectExtent l="0" t="0" r="0" b="0"/>
            <wp:wrapSquare wrapText="bothSides"/>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0285" cy="707390"/>
                    </a:xfrm>
                    <a:prstGeom prst="rect">
                      <a:avLst/>
                    </a:prstGeom>
                  </pic:spPr>
                </pic:pic>
              </a:graphicData>
            </a:graphic>
            <wp14:sizeRelH relativeFrom="margin">
              <wp14:pctWidth>0</wp14:pctWidth>
            </wp14:sizeRelH>
            <wp14:sizeRelV relativeFrom="margin">
              <wp14:pctHeight>0</wp14:pctHeight>
            </wp14:sizeRelV>
          </wp:anchor>
        </w:drawing>
      </w:r>
    </w:p>
    <w:p w:rsidR="003C32FE" w:rsidRDefault="003C32FE" w:rsidP="003C32FE">
      <w:pPr>
        <w:spacing w:line="240" w:lineRule="atLeast"/>
        <w:jc w:val="center"/>
        <w:rPr>
          <w:rFonts w:ascii="Tahoma" w:hAnsi="Tahoma" w:cs="Tahoma"/>
          <w:sz w:val="22"/>
          <w:szCs w:val="22"/>
          <w:rtl/>
        </w:rPr>
      </w:pPr>
    </w:p>
    <w:p w:rsidR="00E35DF9" w:rsidRPr="00406E80" w:rsidRDefault="00E35DF9" w:rsidP="008D2388">
      <w:pPr>
        <w:spacing w:line="240" w:lineRule="atLeast"/>
        <w:jc w:val="center"/>
        <w:rPr>
          <w:rFonts w:ascii="Tahoma" w:hAnsi="Tahoma" w:cs="Tahoma"/>
          <w:color w:val="C6D9F1"/>
          <w:sz w:val="22"/>
          <w:szCs w:val="22"/>
          <w:rtl/>
        </w:rPr>
      </w:pPr>
    </w:p>
    <w:p w:rsidR="008C0B8B" w:rsidRDefault="008C0B8B" w:rsidP="008D2388">
      <w:pPr>
        <w:spacing w:line="240" w:lineRule="atLeast"/>
        <w:jc w:val="center"/>
        <w:rPr>
          <w:rFonts w:ascii="Tahoma" w:hAnsi="Tahoma" w:cs="Tahoma"/>
          <w:sz w:val="22"/>
          <w:szCs w:val="22"/>
          <w:rtl/>
        </w:rPr>
      </w:pPr>
    </w:p>
    <w:p w:rsidR="008C0B8B" w:rsidRDefault="008C0B8B" w:rsidP="008D2388">
      <w:pPr>
        <w:spacing w:line="240" w:lineRule="atLeast"/>
        <w:jc w:val="center"/>
        <w:rPr>
          <w:rFonts w:ascii="Tahoma" w:hAnsi="Tahoma" w:cs="Tahoma"/>
          <w:sz w:val="22"/>
          <w:szCs w:val="22"/>
          <w:rtl/>
        </w:rPr>
      </w:pPr>
    </w:p>
    <w:p w:rsidR="00E35DF9" w:rsidRDefault="00E35DF9" w:rsidP="008D2388">
      <w:pPr>
        <w:spacing w:line="240" w:lineRule="atLeast"/>
        <w:jc w:val="center"/>
        <w:rPr>
          <w:rFonts w:ascii="Tahoma" w:hAnsi="Tahoma" w:cs="Tahoma"/>
          <w:sz w:val="22"/>
          <w:szCs w:val="22"/>
          <w:rtl/>
        </w:rPr>
      </w:pPr>
    </w:p>
    <w:p w:rsidR="00035688" w:rsidRDefault="00035688" w:rsidP="008D2388">
      <w:pPr>
        <w:spacing w:line="240" w:lineRule="atLeast"/>
        <w:jc w:val="center"/>
        <w:rPr>
          <w:rFonts w:ascii="Tahoma" w:hAnsi="Tahoma" w:cs="Tahoma"/>
          <w:sz w:val="22"/>
          <w:szCs w:val="22"/>
          <w:rtl/>
        </w:rPr>
        <w:sectPr w:rsidR="00035688" w:rsidSect="002970CC">
          <w:headerReference w:type="even" r:id="rId13"/>
          <w:headerReference w:type="default" r:id="rId14"/>
          <w:footerReference w:type="default" r:id="rId15"/>
          <w:pgSz w:w="11906" w:h="16838" w:code="9"/>
          <w:pgMar w:top="3062" w:right="2268" w:bottom="2552" w:left="2268" w:header="1134" w:footer="1361" w:gutter="0"/>
          <w:cols w:space="720"/>
          <w:titlePg/>
          <w:bidi/>
          <w:rtlGutter/>
          <w:docGrid w:linePitch="272"/>
        </w:sectPr>
      </w:pPr>
    </w:p>
    <w:p w:rsidR="00BF5BF6" w:rsidRDefault="00DF6A0A" w:rsidP="000E64A1">
      <w:pPr>
        <w:spacing w:line="240" w:lineRule="atLeast"/>
        <w:jc w:val="left"/>
        <w:rPr>
          <w:rFonts w:ascii="Tahoma" w:hAnsi="Tahoma" w:cs="Tahoma"/>
          <w:sz w:val="22"/>
          <w:szCs w:val="22"/>
          <w:rtl/>
        </w:rPr>
      </w:pPr>
      <w:r>
        <w:rPr>
          <w:rFonts w:ascii="Tahoma" w:hAnsi="Tahoma" w:cs="Tahoma"/>
          <w:noProof/>
          <w:sz w:val="22"/>
          <w:szCs w:val="22"/>
          <w:rtl/>
          <w:lang w:val="he-IL"/>
        </w:rPr>
        <w:lastRenderedPageBreak/>
        <mc:AlternateContent>
          <mc:Choice Requires="wps">
            <w:drawing>
              <wp:anchor distT="0" distB="0" distL="114300" distR="114300" simplePos="0" relativeHeight="251670528" behindDoc="0" locked="0" layoutInCell="1" allowOverlap="1">
                <wp:simplePos x="0" y="0"/>
                <wp:positionH relativeFrom="column">
                  <wp:posOffset>-1644831</wp:posOffset>
                </wp:positionH>
                <wp:positionV relativeFrom="paragraph">
                  <wp:posOffset>-1312727</wp:posOffset>
                </wp:positionV>
                <wp:extent cx="7601578" cy="1543050"/>
                <wp:effectExtent l="0" t="0" r="0" b="0"/>
                <wp:wrapNone/>
                <wp:docPr id="24" name="Rectangle 24"/>
                <wp:cNvGraphicFramePr/>
                <a:graphic xmlns:a="http://schemas.openxmlformats.org/drawingml/2006/main">
                  <a:graphicData uri="http://schemas.microsoft.com/office/word/2010/wordprocessingShape">
                    <wps:wsp>
                      <wps:cNvSpPr/>
                      <wps:spPr>
                        <a:xfrm flipV="1">
                          <a:off x="0" y="0"/>
                          <a:ext cx="7601578" cy="1543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2" style="width:598.55pt;height:121.5pt;margin-top:-103.35pt;margin-left:-129.5pt;flip:y;mso-height-percent:0;mso-height-relative:margin;mso-width-percent:0;mso-width-relative:margin;mso-wrap-distance-bottom:0;mso-wrap-distance-left:9pt;mso-wrap-distance-right:9pt;mso-wrap-distance-top:0;mso-wrap-style:square;position:absolute;visibility:visible;v-text-anchor:middle;z-index:251671552" fillcolor="white" stroked="f" strokeweight="1.25pt"/>
            </w:pict>
          </mc:Fallback>
        </mc:AlternateContent>
      </w:r>
    </w:p>
    <w:p w:rsidR="000E64A1" w:rsidRDefault="000E64A1" w:rsidP="000E64A1">
      <w:pPr>
        <w:jc w:val="left"/>
        <w:rPr>
          <w:rFonts w:ascii="Tahoma" w:hAnsi="Tahoma" w:cs="Tahoma"/>
          <w:sz w:val="22"/>
          <w:szCs w:val="22"/>
          <w:rtl/>
        </w:rPr>
        <w:sectPr w:rsidR="000E64A1" w:rsidSect="00DA022A">
          <w:headerReference w:type="even" r:id="rId16"/>
          <w:pgSz w:w="11906" w:h="16838" w:code="9"/>
          <w:pgMar w:top="3062" w:right="2268" w:bottom="2552" w:left="2268" w:header="709" w:footer="709" w:gutter="0"/>
          <w:pgNumType w:start="2"/>
          <w:cols w:space="720"/>
          <w:bidi/>
          <w:rtlGutter/>
          <w:docGrid w:linePitch="272"/>
        </w:sectPr>
      </w:pPr>
    </w:p>
    <w:p w:rsidR="00B93C72" w:rsidRPr="001F3363" w:rsidRDefault="00DF6A0A" w:rsidP="00BB0517">
      <w:pPr>
        <w:pStyle w:val="7320"/>
        <w:rPr>
          <w:rtl/>
        </w:rPr>
      </w:pPr>
      <w:r w:rsidRPr="001F3363">
        <w:rPr>
          <w:noProof/>
          <w:rtl/>
        </w:rPr>
        <w:lastRenderedPageBreak/>
        <w:drawing>
          <wp:anchor distT="0" distB="0" distL="114300" distR="114300" simplePos="0" relativeHeight="251674624" behindDoc="0" locked="0" layoutInCell="1" allowOverlap="1">
            <wp:simplePos x="0" y="0"/>
            <wp:positionH relativeFrom="column">
              <wp:posOffset>3298190</wp:posOffset>
            </wp:positionH>
            <wp:positionV relativeFrom="paragraph">
              <wp:posOffset>1118870</wp:posOffset>
            </wp:positionV>
            <wp:extent cx="1386840" cy="421640"/>
            <wp:effectExtent l="0" t="0" r="0" b="0"/>
            <wp:wrapTopAndBottom/>
            <wp:docPr id="12" name="Picture 12" descr="רק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6840" cy="421640"/>
                    </a:xfrm>
                    <a:prstGeom prst="rect">
                      <a:avLst/>
                    </a:prstGeom>
                  </pic:spPr>
                </pic:pic>
              </a:graphicData>
            </a:graphic>
          </wp:anchor>
        </w:drawing>
      </w:r>
      <w:r w:rsidR="006E4A31" w:rsidRPr="001F3363">
        <w:rPr>
          <w:noProof/>
          <w:rtl/>
        </w:rPr>
        <mc:AlternateContent>
          <mc:Choice Requires="wps">
            <w:drawing>
              <wp:anchor distT="0" distB="0" distL="114300" distR="114300" simplePos="0" relativeHeight="251675648" behindDoc="0" locked="0" layoutInCell="1" allowOverlap="1">
                <wp:simplePos x="0" y="0"/>
                <wp:positionH relativeFrom="column">
                  <wp:posOffset>-634268</wp:posOffset>
                </wp:positionH>
                <wp:positionV relativeFrom="paragraph">
                  <wp:posOffset>225393</wp:posOffset>
                </wp:positionV>
                <wp:extent cx="146685" cy="6585488"/>
                <wp:effectExtent l="0" t="0" r="5715" b="6350"/>
                <wp:wrapNone/>
                <wp:docPr id="21"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146685" cy="6585488"/>
                        </a:xfrm>
                        <a:prstGeom prst="rect">
                          <a:avLst/>
                        </a:prstGeom>
                        <a:solidFill>
                          <a:srgbClr val="00305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4" o:spid="_x0000_s1033" style="width:11.55pt;height:518.55pt;margin-top:17.75pt;margin-left:-49.95pt;flip:y;mso-height-percent:0;mso-height-relative:margin;mso-width-percent:0;mso-width-relative:margin;mso-wrap-distance-bottom:0;mso-wrap-distance-left:9pt;mso-wrap-distance-right:9pt;mso-wrap-distance-top:0;mso-wrap-style:square;position:absolute;visibility:visible;v-text-anchor:middle;z-index:251676672" fillcolor="#00305f" stroked="f" strokeweight="1.25pt"/>
            </w:pict>
          </mc:Fallback>
        </mc:AlternateContent>
      </w:r>
      <w:r w:rsidRPr="00CE5079">
        <w:rPr>
          <w:noProof/>
          <w:rtl/>
        </w:rPr>
        <w:t xml:space="preserve">הנגשת שירותי ממשל בעידן הדיגיטלי לאנשים עם מוגבלות ולציבור שאינו משתמש במדיה הדיגיטלית </w:t>
      </w:r>
    </w:p>
    <w:p w:rsidR="00A15917" w:rsidRDefault="00DF6A0A" w:rsidP="007F4A20">
      <w:pPr>
        <w:pStyle w:val="7392"/>
        <w:spacing w:before="360"/>
        <w:rPr>
          <w:rtl/>
        </w:rPr>
      </w:pPr>
      <w:r w:rsidRPr="003A76A8">
        <w:rPr>
          <w:rFonts w:hint="cs"/>
          <w:rtl/>
        </w:rPr>
        <w:t xml:space="preserve">גופי ממשל מספקים שירותים לציבור בערוצים שונים, ובהם בלשכות קבלת קהל, בשירות הטלפוני וכן בערוצים הדיגיטליים (אתרי המרשתת שלהם והאפליקציות). </w:t>
      </w:r>
      <w:r w:rsidRPr="003A76A8">
        <w:rPr>
          <w:rtl/>
        </w:rPr>
        <w:t>ההתפתחות הטכנולוגית בעולם הובילה לשימוש מוגבר של הציבור באמצעים דיגיטליים לצריכת מידע ושירותים וליצירת קשר עם גופים צ</w:t>
      </w:r>
      <w:r w:rsidRPr="003A76A8">
        <w:rPr>
          <w:rtl/>
        </w:rPr>
        <w:t>יבוריים</w:t>
      </w:r>
      <w:r w:rsidRPr="003A76A8">
        <w:rPr>
          <w:rFonts w:hint="cs"/>
          <w:rtl/>
        </w:rPr>
        <w:t xml:space="preserve"> באמצעות ערוצי השירות הדיגיטליים שלהם</w:t>
      </w:r>
      <w:r w:rsidRPr="003A76A8">
        <w:rPr>
          <w:rtl/>
        </w:rPr>
        <w:t xml:space="preserve">. שימוש בערוצים דיגיטליים מאפשר לממשל לייעל את השירות לציבור ולחסוך תשומות עבודה, מאחר שהעלות של פעולת שירות פרונטלית גבוהה פי 50 מן העלות של פעולת שירות דיגיטלית. </w:t>
      </w:r>
      <w:r w:rsidRPr="003A76A8">
        <w:rPr>
          <w:rFonts w:hint="cs"/>
          <w:rtl/>
        </w:rPr>
        <w:t>שימוש זה</w:t>
      </w:r>
      <w:r w:rsidRPr="003A76A8">
        <w:rPr>
          <w:rtl/>
        </w:rPr>
        <w:t xml:space="preserve"> מאפשר גם להפחית את הנטל הבירוקרטי המוטל</w:t>
      </w:r>
      <w:r w:rsidRPr="003A76A8">
        <w:rPr>
          <w:rtl/>
        </w:rPr>
        <w:t xml:space="preserve"> על הציבור, להפוך את השירות הממשלתי לזמין ונוח יותר ולאפשר לצרוך אותו מכל מקום ובכל זמן.</w:t>
      </w:r>
      <w:r w:rsidRPr="003A76A8">
        <w:rPr>
          <w:rFonts w:hint="cs"/>
          <w:rtl/>
        </w:rPr>
        <w:t xml:space="preserve"> </w:t>
      </w:r>
      <w:r w:rsidRPr="003A76A8">
        <w:rPr>
          <w:rtl/>
        </w:rPr>
        <w:t>חוק שוויון זכויות לאנשים עם מוגבלות, התשנ"ח-1998</w:t>
      </w:r>
      <w:r w:rsidRPr="003A76A8">
        <w:rPr>
          <w:rFonts w:hint="cs"/>
          <w:rtl/>
        </w:rPr>
        <w:t xml:space="preserve"> (החוק), והתקנות שהותקנו על פיו קובעים הוראות הנוגעות לנושא הנגשת השירות לאדם עם מוגבלות, לרבות השירות שניתן בערוצים הד</w:t>
      </w:r>
      <w:r w:rsidRPr="003A76A8">
        <w:rPr>
          <w:rFonts w:hint="cs"/>
          <w:rtl/>
        </w:rPr>
        <w:t xml:space="preserve">יגיטליים. על גופים שונים שמספקים שירותים לציבור, ובהם גופי ממשל, להנגיש את המידע והשירותים שהם מספקים לציבור בערוצים הדיגיטליים עבור אנשים עם מוגבלות מסוגים שונים. </w:t>
      </w:r>
      <w:r w:rsidRPr="003A76A8">
        <w:rPr>
          <w:rtl/>
        </w:rPr>
        <w:t>הנגשה מלאה ככל הניתן של השירות הממשלתי הדיגיטלי נחוצה לציבור בכללותו</w:t>
      </w:r>
      <w:r w:rsidRPr="003A76A8">
        <w:rPr>
          <w:rFonts w:hint="cs"/>
          <w:rtl/>
        </w:rPr>
        <w:t>,</w:t>
      </w:r>
      <w:r w:rsidRPr="003A76A8">
        <w:rPr>
          <w:rtl/>
        </w:rPr>
        <w:t xml:space="preserve"> ובפרט לאנשים עם מוגבלות</w:t>
      </w:r>
      <w:r w:rsidRPr="003A76A8">
        <w:rPr>
          <w:rFonts w:hint="cs"/>
          <w:rtl/>
        </w:rPr>
        <w:t>,</w:t>
      </w:r>
      <w:r>
        <w:rPr>
          <w:rtl/>
        </w:rPr>
        <w:t xml:space="preserve"> </w:t>
      </w:r>
      <w:r w:rsidRPr="003A76A8">
        <w:rPr>
          <w:rtl/>
        </w:rPr>
        <w:t>כדי שגם הם יוכלו לעשות ב</w:t>
      </w:r>
      <w:r w:rsidRPr="003A76A8">
        <w:rPr>
          <w:rFonts w:hint="cs"/>
          <w:rtl/>
        </w:rPr>
        <w:t>ו</w:t>
      </w:r>
      <w:r w:rsidRPr="003A76A8">
        <w:rPr>
          <w:rtl/>
        </w:rPr>
        <w:t xml:space="preserve"> שימוש באופן מכבד, שוויוני ועצמאי. הצורך </w:t>
      </w:r>
      <w:r w:rsidRPr="003A76A8">
        <w:rPr>
          <w:rFonts w:hint="cs"/>
          <w:rtl/>
        </w:rPr>
        <w:t xml:space="preserve">בהנגשת השירותים הדיגיטליים לציבור ובפרט לאנשים עם מוגבלות </w:t>
      </w:r>
      <w:r w:rsidRPr="003A76A8">
        <w:rPr>
          <w:rtl/>
        </w:rPr>
        <w:t>מקבל משנה חשיבות בתקופות חירום, כגון בעת מגפה כדוגמת מגפת הקורונה או מצב מלחמה, כיוון שאז הופך הערוץ הדיגי</w:t>
      </w:r>
      <w:r w:rsidRPr="003A76A8">
        <w:rPr>
          <w:rtl/>
        </w:rPr>
        <w:t>טלי לערוץ העיקרי שבו ניתן לקבל מידע ושירותים</w:t>
      </w:r>
      <w:r>
        <w:rPr>
          <w:rFonts w:hint="cs"/>
          <w:rtl/>
        </w:rPr>
        <w:t>.</w:t>
      </w:r>
    </w:p>
    <w:p w:rsidR="00A15917" w:rsidRDefault="00DF6A0A" w:rsidP="00A15917">
      <w:pPr>
        <w:pStyle w:val="7392"/>
        <w:rPr>
          <w:rtl/>
        </w:rPr>
      </w:pPr>
      <w:r w:rsidRPr="00A15917">
        <w:rPr>
          <w:rtl/>
        </w:rPr>
        <w:t>היבט נוסף שעל גופי הממשל להידרש אליו בעידן הנוכחי</w:t>
      </w:r>
      <w:r w:rsidRPr="00A15917">
        <w:rPr>
          <w:rFonts w:hint="cs"/>
          <w:rtl/>
        </w:rPr>
        <w:t>,</w:t>
      </w:r>
      <w:r w:rsidRPr="00A15917">
        <w:rPr>
          <w:rtl/>
        </w:rPr>
        <w:t xml:space="preserve"> המתאפיין בהרחבת השירותים הדיגיטליים, הוא הצורך לשמר ערוצי שירות שאינם דיגיטליים - שירות בלשכ</w:t>
      </w:r>
      <w:r w:rsidRPr="00A15917">
        <w:rPr>
          <w:rFonts w:hint="cs"/>
          <w:rtl/>
        </w:rPr>
        <w:t>ו</w:t>
      </w:r>
      <w:r w:rsidRPr="00A15917">
        <w:rPr>
          <w:rtl/>
        </w:rPr>
        <w:t>ת קבלת קהל, בטלפון ובדואר, כדי לאפשר גם לאנשים וקבוצות אוכלוסייה ש</w:t>
      </w:r>
      <w:r w:rsidRPr="00A15917">
        <w:rPr>
          <w:rtl/>
        </w:rPr>
        <w:t xml:space="preserve">ממעטים להשתמש במרשתת ולצרוך שירותי ממשל בערוצים הדיגיטליים, או אף נמנעים מכך, לקבל בצורה זמינה ונוחה את השירותים. </w:t>
      </w:r>
      <w:r w:rsidRPr="00A15917">
        <w:rPr>
          <w:rFonts w:hint="cs"/>
          <w:rtl/>
        </w:rPr>
        <w:t>בד בבד,</w:t>
      </w:r>
      <w:r w:rsidRPr="00A15917">
        <w:rPr>
          <w:rtl/>
        </w:rPr>
        <w:t xml:space="preserve"> חיוני שגופי הממשל יזהו את החסמים שמונעים מאותם אנשים להשתמש בערוצי השירות הדיגיטליים שלהם ויפעלו כדי להסיר חסמים אלה</w:t>
      </w:r>
      <w:r w:rsidRPr="00A15917">
        <w:rPr>
          <w:rFonts w:hint="cs"/>
          <w:rtl/>
        </w:rPr>
        <w:t xml:space="preserve"> עבורם</w:t>
      </w:r>
      <w:r w:rsidRPr="00A15917">
        <w:rPr>
          <w:rtl/>
        </w:rPr>
        <w:t xml:space="preserve"> או לכל הפחו</w:t>
      </w:r>
      <w:r w:rsidRPr="00A15917">
        <w:rPr>
          <w:rtl/>
        </w:rPr>
        <w:t>ת לצמצמם</w:t>
      </w:r>
      <w:r w:rsidR="0036097F" w:rsidRPr="00A15917">
        <w:rPr>
          <w:rFonts w:hint="cs"/>
          <w:rtl/>
        </w:rPr>
        <w:t>.</w:t>
      </w:r>
      <w:r w:rsidR="00B61DE7" w:rsidRPr="00A15917">
        <w:rPr>
          <w:rtl/>
        </w:rPr>
        <w:t xml:space="preserve"> </w:t>
      </w:r>
    </w:p>
    <w:p w:rsidR="00A15917" w:rsidRDefault="00DF6A0A">
      <w:pPr>
        <w:bidi w:val="0"/>
        <w:spacing w:after="200" w:line="276" w:lineRule="auto"/>
        <w:rPr>
          <w:rFonts w:ascii="Tahoma" w:hAnsi="Tahoma" w:cs="Tahoma"/>
          <w:color w:val="0D0D0D" w:themeColor="text1" w:themeTint="F2"/>
          <w:sz w:val="18"/>
          <w:szCs w:val="18"/>
          <w:rtl/>
        </w:rPr>
      </w:pPr>
      <w:r>
        <w:rPr>
          <w:rtl/>
        </w:rPr>
        <w:br w:type="page"/>
      </w:r>
    </w:p>
    <w:p w:rsidR="00027D0B" w:rsidRDefault="00DF6A0A" w:rsidP="00027D0B">
      <w:pPr>
        <w:tabs>
          <w:tab w:val="right" w:pos="7370"/>
        </w:tabs>
        <w:bidi w:val="0"/>
        <w:spacing w:after="200" w:line="276" w:lineRule="auto"/>
        <w:rPr>
          <w:rtl/>
        </w:rPr>
      </w:pPr>
      <w:r>
        <w:rPr>
          <w:noProof/>
          <w:rtl/>
          <w:lang w:val="he-IL"/>
        </w:rPr>
        <w:lastRenderedPageBreak/>
        <mc:AlternateContent>
          <mc:Choice Requires="wpg">
            <w:drawing>
              <wp:anchor distT="0" distB="0" distL="114300" distR="114300" simplePos="0" relativeHeight="251691008"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51" name="קבוצה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30" name="Picture 5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31" name="Text Box 2" descr="תרשים: אנשים עם מוגבלות בישראל, אומדנים תלת-שנתיים (2018 - 2020)"/>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A15917">
                                <w:rPr>
                                  <w:rFonts w:ascii="Tahoma" w:hAnsi="Tahoma" w:cs="Tahoma"/>
                                  <w:b/>
                                  <w:bCs/>
                                  <w:color w:val="FFFFFF" w:themeColor="background1"/>
                                  <w:spacing w:val="-4"/>
                                  <w:sz w:val="22"/>
                                  <w:szCs w:val="22"/>
                                  <w:rtl/>
                                </w:rPr>
                                <w:t>אנשים עם מוגבלות בישראל, אומדנים תלת-שנתיים</w:t>
                              </w:r>
                              <w:r>
                                <w:rPr>
                                  <w:rFonts w:ascii="Tahoma" w:hAnsi="Tahoma" w:cs="Tahoma"/>
                                  <w:b/>
                                  <w:bCs/>
                                  <w:color w:val="FFFFFF" w:themeColor="background1"/>
                                  <w:spacing w:val="-4"/>
                                  <w:sz w:val="22"/>
                                  <w:szCs w:val="22"/>
                                  <w:rtl/>
                                </w:rPr>
                                <w:br/>
                              </w:r>
                              <w:r w:rsidRPr="00A15917">
                                <w:rPr>
                                  <w:rFonts w:ascii="Tahoma" w:hAnsi="Tahoma" w:cs="Tahoma"/>
                                  <w:b/>
                                  <w:bCs/>
                                  <w:color w:val="FFFFFF" w:themeColor="background1"/>
                                  <w:spacing w:val="-4"/>
                                  <w:sz w:val="22"/>
                                  <w:szCs w:val="22"/>
                                  <w:rtl/>
                                </w:rPr>
                                <w:t>(2018 - 2020)</w:t>
                              </w:r>
                            </w:p>
                          </w:txbxContent>
                        </wps:txbx>
                        <wps:bodyPr rot="0" vert="horz" wrap="square" lIns="91440" tIns="45720" rIns="91440" bIns="45720" anchor="ctr" anchorCtr="0"/>
                      </wps:wsp>
                    </wpg:wgp>
                  </a:graphicData>
                </a:graphic>
              </wp:anchor>
            </w:drawing>
          </mc:Choice>
          <mc:Fallback>
            <w:pict>
              <v:group id="קבוצה 51" o:spid="_x0000_s1034" style="width:372.55pt;height:60.05pt;margin-top:-3.95pt;margin-left:-8.6pt;position:absolute;z-index:251692032" coordsize="47313,76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35" type="#_x0000_t75" style="width:47313;height:7626;mso-wrap-style:square;position:absolute;visibility:visible">
                  <v:imagedata r:id="rId19" o:title=""/>
                </v:shape>
                <v:shape id="_x0000_s1036" type="#_x0000_t202" alt="תרשים: אנשים עם מוגבלות בישראל, אומדנים תלת-שנתיים (2018 - 2020)"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A15917">
                          <w:rPr>
                            <w:rFonts w:ascii="Tahoma" w:hAnsi="Tahoma" w:cs="Tahoma"/>
                            <w:b/>
                            <w:bCs/>
                            <w:color w:val="FFFFFF" w:themeColor="background1"/>
                            <w:spacing w:val="-4"/>
                            <w:sz w:val="22"/>
                            <w:szCs w:val="22"/>
                            <w:rtl/>
                          </w:rPr>
                          <w:t>אנשים עם מוגבלות בישראל, אומדנים תלת-שנתיים</w:t>
                        </w:r>
                        <w:r>
                          <w:rPr>
                            <w:rFonts w:ascii="Tahoma" w:hAnsi="Tahoma" w:cs="Tahoma"/>
                            <w:b/>
                            <w:bCs/>
                            <w:color w:val="FFFFFF" w:themeColor="background1"/>
                            <w:spacing w:val="-4"/>
                            <w:sz w:val="22"/>
                            <w:szCs w:val="22"/>
                            <w:rtl/>
                          </w:rPr>
                          <w:br/>
                        </w:r>
                        <w:r w:rsidRPr="00A15917">
                          <w:rPr>
                            <w:rFonts w:ascii="Tahoma" w:hAnsi="Tahoma" w:cs="Tahoma"/>
                            <w:b/>
                            <w:bCs/>
                            <w:color w:val="FFFFFF" w:themeColor="background1"/>
                            <w:spacing w:val="-4"/>
                            <w:sz w:val="22"/>
                            <w:szCs w:val="22"/>
                            <w:rtl/>
                          </w:rPr>
                          <w:t>(2018 - 2020)</w:t>
                        </w:r>
                      </w:p>
                    </w:txbxContent>
                  </v:textbox>
                </v:shape>
              </v:group>
            </w:pict>
          </mc:Fallback>
        </mc:AlternateContent>
      </w:r>
      <w:r>
        <w:rPr>
          <w:rtl/>
        </w:rPr>
        <w:t xml:space="preserve"> </w:t>
      </w:r>
    </w:p>
    <w:p w:rsidR="00027D0B" w:rsidRDefault="00027D0B" w:rsidP="00027D0B">
      <w:pPr>
        <w:pStyle w:val="73f7"/>
        <w:rPr>
          <w:rtl/>
        </w:rPr>
      </w:pPr>
    </w:p>
    <w:p w:rsidR="00027D0B" w:rsidRDefault="00DF6A0A" w:rsidP="00027D0B">
      <w:pPr>
        <w:pStyle w:val="73f7"/>
        <w:rPr>
          <w:rtl/>
        </w:rPr>
      </w:pPr>
      <w:r>
        <w:rPr>
          <w:noProof/>
          <w:sz w:val="19"/>
          <w:szCs w:val="19"/>
        </w:rPr>
        <w:drawing>
          <wp:anchor distT="0" distB="0" distL="114300" distR="114300" simplePos="0" relativeHeight="251693056" behindDoc="0" locked="0" layoutInCell="1" allowOverlap="1">
            <wp:simplePos x="0" y="0"/>
            <wp:positionH relativeFrom="column">
              <wp:posOffset>-109855</wp:posOffset>
            </wp:positionH>
            <wp:positionV relativeFrom="paragraph">
              <wp:posOffset>264795</wp:posOffset>
            </wp:positionV>
            <wp:extent cx="4705350" cy="2563495"/>
            <wp:effectExtent l="0" t="0" r="0" b="1905"/>
            <wp:wrapTopAndBottom/>
            <wp:docPr id="1451066632" name="תמונה 1451066632" descr="על פי התרשים בישראל כ-1.6 מיליון אנשים עם מוגבלות, מהם 326,000 ילדים עד גיל 18, שהם 20% מהאנשים עם מוגבלות וכ-11% מהילדים בישראל; 751,000 בני 18 - 64, שהם 47% מהאנשים עם מוגבלות וכ-16% מהאנשים בקבוצת הגיל; 525,000 בני 65 ומעלה, שהם 33% מהאנשים עם מוגבלות וכ-47% מהאנשים מקבוצת הגיל הז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2" name="תמונה 1451066632"/>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705350" cy="2563495"/>
                    </a:xfrm>
                    <a:prstGeom prst="rect">
                      <a:avLst/>
                    </a:prstGeom>
                    <a:noFill/>
                  </pic:spPr>
                </pic:pic>
              </a:graphicData>
            </a:graphic>
            <wp14:sizeRelH relativeFrom="page">
              <wp14:pctWidth>0</wp14:pctWidth>
            </wp14:sizeRelH>
            <wp14:sizeRelV relativeFrom="page">
              <wp14:pctHeight>0</wp14:pctHeight>
            </wp14:sizeRelV>
          </wp:anchor>
        </w:drawing>
      </w:r>
    </w:p>
    <w:p w:rsidR="00027D0B" w:rsidRDefault="00DF6A0A" w:rsidP="00027D0B">
      <w:pPr>
        <w:pStyle w:val="73e"/>
        <w:spacing w:before="360" w:after="0"/>
        <w:rPr>
          <w:b/>
          <w:bCs/>
          <w:noProof/>
          <w:color w:val="FFFFFF" w:themeColor="background1"/>
          <w:sz w:val="22"/>
          <w:szCs w:val="22"/>
        </w:rPr>
      </w:pPr>
      <w:r w:rsidRPr="006203E3">
        <w:rPr>
          <w:rFonts w:hint="cs"/>
          <w:rtl/>
        </w:rPr>
        <w:t>על</w:t>
      </w:r>
      <w:r w:rsidRPr="006203E3">
        <w:rPr>
          <w:rtl/>
        </w:rPr>
        <w:t xml:space="preserve"> </w:t>
      </w:r>
      <w:r w:rsidRPr="006203E3">
        <w:rPr>
          <w:rFonts w:hint="cs"/>
          <w:rtl/>
        </w:rPr>
        <w:t>פי</w:t>
      </w:r>
      <w:r w:rsidRPr="006203E3">
        <w:rPr>
          <w:rtl/>
        </w:rPr>
        <w:t xml:space="preserve"> </w:t>
      </w:r>
      <w:r w:rsidRPr="006203E3">
        <w:rPr>
          <w:rFonts w:hint="cs"/>
          <w:rtl/>
        </w:rPr>
        <w:t>נתוני</w:t>
      </w:r>
      <w:r w:rsidRPr="006203E3">
        <w:rPr>
          <w:rtl/>
        </w:rPr>
        <w:t xml:space="preserve"> </w:t>
      </w:r>
      <w:r w:rsidRPr="006203E3">
        <w:rPr>
          <w:rFonts w:hint="cs"/>
          <w:rtl/>
        </w:rPr>
        <w:t>מאיירס</w:t>
      </w:r>
      <w:r w:rsidRPr="006203E3">
        <w:rPr>
          <w:rtl/>
        </w:rPr>
        <w:t xml:space="preserve"> </w:t>
      </w:r>
      <w:r w:rsidRPr="006203E3">
        <w:rPr>
          <w:rFonts w:hint="cs"/>
          <w:rtl/>
        </w:rPr>
        <w:t>ג</w:t>
      </w:r>
      <w:r w:rsidR="00CE5079" w:rsidRPr="006203E3">
        <w:rPr>
          <w:rtl/>
        </w:rPr>
        <w:t>'</w:t>
      </w:r>
      <w:r w:rsidRPr="006203E3">
        <w:rPr>
          <w:rFonts w:hint="cs"/>
          <w:rtl/>
        </w:rPr>
        <w:t>וינט</w:t>
      </w:r>
      <w:r w:rsidRPr="006203E3">
        <w:rPr>
          <w:rtl/>
        </w:rPr>
        <w:t xml:space="preserve"> </w:t>
      </w:r>
      <w:r w:rsidRPr="006203E3">
        <w:rPr>
          <w:rFonts w:hint="cs"/>
          <w:rtl/>
        </w:rPr>
        <w:t>ברוקדייל</w:t>
      </w:r>
      <w:r w:rsidRPr="006203E3">
        <w:rPr>
          <w:rtl/>
        </w:rPr>
        <w:t xml:space="preserve">, </w:t>
      </w:r>
      <w:r w:rsidRPr="006203E3">
        <w:rPr>
          <w:rFonts w:hint="cs"/>
          <w:rtl/>
        </w:rPr>
        <w:t>בעיבוד</w:t>
      </w:r>
      <w:r w:rsidRPr="006203E3">
        <w:rPr>
          <w:rtl/>
        </w:rPr>
        <w:t xml:space="preserve"> </w:t>
      </w:r>
      <w:r w:rsidRPr="006203E3">
        <w:rPr>
          <w:rFonts w:hint="cs"/>
          <w:rtl/>
        </w:rPr>
        <w:t>משרד</w:t>
      </w:r>
      <w:r w:rsidRPr="006203E3">
        <w:rPr>
          <w:rtl/>
        </w:rPr>
        <w:t xml:space="preserve"> </w:t>
      </w:r>
      <w:r w:rsidRPr="006203E3">
        <w:rPr>
          <w:rFonts w:hint="cs"/>
          <w:rtl/>
        </w:rPr>
        <w:t>מבקר</w:t>
      </w:r>
      <w:r w:rsidRPr="006203E3">
        <w:rPr>
          <w:rtl/>
        </w:rPr>
        <w:t xml:space="preserve"> </w:t>
      </w:r>
      <w:r w:rsidRPr="006203E3">
        <w:rPr>
          <w:rFonts w:hint="cs"/>
          <w:rtl/>
        </w:rPr>
        <w:t>המדינה</w:t>
      </w:r>
      <w:r w:rsidRPr="00BE0973">
        <w:rPr>
          <w:rFonts w:hint="cs"/>
          <w:rtl/>
        </w:rPr>
        <w:t>.</w:t>
      </w:r>
    </w:p>
    <w:p w:rsidR="00027D0B" w:rsidRDefault="00DF6A0A">
      <w:pPr>
        <w:bidi w:val="0"/>
        <w:spacing w:after="200" w:line="276" w:lineRule="auto"/>
        <w:rPr>
          <w:rFonts w:ascii="Tahoma" w:hAnsi="Tahoma" w:cs="Tahoma"/>
          <w:color w:val="0D0D0D" w:themeColor="text1" w:themeTint="F2"/>
          <w:sz w:val="18"/>
          <w:szCs w:val="18"/>
        </w:rPr>
      </w:pPr>
      <w:r>
        <w:rPr>
          <w:rtl/>
        </w:rPr>
        <w:br w:type="page"/>
      </w:r>
    </w:p>
    <w:p w:rsidR="00027D0B" w:rsidRDefault="00DF6A0A" w:rsidP="00027D0B">
      <w:pPr>
        <w:tabs>
          <w:tab w:val="right" w:pos="7370"/>
        </w:tabs>
        <w:bidi w:val="0"/>
        <w:spacing w:after="200" w:line="276" w:lineRule="auto"/>
        <w:rPr>
          <w:rtl/>
        </w:rPr>
      </w:pPr>
      <w:r>
        <w:rPr>
          <w:noProof/>
          <w:rtl/>
          <w:lang w:val="he-IL"/>
        </w:rPr>
        <w:lastRenderedPageBreak/>
        <mc:AlternateContent>
          <mc:Choice Requires="wpg">
            <w:drawing>
              <wp:anchor distT="0" distB="0" distL="114300" distR="114300" simplePos="0" relativeHeight="251694080"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1451066633" name="קבוצה 14510666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34" name="Picture 5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35" name="Text Box 2" descr="תרשים: סוגי המוגבלויות הדורשות הנגשה דיגיטלית וההנגשות העיקריות שניתן לספק"/>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A15917">
                                <w:rPr>
                                  <w:rFonts w:ascii="Tahoma" w:hAnsi="Tahoma" w:cs="Tahoma"/>
                                  <w:b/>
                                  <w:bCs/>
                                  <w:color w:val="FFFFFF" w:themeColor="background1"/>
                                  <w:spacing w:val="-4"/>
                                  <w:sz w:val="22"/>
                                  <w:szCs w:val="22"/>
                                  <w:rtl/>
                                </w:rPr>
                                <w:t>סוגי המוגבלויות הדורשות הנגשה דיגיטלית וההנגשות העיקריות שניתן לספק</w:t>
                              </w:r>
                            </w:p>
                          </w:txbxContent>
                        </wps:txbx>
                        <wps:bodyPr rot="0" vert="horz" wrap="square" lIns="91440" tIns="45720" rIns="91440" bIns="45720" anchor="ctr" anchorCtr="0"/>
                      </wps:wsp>
                    </wpg:wgp>
                  </a:graphicData>
                </a:graphic>
              </wp:anchor>
            </w:drawing>
          </mc:Choice>
          <mc:Fallback>
            <w:pict>
              <v:group id="קבוצה 1451066633" o:spid="_x0000_s1037" style="width:372.55pt;height:60.05pt;margin-top:-3.95pt;margin-left:-8.6pt;position:absolute;z-index:251695104" coordsize="47313,7626">
                <v:shape id="Picture 54" o:spid="_x0000_s1038" type="#_x0000_t75" style="width:47313;height:7626;mso-wrap-style:square;position:absolute;visibility:visible">
                  <v:imagedata r:id="rId19" o:title=""/>
                </v:shape>
                <v:shape id="_x0000_s1039" type="#_x0000_t202" alt="תרשים: סוגי המוגבלויות הדורשות הנגשה דיגיטלית וההנגשות העיקריות שניתן לספק"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A15917">
                          <w:rPr>
                            <w:rFonts w:ascii="Tahoma" w:hAnsi="Tahoma" w:cs="Tahoma"/>
                            <w:b/>
                            <w:bCs/>
                            <w:color w:val="FFFFFF" w:themeColor="background1"/>
                            <w:spacing w:val="-4"/>
                            <w:sz w:val="22"/>
                            <w:szCs w:val="22"/>
                            <w:rtl/>
                          </w:rPr>
                          <w:t>סוגי המוגבלויות הדורשות הנגשה דיגיטלית וההנגשות העיקריות שניתן לספק</w:t>
                        </w:r>
                      </w:p>
                    </w:txbxContent>
                  </v:textbox>
                </v:shape>
              </v:group>
            </w:pict>
          </mc:Fallback>
        </mc:AlternateContent>
      </w:r>
      <w:r>
        <w:rPr>
          <w:rtl/>
        </w:rPr>
        <w:t xml:space="preserve"> </w:t>
      </w:r>
    </w:p>
    <w:p w:rsidR="00027D0B" w:rsidRDefault="00027D0B" w:rsidP="00027D0B">
      <w:pPr>
        <w:pStyle w:val="73f7"/>
        <w:rPr>
          <w:rtl/>
        </w:rPr>
      </w:pPr>
    </w:p>
    <w:p w:rsidR="00027D0B" w:rsidRDefault="00DF6A0A" w:rsidP="00027D0B">
      <w:pPr>
        <w:pStyle w:val="73f7"/>
        <w:rPr>
          <w:rtl/>
        </w:rPr>
      </w:pPr>
      <w:r>
        <w:rPr>
          <w:noProof/>
          <w:sz w:val="19"/>
          <w:szCs w:val="19"/>
        </w:rPr>
        <w:drawing>
          <wp:anchor distT="0" distB="0" distL="114300" distR="114300" simplePos="0" relativeHeight="251696128" behindDoc="0" locked="0" layoutInCell="1" allowOverlap="1">
            <wp:simplePos x="0" y="0"/>
            <wp:positionH relativeFrom="column">
              <wp:posOffset>-60960</wp:posOffset>
            </wp:positionH>
            <wp:positionV relativeFrom="paragraph">
              <wp:posOffset>317500</wp:posOffset>
            </wp:positionV>
            <wp:extent cx="4752340" cy="5849620"/>
            <wp:effectExtent l="0" t="0" r="0" b="5080"/>
            <wp:wrapTopAndBottom/>
            <wp:docPr id="1451066636" name="תמונה 1451066636" descr="התרשים מציג איורים שמתארים סוגי מוגבלויות וכן סוגי הנגשות שניתן לספק, למשל איור שמסמל מוגבלות ראייה ואיורים שמסמלים צג ברייל ומנוע דיבור. סוגי המוגבלויות המוצגים הם ראייה, שמיעה, מוגבלות פיזית (כגון מוגבלות בשימוש בידיים) וכן מוגבלות על רקע נפשי, שכלי, תקשורתי או בשל לקויות למידה.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36" name="תמונה 1451066636"/>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752340" cy="5849620"/>
                    </a:xfrm>
                    <a:prstGeom prst="rect">
                      <a:avLst/>
                    </a:prstGeom>
                    <a:noFill/>
                  </pic:spPr>
                </pic:pic>
              </a:graphicData>
            </a:graphic>
            <wp14:sizeRelH relativeFrom="page">
              <wp14:pctWidth>0</wp14:pctWidth>
            </wp14:sizeRelH>
            <wp14:sizeRelV relativeFrom="page">
              <wp14:pctHeight>0</wp14:pctHeight>
            </wp14:sizeRelV>
          </wp:anchor>
        </w:drawing>
      </w:r>
    </w:p>
    <w:p w:rsidR="00027D0B" w:rsidRDefault="00027D0B" w:rsidP="00027D0B">
      <w:pPr>
        <w:pStyle w:val="73e"/>
        <w:spacing w:before="360" w:after="0"/>
        <w:rPr>
          <w:b/>
          <w:bCs/>
          <w:noProof/>
          <w:color w:val="FFFFFF" w:themeColor="background1"/>
          <w:sz w:val="22"/>
          <w:szCs w:val="22"/>
        </w:rPr>
      </w:pPr>
    </w:p>
    <w:p w:rsidR="005D0F8C" w:rsidRDefault="00DF6A0A" w:rsidP="002D79AA">
      <w:pPr>
        <w:pStyle w:val="7392"/>
        <w:spacing w:before="360" w:line="240" w:lineRule="auto"/>
        <w:rPr>
          <w:b/>
          <w:bCs/>
          <w:color w:val="00305F"/>
          <w:sz w:val="32"/>
          <w:szCs w:val="32"/>
          <w:rtl/>
        </w:rPr>
      </w:pPr>
      <w:r w:rsidRPr="001F3363">
        <w:rPr>
          <w:noProof/>
          <w:rtl/>
        </w:rPr>
        <w:lastRenderedPageBreak/>
        <w:drawing>
          <wp:inline distT="0" distB="0" distL="0" distR="0">
            <wp:extent cx="1405255" cy="431800"/>
            <wp:effectExtent l="0" t="0" r="4445" b="6350"/>
            <wp:docPr id="6" name="Picture 6" descr="נתוני מפת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5255" cy="431800"/>
                    </a:xfrm>
                    <a:prstGeom prst="rect">
                      <a:avLst/>
                    </a:prstGeom>
                  </pic:spPr>
                </pic:pic>
              </a:graphicData>
            </a:graphic>
          </wp:inline>
        </w:drawing>
      </w:r>
    </w:p>
    <w:tbl>
      <w:tblPr>
        <w:tblStyle w:val="a9"/>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237"/>
        <w:gridCol w:w="1530"/>
        <w:gridCol w:w="237"/>
        <w:gridCol w:w="1697"/>
        <w:gridCol w:w="268"/>
        <w:gridCol w:w="1685"/>
      </w:tblGrid>
      <w:tr w:rsidR="007758ED" w:rsidTr="00F465DF">
        <w:tc>
          <w:tcPr>
            <w:tcW w:w="1164" w:type="pct"/>
            <w:tcBorders>
              <w:bottom w:val="single" w:sz="12" w:space="0" w:color="000000" w:themeColor="text1"/>
            </w:tcBorders>
            <w:vAlign w:val="bottom"/>
          </w:tcPr>
          <w:p w:rsidR="00420374" w:rsidRPr="004562F8" w:rsidRDefault="00DF6A0A" w:rsidP="00937056">
            <w:pPr>
              <w:spacing w:after="60" w:line="240" w:lineRule="auto"/>
              <w:rPr>
                <w:b/>
                <w:bCs/>
                <w:spacing w:val="-28"/>
                <w:rtl/>
              </w:rPr>
            </w:pPr>
            <w:r>
              <w:rPr>
                <w:rFonts w:ascii="Tahoma" w:eastAsiaTheme="minorEastAsia" w:hAnsi="Tahoma" w:cs="Tahoma" w:hint="cs"/>
                <w:b/>
                <w:bCs/>
                <w:color w:val="0D0D0D" w:themeColor="text1" w:themeTint="F2"/>
                <w:spacing w:val="-10"/>
                <w:sz w:val="36"/>
                <w:szCs w:val="36"/>
                <w:rtl/>
              </w:rPr>
              <w:t xml:space="preserve">57% </w:t>
            </w:r>
          </w:p>
        </w:tc>
        <w:tc>
          <w:tcPr>
            <w:tcW w:w="161" w:type="pct"/>
            <w:vAlign w:val="bottom"/>
          </w:tcPr>
          <w:p w:rsidR="00420374" w:rsidRDefault="00420374" w:rsidP="00937056">
            <w:pPr>
              <w:spacing w:before="120" w:after="60" w:line="240" w:lineRule="auto"/>
              <w:rPr>
                <w:rtl/>
              </w:rPr>
            </w:pPr>
          </w:p>
        </w:tc>
        <w:tc>
          <w:tcPr>
            <w:tcW w:w="1038" w:type="pct"/>
            <w:tcBorders>
              <w:bottom w:val="single" w:sz="12" w:space="0" w:color="000000" w:themeColor="text1"/>
            </w:tcBorders>
            <w:vAlign w:val="bottom"/>
          </w:tcPr>
          <w:p w:rsidR="00420374" w:rsidRPr="005C7ABF" w:rsidRDefault="00DF6A0A" w:rsidP="00937056">
            <w:pPr>
              <w:pStyle w:val="2021"/>
              <w:spacing w:before="0" w:after="60"/>
              <w:rPr>
                <w:spacing w:val="-10"/>
                <w:rtl/>
              </w:rPr>
            </w:pPr>
            <w:r>
              <w:rPr>
                <w:rFonts w:hint="cs"/>
                <w:spacing w:val="-10"/>
                <w:rtl/>
              </w:rPr>
              <w:t xml:space="preserve">43% </w:t>
            </w:r>
          </w:p>
        </w:tc>
        <w:tc>
          <w:tcPr>
            <w:tcW w:w="161" w:type="pct"/>
            <w:vAlign w:val="bottom"/>
          </w:tcPr>
          <w:p w:rsidR="00420374" w:rsidRDefault="00420374" w:rsidP="00937056">
            <w:pPr>
              <w:spacing w:before="120" w:after="60" w:line="240" w:lineRule="auto"/>
              <w:rPr>
                <w:rtl/>
              </w:rPr>
            </w:pPr>
          </w:p>
        </w:tc>
        <w:tc>
          <w:tcPr>
            <w:tcW w:w="1151" w:type="pct"/>
            <w:tcBorders>
              <w:bottom w:val="single" w:sz="12" w:space="0" w:color="000000" w:themeColor="text1"/>
            </w:tcBorders>
            <w:vAlign w:val="bottom"/>
          </w:tcPr>
          <w:p w:rsidR="00420374" w:rsidRPr="00340353" w:rsidRDefault="00DF6A0A" w:rsidP="00937056">
            <w:pPr>
              <w:pStyle w:val="2021"/>
              <w:spacing w:before="0" w:after="60"/>
              <w:rPr>
                <w:b w:val="0"/>
                <w:bCs w:val="0"/>
                <w:spacing w:val="-20"/>
                <w:sz w:val="24"/>
                <w:rtl/>
              </w:rPr>
            </w:pPr>
            <w:r w:rsidRPr="00F465DF">
              <w:rPr>
                <w:rFonts w:hint="cs"/>
                <w:spacing w:val="-10"/>
                <w:sz w:val="26"/>
                <w:szCs w:val="26"/>
                <w:rtl/>
              </w:rPr>
              <w:t>ב-</w:t>
            </w:r>
            <w:r>
              <w:rPr>
                <w:rFonts w:hint="cs"/>
                <w:spacing w:val="-10"/>
                <w:rtl/>
              </w:rPr>
              <w:t xml:space="preserve">100% </w:t>
            </w:r>
          </w:p>
        </w:tc>
        <w:tc>
          <w:tcPr>
            <w:tcW w:w="182" w:type="pct"/>
          </w:tcPr>
          <w:p w:rsidR="00420374" w:rsidRDefault="00420374" w:rsidP="00937056">
            <w:pPr>
              <w:pStyle w:val="2021"/>
              <w:spacing w:before="0" w:after="60"/>
              <w:rPr>
                <w:spacing w:val="-10"/>
                <w:rtl/>
              </w:rPr>
            </w:pPr>
          </w:p>
        </w:tc>
        <w:tc>
          <w:tcPr>
            <w:tcW w:w="1143" w:type="pct"/>
            <w:tcBorders>
              <w:bottom w:val="single" w:sz="12" w:space="0" w:color="000000" w:themeColor="text1"/>
            </w:tcBorders>
            <w:vAlign w:val="bottom"/>
          </w:tcPr>
          <w:p w:rsidR="00420374" w:rsidRDefault="00DF6A0A" w:rsidP="00937056">
            <w:pPr>
              <w:pStyle w:val="2021"/>
              <w:spacing w:before="0" w:after="60"/>
              <w:rPr>
                <w:spacing w:val="-10"/>
                <w:rtl/>
              </w:rPr>
            </w:pPr>
            <w:r w:rsidRPr="00F465DF">
              <w:rPr>
                <w:rFonts w:hint="cs"/>
                <w:spacing w:val="-10"/>
                <w:sz w:val="26"/>
                <w:szCs w:val="26"/>
                <w:rtl/>
              </w:rPr>
              <w:t>כ-</w:t>
            </w:r>
            <w:r>
              <w:rPr>
                <w:rFonts w:hint="cs"/>
                <w:spacing w:val="-10"/>
                <w:rtl/>
              </w:rPr>
              <w:t xml:space="preserve">50% </w:t>
            </w:r>
          </w:p>
        </w:tc>
      </w:tr>
      <w:tr w:rsidR="007758ED" w:rsidTr="00F465DF">
        <w:tc>
          <w:tcPr>
            <w:tcW w:w="1164" w:type="pct"/>
            <w:tcBorders>
              <w:top w:val="single" w:sz="12" w:space="0" w:color="000000" w:themeColor="text1"/>
            </w:tcBorders>
          </w:tcPr>
          <w:p w:rsidR="00F465DF" w:rsidRPr="00E52143" w:rsidRDefault="00DF6A0A" w:rsidP="00F465DF">
            <w:pPr>
              <w:pStyle w:val="732021"/>
              <w:spacing w:before="0"/>
              <w:rPr>
                <w:rtl/>
              </w:rPr>
            </w:pPr>
            <w:r w:rsidRPr="0041171D">
              <w:rPr>
                <w:rtl/>
              </w:rPr>
              <w:t xml:space="preserve">מ-23 גופי ממשל שהשתתפו בסקר </w:t>
            </w:r>
            <w:r w:rsidRPr="00093B1C">
              <w:rPr>
                <w:rtl/>
              </w:rPr>
              <w:t>ש</w:t>
            </w:r>
            <w:r w:rsidRPr="0035512A">
              <w:rPr>
                <w:rtl/>
              </w:rPr>
              <w:t>עשה</w:t>
            </w:r>
            <w:r>
              <w:rPr>
                <w:rFonts w:hint="cs"/>
                <w:rtl/>
              </w:rPr>
              <w:t xml:space="preserve"> משרד</w:t>
            </w:r>
            <w:r w:rsidRPr="0041171D">
              <w:rPr>
                <w:rtl/>
              </w:rPr>
              <w:t xml:space="preserve"> מבקר המדינה (1</w:t>
            </w:r>
            <w:r>
              <w:rPr>
                <w:rFonts w:hint="cs"/>
                <w:rtl/>
              </w:rPr>
              <w:t>3</w:t>
            </w:r>
            <w:r w:rsidRPr="0041171D">
              <w:rPr>
                <w:rtl/>
              </w:rPr>
              <w:t xml:space="preserve"> גופים) </w:t>
            </w:r>
            <w:r>
              <w:rPr>
                <w:rFonts w:hint="cs"/>
                <w:rtl/>
              </w:rPr>
              <w:t xml:space="preserve">דיווחו כי </w:t>
            </w:r>
            <w:r w:rsidRPr="0041171D">
              <w:rPr>
                <w:rtl/>
              </w:rPr>
              <w:t xml:space="preserve">לא הנגישו את כל התכנים והשירותים שנדרש להנגיש באתר המרשתת </w:t>
            </w:r>
            <w:r>
              <w:rPr>
                <w:rFonts w:hint="cs"/>
                <w:rtl/>
              </w:rPr>
              <w:t xml:space="preserve">הראשי </w:t>
            </w:r>
            <w:r>
              <w:rPr>
                <w:rtl/>
              </w:rPr>
              <w:t>שלהם המספק מידע ושירות לציבור</w:t>
            </w:r>
          </w:p>
        </w:tc>
        <w:tc>
          <w:tcPr>
            <w:tcW w:w="161" w:type="pct"/>
          </w:tcPr>
          <w:p w:rsidR="00F465DF" w:rsidRPr="00E52143" w:rsidRDefault="00F465DF" w:rsidP="00F465DF">
            <w:pPr>
              <w:pStyle w:val="732021"/>
              <w:spacing w:before="0"/>
              <w:rPr>
                <w:rtl/>
              </w:rPr>
            </w:pPr>
          </w:p>
        </w:tc>
        <w:tc>
          <w:tcPr>
            <w:tcW w:w="1038" w:type="pct"/>
            <w:tcBorders>
              <w:top w:val="single" w:sz="12" w:space="0" w:color="000000" w:themeColor="text1"/>
            </w:tcBorders>
          </w:tcPr>
          <w:p w:rsidR="00F465DF" w:rsidRPr="00E52143" w:rsidRDefault="00DF6A0A" w:rsidP="00F465DF">
            <w:pPr>
              <w:pStyle w:val="732021"/>
              <w:spacing w:before="0"/>
              <w:rPr>
                <w:rtl/>
              </w:rPr>
            </w:pPr>
            <w:r w:rsidRPr="003A76A8">
              <w:rPr>
                <w:rtl/>
              </w:rPr>
              <w:t>מ</w:t>
            </w:r>
            <w:r w:rsidRPr="003A76A8">
              <w:rPr>
                <w:rFonts w:hint="cs"/>
                <w:rtl/>
              </w:rPr>
              <w:t>-</w:t>
            </w:r>
            <w:r w:rsidRPr="003A76A8">
              <w:rPr>
                <w:rtl/>
              </w:rPr>
              <w:t xml:space="preserve">23 גופים ממשלתיים שהשתתפו בסקר שעשה </w:t>
            </w:r>
            <w:r w:rsidRPr="003A76A8">
              <w:rPr>
                <w:rFonts w:hint="cs"/>
                <w:rtl/>
              </w:rPr>
              <w:t xml:space="preserve">משרד </w:t>
            </w:r>
            <w:r w:rsidRPr="003A76A8">
              <w:rPr>
                <w:rtl/>
              </w:rPr>
              <w:t xml:space="preserve">מבקר המדינה </w:t>
            </w:r>
            <w:r w:rsidRPr="003A76A8">
              <w:rPr>
                <w:rFonts w:hint="cs"/>
                <w:rtl/>
              </w:rPr>
              <w:t xml:space="preserve">(10 גופים) עדיין </w:t>
            </w:r>
            <w:r w:rsidRPr="003A76A8">
              <w:rPr>
                <w:rtl/>
              </w:rPr>
              <w:t xml:space="preserve">לא עשו בדיקת </w:t>
            </w:r>
            <w:r w:rsidRPr="003A76A8">
              <w:rPr>
                <w:rtl/>
              </w:rPr>
              <w:t>נגישות של אתר המרשתת שלהם</w:t>
            </w:r>
            <w:r w:rsidRPr="003A76A8">
              <w:rPr>
                <w:rFonts w:hint="cs"/>
                <w:rtl/>
              </w:rPr>
              <w:t>.</w:t>
            </w:r>
            <w:r w:rsidRPr="003A76A8">
              <w:rPr>
                <w:rtl/>
              </w:rPr>
              <w:t xml:space="preserve"> </w:t>
            </w:r>
            <w:r w:rsidRPr="003A76A8">
              <w:rPr>
                <w:rFonts w:hint="cs"/>
                <w:rtl/>
              </w:rPr>
              <w:t>בדיקה זו נדרש לבצע אחת לחמש שנים</w:t>
            </w:r>
          </w:p>
        </w:tc>
        <w:tc>
          <w:tcPr>
            <w:tcW w:w="161" w:type="pct"/>
          </w:tcPr>
          <w:p w:rsidR="00F465DF" w:rsidRPr="00E52143" w:rsidRDefault="00F465DF" w:rsidP="00F465DF">
            <w:pPr>
              <w:pStyle w:val="732021"/>
              <w:spacing w:before="0"/>
              <w:rPr>
                <w:rtl/>
              </w:rPr>
            </w:pPr>
          </w:p>
        </w:tc>
        <w:tc>
          <w:tcPr>
            <w:tcW w:w="1151" w:type="pct"/>
            <w:tcBorders>
              <w:top w:val="single" w:sz="12" w:space="0" w:color="000000" w:themeColor="text1"/>
            </w:tcBorders>
          </w:tcPr>
          <w:p w:rsidR="00F465DF" w:rsidRPr="00E52143" w:rsidRDefault="00DF6A0A" w:rsidP="00F465DF">
            <w:pPr>
              <w:pStyle w:val="732021"/>
              <w:spacing w:before="0"/>
              <w:rPr>
                <w:rtl/>
              </w:rPr>
            </w:pPr>
            <w:r w:rsidRPr="003A76A8">
              <w:rPr>
                <w:rtl/>
              </w:rPr>
              <w:t>מ-15 אתרי מרשתת ש</w:t>
            </w:r>
            <w:r w:rsidRPr="003A76A8">
              <w:rPr>
                <w:rFonts w:hint="cs"/>
                <w:rtl/>
              </w:rPr>
              <w:t xml:space="preserve">שייכים </w:t>
            </w:r>
            <w:r w:rsidRPr="003A76A8">
              <w:rPr>
                <w:rtl/>
              </w:rPr>
              <w:t>ל</w:t>
            </w:r>
            <w:r w:rsidRPr="003A76A8">
              <w:rPr>
                <w:rFonts w:hint="cs"/>
                <w:rtl/>
              </w:rPr>
              <w:t>-14</w:t>
            </w:r>
            <w:r w:rsidRPr="003A76A8">
              <w:rPr>
                <w:rtl/>
              </w:rPr>
              <w:t xml:space="preserve"> גופי ממשל</w:t>
            </w:r>
            <w:r w:rsidRPr="003A76A8">
              <w:rPr>
                <w:rFonts w:hint="cs"/>
                <w:rtl/>
              </w:rPr>
              <w:t>,</w:t>
            </w:r>
            <w:r w:rsidRPr="003A76A8">
              <w:rPr>
                <w:rtl/>
              </w:rPr>
              <w:t xml:space="preserve"> שבהם </w:t>
            </w:r>
            <w:r w:rsidRPr="003A76A8">
              <w:rPr>
                <w:rFonts w:hint="cs"/>
                <w:rtl/>
              </w:rPr>
              <w:t>דגם ו</w:t>
            </w:r>
            <w:r w:rsidRPr="003A76A8">
              <w:rPr>
                <w:rtl/>
              </w:rPr>
              <w:t>בדק משרד מבקר המדינה נגישות, נמצאו פריטים שלא היו מונגשים כדין לאנשים עם מוגבלויות שונות</w:t>
            </w:r>
          </w:p>
        </w:tc>
        <w:tc>
          <w:tcPr>
            <w:tcW w:w="182" w:type="pct"/>
          </w:tcPr>
          <w:p w:rsidR="00F465DF" w:rsidRPr="00E52143" w:rsidRDefault="00F465DF" w:rsidP="00F465DF">
            <w:pPr>
              <w:pStyle w:val="732021"/>
              <w:spacing w:before="0"/>
              <w:rPr>
                <w:rtl/>
              </w:rPr>
            </w:pPr>
          </w:p>
        </w:tc>
        <w:tc>
          <w:tcPr>
            <w:tcW w:w="1143" w:type="pct"/>
            <w:tcBorders>
              <w:top w:val="single" w:sz="12" w:space="0" w:color="000000" w:themeColor="text1"/>
            </w:tcBorders>
          </w:tcPr>
          <w:p w:rsidR="00F465DF" w:rsidRPr="00E52143" w:rsidRDefault="00DF6A0A" w:rsidP="00F465DF">
            <w:pPr>
              <w:pStyle w:val="732021"/>
              <w:spacing w:before="0"/>
              <w:rPr>
                <w:rtl/>
              </w:rPr>
            </w:pPr>
            <w:r w:rsidRPr="006E4A31">
              <w:rPr>
                <w:rtl/>
              </w:rPr>
              <w:t>מגופי הממשל שהשתתפו בסקר שעשה משרד מבקר המדינה, (12 מתו</w:t>
            </w:r>
            <w:r w:rsidRPr="006E4A31">
              <w:rPr>
                <w:rtl/>
              </w:rPr>
              <w:t>ך 23 גופים) הנגישו לכל היותר רק חלק מהמסמכים שנדרש היה להנגיש על פי הוראות הדין באתרי המרשתת הציבוריים שלהם</w:t>
            </w:r>
          </w:p>
        </w:tc>
      </w:tr>
      <w:tr w:rsidR="007758ED" w:rsidTr="00F465DF">
        <w:tc>
          <w:tcPr>
            <w:tcW w:w="1164" w:type="pct"/>
            <w:tcBorders>
              <w:bottom w:val="single" w:sz="12" w:space="0" w:color="000000" w:themeColor="text1"/>
            </w:tcBorders>
            <w:vAlign w:val="bottom"/>
          </w:tcPr>
          <w:p w:rsidR="00420374" w:rsidRPr="00411396" w:rsidRDefault="00DF6A0A" w:rsidP="00937056">
            <w:pPr>
              <w:spacing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100%</w:t>
            </w:r>
          </w:p>
        </w:tc>
        <w:tc>
          <w:tcPr>
            <w:tcW w:w="161" w:type="pct"/>
            <w:vAlign w:val="bottom"/>
          </w:tcPr>
          <w:p w:rsidR="00420374" w:rsidRPr="00E52143" w:rsidRDefault="00420374" w:rsidP="00937056">
            <w:pPr>
              <w:spacing w:after="120"/>
              <w:jc w:val="left"/>
              <w:rPr>
                <w:rFonts w:ascii="Tahoma" w:eastAsiaTheme="minorEastAsia" w:hAnsi="Tahoma" w:cs="Tahoma"/>
                <w:b/>
                <w:bCs/>
                <w:color w:val="0D0D0D" w:themeColor="text1" w:themeTint="F2"/>
                <w:spacing w:val="-10"/>
                <w:sz w:val="36"/>
                <w:szCs w:val="36"/>
                <w:rtl/>
              </w:rPr>
            </w:pPr>
          </w:p>
        </w:tc>
        <w:tc>
          <w:tcPr>
            <w:tcW w:w="1038" w:type="pct"/>
            <w:tcBorders>
              <w:bottom w:val="single" w:sz="12" w:space="0" w:color="000000" w:themeColor="text1"/>
            </w:tcBorders>
            <w:vAlign w:val="bottom"/>
          </w:tcPr>
          <w:p w:rsidR="00420374" w:rsidRPr="008D750B" w:rsidRDefault="00DF6A0A" w:rsidP="00937056">
            <w:pPr>
              <w:pStyle w:val="2021"/>
              <w:spacing w:before="0" w:after="60"/>
              <w:rPr>
                <w:spacing w:val="-10"/>
                <w:rtl/>
              </w:rPr>
            </w:pPr>
            <w:r>
              <w:rPr>
                <w:rFonts w:hint="cs"/>
                <w:spacing w:val="-10"/>
                <w:rtl/>
              </w:rPr>
              <w:t>39</w:t>
            </w:r>
            <w:r w:rsidRPr="008D750B">
              <w:rPr>
                <w:spacing w:val="-10"/>
                <w:rtl/>
              </w:rPr>
              <w:t>%</w:t>
            </w:r>
          </w:p>
        </w:tc>
        <w:tc>
          <w:tcPr>
            <w:tcW w:w="161" w:type="pct"/>
            <w:vAlign w:val="bottom"/>
          </w:tcPr>
          <w:p w:rsidR="00420374" w:rsidRDefault="00420374" w:rsidP="00937056">
            <w:pPr>
              <w:spacing w:after="120" w:line="240" w:lineRule="auto"/>
              <w:jc w:val="left"/>
              <w:rPr>
                <w:rtl/>
              </w:rPr>
            </w:pPr>
          </w:p>
        </w:tc>
        <w:tc>
          <w:tcPr>
            <w:tcW w:w="1151" w:type="pct"/>
            <w:tcBorders>
              <w:bottom w:val="single" w:sz="12" w:space="0" w:color="000000" w:themeColor="text1"/>
            </w:tcBorders>
            <w:vAlign w:val="bottom"/>
          </w:tcPr>
          <w:p w:rsidR="00420374" w:rsidRPr="0062456C" w:rsidRDefault="00DF6A0A" w:rsidP="00937056">
            <w:pPr>
              <w:spacing w:after="60" w:line="192"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31%</w:t>
            </w:r>
          </w:p>
        </w:tc>
        <w:tc>
          <w:tcPr>
            <w:tcW w:w="182" w:type="pct"/>
          </w:tcPr>
          <w:p w:rsidR="00420374" w:rsidRDefault="00420374" w:rsidP="00937056">
            <w:pPr>
              <w:spacing w:after="60" w:line="240" w:lineRule="auto"/>
              <w:rPr>
                <w:rFonts w:ascii="Tahoma" w:eastAsiaTheme="minorEastAsia" w:hAnsi="Tahoma" w:cs="Tahoma"/>
                <w:b/>
                <w:bCs/>
                <w:color w:val="0D0D0D" w:themeColor="text1" w:themeTint="F2"/>
                <w:spacing w:val="-10"/>
                <w:sz w:val="36"/>
                <w:szCs w:val="36"/>
                <w:rtl/>
              </w:rPr>
            </w:pPr>
          </w:p>
        </w:tc>
        <w:tc>
          <w:tcPr>
            <w:tcW w:w="1143" w:type="pct"/>
            <w:tcBorders>
              <w:bottom w:val="single" w:sz="12" w:space="0" w:color="000000" w:themeColor="text1"/>
            </w:tcBorders>
            <w:vAlign w:val="bottom"/>
          </w:tcPr>
          <w:p w:rsidR="00420374" w:rsidRDefault="00DF6A0A" w:rsidP="00937056">
            <w:pPr>
              <w:spacing w:after="60" w:line="240" w:lineRule="auto"/>
              <w:rPr>
                <w:rFonts w:ascii="Tahoma" w:eastAsiaTheme="minorEastAsia" w:hAnsi="Tahoma" w:cs="Tahoma"/>
                <w:b/>
                <w:bCs/>
                <w:color w:val="0D0D0D" w:themeColor="text1" w:themeTint="F2"/>
                <w:spacing w:val="-10"/>
                <w:sz w:val="36"/>
                <w:szCs w:val="36"/>
                <w:rtl/>
              </w:rPr>
            </w:pPr>
            <w:r>
              <w:rPr>
                <w:rFonts w:ascii="Tahoma" w:eastAsiaTheme="minorEastAsia" w:hAnsi="Tahoma" w:cs="Tahoma" w:hint="cs"/>
                <w:b/>
                <w:bCs/>
                <w:color w:val="0D0D0D" w:themeColor="text1" w:themeTint="F2"/>
                <w:spacing w:val="-10"/>
                <w:sz w:val="36"/>
                <w:szCs w:val="36"/>
                <w:rtl/>
              </w:rPr>
              <w:t>38%</w:t>
            </w:r>
          </w:p>
        </w:tc>
      </w:tr>
      <w:tr w:rsidR="007758ED" w:rsidTr="00F465DF">
        <w:tc>
          <w:tcPr>
            <w:tcW w:w="1164" w:type="pct"/>
            <w:tcBorders>
              <w:top w:val="single" w:sz="12" w:space="0" w:color="000000" w:themeColor="text1"/>
            </w:tcBorders>
          </w:tcPr>
          <w:p w:rsidR="00F465DF" w:rsidRPr="004562F8" w:rsidRDefault="00DF6A0A" w:rsidP="00F465DF">
            <w:pPr>
              <w:pStyle w:val="732021"/>
              <w:spacing w:before="0" w:after="0"/>
              <w:rPr>
                <w:rtl/>
              </w:rPr>
            </w:pPr>
            <w:r w:rsidRPr="003A76A8">
              <w:rPr>
                <w:rFonts w:hint="cs"/>
                <w:rtl/>
              </w:rPr>
              <w:t>בכל אחד מתהליכי קבלת השירות הנוגעים ל-16 דפי השירות</w:t>
            </w:r>
            <w:r w:rsidR="00353392">
              <w:rPr>
                <w:rFonts w:hint="cs"/>
                <w:rtl/>
              </w:rPr>
              <w:t xml:space="preserve"> הממשלתי</w:t>
            </w:r>
            <w:r w:rsidRPr="003A76A8">
              <w:rPr>
                <w:rFonts w:hint="cs"/>
                <w:rtl/>
              </w:rPr>
              <w:t xml:space="preserve"> הדיגיטליים הנצפים ביותר על ידי הציבור, מצא משרד מבקר המדינה בבדיקתו לפחות שני פריטים שלא הונגשו כנדרש לאנשים עם מוגבלות</w:t>
            </w:r>
          </w:p>
        </w:tc>
        <w:tc>
          <w:tcPr>
            <w:tcW w:w="161" w:type="pct"/>
          </w:tcPr>
          <w:p w:rsidR="00F465DF" w:rsidRPr="008D750B" w:rsidRDefault="00F465DF" w:rsidP="00F465DF">
            <w:pPr>
              <w:pStyle w:val="732021"/>
              <w:spacing w:before="0" w:after="0"/>
              <w:rPr>
                <w:rtl/>
              </w:rPr>
            </w:pPr>
          </w:p>
        </w:tc>
        <w:tc>
          <w:tcPr>
            <w:tcW w:w="1038" w:type="pct"/>
            <w:tcBorders>
              <w:top w:val="single" w:sz="12" w:space="0" w:color="000000" w:themeColor="text1"/>
            </w:tcBorders>
          </w:tcPr>
          <w:p w:rsidR="00F465DF" w:rsidRPr="004562F8" w:rsidRDefault="00DF6A0A" w:rsidP="00F465DF">
            <w:pPr>
              <w:pStyle w:val="732021"/>
              <w:spacing w:before="0" w:after="0"/>
              <w:rPr>
                <w:rtl/>
              </w:rPr>
            </w:pPr>
            <w:r w:rsidRPr="006E4A31">
              <w:rPr>
                <w:rtl/>
              </w:rPr>
              <w:t>מכ-520 אנשים עם מוגבלות שמשתמשים בחיי היום-יום שלהם במרשתת והשתתפו בסקר אינטרנטי שעשה משרד מבקר המדינה, ציינו כי נתקלו בפריטים שלא הונ</w:t>
            </w:r>
            <w:r w:rsidRPr="006E4A31">
              <w:rPr>
                <w:rtl/>
              </w:rPr>
              <w:t>גשו כנדרש באתרי מרשתת או ביישומונים (אפליקציות) של גופי ממשל</w:t>
            </w:r>
          </w:p>
        </w:tc>
        <w:tc>
          <w:tcPr>
            <w:tcW w:w="161" w:type="pct"/>
          </w:tcPr>
          <w:p w:rsidR="00F465DF" w:rsidRDefault="00F465DF" w:rsidP="00F465DF">
            <w:pPr>
              <w:pStyle w:val="732021"/>
              <w:spacing w:before="0" w:after="0"/>
              <w:rPr>
                <w:rtl/>
              </w:rPr>
            </w:pPr>
          </w:p>
        </w:tc>
        <w:tc>
          <w:tcPr>
            <w:tcW w:w="1151" w:type="pct"/>
            <w:tcBorders>
              <w:top w:val="single" w:sz="12" w:space="0" w:color="000000" w:themeColor="text1"/>
            </w:tcBorders>
          </w:tcPr>
          <w:p w:rsidR="00F465DF" w:rsidRPr="00353392" w:rsidRDefault="00DF6A0A" w:rsidP="00F465DF">
            <w:pPr>
              <w:pStyle w:val="732021"/>
              <w:spacing w:before="0" w:after="0"/>
              <w:rPr>
                <w:spacing w:val="-2"/>
                <w:rtl/>
              </w:rPr>
            </w:pPr>
            <w:r w:rsidRPr="00353392">
              <w:rPr>
                <w:spacing w:val="-2"/>
                <w:rtl/>
              </w:rPr>
              <w:t xml:space="preserve">מן המשיבים </w:t>
            </w:r>
            <w:r w:rsidRPr="00353392">
              <w:rPr>
                <w:rFonts w:hint="cs"/>
                <w:spacing w:val="-2"/>
                <w:rtl/>
              </w:rPr>
              <w:t>ע</w:t>
            </w:r>
            <w:r w:rsidRPr="00353392">
              <w:rPr>
                <w:spacing w:val="-2"/>
                <w:rtl/>
              </w:rPr>
              <w:t>ל</w:t>
            </w:r>
            <w:r w:rsidRPr="00353392">
              <w:rPr>
                <w:rFonts w:hint="cs"/>
                <w:spacing w:val="-2"/>
                <w:rtl/>
              </w:rPr>
              <w:t xml:space="preserve"> ה</w:t>
            </w:r>
            <w:r w:rsidRPr="00353392">
              <w:rPr>
                <w:spacing w:val="-2"/>
                <w:rtl/>
              </w:rPr>
              <w:t xml:space="preserve">סקר </w:t>
            </w:r>
            <w:r w:rsidRPr="00353392">
              <w:rPr>
                <w:rFonts w:hint="cs"/>
                <w:spacing w:val="-2"/>
                <w:rtl/>
              </w:rPr>
              <w:t>ה</w:t>
            </w:r>
            <w:r w:rsidRPr="00353392">
              <w:rPr>
                <w:spacing w:val="-2"/>
                <w:rtl/>
              </w:rPr>
              <w:t xml:space="preserve">טלפוני שעשה משרד מבקר המדינה בקרב אנשים שממעטים לצרוך שירותי ממשל במרשתת או נמנעים מכך, ציינו כי </w:t>
            </w:r>
            <w:r w:rsidRPr="00353392">
              <w:rPr>
                <w:rFonts w:hint="cs"/>
                <w:spacing w:val="-2"/>
                <w:rtl/>
              </w:rPr>
              <w:t>קרה</w:t>
            </w:r>
            <w:r w:rsidRPr="00353392">
              <w:rPr>
                <w:spacing w:val="-2"/>
                <w:rtl/>
              </w:rPr>
              <w:t xml:space="preserve"> </w:t>
            </w:r>
            <w:r w:rsidRPr="00353392">
              <w:rPr>
                <w:rFonts w:hint="cs"/>
                <w:spacing w:val="-2"/>
                <w:rtl/>
              </w:rPr>
              <w:t>ש</w:t>
            </w:r>
            <w:r w:rsidRPr="00353392">
              <w:rPr>
                <w:spacing w:val="-2"/>
                <w:rtl/>
              </w:rPr>
              <w:t>ביקשו לקבל שירות</w:t>
            </w:r>
            <w:r w:rsidR="00353392" w:rsidRPr="00353392">
              <w:rPr>
                <w:rFonts w:hint="cs"/>
                <w:spacing w:val="-2"/>
                <w:rtl/>
              </w:rPr>
              <w:t xml:space="preserve"> ממשלתי</w:t>
            </w:r>
            <w:r w:rsidRPr="00353392">
              <w:rPr>
                <w:spacing w:val="-2"/>
                <w:rtl/>
              </w:rPr>
              <w:t xml:space="preserve"> בערוצים שאינם דיגיטליים (לשכת קבלת קהל, טלפון או</w:t>
            </w:r>
            <w:r w:rsidRPr="00353392">
              <w:rPr>
                <w:spacing w:val="-2"/>
                <w:rtl/>
              </w:rPr>
              <w:t xml:space="preserve"> דואר)</w:t>
            </w:r>
            <w:r w:rsidRPr="00353392">
              <w:rPr>
                <w:rFonts w:hint="cs"/>
                <w:spacing w:val="-2"/>
                <w:rtl/>
              </w:rPr>
              <w:t>,</w:t>
            </w:r>
            <w:r w:rsidRPr="00353392">
              <w:rPr>
                <w:spacing w:val="-2"/>
                <w:rtl/>
              </w:rPr>
              <w:t xml:space="preserve"> </w:t>
            </w:r>
            <w:r w:rsidRPr="00353392">
              <w:rPr>
                <w:rFonts w:hint="cs"/>
                <w:spacing w:val="-2"/>
                <w:rtl/>
              </w:rPr>
              <w:t>והדבר לא התאפשר</w:t>
            </w:r>
            <w:r w:rsidRPr="00353392">
              <w:rPr>
                <w:spacing w:val="-2"/>
                <w:rtl/>
              </w:rPr>
              <w:t xml:space="preserve"> כיוון שנדרשו להשתמש </w:t>
            </w:r>
            <w:r w:rsidR="00353392" w:rsidRPr="00353392">
              <w:rPr>
                <w:rFonts w:hint="cs"/>
                <w:spacing w:val="-2"/>
                <w:rtl/>
              </w:rPr>
              <w:t xml:space="preserve">לשם כך </w:t>
            </w:r>
            <w:r w:rsidRPr="00353392">
              <w:rPr>
                <w:spacing w:val="-2"/>
                <w:rtl/>
              </w:rPr>
              <w:t>באמצעי שלא היה ברשותם</w:t>
            </w:r>
            <w:r w:rsidRPr="00353392">
              <w:rPr>
                <w:rFonts w:hint="cs"/>
                <w:spacing w:val="-2"/>
                <w:rtl/>
              </w:rPr>
              <w:t>,</w:t>
            </w:r>
            <w:r w:rsidRPr="00353392">
              <w:rPr>
                <w:spacing w:val="-2"/>
                <w:rtl/>
              </w:rPr>
              <w:t xml:space="preserve"> כגון תיבת דואר אלקטרוני, חיבור למרשתת או כרטיס אשראי</w:t>
            </w:r>
          </w:p>
        </w:tc>
        <w:tc>
          <w:tcPr>
            <w:tcW w:w="182" w:type="pct"/>
          </w:tcPr>
          <w:p w:rsidR="00F465DF" w:rsidRPr="00C92141" w:rsidRDefault="00F465DF" w:rsidP="00F465DF">
            <w:pPr>
              <w:pStyle w:val="732021"/>
              <w:spacing w:before="0" w:after="0"/>
              <w:rPr>
                <w:rtl/>
              </w:rPr>
            </w:pPr>
          </w:p>
        </w:tc>
        <w:tc>
          <w:tcPr>
            <w:tcW w:w="1143" w:type="pct"/>
            <w:tcBorders>
              <w:top w:val="single" w:sz="12" w:space="0" w:color="000000" w:themeColor="text1"/>
            </w:tcBorders>
          </w:tcPr>
          <w:p w:rsidR="00F465DF" w:rsidRPr="00C92141" w:rsidRDefault="00DF6A0A" w:rsidP="00F465DF">
            <w:pPr>
              <w:pStyle w:val="732021"/>
              <w:spacing w:before="0" w:after="0"/>
              <w:rPr>
                <w:rtl/>
              </w:rPr>
            </w:pPr>
            <w:r w:rsidRPr="006E4A31">
              <w:rPr>
                <w:rtl/>
              </w:rPr>
              <w:t>מכ-520 אנשים עם מוגבלות שהשתתפו בסקר של משרד מבקר המדינה, ציינו כי נתקלו במקרים שבהם לא ניתן היה לקבל שירות מגופי הממשל אלא בדרך</w:t>
            </w:r>
            <w:r w:rsidRPr="006E4A31">
              <w:rPr>
                <w:rtl/>
              </w:rPr>
              <w:t xml:space="preserve"> דיגיטלית (כלומר הם לא היו יכולים לצרוך את השירות בטלפון או בלשכת קבלת קהל)</w:t>
            </w:r>
          </w:p>
        </w:tc>
      </w:tr>
    </w:tbl>
    <w:p w:rsidR="00420374" w:rsidRDefault="00420374" w:rsidP="00420374">
      <w:pPr>
        <w:pStyle w:val="73f7"/>
        <w:spacing w:after="0"/>
        <w:rPr>
          <w:sz w:val="10"/>
          <w:szCs w:val="10"/>
          <w:rtl/>
        </w:rPr>
      </w:pPr>
    </w:p>
    <w:p w:rsidR="00420374" w:rsidRPr="00C62692" w:rsidRDefault="00DF6A0A" w:rsidP="00420374">
      <w:pPr>
        <w:pStyle w:val="732"/>
        <w:rPr>
          <w:rtl/>
        </w:rPr>
      </w:pPr>
      <w:r w:rsidRPr="00C62692">
        <w:rPr>
          <w:rtl/>
        </w:rPr>
        <w:lastRenderedPageBreak/>
        <w:t>פעולות הביקורת</w:t>
      </w:r>
    </w:p>
    <w:p w:rsidR="00F465DF" w:rsidRDefault="00DF6A0A" w:rsidP="00420374">
      <w:pPr>
        <w:pStyle w:val="73f7"/>
        <w:rPr>
          <w:rtl/>
        </w:rPr>
      </w:pPr>
      <w:r w:rsidRPr="001F3363">
        <w:rPr>
          <w:noProof/>
        </w:rPr>
        <w:drawing>
          <wp:anchor distT="0" distB="0" distL="114300" distR="114300" simplePos="0" relativeHeight="251680768" behindDoc="0" locked="0" layoutInCell="1" allowOverlap="1">
            <wp:simplePos x="0" y="0"/>
            <wp:positionH relativeFrom="column">
              <wp:posOffset>4537075</wp:posOffset>
            </wp:positionH>
            <wp:positionV relativeFrom="paragraph">
              <wp:posOffset>50409</wp:posOffset>
            </wp:positionV>
            <wp:extent cx="162000" cy="162000"/>
            <wp:effectExtent l="0" t="0" r="3175" b="3175"/>
            <wp:wrapSquare wrapText="bothSides"/>
            <wp:docPr id="25" name="תמונה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5" name="תמונה 3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62000" cy="1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76A8">
        <w:rPr>
          <w:rtl/>
        </w:rPr>
        <w:t xml:space="preserve">בחודשים ינואר-אוקטובר 2022 בדק משרד מבקר המדינה שני היבטים הנוגעים לשירותי הממשל בעידן הדיגיטלי: הנגשת השירותים הדיגיטליים לאנשים עם מוגבלות והמענה הניתן לציבור </w:t>
      </w:r>
      <w:r w:rsidRPr="003A76A8">
        <w:rPr>
          <w:rtl/>
        </w:rPr>
        <w:t>שאינו משתמש במדיה הדיגיטלית לצריכת שירותי ממשל או ממעט בכך. להלן בתרשים  פירוט נושאי הביקורת, סוגי הגופים המבוקרים והמתודולוגיה שבה נעשה שימוש בביקורת זו</w:t>
      </w:r>
      <w:r>
        <w:rPr>
          <w:rFonts w:hint="cs"/>
          <w:rtl/>
        </w:rPr>
        <w:t>.</w:t>
      </w:r>
    </w:p>
    <w:p w:rsidR="00420374" w:rsidRDefault="00DF6A0A" w:rsidP="00420374">
      <w:pPr>
        <w:pStyle w:val="73f7"/>
        <w:rPr>
          <w:rtl/>
        </w:rPr>
      </w:pPr>
      <w:r w:rsidRPr="003A76A8">
        <w:rPr>
          <w:rFonts w:hint="cs"/>
          <w:rtl/>
        </w:rPr>
        <w:t>גופי ממשל שבהם עשה משרד מבקר המדינה בדיקות נגישות באתרי מרשתת או שהשיבו על הסקר שעשה בנושא הנגישות הם</w:t>
      </w:r>
      <w:r w:rsidRPr="003A76A8">
        <w:rPr>
          <w:rFonts w:hint="cs"/>
          <w:rtl/>
        </w:rPr>
        <w:t xml:space="preserve"> </w:t>
      </w:r>
      <w:r w:rsidRPr="003A76A8">
        <w:rPr>
          <w:rtl/>
        </w:rPr>
        <w:t>ה</w:t>
      </w:r>
      <w:r w:rsidRPr="003A76A8">
        <w:rPr>
          <w:rFonts w:hint="cs"/>
          <w:rtl/>
        </w:rPr>
        <w:t>מוסד ל</w:t>
      </w:r>
      <w:r w:rsidRPr="003A76A8">
        <w:rPr>
          <w:rtl/>
        </w:rPr>
        <w:t>ביטוח לאומי, המשרד לשירותי דת, הסוכנות לעסקים קטנים ובינוניים - משרד הכלכלה</w:t>
      </w:r>
      <w:r w:rsidRPr="003A76A8">
        <w:rPr>
          <w:rFonts w:hint="cs"/>
          <w:rtl/>
        </w:rPr>
        <w:t xml:space="preserve"> והתעשייה</w:t>
      </w:r>
      <w:r w:rsidRPr="003A76A8">
        <w:rPr>
          <w:rtl/>
        </w:rPr>
        <w:t xml:space="preserve">, ועדת הבחירות המרכזית, </w:t>
      </w:r>
      <w:r w:rsidRPr="003A76A8">
        <w:rPr>
          <w:rFonts w:hint="cs"/>
          <w:rtl/>
        </w:rPr>
        <w:t xml:space="preserve">כנסת ישראל, הנהלת בתי המשפט, </w:t>
      </w:r>
      <w:r w:rsidRPr="003A76A8">
        <w:rPr>
          <w:rtl/>
        </w:rPr>
        <w:t xml:space="preserve">משטרת ישראל, </w:t>
      </w:r>
      <w:r w:rsidRPr="003A76A8">
        <w:rPr>
          <w:rFonts w:hint="cs"/>
          <w:rtl/>
        </w:rPr>
        <w:t xml:space="preserve">משרד הביטחון (אתר המרשתת של אגף שיקום נכים), </w:t>
      </w:r>
      <w:r w:rsidRPr="003A76A8">
        <w:rPr>
          <w:rtl/>
        </w:rPr>
        <w:t>משרד הבינוי והשיכון, משרד הבריאות, משרד החוץ, משרד הח</w:t>
      </w:r>
      <w:r w:rsidRPr="003A76A8">
        <w:rPr>
          <w:rtl/>
        </w:rPr>
        <w:t>ינוך, משרד החקלאות ופיתוח הכפר, משרד המשפטים, משרד הפנים, משרד הרווחה והביטחון החברתי, משרד התחבורה</w:t>
      </w:r>
      <w:r w:rsidRPr="003A76A8">
        <w:rPr>
          <w:rFonts w:hint="cs"/>
          <w:rtl/>
        </w:rPr>
        <w:t xml:space="preserve"> והבטיחות בדרכים</w:t>
      </w:r>
      <w:r w:rsidRPr="003A76A8">
        <w:rPr>
          <w:rtl/>
        </w:rPr>
        <w:t xml:space="preserve">, משרד התיירות, </w:t>
      </w:r>
      <w:r w:rsidRPr="003A76A8">
        <w:rPr>
          <w:rFonts w:hint="cs"/>
          <w:rtl/>
        </w:rPr>
        <w:t>צה"ל (אתר יחידת מיטב)</w:t>
      </w:r>
      <w:r>
        <w:rPr>
          <w:vertAlign w:val="superscript"/>
          <w:rtl/>
        </w:rPr>
        <w:footnoteReference w:id="1"/>
      </w:r>
      <w:r w:rsidRPr="003A76A8">
        <w:rPr>
          <w:rFonts w:hint="cs"/>
          <w:rtl/>
        </w:rPr>
        <w:t xml:space="preserve">, </w:t>
      </w:r>
      <w:r w:rsidRPr="003A76A8">
        <w:rPr>
          <w:rtl/>
        </w:rPr>
        <w:t xml:space="preserve">רכבת ישראל, רשות האכיפה והגבייה, </w:t>
      </w:r>
      <w:r w:rsidRPr="003A76A8">
        <w:rPr>
          <w:rFonts w:hint="cs"/>
          <w:rtl/>
        </w:rPr>
        <w:t xml:space="preserve">רשות האוכלוסין וההגירה, </w:t>
      </w:r>
      <w:r w:rsidRPr="003A76A8">
        <w:rPr>
          <w:rtl/>
        </w:rPr>
        <w:t>רשות הטבע והגנים, רשות המ</w:t>
      </w:r>
      <w:r w:rsidRPr="003A76A8">
        <w:rPr>
          <w:rFonts w:hint="cs"/>
          <w:rtl/>
        </w:rPr>
        <w:t>י</w:t>
      </w:r>
      <w:r w:rsidRPr="003A76A8">
        <w:rPr>
          <w:rtl/>
        </w:rPr>
        <w:t>סים, רשות מקרקעי י</w:t>
      </w:r>
      <w:r w:rsidRPr="003A76A8">
        <w:rPr>
          <w:rtl/>
        </w:rPr>
        <w:t>שראל, רשות ניירות ערך</w:t>
      </w:r>
      <w:r w:rsidRPr="003A76A8">
        <w:rPr>
          <w:rFonts w:hint="cs"/>
          <w:rtl/>
        </w:rPr>
        <w:t>,</w:t>
      </w:r>
      <w:r w:rsidRPr="003A76A8">
        <w:rPr>
          <w:rtl/>
        </w:rPr>
        <w:t xml:space="preserve"> רשות שדות התעופה</w:t>
      </w:r>
      <w:r w:rsidRPr="003A76A8">
        <w:rPr>
          <w:rFonts w:hint="cs"/>
          <w:rtl/>
        </w:rPr>
        <w:t xml:space="preserve"> ושירות התעסוקה</w:t>
      </w:r>
      <w:r>
        <w:rPr>
          <w:rFonts w:hint="cs"/>
          <w:rtl/>
        </w:rPr>
        <w:t>.</w:t>
      </w:r>
      <w:r w:rsidRPr="001F3363">
        <w:rPr>
          <w:rFonts w:hint="cs"/>
          <w:rtl/>
        </w:rPr>
        <w:t xml:space="preserve"> </w:t>
      </w:r>
    </w:p>
    <w:p w:rsidR="00121E7D" w:rsidRDefault="00DF6A0A">
      <w:pPr>
        <w:bidi w:val="0"/>
        <w:spacing w:after="200" w:line="276" w:lineRule="auto"/>
        <w:rPr>
          <w:rFonts w:ascii="Tahoma" w:hAnsi="Tahoma" w:cs="Tahoma"/>
          <w:color w:val="0D0D0D" w:themeColor="text1" w:themeTint="F2"/>
          <w:sz w:val="18"/>
          <w:szCs w:val="18"/>
          <w:rtl/>
        </w:rPr>
      </w:pPr>
      <w:r>
        <w:rPr>
          <w:rtl/>
        </w:rPr>
        <w:br w:type="page"/>
      </w:r>
    </w:p>
    <w:p w:rsidR="00027D0B" w:rsidRDefault="00DF6A0A" w:rsidP="00027D0B">
      <w:pPr>
        <w:tabs>
          <w:tab w:val="right" w:pos="7370"/>
        </w:tabs>
        <w:bidi w:val="0"/>
        <w:spacing w:after="200" w:line="276" w:lineRule="auto"/>
        <w:rPr>
          <w:rtl/>
        </w:rPr>
      </w:pPr>
      <w:r>
        <w:rPr>
          <w:noProof/>
          <w:rtl/>
          <w:lang w:val="he-IL"/>
        </w:rPr>
        <w:lastRenderedPageBreak/>
        <mc:AlternateContent>
          <mc:Choice Requires="wpg">
            <w:drawing>
              <wp:anchor distT="0" distB="0" distL="114300" distR="114300" simplePos="0" relativeHeight="251697152"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1451066637" name="קבוצה 14510666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38" name="Picture 54">
                            <a:extLst>
                              <a:ext uri="{C183D7F6-B498-43B3-948B-1728B52AA6E4}">
                                <adec:decorative xmlns:adec="http://schemas.microsoft.com/office/drawing/2017/decorative" val="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39" name="Text Box 2" descr="תרשים: נושאי הביקורת, סוגי הגופים המבוקרים והמתודולוגיה, 2022"/>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נושאי הביקורת, סוגי הגופים המבוקרים והמתודולוגיה, 2022</w:t>
                              </w:r>
                            </w:p>
                          </w:txbxContent>
                        </wps:txbx>
                        <wps:bodyPr rot="0" vert="horz" wrap="square" lIns="91440" tIns="45720" rIns="91440" bIns="45720" anchor="ctr" anchorCtr="0"/>
                      </wps:wsp>
                    </wpg:wgp>
                  </a:graphicData>
                </a:graphic>
              </wp:anchor>
            </w:drawing>
          </mc:Choice>
          <mc:Fallback>
            <w:pict>
              <v:group id="קבוצה 1451066637" o:spid="_x0000_s1040" style="width:372.55pt;height:60.05pt;margin-top:-3.95pt;margin-left:-8.6pt;position:absolute;z-index:251698176" coordsize="47313,7626">
                <v:shape id="Picture 54" o:spid="_x0000_s1041" type="#_x0000_t75" style="width:47313;height:7626;mso-wrap-style:square;position:absolute;visibility:visible">
                  <v:imagedata r:id="rId19" o:title=""/>
                </v:shape>
                <v:shape id="_x0000_s1042" type="#_x0000_t202" alt="תרשים: נושאי הביקורת, סוגי הגופים המבוקרים והמתודולוגיה, 2022"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נושאי הביקורת, סוגי הגופים המבוקרים והמתודולוגיה, 2022</w:t>
                        </w:r>
                      </w:p>
                    </w:txbxContent>
                  </v:textbox>
                </v:shape>
              </v:group>
            </w:pict>
          </mc:Fallback>
        </mc:AlternateContent>
      </w:r>
      <w:r>
        <w:rPr>
          <w:rtl/>
        </w:rPr>
        <w:t xml:space="preserve"> </w:t>
      </w:r>
    </w:p>
    <w:p w:rsidR="00027D0B" w:rsidRDefault="00DF6A0A" w:rsidP="00027D0B">
      <w:pPr>
        <w:pStyle w:val="73f7"/>
        <w:rPr>
          <w:rtl/>
        </w:rPr>
      </w:pPr>
      <w:r>
        <w:rPr>
          <w:noProof/>
        </w:rPr>
        <w:drawing>
          <wp:anchor distT="0" distB="0" distL="114300" distR="114300" simplePos="0" relativeHeight="251724800" behindDoc="0" locked="0" layoutInCell="1" allowOverlap="1">
            <wp:simplePos x="0" y="0"/>
            <wp:positionH relativeFrom="column">
              <wp:posOffset>-68580</wp:posOffset>
            </wp:positionH>
            <wp:positionV relativeFrom="paragraph">
              <wp:posOffset>407035</wp:posOffset>
            </wp:positionV>
            <wp:extent cx="4631690" cy="5763895"/>
            <wp:effectExtent l="0" t="0" r="3810" b="1905"/>
            <wp:wrapTopAndBottom/>
            <wp:docPr id="1743882400" name="תמונה 1743882400" descr="הגופים שבהם התבצעו הבדיקות: מערך הדיגיטל הלאומי, נציבות שוויון זכויות לאנשים עם מוגבלות, גופי ממשל. הבדיקה בגופי הממשל נעשתה כדלקמן: נבדקו אתרי מרשתת של 14 גופי ממשל (בגוף אחד, הנהלת בתי המשפט, נבדקו שני אתרי מרשתת, כך שבסך הכול נבדקו 15 אתרי מרשתת); עוד  נבדקה הנגשתם הדיגיטלית של 16 דפי שירות ממשלתיים מהנצפים ביותר על ידי הציבור; כמו כן, נעשה סקר שבמסגרתו נשלח שאלון ועליו השיבו 23 גופי ממשל. נוסף על כך נעשו שתי פעולות של שיתוף ציבור: סקר שהופץ במרשתת בקרב אנשים עם מוגבלות המשתמשים במרשתת, ועליו השיבו 527 אנשים; וסקר טלפוני שנעשה בקרב אנשים (מכלל האוכלוסייה) שממעטים לצרוך שירותי ממשל במרשתת או אינם צורכים אותם כלל,  ועליו השיבו 301 אנשים מקרב קבוצות האוכלוסייה האלה (שליש מכל קבוצה):  בני 60 ומעלה, החברה הערבית, החברה היהודית-חרדי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82400" name="תמונה 1743882400"/>
                    <pic:cNvPicPr/>
                  </pic:nvPicPr>
                  <pic:blipFill>
                    <a:blip r:embed="rId24" cstate="print">
                      <a:extLst>
                        <a:ext uri="{28A0092B-C50C-407E-A947-70E740481C1C}">
                          <a14:useLocalDpi xmlns:a14="http://schemas.microsoft.com/office/drawing/2010/main" val="0"/>
                        </a:ext>
                      </a:extLst>
                    </a:blip>
                    <a:srcRect l="959" r="959"/>
                    <a:stretch>
                      <a:fillRect/>
                    </a:stretch>
                  </pic:blipFill>
                  <pic:spPr bwMode="auto">
                    <a:xfrm>
                      <a:off x="0" y="0"/>
                      <a:ext cx="4631690" cy="576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7D0B" w:rsidRDefault="00027D0B" w:rsidP="00027D0B">
      <w:pPr>
        <w:pStyle w:val="73f7"/>
        <w:rPr>
          <w:rtl/>
        </w:rPr>
      </w:pPr>
    </w:p>
    <w:p w:rsidR="00027D0B" w:rsidRPr="00027D0B" w:rsidRDefault="00DF6A0A" w:rsidP="00027D0B">
      <w:pPr>
        <w:pStyle w:val="7320"/>
        <w:rPr>
          <w:rtl/>
        </w:rPr>
      </w:pPr>
      <w:r w:rsidRPr="00027D0B">
        <w:rPr>
          <w:rtl/>
        </w:rPr>
        <w:lastRenderedPageBreak/>
        <w:t>חלק ראשון: ההנגשה הדיגיטלית לאנשים עם מוגבלות</w:t>
      </w:r>
    </w:p>
    <w:p w:rsidR="002753C7" w:rsidRPr="00662020" w:rsidRDefault="00DF6A0A" w:rsidP="002753C7">
      <w:pPr>
        <w:pStyle w:val="73fd"/>
        <w:rPr>
          <w:rtl/>
        </w:rPr>
      </w:pPr>
      <w:r w:rsidRPr="00362C00">
        <w:rPr>
          <w:noProof/>
          <w:rtl/>
        </w:rPr>
        <w:drawing>
          <wp:anchor distT="0" distB="0" distL="114300" distR="114300" simplePos="0" relativeHeight="251681792" behindDoc="0" locked="0" layoutInCell="1" allowOverlap="1">
            <wp:simplePos x="0" y="0"/>
            <wp:positionH relativeFrom="column">
              <wp:posOffset>2540000</wp:posOffset>
            </wp:positionH>
            <wp:positionV relativeFrom="paragraph">
              <wp:posOffset>531041</wp:posOffset>
            </wp:positionV>
            <wp:extent cx="2101215" cy="172085"/>
            <wp:effectExtent l="0" t="0" r="0" b="5715"/>
            <wp:wrapSquare wrapText="bothSides"/>
            <wp:docPr id="15" name="תמונה 2" descr="ממצאים שליל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r w:rsidRPr="00662020">
        <w:rPr>
          <w:rFonts w:hint="cs"/>
          <w:rtl/>
        </w:rPr>
        <w:t>תמונת המצב העולה מן הביקורת</w:t>
      </w:r>
    </w:p>
    <w:p w:rsidR="002753C7" w:rsidRPr="001F3363" w:rsidRDefault="002753C7" w:rsidP="00420374">
      <w:pPr>
        <w:pStyle w:val="73f7"/>
        <w:rPr>
          <w:rtl/>
        </w:rPr>
      </w:pPr>
    </w:p>
    <w:p w:rsidR="00420374" w:rsidRPr="00121E7D" w:rsidRDefault="00DF6A0A" w:rsidP="00303B4E">
      <w:pPr>
        <w:pStyle w:val="73f7"/>
        <w:rPr>
          <w:spacing w:val="-2"/>
          <w:rtl/>
        </w:rPr>
      </w:pPr>
      <w:r w:rsidRPr="00121E7D">
        <w:rPr>
          <w:rFonts w:hint="cs"/>
          <w:b/>
          <w:bCs/>
          <w:noProof/>
          <w:spacing w:val="-2"/>
          <w:rtl/>
        </w:rPr>
        <w:drawing>
          <wp:anchor distT="0" distB="0" distL="71755" distR="0" simplePos="0" relativeHeight="251682816"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spacing w:val="-2"/>
          <w:rtl/>
        </w:rPr>
        <w:t>ממצאי סקר - נגישות אתרי מרשתת של גופי ממשל</w:t>
      </w:r>
      <w:r w:rsidR="00121E7D" w:rsidRPr="00121E7D">
        <w:rPr>
          <w:rFonts w:hint="cs"/>
          <w:spacing w:val="-2"/>
          <w:rtl/>
        </w:rPr>
        <w:t xml:space="preserve"> -</w:t>
      </w:r>
      <w:r w:rsidR="00121E7D" w:rsidRPr="00121E7D">
        <w:rPr>
          <w:spacing w:val="-2"/>
          <w:rtl/>
        </w:rPr>
        <w:t xml:space="preserve"> ממצאי הסקר שעשה משרד מבקר המדינה בקרב 23 גופי ממשל </w:t>
      </w:r>
      <w:r w:rsidR="00121E7D" w:rsidRPr="00121E7D">
        <w:rPr>
          <w:rFonts w:hint="cs"/>
          <w:spacing w:val="-2"/>
          <w:rtl/>
        </w:rPr>
        <w:t xml:space="preserve">העלה, בהתבסס על דיווחיהם, </w:t>
      </w:r>
      <w:r w:rsidR="00121E7D" w:rsidRPr="00121E7D">
        <w:rPr>
          <w:spacing w:val="-2"/>
          <w:rtl/>
        </w:rPr>
        <w:t xml:space="preserve">שאתרי המרשתת של </w:t>
      </w:r>
      <w:r w:rsidR="00121E7D" w:rsidRPr="00121E7D">
        <w:rPr>
          <w:rFonts w:hint="cs"/>
          <w:spacing w:val="-2"/>
          <w:rtl/>
        </w:rPr>
        <w:t>13</w:t>
      </w:r>
      <w:r w:rsidR="00121E7D" w:rsidRPr="00121E7D">
        <w:rPr>
          <w:spacing w:val="-2"/>
          <w:rtl/>
        </w:rPr>
        <w:t xml:space="preserve"> מהם (</w:t>
      </w:r>
      <w:r w:rsidR="00121E7D" w:rsidRPr="00121E7D">
        <w:rPr>
          <w:rFonts w:hint="cs"/>
          <w:spacing w:val="-2"/>
          <w:rtl/>
        </w:rPr>
        <w:t>57</w:t>
      </w:r>
      <w:r w:rsidR="00121E7D" w:rsidRPr="00121E7D">
        <w:rPr>
          <w:spacing w:val="-2"/>
          <w:rtl/>
        </w:rPr>
        <w:t>%)</w:t>
      </w:r>
      <w:r w:rsidR="00121E7D" w:rsidRPr="00121E7D">
        <w:rPr>
          <w:rFonts w:hint="cs"/>
          <w:spacing w:val="-2"/>
          <w:rtl/>
        </w:rPr>
        <w:t xml:space="preserve"> </w:t>
      </w:r>
      <w:r w:rsidR="00121E7D" w:rsidRPr="00121E7D">
        <w:rPr>
          <w:spacing w:val="-2"/>
          <w:rtl/>
        </w:rPr>
        <w:t>אינם עומדים בדרישות הנגישות כדין</w:t>
      </w:r>
      <w:r w:rsidR="00121E7D" w:rsidRPr="00121E7D">
        <w:rPr>
          <w:rFonts w:hint="cs"/>
          <w:spacing w:val="-2"/>
          <w:rtl/>
        </w:rPr>
        <w:t>,</w:t>
      </w:r>
      <w:r w:rsidR="00121E7D" w:rsidRPr="00121E7D">
        <w:rPr>
          <w:spacing w:val="-2"/>
          <w:rtl/>
        </w:rPr>
        <w:t xml:space="preserve"> </w:t>
      </w:r>
      <w:r w:rsidR="00121E7D" w:rsidRPr="00121E7D">
        <w:rPr>
          <w:rFonts w:hint="cs"/>
          <w:spacing w:val="-2"/>
          <w:rtl/>
        </w:rPr>
        <w:t xml:space="preserve">שכן </w:t>
      </w:r>
      <w:r w:rsidR="00121E7D" w:rsidRPr="00121E7D">
        <w:rPr>
          <w:spacing w:val="-2"/>
          <w:rtl/>
        </w:rPr>
        <w:t xml:space="preserve">יש בהם פריטים שלא </w:t>
      </w:r>
      <w:r w:rsidR="00121E7D" w:rsidRPr="00121E7D">
        <w:rPr>
          <w:rFonts w:hint="cs"/>
          <w:spacing w:val="-2"/>
          <w:rtl/>
        </w:rPr>
        <w:t>ה</w:t>
      </w:r>
      <w:r w:rsidR="00121E7D" w:rsidRPr="00121E7D">
        <w:rPr>
          <w:spacing w:val="-2"/>
          <w:rtl/>
        </w:rPr>
        <w:t>ונגש</w:t>
      </w:r>
      <w:r w:rsidR="00121E7D" w:rsidRPr="00121E7D">
        <w:rPr>
          <w:rFonts w:hint="cs"/>
          <w:spacing w:val="-2"/>
          <w:rtl/>
        </w:rPr>
        <w:t>ו</w:t>
      </w:r>
      <w:r w:rsidR="00121E7D" w:rsidRPr="00121E7D">
        <w:rPr>
          <w:spacing w:val="-2"/>
          <w:rtl/>
        </w:rPr>
        <w:t xml:space="preserve"> לאנשים עם מוגבלויות שונות </w:t>
      </w:r>
      <w:r w:rsidR="00121E7D" w:rsidRPr="00121E7D">
        <w:rPr>
          <w:rFonts w:hint="cs"/>
          <w:spacing w:val="-2"/>
          <w:rtl/>
        </w:rPr>
        <w:t>אף</w:t>
      </w:r>
      <w:r w:rsidR="00121E7D" w:rsidRPr="00121E7D">
        <w:rPr>
          <w:spacing w:val="-2"/>
          <w:rtl/>
        </w:rPr>
        <w:t xml:space="preserve"> שנדרש היה להנגישם.</w:t>
      </w:r>
      <w:r w:rsidR="00121E7D" w:rsidRPr="00121E7D">
        <w:rPr>
          <w:rFonts w:hint="cs"/>
          <w:spacing w:val="-2"/>
          <w:rtl/>
        </w:rPr>
        <w:t xml:space="preserve"> האתרים שייכים לגופים הללו: </w:t>
      </w:r>
      <w:r w:rsidR="00121E7D" w:rsidRPr="00121E7D">
        <w:rPr>
          <w:spacing w:val="-2"/>
          <w:rtl/>
        </w:rPr>
        <w:t>רשות הטבע והגנים, משרד הפנים, משרד התחבורה</w:t>
      </w:r>
      <w:r w:rsidR="00121E7D" w:rsidRPr="00121E7D">
        <w:rPr>
          <w:rFonts w:hint="cs"/>
          <w:spacing w:val="-2"/>
          <w:rtl/>
        </w:rPr>
        <w:t xml:space="preserve"> והבטיחות בדרכים</w:t>
      </w:r>
      <w:r w:rsidR="00121E7D" w:rsidRPr="00121E7D">
        <w:rPr>
          <w:spacing w:val="-2"/>
          <w:rtl/>
        </w:rPr>
        <w:t>, רכבת ישראל, רשות האכיפה והגבייה, משרד הבריאות, משרד החינוך, הנהלת בתי המשפט, ועדת הבחירות המרכזית,</w:t>
      </w:r>
      <w:r w:rsidR="00121E7D" w:rsidRPr="00121E7D">
        <w:rPr>
          <w:rFonts w:hint="cs"/>
          <w:spacing w:val="-2"/>
          <w:rtl/>
        </w:rPr>
        <w:t xml:space="preserve"> </w:t>
      </w:r>
      <w:r w:rsidR="00121E7D" w:rsidRPr="00121E7D">
        <w:rPr>
          <w:rFonts w:hint="eastAsia"/>
          <w:spacing w:val="-2"/>
          <w:rtl/>
        </w:rPr>
        <w:t>רשות</w:t>
      </w:r>
      <w:r w:rsidR="00121E7D" w:rsidRPr="00121E7D">
        <w:rPr>
          <w:spacing w:val="-2"/>
          <w:rtl/>
        </w:rPr>
        <w:t xml:space="preserve"> מקרקעי ישראל, המשרד לשירותי דת</w:t>
      </w:r>
      <w:r w:rsidR="00121E7D" w:rsidRPr="00121E7D">
        <w:rPr>
          <w:rFonts w:hint="cs"/>
          <w:spacing w:val="-2"/>
          <w:rtl/>
        </w:rPr>
        <w:t>,</w:t>
      </w:r>
      <w:r w:rsidR="00121E7D" w:rsidRPr="00121E7D">
        <w:rPr>
          <w:spacing w:val="-2"/>
          <w:rtl/>
        </w:rPr>
        <w:t xml:space="preserve"> משרד החוץ </w:t>
      </w:r>
      <w:r w:rsidR="00121E7D" w:rsidRPr="00121E7D">
        <w:rPr>
          <w:rFonts w:hint="cs"/>
          <w:spacing w:val="-2"/>
          <w:rtl/>
        </w:rPr>
        <w:t>ו</w:t>
      </w:r>
      <w:r w:rsidR="00121E7D" w:rsidRPr="00121E7D">
        <w:rPr>
          <w:rFonts w:hint="eastAsia"/>
          <w:spacing w:val="-2"/>
          <w:rtl/>
        </w:rPr>
        <w:t>משרד</w:t>
      </w:r>
      <w:r w:rsidR="00121E7D" w:rsidRPr="00121E7D">
        <w:rPr>
          <w:spacing w:val="-2"/>
          <w:rtl/>
        </w:rPr>
        <w:t xml:space="preserve"> </w:t>
      </w:r>
      <w:r w:rsidR="00121E7D" w:rsidRPr="00121E7D">
        <w:rPr>
          <w:rFonts w:hint="eastAsia"/>
          <w:spacing w:val="-2"/>
          <w:rtl/>
        </w:rPr>
        <w:t>התיירות</w:t>
      </w:r>
      <w:r w:rsidRPr="00121E7D">
        <w:rPr>
          <w:spacing w:val="-2"/>
          <w:rtl/>
        </w:rPr>
        <w:t>.</w:t>
      </w:r>
    </w:p>
    <w:p w:rsidR="00027D0B" w:rsidRDefault="00DF6A0A" w:rsidP="00027D0B">
      <w:pPr>
        <w:tabs>
          <w:tab w:val="right" w:pos="7370"/>
        </w:tabs>
        <w:bidi w:val="0"/>
        <w:spacing w:after="200" w:line="276" w:lineRule="auto"/>
        <w:rPr>
          <w:rtl/>
        </w:rPr>
      </w:pPr>
      <w:r>
        <w:rPr>
          <w:noProof/>
          <w:rtl/>
          <w:lang w:val="he-IL"/>
        </w:rPr>
        <mc:AlternateContent>
          <mc:Choice Requires="wpg">
            <w:drawing>
              <wp:anchor distT="0" distB="0" distL="114300" distR="114300" simplePos="0" relativeHeight="251699200"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1451066641" name="קבוצה 14510666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42" name="Picture 5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43" name="Text Box 2" descr="תרשים: דיווחי גופי ממשל על נגישותם של אתרי המרשתת שלהם ושל כמה סוגי רכיבים בהם."/>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 xml:space="preserve">דיווחי גופי ממשל על נגישותם של אתרי המרשתת </w:t>
                              </w:r>
                              <w:r w:rsidRPr="00121E7D">
                                <w:rPr>
                                  <w:rFonts w:ascii="Tahoma" w:hAnsi="Tahoma" w:cs="Tahoma"/>
                                  <w:b/>
                                  <w:bCs/>
                                  <w:color w:val="FFFFFF" w:themeColor="background1"/>
                                  <w:spacing w:val="-4"/>
                                  <w:sz w:val="22"/>
                                  <w:szCs w:val="22"/>
                                  <w:rtl/>
                                </w:rPr>
                                <w:t>שלהם ושל כמה סוגי רכיבים בהם*</w:t>
                              </w:r>
                            </w:p>
                          </w:txbxContent>
                        </wps:txbx>
                        <wps:bodyPr rot="0" vert="horz" wrap="square" lIns="91440" tIns="45720" rIns="91440" bIns="45720" anchor="ctr" anchorCtr="0"/>
                      </wps:wsp>
                    </wpg:wgp>
                  </a:graphicData>
                </a:graphic>
              </wp:anchor>
            </w:drawing>
          </mc:Choice>
          <mc:Fallback>
            <w:pict>
              <v:group id="קבוצה 1451066641" o:spid="_x0000_s1043" style="width:372.55pt;height:60.05pt;margin-top:-3.95pt;margin-left:-8.6pt;position:absolute;z-index:251700224" coordsize="47313,7626">
                <v:shape id="Picture 54" o:spid="_x0000_s1044" type="#_x0000_t75" style="width:47313;height:7626;mso-wrap-style:square;position:absolute;visibility:visible">
                  <v:imagedata r:id="rId19" o:title=""/>
                </v:shape>
                <v:shape id="_x0000_s1045" type="#_x0000_t202" alt="תרשים: דיווחי גופי ממשל על נגישותם של אתרי המרשתת שלהם ושל כמה סוגי רכיבים בהם."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דיווחי גופי ממשל על נגישותם של אתרי המרשתת שלהם ושל כמה סוגי רכיבים בהם*</w:t>
                        </w:r>
                      </w:p>
                    </w:txbxContent>
                  </v:textbox>
                </v:shape>
              </v:group>
            </w:pict>
          </mc:Fallback>
        </mc:AlternateContent>
      </w:r>
      <w:r>
        <w:rPr>
          <w:rtl/>
        </w:rPr>
        <w:t xml:space="preserve"> </w:t>
      </w:r>
    </w:p>
    <w:p w:rsidR="00027D0B" w:rsidRDefault="00DF6A0A" w:rsidP="00027D0B">
      <w:pPr>
        <w:pStyle w:val="73f7"/>
        <w:rPr>
          <w:rtl/>
        </w:rPr>
      </w:pPr>
      <w:r w:rsidRPr="004A3378">
        <w:rPr>
          <w:rFonts w:eastAsia="Calibri"/>
          <w:noProof/>
        </w:rPr>
        <w:drawing>
          <wp:anchor distT="0" distB="0" distL="114300" distR="114300" simplePos="0" relativeHeight="251725824" behindDoc="1" locked="0" layoutInCell="1" allowOverlap="1">
            <wp:simplePos x="0" y="0"/>
            <wp:positionH relativeFrom="column">
              <wp:posOffset>889635</wp:posOffset>
            </wp:positionH>
            <wp:positionV relativeFrom="paragraph">
              <wp:posOffset>349885</wp:posOffset>
            </wp:positionV>
            <wp:extent cx="2757805" cy="3103245"/>
            <wp:effectExtent l="0" t="0" r="0" b="0"/>
            <wp:wrapTopAndBottom/>
            <wp:docPr id="1451066684" name="תמונה 1451066684" descr="התרשים מתאר את תוצאות הסקר שעליו השיבו 23 גופי ממשל בנוגע להנגשת אתרי המרשתת שלהם לאנשים עם מוגבלות. תוצאות הסקר המוצגות בתרשים מתוארות בקטעים שלאחריו במ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4" name="תמונה 1451066684"/>
                    <pic:cNvPicPr/>
                  </pic:nvPicPr>
                  <pic:blipFill>
                    <a:blip r:embed="rId27" cstate="print">
                      <a:extLst>
                        <a:ext uri="{28A0092B-C50C-407E-A947-70E740481C1C}">
                          <a14:useLocalDpi xmlns:a14="http://schemas.microsoft.com/office/drawing/2010/main" val="0"/>
                        </a:ext>
                      </a:extLst>
                    </a:blip>
                    <a:srcRect t="839" b="489"/>
                    <a:stretch>
                      <a:fillRect/>
                    </a:stretch>
                  </pic:blipFill>
                  <pic:spPr bwMode="auto">
                    <a:xfrm>
                      <a:off x="0" y="0"/>
                      <a:ext cx="2757805" cy="310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7D0B" w:rsidRDefault="00DF6A0A" w:rsidP="00121E7D">
      <w:pPr>
        <w:pStyle w:val="73e"/>
        <w:spacing w:before="360" w:after="0"/>
        <w:ind w:left="424" w:hanging="424"/>
        <w:rPr>
          <w:b/>
          <w:bCs/>
          <w:noProof/>
          <w:color w:val="FFFFFF" w:themeColor="background1"/>
          <w:sz w:val="22"/>
          <w:szCs w:val="22"/>
        </w:rPr>
      </w:pPr>
      <w:r w:rsidRPr="00771C1A">
        <w:rPr>
          <w:rFonts w:hint="cs"/>
          <w:rtl/>
        </w:rPr>
        <w:t xml:space="preserve">* </w:t>
      </w:r>
      <w:r>
        <w:rPr>
          <w:rtl/>
        </w:rPr>
        <w:tab/>
      </w:r>
      <w:r w:rsidRPr="00771C1A">
        <w:rPr>
          <w:rtl/>
        </w:rPr>
        <w:t>"כן" - מונגש במלואו (כל הפריטים הנכללים בקטגוריה זו הונגשו); "חלקית" - הונגשו רק חלק מן הפריטים ששייכים לכל רכיב</w:t>
      </w:r>
      <w:r w:rsidRPr="00771C1A">
        <w:rPr>
          <w:rFonts w:hint="cs"/>
          <w:rtl/>
        </w:rPr>
        <w:t xml:space="preserve"> </w:t>
      </w:r>
      <w:r w:rsidRPr="00771C1A">
        <w:rPr>
          <w:rtl/>
        </w:rPr>
        <w:t>(קטגוריה);</w:t>
      </w:r>
      <w:r w:rsidRPr="00771C1A">
        <w:rPr>
          <w:rFonts w:hint="cs"/>
          <w:rtl/>
        </w:rPr>
        <w:t xml:space="preserve"> </w:t>
      </w:r>
      <w:r w:rsidRPr="00771C1A">
        <w:rPr>
          <w:rtl/>
        </w:rPr>
        <w:t>"לא" - לא בוצעו פעולות הנגשה; "לא ניתן מענה" - הגוף לא מסר מידע בתשובתו לסקר; "לא רלוונטי" - סו</w:t>
      </w:r>
      <w:r w:rsidRPr="00771C1A">
        <w:rPr>
          <w:rtl/>
        </w:rPr>
        <w:t>ג הרכיב אינו קיים באתר המרשתת של הגוף</w:t>
      </w:r>
      <w:r w:rsidRPr="00BE0973">
        <w:rPr>
          <w:rFonts w:hint="cs"/>
          <w:rtl/>
        </w:rPr>
        <w:t>.</w:t>
      </w:r>
    </w:p>
    <w:p w:rsidR="00420374" w:rsidRPr="0093709F" w:rsidRDefault="00DF6A0A" w:rsidP="00DA022A">
      <w:pPr>
        <w:pStyle w:val="7392"/>
        <w:ind w:left="424"/>
      </w:pPr>
      <w:r w:rsidRPr="00121E7D">
        <w:rPr>
          <w:rFonts w:hint="cs"/>
          <w:b/>
          <w:bCs/>
          <w:noProof/>
          <w:rtl/>
        </w:rPr>
        <w:lastRenderedPageBreak/>
        <w:drawing>
          <wp:anchor distT="0" distB="720090" distL="114300" distR="114300" simplePos="0" relativeHeight="251683840"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spacing w:val="-4"/>
          <w:rtl/>
        </w:rPr>
        <w:t>בדיקת נגישות תקופתית</w:t>
      </w:r>
      <w:r w:rsidR="00121E7D" w:rsidRPr="00771C1A">
        <w:rPr>
          <w:rFonts w:hint="cs"/>
          <w:spacing w:val="-4"/>
          <w:rtl/>
        </w:rPr>
        <w:t xml:space="preserve"> - 10</w:t>
      </w:r>
      <w:r w:rsidR="00121E7D" w:rsidRPr="00771C1A">
        <w:rPr>
          <w:spacing w:val="-4"/>
          <w:rtl/>
        </w:rPr>
        <w:t xml:space="preserve"> </w:t>
      </w:r>
      <w:r w:rsidR="00121E7D" w:rsidRPr="00771C1A">
        <w:rPr>
          <w:rFonts w:hint="cs"/>
          <w:spacing w:val="-4"/>
          <w:rtl/>
        </w:rPr>
        <w:t>מתוך</w:t>
      </w:r>
      <w:r w:rsidR="00121E7D" w:rsidRPr="00771C1A">
        <w:rPr>
          <w:spacing w:val="-4"/>
          <w:rtl/>
        </w:rPr>
        <w:t xml:space="preserve"> 23 גופי ממשל (</w:t>
      </w:r>
      <w:r w:rsidR="00121E7D" w:rsidRPr="00771C1A">
        <w:rPr>
          <w:rFonts w:hint="cs"/>
          <w:spacing w:val="-4"/>
          <w:rtl/>
        </w:rPr>
        <w:t>43</w:t>
      </w:r>
      <w:r w:rsidR="00121E7D" w:rsidRPr="00771C1A">
        <w:rPr>
          <w:spacing w:val="-4"/>
          <w:rtl/>
        </w:rPr>
        <w:t>%) שהשתתפו בסקר</w:t>
      </w:r>
      <w:r w:rsidR="00121E7D" w:rsidRPr="00771C1A">
        <w:rPr>
          <w:rFonts w:hint="cs"/>
          <w:spacing w:val="-4"/>
          <w:rtl/>
        </w:rPr>
        <w:t xml:space="preserve"> שעשה משרד מבקר המדינה - </w:t>
      </w:r>
      <w:r w:rsidR="00121E7D" w:rsidRPr="00771C1A">
        <w:rPr>
          <w:spacing w:val="-4"/>
          <w:rtl/>
        </w:rPr>
        <w:t>משרד הרווחה והביטחון החברתי, רשות מקרקעי ישראל, משרד הבינוי והשיכון, המשרד לשירותי דת, רשות האכיפה והגבייה, משרד החקלאות ופיתוח הכפר, הנהלת בתי המשפט, משרד החוץ</w:t>
      </w:r>
      <w:r w:rsidR="00121E7D" w:rsidRPr="00771C1A">
        <w:rPr>
          <w:rFonts w:hint="cs"/>
          <w:spacing w:val="-4"/>
          <w:rtl/>
        </w:rPr>
        <w:t>, משטרת ישראל</w:t>
      </w:r>
      <w:r w:rsidR="00121E7D" w:rsidRPr="00771C1A">
        <w:rPr>
          <w:spacing w:val="-4"/>
          <w:rtl/>
        </w:rPr>
        <w:t xml:space="preserve"> וכן רשות המיסים</w:t>
      </w:r>
      <w:r w:rsidR="00121E7D" w:rsidRPr="00771C1A">
        <w:rPr>
          <w:rFonts w:hint="cs"/>
          <w:spacing w:val="-4"/>
          <w:rtl/>
        </w:rPr>
        <w:t xml:space="preserve"> - טרם עשו</w:t>
      </w:r>
      <w:r w:rsidR="00121E7D" w:rsidRPr="00771C1A">
        <w:rPr>
          <w:spacing w:val="-4"/>
          <w:rtl/>
        </w:rPr>
        <w:t xml:space="preserve"> בדיקת</w:t>
      </w:r>
      <w:r w:rsidR="00121E7D" w:rsidRPr="00771C1A">
        <w:rPr>
          <w:rFonts w:hint="cs"/>
          <w:spacing w:val="-4"/>
          <w:rtl/>
        </w:rPr>
        <w:t xml:space="preserve"> </w:t>
      </w:r>
      <w:r w:rsidR="00121E7D" w:rsidRPr="00771C1A">
        <w:rPr>
          <w:spacing w:val="-4"/>
          <w:rtl/>
        </w:rPr>
        <w:t xml:space="preserve">נגישות </w:t>
      </w:r>
      <w:r w:rsidR="00121E7D" w:rsidRPr="00771C1A">
        <w:rPr>
          <w:rFonts w:hint="cs"/>
          <w:spacing w:val="-4"/>
          <w:rtl/>
        </w:rPr>
        <w:t xml:space="preserve">תקופתית </w:t>
      </w:r>
      <w:r w:rsidR="00121E7D" w:rsidRPr="00771C1A">
        <w:rPr>
          <w:spacing w:val="-4"/>
          <w:rtl/>
        </w:rPr>
        <w:t>של אתרי המרשתת</w:t>
      </w:r>
      <w:r w:rsidR="00353392">
        <w:rPr>
          <w:rFonts w:hint="cs"/>
          <w:spacing w:val="-4"/>
          <w:rtl/>
        </w:rPr>
        <w:t xml:space="preserve"> הראשיים</w:t>
      </w:r>
      <w:r w:rsidR="00121E7D" w:rsidRPr="00771C1A">
        <w:rPr>
          <w:spacing w:val="-4"/>
          <w:rtl/>
        </w:rPr>
        <w:t xml:space="preserve"> שלהם המספקים מידע ושירות לציבור</w:t>
      </w:r>
      <w:r w:rsidR="00121E7D" w:rsidRPr="00771C1A">
        <w:rPr>
          <w:rFonts w:hint="cs"/>
          <w:spacing w:val="-4"/>
          <w:rtl/>
        </w:rPr>
        <w:t>.</w:t>
      </w:r>
      <w:r w:rsidR="00121E7D" w:rsidRPr="00771C1A">
        <w:rPr>
          <w:spacing w:val="-4"/>
          <w:rtl/>
        </w:rPr>
        <w:t xml:space="preserve"> בדיקה </w:t>
      </w:r>
      <w:r w:rsidR="00121E7D" w:rsidRPr="00771C1A">
        <w:rPr>
          <w:rFonts w:hint="cs"/>
          <w:spacing w:val="-4"/>
          <w:rtl/>
        </w:rPr>
        <w:t>זו נדרש לבצע</w:t>
      </w:r>
      <w:r w:rsidR="00121E7D" w:rsidRPr="00771C1A">
        <w:rPr>
          <w:spacing w:val="-4"/>
          <w:rtl/>
        </w:rPr>
        <w:t xml:space="preserve"> אחת לחמש שנים</w:t>
      </w:r>
      <w:r w:rsidR="00121E7D" w:rsidRPr="00771C1A">
        <w:rPr>
          <w:rFonts w:hint="cs"/>
          <w:spacing w:val="-4"/>
          <w:rtl/>
        </w:rPr>
        <w:t>, ואת הבדיקה הראשונה יש לבצע לא יאוחר מנובמבר 2023</w:t>
      </w:r>
      <w:r w:rsidR="00121E7D" w:rsidRPr="00771C1A">
        <w:rPr>
          <w:spacing w:val="-4"/>
          <w:rtl/>
        </w:rPr>
        <w:t>.</w:t>
      </w:r>
      <w:r w:rsidR="00121E7D" w:rsidRPr="00771C1A">
        <w:rPr>
          <w:rFonts w:hint="cs"/>
          <w:spacing w:val="-4"/>
          <w:rtl/>
        </w:rPr>
        <w:t xml:space="preserve"> </w:t>
      </w:r>
      <w:r w:rsidR="00121E7D" w:rsidRPr="00771C1A">
        <w:rPr>
          <w:spacing w:val="-4"/>
          <w:rtl/>
        </w:rPr>
        <w:t>מתוך עשרת הגופים שלא עשו בדיקת נגישות, ארבעה גופים דיווחו שאתריהם מונגשים חמש שנים לפחות</w:t>
      </w:r>
      <w:r w:rsidRPr="0093709F">
        <w:rPr>
          <w:rFonts w:hint="cs"/>
          <w:rtl/>
        </w:rPr>
        <w:t xml:space="preserve">. </w:t>
      </w:r>
    </w:p>
    <w:p w:rsidR="00420374" w:rsidRPr="0093709F" w:rsidRDefault="00DF6A0A" w:rsidP="00DA022A">
      <w:pPr>
        <w:pStyle w:val="7392"/>
        <w:ind w:left="424"/>
        <w:rPr>
          <w:rtl/>
        </w:rPr>
      </w:pPr>
      <w:r w:rsidRPr="00121E7D">
        <w:rPr>
          <w:rFonts w:hint="cs"/>
          <w:b/>
          <w:bCs/>
          <w:noProof/>
          <w:rtl/>
        </w:rPr>
        <w:drawing>
          <wp:anchor distT="0" distB="720090" distL="114300" distR="114300" simplePos="0" relativeHeight="251684864"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2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spacing w:val="-4"/>
          <w:rtl/>
        </w:rPr>
        <w:t>מינוי רכז נגישות</w:t>
      </w:r>
      <w:r w:rsidR="00121E7D" w:rsidRPr="00771C1A">
        <w:rPr>
          <w:rFonts w:hint="cs"/>
          <w:spacing w:val="-4"/>
          <w:rtl/>
        </w:rPr>
        <w:t xml:space="preserve"> - מתוך</w:t>
      </w:r>
      <w:r w:rsidR="00121E7D" w:rsidRPr="00771C1A">
        <w:rPr>
          <w:spacing w:val="-4"/>
          <w:rtl/>
        </w:rPr>
        <w:t xml:space="preserve"> 23 גופי הממשל שהשיבו </w:t>
      </w:r>
      <w:r w:rsidR="00121E7D" w:rsidRPr="00771C1A">
        <w:rPr>
          <w:rFonts w:hint="cs"/>
          <w:spacing w:val="-4"/>
          <w:rtl/>
        </w:rPr>
        <w:t>ע</w:t>
      </w:r>
      <w:r w:rsidR="00121E7D" w:rsidRPr="00771C1A">
        <w:rPr>
          <w:spacing w:val="-4"/>
          <w:rtl/>
        </w:rPr>
        <w:t>ל</w:t>
      </w:r>
      <w:r w:rsidR="00121E7D" w:rsidRPr="00771C1A">
        <w:rPr>
          <w:rFonts w:hint="cs"/>
          <w:spacing w:val="-4"/>
          <w:rtl/>
        </w:rPr>
        <w:t xml:space="preserve"> ה</w:t>
      </w:r>
      <w:r w:rsidR="00121E7D" w:rsidRPr="00771C1A">
        <w:rPr>
          <w:spacing w:val="-4"/>
          <w:rtl/>
        </w:rPr>
        <w:t xml:space="preserve">סקר, </w:t>
      </w:r>
      <w:r w:rsidR="00121E7D" w:rsidRPr="00771C1A">
        <w:rPr>
          <w:rFonts w:hint="cs"/>
          <w:spacing w:val="-4"/>
          <w:rtl/>
        </w:rPr>
        <w:t xml:space="preserve">שלושה </w:t>
      </w:r>
      <w:r w:rsidR="00121E7D" w:rsidRPr="00771C1A">
        <w:rPr>
          <w:spacing w:val="-4"/>
          <w:rtl/>
        </w:rPr>
        <w:t>(1</w:t>
      </w:r>
      <w:r w:rsidR="00121E7D" w:rsidRPr="00771C1A">
        <w:rPr>
          <w:rFonts w:hint="cs"/>
          <w:spacing w:val="-4"/>
          <w:rtl/>
        </w:rPr>
        <w:t>3</w:t>
      </w:r>
      <w:r w:rsidR="00121E7D" w:rsidRPr="00771C1A">
        <w:rPr>
          <w:spacing w:val="-4"/>
          <w:rtl/>
        </w:rPr>
        <w:t xml:space="preserve">%) </w:t>
      </w:r>
      <w:r w:rsidR="00121E7D" w:rsidRPr="00771C1A">
        <w:rPr>
          <w:rFonts w:hint="cs"/>
          <w:spacing w:val="-4"/>
          <w:rtl/>
        </w:rPr>
        <w:t xml:space="preserve">ציינו </w:t>
      </w:r>
      <w:r w:rsidR="00353392" w:rsidRPr="00353392">
        <w:rPr>
          <w:spacing w:val="-4"/>
          <w:rtl/>
        </w:rPr>
        <w:t xml:space="preserve">בתשובותיהם לשאלון הסקר, כי </w:t>
      </w:r>
      <w:r w:rsidR="00121E7D" w:rsidRPr="00771C1A">
        <w:rPr>
          <w:spacing w:val="-4"/>
          <w:rtl/>
        </w:rPr>
        <w:t xml:space="preserve">לא מינו עובד לתפקיד רכז נגישות - משרד הפנים, המשרד לשירותי דת </w:t>
      </w:r>
      <w:r w:rsidR="00121E7D" w:rsidRPr="00771C1A">
        <w:rPr>
          <w:rFonts w:hint="cs"/>
          <w:spacing w:val="-4"/>
          <w:rtl/>
        </w:rPr>
        <w:t>ו</w:t>
      </w:r>
      <w:r w:rsidR="00121E7D" w:rsidRPr="00771C1A">
        <w:rPr>
          <w:spacing w:val="-4"/>
          <w:rtl/>
        </w:rPr>
        <w:t>ועדת הבחירות המרכזית</w:t>
      </w:r>
      <w:r w:rsidR="00121E7D" w:rsidRPr="00771C1A">
        <w:rPr>
          <w:rFonts w:hint="cs"/>
          <w:spacing w:val="-4"/>
          <w:rtl/>
        </w:rPr>
        <w:t>.</w:t>
      </w:r>
      <w:r w:rsidR="00121E7D" w:rsidRPr="00771C1A">
        <w:rPr>
          <w:spacing w:val="-4"/>
          <w:rtl/>
        </w:rPr>
        <w:t xml:space="preserve"> מינוי </w:t>
      </w:r>
      <w:r w:rsidR="00121E7D" w:rsidRPr="00771C1A">
        <w:rPr>
          <w:rFonts w:hint="cs"/>
          <w:spacing w:val="-4"/>
          <w:rtl/>
        </w:rPr>
        <w:t xml:space="preserve">רכז נגישות </w:t>
      </w:r>
      <w:r w:rsidR="00121E7D" w:rsidRPr="00771C1A">
        <w:rPr>
          <w:spacing w:val="-4"/>
          <w:rtl/>
        </w:rPr>
        <w:t>נדרש על פי החוק</w:t>
      </w:r>
      <w:r w:rsidR="00121E7D" w:rsidRPr="00771C1A">
        <w:rPr>
          <w:rFonts w:hint="cs"/>
          <w:spacing w:val="-4"/>
          <w:rtl/>
        </w:rPr>
        <w:t xml:space="preserve"> מגוף שנותן שירות לציבור ומעסיק מעל 25 עובדים,</w:t>
      </w:r>
      <w:r w:rsidR="00121E7D" w:rsidRPr="00771C1A">
        <w:rPr>
          <w:spacing w:val="-4"/>
          <w:rtl/>
        </w:rPr>
        <w:t xml:space="preserve"> הן כדי שיהיה גורם משרדי ייעודי לקידום הפעילות המשרדית בתחום והן כדי שתהיה כתובת לפניות הציבור בנושא</w:t>
      </w:r>
      <w:r w:rsidRPr="0093709F">
        <w:rPr>
          <w:rFonts w:hint="cs"/>
          <w:rtl/>
        </w:rPr>
        <w:t>.</w:t>
      </w:r>
    </w:p>
    <w:p w:rsidR="00420374" w:rsidRDefault="00DF6A0A" w:rsidP="00DA022A">
      <w:pPr>
        <w:pStyle w:val="7392"/>
        <w:ind w:left="424"/>
        <w:rPr>
          <w:rtl/>
        </w:rPr>
      </w:pPr>
      <w:r w:rsidRPr="00121E7D">
        <w:rPr>
          <w:rFonts w:hint="cs"/>
          <w:b/>
          <w:bCs/>
          <w:noProof/>
          <w:rtl/>
        </w:rPr>
        <w:drawing>
          <wp:anchor distT="0" distB="720090" distL="114300" distR="114300" simplePos="0" relativeHeight="25168588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2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spacing w:val="-4"/>
          <w:rtl/>
        </w:rPr>
        <w:t>בדיקות נגישות שעשה משרד מבקר המדינה</w:t>
      </w:r>
      <w:r w:rsidR="00121E7D" w:rsidRPr="00771C1A">
        <w:rPr>
          <w:rFonts w:hint="cs"/>
          <w:spacing w:val="-4"/>
          <w:rtl/>
        </w:rPr>
        <w:t xml:space="preserve"> - </w:t>
      </w:r>
      <w:r w:rsidR="00121E7D" w:rsidRPr="00771C1A">
        <w:rPr>
          <w:spacing w:val="-4"/>
          <w:rtl/>
        </w:rPr>
        <w:t xml:space="preserve">בבדיקת משרד מבקר המדינה ב-15 אתרי מרשתת של </w:t>
      </w:r>
      <w:r w:rsidR="00121E7D" w:rsidRPr="00771C1A">
        <w:rPr>
          <w:rFonts w:hint="cs"/>
          <w:spacing w:val="-4"/>
          <w:rtl/>
        </w:rPr>
        <w:t xml:space="preserve">14 </w:t>
      </w:r>
      <w:r w:rsidR="00121E7D" w:rsidRPr="00771C1A">
        <w:rPr>
          <w:spacing w:val="-4"/>
          <w:rtl/>
        </w:rPr>
        <w:t xml:space="preserve">גופי ממשל </w:t>
      </w:r>
      <w:r w:rsidR="00121E7D" w:rsidRPr="00771C1A">
        <w:rPr>
          <w:rFonts w:hint="cs"/>
          <w:spacing w:val="-4"/>
          <w:rtl/>
        </w:rPr>
        <w:t xml:space="preserve"> - </w:t>
      </w:r>
      <w:r w:rsidR="00121E7D" w:rsidRPr="00771C1A">
        <w:rPr>
          <w:spacing w:val="-4"/>
          <w:rtl/>
        </w:rPr>
        <w:t>המוסד לביטוח לאומי, המשרד לשירותי דת, הנהלת בתי המשפט  (נבדקו אתר נט המשפט ואתר בית המשפט העליון), ועדת הבחירות המרכזית, כנסת ישראל, משטרת ישראל, משרד הביטחון - אגף שיקום נכים, משרד הבריאות - אתר כל הבריאות, משרד הפנים, צה"ל - אתר יחידת מיטב, רשות האוכלוסין וההגירה, רשות האכיפה והגבייה, רשות הטבע והגנים ו</w:t>
      </w:r>
      <w:r w:rsidR="00121E7D" w:rsidRPr="00771C1A">
        <w:rPr>
          <w:rFonts w:hint="cs"/>
          <w:spacing w:val="-4"/>
          <w:rtl/>
        </w:rPr>
        <w:t xml:space="preserve">שירות </w:t>
      </w:r>
      <w:r w:rsidR="00121E7D" w:rsidRPr="00771C1A">
        <w:rPr>
          <w:spacing w:val="-4"/>
          <w:rtl/>
        </w:rPr>
        <w:t>התעסוקה</w:t>
      </w:r>
      <w:r w:rsidR="00121E7D" w:rsidRPr="00771C1A">
        <w:rPr>
          <w:rFonts w:hint="cs"/>
          <w:spacing w:val="-4"/>
          <w:rtl/>
        </w:rPr>
        <w:t xml:space="preserve"> - </w:t>
      </w:r>
      <w:r w:rsidR="00121E7D" w:rsidRPr="00771C1A">
        <w:rPr>
          <w:spacing w:val="-4"/>
          <w:rtl/>
        </w:rPr>
        <w:t>נמצאו בכל אחד מהם רכיבים שלא היו מונגשים כדין לאנשים עם מוגבלויות שונות. במסגרת</w:t>
      </w:r>
      <w:r w:rsidR="00121E7D" w:rsidRPr="00771C1A">
        <w:rPr>
          <w:rFonts w:hint="cs"/>
          <w:spacing w:val="-4"/>
          <w:rtl/>
        </w:rPr>
        <w:t xml:space="preserve"> הבדיקה בכלל האתרים הללו</w:t>
      </w:r>
      <w:r w:rsidR="00121E7D" w:rsidRPr="00771C1A">
        <w:rPr>
          <w:spacing w:val="-4"/>
          <w:rtl/>
        </w:rPr>
        <w:t xml:space="preserve"> נמצאו מסמכים, טפסים מקוונים </w:t>
      </w:r>
      <w:r w:rsidR="00121E7D" w:rsidRPr="00771C1A">
        <w:rPr>
          <w:rFonts w:hint="cs"/>
          <w:spacing w:val="-4"/>
          <w:rtl/>
        </w:rPr>
        <w:t xml:space="preserve">או </w:t>
      </w:r>
      <w:r w:rsidR="00121E7D" w:rsidRPr="00771C1A">
        <w:rPr>
          <w:spacing w:val="-4"/>
          <w:rtl/>
        </w:rPr>
        <w:t>אלמנטים ויזואליים שלא הונגשו כנדרש</w:t>
      </w:r>
      <w:r w:rsidRPr="0093709F">
        <w:rPr>
          <w:rFonts w:hint="cs"/>
          <w:rtl/>
        </w:rPr>
        <w:t xml:space="preserve">. </w:t>
      </w:r>
    </w:p>
    <w:p w:rsidR="00121E7D" w:rsidRDefault="00DF6A0A">
      <w:pPr>
        <w:bidi w:val="0"/>
        <w:spacing w:after="200" w:line="276" w:lineRule="auto"/>
        <w:rPr>
          <w:rFonts w:ascii="Tahoma" w:hAnsi="Tahoma" w:cs="Tahoma"/>
          <w:color w:val="0D0D0D" w:themeColor="text1" w:themeTint="F2"/>
          <w:sz w:val="18"/>
          <w:szCs w:val="18"/>
          <w:rtl/>
        </w:rPr>
      </w:pPr>
      <w:r>
        <w:rPr>
          <w:rtl/>
        </w:rPr>
        <w:br w:type="page"/>
      </w:r>
    </w:p>
    <w:p w:rsidR="00027D0B" w:rsidRDefault="00DF6A0A" w:rsidP="00027D0B">
      <w:pPr>
        <w:tabs>
          <w:tab w:val="right" w:pos="7370"/>
        </w:tabs>
        <w:bidi w:val="0"/>
        <w:spacing w:after="200" w:line="276" w:lineRule="auto"/>
        <w:rPr>
          <w:rtl/>
        </w:rPr>
      </w:pPr>
      <w:r>
        <w:rPr>
          <w:noProof/>
          <w:rtl/>
          <w:lang w:val="he-IL"/>
        </w:rPr>
        <w:lastRenderedPageBreak/>
        <mc:AlternateContent>
          <mc:Choice Requires="wpg">
            <w:drawing>
              <wp:anchor distT="0" distB="0" distL="114300" distR="114300" simplePos="0" relativeHeight="251701248"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1451066645" name="קבוצה 14510666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47" name="Picture 54">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48" name="Text Box 2" descr="תרשים: שיעור הרכיבים התקינים והלקויים בהנגשה בכל אחד מ-15 אתרי המרשתת שנבדקו."/>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שיעור הרכיבים התקינים והלקויים בהנגשה בכל אחד מ-15 אתרי המרשתת שנבדקו*</w:t>
                              </w:r>
                            </w:p>
                          </w:txbxContent>
                        </wps:txbx>
                        <wps:bodyPr rot="0" vert="horz" wrap="square" lIns="91440" tIns="45720" rIns="91440" bIns="45720" anchor="ctr" anchorCtr="0"/>
                      </wps:wsp>
                    </wpg:wgp>
                  </a:graphicData>
                </a:graphic>
              </wp:anchor>
            </w:drawing>
          </mc:Choice>
          <mc:Fallback>
            <w:pict>
              <v:group id="קבוצה 1451066645" o:spid="_x0000_s1046" style="width:372.55pt;height:60.05pt;margin-top:-3.95pt;margin-left:-8.6pt;position:absolute;z-index:251702272" coordsize="47313,7626">
                <v:shape id="Picture 54" o:spid="_x0000_s1047" type="#_x0000_t75" style="width:47313;height:7626;mso-wrap-style:square;position:absolute;visibility:visible">
                  <v:imagedata r:id="rId19" o:title=""/>
                </v:shape>
                <v:shape id="_x0000_s1048" type="#_x0000_t202" alt="תרשים: שיעור הרכיבים התקינים והלקויים בהנגשה בכל אחד מ-15 אתרי המרשתת שנבדקו."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121E7D">
                          <w:rPr>
                            <w:rFonts w:ascii="Tahoma" w:hAnsi="Tahoma" w:cs="Tahoma"/>
                            <w:b/>
                            <w:bCs/>
                            <w:color w:val="FFFFFF" w:themeColor="background1"/>
                            <w:spacing w:val="-4"/>
                            <w:sz w:val="22"/>
                            <w:szCs w:val="22"/>
                            <w:rtl/>
                          </w:rPr>
                          <w:t>שיעור הרכיבים התקינים והלקויים בהנגשה בכל אחד מ-15 אתרי המרשתת שנבדקו*</w:t>
                        </w:r>
                      </w:p>
                    </w:txbxContent>
                  </v:textbox>
                </v:shape>
              </v:group>
            </w:pict>
          </mc:Fallback>
        </mc:AlternateContent>
      </w:r>
      <w:r>
        <w:rPr>
          <w:rtl/>
        </w:rPr>
        <w:t xml:space="preserve"> </w:t>
      </w:r>
    </w:p>
    <w:p w:rsidR="00027D0B" w:rsidRDefault="00DF6A0A" w:rsidP="00027D0B">
      <w:pPr>
        <w:pStyle w:val="73f7"/>
        <w:rPr>
          <w:rtl/>
        </w:rPr>
      </w:pPr>
      <w:r>
        <w:rPr>
          <w:noProof/>
        </w:rPr>
        <w:drawing>
          <wp:anchor distT="0" distB="0" distL="114300" distR="114300" simplePos="0" relativeHeight="251726848" behindDoc="1" locked="0" layoutInCell="1" allowOverlap="1">
            <wp:simplePos x="0" y="0"/>
            <wp:positionH relativeFrom="column">
              <wp:posOffset>-113030</wp:posOffset>
            </wp:positionH>
            <wp:positionV relativeFrom="paragraph">
              <wp:posOffset>463550</wp:posOffset>
            </wp:positionV>
            <wp:extent cx="4674235" cy="4826635"/>
            <wp:effectExtent l="0" t="0" r="0" b="0"/>
            <wp:wrapTopAndBottom/>
            <wp:docPr id="1451066685" name="תמונה 1451066685" descr="שיעור הפריטים שנמצאו לא נגישים בכל אתר מרשתת, מקרב הפריטים שנדגמו ונבדקו: באתר של המשרד לשירותי דת -73% מהפריטים שנדגמו ונבדקו נמצאו לא מונגשים; באתר של רשות האכיפה והגבייה - 18%, באתר של משרד הביטחון אגף שיקום נכים - 55%, באתר של משטרת ישראל - 45%,  באתר של שירות התעסוקה - 36%, באתר של ועדת הבחירות המרכזית - 27%, באתר נט המשפט- 55%, באתר בית המשפט העליון - 73%, באתר הביטוח הלאומי - 36%, באתר יחידת מיטב (השייך לצה&quot;ל) - 64%, באתר כל הבריאות (השייך למשרד הבריאות) - 64%, באתר כנסת ישראל - 27%, באתר משרד הפנים - 27%, באתר רשות הטבע והגנים - 45%, באתר רשות האוכלוסין וההגירה - 3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5" name="תמונה 1451066685"/>
                    <pic:cNvPicPr/>
                  </pic:nvPicPr>
                  <pic:blipFill>
                    <a:blip r:embed="rId28">
                      <a:extLst>
                        <a:ext uri="{28A0092B-C50C-407E-A947-70E740481C1C}">
                          <a14:useLocalDpi xmlns:a14="http://schemas.microsoft.com/office/drawing/2010/main" val="0"/>
                        </a:ext>
                      </a:extLst>
                    </a:blip>
                    <a:srcRect t="10547" b="17524"/>
                    <a:stretch>
                      <a:fillRect/>
                    </a:stretch>
                  </pic:blipFill>
                  <pic:spPr bwMode="auto">
                    <a:xfrm>
                      <a:off x="0" y="0"/>
                      <a:ext cx="4674235" cy="4826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7D0B" w:rsidRDefault="00DF6A0A" w:rsidP="00353392">
      <w:pPr>
        <w:pStyle w:val="73e"/>
        <w:spacing w:before="240"/>
        <w:ind w:left="424" w:hanging="424"/>
        <w:rPr>
          <w:b/>
          <w:bCs/>
          <w:noProof/>
          <w:color w:val="FFFFFF" w:themeColor="background1"/>
          <w:sz w:val="22"/>
          <w:szCs w:val="22"/>
          <w:rtl/>
        </w:rPr>
      </w:pPr>
      <w:r>
        <w:rPr>
          <w:rFonts w:hint="cs"/>
          <w:rtl/>
        </w:rPr>
        <w:t xml:space="preserve">* </w:t>
      </w:r>
      <w:r>
        <w:rPr>
          <w:rtl/>
        </w:rPr>
        <w:tab/>
      </w:r>
      <w:r w:rsidR="00353392" w:rsidRPr="00353392">
        <w:rPr>
          <w:rtl/>
        </w:rPr>
        <w:t xml:space="preserve">במסגרת הבדיקה נדגם ונבדק מספר מצומצם של פריטים בכל אתר מרשתת. </w:t>
      </w:r>
      <w:r w:rsidRPr="00202F24">
        <w:rPr>
          <w:rFonts w:hint="eastAsia"/>
          <w:rtl/>
        </w:rPr>
        <w:t>סכומי</w:t>
      </w:r>
      <w:r w:rsidRPr="00202F24">
        <w:rPr>
          <w:rtl/>
        </w:rPr>
        <w:t xml:space="preserve"> השיעורים המוצגים בתרשימים לא תמיד מסתכמים בדיוק ב-100% משום שהשיעורים עוגלו</w:t>
      </w:r>
      <w:r w:rsidRPr="00BE0973">
        <w:rPr>
          <w:rFonts w:hint="cs"/>
          <w:rtl/>
        </w:rPr>
        <w:t>.</w:t>
      </w:r>
    </w:p>
    <w:p w:rsidR="00420374" w:rsidRDefault="00DF6A0A" w:rsidP="00DA022A">
      <w:pPr>
        <w:pStyle w:val="7392"/>
        <w:ind w:left="424"/>
        <w:rPr>
          <w:rtl/>
        </w:rPr>
      </w:pPr>
      <w:r w:rsidRPr="00121E7D">
        <w:rPr>
          <w:rFonts w:hint="cs"/>
          <w:b/>
          <w:bCs/>
          <w:noProof/>
          <w:rtl/>
        </w:rPr>
        <w:drawing>
          <wp:anchor distT="0" distB="720090" distL="114300" distR="114300" simplePos="0" relativeHeight="251686912"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3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rtl/>
        </w:rPr>
        <w:t>בדיקת נגישות של דפי שירות</w:t>
      </w:r>
      <w:r w:rsidR="00121E7D" w:rsidRPr="00771C1A">
        <w:rPr>
          <w:rFonts w:hint="cs"/>
          <w:rtl/>
        </w:rPr>
        <w:t xml:space="preserve"> - </w:t>
      </w:r>
      <w:r w:rsidR="00121E7D" w:rsidRPr="00771C1A">
        <w:rPr>
          <w:rtl/>
        </w:rPr>
        <w:t xml:space="preserve">בבדיקת </w:t>
      </w:r>
      <w:r w:rsidR="00121E7D" w:rsidRPr="00771C1A">
        <w:rPr>
          <w:rFonts w:hint="cs"/>
          <w:rtl/>
        </w:rPr>
        <w:t>הנגישות של תהליכי השירות הנוגעים</w:t>
      </w:r>
      <w:r w:rsidR="00121E7D" w:rsidRPr="00771C1A">
        <w:rPr>
          <w:rtl/>
        </w:rPr>
        <w:t xml:space="preserve"> לכל אחד מ-16 דפי שירות מקוונים</w:t>
      </w:r>
      <w:r w:rsidR="00121E7D" w:rsidRPr="00771C1A">
        <w:rPr>
          <w:rFonts w:hint="cs"/>
          <w:rtl/>
        </w:rPr>
        <w:t>,</w:t>
      </w:r>
      <w:r w:rsidR="00121E7D" w:rsidRPr="00771C1A">
        <w:rPr>
          <w:rtl/>
        </w:rPr>
        <w:t xml:space="preserve"> </w:t>
      </w:r>
      <w:r w:rsidR="00121E7D" w:rsidRPr="00771C1A">
        <w:rPr>
          <w:rFonts w:hint="cs"/>
          <w:rtl/>
        </w:rPr>
        <w:t xml:space="preserve">מן הנפוצים ביותר </w:t>
      </w:r>
      <w:r w:rsidR="00121E7D" w:rsidRPr="00771C1A">
        <w:rPr>
          <w:rtl/>
        </w:rPr>
        <w:t>של גופי הממשל, אשר מספקים מידע למשתמש על שירות דיגיטלי באתרי המרשתת ולעיתים אף קישורים לטפסים מקוונים לצורך ביצוע פעולות לקבלת השירות, נמצאו לפחות שני פריטים שלא הונגשו כנדרש על פי הדין.</w:t>
      </w:r>
      <w:r w:rsidR="00121E7D" w:rsidRPr="00771C1A">
        <w:rPr>
          <w:rFonts w:hint="cs"/>
          <w:rtl/>
        </w:rPr>
        <w:t xml:space="preserve"> להלן פירוט דפי השירות שנבדקו</w:t>
      </w:r>
      <w:r w:rsidR="00121E7D">
        <w:rPr>
          <w:rFonts w:hint="cs"/>
          <w:rtl/>
        </w:rPr>
        <w:t>:</w:t>
      </w:r>
      <w:r w:rsidRPr="0093709F">
        <w:rPr>
          <w:rFonts w:hint="cs"/>
          <w:rtl/>
        </w:rPr>
        <w:t xml:space="preserve"> </w:t>
      </w:r>
    </w:p>
    <w:tbl>
      <w:tblPr>
        <w:tblStyle w:val="a9"/>
        <w:bidiVisual/>
        <w:tblW w:w="0" w:type="auto"/>
        <w:tblInd w:w="424" w:type="dxa"/>
        <w:tblBorders>
          <w:top w:val="none" w:sz="0" w:space="0" w:color="auto"/>
          <w:bottom w:val="none" w:sz="0" w:space="0" w:color="auto"/>
          <w:insideH w:val="none" w:sz="0" w:space="0" w:color="auto"/>
        </w:tblBorders>
        <w:tblLook w:val="04A0" w:firstRow="1" w:lastRow="0" w:firstColumn="1" w:lastColumn="0" w:noHBand="0" w:noVBand="1"/>
      </w:tblPr>
      <w:tblGrid>
        <w:gridCol w:w="3469"/>
        <w:gridCol w:w="3467"/>
      </w:tblGrid>
      <w:tr w:rsidR="007758ED" w:rsidTr="00121E7D">
        <w:tc>
          <w:tcPr>
            <w:tcW w:w="3469" w:type="dxa"/>
            <w:shd w:val="clear" w:color="auto" w:fill="C8DCE4"/>
          </w:tcPr>
          <w:p w:rsidR="00027D0B" w:rsidRPr="00027D0B" w:rsidRDefault="00DF6A0A" w:rsidP="00027D0B">
            <w:pPr>
              <w:pStyle w:val="73R"/>
              <w:rPr>
                <w:b/>
                <w:bCs/>
                <w:rtl/>
              </w:rPr>
            </w:pPr>
            <w:r w:rsidRPr="00027D0B">
              <w:rPr>
                <w:rFonts w:hint="cs"/>
                <w:b/>
                <w:bCs/>
                <w:rtl/>
              </w:rPr>
              <w:lastRenderedPageBreak/>
              <w:t>השירות הנבדק</w:t>
            </w:r>
          </w:p>
        </w:tc>
        <w:tc>
          <w:tcPr>
            <w:tcW w:w="3467" w:type="dxa"/>
            <w:shd w:val="clear" w:color="auto" w:fill="C8DCE4"/>
          </w:tcPr>
          <w:p w:rsidR="00027D0B" w:rsidRPr="00027D0B" w:rsidRDefault="00DF6A0A" w:rsidP="00027D0B">
            <w:pPr>
              <w:pStyle w:val="73R"/>
              <w:rPr>
                <w:b/>
                <w:bCs/>
                <w:rtl/>
              </w:rPr>
            </w:pPr>
            <w:r w:rsidRPr="00027D0B">
              <w:rPr>
                <w:rFonts w:hint="cs"/>
                <w:b/>
                <w:bCs/>
                <w:rtl/>
              </w:rPr>
              <w:t>גוף הממשל</w:t>
            </w:r>
          </w:p>
        </w:tc>
      </w:tr>
      <w:tr w:rsidR="007758ED" w:rsidTr="00121E7D">
        <w:tc>
          <w:tcPr>
            <w:tcW w:w="3469" w:type="dxa"/>
            <w:shd w:val="clear" w:color="auto" w:fill="DFECEF"/>
          </w:tcPr>
          <w:p w:rsidR="00027D0B" w:rsidRPr="00027D0B" w:rsidRDefault="00DF6A0A" w:rsidP="00027D0B">
            <w:pPr>
              <w:pStyle w:val="73R"/>
              <w:rPr>
                <w:rtl/>
              </w:rPr>
            </w:pPr>
            <w:r w:rsidRPr="00ED33F5">
              <w:rPr>
                <w:rtl/>
              </w:rPr>
              <w:t>הפקת נסח טאבו מפנקסי המקרקעין</w:t>
            </w:r>
          </w:p>
        </w:tc>
        <w:tc>
          <w:tcPr>
            <w:tcW w:w="3467" w:type="dxa"/>
            <w:shd w:val="clear" w:color="auto" w:fill="DFECEF"/>
          </w:tcPr>
          <w:p w:rsidR="00027D0B" w:rsidRPr="00027D0B" w:rsidRDefault="00DF6A0A" w:rsidP="00027D0B">
            <w:pPr>
              <w:pStyle w:val="73R"/>
              <w:rPr>
                <w:rtl/>
              </w:rPr>
            </w:pPr>
            <w:r w:rsidRPr="00ED33F5">
              <w:rPr>
                <w:rtl/>
              </w:rPr>
              <w:t>משרד המשפטים, הרשות לרישום והסדר זכויות מקרקעין</w:t>
            </w:r>
          </w:p>
        </w:tc>
      </w:tr>
      <w:tr w:rsidR="007758ED" w:rsidTr="00121E7D">
        <w:tc>
          <w:tcPr>
            <w:tcW w:w="3469" w:type="dxa"/>
            <w:shd w:val="clear" w:color="auto" w:fill="F0F8F9"/>
          </w:tcPr>
          <w:p w:rsidR="00027D0B" w:rsidRPr="00027D0B" w:rsidRDefault="00DF6A0A" w:rsidP="00027D0B">
            <w:pPr>
              <w:pStyle w:val="73R"/>
              <w:rPr>
                <w:rtl/>
              </w:rPr>
            </w:pPr>
            <w:r w:rsidRPr="00ED33F5">
              <w:rPr>
                <w:rtl/>
              </w:rPr>
              <w:t>תשלום קנסות תעבורה</w:t>
            </w:r>
          </w:p>
        </w:tc>
        <w:tc>
          <w:tcPr>
            <w:tcW w:w="3467" w:type="dxa"/>
            <w:shd w:val="clear" w:color="auto" w:fill="F0F8F9"/>
          </w:tcPr>
          <w:p w:rsidR="00027D0B" w:rsidRPr="00027D0B" w:rsidRDefault="00DF6A0A" w:rsidP="00027D0B">
            <w:pPr>
              <w:pStyle w:val="73R"/>
              <w:rPr>
                <w:rtl/>
              </w:rPr>
            </w:pPr>
            <w:r w:rsidRPr="00ED33F5">
              <w:rPr>
                <w:rtl/>
              </w:rPr>
              <w:t>משטרת ישראל</w:t>
            </w:r>
          </w:p>
        </w:tc>
      </w:tr>
      <w:tr w:rsidR="007758ED" w:rsidTr="00121E7D">
        <w:tc>
          <w:tcPr>
            <w:tcW w:w="3469" w:type="dxa"/>
            <w:shd w:val="clear" w:color="auto" w:fill="DFECEF"/>
          </w:tcPr>
          <w:p w:rsidR="00027D0B" w:rsidRPr="00027D0B" w:rsidRDefault="00DF6A0A" w:rsidP="00027D0B">
            <w:pPr>
              <w:pStyle w:val="73R"/>
              <w:rPr>
                <w:rtl/>
              </w:rPr>
            </w:pPr>
            <w:r w:rsidRPr="00ED33F5">
              <w:rPr>
                <w:rtl/>
              </w:rPr>
              <w:t>הצהרת נוסע נכנס לישראל לפני טיסה (לתקופת הקורונה)</w:t>
            </w:r>
          </w:p>
        </w:tc>
        <w:tc>
          <w:tcPr>
            <w:tcW w:w="3467" w:type="dxa"/>
            <w:shd w:val="clear" w:color="auto" w:fill="DFECEF"/>
          </w:tcPr>
          <w:p w:rsidR="00027D0B" w:rsidRPr="00027D0B" w:rsidRDefault="00DF6A0A" w:rsidP="00027D0B">
            <w:pPr>
              <w:pStyle w:val="73R"/>
              <w:rPr>
                <w:rtl/>
              </w:rPr>
            </w:pPr>
            <w:r w:rsidRPr="00ED33F5">
              <w:rPr>
                <w:rtl/>
              </w:rPr>
              <w:t>משרד הבריאות</w:t>
            </w:r>
          </w:p>
        </w:tc>
      </w:tr>
      <w:tr w:rsidR="007758ED" w:rsidTr="00121E7D">
        <w:tc>
          <w:tcPr>
            <w:tcW w:w="3469" w:type="dxa"/>
            <w:shd w:val="clear" w:color="auto" w:fill="F0F8F9"/>
          </w:tcPr>
          <w:p w:rsidR="00027D0B" w:rsidRPr="00027D0B" w:rsidRDefault="00DF6A0A" w:rsidP="00027D0B">
            <w:pPr>
              <w:pStyle w:val="73R"/>
              <w:rPr>
                <w:rtl/>
              </w:rPr>
            </w:pPr>
            <w:r w:rsidRPr="00ED33F5">
              <w:rPr>
                <w:rtl/>
              </w:rPr>
              <w:t>חידוש רישיון רכב</w:t>
            </w:r>
          </w:p>
        </w:tc>
        <w:tc>
          <w:tcPr>
            <w:tcW w:w="3467" w:type="dxa"/>
            <w:shd w:val="clear" w:color="auto" w:fill="F0F8F9"/>
          </w:tcPr>
          <w:p w:rsidR="00027D0B" w:rsidRPr="00027D0B" w:rsidRDefault="00DF6A0A" w:rsidP="00027D0B">
            <w:pPr>
              <w:pStyle w:val="73R"/>
              <w:rPr>
                <w:rtl/>
              </w:rPr>
            </w:pPr>
            <w:r w:rsidRPr="00ED33F5">
              <w:rPr>
                <w:rtl/>
              </w:rPr>
              <w:t>משרד התחבורה והבטיחות בדרכים</w:t>
            </w:r>
          </w:p>
        </w:tc>
      </w:tr>
      <w:tr w:rsidR="007758ED" w:rsidTr="00121E7D">
        <w:tc>
          <w:tcPr>
            <w:tcW w:w="3469" w:type="dxa"/>
            <w:shd w:val="clear" w:color="auto" w:fill="DFECEF"/>
          </w:tcPr>
          <w:p w:rsidR="00027D0B" w:rsidRPr="00027D0B" w:rsidRDefault="00DF6A0A" w:rsidP="00027D0B">
            <w:pPr>
              <w:pStyle w:val="73R"/>
              <w:rPr>
                <w:rtl/>
              </w:rPr>
            </w:pPr>
            <w:r w:rsidRPr="00ED33F5">
              <w:rPr>
                <w:rtl/>
              </w:rPr>
              <w:t>תג חניה לנכה</w:t>
            </w:r>
          </w:p>
        </w:tc>
        <w:tc>
          <w:tcPr>
            <w:tcW w:w="3467" w:type="dxa"/>
            <w:shd w:val="clear" w:color="auto" w:fill="DFECEF"/>
          </w:tcPr>
          <w:p w:rsidR="00027D0B" w:rsidRPr="00027D0B" w:rsidRDefault="00DF6A0A" w:rsidP="00027D0B">
            <w:pPr>
              <w:pStyle w:val="73R"/>
              <w:rPr>
                <w:rtl/>
              </w:rPr>
            </w:pPr>
            <w:r w:rsidRPr="00ED33F5">
              <w:rPr>
                <w:rtl/>
              </w:rPr>
              <w:t>משרד התחבורה והבטיחות בדרכים</w:t>
            </w:r>
          </w:p>
        </w:tc>
      </w:tr>
      <w:tr w:rsidR="007758ED" w:rsidTr="00121E7D">
        <w:tc>
          <w:tcPr>
            <w:tcW w:w="3469" w:type="dxa"/>
            <w:shd w:val="clear" w:color="auto" w:fill="F0F8F9"/>
          </w:tcPr>
          <w:p w:rsidR="00027D0B" w:rsidRPr="00027D0B" w:rsidRDefault="00DF6A0A" w:rsidP="00027D0B">
            <w:pPr>
              <w:pStyle w:val="73R"/>
              <w:rPr>
                <w:rtl/>
              </w:rPr>
            </w:pPr>
            <w:r w:rsidRPr="00ED33F5">
              <w:rPr>
                <w:rtl/>
              </w:rPr>
              <w:t>הוצאת רישיון נהיגה</w:t>
            </w:r>
          </w:p>
        </w:tc>
        <w:tc>
          <w:tcPr>
            <w:tcW w:w="3467" w:type="dxa"/>
            <w:shd w:val="clear" w:color="auto" w:fill="F0F8F9"/>
          </w:tcPr>
          <w:p w:rsidR="00027D0B" w:rsidRPr="00027D0B" w:rsidRDefault="00DF6A0A" w:rsidP="00027D0B">
            <w:pPr>
              <w:pStyle w:val="73R"/>
              <w:rPr>
                <w:rtl/>
              </w:rPr>
            </w:pPr>
            <w:r w:rsidRPr="00ED33F5">
              <w:rPr>
                <w:rtl/>
              </w:rPr>
              <w:t>משרד התחבורה והבטיחות בדרכים</w:t>
            </w:r>
          </w:p>
        </w:tc>
      </w:tr>
      <w:tr w:rsidR="007758ED" w:rsidTr="00121E7D">
        <w:tc>
          <w:tcPr>
            <w:tcW w:w="3469" w:type="dxa"/>
            <w:shd w:val="clear" w:color="auto" w:fill="DFECEF"/>
          </w:tcPr>
          <w:p w:rsidR="00027D0B" w:rsidRPr="00027D0B" w:rsidRDefault="00DF6A0A" w:rsidP="00027D0B">
            <w:pPr>
              <w:pStyle w:val="73R"/>
              <w:rPr>
                <w:rtl/>
              </w:rPr>
            </w:pPr>
            <w:r w:rsidRPr="00ED33F5">
              <w:rPr>
                <w:rtl/>
              </w:rPr>
              <w:t>חידוש רישיון נהיגה</w:t>
            </w:r>
          </w:p>
        </w:tc>
        <w:tc>
          <w:tcPr>
            <w:tcW w:w="3467" w:type="dxa"/>
            <w:shd w:val="clear" w:color="auto" w:fill="DFECEF"/>
          </w:tcPr>
          <w:p w:rsidR="00027D0B" w:rsidRPr="00027D0B" w:rsidRDefault="00DF6A0A" w:rsidP="00027D0B">
            <w:pPr>
              <w:pStyle w:val="73R"/>
              <w:rPr>
                <w:rtl/>
              </w:rPr>
            </w:pPr>
            <w:r w:rsidRPr="00ED33F5">
              <w:rPr>
                <w:rtl/>
              </w:rPr>
              <w:t>משרד התחבורה והבטיחות בדרכים</w:t>
            </w:r>
          </w:p>
        </w:tc>
      </w:tr>
      <w:tr w:rsidR="007758ED" w:rsidTr="00121E7D">
        <w:tc>
          <w:tcPr>
            <w:tcW w:w="3469" w:type="dxa"/>
            <w:shd w:val="clear" w:color="auto" w:fill="F0F8F9"/>
          </w:tcPr>
          <w:p w:rsidR="00027D0B" w:rsidRPr="00027D0B" w:rsidRDefault="00DF6A0A" w:rsidP="00027D0B">
            <w:pPr>
              <w:pStyle w:val="73R"/>
              <w:rPr>
                <w:rtl/>
              </w:rPr>
            </w:pPr>
            <w:r w:rsidRPr="00ED33F5">
              <w:rPr>
                <w:rtl/>
              </w:rPr>
              <w:t>העברת בעלות לכלי רכב</w:t>
            </w:r>
          </w:p>
        </w:tc>
        <w:tc>
          <w:tcPr>
            <w:tcW w:w="3467" w:type="dxa"/>
            <w:shd w:val="clear" w:color="auto" w:fill="F0F8F9"/>
          </w:tcPr>
          <w:p w:rsidR="00027D0B" w:rsidRPr="00027D0B" w:rsidRDefault="00DF6A0A" w:rsidP="00027D0B">
            <w:pPr>
              <w:pStyle w:val="73R"/>
              <w:rPr>
                <w:rtl/>
              </w:rPr>
            </w:pPr>
            <w:r w:rsidRPr="00ED33F5">
              <w:rPr>
                <w:rtl/>
              </w:rPr>
              <w:t>משרד התחבורה והבטיחות בדרכים</w:t>
            </w:r>
          </w:p>
        </w:tc>
      </w:tr>
      <w:tr w:rsidR="007758ED" w:rsidTr="00121E7D">
        <w:tc>
          <w:tcPr>
            <w:tcW w:w="3469" w:type="dxa"/>
            <w:shd w:val="clear" w:color="auto" w:fill="DFECEF"/>
          </w:tcPr>
          <w:p w:rsidR="00027D0B" w:rsidRPr="00027D0B" w:rsidRDefault="00DF6A0A" w:rsidP="00027D0B">
            <w:pPr>
              <w:pStyle w:val="73R"/>
              <w:rPr>
                <w:rtl/>
              </w:rPr>
            </w:pPr>
            <w:r w:rsidRPr="00ED33F5">
              <w:rPr>
                <w:rtl/>
              </w:rPr>
              <w:t>בקשה לדרכון</w:t>
            </w:r>
          </w:p>
        </w:tc>
        <w:tc>
          <w:tcPr>
            <w:tcW w:w="3467" w:type="dxa"/>
            <w:shd w:val="clear" w:color="auto" w:fill="DFECEF"/>
          </w:tcPr>
          <w:p w:rsidR="00027D0B" w:rsidRPr="00027D0B" w:rsidRDefault="00DF6A0A" w:rsidP="00027D0B">
            <w:pPr>
              <w:pStyle w:val="73R"/>
              <w:rPr>
                <w:rtl/>
              </w:rPr>
            </w:pPr>
            <w:r w:rsidRPr="00ED33F5">
              <w:rPr>
                <w:rtl/>
              </w:rPr>
              <w:t xml:space="preserve">רשות </w:t>
            </w:r>
            <w:r w:rsidRPr="00ED33F5">
              <w:rPr>
                <w:rtl/>
              </w:rPr>
              <w:t>האוכלוסין וההגירה</w:t>
            </w:r>
          </w:p>
        </w:tc>
      </w:tr>
      <w:tr w:rsidR="007758ED" w:rsidTr="00121E7D">
        <w:tc>
          <w:tcPr>
            <w:tcW w:w="3469" w:type="dxa"/>
            <w:shd w:val="clear" w:color="auto" w:fill="F0F8F9"/>
          </w:tcPr>
          <w:p w:rsidR="00027D0B" w:rsidRPr="00027D0B" w:rsidRDefault="00DF6A0A" w:rsidP="00027D0B">
            <w:pPr>
              <w:pStyle w:val="73R"/>
              <w:rPr>
                <w:rtl/>
              </w:rPr>
            </w:pPr>
            <w:r w:rsidRPr="00ED33F5">
              <w:rPr>
                <w:rtl/>
              </w:rPr>
              <w:t>בקשה לתעודת זהות</w:t>
            </w:r>
          </w:p>
        </w:tc>
        <w:tc>
          <w:tcPr>
            <w:tcW w:w="3467" w:type="dxa"/>
            <w:shd w:val="clear" w:color="auto" w:fill="F0F8F9"/>
          </w:tcPr>
          <w:p w:rsidR="00027D0B" w:rsidRPr="00027D0B" w:rsidRDefault="00DF6A0A" w:rsidP="00027D0B">
            <w:pPr>
              <w:pStyle w:val="73R"/>
              <w:rPr>
                <w:rtl/>
              </w:rPr>
            </w:pPr>
            <w:r w:rsidRPr="00ED33F5">
              <w:rPr>
                <w:rtl/>
              </w:rPr>
              <w:t>רשות האוכלוסין וההגירה</w:t>
            </w:r>
          </w:p>
        </w:tc>
      </w:tr>
      <w:tr w:rsidR="007758ED" w:rsidTr="00121E7D">
        <w:tc>
          <w:tcPr>
            <w:tcW w:w="3469" w:type="dxa"/>
            <w:shd w:val="clear" w:color="auto" w:fill="DFECEF"/>
          </w:tcPr>
          <w:p w:rsidR="00027D0B" w:rsidRPr="00027D0B" w:rsidRDefault="00DF6A0A" w:rsidP="00027D0B">
            <w:pPr>
              <w:pStyle w:val="73R"/>
              <w:rPr>
                <w:rtl/>
              </w:rPr>
            </w:pPr>
            <w:r w:rsidRPr="00ED33F5">
              <w:rPr>
                <w:rtl/>
              </w:rPr>
              <w:t>מידע על אישורי ניכוי מס במקור וניהול ספרים</w:t>
            </w:r>
          </w:p>
        </w:tc>
        <w:tc>
          <w:tcPr>
            <w:tcW w:w="3467" w:type="dxa"/>
            <w:shd w:val="clear" w:color="auto" w:fill="DFECEF"/>
          </w:tcPr>
          <w:p w:rsidR="00027D0B" w:rsidRPr="00027D0B" w:rsidRDefault="00DF6A0A" w:rsidP="00027D0B">
            <w:pPr>
              <w:pStyle w:val="73R"/>
              <w:rPr>
                <w:rtl/>
              </w:rPr>
            </w:pPr>
            <w:r w:rsidRPr="00ED33F5">
              <w:rPr>
                <w:rtl/>
              </w:rPr>
              <w:t>רשות המיסים בישראל</w:t>
            </w:r>
          </w:p>
        </w:tc>
      </w:tr>
      <w:tr w:rsidR="007758ED" w:rsidTr="00121E7D">
        <w:tc>
          <w:tcPr>
            <w:tcW w:w="3469" w:type="dxa"/>
            <w:shd w:val="clear" w:color="auto" w:fill="F0F8F9"/>
          </w:tcPr>
          <w:p w:rsidR="00027D0B" w:rsidRPr="00027D0B" w:rsidRDefault="00DF6A0A" w:rsidP="00027D0B">
            <w:pPr>
              <w:pStyle w:val="73R"/>
              <w:rPr>
                <w:rtl/>
              </w:rPr>
            </w:pPr>
            <w:r w:rsidRPr="00ED33F5">
              <w:rPr>
                <w:rtl/>
              </w:rPr>
              <w:t>בירור מצב טיפול בבקשה למענק עבודה</w:t>
            </w:r>
          </w:p>
        </w:tc>
        <w:tc>
          <w:tcPr>
            <w:tcW w:w="3467" w:type="dxa"/>
            <w:shd w:val="clear" w:color="auto" w:fill="F0F8F9"/>
          </w:tcPr>
          <w:p w:rsidR="00027D0B" w:rsidRPr="00027D0B" w:rsidRDefault="00DF6A0A" w:rsidP="00027D0B">
            <w:pPr>
              <w:pStyle w:val="73R"/>
              <w:rPr>
                <w:rtl/>
              </w:rPr>
            </w:pPr>
            <w:r w:rsidRPr="00ED33F5">
              <w:rPr>
                <w:rtl/>
              </w:rPr>
              <w:t>רשות המיסים בישראל</w:t>
            </w:r>
          </w:p>
        </w:tc>
      </w:tr>
      <w:tr w:rsidR="007758ED" w:rsidTr="00121E7D">
        <w:tc>
          <w:tcPr>
            <w:tcW w:w="3469" w:type="dxa"/>
            <w:shd w:val="clear" w:color="auto" w:fill="DFECEF"/>
          </w:tcPr>
          <w:p w:rsidR="00027D0B" w:rsidRPr="00027D0B" w:rsidRDefault="00DF6A0A" w:rsidP="00027D0B">
            <w:pPr>
              <w:pStyle w:val="73R"/>
              <w:rPr>
                <w:rtl/>
              </w:rPr>
            </w:pPr>
            <w:r w:rsidRPr="00ED33F5">
              <w:rPr>
                <w:rtl/>
              </w:rPr>
              <w:t>הגשת בקשה למענק עבודה</w:t>
            </w:r>
          </w:p>
        </w:tc>
        <w:tc>
          <w:tcPr>
            <w:tcW w:w="3467" w:type="dxa"/>
            <w:shd w:val="clear" w:color="auto" w:fill="DFECEF"/>
          </w:tcPr>
          <w:p w:rsidR="00027D0B" w:rsidRPr="00027D0B" w:rsidRDefault="00DF6A0A" w:rsidP="00027D0B">
            <w:pPr>
              <w:pStyle w:val="73R"/>
              <w:rPr>
                <w:rtl/>
              </w:rPr>
            </w:pPr>
            <w:r w:rsidRPr="00ED33F5">
              <w:rPr>
                <w:rtl/>
              </w:rPr>
              <w:t>רשות המיסים בישראל</w:t>
            </w:r>
          </w:p>
        </w:tc>
      </w:tr>
      <w:tr w:rsidR="007758ED" w:rsidTr="00121E7D">
        <w:tc>
          <w:tcPr>
            <w:tcW w:w="3469" w:type="dxa"/>
            <w:shd w:val="clear" w:color="auto" w:fill="F0F8F9"/>
          </w:tcPr>
          <w:p w:rsidR="00027D0B" w:rsidRPr="00027D0B" w:rsidRDefault="00DF6A0A" w:rsidP="00027D0B">
            <w:pPr>
              <w:pStyle w:val="73R"/>
              <w:rPr>
                <w:rtl/>
              </w:rPr>
            </w:pPr>
            <w:r w:rsidRPr="00ED33F5">
              <w:rPr>
                <w:rtl/>
              </w:rPr>
              <w:t>עריכת תיאום מס באינטרנט</w:t>
            </w:r>
          </w:p>
        </w:tc>
        <w:tc>
          <w:tcPr>
            <w:tcW w:w="3467" w:type="dxa"/>
            <w:shd w:val="clear" w:color="auto" w:fill="F0F8F9"/>
          </w:tcPr>
          <w:p w:rsidR="00027D0B" w:rsidRPr="00027D0B" w:rsidRDefault="00DF6A0A" w:rsidP="00027D0B">
            <w:pPr>
              <w:pStyle w:val="73R"/>
              <w:rPr>
                <w:rtl/>
              </w:rPr>
            </w:pPr>
            <w:r w:rsidRPr="00ED33F5">
              <w:rPr>
                <w:rtl/>
              </w:rPr>
              <w:t xml:space="preserve">רשות המיסים </w:t>
            </w:r>
            <w:r w:rsidRPr="00ED33F5">
              <w:rPr>
                <w:rtl/>
              </w:rPr>
              <w:t>בישראל</w:t>
            </w:r>
          </w:p>
        </w:tc>
      </w:tr>
      <w:tr w:rsidR="007758ED" w:rsidTr="00121E7D">
        <w:tc>
          <w:tcPr>
            <w:tcW w:w="3469" w:type="dxa"/>
            <w:shd w:val="clear" w:color="auto" w:fill="DFECEF"/>
          </w:tcPr>
          <w:p w:rsidR="00027D0B" w:rsidRPr="00027D0B" w:rsidRDefault="00DF6A0A" w:rsidP="00027D0B">
            <w:pPr>
              <w:pStyle w:val="73R"/>
              <w:rPr>
                <w:rtl/>
              </w:rPr>
            </w:pPr>
            <w:r w:rsidRPr="00ED33F5">
              <w:rPr>
                <w:rtl/>
              </w:rPr>
              <w:t xml:space="preserve">מידע בנושא נדל"ן </w:t>
            </w:r>
          </w:p>
        </w:tc>
        <w:tc>
          <w:tcPr>
            <w:tcW w:w="3467" w:type="dxa"/>
            <w:shd w:val="clear" w:color="auto" w:fill="DFECEF"/>
          </w:tcPr>
          <w:p w:rsidR="00027D0B" w:rsidRPr="00027D0B" w:rsidRDefault="00DF6A0A" w:rsidP="00027D0B">
            <w:pPr>
              <w:pStyle w:val="73R"/>
              <w:rPr>
                <w:rtl/>
              </w:rPr>
            </w:pPr>
            <w:r w:rsidRPr="00ED33F5">
              <w:rPr>
                <w:rtl/>
              </w:rPr>
              <w:t>רשות המיסים בישראל</w:t>
            </w:r>
          </w:p>
        </w:tc>
      </w:tr>
      <w:tr w:rsidR="007758ED" w:rsidTr="00121E7D">
        <w:tc>
          <w:tcPr>
            <w:tcW w:w="3469" w:type="dxa"/>
            <w:shd w:val="clear" w:color="auto" w:fill="F0F8F9"/>
          </w:tcPr>
          <w:p w:rsidR="00027D0B" w:rsidRPr="00027D0B" w:rsidRDefault="00DF6A0A" w:rsidP="00027D0B">
            <w:pPr>
              <w:pStyle w:val="73R"/>
              <w:rPr>
                <w:rtl/>
              </w:rPr>
            </w:pPr>
            <w:r w:rsidRPr="00ED33F5">
              <w:rPr>
                <w:rtl/>
              </w:rPr>
              <w:t>רמ"י שלי (מידע מרשות מקרקעי ישראל)</w:t>
            </w:r>
          </w:p>
        </w:tc>
        <w:tc>
          <w:tcPr>
            <w:tcW w:w="3467" w:type="dxa"/>
            <w:shd w:val="clear" w:color="auto" w:fill="F0F8F9"/>
          </w:tcPr>
          <w:p w:rsidR="00027D0B" w:rsidRPr="00027D0B" w:rsidRDefault="00DF6A0A" w:rsidP="00027D0B">
            <w:pPr>
              <w:pStyle w:val="73R"/>
              <w:rPr>
                <w:rtl/>
              </w:rPr>
            </w:pPr>
            <w:r w:rsidRPr="00ED33F5">
              <w:rPr>
                <w:rtl/>
              </w:rPr>
              <w:t>רשות מקרקעי ישראל</w:t>
            </w:r>
          </w:p>
        </w:tc>
      </w:tr>
    </w:tbl>
    <w:p w:rsidR="00027D0B" w:rsidRPr="0093709F" w:rsidRDefault="00027D0B" w:rsidP="00DA022A">
      <w:pPr>
        <w:pStyle w:val="7392"/>
        <w:ind w:left="424"/>
      </w:pPr>
    </w:p>
    <w:p w:rsidR="00027D0B" w:rsidRPr="00121E7D" w:rsidRDefault="00DF6A0A" w:rsidP="00121E7D">
      <w:pPr>
        <w:pStyle w:val="73610"/>
        <w:rPr>
          <w:color w:val="000000" w:themeColor="text1"/>
          <w:rtl/>
        </w:rPr>
      </w:pPr>
      <w:r w:rsidRPr="00121E7D">
        <w:rPr>
          <w:rFonts w:hint="cs"/>
          <w:color w:val="000000" w:themeColor="text1"/>
          <w:rtl/>
        </w:rPr>
        <w:t>שיתוף ציבור בקרב אנשים עם מוגבלות</w:t>
      </w:r>
    </w:p>
    <w:p w:rsidR="00420374" w:rsidRPr="0093709F" w:rsidRDefault="00DF6A0A" w:rsidP="00DA022A">
      <w:pPr>
        <w:pStyle w:val="7392"/>
        <w:ind w:left="424"/>
        <w:rPr>
          <w:rtl/>
        </w:rPr>
      </w:pPr>
      <w:r w:rsidRPr="00121E7D">
        <w:rPr>
          <w:rFonts w:hint="cs"/>
          <w:b/>
          <w:bCs/>
          <w:noProof/>
          <w:rtl/>
        </w:rPr>
        <w:drawing>
          <wp:anchor distT="0" distB="720090" distL="114300" distR="114300" simplePos="0" relativeHeight="251687936"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3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rtl/>
        </w:rPr>
        <w:t>העדפת ערוצי שירות מסורתיים</w:t>
      </w:r>
      <w:r w:rsidR="00121E7D" w:rsidRPr="00771C1A">
        <w:rPr>
          <w:rFonts w:hint="cs"/>
          <w:rtl/>
        </w:rPr>
        <w:t xml:space="preserve"> - </w:t>
      </w:r>
      <w:r w:rsidR="00121E7D" w:rsidRPr="00771C1A">
        <w:rPr>
          <w:rtl/>
        </w:rPr>
        <w:t>בסקר שיתוף ציבור שביצע משרד מבקר המדינה בקרב אנשים עם מוגבלויות שונות, המהווה מדגם מייצג של אנשים עם מוגבלויות המשתמשים במרשתת</w:t>
      </w:r>
      <w:r w:rsidR="00121E7D" w:rsidRPr="00771C1A">
        <w:rPr>
          <w:rFonts w:hint="cs"/>
          <w:rtl/>
        </w:rPr>
        <w:t xml:space="preserve">, עלה כי </w:t>
      </w:r>
      <w:r w:rsidR="00121E7D" w:rsidRPr="00771C1A">
        <w:rPr>
          <w:rtl/>
        </w:rPr>
        <w:t>שיעור משמעותי מקרב המשיבים</w:t>
      </w:r>
      <w:r w:rsidR="00121E7D" w:rsidRPr="00771C1A">
        <w:rPr>
          <w:rFonts w:hint="cs"/>
          <w:rtl/>
        </w:rPr>
        <w:t xml:space="preserve"> </w:t>
      </w:r>
      <w:r w:rsidR="00121E7D" w:rsidRPr="00771C1A">
        <w:rPr>
          <w:rtl/>
        </w:rPr>
        <w:t>- 44% - ציינו כי הם מעדיפים להגיע פיזית ללשכות קבלת הקהל כדי לצרוך את השירותים הממשלתיים או להשתמש בשירות הטלפוני</w:t>
      </w:r>
      <w:r w:rsidR="00121E7D" w:rsidRPr="00771C1A">
        <w:rPr>
          <w:rFonts w:hint="cs"/>
          <w:rtl/>
        </w:rPr>
        <w:t xml:space="preserve"> ולא לצרוך את השירותים בערוצים הדיגיטליים</w:t>
      </w:r>
      <w:r w:rsidRPr="0093709F">
        <w:rPr>
          <w:rFonts w:hint="cs"/>
          <w:rtl/>
        </w:rPr>
        <w:t>.</w:t>
      </w:r>
    </w:p>
    <w:p w:rsidR="00420374" w:rsidRDefault="00DF6A0A" w:rsidP="00DA022A">
      <w:pPr>
        <w:pStyle w:val="7392"/>
        <w:ind w:left="424"/>
        <w:rPr>
          <w:noProof/>
          <w:rtl/>
        </w:rPr>
      </w:pPr>
      <w:r w:rsidRPr="00121E7D">
        <w:rPr>
          <w:rFonts w:hint="cs"/>
          <w:b/>
          <w:bCs/>
          <w:noProof/>
          <w:rtl/>
        </w:rPr>
        <w:drawing>
          <wp:anchor distT="0" distB="720090" distL="114300" distR="114300" simplePos="0" relativeHeight="251688960" behindDoc="1" locked="0" layoutInCell="1" allowOverlap="1">
            <wp:simplePos x="0" y="0"/>
            <wp:positionH relativeFrom="column">
              <wp:posOffset>4526280</wp:posOffset>
            </wp:positionH>
            <wp:positionV relativeFrom="paragraph">
              <wp:posOffset>30317</wp:posOffset>
            </wp:positionV>
            <wp:extent cx="161925" cy="161925"/>
            <wp:effectExtent l="0" t="0" r="3175" b="3175"/>
            <wp:wrapTight wrapText="bothSides">
              <wp:wrapPolygon edited="0">
                <wp:start x="0" y="0"/>
                <wp:lineTo x="0" y="15247"/>
                <wp:lineTo x="5082" y="20329"/>
                <wp:lineTo x="16941" y="20329"/>
                <wp:lineTo x="20329" y="15247"/>
                <wp:lineTo x="20329" y="0"/>
                <wp:lineTo x="0" y="0"/>
              </wp:wrapPolygon>
            </wp:wrapTight>
            <wp:docPr id="4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1925" cy="161925"/>
                    </a:xfrm>
                    <a:prstGeom prst="rect">
                      <a:avLst/>
                    </a:prstGeom>
                  </pic:spPr>
                </pic:pic>
              </a:graphicData>
            </a:graphic>
            <wp14:sizeRelH relativeFrom="margin">
              <wp14:pctWidth>0</wp14:pctWidth>
            </wp14:sizeRelH>
            <wp14:sizeRelV relativeFrom="margin">
              <wp14:pctHeight>0</wp14:pctHeight>
            </wp14:sizeRelV>
          </wp:anchor>
        </w:drawing>
      </w:r>
      <w:r w:rsidR="00121E7D" w:rsidRPr="00121E7D">
        <w:rPr>
          <w:rFonts w:hint="cs"/>
          <w:b/>
          <w:bCs/>
          <w:rtl/>
        </w:rPr>
        <w:t>השפעת בעיות בנגישות בערוצי שירות דיגיטליים</w:t>
      </w:r>
      <w:r w:rsidR="00121E7D" w:rsidRPr="00771C1A">
        <w:rPr>
          <w:rFonts w:hint="cs"/>
          <w:rtl/>
        </w:rPr>
        <w:t xml:space="preserve"> - </w:t>
      </w:r>
      <w:r w:rsidR="00121E7D" w:rsidRPr="00771C1A">
        <w:rPr>
          <w:rtl/>
        </w:rPr>
        <w:t xml:space="preserve">39% מן המשיבים </w:t>
      </w:r>
      <w:r w:rsidR="00121E7D" w:rsidRPr="00771C1A">
        <w:rPr>
          <w:rFonts w:hint="cs"/>
          <w:rtl/>
        </w:rPr>
        <w:t xml:space="preserve">לסקר שיתוף ציבור ציינו כי </w:t>
      </w:r>
      <w:r w:rsidR="00121E7D" w:rsidRPr="00771C1A">
        <w:rPr>
          <w:rtl/>
        </w:rPr>
        <w:t xml:space="preserve">נתקלו בפריטים שלא הונגשו כנדרש באתרי מרשתת או </w:t>
      </w:r>
      <w:r w:rsidR="00121E7D" w:rsidRPr="00771C1A">
        <w:rPr>
          <w:rFonts w:hint="cs"/>
          <w:rtl/>
        </w:rPr>
        <w:t>ביישומונים</w:t>
      </w:r>
      <w:r w:rsidR="00121E7D" w:rsidRPr="00771C1A">
        <w:rPr>
          <w:rtl/>
        </w:rPr>
        <w:t xml:space="preserve"> של גופי ממשל. להלן בתרשים ההתמודדות של משיבים אלה עם קשיי הנגישות בערוצים הדיגיטליים וההשלכות על חווי</w:t>
      </w:r>
      <w:r w:rsidR="00121E7D" w:rsidRPr="00771C1A">
        <w:rPr>
          <w:rFonts w:hint="cs"/>
          <w:rtl/>
        </w:rPr>
        <w:t>י</w:t>
      </w:r>
      <w:r w:rsidR="00121E7D" w:rsidRPr="00771C1A">
        <w:rPr>
          <w:rtl/>
        </w:rPr>
        <w:t>ת השירות שלהם</w:t>
      </w:r>
      <w:r w:rsidRPr="0093709F">
        <w:rPr>
          <w:rFonts w:hint="cs"/>
          <w:rtl/>
        </w:rPr>
        <w:t xml:space="preserve">. </w:t>
      </w:r>
    </w:p>
    <w:p w:rsidR="00027D0B" w:rsidRDefault="00DF6A0A" w:rsidP="00027D0B">
      <w:pPr>
        <w:tabs>
          <w:tab w:val="right" w:pos="7370"/>
        </w:tabs>
        <w:bidi w:val="0"/>
        <w:spacing w:after="200" w:line="276" w:lineRule="auto"/>
        <w:rPr>
          <w:rtl/>
        </w:rPr>
      </w:pPr>
      <w:r>
        <w:rPr>
          <w:noProof/>
          <w:rtl/>
          <w:lang w:val="he-IL"/>
        </w:rPr>
        <w:lastRenderedPageBreak/>
        <mc:AlternateContent>
          <mc:Choice Requires="wpg">
            <w:drawing>
              <wp:anchor distT="0" distB="0" distL="114300" distR="114300" simplePos="0" relativeHeight="251706368" behindDoc="0" locked="0" layoutInCell="1" allowOverlap="1">
                <wp:simplePos x="0" y="0"/>
                <wp:positionH relativeFrom="column">
                  <wp:posOffset>-109401</wp:posOffset>
                </wp:positionH>
                <wp:positionV relativeFrom="paragraph">
                  <wp:posOffset>-50256</wp:posOffset>
                </wp:positionV>
                <wp:extent cx="4731385" cy="762635"/>
                <wp:effectExtent l="0" t="0" r="0" b="0"/>
                <wp:wrapNone/>
                <wp:docPr id="1451066660" name="קבוצה 14510666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762635"/>
                          <a:chOff x="0" y="0"/>
                          <a:chExt cx="4731385" cy="762635"/>
                        </a:xfrm>
                      </wpg:grpSpPr>
                      <pic:pic xmlns:pic="http://schemas.openxmlformats.org/drawingml/2006/picture">
                        <pic:nvPicPr>
                          <pic:cNvPr id="1451066661" name="Picture 54">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62" name="Text Box 2" descr="תרשים: ההשלכות של בעיות בנגישות בערוצי שירות דיגיטליים וההתמודדות עימן"/>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027D0B">
                              <w:pPr>
                                <w:spacing w:line="240" w:lineRule="auto"/>
                                <w:ind w:right="113"/>
                                <w:suppressOverlap/>
                                <w:jc w:val="left"/>
                                <w:rPr>
                                  <w:rFonts w:ascii="Tahoma" w:hAnsi="Tahoma" w:cs="Tahoma"/>
                                  <w:b/>
                                  <w:bCs/>
                                  <w:color w:val="FFFFFF" w:themeColor="background1"/>
                                  <w:spacing w:val="-4"/>
                                  <w:sz w:val="22"/>
                                  <w:szCs w:val="22"/>
                                  <w:rtl/>
                                </w:rPr>
                              </w:pPr>
                              <w:r w:rsidRPr="00923FAE">
                                <w:rPr>
                                  <w:rFonts w:ascii="Tahoma" w:hAnsi="Tahoma" w:cs="Tahoma"/>
                                  <w:b/>
                                  <w:bCs/>
                                  <w:color w:val="FFFFFF" w:themeColor="background1"/>
                                  <w:spacing w:val="-4"/>
                                  <w:sz w:val="22"/>
                                  <w:szCs w:val="22"/>
                                  <w:rtl/>
                                </w:rPr>
                                <w:t>ההשלכות של בעיות בנגישות בערוצי שירות דיגיטליים וההתמודדות עימן*</w:t>
                              </w:r>
                            </w:p>
                          </w:txbxContent>
                        </wps:txbx>
                        <wps:bodyPr rot="0" vert="horz" wrap="square" lIns="91440" tIns="45720" rIns="91440" bIns="45720" anchor="ctr" anchorCtr="0"/>
                      </wps:wsp>
                    </wpg:wgp>
                  </a:graphicData>
                </a:graphic>
              </wp:anchor>
            </w:drawing>
          </mc:Choice>
          <mc:Fallback>
            <w:pict>
              <v:group id="קבוצה 1451066660" o:spid="_x0000_s1049" style="width:372.55pt;height:60.05pt;margin-top:-3.95pt;margin-left:-8.6pt;position:absolute;z-index:251707392" coordsize="47313,7626">
                <v:shape id="Picture 54" o:spid="_x0000_s1050" type="#_x0000_t75" style="width:47313;height:7626;mso-wrap-style:square;position:absolute;visibility:visible">
                  <v:imagedata r:id="rId19" o:title=""/>
                </v:shape>
                <v:shape id="_x0000_s1051" type="#_x0000_t202" alt="תרשים: ההשלכות של בעיות בנגישות בערוצי שירות דיגיטליים וההתמודדות עימן" style="width:44367;height:4352;left:1959;mso-wrap-style:square;position:absolute;top:979;visibility:visible;v-text-anchor:middle" fillcolor="#f05260" stroked="f">
                  <v:textbox>
                    <w:txbxContent>
                      <w:p w:rsidR="00B14302" w:rsidRPr="005C7ABF" w:rsidP="00027D0B">
                        <w:pPr>
                          <w:spacing w:line="240" w:lineRule="auto"/>
                          <w:ind w:right="113"/>
                          <w:suppressOverlap/>
                          <w:jc w:val="left"/>
                          <w:rPr>
                            <w:rFonts w:ascii="Tahoma" w:hAnsi="Tahoma" w:cs="Tahoma"/>
                            <w:b/>
                            <w:bCs/>
                            <w:color w:val="FFFFFF" w:themeColor="background1"/>
                            <w:spacing w:val="-4"/>
                            <w:sz w:val="22"/>
                            <w:szCs w:val="22"/>
                            <w:rtl/>
                          </w:rPr>
                        </w:pPr>
                        <w:r w:rsidRPr="00923FAE">
                          <w:rPr>
                            <w:rFonts w:ascii="Tahoma" w:hAnsi="Tahoma" w:cs="Tahoma"/>
                            <w:b/>
                            <w:bCs/>
                            <w:color w:val="FFFFFF" w:themeColor="background1"/>
                            <w:spacing w:val="-4"/>
                            <w:sz w:val="22"/>
                            <w:szCs w:val="22"/>
                            <w:rtl/>
                          </w:rPr>
                          <w:t xml:space="preserve">ההשלכות של בעיות בנגישות בערוצי שירות דיגיטליים וההתמודדות </w:t>
                        </w:r>
                        <w:r w:rsidRPr="00923FAE">
                          <w:rPr>
                            <w:rFonts w:ascii="Tahoma" w:hAnsi="Tahoma" w:cs="Tahoma"/>
                            <w:b/>
                            <w:bCs/>
                            <w:color w:val="FFFFFF" w:themeColor="background1"/>
                            <w:spacing w:val="-4"/>
                            <w:sz w:val="22"/>
                            <w:szCs w:val="22"/>
                            <w:rtl/>
                          </w:rPr>
                          <w:t>עימן</w:t>
                        </w:r>
                        <w:r w:rsidRPr="00923FAE">
                          <w:rPr>
                            <w:rFonts w:ascii="Tahoma" w:hAnsi="Tahoma" w:cs="Tahoma"/>
                            <w:b/>
                            <w:bCs/>
                            <w:color w:val="FFFFFF" w:themeColor="background1"/>
                            <w:spacing w:val="-4"/>
                            <w:sz w:val="22"/>
                            <w:szCs w:val="22"/>
                            <w:rtl/>
                          </w:rPr>
                          <w:t>*</w:t>
                        </w:r>
                      </w:p>
                    </w:txbxContent>
                  </v:textbox>
                </v:shape>
              </v:group>
            </w:pict>
          </mc:Fallback>
        </mc:AlternateContent>
      </w:r>
      <w:r>
        <w:rPr>
          <w:rtl/>
        </w:rPr>
        <w:t xml:space="preserve"> </w:t>
      </w:r>
    </w:p>
    <w:p w:rsidR="00027D0B" w:rsidRDefault="00027D0B" w:rsidP="00027D0B">
      <w:pPr>
        <w:pStyle w:val="73f7"/>
        <w:rPr>
          <w:rtl/>
        </w:rPr>
      </w:pPr>
    </w:p>
    <w:p w:rsidR="00027D0B" w:rsidRDefault="00DF6A0A" w:rsidP="00027D0B">
      <w:pPr>
        <w:pStyle w:val="73f7"/>
        <w:rPr>
          <w:rtl/>
        </w:rPr>
      </w:pPr>
      <w:r>
        <w:rPr>
          <w:noProof/>
          <w:sz w:val="19"/>
          <w:szCs w:val="19"/>
        </w:rPr>
        <w:drawing>
          <wp:anchor distT="0" distB="0" distL="114300" distR="114300" simplePos="0" relativeHeight="251708416" behindDoc="0" locked="0" layoutInCell="1" allowOverlap="1">
            <wp:simplePos x="0" y="0"/>
            <wp:positionH relativeFrom="column">
              <wp:posOffset>-55880</wp:posOffset>
            </wp:positionH>
            <wp:positionV relativeFrom="paragraph">
              <wp:posOffset>253365</wp:posOffset>
            </wp:positionV>
            <wp:extent cx="4679950" cy="2161540"/>
            <wp:effectExtent l="0" t="0" r="6350" b="0"/>
            <wp:wrapTopAndBottom/>
            <wp:docPr id="1451066663" name="תמונה 1451066663" descr="בתרשים מוצגות שלוש עמודות: הראשונה מציגה את התפלגות התשובות לגבי מידת הפגיעה של חוסר הנגישות בחוויות השירות: 24% - חוויית השירות לא נפגעה כלל או נפגעה במידה מועטה, 44% נפגעה במידה בינונית ו-32% נפגעה במידה רבה עד רבה מאוד.  בעמודה השנייה מוצגות ההשלכות של חוסר הנגישות על הלקוח: 37% ציינו כי בשל בעיות הנגישות הם קיבלו את המידע בעיכוב, 28% ציינו כי הדבר אילץ אותם להגיע פיזית ללשכת קבלת הקהל, 27% ציינו כי נאלצו להשתמש בטלפון ו-21% ציינו כי בסופו של דבר לא קיבלו את המידע (ניתן היה לסמן יותר מתשובה אחת). בעמודה השלישית מוצגות תשובות הנשאלים לגבי אופן התמודדותם עם חוסר נגישות שבו נתקלו (ניתן היה לסמן יותר מתשובה אחת): 29% ציינו כי ביקשו עזרה מאדם ללא מוגבלות, 26% ציינו כי פנו לקבלת השירות בערוץ הטלפוני, 24% (ממצא שהודגש בתרשים) ציינו כי ויתרו על קבלת השירות, 24% ציינו כי פנו לקבל שירות באופן פרונטלי, 12% ציינו כי פנו לנותן השירות כדי לקבל ממנו פתרון דיגיטלי ועוד 2% ציינו &quot;הסתדרתי בעצמי&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3" name="תמונה 145106666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4679950" cy="2161540"/>
                    </a:xfrm>
                    <a:prstGeom prst="rect">
                      <a:avLst/>
                    </a:prstGeom>
                    <a:noFill/>
                  </pic:spPr>
                </pic:pic>
              </a:graphicData>
            </a:graphic>
            <wp14:sizeRelH relativeFrom="page">
              <wp14:pctWidth>0</wp14:pctWidth>
            </wp14:sizeRelH>
            <wp14:sizeRelV relativeFrom="page">
              <wp14:pctHeight>0</wp14:pctHeight>
            </wp14:sizeRelV>
          </wp:anchor>
        </w:drawing>
      </w:r>
    </w:p>
    <w:p w:rsidR="00027D0B" w:rsidRDefault="00DF6A0A" w:rsidP="00923FAE">
      <w:pPr>
        <w:pStyle w:val="73e"/>
        <w:spacing w:before="360"/>
        <w:ind w:left="424" w:hanging="424"/>
        <w:rPr>
          <w:b/>
          <w:bCs/>
          <w:noProof/>
          <w:color w:val="FFFFFF" w:themeColor="background1"/>
          <w:sz w:val="22"/>
          <w:szCs w:val="22"/>
        </w:rPr>
      </w:pPr>
      <w:r>
        <w:rPr>
          <w:rFonts w:hint="cs"/>
          <w:rtl/>
        </w:rPr>
        <w:t>*</w:t>
      </w:r>
      <w:r>
        <w:rPr>
          <w:rtl/>
        </w:rPr>
        <w:tab/>
      </w:r>
      <w:r w:rsidRPr="007C6531">
        <w:rPr>
          <w:rtl/>
        </w:rPr>
        <w:t>סיכום השיעורים בחלקים "אופן ההתמודדות עם חוסר נגישות" ו"השלכות חוסר הנגישות" עולה על 100% כיוון שכל משיב היה יכול לסמן יותר מתשובה אחת אפשרית</w:t>
      </w:r>
      <w:r w:rsidRPr="00BE0973">
        <w:rPr>
          <w:rFonts w:hint="cs"/>
          <w:rtl/>
        </w:rPr>
        <w:t>.</w:t>
      </w:r>
    </w:p>
    <w:p w:rsidR="00027D0B" w:rsidRPr="0093709F" w:rsidRDefault="00DF6A0A" w:rsidP="00027D0B">
      <w:pPr>
        <w:pStyle w:val="7392"/>
        <w:ind w:left="424"/>
        <w:rPr>
          <w:rtl/>
        </w:rPr>
      </w:pPr>
      <w:r w:rsidRPr="00923FAE">
        <w:rPr>
          <w:rFonts w:hint="cs"/>
          <w:b/>
          <w:bCs/>
          <w:noProof/>
          <w:rtl/>
        </w:rPr>
        <w:drawing>
          <wp:anchor distT="0" distB="720090" distL="114300" distR="114300" simplePos="0" relativeHeight="251703296"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50" name="תמונה 1451066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0"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923FAE">
        <w:rPr>
          <w:rFonts w:hint="cs"/>
          <w:b/>
          <w:bCs/>
          <w:rtl/>
        </w:rPr>
        <w:t>פעולות פיקוח של נציבות שוויון זכויות לאנשים עם מוגבלות</w:t>
      </w:r>
      <w:r w:rsidR="00923FAE" w:rsidRPr="0077791E">
        <w:rPr>
          <w:rFonts w:hint="cs"/>
          <w:rtl/>
        </w:rPr>
        <w:t xml:space="preserve"> - </w:t>
      </w:r>
      <w:r w:rsidR="00923FAE" w:rsidRPr="0077791E">
        <w:rPr>
          <w:rtl/>
        </w:rPr>
        <w:t>נציבות שוויון זכויות לאנשים עם מוגבלות מצאה ליקויי נגישות ב-14 אתרי מרשתת של גופי ממשל בבדיקות שעשתה בשנים 2019 - 2021</w:t>
      </w:r>
      <w:r w:rsidR="00923FAE" w:rsidRPr="0077791E">
        <w:rPr>
          <w:rFonts w:hint="cs"/>
          <w:rtl/>
        </w:rPr>
        <w:t>.</w:t>
      </w:r>
      <w:r w:rsidR="00923FAE" w:rsidRPr="0077791E">
        <w:rPr>
          <w:rtl/>
        </w:rPr>
        <w:t xml:space="preserve"> הנציבות התריעה בפני כל גוף על הליקויים שמצאה</w:t>
      </w:r>
      <w:r w:rsidR="00923FAE" w:rsidRPr="0077791E">
        <w:rPr>
          <w:rFonts w:hint="cs"/>
          <w:rtl/>
        </w:rPr>
        <w:t>,</w:t>
      </w:r>
      <w:r w:rsidR="00923FAE" w:rsidRPr="0077791E">
        <w:rPr>
          <w:rtl/>
        </w:rPr>
        <w:t xml:space="preserve"> ואולם לא קיימה מעקב בנוגע לליקויים שמצאה ב</w:t>
      </w:r>
      <w:r w:rsidR="00923FAE" w:rsidRPr="0077791E">
        <w:rPr>
          <w:rFonts w:hint="cs"/>
          <w:rtl/>
        </w:rPr>
        <w:t xml:space="preserve">אתרים של </w:t>
      </w:r>
      <w:r w:rsidR="00923FAE" w:rsidRPr="0077791E">
        <w:rPr>
          <w:rtl/>
        </w:rPr>
        <w:t>חמישה גופים (36%) כדי לקבל מידע אם הם תוקנו</w:t>
      </w:r>
      <w:r w:rsidRPr="0093709F">
        <w:rPr>
          <w:rFonts w:hint="cs"/>
          <w:rtl/>
        </w:rPr>
        <w:t>.</w:t>
      </w:r>
    </w:p>
    <w:p w:rsidR="00027D0B" w:rsidRPr="0093709F" w:rsidRDefault="00DF6A0A" w:rsidP="00027D0B">
      <w:pPr>
        <w:pStyle w:val="7392"/>
        <w:ind w:left="424"/>
        <w:rPr>
          <w:rtl/>
        </w:rPr>
      </w:pPr>
      <w:r w:rsidRPr="00923FAE">
        <w:rPr>
          <w:rFonts w:hint="cs"/>
          <w:b/>
          <w:bCs/>
          <w:noProof/>
          <w:rtl/>
        </w:rPr>
        <w:drawing>
          <wp:anchor distT="0" distB="720090" distL="114300" distR="114300" simplePos="0" relativeHeight="251704320"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51" name="תמונה 1451066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1"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923FAE">
        <w:rPr>
          <w:rFonts w:hint="cs"/>
          <w:b/>
          <w:bCs/>
          <w:rtl/>
        </w:rPr>
        <w:t>הוראות נגישות לספקי שירותי בריאות</w:t>
      </w:r>
      <w:r w:rsidR="00923FAE" w:rsidRPr="0077791E">
        <w:rPr>
          <w:rFonts w:hint="cs"/>
          <w:rtl/>
        </w:rPr>
        <w:t xml:space="preserve"> - </w:t>
      </w:r>
      <w:r w:rsidR="00923FAE" w:rsidRPr="0077791E">
        <w:rPr>
          <w:rtl/>
        </w:rPr>
        <w:t xml:space="preserve">עד </w:t>
      </w:r>
      <w:r w:rsidR="00923FAE" w:rsidRPr="0077791E">
        <w:rPr>
          <w:rFonts w:hint="cs"/>
          <w:rtl/>
        </w:rPr>
        <w:t>מועד סיום</w:t>
      </w:r>
      <w:r w:rsidR="00923FAE" w:rsidRPr="0077791E">
        <w:rPr>
          <w:rtl/>
        </w:rPr>
        <w:t xml:space="preserve"> הביקורת, נובמבר 2022, </w:t>
      </w:r>
      <w:r w:rsidR="00923FAE" w:rsidRPr="0077791E">
        <w:rPr>
          <w:rFonts w:hint="cs"/>
          <w:rtl/>
        </w:rPr>
        <w:t xml:space="preserve">לא </w:t>
      </w:r>
      <w:r w:rsidR="00923FAE" w:rsidRPr="0077791E">
        <w:rPr>
          <w:rtl/>
        </w:rPr>
        <w:t>הותקנו תקנות שמטילות על ספקי שירותי בריאות, לרבות קופות החולים ובתי החולים שמספקים שירות לכלל הציבור בישראל, להנגיש לאנשים עם מוגבלות את אתרי המרשתת או ה</w:t>
      </w:r>
      <w:r w:rsidR="00923FAE" w:rsidRPr="0077791E">
        <w:rPr>
          <w:rFonts w:hint="cs"/>
          <w:rtl/>
        </w:rPr>
        <w:t>יישומונים</w:t>
      </w:r>
      <w:r w:rsidR="00923FAE" w:rsidRPr="0077791E">
        <w:rPr>
          <w:rtl/>
        </w:rPr>
        <w:t xml:space="preserve"> שהם מפעילים. בהיעדר דרישה בדין, לא ניתן לאכוף הספקת התאמות נגישות במרשתת על ידי ספקי שירותי הבריאות</w:t>
      </w:r>
      <w:r w:rsidRPr="0093709F">
        <w:rPr>
          <w:rFonts w:hint="cs"/>
          <w:rtl/>
        </w:rPr>
        <w:t>.</w:t>
      </w:r>
    </w:p>
    <w:p w:rsidR="00027D0B" w:rsidRPr="0093709F" w:rsidRDefault="00DF6A0A" w:rsidP="00027D0B">
      <w:pPr>
        <w:pStyle w:val="7392"/>
        <w:ind w:left="424"/>
        <w:rPr>
          <w:rtl/>
        </w:rPr>
      </w:pPr>
      <w:r w:rsidRPr="00923FAE">
        <w:rPr>
          <w:rFonts w:hint="cs"/>
          <w:b/>
          <w:bCs/>
          <w:noProof/>
          <w:rtl/>
        </w:rPr>
        <w:drawing>
          <wp:anchor distT="0" distB="720090" distL="114300" distR="114300" simplePos="0" relativeHeight="251705344" behindDoc="1" locked="0" layoutInCell="1" allowOverlap="1">
            <wp:simplePos x="0" y="0"/>
            <wp:positionH relativeFrom="column">
              <wp:posOffset>4526280</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52" name="תמונה 1451066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52"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923FAE">
        <w:rPr>
          <w:rFonts w:hint="cs"/>
          <w:b/>
          <w:bCs/>
          <w:rtl/>
        </w:rPr>
        <w:t>מדידת איכות השירות הממשלתי הדיגיטלי לאנשים עם מוגבלות</w:t>
      </w:r>
      <w:r w:rsidR="00923FAE" w:rsidRPr="0077791E">
        <w:rPr>
          <w:rFonts w:hint="cs"/>
          <w:rtl/>
        </w:rPr>
        <w:t xml:space="preserve"> - </w:t>
      </w:r>
      <w:r w:rsidR="00923FAE" w:rsidRPr="0077791E">
        <w:rPr>
          <w:rtl/>
        </w:rPr>
        <w:t>אף שכ-17% מהאוכלוסייה בישראל הם אנשים עם מוגבלות, היחידה לשיפור השירות הממשלתי לציבור במערך הדיגיטל הלאומי לא מדדה את איכות השירות הדיגיטלי הממשלתי הניתן לציבור מבחינת נגישותו לאנשים עם מוגבלות, ובשל כך לא ניתן למצוא מידע בנדון בדוחות השנתיים שפרסמה לציבור</w:t>
      </w:r>
      <w:r w:rsidRPr="0093709F">
        <w:rPr>
          <w:rFonts w:hint="cs"/>
          <w:rtl/>
        </w:rPr>
        <w:t>.</w:t>
      </w:r>
    </w:p>
    <w:p w:rsidR="00027D0B" w:rsidRDefault="00027D0B" w:rsidP="00027D0B">
      <w:pPr>
        <w:pStyle w:val="7392"/>
        <w:ind w:left="424"/>
        <w:rPr>
          <w:noProof/>
          <w:rtl/>
        </w:rPr>
      </w:pPr>
    </w:p>
    <w:p w:rsidR="00420374" w:rsidRPr="00923FAE" w:rsidRDefault="00DF6A0A" w:rsidP="00923FAE">
      <w:pPr>
        <w:pStyle w:val="73f7"/>
        <w:spacing w:before="360"/>
        <w:rPr>
          <w:rtl/>
        </w:rPr>
      </w:pPr>
      <w:r w:rsidRPr="00923FAE">
        <w:rPr>
          <w:rStyle w:val="7371"/>
          <w:rFonts w:hint="cs"/>
          <w:noProof/>
          <w:rtl/>
        </w:rPr>
        <w:lastRenderedPageBreak/>
        <w:drawing>
          <wp:anchor distT="0" distB="0" distL="114300" distR="114300" simplePos="0" relativeHeight="251679744" behindDoc="0" locked="0" layoutInCell="1" allowOverlap="1">
            <wp:simplePos x="0" y="0"/>
            <wp:positionH relativeFrom="column">
              <wp:posOffset>2419350</wp:posOffset>
            </wp:positionH>
            <wp:positionV relativeFrom="paragraph">
              <wp:posOffset>363</wp:posOffset>
            </wp:positionV>
            <wp:extent cx="2199640" cy="180340"/>
            <wp:effectExtent l="0" t="0" r="0" b="0"/>
            <wp:wrapTopAndBottom/>
            <wp:docPr id="2052770957" name="תמונה 23" descr="ממצאים חיוב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7" name="תמונה 23"/>
                    <pic:cNvPicPr/>
                  </pic:nvPicPr>
                  <pic:blipFill>
                    <a:blip r:embed="rId30">
                      <a:extLst>
                        <a:ext uri="{28A0092B-C50C-407E-A947-70E740481C1C}">
                          <a14:useLocalDpi xmlns:a14="http://schemas.microsoft.com/office/drawing/2010/main" val="0"/>
                        </a:ext>
                      </a:extLst>
                    </a:blip>
                    <a:stretch>
                      <a:fillRect/>
                    </a:stretch>
                  </pic:blipFill>
                  <pic:spPr>
                    <a:xfrm>
                      <a:off x="0" y="0"/>
                      <a:ext cx="2199640" cy="180340"/>
                    </a:xfrm>
                    <a:prstGeom prst="rect">
                      <a:avLst/>
                    </a:prstGeom>
                  </pic:spPr>
                </pic:pic>
              </a:graphicData>
            </a:graphic>
            <wp14:sizeRelH relativeFrom="margin">
              <wp14:pctWidth>0</wp14:pctWidth>
            </wp14:sizeRelH>
          </wp:anchor>
        </w:drawing>
      </w:r>
      <w:r w:rsidRPr="00923FAE">
        <w:rPr>
          <w:rStyle w:val="7371"/>
          <w:rFonts w:hint="cs"/>
          <w:rtl/>
        </w:rPr>
        <w:t>תשתית אחודה לאתרי מרשתת של גופי ממשל</w:t>
      </w:r>
      <w:r w:rsidRPr="00923FAE">
        <w:rPr>
          <w:rFonts w:hint="cs"/>
          <w:rtl/>
        </w:rPr>
        <w:t xml:space="preserve"> - מערך הדיגיטל הלאומי פעל לספק לגופי הממשל תשתית </w:t>
      </w:r>
      <w:r w:rsidRPr="00923FAE">
        <w:rPr>
          <w:rFonts w:hint="cs"/>
          <w:rtl/>
        </w:rPr>
        <w:t>אחודה לאתרי המרשתת שמספקים מידע ושירות לציבור. בתשתית זו הוטמעו חלק מהתאמות הנגישות שנדרש לספק במרשתת לאנשים עם מוגבלות, כגון אפשרות חיבור עם תוכנת הקראת מסך וניגודיות ברמה הנדרשת</w:t>
      </w:r>
      <w:r w:rsidRPr="00923FAE">
        <w:rPr>
          <w:rtl/>
        </w:rPr>
        <w:t>.</w:t>
      </w:r>
    </w:p>
    <w:p w:rsidR="002753C7" w:rsidRPr="00662020" w:rsidRDefault="00DF6A0A" w:rsidP="002753C7">
      <w:pPr>
        <w:pStyle w:val="73fd"/>
        <w:spacing w:before="480"/>
        <w:rPr>
          <w:rtl/>
        </w:rPr>
      </w:pPr>
      <w:r w:rsidRPr="00662020">
        <w:rPr>
          <w:rFonts w:hint="cs"/>
          <w:rtl/>
        </w:rPr>
        <w:t>עיקרי המלצות הביקורת</w:t>
      </w:r>
    </w:p>
    <w:p w:rsidR="0093709F" w:rsidRPr="007C7D40" w:rsidRDefault="00DF6A0A" w:rsidP="007C7D40">
      <w:pPr>
        <w:pStyle w:val="73f7"/>
      </w:pPr>
      <w:r w:rsidRPr="007C7D40">
        <w:rPr>
          <w:rFonts w:hint="cs"/>
          <w:noProof/>
          <w:rtl/>
        </w:rPr>
        <w:drawing>
          <wp:anchor distT="0" distB="1440180" distL="107950" distR="114300" simplePos="0" relativeHeight="251689984"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28"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28"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923FAE" w:rsidRPr="0077791E">
        <w:rPr>
          <w:rtl/>
        </w:rPr>
        <w:t xml:space="preserve">על גופי הממשל לפעול כדי להנגיש </w:t>
      </w:r>
      <w:r w:rsidR="00923FAE" w:rsidRPr="0077791E">
        <w:rPr>
          <w:rFonts w:hint="cs"/>
          <w:rtl/>
        </w:rPr>
        <w:t xml:space="preserve">לאנשים עם מוגבלות </w:t>
      </w:r>
      <w:r w:rsidR="00923FAE" w:rsidRPr="0077791E">
        <w:rPr>
          <w:rtl/>
        </w:rPr>
        <w:t xml:space="preserve">באופן שיטתי את כלל התכנים והשירותים לציבור </w:t>
      </w:r>
      <w:r w:rsidR="00923FAE" w:rsidRPr="0077791E">
        <w:rPr>
          <w:rFonts w:hint="cs"/>
          <w:rtl/>
        </w:rPr>
        <w:t>ה</w:t>
      </w:r>
      <w:r w:rsidR="00923FAE" w:rsidRPr="0077791E">
        <w:rPr>
          <w:rtl/>
        </w:rPr>
        <w:t>מפורסמים באתרי המרשתת שלהם. במסגרת זו יש להנגיש בין היתר כל מסמך שהוכן מאוקטובר 2017 והועלה לאתר המרשתת ואת כל הטפסים המקוונים שמשמשים לקבלת שירות. עוד על גופי הממשל להקפיד לספק מלל חלופי לפריטים ויזואליים וכן להכין כתוביות לסרטונים ולקטעי שמע שיש בהם דיבור</w:t>
      </w:r>
      <w:r w:rsidR="005D0F8C" w:rsidRPr="007C7D40">
        <w:rPr>
          <w:rFonts w:hint="cs"/>
          <w:rtl/>
        </w:rPr>
        <w:t xml:space="preserve">. </w:t>
      </w:r>
    </w:p>
    <w:p w:rsidR="00923FAE" w:rsidRPr="007C7D40" w:rsidRDefault="00DF6A0A" w:rsidP="00923FAE">
      <w:pPr>
        <w:pStyle w:val="73f7"/>
      </w:pPr>
      <w:r w:rsidRPr="007C7D40">
        <w:rPr>
          <w:rFonts w:hint="cs"/>
          <w:noProof/>
          <w:rtl/>
        </w:rPr>
        <w:drawing>
          <wp:anchor distT="0" distB="1440180" distL="107950" distR="114300" simplePos="0" relativeHeight="251727872"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86" name="תמונה 14510666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6"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77791E">
        <w:rPr>
          <w:rFonts w:hint="cs"/>
          <w:rtl/>
        </w:rPr>
        <w:t>על גופי הממשל</w:t>
      </w:r>
      <w:r w:rsidRPr="0077791E">
        <w:rPr>
          <w:rtl/>
        </w:rPr>
        <w:t xml:space="preserve"> לבצע בדיקות תקופתיות בכל אתר מרשתת שנועד לשירות הציבור, כדי לוודא שכל הפריטים הד</w:t>
      </w:r>
      <w:r w:rsidRPr="0077791E">
        <w:rPr>
          <w:rFonts w:hint="cs"/>
          <w:rtl/>
        </w:rPr>
        <w:t>ו</w:t>
      </w:r>
      <w:r w:rsidRPr="0077791E">
        <w:rPr>
          <w:rtl/>
        </w:rPr>
        <w:t>רשים הנגשה אכן הונגשו כנדרש, ותוך התייחסות לכל סוגי המוגבלויות</w:t>
      </w:r>
      <w:r w:rsidRPr="0077791E">
        <w:rPr>
          <w:rFonts w:hint="cs"/>
          <w:rtl/>
        </w:rPr>
        <w:t>.</w:t>
      </w:r>
      <w:r w:rsidRPr="0077791E">
        <w:rPr>
          <w:rtl/>
        </w:rPr>
        <w:t xml:space="preserve"> אם יתגלו בבדיקה ליקויים בהנגשה שנעשתה או פריטים </w:t>
      </w:r>
      <w:r w:rsidRPr="0077791E">
        <w:rPr>
          <w:rtl/>
        </w:rPr>
        <w:t>שלא הונגשו כנדרש יש לפעול בהקדם לתקן את הליקויים</w:t>
      </w:r>
      <w:r w:rsidRPr="007C7D40">
        <w:rPr>
          <w:rFonts w:hint="cs"/>
          <w:rtl/>
        </w:rPr>
        <w:t xml:space="preserve">. </w:t>
      </w:r>
    </w:p>
    <w:p w:rsidR="00923FAE" w:rsidRPr="007C7D40" w:rsidRDefault="00DF6A0A" w:rsidP="00923FAE">
      <w:pPr>
        <w:pStyle w:val="73f7"/>
      </w:pPr>
      <w:r w:rsidRPr="007C7D40">
        <w:rPr>
          <w:rFonts w:hint="cs"/>
          <w:noProof/>
          <w:rtl/>
        </w:rPr>
        <w:drawing>
          <wp:anchor distT="0" distB="1440180" distL="107950" distR="114300" simplePos="0" relativeHeight="251728896"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87" name="תמונה 14510666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7"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77791E">
        <w:rPr>
          <w:rtl/>
        </w:rPr>
        <w:t>על כל אחד מהגופים ש</w:t>
      </w:r>
      <w:r w:rsidR="006E4A31">
        <w:rPr>
          <w:rFonts w:hint="cs"/>
          <w:rtl/>
        </w:rPr>
        <w:t>ב</w:t>
      </w:r>
      <w:r w:rsidRPr="0077791E">
        <w:rPr>
          <w:rtl/>
        </w:rPr>
        <w:t>אתרי המרשתת שלהם נבדק</w:t>
      </w:r>
      <w:r w:rsidR="00353392">
        <w:rPr>
          <w:rFonts w:hint="cs"/>
          <w:rtl/>
        </w:rPr>
        <w:t>ה</w:t>
      </w:r>
      <w:r w:rsidRPr="0077791E">
        <w:rPr>
          <w:rtl/>
        </w:rPr>
        <w:t xml:space="preserve"> </w:t>
      </w:r>
      <w:r w:rsidRPr="0077791E">
        <w:rPr>
          <w:rFonts w:hint="cs"/>
          <w:rtl/>
        </w:rPr>
        <w:t>על ידי משרד מבקר המדינה</w:t>
      </w:r>
      <w:r w:rsidR="00353392">
        <w:rPr>
          <w:rFonts w:hint="cs"/>
          <w:rtl/>
        </w:rPr>
        <w:t xml:space="preserve"> </w:t>
      </w:r>
      <w:r w:rsidR="00353392" w:rsidRPr="00353392">
        <w:rPr>
          <w:rtl/>
        </w:rPr>
        <w:t>הנגשה של פריטים,</w:t>
      </w:r>
      <w:r w:rsidRPr="0077791E">
        <w:rPr>
          <w:rFonts w:hint="cs"/>
          <w:rtl/>
        </w:rPr>
        <w:t xml:space="preserve"> </w:t>
      </w:r>
      <w:r w:rsidRPr="0077791E">
        <w:rPr>
          <w:rtl/>
        </w:rPr>
        <w:t>לפעול לתיקון ליקויי הנגישות שנמצאו</w:t>
      </w:r>
      <w:r w:rsidRPr="0077791E">
        <w:rPr>
          <w:rFonts w:hint="cs"/>
          <w:rtl/>
        </w:rPr>
        <w:t xml:space="preserve"> בבדיקה</w:t>
      </w:r>
      <w:r w:rsidRPr="0077791E">
        <w:rPr>
          <w:rtl/>
        </w:rPr>
        <w:t xml:space="preserve"> - המוסד לביטוח לאומי, המשרד לשירותי דת, הנהלת בתי המשפט (אתר נט המשפט  ואתר בי</w:t>
      </w:r>
      <w:r w:rsidRPr="0077791E">
        <w:rPr>
          <w:rtl/>
        </w:rPr>
        <w:t>ת המשפט העליון), ועדת הבחירות המרכזית, כנסת ישראל, משטרת ישראל, משרד הביטחון (אתר המרשתת של אגף שיקום נכים), משרד הבריאות (אתר המרשתת כל הבריאות), משרד הפנים, צה"ל (אתר המרשתת של יחידת מיטב), רשות האוכלוסין וההגירה, רשות האכיפה והגבייה, רשות הטבע והגנים ו</w:t>
      </w:r>
      <w:r w:rsidRPr="0077791E">
        <w:rPr>
          <w:rFonts w:hint="cs"/>
          <w:rtl/>
        </w:rPr>
        <w:t>ש</w:t>
      </w:r>
      <w:r w:rsidRPr="0077791E">
        <w:rPr>
          <w:rFonts w:hint="cs"/>
          <w:rtl/>
        </w:rPr>
        <w:t>ירות</w:t>
      </w:r>
      <w:r w:rsidRPr="0077791E">
        <w:rPr>
          <w:rtl/>
        </w:rPr>
        <w:t xml:space="preserve"> התעסוקה</w:t>
      </w:r>
      <w:r w:rsidRPr="007C7D40">
        <w:rPr>
          <w:rFonts w:hint="cs"/>
          <w:rtl/>
        </w:rPr>
        <w:t xml:space="preserve">. </w:t>
      </w:r>
    </w:p>
    <w:p w:rsidR="00923FAE" w:rsidRPr="007C7D40" w:rsidRDefault="00DF6A0A" w:rsidP="00923FAE">
      <w:pPr>
        <w:pStyle w:val="73f7"/>
      </w:pPr>
      <w:r w:rsidRPr="007C7D40">
        <w:rPr>
          <w:rFonts w:hint="cs"/>
          <w:noProof/>
          <w:rtl/>
        </w:rPr>
        <w:drawing>
          <wp:anchor distT="0" distB="1440180" distL="107950" distR="114300" simplePos="0" relativeHeight="251729920"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052770944" name="תמונה 20527709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44"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77791E">
        <w:rPr>
          <w:rtl/>
        </w:rPr>
        <w:t>בכל הנוגע לדפי שירות</w:t>
      </w:r>
      <w:r w:rsidRPr="0077791E">
        <w:rPr>
          <w:rFonts w:hint="cs"/>
          <w:rtl/>
        </w:rPr>
        <w:t xml:space="preserve"> דיגיטליים</w:t>
      </w:r>
      <w:r w:rsidRPr="0077791E">
        <w:rPr>
          <w:rtl/>
        </w:rPr>
        <w:t>, על הגופים שב</w:t>
      </w:r>
      <w:r w:rsidRPr="0077791E">
        <w:rPr>
          <w:rFonts w:hint="cs"/>
          <w:rtl/>
        </w:rPr>
        <w:t>דפי השירות של</w:t>
      </w:r>
      <w:r w:rsidRPr="0077791E">
        <w:rPr>
          <w:rtl/>
        </w:rPr>
        <w:t>הם בוצעו בדיקות משרד מבקר המדינה</w:t>
      </w:r>
      <w:r w:rsidRPr="0077791E">
        <w:rPr>
          <w:rFonts w:hint="cs"/>
          <w:rtl/>
        </w:rPr>
        <w:t>,</w:t>
      </w:r>
      <w:r w:rsidRPr="0077791E">
        <w:rPr>
          <w:rtl/>
        </w:rPr>
        <w:t xml:space="preserve"> בין אם דפי השירות שלהם נמצאים בטיפול מערך הדיגיטל הלאומי ובין אם דפי השירות שלהם מפנים למערכות מחשוב שבאחריותם - </w:t>
      </w:r>
      <w:r w:rsidRPr="0077791E">
        <w:rPr>
          <w:rFonts w:hint="cs"/>
          <w:rtl/>
        </w:rPr>
        <w:t>לבצע את התיקונים הנדרשים ו</w:t>
      </w:r>
      <w:r w:rsidRPr="0077791E">
        <w:rPr>
          <w:rtl/>
        </w:rPr>
        <w:t xml:space="preserve">להסדיר את </w:t>
      </w:r>
      <w:r w:rsidRPr="0077791E">
        <w:rPr>
          <w:rtl/>
        </w:rPr>
        <w:t xml:space="preserve">הנגישות </w:t>
      </w:r>
      <w:r w:rsidRPr="0077791E">
        <w:rPr>
          <w:rFonts w:hint="cs"/>
          <w:rtl/>
        </w:rPr>
        <w:t>בדפים אלה כדי</w:t>
      </w:r>
      <w:r w:rsidRPr="0077791E">
        <w:rPr>
          <w:rtl/>
        </w:rPr>
        <w:t xml:space="preserve"> שציבור האנשים עם מוגבלות יוכל לקבל שירות באתרי המרשת</w:t>
      </w:r>
      <w:r w:rsidRPr="0077791E">
        <w:rPr>
          <w:rFonts w:hint="cs"/>
          <w:rtl/>
        </w:rPr>
        <w:t>ת</w:t>
      </w:r>
      <w:r w:rsidRPr="0077791E">
        <w:rPr>
          <w:rtl/>
        </w:rPr>
        <w:t xml:space="preserve"> כשאר הציבור, כנדרש על</w:t>
      </w:r>
      <w:r w:rsidRPr="0077791E">
        <w:rPr>
          <w:rFonts w:hint="cs"/>
          <w:rtl/>
        </w:rPr>
        <w:t xml:space="preserve"> </w:t>
      </w:r>
      <w:r w:rsidRPr="0077791E">
        <w:rPr>
          <w:rtl/>
        </w:rPr>
        <w:t>פי הדין</w:t>
      </w:r>
      <w:r w:rsidRPr="0077791E">
        <w:rPr>
          <w:rFonts w:hint="cs"/>
          <w:rtl/>
        </w:rPr>
        <w:t xml:space="preserve">. עליהם לעשות זאת </w:t>
      </w:r>
      <w:r w:rsidRPr="0077791E">
        <w:rPr>
          <w:rtl/>
        </w:rPr>
        <w:t>בעצמם או בשיתוף עם מערך הדיגיטל</w:t>
      </w:r>
      <w:r w:rsidRPr="007C7D40">
        <w:rPr>
          <w:rFonts w:hint="cs"/>
          <w:rtl/>
        </w:rPr>
        <w:t xml:space="preserve">. </w:t>
      </w:r>
    </w:p>
    <w:p w:rsidR="00923FAE" w:rsidRPr="007C7D40" w:rsidRDefault="00DF6A0A" w:rsidP="00923FAE">
      <w:pPr>
        <w:pStyle w:val="73f7"/>
      </w:pPr>
      <w:r w:rsidRPr="007C7D40">
        <w:rPr>
          <w:rFonts w:hint="cs"/>
          <w:noProof/>
          <w:rtl/>
        </w:rPr>
        <w:drawing>
          <wp:anchor distT="0" distB="1440180" distL="107950" distR="114300" simplePos="0" relativeHeight="251730944"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052770945" name="תמונה 2052770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45"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77791E">
        <w:rPr>
          <w:rtl/>
        </w:rPr>
        <w:t>מומלץ כי נציבות שוויון זכויות לאנשים עם מוגבלות תקיים תוכנית מעקב עיתית כדי להבטיח קיום מלא של דרי</w:t>
      </w:r>
      <w:r w:rsidRPr="0077791E">
        <w:rPr>
          <w:rtl/>
        </w:rPr>
        <w:t>שות הדין בנוגע להנגשת אתרי מרשתת לאנשים עם מוגבלות על ידי גופי הממשל. עוד מומלץ כי הנציבות תעשה סקרים שנתיים בקרב אנשים עם מוגבלות מסוגים שונים כדי לקבל מהם מידע על ליקויי הנגשה שהם נתקלים בהם בבואם לצרוך שירותי ממשל בערוצים הדיגיטליים</w:t>
      </w:r>
      <w:r w:rsidRPr="0077791E">
        <w:rPr>
          <w:rFonts w:hint="cs"/>
          <w:rtl/>
        </w:rPr>
        <w:t>;</w:t>
      </w:r>
      <w:r w:rsidRPr="0077791E">
        <w:rPr>
          <w:rtl/>
        </w:rPr>
        <w:t xml:space="preserve"> הדבר יסייע לה למקד </w:t>
      </w:r>
      <w:r w:rsidRPr="0077791E">
        <w:rPr>
          <w:rtl/>
        </w:rPr>
        <w:t>את בדיקות הנגישות שהיא עושה בגופי ממשל</w:t>
      </w:r>
      <w:r w:rsidRPr="007C7D40">
        <w:rPr>
          <w:rFonts w:hint="cs"/>
          <w:rtl/>
        </w:rPr>
        <w:t xml:space="preserve">. </w:t>
      </w:r>
    </w:p>
    <w:p w:rsidR="00923FAE" w:rsidRPr="007C7D40" w:rsidRDefault="00DF6A0A" w:rsidP="00923FAE">
      <w:pPr>
        <w:pStyle w:val="73f7"/>
      </w:pPr>
      <w:r w:rsidRPr="007C7D40">
        <w:rPr>
          <w:rFonts w:hint="cs"/>
          <w:noProof/>
          <w:rtl/>
        </w:rPr>
        <w:lastRenderedPageBreak/>
        <w:drawing>
          <wp:anchor distT="0" distB="1440180" distL="107950" distR="114300" simplePos="0" relativeHeight="251731968"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2052770946" name="תמונה 2052770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46"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Pr="0077791E">
        <w:rPr>
          <w:rtl/>
        </w:rPr>
        <w:t xml:space="preserve">ראוי כי דרישות הדין לגבי הנגשת תכנים ושירותים במרשתת יוסדרו גם בנוגע לגופים המספקים לציבור שירותי בריאות. על </w:t>
      </w:r>
      <w:r w:rsidRPr="0077791E">
        <w:rPr>
          <w:rFonts w:hint="cs"/>
          <w:rtl/>
        </w:rPr>
        <w:t>משרד הבריאות</w:t>
      </w:r>
      <w:r w:rsidRPr="0077791E">
        <w:rPr>
          <w:rtl/>
        </w:rPr>
        <w:t xml:space="preserve"> לפעול להתקנת </w:t>
      </w:r>
      <w:r w:rsidRPr="0077791E">
        <w:rPr>
          <w:rFonts w:hint="cs"/>
          <w:rtl/>
        </w:rPr>
        <w:t>הוראות</w:t>
      </w:r>
      <w:r w:rsidRPr="0077791E">
        <w:rPr>
          <w:rtl/>
        </w:rPr>
        <w:t xml:space="preserve"> בנושא הנדרשות להסדרה בתקנות בהתאם לסמכותו על פי החוק</w:t>
      </w:r>
      <w:r w:rsidRPr="007C7D40">
        <w:rPr>
          <w:rFonts w:hint="cs"/>
          <w:rtl/>
        </w:rPr>
        <w:t xml:space="preserve">. </w:t>
      </w:r>
    </w:p>
    <w:p w:rsidR="004E71DD" w:rsidRPr="00923FAE" w:rsidRDefault="00DF6A0A" w:rsidP="005D0F8C">
      <w:pPr>
        <w:pStyle w:val="73f7"/>
        <w:rPr>
          <w:rtl/>
        </w:rPr>
      </w:pPr>
      <w:r>
        <w:rPr>
          <w:noProof/>
          <w:rtl/>
          <w:lang w:val="he-IL"/>
        </w:rPr>
        <mc:AlternateContent>
          <mc:Choice Requires="wpg">
            <w:drawing>
              <wp:anchor distT="0" distB="0" distL="114300" distR="114300" simplePos="0" relativeHeight="251677696" behindDoc="0" locked="0" layoutInCell="1" allowOverlap="1">
                <wp:simplePos x="0" y="0"/>
                <wp:positionH relativeFrom="column">
                  <wp:posOffset>-109401</wp:posOffset>
                </wp:positionH>
                <wp:positionV relativeFrom="paragraph">
                  <wp:posOffset>230051</wp:posOffset>
                </wp:positionV>
                <wp:extent cx="4731385" cy="1004208"/>
                <wp:effectExtent l="0" t="0" r="0" b="0"/>
                <wp:wrapNone/>
                <wp:docPr id="38" name="קבוצה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731385" cy="1004208"/>
                          <a:chOff x="0" y="0"/>
                          <a:chExt cx="4731385" cy="1004208"/>
                        </a:xfrm>
                      </wpg:grpSpPr>
                      <pic:pic xmlns:pic="http://schemas.openxmlformats.org/drawingml/2006/picture">
                        <pic:nvPicPr>
                          <pic:cNvPr id="1451066646" name="Picture 54">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1004208"/>
                          </a:xfrm>
                          <a:prstGeom prst="rect">
                            <a:avLst/>
                          </a:prstGeom>
                        </pic:spPr>
                      </pic:pic>
                      <wps:wsp>
                        <wps:cNvPr id="1451066629" name="Text Box 2" descr="תרשים: ממצאי הליך שיתוף ציבור שעשה משרד מבקר המדינה בקרב מדגם מייצג של אנשים עם מוגבלות - שיעור המשיבים שזקוקים להנגשה מסוג מסוים במרשתת, על פי סוגי הנגשות  "/>
                        <wps:cNvSpPr txBox="1">
                          <a:spLocks noChangeArrowheads="1"/>
                        </wps:cNvSpPr>
                        <wps:spPr bwMode="auto">
                          <a:xfrm>
                            <a:off x="195942" y="97971"/>
                            <a:ext cx="4436745" cy="612321"/>
                          </a:xfrm>
                          <a:prstGeom prst="rect">
                            <a:avLst/>
                          </a:prstGeom>
                          <a:solidFill>
                            <a:srgbClr val="F05260"/>
                          </a:solidFill>
                          <a:ln w="9525">
                            <a:noFill/>
                            <a:miter lim="800000"/>
                            <a:headEnd/>
                            <a:tailEnd/>
                          </a:ln>
                        </wps:spPr>
                        <wps:txbx>
                          <w:txbxContent>
                            <w:p w:rsidR="00B14302" w:rsidRPr="005C7ABF" w:rsidRDefault="00DF6A0A" w:rsidP="00662020">
                              <w:pPr>
                                <w:spacing w:line="240" w:lineRule="auto"/>
                                <w:ind w:right="113"/>
                                <w:suppressOverlap/>
                                <w:jc w:val="left"/>
                                <w:rPr>
                                  <w:rFonts w:ascii="Tahoma" w:hAnsi="Tahoma" w:cs="Tahoma"/>
                                  <w:b/>
                                  <w:bCs/>
                                  <w:color w:val="FFFFFF" w:themeColor="background1"/>
                                  <w:spacing w:val="-4"/>
                                  <w:sz w:val="22"/>
                                  <w:szCs w:val="22"/>
                                  <w:rtl/>
                                </w:rPr>
                              </w:pPr>
                              <w:r w:rsidRPr="00923FAE">
                                <w:rPr>
                                  <w:rFonts w:ascii="Tahoma" w:hAnsi="Tahoma" w:cs="Tahoma"/>
                                  <w:b/>
                                  <w:bCs/>
                                  <w:color w:val="FFFFFF" w:themeColor="background1"/>
                                  <w:spacing w:val="-4"/>
                                  <w:sz w:val="22"/>
                                  <w:szCs w:val="22"/>
                                  <w:rtl/>
                                </w:rPr>
                                <w:t xml:space="preserve">ממצאי הליך שיתוף ציבור שעשה משרד מבקר המדינה בקרב מדגם מייצג של אנשים עם מוגבלות - שיעור המשיבים שזקוקים להנגשה מסוג מסוים במרשתת, על פי סוגי הנגשות  </w:t>
                              </w:r>
                            </w:p>
                          </w:txbxContent>
                        </wps:txbx>
                        <wps:bodyPr rot="0" vert="horz" wrap="square" lIns="91440" tIns="45720" rIns="91440" bIns="45720" anchor="ctr" anchorCtr="0"/>
                      </wps:wsp>
                    </wpg:wgp>
                  </a:graphicData>
                </a:graphic>
                <wp14:sizeRelV relativeFrom="margin">
                  <wp14:pctHeight>0</wp14:pctHeight>
                </wp14:sizeRelV>
              </wp:anchor>
            </w:drawing>
          </mc:Choice>
          <mc:Fallback>
            <w:pict>
              <v:group id="קבוצה 38" o:spid="_x0000_s1052" style="width:372.55pt;height:79.05pt;margin-top:18.1pt;margin-left:-8.6pt;mso-height-relative:margin;position:absolute;z-index:251678720" coordsize="47313,10042">
                <v:shape id="Picture 54" o:spid="_x0000_s1053" type="#_x0000_t75" style="width:47313;height:10042;mso-wrap-style:square;position:absolute;visibility:visible">
                  <v:imagedata r:id="rId19" o:title=""/>
                </v:shape>
                <v:shape id="_x0000_s1054" type="#_x0000_t202" alt="תרשים: ממצאי הליך שיתוף ציבור שעשה משרד מבקר המדינה בקרב מדגם מייצג של אנשים עם מוגבלות - שיעור המשיבים שזקוקים להנגשה מסוג מסוים במרשתת, על פי סוגי הנגשות  " style="width:44367;height:6123;left:1959;mso-wrap-style:square;position:absolute;top:979;visibility:visible;v-text-anchor:middle" fillcolor="#f05260" stroked="f">
                  <v:textbox>
                    <w:txbxContent>
                      <w:p w:rsidR="00B14302" w:rsidRPr="005C7ABF" w:rsidP="00662020">
                        <w:pPr>
                          <w:spacing w:line="240" w:lineRule="auto"/>
                          <w:ind w:right="113"/>
                          <w:suppressOverlap/>
                          <w:jc w:val="left"/>
                          <w:rPr>
                            <w:rFonts w:ascii="Tahoma" w:hAnsi="Tahoma" w:cs="Tahoma"/>
                            <w:b/>
                            <w:bCs/>
                            <w:color w:val="FFFFFF" w:themeColor="background1"/>
                            <w:spacing w:val="-4"/>
                            <w:sz w:val="22"/>
                            <w:szCs w:val="22"/>
                            <w:rtl/>
                          </w:rPr>
                        </w:pPr>
                        <w:r w:rsidRPr="00923FAE">
                          <w:rPr>
                            <w:rFonts w:ascii="Tahoma" w:hAnsi="Tahoma" w:cs="Tahoma"/>
                            <w:b/>
                            <w:bCs/>
                            <w:color w:val="FFFFFF" w:themeColor="background1"/>
                            <w:spacing w:val="-4"/>
                            <w:sz w:val="22"/>
                            <w:szCs w:val="22"/>
                            <w:rtl/>
                          </w:rPr>
                          <w:t xml:space="preserve">ממצאי הליך שיתוף ציבור שעשה משרד מבקר המדינה בקרב מדגם מייצג של אנשים עם מוגבלות - שיעור המשיבים שזקוקים להנגשה מסוג מסוים במרשתת, על פי סוגי הנגשות  </w:t>
                        </w:r>
                      </w:p>
                    </w:txbxContent>
                  </v:textbox>
                </v:shape>
              </v:group>
            </w:pict>
          </mc:Fallback>
        </mc:AlternateContent>
      </w:r>
    </w:p>
    <w:p w:rsidR="005D0F8C" w:rsidRDefault="00DF6A0A" w:rsidP="004E71DD">
      <w:pPr>
        <w:tabs>
          <w:tab w:val="right" w:pos="7370"/>
        </w:tabs>
        <w:bidi w:val="0"/>
        <w:spacing w:after="200" w:line="276" w:lineRule="auto"/>
        <w:rPr>
          <w:rtl/>
        </w:rPr>
      </w:pPr>
      <w:r>
        <w:rPr>
          <w:rtl/>
        </w:rPr>
        <w:t xml:space="preserve"> </w:t>
      </w:r>
    </w:p>
    <w:p w:rsidR="005D0F8C" w:rsidRDefault="005D0F8C" w:rsidP="005D0F8C">
      <w:pPr>
        <w:pStyle w:val="73f7"/>
        <w:rPr>
          <w:rtl/>
        </w:rPr>
      </w:pPr>
    </w:p>
    <w:p w:rsidR="005D0F8C" w:rsidRDefault="005D0F8C" w:rsidP="005D0F8C">
      <w:pPr>
        <w:pStyle w:val="73f7"/>
        <w:rPr>
          <w:rtl/>
        </w:rPr>
      </w:pPr>
    </w:p>
    <w:p w:rsidR="000B31AA" w:rsidRPr="00353392" w:rsidRDefault="00DF6A0A" w:rsidP="00353392">
      <w:pPr>
        <w:pStyle w:val="73e"/>
      </w:pPr>
      <w:r>
        <w:rPr>
          <w:noProof/>
          <w:rtl/>
          <w:lang w:val="he-IL"/>
        </w:rPr>
        <w:drawing>
          <wp:anchor distT="0" distB="0" distL="114300" distR="114300" simplePos="0" relativeHeight="251747328" behindDoc="0" locked="0" layoutInCell="1" allowOverlap="1">
            <wp:simplePos x="0" y="0"/>
            <wp:positionH relativeFrom="column">
              <wp:posOffset>7620</wp:posOffset>
            </wp:positionH>
            <wp:positionV relativeFrom="paragraph">
              <wp:posOffset>101606</wp:posOffset>
            </wp:positionV>
            <wp:extent cx="4565650" cy="2511425"/>
            <wp:effectExtent l="0" t="0" r="0" b="0"/>
            <wp:wrapTopAndBottom/>
            <wp:docPr id="2052770986" name="תמונה 2052770986" descr="42%  - ציינו הנגשה נדרשת שלפיה המסך לא ירצד,&#10;40% - ציינו שנדרשת חלוקה נושאית מובנת באתר המרשתת, 35% - ציינו שנדרשת אפשרות להגדיל אותיות וכן לשנות את בהירות התצוגה,&#10;28% - ציינו שנדרש תיאור מילולי של אלמנט ויזואלי כגון תמונה; &#10;26% - ציינו שנדרשת הצגת כתוביות לקטעי שמע,&#10; 18% - ציינו שנדרשת אפשרות לחבר תוכנת קורא מסך,&#10; 15% - ציינו שנדרשת אפשרות לעבודה מלאה עם מקלדת (ללא &quot;עכבר&quot;),&#10; 4% - ציינו שנדרש כי באתר המרשתת יינתן מידע מפורט והסברים.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86" name="תמונה 2052770986"/>
                    <pic:cNvPicPr/>
                  </pic:nvPicPr>
                  <pic:blipFill>
                    <a:blip r:embed="rId32">
                      <a:extLst>
                        <a:ext uri="{28A0092B-C50C-407E-A947-70E740481C1C}">
                          <a14:useLocalDpi xmlns:a14="http://schemas.microsoft.com/office/drawing/2010/main" val="0"/>
                        </a:ext>
                      </a:extLst>
                    </a:blip>
                    <a:stretch>
                      <a:fillRect/>
                    </a:stretch>
                  </pic:blipFill>
                  <pic:spPr>
                    <a:xfrm>
                      <a:off x="0" y="0"/>
                      <a:ext cx="4565650" cy="2511425"/>
                    </a:xfrm>
                    <a:prstGeom prst="rect">
                      <a:avLst/>
                    </a:prstGeom>
                  </pic:spPr>
                </pic:pic>
              </a:graphicData>
            </a:graphic>
            <wp14:sizeRelH relativeFrom="page">
              <wp14:pctWidth>0</wp14:pctWidth>
            </wp14:sizeRelH>
            <wp14:sizeRelV relativeFrom="page">
              <wp14:pctHeight>0</wp14:pctHeight>
            </wp14:sizeRelV>
          </wp:anchor>
        </w:drawing>
      </w:r>
    </w:p>
    <w:p w:rsidR="0093709F" w:rsidRDefault="00DF6A0A">
      <w:pPr>
        <w:bidi w:val="0"/>
        <w:spacing w:after="200" w:line="276" w:lineRule="auto"/>
        <w:rPr>
          <w:rFonts w:ascii="Tahoma" w:hAnsi="Tahoma" w:cs="Tahoma"/>
          <w:b/>
          <w:bCs/>
          <w:noProof/>
          <w:color w:val="FFFFFF" w:themeColor="background1"/>
          <w:sz w:val="22"/>
          <w:szCs w:val="22"/>
        </w:rPr>
      </w:pPr>
      <w:r>
        <w:rPr>
          <w:b/>
          <w:bCs/>
          <w:noProof/>
          <w:color w:val="FFFFFF" w:themeColor="background1"/>
          <w:sz w:val="22"/>
          <w:szCs w:val="22"/>
        </w:rPr>
        <w:br w:type="page"/>
      </w:r>
    </w:p>
    <w:p w:rsidR="004E71DD" w:rsidRDefault="00DF6A0A" w:rsidP="004E71DD">
      <w:pPr>
        <w:pStyle w:val="732"/>
        <w:rPr>
          <w:rtl/>
        </w:rPr>
      </w:pPr>
      <w:r w:rsidRPr="00EF3061">
        <w:rPr>
          <w:rFonts w:hint="cs"/>
          <w:rtl/>
        </w:rPr>
        <w:lastRenderedPageBreak/>
        <w:t>סיכום</w:t>
      </w:r>
    </w:p>
    <w:p w:rsidR="00923FAE" w:rsidRPr="0077791E" w:rsidRDefault="00DF6A0A" w:rsidP="00923FAE">
      <w:pPr>
        <w:widowControl w:val="0"/>
        <w:spacing w:before="240" w:line="276" w:lineRule="auto"/>
        <w:ind w:left="-1"/>
        <w:rPr>
          <w:rFonts w:ascii="Tahoma" w:hAnsi="Tahoma" w:cs="Tahoma"/>
          <w:sz w:val="18"/>
          <w:szCs w:val="18"/>
          <w:rtl/>
        </w:rPr>
      </w:pPr>
      <w:r w:rsidRPr="0077791E">
        <w:rPr>
          <w:rFonts w:ascii="Tahoma" w:hAnsi="Tahoma" w:cs="Tahoma"/>
          <w:sz w:val="18"/>
          <w:szCs w:val="18"/>
          <w:rtl/>
        </w:rPr>
        <w:t xml:space="preserve">גופי הממשל מספקים לציבור שירותים רבים באמצעות אתרי מרשתת </w:t>
      </w:r>
      <w:r w:rsidRPr="0077791E">
        <w:rPr>
          <w:rFonts w:ascii="Tahoma" w:hAnsi="Tahoma" w:cs="Tahoma" w:hint="cs"/>
          <w:sz w:val="18"/>
          <w:szCs w:val="18"/>
          <w:rtl/>
        </w:rPr>
        <w:t>ויישומונים. יש לכך יתרונות הן עבו</w:t>
      </w:r>
      <w:r w:rsidRPr="0077791E">
        <w:rPr>
          <w:rFonts w:ascii="Tahoma" w:hAnsi="Tahoma" w:cs="Tahoma" w:hint="cs"/>
          <w:sz w:val="18"/>
          <w:szCs w:val="18"/>
          <w:rtl/>
        </w:rPr>
        <w:t>ר הגופים עצמם בכל הנוגע ליעילות וחסכון, והן עבור האזרח שהשירות זמין לו ככלל בכל מקום ובכל זמן, בלי שהוא נדרש להמתין לתורו בלשכה לקבלת קהל או על קו הטלפון. לבד מהיתרונות שיש לשימוש בערוצי שירות דיגיטליים, הם הופכים חיוניים בתקופות של משבר כמו מגפה או מלחמה,</w:t>
      </w:r>
      <w:r w:rsidRPr="0077791E">
        <w:rPr>
          <w:rFonts w:ascii="Tahoma" w:hAnsi="Tahoma" w:cs="Tahoma" w:hint="cs"/>
          <w:sz w:val="18"/>
          <w:szCs w:val="18"/>
          <w:rtl/>
        </w:rPr>
        <w:t xml:space="preserve"> כיוון שאז הם עלולים להפוך לערוצים העיקריים שבאמצעותם יכול הציבור לקבל מידע ושירות. </w:t>
      </w:r>
      <w:r w:rsidRPr="0077791E">
        <w:rPr>
          <w:rFonts w:ascii="Tahoma" w:hAnsi="Tahoma" w:cs="Tahoma"/>
          <w:sz w:val="18"/>
          <w:szCs w:val="18"/>
          <w:rtl/>
        </w:rPr>
        <w:t>לאחר התפרצות משבר הקורונה בשנת 2020 ובעקבותיו</w:t>
      </w:r>
      <w:r w:rsidRPr="0077791E">
        <w:rPr>
          <w:rFonts w:ascii="Tahoma" w:hAnsi="Tahoma" w:cs="Tahoma" w:hint="cs"/>
          <w:sz w:val="18"/>
          <w:szCs w:val="18"/>
          <w:rtl/>
        </w:rPr>
        <w:t>, התגבר הצורך בערוצי תקשורת דיגיטליים שיחברו בין הציבור לבין גופי הממשל, והממשלה</w:t>
      </w:r>
      <w:r w:rsidRPr="0077791E">
        <w:rPr>
          <w:rFonts w:ascii="Tahoma" w:hAnsi="Tahoma" w:cs="Tahoma"/>
          <w:sz w:val="18"/>
          <w:szCs w:val="18"/>
          <w:rtl/>
        </w:rPr>
        <w:t xml:space="preserve"> פעלה להאיץ את פיתוח שירותי</w:t>
      </w:r>
      <w:r w:rsidRPr="0077791E">
        <w:rPr>
          <w:rFonts w:ascii="Tahoma" w:hAnsi="Tahoma" w:cs="Tahoma" w:hint="cs"/>
          <w:sz w:val="18"/>
          <w:szCs w:val="18"/>
          <w:rtl/>
        </w:rPr>
        <w:t>ה</w:t>
      </w:r>
      <w:r w:rsidRPr="0077791E">
        <w:rPr>
          <w:rFonts w:ascii="Tahoma" w:hAnsi="Tahoma" w:cs="Tahoma"/>
          <w:sz w:val="18"/>
          <w:szCs w:val="18"/>
          <w:rtl/>
        </w:rPr>
        <w:t xml:space="preserve"> הדיגיטליים. בשנת 2022 בדק משרד מבקר המדינה במסגרת ביקורת זו את הנגישות</w:t>
      </w:r>
      <w:r w:rsidRPr="0077791E">
        <w:rPr>
          <w:rFonts w:ascii="Tahoma" w:hAnsi="Tahoma" w:cs="Tahoma" w:hint="cs"/>
          <w:sz w:val="18"/>
          <w:szCs w:val="18"/>
          <w:rtl/>
        </w:rPr>
        <w:t xml:space="preserve"> של השירותים הדיגיטליים של גופי הממשל</w:t>
      </w:r>
      <w:r w:rsidRPr="0077791E">
        <w:rPr>
          <w:rFonts w:ascii="Tahoma" w:hAnsi="Tahoma" w:cs="Tahoma"/>
          <w:sz w:val="18"/>
          <w:szCs w:val="18"/>
          <w:rtl/>
        </w:rPr>
        <w:t xml:space="preserve"> לאנשים עם מוגבלו</w:t>
      </w:r>
      <w:r w:rsidRPr="0077791E">
        <w:rPr>
          <w:rFonts w:ascii="Tahoma" w:hAnsi="Tahoma" w:cs="Tahoma" w:hint="cs"/>
          <w:sz w:val="18"/>
          <w:szCs w:val="18"/>
          <w:rtl/>
        </w:rPr>
        <w:t>יו</w:t>
      </w:r>
      <w:r w:rsidRPr="0077791E">
        <w:rPr>
          <w:rFonts w:ascii="Tahoma" w:hAnsi="Tahoma" w:cs="Tahoma"/>
          <w:sz w:val="18"/>
          <w:szCs w:val="18"/>
          <w:rtl/>
        </w:rPr>
        <w:t>ת מסוגים שונים</w:t>
      </w:r>
      <w:r w:rsidRPr="0077791E">
        <w:rPr>
          <w:rFonts w:ascii="Tahoma" w:hAnsi="Tahoma" w:cs="Tahoma" w:hint="cs"/>
          <w:sz w:val="18"/>
          <w:szCs w:val="18"/>
          <w:rtl/>
        </w:rPr>
        <w:t>, שמהווים 17% מן האוכלוסייה בישראל</w:t>
      </w:r>
      <w:r w:rsidRPr="0077791E">
        <w:rPr>
          <w:rFonts w:ascii="Tahoma" w:hAnsi="Tahoma" w:cs="Tahoma"/>
          <w:sz w:val="18"/>
          <w:szCs w:val="18"/>
          <w:rtl/>
        </w:rPr>
        <w:t>.</w:t>
      </w:r>
      <w:r w:rsidRPr="0077791E">
        <w:rPr>
          <w:rFonts w:ascii="Tahoma" w:hAnsi="Tahoma" w:cs="Tahoma" w:hint="cs"/>
          <w:sz w:val="18"/>
          <w:szCs w:val="18"/>
          <w:rtl/>
        </w:rPr>
        <w:t xml:space="preserve"> הממצאים מצביעים על כך שאתרי מרשתת של גופי ממשל הונגשו עד כה באופן חלקי. היעדר ה</w:t>
      </w:r>
      <w:r w:rsidRPr="0077791E">
        <w:rPr>
          <w:rFonts w:ascii="Tahoma" w:hAnsi="Tahoma" w:cs="Tahoma" w:hint="cs"/>
          <w:sz w:val="18"/>
          <w:szCs w:val="18"/>
          <w:rtl/>
        </w:rPr>
        <w:t>נגשה או הנגשה חלקית של מידע ושירות מקשים ואף מונעים מאדם עם מוגבלות לצרוך את השירות הממשלתי בערוץ הדיגיטלי באופן עצמאי ומכבד. הזכות לקבל מגוף ממשל שירות נגיש, לרבות בערוצים הדיגיטליים, חיונית לכל אדם ובפרט לאנשים עם מוגבלות שלפחות לחלק מהם קשרי גומלין תדיר</w:t>
      </w:r>
      <w:r w:rsidRPr="0077791E">
        <w:rPr>
          <w:rFonts w:ascii="Tahoma" w:hAnsi="Tahoma" w:cs="Tahoma" w:hint="cs"/>
          <w:sz w:val="18"/>
          <w:szCs w:val="18"/>
          <w:rtl/>
        </w:rPr>
        <w:t>ים עם גופי הממשל בשל הצורך למצות זכויות הנובעות מן המוגבלות שלהם. זכות זו מעוגנת בדין בישראל ואף באה לידי ביטוי באמנה בין-לאומית בדבר זכויותיהם של אנשים עם מוגבלות, שעליה חתמה מדינת ישראל במרץ 2007 ואותה אשררה בספטמבר 2012.</w:t>
      </w:r>
    </w:p>
    <w:p w:rsidR="004E71DD" w:rsidRDefault="00DF6A0A" w:rsidP="00923FAE">
      <w:pPr>
        <w:widowControl w:val="0"/>
        <w:tabs>
          <w:tab w:val="left" w:pos="9604"/>
        </w:tabs>
        <w:spacing w:before="240" w:line="276" w:lineRule="auto"/>
        <w:ind w:left="-1"/>
        <w:rPr>
          <w:rFonts w:ascii="Tahoma" w:hAnsi="Tahoma" w:cs="Tahoma"/>
          <w:sz w:val="18"/>
          <w:szCs w:val="18"/>
          <w:rtl/>
        </w:rPr>
      </w:pPr>
      <w:r w:rsidRPr="0077791E">
        <w:rPr>
          <w:rFonts w:ascii="Tahoma" w:hAnsi="Tahoma" w:cs="Tahoma" w:hint="cs"/>
          <w:sz w:val="18"/>
          <w:szCs w:val="18"/>
          <w:rtl/>
        </w:rPr>
        <w:t>בדוח זה ניתנו המלצות עקרוניות לכ</w:t>
      </w:r>
      <w:r w:rsidRPr="0077791E">
        <w:rPr>
          <w:rFonts w:ascii="Tahoma" w:hAnsi="Tahoma" w:cs="Tahoma" w:hint="cs"/>
          <w:sz w:val="18"/>
          <w:szCs w:val="18"/>
          <w:rtl/>
        </w:rPr>
        <w:t>לל גופי הממשל כדי שיפעלו לבצע בדיקות נגישות בשירותיהם הדיגיטליים ולתקן ליקויים שימצאו בהם. כמו כן ניתנו בו המלצות לגופים המאסדרים - נציבות שוויון זכויות לאנשים עם מוגבלות במשרד המשפטים ומערך הדיגיטל הלאומי - כדי שיפעלו כל אחד בהתאם לסמכויותיו ותפקידיו לקדם</w:t>
      </w:r>
      <w:r w:rsidRPr="0077791E">
        <w:rPr>
          <w:rFonts w:ascii="Tahoma" w:hAnsi="Tahoma" w:cs="Tahoma" w:hint="cs"/>
          <w:sz w:val="18"/>
          <w:szCs w:val="18"/>
          <w:rtl/>
        </w:rPr>
        <w:t xml:space="preserve"> את נושא ההנגשה הדיגטלית של שירותי הממשל. ממצאים פרטניים שנמצאו במסגרת בדיקה של מבקר המדינה באתרי מרשתת של גופי ממשל ובדפי שירות שלהם, הועברו במהלך הביקורת לכל אחד מן הגופים, במטרה להעלות אותם בפניו כדי שיוכל לפעול בהקדם לתקנם. ככל שגופי הממשל ישכילו להשתמ</w:t>
      </w:r>
      <w:r w:rsidRPr="0077791E">
        <w:rPr>
          <w:rFonts w:ascii="Tahoma" w:hAnsi="Tahoma" w:cs="Tahoma" w:hint="cs"/>
          <w:sz w:val="18"/>
          <w:szCs w:val="18"/>
          <w:rtl/>
        </w:rPr>
        <w:t>ש בממצאי הביקורת כדי לתקן ליקויים שנמצאו ולקדם את הטיפול בנושא ההנגשה בערוצי השירות הדיגיטליים, כך יוכלו לשפר את השירות שהם מספקים לאנשים עם מוגבלות, והדבר עשוי להניע רבים יותר מביניהם להשתמש בערוצים אלה ולהפיק תועלת מהיתרונות הגלומים בהם</w:t>
      </w:r>
      <w:r w:rsidRPr="006615C6">
        <w:rPr>
          <w:rFonts w:ascii="Tahoma" w:hAnsi="Tahoma" w:cs="Tahoma" w:hint="cs"/>
          <w:sz w:val="18"/>
          <w:szCs w:val="18"/>
          <w:rtl/>
        </w:rPr>
        <w:t xml:space="preserve">. </w:t>
      </w:r>
    </w:p>
    <w:p w:rsidR="0067481E" w:rsidRDefault="00DF6A0A">
      <w:pPr>
        <w:bidi w:val="0"/>
        <w:spacing w:after="200" w:line="276" w:lineRule="auto"/>
        <w:rPr>
          <w:rFonts w:ascii="Tahoma" w:hAnsi="Tahoma" w:cs="Tahoma"/>
          <w:sz w:val="18"/>
          <w:szCs w:val="18"/>
          <w:rtl/>
        </w:rPr>
      </w:pPr>
      <w:r>
        <w:rPr>
          <w:rFonts w:ascii="Tahoma" w:hAnsi="Tahoma" w:cs="Tahoma"/>
          <w:sz w:val="18"/>
          <w:szCs w:val="18"/>
          <w:rtl/>
        </w:rPr>
        <w:br w:type="page"/>
      </w:r>
    </w:p>
    <w:p w:rsidR="0067481E" w:rsidRPr="00027D0B" w:rsidRDefault="00DF6A0A" w:rsidP="0067481E">
      <w:pPr>
        <w:pStyle w:val="7320"/>
        <w:rPr>
          <w:rtl/>
        </w:rPr>
      </w:pPr>
      <w:r w:rsidRPr="00CE393A">
        <w:rPr>
          <w:rtl/>
        </w:rPr>
        <w:lastRenderedPageBreak/>
        <w:t xml:space="preserve">חלק </w:t>
      </w:r>
      <w:r>
        <w:rPr>
          <w:rFonts w:hint="cs"/>
          <w:rtl/>
        </w:rPr>
        <w:t>שני</w:t>
      </w:r>
      <w:r w:rsidRPr="00CE393A">
        <w:rPr>
          <w:rtl/>
        </w:rPr>
        <w:t xml:space="preserve">: </w:t>
      </w:r>
      <w:r w:rsidRPr="00103CF1">
        <w:rPr>
          <w:rtl/>
        </w:rPr>
        <w:t>המענ</w:t>
      </w:r>
      <w:r w:rsidRPr="00103CF1">
        <w:rPr>
          <w:rtl/>
        </w:rPr>
        <w:t>ה הממשלתי בעידן הדיגיטלי לציבור שאינו משתמש במדיה</w:t>
      </w:r>
      <w:r w:rsidRPr="00027D0B">
        <w:rPr>
          <w:rtl/>
        </w:rPr>
        <w:t xml:space="preserve"> </w:t>
      </w:r>
      <w:r>
        <w:rPr>
          <w:rFonts w:hint="cs"/>
          <w:rtl/>
        </w:rPr>
        <w:t>הדיגיטלית</w:t>
      </w:r>
    </w:p>
    <w:p w:rsidR="0067481E" w:rsidRPr="00662020" w:rsidRDefault="00DF6A0A" w:rsidP="0067481E">
      <w:pPr>
        <w:pStyle w:val="73fd"/>
        <w:rPr>
          <w:rtl/>
        </w:rPr>
      </w:pPr>
      <w:r w:rsidRPr="00362C00">
        <w:rPr>
          <w:noProof/>
          <w:rtl/>
        </w:rPr>
        <w:drawing>
          <wp:anchor distT="0" distB="0" distL="114300" distR="114300" simplePos="0" relativeHeight="251709440" behindDoc="0" locked="0" layoutInCell="1" allowOverlap="1">
            <wp:simplePos x="0" y="0"/>
            <wp:positionH relativeFrom="column">
              <wp:posOffset>2540000</wp:posOffset>
            </wp:positionH>
            <wp:positionV relativeFrom="paragraph">
              <wp:posOffset>531041</wp:posOffset>
            </wp:positionV>
            <wp:extent cx="2101215" cy="172085"/>
            <wp:effectExtent l="0" t="0" r="0" b="5715"/>
            <wp:wrapSquare wrapText="bothSides"/>
            <wp:docPr id="1451066667" name="תמונה 1451066667" descr="ממצאים שליל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7" name="תמונה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01215" cy="172085"/>
                    </a:xfrm>
                    <a:prstGeom prst="rect">
                      <a:avLst/>
                    </a:prstGeom>
                  </pic:spPr>
                </pic:pic>
              </a:graphicData>
            </a:graphic>
            <wp14:sizeRelH relativeFrom="margin">
              <wp14:pctWidth>0</wp14:pctWidth>
            </wp14:sizeRelH>
            <wp14:sizeRelV relativeFrom="margin">
              <wp14:pctHeight>0</wp14:pctHeight>
            </wp14:sizeRelV>
          </wp:anchor>
        </w:drawing>
      </w:r>
      <w:r w:rsidRPr="00662020">
        <w:rPr>
          <w:rFonts w:hint="cs"/>
          <w:rtl/>
        </w:rPr>
        <w:t>תמונת המצב העולה מן הביקורת</w:t>
      </w:r>
    </w:p>
    <w:p w:rsidR="0067481E" w:rsidRPr="001F3363" w:rsidRDefault="0067481E" w:rsidP="0067481E">
      <w:pPr>
        <w:pStyle w:val="73f7"/>
        <w:rPr>
          <w:rtl/>
        </w:rPr>
      </w:pPr>
    </w:p>
    <w:p w:rsidR="0067481E" w:rsidRDefault="00DF6A0A" w:rsidP="00923FAE">
      <w:pPr>
        <w:pStyle w:val="73f7"/>
        <w:spacing w:after="360"/>
        <w:rPr>
          <w:rtl/>
        </w:rPr>
      </w:pPr>
      <w:r>
        <w:rPr>
          <w:noProof/>
          <w:rtl/>
          <w:lang w:val="he-IL"/>
        </w:rPr>
        <mc:AlternateContent>
          <mc:Choice Requires="wpg">
            <w:drawing>
              <wp:anchor distT="0" distB="0" distL="114300" distR="114300" simplePos="0" relativeHeight="251714560" behindDoc="0" locked="0" layoutInCell="1" allowOverlap="1">
                <wp:simplePos x="0" y="0"/>
                <wp:positionH relativeFrom="column">
                  <wp:posOffset>-109401</wp:posOffset>
                </wp:positionH>
                <wp:positionV relativeFrom="paragraph">
                  <wp:posOffset>1996712</wp:posOffset>
                </wp:positionV>
                <wp:extent cx="4947557" cy="762635"/>
                <wp:effectExtent l="0" t="0" r="0" b="0"/>
                <wp:wrapNone/>
                <wp:docPr id="1451066664" name="קבוצה 14510666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47557" cy="762635"/>
                          <a:chOff x="0" y="0"/>
                          <a:chExt cx="4731385" cy="762635"/>
                        </a:xfrm>
                      </wpg:grpSpPr>
                      <pic:pic xmlns:pic="http://schemas.openxmlformats.org/drawingml/2006/picture">
                        <pic:nvPicPr>
                          <pic:cNvPr id="1451066665" name="Picture 54">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762635"/>
                          </a:xfrm>
                          <a:prstGeom prst="rect">
                            <a:avLst/>
                          </a:prstGeom>
                        </pic:spPr>
                      </pic:pic>
                      <wps:wsp>
                        <wps:cNvPr id="1451066666" name="Text Box 2" descr="תרשים: הסיבות לאי-העדפת הערוצים הדיגיטליים לקבלת שירות ממשלתי"/>
                        <wps:cNvSpPr txBox="1">
                          <a:spLocks noChangeArrowheads="1"/>
                        </wps:cNvSpPr>
                        <wps:spPr bwMode="auto">
                          <a:xfrm>
                            <a:off x="195942" y="97972"/>
                            <a:ext cx="4436745" cy="435128"/>
                          </a:xfrm>
                          <a:prstGeom prst="rect">
                            <a:avLst/>
                          </a:prstGeom>
                          <a:solidFill>
                            <a:srgbClr val="F05260"/>
                          </a:solidFill>
                          <a:ln w="9525">
                            <a:noFill/>
                            <a:miter lim="800000"/>
                            <a:headEnd/>
                            <a:tailEnd/>
                          </a:ln>
                        </wps:spPr>
                        <wps:txbx>
                          <w:txbxContent>
                            <w:p w:rsidR="00B14302" w:rsidRPr="005C7ABF" w:rsidRDefault="00DF6A0A" w:rsidP="0067481E">
                              <w:pPr>
                                <w:spacing w:line="240" w:lineRule="auto"/>
                                <w:ind w:right="113"/>
                                <w:suppressOverlap/>
                                <w:jc w:val="left"/>
                                <w:rPr>
                                  <w:rFonts w:ascii="Tahoma" w:hAnsi="Tahoma" w:cs="Tahoma"/>
                                  <w:b/>
                                  <w:bCs/>
                                  <w:color w:val="FFFFFF" w:themeColor="background1"/>
                                  <w:spacing w:val="-4"/>
                                  <w:sz w:val="22"/>
                                  <w:szCs w:val="22"/>
                                  <w:rtl/>
                                </w:rPr>
                              </w:pPr>
                              <w:r w:rsidRPr="00D04DF9">
                                <w:rPr>
                                  <w:rFonts w:ascii="Tahoma" w:hAnsi="Tahoma" w:cs="Tahoma"/>
                                  <w:b/>
                                  <w:bCs/>
                                  <w:color w:val="FFFFFF" w:themeColor="background1"/>
                                  <w:spacing w:val="-4"/>
                                  <w:sz w:val="22"/>
                                  <w:szCs w:val="22"/>
                                  <w:rtl/>
                                </w:rPr>
                                <w:t>הסיבות לאי-העדפת הערוצים הדיגיטליים לקבלת שירות ממשלתי</w:t>
                              </w:r>
                            </w:p>
                          </w:txbxContent>
                        </wps:txbx>
                        <wps:bodyPr rot="0" vert="horz" wrap="square" lIns="91440" tIns="45720" rIns="91440" bIns="45720" anchor="ctr" anchorCtr="0"/>
                      </wps:wsp>
                    </wpg:wgp>
                  </a:graphicData>
                </a:graphic>
                <wp14:sizeRelH relativeFrom="margin">
                  <wp14:pctWidth>0</wp14:pctWidth>
                </wp14:sizeRelH>
              </wp:anchor>
            </w:drawing>
          </mc:Choice>
          <mc:Fallback>
            <w:pict>
              <v:group id="קבוצה 1451066664" o:spid="_x0000_s1055" style="width:389.55pt;height:60.05pt;margin-top:157.2pt;margin-left:-8.6pt;mso-width-relative:margin;position:absolute;z-index:251715584" coordsize="47313,7626">
                <v:shape id="Picture 54" o:spid="_x0000_s1056" type="#_x0000_t75" style="width:47313;height:7626;mso-wrap-style:square;position:absolute;visibility:visible">
                  <v:imagedata r:id="rId19" o:title=""/>
                </v:shape>
                <v:shape id="_x0000_s1057" type="#_x0000_t202" alt="תרשים: הסיבות לאי-העדפת הערוצים הדיגיטליים לקבלת שירות ממשלתי" style="width:44367;height:4352;left:1959;mso-wrap-style:square;position:absolute;top:979;visibility:visible;v-text-anchor:middle" fillcolor="#f05260" stroked="f">
                  <v:textbox>
                    <w:txbxContent>
                      <w:p w:rsidR="00B14302" w:rsidRPr="005C7ABF" w:rsidP="0067481E">
                        <w:pPr>
                          <w:spacing w:line="240" w:lineRule="auto"/>
                          <w:ind w:right="113"/>
                          <w:suppressOverlap/>
                          <w:jc w:val="left"/>
                          <w:rPr>
                            <w:rFonts w:ascii="Tahoma" w:hAnsi="Tahoma" w:cs="Tahoma"/>
                            <w:b/>
                            <w:bCs/>
                            <w:color w:val="FFFFFF" w:themeColor="background1"/>
                            <w:spacing w:val="-4"/>
                            <w:sz w:val="22"/>
                            <w:szCs w:val="22"/>
                            <w:rtl/>
                          </w:rPr>
                        </w:pPr>
                        <w:r w:rsidRPr="00D04DF9">
                          <w:rPr>
                            <w:rFonts w:ascii="Tahoma" w:hAnsi="Tahoma" w:cs="Tahoma"/>
                            <w:b/>
                            <w:bCs/>
                            <w:color w:val="FFFFFF" w:themeColor="background1"/>
                            <w:spacing w:val="-4"/>
                            <w:sz w:val="22"/>
                            <w:szCs w:val="22"/>
                            <w:rtl/>
                          </w:rPr>
                          <w:t>הסיבות לאי-העדפת הערוצים הדיגיטליים לקבלת שירות ממשלתי</w:t>
                        </w:r>
                      </w:p>
                    </w:txbxContent>
                  </v:textbox>
                </v:shape>
              </v:group>
            </w:pict>
          </mc:Fallback>
        </mc:AlternateContent>
      </w:r>
      <w:r w:rsidRPr="00923FAE">
        <w:rPr>
          <w:rFonts w:hint="cs"/>
          <w:b/>
          <w:bCs/>
          <w:noProof/>
          <w:rtl/>
        </w:rPr>
        <w:drawing>
          <wp:anchor distT="0" distB="0" distL="71755" distR="0" simplePos="0" relativeHeight="251710464"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5247" y="20329"/>
                <wp:lineTo x="20329" y="15247"/>
                <wp:lineTo x="20329" y="0"/>
                <wp:lineTo x="0" y="0"/>
              </wp:wrapPolygon>
            </wp:wrapTight>
            <wp:docPr id="1451066668" name="תמונה 14510666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8"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923FAE">
        <w:rPr>
          <w:rFonts w:hint="cs"/>
          <w:b/>
          <w:bCs/>
          <w:rtl/>
        </w:rPr>
        <w:t>שלוש קבוצות אוכלוסייה שממעטות לצרוך שירותי ממשל במרשתת</w:t>
      </w:r>
      <w:r w:rsidR="00923FAE" w:rsidRPr="0077791E">
        <w:rPr>
          <w:rFonts w:hint="cs"/>
          <w:rtl/>
        </w:rPr>
        <w:t xml:space="preserve"> -</w:t>
      </w:r>
      <w:r w:rsidR="00923FAE" w:rsidRPr="0077791E">
        <w:rPr>
          <w:rtl/>
        </w:rPr>
        <w:t xml:space="preserve"> </w:t>
      </w:r>
      <w:r w:rsidR="00923FAE" w:rsidRPr="0077791E">
        <w:rPr>
          <w:rFonts w:hint="cs"/>
          <w:rtl/>
        </w:rPr>
        <w:t>בישראל על פי נתוני הלמ"ס לשנת 2021 היו כ-5.9 מיליון איש מגיל 20 ומעלה. מהם כ-3 מיליון איש משתייכים לשלוש קבוצות אוכלוסייה שממעטות יחסית לכלל הציבור בישראל לצרוך שירותי ממשל במרשתת - אנשים מעל גיל 60, החברה החרדית והחברה הערבית; מדובר בכשליש מכלל האוכלוסייה בישראל (שהייתה באותה שנה כ-9.5 מיליון איש) ובכמחצית מן האוכלוסייה הבוגרת. ממצ</w:t>
      </w:r>
      <w:r w:rsidR="00923FAE" w:rsidRPr="0077791E">
        <w:rPr>
          <w:rtl/>
        </w:rPr>
        <w:t xml:space="preserve">אי סקר שעשה משרד מבקר המדינה בקרב אנשים </w:t>
      </w:r>
      <w:r w:rsidR="00923FAE" w:rsidRPr="0077791E">
        <w:rPr>
          <w:rFonts w:hint="eastAsia"/>
          <w:rtl/>
        </w:rPr>
        <w:t>משלוש</w:t>
      </w:r>
      <w:r w:rsidR="00923FAE" w:rsidRPr="0077791E">
        <w:rPr>
          <w:rtl/>
        </w:rPr>
        <w:t xml:space="preserve"> קבוצות אלה הממעטים או נמנעים מצריכת שירותי ממשל במרשתת, מצביעים על כך </w:t>
      </w:r>
      <w:r w:rsidR="00923FAE" w:rsidRPr="0077791E">
        <w:rPr>
          <w:rFonts w:hint="eastAsia"/>
          <w:rtl/>
        </w:rPr>
        <w:t>ש</w:t>
      </w:r>
      <w:r w:rsidR="00923FAE" w:rsidRPr="0077791E">
        <w:rPr>
          <w:rtl/>
        </w:rPr>
        <w:t xml:space="preserve">עומדים </w:t>
      </w:r>
      <w:r w:rsidR="00923FAE" w:rsidRPr="0077791E">
        <w:rPr>
          <w:rFonts w:hint="eastAsia"/>
          <w:rtl/>
        </w:rPr>
        <w:t>בפניהם</w:t>
      </w:r>
      <w:r w:rsidR="00923FAE" w:rsidRPr="0077791E">
        <w:rPr>
          <w:rtl/>
        </w:rPr>
        <w:t xml:space="preserve"> חסמים המקשים על </w:t>
      </w:r>
      <w:r w:rsidR="00923FAE" w:rsidRPr="0077791E">
        <w:rPr>
          <w:rFonts w:hint="eastAsia"/>
          <w:rtl/>
        </w:rPr>
        <w:t>השימוש</w:t>
      </w:r>
      <w:r w:rsidR="00923FAE" w:rsidRPr="0077791E">
        <w:rPr>
          <w:rtl/>
        </w:rPr>
        <w:t xml:space="preserve"> בערוצים אלה ולכן הם מעדיפים שלא להשתמש בהם. חסמים אלה מקורם בהיעדר אמצעים מתאימים או בקשיים טכנולוגיים בתפעול השירות בערוץ הדיגיטלי. בנסיבות אלה, הערוצים המסורתיים </w:t>
      </w:r>
      <w:r w:rsidR="00923FAE" w:rsidRPr="0077791E">
        <w:rPr>
          <w:rFonts w:hint="cs"/>
          <w:rtl/>
        </w:rPr>
        <w:t xml:space="preserve">(לשכת קבלת קהל, טלפון ודואר) </w:t>
      </w:r>
      <w:r w:rsidR="00923FAE" w:rsidRPr="0077791E">
        <w:rPr>
          <w:rtl/>
        </w:rPr>
        <w:t>הם החלופות היחידות עבורם לקבלת השירות</w:t>
      </w:r>
      <w:r w:rsidRPr="00303B4E">
        <w:rPr>
          <w:rtl/>
        </w:rPr>
        <w:t>.</w:t>
      </w:r>
    </w:p>
    <w:p w:rsidR="0067481E" w:rsidRDefault="00DF6A0A" w:rsidP="0067481E">
      <w:pPr>
        <w:tabs>
          <w:tab w:val="right" w:pos="7370"/>
        </w:tabs>
        <w:bidi w:val="0"/>
        <w:spacing w:after="200" w:line="276" w:lineRule="auto"/>
        <w:rPr>
          <w:rtl/>
        </w:rPr>
      </w:pPr>
      <w:r>
        <w:rPr>
          <w:rtl/>
        </w:rPr>
        <w:t xml:space="preserve"> </w:t>
      </w:r>
    </w:p>
    <w:p w:rsidR="0067481E" w:rsidRDefault="00DF6A0A" w:rsidP="0067481E">
      <w:pPr>
        <w:pStyle w:val="73f7"/>
        <w:rPr>
          <w:rtl/>
        </w:rPr>
      </w:pPr>
      <w:r>
        <w:rPr>
          <w:noProof/>
          <w:sz w:val="19"/>
          <w:szCs w:val="19"/>
        </w:rPr>
        <w:drawing>
          <wp:anchor distT="0" distB="0" distL="114300" distR="114300" simplePos="0" relativeHeight="251749376" behindDoc="0" locked="0" layoutInCell="1" allowOverlap="1">
            <wp:simplePos x="0" y="0"/>
            <wp:positionH relativeFrom="column">
              <wp:posOffset>4445</wp:posOffset>
            </wp:positionH>
            <wp:positionV relativeFrom="paragraph">
              <wp:posOffset>373380</wp:posOffset>
            </wp:positionV>
            <wp:extent cx="4639310" cy="2257425"/>
            <wp:effectExtent l="0" t="0" r="0" b="0"/>
            <wp:wrapSquare wrapText="bothSides"/>
            <wp:docPr id="1451066669" name="תמונה 1451066669" descr="בתרשים מוצגות שלוש עמודות. בראשונה - תשובות בני 60 ומעלה לאי-העדפת הערוצים הדיגיטליים: 39% ציינו קושי טכנולוגי, 32% ציינו שהם מעדיפים קשר אישי או פשוט, 35 ציינו שאין להם כרטיס אשראי, 2% שאין להם חיבור לאינטרנט - מחשב המחובר לאינטרנט או טלפון חכם, ועוד 2% ציינו שהם חוששים לתת פרטים אישיים. בעמודה השנייה הוצגו תשובות של נשאלים מהמגזר החרדי: 21% ציינו קושי טכנולוגי, 16% מעדיפים קשר אישי או פשוט, 50% ציינו שאין להם חיבור לאינטרנט  (במחשב או בטלפון חכם) ו-17% ציינו שהסיבה היא טעמי דת. &#10;בעמודה השלישית הוצגו תשובות של נשאלים מהחברה הערבית: 45% ציינו קושי טכנולוגי, 14% ציינו שהם מעדיפים קשר אישי או פשוט, 10% ציינו שאין להם כרטיס אשראי, 9% - ציינו שאין להם חיבור לאינטרנט (אין מחשב מחובר או טלפון חכם), 15% - חשש לתת פרטים אישיים, 6% חשש לשלם באינטרנט ועוד 6% ציינו שהדבר נובע מקשיי שפ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69" name="תמונה 1451066669"/>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639310" cy="2257425"/>
                    </a:xfrm>
                    <a:prstGeom prst="rect">
                      <a:avLst/>
                    </a:prstGeom>
                    <a:noFill/>
                  </pic:spPr>
                </pic:pic>
              </a:graphicData>
            </a:graphic>
            <wp14:sizeRelH relativeFrom="page">
              <wp14:pctWidth>0</wp14:pctWidth>
            </wp14:sizeRelH>
            <wp14:sizeRelV relativeFrom="page">
              <wp14:pctHeight>0</wp14:pctHeight>
            </wp14:sizeRelV>
          </wp:anchor>
        </w:drawing>
      </w:r>
    </w:p>
    <w:p w:rsidR="000050EC" w:rsidRPr="00353392" w:rsidRDefault="00DF6A0A" w:rsidP="000050EC">
      <w:pPr>
        <w:pStyle w:val="73e"/>
        <w:spacing w:before="360"/>
        <w:rPr>
          <w:rtl/>
        </w:rPr>
      </w:pPr>
      <w:r w:rsidRPr="00353392">
        <w:rPr>
          <w:rtl/>
        </w:rPr>
        <w:t>ממצאי סקר טלפוני שעשה משרד מבקר המדינה.</w:t>
      </w:r>
    </w:p>
    <w:p w:rsidR="0067481E" w:rsidRPr="0093709F" w:rsidRDefault="00DF6A0A" w:rsidP="0067481E">
      <w:pPr>
        <w:pStyle w:val="7392"/>
        <w:ind w:left="424"/>
      </w:pPr>
      <w:r w:rsidRPr="00A25767">
        <w:rPr>
          <w:rFonts w:hint="cs"/>
          <w:b/>
          <w:bCs/>
          <w:noProof/>
          <w:rtl/>
        </w:rPr>
        <w:lastRenderedPageBreak/>
        <w:drawing>
          <wp:anchor distT="0" distB="720090" distL="114300" distR="114300" simplePos="0" relativeHeight="25171148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451066670" name="תמונה 1451066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0"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A25767">
        <w:rPr>
          <w:b/>
          <w:bCs/>
          <w:spacing w:val="-4"/>
          <w:rtl/>
        </w:rPr>
        <w:t>צורך באמצעי דיגיטלי ובכרטיס אשראי בערוצי שירות מסורתיים (שאינם דיגיטליים)</w:t>
      </w:r>
      <w:r w:rsidR="00923FAE" w:rsidRPr="0077791E">
        <w:rPr>
          <w:spacing w:val="-4"/>
          <w:rtl/>
        </w:rPr>
        <w:t xml:space="preserve"> - 31% מן מהמשיבים </w:t>
      </w:r>
      <w:r w:rsidR="00923FAE" w:rsidRPr="0077791E">
        <w:rPr>
          <w:rFonts w:hint="cs"/>
          <w:spacing w:val="-4"/>
          <w:rtl/>
        </w:rPr>
        <w:t>ע</w:t>
      </w:r>
      <w:r w:rsidR="00923FAE" w:rsidRPr="0077791E">
        <w:rPr>
          <w:spacing w:val="-4"/>
          <w:rtl/>
        </w:rPr>
        <w:t>ל</w:t>
      </w:r>
      <w:r w:rsidR="00923FAE" w:rsidRPr="0077791E">
        <w:rPr>
          <w:rFonts w:hint="cs"/>
          <w:spacing w:val="-4"/>
          <w:rtl/>
        </w:rPr>
        <w:t xml:space="preserve"> ה</w:t>
      </w:r>
      <w:r w:rsidR="00923FAE" w:rsidRPr="0077791E">
        <w:rPr>
          <w:spacing w:val="-4"/>
          <w:rtl/>
        </w:rPr>
        <w:t xml:space="preserve">סקר </w:t>
      </w:r>
      <w:r w:rsidR="00923FAE" w:rsidRPr="0077791E">
        <w:rPr>
          <w:rFonts w:hint="cs"/>
          <w:spacing w:val="-4"/>
          <w:rtl/>
        </w:rPr>
        <w:t xml:space="preserve">טלפוני </w:t>
      </w:r>
      <w:r w:rsidR="00923FAE" w:rsidRPr="0077791E">
        <w:rPr>
          <w:spacing w:val="-4"/>
          <w:rtl/>
        </w:rPr>
        <w:t xml:space="preserve">שעשה מבקר המדינה בקרב אנשים הממעטים או נמנעים מצריכת שירותים במרשתת, ציינו כי נתקלו במקרים </w:t>
      </w:r>
      <w:r w:rsidR="00923FAE" w:rsidRPr="0077791E">
        <w:rPr>
          <w:rFonts w:hint="cs"/>
          <w:spacing w:val="-4"/>
          <w:rtl/>
        </w:rPr>
        <w:t>ש</w:t>
      </w:r>
      <w:r w:rsidR="00923FAE" w:rsidRPr="0077791E">
        <w:rPr>
          <w:spacing w:val="-4"/>
          <w:rtl/>
        </w:rPr>
        <w:t>בהם ביקשו לקבל שירות ממשלתי בערוץ מסורתי אך לא קיבלו מענה כיוון שנדרשו להשתמש באמצעי שלא היה ברשותם, כגון טלפון חכם, תיבת דואר אלקטרוני או כרטיס אשראי.</w:t>
      </w:r>
      <w:r w:rsidR="00923FAE" w:rsidRPr="0077791E">
        <w:rPr>
          <w:rFonts w:hint="cs"/>
          <w:spacing w:val="-4"/>
          <w:rtl/>
        </w:rPr>
        <w:t xml:space="preserve"> לכ-13%</w:t>
      </w:r>
      <w:r w:rsidR="00923FAE" w:rsidRPr="0077791E">
        <w:rPr>
          <w:spacing w:val="-4"/>
          <w:rtl/>
        </w:rPr>
        <w:t xml:space="preserve"> מן המשיבים שציינו כי נתקלו בקשיים לצרוך שירותים בערוצים המסורתיים חסר טלפון חכם שנדרש מהם לשם קבלת סיסמה לצורך זיהוי - אמצעי שנדרש בערוץ השירות הטלפוני. 9% ציינו שכשביקשו לקבל שירות בלשכת קבלת קהל נדרשו לקבוע לצורך כך תור באמצעות המרשתת, והדבר הציב מולם חסם. נוסף על כך, 4% מהמשיבים ציינו שאינם מחזיקים בכרטיס אשראי ולפיכך ביקשו לשלם בקופה במזומן אך נתקלו בסירוב</w:t>
      </w:r>
      <w:r w:rsidRPr="0093709F">
        <w:rPr>
          <w:rFonts w:hint="cs"/>
          <w:rtl/>
        </w:rPr>
        <w:t xml:space="preserve">. </w:t>
      </w:r>
    </w:p>
    <w:p w:rsidR="0067481E" w:rsidRPr="0093709F" w:rsidRDefault="00DF6A0A" w:rsidP="0067481E">
      <w:pPr>
        <w:pStyle w:val="7392"/>
        <w:ind w:left="424"/>
        <w:rPr>
          <w:rtl/>
        </w:rPr>
      </w:pPr>
      <w:r w:rsidRPr="00A25767">
        <w:rPr>
          <w:rFonts w:hint="cs"/>
          <w:b/>
          <w:bCs/>
          <w:noProof/>
          <w:rtl/>
        </w:rPr>
        <w:drawing>
          <wp:anchor distT="0" distB="720090" distL="114300" distR="114300" simplePos="0" relativeHeight="251712512"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451066671" name="תמונה 14510666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1"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923FAE" w:rsidRPr="00A25767">
        <w:rPr>
          <w:rFonts w:hint="cs"/>
          <w:b/>
          <w:bCs/>
          <w:spacing w:val="-4"/>
          <w:rtl/>
        </w:rPr>
        <w:t>מענה בלעדי דרך ערוץ השירות הדיגיטלי</w:t>
      </w:r>
      <w:r w:rsidR="00923FAE" w:rsidRPr="0077791E">
        <w:rPr>
          <w:rFonts w:hint="cs"/>
          <w:spacing w:val="-4"/>
          <w:rtl/>
        </w:rPr>
        <w:t xml:space="preserve"> - מתוך</w:t>
      </w:r>
      <w:r w:rsidR="00923FAE" w:rsidRPr="0077791E">
        <w:rPr>
          <w:spacing w:val="-4"/>
          <w:rtl/>
        </w:rPr>
        <w:t xml:space="preserve"> 520 המשיבים </w:t>
      </w:r>
      <w:r w:rsidR="00923FAE" w:rsidRPr="0077791E">
        <w:rPr>
          <w:rFonts w:hint="cs"/>
          <w:spacing w:val="-4"/>
          <w:rtl/>
        </w:rPr>
        <w:t>ע</w:t>
      </w:r>
      <w:r w:rsidR="00923FAE" w:rsidRPr="0077791E">
        <w:rPr>
          <w:spacing w:val="-4"/>
          <w:rtl/>
        </w:rPr>
        <w:t>ל</w:t>
      </w:r>
      <w:r w:rsidR="00923FAE" w:rsidRPr="0077791E">
        <w:rPr>
          <w:rFonts w:hint="cs"/>
          <w:spacing w:val="-4"/>
          <w:rtl/>
        </w:rPr>
        <w:t xml:space="preserve"> ה</w:t>
      </w:r>
      <w:r w:rsidR="00923FAE" w:rsidRPr="0077791E">
        <w:rPr>
          <w:spacing w:val="-4"/>
          <w:rtl/>
        </w:rPr>
        <w:t xml:space="preserve">סקר </w:t>
      </w:r>
      <w:r w:rsidR="00923FAE" w:rsidRPr="0077791E">
        <w:rPr>
          <w:rFonts w:hint="cs"/>
          <w:spacing w:val="-4"/>
          <w:rtl/>
        </w:rPr>
        <w:t xml:space="preserve">האינטרנטי </w:t>
      </w:r>
      <w:r w:rsidR="00923FAE" w:rsidRPr="0077791E">
        <w:rPr>
          <w:spacing w:val="-4"/>
          <w:rtl/>
        </w:rPr>
        <w:t>שע</w:t>
      </w:r>
      <w:r w:rsidR="00923FAE" w:rsidRPr="0077791E">
        <w:rPr>
          <w:rFonts w:hint="cs"/>
          <w:spacing w:val="-4"/>
          <w:rtl/>
        </w:rPr>
        <w:t>שה</w:t>
      </w:r>
      <w:r w:rsidR="00923FAE" w:rsidRPr="0077791E">
        <w:rPr>
          <w:spacing w:val="-4"/>
          <w:rtl/>
        </w:rPr>
        <w:t xml:space="preserve"> משרד מבקר המדינה,</w:t>
      </w:r>
      <w:r w:rsidR="00923FAE" w:rsidRPr="0077791E">
        <w:rPr>
          <w:rFonts w:hint="cs"/>
          <w:spacing w:val="-4"/>
          <w:rtl/>
        </w:rPr>
        <w:t xml:space="preserve"> בקרב אנשים עם מוגבלות שמשתמשים במרשתת,</w:t>
      </w:r>
      <w:r w:rsidR="00923FAE" w:rsidRPr="0077791E">
        <w:rPr>
          <w:spacing w:val="-4"/>
          <w:rtl/>
        </w:rPr>
        <w:t xml:space="preserve"> ציינו 199 משיבים (38%) כי נתקלו במקרים שבהם לא ניתן היה לקבל שירות מגופי הממשל אלא בדרך דיגיטלית. כלומר, לא הייתה </w:t>
      </w:r>
      <w:r w:rsidR="00923FAE" w:rsidRPr="0077791E">
        <w:rPr>
          <w:rFonts w:hint="cs"/>
          <w:spacing w:val="-4"/>
          <w:rtl/>
        </w:rPr>
        <w:t xml:space="preserve">להם </w:t>
      </w:r>
      <w:r w:rsidR="00923FAE" w:rsidRPr="0077791E">
        <w:rPr>
          <w:spacing w:val="-4"/>
          <w:rtl/>
        </w:rPr>
        <w:t xml:space="preserve">אפשרות לצרוך </w:t>
      </w:r>
      <w:r w:rsidR="00923FAE" w:rsidRPr="0077791E">
        <w:rPr>
          <w:rFonts w:hint="cs"/>
          <w:spacing w:val="-4"/>
          <w:rtl/>
        </w:rPr>
        <w:t>את השירות</w:t>
      </w:r>
      <w:r w:rsidR="00923FAE" w:rsidRPr="0077791E">
        <w:rPr>
          <w:spacing w:val="-4"/>
          <w:rtl/>
        </w:rPr>
        <w:t xml:space="preserve"> בלשכת קבלת קהל או באמצעות השירות הטלפוני. יצוין כי על פי תשובות המשיבים, לעיתים ההפניה לשירות הדיגיטלי כערוץ בלעדי לקבלת השירות הייתה כבר בשלב הראשוני, שבו ביקשו להזמין תור לקבלת השירות והופנו לשירות הדיגיטלי שרק באמצעותו ניתן היה לקבוע את התור</w:t>
      </w:r>
      <w:r w:rsidRPr="0093709F">
        <w:rPr>
          <w:rFonts w:hint="cs"/>
          <w:rtl/>
        </w:rPr>
        <w:t>.</w:t>
      </w:r>
    </w:p>
    <w:p w:rsidR="0067481E" w:rsidRDefault="00DF6A0A" w:rsidP="0067481E">
      <w:pPr>
        <w:pStyle w:val="7392"/>
        <w:ind w:left="424"/>
        <w:rPr>
          <w:rtl/>
        </w:rPr>
      </w:pPr>
      <w:r w:rsidRPr="00A25767">
        <w:rPr>
          <w:rFonts w:hint="cs"/>
          <w:b/>
          <w:bCs/>
          <w:noProof/>
          <w:rtl/>
        </w:rPr>
        <w:drawing>
          <wp:anchor distT="0" distB="720090" distL="114300" distR="114300" simplePos="0" relativeHeight="251713536"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451066672" name="תמונה 1451066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2"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A25767" w:rsidRPr="00A25767">
        <w:rPr>
          <w:rFonts w:hint="cs"/>
          <w:b/>
          <w:bCs/>
          <w:spacing w:val="-4"/>
          <w:rtl/>
        </w:rPr>
        <w:t>עמדות שירות דיגיטליות במוקדי קבלת קהל</w:t>
      </w:r>
      <w:r w:rsidR="00A25767" w:rsidRPr="0077791E">
        <w:rPr>
          <w:rFonts w:hint="cs"/>
          <w:spacing w:val="-4"/>
          <w:rtl/>
        </w:rPr>
        <w:t xml:space="preserve"> - עמדות שירות דיגיטליות בלשכות קבלת קהל של גופי ממשל יכולות לסייע לאזרחים שאין להם אמצעי חיבור למרשתת לצרוך את המידע והשירותים באופן דיגיטלי. ואולם בסקר שעשה משרד מבקר המדינה בקרב 23 גופי ממשל, ציינו רק שישה גופים הם כי הציבו עמדות כאלה בלשכות קבלת הקהל שלהן</w:t>
      </w:r>
      <w:r w:rsidRPr="0093709F">
        <w:rPr>
          <w:rFonts w:hint="cs"/>
          <w:rtl/>
        </w:rPr>
        <w:t xml:space="preserve">. </w:t>
      </w:r>
    </w:p>
    <w:p w:rsidR="0067481E" w:rsidRPr="0093709F" w:rsidRDefault="00DF6A0A" w:rsidP="0067481E">
      <w:pPr>
        <w:pStyle w:val="7392"/>
        <w:ind w:left="424"/>
        <w:rPr>
          <w:rtl/>
        </w:rPr>
      </w:pPr>
      <w:r w:rsidRPr="00A25767">
        <w:rPr>
          <w:rFonts w:hint="cs"/>
          <w:b/>
          <w:bCs/>
          <w:noProof/>
          <w:rtl/>
        </w:rPr>
        <w:drawing>
          <wp:anchor distT="0" distB="720090" distL="114300" distR="114300" simplePos="0" relativeHeight="251716608" behindDoc="1" locked="0" layoutInCell="1" allowOverlap="1">
            <wp:simplePos x="0" y="0"/>
            <wp:positionH relativeFrom="column">
              <wp:posOffset>4526915</wp:posOffset>
            </wp:positionH>
            <wp:positionV relativeFrom="paragraph">
              <wp:posOffset>30317</wp:posOffset>
            </wp:positionV>
            <wp:extent cx="162000" cy="162000"/>
            <wp:effectExtent l="0" t="0" r="3175" b="3175"/>
            <wp:wrapTight wrapText="bothSides">
              <wp:wrapPolygon edited="0">
                <wp:start x="0" y="0"/>
                <wp:lineTo x="0" y="15247"/>
                <wp:lineTo x="5082" y="20329"/>
                <wp:lineTo x="16941" y="20329"/>
                <wp:lineTo x="20329" y="15247"/>
                <wp:lineTo x="20329" y="0"/>
                <wp:lineTo x="0" y="0"/>
              </wp:wrapPolygon>
            </wp:wrapTight>
            <wp:docPr id="1451066673" name="תמונה 1451066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3" name="Picture 4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000" cy="162000"/>
                    </a:xfrm>
                    <a:prstGeom prst="rect">
                      <a:avLst/>
                    </a:prstGeom>
                  </pic:spPr>
                </pic:pic>
              </a:graphicData>
            </a:graphic>
            <wp14:sizeRelH relativeFrom="margin">
              <wp14:pctWidth>0</wp14:pctWidth>
            </wp14:sizeRelH>
            <wp14:sizeRelV relativeFrom="margin">
              <wp14:pctHeight>0</wp14:pctHeight>
            </wp14:sizeRelV>
          </wp:anchor>
        </w:drawing>
      </w:r>
      <w:r w:rsidR="00A25767" w:rsidRPr="00A25767">
        <w:rPr>
          <w:rFonts w:hint="cs"/>
          <w:b/>
          <w:bCs/>
          <w:spacing w:val="-4"/>
          <w:rtl/>
        </w:rPr>
        <w:t>הנגשת השירות הדיגיטלי הממשלתי לתרבות ולשפה הערבית</w:t>
      </w:r>
      <w:r w:rsidR="00A25767" w:rsidRPr="0077791E">
        <w:rPr>
          <w:rFonts w:hint="cs"/>
          <w:spacing w:val="-4"/>
          <w:rtl/>
        </w:rPr>
        <w:t xml:space="preserve"> - </w:t>
      </w:r>
      <w:r w:rsidR="00A25767" w:rsidRPr="0077791E">
        <w:rPr>
          <w:spacing w:val="-4"/>
          <w:rtl/>
        </w:rPr>
        <w:t xml:space="preserve">כדי להנגיש את השירות הממשלתי לשפה ולתרבות הערבית קיבלה הממשלה באוקטובר 2021 החלטה (החלטה 550) </w:t>
      </w:r>
      <w:r w:rsidR="00A25767" w:rsidRPr="0077791E">
        <w:rPr>
          <w:rFonts w:hint="cs"/>
          <w:spacing w:val="-4"/>
          <w:rtl/>
        </w:rPr>
        <w:t>ו</w:t>
      </w:r>
      <w:r w:rsidR="00A25767" w:rsidRPr="0077791E">
        <w:rPr>
          <w:spacing w:val="-4"/>
          <w:rtl/>
        </w:rPr>
        <w:t>לפיה יש לה</w:t>
      </w:r>
      <w:r w:rsidR="00A25767" w:rsidRPr="0077791E">
        <w:rPr>
          <w:rFonts w:hint="cs"/>
          <w:spacing w:val="-4"/>
          <w:rtl/>
        </w:rPr>
        <w:t>נ</w:t>
      </w:r>
      <w:r w:rsidR="00A25767" w:rsidRPr="0077791E">
        <w:rPr>
          <w:spacing w:val="-4"/>
          <w:rtl/>
        </w:rPr>
        <w:t>גיש מבחינה שפתית ותרבותית לאוכלוסיי</w:t>
      </w:r>
      <w:r w:rsidR="00A25767" w:rsidRPr="0077791E">
        <w:rPr>
          <w:rFonts w:hint="cs"/>
          <w:spacing w:val="-4"/>
          <w:rtl/>
        </w:rPr>
        <w:t>ה</w:t>
      </w:r>
      <w:r w:rsidR="00A25767" w:rsidRPr="0077791E">
        <w:rPr>
          <w:spacing w:val="-4"/>
          <w:rtl/>
        </w:rPr>
        <w:t xml:space="preserve"> הערבית לפחות 50% מהתוכן והשירותים הממשלתיים הדיגיטליים הרלוונטיים, עד לסוף שנת 2025.</w:t>
      </w:r>
      <w:r w:rsidR="00A25767" w:rsidRPr="0077791E">
        <w:rPr>
          <w:rFonts w:hint="cs"/>
          <w:spacing w:val="-4"/>
          <w:rtl/>
        </w:rPr>
        <w:t xml:space="preserve"> </w:t>
      </w:r>
      <w:r w:rsidR="00A25767" w:rsidRPr="0077791E">
        <w:rPr>
          <w:spacing w:val="-4"/>
          <w:rtl/>
        </w:rPr>
        <w:t xml:space="preserve">בביקורת עלה כי נכון לאוגוסט 2022 </w:t>
      </w:r>
      <w:r w:rsidR="000A7431" w:rsidRPr="000A7431">
        <w:rPr>
          <w:spacing w:val="-4"/>
          <w:rtl/>
        </w:rPr>
        <w:t>לא הושלם התרגום לערבית של הטפסים המקוונים שקשורים לעשרת השירותים הממשלתיים שהוגדרו על ידי מערך הדיגיטל הלאומי כנפוצים ביותר.</w:t>
      </w:r>
    </w:p>
    <w:p w:rsidR="0067481E" w:rsidRPr="00662020" w:rsidRDefault="00DF6A0A" w:rsidP="0067481E">
      <w:pPr>
        <w:pStyle w:val="73fd"/>
        <w:spacing w:before="480"/>
        <w:rPr>
          <w:rtl/>
        </w:rPr>
      </w:pPr>
      <w:r w:rsidRPr="00662020">
        <w:rPr>
          <w:rFonts w:hint="cs"/>
          <w:rtl/>
        </w:rPr>
        <w:t>עיקרי המלצות הביקורת</w:t>
      </w:r>
    </w:p>
    <w:p w:rsidR="0067481E" w:rsidRPr="007C7D40" w:rsidRDefault="00DF6A0A" w:rsidP="0067481E">
      <w:pPr>
        <w:pStyle w:val="73f7"/>
      </w:pPr>
      <w:r w:rsidRPr="007C7D40">
        <w:rPr>
          <w:rFonts w:hint="cs"/>
          <w:noProof/>
          <w:rtl/>
        </w:rPr>
        <w:drawing>
          <wp:anchor distT="0" distB="1440180" distL="107950" distR="114300" simplePos="0" relativeHeight="251720704" behindDoc="1" locked="0" layoutInCell="1" allowOverlap="1">
            <wp:simplePos x="0" y="0"/>
            <wp:positionH relativeFrom="column">
              <wp:posOffset>4519930</wp:posOffset>
            </wp:positionH>
            <wp:positionV relativeFrom="paragraph">
              <wp:posOffset>23624</wp:posOffset>
            </wp:positionV>
            <wp:extent cx="143510" cy="161925"/>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77" name="תמונה 1451066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7"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510" cy="161925"/>
                    </a:xfrm>
                    <a:prstGeom prst="rect">
                      <a:avLst/>
                    </a:prstGeom>
                  </pic:spPr>
                </pic:pic>
              </a:graphicData>
            </a:graphic>
            <wp14:sizeRelH relativeFrom="margin">
              <wp14:pctWidth>0</wp14:pctWidth>
            </wp14:sizeRelH>
            <wp14:sizeRelV relativeFrom="margin">
              <wp14:pctHeight>0</wp14:pctHeight>
            </wp14:sizeRelV>
          </wp:anchor>
        </w:drawing>
      </w:r>
      <w:r w:rsidR="000A7431" w:rsidRPr="000A7431">
        <w:rPr>
          <w:noProof/>
          <w:rtl/>
        </w:rPr>
        <w:t xml:space="preserve">מומלץ כי מערך הדיגיטל הלאומי וגופי הממשל ילמדו את ממצאי הסקרים לשיתוף הציבור שעשה משרד מבקר המדינה, ינתחו את החסמים או הסיבות לשימוש המועט יחסית בערוץ הדיגיטלי, בקרב האוכלוסייה החרדית והערבית ובקרב בני ה-60 ומעלה לצריכת שירותי ממשל, </w:t>
      </w:r>
      <w:r w:rsidR="00A25767" w:rsidRPr="0077791E">
        <w:rPr>
          <w:rtl/>
        </w:rPr>
        <w:t>ויבחנו דרכים לשפר את השירות הממשלתי עבור קבוצות כה גדולות בציבור בישראל</w:t>
      </w:r>
      <w:r w:rsidR="00A25767" w:rsidRPr="0077791E">
        <w:rPr>
          <w:rFonts w:hint="cs"/>
          <w:rtl/>
        </w:rPr>
        <w:t>, שביחד מהוות כשליש מהאוכלוסייה</w:t>
      </w:r>
      <w:r w:rsidR="00A25767" w:rsidRPr="0077791E">
        <w:rPr>
          <w:rtl/>
        </w:rPr>
        <w:t>. בד בבד עם פיתוח השירות הדיגיטלי ונקיטת פעולות להנגשתו המיטבית לכלל הציבור, על גופי הממשל להמשיך לתת מענה מלא גם בערוצים המסורתיים עבור אותם אנשים שמעדיפים או נאלצים להשתמש בהם</w:t>
      </w:r>
      <w:r w:rsidRPr="007C7D40">
        <w:rPr>
          <w:rFonts w:hint="cs"/>
          <w:rtl/>
        </w:rPr>
        <w:t xml:space="preserve">. </w:t>
      </w:r>
    </w:p>
    <w:p w:rsidR="0067481E" w:rsidRPr="007C7D40" w:rsidRDefault="00DF6A0A" w:rsidP="0067481E">
      <w:pPr>
        <w:pStyle w:val="73f7"/>
      </w:pPr>
      <w:r w:rsidRPr="007C7D40">
        <w:rPr>
          <w:rFonts w:hint="cs"/>
          <w:noProof/>
          <w:rtl/>
        </w:rPr>
        <w:lastRenderedPageBreak/>
        <w:drawing>
          <wp:anchor distT="0" distB="1440180" distL="107950" distR="114300" simplePos="0" relativeHeight="251721728" behindDoc="1" locked="0" layoutInCell="1" allowOverlap="1">
            <wp:simplePos x="0" y="0"/>
            <wp:positionH relativeFrom="column">
              <wp:posOffset>4521200</wp:posOffset>
            </wp:positionH>
            <wp:positionV relativeFrom="paragraph">
              <wp:posOffset>23624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78" name="תמונה 1451066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8"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25767" w:rsidRPr="0077791E">
        <w:rPr>
          <w:rtl/>
        </w:rPr>
        <w:t>על גופי הממשל לאפשר לאנשים שפונים אליהם לקבל שירות בערוצים מסורתיים - לשכת קבלת קהל, טלפון ודואר - לקבל את השירות בלי להתנות זאת בפעולות המחייבות שימוש באמצעים דיגיטליים</w:t>
      </w:r>
      <w:r w:rsidR="00A25767" w:rsidRPr="0077791E">
        <w:rPr>
          <w:rFonts w:hint="cs"/>
          <w:rtl/>
        </w:rPr>
        <w:t>,</w:t>
      </w:r>
      <w:r w:rsidR="00A25767" w:rsidRPr="0077791E">
        <w:rPr>
          <w:rtl/>
        </w:rPr>
        <w:t xml:space="preserve"> כגון דואר אלקטרוני וטלפון חכם. כמו כן יש לאפשר לאדם שמבקש לשלם אגרה ממשלתית בקופה בלשכת קבלת קהל לעשות זאת בלי להתנות זאת בשימוש בכרטיס אשראי, כיוון שיש אנשים שאינם משתמשים באמצעי זה</w:t>
      </w:r>
      <w:r w:rsidRPr="007C7D40">
        <w:rPr>
          <w:rtl/>
        </w:rPr>
        <w:t xml:space="preserve">. </w:t>
      </w:r>
    </w:p>
    <w:p w:rsidR="0067481E" w:rsidRPr="007C7D40" w:rsidRDefault="00DF6A0A" w:rsidP="0067481E">
      <w:pPr>
        <w:pStyle w:val="73f7"/>
        <w:rPr>
          <w:rtl/>
        </w:rPr>
      </w:pPr>
      <w:r w:rsidRPr="007C7D40">
        <w:rPr>
          <w:rFonts w:hint="cs"/>
          <w:noProof/>
          <w:rtl/>
        </w:rPr>
        <w:drawing>
          <wp:anchor distT="0" distB="1440180" distL="107950" distR="114300" simplePos="0" relativeHeight="251722752"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79" name="תמונה 1451066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79"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25767" w:rsidRPr="0077791E">
        <w:rPr>
          <w:rtl/>
        </w:rPr>
        <w:t>מומלץ שמערך הדיגיטל הלאומי, בשיתוף עם כל אחד מגופי הממשל שמספקים שירותים דיגיטליים לציבור ועדיין לא ה</w:t>
      </w:r>
      <w:r w:rsidR="00A25767" w:rsidRPr="0077791E">
        <w:rPr>
          <w:rFonts w:hint="cs"/>
          <w:rtl/>
        </w:rPr>
        <w:t>ציבו</w:t>
      </w:r>
      <w:r w:rsidR="00A25767" w:rsidRPr="0077791E">
        <w:rPr>
          <w:rtl/>
        </w:rPr>
        <w:t xml:space="preserve"> עמדות שירות דיגיטליות בלשכות קבלת הקהל שלהם, יבחנו </w:t>
      </w:r>
      <w:r w:rsidR="00A25767" w:rsidRPr="0077791E">
        <w:rPr>
          <w:rFonts w:hint="cs"/>
          <w:rtl/>
        </w:rPr>
        <w:t xml:space="preserve">את </w:t>
      </w:r>
      <w:r w:rsidR="00A25767" w:rsidRPr="0077791E">
        <w:rPr>
          <w:rtl/>
        </w:rPr>
        <w:t>הצבת</w:t>
      </w:r>
      <w:r w:rsidR="00A25767" w:rsidRPr="0077791E">
        <w:rPr>
          <w:rFonts w:hint="cs"/>
          <w:rtl/>
        </w:rPr>
        <w:t>ן</w:t>
      </w:r>
      <w:r w:rsidR="00A25767" w:rsidRPr="0077791E">
        <w:rPr>
          <w:rtl/>
        </w:rPr>
        <w:t>. זאת כדי לסייע בהנגשת ה</w:t>
      </w:r>
      <w:r w:rsidR="00A25767" w:rsidRPr="0077791E">
        <w:rPr>
          <w:rFonts w:hint="cs"/>
          <w:rtl/>
        </w:rPr>
        <w:t>מידע וה</w:t>
      </w:r>
      <w:r w:rsidR="00A25767" w:rsidRPr="0077791E">
        <w:rPr>
          <w:rtl/>
        </w:rPr>
        <w:t>שירותים בערוצים הדיגיטליים לכלל הציבור, לרבות אנשים שמתקשים בשימוש באמצעים טכנולוגיים או שחסרים להם האמצעים המתאימים</w:t>
      </w:r>
      <w:r w:rsidRPr="007C7D40">
        <w:rPr>
          <w:rFonts w:hint="cs"/>
          <w:rtl/>
        </w:rPr>
        <w:t>.</w:t>
      </w:r>
    </w:p>
    <w:p w:rsidR="0067481E" w:rsidRPr="007C7D40" w:rsidRDefault="00DF6A0A" w:rsidP="0067481E">
      <w:pPr>
        <w:pStyle w:val="73f7"/>
        <w:rPr>
          <w:rtl/>
        </w:rPr>
      </w:pPr>
      <w:r w:rsidRPr="007C7D40">
        <w:rPr>
          <w:rFonts w:hint="cs"/>
          <w:noProof/>
          <w:rtl/>
        </w:rPr>
        <w:drawing>
          <wp:anchor distT="0" distB="1440180" distL="107950" distR="114300" simplePos="0" relativeHeight="251723776" behindDoc="1" locked="0" layoutInCell="1" allowOverlap="1">
            <wp:simplePos x="0" y="0"/>
            <wp:positionH relativeFrom="column">
              <wp:posOffset>4521200</wp:posOffset>
            </wp:positionH>
            <wp:positionV relativeFrom="paragraph">
              <wp:posOffset>31244</wp:posOffset>
            </wp:positionV>
            <wp:extent cx="144000" cy="162000"/>
            <wp:effectExtent l="0" t="0" r="0" b="3175"/>
            <wp:wrapTight wrapText="bothSides">
              <wp:wrapPolygon edited="0">
                <wp:start x="3823" y="0"/>
                <wp:lineTo x="0" y="1694"/>
                <wp:lineTo x="0" y="13553"/>
                <wp:lineTo x="1912" y="20329"/>
                <wp:lineTo x="15292" y="20329"/>
                <wp:lineTo x="19115" y="16941"/>
                <wp:lineTo x="19115" y="1694"/>
                <wp:lineTo x="15292" y="0"/>
                <wp:lineTo x="3823" y="0"/>
              </wp:wrapPolygon>
            </wp:wrapTight>
            <wp:docPr id="1451066680" name="תמונה 1451066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0" name="Picture 5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00" cy="162000"/>
                    </a:xfrm>
                    <a:prstGeom prst="rect">
                      <a:avLst/>
                    </a:prstGeom>
                  </pic:spPr>
                </pic:pic>
              </a:graphicData>
            </a:graphic>
            <wp14:sizeRelH relativeFrom="margin">
              <wp14:pctWidth>0</wp14:pctWidth>
            </wp14:sizeRelH>
            <wp14:sizeRelV relativeFrom="margin">
              <wp14:pctHeight>0</wp14:pctHeight>
            </wp14:sizeRelV>
          </wp:anchor>
        </w:drawing>
      </w:r>
      <w:r w:rsidR="00A25767" w:rsidRPr="0077791E">
        <w:rPr>
          <w:rtl/>
        </w:rPr>
        <w:t>מוצע כי מערך הדיגיטל הלאומי וגופי הממשל ישלימו את הפעולות הדרושות לתרגומם לערבית</w:t>
      </w:r>
      <w:r w:rsidR="00A25767" w:rsidRPr="0077791E">
        <w:rPr>
          <w:rFonts w:hint="cs"/>
          <w:rtl/>
        </w:rPr>
        <w:t xml:space="preserve"> </w:t>
      </w:r>
      <w:r w:rsidR="00A25767" w:rsidRPr="0077791E">
        <w:rPr>
          <w:rtl/>
        </w:rPr>
        <w:t>ופרסומם של דפי שירות שקיימים כיום באתר הממשלתי האחוד ולא פורסמו בערבית, כדי</w:t>
      </w:r>
      <w:r w:rsidR="00A25767" w:rsidRPr="0077791E">
        <w:rPr>
          <w:rFonts w:hint="cs"/>
          <w:rtl/>
        </w:rPr>
        <w:t xml:space="preserve"> </w:t>
      </w:r>
      <w:r w:rsidR="00A25767" w:rsidRPr="0077791E">
        <w:rPr>
          <w:rtl/>
        </w:rPr>
        <w:t xml:space="preserve">להגביר את ההנגשה השפתית של השירותים הממשלתיים </w:t>
      </w:r>
      <w:r w:rsidR="00A25767" w:rsidRPr="0077791E">
        <w:rPr>
          <w:rFonts w:hint="cs"/>
          <w:rtl/>
        </w:rPr>
        <w:t>לאוכלוסייה</w:t>
      </w:r>
      <w:r w:rsidR="00A25767" w:rsidRPr="0077791E">
        <w:rPr>
          <w:rtl/>
        </w:rPr>
        <w:t xml:space="preserve"> דובר</w:t>
      </w:r>
      <w:r w:rsidR="00A25767" w:rsidRPr="0077791E">
        <w:rPr>
          <w:rFonts w:hint="cs"/>
          <w:rtl/>
        </w:rPr>
        <w:t>ת</w:t>
      </w:r>
      <w:r w:rsidR="00A25767" w:rsidRPr="0077791E">
        <w:rPr>
          <w:rtl/>
        </w:rPr>
        <w:t xml:space="preserve"> הערבית בהתא</w:t>
      </w:r>
      <w:r w:rsidR="00A25767" w:rsidRPr="0077791E">
        <w:rPr>
          <w:rFonts w:hint="cs"/>
          <w:rtl/>
        </w:rPr>
        <w:t xml:space="preserve">ם </w:t>
      </w:r>
      <w:r w:rsidR="00A25767" w:rsidRPr="0077791E">
        <w:rPr>
          <w:rtl/>
        </w:rPr>
        <w:t>לתכלית החלטת הממשלה שהתקבלה בעניין</w:t>
      </w:r>
      <w:r w:rsidRPr="007C7D40">
        <w:rPr>
          <w:rFonts w:hint="cs"/>
          <w:rtl/>
        </w:rPr>
        <w:t>.</w:t>
      </w:r>
    </w:p>
    <w:p w:rsidR="0067481E" w:rsidRDefault="00DF6A0A" w:rsidP="0067481E">
      <w:pPr>
        <w:pStyle w:val="73f7"/>
        <w:rPr>
          <w:rtl/>
        </w:rPr>
      </w:pPr>
      <w:r>
        <w:rPr>
          <w:noProof/>
          <w:rtl/>
          <w:lang w:val="he-IL"/>
        </w:rPr>
        <mc:AlternateContent>
          <mc:Choice Requires="wpg">
            <w:drawing>
              <wp:anchor distT="0" distB="0" distL="114300" distR="114300" simplePos="0" relativeHeight="251717632" behindDoc="0" locked="0" layoutInCell="1" allowOverlap="1">
                <wp:simplePos x="0" y="0"/>
                <wp:positionH relativeFrom="column">
                  <wp:posOffset>-106680</wp:posOffset>
                </wp:positionH>
                <wp:positionV relativeFrom="paragraph">
                  <wp:posOffset>224790</wp:posOffset>
                </wp:positionV>
                <wp:extent cx="4907280" cy="947057"/>
                <wp:effectExtent l="0" t="0" r="0" b="0"/>
                <wp:wrapNone/>
                <wp:docPr id="1451066674" name="קבוצה 14510666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07280" cy="947057"/>
                          <a:chOff x="0" y="0"/>
                          <a:chExt cx="4731385" cy="947057"/>
                        </a:xfrm>
                      </wpg:grpSpPr>
                      <pic:pic xmlns:pic="http://schemas.openxmlformats.org/drawingml/2006/picture">
                        <pic:nvPicPr>
                          <pic:cNvPr id="1451066675" name="Picture 54">
                            <a:extLst>
                              <a:ext uri="{C183D7F6-B498-43B3-948B-1728B52AA6E4}">
                                <adec:decorative xmlns:adec="http://schemas.microsoft.com/office/drawing/2017/decorative" val="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31385" cy="947057"/>
                          </a:xfrm>
                          <a:prstGeom prst="rect">
                            <a:avLst/>
                          </a:prstGeom>
                        </pic:spPr>
                      </pic:pic>
                      <wps:wsp>
                        <wps:cNvPr id="1451066676" name="Text Box 2" descr="תרשים: שיעור המשיבים שנתקלו בקושי בקבלת שירות מגופי ממשל באופן טלפוני או בלשכת קבלת קהל בשל מחסור באמצעי דיגיטלי או בכרטיס אשראי"/>
                        <wps:cNvSpPr txBox="1">
                          <a:spLocks noChangeArrowheads="1"/>
                        </wps:cNvSpPr>
                        <wps:spPr bwMode="auto">
                          <a:xfrm>
                            <a:off x="195942" y="97972"/>
                            <a:ext cx="4436745" cy="579664"/>
                          </a:xfrm>
                          <a:prstGeom prst="rect">
                            <a:avLst/>
                          </a:prstGeom>
                          <a:solidFill>
                            <a:srgbClr val="F05260"/>
                          </a:solidFill>
                          <a:ln w="9525">
                            <a:noFill/>
                            <a:miter lim="800000"/>
                            <a:headEnd/>
                            <a:tailEnd/>
                          </a:ln>
                        </wps:spPr>
                        <wps:txbx>
                          <w:txbxContent>
                            <w:p w:rsidR="00B14302" w:rsidRPr="005C7ABF" w:rsidRDefault="00DF6A0A" w:rsidP="0067481E">
                              <w:pPr>
                                <w:spacing w:line="240" w:lineRule="auto"/>
                                <w:ind w:right="113"/>
                                <w:suppressOverlap/>
                                <w:jc w:val="left"/>
                                <w:rPr>
                                  <w:rFonts w:ascii="Tahoma" w:hAnsi="Tahoma" w:cs="Tahoma"/>
                                  <w:b/>
                                  <w:bCs/>
                                  <w:color w:val="FFFFFF" w:themeColor="background1"/>
                                  <w:spacing w:val="-4"/>
                                  <w:sz w:val="22"/>
                                  <w:szCs w:val="22"/>
                                  <w:rtl/>
                                </w:rPr>
                              </w:pPr>
                              <w:r w:rsidRPr="000A7431">
                                <w:rPr>
                                  <w:rFonts w:ascii="Tahoma" w:hAnsi="Tahoma" w:cs="Tahoma"/>
                                  <w:b/>
                                  <w:bCs/>
                                  <w:color w:val="FFFFFF" w:themeColor="background1"/>
                                  <w:spacing w:val="-4"/>
                                  <w:sz w:val="22"/>
                                  <w:szCs w:val="22"/>
                                  <w:rtl/>
                                </w:rPr>
                                <w:t>שיעור המשיבים שנתקלו בקושי בקבלת שירות מגופי ממשל באופן טלפוני או בלשכת קבלת קהל בשל מחסור באמצעי דיגיטלי או בכרטיס אשראי</w:t>
                              </w:r>
                            </w:p>
                          </w:txbxContent>
                        </wps:txbx>
                        <wps:bodyPr rot="0" vert="horz" wrap="square" lIns="91440" tIns="45720" rIns="91440" bIns="45720" anchor="ctr" anchorCtr="0"/>
                      </wps:wsp>
                    </wpg:wgp>
                  </a:graphicData>
                </a:graphic>
                <wp14:sizeRelH relativeFrom="margin">
                  <wp14:pctWidth>0</wp14:pctWidth>
                </wp14:sizeRelH>
                <wp14:sizeRelV relativeFrom="margin">
                  <wp14:pctHeight>0</wp14:pctHeight>
                </wp14:sizeRelV>
              </wp:anchor>
            </w:drawing>
          </mc:Choice>
          <mc:Fallback>
            <w:pict>
              <v:group id="קבוצה 1451066674" o:spid="_x0000_s1058" style="width:386.4pt;height:74.55pt;margin-top:17.7pt;margin-left:-8.4pt;mso-height-relative:margin;mso-width-relative:margin;position:absolute;z-index:251718656" coordsize="47313,9470">
                <v:shape id="Picture 54" o:spid="_x0000_s1059" type="#_x0000_t75" style="width:47313;height:9470;mso-wrap-style:square;position:absolute;visibility:visible">
                  <v:imagedata r:id="rId19" o:title=""/>
                </v:shape>
                <v:shape id="_x0000_s1060" type="#_x0000_t202" alt="תרשים: שיעור המשיבים שנתקלו בקושי בקבלת שירות מגופי ממשל באופן טלפוני או בלשכת קבלת קהל בשל מחסור באמצעי דיגיטלי או בכרטיס אשראי" style="width:44367;height:5797;left:1959;mso-wrap-style:square;position:absolute;top:979;visibility:visible;v-text-anchor:middle" fillcolor="#f05260" stroked="f">
                  <v:textbox>
                    <w:txbxContent>
                      <w:p w:rsidR="00B14302" w:rsidRPr="005C7ABF" w:rsidP="0067481E">
                        <w:pPr>
                          <w:spacing w:line="240" w:lineRule="auto"/>
                          <w:ind w:right="113"/>
                          <w:suppressOverlap/>
                          <w:jc w:val="left"/>
                          <w:rPr>
                            <w:rFonts w:ascii="Tahoma" w:hAnsi="Tahoma" w:cs="Tahoma"/>
                            <w:b/>
                            <w:bCs/>
                            <w:color w:val="FFFFFF" w:themeColor="background1"/>
                            <w:spacing w:val="-4"/>
                            <w:sz w:val="22"/>
                            <w:szCs w:val="22"/>
                            <w:rtl/>
                          </w:rPr>
                        </w:pPr>
                        <w:r w:rsidRPr="000A7431">
                          <w:rPr>
                            <w:rFonts w:ascii="Tahoma" w:hAnsi="Tahoma" w:cs="Tahoma"/>
                            <w:b/>
                            <w:bCs/>
                            <w:color w:val="FFFFFF" w:themeColor="background1"/>
                            <w:spacing w:val="-4"/>
                            <w:sz w:val="22"/>
                            <w:szCs w:val="22"/>
                            <w:rtl/>
                          </w:rPr>
                          <w:t>שיעור המשיבים שנתקלו בקושי בקבלת שירות מגופי ממשל באופן טלפוני או בלשכת קבלת קהל בשל מחסור באמצעי דיגיטלי או בכרטיס אשראי</w:t>
                        </w:r>
                      </w:p>
                    </w:txbxContent>
                  </v:textbox>
                </v:shape>
              </v:group>
            </w:pict>
          </mc:Fallback>
        </mc:AlternateContent>
      </w:r>
    </w:p>
    <w:p w:rsidR="0067481E" w:rsidRDefault="00DF6A0A" w:rsidP="0067481E">
      <w:pPr>
        <w:tabs>
          <w:tab w:val="right" w:pos="7370"/>
        </w:tabs>
        <w:bidi w:val="0"/>
        <w:spacing w:after="200" w:line="276" w:lineRule="auto"/>
        <w:rPr>
          <w:rtl/>
        </w:rPr>
      </w:pPr>
      <w:r>
        <w:rPr>
          <w:rtl/>
        </w:rPr>
        <w:t xml:space="preserve"> </w:t>
      </w:r>
    </w:p>
    <w:p w:rsidR="0067481E" w:rsidRDefault="0067481E" w:rsidP="0067481E">
      <w:pPr>
        <w:pStyle w:val="73f7"/>
        <w:rPr>
          <w:rtl/>
        </w:rPr>
      </w:pPr>
    </w:p>
    <w:p w:rsidR="0067481E" w:rsidRDefault="00DF6A0A" w:rsidP="0067481E">
      <w:pPr>
        <w:pStyle w:val="73f7"/>
        <w:rPr>
          <w:rtl/>
        </w:rPr>
      </w:pPr>
      <w:r>
        <w:rPr>
          <w:noProof/>
          <w:sz w:val="19"/>
          <w:szCs w:val="19"/>
        </w:rPr>
        <w:drawing>
          <wp:anchor distT="0" distB="0" distL="114300" distR="114300" simplePos="0" relativeHeight="251719680" behindDoc="0" locked="0" layoutInCell="1" allowOverlap="1">
            <wp:simplePos x="0" y="0"/>
            <wp:positionH relativeFrom="column">
              <wp:posOffset>-45720</wp:posOffset>
            </wp:positionH>
            <wp:positionV relativeFrom="paragraph">
              <wp:posOffset>356870</wp:posOffset>
            </wp:positionV>
            <wp:extent cx="4707890" cy="2159000"/>
            <wp:effectExtent l="0" t="0" r="3810" b="0"/>
            <wp:wrapTopAndBottom/>
            <wp:docPr id="1451066683" name="תמונה 1451066683" descr="בתרשים מוצגים הממצאים שלהלן: &#10;31% מן המשיבים ציינו כי לא קיבלו מענה בערוץ שירות טלפוני או בלשכת קבלת קהל כיוון שהיה חסר להם אמצעי דיגיטלי (או כרטיס אשראי); 33% ציינו שאף שהיו להם כל האמצעים הנדרשים הם לא קיבלו מענה, ו-36% ציינו כי תמיד קיבלו מענה בערוצים המסורתיים (שאינם דיגיטליים). &#10;&#10;31% מן המשיבים שלא קיבלו מענה בשל אמצעי חסר ציינו איזה אמצעי היה חסר להם: 13% ציינו שהיה חסר להם טלפון חכם לצורך קבלת סיסמה, 9% ציינו שהיה חסר להם אמצעי חיבור לאינטרנט לצורך קביעת תור, 5% ציינו כי לא הייתה להם תיבת דואר אלקטרוני ו-4% ציינו כי אין להם כרטיס אשראי.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066683" name="תמונה 1451066683"/>
                    <pic:cNvPicPr>
                      <a:picLocks noChangeAspect="1" noChangeArrowheads="1"/>
                    </pic:cNvPicPr>
                  </pic:nvPicPr>
                  <pic:blipFill>
                    <a:blip r:embed="rId34">
                      <a:extLst>
                        <a:ext uri="{28A0092B-C50C-407E-A947-70E740481C1C}">
                          <a14:useLocalDpi xmlns:a14="http://schemas.microsoft.com/office/drawing/2010/main" val="0"/>
                        </a:ext>
                      </a:extLst>
                    </a:blip>
                    <a:srcRect t="497" b="497"/>
                    <a:stretch>
                      <a:fillRect/>
                    </a:stretch>
                  </pic:blipFill>
                  <pic:spPr bwMode="auto">
                    <a:xfrm>
                      <a:off x="0" y="0"/>
                      <a:ext cx="4707890" cy="215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481E" w:rsidRPr="000A7431" w:rsidRDefault="00DF6A0A" w:rsidP="000A7431">
      <w:pPr>
        <w:pStyle w:val="73e"/>
        <w:spacing w:before="360"/>
        <w:rPr>
          <w:rtl/>
        </w:rPr>
      </w:pPr>
      <w:r>
        <w:rPr>
          <w:rFonts w:hint="cs"/>
          <w:rtl/>
        </w:rPr>
        <w:t>מ</w:t>
      </w:r>
      <w:r w:rsidR="000A7431" w:rsidRPr="000A7431">
        <w:rPr>
          <w:rtl/>
        </w:rPr>
        <w:t>מצאי סקר טלפוני שעשה משרד מבקר המדינה</w:t>
      </w:r>
      <w:r w:rsidR="000A7431" w:rsidRPr="000A7431">
        <w:rPr>
          <w:rFonts w:hint="cs"/>
          <w:rtl/>
        </w:rPr>
        <w:t>.</w:t>
      </w:r>
    </w:p>
    <w:p w:rsidR="00DF3B5D" w:rsidRDefault="00DF3B5D" w:rsidP="0026431E">
      <w:pPr>
        <w:pStyle w:val="73e"/>
        <w:bidi w:val="0"/>
        <w:spacing w:before="360" w:after="0"/>
        <w:rPr>
          <w:b/>
          <w:bCs/>
          <w:noProof/>
          <w:color w:val="FFFFFF" w:themeColor="background1"/>
          <w:sz w:val="22"/>
          <w:szCs w:val="22"/>
        </w:rPr>
      </w:pPr>
    </w:p>
    <w:p w:rsidR="0067481E" w:rsidRDefault="00DF6A0A" w:rsidP="0067481E">
      <w:pPr>
        <w:pStyle w:val="732"/>
        <w:rPr>
          <w:rtl/>
        </w:rPr>
      </w:pPr>
      <w:r w:rsidRPr="00EF3061">
        <w:rPr>
          <w:rFonts w:hint="cs"/>
          <w:rtl/>
        </w:rPr>
        <w:lastRenderedPageBreak/>
        <w:t>סיכום</w:t>
      </w:r>
    </w:p>
    <w:p w:rsidR="0067481E" w:rsidRPr="006615C6" w:rsidRDefault="00DF6A0A" w:rsidP="0067481E">
      <w:pPr>
        <w:widowControl w:val="0"/>
        <w:spacing w:before="240" w:line="276" w:lineRule="auto"/>
        <w:ind w:left="-1"/>
        <w:rPr>
          <w:rFonts w:ascii="Tahoma" w:hAnsi="Tahoma" w:cs="Tahoma"/>
          <w:sz w:val="18"/>
          <w:szCs w:val="18"/>
          <w:rtl/>
        </w:rPr>
      </w:pPr>
      <w:r w:rsidRPr="00C43817">
        <w:rPr>
          <w:rFonts w:ascii="Tahoma" w:hAnsi="Tahoma" w:cs="Tahoma" w:hint="cs"/>
          <w:sz w:val="18"/>
          <w:szCs w:val="18"/>
          <w:rtl/>
        </w:rPr>
        <w:t xml:space="preserve">ישנן </w:t>
      </w:r>
      <w:r w:rsidRPr="00C43817">
        <w:rPr>
          <w:rFonts w:ascii="Tahoma" w:hAnsi="Tahoma" w:cs="Tahoma"/>
          <w:sz w:val="18"/>
          <w:szCs w:val="18"/>
          <w:rtl/>
        </w:rPr>
        <w:t>שלוש קבוצות אוכלוסייה עיקריות</w:t>
      </w:r>
      <w:r w:rsidRPr="00C43817">
        <w:rPr>
          <w:rFonts w:ascii="Tahoma" w:hAnsi="Tahoma" w:cs="Tahoma" w:hint="cs"/>
          <w:sz w:val="18"/>
          <w:szCs w:val="18"/>
          <w:rtl/>
        </w:rPr>
        <w:t xml:space="preserve"> שממעטות, ביחס לאוכלוסייה הכללית, לעשות שימוש במרשתת ככלל ולצריכת שירותים ממשלתיים בפרט</w:t>
      </w:r>
      <w:r w:rsidRPr="00C43817">
        <w:rPr>
          <w:rFonts w:ascii="Tahoma" w:hAnsi="Tahoma" w:cs="Tahoma"/>
          <w:sz w:val="18"/>
          <w:szCs w:val="18"/>
          <w:rtl/>
        </w:rPr>
        <w:t>: בני 60 ומעלה</w:t>
      </w:r>
      <w:r w:rsidRPr="00C43817">
        <w:rPr>
          <w:rFonts w:ascii="Tahoma" w:hAnsi="Tahoma" w:cs="Tahoma" w:hint="cs"/>
          <w:sz w:val="18"/>
          <w:szCs w:val="18"/>
          <w:rtl/>
        </w:rPr>
        <w:t xml:space="preserve"> וכן ובני 20 ומעלה מן </w:t>
      </w:r>
      <w:r w:rsidRPr="00C43817">
        <w:rPr>
          <w:rFonts w:ascii="Tahoma" w:hAnsi="Tahoma" w:cs="Tahoma"/>
          <w:sz w:val="18"/>
          <w:szCs w:val="18"/>
          <w:rtl/>
        </w:rPr>
        <w:t>החברה היהודית-חרדית ו</w:t>
      </w:r>
      <w:r w:rsidRPr="00C43817">
        <w:rPr>
          <w:rFonts w:ascii="Tahoma" w:hAnsi="Tahoma" w:cs="Tahoma" w:hint="cs"/>
          <w:sz w:val="18"/>
          <w:szCs w:val="18"/>
          <w:rtl/>
        </w:rPr>
        <w:t xml:space="preserve">מן </w:t>
      </w:r>
      <w:r w:rsidRPr="00C43817">
        <w:rPr>
          <w:rFonts w:ascii="Tahoma" w:hAnsi="Tahoma" w:cs="Tahoma"/>
          <w:sz w:val="18"/>
          <w:szCs w:val="18"/>
          <w:rtl/>
        </w:rPr>
        <w:t>החברה הערבית.</w:t>
      </w:r>
      <w:r w:rsidRPr="00C43817">
        <w:rPr>
          <w:rFonts w:ascii="Tahoma" w:hAnsi="Tahoma" w:cs="Tahoma" w:hint="cs"/>
          <w:sz w:val="18"/>
          <w:szCs w:val="18"/>
          <w:rtl/>
        </w:rPr>
        <w:t xml:space="preserve"> קבוצות אלה מונות יחד 3 מיליון ויותר אזרחים - כשליש מהאוכלוסיה בישראל, ולמעשה כמחצית מן האוכלוסייה הבוגרת בה.</w:t>
      </w:r>
      <w:r w:rsidRPr="00C43817">
        <w:rPr>
          <w:rFonts w:ascii="Tahoma" w:hAnsi="Tahoma" w:cs="Tahoma"/>
          <w:sz w:val="18"/>
          <w:szCs w:val="18"/>
          <w:rtl/>
        </w:rPr>
        <w:t xml:space="preserve"> </w:t>
      </w:r>
      <w:r w:rsidRPr="00C43817">
        <w:rPr>
          <w:rFonts w:ascii="Tahoma" w:hAnsi="Tahoma" w:cs="Tahoma" w:hint="cs"/>
          <w:sz w:val="18"/>
          <w:szCs w:val="18"/>
          <w:rtl/>
        </w:rPr>
        <w:t xml:space="preserve">הליך שיתוף ציבור שעשה משרד מבקר המדינה באמצעות סקר טלפוני  בקרב </w:t>
      </w:r>
      <w:r w:rsidRPr="00C43817">
        <w:rPr>
          <w:rFonts w:ascii="Tahoma" w:hAnsi="Tahoma" w:cs="Tahoma"/>
          <w:sz w:val="18"/>
          <w:szCs w:val="18"/>
          <w:rtl/>
        </w:rPr>
        <w:t xml:space="preserve">300 אנשים </w:t>
      </w:r>
      <w:r w:rsidRPr="00C43817">
        <w:rPr>
          <w:rFonts w:ascii="Tahoma" w:hAnsi="Tahoma" w:cs="Tahoma" w:hint="cs"/>
          <w:sz w:val="18"/>
          <w:szCs w:val="18"/>
          <w:rtl/>
        </w:rPr>
        <w:t xml:space="preserve">שנמנים עם </w:t>
      </w:r>
      <w:r w:rsidRPr="00C43817">
        <w:rPr>
          <w:rFonts w:ascii="Tahoma" w:hAnsi="Tahoma" w:cs="Tahoma"/>
          <w:sz w:val="18"/>
          <w:szCs w:val="18"/>
          <w:rtl/>
        </w:rPr>
        <w:t xml:space="preserve">שלוש קבוצות </w:t>
      </w:r>
      <w:r w:rsidRPr="00C43817">
        <w:rPr>
          <w:rFonts w:ascii="Tahoma" w:hAnsi="Tahoma" w:cs="Tahoma" w:hint="cs"/>
          <w:sz w:val="18"/>
          <w:szCs w:val="18"/>
          <w:rtl/>
        </w:rPr>
        <w:t xml:space="preserve">אלה ואשר </w:t>
      </w:r>
      <w:r w:rsidRPr="00C43817">
        <w:rPr>
          <w:rFonts w:ascii="Tahoma" w:hAnsi="Tahoma" w:cs="Tahoma"/>
          <w:sz w:val="18"/>
          <w:szCs w:val="18"/>
          <w:rtl/>
        </w:rPr>
        <w:t xml:space="preserve">ציינו שהם מעדיפים </w:t>
      </w:r>
      <w:r w:rsidRPr="00C43817">
        <w:rPr>
          <w:rFonts w:ascii="Tahoma" w:hAnsi="Tahoma" w:cs="Tahoma" w:hint="cs"/>
          <w:sz w:val="18"/>
          <w:szCs w:val="18"/>
          <w:rtl/>
        </w:rPr>
        <w:t>שלא להשתמש בערוצי השירו</w:t>
      </w:r>
      <w:r w:rsidRPr="00C43817">
        <w:rPr>
          <w:rFonts w:ascii="Tahoma" w:hAnsi="Tahoma" w:cs="Tahoma" w:hint="cs"/>
          <w:sz w:val="18"/>
          <w:szCs w:val="18"/>
          <w:rtl/>
        </w:rPr>
        <w:t xml:space="preserve">ת הממשלתיים הדיגיטליים, העלו קיומם של </w:t>
      </w:r>
      <w:r w:rsidRPr="00C43817">
        <w:rPr>
          <w:rFonts w:ascii="Tahoma" w:hAnsi="Tahoma" w:cs="Tahoma"/>
          <w:sz w:val="18"/>
          <w:szCs w:val="18"/>
          <w:rtl/>
        </w:rPr>
        <w:t xml:space="preserve">חסמים </w:t>
      </w:r>
      <w:r w:rsidRPr="00C43817">
        <w:rPr>
          <w:rFonts w:ascii="Tahoma" w:hAnsi="Tahoma" w:cs="Tahoma" w:hint="cs"/>
          <w:sz w:val="18"/>
          <w:szCs w:val="18"/>
          <w:rtl/>
        </w:rPr>
        <w:t>המקשים עליהם להשתמש בערוצים אלה. החסמים העיקריים הם</w:t>
      </w:r>
      <w:r w:rsidRPr="00C43817">
        <w:rPr>
          <w:rFonts w:ascii="Tahoma" w:hAnsi="Tahoma" w:cs="Tahoma"/>
          <w:sz w:val="18"/>
          <w:szCs w:val="18"/>
          <w:rtl/>
        </w:rPr>
        <w:t xml:space="preserve"> </w:t>
      </w:r>
      <w:r w:rsidRPr="00C43817">
        <w:rPr>
          <w:rFonts w:ascii="Tahoma" w:hAnsi="Tahoma" w:cs="Tahoma" w:hint="cs"/>
          <w:sz w:val="18"/>
          <w:szCs w:val="18"/>
          <w:rtl/>
        </w:rPr>
        <w:t>אוריינטציה דיגיטלית נמוכה</w:t>
      </w:r>
      <w:r w:rsidRPr="00C43817">
        <w:rPr>
          <w:rFonts w:ascii="Tahoma" w:hAnsi="Tahoma" w:cs="Tahoma"/>
          <w:sz w:val="18"/>
          <w:szCs w:val="18"/>
          <w:rtl/>
        </w:rPr>
        <w:t xml:space="preserve"> ואי-החזקת אמצעי חיבור למרשתת.</w:t>
      </w:r>
      <w:r w:rsidRPr="00C43817">
        <w:rPr>
          <w:rFonts w:ascii="Tahoma" w:hAnsi="Tahoma" w:cs="Tahoma" w:hint="cs"/>
          <w:sz w:val="18"/>
          <w:szCs w:val="18"/>
          <w:rtl/>
        </w:rPr>
        <w:t xml:space="preserve"> חסמים אלה, כמו גם חסמים נוספים שעלו, קשורים גם להעדפות אישיות ולסיבות תרבותיות וחברתיות, כגון הימנעות מה</w:t>
      </w:r>
      <w:r w:rsidRPr="00C43817">
        <w:rPr>
          <w:rFonts w:ascii="Tahoma" w:hAnsi="Tahoma" w:cs="Tahoma" w:hint="cs"/>
          <w:sz w:val="18"/>
          <w:szCs w:val="18"/>
          <w:rtl/>
        </w:rPr>
        <w:t>חזקת טלפון חכם או מחשב המחובר למרשתת בקרב אנשים מן החברה החרדית ושימוש מועט יחסית בכרטיס אשראי בקרב החברה הערבית</w:t>
      </w:r>
      <w:r w:rsidRPr="006615C6">
        <w:rPr>
          <w:rFonts w:ascii="Tahoma" w:hAnsi="Tahoma" w:cs="Tahoma" w:hint="cs"/>
          <w:sz w:val="18"/>
          <w:szCs w:val="18"/>
          <w:rtl/>
        </w:rPr>
        <w:t xml:space="preserve">. </w:t>
      </w:r>
    </w:p>
    <w:p w:rsidR="0067481E" w:rsidRPr="006615C6" w:rsidRDefault="00DF6A0A" w:rsidP="0067481E">
      <w:pPr>
        <w:widowControl w:val="0"/>
        <w:spacing w:before="240" w:line="276" w:lineRule="auto"/>
        <w:ind w:left="-1"/>
        <w:rPr>
          <w:rFonts w:ascii="Tahoma" w:hAnsi="Tahoma" w:cs="Tahoma"/>
          <w:sz w:val="18"/>
          <w:szCs w:val="18"/>
          <w:rtl/>
        </w:rPr>
      </w:pPr>
      <w:r w:rsidRPr="00C43817">
        <w:rPr>
          <w:rFonts w:ascii="Tahoma" w:hAnsi="Tahoma" w:cs="Tahoma" w:hint="cs"/>
          <w:sz w:val="18"/>
          <w:szCs w:val="18"/>
          <w:rtl/>
        </w:rPr>
        <w:t>בתקופה זו, שמתאפיינת במעבר מן השירות המסורתי לעבר השירות הדיגיטלי, יש חשיבות לכך שגופי הממשל יטפלו בחסמים שמונעים מקבוצות אוכלוסייה מסוימות ל</w:t>
      </w:r>
      <w:r w:rsidRPr="00C43817">
        <w:rPr>
          <w:rFonts w:ascii="Tahoma" w:hAnsi="Tahoma" w:cs="Tahoma" w:hint="cs"/>
          <w:sz w:val="18"/>
          <w:szCs w:val="18"/>
          <w:rtl/>
        </w:rPr>
        <w:t>צמצם את הפער לעידן הדיגיטלי. פעולות של הגברת האוריינות הדיגיטלית בקרב שלוש קבוצות אלה נעשות בשנים האחרונות על ידי מערך הדיגיטל הלאומי, בעקבות החלטות ממשלה שהתקבלו בקשר לכך ונדרש שהן ימשיכו וביתר שאת. הצבת עמדות שירות דיגיטליות בלשכות קבלת קהל של גופים ממשל</w:t>
      </w:r>
      <w:r w:rsidRPr="00C43817">
        <w:rPr>
          <w:rFonts w:ascii="Tahoma" w:hAnsi="Tahoma" w:cs="Tahoma" w:hint="cs"/>
          <w:sz w:val="18"/>
          <w:szCs w:val="18"/>
          <w:rtl/>
        </w:rPr>
        <w:t>תיים ובהן דיילים שיסייעו למשתמשים בהן, יכולות לסייע לאוכלוסיות שאינן מחזיקות אמצעים דיגיטליים ולאנשים עם אוריינטציה דיגיטלית נמוכה, לצרוך בכל זאת שירותי ממשל בדרך זו ; לצד פעולות כאלה, על גופי הממשל להמשיך ולתחזק את ערוצי השירות המסורתיים שלהם ואף לשפר אות</w:t>
      </w:r>
      <w:r w:rsidRPr="00C43817">
        <w:rPr>
          <w:rFonts w:ascii="Tahoma" w:hAnsi="Tahoma" w:cs="Tahoma" w:hint="cs"/>
          <w:sz w:val="18"/>
          <w:szCs w:val="18"/>
          <w:rtl/>
        </w:rPr>
        <w:t xml:space="preserve">ם, כדי לאפשר </w:t>
      </w:r>
      <w:r w:rsidRPr="00C43817">
        <w:rPr>
          <w:rFonts w:ascii="Tahoma" w:hAnsi="Tahoma" w:cs="Tahoma"/>
          <w:sz w:val="18"/>
          <w:szCs w:val="18"/>
          <w:rtl/>
        </w:rPr>
        <w:t xml:space="preserve">לאנשים </w:t>
      </w:r>
      <w:r w:rsidRPr="00C43817">
        <w:rPr>
          <w:rFonts w:ascii="Tahoma" w:hAnsi="Tahoma" w:cs="Tahoma" w:hint="cs"/>
          <w:sz w:val="18"/>
          <w:szCs w:val="18"/>
          <w:rtl/>
        </w:rPr>
        <w:t>שנזקקים להם לצרוך את השירותים ו</w:t>
      </w:r>
      <w:r w:rsidRPr="00C43817">
        <w:rPr>
          <w:rFonts w:ascii="Tahoma" w:hAnsi="Tahoma" w:cs="Tahoma"/>
          <w:sz w:val="18"/>
          <w:szCs w:val="18"/>
          <w:rtl/>
        </w:rPr>
        <w:t>למצות את זכויותיהם</w:t>
      </w:r>
      <w:r w:rsidRPr="00C43817">
        <w:rPr>
          <w:rFonts w:ascii="Tahoma" w:hAnsi="Tahoma" w:cs="Tahoma" w:hint="cs"/>
          <w:sz w:val="18"/>
          <w:szCs w:val="18"/>
          <w:rtl/>
        </w:rPr>
        <w:t>. הדבר נחוץ גם כ</w:t>
      </w:r>
      <w:r w:rsidRPr="00C43817">
        <w:rPr>
          <w:rFonts w:ascii="Tahoma" w:hAnsi="Tahoma" w:cs="Tahoma"/>
          <w:sz w:val="18"/>
          <w:szCs w:val="18"/>
          <w:rtl/>
        </w:rPr>
        <w:t>די שהפער בי</w:t>
      </w:r>
      <w:r w:rsidRPr="00C43817">
        <w:rPr>
          <w:rFonts w:ascii="Tahoma" w:hAnsi="Tahoma" w:cs="Tahoma" w:hint="cs"/>
          <w:sz w:val="18"/>
          <w:szCs w:val="18"/>
          <w:rtl/>
        </w:rPr>
        <w:t>נ</w:t>
      </w:r>
      <w:r w:rsidRPr="00C43817">
        <w:rPr>
          <w:rFonts w:ascii="Tahoma" w:hAnsi="Tahoma" w:cs="Tahoma"/>
          <w:sz w:val="18"/>
          <w:szCs w:val="18"/>
          <w:rtl/>
        </w:rPr>
        <w:t>ם לבין מי שצורך שירות ממשלתי בערוץ הדיגיטלי לא יעמיק</w:t>
      </w:r>
      <w:r w:rsidRPr="00C43817">
        <w:rPr>
          <w:rFonts w:ascii="Tahoma" w:hAnsi="Tahoma" w:cs="Tahoma" w:hint="cs"/>
          <w:sz w:val="18"/>
          <w:szCs w:val="18"/>
          <w:rtl/>
        </w:rPr>
        <w:t>;</w:t>
      </w:r>
      <w:r w:rsidRPr="00C43817">
        <w:rPr>
          <w:rFonts w:ascii="Tahoma" w:hAnsi="Tahoma" w:cs="Tahoma"/>
          <w:sz w:val="18"/>
          <w:szCs w:val="18"/>
          <w:rtl/>
        </w:rPr>
        <w:t xml:space="preserve"> לכך יש משנה חשיבות </w:t>
      </w:r>
      <w:r w:rsidRPr="00C43817">
        <w:rPr>
          <w:rFonts w:ascii="Tahoma" w:hAnsi="Tahoma" w:cs="Tahoma" w:hint="cs"/>
          <w:sz w:val="18"/>
          <w:szCs w:val="18"/>
          <w:rtl/>
        </w:rPr>
        <w:t>בעיקר</w:t>
      </w:r>
      <w:r w:rsidRPr="00C43817">
        <w:rPr>
          <w:rFonts w:ascii="Tahoma" w:hAnsi="Tahoma" w:cs="Tahoma"/>
          <w:sz w:val="18"/>
          <w:szCs w:val="18"/>
          <w:rtl/>
        </w:rPr>
        <w:t xml:space="preserve"> בשל כך שהמצב הכלכלי-חברתי של אנשים מקבוצות אוכלוסיות אלה הוא ככלל נמוך יותר מזה </w:t>
      </w:r>
      <w:r w:rsidRPr="00C43817">
        <w:rPr>
          <w:rFonts w:ascii="Tahoma" w:hAnsi="Tahoma" w:cs="Tahoma"/>
          <w:sz w:val="18"/>
          <w:szCs w:val="18"/>
          <w:rtl/>
        </w:rPr>
        <w:t xml:space="preserve">של האוכלוסייה הכללית, ומשכך הן נזקקות יותר לשירות שמספקים גופי הממשל. </w:t>
      </w:r>
      <w:r w:rsidRPr="00C43817">
        <w:rPr>
          <w:rFonts w:ascii="Tahoma" w:hAnsi="Tahoma" w:cs="Tahoma" w:hint="cs"/>
          <w:sz w:val="18"/>
          <w:szCs w:val="18"/>
          <w:rtl/>
        </w:rPr>
        <w:t xml:space="preserve">במסגרת זו מומלץ שלא להתנות בערוץ שירות מסורתי את </w:t>
      </w:r>
      <w:r w:rsidRPr="00C43817">
        <w:rPr>
          <w:rFonts w:ascii="Tahoma" w:hAnsi="Tahoma" w:cs="Tahoma"/>
          <w:sz w:val="18"/>
          <w:szCs w:val="18"/>
          <w:rtl/>
        </w:rPr>
        <w:t>קבלת השירות בצורך להשתמש באמצעי דיגיטלי (או בכרטיס אשראי לתשלום בקופה)</w:t>
      </w:r>
      <w:r w:rsidRPr="00C43817">
        <w:rPr>
          <w:rFonts w:ascii="Tahoma" w:hAnsi="Tahoma" w:cs="Tahoma" w:hint="cs"/>
          <w:sz w:val="18"/>
          <w:szCs w:val="18"/>
          <w:rtl/>
        </w:rPr>
        <w:t>,</w:t>
      </w:r>
      <w:r w:rsidRPr="00C43817">
        <w:rPr>
          <w:rFonts w:ascii="Tahoma" w:hAnsi="Tahoma" w:cs="Tahoma"/>
          <w:sz w:val="18"/>
          <w:szCs w:val="18"/>
          <w:rtl/>
        </w:rPr>
        <w:t xml:space="preserve"> כיוון ש</w:t>
      </w:r>
      <w:r w:rsidRPr="00C43817">
        <w:rPr>
          <w:rFonts w:ascii="Tahoma" w:hAnsi="Tahoma" w:cs="Tahoma" w:hint="cs"/>
          <w:sz w:val="18"/>
          <w:szCs w:val="18"/>
          <w:rtl/>
        </w:rPr>
        <w:t>חלק מן האנשים שפונים לערוצים המסורתיים פונים אליהם בשל העו</w:t>
      </w:r>
      <w:r w:rsidRPr="00C43817">
        <w:rPr>
          <w:rFonts w:ascii="Tahoma" w:hAnsi="Tahoma" w:cs="Tahoma" w:hint="cs"/>
          <w:sz w:val="18"/>
          <w:szCs w:val="18"/>
          <w:rtl/>
        </w:rPr>
        <w:t>בדה שאינם משתמשים באמצעים אלה ואין להשיב את פניהם ריקם אלא להקל עליהם לקבל את השירות ולסייע להם בכך</w:t>
      </w:r>
      <w:r w:rsidRPr="006615C6">
        <w:rPr>
          <w:rFonts w:ascii="Tahoma" w:hAnsi="Tahoma" w:cs="Tahoma" w:hint="cs"/>
          <w:sz w:val="18"/>
          <w:szCs w:val="18"/>
          <w:rtl/>
        </w:rPr>
        <w:t xml:space="preserve">. </w:t>
      </w:r>
    </w:p>
    <w:p w:rsidR="0067481E" w:rsidRDefault="0067481E" w:rsidP="004E71DD">
      <w:pPr>
        <w:widowControl w:val="0"/>
        <w:tabs>
          <w:tab w:val="left" w:pos="9604"/>
        </w:tabs>
        <w:spacing w:before="240" w:line="276" w:lineRule="auto"/>
        <w:ind w:left="-1"/>
        <w:rPr>
          <w:rFonts w:ascii="Tahoma" w:hAnsi="Tahoma" w:cs="Tahoma"/>
          <w:sz w:val="18"/>
          <w:szCs w:val="18"/>
          <w:rtl/>
        </w:rPr>
      </w:pPr>
    </w:p>
    <w:p w:rsidR="00E56721" w:rsidRDefault="00E56721" w:rsidP="004E71DD">
      <w:pPr>
        <w:widowControl w:val="0"/>
        <w:tabs>
          <w:tab w:val="left" w:pos="9604"/>
        </w:tabs>
        <w:spacing w:before="240" w:line="276" w:lineRule="auto"/>
        <w:ind w:left="-1"/>
        <w:rPr>
          <w:rFonts w:ascii="Tahoma" w:hAnsi="Tahoma" w:cs="Tahoma"/>
          <w:sz w:val="18"/>
          <w:szCs w:val="18"/>
          <w:rtl/>
        </w:rPr>
        <w:sectPr w:rsidR="00E56721" w:rsidSect="00B25BD7">
          <w:headerReference w:type="even" r:id="rId35"/>
          <w:footerReference w:type="even" r:id="rId36"/>
          <w:pgSz w:w="11906" w:h="16838" w:code="9"/>
          <w:pgMar w:top="3062" w:right="2268" w:bottom="2552" w:left="2268" w:header="1134" w:footer="1361" w:gutter="0"/>
          <w:pgNumType w:start="91"/>
          <w:cols w:space="708"/>
          <w:bidi/>
          <w:rtlGutter/>
          <w:docGrid w:linePitch="360"/>
        </w:sectPr>
      </w:pPr>
    </w:p>
    <w:p w:rsidR="00586851" w:rsidRPr="007D6DEE" w:rsidRDefault="00DF6A0A" w:rsidP="0078358A">
      <w:pPr>
        <w:pStyle w:val="7310"/>
        <w:bidi/>
        <w:rPr>
          <w:rtl/>
        </w:rPr>
      </w:pPr>
      <w:r w:rsidRPr="00447427">
        <w:rPr>
          <w:rtl/>
        </w:rPr>
        <w:lastRenderedPageBreak/>
        <w:t xml:space="preserve">הנגשת </w:t>
      </w:r>
      <w:r w:rsidRPr="00447427">
        <w:rPr>
          <w:rtl/>
        </w:rPr>
        <w:t>שירותי ממשל בעידן הדיגיטלי לאנשים עם מוגבלות ולציבור שאינו משתמש במדיה הדיגיטלית</w:t>
      </w:r>
    </w:p>
    <w:p w:rsidR="007324C6" w:rsidRDefault="00DF6A0A" w:rsidP="007C7D40">
      <w:pPr>
        <w:pStyle w:val="733155"/>
        <w:jc w:val="both"/>
        <w:rPr>
          <w:rtl/>
        </w:rPr>
      </w:pPr>
      <w:r>
        <w:rPr>
          <w:rFonts w:hint="cs"/>
          <w:rtl/>
        </w:rPr>
        <w:t>מבוא</w:t>
      </w:r>
    </w:p>
    <w:p w:rsidR="006E4A31" w:rsidRDefault="00DF6A0A" w:rsidP="00C619CC">
      <w:pPr>
        <w:pStyle w:val="7392"/>
        <w:rPr>
          <w:rtl/>
        </w:rPr>
      </w:pPr>
      <w:r w:rsidRPr="006E4A31">
        <w:rPr>
          <w:rtl/>
        </w:rPr>
        <w:t>ההתפתחות הטכנולוגית בעולם הובילה לשימוש מוגבר של הציבור באמצעים דיגיטליים לצריכת מידע ושירותים וליצירת קשר עם גופים ציבוריים. על</w:t>
      </w:r>
      <w:r w:rsidR="00171ECD">
        <w:rPr>
          <w:rFonts w:hint="cs"/>
          <w:rtl/>
        </w:rPr>
        <w:t xml:space="preserve"> </w:t>
      </w:r>
      <w:r w:rsidRPr="006E4A31">
        <w:rPr>
          <w:rtl/>
        </w:rPr>
        <w:t>פי נתוני הלשכה המרכזית לסטטיסטיקה מן הסקר</w:t>
      </w:r>
      <w:r w:rsidRPr="006E4A31">
        <w:rPr>
          <w:rtl/>
        </w:rPr>
        <w:t xml:space="preserve"> החברתי לשנת 2020, כ-90% מאזרחי ישראל שגילם 20 ומעלה משתמשים באינטרנט (מרשתת) לצרכים שונים כגון, לקשר חברתי, קבלת שירותים, לימודים ועבודה.</w:t>
      </w:r>
    </w:p>
    <w:p w:rsidR="00BF1E3B" w:rsidRDefault="00DF6A0A" w:rsidP="00C619CC">
      <w:pPr>
        <w:pStyle w:val="7392"/>
        <w:rPr>
          <w:rtl/>
        </w:rPr>
      </w:pPr>
      <w:r>
        <w:rPr>
          <w:rFonts w:hint="cs"/>
          <w:rtl/>
        </w:rPr>
        <w:t xml:space="preserve">בשימוש בערוצים דיגיטליים כדי לספק מידע ושירות לציבור יתרונות הן עבור הממשל והן עבור הציבור. בין היתר הוא מאפשר לממשל </w:t>
      </w:r>
      <w:r>
        <w:rPr>
          <w:rtl/>
        </w:rPr>
        <w:t>לייעל א</w:t>
      </w:r>
      <w:r>
        <w:rPr>
          <w:rFonts w:hint="cs"/>
          <w:rtl/>
        </w:rPr>
        <w:t>ת השירות לציבור ולחסוך תשומות עבודה, מאחר ש</w:t>
      </w:r>
      <w:r>
        <w:rPr>
          <w:rtl/>
        </w:rPr>
        <w:t>העלות של פעולת שירות פרונטלית</w:t>
      </w:r>
      <w:r>
        <w:rPr>
          <w:rStyle w:val="a8"/>
          <w:rtl/>
        </w:rPr>
        <w:footnoteReference w:id="2"/>
      </w:r>
      <w:r>
        <w:rPr>
          <w:rFonts w:hint="cs"/>
          <w:rtl/>
        </w:rPr>
        <w:t xml:space="preserve"> גבוהה פי 50 מן</w:t>
      </w:r>
      <w:r>
        <w:rPr>
          <w:rtl/>
        </w:rPr>
        <w:t xml:space="preserve"> העלות של פעולת שירות דיגיטלית</w:t>
      </w:r>
      <w:r>
        <w:rPr>
          <w:rStyle w:val="a8"/>
          <w:rtl/>
        </w:rPr>
        <w:footnoteReference w:id="3"/>
      </w:r>
      <w:r>
        <w:rPr>
          <w:rFonts w:hint="cs"/>
          <w:rtl/>
        </w:rPr>
        <w:t>. הוא מאפשר גם להפחית את הנטל הבירוקרטי המוטל על הציבור, להפוך את השירות הממשלתי לזמין ונוח יותר ולאפשר לצרוך אותו מכל מקום ובכל ז</w:t>
      </w:r>
      <w:r>
        <w:rPr>
          <w:rFonts w:hint="cs"/>
          <w:rtl/>
        </w:rPr>
        <w:t>מן. בתרשים 1 שלהלן מפורטות שלוש התועלות.</w:t>
      </w:r>
    </w:p>
    <w:p w:rsidR="00BF1E3B" w:rsidRPr="001913E4" w:rsidRDefault="00DF6A0A" w:rsidP="001913E4">
      <w:pPr>
        <w:pStyle w:val="738"/>
        <w:rPr>
          <w:rtl/>
        </w:rPr>
      </w:pPr>
      <w:r w:rsidRPr="001913E4">
        <w:rPr>
          <w:rFonts w:hint="eastAsia"/>
          <w:b w:val="0"/>
          <w:bCs w:val="0"/>
          <w:rtl/>
        </w:rPr>
        <w:lastRenderedPageBreak/>
        <w:t>תרשים</w:t>
      </w:r>
      <w:r w:rsidRPr="001913E4">
        <w:rPr>
          <w:b w:val="0"/>
          <w:bCs w:val="0"/>
          <w:rtl/>
        </w:rPr>
        <w:t xml:space="preserve"> </w:t>
      </w:r>
      <w:r w:rsidRPr="001913E4">
        <w:rPr>
          <w:rFonts w:hint="cs"/>
          <w:b w:val="0"/>
          <w:bCs w:val="0"/>
          <w:rtl/>
        </w:rPr>
        <w:t>1</w:t>
      </w:r>
      <w:r w:rsidRPr="001913E4">
        <w:rPr>
          <w:b w:val="0"/>
          <w:bCs w:val="0"/>
          <w:rtl/>
        </w:rPr>
        <w:t>:</w:t>
      </w:r>
      <w:r w:rsidRPr="001913E4">
        <w:rPr>
          <w:rtl/>
        </w:rPr>
        <w:t xml:space="preserve"> </w:t>
      </w:r>
      <w:r w:rsidRPr="001913E4">
        <w:rPr>
          <w:rFonts w:hint="eastAsia"/>
          <w:rtl/>
        </w:rPr>
        <w:t>שלוש</w:t>
      </w:r>
      <w:r w:rsidRPr="001913E4">
        <w:rPr>
          <w:rtl/>
        </w:rPr>
        <w:t xml:space="preserve"> </w:t>
      </w:r>
      <w:r w:rsidRPr="001913E4">
        <w:rPr>
          <w:rFonts w:hint="eastAsia"/>
          <w:rtl/>
        </w:rPr>
        <w:t>התועלות</w:t>
      </w:r>
      <w:r w:rsidRPr="001913E4">
        <w:rPr>
          <w:rtl/>
        </w:rPr>
        <w:t xml:space="preserve"> </w:t>
      </w:r>
      <w:r w:rsidRPr="001913E4">
        <w:rPr>
          <w:rFonts w:hint="cs"/>
          <w:rtl/>
        </w:rPr>
        <w:t>ב</w:t>
      </w:r>
      <w:r w:rsidRPr="001913E4">
        <w:rPr>
          <w:rFonts w:hint="eastAsia"/>
          <w:rtl/>
        </w:rPr>
        <w:t>שימוש</w:t>
      </w:r>
      <w:r w:rsidRPr="001913E4">
        <w:rPr>
          <w:rtl/>
        </w:rPr>
        <w:t xml:space="preserve"> </w:t>
      </w:r>
      <w:r w:rsidRPr="001913E4">
        <w:rPr>
          <w:rFonts w:hint="eastAsia"/>
          <w:rtl/>
        </w:rPr>
        <w:t>בערוצי</w:t>
      </w:r>
      <w:r w:rsidRPr="001913E4">
        <w:rPr>
          <w:rtl/>
        </w:rPr>
        <w:t xml:space="preserve"> </w:t>
      </w:r>
      <w:r w:rsidRPr="001913E4">
        <w:rPr>
          <w:rFonts w:hint="eastAsia"/>
          <w:rtl/>
        </w:rPr>
        <w:t>שירות</w:t>
      </w:r>
      <w:r w:rsidRPr="001913E4">
        <w:rPr>
          <w:rtl/>
        </w:rPr>
        <w:t xml:space="preserve"> </w:t>
      </w:r>
      <w:r w:rsidRPr="001913E4">
        <w:rPr>
          <w:rFonts w:hint="eastAsia"/>
          <w:rtl/>
        </w:rPr>
        <w:t>דיגיטליים</w:t>
      </w:r>
    </w:p>
    <w:p w:rsidR="00BF1E3B" w:rsidRPr="00887A34" w:rsidRDefault="00DF6A0A" w:rsidP="00BF1E3B">
      <w:pPr>
        <w:rPr>
          <w:rtl/>
        </w:rPr>
      </w:pPr>
      <w:r w:rsidRPr="00A75C4A">
        <w:rPr>
          <w:noProof/>
        </w:rPr>
        <w:drawing>
          <wp:inline distT="0" distB="0" distL="0" distR="0">
            <wp:extent cx="4693430" cy="3149744"/>
            <wp:effectExtent l="0" t="0" r="0" b="0"/>
            <wp:docPr id="42" name="תמונה 42" descr="1. חיסכון בזמן (לאזרח ולנותן השירות) - צריכת השירות במרשתת מאפשרת למספר גדול יותר של אנשם לצרוך אותו בו בזמן (אין צורך בהמתנה של אזרח לשירות בלשכת קבלת קהל או על קו הטלפון). &#10;2. זמינות גבוהה יותר של השירות - אפשר לצרוך את השירות מהבית או מכל מקום אחר שבו ניתן להתחבר למרשתת ובשעות שונות ביממה (הלקוח אינו מוגבל לשעות הפתיחה של לשכת השירות או לשעות המענה הטלפוני). &#10;3. הפחתת הנטל הבירוקרטי - ניתן לצרוך מידע ולבצע פעולות שונות ובמסגרת זו גם לקבל משוב מהיר ממערכות המחשב על ביצוען. בכך נחסך הצורך לעבור בין פקידים, משרדים ויחידות שונים.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תמונה 42"/>
                    <pic:cNvPicPr/>
                  </pic:nvPicPr>
                  <pic:blipFill>
                    <a:blip r:embed="rId37">
                      <a:extLst>
                        <a:ext uri="{28A0092B-C50C-407E-A947-70E740481C1C}">
                          <a14:useLocalDpi xmlns:a14="http://schemas.microsoft.com/office/drawing/2010/main" val="0"/>
                        </a:ext>
                      </a:extLst>
                    </a:blip>
                    <a:stretch>
                      <a:fillRect/>
                    </a:stretch>
                  </pic:blipFill>
                  <pic:spPr>
                    <a:xfrm>
                      <a:off x="0" y="0"/>
                      <a:ext cx="4693430" cy="3149744"/>
                    </a:xfrm>
                    <a:prstGeom prst="rect">
                      <a:avLst/>
                    </a:prstGeom>
                    <a:ln>
                      <a:noFill/>
                    </a:ln>
                  </pic:spPr>
                </pic:pic>
              </a:graphicData>
            </a:graphic>
          </wp:inline>
        </w:drawing>
      </w:r>
    </w:p>
    <w:p w:rsidR="00BF1E3B" w:rsidRPr="001913E4" w:rsidRDefault="00DF6A0A" w:rsidP="001913E4">
      <w:pPr>
        <w:pStyle w:val="73e"/>
        <w:rPr>
          <w:rtl/>
        </w:rPr>
      </w:pPr>
      <w:r w:rsidRPr="001913E4">
        <w:rPr>
          <w:rFonts w:hint="eastAsia"/>
          <w:rtl/>
        </w:rPr>
        <w:t>ה</w:t>
      </w:r>
      <w:r w:rsidRPr="001913E4">
        <w:rPr>
          <w:rFonts w:hint="cs"/>
          <w:rtl/>
        </w:rPr>
        <w:t>וכן בידי</w:t>
      </w:r>
      <w:r w:rsidRPr="001913E4">
        <w:rPr>
          <w:rtl/>
        </w:rPr>
        <w:t xml:space="preserve"> </w:t>
      </w:r>
      <w:r w:rsidRPr="001913E4">
        <w:rPr>
          <w:rFonts w:hint="eastAsia"/>
          <w:rtl/>
        </w:rPr>
        <w:t>משרד</w:t>
      </w:r>
      <w:r w:rsidRPr="001913E4">
        <w:rPr>
          <w:rtl/>
        </w:rPr>
        <w:t xml:space="preserve"> </w:t>
      </w:r>
      <w:r w:rsidRPr="001913E4">
        <w:rPr>
          <w:rFonts w:hint="eastAsia"/>
          <w:rtl/>
        </w:rPr>
        <w:t>מבקר</w:t>
      </w:r>
      <w:r w:rsidRPr="001913E4">
        <w:rPr>
          <w:rtl/>
        </w:rPr>
        <w:t xml:space="preserve"> </w:t>
      </w:r>
      <w:r w:rsidRPr="001913E4">
        <w:rPr>
          <w:rFonts w:hint="eastAsia"/>
          <w:rtl/>
        </w:rPr>
        <w:t>המדינה</w:t>
      </w:r>
      <w:r w:rsidRPr="001913E4">
        <w:rPr>
          <w:rtl/>
        </w:rPr>
        <w:t>.</w:t>
      </w:r>
    </w:p>
    <w:p w:rsidR="00BF1E3B" w:rsidRPr="001913E4" w:rsidRDefault="00DF6A0A" w:rsidP="001913E4">
      <w:pPr>
        <w:pStyle w:val="735"/>
        <w:rPr>
          <w:rtl/>
        </w:rPr>
      </w:pPr>
      <w:r w:rsidRPr="001913E4">
        <w:rPr>
          <w:rFonts w:hint="eastAsia"/>
          <w:rtl/>
        </w:rPr>
        <w:t>הלשכה</w:t>
      </w:r>
      <w:r w:rsidRPr="001913E4">
        <w:rPr>
          <w:rtl/>
        </w:rPr>
        <w:t xml:space="preserve"> המרכזית לסטטיסטיקה (להלן - </w:t>
      </w:r>
      <w:r w:rsidRPr="001913E4">
        <w:rPr>
          <w:rFonts w:hint="eastAsia"/>
          <w:rtl/>
        </w:rPr>
        <w:t>הלמ</w:t>
      </w:r>
      <w:r w:rsidRPr="001913E4">
        <w:rPr>
          <w:rtl/>
        </w:rPr>
        <w:t xml:space="preserve">"ס) </w:t>
      </w:r>
      <w:r w:rsidRPr="001913E4">
        <w:rPr>
          <w:rFonts w:hint="eastAsia"/>
          <w:rtl/>
        </w:rPr>
        <w:t>הציגה</w:t>
      </w:r>
      <w:r w:rsidRPr="001913E4">
        <w:rPr>
          <w:rtl/>
        </w:rPr>
        <w:t xml:space="preserve"> </w:t>
      </w:r>
      <w:r w:rsidRPr="001913E4">
        <w:rPr>
          <w:rFonts w:hint="eastAsia"/>
          <w:rtl/>
        </w:rPr>
        <w:t>מדדים</w:t>
      </w:r>
      <w:r>
        <w:rPr>
          <w:rStyle w:val="a8"/>
          <w:rtl/>
        </w:rPr>
        <w:footnoteReference w:id="4"/>
      </w:r>
      <w:r w:rsidRPr="001913E4">
        <w:rPr>
          <w:rtl/>
        </w:rPr>
        <w:t xml:space="preserve"> </w:t>
      </w:r>
      <w:r w:rsidRPr="001913E4">
        <w:rPr>
          <w:rFonts w:hint="eastAsia"/>
          <w:rtl/>
        </w:rPr>
        <w:t>שמהם</w:t>
      </w:r>
      <w:r w:rsidRPr="001913E4">
        <w:rPr>
          <w:rtl/>
        </w:rPr>
        <w:t xml:space="preserve"> עלה כי שיעור המשתמשים </w:t>
      </w:r>
      <w:r w:rsidRPr="001913E4">
        <w:rPr>
          <w:rFonts w:hint="eastAsia"/>
          <w:rtl/>
        </w:rPr>
        <w:t>ב</w:t>
      </w:r>
      <w:r w:rsidRPr="001913E4">
        <w:rPr>
          <w:rtl/>
        </w:rPr>
        <w:t xml:space="preserve">שירותי </w:t>
      </w:r>
      <w:r w:rsidRPr="001913E4">
        <w:rPr>
          <w:rFonts w:hint="eastAsia"/>
          <w:rtl/>
        </w:rPr>
        <w:t>ה</w:t>
      </w:r>
      <w:r w:rsidRPr="001913E4">
        <w:rPr>
          <w:rtl/>
        </w:rPr>
        <w:t xml:space="preserve">ממשלה </w:t>
      </w:r>
      <w:r w:rsidRPr="001913E4">
        <w:rPr>
          <w:rFonts w:hint="eastAsia"/>
          <w:rtl/>
        </w:rPr>
        <w:t>הדיגיטליים</w:t>
      </w:r>
      <w:r w:rsidRPr="001913E4">
        <w:rPr>
          <w:rtl/>
        </w:rPr>
        <w:t xml:space="preserve"> ב</w:t>
      </w:r>
      <w:r w:rsidRPr="001913E4">
        <w:rPr>
          <w:rFonts w:hint="eastAsia"/>
          <w:rtl/>
        </w:rPr>
        <w:t>ישראל</w:t>
      </w:r>
      <w:r w:rsidRPr="001913E4">
        <w:rPr>
          <w:rtl/>
        </w:rPr>
        <w:t xml:space="preserve"> </w:t>
      </w:r>
      <w:r w:rsidRPr="001913E4">
        <w:rPr>
          <w:rFonts w:hint="eastAsia"/>
          <w:rtl/>
        </w:rPr>
        <w:t>היה</w:t>
      </w:r>
      <w:r w:rsidRPr="001913E4">
        <w:rPr>
          <w:rtl/>
        </w:rPr>
        <w:t xml:space="preserve"> במגמת עלייה מאז 2014 ועד לשנת 2020 - משיעור של כ-35% לשיעור של כ-48.7%. </w:t>
      </w:r>
      <w:r w:rsidRPr="001913E4">
        <w:rPr>
          <w:rFonts w:hint="eastAsia"/>
          <w:rtl/>
        </w:rPr>
        <w:t>עם</w:t>
      </w:r>
      <w:r w:rsidRPr="001913E4">
        <w:rPr>
          <w:rtl/>
        </w:rPr>
        <w:t xml:space="preserve"> </w:t>
      </w:r>
      <w:r w:rsidRPr="001913E4">
        <w:rPr>
          <w:rFonts w:hint="eastAsia"/>
          <w:rtl/>
        </w:rPr>
        <w:t>זאת</w:t>
      </w:r>
      <w:r w:rsidRPr="001913E4">
        <w:rPr>
          <w:rtl/>
        </w:rPr>
        <w:t>, על פי מדד</w:t>
      </w:r>
      <w:r w:rsidR="001913E4">
        <w:rPr>
          <w:rFonts w:hint="cs"/>
          <w:rtl/>
        </w:rPr>
        <w:t xml:space="preserve"> </w:t>
      </w:r>
      <w:r w:rsidRPr="001913E4">
        <w:t>OSI</w:t>
      </w:r>
      <w:r w:rsidR="001913E4" w:rsidRPr="001913E4">
        <w:rPr>
          <w:rFonts w:hint="cs"/>
          <w:sz w:val="2"/>
          <w:szCs w:val="2"/>
          <w:rtl/>
        </w:rPr>
        <w:t xml:space="preserve"> </w:t>
      </w:r>
      <w:r>
        <w:rPr>
          <w:rStyle w:val="a8"/>
        </w:rPr>
        <w:footnoteReference w:id="5"/>
      </w:r>
      <w:r w:rsidR="001913E4">
        <w:rPr>
          <w:rFonts w:hint="cs"/>
          <w:rtl/>
        </w:rPr>
        <w:t xml:space="preserve"> </w:t>
      </w:r>
      <w:r w:rsidRPr="001913E4">
        <w:rPr>
          <w:rtl/>
        </w:rPr>
        <w:t>של האו"ם</w:t>
      </w:r>
      <w:r w:rsidRPr="001913E4">
        <w:rPr>
          <w:rFonts w:hint="cs"/>
          <w:rtl/>
        </w:rPr>
        <w:t xml:space="preserve"> לשנת 2020</w:t>
      </w:r>
      <w:r w:rsidRPr="001913E4">
        <w:rPr>
          <w:rtl/>
        </w:rPr>
        <w:t xml:space="preserve">, שמדרג את המדינות באופן יחסי ומודד את היצע השירותים המקוונים של הממשלות, חלה ירידה </w:t>
      </w:r>
      <w:r w:rsidRPr="001913E4">
        <w:rPr>
          <w:rFonts w:hint="eastAsia"/>
          <w:rtl/>
        </w:rPr>
        <w:t>במצבה</w:t>
      </w:r>
      <w:r w:rsidRPr="001913E4">
        <w:rPr>
          <w:rtl/>
        </w:rPr>
        <w:t xml:space="preserve"> היחסי של ישראל </w:t>
      </w:r>
      <w:r w:rsidRPr="001913E4">
        <w:rPr>
          <w:rFonts w:hint="eastAsia"/>
          <w:rtl/>
        </w:rPr>
        <w:t>על</w:t>
      </w:r>
      <w:r w:rsidRPr="001913E4">
        <w:rPr>
          <w:rtl/>
        </w:rPr>
        <w:t xml:space="preserve"> פי </w:t>
      </w:r>
      <w:r w:rsidRPr="001913E4">
        <w:rPr>
          <w:rFonts w:hint="eastAsia"/>
          <w:rtl/>
        </w:rPr>
        <w:t>מדד</w:t>
      </w:r>
      <w:r w:rsidRPr="001913E4">
        <w:rPr>
          <w:rtl/>
        </w:rPr>
        <w:t xml:space="preserve"> </w:t>
      </w:r>
      <w:r w:rsidRPr="001913E4">
        <w:rPr>
          <w:rFonts w:hint="eastAsia"/>
          <w:rtl/>
        </w:rPr>
        <w:t>זה</w:t>
      </w:r>
      <w:r>
        <w:rPr>
          <w:rStyle w:val="a8"/>
          <w:rtl/>
        </w:rPr>
        <w:footnoteReference w:id="6"/>
      </w:r>
      <w:r w:rsidRPr="001913E4">
        <w:rPr>
          <w:rtl/>
        </w:rPr>
        <w:t>.</w:t>
      </w:r>
      <w:r w:rsidRPr="001913E4">
        <w:rPr>
          <w:rFonts w:hint="cs"/>
        </w:rPr>
        <w:t xml:space="preserve"> </w:t>
      </w:r>
    </w:p>
    <w:p w:rsidR="00BF1E3B" w:rsidRDefault="00DF6A0A" w:rsidP="00C619CC">
      <w:pPr>
        <w:pStyle w:val="7392"/>
        <w:rPr>
          <w:rtl/>
        </w:rPr>
      </w:pPr>
      <w:r>
        <w:rPr>
          <w:rFonts w:hint="cs"/>
          <w:rtl/>
        </w:rPr>
        <w:t xml:space="preserve">בתרשים 2 להלן מוצג מצבה של מדינת ישראל על פי מדד </w:t>
      </w:r>
      <w:r>
        <w:rPr>
          <w:rFonts w:hint="cs"/>
        </w:rPr>
        <w:t>OSI</w:t>
      </w:r>
      <w:r>
        <w:rPr>
          <w:rFonts w:hint="cs"/>
          <w:rtl/>
        </w:rPr>
        <w:t xml:space="preserve"> בשנת 2020 לצד</w:t>
      </w:r>
      <w:r w:rsidRPr="006013B2">
        <w:rPr>
          <w:rtl/>
        </w:rPr>
        <w:t xml:space="preserve"> </w:t>
      </w:r>
      <w:r>
        <w:rPr>
          <w:rFonts w:hint="cs"/>
          <w:rtl/>
        </w:rPr>
        <w:t>מצבן של מדינות ב-</w:t>
      </w:r>
      <w:r>
        <w:rPr>
          <w:rFonts w:hint="cs"/>
        </w:rPr>
        <w:t>OECD</w:t>
      </w:r>
      <w:r w:rsidRPr="006013B2">
        <w:rPr>
          <w:rtl/>
        </w:rPr>
        <w:t xml:space="preserve"> </w:t>
      </w:r>
      <w:r>
        <w:rPr>
          <w:rFonts w:hint="cs"/>
          <w:rtl/>
        </w:rPr>
        <w:t xml:space="preserve">שמשקיהן היו </w:t>
      </w:r>
      <w:r w:rsidRPr="006013B2">
        <w:rPr>
          <w:rtl/>
        </w:rPr>
        <w:t>דומ</w:t>
      </w:r>
      <w:r>
        <w:rPr>
          <w:rFonts w:hint="cs"/>
          <w:rtl/>
        </w:rPr>
        <w:t>ים</w:t>
      </w:r>
      <w:r w:rsidRPr="006013B2">
        <w:rPr>
          <w:rtl/>
        </w:rPr>
        <w:t xml:space="preserve"> בחלק ממאפייניה</w:t>
      </w:r>
      <w:r>
        <w:rPr>
          <w:rFonts w:hint="cs"/>
          <w:rtl/>
        </w:rPr>
        <w:t>ם</w:t>
      </w:r>
      <w:r w:rsidRPr="006013B2">
        <w:rPr>
          <w:rtl/>
        </w:rPr>
        <w:t xml:space="preserve"> למשק הישראלי</w:t>
      </w:r>
      <w:r w:rsidRPr="007265DD">
        <w:rPr>
          <w:rFonts w:hint="cs"/>
          <w:rtl/>
        </w:rPr>
        <w:t xml:space="preserve"> </w:t>
      </w:r>
      <w:r>
        <w:rPr>
          <w:rFonts w:hint="cs"/>
          <w:rtl/>
        </w:rPr>
        <w:t>במועד ההשוואה</w:t>
      </w:r>
      <w:r>
        <w:rPr>
          <w:rStyle w:val="a8"/>
          <w:rtl/>
        </w:rPr>
        <w:footnoteReference w:id="7"/>
      </w:r>
      <w:r>
        <w:rPr>
          <w:rFonts w:hint="cs"/>
          <w:rtl/>
        </w:rPr>
        <w:t>:</w:t>
      </w:r>
    </w:p>
    <w:p w:rsidR="00BF1E3B" w:rsidRPr="001913E4" w:rsidRDefault="00DF6A0A" w:rsidP="001913E4">
      <w:pPr>
        <w:pStyle w:val="738"/>
        <w:rPr>
          <w:rtl/>
        </w:rPr>
      </w:pPr>
      <w:r w:rsidRPr="001913E4">
        <w:rPr>
          <w:b w:val="0"/>
          <w:bCs w:val="0"/>
          <w:noProof/>
        </w:rPr>
        <w:lastRenderedPageBreak/>
        <w:drawing>
          <wp:anchor distT="0" distB="0" distL="114300" distR="114300" simplePos="0" relativeHeight="251732992" behindDoc="0" locked="0" layoutInCell="1" allowOverlap="1">
            <wp:simplePos x="0" y="0"/>
            <wp:positionH relativeFrom="column">
              <wp:posOffset>0</wp:posOffset>
            </wp:positionH>
            <wp:positionV relativeFrom="paragraph">
              <wp:posOffset>280670</wp:posOffset>
            </wp:positionV>
            <wp:extent cx="4640580" cy="2446020"/>
            <wp:effectExtent l="0" t="0" r="0" b="5080"/>
            <wp:wrapThrough wrapText="bothSides">
              <wp:wrapPolygon edited="0">
                <wp:start x="0" y="0"/>
                <wp:lineTo x="0" y="21533"/>
                <wp:lineTo x="21517" y="21533"/>
                <wp:lineTo x="21517" y="0"/>
                <wp:lineTo x="0" y="0"/>
              </wp:wrapPolygon>
            </wp:wrapThrough>
            <wp:docPr id="2052770949" name="תמונה 2052770949" descr="בתרשים מוצג המדד בישראל בהשוואה לזה שבמדינות הבאות (אין ציונים מדויקים אלא טווחים). ישראל קיבלה את המדד 0.75 בקירוב, ומקומה הוא הנמוך ביותר בהשוואה למדינות שאליהן הושוותה בתרשים זה, שהן: אירלנד, איטליה, פורטוגל, פולין, שוודיה, הולנד, אוסטרייה ופינלנד. המדינה עם המדד הגבוה ביותר בתרשים היא פינלנד  - מדד שמתקרב ל-1. &#10;עוד מופיעים בתרשים המדד הממוצע של מדינות סמן תחתון - (מדד שגבוה מ-0.80 ומתקרב ל-0.85) ומדד של מדינות סמן עליון - 0.90 (ביאור לגבי המונחים &quot;מדינות סמן תחתון&quot; ו&quot;סמן עליון&quot; נמצא במלל בקטע שלאחר התרשים)&#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49" name="תמונה 2052770949"/>
                    <pic:cNvPicPr/>
                  </pic:nvPicPr>
                  <pic:blipFill>
                    <a:blip r:embed="rId38" cstate="print">
                      <a:extLst>
                        <a:ext uri="{28A0092B-C50C-407E-A947-70E740481C1C}">
                          <a14:useLocalDpi xmlns:a14="http://schemas.microsoft.com/office/drawing/2010/main" val="0"/>
                        </a:ext>
                      </a:extLst>
                    </a:blip>
                    <a:srcRect r="3738" b="3809"/>
                    <a:stretch>
                      <a:fillRect/>
                    </a:stretch>
                  </pic:blipFill>
                  <pic:spPr bwMode="auto">
                    <a:xfrm>
                      <a:off x="0" y="0"/>
                      <a:ext cx="4640580"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13E4">
        <w:rPr>
          <w:rFonts w:hint="eastAsia"/>
          <w:b w:val="0"/>
          <w:bCs w:val="0"/>
          <w:rtl/>
        </w:rPr>
        <w:t>תרשים</w:t>
      </w:r>
      <w:r w:rsidRPr="001913E4">
        <w:rPr>
          <w:b w:val="0"/>
          <w:bCs w:val="0"/>
          <w:rtl/>
        </w:rPr>
        <w:t xml:space="preserve"> </w:t>
      </w:r>
      <w:r w:rsidRPr="001913E4">
        <w:rPr>
          <w:rFonts w:hint="cs"/>
          <w:b w:val="0"/>
          <w:bCs w:val="0"/>
          <w:rtl/>
        </w:rPr>
        <w:t>2</w:t>
      </w:r>
      <w:r w:rsidRPr="00D04DF9">
        <w:rPr>
          <w:b w:val="0"/>
          <w:bCs w:val="0"/>
          <w:rtl/>
        </w:rPr>
        <w:t>:</w:t>
      </w:r>
      <w:r w:rsidRPr="001913E4">
        <w:rPr>
          <w:rtl/>
        </w:rPr>
        <w:t xml:space="preserve"> </w:t>
      </w:r>
      <w:r w:rsidRPr="001913E4">
        <w:rPr>
          <w:rFonts w:hint="eastAsia"/>
          <w:rtl/>
        </w:rPr>
        <w:t>מדד</w:t>
      </w:r>
      <w:r w:rsidRPr="001913E4">
        <w:rPr>
          <w:rtl/>
        </w:rPr>
        <w:t xml:space="preserve"> שירותי </w:t>
      </w:r>
      <w:r w:rsidRPr="001913E4">
        <w:rPr>
          <w:rFonts w:hint="cs"/>
          <w:rtl/>
        </w:rPr>
        <w:t>ה</w:t>
      </w:r>
      <w:r w:rsidRPr="001913E4">
        <w:rPr>
          <w:rtl/>
        </w:rPr>
        <w:t xml:space="preserve">ממשלה </w:t>
      </w:r>
      <w:r w:rsidRPr="001913E4">
        <w:rPr>
          <w:rFonts w:hint="cs"/>
          <w:rtl/>
        </w:rPr>
        <w:t>ה</w:t>
      </w:r>
      <w:r w:rsidRPr="001913E4">
        <w:rPr>
          <w:rtl/>
        </w:rPr>
        <w:t>מקוונים (</w:t>
      </w:r>
      <w:r w:rsidRPr="001913E4">
        <w:t>OSI</w:t>
      </w:r>
      <w:r w:rsidRPr="001913E4">
        <w:rPr>
          <w:rtl/>
        </w:rPr>
        <w:t>), 2020</w:t>
      </w:r>
    </w:p>
    <w:p w:rsidR="00BF1E3B" w:rsidRPr="001913E4" w:rsidRDefault="00DF6A0A" w:rsidP="001913E4">
      <w:pPr>
        <w:pStyle w:val="73e"/>
        <w:rPr>
          <w:rtl/>
        </w:rPr>
      </w:pPr>
      <w:r w:rsidRPr="001913E4">
        <w:rPr>
          <w:rFonts w:hint="cs"/>
          <w:rtl/>
        </w:rPr>
        <w:t>ה</w:t>
      </w:r>
      <w:r w:rsidRPr="001913E4">
        <w:rPr>
          <w:rFonts w:hint="eastAsia"/>
          <w:rtl/>
        </w:rPr>
        <w:t>מקור</w:t>
      </w:r>
      <w:r w:rsidRPr="001913E4">
        <w:rPr>
          <w:rtl/>
        </w:rPr>
        <w:t xml:space="preserve">: </w:t>
      </w:r>
      <w:r w:rsidRPr="001913E4">
        <w:rPr>
          <w:rFonts w:hint="cs"/>
          <w:rtl/>
        </w:rPr>
        <w:t>ה</w:t>
      </w:r>
      <w:r w:rsidRPr="001913E4">
        <w:rPr>
          <w:rFonts w:hint="eastAsia"/>
          <w:rtl/>
        </w:rPr>
        <w:t>למ</w:t>
      </w:r>
      <w:r w:rsidRPr="001913E4">
        <w:rPr>
          <w:rtl/>
        </w:rPr>
        <w:t>"ס</w:t>
      </w:r>
      <w:r w:rsidRPr="001913E4">
        <w:rPr>
          <w:rFonts w:hint="cs"/>
          <w:rtl/>
        </w:rPr>
        <w:t>,</w:t>
      </w:r>
      <w:r w:rsidRPr="001913E4">
        <w:rPr>
          <w:rtl/>
        </w:rPr>
        <w:t xml:space="preserve"> הודעה לתקשורת בנושא מדדים דיגיטליים בישרא</w:t>
      </w:r>
      <w:r w:rsidRPr="001913E4">
        <w:rPr>
          <w:rtl/>
        </w:rPr>
        <w:t>ל, 30 במאי 2022</w:t>
      </w:r>
      <w:r w:rsidRPr="001913E4">
        <w:rPr>
          <w:rFonts w:hint="cs"/>
          <w:rtl/>
        </w:rPr>
        <w:t>.</w:t>
      </w:r>
      <w:r w:rsidRPr="001913E4">
        <w:rPr>
          <w:rtl/>
        </w:rPr>
        <w:t xml:space="preserve"> </w:t>
      </w:r>
    </w:p>
    <w:p w:rsidR="00BF1E3B" w:rsidRPr="00833437" w:rsidRDefault="00DF6A0A" w:rsidP="00C619CC">
      <w:pPr>
        <w:pStyle w:val="7392"/>
        <w:rPr>
          <w:rtl/>
        </w:rPr>
      </w:pPr>
      <w:r w:rsidRPr="00833437">
        <w:rPr>
          <w:rFonts w:hint="cs"/>
          <w:rtl/>
        </w:rPr>
        <w:t xml:space="preserve">כפי שמופיע בתרשים, מצבה של ישראל על פי מדד שירותי הממשלה המקוונים טוב פחות מזה של </w:t>
      </w:r>
      <w:r w:rsidRPr="009F4337">
        <w:rPr>
          <w:rFonts w:hint="cs"/>
          <w:rtl/>
        </w:rPr>
        <w:t>מדינות</w:t>
      </w:r>
      <w:r w:rsidRPr="00FC3455">
        <w:rPr>
          <w:rFonts w:hint="cs"/>
          <w:rtl/>
        </w:rPr>
        <w:t xml:space="preserve"> ב-</w:t>
      </w:r>
      <w:r w:rsidRPr="00E82FF2">
        <w:rPr>
          <w:rFonts w:hint="cs"/>
        </w:rPr>
        <w:t>OECD</w:t>
      </w:r>
      <w:r w:rsidRPr="00E82FF2">
        <w:rPr>
          <w:rFonts w:hint="cs"/>
          <w:rtl/>
        </w:rPr>
        <w:t xml:space="preserve"> עם מאפייני משק דומים, הן כאשר משווים אותה למדינות שבהן רמת התוצר לנפש ורמת הדיגיטציה גבוהות יחסית (סמן עליון בתרשים) והן כאשר משווים אותה למדינות </w:t>
      </w:r>
      <w:r w:rsidRPr="00833437">
        <w:rPr>
          <w:rFonts w:hint="eastAsia"/>
          <w:rtl/>
        </w:rPr>
        <w:t>שבהן</w:t>
      </w:r>
      <w:r w:rsidRPr="00833437">
        <w:rPr>
          <w:rtl/>
        </w:rPr>
        <w:t xml:space="preserve"> רמות אלה נמוכות יחסית (סמן תחתון בתרשים). </w:t>
      </w:r>
    </w:p>
    <w:p w:rsidR="00BF1E3B" w:rsidRDefault="00DF6A0A" w:rsidP="00C619CC">
      <w:pPr>
        <w:pStyle w:val="7392"/>
        <w:rPr>
          <w:rtl/>
        </w:rPr>
      </w:pPr>
      <w:r w:rsidRPr="004C48AC">
        <w:rPr>
          <w:rFonts w:hint="eastAsia"/>
          <w:b/>
          <w:rtl/>
        </w:rPr>
        <w:t>מדד</w:t>
      </w:r>
      <w:r w:rsidRPr="004C48AC">
        <w:rPr>
          <w:b/>
          <w:bCs/>
          <w:rtl/>
        </w:rPr>
        <w:t xml:space="preserve"> </w:t>
      </w:r>
      <w:r w:rsidRPr="00C619CC">
        <w:t>EGDI</w:t>
      </w:r>
      <w:r w:rsidRPr="00C619CC">
        <w:rPr>
          <w:rtl/>
        </w:rPr>
        <w:t xml:space="preserve"> </w:t>
      </w:r>
      <w:r w:rsidRPr="00C619CC">
        <w:rPr>
          <w:rFonts w:hint="cs"/>
          <w:rtl/>
        </w:rPr>
        <w:t>(</w:t>
      </w:r>
      <w:r w:rsidRPr="00C619CC">
        <w:t>E-Government Development Index</w:t>
      </w:r>
      <w:r w:rsidRPr="00985858">
        <w:rPr>
          <w:rFonts w:hint="cs"/>
          <w:rtl/>
        </w:rPr>
        <w:t>)</w:t>
      </w:r>
      <w:r w:rsidRPr="00CD224D">
        <w:rPr>
          <w:rFonts w:hint="cs"/>
          <w:rtl/>
        </w:rPr>
        <w:t xml:space="preserve"> </w:t>
      </w:r>
      <w:r>
        <w:rPr>
          <w:rFonts w:hint="cs"/>
          <w:rtl/>
        </w:rPr>
        <w:t>הוא</w:t>
      </w:r>
      <w:r w:rsidRPr="00CD224D">
        <w:rPr>
          <w:rFonts w:hint="cs"/>
          <w:rtl/>
        </w:rPr>
        <w:t xml:space="preserve"> מדד</w:t>
      </w:r>
      <w:r>
        <w:rPr>
          <w:rFonts w:hint="cs"/>
          <w:rtl/>
        </w:rPr>
        <w:t xml:space="preserve"> בין־לאומי</w:t>
      </w:r>
      <w:r>
        <w:rPr>
          <w:rStyle w:val="a8"/>
          <w:rtl/>
        </w:rPr>
        <w:footnoteReference w:id="8"/>
      </w:r>
      <w:r>
        <w:rPr>
          <w:rFonts w:hint="cs"/>
          <w:rtl/>
        </w:rPr>
        <w:t xml:space="preserve"> </w:t>
      </w:r>
      <w:r>
        <w:rPr>
          <w:rFonts w:hint="cs"/>
          <w:rtl/>
        </w:rPr>
        <w:t xml:space="preserve">המבוסס על סקרים של האו"ם המשווים בין מדינות בעולם על פי </w:t>
      </w:r>
      <w:r w:rsidRPr="00350A76">
        <w:rPr>
          <w:rFonts w:hint="cs"/>
          <w:rtl/>
        </w:rPr>
        <w:t xml:space="preserve">רמת הפיתוח של </w:t>
      </w:r>
      <w:r>
        <w:rPr>
          <w:rFonts w:hint="cs"/>
          <w:rtl/>
        </w:rPr>
        <w:t xml:space="preserve">שירותי </w:t>
      </w:r>
      <w:r w:rsidRPr="00350A76">
        <w:rPr>
          <w:rFonts w:hint="cs"/>
          <w:rtl/>
        </w:rPr>
        <w:t>הממשל הדיגיטלי</w:t>
      </w:r>
      <w:r>
        <w:rPr>
          <w:rFonts w:hint="cs"/>
          <w:rtl/>
        </w:rPr>
        <w:t>ים</w:t>
      </w:r>
      <w:r w:rsidRPr="00350A76">
        <w:rPr>
          <w:rFonts w:hint="cs"/>
          <w:rtl/>
        </w:rPr>
        <w:t xml:space="preserve"> ב</w:t>
      </w:r>
      <w:r>
        <w:rPr>
          <w:rFonts w:hint="cs"/>
          <w:rtl/>
        </w:rPr>
        <w:t>כל מדינה.</w:t>
      </w:r>
      <w:r w:rsidRPr="00350A76">
        <w:rPr>
          <w:rFonts w:hint="cs"/>
          <w:rtl/>
        </w:rPr>
        <w:t xml:space="preserve"> על פי מדד זה</w:t>
      </w:r>
      <w:r>
        <w:rPr>
          <w:rFonts w:hint="cs"/>
          <w:rtl/>
        </w:rPr>
        <w:t>,</w:t>
      </w:r>
      <w:r w:rsidRPr="00350A76">
        <w:rPr>
          <w:rFonts w:hint="cs"/>
          <w:rtl/>
        </w:rPr>
        <w:t xml:space="preserve"> </w:t>
      </w:r>
      <w:r>
        <w:rPr>
          <w:rFonts w:hint="cs"/>
          <w:rtl/>
        </w:rPr>
        <w:t>ב</w:t>
      </w:r>
      <w:r w:rsidRPr="00350A76">
        <w:rPr>
          <w:rFonts w:hint="cs"/>
          <w:rtl/>
        </w:rPr>
        <w:t xml:space="preserve">שנת 2018 דורגה ישראל במקום </w:t>
      </w:r>
      <w:r w:rsidRPr="00350A76">
        <w:rPr>
          <w:rtl/>
        </w:rPr>
        <w:t>ה-31 מבין 193 מדינות</w:t>
      </w:r>
      <w:r w:rsidRPr="00350A76">
        <w:rPr>
          <w:rFonts w:hint="cs"/>
          <w:rtl/>
        </w:rPr>
        <w:t xml:space="preserve"> בעולם</w:t>
      </w:r>
      <w:r>
        <w:rPr>
          <w:rFonts w:hint="cs"/>
          <w:rtl/>
        </w:rPr>
        <w:t>.</w:t>
      </w:r>
      <w:r w:rsidRPr="00350A76">
        <w:rPr>
          <w:rFonts w:hint="cs"/>
          <w:rtl/>
        </w:rPr>
        <w:t xml:space="preserve"> המדינות</w:t>
      </w:r>
      <w:r w:rsidRPr="00350A76">
        <w:rPr>
          <w:rtl/>
        </w:rPr>
        <w:t xml:space="preserve"> </w:t>
      </w:r>
      <w:r w:rsidRPr="00350A76">
        <w:rPr>
          <w:rFonts w:hint="cs"/>
          <w:rtl/>
        </w:rPr>
        <w:t>שנמצאו מובילות בדירוג היו דנמרק</w:t>
      </w:r>
      <w:r w:rsidRPr="00350A76">
        <w:rPr>
          <w:rtl/>
        </w:rPr>
        <w:t xml:space="preserve">, </w:t>
      </w:r>
      <w:r w:rsidRPr="00350A76">
        <w:rPr>
          <w:rFonts w:hint="cs"/>
          <w:rtl/>
        </w:rPr>
        <w:t>אוסטרליה</w:t>
      </w:r>
      <w:r w:rsidRPr="00350A76">
        <w:rPr>
          <w:rtl/>
        </w:rPr>
        <w:t>,</w:t>
      </w:r>
      <w:r w:rsidRPr="00350A76">
        <w:rPr>
          <w:rFonts w:hint="cs"/>
          <w:rtl/>
        </w:rPr>
        <w:t xml:space="preserve"> </w:t>
      </w:r>
      <w:r w:rsidRPr="00350A76">
        <w:rPr>
          <w:rtl/>
        </w:rPr>
        <w:t>קוריאה הדרומית, בריטניה וש</w:t>
      </w:r>
      <w:r>
        <w:rPr>
          <w:rFonts w:hint="cs"/>
          <w:rtl/>
        </w:rPr>
        <w:t>וו</w:t>
      </w:r>
      <w:r w:rsidRPr="00350A76">
        <w:rPr>
          <w:rtl/>
        </w:rPr>
        <w:t>דיה</w:t>
      </w:r>
      <w:r>
        <w:rPr>
          <w:rStyle w:val="a8"/>
          <w:rtl/>
        </w:rPr>
        <w:footnoteReference w:id="9"/>
      </w:r>
      <w:r w:rsidRPr="00350A76">
        <w:rPr>
          <w:rtl/>
        </w:rPr>
        <w:t>.</w:t>
      </w:r>
      <w:r w:rsidRPr="00350A76">
        <w:rPr>
          <w:rFonts w:hint="cs"/>
          <w:rtl/>
        </w:rPr>
        <w:t xml:space="preserve"> </w:t>
      </w:r>
      <w:r>
        <w:rPr>
          <w:rFonts w:hint="cs"/>
          <w:rtl/>
        </w:rPr>
        <w:t xml:space="preserve">בשנת 2020 ישראל דורגה במקום </w:t>
      </w:r>
      <w:r w:rsidRPr="00350A76">
        <w:rPr>
          <w:rtl/>
        </w:rPr>
        <w:t>ה-30</w:t>
      </w:r>
      <w:r>
        <w:rPr>
          <w:rStyle w:val="a8"/>
          <w:rtl/>
        </w:rPr>
        <w:footnoteReference w:id="10"/>
      </w:r>
      <w:r>
        <w:rPr>
          <w:rFonts w:hint="cs"/>
          <w:rtl/>
        </w:rPr>
        <w:t>,</w:t>
      </w:r>
      <w:r w:rsidRPr="00350A76">
        <w:rPr>
          <w:rtl/>
        </w:rPr>
        <w:t xml:space="preserve"> </w:t>
      </w:r>
      <w:r>
        <w:rPr>
          <w:rFonts w:hint="cs"/>
          <w:rtl/>
        </w:rPr>
        <w:t>ו</w:t>
      </w:r>
      <w:r w:rsidRPr="00350A76">
        <w:rPr>
          <w:rtl/>
        </w:rPr>
        <w:t>ציונה במד</w:t>
      </w:r>
      <w:r w:rsidRPr="00350A76">
        <w:rPr>
          <w:rFonts w:hint="cs"/>
          <w:rtl/>
        </w:rPr>
        <w:t xml:space="preserve">ד </w:t>
      </w:r>
      <w:r>
        <w:rPr>
          <w:rFonts w:hint="cs"/>
          <w:rtl/>
        </w:rPr>
        <w:t>זה</w:t>
      </w:r>
      <w:r w:rsidRPr="00350A76">
        <w:rPr>
          <w:rtl/>
        </w:rPr>
        <w:t xml:space="preserve"> ה</w:t>
      </w:r>
      <w:r>
        <w:rPr>
          <w:rFonts w:hint="cs"/>
          <w:rtl/>
        </w:rPr>
        <w:t xml:space="preserve">שתפר בהשוואה לציון בשנת 2018. </w:t>
      </w:r>
    </w:p>
    <w:p w:rsidR="00BF1E3B" w:rsidRDefault="00DF6A0A" w:rsidP="00C619CC">
      <w:pPr>
        <w:pStyle w:val="7392"/>
        <w:rPr>
          <w:rtl/>
        </w:rPr>
      </w:pPr>
      <w:r w:rsidRPr="00350A76">
        <w:rPr>
          <w:rFonts w:hint="cs"/>
          <w:rtl/>
        </w:rPr>
        <w:t>ה</w:t>
      </w:r>
      <w:r>
        <w:rPr>
          <w:rtl/>
        </w:rPr>
        <w:t>נגש</w:t>
      </w:r>
      <w:r>
        <w:rPr>
          <w:rFonts w:hint="cs"/>
          <w:rtl/>
        </w:rPr>
        <w:t xml:space="preserve">ה מלאה ככל הניתן של השירות הממשלתי הדיגיטלי נחוצה </w:t>
      </w:r>
      <w:r w:rsidRPr="00350A76">
        <w:rPr>
          <w:rFonts w:hint="cs"/>
          <w:rtl/>
        </w:rPr>
        <w:t>לציבור</w:t>
      </w:r>
      <w:r>
        <w:rPr>
          <w:rFonts w:hint="cs"/>
          <w:rtl/>
        </w:rPr>
        <w:t xml:space="preserve"> בכללותו</w:t>
      </w:r>
      <w:r w:rsidRPr="00350A76">
        <w:rPr>
          <w:rFonts w:hint="cs"/>
          <w:rtl/>
        </w:rPr>
        <w:t xml:space="preserve"> ובפרט לאנשים עם מוגבלות</w:t>
      </w:r>
      <w:r>
        <w:rPr>
          <w:rStyle w:val="a8"/>
          <w:rtl/>
        </w:rPr>
        <w:footnoteReference w:id="11"/>
      </w:r>
      <w:r>
        <w:rPr>
          <w:rFonts w:hint="cs"/>
          <w:rtl/>
        </w:rPr>
        <w:t>. הצורך</w:t>
      </w:r>
      <w:r w:rsidRPr="00350A76">
        <w:rPr>
          <w:rFonts w:hint="cs"/>
          <w:rtl/>
        </w:rPr>
        <w:t xml:space="preserve"> </w:t>
      </w:r>
      <w:r w:rsidRPr="00350A76">
        <w:rPr>
          <w:rtl/>
        </w:rPr>
        <w:t>מקבל משנה חשיבות בתקופות חירום, כ</w:t>
      </w:r>
      <w:r w:rsidRPr="00350A76">
        <w:rPr>
          <w:rFonts w:hint="cs"/>
          <w:rtl/>
        </w:rPr>
        <w:t xml:space="preserve">גון </w:t>
      </w:r>
      <w:r>
        <w:rPr>
          <w:rFonts w:hint="cs"/>
          <w:rtl/>
        </w:rPr>
        <w:t>בעת מגפה</w:t>
      </w:r>
      <w:r w:rsidRPr="00350A76">
        <w:rPr>
          <w:rtl/>
        </w:rPr>
        <w:t xml:space="preserve"> </w:t>
      </w:r>
      <w:r>
        <w:rPr>
          <w:rFonts w:hint="cs"/>
          <w:rtl/>
        </w:rPr>
        <w:t xml:space="preserve">כדוגמת </w:t>
      </w:r>
      <w:r>
        <w:rPr>
          <w:rFonts w:hint="cs"/>
          <w:rtl/>
        </w:rPr>
        <w:lastRenderedPageBreak/>
        <w:t xml:space="preserve">מגפת הקורונה </w:t>
      </w:r>
      <w:r w:rsidRPr="00350A76">
        <w:rPr>
          <w:rFonts w:hint="cs"/>
          <w:rtl/>
        </w:rPr>
        <w:t>א</w:t>
      </w:r>
      <w:r w:rsidRPr="00350A76">
        <w:rPr>
          <w:rFonts w:hint="cs"/>
          <w:rtl/>
        </w:rPr>
        <w:t xml:space="preserve">ו מצב מלחמה, </w:t>
      </w:r>
      <w:r w:rsidRPr="00350A76">
        <w:rPr>
          <w:rtl/>
        </w:rPr>
        <w:t xml:space="preserve">כיוון שאז </w:t>
      </w:r>
      <w:r>
        <w:rPr>
          <w:rFonts w:hint="cs"/>
          <w:rtl/>
        </w:rPr>
        <w:t>הופך הערוץ הדיגיטלי לערוץ העיקרי שבו ניתן לקבל מידע ושירותים. הנגשה דיגיטלית נחוצה לאנשים עם מוגבלויות שונות.</w:t>
      </w:r>
    </w:p>
    <w:p w:rsidR="00BF1E3B" w:rsidRDefault="00DF6A0A" w:rsidP="00C619CC">
      <w:pPr>
        <w:pStyle w:val="7392"/>
        <w:rPr>
          <w:rtl/>
        </w:rPr>
      </w:pPr>
      <w:r w:rsidRPr="00B1352F">
        <w:rPr>
          <w:rtl/>
        </w:rPr>
        <w:t>בין פברואר 2020 (לפני תחילת משבר הקורונה בישראל) לבין מרץ 2020 (תחילת המשבר) גדל מספר הכניסות לאזור האישי באתר</w:t>
      </w:r>
      <w:r>
        <w:rPr>
          <w:rFonts w:hint="cs"/>
          <w:rtl/>
        </w:rPr>
        <w:t xml:space="preserve"> השירותים והמ</w:t>
      </w:r>
      <w:r>
        <w:rPr>
          <w:rFonts w:hint="cs"/>
          <w:rtl/>
        </w:rPr>
        <w:t xml:space="preserve">ידע הממשלתי </w:t>
      </w:r>
      <w:r w:rsidRPr="00B1352F">
        <w:t>GOV.IL</w:t>
      </w:r>
      <w:r w:rsidRPr="00B1352F">
        <w:rPr>
          <w:rtl/>
        </w:rPr>
        <w:t xml:space="preserve"> בכ-55%</w:t>
      </w:r>
      <w:r w:rsidR="000A7431">
        <w:rPr>
          <w:rFonts w:hint="cs"/>
          <w:rtl/>
        </w:rPr>
        <w:t>.</w:t>
      </w:r>
      <w:r>
        <w:rPr>
          <w:rFonts w:hint="cs"/>
          <w:rtl/>
        </w:rPr>
        <w:t xml:space="preserve"> בתקופת זו, נוכח הסגרים והצורך לשמור על ריחוק פיזי, הרחיב הציבור בישראל את השימוש שלו במרשתת (אינטרנט), בין היתר במסגרת הקשר שלו עם רשויות הממשל</w:t>
      </w:r>
      <w:r>
        <w:rPr>
          <w:rStyle w:val="a8"/>
          <w:rtl/>
        </w:rPr>
        <w:footnoteReference w:id="12"/>
      </w:r>
      <w:r>
        <w:rPr>
          <w:rFonts w:hint="cs"/>
          <w:rtl/>
        </w:rPr>
        <w:t>. בד בבד הרחיבה הממשלה, כמו ממשלות נוספות בעולם, את היקף השירותים המוצעים לציבור בערו</w:t>
      </w:r>
      <w:r>
        <w:rPr>
          <w:rFonts w:hint="cs"/>
          <w:rtl/>
        </w:rPr>
        <w:t>צים הדיגיטליים</w:t>
      </w:r>
      <w:r>
        <w:rPr>
          <w:rStyle w:val="a8"/>
          <w:rtl/>
        </w:rPr>
        <w:footnoteReference w:id="13"/>
      </w:r>
      <w:r>
        <w:rPr>
          <w:rtl/>
        </w:rPr>
        <w:t>.</w:t>
      </w:r>
    </w:p>
    <w:p w:rsidR="00BF1E3B" w:rsidRDefault="00DF6A0A" w:rsidP="00F43DB2">
      <w:pPr>
        <w:pStyle w:val="73414"/>
        <w:rPr>
          <w:rtl/>
        </w:rPr>
      </w:pPr>
      <w:r>
        <w:rPr>
          <w:rFonts w:hint="cs"/>
          <w:rtl/>
        </w:rPr>
        <w:t xml:space="preserve">הנגשת שירותים דיגיטליים לאנשים עם מוגבלות </w:t>
      </w:r>
    </w:p>
    <w:p w:rsidR="00BF1E3B" w:rsidRDefault="00DF6A0A" w:rsidP="00C619CC">
      <w:pPr>
        <w:pStyle w:val="7392"/>
        <w:rPr>
          <w:rtl/>
        </w:rPr>
      </w:pPr>
      <w:r w:rsidRPr="004C48AC">
        <w:rPr>
          <w:rFonts w:hint="eastAsia"/>
          <w:rtl/>
        </w:rPr>
        <w:t>החובה</w:t>
      </w:r>
      <w:r w:rsidRPr="004C48AC">
        <w:rPr>
          <w:rtl/>
        </w:rPr>
        <w:t xml:space="preserve"> להנגיש שירותים ומידע לאנשים עם מוגבלות נובעת מע</w:t>
      </w:r>
      <w:r w:rsidRPr="004C48AC">
        <w:rPr>
          <w:rFonts w:hint="eastAsia"/>
          <w:rtl/>
        </w:rPr>
        <w:t>קרון</w:t>
      </w:r>
      <w:r w:rsidRPr="004C48AC">
        <w:rPr>
          <w:rtl/>
        </w:rPr>
        <w:t xml:space="preserve"> השוויון ומעקרונות הגלומים בתכליתו של חוק-יסוד: כבוד האדם וחירותו. בשנת 1998 חוקק חוק שוויון זכויות לאנשים עם מוגבלות, </w:t>
      </w:r>
      <w:r w:rsidRPr="004C48AC">
        <w:rPr>
          <w:rFonts w:hint="eastAsia"/>
          <w:rtl/>
        </w:rPr>
        <w:t>ה</w:t>
      </w:r>
      <w:r w:rsidRPr="004C48AC">
        <w:rPr>
          <w:rtl/>
        </w:rPr>
        <w:t xml:space="preserve">תשנ"ח-1998 (להלן - </w:t>
      </w:r>
      <w:r w:rsidRPr="004C48AC">
        <w:rPr>
          <w:rtl/>
        </w:rPr>
        <w:t>החוק או חוק השוויון)</w:t>
      </w:r>
      <w:r>
        <w:rPr>
          <w:rFonts w:hint="cs"/>
          <w:rtl/>
        </w:rPr>
        <w:t>,</w:t>
      </w:r>
      <w:r w:rsidRPr="004C48AC">
        <w:rPr>
          <w:rtl/>
        </w:rPr>
        <w:t xml:space="preserve"> </w:t>
      </w:r>
      <w:r>
        <w:rPr>
          <w:rFonts w:hint="cs"/>
          <w:b/>
          <w:rtl/>
        </w:rPr>
        <w:t xml:space="preserve">אשר </w:t>
      </w:r>
      <w:r w:rsidRPr="008C4BB1">
        <w:rPr>
          <w:rFonts w:hint="cs"/>
          <w:b/>
          <w:rtl/>
        </w:rPr>
        <w:t>מעיד על עצמו, </w:t>
      </w:r>
      <w:hyperlink r:id="rId39" w:history="1">
        <w:r w:rsidRPr="008C4BB1">
          <w:rPr>
            <w:rFonts w:hint="cs"/>
            <w:b/>
            <w:rtl/>
          </w:rPr>
          <w:t>בסעיף 2</w:t>
        </w:r>
      </w:hyperlink>
      <w:r w:rsidRPr="008C4BB1">
        <w:rPr>
          <w:rFonts w:hint="cs"/>
          <w:b/>
          <w:rtl/>
        </w:rPr>
        <w:t> לחוק, כי מטרתו היא</w:t>
      </w:r>
      <w:r>
        <w:rPr>
          <w:rFonts w:hint="cs"/>
          <w:b/>
          <w:rtl/>
        </w:rPr>
        <w:t xml:space="preserve"> </w:t>
      </w:r>
      <w:r w:rsidRPr="008C4BB1">
        <w:rPr>
          <w:rFonts w:hint="cs"/>
          <w:b/>
          <w:rtl/>
        </w:rPr>
        <w:t>"להגן על כבודו וחירותו של אדם עם מוגבלות, ולעגן את זכותו להשתתפות שוויונית ופעילה בחברה בכל תחומי החיים, וכן לתת מענה הולם לצרכיו המיוחדים ב</w:t>
      </w:r>
      <w:r w:rsidRPr="008C4BB1">
        <w:rPr>
          <w:rFonts w:hint="cs"/>
          <w:b/>
          <w:rtl/>
        </w:rPr>
        <w:t>אופן שיאפשר לו לחיות את חייו בעצמאות מרבית, בפרטיות ובכבוד, תוך מיצוי מלוא יכולתו".</w:t>
      </w:r>
      <w:r w:rsidRPr="00C34599">
        <w:rPr>
          <w:rFonts w:hint="cs"/>
          <w:rtl/>
        </w:rPr>
        <w:t xml:space="preserve"> </w:t>
      </w:r>
      <w:r w:rsidRPr="005D093D">
        <w:rPr>
          <w:rFonts w:hint="cs"/>
          <w:rtl/>
        </w:rPr>
        <w:t>בחוק השווי</w:t>
      </w:r>
      <w:r>
        <w:rPr>
          <w:rFonts w:hint="cs"/>
          <w:rtl/>
        </w:rPr>
        <w:t xml:space="preserve">ון </w:t>
      </w:r>
      <w:r w:rsidRPr="005D093D">
        <w:rPr>
          <w:rFonts w:hint="cs"/>
          <w:rtl/>
        </w:rPr>
        <w:t xml:space="preserve">מראשיתו </w:t>
      </w:r>
      <w:r>
        <w:rPr>
          <w:rFonts w:hint="cs"/>
          <w:rtl/>
        </w:rPr>
        <w:t xml:space="preserve">נכללו </w:t>
      </w:r>
      <w:r w:rsidRPr="005D093D">
        <w:rPr>
          <w:rFonts w:hint="cs"/>
          <w:rtl/>
        </w:rPr>
        <w:t xml:space="preserve">רק תחום התעסוקה ותחום הנגישות של תחבורה ציבורית. בהמשך </w:t>
      </w:r>
      <w:r>
        <w:rPr>
          <w:rFonts w:hint="cs"/>
          <w:rtl/>
        </w:rPr>
        <w:t>(</w:t>
      </w:r>
      <w:r w:rsidRPr="00076E3A">
        <w:rPr>
          <w:rtl/>
        </w:rPr>
        <w:t>בשנת 2005</w:t>
      </w:r>
      <w:r>
        <w:rPr>
          <w:rFonts w:hint="cs"/>
          <w:rtl/>
        </w:rPr>
        <w:t>)</w:t>
      </w:r>
      <w:r w:rsidRPr="00076E3A">
        <w:rPr>
          <w:rtl/>
        </w:rPr>
        <w:t xml:space="preserve"> </w:t>
      </w:r>
      <w:r w:rsidRPr="005D093D">
        <w:rPr>
          <w:rFonts w:hint="cs"/>
          <w:rtl/>
        </w:rPr>
        <w:t xml:space="preserve">תוקן </w:t>
      </w:r>
      <w:r>
        <w:rPr>
          <w:rFonts w:hint="cs"/>
          <w:rtl/>
        </w:rPr>
        <w:t>ה</w:t>
      </w:r>
      <w:r w:rsidRPr="00076E3A">
        <w:rPr>
          <w:rtl/>
        </w:rPr>
        <w:t>חוק</w:t>
      </w:r>
      <w:r>
        <w:rPr>
          <w:rStyle w:val="a8"/>
          <w:rtl/>
        </w:rPr>
        <w:footnoteReference w:id="14"/>
      </w:r>
      <w:r>
        <w:rPr>
          <w:rtl/>
        </w:rPr>
        <w:t xml:space="preserve">, </w:t>
      </w:r>
      <w:r w:rsidRPr="005D093D">
        <w:rPr>
          <w:rFonts w:hint="cs"/>
          <w:rtl/>
        </w:rPr>
        <w:t xml:space="preserve">ונוסף לו פרק נגישות </w:t>
      </w:r>
      <w:r>
        <w:rPr>
          <w:rFonts w:hint="cs"/>
          <w:rtl/>
        </w:rPr>
        <w:t>מקיף</w:t>
      </w:r>
      <w:r>
        <w:rPr>
          <w:rtl/>
        </w:rPr>
        <w:t xml:space="preserve"> </w:t>
      </w:r>
      <w:r>
        <w:rPr>
          <w:rFonts w:hint="cs"/>
          <w:rtl/>
        </w:rPr>
        <w:t xml:space="preserve">(פרק ה'1) </w:t>
      </w:r>
      <w:r w:rsidRPr="005D093D">
        <w:rPr>
          <w:rFonts w:hint="cs"/>
          <w:rtl/>
        </w:rPr>
        <w:t xml:space="preserve">המתייחס לנגישותם של מבנים </w:t>
      </w:r>
      <w:r w:rsidRPr="005D093D">
        <w:rPr>
          <w:rFonts w:hint="cs"/>
          <w:rtl/>
        </w:rPr>
        <w:t>ומקומות ציבוריים וכן לנגישותם של שירותים ומידע</w:t>
      </w:r>
      <w:r>
        <w:rPr>
          <w:rFonts w:hint="cs"/>
          <w:b/>
          <w:rtl/>
        </w:rPr>
        <w:t>. במרץ 2007 חתמה ישראל על</w:t>
      </w:r>
      <w:r>
        <w:rPr>
          <w:rFonts w:hint="cs"/>
          <w:rtl/>
        </w:rPr>
        <w:t xml:space="preserve"> ה</w:t>
      </w:r>
      <w:r w:rsidRPr="004C48AC">
        <w:rPr>
          <w:rtl/>
        </w:rPr>
        <w:t>אמנה</w:t>
      </w:r>
      <w:r>
        <w:rPr>
          <w:rFonts w:hint="cs"/>
          <w:rtl/>
        </w:rPr>
        <w:t xml:space="preserve"> הבינלאומית</w:t>
      </w:r>
      <w:r w:rsidRPr="004C48AC">
        <w:rPr>
          <w:rtl/>
        </w:rPr>
        <w:t xml:space="preserve"> בדבר זכויותיהם של אנשים עם </w:t>
      </w:r>
      <w:r w:rsidRPr="00EF2CC6">
        <w:rPr>
          <w:b/>
          <w:rtl/>
        </w:rPr>
        <w:t>מוגבלו</w:t>
      </w:r>
      <w:r w:rsidRPr="00EF2CC6">
        <w:rPr>
          <w:rFonts w:hint="cs"/>
          <w:b/>
          <w:rtl/>
        </w:rPr>
        <w:t>יו</w:t>
      </w:r>
      <w:r w:rsidRPr="00EF2CC6">
        <w:rPr>
          <w:b/>
          <w:rtl/>
        </w:rPr>
        <w:t>ת</w:t>
      </w:r>
      <w:r>
        <w:rPr>
          <w:rFonts w:hint="cs"/>
          <w:rtl/>
        </w:rPr>
        <w:t>,</w:t>
      </w:r>
      <w:r w:rsidRPr="00350A76">
        <w:rPr>
          <w:rtl/>
        </w:rPr>
        <w:t xml:space="preserve"> וב</w:t>
      </w:r>
      <w:r>
        <w:rPr>
          <w:rFonts w:hint="cs"/>
          <w:rtl/>
        </w:rPr>
        <w:t>ספטמבר</w:t>
      </w:r>
      <w:r w:rsidRPr="00350A76">
        <w:rPr>
          <w:rtl/>
        </w:rPr>
        <w:t xml:space="preserve"> 2012 אשררה מדינת ישראל את האמנה</w:t>
      </w:r>
      <w:r>
        <w:rPr>
          <w:rFonts w:hint="cs"/>
          <w:rtl/>
        </w:rPr>
        <w:t xml:space="preserve"> (להלן - אמנת האו"ם)</w:t>
      </w:r>
      <w:r>
        <w:rPr>
          <w:rStyle w:val="a8"/>
          <w:rtl/>
        </w:rPr>
        <w:footnoteReference w:id="15"/>
      </w:r>
      <w:r w:rsidRPr="00350A76">
        <w:rPr>
          <w:rFonts w:hint="cs"/>
          <w:rtl/>
        </w:rPr>
        <w:t xml:space="preserve">. </w:t>
      </w:r>
      <w:r w:rsidRPr="00FC1419">
        <w:rPr>
          <w:rFonts w:hint="cs"/>
          <w:b/>
          <w:rtl/>
        </w:rPr>
        <w:t>מכוח החוק</w:t>
      </w:r>
      <w:r w:rsidRPr="00FC1419">
        <w:rPr>
          <w:b/>
          <w:rtl/>
        </w:rPr>
        <w:t xml:space="preserve"> </w:t>
      </w:r>
      <w:r w:rsidRPr="00FC1419">
        <w:rPr>
          <w:rFonts w:hint="cs"/>
          <w:b/>
          <w:rtl/>
        </w:rPr>
        <w:t>הותקנו</w:t>
      </w:r>
      <w:r w:rsidRPr="00FC1419">
        <w:rPr>
          <w:b/>
          <w:rtl/>
        </w:rPr>
        <w:t xml:space="preserve"> תקנות </w:t>
      </w:r>
      <w:r>
        <w:rPr>
          <w:rFonts w:hint="cs"/>
          <w:b/>
          <w:rtl/>
        </w:rPr>
        <w:t xml:space="preserve">שונות ובהן תקנות </w:t>
      </w:r>
      <w:r w:rsidRPr="00FC1419">
        <w:rPr>
          <w:b/>
          <w:rtl/>
        </w:rPr>
        <w:t>שוויון זכויות לאנשים עם מו</w:t>
      </w:r>
      <w:r w:rsidRPr="00FC1419">
        <w:rPr>
          <w:b/>
          <w:rtl/>
        </w:rPr>
        <w:t>גבלות (התאמות נגישות לשירות), התשע"ג-2013</w:t>
      </w:r>
      <w:r w:rsidRPr="00FC1419">
        <w:rPr>
          <w:rFonts w:hint="cs"/>
          <w:b/>
          <w:rtl/>
        </w:rPr>
        <w:t>,</w:t>
      </w:r>
      <w:r w:rsidRPr="00FC1419">
        <w:rPr>
          <w:b/>
          <w:rtl/>
        </w:rPr>
        <w:t xml:space="preserve"> </w:t>
      </w:r>
      <w:r w:rsidRPr="00FC1419">
        <w:rPr>
          <w:rFonts w:hint="cs"/>
          <w:b/>
          <w:rtl/>
        </w:rPr>
        <w:t xml:space="preserve">שמטילות דרישות הנגשה גם על השירות שניתן לציבור בערוצים שונים וביניהם </w:t>
      </w:r>
      <w:r>
        <w:rPr>
          <w:rFonts w:hint="cs"/>
          <w:b/>
          <w:rtl/>
        </w:rPr>
        <w:t>ה</w:t>
      </w:r>
      <w:r w:rsidRPr="00FC1419">
        <w:rPr>
          <w:rFonts w:hint="cs"/>
          <w:b/>
          <w:rtl/>
        </w:rPr>
        <w:t xml:space="preserve">מרשתת </w:t>
      </w:r>
      <w:r w:rsidRPr="00FC1419">
        <w:rPr>
          <w:b/>
          <w:rtl/>
        </w:rPr>
        <w:t>(להלן - התקנות</w:t>
      </w:r>
      <w:r w:rsidRPr="00FC1419">
        <w:rPr>
          <w:rFonts w:hint="cs"/>
          <w:b/>
          <w:rtl/>
        </w:rPr>
        <w:t xml:space="preserve"> או תקנות הנגישות</w:t>
      </w:r>
      <w:r w:rsidRPr="00FC1419">
        <w:rPr>
          <w:b/>
          <w:rtl/>
        </w:rPr>
        <w:t>)</w:t>
      </w:r>
      <w:r w:rsidRPr="00FC1419">
        <w:rPr>
          <w:rFonts w:hint="cs"/>
          <w:b/>
          <w:rtl/>
        </w:rPr>
        <w:t>.</w:t>
      </w:r>
      <w:r w:rsidRPr="00FC1419">
        <w:rPr>
          <w:b/>
          <w:rtl/>
        </w:rPr>
        <w:t xml:space="preserve"> </w:t>
      </w:r>
    </w:p>
    <w:p w:rsidR="00BF1E3B" w:rsidRDefault="00DF6A0A" w:rsidP="00C619CC">
      <w:pPr>
        <w:pStyle w:val="7392"/>
        <w:rPr>
          <w:rtl/>
        </w:rPr>
      </w:pPr>
      <w:r>
        <w:rPr>
          <w:rFonts w:hint="cs"/>
          <w:rtl/>
        </w:rPr>
        <w:t>על פי ההגדרה ב</w:t>
      </w:r>
      <w:r w:rsidRPr="00730B93">
        <w:rPr>
          <w:rtl/>
        </w:rPr>
        <w:t>חוק</w:t>
      </w:r>
      <w:r>
        <w:rPr>
          <w:rFonts w:hint="cs"/>
          <w:rtl/>
        </w:rPr>
        <w:t>, "</w:t>
      </w:r>
      <w:r w:rsidRPr="00730B93">
        <w:rPr>
          <w:rtl/>
        </w:rPr>
        <w:t xml:space="preserve">אדם עם מוגבלות" </w:t>
      </w:r>
      <w:r>
        <w:rPr>
          <w:rFonts w:hint="cs"/>
          <w:rtl/>
        </w:rPr>
        <w:t xml:space="preserve">הוא </w:t>
      </w:r>
      <w:r w:rsidRPr="00730B93">
        <w:rPr>
          <w:rtl/>
        </w:rPr>
        <w:t xml:space="preserve">אדם עם </w:t>
      </w:r>
      <w:r>
        <w:rPr>
          <w:rFonts w:hint="cs"/>
          <w:rtl/>
        </w:rPr>
        <w:t>לקות</w:t>
      </w:r>
      <w:r w:rsidRPr="00730B93">
        <w:rPr>
          <w:rtl/>
        </w:rPr>
        <w:t xml:space="preserve"> פי</w:t>
      </w:r>
      <w:r>
        <w:rPr>
          <w:rFonts w:hint="cs"/>
          <w:rtl/>
        </w:rPr>
        <w:t>ז</w:t>
      </w:r>
      <w:r w:rsidRPr="00730B93">
        <w:rPr>
          <w:rtl/>
        </w:rPr>
        <w:t>ית, נפשית או שכלית לרבות קוגניטיבית, קבועה או ז</w:t>
      </w:r>
      <w:r w:rsidRPr="00730B93">
        <w:rPr>
          <w:rtl/>
        </w:rPr>
        <w:t>מנית, אשר בשלה מוגבל תפקודו באופן מהותי בתחום אחד או יותר מתחומי החיים העיקריים.</w:t>
      </w:r>
      <w:r>
        <w:rPr>
          <w:rFonts w:hint="cs"/>
          <w:rtl/>
        </w:rPr>
        <w:t xml:space="preserve"> </w:t>
      </w:r>
      <w:r w:rsidRPr="00350A76">
        <w:rPr>
          <w:rtl/>
        </w:rPr>
        <w:t xml:space="preserve">שירות נגיש הוא </w:t>
      </w:r>
      <w:r>
        <w:rPr>
          <w:rFonts w:hint="cs"/>
          <w:rtl/>
        </w:rPr>
        <w:t>"</w:t>
      </w:r>
      <w:r w:rsidRPr="00350A76">
        <w:rPr>
          <w:rtl/>
        </w:rPr>
        <w:t>שירות שאנשים עם מוגבלות יכולים לצרוך בצורה עצמאית ומכובדת, יחד עם שאר הציבור (באותו מקום ובאותו זמ</w:t>
      </w:r>
      <w:r w:rsidRPr="00350A76">
        <w:rPr>
          <w:rFonts w:hint="cs"/>
          <w:rtl/>
        </w:rPr>
        <w:t>ן)"</w:t>
      </w:r>
      <w:r>
        <w:rPr>
          <w:rStyle w:val="a8"/>
          <w:rtl/>
        </w:rPr>
        <w:footnoteReference w:id="16"/>
      </w:r>
      <w:r>
        <w:rPr>
          <w:rFonts w:hint="cs"/>
          <w:rtl/>
        </w:rPr>
        <w:t xml:space="preserve">. התאמות נגישות נועדו </w:t>
      </w:r>
      <w:r w:rsidRPr="00076E3A">
        <w:rPr>
          <w:rtl/>
        </w:rPr>
        <w:t>לאפשר לאנשים עם מוגבלות</w:t>
      </w:r>
      <w:r>
        <w:rPr>
          <w:rFonts w:hint="cs"/>
          <w:rtl/>
        </w:rPr>
        <w:t xml:space="preserve"> להגיע למקומות ולהתמצא בהם; לקבל שירותים באופן שוויוני, מכבד, בטיחותי ועצמאי; לקבל התאמות הנגשה במבנים והתאמות שמאפשרות להם להשתתף בפעילויות ולעשות שימוש במתקנים. </w:t>
      </w:r>
      <w:hyperlink r:id="rId40" w:history="1">
        <w:r w:rsidRPr="00102E15">
          <w:rPr>
            <w:rFonts w:hint="cs"/>
            <w:rtl/>
          </w:rPr>
          <w:t>סימן ג'</w:t>
        </w:r>
      </w:hyperlink>
      <w:r w:rsidRPr="00102E15">
        <w:rPr>
          <w:rFonts w:hint="cs"/>
          <w:rtl/>
        </w:rPr>
        <w:t> </w:t>
      </w:r>
      <w:r>
        <w:rPr>
          <w:rFonts w:hint="cs"/>
          <w:rtl/>
        </w:rPr>
        <w:t xml:space="preserve">בפרק ה' </w:t>
      </w:r>
      <w:r w:rsidRPr="00102E15">
        <w:rPr>
          <w:rFonts w:hint="cs"/>
          <w:rtl/>
        </w:rPr>
        <w:t xml:space="preserve">לתקנות עוסק באופן שבו יש </w:t>
      </w:r>
      <w:r w:rsidRPr="00102E15">
        <w:rPr>
          <w:rFonts w:hint="cs"/>
          <w:rtl/>
        </w:rPr>
        <w:t>להנגיש שירותי אינטרנט</w:t>
      </w:r>
      <w:r>
        <w:rPr>
          <w:rFonts w:hint="cs"/>
          <w:rtl/>
        </w:rPr>
        <w:t xml:space="preserve"> (הכוללים </w:t>
      </w:r>
      <w:r w:rsidRPr="00102E15">
        <w:rPr>
          <w:rFonts w:hint="cs"/>
          <w:rtl/>
        </w:rPr>
        <w:t xml:space="preserve">תכנים בכל תצורה המועברים על תשתית רשת האינטרנט והמוצגים למשתמש באמצעות אתרי אינטרנט או יישומים (אפליקציות)) לטובת משתמשים עם מוגבלויות, </w:t>
      </w:r>
      <w:r>
        <w:rPr>
          <w:rFonts w:hint="cs"/>
          <w:rtl/>
        </w:rPr>
        <w:lastRenderedPageBreak/>
        <w:t xml:space="preserve">התקנות </w:t>
      </w:r>
      <w:r w:rsidRPr="00102E15">
        <w:rPr>
          <w:rFonts w:hint="cs"/>
          <w:rtl/>
        </w:rPr>
        <w:t>מאפשרות שהות מסוימת בהנגשת תכנים מסוימים, בין היתר בשל המורכבות הכרוכה בכך.</w:t>
      </w:r>
      <w:r>
        <w:rPr>
          <w:rFonts w:hint="cs"/>
          <w:rtl/>
        </w:rPr>
        <w:t xml:space="preserve"> יצוין </w:t>
      </w:r>
      <w:r>
        <w:rPr>
          <w:rFonts w:hint="cs"/>
          <w:rtl/>
        </w:rPr>
        <w:t xml:space="preserve">כי </w:t>
      </w:r>
      <w:r w:rsidRPr="00350A76">
        <w:rPr>
          <w:rFonts w:hint="cs"/>
          <w:rtl/>
        </w:rPr>
        <w:t xml:space="preserve">קיימות </w:t>
      </w:r>
      <w:r w:rsidRPr="00350A76">
        <w:rPr>
          <w:rtl/>
        </w:rPr>
        <w:t xml:space="preserve">טכנולוגיות </w:t>
      </w:r>
      <w:r w:rsidRPr="00350A76">
        <w:rPr>
          <w:rFonts w:hint="cs"/>
          <w:rtl/>
        </w:rPr>
        <w:t>ה</w:t>
      </w:r>
      <w:r w:rsidRPr="00350A76">
        <w:rPr>
          <w:rtl/>
        </w:rPr>
        <w:t xml:space="preserve">מסייעות </w:t>
      </w:r>
      <w:r w:rsidRPr="00350A76">
        <w:rPr>
          <w:rFonts w:hint="cs"/>
          <w:rtl/>
        </w:rPr>
        <w:t>ל</w:t>
      </w:r>
      <w:r>
        <w:rPr>
          <w:rFonts w:hint="cs"/>
          <w:rtl/>
        </w:rPr>
        <w:t>הנגשתו של השירות הדיגיטלי ל</w:t>
      </w:r>
      <w:r w:rsidRPr="00350A76">
        <w:rPr>
          <w:rFonts w:hint="cs"/>
          <w:rtl/>
        </w:rPr>
        <w:t>אנשים</w:t>
      </w:r>
      <w:r>
        <w:rPr>
          <w:rFonts w:hint="cs"/>
          <w:rtl/>
        </w:rPr>
        <w:t xml:space="preserve"> עם מוגבלויות שונות</w:t>
      </w:r>
      <w:r>
        <w:rPr>
          <w:rStyle w:val="a8"/>
          <w:rtl/>
        </w:rPr>
        <w:footnoteReference w:id="17"/>
      </w:r>
      <w:r>
        <w:rPr>
          <w:rFonts w:hint="cs"/>
          <w:rtl/>
        </w:rPr>
        <w:t>.</w:t>
      </w:r>
    </w:p>
    <w:p w:rsidR="00BF1E3B" w:rsidRPr="00102E15" w:rsidRDefault="00DF6A0A" w:rsidP="00006C1F">
      <w:pPr>
        <w:pStyle w:val="7392"/>
        <w:rPr>
          <w:rtl/>
        </w:rPr>
      </w:pPr>
      <w:r>
        <w:rPr>
          <w:rFonts w:hint="cs"/>
          <w:rtl/>
        </w:rPr>
        <w:t>במטרה</w:t>
      </w:r>
      <w:r w:rsidRPr="00102E15">
        <w:rPr>
          <w:rFonts w:hint="cs"/>
          <w:rtl/>
        </w:rPr>
        <w:t xml:space="preserve"> להבטיח כי שירותים המוצעים על ידי רשויות המדינה יונגשו בהתאם לדין, פורסמה הנחיית ראש רשות התקשוב הממשלתי </w:t>
      </w:r>
      <w:r>
        <w:rPr>
          <w:rFonts w:hint="cs"/>
          <w:rtl/>
        </w:rPr>
        <w:t>בנושא</w:t>
      </w:r>
      <w:r w:rsidRPr="00102E15">
        <w:rPr>
          <w:rFonts w:hint="cs"/>
          <w:rtl/>
        </w:rPr>
        <w:t xml:space="preserve"> "הנגשת שירותים דיגיטליים חדשים לאנשים עם מוגבלות"</w:t>
      </w:r>
      <w:r>
        <w:rPr>
          <w:vertAlign w:val="superscript"/>
          <w:rtl/>
        </w:rPr>
        <w:footnoteReference w:id="18"/>
      </w:r>
      <w:r>
        <w:rPr>
          <w:rFonts w:hint="cs"/>
          <w:rtl/>
        </w:rPr>
        <w:t xml:space="preserve"> </w:t>
      </w:r>
      <w:r w:rsidRPr="00102E15">
        <w:rPr>
          <w:rFonts w:hint="cs"/>
          <w:rtl/>
        </w:rPr>
        <w:t xml:space="preserve">אשר </w:t>
      </w:r>
      <w:r w:rsidRPr="00102E15">
        <w:rPr>
          <w:rFonts w:hint="cs"/>
          <w:rtl/>
        </w:rPr>
        <w:t xml:space="preserve">נועדה להבטיח כי רשויות המדינה תשקודנה על פיתוח ורכש מערכות ושירותים טכנולוגיים "באופן שיהיו נגישים לאנשים עם מוגבלות בהתאם לתקנות הנגישות". </w:t>
      </w:r>
      <w:r>
        <w:rPr>
          <w:rFonts w:hint="cs"/>
          <w:rtl/>
        </w:rPr>
        <w:t>בהנחיה הובהר בין היתר</w:t>
      </w:r>
      <w:r w:rsidRPr="00102E15">
        <w:rPr>
          <w:rFonts w:hint="cs"/>
          <w:rtl/>
        </w:rPr>
        <w:t xml:space="preserve"> כי:</w:t>
      </w:r>
      <w:r>
        <w:rPr>
          <w:rFonts w:hint="cs"/>
          <w:rtl/>
        </w:rPr>
        <w:t xml:space="preserve"> </w:t>
      </w:r>
      <w:r w:rsidRPr="00102E15">
        <w:rPr>
          <w:rFonts w:hint="cs"/>
          <w:rtl/>
        </w:rPr>
        <w:t>"כדי שציבור האנשים עם מוגבלות יוכל לקבל שירות באמצעות האינטרנט כשאר הציבור, יש לבצע התאמות</w:t>
      </w:r>
      <w:r w:rsidRPr="00102E15">
        <w:rPr>
          <w:rFonts w:hint="cs"/>
          <w:rtl/>
        </w:rPr>
        <w:t xml:space="preserve"> באתרים ובאפליקציות המספקים את השירות או המידע, בין אם בפיתוח מקומי ובין אם בפיתוח על ידי ספק שירות חיצוני, בהתאם לפרק ה' סימן ג' ל</w:t>
      </w:r>
      <w:hyperlink r:id="rId41" w:history="1">
        <w:r w:rsidRPr="00102E15">
          <w:rPr>
            <w:rFonts w:hint="cs"/>
            <w:rtl/>
          </w:rPr>
          <w:t>תקנות שוויון</w:t>
        </w:r>
      </w:hyperlink>
      <w:r>
        <w:rPr>
          <w:rFonts w:hint="cs"/>
          <w:rtl/>
        </w:rPr>
        <w:t xml:space="preserve"> </w:t>
      </w:r>
      <w:hyperlink r:id="rId42" w:history="1">
        <w:r w:rsidRPr="00102E15">
          <w:rPr>
            <w:rFonts w:hint="cs"/>
            <w:rtl/>
          </w:rPr>
          <w:t xml:space="preserve">זכויות לאנשים </w:t>
        </w:r>
        <w:r w:rsidRPr="00102E15">
          <w:rPr>
            <w:rFonts w:hint="cs"/>
            <w:rtl/>
          </w:rPr>
          <w:t>עם מוגבלות (התאמות נגישות לשירות)</w:t>
        </w:r>
      </w:hyperlink>
      <w:r w:rsidRPr="00102E15">
        <w:rPr>
          <w:rFonts w:hint="cs"/>
          <w:rtl/>
        </w:rPr>
        <w:t>, התשע"ג</w:t>
      </w:r>
      <w:r>
        <w:rPr>
          <w:rFonts w:hint="cs"/>
          <w:rtl/>
        </w:rPr>
        <w:t>-</w:t>
      </w:r>
      <w:r w:rsidRPr="00102E15">
        <w:rPr>
          <w:rFonts w:hint="cs"/>
          <w:rtl/>
        </w:rPr>
        <w:t>2013... התאמות הנגישות מאפשרות לאנשים עם מוגבלויות שונות לעשות שימוש אפקטיבי בשירותים ובמידע המוצעים באתר".</w:t>
      </w:r>
    </w:p>
    <w:p w:rsidR="00BF1E3B" w:rsidRDefault="00DF6A0A" w:rsidP="00C619CC">
      <w:pPr>
        <w:pStyle w:val="7392"/>
        <w:rPr>
          <w:rtl/>
        </w:rPr>
      </w:pPr>
      <w:r w:rsidRPr="00C619CC">
        <w:rPr>
          <w:rStyle w:val="7371"/>
          <w:rFonts w:hint="eastAsia"/>
          <w:rtl/>
        </w:rPr>
        <w:t>נציבות</w:t>
      </w:r>
      <w:r w:rsidRPr="00C619CC">
        <w:rPr>
          <w:rStyle w:val="7371"/>
          <w:rtl/>
        </w:rPr>
        <w:t xml:space="preserve"> </w:t>
      </w:r>
      <w:r w:rsidRPr="00C619CC">
        <w:rPr>
          <w:rStyle w:val="7371"/>
          <w:rFonts w:hint="eastAsia"/>
          <w:rtl/>
        </w:rPr>
        <w:t>שוויון</w:t>
      </w:r>
      <w:r w:rsidRPr="00C619CC">
        <w:rPr>
          <w:rStyle w:val="7371"/>
          <w:rtl/>
        </w:rPr>
        <w:t xml:space="preserve"> </w:t>
      </w:r>
      <w:r w:rsidRPr="00C619CC">
        <w:rPr>
          <w:rStyle w:val="7371"/>
          <w:rFonts w:hint="eastAsia"/>
          <w:rtl/>
        </w:rPr>
        <w:t>זכויות</w:t>
      </w:r>
      <w:r w:rsidRPr="00C619CC">
        <w:rPr>
          <w:rStyle w:val="7371"/>
          <w:rtl/>
        </w:rPr>
        <w:t xml:space="preserve"> </w:t>
      </w:r>
      <w:r w:rsidRPr="00C619CC">
        <w:rPr>
          <w:rStyle w:val="7371"/>
          <w:rFonts w:hint="eastAsia"/>
          <w:rtl/>
        </w:rPr>
        <w:t>לאנשים</w:t>
      </w:r>
      <w:r w:rsidRPr="00C619CC">
        <w:rPr>
          <w:rStyle w:val="7371"/>
          <w:rtl/>
        </w:rPr>
        <w:t xml:space="preserve"> </w:t>
      </w:r>
      <w:r w:rsidRPr="00C619CC">
        <w:rPr>
          <w:rStyle w:val="7371"/>
          <w:rFonts w:hint="eastAsia"/>
          <w:rtl/>
        </w:rPr>
        <w:t>עם</w:t>
      </w:r>
      <w:r w:rsidRPr="00C619CC">
        <w:rPr>
          <w:rStyle w:val="7371"/>
          <w:rtl/>
        </w:rPr>
        <w:t xml:space="preserve"> </w:t>
      </w:r>
      <w:r w:rsidRPr="00C619CC">
        <w:rPr>
          <w:rStyle w:val="7371"/>
          <w:rFonts w:hint="eastAsia"/>
          <w:rtl/>
        </w:rPr>
        <w:t>מוגבלות</w:t>
      </w:r>
      <w:r w:rsidRPr="00C619CC">
        <w:rPr>
          <w:rStyle w:val="7371"/>
          <w:rFonts w:hint="cs"/>
          <w:rtl/>
        </w:rPr>
        <w:t xml:space="preserve"> </w:t>
      </w:r>
      <w:r w:rsidRPr="00350A76">
        <w:rPr>
          <w:rFonts w:hint="cs"/>
          <w:rtl/>
        </w:rPr>
        <w:t xml:space="preserve">(להלן - </w:t>
      </w:r>
      <w:r>
        <w:rPr>
          <w:rFonts w:hint="cs"/>
          <w:rtl/>
        </w:rPr>
        <w:t>ה</w:t>
      </w:r>
      <w:r w:rsidRPr="00350A76">
        <w:rPr>
          <w:rFonts w:hint="cs"/>
          <w:rtl/>
        </w:rPr>
        <w:t>נציבות לשוויון</w:t>
      </w:r>
      <w:r>
        <w:rPr>
          <w:rFonts w:hint="cs"/>
          <w:rtl/>
        </w:rPr>
        <w:t xml:space="preserve"> או הנציבות</w:t>
      </w:r>
      <w:r w:rsidRPr="00350A76">
        <w:rPr>
          <w:rFonts w:hint="cs"/>
          <w:rtl/>
        </w:rPr>
        <w:t>)</w:t>
      </w:r>
      <w:r w:rsidRPr="00350A76">
        <w:rPr>
          <w:rtl/>
        </w:rPr>
        <w:t xml:space="preserve"> </w:t>
      </w:r>
      <w:r>
        <w:rPr>
          <w:rFonts w:hint="cs"/>
          <w:rtl/>
        </w:rPr>
        <w:t>הוקמה מכוח החוק בשנת 2000</w:t>
      </w:r>
      <w:r w:rsidRPr="00350A76">
        <w:rPr>
          <w:rtl/>
        </w:rPr>
        <w:t xml:space="preserve"> במשרד</w:t>
      </w:r>
      <w:r w:rsidRPr="00350A76">
        <w:rPr>
          <w:rtl/>
        </w:rPr>
        <w:t xml:space="preserve"> המשפטים</w:t>
      </w:r>
      <w:r>
        <w:rPr>
          <w:rFonts w:hint="cs"/>
          <w:rtl/>
        </w:rPr>
        <w:t>. תפקידיה פורטו בסעיף 21 לחוק ונקבע כי הנציבות תפעל: לקידום עקרונות היסוד של החוק, לקידום שוויון ולמניעת הפליה של אנשים עם מוגבלות, לעידוד השתלבותם והשתתפותם הפעילה של אנשים עם מוגבלות בחברה, ולמילוי התפקידים שהוטלו עליה בחוק. בנוסף היא פועלת במטרה</w:t>
      </w:r>
      <w:r>
        <w:rPr>
          <w:rFonts w:hint="cs"/>
          <w:rtl/>
        </w:rPr>
        <w:t xml:space="preserve"> לצמצם את הפער בין מציאות חייהם בפועל של אנשים עם מוגבלות לבין הזכויות והשירות שהם זכאים לו</w:t>
      </w:r>
      <w:r w:rsidRPr="00350A76">
        <w:rPr>
          <w:rtl/>
        </w:rPr>
        <w:t xml:space="preserve"> </w:t>
      </w:r>
      <w:r w:rsidRPr="00350A76">
        <w:rPr>
          <w:rFonts w:hint="cs"/>
          <w:rtl/>
        </w:rPr>
        <w:t xml:space="preserve">על פי </w:t>
      </w:r>
      <w:r w:rsidRPr="00350A76">
        <w:rPr>
          <w:rtl/>
        </w:rPr>
        <w:t xml:space="preserve">עקרונות השוויון וכבוד האדם. </w:t>
      </w:r>
      <w:r>
        <w:rPr>
          <w:rFonts w:hint="cs"/>
          <w:rtl/>
        </w:rPr>
        <w:t xml:space="preserve">בין תפקידי הנציבות קידום וייזום חקיקה והסברה בנושא זכויות אנשים עם מוגבלות, הטמעת עקרונות אמנת האו"ם ואכיפת תקנות הנגישות. </w:t>
      </w:r>
    </w:p>
    <w:p w:rsidR="00BF1E3B" w:rsidRDefault="00DF6A0A" w:rsidP="00C619CC">
      <w:pPr>
        <w:pStyle w:val="7392"/>
        <w:rPr>
          <w:rtl/>
        </w:rPr>
      </w:pPr>
      <w:r w:rsidRPr="00C619CC">
        <w:rPr>
          <w:rStyle w:val="7371"/>
          <w:rFonts w:hint="eastAsia"/>
          <w:rtl/>
        </w:rPr>
        <w:t>מערך</w:t>
      </w:r>
      <w:r w:rsidRPr="00C619CC">
        <w:rPr>
          <w:rStyle w:val="7371"/>
          <w:rtl/>
        </w:rPr>
        <w:t xml:space="preserve"> </w:t>
      </w:r>
      <w:r w:rsidRPr="00C619CC">
        <w:rPr>
          <w:rStyle w:val="7371"/>
          <w:rFonts w:hint="eastAsia"/>
          <w:rtl/>
        </w:rPr>
        <w:t>הדיגיטל</w:t>
      </w:r>
      <w:r w:rsidRPr="00C619CC">
        <w:rPr>
          <w:rStyle w:val="7371"/>
          <w:rtl/>
        </w:rPr>
        <w:t xml:space="preserve"> </w:t>
      </w:r>
      <w:r w:rsidRPr="00C619CC">
        <w:rPr>
          <w:rStyle w:val="7371"/>
          <w:rFonts w:hint="eastAsia"/>
          <w:rtl/>
        </w:rPr>
        <w:t>הלאומי</w:t>
      </w:r>
      <w:r w:rsidRPr="00C619CC">
        <w:rPr>
          <w:rStyle w:val="7371"/>
          <w:rFonts w:hint="cs"/>
          <w:rtl/>
        </w:rPr>
        <w:t>:</w:t>
      </w:r>
      <w:r>
        <w:rPr>
          <w:rFonts w:hint="cs"/>
          <w:rtl/>
        </w:rPr>
        <w:t xml:space="preserve"> ב</w:t>
      </w:r>
      <w:r w:rsidRPr="00F60A0D">
        <w:rPr>
          <w:rFonts w:hint="cs"/>
          <w:rtl/>
        </w:rPr>
        <w:t>ראשית העשור הקודם ה</w:t>
      </w:r>
      <w:r>
        <w:rPr>
          <w:rFonts w:hint="cs"/>
          <w:rtl/>
        </w:rPr>
        <w:t xml:space="preserve">קימה הממשלה </w:t>
      </w:r>
      <w:r w:rsidRPr="00F60A0D">
        <w:rPr>
          <w:rFonts w:hint="cs"/>
          <w:rtl/>
        </w:rPr>
        <w:t xml:space="preserve">מטה תקשוב ממשלתי שעליו הוטלו משימות בתחומי </w:t>
      </w:r>
      <w:r w:rsidRPr="00F60A0D">
        <w:rPr>
          <w:rtl/>
        </w:rPr>
        <w:t>פיתוח ותחזוק</w:t>
      </w:r>
      <w:r w:rsidRPr="00F60A0D">
        <w:rPr>
          <w:rFonts w:hint="cs"/>
          <w:rtl/>
        </w:rPr>
        <w:t>ה של</w:t>
      </w:r>
      <w:r w:rsidRPr="00F60A0D">
        <w:rPr>
          <w:rtl/>
        </w:rPr>
        <w:t xml:space="preserve"> מערכות רוחביות</w:t>
      </w:r>
      <w:r w:rsidRPr="00F60A0D">
        <w:rPr>
          <w:rFonts w:hint="cs"/>
          <w:rtl/>
        </w:rPr>
        <w:t xml:space="preserve"> של גופי הממשל.</w:t>
      </w:r>
      <w:r>
        <w:rPr>
          <w:rFonts w:hint="cs"/>
          <w:rtl/>
        </w:rPr>
        <w:t xml:space="preserve"> </w:t>
      </w:r>
      <w:r w:rsidRPr="00F60A0D">
        <w:rPr>
          <w:rtl/>
        </w:rPr>
        <w:t>ב</w:t>
      </w:r>
      <w:r>
        <w:rPr>
          <w:rFonts w:hint="cs"/>
          <w:rtl/>
        </w:rPr>
        <w:t>שנת 2014 ה</w:t>
      </w:r>
      <w:r w:rsidRPr="00F60A0D">
        <w:rPr>
          <w:rtl/>
        </w:rPr>
        <w:t>חליטה הממשלה</w:t>
      </w:r>
      <w:r>
        <w:rPr>
          <w:rFonts w:hint="cs"/>
          <w:rtl/>
        </w:rPr>
        <w:t xml:space="preserve"> </w:t>
      </w:r>
      <w:r w:rsidRPr="00F60A0D">
        <w:rPr>
          <w:rtl/>
        </w:rPr>
        <w:t xml:space="preserve">על העברת מטה התקשוב הממשלתי לאחריות משרד ראש הממשלה </w:t>
      </w:r>
      <w:r>
        <w:rPr>
          <w:rFonts w:hint="cs"/>
          <w:rtl/>
        </w:rPr>
        <w:t xml:space="preserve">והגדירה אותו </w:t>
      </w:r>
      <w:r w:rsidRPr="00F60A0D">
        <w:rPr>
          <w:rtl/>
        </w:rPr>
        <w:t>מחדש כ"רשות התקשוב הממשלתי"</w:t>
      </w:r>
      <w:r>
        <w:rPr>
          <w:rStyle w:val="a8"/>
          <w:rtl/>
        </w:rPr>
        <w:footnoteReference w:id="19"/>
      </w:r>
      <w:r>
        <w:rPr>
          <w:rFonts w:hint="cs"/>
          <w:rtl/>
        </w:rPr>
        <w:t>.</w:t>
      </w:r>
      <w:r w:rsidRPr="00F60A0D">
        <w:rPr>
          <w:rFonts w:hint="cs"/>
          <w:rtl/>
        </w:rPr>
        <w:t xml:space="preserve"> </w:t>
      </w:r>
      <w:r>
        <w:rPr>
          <w:rFonts w:hint="cs"/>
          <w:rtl/>
        </w:rPr>
        <w:t xml:space="preserve">במסגרת החלטה זו נקבע כי </w:t>
      </w:r>
      <w:r w:rsidRPr="00511FBD">
        <w:rPr>
          <w:rtl/>
        </w:rPr>
        <w:t>רשות התקשוב הממשלתי</w:t>
      </w:r>
      <w:r>
        <w:rPr>
          <w:rFonts w:hint="cs"/>
          <w:rtl/>
        </w:rPr>
        <w:t xml:space="preserve"> </w:t>
      </w:r>
      <w:r w:rsidRPr="00511FBD">
        <w:rPr>
          <w:rtl/>
        </w:rPr>
        <w:t>תנחה את אגפי מערכות המידע במשרדי הממשלה ויחידות הסמך, תקדם משילות בתחום התקשוב בממשלה, תטמיע מתודולוגיות וסטנדרטים רוחביים ותפעל לפיתוח תשתיות, מערכות ושירותים לייעול עבודת הממשלה ולהנגש</w:t>
      </w:r>
      <w:r>
        <w:rPr>
          <w:rFonts w:hint="cs"/>
          <w:rtl/>
        </w:rPr>
        <w:t>ת</w:t>
      </w:r>
      <w:r w:rsidRPr="00511FBD">
        <w:rPr>
          <w:rtl/>
        </w:rPr>
        <w:t xml:space="preserve"> מידע ושירותים ממשלתיים </w:t>
      </w:r>
      <w:r w:rsidRPr="00511FBD">
        <w:rPr>
          <w:rtl/>
        </w:rPr>
        <w:t>לציבור</w:t>
      </w:r>
      <w:r>
        <w:rPr>
          <w:rStyle w:val="a8"/>
          <w:rtl/>
        </w:rPr>
        <w:footnoteReference w:id="20"/>
      </w:r>
      <w:r w:rsidRPr="00511FBD">
        <w:rPr>
          <w:rtl/>
        </w:rPr>
        <w:t>.</w:t>
      </w:r>
      <w:r>
        <w:rPr>
          <w:rFonts w:hint="cs"/>
          <w:rtl/>
        </w:rPr>
        <w:t xml:space="preserve"> בהחלטת הממשלה נקבע כי </w:t>
      </w:r>
      <w:r w:rsidRPr="00C05E08">
        <w:rPr>
          <w:rtl/>
        </w:rPr>
        <w:t>יוקם אתר אחוד לכלל משרדי הממשלה</w:t>
      </w:r>
      <w:r>
        <w:rPr>
          <w:rFonts w:hint="cs"/>
          <w:rtl/>
        </w:rPr>
        <w:t xml:space="preserve"> כדי שהציבור יוכל לצרוך ב</w:t>
      </w:r>
      <w:r w:rsidRPr="00C05E08">
        <w:rPr>
          <w:rtl/>
        </w:rPr>
        <w:t xml:space="preserve">צורה נוחה ופשוטה את השירותים </w:t>
      </w:r>
      <w:r>
        <w:rPr>
          <w:rFonts w:hint="cs"/>
          <w:rtl/>
        </w:rPr>
        <w:t>ה</w:t>
      </w:r>
      <w:r w:rsidRPr="00C05E08">
        <w:rPr>
          <w:rtl/>
        </w:rPr>
        <w:t xml:space="preserve">ממשלתיים. </w:t>
      </w:r>
      <w:r>
        <w:rPr>
          <w:rFonts w:hint="cs"/>
          <w:rtl/>
        </w:rPr>
        <w:t xml:space="preserve">ברשות התקשוב הממשלתי פועלת יחידת ממשל זמין שבמסגרת עבודתה מפתחת ומתחזקת את האתר האחוד שמספק תשתית </w:t>
      </w:r>
      <w:r>
        <w:rPr>
          <w:rFonts w:hint="cs"/>
          <w:rtl/>
        </w:rPr>
        <w:lastRenderedPageBreak/>
        <w:t>אינטרנטית לגופי ממשל - משרדי ממ</w:t>
      </w:r>
      <w:r>
        <w:rPr>
          <w:rFonts w:hint="cs"/>
          <w:rtl/>
        </w:rPr>
        <w:t>שלה וגופים אחרים</w:t>
      </w:r>
      <w:r>
        <w:rPr>
          <w:rStyle w:val="a8"/>
          <w:rtl/>
        </w:rPr>
        <w:footnoteReference w:id="21"/>
      </w:r>
      <w:r>
        <w:rPr>
          <w:rFonts w:hint="cs"/>
          <w:rtl/>
        </w:rPr>
        <w:t xml:space="preserve"> (להלן - האתר הממשלתי האחוד או פלטפורמת </w:t>
      </w:r>
      <w:r>
        <w:t>gov.il</w:t>
      </w:r>
      <w:r>
        <w:rPr>
          <w:rFonts w:hint="cs"/>
          <w:rtl/>
        </w:rPr>
        <w:t xml:space="preserve">). </w:t>
      </w:r>
    </w:p>
    <w:p w:rsidR="00BF1E3B" w:rsidRDefault="00DF6A0A" w:rsidP="00C619CC">
      <w:pPr>
        <w:pStyle w:val="7392"/>
        <w:rPr>
          <w:rtl/>
        </w:rPr>
      </w:pPr>
      <w:r>
        <w:rPr>
          <w:rFonts w:hint="cs"/>
          <w:rtl/>
        </w:rPr>
        <w:t>בשנת 2013 החליטה הממשלה</w:t>
      </w:r>
      <w:r>
        <w:rPr>
          <w:rStyle w:val="a8"/>
          <w:rtl/>
        </w:rPr>
        <w:footnoteReference w:id="22"/>
      </w:r>
      <w:r>
        <w:rPr>
          <w:rFonts w:hint="cs"/>
          <w:rtl/>
        </w:rPr>
        <w:t xml:space="preserve"> </w:t>
      </w:r>
      <w:r w:rsidRPr="00F660D2">
        <w:rPr>
          <w:rtl/>
        </w:rPr>
        <w:t>להקים את המיזם הלאומי "ישראל דיגיטלית"</w:t>
      </w:r>
      <w:r>
        <w:rPr>
          <w:rFonts w:hint="cs"/>
          <w:rtl/>
        </w:rPr>
        <w:t xml:space="preserve">. בין היעדים והמשימות שנקבעו למיזם: </w:t>
      </w:r>
      <w:r w:rsidRPr="00F660D2">
        <w:rPr>
          <w:rtl/>
        </w:rPr>
        <w:t>פיתוח חדשנות ואספקת שירותים ציבוריים חדשניים, איכותיים ויעילים המותאמים למאה ה-21 ושימוש ב</w:t>
      </w:r>
      <w:r w:rsidRPr="00F660D2">
        <w:rPr>
          <w:rtl/>
        </w:rPr>
        <w:t xml:space="preserve">אמצעים מקוונים לשיפור ולייעול של השירות הניתן לאזרח </w:t>
      </w:r>
      <w:r>
        <w:rPr>
          <w:rFonts w:hint="cs"/>
          <w:rtl/>
        </w:rPr>
        <w:t>ול</w:t>
      </w:r>
      <w:r w:rsidRPr="00F660D2">
        <w:rPr>
          <w:rtl/>
        </w:rPr>
        <w:t>צמצום הבירוקרטיה</w:t>
      </w:r>
      <w:r>
        <w:rPr>
          <w:rFonts w:hint="cs"/>
          <w:rtl/>
        </w:rPr>
        <w:t>. עוד נקבע כי יבוצעו במסגרת המיזם פעולות ל</w:t>
      </w:r>
      <w:r w:rsidRPr="00F660D2">
        <w:rPr>
          <w:rtl/>
        </w:rPr>
        <w:t>קידום אוריינות דיגיטלית בציבור.</w:t>
      </w:r>
      <w:r>
        <w:rPr>
          <w:rFonts w:hint="cs"/>
          <w:rtl/>
        </w:rPr>
        <w:t xml:space="preserve"> בשנת 2021 החליטה הממשלה</w:t>
      </w:r>
      <w:r>
        <w:rPr>
          <w:rStyle w:val="a8"/>
          <w:rtl/>
        </w:rPr>
        <w:footnoteReference w:id="23"/>
      </w:r>
      <w:r>
        <w:rPr>
          <w:rFonts w:hint="cs"/>
          <w:rtl/>
        </w:rPr>
        <w:t xml:space="preserve"> על הקמת </w:t>
      </w:r>
      <w:r w:rsidRPr="00E46ED7">
        <w:rPr>
          <w:rtl/>
        </w:rPr>
        <w:t>מערך הדיגיטל הלאומי</w:t>
      </w:r>
      <w:r>
        <w:rPr>
          <w:rFonts w:hint="cs"/>
          <w:rtl/>
        </w:rPr>
        <w:t xml:space="preserve"> במשרד הכלכלה והתעשייה, שיכלול את רשות התקשוב ואת המיזם הלאו</w:t>
      </w:r>
      <w:r>
        <w:rPr>
          <w:rFonts w:hint="cs"/>
          <w:rtl/>
        </w:rPr>
        <w:t>מי "ישראל דיגיטלית". על פי נתוני מערך הדיגיטל הלאומי המעודכנים לשנת 2022, 85% מן הגופים הממשלתיים מפעילים אתרי מרשתת שמספקים מידע ושירות לציבור על תשתית האתר הממשלתי האחוד.</w:t>
      </w:r>
    </w:p>
    <w:p w:rsidR="00BF1E3B" w:rsidRPr="00F1061F" w:rsidRDefault="00DF6A0A" w:rsidP="00C619CC">
      <w:pPr>
        <w:pStyle w:val="7392"/>
        <w:rPr>
          <w:rtl/>
        </w:rPr>
      </w:pPr>
      <w:r w:rsidRPr="00F1061F">
        <w:rPr>
          <w:rtl/>
        </w:rPr>
        <w:t xml:space="preserve">האתר הממשלתי האחוד נמצא באחריות מערך הדיגיטל הלאומי והוקם מכוח החלטת הממשלה משנת 2014 במטרה לספק לציבור דרך נוחה ופשוטה לצריכת המידע והשירותים הממשלתיים. האתר האחוד מארח אתרי מרשתת של גופים ממשלתיים ומספק להם תשתית אינטרנטית אחידה שפיתוחה נשען על סטנדרטים </w:t>
      </w:r>
      <w:r w:rsidRPr="00F1061F">
        <w:rPr>
          <w:rtl/>
        </w:rPr>
        <w:t xml:space="preserve">המחייבים את הגופים הממשלתיים, לרבות בתחום ההנגשה. בתשתית שמספק האתר הממשלתי האחוד הוטמעו התאמות נגישות מסוימות, כגון, ניגודיות של צבעי מלל בהשוואה לצבעי רקע ויכולת הגדלת תצוגה, על פי דרישות הנגישות </w:t>
      </w:r>
      <w:r w:rsidRPr="00D015AB">
        <w:rPr>
          <w:rtl/>
        </w:rPr>
        <w:t xml:space="preserve">המחייבות את גופי הממשל. עם זאת, יש היבטים של הנגשה במרשתת </w:t>
      </w:r>
      <w:r w:rsidRPr="00D015AB">
        <w:rPr>
          <w:rtl/>
        </w:rPr>
        <w:t>שנמצאים באחריות הגוף הממשלתי שמשתמש בתשתית האתר האחוד. למשל, אם גוף ממשלתי מבקש לפרסם באתר המרשתת שלו מסמך</w:t>
      </w:r>
      <w:r w:rsidRPr="00D015AB">
        <w:rPr>
          <w:rFonts w:hint="cs"/>
          <w:rtl/>
        </w:rPr>
        <w:t xml:space="preserve"> </w:t>
      </w:r>
      <w:r w:rsidRPr="00D015AB">
        <w:t>pdf</w:t>
      </w:r>
      <w:r>
        <w:rPr>
          <w:rtl/>
        </w:rPr>
        <w:t xml:space="preserve"> </w:t>
      </w:r>
      <w:r w:rsidRPr="00F1061F">
        <w:rPr>
          <w:rtl/>
        </w:rPr>
        <w:t>עליו להנגישו בעצמו, שכן אם לא יעשה כן המסמך שיפורסם יהיה לא נגיש, גם אם הוא נמצא באתר המרשתת שפועל על תשתית האתר האחוד</w:t>
      </w:r>
      <w:r>
        <w:rPr>
          <w:rStyle w:val="a8"/>
          <w:rtl/>
        </w:rPr>
        <w:footnoteReference w:id="24"/>
      </w:r>
      <w:r w:rsidRPr="00F1061F">
        <w:rPr>
          <w:rtl/>
        </w:rPr>
        <w:t xml:space="preserve">. </w:t>
      </w:r>
    </w:p>
    <w:p w:rsidR="00BF1E3B" w:rsidRPr="00B74C6A" w:rsidRDefault="00DF6A0A" w:rsidP="00B74C6A">
      <w:pPr>
        <w:pStyle w:val="73414"/>
        <w:rPr>
          <w:rtl/>
        </w:rPr>
      </w:pPr>
      <w:r w:rsidRPr="00B74C6A">
        <w:rPr>
          <w:rtl/>
        </w:rPr>
        <w:t>הנגשת השירות הממשלתי</w:t>
      </w:r>
      <w:r w:rsidRPr="00B74C6A">
        <w:rPr>
          <w:rFonts w:hint="cs"/>
          <w:rtl/>
        </w:rPr>
        <w:t xml:space="preserve"> בע</w:t>
      </w:r>
      <w:r w:rsidRPr="00B74C6A">
        <w:rPr>
          <w:rFonts w:hint="cs"/>
          <w:rtl/>
        </w:rPr>
        <w:t xml:space="preserve">ידן הדיגיטלי </w:t>
      </w:r>
      <w:r w:rsidRPr="00B74C6A">
        <w:rPr>
          <w:rtl/>
        </w:rPr>
        <w:t>לציבור שאינו משתמש במדיה הדיגיטלית</w:t>
      </w:r>
    </w:p>
    <w:p w:rsidR="00BF1E3B" w:rsidRPr="00A3587A" w:rsidRDefault="00DF6A0A" w:rsidP="00C619CC">
      <w:pPr>
        <w:pStyle w:val="7392"/>
        <w:rPr>
          <w:sz w:val="24"/>
          <w:rtl/>
        </w:rPr>
      </w:pPr>
      <w:r>
        <w:rPr>
          <w:rFonts w:hint="cs"/>
          <w:rtl/>
        </w:rPr>
        <w:t>במהלך השנים האחרונות התפתח השימוש במרשתת והתרחב מאוד בקרב הציבור בישראל</w:t>
      </w:r>
      <w:r>
        <w:rPr>
          <w:rStyle w:val="a8"/>
          <w:rFonts w:ascii="David" w:hAnsi="David"/>
          <w:rtl/>
        </w:rPr>
        <w:footnoteReference w:id="25"/>
      </w:r>
      <w:r>
        <w:rPr>
          <w:rFonts w:hint="cs"/>
          <w:rtl/>
        </w:rPr>
        <w:t>. הדבר בא לידי ביטוי, כאמור, גם בהרחבת השירותים הממשלתיים שניתנים בערוצים הדיגיטליים. עם זאת, בקרב הציבור בישראל יש שתי קבוצות שבהן שיעו</w:t>
      </w:r>
      <w:r>
        <w:rPr>
          <w:rFonts w:hint="cs"/>
          <w:rtl/>
        </w:rPr>
        <w:t>ר השימוש במרשתת נמוך בהשוואה לשימוש בה באוכלוסייה הכללית - הגיל השלישי והחברה החרדית. בכל הנוגע לחברה הערבית העלו נתוני הלמ"ס כי השימוש במרשתת לצרכים כגון רשתות חברתיות ולימודים דומה לזה שבאוכלוסייה הכללית, אך השימוש בה לצריכת שירותים ממשלתיים נמוך יותר. ש</w:t>
      </w:r>
      <w:r>
        <w:rPr>
          <w:rFonts w:hint="cs"/>
          <w:rtl/>
        </w:rPr>
        <w:t xml:space="preserve">ימוש נמוך יותר במרשתת וכן שימוש נמוך בה לצריכת שירותים ממשלתיים </w:t>
      </w:r>
      <w:r>
        <w:rPr>
          <w:rFonts w:hint="cs"/>
          <w:sz w:val="24"/>
          <w:rtl/>
        </w:rPr>
        <w:t xml:space="preserve">יכולים לנבוע מסיבות שונות, </w:t>
      </w:r>
      <w:r>
        <w:rPr>
          <w:rFonts w:hint="cs"/>
          <w:sz w:val="24"/>
          <w:rtl/>
        </w:rPr>
        <w:lastRenderedPageBreak/>
        <w:t>ביניהן פער</w:t>
      </w:r>
      <w:r w:rsidRPr="00A3587A">
        <w:rPr>
          <w:sz w:val="24"/>
          <w:rtl/>
        </w:rPr>
        <w:t xml:space="preserve"> דיגיטלי</w:t>
      </w:r>
      <w:r>
        <w:rPr>
          <w:sz w:val="24"/>
          <w:vertAlign w:val="superscript"/>
          <w:rtl/>
        </w:rPr>
        <w:footnoteReference w:id="26"/>
      </w:r>
      <w:r w:rsidRPr="00A3587A">
        <w:rPr>
          <w:sz w:val="24"/>
          <w:rtl/>
        </w:rPr>
        <w:t>,</w:t>
      </w:r>
      <w:r>
        <w:rPr>
          <w:rFonts w:hint="cs"/>
          <w:sz w:val="24"/>
          <w:rtl/>
        </w:rPr>
        <w:t xml:space="preserve"> הימנעות משימוש</w:t>
      </w:r>
      <w:r w:rsidRPr="00A3587A">
        <w:rPr>
          <w:sz w:val="24"/>
          <w:rtl/>
        </w:rPr>
        <w:t xml:space="preserve"> במרשתת </w:t>
      </w:r>
      <w:r>
        <w:rPr>
          <w:rFonts w:hint="cs"/>
          <w:sz w:val="24"/>
          <w:rtl/>
        </w:rPr>
        <w:t xml:space="preserve">מסיבות תרבויות או דתיות </w:t>
      </w:r>
      <w:r w:rsidRPr="00A3587A">
        <w:rPr>
          <w:sz w:val="24"/>
          <w:rtl/>
        </w:rPr>
        <w:t>(</w:t>
      </w:r>
      <w:r>
        <w:rPr>
          <w:rFonts w:hint="cs"/>
          <w:sz w:val="24"/>
          <w:rtl/>
        </w:rPr>
        <w:t xml:space="preserve">למשל כדי לא </w:t>
      </w:r>
      <w:r w:rsidRPr="00A3587A">
        <w:rPr>
          <w:sz w:val="24"/>
          <w:rtl/>
        </w:rPr>
        <w:t xml:space="preserve">להיחשף לתכנים </w:t>
      </w:r>
      <w:r>
        <w:rPr>
          <w:rFonts w:hint="cs"/>
          <w:sz w:val="24"/>
          <w:rtl/>
        </w:rPr>
        <w:t xml:space="preserve">מסוימים שיש </w:t>
      </w:r>
      <w:r w:rsidRPr="00A3587A">
        <w:rPr>
          <w:sz w:val="24"/>
          <w:rtl/>
        </w:rPr>
        <w:t xml:space="preserve">בה), </w:t>
      </w:r>
      <w:r>
        <w:rPr>
          <w:rFonts w:hint="cs"/>
          <w:sz w:val="24"/>
          <w:rtl/>
        </w:rPr>
        <w:t xml:space="preserve">שליטה לא מספקת בשפה העברית, </w:t>
      </w:r>
      <w:r w:rsidRPr="00A3587A">
        <w:rPr>
          <w:sz w:val="24"/>
          <w:rtl/>
        </w:rPr>
        <w:t>ה</w:t>
      </w:r>
      <w:r>
        <w:rPr>
          <w:rFonts w:hint="cs"/>
          <w:sz w:val="24"/>
          <w:rtl/>
        </w:rPr>
        <w:t>י</w:t>
      </w:r>
      <w:r w:rsidRPr="00A3587A">
        <w:rPr>
          <w:sz w:val="24"/>
          <w:rtl/>
        </w:rPr>
        <w:t xml:space="preserve">עדר כרטיס אשראי </w:t>
      </w:r>
      <w:r>
        <w:rPr>
          <w:rFonts w:hint="cs"/>
          <w:sz w:val="24"/>
          <w:rtl/>
        </w:rPr>
        <w:t>שנדרש לב</w:t>
      </w:r>
      <w:r>
        <w:rPr>
          <w:rFonts w:hint="cs"/>
          <w:sz w:val="24"/>
          <w:rtl/>
        </w:rPr>
        <w:t xml:space="preserve">יצוע תשלומים מקוונים באתרים הממשלתיים, חשש להזין לאתרים במרשתת, גם אם הם ממשלתיים, פרטים אישיים ופיננסיים, או העדר ידע על השירותים שניתנים במרשתת. </w:t>
      </w:r>
    </w:p>
    <w:p w:rsidR="00BF1E3B" w:rsidRDefault="00DF6A0A" w:rsidP="00C619CC">
      <w:pPr>
        <w:pStyle w:val="7392"/>
        <w:rPr>
          <w:bCs/>
          <w:rtl/>
        </w:rPr>
      </w:pPr>
      <w:r>
        <w:rPr>
          <w:rFonts w:hint="cs"/>
          <w:rtl/>
        </w:rPr>
        <w:t>בהתאם לאמור נדרשים הגופים הממשלתיים בעידן הדיגיטלי לספק מידע ושירותים לציבור גם בערוצי השירות המסורתיים - שי</w:t>
      </w:r>
      <w:r>
        <w:rPr>
          <w:rFonts w:hint="cs"/>
          <w:rtl/>
        </w:rPr>
        <w:t xml:space="preserve">רות פרונטלי של פקידים בלשכות קבלת קהל, מענה טלפוני וערוץ תקשורת בדואר. </w:t>
      </w:r>
    </w:p>
    <w:p w:rsidR="00BF1E3B" w:rsidRPr="00B74C6A" w:rsidRDefault="00DF6A0A" w:rsidP="00B74C6A">
      <w:pPr>
        <w:pStyle w:val="733155"/>
        <w:rPr>
          <w:rtl/>
        </w:rPr>
      </w:pPr>
      <w:r w:rsidRPr="00B74C6A">
        <w:rPr>
          <w:rFonts w:hint="cs"/>
          <w:rtl/>
        </w:rPr>
        <w:t xml:space="preserve">פעולות הביקורת </w:t>
      </w:r>
    </w:p>
    <w:p w:rsidR="00BF1E3B" w:rsidRDefault="00DF6A0A" w:rsidP="00C619CC">
      <w:pPr>
        <w:pStyle w:val="7392"/>
        <w:rPr>
          <w:rtl/>
        </w:rPr>
      </w:pPr>
      <w:r>
        <w:rPr>
          <w:rtl/>
        </w:rPr>
        <w:t>בחודשים</w:t>
      </w:r>
      <w:r>
        <w:rPr>
          <w:rFonts w:hint="cs"/>
          <w:rtl/>
        </w:rPr>
        <w:t xml:space="preserve"> ינואר</w:t>
      </w:r>
      <w:r>
        <w:rPr>
          <w:rtl/>
        </w:rPr>
        <w:t>-</w:t>
      </w:r>
      <w:r>
        <w:rPr>
          <w:rFonts w:hint="cs"/>
          <w:rtl/>
        </w:rPr>
        <w:t>אוקטובר 2022</w:t>
      </w:r>
      <w:r>
        <w:rPr>
          <w:rtl/>
        </w:rPr>
        <w:t xml:space="preserve"> בדק משרד מבקר המדינה</w:t>
      </w:r>
      <w:r>
        <w:rPr>
          <w:rFonts w:hint="cs"/>
          <w:rtl/>
        </w:rPr>
        <w:t xml:space="preserve"> את הנגשת השירותים הממשלתיים בקשר לשני נושאים: הנגשת השירותים הממשלתיים הדיגיטליים לאנשים עם מוגבלות והנגשת השירות הממשלת</w:t>
      </w:r>
      <w:r>
        <w:rPr>
          <w:rFonts w:hint="cs"/>
          <w:rtl/>
        </w:rPr>
        <w:t xml:space="preserve">י בעידן הדיגיטלי </w:t>
      </w:r>
      <w:r w:rsidRPr="005F31A8">
        <w:rPr>
          <w:rtl/>
        </w:rPr>
        <w:t>לציבור שאינו משתמש במדיה הדיגיטלית</w:t>
      </w:r>
      <w:r>
        <w:rPr>
          <w:rFonts w:hint="cs"/>
          <w:rtl/>
        </w:rPr>
        <w:t>. בתרשים 3 פירוט נושאי הביקורת, סוגי הגופים המבוקרים והמתודולוגיה שבה נעשה שימוש בביקורת זו.</w:t>
      </w:r>
    </w:p>
    <w:p w:rsidR="00BF1E3B" w:rsidRPr="00CE385C" w:rsidRDefault="00DF6A0A" w:rsidP="00F43DB2">
      <w:pPr>
        <w:pStyle w:val="738"/>
        <w:rPr>
          <w:rtl/>
        </w:rPr>
      </w:pPr>
      <w:r>
        <w:rPr>
          <w:noProof/>
        </w:rPr>
        <w:lastRenderedPageBreak/>
        <w:drawing>
          <wp:anchor distT="0" distB="0" distL="114300" distR="114300" simplePos="0" relativeHeight="251748352" behindDoc="0" locked="0" layoutInCell="1" allowOverlap="1">
            <wp:simplePos x="0" y="0"/>
            <wp:positionH relativeFrom="column">
              <wp:posOffset>-7620</wp:posOffset>
            </wp:positionH>
            <wp:positionV relativeFrom="paragraph">
              <wp:posOffset>442889</wp:posOffset>
            </wp:positionV>
            <wp:extent cx="4631690" cy="5763895"/>
            <wp:effectExtent l="0" t="0" r="3810" b="1905"/>
            <wp:wrapTopAndBottom/>
            <wp:docPr id="57" name="תמונה 57" descr="הגופים שבהם התבצעו הבדיקות: מערך הדיגיטל הלאומי, נציבות שוויון זכויות לאנשים עם מוגבלות, גופי ממשל. הבדיקה בגופי הממשל נעשתה כדלקמן: נבדקו אתרי מרשתת של 14 גופי ממשל (בגוף אחד, הנהלת בתיהמשפט, נבדקו שני אתרי מרשתת, כך שבסך הכול נבדקו 15 אתרי מרשתת); עוד נבדקה הנגשתם הדיגיטלית של 16 דפי שירות ממשלתיים מהנצפים ביותר על ידי הציבור; כמו כן, נעשה סקר שבמסגרתו נשלח שאלון ועליו השיבו 23 גופי ממשל. נוסף על כך נעשו שתי פעולות של שיתוף ציבור: סקר שהופץ במרשתת בקרב אנשים עם מוגבלות המשתמשים במרשתת, ועליו השיבו 527 אנשים; וסקר טלפוני שנעשה בקרב אנשים (מכלל האוכלוסייה) שממעטים לצרוך שירותי ממשל במרשתת או אינם צורכים אותם כלל,  ועליו השיבו 301 אנשים מקרב קבוצות האוכלוסייה האלה (שליש מכל קבוצה):  בני 60 ומעלה, החברה הערבית, החברה היהודית-חרד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תמונה 57"/>
                    <pic:cNvPicPr/>
                  </pic:nvPicPr>
                  <pic:blipFill>
                    <a:blip r:embed="rId24" cstate="print">
                      <a:extLst>
                        <a:ext uri="{28A0092B-C50C-407E-A947-70E740481C1C}">
                          <a14:useLocalDpi xmlns:a14="http://schemas.microsoft.com/office/drawing/2010/main" val="0"/>
                        </a:ext>
                      </a:extLst>
                    </a:blip>
                    <a:srcRect l="959" r="959"/>
                    <a:stretch>
                      <a:fillRect/>
                    </a:stretch>
                  </pic:blipFill>
                  <pic:spPr bwMode="auto">
                    <a:xfrm>
                      <a:off x="0" y="0"/>
                      <a:ext cx="4631690" cy="5763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3DB2">
        <w:rPr>
          <w:rFonts w:hint="cs"/>
          <w:b w:val="0"/>
          <w:bCs w:val="0"/>
          <w:rtl/>
        </w:rPr>
        <w:t>תרשים 3:</w:t>
      </w:r>
      <w:r>
        <w:rPr>
          <w:rFonts w:hint="cs"/>
          <w:rtl/>
        </w:rPr>
        <w:t xml:space="preserve"> </w:t>
      </w:r>
      <w:r w:rsidRPr="004C48AC">
        <w:rPr>
          <w:rtl/>
        </w:rPr>
        <w:t>פירוט נושאי הביקורת, סוגי הגופים המבוקרים והמתודולוגיה, 2022</w:t>
      </w:r>
    </w:p>
    <w:p w:rsidR="00BF1E3B" w:rsidRPr="00F43DB2" w:rsidRDefault="00DF6A0A" w:rsidP="000A7431">
      <w:pPr>
        <w:pStyle w:val="73e"/>
        <w:spacing w:before="360" w:after="0"/>
      </w:pPr>
      <w:r w:rsidRPr="00F43DB2">
        <w:rPr>
          <w:rFonts w:hint="cs"/>
          <w:rtl/>
        </w:rPr>
        <w:t xml:space="preserve">הוכן בידי משרד מבקר המדינה.  </w:t>
      </w:r>
    </w:p>
    <w:p w:rsidR="00BF1E3B" w:rsidRPr="00F43DB2" w:rsidRDefault="00DF6A0A" w:rsidP="00F43DB2">
      <w:pPr>
        <w:pStyle w:val="73e"/>
        <w:spacing w:before="0"/>
        <w:rPr>
          <w:spacing w:val="-4"/>
          <w:rtl/>
        </w:rPr>
      </w:pPr>
      <w:r w:rsidRPr="00F43DB2">
        <w:rPr>
          <w:spacing w:val="-4"/>
          <w:rtl/>
        </w:rPr>
        <w:t>ד</w:t>
      </w:r>
      <w:r w:rsidRPr="00F43DB2">
        <w:rPr>
          <w:rFonts w:hint="cs"/>
          <w:spacing w:val="-4"/>
          <w:rtl/>
        </w:rPr>
        <w:t>ף ש</w:t>
      </w:r>
      <w:r w:rsidRPr="00F43DB2">
        <w:rPr>
          <w:spacing w:val="-4"/>
          <w:rtl/>
        </w:rPr>
        <w:t>ירות</w:t>
      </w:r>
      <w:r w:rsidRPr="00F43DB2">
        <w:rPr>
          <w:rFonts w:hint="cs"/>
          <w:spacing w:val="-4"/>
          <w:rtl/>
        </w:rPr>
        <w:t xml:space="preserve"> שנמצא באתרי מרשתת</w:t>
      </w:r>
      <w:r w:rsidRPr="00F43DB2">
        <w:rPr>
          <w:spacing w:val="-4"/>
          <w:rtl/>
        </w:rPr>
        <w:t xml:space="preserve"> </w:t>
      </w:r>
      <w:r w:rsidRPr="00F43DB2">
        <w:rPr>
          <w:rFonts w:hint="cs"/>
          <w:spacing w:val="-4"/>
          <w:rtl/>
        </w:rPr>
        <w:t>הוא דף מקדים עבור המשתמש, לפני המעבר לשירות הדיגיטלי עצמו. הדף כולל הסבר על מהות השירות, פירוט של המסמכים או של התנאים הנדרשים לביצוע השירות ועוד. המעבר מדף השירות אל השירות עצמו נעשה על ידי לחיצה על הרכיב "כפתור פעולה" או על ידי קישור (</w:t>
      </w:r>
      <w:r w:rsidRPr="00F43DB2">
        <w:rPr>
          <w:spacing w:val="-4"/>
        </w:rPr>
        <w:t>link</w:t>
      </w:r>
      <w:r w:rsidRPr="00F43DB2">
        <w:rPr>
          <w:rFonts w:hint="cs"/>
          <w:spacing w:val="-4"/>
          <w:rtl/>
        </w:rPr>
        <w:t xml:space="preserve">). </w:t>
      </w:r>
    </w:p>
    <w:p w:rsidR="00BF1E3B" w:rsidRDefault="00DF6A0A" w:rsidP="00C619CC">
      <w:pPr>
        <w:pStyle w:val="7392"/>
        <w:rPr>
          <w:rtl/>
        </w:rPr>
      </w:pPr>
      <w:r>
        <w:rPr>
          <w:rFonts w:hint="cs"/>
          <w:rtl/>
        </w:rPr>
        <w:lastRenderedPageBreak/>
        <w:t xml:space="preserve">גופי ממשל שנבדקו אתרי המרשתת שלהם או שהשיבו על הסקר שעשה משרד מבקר המדינה הם: </w:t>
      </w:r>
      <w:r w:rsidRPr="001A34D7">
        <w:rPr>
          <w:rtl/>
        </w:rPr>
        <w:t>ה</w:t>
      </w:r>
      <w:r>
        <w:rPr>
          <w:rFonts w:hint="cs"/>
          <w:rtl/>
        </w:rPr>
        <w:t>מוסד ל</w:t>
      </w:r>
      <w:r w:rsidRPr="001A34D7">
        <w:rPr>
          <w:rtl/>
        </w:rPr>
        <w:t xml:space="preserve">ביטוח הלאומי, המשרד לשירותי דת, הסוכנות לעסקים קטנים ובינוניים - משרד הכלכלה, ועדת הבחירות המרכזית, </w:t>
      </w:r>
      <w:r>
        <w:rPr>
          <w:rFonts w:hint="cs"/>
          <w:rtl/>
        </w:rPr>
        <w:t>כנסת ישראל, מערכת בתי המשפט (אתרי מרשתת של בית המשפט העליון והנ</w:t>
      </w:r>
      <w:r>
        <w:rPr>
          <w:rFonts w:hint="cs"/>
          <w:rtl/>
        </w:rPr>
        <w:t xml:space="preserve">הלת בתי המשפט), </w:t>
      </w:r>
      <w:r w:rsidRPr="001A34D7">
        <w:rPr>
          <w:rtl/>
        </w:rPr>
        <w:t xml:space="preserve">משטרת ישראל, </w:t>
      </w:r>
      <w:r>
        <w:rPr>
          <w:rFonts w:hint="cs"/>
          <w:rtl/>
        </w:rPr>
        <w:t xml:space="preserve">משרד הביטחון (אתר המרשתת של אגף שיקום נכים), </w:t>
      </w:r>
      <w:r w:rsidRPr="001A34D7">
        <w:rPr>
          <w:rtl/>
        </w:rPr>
        <w:t>משרד הבינוי והשיכון, משרד הבריאות, משרד החוץ, משרד החינוך, משרד החקלאות ופיתוח הכפר, משרד המשפטים, משרד הפנים, משרד הרווחה והביטחון החברתי, משרד התחבורה</w:t>
      </w:r>
      <w:r>
        <w:rPr>
          <w:rFonts w:hint="cs"/>
          <w:rtl/>
        </w:rPr>
        <w:t xml:space="preserve"> והבטיחות בדרכים</w:t>
      </w:r>
      <w:r w:rsidRPr="001A34D7">
        <w:rPr>
          <w:rtl/>
        </w:rPr>
        <w:t>, משרד התיירות</w:t>
      </w:r>
      <w:r w:rsidRPr="001A34D7">
        <w:rPr>
          <w:rtl/>
        </w:rPr>
        <w:t xml:space="preserve">, </w:t>
      </w:r>
      <w:r>
        <w:rPr>
          <w:rFonts w:hint="cs"/>
          <w:rtl/>
        </w:rPr>
        <w:t>צה"ל (אתר יחידת מיטב)</w:t>
      </w:r>
      <w:r>
        <w:rPr>
          <w:rStyle w:val="a8"/>
          <w:rtl/>
        </w:rPr>
        <w:footnoteReference w:id="27"/>
      </w:r>
      <w:r>
        <w:rPr>
          <w:rFonts w:hint="cs"/>
          <w:rtl/>
        </w:rPr>
        <w:t xml:space="preserve">, </w:t>
      </w:r>
      <w:r w:rsidRPr="001A34D7">
        <w:rPr>
          <w:rtl/>
        </w:rPr>
        <w:t xml:space="preserve">רכבת ישראל, רשות האכיפה והגבייה, </w:t>
      </w:r>
      <w:r>
        <w:rPr>
          <w:rFonts w:hint="cs"/>
          <w:rtl/>
        </w:rPr>
        <w:t xml:space="preserve">רשות האוכלוסין וההגירה, </w:t>
      </w:r>
      <w:r w:rsidRPr="001A34D7">
        <w:rPr>
          <w:rtl/>
        </w:rPr>
        <w:t>רשות הטבע והגנים, רשות המ</w:t>
      </w:r>
      <w:r>
        <w:rPr>
          <w:rFonts w:hint="cs"/>
          <w:rtl/>
        </w:rPr>
        <w:t>י</w:t>
      </w:r>
      <w:r w:rsidRPr="001A34D7">
        <w:rPr>
          <w:rtl/>
        </w:rPr>
        <w:t>סים, רשות מקרקעי ישראל, רשות ניירות ערך</w:t>
      </w:r>
      <w:r>
        <w:rPr>
          <w:rFonts w:hint="cs"/>
          <w:rtl/>
        </w:rPr>
        <w:t>,</w:t>
      </w:r>
      <w:r w:rsidRPr="001A34D7">
        <w:rPr>
          <w:rtl/>
        </w:rPr>
        <w:t xml:space="preserve"> רשות שדות התעופה</w:t>
      </w:r>
      <w:r>
        <w:rPr>
          <w:rFonts w:hint="cs"/>
          <w:rtl/>
        </w:rPr>
        <w:t xml:space="preserve"> ורשות התעסוקה</w:t>
      </w:r>
      <w:r w:rsidRPr="001A34D7">
        <w:rPr>
          <w:rtl/>
        </w:rPr>
        <w:t>.</w:t>
      </w:r>
      <w:r>
        <w:rPr>
          <w:rFonts w:hint="cs"/>
          <w:rtl/>
        </w:rPr>
        <w:t xml:space="preserve"> </w:t>
      </w:r>
    </w:p>
    <w:p w:rsidR="00BF1E3B" w:rsidRDefault="00DF6A0A" w:rsidP="00C619CC">
      <w:pPr>
        <w:pStyle w:val="7392"/>
        <w:rPr>
          <w:b/>
          <w:bCs/>
          <w:sz w:val="22"/>
          <w:szCs w:val="28"/>
          <w:rtl/>
        </w:rPr>
      </w:pPr>
      <w:r>
        <w:rPr>
          <w:rFonts w:hint="cs"/>
          <w:rtl/>
        </w:rPr>
        <w:t>בשנים האחרונות ביצע</w:t>
      </w:r>
      <w:r w:rsidRPr="00350A76">
        <w:rPr>
          <w:rFonts w:hint="cs"/>
          <w:rtl/>
        </w:rPr>
        <w:t xml:space="preserve"> </w:t>
      </w:r>
      <w:r>
        <w:rPr>
          <w:rFonts w:hint="cs"/>
          <w:rtl/>
        </w:rPr>
        <w:t xml:space="preserve">משרד </w:t>
      </w:r>
      <w:r w:rsidRPr="00350A76">
        <w:rPr>
          <w:rFonts w:hint="cs"/>
          <w:rtl/>
        </w:rPr>
        <w:t xml:space="preserve">מבקר המדינה </w:t>
      </w:r>
      <w:r>
        <w:rPr>
          <w:rFonts w:hint="cs"/>
          <w:rtl/>
        </w:rPr>
        <w:t>מספר ביקורות שהתייחסו ל</w:t>
      </w:r>
      <w:r w:rsidRPr="00350A76">
        <w:rPr>
          <w:rFonts w:hint="cs"/>
          <w:rtl/>
        </w:rPr>
        <w:t xml:space="preserve">פעולותיהם של </w:t>
      </w:r>
      <w:r>
        <w:rPr>
          <w:rFonts w:hint="cs"/>
          <w:rtl/>
        </w:rPr>
        <w:t xml:space="preserve">גופי ממשל כדי </w:t>
      </w:r>
      <w:r w:rsidRPr="00350A76">
        <w:rPr>
          <w:rFonts w:hint="cs"/>
          <w:rtl/>
        </w:rPr>
        <w:t>ל</w:t>
      </w:r>
      <w:r>
        <w:rPr>
          <w:rFonts w:hint="cs"/>
          <w:rtl/>
        </w:rPr>
        <w:t xml:space="preserve">ספק </w:t>
      </w:r>
      <w:r w:rsidRPr="00350A76">
        <w:rPr>
          <w:rFonts w:hint="cs"/>
          <w:rtl/>
        </w:rPr>
        <w:t>שירות</w:t>
      </w:r>
      <w:r>
        <w:rPr>
          <w:rFonts w:hint="cs"/>
          <w:rtl/>
        </w:rPr>
        <w:t xml:space="preserve"> </w:t>
      </w:r>
      <w:r w:rsidRPr="00350A76">
        <w:rPr>
          <w:rFonts w:hint="cs"/>
          <w:rtl/>
        </w:rPr>
        <w:t>לאנשים עם מוגבלות</w:t>
      </w:r>
      <w:r>
        <w:rPr>
          <w:rFonts w:hint="cs"/>
          <w:rtl/>
        </w:rPr>
        <w:t>, בין היתר בהקשר של ניהול הליכים משפטיים, שילוב בתעסוקה וכן הנגשת שירותים מקוונים ברשויות המקומיות</w:t>
      </w:r>
      <w:r>
        <w:rPr>
          <w:rStyle w:val="a8"/>
          <w:rtl/>
        </w:rPr>
        <w:footnoteReference w:id="28"/>
      </w:r>
      <w:r>
        <w:rPr>
          <w:rFonts w:hint="cs"/>
          <w:rtl/>
        </w:rPr>
        <w:t>.</w:t>
      </w:r>
    </w:p>
    <w:p w:rsidR="00BF1E3B" w:rsidRPr="00637A48" w:rsidRDefault="00DF6A0A" w:rsidP="00637A48">
      <w:pPr>
        <w:pStyle w:val="7320"/>
        <w:rPr>
          <w:rtl/>
        </w:rPr>
      </w:pPr>
      <w:r w:rsidRPr="00637A48">
        <w:rPr>
          <w:rFonts w:hint="cs"/>
          <w:rtl/>
        </w:rPr>
        <w:t>חלק ראשון: נגישות השירותים הממשלתיים הדיגיטליים לאנשים עם מוגבלות</w:t>
      </w:r>
    </w:p>
    <w:p w:rsidR="00BF1E3B" w:rsidRPr="00A258A4" w:rsidRDefault="00DF6A0A" w:rsidP="00C619CC">
      <w:pPr>
        <w:pStyle w:val="7392"/>
        <w:rPr>
          <w:rtl/>
        </w:rPr>
      </w:pPr>
      <w:r w:rsidRPr="00A258A4">
        <w:rPr>
          <w:rFonts w:hint="cs"/>
          <w:rtl/>
        </w:rPr>
        <w:t>בשנת 2020 היו בישראל כ-1.6 מיליו</w:t>
      </w:r>
      <w:r w:rsidRPr="00A258A4">
        <w:rPr>
          <w:rFonts w:hint="eastAsia"/>
          <w:rtl/>
        </w:rPr>
        <w:t>ן</w:t>
      </w:r>
      <w:r w:rsidRPr="00A258A4">
        <w:rPr>
          <w:rFonts w:hint="cs"/>
          <w:rtl/>
        </w:rPr>
        <w:t xml:space="preserve"> אנשים עם מוגבלות, כ-17% מן האוכלוסייה</w:t>
      </w:r>
      <w:r>
        <w:rPr>
          <w:rStyle w:val="a8"/>
          <w:rtl/>
        </w:rPr>
        <w:footnoteReference w:id="29"/>
      </w:r>
      <w:r w:rsidRPr="00A258A4">
        <w:rPr>
          <w:rFonts w:hint="cs"/>
          <w:rtl/>
        </w:rPr>
        <w:t xml:space="preserve">. בתרשים </w:t>
      </w:r>
      <w:r>
        <w:rPr>
          <w:rFonts w:hint="cs"/>
          <w:rtl/>
        </w:rPr>
        <w:t xml:space="preserve">4 להלן </w:t>
      </w:r>
      <w:r w:rsidRPr="00A258A4">
        <w:rPr>
          <w:rFonts w:hint="cs"/>
          <w:rtl/>
        </w:rPr>
        <w:t xml:space="preserve">נתונים </w:t>
      </w:r>
      <w:r>
        <w:rPr>
          <w:rFonts w:hint="cs"/>
          <w:rtl/>
        </w:rPr>
        <w:t>הנוגעים</w:t>
      </w:r>
      <w:r w:rsidRPr="00A258A4">
        <w:rPr>
          <w:rFonts w:hint="cs"/>
          <w:rtl/>
        </w:rPr>
        <w:t xml:space="preserve"> </w:t>
      </w:r>
      <w:r>
        <w:rPr>
          <w:rFonts w:hint="cs"/>
          <w:rtl/>
        </w:rPr>
        <w:t>ל</w:t>
      </w:r>
      <w:r w:rsidRPr="00A258A4">
        <w:rPr>
          <w:rFonts w:hint="cs"/>
          <w:rtl/>
        </w:rPr>
        <w:t>אנשים עם מוגבלות בישראל בחלוקה לקבוצות גיל</w:t>
      </w:r>
      <w:r>
        <w:rPr>
          <w:rStyle w:val="a8"/>
          <w:rtl/>
        </w:rPr>
        <w:footnoteReference w:id="30"/>
      </w:r>
      <w:r>
        <w:rPr>
          <w:rFonts w:hint="cs"/>
          <w:rtl/>
        </w:rPr>
        <w:t>.</w:t>
      </w:r>
    </w:p>
    <w:p w:rsidR="00BF1E3B" w:rsidRPr="00C92787" w:rsidRDefault="00DF6A0A" w:rsidP="00C92787">
      <w:pPr>
        <w:pStyle w:val="738"/>
        <w:rPr>
          <w:rtl/>
        </w:rPr>
      </w:pPr>
      <w:r w:rsidRPr="00A75C4A">
        <w:rPr>
          <w:noProof/>
        </w:rPr>
        <w:lastRenderedPageBreak/>
        <w:drawing>
          <wp:anchor distT="0" distB="0" distL="114300" distR="114300" simplePos="0" relativeHeight="251734016" behindDoc="0" locked="0" layoutInCell="1" allowOverlap="1">
            <wp:simplePos x="0" y="0"/>
            <wp:positionH relativeFrom="column">
              <wp:posOffset>-62598</wp:posOffset>
            </wp:positionH>
            <wp:positionV relativeFrom="paragraph">
              <wp:posOffset>466880</wp:posOffset>
            </wp:positionV>
            <wp:extent cx="4736465" cy="2785110"/>
            <wp:effectExtent l="0" t="0" r="635" b="0"/>
            <wp:wrapTopAndBottom/>
            <wp:docPr id="2052770951" name="תמונה 2052770951" descr="על פי התרשים בישראל כ-1.6 מיליון אנשים עם מוגבלות, מהם 326,000 ילדים עד גיל 18, שהם 20% מהאנשים עם מוגבלות וכ-11% מהילדים בישראל; 751,000 בני 18 - 64, שהם 47% מהאנשים עם מוגבלות וכ-16% מהאנשים בקבוצת הגיל; 525,000 בני 65 ומעלה, שהם 33% מהאנשים עם מוגבלות וכ-47% מהאנשים מקבוצת הגיל הז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1" name="תמונה 2052770951"/>
                    <pic:cNvPicPr/>
                  </pic:nvPicPr>
                  <pic:blipFill>
                    <a:blip r:embed="rId20">
                      <a:extLst>
                        <a:ext uri="{28A0092B-C50C-407E-A947-70E740481C1C}">
                          <a14:useLocalDpi xmlns:a14="http://schemas.microsoft.com/office/drawing/2010/main" val="0"/>
                        </a:ext>
                      </a:extLst>
                    </a:blip>
                    <a:srcRect l="6744" r="619"/>
                    <a:stretch>
                      <a:fillRect/>
                    </a:stretch>
                  </pic:blipFill>
                  <pic:spPr bwMode="auto">
                    <a:xfrm>
                      <a:off x="0" y="0"/>
                      <a:ext cx="4736465" cy="278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2787">
        <w:rPr>
          <w:rFonts w:hint="eastAsia"/>
          <w:b w:val="0"/>
          <w:bCs w:val="0"/>
          <w:rtl/>
        </w:rPr>
        <w:t>תרשים</w:t>
      </w:r>
      <w:r w:rsidRPr="00C92787">
        <w:rPr>
          <w:b w:val="0"/>
          <w:bCs w:val="0"/>
          <w:rtl/>
        </w:rPr>
        <w:t xml:space="preserve"> </w:t>
      </w:r>
      <w:r w:rsidRPr="00C92787">
        <w:rPr>
          <w:rFonts w:hint="cs"/>
          <w:b w:val="0"/>
          <w:bCs w:val="0"/>
          <w:rtl/>
        </w:rPr>
        <w:t>4</w:t>
      </w:r>
      <w:r w:rsidRPr="00C92787">
        <w:rPr>
          <w:b w:val="0"/>
          <w:bCs w:val="0"/>
          <w:rtl/>
        </w:rPr>
        <w:t>:</w:t>
      </w:r>
      <w:r w:rsidRPr="00C92787">
        <w:rPr>
          <w:rtl/>
        </w:rPr>
        <w:t xml:space="preserve"> </w:t>
      </w:r>
      <w:r w:rsidR="00F25780" w:rsidRPr="00F25780">
        <w:rPr>
          <w:rtl/>
        </w:rPr>
        <w:t>אנשים עם מוגבלות בישראל, אומדנים תלת-שנתיים</w:t>
      </w:r>
      <w:r w:rsidR="00F25780">
        <w:rPr>
          <w:rtl/>
        </w:rPr>
        <w:br/>
      </w:r>
      <w:r w:rsidR="00F25780" w:rsidRPr="00F25780">
        <w:rPr>
          <w:rtl/>
        </w:rPr>
        <w:t>(2018 - 2020)</w:t>
      </w:r>
    </w:p>
    <w:p w:rsidR="00BF1E3B" w:rsidRDefault="00DF6A0A" w:rsidP="00006C1F">
      <w:pPr>
        <w:pStyle w:val="73e"/>
        <w:spacing w:before="360" w:after="0"/>
        <w:rPr>
          <w:rtl/>
        </w:rPr>
      </w:pPr>
      <w:r>
        <w:rPr>
          <w:rFonts w:hint="cs"/>
          <w:rtl/>
        </w:rPr>
        <w:t>על פי נתוני</w:t>
      </w:r>
      <w:r w:rsidRPr="00D11A57">
        <w:rPr>
          <w:rFonts w:hint="cs"/>
          <w:rtl/>
        </w:rPr>
        <w:t xml:space="preserve"> מאיירס </w:t>
      </w:r>
      <w:r w:rsidR="00CE5079">
        <w:rPr>
          <w:rFonts w:hint="cs"/>
          <w:rtl/>
        </w:rPr>
        <w:t>ג</w:t>
      </w:r>
      <w:r w:rsidR="00CE5079">
        <w:rPr>
          <w:rtl/>
        </w:rPr>
        <w:t>'</w:t>
      </w:r>
      <w:r w:rsidR="00CE5079">
        <w:rPr>
          <w:rFonts w:hint="cs"/>
          <w:rtl/>
        </w:rPr>
        <w:t>וינט</w:t>
      </w:r>
      <w:r w:rsidRPr="00D11A57">
        <w:rPr>
          <w:rFonts w:hint="cs"/>
          <w:rtl/>
        </w:rPr>
        <w:t xml:space="preserve"> ברוקדייל</w:t>
      </w:r>
      <w:r>
        <w:rPr>
          <w:rStyle w:val="a8"/>
          <w:rtl/>
        </w:rPr>
        <w:footnoteReference w:id="31"/>
      </w:r>
      <w:r w:rsidRPr="00D11A57">
        <w:rPr>
          <w:rFonts w:hint="cs"/>
          <w:rtl/>
        </w:rPr>
        <w:t xml:space="preserve">, בעיבוד משרד מבקר המדינה. </w:t>
      </w:r>
    </w:p>
    <w:p w:rsidR="00BF1E3B" w:rsidRPr="00D11A57" w:rsidRDefault="00DF6A0A" w:rsidP="00C92787">
      <w:pPr>
        <w:pStyle w:val="73e"/>
        <w:spacing w:before="0"/>
        <w:rPr>
          <w:rtl/>
        </w:rPr>
      </w:pPr>
      <w:r>
        <w:rPr>
          <w:rFonts w:hint="cs"/>
          <w:rtl/>
        </w:rPr>
        <w:t xml:space="preserve">(ההערה על האומדנים שנעשו היא במקור). </w:t>
      </w:r>
    </w:p>
    <w:p w:rsidR="00BF1E3B" w:rsidRPr="00350A76" w:rsidRDefault="00DF6A0A" w:rsidP="00C619CC">
      <w:pPr>
        <w:pStyle w:val="7392"/>
        <w:rPr>
          <w:rtl/>
        </w:rPr>
      </w:pPr>
      <w:r>
        <w:rPr>
          <w:rFonts w:hint="cs"/>
          <w:rtl/>
        </w:rPr>
        <w:t xml:space="preserve">בתרשים להלן </w:t>
      </w:r>
      <w:r w:rsidRPr="00350A76">
        <w:rPr>
          <w:rFonts w:hint="cs"/>
          <w:rtl/>
        </w:rPr>
        <w:t>נתונים</w:t>
      </w:r>
      <w:r>
        <w:rPr>
          <w:rFonts w:hint="cs"/>
          <w:rtl/>
        </w:rPr>
        <w:t xml:space="preserve"> על השימוש של אנשים עם מוגבלות במרשתת לצרכים שונים לעומת השימוש של אנשים ללא מוגבלות, נכון לשנת </w:t>
      </w:r>
      <w:r w:rsidRPr="00350A76">
        <w:rPr>
          <w:rFonts w:hint="cs"/>
          <w:rtl/>
        </w:rPr>
        <w:t>2019</w:t>
      </w:r>
      <w:r>
        <w:rPr>
          <w:rStyle w:val="a8"/>
          <w:rtl/>
        </w:rPr>
        <w:footnoteReference w:id="32"/>
      </w:r>
      <w:r w:rsidRPr="00350A76">
        <w:rPr>
          <w:rFonts w:hint="cs"/>
          <w:rtl/>
        </w:rPr>
        <w:t>:</w:t>
      </w:r>
    </w:p>
    <w:p w:rsidR="00BF1E3B" w:rsidRPr="00C92787" w:rsidRDefault="00DF6A0A" w:rsidP="00C92787">
      <w:pPr>
        <w:pStyle w:val="738"/>
        <w:rPr>
          <w:rtl/>
        </w:rPr>
      </w:pPr>
      <w:r w:rsidRPr="00C92787">
        <w:rPr>
          <w:rFonts w:hint="eastAsia"/>
          <w:b w:val="0"/>
          <w:bCs w:val="0"/>
          <w:rtl/>
        </w:rPr>
        <w:lastRenderedPageBreak/>
        <w:t>תרשים</w:t>
      </w:r>
      <w:r w:rsidRPr="00C92787">
        <w:rPr>
          <w:b w:val="0"/>
          <w:bCs w:val="0"/>
          <w:rtl/>
        </w:rPr>
        <w:t xml:space="preserve"> </w:t>
      </w:r>
      <w:r w:rsidRPr="00C92787">
        <w:rPr>
          <w:rFonts w:hint="cs"/>
          <w:b w:val="0"/>
          <w:bCs w:val="0"/>
          <w:rtl/>
        </w:rPr>
        <w:t>5</w:t>
      </w:r>
      <w:r w:rsidRPr="00C92787">
        <w:rPr>
          <w:b w:val="0"/>
          <w:bCs w:val="0"/>
          <w:rtl/>
        </w:rPr>
        <w:t>:</w:t>
      </w:r>
      <w:r w:rsidRPr="00C92787">
        <w:rPr>
          <w:rtl/>
        </w:rPr>
        <w:t xml:space="preserve"> </w:t>
      </w:r>
      <w:r w:rsidRPr="00C92787">
        <w:rPr>
          <w:rFonts w:hint="eastAsia"/>
          <w:rtl/>
        </w:rPr>
        <w:t>השוואה</w:t>
      </w:r>
      <w:r w:rsidRPr="00C92787">
        <w:rPr>
          <w:rtl/>
        </w:rPr>
        <w:t xml:space="preserve"> </w:t>
      </w:r>
      <w:r w:rsidRPr="00C92787">
        <w:rPr>
          <w:rFonts w:hint="eastAsia"/>
          <w:rtl/>
        </w:rPr>
        <w:t>בין</w:t>
      </w:r>
      <w:r w:rsidRPr="00C92787">
        <w:rPr>
          <w:rtl/>
        </w:rPr>
        <w:t xml:space="preserve"> </w:t>
      </w:r>
      <w:r w:rsidRPr="00C92787">
        <w:rPr>
          <w:rFonts w:hint="eastAsia"/>
          <w:rtl/>
        </w:rPr>
        <w:t>השימוש</w:t>
      </w:r>
      <w:r w:rsidRPr="00C92787">
        <w:rPr>
          <w:rFonts w:hint="cs"/>
          <w:rtl/>
        </w:rPr>
        <w:t xml:space="preserve"> במרשתת של אנשים עם מוגבלות </w:t>
      </w:r>
      <w:r w:rsidRPr="00C92787">
        <w:rPr>
          <w:rFonts w:hint="eastAsia"/>
          <w:rtl/>
        </w:rPr>
        <w:t>לבין</w:t>
      </w:r>
      <w:r w:rsidRPr="00C92787">
        <w:rPr>
          <w:rtl/>
        </w:rPr>
        <w:t xml:space="preserve"> </w:t>
      </w:r>
      <w:r w:rsidRPr="00C92787">
        <w:rPr>
          <w:rFonts w:hint="eastAsia"/>
          <w:rtl/>
        </w:rPr>
        <w:t>השימוש</w:t>
      </w:r>
      <w:r w:rsidRPr="00C92787">
        <w:rPr>
          <w:rtl/>
        </w:rPr>
        <w:t xml:space="preserve"> </w:t>
      </w:r>
      <w:r w:rsidRPr="00C92787">
        <w:rPr>
          <w:rFonts w:hint="cs"/>
          <w:rtl/>
        </w:rPr>
        <w:t xml:space="preserve">בה של </w:t>
      </w:r>
      <w:r w:rsidRPr="00C92787">
        <w:rPr>
          <w:rFonts w:hint="eastAsia"/>
          <w:rtl/>
        </w:rPr>
        <w:t>אנשים</w:t>
      </w:r>
      <w:r w:rsidRPr="00C92787">
        <w:rPr>
          <w:rtl/>
        </w:rPr>
        <w:t xml:space="preserve"> </w:t>
      </w:r>
      <w:r w:rsidRPr="00C92787">
        <w:rPr>
          <w:rFonts w:hint="cs"/>
          <w:rtl/>
        </w:rPr>
        <w:t>ללא</w:t>
      </w:r>
      <w:r w:rsidRPr="00C92787">
        <w:rPr>
          <w:rtl/>
        </w:rPr>
        <w:t xml:space="preserve"> </w:t>
      </w:r>
      <w:r w:rsidRPr="00C92787">
        <w:rPr>
          <w:rFonts w:hint="eastAsia"/>
          <w:rtl/>
        </w:rPr>
        <w:t>מוג</w:t>
      </w:r>
      <w:r w:rsidRPr="00C92787">
        <w:rPr>
          <w:rFonts w:hint="cs"/>
          <w:rtl/>
        </w:rPr>
        <w:t>בלות</w:t>
      </w:r>
      <w:r w:rsidRPr="00C92787">
        <w:rPr>
          <w:rtl/>
        </w:rPr>
        <w:t>,</w:t>
      </w:r>
      <w:r w:rsidRPr="00C92787">
        <w:rPr>
          <w:rFonts w:hint="cs"/>
          <w:rtl/>
        </w:rPr>
        <w:t xml:space="preserve"> לפי מטרת השימוש,</w:t>
      </w:r>
      <w:r w:rsidRPr="00C92787">
        <w:rPr>
          <w:rtl/>
        </w:rPr>
        <w:t xml:space="preserve"> 2019</w:t>
      </w:r>
    </w:p>
    <w:p w:rsidR="00BF1E3B" w:rsidRDefault="00DF6A0A" w:rsidP="00BF1E3B">
      <w:pPr>
        <w:rPr>
          <w:b/>
          <w:bCs/>
          <w:u w:val="single"/>
          <w:rtl/>
        </w:rPr>
      </w:pPr>
      <w:r w:rsidRPr="00A75C4A">
        <w:rPr>
          <w:noProof/>
        </w:rPr>
        <w:drawing>
          <wp:inline distT="0" distB="0" distL="0" distR="0">
            <wp:extent cx="4711700" cy="2768600"/>
            <wp:effectExtent l="0" t="0" r="0" b="0"/>
            <wp:docPr id="9" name="תמונה 9" descr="בתרשים מוצגת השוואה בין אנשים עם מוגבלות לבין אנשים ללא מוגבלות מבחינת השימוש במרשתת על פי הקטגוריות האלה: עבודה, לימודים, תשלום חשבונות, חיפוש מידע, דואר אלקטרוני, רשתות חברתיות, קניית מוצרים ושירותים, טלפון או וידאו, קבלת שירותי ממשלה. בהתייחס לכל אחת מהקטגוריות שיעור האנשים עם מוגבלות שמשתמשים במרשתת קטן יותר מהשיעור שנמצא בקרב אנשים ללא מוגבלות. הממצא שהודגש בתרשים נוגע לשימוש במרשתת לקבלת שירותי ממשלה, ועל פיו 54% מהאנשים ללא מוגבלות משתמשים במרשתת לצורך כך בעוד שרק 38% מהאנשים עם מוגבלות משתמשים בה לצורך כך.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711700" cy="2768600"/>
                    </a:xfrm>
                    <a:prstGeom prst="rect">
                      <a:avLst/>
                    </a:prstGeom>
                    <a:extLst>
                      <a:ext uri="{53640926-AAD7-44D8-BBD7-CCE9431645EC}">
                        <a14:shadowObscured xmlns:a14="http://schemas.microsoft.com/office/drawing/2010/main"/>
                      </a:ext>
                    </a:extLst>
                  </pic:spPr>
                </pic:pic>
              </a:graphicData>
            </a:graphic>
          </wp:inline>
        </w:drawing>
      </w:r>
    </w:p>
    <w:p w:rsidR="00BF1E3B" w:rsidRPr="00C92787" w:rsidRDefault="00DF6A0A" w:rsidP="00D72704">
      <w:pPr>
        <w:pStyle w:val="736"/>
        <w:ind w:left="-1" w:firstLine="1"/>
        <w:rPr>
          <w:rtl/>
        </w:rPr>
      </w:pPr>
      <w:r w:rsidRPr="00C92787">
        <w:rPr>
          <w:rFonts w:hint="cs"/>
          <w:rtl/>
        </w:rPr>
        <w:t>על פי</w:t>
      </w:r>
      <w:r w:rsidRPr="00C92787">
        <w:rPr>
          <w:rtl/>
        </w:rPr>
        <w:t xml:space="preserve"> </w:t>
      </w:r>
      <w:r w:rsidRPr="00C92787">
        <w:rPr>
          <w:rFonts w:hint="cs"/>
          <w:rtl/>
        </w:rPr>
        <w:t xml:space="preserve">נתוני </w:t>
      </w:r>
      <w:r w:rsidRPr="00C92787">
        <w:rPr>
          <w:rtl/>
        </w:rPr>
        <w:t>מאיירס-ג'וינט-ברוקדייל</w:t>
      </w:r>
      <w:r w:rsidRPr="00C92787">
        <w:rPr>
          <w:rFonts w:hint="cs"/>
          <w:rtl/>
        </w:rPr>
        <w:t>,</w:t>
      </w:r>
      <w:r w:rsidRPr="00C92787">
        <w:rPr>
          <w:rtl/>
        </w:rPr>
        <w:t xml:space="preserve"> </w:t>
      </w:r>
      <w:r w:rsidRPr="00C92787">
        <w:rPr>
          <w:b/>
          <w:bCs/>
          <w:rtl/>
        </w:rPr>
        <w:t xml:space="preserve">אנשים </w:t>
      </w:r>
      <w:r w:rsidRPr="00C92787">
        <w:rPr>
          <w:rFonts w:hint="eastAsia"/>
          <w:b/>
          <w:bCs/>
          <w:rtl/>
        </w:rPr>
        <w:t>עם</w:t>
      </w:r>
      <w:r w:rsidRPr="00C92787">
        <w:rPr>
          <w:b/>
          <w:bCs/>
          <w:rtl/>
        </w:rPr>
        <w:t xml:space="preserve"> מוגבלות בישראל 2021, עובדות ומספרים</w:t>
      </w:r>
      <w:r w:rsidRPr="00C92787">
        <w:rPr>
          <w:rtl/>
        </w:rPr>
        <w:t xml:space="preserve"> (2021)</w:t>
      </w:r>
      <w:r w:rsidRPr="00C92787">
        <w:rPr>
          <w:rFonts w:hint="cs"/>
          <w:rtl/>
        </w:rPr>
        <w:t>, בעיבוד משרד מבקר המדינה</w:t>
      </w:r>
      <w:r w:rsidRPr="00C92787">
        <w:rPr>
          <w:rtl/>
        </w:rPr>
        <w:t xml:space="preserve">. </w:t>
      </w:r>
    </w:p>
    <w:p w:rsidR="00BF1E3B" w:rsidRPr="00C92787" w:rsidRDefault="00DF6A0A" w:rsidP="00C92787">
      <w:pPr>
        <w:pStyle w:val="735"/>
        <w:rPr>
          <w:rtl/>
        </w:rPr>
      </w:pPr>
      <w:r w:rsidRPr="00C92787">
        <w:rPr>
          <w:rFonts w:hint="eastAsia"/>
          <w:rtl/>
        </w:rPr>
        <w:t>מנתוני</w:t>
      </w:r>
      <w:r w:rsidRPr="00C92787">
        <w:rPr>
          <w:rtl/>
        </w:rPr>
        <w:t xml:space="preserve"> התרשים עולה כי בשנת 2019 היה שיעור השימוש במרשתת </w:t>
      </w:r>
      <w:r w:rsidRPr="00C92787">
        <w:rPr>
          <w:rFonts w:hint="eastAsia"/>
          <w:rtl/>
        </w:rPr>
        <w:t>לצורך</w:t>
      </w:r>
      <w:r w:rsidRPr="00C92787">
        <w:rPr>
          <w:rtl/>
        </w:rPr>
        <w:t xml:space="preserve"> קבלת שירותי ממשלה בקרב אנשים עם מוגבלות קטן </w:t>
      </w:r>
      <w:r w:rsidRPr="00C92787">
        <w:rPr>
          <w:rFonts w:hint="eastAsia"/>
          <w:rtl/>
        </w:rPr>
        <w:t>בכשליש</w:t>
      </w:r>
      <w:r w:rsidRPr="00C92787">
        <w:rPr>
          <w:rtl/>
        </w:rPr>
        <w:t xml:space="preserve"> </w:t>
      </w:r>
      <w:r w:rsidRPr="00C92787">
        <w:rPr>
          <w:rFonts w:hint="eastAsia"/>
          <w:rtl/>
        </w:rPr>
        <w:t>מהש</w:t>
      </w:r>
      <w:r w:rsidRPr="00C92787">
        <w:rPr>
          <w:rFonts w:hint="eastAsia"/>
          <w:rtl/>
        </w:rPr>
        <w:t>יעור</w:t>
      </w:r>
      <w:r w:rsidRPr="00C92787">
        <w:rPr>
          <w:rtl/>
        </w:rPr>
        <w:t xml:space="preserve"> </w:t>
      </w:r>
      <w:r w:rsidRPr="00C92787">
        <w:rPr>
          <w:rFonts w:hint="eastAsia"/>
          <w:rtl/>
        </w:rPr>
        <w:t>המקביל</w:t>
      </w:r>
      <w:r w:rsidRPr="00C92787">
        <w:rPr>
          <w:rtl/>
        </w:rPr>
        <w:t xml:space="preserve"> </w:t>
      </w:r>
      <w:r w:rsidRPr="00C92787">
        <w:rPr>
          <w:rFonts w:hint="eastAsia"/>
          <w:rtl/>
        </w:rPr>
        <w:t>בקרב</w:t>
      </w:r>
      <w:r w:rsidRPr="00C92787">
        <w:rPr>
          <w:rtl/>
        </w:rPr>
        <w:t xml:space="preserve"> </w:t>
      </w:r>
      <w:r w:rsidRPr="00C92787">
        <w:rPr>
          <w:rFonts w:hint="eastAsia"/>
          <w:rtl/>
        </w:rPr>
        <w:t>אנשים</w:t>
      </w:r>
      <w:r w:rsidRPr="00C92787">
        <w:rPr>
          <w:rtl/>
        </w:rPr>
        <w:t xml:space="preserve"> </w:t>
      </w:r>
      <w:r w:rsidRPr="00C92787">
        <w:rPr>
          <w:rFonts w:hint="eastAsia"/>
          <w:rtl/>
        </w:rPr>
        <w:t>ללא</w:t>
      </w:r>
      <w:r w:rsidRPr="00C92787">
        <w:rPr>
          <w:rtl/>
        </w:rPr>
        <w:t xml:space="preserve"> </w:t>
      </w:r>
      <w:r w:rsidRPr="00C92787">
        <w:rPr>
          <w:rFonts w:hint="eastAsia"/>
          <w:rtl/>
        </w:rPr>
        <w:t>מוגבלות</w:t>
      </w:r>
      <w:r w:rsidRPr="00C92787">
        <w:rPr>
          <w:rtl/>
        </w:rPr>
        <w:t xml:space="preserve">. </w:t>
      </w:r>
    </w:p>
    <w:p w:rsidR="00BF1E3B" w:rsidRDefault="00DF6A0A" w:rsidP="00C619CC">
      <w:pPr>
        <w:pStyle w:val="7392"/>
        <w:rPr>
          <w:rtl/>
        </w:rPr>
      </w:pPr>
      <w:r w:rsidRPr="007E2808">
        <w:rPr>
          <w:rFonts w:hint="cs"/>
          <w:rtl/>
        </w:rPr>
        <w:t>בחוק שוויון זכויות נקבע</w:t>
      </w:r>
      <w:r>
        <w:rPr>
          <w:rFonts w:hint="cs"/>
          <w:rtl/>
        </w:rPr>
        <w:t xml:space="preserve"> כי "</w:t>
      </w:r>
      <w:r>
        <w:rPr>
          <w:rtl/>
        </w:rPr>
        <w:t>אדם עם מוגבלות זכאי לנגישות למקום ציבורי ולשירות ציבורי</w:t>
      </w:r>
      <w:r>
        <w:rPr>
          <w:rFonts w:hint="cs"/>
          <w:rtl/>
        </w:rPr>
        <w:t>"</w:t>
      </w:r>
      <w:r>
        <w:rPr>
          <w:rStyle w:val="a8"/>
          <w:rtl/>
        </w:rPr>
        <w:footnoteReference w:id="33"/>
      </w:r>
      <w:r>
        <w:rPr>
          <w:rtl/>
        </w:rPr>
        <w:t>.</w:t>
      </w:r>
      <w:r>
        <w:rPr>
          <w:rFonts w:hint="cs"/>
          <w:rtl/>
        </w:rPr>
        <w:t xml:space="preserve"> </w:t>
      </w:r>
      <w:r>
        <w:rPr>
          <w:rtl/>
        </w:rPr>
        <w:t>"שירות ציבורי",</w:t>
      </w:r>
      <w:r>
        <w:rPr>
          <w:rFonts w:hint="cs"/>
          <w:rtl/>
        </w:rPr>
        <w:t xml:space="preserve"> הוגדר</w:t>
      </w:r>
      <w:r>
        <w:rPr>
          <w:rStyle w:val="a8"/>
          <w:rtl/>
        </w:rPr>
        <w:footnoteReference w:id="34"/>
      </w:r>
      <w:r>
        <w:rPr>
          <w:rFonts w:hint="cs"/>
          <w:rtl/>
        </w:rPr>
        <w:t xml:space="preserve"> כ</w:t>
      </w:r>
      <w:r>
        <w:rPr>
          <w:rtl/>
        </w:rPr>
        <w:t>אחד מאלה:</w:t>
      </w:r>
      <w:r>
        <w:rPr>
          <w:rFonts w:hint="cs"/>
          <w:rtl/>
        </w:rPr>
        <w:t xml:space="preserve"> </w:t>
      </w:r>
      <w:r>
        <w:rPr>
          <w:rtl/>
        </w:rPr>
        <w:t>שירות</w:t>
      </w:r>
      <w:r>
        <w:rPr>
          <w:rFonts w:hint="cs"/>
          <w:rtl/>
        </w:rPr>
        <w:t xml:space="preserve"> </w:t>
      </w:r>
      <w:r>
        <w:rPr>
          <w:rtl/>
        </w:rPr>
        <w:t>ה</w:t>
      </w:r>
      <w:r>
        <w:rPr>
          <w:rFonts w:hint="cs"/>
          <w:rtl/>
        </w:rPr>
        <w:t xml:space="preserve">ניתן </w:t>
      </w:r>
      <w:r>
        <w:rPr>
          <w:rtl/>
        </w:rPr>
        <w:t>לציבור או לחלק בלתי מסוים ממנו</w:t>
      </w:r>
      <w:r>
        <w:rPr>
          <w:rFonts w:hint="cs"/>
          <w:rtl/>
        </w:rPr>
        <w:t xml:space="preserve"> </w:t>
      </w:r>
      <w:r>
        <w:rPr>
          <w:rtl/>
        </w:rPr>
        <w:t>בידי גוף ציבורי</w:t>
      </w:r>
      <w:r>
        <w:rPr>
          <w:rFonts w:hint="cs"/>
          <w:rtl/>
        </w:rPr>
        <w:t xml:space="preserve">; או </w:t>
      </w:r>
      <w:r>
        <w:rPr>
          <w:rtl/>
        </w:rPr>
        <w:t>במקום ציבורי</w:t>
      </w:r>
      <w:r>
        <w:rPr>
          <w:rStyle w:val="a8"/>
          <w:rtl/>
        </w:rPr>
        <w:footnoteReference w:id="35"/>
      </w:r>
      <w:r>
        <w:rPr>
          <w:rFonts w:hint="cs"/>
          <w:rtl/>
        </w:rPr>
        <w:t>; ו</w:t>
      </w:r>
      <w:r w:rsidRPr="00207071">
        <w:rPr>
          <w:rtl/>
        </w:rPr>
        <w:t xml:space="preserve">שירות מהשירותים </w:t>
      </w:r>
      <w:r w:rsidRPr="00207071">
        <w:rPr>
          <w:rtl/>
        </w:rPr>
        <w:t>המפורטים בתוספת השנ</w:t>
      </w:r>
      <w:r w:rsidRPr="00207071">
        <w:rPr>
          <w:rFonts w:hint="cs"/>
          <w:rtl/>
        </w:rPr>
        <w:t>י</w:t>
      </w:r>
      <w:r w:rsidRPr="00207071">
        <w:rPr>
          <w:rtl/>
        </w:rPr>
        <w:t xml:space="preserve">יה </w:t>
      </w:r>
      <w:r w:rsidRPr="00207071">
        <w:rPr>
          <w:rFonts w:hint="cs"/>
          <w:rtl/>
        </w:rPr>
        <w:t xml:space="preserve">לחוק </w:t>
      </w:r>
      <w:r w:rsidRPr="00207071">
        <w:rPr>
          <w:rtl/>
        </w:rPr>
        <w:t>המיועד לכלל הציבור או לחלק בלתי מסוים ממנו</w:t>
      </w:r>
      <w:r>
        <w:rPr>
          <w:rtl/>
        </w:rPr>
        <w:t>.</w:t>
      </w:r>
      <w:r>
        <w:rPr>
          <w:rFonts w:hint="cs"/>
          <w:rtl/>
        </w:rPr>
        <w:t xml:space="preserve"> על פי התקנות, מי ש</w:t>
      </w:r>
      <w:r>
        <w:rPr>
          <w:rtl/>
        </w:rPr>
        <w:t>חייב בביצוע התאמות נגישות לשירות</w:t>
      </w:r>
      <w:r>
        <w:rPr>
          <w:rFonts w:hint="cs"/>
          <w:rtl/>
        </w:rPr>
        <w:t xml:space="preserve"> (להלן - חייב בביצוע התאמות נגישות) הוא מי ש</w:t>
      </w:r>
      <w:r>
        <w:rPr>
          <w:rtl/>
        </w:rPr>
        <w:t xml:space="preserve">אחראי להספקת </w:t>
      </w:r>
      <w:r>
        <w:rPr>
          <w:rFonts w:hint="cs"/>
          <w:rtl/>
        </w:rPr>
        <w:t>ה</w:t>
      </w:r>
      <w:r>
        <w:rPr>
          <w:rtl/>
        </w:rPr>
        <w:t>שירות</w:t>
      </w:r>
      <w:r>
        <w:rPr>
          <w:rFonts w:hint="cs"/>
          <w:rtl/>
        </w:rPr>
        <w:t>,</w:t>
      </w:r>
      <w:r>
        <w:rPr>
          <w:rtl/>
        </w:rPr>
        <w:t xml:space="preserve"> לרבות בעל השירות, מחזיק או מפעיל שלו.</w:t>
      </w:r>
      <w:r>
        <w:rPr>
          <w:rFonts w:hint="cs"/>
          <w:rtl/>
        </w:rPr>
        <w:t xml:space="preserve"> </w:t>
      </w:r>
      <w:r w:rsidRPr="00626048">
        <w:rPr>
          <w:rFonts w:hint="cs"/>
          <w:sz w:val="24"/>
          <w:rtl/>
        </w:rPr>
        <w:t xml:space="preserve">בתקנות </w:t>
      </w:r>
      <w:r>
        <w:rPr>
          <w:rFonts w:hint="cs"/>
          <w:sz w:val="24"/>
          <w:rtl/>
        </w:rPr>
        <w:t xml:space="preserve">הנגישות </w:t>
      </w:r>
      <w:r w:rsidRPr="00626048">
        <w:rPr>
          <w:rFonts w:hint="cs"/>
          <w:sz w:val="24"/>
          <w:rtl/>
        </w:rPr>
        <w:t>יש התייחסות להנג</w:t>
      </w:r>
      <w:r w:rsidRPr="00626048">
        <w:rPr>
          <w:rFonts w:hint="cs"/>
          <w:sz w:val="24"/>
          <w:rtl/>
        </w:rPr>
        <w:t>שת</w:t>
      </w:r>
      <w:r>
        <w:rPr>
          <w:rFonts w:hint="cs"/>
          <w:rtl/>
        </w:rPr>
        <w:t xml:space="preserve"> השירות הניתן במרשתת</w:t>
      </w:r>
      <w:r w:rsidRPr="00626048">
        <w:rPr>
          <w:rFonts w:hint="cs"/>
          <w:sz w:val="24"/>
          <w:rtl/>
        </w:rPr>
        <w:t xml:space="preserve">. </w:t>
      </w:r>
      <w:r>
        <w:rPr>
          <w:rFonts w:hint="cs"/>
          <w:sz w:val="24"/>
          <w:rtl/>
        </w:rPr>
        <w:t xml:space="preserve">על פי התקנות, רשות ציבורית המספקת מידע באמצעות אתר במרשתת, חייבת בהנגשת האתר על פי </w:t>
      </w:r>
      <w:r>
        <w:rPr>
          <w:rFonts w:hint="cs"/>
          <w:rtl/>
        </w:rPr>
        <w:t>תקן</w:t>
      </w:r>
      <w:r w:rsidRPr="00322D13">
        <w:rPr>
          <w:rtl/>
        </w:rPr>
        <w:t xml:space="preserve"> ישראלי 5568</w:t>
      </w:r>
      <w:r>
        <w:rPr>
          <w:rFonts w:hint="cs"/>
          <w:rtl/>
        </w:rPr>
        <w:t xml:space="preserve"> של מכון התקנים הישראלי - בנושא קווים מנחים לנגישות תכנים במרשתת (להלן - התקן). דרישות ההנגשה מתייחסות לרכיבים שונים של השירות במרשתת</w:t>
      </w:r>
      <w:r>
        <w:rPr>
          <w:rStyle w:val="a8"/>
          <w:rtl/>
        </w:rPr>
        <w:footnoteReference w:id="36"/>
      </w:r>
      <w:r>
        <w:rPr>
          <w:rFonts w:hint="cs"/>
          <w:rtl/>
        </w:rPr>
        <w:t xml:space="preserve">. הדרישה לבצע </w:t>
      </w:r>
      <w:r>
        <w:rPr>
          <w:rtl/>
        </w:rPr>
        <w:t xml:space="preserve">התאמות נגישות </w:t>
      </w:r>
      <w:r>
        <w:rPr>
          <w:rFonts w:hint="cs"/>
          <w:rtl/>
        </w:rPr>
        <w:t xml:space="preserve">מתייחסת למפעיל </w:t>
      </w:r>
      <w:r>
        <w:rPr>
          <w:rtl/>
        </w:rPr>
        <w:t>אתר אינטרנט שמספק "שירות ציבורי"</w:t>
      </w:r>
      <w:r>
        <w:rPr>
          <w:rFonts w:hint="cs"/>
          <w:rtl/>
        </w:rPr>
        <w:t xml:space="preserve"> על פי הגדרתו בחוק. לפיכך, חלות התקנות על מגוון גופים במשק שפועלים בתחומים שונים כגון מסחר, רווחה, </w:t>
      </w:r>
      <w:r>
        <w:rPr>
          <w:rFonts w:hint="cs"/>
          <w:rtl/>
        </w:rPr>
        <w:lastRenderedPageBreak/>
        <w:t>בריאות, פנאי, ספורט, תיירות, בנקאות, ביטוח ותרבות. בין גופים אלה נכללים גופי ממשל,</w:t>
      </w:r>
      <w:r>
        <w:rPr>
          <w:rFonts w:hint="cs"/>
          <w:rtl/>
        </w:rPr>
        <w:t xml:space="preserve"> רשויות מקומיות, גופים עסקיים, תאגידים ועוד.</w:t>
      </w:r>
    </w:p>
    <w:p w:rsidR="00BF1E3B" w:rsidRDefault="00DF6A0A" w:rsidP="00C619CC">
      <w:pPr>
        <w:pStyle w:val="7392"/>
        <w:rPr>
          <w:rtl/>
        </w:rPr>
      </w:pPr>
      <w:r>
        <w:rPr>
          <w:rFonts w:hint="cs"/>
          <w:rtl/>
        </w:rPr>
        <w:t>הנגשות ככלל והנגשות במרשתת בפרט עשויות לסייע גם לאנשים בני הגיל השלישי שחווים בעקבות תהליך ההזדקנות היחלשות של מערכות שונות, של חושים ושל יכולות מוטוריות. על פי נתוני הלמ"ס לשנת 2021, כ-1.16 מיליון איש בישראל הם</w:t>
      </w:r>
      <w:r>
        <w:rPr>
          <w:rFonts w:hint="cs"/>
          <w:rtl/>
        </w:rPr>
        <w:t xml:space="preserve"> בני 65 ומעלה, ו-41% מהם בני 75 ומעלה</w:t>
      </w:r>
      <w:r>
        <w:rPr>
          <w:rStyle w:val="a8"/>
          <w:rtl/>
        </w:rPr>
        <w:footnoteReference w:id="37"/>
      </w:r>
      <w:r>
        <w:rPr>
          <w:rFonts w:hint="cs"/>
          <w:rtl/>
        </w:rPr>
        <w:t xml:space="preserve">. </w:t>
      </w:r>
    </w:p>
    <w:p w:rsidR="00BF1E3B" w:rsidRDefault="00DF6A0A" w:rsidP="00C619CC">
      <w:pPr>
        <w:pStyle w:val="7392"/>
        <w:rPr>
          <w:rtl/>
        </w:rPr>
      </w:pPr>
      <w:r w:rsidRPr="00350A76">
        <w:rPr>
          <w:rFonts w:hint="cs"/>
          <w:rtl/>
        </w:rPr>
        <w:t xml:space="preserve">קיימות </w:t>
      </w:r>
      <w:r w:rsidRPr="00350A76">
        <w:rPr>
          <w:rtl/>
        </w:rPr>
        <w:t xml:space="preserve">טכנולוגיות </w:t>
      </w:r>
      <w:r w:rsidRPr="00350A76">
        <w:rPr>
          <w:rFonts w:hint="cs"/>
          <w:rtl/>
        </w:rPr>
        <w:t>ה</w:t>
      </w:r>
      <w:r w:rsidRPr="00350A76">
        <w:rPr>
          <w:rtl/>
        </w:rPr>
        <w:t xml:space="preserve">מסייעות </w:t>
      </w:r>
      <w:r w:rsidRPr="00350A76">
        <w:rPr>
          <w:rFonts w:hint="cs"/>
          <w:rtl/>
        </w:rPr>
        <w:t>ל</w:t>
      </w:r>
      <w:r>
        <w:rPr>
          <w:rFonts w:hint="cs"/>
          <w:rtl/>
        </w:rPr>
        <w:t xml:space="preserve">הנגשת שירות דיגיטלי לאנשים עם מוגבלות. נוסף על כך, גוף המפעיל אתר במרשתת נדרש לבצע בו הנגשות, על פי הדרישות העולות מן האמור בתקנות הנגישות ובתקן, כדי לאפשר לאנשים עם מוגבלויות שונות להשתמש בו. </w:t>
      </w:r>
      <w:r w:rsidRPr="006D7869">
        <w:rPr>
          <w:rtl/>
        </w:rPr>
        <w:t>להלן בתרשים</w:t>
      </w:r>
      <w:r>
        <w:rPr>
          <w:rFonts w:hint="cs"/>
          <w:rtl/>
        </w:rPr>
        <w:t xml:space="preserve"> </w:t>
      </w:r>
      <w:r w:rsidRPr="006D7869">
        <w:rPr>
          <w:rtl/>
        </w:rPr>
        <w:t>סוגי מוגבלו</w:t>
      </w:r>
      <w:r>
        <w:rPr>
          <w:rFonts w:hint="cs"/>
          <w:rtl/>
        </w:rPr>
        <w:t>יו</w:t>
      </w:r>
      <w:r w:rsidRPr="006D7869">
        <w:rPr>
          <w:rtl/>
        </w:rPr>
        <w:t xml:space="preserve">ת </w:t>
      </w:r>
      <w:r>
        <w:rPr>
          <w:rFonts w:hint="cs"/>
          <w:rtl/>
        </w:rPr>
        <w:t>שעבורן נדרש להנגיש את ה</w:t>
      </w:r>
      <w:r w:rsidRPr="006D7869">
        <w:rPr>
          <w:rtl/>
        </w:rPr>
        <w:t>שירות הדיגיטל</w:t>
      </w:r>
      <w:r w:rsidRPr="006D7869">
        <w:rPr>
          <w:rtl/>
        </w:rPr>
        <w:t xml:space="preserve">י ודוגמאות </w:t>
      </w:r>
      <w:r>
        <w:rPr>
          <w:rFonts w:hint="cs"/>
          <w:rtl/>
        </w:rPr>
        <w:t>להנגשות העיקריות שניתן לספק.</w:t>
      </w:r>
    </w:p>
    <w:p w:rsidR="00BF1E3B" w:rsidRDefault="00DF6A0A" w:rsidP="00C92787">
      <w:pPr>
        <w:pStyle w:val="738"/>
        <w:rPr>
          <w:rtl/>
        </w:rPr>
      </w:pPr>
      <w:r w:rsidRPr="00C92787">
        <w:rPr>
          <w:rFonts w:hint="eastAsia"/>
          <w:b w:val="0"/>
          <w:bCs w:val="0"/>
          <w:rtl/>
        </w:rPr>
        <w:lastRenderedPageBreak/>
        <w:t>תרשים</w:t>
      </w:r>
      <w:r w:rsidRPr="00C92787">
        <w:rPr>
          <w:b w:val="0"/>
          <w:bCs w:val="0"/>
          <w:rtl/>
        </w:rPr>
        <w:t xml:space="preserve"> </w:t>
      </w:r>
      <w:r w:rsidRPr="00C92787">
        <w:rPr>
          <w:rFonts w:hint="cs"/>
          <w:b w:val="0"/>
          <w:bCs w:val="0"/>
          <w:rtl/>
        </w:rPr>
        <w:t>6:</w:t>
      </w:r>
      <w:r w:rsidRPr="00F13FB6">
        <w:rPr>
          <w:rtl/>
        </w:rPr>
        <w:t xml:space="preserve"> </w:t>
      </w:r>
      <w:r>
        <w:rPr>
          <w:rFonts w:hint="cs"/>
          <w:rtl/>
        </w:rPr>
        <w:t>סוגי מוגבלויות הדורשות הנגשה דיגיטלית וההנגשות העיקריות שניתן לספק</w:t>
      </w:r>
    </w:p>
    <w:p w:rsidR="00BF1E3B" w:rsidRDefault="00DF6A0A" w:rsidP="00BF1E3B">
      <w:pPr>
        <w:rPr>
          <w:b/>
          <w:bCs/>
        </w:rPr>
      </w:pPr>
      <w:r w:rsidRPr="00A75C4A">
        <w:rPr>
          <w:noProof/>
        </w:rPr>
        <w:drawing>
          <wp:inline distT="0" distB="0" distL="0" distR="0">
            <wp:extent cx="4664919" cy="5739493"/>
            <wp:effectExtent l="0" t="0" r="0" b="1270"/>
            <wp:docPr id="2052770952" name="תמונה 2052770952" descr="התרשים מציג איורים שמתארים סוגי מוגבלויות וכן סוגי הנגשות שניתן לספק, למשל איור שמסמל מוגבלות ראייה ואיורים שמסמלים צג ברייל ומנוע דיבור. סוגי המוגבלויות המוצגות הם ראייה, שמיעה, מוגבלות פיזית (כגון מוגבלות בשימוש בידיים) וכן מוגבלות על רקע נפשי, שכלי, תקשורתי או בשל לקויות למיד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2" name="תמונה 2052770952"/>
                    <pic:cNvPicPr/>
                  </pic:nvPicPr>
                  <pic:blipFill>
                    <a:blip r:embed="rId21">
                      <a:extLst>
                        <a:ext uri="{28A0092B-C50C-407E-A947-70E740481C1C}">
                          <a14:useLocalDpi xmlns:a14="http://schemas.microsoft.com/office/drawing/2010/main" val="0"/>
                        </a:ext>
                      </a:extLst>
                    </a:blip>
                    <a:stretch>
                      <a:fillRect/>
                    </a:stretch>
                  </pic:blipFill>
                  <pic:spPr>
                    <a:xfrm>
                      <a:off x="0" y="0"/>
                      <a:ext cx="4666359" cy="5741265"/>
                    </a:xfrm>
                    <a:prstGeom prst="rect">
                      <a:avLst/>
                    </a:prstGeom>
                  </pic:spPr>
                </pic:pic>
              </a:graphicData>
            </a:graphic>
          </wp:inline>
        </w:drawing>
      </w:r>
    </w:p>
    <w:p w:rsidR="00BF1E3B" w:rsidRPr="00397A72" w:rsidRDefault="00DF6A0A" w:rsidP="00C92787">
      <w:pPr>
        <w:pStyle w:val="73e"/>
        <w:spacing w:after="0"/>
        <w:rPr>
          <w:rtl/>
        </w:rPr>
      </w:pPr>
      <w:r>
        <w:rPr>
          <w:rFonts w:hint="cs"/>
          <w:rtl/>
        </w:rPr>
        <w:t>הוכן בידי</w:t>
      </w:r>
      <w:r w:rsidRPr="00397A72">
        <w:rPr>
          <w:rFonts w:hint="cs"/>
          <w:rtl/>
        </w:rPr>
        <w:t xml:space="preserve"> משרד מבקר המדינה</w:t>
      </w:r>
      <w:r>
        <w:rPr>
          <w:rFonts w:hint="cs"/>
          <w:rtl/>
        </w:rPr>
        <w:t>.</w:t>
      </w:r>
      <w:r w:rsidRPr="00397A72">
        <w:rPr>
          <w:rFonts w:hint="cs"/>
          <w:rtl/>
        </w:rPr>
        <w:t xml:space="preserve"> </w:t>
      </w:r>
    </w:p>
    <w:p w:rsidR="00BF1E3B" w:rsidRDefault="00DF6A0A" w:rsidP="00C92787">
      <w:pPr>
        <w:pStyle w:val="73e"/>
        <w:spacing w:before="0"/>
        <w:rPr>
          <w:rtl/>
        </w:rPr>
      </w:pPr>
      <w:r>
        <w:rPr>
          <w:rFonts w:hint="cs"/>
          <w:rtl/>
        </w:rPr>
        <w:t>יובהר לעניין ההנגשות המוצגות בתרשים כי קורא מסך הוא תוכנה המאפשרת להנגיש מידע המוצג על מסך מחשב בשתי דרכים חל</w:t>
      </w:r>
      <w:r>
        <w:rPr>
          <w:rFonts w:hint="cs"/>
          <w:rtl/>
        </w:rPr>
        <w:t xml:space="preserve">ופיות: באמצעות מנוע דיבור - הקראה בקול של המלל הכתוב - או באמצעות הצגת המלל על צג ברייל. "מלל חלופי" הוא תיאור במילים של אלמנט ויזואלי (כגון תמונה או תרשים). </w:t>
      </w:r>
    </w:p>
    <w:p w:rsidR="00BF1E3B" w:rsidRDefault="00DF6A0A" w:rsidP="00C619CC">
      <w:pPr>
        <w:pStyle w:val="7392"/>
        <w:rPr>
          <w:rtl/>
        </w:rPr>
      </w:pPr>
      <w:r w:rsidRPr="00C619CC">
        <w:rPr>
          <w:rStyle w:val="7371"/>
          <w:rFonts w:hint="cs"/>
          <w:rtl/>
        </w:rPr>
        <w:lastRenderedPageBreak/>
        <w:t>הצהרת נגישות:</w:t>
      </w:r>
      <w:r>
        <w:rPr>
          <w:rFonts w:hint="cs"/>
          <w:rtl/>
        </w:rPr>
        <w:t xml:space="preserve"> ע</w:t>
      </w:r>
      <w:r w:rsidRPr="00407B1C">
        <w:rPr>
          <w:rtl/>
        </w:rPr>
        <w:t>ל</w:t>
      </w:r>
      <w:r>
        <w:rPr>
          <w:rFonts w:hint="cs"/>
          <w:rtl/>
        </w:rPr>
        <w:t xml:space="preserve"> </w:t>
      </w:r>
      <w:r w:rsidRPr="007A744E">
        <w:rPr>
          <w:rFonts w:hint="cs"/>
          <w:rtl/>
        </w:rPr>
        <w:t>פי התקנות</w:t>
      </w:r>
      <w:r>
        <w:rPr>
          <w:rStyle w:val="a8"/>
          <w:sz w:val="24"/>
          <w:rtl/>
        </w:rPr>
        <w:footnoteReference w:id="38"/>
      </w:r>
      <w:r w:rsidRPr="007A744E">
        <w:rPr>
          <w:rFonts w:hint="cs"/>
          <w:rtl/>
        </w:rPr>
        <w:t xml:space="preserve"> יש לפרסם במקום בולט</w:t>
      </w:r>
      <w:r w:rsidRPr="007A744E">
        <w:rPr>
          <w:rtl/>
        </w:rPr>
        <w:t xml:space="preserve"> </w:t>
      </w:r>
      <w:r w:rsidRPr="007A744E">
        <w:rPr>
          <w:rFonts w:hint="cs"/>
          <w:rtl/>
        </w:rPr>
        <w:t>ב</w:t>
      </w:r>
      <w:r w:rsidRPr="007A744E">
        <w:rPr>
          <w:rtl/>
        </w:rPr>
        <w:t xml:space="preserve">אתרי </w:t>
      </w:r>
      <w:r w:rsidRPr="007A744E">
        <w:rPr>
          <w:rFonts w:hint="cs"/>
          <w:rtl/>
        </w:rPr>
        <w:t>מרשתת</w:t>
      </w:r>
      <w:r w:rsidRPr="007A744E">
        <w:rPr>
          <w:rtl/>
        </w:rPr>
        <w:t xml:space="preserve"> </w:t>
      </w:r>
      <w:r w:rsidRPr="007A744E">
        <w:rPr>
          <w:rFonts w:hint="cs"/>
          <w:rtl/>
        </w:rPr>
        <w:t>וביישומונים (אפליקציות)</w:t>
      </w:r>
      <w:r w:rsidRPr="007A744E">
        <w:rPr>
          <w:rtl/>
        </w:rPr>
        <w:t xml:space="preserve"> "הצהרת נגישות</w:t>
      </w:r>
      <w:r w:rsidRPr="007A744E">
        <w:rPr>
          <w:rtl/>
        </w:rPr>
        <w:t>"</w:t>
      </w:r>
      <w:r w:rsidRPr="007A744E">
        <w:rPr>
          <w:rFonts w:hint="cs"/>
          <w:rtl/>
        </w:rPr>
        <w:t xml:space="preserve">, שבה יוצג מידע על התאמות הנגישות שביצע הגוף כדי להבטיח את נגישותם לאנשים עם מוגבלות. עוד יש לכלול בהצהרה מידע על </w:t>
      </w:r>
      <w:r w:rsidRPr="007A744E">
        <w:rPr>
          <w:rtl/>
        </w:rPr>
        <w:t xml:space="preserve">פרטי רכז </w:t>
      </w:r>
      <w:r w:rsidRPr="007A744E">
        <w:rPr>
          <w:rFonts w:hint="cs"/>
          <w:rtl/>
        </w:rPr>
        <w:t>ה</w:t>
      </w:r>
      <w:r w:rsidRPr="007A744E">
        <w:rPr>
          <w:rtl/>
        </w:rPr>
        <w:t>נגישות</w:t>
      </w:r>
      <w:r w:rsidRPr="007A744E">
        <w:rPr>
          <w:rFonts w:hint="cs"/>
          <w:rtl/>
        </w:rPr>
        <w:t xml:space="preserve"> של אותו גוף, </w:t>
      </w:r>
      <w:r w:rsidRPr="007A744E">
        <w:rPr>
          <w:rtl/>
        </w:rPr>
        <w:t>אם מחויב למנותו לפי החוק, ופרטים המאפשרים</w:t>
      </w:r>
      <w:r w:rsidRPr="00207071">
        <w:rPr>
          <w:rtl/>
        </w:rPr>
        <w:t xml:space="preserve"> יצירת קשר</w:t>
      </w:r>
      <w:r>
        <w:rPr>
          <w:rFonts w:hint="cs"/>
          <w:rtl/>
        </w:rPr>
        <w:t xml:space="preserve"> עמו כדי למסור הודעה בדבר </w:t>
      </w:r>
      <w:r>
        <w:rPr>
          <w:rtl/>
        </w:rPr>
        <w:t>ה</w:t>
      </w:r>
      <w:r>
        <w:rPr>
          <w:rFonts w:hint="cs"/>
          <w:rtl/>
        </w:rPr>
        <w:t>י</w:t>
      </w:r>
      <w:r>
        <w:rPr>
          <w:rtl/>
        </w:rPr>
        <w:t xml:space="preserve">עדר התאמות נגישות או בקשה לביצוע הנגשה. </w:t>
      </w:r>
      <w:r>
        <w:rPr>
          <w:rFonts w:hint="cs"/>
          <w:rtl/>
        </w:rPr>
        <w:t>נציבות שוויון זכויות הדגישה בפרסומיה למשרדים את החשיבות בפרסום הצהרת נגישות ובמיקומה באתר המרשתת במקום בולט וגלוי לעין</w:t>
      </w:r>
      <w:r w:rsidRPr="00B05A57">
        <w:rPr>
          <w:rFonts w:hint="cs"/>
          <w:rtl/>
        </w:rPr>
        <w:t xml:space="preserve"> </w:t>
      </w:r>
      <w:r>
        <w:rPr>
          <w:rFonts w:hint="cs"/>
          <w:rtl/>
        </w:rPr>
        <w:t>כנדרש בתקנות. הנציבות פרסמה באתר המרשתת שלה הנחיות והסברים הנוגעים לנושא והציגה באתר תבנית מומלצת</w:t>
      </w:r>
      <w:r>
        <w:rPr>
          <w:rFonts w:hint="cs"/>
          <w:rtl/>
        </w:rPr>
        <w:t xml:space="preserve"> לכתיבת הצהרת נגישות. </w:t>
      </w:r>
    </w:p>
    <w:p w:rsidR="00BF1E3B" w:rsidRDefault="00DF6A0A" w:rsidP="00C619CC">
      <w:pPr>
        <w:pStyle w:val="7392"/>
        <w:rPr>
          <w:rtl/>
        </w:rPr>
      </w:pPr>
      <w:r>
        <w:rPr>
          <w:rFonts w:hint="cs"/>
          <w:rtl/>
        </w:rPr>
        <w:t>על פי התקנות, בכל הנוגע לנגישות שירותים במרשתת</w:t>
      </w:r>
      <w:r>
        <w:rPr>
          <w:rStyle w:val="a8"/>
          <w:rtl/>
        </w:rPr>
        <w:footnoteReference w:id="39"/>
      </w:r>
      <w:r>
        <w:rPr>
          <w:rFonts w:hint="cs"/>
          <w:rtl/>
        </w:rPr>
        <w:t>, אם התגלתה סטייה מהוראות התקנות</w:t>
      </w:r>
      <w:r>
        <w:rPr>
          <w:rStyle w:val="a8"/>
          <w:rtl/>
        </w:rPr>
        <w:footnoteReference w:id="40"/>
      </w:r>
      <w:r>
        <w:rPr>
          <w:rFonts w:hint="cs"/>
          <w:rtl/>
        </w:rPr>
        <w:t xml:space="preserve"> ונשלחה לגוף שחייב בביצוע התאמות נגישות (להלן - חייב) הודעה הדורשת ממנו לתקנה, יש לו אפשרות לעשות זאת תוך 60 יום, ובמהלך תקופה זו הסטייה לא תיחשב הפרה של</w:t>
      </w:r>
      <w:r>
        <w:rPr>
          <w:rFonts w:hint="cs"/>
          <w:rtl/>
        </w:rPr>
        <w:t xml:space="preserve"> הוראות הנגישות בתקנות. במקרים מסוימים ובדרכים שנקבעו בתקנות יהיה חייב פטור מביצוע התאמה (או התאמות) מסוימת. זאת במקרים שבהם נמצא כי הוא מ</w:t>
      </w:r>
      <w:r>
        <w:rPr>
          <w:rtl/>
        </w:rPr>
        <w:t xml:space="preserve">שתמש </w:t>
      </w:r>
      <w:r>
        <w:rPr>
          <w:rFonts w:hint="cs"/>
          <w:rtl/>
        </w:rPr>
        <w:t xml:space="preserve">לצורך </w:t>
      </w:r>
      <w:r>
        <w:rPr>
          <w:rtl/>
        </w:rPr>
        <w:t>שירותי ה</w:t>
      </w:r>
      <w:r>
        <w:rPr>
          <w:rFonts w:hint="cs"/>
          <w:rtl/>
        </w:rPr>
        <w:t xml:space="preserve">מרשתת </w:t>
      </w:r>
      <w:r>
        <w:rPr>
          <w:rtl/>
        </w:rPr>
        <w:t>שלו בתשתית (פלטפורמה) או בממשק טכנולוגי שאינם מאפשרים מסיבות טכנולוגיות</w:t>
      </w:r>
      <w:r>
        <w:rPr>
          <w:rFonts w:hint="cs"/>
          <w:rtl/>
        </w:rPr>
        <w:t xml:space="preserve"> את ביצוע ההתאמה</w:t>
      </w:r>
      <w:r>
        <w:rPr>
          <w:rtl/>
        </w:rPr>
        <w:t>.</w:t>
      </w:r>
      <w:r>
        <w:rPr>
          <w:rFonts w:hint="cs"/>
          <w:rtl/>
        </w:rPr>
        <w:t xml:space="preserve"> עם ז</w:t>
      </w:r>
      <w:r>
        <w:rPr>
          <w:rFonts w:hint="cs"/>
          <w:rtl/>
        </w:rPr>
        <w:t xml:space="preserve">את, על </w:t>
      </w:r>
      <w:r>
        <w:rPr>
          <w:rtl/>
        </w:rPr>
        <w:t xml:space="preserve">חייב שקיבל פטור </w:t>
      </w:r>
      <w:r>
        <w:rPr>
          <w:rFonts w:hint="cs"/>
          <w:rtl/>
        </w:rPr>
        <w:t>ל</w:t>
      </w:r>
      <w:r>
        <w:rPr>
          <w:rtl/>
        </w:rPr>
        <w:t xml:space="preserve">ספק </w:t>
      </w:r>
      <w:r>
        <w:rPr>
          <w:rFonts w:hint="cs"/>
          <w:rtl/>
        </w:rPr>
        <w:t>הנגשה</w:t>
      </w:r>
      <w:r>
        <w:rPr>
          <w:rtl/>
        </w:rPr>
        <w:t xml:space="preserve"> חלופית ו</w:t>
      </w:r>
      <w:r>
        <w:rPr>
          <w:rFonts w:hint="cs"/>
          <w:rtl/>
        </w:rPr>
        <w:t>ל</w:t>
      </w:r>
      <w:r>
        <w:rPr>
          <w:rtl/>
        </w:rPr>
        <w:t xml:space="preserve">פרסם בהצהרת הנגישות </w:t>
      </w:r>
      <w:r>
        <w:rPr>
          <w:rFonts w:hint="cs"/>
          <w:rtl/>
        </w:rPr>
        <w:t xml:space="preserve">שלו את </w:t>
      </w:r>
      <w:r>
        <w:rPr>
          <w:rtl/>
        </w:rPr>
        <w:t>דבר הפטור ואת ההתאמות החלופיות</w:t>
      </w:r>
      <w:r>
        <w:rPr>
          <w:rStyle w:val="a8"/>
          <w:rtl/>
        </w:rPr>
        <w:footnoteReference w:id="41"/>
      </w:r>
      <w:r>
        <w:rPr>
          <w:rFonts w:hint="cs"/>
          <w:rtl/>
        </w:rPr>
        <w:t>.</w:t>
      </w:r>
    </w:p>
    <w:p w:rsidR="00BF1E3B" w:rsidRPr="00B74C6A" w:rsidRDefault="00DF6A0A" w:rsidP="00B74C6A">
      <w:pPr>
        <w:pStyle w:val="733155"/>
        <w:rPr>
          <w:rtl/>
        </w:rPr>
      </w:pPr>
      <w:r w:rsidRPr="00B74C6A">
        <w:rPr>
          <w:rFonts w:hint="cs"/>
          <w:rtl/>
        </w:rPr>
        <w:t>הנגשה</w:t>
      </w:r>
      <w:r w:rsidRPr="00B74C6A">
        <w:rPr>
          <w:rStyle w:val="33"/>
          <w:rFonts w:eastAsiaTheme="majorEastAsia" w:hint="cs"/>
          <w:bCs/>
          <w:szCs w:val="31"/>
          <w:u w:val="none"/>
          <w:rtl/>
        </w:rPr>
        <w:t xml:space="preserve"> של אתרי מרשתת - ממצאי סקר בקרב 23 גופי ממשל</w:t>
      </w:r>
      <w:r w:rsidRPr="00B74C6A">
        <w:rPr>
          <w:rtl/>
        </w:rPr>
        <w:t xml:space="preserve"> </w:t>
      </w:r>
    </w:p>
    <w:p w:rsidR="00BF1E3B" w:rsidRDefault="00DF6A0A" w:rsidP="00C619CC">
      <w:pPr>
        <w:pStyle w:val="7392"/>
        <w:rPr>
          <w:rtl/>
        </w:rPr>
      </w:pPr>
      <w:r>
        <w:rPr>
          <w:rFonts w:hint="cs"/>
          <w:rtl/>
        </w:rPr>
        <w:t>בשנת 2022 היו בישראל 31 משרדי ממשלה ומעט יותר מ-80 גופי ממשל (להלן - גופי ממשל)</w:t>
      </w:r>
      <w:r>
        <w:rPr>
          <w:rStyle w:val="a8"/>
          <w:rtl/>
        </w:rPr>
        <w:footnoteReference w:id="42"/>
      </w:r>
      <w:r>
        <w:rPr>
          <w:rFonts w:hint="cs"/>
          <w:rtl/>
        </w:rPr>
        <w:t>. גופי הממשל מספקים מידע ושירותים חיוניים לציבור בישראל בתחומים שונים. אתרי המרשתת של גופי הממשל הם ערוץ משמעותי לאזרח, ובאמצעותם הוא צורך שירותים ומידע מגופי הממשל, הדבר משתקף בנתוני מערך הדיגיטל הלאומי על שיעור הצפיות בדפי גופי הממשל במרשתת. להלן בלוח מס</w:t>
      </w:r>
      <w:r>
        <w:rPr>
          <w:rFonts w:hint="cs"/>
          <w:rtl/>
        </w:rPr>
        <w:t xml:space="preserve">פר הצפיות השנתי באתרי המרשתת של </w:t>
      </w:r>
      <w:r w:rsidR="006E4A31">
        <w:rPr>
          <w:rFonts w:hint="cs"/>
          <w:rtl/>
        </w:rPr>
        <w:t>12</w:t>
      </w:r>
      <w:r>
        <w:rPr>
          <w:rFonts w:hint="cs"/>
          <w:rtl/>
        </w:rPr>
        <w:t xml:space="preserve"> גופי הממשל הנצפים ביותר בשנת 2022. </w:t>
      </w:r>
    </w:p>
    <w:p w:rsidR="0062515E" w:rsidRDefault="00DF6A0A">
      <w:pPr>
        <w:bidi w:val="0"/>
        <w:spacing w:after="200" w:line="276" w:lineRule="auto"/>
        <w:rPr>
          <w:rtl/>
        </w:rPr>
      </w:pPr>
      <w:r>
        <w:rPr>
          <w:rtl/>
        </w:rPr>
        <w:br w:type="page"/>
      </w:r>
    </w:p>
    <w:p w:rsidR="00BF1E3B" w:rsidRPr="0062515E" w:rsidRDefault="00DF6A0A" w:rsidP="0062515E">
      <w:pPr>
        <w:pStyle w:val="738"/>
        <w:rPr>
          <w:rtl/>
        </w:rPr>
      </w:pPr>
      <w:r w:rsidRPr="0062515E">
        <w:rPr>
          <w:rFonts w:hint="cs"/>
          <w:b w:val="0"/>
          <w:bCs w:val="0"/>
          <w:rtl/>
        </w:rPr>
        <w:lastRenderedPageBreak/>
        <w:t>לוח 1:</w:t>
      </w:r>
      <w:r w:rsidRPr="0062515E">
        <w:rPr>
          <w:rFonts w:hint="cs"/>
          <w:rtl/>
        </w:rPr>
        <w:t xml:space="preserve"> מספר הצפיות באתרי המרשתת של </w:t>
      </w:r>
      <w:r w:rsidR="00F25780">
        <w:rPr>
          <w:rFonts w:hint="cs"/>
          <w:rtl/>
        </w:rPr>
        <w:t>12</w:t>
      </w:r>
      <w:r w:rsidRPr="0062515E">
        <w:rPr>
          <w:rFonts w:hint="cs"/>
          <w:rtl/>
        </w:rPr>
        <w:t xml:space="preserve"> גופי הממשל הנצפים ביותר בשנת 2022 </w:t>
      </w:r>
    </w:p>
    <w:tbl>
      <w:tblPr>
        <w:tblStyle w:val="a9"/>
        <w:bidiVisual/>
        <w:tblW w:w="5000" w:type="pct"/>
        <w:jc w:val="center"/>
        <w:tblBorders>
          <w:top w:val="none" w:sz="0" w:space="0" w:color="auto"/>
          <w:bottom w:val="none" w:sz="0" w:space="0" w:color="auto"/>
          <w:insideH w:val="none" w:sz="0" w:space="0" w:color="auto"/>
        </w:tblBorders>
        <w:tblLook w:val="04A0" w:firstRow="1" w:lastRow="0" w:firstColumn="1" w:lastColumn="0" w:noHBand="0" w:noVBand="1"/>
      </w:tblPr>
      <w:tblGrid>
        <w:gridCol w:w="4631"/>
        <w:gridCol w:w="2729"/>
      </w:tblGrid>
      <w:tr w:rsidR="007758ED" w:rsidTr="0062515E">
        <w:trPr>
          <w:jc w:val="center"/>
        </w:trPr>
        <w:tc>
          <w:tcPr>
            <w:tcW w:w="3146" w:type="pct"/>
            <w:shd w:val="clear" w:color="auto" w:fill="C8DCE4"/>
          </w:tcPr>
          <w:p w:rsidR="00BF1E3B" w:rsidRPr="0062515E" w:rsidRDefault="00DF6A0A" w:rsidP="0062515E">
            <w:pPr>
              <w:pStyle w:val="73R"/>
              <w:rPr>
                <w:b/>
                <w:bCs/>
              </w:rPr>
            </w:pPr>
            <w:r w:rsidRPr="0062515E">
              <w:rPr>
                <w:b/>
                <w:bCs/>
                <w:rtl/>
              </w:rPr>
              <w:t>גוף הממשל</w:t>
            </w:r>
          </w:p>
        </w:tc>
        <w:tc>
          <w:tcPr>
            <w:tcW w:w="1854" w:type="pct"/>
            <w:shd w:val="clear" w:color="auto" w:fill="C8DCE4"/>
          </w:tcPr>
          <w:p w:rsidR="00BF1E3B" w:rsidRPr="0062515E" w:rsidRDefault="00DF6A0A" w:rsidP="0062515E">
            <w:pPr>
              <w:pStyle w:val="73R"/>
              <w:rPr>
                <w:b/>
                <w:bCs/>
              </w:rPr>
            </w:pPr>
            <w:r w:rsidRPr="0062515E">
              <w:rPr>
                <w:b/>
                <w:bCs/>
                <w:rtl/>
              </w:rPr>
              <w:t>מספר הצפיות</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רשות המיסים בישראל</w:t>
            </w:r>
          </w:p>
        </w:tc>
        <w:tc>
          <w:tcPr>
            <w:tcW w:w="1854" w:type="pct"/>
            <w:shd w:val="clear" w:color="auto" w:fill="DFECEF"/>
          </w:tcPr>
          <w:p w:rsidR="00BF1E3B" w:rsidRPr="0062515E" w:rsidRDefault="00DF6A0A" w:rsidP="0062515E">
            <w:pPr>
              <w:pStyle w:val="73R"/>
            </w:pPr>
            <w:r w:rsidRPr="0062515E">
              <w:t>5,527,746</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רשות מקרקעי ישראל</w:t>
            </w:r>
          </w:p>
        </w:tc>
        <w:tc>
          <w:tcPr>
            <w:tcW w:w="1854" w:type="pct"/>
            <w:shd w:val="clear" w:color="auto" w:fill="F0F8F9"/>
          </w:tcPr>
          <w:p w:rsidR="00BF1E3B" w:rsidRPr="0062515E" w:rsidRDefault="00DF6A0A" w:rsidP="0062515E">
            <w:pPr>
              <w:pStyle w:val="73R"/>
            </w:pPr>
            <w:r w:rsidRPr="0062515E">
              <w:t>1,590,174</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רשות האוכלוסין וההגירה</w:t>
            </w:r>
          </w:p>
        </w:tc>
        <w:tc>
          <w:tcPr>
            <w:tcW w:w="1854" w:type="pct"/>
            <w:shd w:val="clear" w:color="auto" w:fill="DFECEF"/>
          </w:tcPr>
          <w:p w:rsidR="00BF1E3B" w:rsidRPr="0062515E" w:rsidRDefault="00DF6A0A" w:rsidP="0062515E">
            <w:pPr>
              <w:pStyle w:val="73R"/>
            </w:pPr>
            <w:r w:rsidRPr="0062515E">
              <w:t>1,552,927</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משרד הבריאות</w:t>
            </w:r>
          </w:p>
        </w:tc>
        <w:tc>
          <w:tcPr>
            <w:tcW w:w="1854" w:type="pct"/>
            <w:shd w:val="clear" w:color="auto" w:fill="F0F8F9"/>
          </w:tcPr>
          <w:p w:rsidR="00BF1E3B" w:rsidRPr="0062515E" w:rsidRDefault="00DF6A0A" w:rsidP="0062515E">
            <w:pPr>
              <w:pStyle w:val="73R"/>
            </w:pPr>
            <w:r w:rsidRPr="0062515E">
              <w:t>1,338,248</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משרד התחבורה והבטיחות בדרכים</w:t>
            </w:r>
          </w:p>
        </w:tc>
        <w:tc>
          <w:tcPr>
            <w:tcW w:w="1854" w:type="pct"/>
            <w:shd w:val="clear" w:color="auto" w:fill="DFECEF"/>
          </w:tcPr>
          <w:p w:rsidR="00BF1E3B" w:rsidRPr="0062515E" w:rsidRDefault="00DF6A0A" w:rsidP="0062515E">
            <w:pPr>
              <w:pStyle w:val="73R"/>
            </w:pPr>
            <w:r w:rsidRPr="0062515E">
              <w:t>1,257,464</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משרד הפנים</w:t>
            </w:r>
          </w:p>
        </w:tc>
        <w:tc>
          <w:tcPr>
            <w:tcW w:w="1854" w:type="pct"/>
            <w:shd w:val="clear" w:color="auto" w:fill="F0F8F9"/>
          </w:tcPr>
          <w:p w:rsidR="00BF1E3B" w:rsidRPr="0062515E" w:rsidRDefault="00DF6A0A" w:rsidP="0062515E">
            <w:pPr>
              <w:pStyle w:val="73R"/>
            </w:pPr>
            <w:r w:rsidRPr="0062515E">
              <w:t>1,225,220</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רשות האכיפה והגבייה</w:t>
            </w:r>
          </w:p>
        </w:tc>
        <w:tc>
          <w:tcPr>
            <w:tcW w:w="1854" w:type="pct"/>
            <w:shd w:val="clear" w:color="auto" w:fill="DFECEF"/>
          </w:tcPr>
          <w:p w:rsidR="00BF1E3B" w:rsidRPr="0062515E" w:rsidRDefault="00DF6A0A" w:rsidP="0062515E">
            <w:pPr>
              <w:pStyle w:val="73R"/>
            </w:pPr>
            <w:r w:rsidRPr="0062515E">
              <w:t>1,151,289</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משרד המשפטים</w:t>
            </w:r>
          </w:p>
        </w:tc>
        <w:tc>
          <w:tcPr>
            <w:tcW w:w="1854" w:type="pct"/>
            <w:shd w:val="clear" w:color="auto" w:fill="F0F8F9"/>
          </w:tcPr>
          <w:p w:rsidR="00BF1E3B" w:rsidRPr="0062515E" w:rsidRDefault="00DF6A0A" w:rsidP="0062515E">
            <w:pPr>
              <w:pStyle w:val="73R"/>
            </w:pPr>
            <w:r w:rsidRPr="0062515E">
              <w:t>1,040,837</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משטרת ישראל</w:t>
            </w:r>
          </w:p>
        </w:tc>
        <w:tc>
          <w:tcPr>
            <w:tcW w:w="1854" w:type="pct"/>
            <w:shd w:val="clear" w:color="auto" w:fill="DFECEF"/>
          </w:tcPr>
          <w:p w:rsidR="00BF1E3B" w:rsidRPr="0062515E" w:rsidRDefault="00DF6A0A" w:rsidP="0062515E">
            <w:pPr>
              <w:pStyle w:val="73R"/>
            </w:pPr>
            <w:r w:rsidRPr="0062515E">
              <w:t>737,888</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הרשות השופטת</w:t>
            </w:r>
          </w:p>
        </w:tc>
        <w:tc>
          <w:tcPr>
            <w:tcW w:w="1854" w:type="pct"/>
            <w:shd w:val="clear" w:color="auto" w:fill="F0F8F9"/>
          </w:tcPr>
          <w:p w:rsidR="00BF1E3B" w:rsidRPr="0062515E" w:rsidRDefault="00DF6A0A" w:rsidP="0062515E">
            <w:pPr>
              <w:pStyle w:val="73R"/>
            </w:pPr>
            <w:r w:rsidRPr="0062515E">
              <w:t>681,883</w:t>
            </w:r>
          </w:p>
        </w:tc>
      </w:tr>
      <w:tr w:rsidR="007758ED" w:rsidTr="0062515E">
        <w:trPr>
          <w:jc w:val="center"/>
        </w:trPr>
        <w:tc>
          <w:tcPr>
            <w:tcW w:w="3146" w:type="pct"/>
            <w:shd w:val="clear" w:color="auto" w:fill="DFECEF"/>
          </w:tcPr>
          <w:p w:rsidR="00BF1E3B" w:rsidRPr="0062515E" w:rsidRDefault="00DF6A0A" w:rsidP="0062515E">
            <w:pPr>
              <w:pStyle w:val="73R"/>
              <w:rPr>
                <w:rtl/>
              </w:rPr>
            </w:pPr>
            <w:r w:rsidRPr="0062515E">
              <w:rPr>
                <w:rtl/>
              </w:rPr>
              <w:t>משרד הבינוי והשיכון</w:t>
            </w:r>
          </w:p>
        </w:tc>
        <w:tc>
          <w:tcPr>
            <w:tcW w:w="1854" w:type="pct"/>
            <w:shd w:val="clear" w:color="auto" w:fill="DFECEF"/>
          </w:tcPr>
          <w:p w:rsidR="00BF1E3B" w:rsidRPr="0062515E" w:rsidRDefault="00DF6A0A" w:rsidP="0062515E">
            <w:pPr>
              <w:pStyle w:val="73R"/>
            </w:pPr>
            <w:r w:rsidRPr="0062515E">
              <w:t>466,541</w:t>
            </w:r>
          </w:p>
        </w:tc>
      </w:tr>
      <w:tr w:rsidR="007758ED" w:rsidTr="0062515E">
        <w:trPr>
          <w:jc w:val="center"/>
        </w:trPr>
        <w:tc>
          <w:tcPr>
            <w:tcW w:w="3146" w:type="pct"/>
            <w:shd w:val="clear" w:color="auto" w:fill="F0F8F9"/>
          </w:tcPr>
          <w:p w:rsidR="00BF1E3B" w:rsidRPr="0062515E" w:rsidRDefault="00DF6A0A" w:rsidP="0062515E">
            <w:pPr>
              <w:pStyle w:val="73R"/>
              <w:rPr>
                <w:rtl/>
              </w:rPr>
            </w:pPr>
            <w:r w:rsidRPr="0062515E">
              <w:rPr>
                <w:rtl/>
              </w:rPr>
              <w:t>רשות שוק ההון, ביטוח וחיסכון</w:t>
            </w:r>
          </w:p>
        </w:tc>
        <w:tc>
          <w:tcPr>
            <w:tcW w:w="1854" w:type="pct"/>
            <w:shd w:val="clear" w:color="auto" w:fill="F0F8F9"/>
          </w:tcPr>
          <w:p w:rsidR="00BF1E3B" w:rsidRPr="0062515E" w:rsidRDefault="00DF6A0A" w:rsidP="0062515E">
            <w:pPr>
              <w:pStyle w:val="73R"/>
            </w:pPr>
            <w:r w:rsidRPr="0062515E">
              <w:t>406,667</w:t>
            </w:r>
          </w:p>
        </w:tc>
      </w:tr>
    </w:tbl>
    <w:p w:rsidR="00BF1E3B" w:rsidRPr="0062515E" w:rsidRDefault="00DF6A0A" w:rsidP="0062515E">
      <w:pPr>
        <w:pStyle w:val="73e"/>
        <w:rPr>
          <w:rtl/>
        </w:rPr>
      </w:pPr>
      <w:r w:rsidRPr="0062515E">
        <w:rPr>
          <w:rFonts w:hint="cs"/>
          <w:rtl/>
        </w:rPr>
        <w:t>על פי מערך הדיגיטל הלאומי, בעיבוד משרד מבקר המדינה.</w:t>
      </w:r>
    </w:p>
    <w:p w:rsidR="00BF1E3B" w:rsidRDefault="00DF6A0A" w:rsidP="00C619CC">
      <w:pPr>
        <w:pStyle w:val="7392"/>
        <w:rPr>
          <w:rtl/>
        </w:rPr>
      </w:pPr>
      <w:r>
        <w:rPr>
          <w:rFonts w:hint="cs"/>
          <w:rtl/>
        </w:rPr>
        <w:t xml:space="preserve">כדי לבחון את נגישות </w:t>
      </w:r>
      <w:r w:rsidRPr="006F2840">
        <w:rPr>
          <w:rtl/>
        </w:rPr>
        <w:t>השירותים הממשלתיים בעידן הדיגיטלי</w:t>
      </w:r>
      <w:r>
        <w:rPr>
          <w:rFonts w:hint="cs"/>
          <w:rtl/>
        </w:rPr>
        <w:t xml:space="preserve"> מנקודת מבטם של הגופים הממשלתיים עשה </w:t>
      </w:r>
      <w:r w:rsidRPr="00710FFF">
        <w:rPr>
          <w:rFonts w:hint="cs"/>
          <w:rtl/>
        </w:rPr>
        <w:t>משרד מבקר המדינה באוגוסט 2022 סקר בקרב 26 גופי</w:t>
      </w:r>
      <w:r>
        <w:rPr>
          <w:rFonts w:hint="cs"/>
          <w:rtl/>
        </w:rPr>
        <w:t xml:space="preserve"> ממשל</w:t>
      </w:r>
      <w:r>
        <w:rPr>
          <w:rStyle w:val="a8"/>
          <w:rFonts w:ascii="David" w:eastAsia="Calibri" w:hAnsi="David"/>
          <w:sz w:val="24"/>
          <w:rtl/>
        </w:rPr>
        <w:footnoteReference w:id="43"/>
      </w:r>
      <w:r>
        <w:rPr>
          <w:rFonts w:hint="cs"/>
          <w:rtl/>
        </w:rPr>
        <w:t>. הסקר נעשה</w:t>
      </w:r>
      <w:r w:rsidRPr="00710FFF">
        <w:rPr>
          <w:rFonts w:hint="cs"/>
          <w:rtl/>
        </w:rPr>
        <w:t xml:space="preserve"> באמצעות שאלון ממוחשב. עד לסוף חודש אוקטובר 2022 השיבו </w:t>
      </w:r>
      <w:r>
        <w:rPr>
          <w:rFonts w:hint="cs"/>
          <w:rtl/>
        </w:rPr>
        <w:t>ע</w:t>
      </w:r>
      <w:r w:rsidRPr="00710FFF">
        <w:rPr>
          <w:rFonts w:hint="cs"/>
          <w:rtl/>
        </w:rPr>
        <w:t>ל</w:t>
      </w:r>
      <w:r>
        <w:rPr>
          <w:rFonts w:hint="cs"/>
          <w:rtl/>
        </w:rPr>
        <w:t xml:space="preserve"> ה</w:t>
      </w:r>
      <w:r w:rsidRPr="00710FFF">
        <w:rPr>
          <w:rFonts w:hint="cs"/>
          <w:rtl/>
        </w:rPr>
        <w:t>סקר 23 גופי</w:t>
      </w:r>
      <w:r>
        <w:rPr>
          <w:rFonts w:hint="cs"/>
          <w:rtl/>
        </w:rPr>
        <w:t>ם</w:t>
      </w:r>
      <w:r w:rsidRPr="00710FFF">
        <w:rPr>
          <w:rFonts w:hint="cs"/>
          <w:rtl/>
        </w:rPr>
        <w:t xml:space="preserve"> (88% מן הגופים </w:t>
      </w:r>
      <w:r>
        <w:rPr>
          <w:rFonts w:hint="cs"/>
          <w:rtl/>
        </w:rPr>
        <w:t>שאליהם</w:t>
      </w:r>
      <w:r w:rsidRPr="00710FFF">
        <w:rPr>
          <w:rFonts w:hint="cs"/>
          <w:rtl/>
        </w:rPr>
        <w:t xml:space="preserve"> נשלח הסקר</w:t>
      </w:r>
      <w:r>
        <w:rPr>
          <w:rFonts w:hint="cs"/>
          <w:rtl/>
        </w:rPr>
        <w:t>), ותשובותיהם נכללו בניתוח הממצאים</w:t>
      </w:r>
      <w:r>
        <w:rPr>
          <w:rStyle w:val="a8"/>
          <w:rFonts w:ascii="David" w:eastAsia="Calibri" w:hAnsi="David"/>
          <w:sz w:val="24"/>
          <w:rtl/>
        </w:rPr>
        <w:footnoteReference w:id="44"/>
      </w:r>
      <w:r w:rsidRPr="00710FFF">
        <w:rPr>
          <w:rFonts w:hint="cs"/>
          <w:rtl/>
        </w:rPr>
        <w:t xml:space="preserve">. מטרת הסקר הייתה </w:t>
      </w:r>
      <w:r w:rsidRPr="00710FFF">
        <w:rPr>
          <w:rFonts w:hint="eastAsia"/>
          <w:rtl/>
        </w:rPr>
        <w:t>ל</w:t>
      </w:r>
      <w:r>
        <w:rPr>
          <w:rFonts w:hint="cs"/>
          <w:rtl/>
        </w:rPr>
        <w:t xml:space="preserve">למוד מתשובות גופי ממשל, כפי שכל אחד מעיד על עצמו, על </w:t>
      </w:r>
      <w:r w:rsidRPr="00710FFF">
        <w:rPr>
          <w:rtl/>
        </w:rPr>
        <w:t xml:space="preserve">רמת ההנגשה של אתרי </w:t>
      </w:r>
      <w:r>
        <w:rPr>
          <w:rFonts w:hint="cs"/>
          <w:rtl/>
        </w:rPr>
        <w:lastRenderedPageBreak/>
        <w:t>ה</w:t>
      </w:r>
      <w:r w:rsidRPr="00710FFF">
        <w:rPr>
          <w:rtl/>
        </w:rPr>
        <w:t xml:space="preserve">מרשתת </w:t>
      </w:r>
      <w:r>
        <w:rPr>
          <w:rFonts w:hint="cs"/>
          <w:rtl/>
        </w:rPr>
        <w:t>שלהם המספקים מידע וש</w:t>
      </w:r>
      <w:r>
        <w:rPr>
          <w:rFonts w:hint="cs"/>
          <w:rtl/>
        </w:rPr>
        <w:t>ירות לציבור (נכון לשנת 2022)</w:t>
      </w:r>
      <w:r>
        <w:rPr>
          <w:vertAlign w:val="superscript"/>
          <w:rtl/>
        </w:rPr>
        <w:footnoteReference w:id="45"/>
      </w:r>
      <w:r w:rsidRPr="00710FFF">
        <w:rPr>
          <w:rFonts w:hint="cs"/>
          <w:rtl/>
        </w:rPr>
        <w:t xml:space="preserve">. </w:t>
      </w:r>
      <w:r>
        <w:rPr>
          <w:rFonts w:hint="cs"/>
          <w:rtl/>
        </w:rPr>
        <w:t xml:space="preserve">להלן עיקרי הממצאים שעלו מן הסקר.    </w:t>
      </w:r>
    </w:p>
    <w:p w:rsidR="00BF1E3B" w:rsidRPr="00B74C6A" w:rsidRDefault="00DF6A0A" w:rsidP="00B74C6A">
      <w:pPr>
        <w:pStyle w:val="73414"/>
        <w:rPr>
          <w:rtl/>
        </w:rPr>
      </w:pPr>
      <w:r w:rsidRPr="00B74C6A">
        <w:rPr>
          <w:rFonts w:hint="eastAsia"/>
          <w:rtl/>
        </w:rPr>
        <w:t>מינוי</w:t>
      </w:r>
      <w:r w:rsidRPr="00B74C6A">
        <w:rPr>
          <w:rtl/>
        </w:rPr>
        <w:t xml:space="preserve"> </w:t>
      </w:r>
      <w:r w:rsidRPr="00B74C6A">
        <w:rPr>
          <w:rFonts w:hint="eastAsia"/>
          <w:rtl/>
        </w:rPr>
        <w:t>רכז</w:t>
      </w:r>
      <w:r w:rsidRPr="00B74C6A">
        <w:rPr>
          <w:rtl/>
        </w:rPr>
        <w:t xml:space="preserve"> </w:t>
      </w:r>
      <w:r w:rsidRPr="00B74C6A">
        <w:rPr>
          <w:rFonts w:hint="eastAsia"/>
          <w:rtl/>
        </w:rPr>
        <w:t>נגישות</w:t>
      </w:r>
      <w:r w:rsidRPr="00B74C6A">
        <w:rPr>
          <w:rtl/>
        </w:rPr>
        <w:t xml:space="preserve"> </w:t>
      </w:r>
    </w:p>
    <w:p w:rsidR="00BF1E3B" w:rsidRDefault="00DF6A0A" w:rsidP="00C619CC">
      <w:pPr>
        <w:pStyle w:val="7392"/>
        <w:rPr>
          <w:rtl/>
        </w:rPr>
      </w:pPr>
      <w:r>
        <w:rPr>
          <w:rFonts w:hint="cs"/>
          <w:rtl/>
        </w:rPr>
        <w:t>על גופי ממשל חלה חובה שנקבעה בחוק</w:t>
      </w:r>
      <w:r>
        <w:rPr>
          <w:rStyle w:val="a8"/>
          <w:rtl/>
        </w:rPr>
        <w:footnoteReference w:id="46"/>
      </w:r>
      <w:r w:rsidRPr="00E00E47">
        <w:rPr>
          <w:rFonts w:hint="cs"/>
          <w:rtl/>
        </w:rPr>
        <w:t xml:space="preserve"> </w:t>
      </w:r>
      <w:r>
        <w:rPr>
          <w:rFonts w:hint="cs"/>
          <w:rtl/>
        </w:rPr>
        <w:t>למנות רכז נגישות. תפקידו של רכז הנגישות הוא לתת לגוף הממשלתי</w:t>
      </w:r>
      <w:r w:rsidRPr="006260EA">
        <w:rPr>
          <w:rtl/>
        </w:rPr>
        <w:t xml:space="preserve"> ייעוץ והדרכה בדבר חובותיו </w:t>
      </w:r>
      <w:r>
        <w:rPr>
          <w:rFonts w:hint="cs"/>
          <w:rtl/>
        </w:rPr>
        <w:t>בנוגע להנגשת שירותיו ומתקניו. כמו כן עליו ל</w:t>
      </w:r>
      <w:r w:rsidRPr="00E00E47">
        <w:rPr>
          <w:rtl/>
        </w:rPr>
        <w:t xml:space="preserve">מסור </w:t>
      </w:r>
      <w:r w:rsidRPr="00E00E47">
        <w:rPr>
          <w:rtl/>
        </w:rPr>
        <w:t>מידע לציבור על אודות נגישותו של השירות הציבורי או המקום שבו הוא ניתן.</w:t>
      </w:r>
      <w:r>
        <w:rPr>
          <w:rFonts w:hint="cs"/>
          <w:rtl/>
        </w:rPr>
        <w:t xml:space="preserve"> </w:t>
      </w:r>
    </w:p>
    <w:p w:rsidR="00BF1E3B" w:rsidRDefault="00DF6A0A" w:rsidP="00C619CC">
      <w:pPr>
        <w:pStyle w:val="7392"/>
        <w:rPr>
          <w:rtl/>
        </w:rPr>
      </w:pPr>
      <w:r>
        <w:rPr>
          <w:rFonts w:hint="cs"/>
          <w:rtl/>
        </w:rPr>
        <w:t>יצוין כי ישנם גופים שבהם קיימת חלוקה בין גורמי מקצוע שונים שאחראים לנגישות בהיבטים שונים - למשל נגישות של מבנים או נגישותו של אתר המרשתת של הגוף. לעומת זאת, רכז הנגישות מופקד על נושא הה</w:t>
      </w:r>
      <w:r>
        <w:rPr>
          <w:rFonts w:hint="cs"/>
          <w:rtl/>
        </w:rPr>
        <w:t xml:space="preserve">נגשה ברמה הכללית והוא הכתובת לפניות הציבור בנושא - למענה על שאלות המופנות אליו, לטיפול בתלונות ובבקשות ולסיוע בנושאי נגישות. </w:t>
      </w:r>
    </w:p>
    <w:p w:rsidR="00BF1E3B" w:rsidRPr="00317ADC" w:rsidRDefault="00DF6A0A" w:rsidP="00317ADC">
      <w:pPr>
        <w:pStyle w:val="735"/>
        <w:rPr>
          <w:rtl/>
        </w:rPr>
      </w:pPr>
      <w:r w:rsidRPr="00317ADC">
        <w:rPr>
          <w:rFonts w:hint="cs"/>
          <w:rtl/>
        </w:rPr>
        <w:t>לגבי 23 גופי הממשל שהשיבו על הסקר שעשה משרד מבקר המדינה, עלה כי שלושה מהם (13%) ציינו כי לא מינו עובד לתפקיד רכז נגישות - משרד הפנ</w:t>
      </w:r>
      <w:r w:rsidRPr="00317ADC">
        <w:rPr>
          <w:rFonts w:hint="cs"/>
          <w:rtl/>
        </w:rPr>
        <w:t>ים, המשרד לשירותי דת, וועדת הבחירות המרכזית. זאת אף שמינוי כאמור נדרש על פי החוק</w:t>
      </w:r>
      <w:r w:rsidRPr="00317ADC">
        <w:rPr>
          <w:rtl/>
        </w:rPr>
        <w:t xml:space="preserve"> ממי שנותן שירות לציבור ומעסיק מעל 25 עובדים</w:t>
      </w:r>
      <w:r w:rsidRPr="00317ADC">
        <w:rPr>
          <w:rFonts w:hint="cs"/>
          <w:rtl/>
        </w:rPr>
        <w:t xml:space="preserve">, הן כדי שיהיה גורם משרדי ייעודי לקידום הפעילות המשרדית בתחום והן </w:t>
      </w:r>
      <w:r w:rsidRPr="00317ADC">
        <w:rPr>
          <w:rFonts w:hint="eastAsia"/>
          <w:rtl/>
        </w:rPr>
        <w:t>כדי</w:t>
      </w:r>
      <w:r w:rsidRPr="00317ADC">
        <w:rPr>
          <w:rtl/>
        </w:rPr>
        <w:t xml:space="preserve"> שתהיה </w:t>
      </w:r>
      <w:r w:rsidRPr="00317ADC">
        <w:rPr>
          <w:rFonts w:hint="cs"/>
          <w:rtl/>
        </w:rPr>
        <w:t xml:space="preserve">כתובת לפניות הציבור בנושא. </w:t>
      </w:r>
    </w:p>
    <w:p w:rsidR="00BF1E3B" w:rsidRPr="00317ADC" w:rsidRDefault="00DF6A0A" w:rsidP="00317ADC">
      <w:pPr>
        <w:pStyle w:val="735"/>
        <w:rPr>
          <w:rtl/>
        </w:rPr>
      </w:pPr>
      <w:r w:rsidRPr="00317ADC">
        <w:rPr>
          <w:rFonts w:hint="cs"/>
          <w:rtl/>
        </w:rPr>
        <w:t>אי-מינוי רכז נגישות הוא הפרה</w:t>
      </w:r>
      <w:r w:rsidRPr="00317ADC">
        <w:rPr>
          <w:rFonts w:hint="cs"/>
          <w:rtl/>
        </w:rPr>
        <w:t xml:space="preserve"> של דרישות החוק, ויש בו כדי לפגוע בשירות הנדרש לאנשים עם מוגבלות. על משרד הפנים, המשרד לשירותי דת ווועדת הבחירות המרכזית לפעול למינוי רכז נגישות כדין. </w:t>
      </w:r>
    </w:p>
    <w:p w:rsidR="00BF1E3B" w:rsidRPr="00A03087" w:rsidRDefault="00DF6A0A" w:rsidP="00C619CC">
      <w:pPr>
        <w:pStyle w:val="7392"/>
        <w:rPr>
          <w:rtl/>
        </w:rPr>
      </w:pPr>
      <w:r>
        <w:rPr>
          <w:rFonts w:hint="cs"/>
          <w:rtl/>
        </w:rPr>
        <w:t xml:space="preserve">בתשובותיהם למשרד מבקר המדינה מינואר ופברואר 2023 מסרו הגופים מידע על הפעולות שביצעו או שבכוונתם לבצע </w:t>
      </w:r>
      <w:r w:rsidRPr="006E3505">
        <w:rPr>
          <w:rFonts w:hint="cs"/>
          <w:b/>
          <w:bCs/>
          <w:rtl/>
        </w:rPr>
        <w:t>בעקבות הביקורת</w:t>
      </w:r>
      <w:r w:rsidRPr="007E3B2F">
        <w:rPr>
          <w:rFonts w:hint="cs"/>
          <w:rtl/>
        </w:rPr>
        <w:t>,</w:t>
      </w:r>
      <w:r>
        <w:rPr>
          <w:rFonts w:hint="cs"/>
          <w:rtl/>
        </w:rPr>
        <w:t xml:space="preserve"> כדלהלן: </w:t>
      </w:r>
      <w:r>
        <w:rPr>
          <w:rFonts w:hint="cs"/>
          <w:b/>
          <w:bCs/>
          <w:rtl/>
        </w:rPr>
        <w:t xml:space="preserve">לאחר הביקורת עדכן </w:t>
      </w:r>
      <w:r w:rsidRPr="007E3B2F">
        <w:rPr>
          <w:rFonts w:hint="cs"/>
          <w:b/>
          <w:bCs/>
          <w:rtl/>
        </w:rPr>
        <w:t>משרד הפנים</w:t>
      </w:r>
      <w:r>
        <w:rPr>
          <w:rFonts w:hint="cs"/>
          <w:rtl/>
        </w:rPr>
        <w:t xml:space="preserve"> כי </w:t>
      </w:r>
      <w:r>
        <w:rPr>
          <w:rtl/>
        </w:rPr>
        <w:t>מנהלת אגף בכיר טכנולוגיות דיגיטליות ומידע אחראית לנגישות ב</w:t>
      </w:r>
      <w:r>
        <w:rPr>
          <w:rFonts w:hint="cs"/>
          <w:rtl/>
        </w:rPr>
        <w:t>שירותי ה</w:t>
      </w:r>
      <w:r>
        <w:rPr>
          <w:rtl/>
        </w:rPr>
        <w:t xml:space="preserve">מרשתת </w:t>
      </w:r>
      <w:r>
        <w:rPr>
          <w:rFonts w:hint="cs"/>
          <w:rtl/>
        </w:rPr>
        <w:t xml:space="preserve">של </w:t>
      </w:r>
      <w:r>
        <w:rPr>
          <w:rtl/>
        </w:rPr>
        <w:t>משרד</w:t>
      </w:r>
      <w:r>
        <w:rPr>
          <w:rFonts w:hint="cs"/>
          <w:rtl/>
        </w:rPr>
        <w:t xml:space="preserve"> הפנים, וכי בינואר 2023 </w:t>
      </w:r>
      <w:r>
        <w:rPr>
          <w:rtl/>
        </w:rPr>
        <w:t xml:space="preserve">מינה </w:t>
      </w:r>
      <w:r>
        <w:rPr>
          <w:rFonts w:hint="cs"/>
          <w:rtl/>
        </w:rPr>
        <w:t xml:space="preserve">עובדת לטיפול בנושא הנגישות. </w:t>
      </w:r>
      <w:r w:rsidRPr="007E3B2F">
        <w:rPr>
          <w:rFonts w:hint="cs"/>
          <w:b/>
          <w:bCs/>
          <w:rtl/>
        </w:rPr>
        <w:t>המשרד לשירותי דת</w:t>
      </w:r>
      <w:r>
        <w:rPr>
          <w:rFonts w:hint="cs"/>
          <w:rtl/>
        </w:rPr>
        <w:t xml:space="preserve"> מסר בתשובתו מינואר </w:t>
      </w:r>
      <w:r w:rsidRPr="005E3674">
        <w:rPr>
          <w:rFonts w:hint="cs"/>
          <w:rtl/>
        </w:rPr>
        <w:t>2023 כי ימנה רכז נגישות</w:t>
      </w:r>
      <w:r>
        <w:rPr>
          <w:rFonts w:hint="cs"/>
          <w:rtl/>
        </w:rPr>
        <w:t xml:space="preserve"> ו</w:t>
      </w:r>
      <w:r w:rsidRPr="005E3674">
        <w:rPr>
          <w:rFonts w:hint="cs"/>
          <w:rtl/>
        </w:rPr>
        <w:t>בפב</w:t>
      </w:r>
      <w:r w:rsidRPr="005E3674">
        <w:rPr>
          <w:rFonts w:hint="cs"/>
          <w:rtl/>
        </w:rPr>
        <w:t>רואר 2023</w:t>
      </w:r>
      <w:r>
        <w:rPr>
          <w:rFonts w:hint="cs"/>
          <w:rtl/>
        </w:rPr>
        <w:t xml:space="preserve"> כתב כי מינה רכז נגישות. </w:t>
      </w:r>
      <w:r w:rsidRPr="007E3B2F">
        <w:rPr>
          <w:rFonts w:hint="cs"/>
          <w:b/>
          <w:bCs/>
          <w:rtl/>
        </w:rPr>
        <w:t>ועדת הבחירות המרכזית</w:t>
      </w:r>
      <w:r>
        <w:rPr>
          <w:rFonts w:hint="cs"/>
          <w:rtl/>
        </w:rPr>
        <w:t xml:space="preserve"> מסרה כי "ב</w:t>
      </w:r>
      <w:r>
        <w:rPr>
          <w:rtl/>
        </w:rPr>
        <w:t>זמן הקרוב ימונה רכז נגישות,</w:t>
      </w:r>
      <w:r>
        <w:rPr>
          <w:rFonts w:hint="cs"/>
          <w:rtl/>
        </w:rPr>
        <w:t xml:space="preserve"> </w:t>
      </w:r>
      <w:r>
        <w:rPr>
          <w:rtl/>
        </w:rPr>
        <w:t>בהתאם לדין</w:t>
      </w:r>
      <w:r>
        <w:rPr>
          <w:rFonts w:hint="cs"/>
          <w:rtl/>
        </w:rPr>
        <w:t>".</w:t>
      </w:r>
    </w:p>
    <w:p w:rsidR="00BF1E3B" w:rsidRPr="00317ADC" w:rsidRDefault="00DF6A0A" w:rsidP="00317ADC">
      <w:pPr>
        <w:pStyle w:val="73414"/>
        <w:rPr>
          <w:rtl/>
        </w:rPr>
      </w:pPr>
      <w:r w:rsidRPr="00317ADC">
        <w:rPr>
          <w:rStyle w:val="40"/>
          <w:rFonts w:eastAsiaTheme="majorEastAsia" w:hint="eastAsia"/>
          <w:bCs/>
          <w:szCs w:val="28"/>
          <w:rtl/>
        </w:rPr>
        <w:t>הנגשת</w:t>
      </w:r>
      <w:r w:rsidRPr="00317ADC">
        <w:rPr>
          <w:rStyle w:val="40"/>
          <w:rFonts w:eastAsiaTheme="majorEastAsia"/>
          <w:bCs/>
          <w:szCs w:val="28"/>
          <w:rtl/>
        </w:rPr>
        <w:t xml:space="preserve"> אתר</w:t>
      </w:r>
      <w:r w:rsidRPr="00317ADC">
        <w:rPr>
          <w:rStyle w:val="40"/>
          <w:rFonts w:eastAsiaTheme="majorEastAsia" w:hint="cs"/>
          <w:bCs/>
          <w:szCs w:val="28"/>
          <w:rtl/>
        </w:rPr>
        <w:t>י</w:t>
      </w:r>
      <w:r w:rsidRPr="00317ADC">
        <w:rPr>
          <w:rStyle w:val="40"/>
          <w:rFonts w:eastAsiaTheme="majorEastAsia"/>
          <w:bCs/>
          <w:szCs w:val="28"/>
          <w:rtl/>
        </w:rPr>
        <w:t xml:space="preserve"> מרשתת </w:t>
      </w:r>
      <w:r w:rsidRPr="00317ADC">
        <w:rPr>
          <w:rStyle w:val="40"/>
          <w:rFonts w:eastAsiaTheme="majorEastAsia" w:hint="cs"/>
          <w:bCs/>
          <w:szCs w:val="28"/>
          <w:rtl/>
        </w:rPr>
        <w:t>של גופי ממשל</w:t>
      </w:r>
    </w:p>
    <w:p w:rsidR="00BF1E3B" w:rsidRPr="00B03A79" w:rsidRDefault="00DF6A0A" w:rsidP="00006C1F">
      <w:pPr>
        <w:pStyle w:val="7392"/>
        <w:rPr>
          <w:rtl/>
        </w:rPr>
      </w:pPr>
      <w:r>
        <w:rPr>
          <w:rFonts w:hint="cs"/>
          <w:rtl/>
        </w:rPr>
        <w:t xml:space="preserve">על פי הדין נדרשים כאמור הגופים הממשלתיים להנגיש לאנשים עם מוגבלות את אתרי המרשתת שלהם המספקים מידע ושירות לציבור. התקנות והתקן הישראלי מתייחסים באופן פרטני לרכיבים באתרי המרשתת וקובעים שנדרש להנגישם. </w:t>
      </w:r>
      <w:r>
        <w:rPr>
          <w:rFonts w:ascii="David" w:eastAsia="Calibri" w:hAnsi="David" w:hint="cs"/>
          <w:sz w:val="24"/>
          <w:rtl/>
        </w:rPr>
        <w:t>כך למשל נקבע ב</w:t>
      </w:r>
      <w:r w:rsidRPr="000813BA">
        <w:rPr>
          <w:rFonts w:ascii="David" w:eastAsia="Calibri" w:hAnsi="David" w:hint="cs"/>
          <w:sz w:val="24"/>
          <w:rtl/>
        </w:rPr>
        <w:t>תקנות</w:t>
      </w:r>
      <w:r>
        <w:rPr>
          <w:rStyle w:val="a8"/>
          <w:rFonts w:ascii="David" w:eastAsia="Calibri" w:hAnsi="David"/>
          <w:sz w:val="24"/>
          <w:rtl/>
        </w:rPr>
        <w:footnoteReference w:id="47"/>
      </w:r>
      <w:r>
        <w:rPr>
          <w:rFonts w:ascii="David" w:eastAsia="Calibri" w:hAnsi="David" w:hint="cs"/>
          <w:sz w:val="24"/>
          <w:rtl/>
        </w:rPr>
        <w:t xml:space="preserve"> </w:t>
      </w:r>
      <w:r w:rsidRPr="000813BA">
        <w:rPr>
          <w:rFonts w:ascii="David" w:eastAsia="Calibri" w:hAnsi="David" w:hint="cs"/>
          <w:sz w:val="24"/>
          <w:rtl/>
        </w:rPr>
        <w:t xml:space="preserve">כי יש </w:t>
      </w:r>
      <w:r w:rsidRPr="000813BA">
        <w:rPr>
          <w:rFonts w:ascii="David" w:eastAsia="Calibri" w:hAnsi="David" w:hint="cs"/>
          <w:sz w:val="24"/>
          <w:rtl/>
        </w:rPr>
        <w:lastRenderedPageBreak/>
        <w:t>להנגיש</w:t>
      </w:r>
      <w:r>
        <w:rPr>
          <w:rFonts w:ascii="David" w:eastAsia="Calibri" w:hAnsi="David" w:hint="cs"/>
          <w:sz w:val="24"/>
          <w:rtl/>
        </w:rPr>
        <w:t xml:space="preserve"> לפי התקן</w:t>
      </w:r>
      <w:r w:rsidRPr="000813BA">
        <w:rPr>
          <w:rFonts w:ascii="David" w:eastAsia="Calibri" w:hAnsi="David" w:hint="cs"/>
          <w:sz w:val="24"/>
          <w:rtl/>
        </w:rPr>
        <w:t xml:space="preserve"> כל מסמך</w:t>
      </w:r>
      <w:r>
        <w:rPr>
          <w:rFonts w:ascii="David" w:eastAsia="Calibri" w:hAnsi="David" w:hint="cs"/>
          <w:sz w:val="24"/>
          <w:rtl/>
        </w:rPr>
        <w:t xml:space="preserve"> שהוכן מיום 26.10.17 ו</w:t>
      </w:r>
      <w:r w:rsidRPr="000813BA">
        <w:rPr>
          <w:rFonts w:ascii="David" w:eastAsia="Calibri" w:hAnsi="David" w:hint="cs"/>
          <w:sz w:val="24"/>
          <w:rtl/>
        </w:rPr>
        <w:t>שהועלה לאתר המרשתת</w:t>
      </w:r>
      <w:r>
        <w:rPr>
          <w:rStyle w:val="a8"/>
          <w:rFonts w:ascii="David" w:eastAsia="Calibri" w:hAnsi="David"/>
          <w:sz w:val="24"/>
          <w:rtl/>
        </w:rPr>
        <w:footnoteReference w:id="48"/>
      </w:r>
      <w:r>
        <w:rPr>
          <w:rFonts w:ascii="David" w:eastAsia="Calibri" w:hAnsi="David" w:hint="cs"/>
          <w:sz w:val="24"/>
          <w:rtl/>
        </w:rPr>
        <w:t>, וכי חובה להנגיש את הטפסים המקוונים</w:t>
      </w:r>
      <w:r>
        <w:rPr>
          <w:rStyle w:val="a8"/>
          <w:rFonts w:ascii="David" w:eastAsia="Calibri" w:hAnsi="David"/>
          <w:sz w:val="24"/>
          <w:rtl/>
        </w:rPr>
        <w:footnoteReference w:id="49"/>
      </w:r>
      <w:r w:rsidRPr="006664A2">
        <w:rPr>
          <w:rFonts w:ascii="David" w:eastAsia="Calibri" w:hAnsi="David" w:hint="cs"/>
          <w:sz w:val="24"/>
          <w:rtl/>
        </w:rPr>
        <w:t xml:space="preserve"> </w:t>
      </w:r>
      <w:r>
        <w:rPr>
          <w:rFonts w:ascii="David" w:eastAsia="Calibri" w:hAnsi="David" w:hint="cs"/>
          <w:sz w:val="24"/>
          <w:rtl/>
        </w:rPr>
        <w:t>ש</w:t>
      </w:r>
      <w:r w:rsidRPr="000813BA">
        <w:rPr>
          <w:rFonts w:ascii="David" w:eastAsia="Calibri" w:hAnsi="David"/>
          <w:sz w:val="24"/>
          <w:rtl/>
        </w:rPr>
        <w:t>משמשים לקבלת שירות</w:t>
      </w:r>
      <w:r>
        <w:rPr>
          <w:rFonts w:ascii="David" w:eastAsia="Calibri" w:hAnsi="David" w:hint="cs"/>
          <w:sz w:val="24"/>
          <w:rtl/>
        </w:rPr>
        <w:t xml:space="preserve"> ו</w:t>
      </w:r>
      <w:r w:rsidRPr="000813BA">
        <w:rPr>
          <w:rFonts w:ascii="David" w:eastAsia="Calibri" w:hAnsi="David"/>
          <w:sz w:val="24"/>
          <w:rtl/>
        </w:rPr>
        <w:t xml:space="preserve">מסמכי </w:t>
      </w:r>
      <w:r>
        <w:rPr>
          <w:rFonts w:ascii="David" w:eastAsia="Calibri" w:hAnsi="David" w:hint="cs"/>
          <w:sz w:val="24"/>
          <w:rtl/>
        </w:rPr>
        <w:t>ה</w:t>
      </w:r>
      <w:r w:rsidRPr="000813BA">
        <w:rPr>
          <w:rFonts w:ascii="David" w:eastAsia="Calibri" w:hAnsi="David"/>
          <w:sz w:val="24"/>
          <w:rtl/>
        </w:rPr>
        <w:t>הסבר</w:t>
      </w:r>
      <w:r>
        <w:rPr>
          <w:rFonts w:ascii="David" w:eastAsia="Calibri" w:hAnsi="David" w:hint="cs"/>
          <w:sz w:val="24"/>
          <w:rtl/>
        </w:rPr>
        <w:t xml:space="preserve"> הנלווים להם שה</w:t>
      </w:r>
      <w:r w:rsidRPr="000813BA">
        <w:rPr>
          <w:rFonts w:ascii="David" w:eastAsia="Calibri" w:hAnsi="David"/>
          <w:sz w:val="24"/>
          <w:rtl/>
        </w:rPr>
        <w:t>ועלו לאתר</w:t>
      </w:r>
      <w:r>
        <w:rPr>
          <w:rFonts w:ascii="David" w:eastAsia="Calibri" w:hAnsi="David" w:hint="cs"/>
          <w:sz w:val="24"/>
          <w:rtl/>
        </w:rPr>
        <w:t xml:space="preserve"> לאחר התאריך </w:t>
      </w:r>
      <w:r w:rsidRPr="000813BA">
        <w:rPr>
          <w:rFonts w:ascii="David" w:eastAsia="Calibri" w:hAnsi="David"/>
          <w:sz w:val="24"/>
          <w:rtl/>
        </w:rPr>
        <w:t>26.10.15</w:t>
      </w:r>
      <w:r w:rsidRPr="000813BA">
        <w:rPr>
          <w:rFonts w:ascii="David" w:eastAsia="Calibri" w:hAnsi="David" w:hint="cs"/>
          <w:sz w:val="24"/>
          <w:rtl/>
        </w:rPr>
        <w:t>.</w:t>
      </w:r>
      <w:r w:rsidRPr="002C2234">
        <w:rPr>
          <w:rFonts w:ascii="David" w:eastAsia="Calibri" w:hAnsi="David" w:hint="cs"/>
          <w:sz w:val="24"/>
          <w:rtl/>
        </w:rPr>
        <w:t xml:space="preserve"> </w:t>
      </w:r>
      <w:r>
        <w:rPr>
          <w:rFonts w:ascii="David" w:eastAsia="Calibri" w:hAnsi="David" w:hint="cs"/>
          <w:sz w:val="24"/>
          <w:rtl/>
        </w:rPr>
        <w:t xml:space="preserve">נוסף על כך, מכוח </w:t>
      </w:r>
      <w:r w:rsidRPr="000813BA">
        <w:rPr>
          <w:rFonts w:ascii="David" w:eastAsia="Calibri" w:hAnsi="David" w:hint="cs"/>
          <w:sz w:val="24"/>
          <w:rtl/>
        </w:rPr>
        <w:t xml:space="preserve">תקנות הנגישות </w:t>
      </w:r>
      <w:r>
        <w:rPr>
          <w:rFonts w:ascii="David" w:eastAsia="Calibri" w:hAnsi="David" w:hint="cs"/>
          <w:sz w:val="24"/>
          <w:rtl/>
        </w:rPr>
        <w:t xml:space="preserve">יש לספק מלל חלופי </w:t>
      </w:r>
      <w:r w:rsidRPr="000813BA">
        <w:rPr>
          <w:rFonts w:ascii="David" w:eastAsia="Calibri" w:hAnsi="David" w:hint="cs"/>
          <w:sz w:val="24"/>
          <w:rtl/>
        </w:rPr>
        <w:t>ל</w:t>
      </w:r>
      <w:r>
        <w:rPr>
          <w:rFonts w:ascii="David" w:eastAsia="Calibri" w:hAnsi="David" w:hint="cs"/>
          <w:sz w:val="24"/>
          <w:rtl/>
        </w:rPr>
        <w:t xml:space="preserve">פריטים </w:t>
      </w:r>
      <w:r w:rsidRPr="000813BA">
        <w:rPr>
          <w:rFonts w:ascii="David" w:eastAsia="Calibri" w:hAnsi="David" w:hint="cs"/>
          <w:sz w:val="24"/>
          <w:rtl/>
        </w:rPr>
        <w:t xml:space="preserve">ויזואליים שמוצגים באתר </w:t>
      </w:r>
      <w:r>
        <w:rPr>
          <w:rFonts w:ascii="David" w:eastAsia="Calibri" w:hAnsi="David" w:hint="cs"/>
          <w:sz w:val="24"/>
          <w:rtl/>
        </w:rPr>
        <w:t>ה</w:t>
      </w:r>
      <w:r w:rsidRPr="000813BA">
        <w:rPr>
          <w:rFonts w:ascii="David" w:eastAsia="Calibri" w:hAnsi="David" w:hint="cs"/>
          <w:sz w:val="24"/>
          <w:rtl/>
        </w:rPr>
        <w:t xml:space="preserve">מרשתת </w:t>
      </w:r>
      <w:r>
        <w:rPr>
          <w:rFonts w:ascii="David" w:eastAsia="Calibri" w:hAnsi="David" w:hint="cs"/>
          <w:sz w:val="24"/>
          <w:rtl/>
        </w:rPr>
        <w:t>וכתוביות ל</w:t>
      </w:r>
      <w:r w:rsidRPr="000813BA">
        <w:rPr>
          <w:rFonts w:ascii="David" w:eastAsia="Calibri" w:hAnsi="David" w:hint="cs"/>
          <w:sz w:val="24"/>
          <w:rtl/>
        </w:rPr>
        <w:t>ס</w:t>
      </w:r>
      <w:r w:rsidRPr="000813BA">
        <w:rPr>
          <w:rFonts w:ascii="David" w:eastAsia="Calibri" w:hAnsi="David" w:hint="cs"/>
          <w:sz w:val="24"/>
          <w:rtl/>
        </w:rPr>
        <w:t>רטון שיש בו דיבור</w:t>
      </w:r>
      <w:r>
        <w:rPr>
          <w:rStyle w:val="a8"/>
          <w:rFonts w:ascii="David" w:eastAsia="Calibri" w:hAnsi="David"/>
          <w:sz w:val="24"/>
          <w:rtl/>
        </w:rPr>
        <w:footnoteReference w:id="50"/>
      </w:r>
      <w:r>
        <w:rPr>
          <w:rFonts w:ascii="David" w:eastAsia="Calibri" w:hAnsi="David" w:hint="cs"/>
          <w:sz w:val="24"/>
          <w:rtl/>
        </w:rPr>
        <w:t>.</w:t>
      </w:r>
    </w:p>
    <w:p w:rsidR="00BF1E3B" w:rsidRDefault="00DF6A0A" w:rsidP="00C619CC">
      <w:pPr>
        <w:pStyle w:val="7392"/>
        <w:rPr>
          <w:rtl/>
        </w:rPr>
      </w:pPr>
      <w:r>
        <w:rPr>
          <w:rFonts w:hint="cs"/>
          <w:rtl/>
        </w:rPr>
        <w:t>בסקר שעשה משרד מבקר המדינה בקרב גופי ממשל נשאל כל גוף שאלה כללית - האם אתר המרשתת שלו נגיש לאנשים עם מוגבלות. כמו כן נשאל כל גוף שאלות פרטניות לגבי נגישותם של כמה סוגים של רכיבים בו. להלן בתרשים הממצאים שעלו</w:t>
      </w:r>
      <w:r>
        <w:rPr>
          <w:rStyle w:val="a8"/>
          <w:rFonts w:ascii="David" w:eastAsia="Calibri" w:hAnsi="David"/>
          <w:sz w:val="24"/>
          <w:rtl/>
        </w:rPr>
        <w:footnoteReference w:id="51"/>
      </w:r>
      <w:r>
        <w:rPr>
          <w:rFonts w:hint="cs"/>
          <w:rtl/>
        </w:rPr>
        <w:t>.</w:t>
      </w:r>
    </w:p>
    <w:p w:rsidR="00BF1E3B" w:rsidRPr="00317ADC" w:rsidRDefault="00DF6A0A" w:rsidP="00317ADC">
      <w:pPr>
        <w:pStyle w:val="738"/>
        <w:rPr>
          <w:rtl/>
        </w:rPr>
      </w:pPr>
      <w:r w:rsidRPr="00317ADC">
        <w:rPr>
          <w:b w:val="0"/>
          <w:bCs w:val="0"/>
          <w:noProof/>
        </w:rPr>
        <w:lastRenderedPageBreak/>
        <w:drawing>
          <wp:anchor distT="0" distB="0" distL="114300" distR="114300" simplePos="0" relativeHeight="251740160" behindDoc="1" locked="0" layoutInCell="1" allowOverlap="1">
            <wp:simplePos x="0" y="0"/>
            <wp:positionH relativeFrom="column">
              <wp:posOffset>89535</wp:posOffset>
            </wp:positionH>
            <wp:positionV relativeFrom="paragraph">
              <wp:posOffset>416560</wp:posOffset>
            </wp:positionV>
            <wp:extent cx="4423410" cy="4996180"/>
            <wp:effectExtent l="0" t="0" r="0" b="0"/>
            <wp:wrapTight wrapText="bothSides">
              <wp:wrapPolygon edited="0">
                <wp:start x="0" y="0"/>
                <wp:lineTo x="0" y="21523"/>
                <wp:lineTo x="21519" y="21523"/>
                <wp:lineTo x="21519" y="0"/>
                <wp:lineTo x="0" y="0"/>
              </wp:wrapPolygon>
            </wp:wrapTight>
            <wp:docPr id="2052770953" name="תמונה 2052770953" descr="התרשים מתאר את תוצאות הסקר שעליו השיבו 23 גופי ממשל בנוגע להנגשת אתרי המרשתת שלהם לאנשים עם מוגבלות. תוצאות הסקר המוצגות בתרשים מתוארות בקטעים שלאחריו במל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3" name="תמונה 2052770953"/>
                    <pic:cNvPicPr/>
                  </pic:nvPicPr>
                  <pic:blipFill>
                    <a:blip r:embed="rId44" cstate="print">
                      <a:extLst>
                        <a:ext uri="{28A0092B-C50C-407E-A947-70E740481C1C}">
                          <a14:useLocalDpi xmlns:a14="http://schemas.microsoft.com/office/drawing/2010/main" val="0"/>
                        </a:ext>
                      </a:extLst>
                    </a:blip>
                    <a:srcRect t="486" b="486"/>
                    <a:stretch>
                      <a:fillRect/>
                    </a:stretch>
                  </pic:blipFill>
                  <pic:spPr bwMode="auto">
                    <a:xfrm>
                      <a:off x="0" y="0"/>
                      <a:ext cx="4423410" cy="4996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7ADC">
        <w:rPr>
          <w:rFonts w:hint="eastAsia"/>
          <w:b w:val="0"/>
          <w:bCs w:val="0"/>
          <w:rtl/>
        </w:rPr>
        <w:t>תרשים</w:t>
      </w:r>
      <w:r w:rsidRPr="00317ADC">
        <w:rPr>
          <w:b w:val="0"/>
          <w:bCs w:val="0"/>
          <w:rtl/>
        </w:rPr>
        <w:t xml:space="preserve"> </w:t>
      </w:r>
      <w:r w:rsidRPr="00317ADC">
        <w:rPr>
          <w:rFonts w:hint="cs"/>
          <w:b w:val="0"/>
          <w:bCs w:val="0"/>
          <w:rtl/>
        </w:rPr>
        <w:t>7</w:t>
      </w:r>
      <w:r w:rsidRPr="00317ADC">
        <w:rPr>
          <w:b w:val="0"/>
          <w:bCs w:val="0"/>
          <w:rtl/>
        </w:rPr>
        <w:t>:</w:t>
      </w:r>
      <w:r w:rsidRPr="00317ADC">
        <w:rPr>
          <w:rFonts w:hint="cs"/>
          <w:rtl/>
        </w:rPr>
        <w:t xml:space="preserve"> דיווחי גופי ממשל</w:t>
      </w:r>
      <w:r w:rsidRPr="00317ADC">
        <w:rPr>
          <w:rFonts w:hint="cs"/>
          <w:rtl/>
        </w:rPr>
        <w:t xml:space="preserve"> על נגישותם של אתרי המרשתת שלהם ושל כמה סוגי רכיבים בהם</w:t>
      </w:r>
    </w:p>
    <w:p w:rsidR="00BF1E3B" w:rsidRPr="004A678A" w:rsidRDefault="00DF6A0A" w:rsidP="00317ADC">
      <w:pPr>
        <w:pStyle w:val="73e"/>
        <w:spacing w:after="0"/>
      </w:pPr>
      <w:r>
        <w:rPr>
          <w:rFonts w:hint="cs"/>
          <w:rtl/>
        </w:rPr>
        <w:t>על פי</w:t>
      </w:r>
      <w:r w:rsidRPr="004A678A">
        <w:rPr>
          <w:rFonts w:hint="cs"/>
          <w:rtl/>
        </w:rPr>
        <w:t xml:space="preserve"> ממצאי סקר משרד מבקר המדינה.</w:t>
      </w:r>
    </w:p>
    <w:p w:rsidR="00BF1E3B" w:rsidRPr="00B71F6B" w:rsidRDefault="00DF6A0A" w:rsidP="00317ADC">
      <w:pPr>
        <w:pStyle w:val="73e"/>
        <w:spacing w:before="0"/>
        <w:rPr>
          <w:rtl/>
        </w:rPr>
      </w:pPr>
      <w:r w:rsidRPr="00F25780">
        <w:rPr>
          <w:rtl/>
        </w:rPr>
        <w:t>"כן" - מונגש במלואו, "חלקית" - מונגש באופן חלקי, "לא" - אינו מונגש, "לא ניתן מענה" - הגוף לא השיב על השאלה, "לא רלוונטי" - סוג הרכיב לא קיים באתר</w:t>
      </w:r>
      <w:r w:rsidRPr="00B71F6B">
        <w:rPr>
          <w:rtl/>
        </w:rPr>
        <w:t>.</w:t>
      </w:r>
      <w:r>
        <w:rPr>
          <w:rFonts w:hint="cs"/>
          <w:rtl/>
        </w:rPr>
        <w:t xml:space="preserve"> </w:t>
      </w:r>
    </w:p>
    <w:p w:rsidR="00BF1E3B" w:rsidRPr="00317ADC" w:rsidRDefault="00DF6A0A" w:rsidP="00317ADC">
      <w:pPr>
        <w:pStyle w:val="735"/>
        <w:rPr>
          <w:rFonts w:eastAsia="Calibri"/>
          <w:rtl/>
        </w:rPr>
      </w:pPr>
      <w:r w:rsidRPr="00317ADC">
        <w:rPr>
          <w:rFonts w:eastAsia="Calibri" w:hint="cs"/>
          <w:rtl/>
        </w:rPr>
        <w:t xml:space="preserve">מממצאי הסקר שעשה משרד מבקר המדינה עלה שמבין 23 אתרי המרשתת 13 (57%) - אינם עומדים בדרישות הנגישות כדין, מכיוון שהגופים הנגישו רק חלק מהרכיבים שהיו מחוייבים להנגיש. </w:t>
      </w:r>
    </w:p>
    <w:p w:rsidR="00BF1E3B" w:rsidRPr="00317ADC" w:rsidRDefault="00DF6A0A" w:rsidP="00317ADC">
      <w:pPr>
        <w:pStyle w:val="735"/>
        <w:rPr>
          <w:rFonts w:eastAsia="Calibri"/>
          <w:rtl/>
        </w:rPr>
      </w:pPr>
      <w:r w:rsidRPr="00317ADC">
        <w:rPr>
          <w:rFonts w:eastAsia="Calibri" w:hint="cs"/>
          <w:rtl/>
        </w:rPr>
        <w:t xml:space="preserve">לגבי </w:t>
      </w:r>
      <w:r w:rsidRPr="00317ADC">
        <w:rPr>
          <w:rFonts w:eastAsia="Calibri" w:hint="eastAsia"/>
          <w:rtl/>
        </w:rPr>
        <w:t>נגישות</w:t>
      </w:r>
      <w:r w:rsidRPr="00317ADC">
        <w:rPr>
          <w:rFonts w:eastAsia="Calibri" w:hint="cs"/>
          <w:rtl/>
        </w:rPr>
        <w:t>ם</w:t>
      </w:r>
      <w:r w:rsidRPr="00317ADC">
        <w:rPr>
          <w:rFonts w:eastAsia="Calibri"/>
          <w:rtl/>
        </w:rPr>
        <w:t xml:space="preserve"> </w:t>
      </w:r>
      <w:r w:rsidRPr="00317ADC">
        <w:rPr>
          <w:rFonts w:eastAsia="Calibri" w:hint="eastAsia"/>
          <w:rtl/>
        </w:rPr>
        <w:t>של</w:t>
      </w:r>
      <w:r w:rsidRPr="00317ADC">
        <w:rPr>
          <w:rFonts w:eastAsia="Calibri"/>
          <w:rtl/>
        </w:rPr>
        <w:t xml:space="preserve"> </w:t>
      </w:r>
      <w:r w:rsidRPr="00317ADC">
        <w:rPr>
          <w:rFonts w:eastAsia="Calibri" w:hint="eastAsia"/>
          <w:rtl/>
        </w:rPr>
        <w:t>רכיבי</w:t>
      </w:r>
      <w:r w:rsidRPr="00317ADC">
        <w:rPr>
          <w:rFonts w:eastAsia="Calibri" w:hint="cs"/>
          <w:rtl/>
        </w:rPr>
        <w:t>ם באתרי</w:t>
      </w:r>
      <w:r w:rsidRPr="00317ADC">
        <w:rPr>
          <w:rFonts w:eastAsia="Calibri"/>
          <w:rtl/>
        </w:rPr>
        <w:t xml:space="preserve"> </w:t>
      </w:r>
      <w:r w:rsidRPr="00317ADC">
        <w:rPr>
          <w:rFonts w:eastAsia="Calibri" w:hint="eastAsia"/>
          <w:rtl/>
        </w:rPr>
        <w:t>גופי</w:t>
      </w:r>
      <w:r w:rsidRPr="00317ADC">
        <w:rPr>
          <w:rFonts w:eastAsia="Calibri"/>
          <w:rtl/>
        </w:rPr>
        <w:t xml:space="preserve"> </w:t>
      </w:r>
      <w:r w:rsidRPr="00317ADC">
        <w:rPr>
          <w:rFonts w:eastAsia="Calibri" w:hint="eastAsia"/>
          <w:rtl/>
        </w:rPr>
        <w:t>הממשל</w:t>
      </w:r>
      <w:r w:rsidRPr="00317ADC">
        <w:rPr>
          <w:rFonts w:eastAsia="Calibri"/>
          <w:rtl/>
        </w:rPr>
        <w:t xml:space="preserve"> </w:t>
      </w:r>
      <w:r w:rsidRPr="00317ADC">
        <w:rPr>
          <w:rFonts w:eastAsia="Calibri" w:hint="eastAsia"/>
          <w:rtl/>
        </w:rPr>
        <w:t>עלו</w:t>
      </w:r>
      <w:r w:rsidRPr="00317ADC">
        <w:rPr>
          <w:rFonts w:eastAsia="Calibri"/>
          <w:rtl/>
        </w:rPr>
        <w:t xml:space="preserve"> </w:t>
      </w:r>
      <w:r w:rsidRPr="00317ADC">
        <w:rPr>
          <w:rFonts w:eastAsia="Calibri" w:hint="cs"/>
          <w:rtl/>
        </w:rPr>
        <w:t xml:space="preserve">מהתשובות לסקר </w:t>
      </w:r>
      <w:r w:rsidRPr="00317ADC">
        <w:rPr>
          <w:rFonts w:eastAsia="Calibri" w:hint="eastAsia"/>
          <w:rtl/>
        </w:rPr>
        <w:t>הממצאים</w:t>
      </w:r>
      <w:r w:rsidRPr="00317ADC">
        <w:rPr>
          <w:rFonts w:eastAsia="Calibri"/>
          <w:rtl/>
        </w:rPr>
        <w:t xml:space="preserve"> </w:t>
      </w:r>
      <w:r w:rsidRPr="00317ADC">
        <w:rPr>
          <w:rFonts w:eastAsia="Calibri" w:hint="cs"/>
          <w:rtl/>
        </w:rPr>
        <w:t>האלה</w:t>
      </w:r>
      <w:r w:rsidRPr="00317ADC">
        <w:rPr>
          <w:rFonts w:eastAsia="Calibri"/>
          <w:rtl/>
        </w:rPr>
        <w:t>:</w:t>
      </w:r>
    </w:p>
    <w:p w:rsidR="00BF1E3B" w:rsidRPr="00A211BC" w:rsidRDefault="00DF6A0A">
      <w:pPr>
        <w:pStyle w:val="711"/>
        <w:numPr>
          <w:ilvl w:val="0"/>
          <w:numId w:val="13"/>
        </w:numPr>
        <w:ind w:left="623" w:hanging="396"/>
        <w:rPr>
          <w:rtl/>
        </w:rPr>
      </w:pPr>
      <w:r w:rsidRPr="00A211BC">
        <w:rPr>
          <w:rFonts w:hint="eastAsia"/>
          <w:bCs/>
          <w:rtl/>
        </w:rPr>
        <w:lastRenderedPageBreak/>
        <w:t>מסמכים</w:t>
      </w:r>
      <w:r w:rsidRPr="00A211BC">
        <w:rPr>
          <w:rFonts w:hint="cs"/>
          <w:bCs/>
          <w:rtl/>
        </w:rPr>
        <w:t>:</w:t>
      </w:r>
      <w:r w:rsidRPr="00A211BC">
        <w:rPr>
          <w:rFonts w:hint="cs"/>
          <w:rtl/>
        </w:rPr>
        <w:t xml:space="preserve"> </w:t>
      </w:r>
      <w:r w:rsidRPr="00A211BC">
        <w:rPr>
          <w:rFonts w:hint="eastAsia"/>
          <w:rtl/>
        </w:rPr>
        <w:t>באתרי</w:t>
      </w:r>
      <w:r w:rsidRPr="00A211BC">
        <w:rPr>
          <w:rtl/>
        </w:rPr>
        <w:t xml:space="preserve"> </w:t>
      </w:r>
      <w:r w:rsidRPr="00A211BC">
        <w:rPr>
          <w:rFonts w:hint="eastAsia"/>
          <w:rtl/>
        </w:rPr>
        <w:t>המרשת</w:t>
      </w:r>
      <w:r w:rsidRPr="00A211BC">
        <w:rPr>
          <w:rFonts w:hint="eastAsia"/>
          <w:rtl/>
        </w:rPr>
        <w:t>ת</w:t>
      </w:r>
      <w:r w:rsidRPr="00A211BC">
        <w:rPr>
          <w:rtl/>
        </w:rPr>
        <w:t xml:space="preserve"> של </w:t>
      </w:r>
      <w:r w:rsidRPr="00A211BC">
        <w:rPr>
          <w:rFonts w:hint="cs"/>
          <w:rtl/>
        </w:rPr>
        <w:t>כמחצית מן</w:t>
      </w:r>
      <w:r w:rsidRPr="00A211BC">
        <w:rPr>
          <w:rtl/>
        </w:rPr>
        <w:t xml:space="preserve"> הגופים (</w:t>
      </w:r>
      <w:r w:rsidRPr="00A211BC">
        <w:rPr>
          <w:rFonts w:hint="cs"/>
          <w:rtl/>
        </w:rPr>
        <w:t>12</w:t>
      </w:r>
      <w:r w:rsidRPr="00A211BC">
        <w:rPr>
          <w:rtl/>
        </w:rPr>
        <w:t xml:space="preserve"> מ</w:t>
      </w:r>
      <w:r w:rsidRPr="00A211BC">
        <w:rPr>
          <w:rFonts w:hint="cs"/>
          <w:rtl/>
        </w:rPr>
        <w:t>-</w:t>
      </w:r>
      <w:r w:rsidRPr="00A211BC">
        <w:rPr>
          <w:rtl/>
        </w:rPr>
        <w:t>23 גופים</w:t>
      </w:r>
      <w:r w:rsidRPr="00A211BC">
        <w:rPr>
          <w:rFonts w:hint="cs"/>
          <w:rtl/>
        </w:rPr>
        <w:t>, 52%</w:t>
      </w:r>
      <w:r w:rsidRPr="00A211BC">
        <w:rPr>
          <w:rtl/>
        </w:rPr>
        <w:t xml:space="preserve">) </w:t>
      </w:r>
      <w:r w:rsidRPr="00A211BC">
        <w:rPr>
          <w:rFonts w:hint="cs"/>
          <w:rtl/>
        </w:rPr>
        <w:t xml:space="preserve">לא כל </w:t>
      </w:r>
      <w:r w:rsidRPr="00A211BC">
        <w:rPr>
          <w:rtl/>
        </w:rPr>
        <w:t>המסמכים</w:t>
      </w:r>
      <w:r w:rsidRPr="00A211BC">
        <w:rPr>
          <w:rFonts w:hint="cs"/>
          <w:rtl/>
        </w:rPr>
        <w:t xml:space="preserve"> שעל פי הוראות הדין נדרש להנגיש אכן הונגשו</w:t>
      </w:r>
      <w:r w:rsidRPr="00A211BC">
        <w:rPr>
          <w:rtl/>
        </w:rPr>
        <w:t xml:space="preserve">: </w:t>
      </w:r>
      <w:r w:rsidRPr="00A211BC">
        <w:rPr>
          <w:rFonts w:hint="eastAsia"/>
          <w:rtl/>
        </w:rPr>
        <w:t>תשעה</w:t>
      </w:r>
      <w:r w:rsidRPr="00A211BC">
        <w:rPr>
          <w:rtl/>
        </w:rPr>
        <w:t xml:space="preserve"> גופים </w:t>
      </w:r>
      <w:r w:rsidRPr="00A211BC">
        <w:rPr>
          <w:rFonts w:hint="cs"/>
          <w:rtl/>
        </w:rPr>
        <w:t xml:space="preserve">דיווחו כי </w:t>
      </w:r>
      <w:r w:rsidRPr="00A211BC">
        <w:rPr>
          <w:rFonts w:hint="eastAsia"/>
          <w:rtl/>
        </w:rPr>
        <w:t>הנגישו</w:t>
      </w:r>
      <w:r w:rsidRPr="00A211BC">
        <w:rPr>
          <w:rtl/>
        </w:rPr>
        <w:t xml:space="preserve"> רק חלק ממסמכים</w:t>
      </w:r>
      <w:r w:rsidRPr="00A211BC">
        <w:rPr>
          <w:rFonts w:hint="cs"/>
          <w:rtl/>
        </w:rPr>
        <w:t xml:space="preserve"> אלה (</w:t>
      </w:r>
      <w:r w:rsidRPr="00A211BC">
        <w:rPr>
          <w:rtl/>
        </w:rPr>
        <w:t>רשות הטבע והגנים, משרד הפנים, משרד התחבורה, רשות האכיפה והגבייה, משרד הבריאות, משרד החינוך, הנהלת בתי המשפט</w:t>
      </w:r>
      <w:r w:rsidRPr="00A211BC">
        <w:rPr>
          <w:rFonts w:hint="cs"/>
          <w:rtl/>
        </w:rPr>
        <w:t xml:space="preserve">, </w:t>
      </w:r>
      <w:r w:rsidRPr="00A211BC">
        <w:rPr>
          <w:rtl/>
        </w:rPr>
        <w:t>ועדת הבחירות המרכזית</w:t>
      </w:r>
      <w:r w:rsidRPr="00A211BC">
        <w:rPr>
          <w:rFonts w:hint="cs"/>
          <w:rtl/>
        </w:rPr>
        <w:t xml:space="preserve">, רשות מקרקעי ישראל); שני גופים (המשרד לשירותי דת ומשרד החוץ) ציינו שהמסמכים באתרי המרשתת שלהם לא הונגשו; </w:t>
      </w:r>
      <w:r w:rsidRPr="00A211BC">
        <w:rPr>
          <w:rtl/>
        </w:rPr>
        <w:t>ו</w:t>
      </w:r>
      <w:r w:rsidRPr="00A211BC">
        <w:rPr>
          <w:rFonts w:hint="cs"/>
          <w:rtl/>
        </w:rPr>
        <w:t>גוף אחד (משרד התיירות) לא מסר מידע בסקר בנושא הנגשת המסמכים</w:t>
      </w:r>
      <w:r>
        <w:rPr>
          <w:rStyle w:val="a8"/>
          <w:rtl/>
        </w:rPr>
        <w:footnoteReference w:id="52"/>
      </w:r>
      <w:r w:rsidRPr="00A211BC">
        <w:rPr>
          <w:rFonts w:hint="cs"/>
          <w:rtl/>
        </w:rPr>
        <w:t xml:space="preserve">. </w:t>
      </w:r>
    </w:p>
    <w:p w:rsidR="00BF1E3B" w:rsidRPr="00A211BC" w:rsidRDefault="00DF6A0A">
      <w:pPr>
        <w:pStyle w:val="711"/>
        <w:numPr>
          <w:ilvl w:val="0"/>
          <w:numId w:val="13"/>
        </w:numPr>
        <w:ind w:left="623" w:hanging="396"/>
      </w:pPr>
      <w:r w:rsidRPr="00A211BC">
        <w:rPr>
          <w:rFonts w:hint="eastAsia"/>
          <w:bCs/>
          <w:rtl/>
        </w:rPr>
        <w:t>טפסים</w:t>
      </w:r>
      <w:r w:rsidRPr="00A211BC">
        <w:rPr>
          <w:bCs/>
          <w:rtl/>
        </w:rPr>
        <w:t xml:space="preserve"> מקוונים</w:t>
      </w:r>
      <w:r w:rsidRPr="00CE5079">
        <w:rPr>
          <w:rFonts w:hint="cs"/>
          <w:b/>
          <w:bCs/>
          <w:rtl/>
        </w:rPr>
        <w:t>:</w:t>
      </w:r>
      <w:r w:rsidRPr="00A211BC">
        <w:rPr>
          <w:rtl/>
        </w:rPr>
        <w:t xml:space="preserve"> </w:t>
      </w:r>
      <w:r w:rsidRPr="00A211BC">
        <w:rPr>
          <w:rFonts w:hint="cs"/>
          <w:rtl/>
        </w:rPr>
        <w:t>על פי התשובות לסקר, ל-</w:t>
      </w:r>
      <w:r w:rsidRPr="00A211BC">
        <w:rPr>
          <w:rtl/>
        </w:rPr>
        <w:t xml:space="preserve">22 </w:t>
      </w:r>
      <w:r w:rsidRPr="00A211BC">
        <w:rPr>
          <w:rFonts w:hint="eastAsia"/>
          <w:rtl/>
        </w:rPr>
        <w:t>מ</w:t>
      </w:r>
      <w:r w:rsidRPr="00A211BC">
        <w:rPr>
          <w:rFonts w:hint="cs"/>
          <w:rtl/>
        </w:rPr>
        <w:t>-</w:t>
      </w:r>
      <w:r w:rsidRPr="00A211BC">
        <w:rPr>
          <w:rtl/>
        </w:rPr>
        <w:t xml:space="preserve">23 </w:t>
      </w:r>
      <w:r w:rsidRPr="00A211BC">
        <w:rPr>
          <w:rFonts w:hint="eastAsia"/>
          <w:rtl/>
        </w:rPr>
        <w:t>גופי</w:t>
      </w:r>
      <w:r w:rsidRPr="00A211BC">
        <w:rPr>
          <w:rtl/>
        </w:rPr>
        <w:t xml:space="preserve"> </w:t>
      </w:r>
      <w:r w:rsidRPr="00A211BC">
        <w:rPr>
          <w:rFonts w:hint="eastAsia"/>
          <w:rtl/>
        </w:rPr>
        <w:t>הממשל</w:t>
      </w:r>
      <w:r w:rsidRPr="00A211BC">
        <w:rPr>
          <w:rtl/>
        </w:rPr>
        <w:t xml:space="preserve"> </w:t>
      </w:r>
      <w:r w:rsidRPr="00A211BC">
        <w:rPr>
          <w:rFonts w:hint="cs"/>
          <w:rtl/>
        </w:rPr>
        <w:t>יש</w:t>
      </w:r>
      <w:r w:rsidRPr="00A211BC">
        <w:rPr>
          <w:rtl/>
        </w:rPr>
        <w:t xml:space="preserve"> </w:t>
      </w:r>
      <w:r w:rsidRPr="00A211BC">
        <w:rPr>
          <w:rFonts w:hint="eastAsia"/>
          <w:rtl/>
        </w:rPr>
        <w:t>טפסים</w:t>
      </w:r>
      <w:r w:rsidRPr="00A211BC">
        <w:rPr>
          <w:rtl/>
        </w:rPr>
        <w:t xml:space="preserve"> </w:t>
      </w:r>
      <w:r w:rsidRPr="00A211BC">
        <w:rPr>
          <w:rFonts w:hint="eastAsia"/>
          <w:rtl/>
        </w:rPr>
        <w:t>מקוונים</w:t>
      </w:r>
      <w:r w:rsidRPr="00A211BC">
        <w:rPr>
          <w:rFonts w:hint="cs"/>
          <w:rtl/>
        </w:rPr>
        <w:t xml:space="preserve"> באתרי המרשתת, גוף אחד - </w:t>
      </w:r>
      <w:r w:rsidRPr="00A211BC">
        <w:rPr>
          <w:rtl/>
        </w:rPr>
        <w:t>הנהלת בתי המשפט</w:t>
      </w:r>
      <w:r w:rsidRPr="00A211BC">
        <w:rPr>
          <w:rFonts w:hint="cs"/>
          <w:rtl/>
        </w:rPr>
        <w:t xml:space="preserve"> ציינה כי</w:t>
      </w:r>
      <w:r w:rsidRPr="00A211BC">
        <w:rPr>
          <w:rtl/>
        </w:rPr>
        <w:t xml:space="preserve"> אין באתרי המרשתת שהיא מפעילה טפסים מקוונים</w:t>
      </w:r>
      <w:r w:rsidRPr="00A211BC">
        <w:rPr>
          <w:rFonts w:hint="cs"/>
          <w:rtl/>
        </w:rPr>
        <w:t>.</w:t>
      </w:r>
      <w:r w:rsidRPr="00A211BC">
        <w:rPr>
          <w:rtl/>
        </w:rPr>
        <w:t xml:space="preserve"> </w:t>
      </w:r>
      <w:r w:rsidRPr="00A211BC">
        <w:rPr>
          <w:rFonts w:hint="cs"/>
          <w:rtl/>
        </w:rPr>
        <w:t>שישה (27%)</w:t>
      </w:r>
      <w:r w:rsidRPr="00A211BC">
        <w:rPr>
          <w:rtl/>
        </w:rPr>
        <w:t xml:space="preserve"> </w:t>
      </w:r>
      <w:r w:rsidRPr="00A211BC">
        <w:rPr>
          <w:rFonts w:hint="cs"/>
          <w:rtl/>
        </w:rPr>
        <w:t>מ</w:t>
      </w:r>
      <w:r w:rsidRPr="00A211BC">
        <w:rPr>
          <w:rtl/>
        </w:rPr>
        <w:t xml:space="preserve">גופי ממשל </w:t>
      </w:r>
      <w:r w:rsidRPr="00A211BC">
        <w:rPr>
          <w:rFonts w:hint="cs"/>
          <w:rtl/>
        </w:rPr>
        <w:t>אלה (</w:t>
      </w:r>
      <w:r w:rsidRPr="00A211BC">
        <w:rPr>
          <w:rtl/>
        </w:rPr>
        <w:t>רשות הטבע והגנים, משרד הפנים, משרד התחבורה</w:t>
      </w:r>
      <w:r w:rsidRPr="00A211BC">
        <w:rPr>
          <w:rFonts w:hint="cs"/>
          <w:rtl/>
        </w:rPr>
        <w:t xml:space="preserve"> והבטיחות בדרכים</w:t>
      </w:r>
      <w:r w:rsidRPr="00A211BC">
        <w:rPr>
          <w:rtl/>
        </w:rPr>
        <w:t>, משרד הבריאות</w:t>
      </w:r>
      <w:r w:rsidRPr="00A211BC">
        <w:rPr>
          <w:rFonts w:hint="cs"/>
          <w:rtl/>
        </w:rPr>
        <w:t>,</w:t>
      </w:r>
      <w:r w:rsidRPr="00A211BC">
        <w:rPr>
          <w:rtl/>
        </w:rPr>
        <w:t xml:space="preserve"> משרד החינוך</w:t>
      </w:r>
      <w:r w:rsidRPr="00A211BC">
        <w:rPr>
          <w:rFonts w:hint="cs"/>
          <w:rtl/>
        </w:rPr>
        <w:t xml:space="preserve"> ורשות מקרקעי ישראל) הנגישו </w:t>
      </w:r>
      <w:r w:rsidRPr="00A211BC">
        <w:rPr>
          <w:rtl/>
        </w:rPr>
        <w:t>רק חלק מהטפסים</w:t>
      </w:r>
      <w:r w:rsidRPr="00A211BC">
        <w:rPr>
          <w:rtl/>
        </w:rPr>
        <w:t xml:space="preserve"> המקוונים</w:t>
      </w:r>
      <w:r w:rsidRPr="00A211BC">
        <w:rPr>
          <w:rFonts w:hint="cs"/>
          <w:rtl/>
        </w:rPr>
        <w:t xml:space="preserve"> וממסמכי ההסבר להם;</w:t>
      </w:r>
      <w:r w:rsidRPr="00A211BC">
        <w:rPr>
          <w:rtl/>
        </w:rPr>
        <w:t xml:space="preserve"> </w:t>
      </w:r>
      <w:r w:rsidRPr="00A211BC">
        <w:rPr>
          <w:rFonts w:hint="cs"/>
          <w:rtl/>
        </w:rPr>
        <w:t xml:space="preserve">ומשרד אחד (המשרד לשירותי דת) לא ביצע הנגשה של טפסים מקוונים. </w:t>
      </w:r>
    </w:p>
    <w:p w:rsidR="00BF1E3B" w:rsidRPr="00A211BC" w:rsidRDefault="00DF6A0A">
      <w:pPr>
        <w:pStyle w:val="711"/>
        <w:numPr>
          <w:ilvl w:val="0"/>
          <w:numId w:val="13"/>
        </w:numPr>
        <w:ind w:left="623" w:hanging="396"/>
      </w:pPr>
      <w:r w:rsidRPr="00A211BC">
        <w:rPr>
          <w:rFonts w:hint="eastAsia"/>
          <w:bCs/>
          <w:rtl/>
        </w:rPr>
        <w:t>הנגשות</w:t>
      </w:r>
      <w:r w:rsidRPr="00A211BC">
        <w:rPr>
          <w:bCs/>
          <w:rtl/>
        </w:rPr>
        <w:t xml:space="preserve"> רכיבים ויזואליים </w:t>
      </w:r>
      <w:r w:rsidRPr="00A211BC">
        <w:rPr>
          <w:rFonts w:hint="eastAsia"/>
          <w:bCs/>
          <w:rtl/>
        </w:rPr>
        <w:t>וסרטונים</w:t>
      </w:r>
      <w:r w:rsidRPr="00A211BC">
        <w:rPr>
          <w:bCs/>
          <w:rtl/>
        </w:rPr>
        <w:t xml:space="preserve"> עם דיבור</w:t>
      </w:r>
      <w:r w:rsidRPr="00A211BC">
        <w:rPr>
          <w:rFonts w:hint="cs"/>
          <w:bCs/>
          <w:rtl/>
        </w:rPr>
        <w:t>:</w:t>
      </w:r>
      <w:r w:rsidRPr="00A211BC">
        <w:rPr>
          <w:rtl/>
        </w:rPr>
        <w:t xml:space="preserve"> </w:t>
      </w:r>
      <w:r w:rsidRPr="00A211BC">
        <w:rPr>
          <w:rFonts w:hint="cs"/>
          <w:rtl/>
        </w:rPr>
        <w:t xml:space="preserve">על פי תשובות גופי הממשל לסקר, </w:t>
      </w:r>
      <w:r w:rsidRPr="00A211BC">
        <w:rPr>
          <w:rFonts w:hint="eastAsia"/>
          <w:rtl/>
        </w:rPr>
        <w:t>חמישה</w:t>
      </w:r>
      <w:r w:rsidRPr="00A211BC">
        <w:rPr>
          <w:rtl/>
        </w:rPr>
        <w:t xml:space="preserve"> גופים (22%) לא ביצעו את </w:t>
      </w:r>
      <w:r w:rsidRPr="00A211BC">
        <w:rPr>
          <w:rFonts w:hint="eastAsia"/>
          <w:rtl/>
        </w:rPr>
        <w:t>ההנגשות</w:t>
      </w:r>
      <w:r w:rsidRPr="00A211BC">
        <w:rPr>
          <w:rtl/>
        </w:rPr>
        <w:t xml:space="preserve"> </w:t>
      </w:r>
      <w:r w:rsidRPr="00A211BC">
        <w:rPr>
          <w:rFonts w:hint="cs"/>
          <w:rtl/>
        </w:rPr>
        <w:t>ה</w:t>
      </w:r>
      <w:r w:rsidRPr="00A211BC">
        <w:rPr>
          <w:rtl/>
        </w:rPr>
        <w:t xml:space="preserve">אלה כנדרש - ארבעה מהם </w:t>
      </w:r>
      <w:r w:rsidRPr="00A211BC">
        <w:rPr>
          <w:rFonts w:hint="cs"/>
          <w:rtl/>
        </w:rPr>
        <w:t xml:space="preserve">ציינו כי </w:t>
      </w:r>
      <w:r w:rsidRPr="00A211BC">
        <w:rPr>
          <w:rtl/>
        </w:rPr>
        <w:t>ביצעו אותן באופן חלקי</w:t>
      </w:r>
      <w:r w:rsidRPr="00A211BC">
        <w:rPr>
          <w:rFonts w:hint="cs"/>
          <w:rtl/>
        </w:rPr>
        <w:t xml:space="preserve"> </w:t>
      </w:r>
      <w:r w:rsidRPr="00A211BC">
        <w:rPr>
          <w:rFonts w:hint="cs"/>
          <w:rtl/>
        </w:rPr>
        <w:t>(רכבת ישראל, המשרד לשירותי דת, משרד החינוך והנהלת בתי המשפט),</w:t>
      </w:r>
      <w:r w:rsidRPr="00A211BC">
        <w:rPr>
          <w:rtl/>
        </w:rPr>
        <w:t xml:space="preserve"> ואחד (משרד התיירות) </w:t>
      </w:r>
      <w:r w:rsidRPr="00A211BC">
        <w:rPr>
          <w:rFonts w:hint="cs"/>
          <w:rtl/>
        </w:rPr>
        <w:t>ציין</w:t>
      </w:r>
      <w:r w:rsidRPr="00A211BC">
        <w:rPr>
          <w:rtl/>
        </w:rPr>
        <w:t xml:space="preserve"> </w:t>
      </w:r>
      <w:r w:rsidRPr="00A211BC">
        <w:rPr>
          <w:rFonts w:hint="cs"/>
          <w:rtl/>
        </w:rPr>
        <w:t xml:space="preserve">בסקר </w:t>
      </w:r>
      <w:r w:rsidRPr="00A211BC">
        <w:rPr>
          <w:rtl/>
        </w:rPr>
        <w:t xml:space="preserve">כי לא </w:t>
      </w:r>
      <w:r w:rsidRPr="00A211BC">
        <w:rPr>
          <w:rFonts w:hint="cs"/>
          <w:rtl/>
        </w:rPr>
        <w:t>ביצע הנגשות אלה.</w:t>
      </w:r>
      <w:r w:rsidRPr="00A211BC">
        <w:rPr>
          <w:rtl/>
        </w:rPr>
        <w:t xml:space="preserve"> </w:t>
      </w:r>
    </w:p>
    <w:p w:rsidR="00BF1E3B" w:rsidRPr="00A211BC" w:rsidRDefault="00DF6A0A" w:rsidP="00A211BC">
      <w:pPr>
        <w:pStyle w:val="735"/>
        <w:rPr>
          <w:rtl/>
        </w:rPr>
      </w:pPr>
      <w:r w:rsidRPr="00A211BC">
        <w:rPr>
          <w:rFonts w:hint="cs"/>
          <w:rtl/>
        </w:rPr>
        <w:t xml:space="preserve">אתרי מרשתת של גופי ממשל שעדיין לא הונגשו או שהונגשו באופן חלקי משקפים מציאות לפיה גופי ממשל רבים אינם מקיימים כנדרש את הוראות הדין שנקבעו </w:t>
      </w:r>
      <w:r w:rsidRPr="00A211BC">
        <w:rPr>
          <w:rFonts w:hint="cs"/>
          <w:rtl/>
        </w:rPr>
        <w:t>בנושא ומקשים על אנשים עם מוגבלות ואף מונעים מהם לצרוך באמצעותם מידע ושירותי ממשל. יודגש כי הנגשה חלקית של אתרי מרשתת משמעה שישנם רכיבים כמו למשל מסמכים, טפסים מקוונים וסרטונים שלא מונגשים. אתרים שהונגשו באופן חלקי בלבד א</w:t>
      </w:r>
      <w:r w:rsidRPr="00A211BC">
        <w:rPr>
          <w:rtl/>
        </w:rPr>
        <w:t>ינם עומדים בדרישות הדין</w:t>
      </w:r>
      <w:r w:rsidRPr="00A211BC">
        <w:rPr>
          <w:rFonts w:hint="cs"/>
          <w:rtl/>
        </w:rPr>
        <w:t>, ובמקרים כאל</w:t>
      </w:r>
      <w:r w:rsidRPr="00A211BC">
        <w:rPr>
          <w:rFonts w:hint="cs"/>
          <w:rtl/>
        </w:rPr>
        <w:t xml:space="preserve">ה לא רק שהשירות לציבור נפגע, אלא שהגופים עצמם עלולים להיות חשופים לתביעות בנושא. </w:t>
      </w:r>
    </w:p>
    <w:p w:rsidR="00BF1E3B" w:rsidRDefault="00DF6A0A" w:rsidP="00C619CC">
      <w:pPr>
        <w:pStyle w:val="7392"/>
        <w:rPr>
          <w:b/>
          <w:bCs/>
          <w:rtl/>
        </w:rPr>
      </w:pPr>
      <w:r>
        <w:rPr>
          <w:rFonts w:hint="cs"/>
          <w:rtl/>
        </w:rPr>
        <w:t xml:space="preserve">בתשובותיהם למשרד מבקר המדינה מינואר ופברואר 2023 כתבו גופי הממשל הבהרות או ציינו פעולות שהם מבצעים כיום לקידום ההנגשה באתרי המרשתת שלהם: </w:t>
      </w:r>
      <w:r w:rsidRPr="008121E6">
        <w:rPr>
          <w:b/>
          <w:bCs/>
          <w:rtl/>
        </w:rPr>
        <w:t>המשרד לשירותי דת</w:t>
      </w:r>
      <w:r w:rsidRPr="00F417BB">
        <w:rPr>
          <w:rtl/>
        </w:rPr>
        <w:t xml:space="preserve"> </w:t>
      </w:r>
      <w:r>
        <w:rPr>
          <w:rFonts w:hint="cs"/>
          <w:rtl/>
        </w:rPr>
        <w:t xml:space="preserve">מסר </w:t>
      </w:r>
      <w:r w:rsidRPr="00F417BB">
        <w:rPr>
          <w:rtl/>
        </w:rPr>
        <w:t>כי החל בתהליך הת</w:t>
      </w:r>
      <w:r w:rsidRPr="00F417BB">
        <w:rPr>
          <w:rtl/>
        </w:rPr>
        <w:t>אמה של אתר המרשתת לדרישות הנגישות בהתאם להנחיית יועץ נגישות ולהערות הביקורת.</w:t>
      </w:r>
      <w:r>
        <w:rPr>
          <w:rFonts w:hint="cs"/>
          <w:rtl/>
        </w:rPr>
        <w:t xml:space="preserve"> </w:t>
      </w:r>
      <w:r w:rsidRPr="00BD2F78">
        <w:rPr>
          <w:rFonts w:ascii="David" w:eastAsia="Calibri" w:hAnsi="David" w:hint="cs"/>
          <w:b/>
          <w:bCs/>
          <w:sz w:val="24"/>
          <w:rtl/>
        </w:rPr>
        <w:t>משרד התיירות</w:t>
      </w:r>
      <w:r>
        <w:rPr>
          <w:rFonts w:ascii="David" w:eastAsia="Calibri" w:hAnsi="David" w:hint="cs"/>
          <w:b/>
          <w:bCs/>
          <w:sz w:val="24"/>
          <w:rtl/>
        </w:rPr>
        <w:t xml:space="preserve"> </w:t>
      </w:r>
      <w:r w:rsidRPr="00514DC3">
        <w:rPr>
          <w:rFonts w:ascii="David" w:eastAsia="Calibri" w:hAnsi="David" w:hint="eastAsia"/>
          <w:sz w:val="24"/>
          <w:rtl/>
        </w:rPr>
        <w:t>מסר</w:t>
      </w:r>
      <w:r w:rsidRPr="00514DC3">
        <w:rPr>
          <w:rFonts w:ascii="David" w:eastAsia="Calibri" w:hAnsi="David"/>
          <w:sz w:val="24"/>
          <w:rtl/>
        </w:rPr>
        <w:t xml:space="preserve"> </w:t>
      </w:r>
      <w:r>
        <w:rPr>
          <w:rFonts w:ascii="David" w:eastAsia="Calibri" w:hAnsi="David" w:hint="cs"/>
          <w:sz w:val="24"/>
          <w:rtl/>
        </w:rPr>
        <w:t xml:space="preserve">כי </w:t>
      </w:r>
      <w:r w:rsidRPr="00514DC3">
        <w:rPr>
          <w:rFonts w:ascii="David" w:eastAsia="Calibri" w:hAnsi="David"/>
          <w:sz w:val="24"/>
          <w:rtl/>
        </w:rPr>
        <w:t>הוא פועל להנגשת אתרי המרשתת שלו הפונים לציבור הישראלי</w:t>
      </w:r>
      <w:r>
        <w:rPr>
          <w:rFonts w:ascii="David" w:eastAsia="Calibri" w:hAnsi="David" w:hint="cs"/>
          <w:sz w:val="24"/>
          <w:rtl/>
        </w:rPr>
        <w:t>,</w:t>
      </w:r>
      <w:r w:rsidRPr="00514DC3">
        <w:rPr>
          <w:rFonts w:ascii="David" w:eastAsia="Calibri" w:hAnsi="David"/>
          <w:sz w:val="24"/>
          <w:rtl/>
        </w:rPr>
        <w:t xml:space="preserve"> </w:t>
      </w:r>
      <w:r>
        <w:rPr>
          <w:rFonts w:ascii="David" w:eastAsia="Calibri" w:hAnsi="David" w:hint="cs"/>
          <w:sz w:val="24"/>
          <w:rtl/>
        </w:rPr>
        <w:t>ו</w:t>
      </w:r>
      <w:r w:rsidRPr="00514DC3">
        <w:rPr>
          <w:rFonts w:ascii="David" w:eastAsia="Calibri" w:hAnsi="David"/>
          <w:sz w:val="24"/>
          <w:rtl/>
        </w:rPr>
        <w:t xml:space="preserve">כחלק מפעילות זו </w:t>
      </w:r>
      <w:r w:rsidRPr="00514DC3">
        <w:rPr>
          <w:rFonts w:ascii="David" w:eastAsia="Calibri" w:hAnsi="David" w:hint="eastAsia"/>
          <w:sz w:val="24"/>
          <w:rtl/>
        </w:rPr>
        <w:t>פנה</w:t>
      </w:r>
      <w:r w:rsidRPr="00514DC3">
        <w:rPr>
          <w:rFonts w:ascii="David" w:eastAsia="Calibri" w:hAnsi="David"/>
          <w:sz w:val="24"/>
          <w:rtl/>
        </w:rPr>
        <w:t xml:space="preserve"> </w:t>
      </w:r>
      <w:r w:rsidRPr="00514DC3">
        <w:rPr>
          <w:rFonts w:ascii="David" w:eastAsia="Calibri" w:hAnsi="David" w:hint="eastAsia"/>
          <w:sz w:val="24"/>
          <w:rtl/>
        </w:rPr>
        <w:t>לקבל</w:t>
      </w:r>
      <w:r w:rsidRPr="00514DC3">
        <w:rPr>
          <w:rFonts w:ascii="David" w:eastAsia="Calibri" w:hAnsi="David"/>
          <w:sz w:val="24"/>
          <w:rtl/>
        </w:rPr>
        <w:t xml:space="preserve"> </w:t>
      </w:r>
      <w:r w:rsidRPr="00514DC3">
        <w:rPr>
          <w:rFonts w:ascii="David" w:eastAsia="Calibri" w:hAnsi="David" w:hint="eastAsia"/>
          <w:sz w:val="24"/>
          <w:rtl/>
        </w:rPr>
        <w:t>ה</w:t>
      </w:r>
      <w:r w:rsidRPr="00514DC3">
        <w:rPr>
          <w:rFonts w:ascii="David" w:eastAsia="Calibri" w:hAnsi="David"/>
          <w:sz w:val="24"/>
          <w:rtl/>
        </w:rPr>
        <w:t xml:space="preserve">צעות מחיר </w:t>
      </w:r>
      <w:r w:rsidRPr="00514DC3">
        <w:rPr>
          <w:rFonts w:ascii="David" w:eastAsia="Calibri" w:hAnsi="David" w:hint="eastAsia"/>
          <w:sz w:val="24"/>
          <w:rtl/>
        </w:rPr>
        <w:t>מ</w:t>
      </w:r>
      <w:r w:rsidRPr="00514DC3">
        <w:rPr>
          <w:rFonts w:ascii="David" w:eastAsia="Calibri" w:hAnsi="David"/>
          <w:sz w:val="24"/>
          <w:rtl/>
        </w:rPr>
        <w:t>יוע</w:t>
      </w:r>
      <w:r w:rsidRPr="00514DC3">
        <w:rPr>
          <w:rFonts w:ascii="David" w:eastAsia="Calibri" w:hAnsi="David" w:hint="eastAsia"/>
          <w:sz w:val="24"/>
          <w:rtl/>
        </w:rPr>
        <w:t>צי</w:t>
      </w:r>
      <w:r w:rsidRPr="00514DC3">
        <w:rPr>
          <w:rFonts w:ascii="David" w:eastAsia="Calibri" w:hAnsi="David"/>
          <w:sz w:val="24"/>
          <w:rtl/>
        </w:rPr>
        <w:t xml:space="preserve"> נגישות </w:t>
      </w:r>
      <w:r w:rsidRPr="00514DC3">
        <w:rPr>
          <w:rFonts w:ascii="David" w:eastAsia="Calibri" w:hAnsi="David" w:hint="eastAsia"/>
          <w:sz w:val="24"/>
          <w:rtl/>
        </w:rPr>
        <w:t>לצורך</w:t>
      </w:r>
      <w:r w:rsidRPr="00514DC3">
        <w:rPr>
          <w:rFonts w:ascii="David" w:eastAsia="Calibri" w:hAnsi="David"/>
          <w:sz w:val="24"/>
          <w:rtl/>
        </w:rPr>
        <w:t xml:space="preserve"> </w:t>
      </w:r>
      <w:r w:rsidRPr="00514DC3">
        <w:rPr>
          <w:rFonts w:ascii="David" w:eastAsia="Calibri" w:hAnsi="David" w:hint="eastAsia"/>
          <w:sz w:val="24"/>
          <w:rtl/>
        </w:rPr>
        <w:t>ביצוע</w:t>
      </w:r>
      <w:r w:rsidRPr="00514DC3">
        <w:rPr>
          <w:rFonts w:ascii="David" w:eastAsia="Calibri" w:hAnsi="David"/>
          <w:sz w:val="24"/>
          <w:rtl/>
        </w:rPr>
        <w:t xml:space="preserve"> "חקירה של כלל התכנים" שנמצאים באתרי המרשת</w:t>
      </w:r>
      <w:r w:rsidRPr="00514DC3">
        <w:rPr>
          <w:rFonts w:ascii="David" w:eastAsia="Calibri" w:hAnsi="David"/>
          <w:sz w:val="24"/>
          <w:rtl/>
        </w:rPr>
        <w:t xml:space="preserve">ת שלו. </w:t>
      </w:r>
      <w:r w:rsidRPr="008121E6">
        <w:rPr>
          <w:rFonts w:hint="eastAsia"/>
          <w:b/>
          <w:bCs/>
          <w:rtl/>
        </w:rPr>
        <w:t>משרד</w:t>
      </w:r>
      <w:r w:rsidRPr="008121E6">
        <w:rPr>
          <w:b/>
          <w:bCs/>
          <w:rtl/>
        </w:rPr>
        <w:t xml:space="preserve"> </w:t>
      </w:r>
      <w:r w:rsidRPr="008121E6">
        <w:rPr>
          <w:rFonts w:hint="eastAsia"/>
          <w:b/>
          <w:bCs/>
          <w:rtl/>
        </w:rPr>
        <w:t>הפנים</w:t>
      </w:r>
      <w:r w:rsidRPr="00561733">
        <w:rPr>
          <w:rFonts w:hint="cs"/>
          <w:rtl/>
        </w:rPr>
        <w:t xml:space="preserve"> </w:t>
      </w:r>
      <w:r w:rsidRPr="004C3429">
        <w:rPr>
          <w:rFonts w:hint="cs"/>
          <w:rtl/>
        </w:rPr>
        <w:t>מסר כי יחידת המחשוב</w:t>
      </w:r>
      <w:r>
        <w:rPr>
          <w:rFonts w:hint="cs"/>
          <w:rtl/>
        </w:rPr>
        <w:t xml:space="preserve"> בו</w:t>
      </w:r>
      <w:r w:rsidRPr="004C3429">
        <w:rPr>
          <w:rFonts w:hint="cs"/>
          <w:rtl/>
        </w:rPr>
        <w:t xml:space="preserve"> פועלת להנגשת כל המסמכים</w:t>
      </w:r>
      <w:r>
        <w:rPr>
          <w:rFonts w:hint="cs"/>
          <w:rtl/>
        </w:rPr>
        <w:t xml:space="preserve"> הנמצאים באתר שלו. </w:t>
      </w:r>
      <w:r w:rsidRPr="00F328CA">
        <w:rPr>
          <w:rFonts w:hint="cs"/>
          <w:b/>
          <w:bCs/>
          <w:rtl/>
        </w:rPr>
        <w:t>משרד</w:t>
      </w:r>
      <w:r w:rsidRPr="00F328CA">
        <w:rPr>
          <w:b/>
          <w:bCs/>
          <w:rtl/>
        </w:rPr>
        <w:t xml:space="preserve"> </w:t>
      </w:r>
      <w:r w:rsidRPr="00F328CA">
        <w:rPr>
          <w:rFonts w:hint="cs"/>
          <w:b/>
          <w:bCs/>
          <w:rtl/>
        </w:rPr>
        <w:t>התחבורה</w:t>
      </w:r>
      <w:r>
        <w:rPr>
          <w:rFonts w:hint="cs"/>
          <w:b/>
          <w:bCs/>
          <w:rtl/>
        </w:rPr>
        <w:t xml:space="preserve"> והבטיחות בדרכים</w:t>
      </w:r>
      <w:r w:rsidRPr="00BD64F9">
        <w:rPr>
          <w:rFonts w:hint="cs"/>
          <w:b/>
          <w:bCs/>
          <w:rtl/>
        </w:rPr>
        <w:t xml:space="preserve"> </w:t>
      </w:r>
      <w:r w:rsidRPr="00514DC3">
        <w:rPr>
          <w:rFonts w:hint="eastAsia"/>
          <w:rtl/>
        </w:rPr>
        <w:t>מסר</w:t>
      </w:r>
      <w:r w:rsidRPr="00514DC3">
        <w:rPr>
          <w:rtl/>
        </w:rPr>
        <w:t xml:space="preserve"> </w:t>
      </w:r>
      <w:r w:rsidRPr="00514DC3">
        <w:rPr>
          <w:rFonts w:hint="eastAsia"/>
          <w:rtl/>
        </w:rPr>
        <w:t>כי</w:t>
      </w:r>
      <w:r w:rsidRPr="00514DC3">
        <w:rPr>
          <w:rtl/>
        </w:rPr>
        <w:t xml:space="preserve"> ליקויי הנגישות שהיו באתר המרשתת תוקנו. </w:t>
      </w:r>
      <w:r w:rsidRPr="008121E6">
        <w:rPr>
          <w:rFonts w:hint="eastAsia"/>
          <w:b/>
          <w:bCs/>
          <w:rtl/>
        </w:rPr>
        <w:t>רשות</w:t>
      </w:r>
      <w:r w:rsidRPr="008121E6">
        <w:rPr>
          <w:b/>
          <w:bCs/>
          <w:rtl/>
        </w:rPr>
        <w:t xml:space="preserve"> </w:t>
      </w:r>
      <w:r w:rsidRPr="008121E6">
        <w:rPr>
          <w:rFonts w:hint="eastAsia"/>
          <w:b/>
          <w:bCs/>
          <w:rtl/>
        </w:rPr>
        <w:t>האכיפה</w:t>
      </w:r>
      <w:r w:rsidRPr="008121E6">
        <w:rPr>
          <w:b/>
          <w:bCs/>
          <w:rtl/>
        </w:rPr>
        <w:t xml:space="preserve"> </w:t>
      </w:r>
      <w:r w:rsidRPr="008121E6">
        <w:rPr>
          <w:rFonts w:hint="eastAsia"/>
          <w:b/>
          <w:bCs/>
          <w:rtl/>
        </w:rPr>
        <w:t>והגבייה</w:t>
      </w:r>
      <w:r>
        <w:rPr>
          <w:rFonts w:hint="cs"/>
          <w:rtl/>
        </w:rPr>
        <w:t xml:space="preserve"> מסרה כי מרבית הממצאים טופלו, וכי מסמכים לא נגישים הוסרו מאתר המרשתת ויוחזרו אליו לאחר שיונגשו. </w:t>
      </w:r>
      <w:r w:rsidRPr="00B65028">
        <w:rPr>
          <w:rFonts w:hint="cs"/>
          <w:b/>
          <w:bCs/>
          <w:rtl/>
        </w:rPr>
        <w:t>מ</w:t>
      </w:r>
      <w:r w:rsidRPr="00B65028">
        <w:rPr>
          <w:rFonts w:hint="eastAsia"/>
          <w:b/>
          <w:bCs/>
          <w:rtl/>
        </w:rPr>
        <w:t>שרד</w:t>
      </w:r>
      <w:r w:rsidRPr="00B65028">
        <w:rPr>
          <w:b/>
          <w:bCs/>
          <w:rtl/>
        </w:rPr>
        <w:t xml:space="preserve"> </w:t>
      </w:r>
      <w:r w:rsidRPr="00B65028">
        <w:rPr>
          <w:rFonts w:hint="eastAsia"/>
          <w:b/>
          <w:bCs/>
          <w:rtl/>
        </w:rPr>
        <w:t>החינוך</w:t>
      </w:r>
      <w:r>
        <w:rPr>
          <w:rFonts w:hint="cs"/>
          <w:rtl/>
        </w:rPr>
        <w:t xml:space="preserve"> מסר: "אנו עושים מאמצים לכך שהמסמכים המועלים לאתרים יהיו נגישים ונפעל לתיקון שאר המסמכים שאינם עומדים בדרישות, במקביל מתקיימות הדרכות </w:t>
      </w:r>
      <w:r>
        <w:rPr>
          <w:rFonts w:hint="cs"/>
          <w:rtl/>
        </w:rPr>
        <w:lastRenderedPageBreak/>
        <w:t>והנחיות לצוותים</w:t>
      </w:r>
      <w:r>
        <w:rPr>
          <w:rFonts w:hint="cs"/>
          <w:rtl/>
        </w:rPr>
        <w:t xml:space="preserve"> המקצועיים בנושא". בעניין טפסים מקוונים מסר </w:t>
      </w:r>
      <w:r w:rsidRPr="00B65028">
        <w:rPr>
          <w:rFonts w:hint="cs"/>
          <w:rtl/>
        </w:rPr>
        <w:t>משרד החינוך:</w:t>
      </w:r>
      <w:r>
        <w:rPr>
          <w:rFonts w:hint="cs"/>
          <w:rtl/>
        </w:rPr>
        <w:t xml:space="preserve"> "הפסקנו את הפיתוח של הטפסים המקוונים על התשתית הישנה ואנו בתהליך של העברתם לסביבת טפסים נגישה. במקביל הועברה הדרכה מקצועית בנושא לצוותי הפיתוח האחראים על בניית ופיתוח טפסים מקוונים". לעניין הסרטונים </w:t>
      </w:r>
      <w:r>
        <w:rPr>
          <w:rFonts w:hint="cs"/>
          <w:rtl/>
        </w:rPr>
        <w:t xml:space="preserve">מסר משרד החינוך: "כל הסרטונים המועלים בשנתיים האחרונות לערוץ הרשמי של המשרד... עם כתוביות ואנו נמשיך לפעול לעדכון הסרטים שהועלו ללא כתוביות". </w:t>
      </w:r>
      <w:r w:rsidRPr="009A3F2B">
        <w:rPr>
          <w:rFonts w:hint="eastAsia"/>
          <w:b/>
          <w:bCs/>
          <w:rtl/>
        </w:rPr>
        <w:t>הנהלת</w:t>
      </w:r>
      <w:r w:rsidRPr="009A3F2B">
        <w:rPr>
          <w:b/>
          <w:bCs/>
          <w:rtl/>
        </w:rPr>
        <w:t xml:space="preserve"> </w:t>
      </w:r>
      <w:r w:rsidRPr="009A3F2B">
        <w:rPr>
          <w:rFonts w:hint="eastAsia"/>
          <w:b/>
          <w:bCs/>
          <w:rtl/>
        </w:rPr>
        <w:t>בתי</w:t>
      </w:r>
      <w:r w:rsidRPr="009A3F2B">
        <w:rPr>
          <w:b/>
          <w:bCs/>
          <w:rtl/>
        </w:rPr>
        <w:t xml:space="preserve"> </w:t>
      </w:r>
      <w:r w:rsidRPr="009A3F2B">
        <w:rPr>
          <w:rFonts w:hint="eastAsia"/>
          <w:b/>
          <w:bCs/>
          <w:rtl/>
        </w:rPr>
        <w:t>המשפט</w:t>
      </w:r>
      <w:r>
        <w:rPr>
          <w:rFonts w:hint="cs"/>
          <w:b/>
          <w:bCs/>
          <w:rtl/>
        </w:rPr>
        <w:t xml:space="preserve"> </w:t>
      </w:r>
      <w:r w:rsidRPr="00514DC3">
        <w:rPr>
          <w:rFonts w:hint="eastAsia"/>
          <w:rtl/>
        </w:rPr>
        <w:t>מסרה</w:t>
      </w:r>
      <w:r w:rsidRPr="00514DC3">
        <w:rPr>
          <w:rtl/>
        </w:rPr>
        <w:t xml:space="preserve"> </w:t>
      </w:r>
      <w:r w:rsidRPr="00514DC3">
        <w:rPr>
          <w:rFonts w:hint="eastAsia"/>
          <w:rtl/>
        </w:rPr>
        <w:t>כי</w:t>
      </w:r>
      <w:r w:rsidRPr="00514DC3">
        <w:rPr>
          <w:rtl/>
        </w:rPr>
        <w:t xml:space="preserve"> </w:t>
      </w:r>
      <w:r>
        <w:rPr>
          <w:rFonts w:hint="cs"/>
          <w:rtl/>
        </w:rPr>
        <w:t>תבצע</w:t>
      </w:r>
      <w:r w:rsidRPr="00514DC3">
        <w:rPr>
          <w:rtl/>
        </w:rPr>
        <w:t xml:space="preserve"> </w:t>
      </w:r>
      <w:r w:rsidRPr="00514DC3">
        <w:rPr>
          <w:rFonts w:hint="eastAsia"/>
          <w:rtl/>
        </w:rPr>
        <w:t>בדיקה</w:t>
      </w:r>
      <w:r w:rsidRPr="00514DC3">
        <w:rPr>
          <w:rtl/>
        </w:rPr>
        <w:t xml:space="preserve"> </w:t>
      </w:r>
      <w:r w:rsidRPr="00514DC3">
        <w:rPr>
          <w:rFonts w:hint="eastAsia"/>
          <w:rtl/>
        </w:rPr>
        <w:t>של</w:t>
      </w:r>
      <w:r w:rsidRPr="00514DC3">
        <w:rPr>
          <w:rtl/>
        </w:rPr>
        <w:t xml:space="preserve"> </w:t>
      </w:r>
      <w:r w:rsidRPr="00514DC3">
        <w:rPr>
          <w:rFonts w:hint="eastAsia"/>
          <w:rtl/>
        </w:rPr>
        <w:t>המסמכים</w:t>
      </w:r>
      <w:r w:rsidRPr="00514DC3">
        <w:rPr>
          <w:rtl/>
        </w:rPr>
        <w:t xml:space="preserve">, </w:t>
      </w:r>
      <w:r>
        <w:rPr>
          <w:rFonts w:hint="cs"/>
          <w:rtl/>
        </w:rPr>
        <w:t xml:space="preserve">של </w:t>
      </w:r>
      <w:r w:rsidRPr="00514DC3">
        <w:rPr>
          <w:rFonts w:hint="eastAsia"/>
          <w:rtl/>
        </w:rPr>
        <w:t>הטפסים</w:t>
      </w:r>
      <w:r w:rsidRPr="00514DC3">
        <w:rPr>
          <w:rtl/>
        </w:rPr>
        <w:t xml:space="preserve"> המקוונים ו</w:t>
      </w:r>
      <w:r>
        <w:rPr>
          <w:rFonts w:hint="cs"/>
          <w:rtl/>
        </w:rPr>
        <w:t xml:space="preserve">של </w:t>
      </w:r>
      <w:r w:rsidRPr="00514DC3">
        <w:rPr>
          <w:rtl/>
        </w:rPr>
        <w:t xml:space="preserve">הסרטונים </w:t>
      </w:r>
      <w:r w:rsidRPr="00514DC3">
        <w:rPr>
          <w:rFonts w:hint="eastAsia"/>
          <w:rtl/>
        </w:rPr>
        <w:t>שמפורסמים</w:t>
      </w:r>
      <w:r w:rsidRPr="00514DC3">
        <w:rPr>
          <w:rtl/>
        </w:rPr>
        <w:t xml:space="preserve"> באתריה, </w:t>
      </w:r>
      <w:r>
        <w:rPr>
          <w:rFonts w:hint="cs"/>
          <w:rtl/>
        </w:rPr>
        <w:t>ו</w:t>
      </w:r>
      <w:r w:rsidRPr="00514DC3">
        <w:rPr>
          <w:rtl/>
        </w:rPr>
        <w:t xml:space="preserve">תבצע </w:t>
      </w:r>
      <w:r>
        <w:rPr>
          <w:rFonts w:hint="cs"/>
          <w:rtl/>
        </w:rPr>
        <w:t xml:space="preserve">את </w:t>
      </w:r>
      <w:r w:rsidRPr="00514DC3">
        <w:rPr>
          <w:rtl/>
        </w:rPr>
        <w:t xml:space="preserve">התאמות </w:t>
      </w:r>
      <w:r>
        <w:rPr>
          <w:rFonts w:hint="cs"/>
          <w:rtl/>
        </w:rPr>
        <w:t>ה</w:t>
      </w:r>
      <w:r w:rsidRPr="00514DC3">
        <w:rPr>
          <w:rtl/>
        </w:rPr>
        <w:t xml:space="preserve">נגישות הנדרשות על פי </w:t>
      </w:r>
      <w:r>
        <w:rPr>
          <w:rFonts w:hint="cs"/>
          <w:rtl/>
        </w:rPr>
        <w:t>ה</w:t>
      </w:r>
      <w:r w:rsidRPr="00514DC3">
        <w:rPr>
          <w:rtl/>
        </w:rPr>
        <w:t xml:space="preserve">דין. </w:t>
      </w:r>
      <w:r w:rsidRPr="009A3F2B">
        <w:rPr>
          <w:rFonts w:hint="eastAsia"/>
          <w:b/>
          <w:bCs/>
          <w:rtl/>
        </w:rPr>
        <w:t>ועדת</w:t>
      </w:r>
      <w:r w:rsidRPr="009A3F2B">
        <w:rPr>
          <w:b/>
          <w:bCs/>
          <w:rtl/>
        </w:rPr>
        <w:t xml:space="preserve"> </w:t>
      </w:r>
      <w:r w:rsidRPr="009A3F2B">
        <w:rPr>
          <w:rFonts w:hint="eastAsia"/>
          <w:b/>
          <w:bCs/>
          <w:rtl/>
        </w:rPr>
        <w:t>הבחירות</w:t>
      </w:r>
      <w:r w:rsidRPr="009A3F2B">
        <w:rPr>
          <w:b/>
          <w:bCs/>
          <w:rtl/>
        </w:rPr>
        <w:t xml:space="preserve"> </w:t>
      </w:r>
      <w:r w:rsidRPr="009A3F2B">
        <w:rPr>
          <w:rFonts w:hint="eastAsia"/>
          <w:b/>
          <w:bCs/>
          <w:rtl/>
        </w:rPr>
        <w:t>המרכזית</w:t>
      </w:r>
      <w:r>
        <w:rPr>
          <w:rFonts w:hint="cs"/>
          <w:rtl/>
        </w:rPr>
        <w:t xml:space="preserve"> מסרה כי החל מהבחירות לכנסת העשרים וארבע</w:t>
      </w:r>
      <w:r>
        <w:rPr>
          <w:rStyle w:val="a8"/>
          <w:rtl/>
        </w:rPr>
        <w:footnoteReference w:id="53"/>
      </w:r>
      <w:r>
        <w:rPr>
          <w:rFonts w:hint="cs"/>
          <w:rtl/>
        </w:rPr>
        <w:t xml:space="preserve"> מונגשים כלל המסמכים המועלים לאתר הוועדה. </w:t>
      </w:r>
      <w:r w:rsidRPr="00514DC3">
        <w:rPr>
          <w:rFonts w:hint="eastAsia"/>
          <w:rtl/>
        </w:rPr>
        <w:t>ועדת</w:t>
      </w:r>
      <w:r w:rsidRPr="00514DC3">
        <w:rPr>
          <w:rtl/>
        </w:rPr>
        <w:t xml:space="preserve"> </w:t>
      </w:r>
      <w:r w:rsidRPr="00514DC3">
        <w:rPr>
          <w:rFonts w:hint="eastAsia"/>
          <w:rtl/>
        </w:rPr>
        <w:t>הבחירות</w:t>
      </w:r>
      <w:r w:rsidRPr="00514DC3">
        <w:rPr>
          <w:rtl/>
        </w:rPr>
        <w:t xml:space="preserve"> </w:t>
      </w:r>
      <w:r w:rsidRPr="00514DC3">
        <w:rPr>
          <w:rFonts w:hint="eastAsia"/>
          <w:rtl/>
        </w:rPr>
        <w:t>המרכזית</w:t>
      </w:r>
      <w:r>
        <w:rPr>
          <w:rFonts w:hint="cs"/>
          <w:rtl/>
        </w:rPr>
        <w:t xml:space="preserve"> הוסיפה כי היא עוסקת בימים אלה במיפוים של מסמכים שפורסמו באתר המרשתת שלה קודם לכן, ומסמכים שיימצא כי אינם נגישים וקיימת חובה להנגישם יוסרו מהאתר או יונגשו בהתאם לתוכנית עבודה שתוכן</w:t>
      </w:r>
      <w:r>
        <w:rPr>
          <w:rFonts w:hint="cs"/>
          <w:b/>
          <w:bCs/>
          <w:rtl/>
        </w:rPr>
        <w:t xml:space="preserve">. </w:t>
      </w:r>
      <w:r w:rsidRPr="00514DC3">
        <w:rPr>
          <w:rFonts w:hint="eastAsia"/>
          <w:rtl/>
        </w:rPr>
        <w:t>עוד</w:t>
      </w:r>
      <w:r w:rsidRPr="00514DC3">
        <w:rPr>
          <w:rtl/>
        </w:rPr>
        <w:t xml:space="preserve"> </w:t>
      </w:r>
      <w:r>
        <w:rPr>
          <w:rFonts w:hint="cs"/>
          <w:rtl/>
        </w:rPr>
        <w:t>נמסר</w:t>
      </w:r>
      <w:r w:rsidRPr="00514DC3">
        <w:rPr>
          <w:rtl/>
        </w:rPr>
        <w:t xml:space="preserve"> בתשובת </w:t>
      </w:r>
      <w:r w:rsidRPr="00CA5D2B">
        <w:rPr>
          <w:rFonts w:hint="cs"/>
          <w:rtl/>
        </w:rPr>
        <w:t>הוועדה</w:t>
      </w:r>
      <w:r>
        <w:rPr>
          <w:rFonts w:hint="cs"/>
          <w:rtl/>
        </w:rPr>
        <w:t xml:space="preserve"> כי</w:t>
      </w:r>
      <w:r w:rsidRPr="00514DC3">
        <w:rPr>
          <w:rtl/>
        </w:rPr>
        <w:t xml:space="preserve"> היא פועלת </w:t>
      </w:r>
      <w:r w:rsidRPr="00514DC3">
        <w:rPr>
          <w:rFonts w:hint="eastAsia"/>
          <w:rtl/>
        </w:rPr>
        <w:t>להנגש</w:t>
      </w:r>
      <w:r>
        <w:rPr>
          <w:rFonts w:hint="cs"/>
          <w:rtl/>
        </w:rPr>
        <w:t>ת כלל הרכיבים שבאתרי המרשתת, ובמס</w:t>
      </w:r>
      <w:r>
        <w:rPr>
          <w:rFonts w:hint="cs"/>
          <w:rtl/>
        </w:rPr>
        <w:t xml:space="preserve">גרת זו מתבצע סקר לבחינת הנגישות ולצורך תיקון ליקויים. </w:t>
      </w:r>
      <w:r w:rsidRPr="009A3F2B">
        <w:rPr>
          <w:rFonts w:hint="eastAsia"/>
          <w:b/>
          <w:bCs/>
          <w:rtl/>
        </w:rPr>
        <w:t>רשות</w:t>
      </w:r>
      <w:r w:rsidRPr="009A3F2B">
        <w:rPr>
          <w:b/>
          <w:bCs/>
          <w:rtl/>
        </w:rPr>
        <w:t xml:space="preserve"> </w:t>
      </w:r>
      <w:r w:rsidRPr="009A3F2B">
        <w:rPr>
          <w:rFonts w:hint="eastAsia"/>
          <w:b/>
          <w:bCs/>
          <w:rtl/>
        </w:rPr>
        <w:t>מקרקעי</w:t>
      </w:r>
      <w:r w:rsidRPr="009A3F2B">
        <w:rPr>
          <w:b/>
          <w:bCs/>
          <w:rtl/>
        </w:rPr>
        <w:t xml:space="preserve"> </w:t>
      </w:r>
      <w:r w:rsidRPr="009A3F2B">
        <w:rPr>
          <w:rFonts w:hint="eastAsia"/>
          <w:b/>
          <w:bCs/>
          <w:rtl/>
        </w:rPr>
        <w:t>ישראל</w:t>
      </w:r>
      <w:r>
        <w:rPr>
          <w:rFonts w:hint="cs"/>
          <w:rtl/>
        </w:rPr>
        <w:t xml:space="preserve"> מסרה כי חלק ניכר מהמסמכים שבאתר המרשתת שלה מונגשים, וכי היא נמצאת בעיצומו של תהליך להנגשת כל המסמכים הרלוונטיים. </w:t>
      </w:r>
      <w:r w:rsidRPr="009A3F2B">
        <w:rPr>
          <w:rFonts w:hint="eastAsia"/>
          <w:b/>
          <w:bCs/>
          <w:rtl/>
        </w:rPr>
        <w:t>משרד</w:t>
      </w:r>
      <w:r w:rsidRPr="009A3F2B">
        <w:rPr>
          <w:b/>
          <w:bCs/>
          <w:rtl/>
        </w:rPr>
        <w:t xml:space="preserve"> </w:t>
      </w:r>
      <w:r w:rsidRPr="009A3F2B">
        <w:rPr>
          <w:rFonts w:hint="eastAsia"/>
          <w:b/>
          <w:bCs/>
          <w:rtl/>
        </w:rPr>
        <w:t>החוץ</w:t>
      </w:r>
      <w:r>
        <w:rPr>
          <w:rFonts w:hint="cs"/>
          <w:b/>
          <w:bCs/>
          <w:rtl/>
        </w:rPr>
        <w:t xml:space="preserve"> </w:t>
      </w:r>
      <w:r>
        <w:rPr>
          <w:rFonts w:hint="cs"/>
          <w:rtl/>
        </w:rPr>
        <w:t>מסר</w:t>
      </w:r>
      <w:r w:rsidRPr="00514DC3">
        <w:rPr>
          <w:rtl/>
        </w:rPr>
        <w:t xml:space="preserve"> </w:t>
      </w:r>
      <w:r>
        <w:rPr>
          <w:rFonts w:hint="cs"/>
          <w:rtl/>
        </w:rPr>
        <w:t>כי יש מעט טפסים מקוונים שרלוונטיים לאזרח, וכי רובם נגישים</w:t>
      </w:r>
      <w:r>
        <w:rPr>
          <w:rFonts w:hint="cs"/>
          <w:rtl/>
        </w:rPr>
        <w:t xml:space="preserve"> ופותחו על תשתית האתר הממשלתי האחוד. משרד החוץ הוסיף כי נושא הנגשת הטפסים ייבדק כדי לשפר את הנגישות. לגבי אתרי המרשתת של נציגויותיו מסר משרד החוץ כי הם אינם נגישים</w:t>
      </w:r>
      <w:r>
        <w:rPr>
          <w:rStyle w:val="a8"/>
          <w:rtl/>
        </w:rPr>
        <w:footnoteReference w:id="54"/>
      </w:r>
      <w:r>
        <w:rPr>
          <w:rFonts w:hint="cs"/>
          <w:rtl/>
        </w:rPr>
        <w:t xml:space="preserve">, וכי הוא מפתח תשתית נגישה במטרה להחליף אתרים אלה. </w:t>
      </w:r>
    </w:p>
    <w:p w:rsidR="00BF1E3B" w:rsidRPr="00A211BC" w:rsidRDefault="00DF6A0A" w:rsidP="00A211BC">
      <w:pPr>
        <w:pStyle w:val="735"/>
        <w:rPr>
          <w:rtl/>
        </w:rPr>
      </w:pPr>
      <w:r w:rsidRPr="00A211BC">
        <w:rPr>
          <w:rFonts w:hint="cs"/>
          <w:rtl/>
        </w:rPr>
        <w:t>על גופי הממשל לפעול כדי להנגיש באופן שיט</w:t>
      </w:r>
      <w:r w:rsidRPr="00A211BC">
        <w:rPr>
          <w:rFonts w:hint="cs"/>
          <w:rtl/>
        </w:rPr>
        <w:t xml:space="preserve">תי את כלל התכנים והשירותים לציבור שמפורסמים באתרי המרשתת שלהם. </w:t>
      </w:r>
      <w:r w:rsidRPr="00A211BC">
        <w:rPr>
          <w:rtl/>
        </w:rPr>
        <w:t>במסגרת זו יש</w:t>
      </w:r>
      <w:r w:rsidRPr="00A211BC">
        <w:rPr>
          <w:rFonts w:hint="cs"/>
          <w:rtl/>
        </w:rPr>
        <w:t xml:space="preserve"> להנגיש</w:t>
      </w:r>
      <w:r w:rsidRPr="00A211BC">
        <w:rPr>
          <w:rtl/>
        </w:rPr>
        <w:t xml:space="preserve"> </w:t>
      </w:r>
      <w:r w:rsidRPr="00A211BC">
        <w:rPr>
          <w:rFonts w:hint="eastAsia"/>
          <w:rtl/>
        </w:rPr>
        <w:t>בין</w:t>
      </w:r>
      <w:r w:rsidRPr="00A211BC">
        <w:rPr>
          <w:rtl/>
        </w:rPr>
        <w:t xml:space="preserve"> </w:t>
      </w:r>
      <w:r w:rsidRPr="00A211BC">
        <w:rPr>
          <w:rFonts w:hint="eastAsia"/>
          <w:rtl/>
        </w:rPr>
        <w:t>היתר</w:t>
      </w:r>
      <w:r w:rsidRPr="00A211BC">
        <w:rPr>
          <w:rtl/>
        </w:rPr>
        <w:t xml:space="preserve"> כל מסמך שהוכן </w:t>
      </w:r>
      <w:r w:rsidRPr="00A211BC">
        <w:rPr>
          <w:rFonts w:hint="cs"/>
          <w:rtl/>
        </w:rPr>
        <w:t>מאוקטובר 2017</w:t>
      </w:r>
      <w:r w:rsidRPr="00A211BC">
        <w:rPr>
          <w:rtl/>
        </w:rPr>
        <w:t xml:space="preserve"> והועלה לאתר המרשתת </w:t>
      </w:r>
      <w:r w:rsidRPr="00A211BC">
        <w:rPr>
          <w:rFonts w:hint="cs"/>
          <w:rtl/>
        </w:rPr>
        <w:t>ו</w:t>
      </w:r>
      <w:r w:rsidRPr="00A211BC">
        <w:rPr>
          <w:rtl/>
        </w:rPr>
        <w:t>את כל הטפסים המקוונים שמשמשים לקבלת שירות</w:t>
      </w:r>
      <w:r w:rsidRPr="00A211BC">
        <w:rPr>
          <w:rFonts w:hint="cs"/>
          <w:rtl/>
        </w:rPr>
        <w:t xml:space="preserve">. זאת ועוד על גופי הממשל להקפיד </w:t>
      </w:r>
      <w:r w:rsidRPr="00A211BC">
        <w:rPr>
          <w:rtl/>
        </w:rPr>
        <w:t>לספק מלל חלופי לפריטים ויזואליים</w:t>
      </w:r>
      <w:r w:rsidRPr="00A211BC">
        <w:rPr>
          <w:rFonts w:hint="cs"/>
          <w:rtl/>
        </w:rPr>
        <w:t xml:space="preserve"> וכן להכין </w:t>
      </w:r>
      <w:r w:rsidRPr="00A211BC">
        <w:rPr>
          <w:rFonts w:hint="cs"/>
          <w:rtl/>
        </w:rPr>
        <w:t>כתוביות לסרטונים ולקטעי שמע שיש בהם דיבור</w:t>
      </w:r>
      <w:r w:rsidRPr="00A211BC">
        <w:rPr>
          <w:rtl/>
        </w:rPr>
        <w:t>.</w:t>
      </w:r>
      <w:r w:rsidRPr="00A211BC">
        <w:rPr>
          <w:rFonts w:hint="cs"/>
          <w:rtl/>
        </w:rPr>
        <w:t xml:space="preserve"> </w:t>
      </w:r>
    </w:p>
    <w:p w:rsidR="00BF1E3B" w:rsidRPr="00317ADC" w:rsidRDefault="00DF6A0A" w:rsidP="00317ADC">
      <w:pPr>
        <w:pStyle w:val="73414"/>
        <w:rPr>
          <w:rStyle w:val="40"/>
          <w:rFonts w:eastAsiaTheme="majorEastAsia"/>
          <w:bCs/>
          <w:szCs w:val="28"/>
          <w:rtl/>
        </w:rPr>
      </w:pPr>
      <w:r w:rsidRPr="00317ADC">
        <w:rPr>
          <w:rStyle w:val="40"/>
          <w:rFonts w:eastAsiaTheme="majorEastAsia" w:hint="eastAsia"/>
          <w:bCs/>
          <w:szCs w:val="28"/>
          <w:rtl/>
        </w:rPr>
        <w:t>ביצוע</w:t>
      </w:r>
      <w:r w:rsidRPr="00317ADC">
        <w:rPr>
          <w:rStyle w:val="40"/>
          <w:rFonts w:eastAsiaTheme="majorEastAsia"/>
          <w:bCs/>
          <w:szCs w:val="28"/>
          <w:rtl/>
        </w:rPr>
        <w:t xml:space="preserve"> </w:t>
      </w:r>
      <w:r w:rsidRPr="00317ADC">
        <w:rPr>
          <w:rStyle w:val="40"/>
          <w:rFonts w:eastAsiaTheme="majorEastAsia" w:hint="eastAsia"/>
          <w:bCs/>
          <w:szCs w:val="28"/>
          <w:rtl/>
        </w:rPr>
        <w:t>בדיקת</w:t>
      </w:r>
      <w:r w:rsidRPr="00317ADC">
        <w:rPr>
          <w:rStyle w:val="40"/>
          <w:rFonts w:eastAsiaTheme="majorEastAsia"/>
          <w:bCs/>
          <w:szCs w:val="28"/>
          <w:rtl/>
        </w:rPr>
        <w:t xml:space="preserve"> </w:t>
      </w:r>
      <w:r w:rsidRPr="00317ADC">
        <w:rPr>
          <w:rStyle w:val="40"/>
          <w:rFonts w:eastAsiaTheme="majorEastAsia" w:hint="eastAsia"/>
          <w:bCs/>
          <w:szCs w:val="28"/>
          <w:rtl/>
        </w:rPr>
        <w:t>נגישות</w:t>
      </w:r>
      <w:r w:rsidRPr="00317ADC">
        <w:rPr>
          <w:rStyle w:val="40"/>
          <w:rFonts w:eastAsiaTheme="majorEastAsia" w:hint="cs"/>
          <w:bCs/>
          <w:szCs w:val="28"/>
          <w:rtl/>
        </w:rPr>
        <w:t xml:space="preserve"> תקופתית</w:t>
      </w:r>
      <w:r w:rsidRPr="00317ADC">
        <w:rPr>
          <w:rStyle w:val="40"/>
          <w:rFonts w:eastAsiaTheme="majorEastAsia"/>
          <w:bCs/>
          <w:szCs w:val="28"/>
          <w:rtl/>
        </w:rPr>
        <w:t xml:space="preserve"> </w:t>
      </w:r>
    </w:p>
    <w:p w:rsidR="00BF1E3B" w:rsidRPr="00E91B74" w:rsidRDefault="00DF6A0A" w:rsidP="00C619CC">
      <w:pPr>
        <w:pStyle w:val="7392"/>
        <w:rPr>
          <w:rtl/>
        </w:rPr>
      </w:pPr>
      <w:r w:rsidRPr="00E91B74">
        <w:rPr>
          <w:rtl/>
        </w:rPr>
        <w:t>תקנות הנגישות</w:t>
      </w:r>
      <w:r>
        <w:rPr>
          <w:rStyle w:val="a8"/>
          <w:rFonts w:ascii="David" w:eastAsia="Calibri" w:hAnsi="David"/>
          <w:sz w:val="24"/>
          <w:rtl/>
        </w:rPr>
        <w:footnoteReference w:id="55"/>
      </w:r>
      <w:r w:rsidRPr="00E91B74">
        <w:rPr>
          <w:rtl/>
        </w:rPr>
        <w:t xml:space="preserve"> קובעות כי גוף שחייב בביצוע התאמות נגישות נדרש לבצע בדיקה תקופתית לגבי עמידתם של אמצעי</w:t>
      </w:r>
      <w:r w:rsidRPr="00E91B74">
        <w:rPr>
          <w:rFonts w:hint="cs"/>
          <w:rtl/>
        </w:rPr>
        <w:t xml:space="preserve"> העזר</w:t>
      </w:r>
      <w:r w:rsidRPr="00E91B74">
        <w:rPr>
          <w:rtl/>
        </w:rPr>
        <w:t xml:space="preserve"> ושירותי העזר</w:t>
      </w:r>
      <w:r w:rsidRPr="00E91B74">
        <w:rPr>
          <w:rFonts w:hint="cs"/>
          <w:rtl/>
        </w:rPr>
        <w:t xml:space="preserve"> </w:t>
      </w:r>
      <w:r w:rsidRPr="00E91B74">
        <w:rPr>
          <w:rtl/>
        </w:rPr>
        <w:t>בדרישות תקנות אלה,</w:t>
      </w:r>
      <w:r w:rsidRPr="00E91B74">
        <w:rPr>
          <w:rFonts w:hint="cs"/>
          <w:rtl/>
        </w:rPr>
        <w:t xml:space="preserve"> </w:t>
      </w:r>
      <w:r w:rsidRPr="00E91B74">
        <w:rPr>
          <w:rtl/>
        </w:rPr>
        <w:t xml:space="preserve">לרבות התאמות בשירותי המרשתת, וכן </w:t>
      </w:r>
      <w:r w:rsidRPr="00E91B74">
        <w:rPr>
          <w:rFonts w:hint="cs"/>
          <w:rtl/>
        </w:rPr>
        <w:t xml:space="preserve">לגבי עמידתם </w:t>
      </w:r>
      <w:r w:rsidRPr="00E91B74">
        <w:rPr>
          <w:rtl/>
        </w:rPr>
        <w:t>של הנהלים, ההליכים והנהגים בשירות</w:t>
      </w:r>
      <w:r w:rsidRPr="00E91B74">
        <w:rPr>
          <w:rFonts w:hint="cs"/>
          <w:rtl/>
        </w:rPr>
        <w:t xml:space="preserve"> בדרישות התקנות.</w:t>
      </w:r>
      <w:r>
        <w:rPr>
          <w:rFonts w:hint="cs"/>
          <w:rtl/>
        </w:rPr>
        <w:t xml:space="preserve"> נקבע כי</w:t>
      </w:r>
      <w:r w:rsidRPr="00E91B74">
        <w:rPr>
          <w:rFonts w:hint="cs"/>
          <w:rtl/>
        </w:rPr>
        <w:t xml:space="preserve"> </w:t>
      </w:r>
      <w:r w:rsidRPr="00E91B74">
        <w:rPr>
          <w:rtl/>
        </w:rPr>
        <w:t>בדיקה זו תיעשה לפחות אחת ל</w:t>
      </w:r>
      <w:r w:rsidRPr="00E91B74">
        <w:rPr>
          <w:rFonts w:hint="cs"/>
          <w:rtl/>
        </w:rPr>
        <w:t>חמש</w:t>
      </w:r>
      <w:r w:rsidRPr="00E91B74">
        <w:rPr>
          <w:rtl/>
        </w:rPr>
        <w:t xml:space="preserve"> שנים ממועד סיום </w:t>
      </w:r>
      <w:r w:rsidRPr="00E91B74">
        <w:rPr>
          <w:rFonts w:hint="cs"/>
          <w:rtl/>
        </w:rPr>
        <w:t>ה</w:t>
      </w:r>
      <w:r w:rsidRPr="00E91B74">
        <w:rPr>
          <w:rtl/>
        </w:rPr>
        <w:t xml:space="preserve">ביצוע </w:t>
      </w:r>
      <w:r w:rsidRPr="00E91B74">
        <w:rPr>
          <w:rFonts w:hint="cs"/>
          <w:rtl/>
        </w:rPr>
        <w:t xml:space="preserve">של </w:t>
      </w:r>
      <w:r w:rsidRPr="00E91B74">
        <w:rPr>
          <w:rtl/>
        </w:rPr>
        <w:t xml:space="preserve">התאמות הנגישות בשירות שנדרש לבצע לפי התקנות. תוצאות הבדיקה ואישור מורשה לנגישות השירות, לפי העניין, יהיו זמינים בכל עת לעיון הציבור אצל </w:t>
      </w:r>
      <w:r w:rsidRPr="00E91B74">
        <w:rPr>
          <w:rFonts w:hint="cs"/>
          <w:rtl/>
        </w:rPr>
        <w:t>ה</w:t>
      </w:r>
      <w:r w:rsidRPr="00E91B74">
        <w:rPr>
          <w:rtl/>
        </w:rPr>
        <w:t>גוף ה</w:t>
      </w:r>
      <w:r w:rsidRPr="00E91B74">
        <w:rPr>
          <w:rtl/>
        </w:rPr>
        <w:t>חייב בביצוע הבדיקה</w:t>
      </w:r>
      <w:r w:rsidRPr="00E91B74">
        <w:rPr>
          <w:rFonts w:hint="cs"/>
          <w:rtl/>
        </w:rPr>
        <w:t>.</w:t>
      </w:r>
      <w:r w:rsidRPr="00E91B74">
        <w:rPr>
          <w:rtl/>
        </w:rPr>
        <w:t xml:space="preserve"> על הגוף לתקן את הליקויים שנמצאו בה לא יאוחר משישה חודשים ממועד ביצוע הבדיקה.</w:t>
      </w:r>
    </w:p>
    <w:p w:rsidR="00BF1E3B" w:rsidRPr="00006C1F" w:rsidRDefault="00DF6A0A" w:rsidP="00006C1F">
      <w:pPr>
        <w:pStyle w:val="7392"/>
        <w:rPr>
          <w:rtl/>
        </w:rPr>
      </w:pPr>
      <w:r w:rsidRPr="00006C1F">
        <w:rPr>
          <w:rtl/>
        </w:rPr>
        <w:t>נציבות שוויון זכויות לאנשים עם מוגבלות מסרה בתשוב</w:t>
      </w:r>
      <w:r w:rsidRPr="00006C1F">
        <w:rPr>
          <w:rFonts w:hint="cs"/>
          <w:rtl/>
        </w:rPr>
        <w:t>ת</w:t>
      </w:r>
      <w:r w:rsidRPr="00006C1F">
        <w:rPr>
          <w:rtl/>
        </w:rPr>
        <w:t>ה למשרד מבקר המדינה מינואר 2023 כי לפי סעיף 97 לתקנות הנגישות לשירות, גופי הממשל נדרשו לבצע את התאמות הנגישות</w:t>
      </w:r>
      <w:r w:rsidRPr="00006C1F">
        <w:rPr>
          <w:rtl/>
        </w:rPr>
        <w:t xml:space="preserve"> </w:t>
      </w:r>
      <w:r w:rsidRPr="00006C1F">
        <w:rPr>
          <w:rtl/>
        </w:rPr>
        <w:lastRenderedPageBreak/>
        <w:t>בהליך הדרגתי שהיה אמור להסתיים עד 1.11.18</w:t>
      </w:r>
      <w:r w:rsidRPr="00006C1F">
        <w:rPr>
          <w:rFonts w:hint="cs"/>
          <w:rtl/>
        </w:rPr>
        <w:t xml:space="preserve"> וציינה כי</w:t>
      </w:r>
      <w:r w:rsidRPr="00006C1F">
        <w:rPr>
          <w:rtl/>
        </w:rPr>
        <w:t xml:space="preserve"> "זהו לעמדתנו מועד סיום ביצוע התאמות הנגישות". לכן הגופים הממשלתיים נדרשים </w:t>
      </w:r>
      <w:r w:rsidRPr="00006C1F">
        <w:rPr>
          <w:rFonts w:hint="cs"/>
          <w:rtl/>
        </w:rPr>
        <w:t>לבצע</w:t>
      </w:r>
      <w:r w:rsidRPr="00006C1F">
        <w:rPr>
          <w:rtl/>
        </w:rPr>
        <w:t xml:space="preserve"> את הבדיקה התקופתית עד נובמבר 2023</w:t>
      </w:r>
      <w:r w:rsidRPr="00006C1F">
        <w:rPr>
          <w:rFonts w:hint="cs"/>
          <w:rtl/>
        </w:rPr>
        <w:t>.</w:t>
      </w:r>
      <w:r w:rsidRPr="00006C1F">
        <w:rPr>
          <w:rtl/>
        </w:rPr>
        <w:t xml:space="preserve"> </w:t>
      </w:r>
    </w:p>
    <w:p w:rsidR="00BF1E3B" w:rsidRDefault="00DF6A0A" w:rsidP="00C619CC">
      <w:pPr>
        <w:pStyle w:val="7392"/>
        <w:rPr>
          <w:b/>
          <w:bCs/>
          <w:rtl/>
        </w:rPr>
      </w:pPr>
      <w:r>
        <w:rPr>
          <w:rFonts w:hint="cs"/>
          <w:rtl/>
        </w:rPr>
        <w:t xml:space="preserve">כדי לבדוק את המודעות והיישום בקרב גופי הממשל לדרישה העולה מן התקנות לבצע בדיקת נגישות </w:t>
      </w:r>
      <w:r w:rsidRPr="00A60D23">
        <w:rPr>
          <w:rFonts w:hint="cs"/>
          <w:rtl/>
        </w:rPr>
        <w:t>תק</w:t>
      </w:r>
      <w:r w:rsidRPr="00A60D23">
        <w:rPr>
          <w:rFonts w:hint="cs"/>
          <w:rtl/>
        </w:rPr>
        <w:t>ופתית</w:t>
      </w:r>
      <w:r>
        <w:rPr>
          <w:rFonts w:hint="cs"/>
          <w:rtl/>
        </w:rPr>
        <w:t xml:space="preserve"> של אתרי המרשתת הציבוריים שלהם, וכדי לקבל מידע על שיעור אתרי המרשתת שכבר בוצעה בהם הבדיקה, נשאלו הגופים שהשתתפו בסקר אם ביצעו בדיקה זו. להלן בתרשים הממצאים שעלו</w:t>
      </w:r>
      <w:r>
        <w:rPr>
          <w:rStyle w:val="a8"/>
          <w:rFonts w:ascii="David" w:eastAsia="Calibri" w:hAnsi="David"/>
          <w:sz w:val="24"/>
          <w:rtl/>
          <w:lang w:val="x-none" w:eastAsia="x-none"/>
        </w:rPr>
        <w:footnoteReference w:id="56"/>
      </w:r>
      <w:r>
        <w:rPr>
          <w:rFonts w:hint="cs"/>
          <w:rtl/>
        </w:rPr>
        <w:t>.</w:t>
      </w:r>
      <w:r w:rsidRPr="00C8374D">
        <w:rPr>
          <w:rFonts w:hint="cs"/>
          <w:rtl/>
        </w:rPr>
        <w:t xml:space="preserve"> </w:t>
      </w:r>
    </w:p>
    <w:p w:rsidR="00BF1E3B" w:rsidRPr="00A211BC" w:rsidRDefault="00DF6A0A" w:rsidP="00A211BC">
      <w:pPr>
        <w:pStyle w:val="738"/>
        <w:rPr>
          <w:rtl/>
        </w:rPr>
      </w:pPr>
      <w:r w:rsidRPr="00A211BC">
        <w:rPr>
          <w:rFonts w:hint="eastAsia"/>
          <w:b w:val="0"/>
          <w:bCs w:val="0"/>
          <w:rtl/>
        </w:rPr>
        <w:t>תרשים</w:t>
      </w:r>
      <w:r w:rsidRPr="00A211BC">
        <w:rPr>
          <w:b w:val="0"/>
          <w:bCs w:val="0"/>
          <w:rtl/>
        </w:rPr>
        <w:t xml:space="preserve"> </w:t>
      </w:r>
      <w:r w:rsidRPr="00A211BC">
        <w:rPr>
          <w:rFonts w:hint="cs"/>
          <w:b w:val="0"/>
          <w:bCs w:val="0"/>
          <w:rtl/>
        </w:rPr>
        <w:t>8</w:t>
      </w:r>
      <w:r w:rsidRPr="00A211BC">
        <w:rPr>
          <w:b w:val="0"/>
          <w:bCs w:val="0"/>
          <w:rtl/>
        </w:rPr>
        <w:t>:</w:t>
      </w:r>
      <w:r w:rsidRPr="00A211BC">
        <w:rPr>
          <w:rFonts w:hint="cs"/>
          <w:b w:val="0"/>
          <w:bCs w:val="0"/>
          <w:rtl/>
        </w:rPr>
        <w:t xml:space="preserve"> </w:t>
      </w:r>
      <w:r w:rsidRPr="00A211BC">
        <w:rPr>
          <w:rFonts w:hint="cs"/>
          <w:rtl/>
        </w:rPr>
        <w:t>דיווחי גופי הממשל על ביצוע בדיקת נגישות תקופתית באתר המרשתת הציבורי הראשי שלהם</w:t>
      </w:r>
    </w:p>
    <w:p w:rsidR="00BF1E3B" w:rsidRDefault="00DF6A0A" w:rsidP="00BF1E3B">
      <w:pPr>
        <w:jc w:val="center"/>
        <w:rPr>
          <w:rFonts w:ascii="David" w:eastAsia="Calibri" w:hAnsi="David"/>
          <w:b/>
          <w:bCs/>
          <w:sz w:val="24"/>
          <w:rtl/>
        </w:rPr>
      </w:pPr>
      <w:r w:rsidRPr="00A75C4A">
        <w:rPr>
          <w:noProof/>
        </w:rPr>
        <w:drawing>
          <wp:inline distT="0" distB="0" distL="0" distR="0">
            <wp:extent cx="2931697" cy="2975893"/>
            <wp:effectExtent l="0" t="0" r="2540" b="0"/>
            <wp:docPr id="2052770954" name="תמונה 2052770954" descr="10 גופים (43%) מבין 23 שהשיבו על הסקר ציינו כי עדיין לא ביצעו בדיקת נגישות תקופתית, ו-13 גופים (57%) ציינו כי ביצעו בדיקה ז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4" name="תמונה 2052770954"/>
                    <pic:cNvPicPr/>
                  </pic:nvPicPr>
                  <pic:blipFill>
                    <a:blip r:embed="rId45">
                      <a:extLst>
                        <a:ext uri="{28A0092B-C50C-407E-A947-70E740481C1C}">
                          <a14:useLocalDpi xmlns:a14="http://schemas.microsoft.com/office/drawing/2010/main" val="0"/>
                        </a:ext>
                      </a:extLst>
                    </a:blip>
                    <a:stretch>
                      <a:fillRect/>
                    </a:stretch>
                  </pic:blipFill>
                  <pic:spPr>
                    <a:xfrm>
                      <a:off x="0" y="0"/>
                      <a:ext cx="2931697" cy="2975893"/>
                    </a:xfrm>
                    <a:prstGeom prst="rect">
                      <a:avLst/>
                    </a:prstGeom>
                    <a:ln>
                      <a:noFill/>
                    </a:ln>
                  </pic:spPr>
                </pic:pic>
              </a:graphicData>
            </a:graphic>
          </wp:inline>
        </w:drawing>
      </w:r>
    </w:p>
    <w:p w:rsidR="00BF1E3B" w:rsidRPr="00A211BC" w:rsidRDefault="00DF6A0A" w:rsidP="00A211BC">
      <w:pPr>
        <w:pStyle w:val="73e"/>
        <w:rPr>
          <w:rtl/>
        </w:rPr>
      </w:pPr>
      <w:r w:rsidRPr="00A211BC">
        <w:rPr>
          <w:rFonts w:hint="cs"/>
          <w:rtl/>
        </w:rPr>
        <w:t xml:space="preserve">על פי ממצאי סקר משרד מבקר המדינה. </w:t>
      </w:r>
    </w:p>
    <w:p w:rsidR="00BF1E3B" w:rsidRPr="00A211BC" w:rsidRDefault="00DF6A0A" w:rsidP="00A211BC">
      <w:pPr>
        <w:pStyle w:val="735"/>
        <w:rPr>
          <w:rFonts w:eastAsia="Calibri"/>
          <w:rtl/>
        </w:rPr>
      </w:pPr>
      <w:r w:rsidRPr="00A211BC">
        <w:rPr>
          <w:rFonts w:eastAsia="Calibri" w:hint="cs"/>
          <w:rtl/>
        </w:rPr>
        <w:lastRenderedPageBreak/>
        <w:t xml:space="preserve">כעולה מן התרשים, עשרה מ-23 גופי ממשל (43%) - </w:t>
      </w:r>
      <w:r w:rsidRPr="00A211BC">
        <w:rPr>
          <w:rFonts w:eastAsia="Calibri"/>
          <w:rtl/>
        </w:rPr>
        <w:t xml:space="preserve">משרד הרווחה והביטחון החברתי, רשות מקרקעי ישראל, משרד הבינוי והשיכון, המשרד לשירותי דת, רשות האכיפה והגבייה, משרד החקלאות ופיתוח הכפר, הנהלת בתי המשפט, </w:t>
      </w:r>
      <w:r w:rsidRPr="00A211BC">
        <w:rPr>
          <w:rFonts w:eastAsia="Calibri" w:hint="cs"/>
          <w:rtl/>
        </w:rPr>
        <w:t xml:space="preserve">משטרת ישראל, </w:t>
      </w:r>
      <w:r w:rsidRPr="00A211BC">
        <w:rPr>
          <w:rFonts w:eastAsia="Calibri"/>
          <w:rtl/>
        </w:rPr>
        <w:t>משרד החוץ</w:t>
      </w:r>
      <w:r w:rsidRPr="00A211BC">
        <w:rPr>
          <w:rFonts w:eastAsia="Calibri"/>
          <w:rtl/>
        </w:rPr>
        <w:t xml:space="preserve"> וכן רשות המיסים</w:t>
      </w:r>
      <w:r w:rsidRPr="00A211BC">
        <w:rPr>
          <w:rFonts w:eastAsia="Calibri" w:hint="cs"/>
          <w:rtl/>
        </w:rPr>
        <w:t xml:space="preserve">, עדיין לא ביצעו בשנת 2022 את בדיקת הנגישות התקופתית. </w:t>
      </w:r>
      <w:r w:rsidRPr="00A211BC">
        <w:rPr>
          <w:rFonts w:eastAsia="Calibri"/>
          <w:rtl/>
        </w:rPr>
        <w:t xml:space="preserve">ארבעה מהם ציינו בסקר כי אתרי המרשתת שלהם היו מונגשים עוד לפני שנת 2018 - הנהלת בתי המשפט, משרד הבינוי והשיכון, רשות האכיפה והגבייה ורשות המסים - </w:t>
      </w:r>
      <w:r w:rsidRPr="00A211BC">
        <w:rPr>
          <w:rFonts w:eastAsia="Calibri" w:hint="cs"/>
          <w:rtl/>
        </w:rPr>
        <w:t xml:space="preserve">משכך, היה מצופה מהם לבצע את בדיקת </w:t>
      </w:r>
      <w:r w:rsidRPr="00A211BC">
        <w:rPr>
          <w:rFonts w:eastAsia="Calibri"/>
          <w:rtl/>
        </w:rPr>
        <w:t>הנגישות</w:t>
      </w:r>
      <w:r w:rsidRPr="00A211BC">
        <w:rPr>
          <w:rFonts w:eastAsia="Calibri"/>
          <w:rtl/>
        </w:rPr>
        <w:t xml:space="preserve"> התקופתית</w:t>
      </w:r>
      <w:r w:rsidRPr="00A211BC">
        <w:rPr>
          <w:rFonts w:eastAsia="Calibri" w:hint="cs"/>
          <w:rtl/>
        </w:rPr>
        <w:t>, כיוון שכבר חלפו חמש שנים ויותר ממועד הנגשת האתרים.</w:t>
      </w:r>
    </w:p>
    <w:p w:rsidR="00BF1E3B" w:rsidRPr="00A211BC" w:rsidRDefault="00DF6A0A" w:rsidP="00A211BC">
      <w:pPr>
        <w:pStyle w:val="735"/>
        <w:rPr>
          <w:rFonts w:eastAsia="Calibri"/>
          <w:rtl/>
        </w:rPr>
      </w:pPr>
      <w:r w:rsidRPr="00A211BC">
        <w:rPr>
          <w:rFonts w:eastAsia="Calibri" w:hint="cs"/>
          <w:rtl/>
        </w:rPr>
        <w:t xml:space="preserve">החובה לבצע בדיקות נגישות לאתר המרשתת מדי חמש שנים נקבעה בתקנות הנגישות. מענה הנגישות חייב להבטיח עמידה בכל דרישות הדין, לרבות ביצוע בדיקות נגישות. במצב הקיים, סטטוס ביצוע הבדיקות בכלל האתרים של </w:t>
      </w:r>
      <w:r w:rsidRPr="00A211BC">
        <w:rPr>
          <w:rFonts w:eastAsia="Calibri" w:hint="cs"/>
          <w:rtl/>
        </w:rPr>
        <w:t xml:space="preserve">גופי הממשל הוא חלקי. על ארבעת הגופים שכבר חלפו מעל חמש שנים ממועד הנגשת אתרי המרשתת שלהם, לבצע את בדיקת הנגישות בהקדם. ששת הגופים האחרים, שעדיין לא ביצעו את הבדיקה נדרשים לבצעה עד נובמבר 2023. יודגש כי </w:t>
      </w:r>
      <w:r w:rsidRPr="00A211BC">
        <w:rPr>
          <w:rFonts w:eastAsia="Calibri" w:hint="eastAsia"/>
          <w:rtl/>
        </w:rPr>
        <w:t>החובה</w:t>
      </w:r>
      <w:r w:rsidRPr="00A211BC">
        <w:rPr>
          <w:rFonts w:eastAsia="Calibri"/>
          <w:rtl/>
        </w:rPr>
        <w:t xml:space="preserve"> לבצע </w:t>
      </w:r>
      <w:r w:rsidRPr="00A211BC">
        <w:rPr>
          <w:rFonts w:eastAsia="Calibri" w:hint="eastAsia"/>
          <w:rtl/>
        </w:rPr>
        <w:t>בדיקת</w:t>
      </w:r>
      <w:r w:rsidRPr="00A211BC">
        <w:rPr>
          <w:rFonts w:eastAsia="Calibri"/>
          <w:rtl/>
        </w:rPr>
        <w:t xml:space="preserve"> </w:t>
      </w:r>
      <w:r w:rsidRPr="00A211BC">
        <w:rPr>
          <w:rFonts w:eastAsia="Calibri" w:hint="eastAsia"/>
          <w:rtl/>
        </w:rPr>
        <w:t>נגישות</w:t>
      </w:r>
      <w:r w:rsidRPr="00A211BC">
        <w:rPr>
          <w:rFonts w:eastAsia="Calibri"/>
          <w:rtl/>
        </w:rPr>
        <w:t xml:space="preserve"> </w:t>
      </w:r>
      <w:r w:rsidRPr="00A211BC">
        <w:rPr>
          <w:rFonts w:eastAsia="Calibri" w:hint="eastAsia"/>
          <w:rtl/>
        </w:rPr>
        <w:t>תקופתית</w:t>
      </w:r>
      <w:r w:rsidRPr="00A211BC">
        <w:rPr>
          <w:rFonts w:eastAsia="Calibri"/>
          <w:rtl/>
        </w:rPr>
        <w:t xml:space="preserve"> </w:t>
      </w:r>
      <w:r w:rsidRPr="00A211BC">
        <w:rPr>
          <w:rFonts w:eastAsia="Calibri" w:hint="eastAsia"/>
          <w:rtl/>
        </w:rPr>
        <w:t>חלה</w:t>
      </w:r>
      <w:r w:rsidRPr="00A211BC">
        <w:rPr>
          <w:rFonts w:eastAsia="Calibri"/>
          <w:rtl/>
        </w:rPr>
        <w:t xml:space="preserve"> </w:t>
      </w:r>
      <w:r w:rsidRPr="00A211BC">
        <w:rPr>
          <w:rFonts w:eastAsia="Calibri" w:hint="eastAsia"/>
          <w:rtl/>
        </w:rPr>
        <w:t>גם</w:t>
      </w:r>
      <w:r w:rsidRPr="00A211BC">
        <w:rPr>
          <w:rFonts w:eastAsia="Calibri"/>
          <w:rtl/>
        </w:rPr>
        <w:t xml:space="preserve"> </w:t>
      </w:r>
      <w:r w:rsidRPr="00A211BC">
        <w:rPr>
          <w:rFonts w:eastAsia="Calibri" w:hint="eastAsia"/>
          <w:rtl/>
        </w:rPr>
        <w:t>על</w:t>
      </w:r>
      <w:r w:rsidRPr="00A211BC">
        <w:rPr>
          <w:rFonts w:eastAsia="Calibri"/>
          <w:rtl/>
        </w:rPr>
        <w:t xml:space="preserve"> </w:t>
      </w:r>
      <w:r w:rsidRPr="00A211BC">
        <w:rPr>
          <w:rFonts w:eastAsia="Calibri" w:hint="eastAsia"/>
          <w:rtl/>
        </w:rPr>
        <w:t>גופים</w:t>
      </w:r>
      <w:r w:rsidRPr="00A211BC">
        <w:rPr>
          <w:rFonts w:eastAsia="Calibri"/>
          <w:rtl/>
        </w:rPr>
        <w:t xml:space="preserve"> </w:t>
      </w:r>
      <w:r w:rsidRPr="00A211BC">
        <w:rPr>
          <w:rFonts w:eastAsia="Calibri" w:hint="eastAsia"/>
          <w:rtl/>
        </w:rPr>
        <w:t>שמבצעי</w:t>
      </w:r>
      <w:r w:rsidRPr="00A211BC">
        <w:rPr>
          <w:rFonts w:eastAsia="Calibri" w:hint="eastAsia"/>
          <w:rtl/>
        </w:rPr>
        <w:t>ם</w:t>
      </w:r>
      <w:r w:rsidRPr="00A211BC">
        <w:rPr>
          <w:rFonts w:eastAsia="Calibri"/>
          <w:rtl/>
        </w:rPr>
        <w:t xml:space="preserve"> </w:t>
      </w:r>
      <w:r w:rsidRPr="00A211BC">
        <w:rPr>
          <w:rFonts w:eastAsia="Calibri" w:hint="eastAsia"/>
          <w:rtl/>
        </w:rPr>
        <w:t>בקרת</w:t>
      </w:r>
      <w:r w:rsidRPr="00A211BC">
        <w:rPr>
          <w:rFonts w:eastAsia="Calibri"/>
          <w:rtl/>
        </w:rPr>
        <w:t xml:space="preserve"> </w:t>
      </w:r>
      <w:r w:rsidRPr="00A211BC">
        <w:rPr>
          <w:rFonts w:eastAsia="Calibri" w:hint="eastAsia"/>
          <w:rtl/>
        </w:rPr>
        <w:t>נגישות</w:t>
      </w:r>
      <w:r w:rsidRPr="00A211BC">
        <w:rPr>
          <w:rFonts w:eastAsia="Calibri"/>
          <w:rtl/>
        </w:rPr>
        <w:t xml:space="preserve"> </w:t>
      </w:r>
      <w:r w:rsidRPr="00A211BC">
        <w:rPr>
          <w:rFonts w:eastAsia="Calibri" w:hint="eastAsia"/>
          <w:rtl/>
        </w:rPr>
        <w:t>לפני</w:t>
      </w:r>
      <w:r w:rsidRPr="00A211BC">
        <w:rPr>
          <w:rFonts w:eastAsia="Calibri"/>
          <w:rtl/>
        </w:rPr>
        <w:t xml:space="preserve"> </w:t>
      </w:r>
      <w:r w:rsidRPr="00A211BC">
        <w:rPr>
          <w:rFonts w:eastAsia="Calibri" w:hint="eastAsia"/>
          <w:rtl/>
        </w:rPr>
        <w:t>העלאת</w:t>
      </w:r>
      <w:r w:rsidRPr="00A211BC">
        <w:rPr>
          <w:rFonts w:eastAsia="Calibri"/>
          <w:rtl/>
        </w:rPr>
        <w:t xml:space="preserve"> </w:t>
      </w:r>
      <w:r w:rsidRPr="00A211BC">
        <w:rPr>
          <w:rFonts w:eastAsia="Calibri" w:hint="eastAsia"/>
          <w:rtl/>
        </w:rPr>
        <w:t>חומרים</w:t>
      </w:r>
      <w:r w:rsidRPr="00A211BC">
        <w:rPr>
          <w:rFonts w:eastAsia="Calibri"/>
          <w:rtl/>
        </w:rPr>
        <w:t xml:space="preserve"> </w:t>
      </w:r>
      <w:r w:rsidRPr="00A211BC">
        <w:rPr>
          <w:rFonts w:eastAsia="Calibri" w:hint="eastAsia"/>
          <w:rtl/>
        </w:rPr>
        <w:t>לאתר</w:t>
      </w:r>
      <w:r w:rsidRPr="00A211BC">
        <w:rPr>
          <w:rFonts w:eastAsia="Calibri"/>
          <w:rtl/>
        </w:rPr>
        <w:t xml:space="preserve"> </w:t>
      </w:r>
      <w:r w:rsidRPr="00A211BC">
        <w:rPr>
          <w:rFonts w:eastAsia="Calibri" w:hint="eastAsia"/>
          <w:rtl/>
        </w:rPr>
        <w:t>המרשתת</w:t>
      </w:r>
      <w:r w:rsidRPr="00A211BC">
        <w:rPr>
          <w:rFonts w:eastAsia="Calibri"/>
          <w:rtl/>
        </w:rPr>
        <w:t>.</w:t>
      </w:r>
      <w:r w:rsidRPr="00A211BC">
        <w:rPr>
          <w:rFonts w:eastAsia="Calibri" w:hint="cs"/>
          <w:rtl/>
        </w:rPr>
        <w:t xml:space="preserve"> וכי הדרישה שמוטלת על גופי הממשל לבצע את בדיקת הנגישות באתרי המרשתת עד למועד האמור חלה גם במקרים שבהם אתרי המרשתת חדשים והחלו לפעול רק השנה. </w:t>
      </w:r>
    </w:p>
    <w:p w:rsidR="00BF1E3B" w:rsidRPr="00A211BC" w:rsidRDefault="00DF6A0A" w:rsidP="00A211BC">
      <w:pPr>
        <w:pStyle w:val="735"/>
        <w:rPr>
          <w:rtl/>
        </w:rPr>
      </w:pPr>
      <w:r w:rsidRPr="00A211BC">
        <w:rPr>
          <w:rFonts w:eastAsia="Calibri" w:hint="cs"/>
          <w:rtl/>
        </w:rPr>
        <w:t>במהלך ביצוע הביקורת וכן בתגובת מספר גופים מבוקרים לממצאי הביקורת</w:t>
      </w:r>
      <w:r>
        <w:rPr>
          <w:rStyle w:val="a8"/>
          <w:rFonts w:eastAsia="Calibri"/>
          <w:rtl/>
        </w:rPr>
        <w:footnoteReference w:id="57"/>
      </w:r>
      <w:r w:rsidRPr="00A211BC">
        <w:rPr>
          <w:rFonts w:eastAsia="Calibri" w:hint="cs"/>
          <w:rtl/>
        </w:rPr>
        <w:t xml:space="preserve"> עלה כי בקרב גופים המשתמשים בתשתית של האתר הממשלתי האחוד המופעל ומת</w:t>
      </w:r>
      <w:r w:rsidR="00F25780">
        <w:rPr>
          <w:rFonts w:eastAsia="Calibri" w:hint="cs"/>
          <w:rtl/>
        </w:rPr>
        <w:t>ו</w:t>
      </w:r>
      <w:r w:rsidRPr="00A211BC">
        <w:rPr>
          <w:rFonts w:eastAsia="Calibri" w:hint="cs"/>
          <w:rtl/>
        </w:rPr>
        <w:t>חזק כאמור על ידי מערך הדיגיטל, קיים לכאורה פער בתפיסת היקף האחריות להנגשת אתרי המרשתת שלהם. בעוד שמערך הדיגיטל הלאומי מגדיר את אחריותו להנגשה של רכיבים תשתיתיים אחידים בלבד (כגון יכולת להג</w:t>
      </w:r>
      <w:r w:rsidRPr="00A211BC">
        <w:rPr>
          <w:rFonts w:eastAsia="Calibri" w:hint="cs"/>
          <w:rtl/>
        </w:rPr>
        <w:t xml:space="preserve">דיל תצוגה), גופים ממשלתיים מסוימים רואים בביצוע בדיקת נגישות של האתר האחוד על ידי מערך הדיגיטל כפעולה שמאיינת את החובה החלה עליהם לבצע בדיקת נגישות תקופתית עצמאית לאתר המרשתת שבניהולם ולהתייחס במסגרת זו לבדיקת נגישות של רכיבים שבאחריותם להנגיש. במצב דברים </w:t>
      </w:r>
      <w:r w:rsidRPr="00A211BC">
        <w:rPr>
          <w:rFonts w:eastAsia="Calibri" w:hint="cs"/>
          <w:rtl/>
        </w:rPr>
        <w:t>זה, אם גוף לא יבצע בדיקת נגישות תקופתית של אתר המרשתת שלו אלא יסתמך רק על כך שמערך הדיגיטל הלאומי בודק מדי תקופה את התשתית עליה פועל האתר, יהיו רכיבים שלא תבוצע לגביהם בדיקת נגישות תקופתית על ידי אף אחד מהגופים - מערך הדיגיטל או הגוף הממשלתי שמפעיל את האתר</w:t>
      </w:r>
      <w:r w:rsidRPr="00A211BC">
        <w:rPr>
          <w:rFonts w:eastAsia="Calibri" w:hint="cs"/>
          <w:rtl/>
        </w:rPr>
        <w:t xml:space="preserve">. </w:t>
      </w:r>
    </w:p>
    <w:p w:rsidR="00BF1E3B" w:rsidRPr="00A211BC" w:rsidRDefault="00DF6A0A" w:rsidP="00A211BC">
      <w:pPr>
        <w:pStyle w:val="735"/>
        <w:rPr>
          <w:rtl/>
        </w:rPr>
      </w:pPr>
      <w:r w:rsidRPr="00A211BC">
        <w:rPr>
          <w:rFonts w:eastAsia="Calibri" w:hint="eastAsia"/>
          <w:rtl/>
        </w:rPr>
        <w:t>מומלץ</w:t>
      </w:r>
      <w:r w:rsidRPr="00A211BC">
        <w:rPr>
          <w:rFonts w:eastAsia="Calibri"/>
          <w:rtl/>
        </w:rPr>
        <w:t xml:space="preserve"> כי מערך הדיגיטל </w:t>
      </w:r>
      <w:r w:rsidRPr="00A211BC">
        <w:rPr>
          <w:rFonts w:eastAsia="Calibri" w:hint="eastAsia"/>
          <w:rtl/>
        </w:rPr>
        <w:t>הלאומי</w:t>
      </w:r>
      <w:r w:rsidRPr="00A211BC">
        <w:rPr>
          <w:rFonts w:eastAsia="Calibri"/>
          <w:rtl/>
        </w:rPr>
        <w:t xml:space="preserve"> </w:t>
      </w:r>
      <w:r w:rsidRPr="00A211BC">
        <w:rPr>
          <w:rFonts w:eastAsia="Calibri" w:hint="eastAsia"/>
          <w:rtl/>
        </w:rPr>
        <w:t>יבהיר</w:t>
      </w:r>
      <w:r w:rsidRPr="00A211BC">
        <w:rPr>
          <w:rFonts w:eastAsia="Calibri"/>
          <w:rtl/>
        </w:rPr>
        <w:t xml:space="preserve"> </w:t>
      </w:r>
      <w:r w:rsidRPr="00A211BC">
        <w:rPr>
          <w:rFonts w:eastAsia="Calibri" w:hint="eastAsia"/>
          <w:rtl/>
        </w:rPr>
        <w:t>לגופים</w:t>
      </w:r>
      <w:r w:rsidRPr="00A211BC">
        <w:rPr>
          <w:rFonts w:eastAsia="Calibri"/>
          <w:rtl/>
        </w:rPr>
        <w:t xml:space="preserve"> </w:t>
      </w:r>
      <w:r w:rsidRPr="00A211BC">
        <w:rPr>
          <w:rFonts w:eastAsia="Calibri" w:hint="eastAsia"/>
          <w:rtl/>
        </w:rPr>
        <w:t>הממשלתיים</w:t>
      </w:r>
      <w:r w:rsidRPr="00A211BC">
        <w:rPr>
          <w:rFonts w:eastAsia="Calibri"/>
          <w:rtl/>
        </w:rPr>
        <w:t xml:space="preserve"> </w:t>
      </w:r>
      <w:r w:rsidRPr="00A211BC">
        <w:rPr>
          <w:rFonts w:eastAsia="Calibri" w:hint="eastAsia"/>
          <w:rtl/>
        </w:rPr>
        <w:t>את</w:t>
      </w:r>
      <w:r w:rsidRPr="00A211BC">
        <w:rPr>
          <w:rFonts w:eastAsia="Calibri"/>
          <w:rtl/>
        </w:rPr>
        <w:t xml:space="preserve"> </w:t>
      </w:r>
      <w:r w:rsidRPr="00A211BC">
        <w:rPr>
          <w:rFonts w:eastAsia="Calibri" w:hint="eastAsia"/>
          <w:rtl/>
        </w:rPr>
        <w:t>חלוקת</w:t>
      </w:r>
      <w:r w:rsidRPr="00A211BC">
        <w:rPr>
          <w:rFonts w:eastAsia="Calibri"/>
          <w:rtl/>
        </w:rPr>
        <w:t xml:space="preserve"> </w:t>
      </w:r>
      <w:r w:rsidRPr="00A211BC">
        <w:rPr>
          <w:rFonts w:eastAsia="Calibri" w:hint="eastAsia"/>
          <w:rtl/>
        </w:rPr>
        <w:t>האחריות</w:t>
      </w:r>
      <w:r w:rsidRPr="00A211BC">
        <w:rPr>
          <w:rFonts w:eastAsia="Calibri"/>
          <w:rtl/>
        </w:rPr>
        <w:t xml:space="preserve"> </w:t>
      </w:r>
      <w:r w:rsidRPr="00A211BC">
        <w:rPr>
          <w:rFonts w:eastAsia="Calibri" w:hint="eastAsia"/>
          <w:rtl/>
        </w:rPr>
        <w:t>לעניין</w:t>
      </w:r>
      <w:r w:rsidRPr="00A211BC">
        <w:rPr>
          <w:rFonts w:eastAsia="Calibri"/>
          <w:rtl/>
        </w:rPr>
        <w:t xml:space="preserve"> </w:t>
      </w:r>
      <w:r w:rsidRPr="00A211BC">
        <w:rPr>
          <w:rFonts w:eastAsia="Calibri" w:hint="eastAsia"/>
          <w:rtl/>
        </w:rPr>
        <w:t>ההנגשה</w:t>
      </w:r>
      <w:r w:rsidRPr="00A211BC">
        <w:rPr>
          <w:rFonts w:eastAsia="Calibri"/>
          <w:rtl/>
        </w:rPr>
        <w:t xml:space="preserve"> </w:t>
      </w:r>
      <w:r w:rsidRPr="00A211BC">
        <w:rPr>
          <w:rFonts w:eastAsia="Calibri" w:hint="eastAsia"/>
          <w:rtl/>
        </w:rPr>
        <w:t>של</w:t>
      </w:r>
      <w:r w:rsidRPr="00A211BC">
        <w:rPr>
          <w:rFonts w:eastAsia="Calibri"/>
          <w:rtl/>
        </w:rPr>
        <w:t xml:space="preserve"> </w:t>
      </w:r>
      <w:r w:rsidRPr="00A211BC">
        <w:rPr>
          <w:rFonts w:eastAsia="Calibri" w:hint="eastAsia"/>
          <w:rtl/>
        </w:rPr>
        <w:t>אתרים</w:t>
      </w:r>
      <w:r w:rsidRPr="00A211BC">
        <w:rPr>
          <w:rFonts w:eastAsia="Calibri"/>
          <w:rtl/>
        </w:rPr>
        <w:t xml:space="preserve"> </w:t>
      </w:r>
      <w:r w:rsidRPr="00A211BC">
        <w:rPr>
          <w:rFonts w:eastAsia="Calibri" w:hint="eastAsia"/>
          <w:rtl/>
        </w:rPr>
        <w:t>שמשתמשים</w:t>
      </w:r>
      <w:r w:rsidRPr="00A211BC">
        <w:rPr>
          <w:rFonts w:eastAsia="Calibri"/>
          <w:rtl/>
        </w:rPr>
        <w:t xml:space="preserve"> </w:t>
      </w:r>
      <w:r w:rsidRPr="00A211BC">
        <w:rPr>
          <w:rFonts w:eastAsia="Calibri" w:hint="eastAsia"/>
          <w:rtl/>
        </w:rPr>
        <w:t>בתשתית</w:t>
      </w:r>
      <w:r w:rsidRPr="00A211BC">
        <w:rPr>
          <w:rFonts w:eastAsia="Calibri"/>
          <w:rtl/>
        </w:rPr>
        <w:t xml:space="preserve"> </w:t>
      </w:r>
      <w:r w:rsidRPr="00A211BC">
        <w:rPr>
          <w:rFonts w:eastAsia="Calibri" w:hint="eastAsia"/>
          <w:rtl/>
        </w:rPr>
        <w:t>האחודה</w:t>
      </w:r>
      <w:r w:rsidRPr="00A211BC">
        <w:rPr>
          <w:rFonts w:eastAsia="Calibri"/>
          <w:rtl/>
        </w:rPr>
        <w:t xml:space="preserve"> </w:t>
      </w:r>
      <w:r w:rsidRPr="00A211BC">
        <w:rPr>
          <w:rFonts w:eastAsia="Calibri" w:hint="eastAsia"/>
          <w:rtl/>
        </w:rPr>
        <w:t>בינו</w:t>
      </w:r>
      <w:r w:rsidRPr="00A211BC">
        <w:rPr>
          <w:rFonts w:eastAsia="Calibri"/>
          <w:rtl/>
        </w:rPr>
        <w:t xml:space="preserve"> </w:t>
      </w:r>
      <w:r w:rsidRPr="00A211BC">
        <w:rPr>
          <w:rFonts w:eastAsia="Calibri" w:hint="cs"/>
          <w:rtl/>
        </w:rPr>
        <w:t>לבין</w:t>
      </w:r>
      <w:r w:rsidRPr="00A211BC">
        <w:rPr>
          <w:rFonts w:eastAsia="Calibri"/>
          <w:rtl/>
        </w:rPr>
        <w:t xml:space="preserve"> </w:t>
      </w:r>
      <w:r w:rsidRPr="00A211BC">
        <w:rPr>
          <w:rFonts w:eastAsia="Calibri" w:hint="eastAsia"/>
          <w:rtl/>
        </w:rPr>
        <w:t>גופים</w:t>
      </w:r>
      <w:r w:rsidRPr="00A211BC">
        <w:rPr>
          <w:rFonts w:eastAsia="Calibri"/>
          <w:rtl/>
        </w:rPr>
        <w:t xml:space="preserve"> </w:t>
      </w:r>
      <w:r w:rsidRPr="00A211BC">
        <w:rPr>
          <w:rFonts w:eastAsia="Calibri" w:hint="eastAsia"/>
          <w:rtl/>
        </w:rPr>
        <w:t>ממשלתיים</w:t>
      </w:r>
      <w:r w:rsidRPr="00A211BC">
        <w:rPr>
          <w:rFonts w:eastAsia="Calibri"/>
          <w:rtl/>
        </w:rPr>
        <w:t xml:space="preserve"> </w:t>
      </w:r>
      <w:r w:rsidRPr="00A211BC">
        <w:rPr>
          <w:rFonts w:eastAsia="Calibri" w:hint="eastAsia"/>
          <w:rtl/>
        </w:rPr>
        <w:t>אשר</w:t>
      </w:r>
      <w:r w:rsidRPr="00A211BC">
        <w:rPr>
          <w:rFonts w:eastAsia="Calibri"/>
          <w:rtl/>
        </w:rPr>
        <w:t xml:space="preserve"> </w:t>
      </w:r>
      <w:r w:rsidRPr="00A211BC">
        <w:rPr>
          <w:rFonts w:eastAsia="Calibri" w:hint="eastAsia"/>
          <w:rtl/>
        </w:rPr>
        <w:t>משתמשים</w:t>
      </w:r>
      <w:r w:rsidRPr="00A211BC">
        <w:rPr>
          <w:rFonts w:eastAsia="Calibri"/>
          <w:rtl/>
        </w:rPr>
        <w:t xml:space="preserve"> </w:t>
      </w:r>
      <w:r w:rsidRPr="00A211BC">
        <w:rPr>
          <w:rFonts w:eastAsia="Calibri" w:hint="eastAsia"/>
          <w:rtl/>
        </w:rPr>
        <w:t>בתשתית</w:t>
      </w:r>
      <w:r w:rsidRPr="00A211BC">
        <w:rPr>
          <w:rFonts w:eastAsia="Calibri"/>
          <w:rtl/>
        </w:rPr>
        <w:t xml:space="preserve"> </w:t>
      </w:r>
      <w:r w:rsidRPr="00A211BC">
        <w:rPr>
          <w:rFonts w:eastAsia="Calibri" w:hint="eastAsia"/>
          <w:rtl/>
        </w:rPr>
        <w:t>זו</w:t>
      </w:r>
      <w:r w:rsidRPr="00A211BC">
        <w:rPr>
          <w:rFonts w:eastAsia="Calibri" w:hint="cs"/>
          <w:rtl/>
        </w:rPr>
        <w:t>;</w:t>
      </w:r>
      <w:r w:rsidRPr="00A211BC">
        <w:rPr>
          <w:rFonts w:eastAsia="Calibri"/>
          <w:rtl/>
        </w:rPr>
        <w:t xml:space="preserve"> </w:t>
      </w:r>
      <w:r w:rsidRPr="00A211BC">
        <w:rPr>
          <w:rFonts w:eastAsia="Calibri" w:hint="eastAsia"/>
          <w:rtl/>
        </w:rPr>
        <w:t>וכי</w:t>
      </w:r>
      <w:r w:rsidRPr="00A211BC">
        <w:rPr>
          <w:rFonts w:eastAsia="Calibri"/>
          <w:rtl/>
        </w:rPr>
        <w:t xml:space="preserve"> </w:t>
      </w:r>
      <w:r w:rsidRPr="00A211BC">
        <w:rPr>
          <w:rFonts w:eastAsia="Calibri" w:hint="eastAsia"/>
          <w:rtl/>
        </w:rPr>
        <w:t>כל</w:t>
      </w:r>
      <w:r w:rsidRPr="00A211BC">
        <w:rPr>
          <w:rFonts w:eastAsia="Calibri"/>
          <w:rtl/>
        </w:rPr>
        <w:t xml:space="preserve"> </w:t>
      </w:r>
      <w:r w:rsidRPr="00A211BC">
        <w:rPr>
          <w:rFonts w:eastAsia="Calibri" w:hint="eastAsia"/>
          <w:rtl/>
        </w:rPr>
        <w:t>גוף</w:t>
      </w:r>
      <w:r w:rsidRPr="00A211BC">
        <w:rPr>
          <w:rFonts w:eastAsia="Calibri"/>
          <w:rtl/>
        </w:rPr>
        <w:t xml:space="preserve"> </w:t>
      </w:r>
      <w:r w:rsidRPr="00A211BC">
        <w:rPr>
          <w:rFonts w:eastAsia="Calibri" w:hint="eastAsia"/>
          <w:rtl/>
        </w:rPr>
        <w:t>יפעל</w:t>
      </w:r>
      <w:r w:rsidRPr="00A211BC">
        <w:rPr>
          <w:rFonts w:eastAsia="Calibri"/>
          <w:rtl/>
        </w:rPr>
        <w:t xml:space="preserve"> </w:t>
      </w:r>
      <w:r w:rsidRPr="00A211BC">
        <w:rPr>
          <w:rFonts w:eastAsia="Calibri" w:hint="eastAsia"/>
          <w:rtl/>
        </w:rPr>
        <w:t>בתחומי</w:t>
      </w:r>
      <w:r w:rsidRPr="00A211BC">
        <w:rPr>
          <w:rFonts w:eastAsia="Calibri"/>
          <w:rtl/>
        </w:rPr>
        <w:t xml:space="preserve"> </w:t>
      </w:r>
      <w:r w:rsidRPr="00A211BC">
        <w:rPr>
          <w:rFonts w:eastAsia="Calibri" w:hint="eastAsia"/>
          <w:rtl/>
        </w:rPr>
        <w:t>אחריותו</w:t>
      </w:r>
      <w:r w:rsidRPr="00A211BC">
        <w:rPr>
          <w:rFonts w:eastAsia="Calibri"/>
          <w:rtl/>
        </w:rPr>
        <w:t xml:space="preserve"> </w:t>
      </w:r>
      <w:r w:rsidRPr="00A211BC">
        <w:rPr>
          <w:rFonts w:eastAsia="Calibri" w:hint="eastAsia"/>
          <w:rtl/>
        </w:rPr>
        <w:t>להשלמת</w:t>
      </w:r>
      <w:r w:rsidRPr="00A211BC">
        <w:rPr>
          <w:rFonts w:eastAsia="Calibri"/>
          <w:rtl/>
        </w:rPr>
        <w:t xml:space="preserve"> </w:t>
      </w:r>
      <w:r w:rsidRPr="00A211BC">
        <w:rPr>
          <w:rFonts w:eastAsia="Calibri" w:hint="eastAsia"/>
          <w:rtl/>
        </w:rPr>
        <w:t>הפעולות</w:t>
      </w:r>
      <w:r w:rsidRPr="00A211BC">
        <w:rPr>
          <w:rFonts w:eastAsia="Calibri"/>
          <w:rtl/>
        </w:rPr>
        <w:t xml:space="preserve"> </w:t>
      </w:r>
      <w:r w:rsidRPr="00A211BC">
        <w:rPr>
          <w:rFonts w:eastAsia="Calibri" w:hint="eastAsia"/>
          <w:rtl/>
        </w:rPr>
        <w:t>הנדרשות</w:t>
      </w:r>
      <w:r w:rsidRPr="00A211BC">
        <w:rPr>
          <w:rFonts w:eastAsia="Calibri"/>
          <w:rtl/>
        </w:rPr>
        <w:t xml:space="preserve"> </w:t>
      </w:r>
      <w:r w:rsidRPr="00A211BC">
        <w:rPr>
          <w:rFonts w:eastAsia="Calibri" w:hint="eastAsia"/>
          <w:rtl/>
        </w:rPr>
        <w:t>בתחום</w:t>
      </w:r>
      <w:r w:rsidRPr="00A211BC">
        <w:rPr>
          <w:rFonts w:eastAsia="Calibri"/>
          <w:rtl/>
        </w:rPr>
        <w:t xml:space="preserve"> </w:t>
      </w:r>
      <w:r w:rsidRPr="00A211BC">
        <w:rPr>
          <w:rFonts w:eastAsia="Calibri" w:hint="eastAsia"/>
          <w:rtl/>
        </w:rPr>
        <w:t>ההנגשה</w:t>
      </w:r>
      <w:r w:rsidRPr="00A211BC">
        <w:rPr>
          <w:rFonts w:eastAsia="Calibri"/>
          <w:rtl/>
        </w:rPr>
        <w:t xml:space="preserve"> </w:t>
      </w:r>
      <w:r w:rsidRPr="00A211BC">
        <w:rPr>
          <w:rFonts w:eastAsia="Calibri" w:hint="eastAsia"/>
          <w:rtl/>
        </w:rPr>
        <w:t>לרבות</w:t>
      </w:r>
      <w:r w:rsidRPr="00A211BC">
        <w:rPr>
          <w:rFonts w:eastAsia="Calibri"/>
          <w:rtl/>
        </w:rPr>
        <w:t xml:space="preserve"> </w:t>
      </w:r>
      <w:r w:rsidRPr="00A211BC">
        <w:rPr>
          <w:rFonts w:eastAsia="Calibri" w:hint="eastAsia"/>
          <w:rtl/>
        </w:rPr>
        <w:t>ביצוע</w:t>
      </w:r>
      <w:r w:rsidRPr="00A211BC">
        <w:rPr>
          <w:rFonts w:eastAsia="Calibri"/>
          <w:rtl/>
        </w:rPr>
        <w:t xml:space="preserve"> </w:t>
      </w:r>
      <w:r w:rsidRPr="00A211BC">
        <w:rPr>
          <w:rFonts w:eastAsia="Calibri" w:hint="eastAsia"/>
          <w:rtl/>
        </w:rPr>
        <w:t>בדיקות</w:t>
      </w:r>
      <w:r w:rsidRPr="00A211BC">
        <w:rPr>
          <w:rFonts w:eastAsia="Calibri"/>
          <w:rtl/>
        </w:rPr>
        <w:t xml:space="preserve"> </w:t>
      </w:r>
      <w:r w:rsidRPr="00A211BC">
        <w:rPr>
          <w:rFonts w:eastAsia="Calibri" w:hint="eastAsia"/>
          <w:rtl/>
        </w:rPr>
        <w:t>נגישות</w:t>
      </w:r>
      <w:r w:rsidRPr="00A211BC">
        <w:rPr>
          <w:rFonts w:eastAsia="Calibri"/>
          <w:rtl/>
        </w:rPr>
        <w:t xml:space="preserve"> </w:t>
      </w:r>
      <w:r w:rsidRPr="00A211BC">
        <w:rPr>
          <w:rFonts w:eastAsia="Calibri" w:hint="eastAsia"/>
          <w:rtl/>
        </w:rPr>
        <w:t>תקופתיות</w:t>
      </w:r>
      <w:r w:rsidRPr="00A211BC">
        <w:rPr>
          <w:rFonts w:eastAsia="Calibri"/>
          <w:rtl/>
        </w:rPr>
        <w:t xml:space="preserve"> </w:t>
      </w:r>
      <w:r w:rsidRPr="00A211BC">
        <w:rPr>
          <w:rFonts w:eastAsia="Calibri" w:hint="eastAsia"/>
          <w:rtl/>
        </w:rPr>
        <w:t>כנדרש</w:t>
      </w:r>
      <w:r w:rsidRPr="00A211BC">
        <w:rPr>
          <w:rFonts w:eastAsia="Calibri"/>
          <w:rtl/>
        </w:rPr>
        <w:t xml:space="preserve"> </w:t>
      </w:r>
      <w:r w:rsidRPr="00A211BC">
        <w:rPr>
          <w:rFonts w:eastAsia="Calibri" w:hint="eastAsia"/>
          <w:rtl/>
        </w:rPr>
        <w:t>על</w:t>
      </w:r>
      <w:r w:rsidRPr="00A211BC">
        <w:rPr>
          <w:rFonts w:eastAsia="Calibri"/>
          <w:rtl/>
        </w:rPr>
        <w:t xml:space="preserve"> </w:t>
      </w:r>
      <w:r w:rsidRPr="00A211BC">
        <w:rPr>
          <w:rFonts w:eastAsia="Calibri" w:hint="eastAsia"/>
          <w:rtl/>
        </w:rPr>
        <w:t>פי</w:t>
      </w:r>
      <w:r w:rsidRPr="00A211BC">
        <w:rPr>
          <w:rFonts w:eastAsia="Calibri"/>
          <w:rtl/>
        </w:rPr>
        <w:t xml:space="preserve"> </w:t>
      </w:r>
      <w:r w:rsidRPr="00A211BC">
        <w:rPr>
          <w:rFonts w:eastAsia="Calibri" w:hint="eastAsia"/>
          <w:rtl/>
        </w:rPr>
        <w:t>התקנות</w:t>
      </w:r>
      <w:r w:rsidRPr="00A211BC">
        <w:rPr>
          <w:rFonts w:eastAsia="Calibri"/>
          <w:rtl/>
        </w:rPr>
        <w:t>.</w:t>
      </w:r>
      <w:r w:rsidRPr="00A211BC">
        <w:rPr>
          <w:rFonts w:eastAsia="Calibri" w:hint="cs"/>
          <w:rtl/>
        </w:rPr>
        <w:t xml:space="preserve"> </w:t>
      </w:r>
    </w:p>
    <w:p w:rsidR="00BF1E3B" w:rsidRPr="00A211BC" w:rsidRDefault="00DF6A0A" w:rsidP="00F25780">
      <w:pPr>
        <w:pStyle w:val="73fa"/>
        <w:rPr>
          <w:rtl/>
        </w:rPr>
      </w:pPr>
      <w:r w:rsidRPr="00A211BC">
        <w:rPr>
          <w:rFonts w:hint="cs"/>
          <w:rtl/>
        </w:rPr>
        <w:t>✰</w:t>
      </w:r>
    </w:p>
    <w:p w:rsidR="00BF1E3B" w:rsidRPr="00A211BC" w:rsidRDefault="00DF6A0A" w:rsidP="00A211BC">
      <w:pPr>
        <w:pStyle w:val="735"/>
        <w:rPr>
          <w:rFonts w:eastAsia="Calibri"/>
          <w:rtl/>
        </w:rPr>
      </w:pPr>
      <w:r w:rsidRPr="00A211BC">
        <w:rPr>
          <w:rFonts w:eastAsia="Calibri" w:hint="cs"/>
          <w:rtl/>
        </w:rPr>
        <w:lastRenderedPageBreak/>
        <w:t>בסקר שעשה משרד מבקר המדינה בקרב 23 גופי ממשל בשנת 2022, עלה כי יותר ממחצית (57%) מאתרי המרשתת של הגופים שהשתתפו בו אינם מונגשים באופן מלא, כנדרש על פי הדין. עקב כך קיימים באתרי המרשתת של גופי ממשל אלה תכנים ושירותים ר</w:t>
      </w:r>
      <w:r w:rsidRPr="00A211BC">
        <w:rPr>
          <w:rFonts w:eastAsia="Calibri" w:hint="cs"/>
          <w:rtl/>
        </w:rPr>
        <w:t xml:space="preserve">בים שעדיין לא הונגשו. 43% מן הגופים ציינו כי לא ביצעו עדיין בדיקות נגישות של אתרי המרשתת שהם מפעילים, ונדרשים להשלימה לכל המאוחר עד לנובמבר 2023. </w:t>
      </w:r>
    </w:p>
    <w:p w:rsidR="00BF1E3B" w:rsidRPr="00A211BC" w:rsidRDefault="00DF6A0A" w:rsidP="00A211BC">
      <w:pPr>
        <w:pStyle w:val="735"/>
        <w:rPr>
          <w:rtl/>
        </w:rPr>
      </w:pPr>
      <w:r w:rsidRPr="00A211BC">
        <w:rPr>
          <w:rFonts w:hint="eastAsia"/>
          <w:rtl/>
        </w:rPr>
        <w:t>על</w:t>
      </w:r>
      <w:r w:rsidRPr="00A211BC">
        <w:rPr>
          <w:rtl/>
        </w:rPr>
        <w:t xml:space="preserve"> </w:t>
      </w:r>
      <w:r w:rsidRPr="00A211BC">
        <w:rPr>
          <w:rFonts w:hint="cs"/>
          <w:rtl/>
        </w:rPr>
        <w:t>גופי הממשל לפעול להנגיש לאנשים עם מוגבלות את כלל התכנים והשירותים שהם מספקים לציבור באתרי המרשתת שלהם, כדי</w:t>
      </w:r>
      <w:r w:rsidRPr="00A211BC">
        <w:rPr>
          <w:rFonts w:hint="cs"/>
          <w:rtl/>
        </w:rPr>
        <w:t xml:space="preserve"> לאפשר להם להשתמש באתרים אלה באופן עצמאי ומכבד.</w:t>
      </w:r>
      <w:r w:rsidRPr="00A211BC">
        <w:rPr>
          <w:rtl/>
        </w:rPr>
        <w:t xml:space="preserve"> </w:t>
      </w:r>
      <w:r w:rsidRPr="00A211BC">
        <w:rPr>
          <w:rFonts w:hint="cs"/>
          <w:rtl/>
        </w:rPr>
        <w:t>מומלץ כי נציבות שוויון זכויות לאנשים עם מוגבלות תמשיך לפעול באמצעות הדרכות ובקרות כדי להטמיע בקרב העובדים בגופי הממשל את דרישות ההנגשה. עוד מומלץ כי מערך הדיגיטל הלאומי יקדם כלים דיגיטליי</w:t>
      </w:r>
      <w:r w:rsidRPr="00A211BC">
        <w:rPr>
          <w:rFonts w:hint="eastAsia"/>
          <w:rtl/>
        </w:rPr>
        <w:t>ם</w:t>
      </w:r>
      <w:r w:rsidRPr="00A211BC">
        <w:rPr>
          <w:rFonts w:hint="cs"/>
          <w:rtl/>
        </w:rPr>
        <w:t xml:space="preserve"> לשם שיפור הבקרות בת</w:t>
      </w:r>
      <w:r w:rsidRPr="00A211BC">
        <w:rPr>
          <w:rFonts w:hint="cs"/>
          <w:rtl/>
        </w:rPr>
        <w:t xml:space="preserve">חום ההנגשה במרשתת. </w:t>
      </w:r>
    </w:p>
    <w:p w:rsidR="00BF1E3B" w:rsidRPr="00A64031" w:rsidRDefault="00DF6A0A" w:rsidP="00C619CC">
      <w:pPr>
        <w:pStyle w:val="7392"/>
        <w:rPr>
          <w:rtl/>
        </w:rPr>
      </w:pPr>
      <w:r>
        <w:rPr>
          <w:rFonts w:hint="cs"/>
          <w:rtl/>
        </w:rPr>
        <w:t>נציבות שוויון זכויות לאנשים עם מוגבלות כתבה בתשובתה למשרד מבקר המדינה כי תמשיך לפעול במגוון האפיקים שבהם היא פועלת כיום, דוגמת פרסום מאמרים ומדריכים באתר המרשתת שלה; קיום הדרכות והרצאות בתחום לאנשי מקצוע, נותני שירותים ומקבלי שירות; שית</w:t>
      </w:r>
      <w:r>
        <w:rPr>
          <w:rFonts w:hint="cs"/>
          <w:rtl/>
        </w:rPr>
        <w:t xml:space="preserve">וף פעולה עם מכון התקנים; וכן ביצוע פיקוח ואכיפה בתחום הנגישות. </w:t>
      </w:r>
    </w:p>
    <w:p w:rsidR="00BF1E3B" w:rsidRPr="00B74C6A" w:rsidRDefault="00DF6A0A" w:rsidP="00B74C6A">
      <w:pPr>
        <w:pStyle w:val="733155"/>
        <w:rPr>
          <w:rtl/>
        </w:rPr>
      </w:pPr>
      <w:r w:rsidRPr="00B74C6A">
        <w:rPr>
          <w:rFonts w:hint="cs"/>
          <w:rtl/>
        </w:rPr>
        <w:t>ממצאי בדיקות נגישות שביצע משרד מבקר המדינה באתרי מרשתת של 14 גופי ממשל</w:t>
      </w:r>
    </w:p>
    <w:p w:rsidR="00BF1E3B" w:rsidRPr="009774BD" w:rsidRDefault="00DF6A0A" w:rsidP="00C619CC">
      <w:pPr>
        <w:pStyle w:val="7392"/>
        <w:rPr>
          <w:rFonts w:eastAsiaTheme="majorEastAsia"/>
          <w:bCs/>
          <w:spacing w:val="40"/>
          <w:szCs w:val="20"/>
          <w:rtl/>
        </w:rPr>
      </w:pPr>
      <w:r>
        <w:rPr>
          <w:rFonts w:hint="cs"/>
          <w:rtl/>
        </w:rPr>
        <w:t>נוסף על הסקר שבו דיווחו גופי ממשל על פעולות הנגשה שביצעו באתרי המרשתת שלהם, ביצע משרד מבקר המדינה באוגוסט 2022</w:t>
      </w:r>
      <w:r>
        <w:rPr>
          <w:rStyle w:val="a8"/>
          <w:rtl/>
        </w:rPr>
        <w:footnoteReference w:id="58"/>
      </w:r>
      <w:r>
        <w:rPr>
          <w:rFonts w:hint="cs"/>
          <w:rtl/>
        </w:rPr>
        <w:t xml:space="preserve"> בדיקות נג</w:t>
      </w:r>
      <w:r>
        <w:rPr>
          <w:rFonts w:hint="cs"/>
          <w:rtl/>
        </w:rPr>
        <w:t xml:space="preserve">ישות ב-15 אתרי מרשתת שמפעילים 14 גופים שמספקים מידע ושירותים לציבור: </w:t>
      </w:r>
      <w:r>
        <w:rPr>
          <w:rtl/>
        </w:rPr>
        <w:t>ה</w:t>
      </w:r>
      <w:r>
        <w:rPr>
          <w:rFonts w:hint="cs"/>
          <w:rtl/>
        </w:rPr>
        <w:t>מוסד ל</w:t>
      </w:r>
      <w:r>
        <w:rPr>
          <w:rtl/>
        </w:rPr>
        <w:t>ביטוח הלאומי</w:t>
      </w:r>
      <w:r>
        <w:rPr>
          <w:rFonts w:hint="cs"/>
          <w:rtl/>
        </w:rPr>
        <w:t xml:space="preserve">, </w:t>
      </w:r>
      <w:r>
        <w:rPr>
          <w:rtl/>
        </w:rPr>
        <w:t>המשרד לשירותי דת</w:t>
      </w:r>
      <w:r>
        <w:rPr>
          <w:rFonts w:hint="cs"/>
          <w:rtl/>
        </w:rPr>
        <w:t xml:space="preserve">, </w:t>
      </w:r>
      <w:r>
        <w:rPr>
          <w:rtl/>
        </w:rPr>
        <w:t>הנהלת בתי המשפט</w:t>
      </w:r>
      <w:r>
        <w:rPr>
          <w:rStyle w:val="a8"/>
          <w:rtl/>
        </w:rPr>
        <w:footnoteReference w:id="59"/>
      </w:r>
      <w:r>
        <w:rPr>
          <w:rFonts w:hint="cs"/>
          <w:rtl/>
        </w:rPr>
        <w:t xml:space="preserve"> (נבדקו אתר נט המשפט</w:t>
      </w:r>
      <w:r>
        <w:rPr>
          <w:rStyle w:val="a8"/>
          <w:rtl/>
        </w:rPr>
        <w:footnoteReference w:id="60"/>
      </w:r>
      <w:r>
        <w:rPr>
          <w:rFonts w:hint="cs"/>
          <w:rtl/>
        </w:rPr>
        <w:t xml:space="preserve"> ואתר בית המשפט העליון)</w:t>
      </w:r>
      <w:r>
        <w:rPr>
          <w:rStyle w:val="a8"/>
          <w:rtl/>
        </w:rPr>
        <w:footnoteReference w:id="61"/>
      </w:r>
      <w:r>
        <w:rPr>
          <w:rFonts w:hint="cs"/>
          <w:rtl/>
        </w:rPr>
        <w:t xml:space="preserve">, </w:t>
      </w:r>
      <w:r>
        <w:rPr>
          <w:rtl/>
        </w:rPr>
        <w:t>ועדת הבחירות המרכזית</w:t>
      </w:r>
      <w:r>
        <w:rPr>
          <w:rFonts w:hint="cs"/>
          <w:rtl/>
        </w:rPr>
        <w:t xml:space="preserve">, </w:t>
      </w:r>
      <w:r>
        <w:rPr>
          <w:rtl/>
        </w:rPr>
        <w:t>כנסת ישראל</w:t>
      </w:r>
      <w:r>
        <w:rPr>
          <w:rFonts w:hint="cs"/>
          <w:rtl/>
        </w:rPr>
        <w:t xml:space="preserve">, </w:t>
      </w:r>
      <w:r>
        <w:rPr>
          <w:rtl/>
        </w:rPr>
        <w:t>משטרת ישראל</w:t>
      </w:r>
      <w:r>
        <w:rPr>
          <w:rFonts w:hint="cs"/>
          <w:rtl/>
        </w:rPr>
        <w:t xml:space="preserve">, </w:t>
      </w:r>
      <w:r>
        <w:rPr>
          <w:rtl/>
        </w:rPr>
        <w:t>משרד הביטחון - אגף שיקום נכים</w:t>
      </w:r>
      <w:r>
        <w:rPr>
          <w:rFonts w:hint="cs"/>
          <w:rtl/>
        </w:rPr>
        <w:t xml:space="preserve">, </w:t>
      </w:r>
      <w:r>
        <w:rPr>
          <w:rtl/>
        </w:rPr>
        <w:t xml:space="preserve">משרד </w:t>
      </w:r>
      <w:r>
        <w:rPr>
          <w:rtl/>
        </w:rPr>
        <w:t>הבריאות - אתר כל הבריאות</w:t>
      </w:r>
      <w:r>
        <w:rPr>
          <w:rFonts w:hint="cs"/>
          <w:rtl/>
        </w:rPr>
        <w:t xml:space="preserve">, </w:t>
      </w:r>
      <w:r>
        <w:rPr>
          <w:rtl/>
        </w:rPr>
        <w:t>משרד הפנים</w:t>
      </w:r>
      <w:r>
        <w:rPr>
          <w:rFonts w:hint="cs"/>
          <w:rtl/>
        </w:rPr>
        <w:t xml:space="preserve">, </w:t>
      </w:r>
      <w:r>
        <w:rPr>
          <w:rtl/>
        </w:rPr>
        <w:t>צה"ל</w:t>
      </w:r>
      <w:r>
        <w:rPr>
          <w:rFonts w:hint="cs"/>
          <w:rtl/>
        </w:rPr>
        <w:t xml:space="preserve"> </w:t>
      </w:r>
      <w:r>
        <w:rPr>
          <w:rtl/>
        </w:rPr>
        <w:t>- אתר יחידת מיטב</w:t>
      </w:r>
      <w:r>
        <w:rPr>
          <w:rFonts w:hint="cs"/>
          <w:rtl/>
        </w:rPr>
        <w:t xml:space="preserve">, </w:t>
      </w:r>
      <w:r>
        <w:rPr>
          <w:rtl/>
        </w:rPr>
        <w:t>רשות האוכלוסין וההגירה</w:t>
      </w:r>
      <w:r>
        <w:rPr>
          <w:rFonts w:hint="cs"/>
          <w:rtl/>
        </w:rPr>
        <w:t xml:space="preserve">, </w:t>
      </w:r>
      <w:r>
        <w:rPr>
          <w:rtl/>
        </w:rPr>
        <w:t>רשות האכיפה והגבייה</w:t>
      </w:r>
      <w:r>
        <w:rPr>
          <w:rFonts w:hint="cs"/>
          <w:rtl/>
        </w:rPr>
        <w:t xml:space="preserve">, </w:t>
      </w:r>
      <w:r>
        <w:rPr>
          <w:rtl/>
        </w:rPr>
        <w:t>רשות הטבע והגנים</w:t>
      </w:r>
      <w:r>
        <w:rPr>
          <w:rFonts w:hint="cs"/>
          <w:rtl/>
        </w:rPr>
        <w:t xml:space="preserve"> </w:t>
      </w:r>
      <w:r w:rsidR="00F25780">
        <w:rPr>
          <w:rFonts w:hint="cs"/>
          <w:rtl/>
        </w:rPr>
        <w:t>ושירות</w:t>
      </w:r>
      <w:r>
        <w:rPr>
          <w:rtl/>
        </w:rPr>
        <w:t xml:space="preserve"> התעסוקה</w:t>
      </w:r>
      <w:r>
        <w:rPr>
          <w:rFonts w:hint="cs"/>
          <w:rtl/>
        </w:rPr>
        <w:t xml:space="preserve">. </w:t>
      </w:r>
    </w:p>
    <w:p w:rsidR="00BF1E3B" w:rsidRDefault="00DF6A0A" w:rsidP="00C619CC">
      <w:pPr>
        <w:pStyle w:val="7392"/>
        <w:rPr>
          <w:rtl/>
        </w:rPr>
      </w:pPr>
      <w:r>
        <w:rPr>
          <w:rFonts w:hint="cs"/>
          <w:rtl/>
        </w:rPr>
        <w:lastRenderedPageBreak/>
        <w:t>בכל אחד מ-15 אתרי המרשתת נבדק אם קיימת הנגשה של 11 היבטים או רכיבים (להלן רכיבים)</w:t>
      </w:r>
      <w:r w:rsidRPr="00930001">
        <w:rPr>
          <w:rFonts w:hint="cs"/>
          <w:rtl/>
        </w:rPr>
        <w:t xml:space="preserve"> </w:t>
      </w:r>
      <w:r>
        <w:rPr>
          <w:rFonts w:hint="cs"/>
          <w:rtl/>
        </w:rPr>
        <w:t>לאנשים עם מוגבלויות שונות</w:t>
      </w:r>
      <w:r>
        <w:rPr>
          <w:rStyle w:val="a8"/>
          <w:rtl/>
        </w:rPr>
        <w:footnoteReference w:id="62"/>
      </w:r>
      <w:r>
        <w:rPr>
          <w:rFonts w:hint="cs"/>
          <w:rtl/>
        </w:rPr>
        <w:t>. בלוח ש</w:t>
      </w:r>
      <w:r>
        <w:rPr>
          <w:rFonts w:hint="cs"/>
          <w:rtl/>
        </w:rPr>
        <w:t xml:space="preserve">להלן פירוט הרכיבים שנבדקו, המקור בתקנות לדרישת הנגישות והסבר תמציתי של עיקרי החובה המבוססות על התקן. </w:t>
      </w:r>
    </w:p>
    <w:p w:rsidR="00BF1E3B" w:rsidRPr="00A211BC" w:rsidRDefault="00DF6A0A" w:rsidP="00A211BC">
      <w:pPr>
        <w:pStyle w:val="738"/>
        <w:rPr>
          <w:rtl/>
        </w:rPr>
      </w:pPr>
      <w:r w:rsidRPr="00A211BC">
        <w:rPr>
          <w:rFonts w:hint="eastAsia"/>
          <w:b w:val="0"/>
          <w:bCs w:val="0"/>
          <w:rtl/>
        </w:rPr>
        <w:t>לוח</w:t>
      </w:r>
      <w:r w:rsidRPr="00A211BC">
        <w:rPr>
          <w:b w:val="0"/>
          <w:bCs w:val="0"/>
          <w:rtl/>
        </w:rPr>
        <w:t xml:space="preserve"> </w:t>
      </w:r>
      <w:r w:rsidRPr="00A211BC">
        <w:rPr>
          <w:rFonts w:hint="cs"/>
          <w:b w:val="0"/>
          <w:bCs w:val="0"/>
          <w:rtl/>
        </w:rPr>
        <w:t>2</w:t>
      </w:r>
      <w:r w:rsidRPr="00A211BC">
        <w:rPr>
          <w:b w:val="0"/>
          <w:bCs w:val="0"/>
          <w:rtl/>
        </w:rPr>
        <w:t>:</w:t>
      </w:r>
      <w:r w:rsidRPr="00A211BC">
        <w:rPr>
          <w:rtl/>
        </w:rPr>
        <w:t xml:space="preserve"> </w:t>
      </w:r>
      <w:r w:rsidRPr="00A211BC">
        <w:rPr>
          <w:rFonts w:hint="eastAsia"/>
          <w:rtl/>
        </w:rPr>
        <w:t>רכיבי</w:t>
      </w:r>
      <w:r w:rsidRPr="00A211BC">
        <w:rPr>
          <w:rtl/>
        </w:rPr>
        <w:t xml:space="preserve"> </w:t>
      </w:r>
      <w:r w:rsidRPr="00A211BC">
        <w:rPr>
          <w:rFonts w:hint="eastAsia"/>
          <w:rtl/>
        </w:rPr>
        <w:t>הנגישות</w:t>
      </w:r>
      <w:r w:rsidRPr="00A211BC">
        <w:rPr>
          <w:rtl/>
        </w:rPr>
        <w:t xml:space="preserve"> </w:t>
      </w:r>
      <w:r w:rsidRPr="00A211BC">
        <w:rPr>
          <w:rFonts w:hint="eastAsia"/>
          <w:rtl/>
        </w:rPr>
        <w:t>שנבדקו</w:t>
      </w:r>
      <w:r w:rsidRPr="00A211BC">
        <w:rPr>
          <w:rtl/>
        </w:rPr>
        <w:t xml:space="preserve"> </w:t>
      </w:r>
      <w:r w:rsidRPr="00A211BC">
        <w:rPr>
          <w:rFonts w:hint="eastAsia"/>
          <w:rtl/>
        </w:rPr>
        <w:t>באתרי</w:t>
      </w:r>
      <w:r w:rsidRPr="00A211BC">
        <w:rPr>
          <w:rtl/>
        </w:rPr>
        <w:t xml:space="preserve"> </w:t>
      </w:r>
      <w:r w:rsidRPr="00A211BC">
        <w:rPr>
          <w:rFonts w:hint="eastAsia"/>
          <w:rtl/>
        </w:rPr>
        <w:t>המרשתת</w:t>
      </w:r>
      <w:r w:rsidRPr="00A211BC">
        <w:rPr>
          <w:rtl/>
        </w:rPr>
        <w:t xml:space="preserve"> </w:t>
      </w:r>
      <w:r w:rsidRPr="00A211BC">
        <w:rPr>
          <w:rFonts w:hint="eastAsia"/>
          <w:rtl/>
        </w:rPr>
        <w:t>הממשלתיים</w:t>
      </w:r>
      <w:r w:rsidRPr="00A211BC">
        <w:rPr>
          <w:rtl/>
        </w:rPr>
        <w:t xml:space="preserve"> </w:t>
      </w:r>
      <w:r w:rsidRPr="00A211BC">
        <w:rPr>
          <w:rFonts w:hint="eastAsia"/>
          <w:rtl/>
        </w:rPr>
        <w:t>והסבר</w:t>
      </w:r>
      <w:r w:rsidRPr="00A211BC">
        <w:rPr>
          <w:rtl/>
        </w:rPr>
        <w:t xml:space="preserve"> </w:t>
      </w:r>
      <w:r w:rsidRPr="00A211BC">
        <w:rPr>
          <w:rFonts w:hint="eastAsia"/>
          <w:rtl/>
        </w:rPr>
        <w:t>על</w:t>
      </w:r>
      <w:r w:rsidRPr="00A211BC">
        <w:rPr>
          <w:rtl/>
        </w:rPr>
        <w:t xml:space="preserve"> </w:t>
      </w:r>
      <w:r w:rsidRPr="00A211BC">
        <w:rPr>
          <w:rFonts w:hint="eastAsia"/>
          <w:rtl/>
        </w:rPr>
        <w:t>ההנגשה</w:t>
      </w:r>
      <w:r w:rsidRPr="00A211BC">
        <w:rPr>
          <w:rtl/>
        </w:rPr>
        <w:t xml:space="preserve"> </w:t>
      </w:r>
      <w:r w:rsidRPr="00A211BC">
        <w:rPr>
          <w:rFonts w:hint="eastAsia"/>
          <w:rtl/>
        </w:rPr>
        <w:t>הנדרשת</w:t>
      </w:r>
      <w:r>
        <w:rPr>
          <w:rStyle w:val="a8"/>
          <w:rtl/>
        </w:rPr>
        <w:footnoteReference w:id="63"/>
      </w:r>
    </w:p>
    <w:tbl>
      <w:tblPr>
        <w:tblStyle w:val="4-51"/>
        <w:bidiVisual/>
        <w:tblW w:w="0" w:type="auto"/>
        <w:tblInd w:w="4" w:type="dxa"/>
        <w:tblBorders>
          <w:top w:val="none" w:sz="0" w:space="0" w:color="auto"/>
          <w:left w:val="single" w:sz="4" w:space="0" w:color="auto"/>
          <w:bottom w:val="none" w:sz="0" w:space="0" w:color="auto"/>
          <w:right w:val="single" w:sz="4" w:space="0" w:color="auto"/>
          <w:insideH w:val="none" w:sz="0" w:space="0" w:color="auto"/>
          <w:insideV w:val="single" w:sz="4" w:space="0" w:color="auto"/>
        </w:tblBorders>
        <w:tblLook w:val="04A0" w:firstRow="1" w:lastRow="0" w:firstColumn="1" w:lastColumn="0" w:noHBand="0" w:noVBand="1"/>
      </w:tblPr>
      <w:tblGrid>
        <w:gridCol w:w="1080"/>
        <w:gridCol w:w="1769"/>
        <w:gridCol w:w="1568"/>
        <w:gridCol w:w="2939"/>
      </w:tblGrid>
      <w:tr w:rsidR="007758ED" w:rsidTr="007758E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81" w:type="dxa"/>
            <w:tcBorders>
              <w:top w:val="none" w:sz="0" w:space="0" w:color="auto"/>
              <w:left w:val="none" w:sz="0" w:space="0" w:color="auto"/>
              <w:bottom w:val="none" w:sz="0" w:space="0" w:color="auto"/>
              <w:right w:val="none" w:sz="0" w:space="0" w:color="auto"/>
            </w:tcBorders>
            <w:shd w:val="clear" w:color="auto" w:fill="C8DCE4"/>
            <w:vAlign w:val="bottom"/>
          </w:tcPr>
          <w:p w:rsidR="00BF1E3B" w:rsidRPr="004E7B2D" w:rsidRDefault="00DF6A0A" w:rsidP="004E7B2D">
            <w:pPr>
              <w:pStyle w:val="73R"/>
              <w:rPr>
                <w:color w:val="000000" w:themeColor="text1"/>
                <w:rtl/>
              </w:rPr>
            </w:pPr>
            <w:r w:rsidRPr="004E7B2D">
              <w:rPr>
                <w:color w:val="000000" w:themeColor="text1"/>
                <w:rtl/>
              </w:rPr>
              <w:t>המספר הסידורי של הרכיב שנבדק</w:t>
            </w:r>
          </w:p>
        </w:tc>
        <w:tc>
          <w:tcPr>
            <w:tcW w:w="1770" w:type="dxa"/>
            <w:tcBorders>
              <w:top w:val="none" w:sz="0" w:space="0" w:color="auto"/>
              <w:left w:val="none" w:sz="0" w:space="0" w:color="auto"/>
              <w:bottom w:val="none" w:sz="0" w:space="0" w:color="auto"/>
              <w:right w:val="none" w:sz="0" w:space="0" w:color="auto"/>
            </w:tcBorders>
            <w:shd w:val="clear" w:color="auto" w:fill="C8DCE4"/>
            <w:vAlign w:val="bottom"/>
          </w:tcPr>
          <w:p w:rsidR="00BF1E3B" w:rsidRPr="004E7B2D" w:rsidRDefault="00DF6A0A" w:rsidP="004E7B2D">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4E7B2D">
              <w:rPr>
                <w:color w:val="000000" w:themeColor="text1"/>
                <w:rtl/>
              </w:rPr>
              <w:t>הרכיב שנבדק (הרכיב או היבט הנגישות שנבדק)</w:t>
            </w:r>
          </w:p>
        </w:tc>
        <w:tc>
          <w:tcPr>
            <w:tcW w:w="1569" w:type="dxa"/>
            <w:tcBorders>
              <w:top w:val="none" w:sz="0" w:space="0" w:color="auto"/>
              <w:left w:val="none" w:sz="0" w:space="0" w:color="auto"/>
              <w:bottom w:val="none" w:sz="0" w:space="0" w:color="auto"/>
              <w:right w:val="none" w:sz="0" w:space="0" w:color="auto"/>
            </w:tcBorders>
            <w:shd w:val="clear" w:color="auto" w:fill="C8DCE4"/>
            <w:vAlign w:val="bottom"/>
          </w:tcPr>
          <w:p w:rsidR="00BF1E3B" w:rsidRPr="004E7B2D" w:rsidRDefault="00DF6A0A" w:rsidP="004E7B2D">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4E7B2D">
              <w:rPr>
                <w:color w:val="000000" w:themeColor="text1"/>
                <w:rtl/>
              </w:rPr>
              <w:t>תקנות הנ</w:t>
            </w:r>
            <w:r w:rsidRPr="004E7B2D">
              <w:rPr>
                <w:color w:val="000000" w:themeColor="text1"/>
                <w:rtl/>
              </w:rPr>
              <w:t>גישות שמכוח</w:t>
            </w:r>
            <w:r w:rsidR="006E4A31">
              <w:rPr>
                <w:rFonts w:hint="cs"/>
                <w:color w:val="000000" w:themeColor="text1"/>
                <w:rtl/>
              </w:rPr>
              <w:t>ן</w:t>
            </w:r>
            <w:r w:rsidRPr="004E7B2D">
              <w:rPr>
                <w:color w:val="000000" w:themeColor="text1"/>
                <w:rtl/>
              </w:rPr>
              <w:t xml:space="preserve"> נובעות דרישות ההנגשה</w:t>
            </w:r>
            <w:r>
              <w:rPr>
                <w:rFonts w:eastAsia="Times New Roman"/>
                <w:color w:val="000000" w:themeColor="text1"/>
                <w:vertAlign w:val="superscript"/>
                <w:rtl/>
              </w:rPr>
              <w:footnoteReference w:id="64"/>
            </w:r>
          </w:p>
        </w:tc>
        <w:tc>
          <w:tcPr>
            <w:tcW w:w="2941" w:type="dxa"/>
            <w:tcBorders>
              <w:top w:val="none" w:sz="0" w:space="0" w:color="auto"/>
              <w:left w:val="none" w:sz="0" w:space="0" w:color="auto"/>
              <w:bottom w:val="none" w:sz="0" w:space="0" w:color="auto"/>
              <w:right w:val="none" w:sz="0" w:space="0" w:color="auto"/>
            </w:tcBorders>
            <w:shd w:val="clear" w:color="auto" w:fill="C8DCE4"/>
            <w:vAlign w:val="bottom"/>
          </w:tcPr>
          <w:p w:rsidR="00BF1E3B" w:rsidRPr="004E7B2D" w:rsidRDefault="00DF6A0A" w:rsidP="004E7B2D">
            <w:pPr>
              <w:pStyle w:val="73R"/>
              <w:cnfStyle w:val="100000000000" w:firstRow="1" w:lastRow="0" w:firstColumn="0" w:lastColumn="0" w:oddVBand="0" w:evenVBand="0" w:oddHBand="0" w:evenHBand="0" w:firstRowFirstColumn="0" w:firstRowLastColumn="0" w:lastRowFirstColumn="0" w:lastRowLastColumn="0"/>
              <w:rPr>
                <w:color w:val="000000" w:themeColor="text1"/>
                <w:rtl/>
              </w:rPr>
            </w:pPr>
            <w:r w:rsidRPr="004E7B2D">
              <w:rPr>
                <w:color w:val="000000" w:themeColor="text1"/>
                <w:rtl/>
              </w:rPr>
              <w:t xml:space="preserve">הסבר על ההנגשה הנדרשת </w:t>
            </w:r>
          </w:p>
        </w:tc>
      </w:tr>
      <w:tr w:rsidR="007758ED" w:rsidTr="00775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1" w:type="dxa"/>
            <w:shd w:val="clear" w:color="auto" w:fill="DFECEF"/>
          </w:tcPr>
          <w:p w:rsidR="00BF1E3B" w:rsidRPr="00A2254B" w:rsidRDefault="00DF6A0A" w:rsidP="004E7B2D">
            <w:pPr>
              <w:pStyle w:val="73R"/>
              <w:rPr>
                <w:rFonts w:eastAsia="Times New Roman"/>
                <w:color w:val="000000"/>
                <w:rtl/>
              </w:rPr>
            </w:pPr>
            <w:r w:rsidRPr="00A2254B">
              <w:rPr>
                <w:rFonts w:eastAsia="Times New Roman"/>
                <w:color w:val="000000"/>
                <w:rtl/>
              </w:rPr>
              <w:t>1</w:t>
            </w:r>
          </w:p>
        </w:tc>
        <w:tc>
          <w:tcPr>
            <w:tcW w:w="1770"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נגישות של מסמכים</w:t>
            </w:r>
            <w:r w:rsidR="004E7B2D">
              <w:rPr>
                <w:rFonts w:eastAsia="Times New Roman" w:hint="cs"/>
                <w:color w:val="000000"/>
                <w:rtl/>
              </w:rPr>
              <w:t xml:space="preserve"> </w:t>
            </w:r>
            <w:r w:rsidRPr="00A2254B">
              <w:rPr>
                <w:rFonts w:eastAsia="Times New Roman"/>
                <w:color w:val="000000"/>
                <w:rtl/>
              </w:rPr>
              <w:t xml:space="preserve">(בוצעה דגימה ובדיקת נגישות של שני מסמכי </w:t>
            </w:r>
            <w:r w:rsidRPr="00A2254B">
              <w:rPr>
                <w:rFonts w:eastAsia="Times New Roman"/>
                <w:color w:val="000000"/>
              </w:rPr>
              <w:t>pdf</w:t>
            </w:r>
            <w:r w:rsidRPr="00A2254B">
              <w:rPr>
                <w:rFonts w:eastAsia="Times New Roman"/>
                <w:color w:val="000000"/>
                <w:rtl/>
              </w:rPr>
              <w:t xml:space="preserve"> בכל אתר)</w:t>
            </w:r>
          </w:p>
        </w:tc>
        <w:tc>
          <w:tcPr>
            <w:tcW w:w="1569"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 xml:space="preserve">35א(ג)(1) </w:t>
            </w:r>
          </w:p>
        </w:tc>
        <w:tc>
          <w:tcPr>
            <w:tcW w:w="2941"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חלה חובה להנגיש כל מסמך שהוכן והועלה לאתר מרשתת או ליישום של חייב בביצוע התאמות נגישות מיום 26 באוקטובר 2017</w:t>
            </w:r>
            <w:r>
              <w:rPr>
                <w:rFonts w:eastAsia="Times New Roman"/>
                <w:color w:val="000000"/>
                <w:vertAlign w:val="superscript"/>
                <w:rtl/>
              </w:rPr>
              <w:footnoteReference w:id="65"/>
            </w:r>
            <w:r w:rsidRPr="00A2254B">
              <w:rPr>
                <w:rFonts w:eastAsia="Times New Roman"/>
                <w:color w:val="000000"/>
                <w:rtl/>
              </w:rPr>
              <w:t xml:space="preserve"> </w:t>
            </w:r>
          </w:p>
        </w:tc>
      </w:tr>
      <w:tr w:rsidR="007758ED" w:rsidTr="007758ED">
        <w:tc>
          <w:tcPr>
            <w:cnfStyle w:val="001000000000" w:firstRow="0" w:lastRow="0" w:firstColumn="1" w:lastColumn="0" w:oddVBand="0" w:evenVBand="0" w:oddHBand="0" w:evenHBand="0" w:firstRowFirstColumn="0" w:firstRowLastColumn="0" w:lastRowFirstColumn="0" w:lastRowLastColumn="0"/>
            <w:tcW w:w="1081" w:type="dxa"/>
            <w:shd w:val="clear" w:color="auto" w:fill="F0F8F9"/>
          </w:tcPr>
          <w:p w:rsidR="00BF1E3B" w:rsidRPr="00A2254B" w:rsidRDefault="00DF6A0A" w:rsidP="004E7B2D">
            <w:pPr>
              <w:pStyle w:val="73R"/>
              <w:rPr>
                <w:rFonts w:eastAsia="Times New Roman"/>
                <w:color w:val="000000"/>
                <w:rtl/>
              </w:rPr>
            </w:pPr>
            <w:r w:rsidRPr="00A2254B">
              <w:rPr>
                <w:rFonts w:eastAsia="Times New Roman"/>
                <w:color w:val="000000"/>
                <w:rtl/>
              </w:rPr>
              <w:t>2</w:t>
            </w:r>
          </w:p>
        </w:tc>
        <w:tc>
          <w:tcPr>
            <w:tcW w:w="1770"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אפשרויות הגדלת תצוגה </w:t>
            </w:r>
          </w:p>
        </w:tc>
        <w:tc>
          <w:tcPr>
            <w:tcW w:w="1569"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תקנה 35א</w:t>
            </w:r>
            <w:r w:rsidRPr="00A2254B">
              <w:rPr>
                <w:rtl/>
              </w:rPr>
              <w:t>(א)</w:t>
            </w:r>
          </w:p>
        </w:tc>
        <w:tc>
          <w:tcPr>
            <w:tcW w:w="2941"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יש לוודא כי בהגדלת הטקסט או המסך ל-200% לא תשובש התצוגה של המידע</w:t>
            </w:r>
          </w:p>
        </w:tc>
      </w:tr>
      <w:tr w:rsidR="007758ED" w:rsidTr="00775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1" w:type="dxa"/>
            <w:shd w:val="clear" w:color="auto" w:fill="DFECEF"/>
          </w:tcPr>
          <w:p w:rsidR="00BF1E3B" w:rsidRPr="00A2254B" w:rsidRDefault="00DF6A0A" w:rsidP="004E7B2D">
            <w:pPr>
              <w:pStyle w:val="73R"/>
              <w:rPr>
                <w:rFonts w:eastAsia="Times New Roman"/>
                <w:color w:val="000000"/>
                <w:rtl/>
              </w:rPr>
            </w:pPr>
            <w:r w:rsidRPr="00A2254B">
              <w:rPr>
                <w:rFonts w:eastAsia="Times New Roman"/>
                <w:color w:val="000000"/>
                <w:rtl/>
              </w:rPr>
              <w:t>3</w:t>
            </w:r>
          </w:p>
        </w:tc>
        <w:tc>
          <w:tcPr>
            <w:tcW w:w="1770"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קיום כתוביות לסרטונים</w:t>
            </w:r>
          </w:p>
        </w:tc>
        <w:tc>
          <w:tcPr>
            <w:tcW w:w="1569"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 xml:space="preserve">תקנה 35ד(ב)(1) </w:t>
            </w:r>
          </w:p>
        </w:tc>
        <w:tc>
          <w:tcPr>
            <w:tcW w:w="2941"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בקטעים עם דיבור, למשל</w:t>
            </w:r>
            <w:r>
              <w:rPr>
                <w:rFonts w:eastAsia="Times New Roman"/>
                <w:color w:val="000000"/>
                <w:rtl/>
              </w:rPr>
              <w:t xml:space="preserve"> </w:t>
            </w:r>
            <w:r w:rsidRPr="00A2254B">
              <w:rPr>
                <w:rFonts w:eastAsia="Times New Roman"/>
                <w:color w:val="000000"/>
                <w:rtl/>
              </w:rPr>
              <w:t xml:space="preserve">סרטונים, יהיו כתוביות </w:t>
            </w:r>
          </w:p>
        </w:tc>
      </w:tr>
      <w:tr w:rsidR="007758ED" w:rsidTr="007758ED">
        <w:tc>
          <w:tcPr>
            <w:cnfStyle w:val="001000000000" w:firstRow="0" w:lastRow="0" w:firstColumn="1" w:lastColumn="0" w:oddVBand="0" w:evenVBand="0" w:oddHBand="0" w:evenHBand="0" w:firstRowFirstColumn="0" w:firstRowLastColumn="0" w:lastRowFirstColumn="0" w:lastRowLastColumn="0"/>
            <w:tcW w:w="1081" w:type="dxa"/>
            <w:shd w:val="clear" w:color="auto" w:fill="F0F8F9"/>
          </w:tcPr>
          <w:p w:rsidR="00BF1E3B" w:rsidRPr="00A2254B" w:rsidRDefault="00DF6A0A" w:rsidP="004E7B2D">
            <w:pPr>
              <w:pStyle w:val="73R"/>
              <w:rPr>
                <w:rFonts w:eastAsia="Times New Roman"/>
                <w:color w:val="000000"/>
                <w:rtl/>
              </w:rPr>
            </w:pPr>
            <w:r w:rsidRPr="00A2254B">
              <w:rPr>
                <w:rFonts w:eastAsia="Times New Roman"/>
                <w:color w:val="000000"/>
                <w:rtl/>
              </w:rPr>
              <w:t>4</w:t>
            </w:r>
          </w:p>
        </w:tc>
        <w:tc>
          <w:tcPr>
            <w:tcW w:w="1770"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Fonts w:eastAsia="Times New Roman"/>
                <w:color w:val="000000"/>
                <w:rtl/>
              </w:rPr>
            </w:pPr>
            <w:r w:rsidRPr="00A2254B">
              <w:rPr>
                <w:rFonts w:eastAsia="Times New Roman"/>
                <w:color w:val="000000"/>
                <w:rtl/>
              </w:rPr>
              <w:t xml:space="preserve">נגישות טופס מקוון </w:t>
            </w:r>
          </w:p>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(בוצעה דגימה ובדיקת נגישות של טופס מקוון אחד)</w:t>
            </w:r>
          </w:p>
        </w:tc>
        <w:tc>
          <w:tcPr>
            <w:tcW w:w="1569"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תקנה 35א(ג)2 </w:t>
            </w:r>
          </w:p>
        </w:tc>
        <w:tc>
          <w:tcPr>
            <w:tcW w:w="2941"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חובה להנגיש טפסים שנועדו למילוי במחשב ומשמשים לקבלת שירות. כמו כן חלה חובה להנגיש מסמכי הסבר על השירות (דפי שירות) שהועלו לאתר מיום 26 באוקטובר 2015 ונלווים לטפסים</w:t>
            </w:r>
          </w:p>
        </w:tc>
      </w:tr>
      <w:tr w:rsidR="007758ED" w:rsidTr="00775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1" w:type="dxa"/>
            <w:shd w:val="clear" w:color="auto" w:fill="DFECEF"/>
          </w:tcPr>
          <w:p w:rsidR="00BF1E3B" w:rsidRPr="00A2254B" w:rsidRDefault="00DF6A0A" w:rsidP="004E7B2D">
            <w:pPr>
              <w:pStyle w:val="73R"/>
              <w:rPr>
                <w:rFonts w:eastAsia="Times New Roman"/>
                <w:color w:val="000000"/>
                <w:rtl/>
              </w:rPr>
            </w:pPr>
            <w:r w:rsidRPr="00A2254B">
              <w:rPr>
                <w:rFonts w:eastAsia="Times New Roman"/>
                <w:color w:val="000000"/>
                <w:rtl/>
              </w:rPr>
              <w:lastRenderedPageBreak/>
              <w:t>5</w:t>
            </w:r>
          </w:p>
        </w:tc>
        <w:tc>
          <w:tcPr>
            <w:tcW w:w="1770"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 xml:space="preserve">קיום מלל חלופי  </w:t>
            </w:r>
          </w:p>
        </w:tc>
        <w:tc>
          <w:tcPr>
            <w:tcW w:w="1569" w:type="dxa"/>
            <w:vMerge w:val="restart"/>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 xml:space="preserve">תקנה 35א(א) </w:t>
            </w:r>
          </w:p>
        </w:tc>
        <w:tc>
          <w:tcPr>
            <w:tcW w:w="2941"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נדרש שלתמונות ולאלמנטים ויזואליים יינתן תיאור</w:t>
            </w:r>
            <w:r w:rsidRPr="00A2254B">
              <w:rPr>
                <w:rFonts w:eastAsia="Times New Roman"/>
                <w:color w:val="000000"/>
                <w:rtl/>
              </w:rPr>
              <w:t xml:space="preserve"> במלל</w:t>
            </w:r>
          </w:p>
        </w:tc>
      </w:tr>
      <w:tr w:rsidR="007758ED" w:rsidTr="007758ED">
        <w:tc>
          <w:tcPr>
            <w:cnfStyle w:val="001000000000" w:firstRow="0" w:lastRow="0" w:firstColumn="1" w:lastColumn="0" w:oddVBand="0" w:evenVBand="0" w:oddHBand="0" w:evenHBand="0" w:firstRowFirstColumn="0" w:firstRowLastColumn="0" w:lastRowFirstColumn="0" w:lastRowLastColumn="0"/>
            <w:tcW w:w="1081" w:type="dxa"/>
            <w:shd w:val="clear" w:color="auto" w:fill="F0F8F9"/>
          </w:tcPr>
          <w:p w:rsidR="00BF1E3B" w:rsidRPr="00A2254B" w:rsidRDefault="00DF6A0A" w:rsidP="004E7B2D">
            <w:pPr>
              <w:pStyle w:val="73R"/>
              <w:rPr>
                <w:rFonts w:eastAsia="Times New Roman"/>
                <w:color w:val="000000"/>
                <w:rtl/>
              </w:rPr>
            </w:pPr>
            <w:r w:rsidRPr="00A2254B">
              <w:rPr>
                <w:rFonts w:eastAsia="Times New Roman"/>
                <w:color w:val="000000"/>
                <w:rtl/>
              </w:rPr>
              <w:t>6</w:t>
            </w:r>
          </w:p>
        </w:tc>
        <w:tc>
          <w:tcPr>
            <w:tcW w:w="1770"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אפשרות גלישת מקלדת </w:t>
            </w:r>
          </w:p>
        </w:tc>
        <w:tc>
          <w:tcPr>
            <w:tcW w:w="1569" w:type="dxa"/>
            <w:vMerge/>
            <w:shd w:val="clear" w:color="auto" w:fill="F0F8F9"/>
          </w:tcPr>
          <w:p w:rsidR="00BF1E3B" w:rsidRPr="00A2254B" w:rsidRDefault="00BF1E3B" w:rsidP="004E7B2D">
            <w:pPr>
              <w:pStyle w:val="73R"/>
              <w:cnfStyle w:val="000000000000" w:firstRow="0" w:lastRow="0" w:firstColumn="0" w:lastColumn="0" w:oddVBand="0" w:evenVBand="0" w:oddHBand="0" w:evenHBand="0" w:firstRowFirstColumn="0" w:firstRowLastColumn="0" w:lastRowFirstColumn="0" w:lastRowLastColumn="0"/>
              <w:rPr>
                <w:rtl/>
              </w:rPr>
            </w:pPr>
          </w:p>
        </w:tc>
        <w:tc>
          <w:tcPr>
            <w:tcW w:w="2941"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יש לאפשר ביצוע של כל הפעולות באתר באמצעות מקלדת בלבד, ללא צורך להשתמש בעכבר </w:t>
            </w:r>
          </w:p>
        </w:tc>
      </w:tr>
      <w:tr w:rsidR="007758ED" w:rsidTr="00775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1" w:type="dxa"/>
            <w:shd w:val="clear" w:color="auto" w:fill="DFECEF"/>
          </w:tcPr>
          <w:p w:rsidR="00BF1E3B" w:rsidRPr="00A2254B" w:rsidRDefault="00DF6A0A" w:rsidP="004E7B2D">
            <w:pPr>
              <w:pStyle w:val="73R"/>
              <w:rPr>
                <w:rFonts w:eastAsia="Times New Roman"/>
                <w:color w:val="000000"/>
                <w:rtl/>
              </w:rPr>
            </w:pPr>
            <w:r w:rsidRPr="00A2254B">
              <w:rPr>
                <w:rFonts w:eastAsia="Times New Roman"/>
                <w:color w:val="000000"/>
                <w:rtl/>
              </w:rPr>
              <w:t>7</w:t>
            </w:r>
          </w:p>
        </w:tc>
        <w:tc>
          <w:tcPr>
            <w:tcW w:w="1770"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ניגודיות</w:t>
            </w:r>
          </w:p>
        </w:tc>
        <w:tc>
          <w:tcPr>
            <w:tcW w:w="1569" w:type="dxa"/>
            <w:vMerge/>
            <w:shd w:val="clear" w:color="auto" w:fill="DFECEF"/>
          </w:tcPr>
          <w:p w:rsidR="00BF1E3B" w:rsidRPr="00A2254B" w:rsidRDefault="00BF1E3B" w:rsidP="004E7B2D">
            <w:pPr>
              <w:pStyle w:val="73R"/>
              <w:cnfStyle w:val="000000100000" w:firstRow="0" w:lastRow="0" w:firstColumn="0" w:lastColumn="0" w:oddVBand="0" w:evenVBand="0" w:oddHBand="1" w:evenHBand="0" w:firstRowFirstColumn="0" w:firstRowLastColumn="0" w:lastRowFirstColumn="0" w:lastRowLastColumn="0"/>
              <w:rPr>
                <w:rtl/>
              </w:rPr>
            </w:pPr>
          </w:p>
        </w:tc>
        <w:tc>
          <w:tcPr>
            <w:tcW w:w="2941"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נדרש שהמלל והמספרים יוצגו על פני הרקע כך שיהיה קל להבחין בהם, כדי להקל על הקריאה</w:t>
            </w:r>
          </w:p>
        </w:tc>
      </w:tr>
      <w:tr w:rsidR="007758ED" w:rsidTr="007758ED">
        <w:tc>
          <w:tcPr>
            <w:cnfStyle w:val="001000000000" w:firstRow="0" w:lastRow="0" w:firstColumn="1" w:lastColumn="0" w:oddVBand="0" w:evenVBand="0" w:oddHBand="0" w:evenHBand="0" w:firstRowFirstColumn="0" w:firstRowLastColumn="0" w:lastRowFirstColumn="0" w:lastRowLastColumn="0"/>
            <w:tcW w:w="1081" w:type="dxa"/>
            <w:shd w:val="clear" w:color="auto" w:fill="F0F8F9"/>
          </w:tcPr>
          <w:p w:rsidR="00BF1E3B" w:rsidRPr="00A2254B" w:rsidRDefault="00DF6A0A" w:rsidP="004E7B2D">
            <w:pPr>
              <w:pStyle w:val="73R"/>
              <w:rPr>
                <w:rFonts w:eastAsia="Times New Roman"/>
                <w:color w:val="000000"/>
                <w:rtl/>
              </w:rPr>
            </w:pPr>
            <w:r w:rsidRPr="00A2254B">
              <w:rPr>
                <w:rFonts w:eastAsia="Times New Roman"/>
                <w:color w:val="000000"/>
                <w:rtl/>
              </w:rPr>
              <w:t>8</w:t>
            </w:r>
          </w:p>
        </w:tc>
        <w:tc>
          <w:tcPr>
            <w:tcW w:w="1770"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אפשרות עצירת תנועה על המסך </w:t>
            </w:r>
          </w:p>
        </w:tc>
        <w:tc>
          <w:tcPr>
            <w:tcW w:w="1569" w:type="dxa"/>
            <w:vMerge/>
            <w:shd w:val="clear" w:color="auto" w:fill="F0F8F9"/>
          </w:tcPr>
          <w:p w:rsidR="00BF1E3B" w:rsidRPr="00A2254B" w:rsidRDefault="00BF1E3B" w:rsidP="004E7B2D">
            <w:pPr>
              <w:pStyle w:val="73R"/>
              <w:cnfStyle w:val="000000000000" w:firstRow="0" w:lastRow="0" w:firstColumn="0" w:lastColumn="0" w:oddVBand="0" w:evenVBand="0" w:oddHBand="0" w:evenHBand="0" w:firstRowFirstColumn="0" w:firstRowLastColumn="0" w:lastRowFirstColumn="0" w:lastRowLastColumn="0"/>
              <w:rPr>
                <w:rtl/>
              </w:rPr>
            </w:pPr>
          </w:p>
        </w:tc>
        <w:tc>
          <w:tcPr>
            <w:tcW w:w="2941" w:type="dxa"/>
            <w:shd w:val="clear" w:color="auto" w:fill="F0F8F9"/>
          </w:tcPr>
          <w:p w:rsidR="00BF1E3B" w:rsidRPr="00A2254B" w:rsidRDefault="00DF6A0A" w:rsidP="004E7B2D">
            <w:pPr>
              <w:pStyle w:val="73R"/>
              <w:cnfStyle w:val="000000000000" w:firstRow="0" w:lastRow="0" w:firstColumn="0" w:lastColumn="0" w:oddVBand="0" w:evenVBand="0" w:oddHBand="0" w:evenHBand="0" w:firstRowFirstColumn="0" w:firstRowLastColumn="0" w:lastRowFirstColumn="0" w:lastRowLastColumn="0"/>
              <w:rPr>
                <w:rtl/>
              </w:rPr>
            </w:pPr>
            <w:r w:rsidRPr="00A2254B">
              <w:rPr>
                <w:rFonts w:eastAsia="Times New Roman"/>
                <w:color w:val="000000"/>
                <w:rtl/>
              </w:rPr>
              <w:t xml:space="preserve">במקרה שקיימת תנועה במסך (לרבות הבהובים), יש לספק למשתמש אפשרות לעצור את התנועה (למשל להסתיר מידע המתעדכן באופן דינמי ו"רץ" על המסך) </w:t>
            </w:r>
          </w:p>
        </w:tc>
      </w:tr>
      <w:tr w:rsidR="007758ED" w:rsidTr="00775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1" w:type="dxa"/>
            <w:shd w:val="clear" w:color="auto" w:fill="DFECEF"/>
          </w:tcPr>
          <w:p w:rsidR="00BF1E3B" w:rsidRPr="00A2254B" w:rsidRDefault="00DF6A0A" w:rsidP="004E7B2D">
            <w:pPr>
              <w:pStyle w:val="73R"/>
              <w:rPr>
                <w:rFonts w:eastAsia="Times New Roman"/>
                <w:color w:val="000000"/>
                <w:rtl/>
              </w:rPr>
            </w:pPr>
            <w:r>
              <w:rPr>
                <w:rFonts w:eastAsia="Times New Roman" w:hint="cs"/>
                <w:color w:val="000000"/>
                <w:rtl/>
              </w:rPr>
              <w:t>11</w:t>
            </w:r>
            <w:r w:rsidRPr="00A2254B">
              <w:rPr>
                <w:rFonts w:eastAsia="Times New Roman"/>
                <w:color w:val="000000"/>
                <w:rtl/>
              </w:rPr>
              <w:t>,</w:t>
            </w:r>
            <w:r>
              <w:rPr>
                <w:rFonts w:eastAsia="Times New Roman" w:hint="cs"/>
                <w:color w:val="000000"/>
                <w:rtl/>
              </w:rPr>
              <w:t xml:space="preserve"> </w:t>
            </w:r>
            <w:r w:rsidRPr="00A2254B">
              <w:rPr>
                <w:rFonts w:eastAsia="Times New Roman"/>
                <w:color w:val="000000"/>
                <w:rtl/>
              </w:rPr>
              <w:t>10,</w:t>
            </w:r>
            <w:r>
              <w:rPr>
                <w:rFonts w:eastAsia="Times New Roman" w:hint="cs"/>
                <w:color w:val="000000"/>
                <w:rtl/>
              </w:rPr>
              <w:t xml:space="preserve"> 9</w:t>
            </w:r>
          </w:p>
        </w:tc>
        <w:tc>
          <w:tcPr>
            <w:tcW w:w="1770"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rtl/>
              </w:rPr>
            </w:pPr>
            <w:r w:rsidRPr="00A2254B">
              <w:rPr>
                <w:rFonts w:eastAsia="Times New Roman"/>
                <w:color w:val="000000"/>
                <w:rtl/>
              </w:rPr>
              <w:t xml:space="preserve">הצהרת נגישות </w:t>
            </w:r>
          </w:p>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 xml:space="preserve"> </w:t>
            </w:r>
          </w:p>
        </w:tc>
        <w:tc>
          <w:tcPr>
            <w:tcW w:w="1569" w:type="dxa"/>
            <w:shd w:val="clear" w:color="auto" w:fill="DFECEF"/>
          </w:tcPr>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rtl/>
              </w:rPr>
            </w:pPr>
            <w:r w:rsidRPr="00A2254B">
              <w:rPr>
                <w:rFonts w:eastAsia="Times New Roman"/>
                <w:color w:val="000000"/>
                <w:rtl/>
              </w:rPr>
              <w:t xml:space="preserve">תקנה 35ה </w:t>
            </w:r>
          </w:p>
          <w:p w:rsidR="00BF1E3B" w:rsidRPr="00A2254B" w:rsidRDefault="00DF6A0A" w:rsidP="004E7B2D">
            <w:pPr>
              <w:pStyle w:val="73R"/>
              <w:cnfStyle w:val="000000100000" w:firstRow="0" w:lastRow="0" w:firstColumn="0" w:lastColumn="0" w:oddVBand="0" w:evenVBand="0" w:oddHBand="1" w:evenHBand="0" w:firstRowFirstColumn="0" w:firstRowLastColumn="0" w:lastRowFirstColumn="0" w:lastRowLastColumn="0"/>
              <w:rPr>
                <w:rFonts w:eastAsia="Times New Roman"/>
                <w:color w:val="000000"/>
                <w:rtl/>
              </w:rPr>
            </w:pPr>
            <w:r w:rsidRPr="00A2254B">
              <w:rPr>
                <w:rFonts w:eastAsia="Times New Roman"/>
                <w:color w:val="000000"/>
                <w:rtl/>
              </w:rPr>
              <w:t>תקנה 35ו(ג)</w:t>
            </w:r>
          </w:p>
          <w:p w:rsidR="00BF1E3B" w:rsidRPr="00A2254B" w:rsidRDefault="00BF1E3B" w:rsidP="004E7B2D">
            <w:pPr>
              <w:pStyle w:val="73R"/>
              <w:cnfStyle w:val="000000100000" w:firstRow="0" w:lastRow="0" w:firstColumn="0" w:lastColumn="0" w:oddVBand="0" w:evenVBand="0" w:oddHBand="1" w:evenHBand="0" w:firstRowFirstColumn="0" w:firstRowLastColumn="0" w:lastRowFirstColumn="0" w:lastRowLastColumn="0"/>
              <w:rPr>
                <w:rtl/>
              </w:rPr>
            </w:pPr>
          </w:p>
        </w:tc>
        <w:tc>
          <w:tcPr>
            <w:tcW w:w="2941" w:type="dxa"/>
            <w:shd w:val="clear" w:color="auto" w:fill="DFECEF"/>
          </w:tcPr>
          <w:p w:rsidR="00BF1E3B" w:rsidRPr="00A2254B" w:rsidRDefault="00DF6A0A">
            <w:pPr>
              <w:pStyle w:val="73R"/>
              <w:numPr>
                <w:ilvl w:val="0"/>
                <w:numId w:val="22"/>
              </w:numPr>
              <w:cnfStyle w:val="000000100000" w:firstRow="0" w:lastRow="0" w:firstColumn="0" w:lastColumn="0" w:oddVBand="0" w:evenVBand="0" w:oddHBand="1" w:evenHBand="0" w:firstRowFirstColumn="0" w:firstRowLastColumn="0" w:lastRowFirstColumn="0" w:lastRowLastColumn="0"/>
              <w:rPr>
                <w:rFonts w:eastAsia="Times New Roman"/>
                <w:color w:val="000000"/>
                <w:rtl/>
              </w:rPr>
            </w:pPr>
            <w:r w:rsidRPr="00A2254B">
              <w:rPr>
                <w:rFonts w:eastAsia="Times New Roman"/>
                <w:color w:val="000000"/>
                <w:rtl/>
              </w:rPr>
              <w:t xml:space="preserve">קיומה של הצהרת נגישות באתר המרשתת </w:t>
            </w:r>
          </w:p>
          <w:p w:rsidR="00BF1E3B" w:rsidRPr="00A2254B" w:rsidRDefault="00DF6A0A">
            <w:pPr>
              <w:pStyle w:val="73R"/>
              <w:numPr>
                <w:ilvl w:val="0"/>
                <w:numId w:val="22"/>
              </w:numPr>
              <w:cnfStyle w:val="000000100000" w:firstRow="0" w:lastRow="0" w:firstColumn="0" w:lastColumn="0" w:oddVBand="0" w:evenVBand="0" w:oddHBand="1" w:evenHBand="0" w:firstRowFirstColumn="0" w:firstRowLastColumn="0" w:lastRowFirstColumn="0" w:lastRowLastColumn="0"/>
              <w:rPr>
                <w:rFonts w:eastAsia="Times New Roman"/>
                <w:color w:val="000000"/>
                <w:rtl/>
              </w:rPr>
            </w:pPr>
            <w:r w:rsidRPr="00A2254B">
              <w:rPr>
                <w:rFonts w:eastAsia="Times New Roman"/>
                <w:color w:val="000000"/>
                <w:rtl/>
              </w:rPr>
              <w:t>מיקום ההצהרה במקום בולט</w:t>
            </w:r>
          </w:p>
          <w:p w:rsidR="00BF1E3B" w:rsidRPr="00A2254B" w:rsidRDefault="00DF6A0A">
            <w:pPr>
              <w:pStyle w:val="73R"/>
              <w:numPr>
                <w:ilvl w:val="0"/>
                <w:numId w:val="22"/>
              </w:numPr>
              <w:cnfStyle w:val="000000100000" w:firstRow="0" w:lastRow="0" w:firstColumn="0" w:lastColumn="0" w:oddVBand="0" w:evenVBand="0" w:oddHBand="1" w:evenHBand="0" w:firstRowFirstColumn="0" w:firstRowLastColumn="0" w:lastRowFirstColumn="0" w:lastRowLastColumn="0"/>
              <w:rPr>
                <w:rtl/>
              </w:rPr>
            </w:pPr>
            <w:r w:rsidRPr="00A2254B">
              <w:rPr>
                <w:rFonts w:eastAsia="Times New Roman"/>
                <w:color w:val="000000"/>
                <w:rtl/>
              </w:rPr>
              <w:t>קיומם של תכנים</w:t>
            </w:r>
            <w:r w:rsidRPr="00A2254B">
              <w:rPr>
                <w:rFonts w:eastAsia="Times New Roman"/>
                <w:color w:val="000000"/>
                <w:rtl/>
              </w:rPr>
              <w:t xml:space="preserve"> ספציפיים שיש לכלול בהצהרה (כגון פרטי קשר של רכז הנגישות)</w:t>
            </w:r>
          </w:p>
        </w:tc>
      </w:tr>
    </w:tbl>
    <w:p w:rsidR="00BF1E3B" w:rsidRPr="004E7B2D" w:rsidRDefault="00DF6A0A" w:rsidP="004E7B2D">
      <w:pPr>
        <w:pStyle w:val="73e"/>
        <w:rPr>
          <w:rtl/>
        </w:rPr>
      </w:pPr>
      <w:r w:rsidRPr="004E7B2D">
        <w:rPr>
          <w:rFonts w:hint="cs"/>
          <w:rtl/>
        </w:rPr>
        <w:t>על פי תקנות הנגישות והתקן הישראלי, בעיבוד משרד מבקר המדינה.</w:t>
      </w:r>
    </w:p>
    <w:p w:rsidR="00BF1E3B" w:rsidRPr="00006C1F" w:rsidRDefault="00DF6A0A" w:rsidP="00006C1F">
      <w:pPr>
        <w:pStyle w:val="7392"/>
        <w:rPr>
          <w:rtl/>
        </w:rPr>
      </w:pPr>
      <w:r w:rsidRPr="00006C1F">
        <w:rPr>
          <w:rFonts w:hint="cs"/>
          <w:rtl/>
        </w:rPr>
        <w:t>יש</w:t>
      </w:r>
      <w:r w:rsidRPr="00006C1F">
        <w:rPr>
          <w:rtl/>
        </w:rPr>
        <w:t xml:space="preserve"> </w:t>
      </w:r>
      <w:r w:rsidRPr="00006C1F">
        <w:rPr>
          <w:rFonts w:hint="cs"/>
          <w:rtl/>
        </w:rPr>
        <w:t>מאתרי המרשתת שנ</w:t>
      </w:r>
      <w:r w:rsidRPr="00006C1F">
        <w:rPr>
          <w:rFonts w:hint="eastAsia"/>
          <w:rtl/>
        </w:rPr>
        <w:t>בדקו</w:t>
      </w:r>
      <w:r w:rsidRPr="00006C1F">
        <w:rPr>
          <w:rtl/>
        </w:rPr>
        <w:t xml:space="preserve"> </w:t>
      </w:r>
      <w:r w:rsidRPr="00006C1F">
        <w:rPr>
          <w:rFonts w:hint="cs"/>
          <w:rtl/>
        </w:rPr>
        <w:t>הפועלים במסגרת הא</w:t>
      </w:r>
      <w:r w:rsidRPr="00006C1F">
        <w:rPr>
          <w:rFonts w:hint="eastAsia"/>
          <w:rtl/>
        </w:rPr>
        <w:t>תר</w:t>
      </w:r>
      <w:r w:rsidRPr="00006C1F">
        <w:rPr>
          <w:rtl/>
        </w:rPr>
        <w:t xml:space="preserve"> </w:t>
      </w:r>
      <w:r w:rsidRPr="00006C1F">
        <w:rPr>
          <w:rFonts w:hint="eastAsia"/>
          <w:rtl/>
        </w:rPr>
        <w:t>הממשלתי</w:t>
      </w:r>
      <w:r w:rsidRPr="00006C1F">
        <w:rPr>
          <w:rtl/>
        </w:rPr>
        <w:t xml:space="preserve"> </w:t>
      </w:r>
      <w:r w:rsidRPr="00006C1F">
        <w:rPr>
          <w:rFonts w:hint="eastAsia"/>
          <w:rtl/>
        </w:rPr>
        <w:t>האחוד</w:t>
      </w:r>
      <w:r w:rsidRPr="00006C1F">
        <w:rPr>
          <w:rtl/>
        </w:rPr>
        <w:t xml:space="preserve"> (</w:t>
      </w:r>
      <w:r w:rsidRPr="00006C1F">
        <w:t>gov.il</w:t>
      </w:r>
      <w:r w:rsidRPr="00006C1F">
        <w:rPr>
          <w:rtl/>
        </w:rPr>
        <w:t>)</w:t>
      </w:r>
      <w:r w:rsidRPr="00006C1F">
        <w:rPr>
          <w:rFonts w:hint="cs"/>
          <w:rtl/>
        </w:rPr>
        <w:t xml:space="preserve">, שאת התשתית שלו מספק מערך </w:t>
      </w:r>
      <w:r w:rsidRPr="00006C1F">
        <w:rPr>
          <w:rFonts w:hint="eastAsia"/>
          <w:rtl/>
        </w:rPr>
        <w:t>הדיגיטל</w:t>
      </w:r>
      <w:r w:rsidRPr="00006C1F">
        <w:rPr>
          <w:rtl/>
        </w:rPr>
        <w:t xml:space="preserve"> הלאומי</w:t>
      </w:r>
      <w:r w:rsidRPr="00006C1F">
        <w:rPr>
          <w:rFonts w:hint="cs"/>
          <w:rtl/>
        </w:rPr>
        <w:t>. תשתית זו מספקת ה</w:t>
      </w:r>
      <w:r w:rsidRPr="00006C1F">
        <w:rPr>
          <w:rFonts w:hint="eastAsia"/>
          <w:rtl/>
        </w:rPr>
        <w:t>נגשה</w:t>
      </w:r>
      <w:r w:rsidRPr="00006C1F">
        <w:rPr>
          <w:rtl/>
        </w:rPr>
        <w:t xml:space="preserve"> </w:t>
      </w:r>
      <w:r w:rsidRPr="00006C1F">
        <w:rPr>
          <w:rFonts w:hint="cs"/>
          <w:rtl/>
        </w:rPr>
        <w:t xml:space="preserve">בהיבטים </w:t>
      </w:r>
      <w:r w:rsidRPr="00006C1F">
        <w:rPr>
          <w:rFonts w:hint="cs"/>
          <w:rtl/>
        </w:rPr>
        <w:t>של</w:t>
      </w:r>
      <w:r w:rsidRPr="00006C1F">
        <w:rPr>
          <w:rtl/>
        </w:rPr>
        <w:t xml:space="preserve"> ניגודיות</w:t>
      </w:r>
      <w:r w:rsidRPr="00006C1F">
        <w:rPr>
          <w:rFonts w:hint="cs"/>
          <w:rtl/>
        </w:rPr>
        <w:t>, הגדלת התצוגה, אפשרות להכנסת מלל חלופי, אפשרות גלישת מקלדת ואפשרות עצירת תנועה (אם קיימת על המסך). בנוגע לכל אתר מרשתת בדק משרד מבקר המדינה את כל רכיבי הנגישות המוצגים בלוח, בין שמדובר באתר מרשתת שפועל על תשתית האתר הממשלתי האחוד, ובין שהוא פוע</w:t>
      </w:r>
      <w:r w:rsidRPr="00006C1F">
        <w:rPr>
          <w:rFonts w:hint="cs"/>
          <w:rtl/>
        </w:rPr>
        <w:t xml:space="preserve">ל בנפרד ממנה. זאת כדי לאתר בבדיקה ליקויים שקשורים גם לתשתית האמורה. </w:t>
      </w:r>
    </w:p>
    <w:p w:rsidR="00BF1E3B" w:rsidRDefault="00DF6A0A" w:rsidP="00C619CC">
      <w:pPr>
        <w:pStyle w:val="7392"/>
        <w:rPr>
          <w:rtl/>
        </w:rPr>
      </w:pPr>
      <w:r>
        <w:rPr>
          <w:rFonts w:hint="cs"/>
          <w:rtl/>
        </w:rPr>
        <w:t>בתרשים 9 שלהלן מפורטות תוצאות בדיקת 11 רכיבי הנגישות ב-15 אתרי המרשתת של הגופים הממשלתיים שנבדקו</w:t>
      </w:r>
      <w:r>
        <w:rPr>
          <w:rStyle w:val="a8"/>
          <w:rtl/>
        </w:rPr>
        <w:footnoteReference w:id="66"/>
      </w:r>
      <w:r>
        <w:rPr>
          <w:rFonts w:hint="cs"/>
          <w:rtl/>
        </w:rPr>
        <w:t>.</w:t>
      </w:r>
    </w:p>
    <w:p w:rsidR="00BF1E3B" w:rsidRPr="005A0A46" w:rsidRDefault="00DF6A0A" w:rsidP="005A0A46">
      <w:pPr>
        <w:pStyle w:val="738"/>
        <w:rPr>
          <w:rtl/>
        </w:rPr>
      </w:pPr>
      <w:r w:rsidRPr="005A0A46">
        <w:rPr>
          <w:rFonts w:hint="eastAsia"/>
          <w:b w:val="0"/>
          <w:bCs w:val="0"/>
          <w:rtl/>
        </w:rPr>
        <w:lastRenderedPageBreak/>
        <w:t>תרשים</w:t>
      </w:r>
      <w:r w:rsidRPr="005A0A46">
        <w:rPr>
          <w:b w:val="0"/>
          <w:bCs w:val="0"/>
          <w:rtl/>
        </w:rPr>
        <w:t xml:space="preserve"> </w:t>
      </w:r>
      <w:r w:rsidRPr="005A0A46">
        <w:rPr>
          <w:rFonts w:hint="cs"/>
          <w:b w:val="0"/>
          <w:bCs w:val="0"/>
          <w:rtl/>
        </w:rPr>
        <w:t>9</w:t>
      </w:r>
      <w:r w:rsidRPr="005A0A46">
        <w:rPr>
          <w:b w:val="0"/>
          <w:bCs w:val="0"/>
          <w:rtl/>
        </w:rPr>
        <w:t xml:space="preserve">: </w:t>
      </w:r>
      <w:r w:rsidRPr="005A0A46">
        <w:rPr>
          <w:rtl/>
        </w:rPr>
        <w:t xml:space="preserve">תוצאות </w:t>
      </w:r>
      <w:r w:rsidRPr="005A0A46">
        <w:rPr>
          <w:rFonts w:hint="eastAsia"/>
          <w:rtl/>
        </w:rPr>
        <w:t>בדיקת</w:t>
      </w:r>
      <w:r w:rsidRPr="005A0A46">
        <w:rPr>
          <w:rtl/>
        </w:rPr>
        <w:t xml:space="preserve"> </w:t>
      </w:r>
      <w:r w:rsidRPr="005A0A46">
        <w:rPr>
          <w:rFonts w:hint="eastAsia"/>
          <w:rtl/>
        </w:rPr>
        <w:t>רכיבי</w:t>
      </w:r>
      <w:r w:rsidRPr="005A0A46">
        <w:rPr>
          <w:rtl/>
        </w:rPr>
        <w:t xml:space="preserve"> </w:t>
      </w:r>
      <w:r w:rsidRPr="005A0A46">
        <w:rPr>
          <w:rFonts w:hint="eastAsia"/>
          <w:rtl/>
        </w:rPr>
        <w:t>הנגישות</w:t>
      </w:r>
      <w:r w:rsidRPr="005A0A46">
        <w:rPr>
          <w:rtl/>
        </w:rPr>
        <w:t xml:space="preserve"> </w:t>
      </w:r>
      <w:r w:rsidRPr="005A0A46">
        <w:rPr>
          <w:rFonts w:hint="eastAsia"/>
          <w:rtl/>
        </w:rPr>
        <w:t>ב</w:t>
      </w:r>
      <w:r w:rsidRPr="005A0A46">
        <w:rPr>
          <w:rtl/>
        </w:rPr>
        <w:t xml:space="preserve">-15 אתרי </w:t>
      </w:r>
      <w:r w:rsidRPr="005A0A46">
        <w:rPr>
          <w:rFonts w:hint="cs"/>
          <w:rtl/>
        </w:rPr>
        <w:t>ה</w:t>
      </w:r>
      <w:r w:rsidRPr="005A0A46">
        <w:rPr>
          <w:rFonts w:hint="eastAsia"/>
          <w:rtl/>
        </w:rPr>
        <w:t>מרשתת</w:t>
      </w:r>
      <w:r w:rsidRPr="005A0A46">
        <w:rPr>
          <w:rtl/>
        </w:rPr>
        <w:t xml:space="preserve"> של גופי </w:t>
      </w:r>
      <w:r w:rsidRPr="005A0A46">
        <w:rPr>
          <w:rFonts w:hint="eastAsia"/>
          <w:rtl/>
        </w:rPr>
        <w:t>הממשל</w:t>
      </w:r>
      <w:r w:rsidRPr="005A0A46">
        <w:rPr>
          <w:rtl/>
        </w:rPr>
        <w:t xml:space="preserve"> שנבדקו </w:t>
      </w:r>
    </w:p>
    <w:p w:rsidR="00BF1E3B" w:rsidRPr="0031307E" w:rsidRDefault="00DF6A0A" w:rsidP="0091408A">
      <w:pPr>
        <w:jc w:val="center"/>
        <w:rPr>
          <w:rtl/>
        </w:rPr>
      </w:pPr>
      <w:r w:rsidRPr="00A75C4A">
        <w:rPr>
          <w:noProof/>
        </w:rPr>
        <w:drawing>
          <wp:inline distT="0" distB="0" distL="0" distR="0">
            <wp:extent cx="3753939" cy="6301493"/>
            <wp:effectExtent l="0" t="0" r="0" b="0"/>
            <wp:docPr id="23" name="תמונה 23" descr="התרשים מציג באופן כללי את תוצאות הבדיקה בכלל האתרים שנבדקו. עיקרי התוצאות מוצגות גם בקטעי המלל שלאחר התרשים.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תמונה 23"/>
                    <pic:cNvPicPr/>
                  </pic:nvPicPr>
                  <pic:blipFill>
                    <a:blip r:embed="rId46">
                      <a:extLst>
                        <a:ext uri="{28A0092B-C50C-407E-A947-70E740481C1C}">
                          <a14:useLocalDpi xmlns:a14="http://schemas.microsoft.com/office/drawing/2010/main" val="0"/>
                        </a:ext>
                      </a:extLst>
                    </a:blip>
                    <a:srcRect l="10282" t="4619" r="12030" b="3226"/>
                    <a:stretch>
                      <a:fillRect/>
                    </a:stretch>
                  </pic:blipFill>
                  <pic:spPr bwMode="auto">
                    <a:xfrm>
                      <a:off x="0" y="0"/>
                      <a:ext cx="3760706" cy="6312852"/>
                    </a:xfrm>
                    <a:prstGeom prst="rect">
                      <a:avLst/>
                    </a:prstGeom>
                    <a:ln>
                      <a:noFill/>
                    </a:ln>
                    <a:extLst>
                      <a:ext uri="{53640926-AAD7-44D8-BBD7-CCE9431645EC}">
                        <a14:shadowObscured xmlns:a14="http://schemas.microsoft.com/office/drawing/2010/main"/>
                      </a:ext>
                    </a:extLst>
                  </pic:spPr>
                </pic:pic>
              </a:graphicData>
            </a:graphic>
          </wp:inline>
        </w:drawing>
      </w:r>
    </w:p>
    <w:p w:rsidR="00BF1E3B" w:rsidRPr="005A0A46" w:rsidRDefault="00DF6A0A" w:rsidP="005A0A46">
      <w:pPr>
        <w:pStyle w:val="73e"/>
        <w:rPr>
          <w:rtl/>
        </w:rPr>
      </w:pPr>
      <w:r w:rsidRPr="005A0A46">
        <w:rPr>
          <w:rFonts w:hint="cs"/>
          <w:rtl/>
        </w:rPr>
        <w:t>"לא קיים" -</w:t>
      </w:r>
      <w:r w:rsidRPr="005A0A46">
        <w:rPr>
          <w:rFonts w:hint="cs"/>
          <w:rtl/>
        </w:rPr>
        <w:t xml:space="preserve"> רכיב מסוג זה לא נמצא באתר.</w:t>
      </w:r>
    </w:p>
    <w:p w:rsidR="00BF1E3B" w:rsidRPr="005A0A46" w:rsidRDefault="00DF6A0A" w:rsidP="005A0A46">
      <w:pPr>
        <w:pStyle w:val="735"/>
        <w:rPr>
          <w:rtl/>
        </w:rPr>
      </w:pPr>
      <w:r w:rsidRPr="005A0A46">
        <w:rPr>
          <w:rFonts w:hint="cs"/>
          <w:rtl/>
        </w:rPr>
        <w:lastRenderedPageBreak/>
        <w:t>ב</w:t>
      </w:r>
      <w:r w:rsidRPr="005A0A46">
        <w:rPr>
          <w:rtl/>
        </w:rPr>
        <w:t>בדיק</w:t>
      </w:r>
      <w:r w:rsidRPr="005A0A46">
        <w:rPr>
          <w:rFonts w:hint="cs"/>
          <w:rtl/>
        </w:rPr>
        <w:t>ת משרד מבקר המדינה לגבי</w:t>
      </w:r>
      <w:r w:rsidRPr="005A0A46">
        <w:rPr>
          <w:rtl/>
        </w:rPr>
        <w:t xml:space="preserve"> 15 אתרי המרשתת </w:t>
      </w:r>
      <w:r w:rsidRPr="005A0A46">
        <w:rPr>
          <w:rFonts w:hint="cs"/>
          <w:rtl/>
        </w:rPr>
        <w:t>נמצאו רכיבים</w:t>
      </w:r>
      <w:r>
        <w:rPr>
          <w:rStyle w:val="a8"/>
          <w:rtl/>
        </w:rPr>
        <w:footnoteReference w:id="67"/>
      </w:r>
      <w:r w:rsidRPr="005A0A46">
        <w:rPr>
          <w:rFonts w:hint="cs"/>
          <w:rtl/>
        </w:rPr>
        <w:t xml:space="preserve"> שלא הונגשו לאנשים עם מוגבלות כנדרש על פי התקנות והתקן, להלן עיקרי הממצאים:  </w:t>
      </w:r>
    </w:p>
    <w:p w:rsidR="00BF1E3B" w:rsidRPr="005A0A46" w:rsidRDefault="00DF6A0A">
      <w:pPr>
        <w:pStyle w:val="711"/>
        <w:numPr>
          <w:ilvl w:val="0"/>
          <w:numId w:val="14"/>
        </w:numPr>
        <w:ind w:left="623" w:hanging="396"/>
      </w:pPr>
      <w:r w:rsidRPr="005A0A46">
        <w:rPr>
          <w:rFonts w:hint="cs"/>
          <w:rtl/>
        </w:rPr>
        <w:t xml:space="preserve">מבין 11 רכיבים שנבדקו, </w:t>
      </w:r>
      <w:r w:rsidRPr="005A0A46">
        <w:rPr>
          <w:rtl/>
        </w:rPr>
        <w:t>לא</w:t>
      </w:r>
      <w:r w:rsidRPr="005A0A46">
        <w:rPr>
          <w:rFonts w:hint="cs"/>
          <w:rtl/>
        </w:rPr>
        <w:t xml:space="preserve"> נמצא</w:t>
      </w:r>
      <w:r w:rsidRPr="005A0A46">
        <w:rPr>
          <w:rtl/>
        </w:rPr>
        <w:t xml:space="preserve"> </w:t>
      </w:r>
      <w:r w:rsidRPr="005A0A46">
        <w:rPr>
          <w:rFonts w:hint="cs"/>
          <w:rtl/>
        </w:rPr>
        <w:t xml:space="preserve">אף </w:t>
      </w:r>
      <w:r w:rsidRPr="005A0A46">
        <w:rPr>
          <w:rFonts w:hint="eastAsia"/>
          <w:rtl/>
        </w:rPr>
        <w:t>רכיב</w:t>
      </w:r>
      <w:r w:rsidRPr="005A0A46">
        <w:rPr>
          <w:rtl/>
        </w:rPr>
        <w:t xml:space="preserve"> </w:t>
      </w:r>
      <w:r w:rsidRPr="005A0A46">
        <w:rPr>
          <w:rFonts w:hint="cs"/>
          <w:rtl/>
        </w:rPr>
        <w:t xml:space="preserve">שתוצאות הבדיקה העלו כי הוא </w:t>
      </w:r>
      <w:r w:rsidRPr="005A0A46">
        <w:rPr>
          <w:rFonts w:hint="eastAsia"/>
          <w:rtl/>
        </w:rPr>
        <w:t>תקין</w:t>
      </w:r>
      <w:r w:rsidRPr="005A0A46">
        <w:rPr>
          <w:rtl/>
        </w:rPr>
        <w:t xml:space="preserve"> (נגיש)</w:t>
      </w:r>
      <w:r w:rsidRPr="005A0A46">
        <w:rPr>
          <w:rFonts w:hint="cs"/>
          <w:rtl/>
        </w:rPr>
        <w:t xml:space="preserve"> בכל אחד מ-15 אתרי המרשתת שנבדקו. </w:t>
      </w:r>
    </w:p>
    <w:p w:rsidR="00BF1E3B" w:rsidRPr="005A0A46" w:rsidRDefault="00DF6A0A">
      <w:pPr>
        <w:pStyle w:val="711"/>
        <w:numPr>
          <w:ilvl w:val="0"/>
          <w:numId w:val="14"/>
        </w:numPr>
        <w:ind w:left="623" w:hanging="396"/>
      </w:pPr>
      <w:r w:rsidRPr="005A0A46">
        <w:rPr>
          <w:rFonts w:hint="cs"/>
          <w:rtl/>
        </w:rPr>
        <w:t xml:space="preserve">בשבעה מבין 11 רכיבים שנבדקו (64%) נמצאו ליקויי הנגשה בכמחצית ומעלה מהאתרים שנבדקו. </w:t>
      </w:r>
    </w:p>
    <w:p w:rsidR="00BF1E3B" w:rsidRPr="005A0A46" w:rsidRDefault="00DF6A0A">
      <w:pPr>
        <w:pStyle w:val="711"/>
        <w:numPr>
          <w:ilvl w:val="0"/>
          <w:numId w:val="14"/>
        </w:numPr>
        <w:ind w:left="623" w:hanging="396"/>
      </w:pPr>
      <w:r w:rsidRPr="005A0A46">
        <w:rPr>
          <w:rFonts w:hint="cs"/>
          <w:rtl/>
        </w:rPr>
        <w:t xml:space="preserve">בכל האתרים שנבדקו והיה בהם מסמך </w:t>
      </w:r>
      <w:r w:rsidRPr="005A0A46">
        <w:t>pdf</w:t>
      </w:r>
      <w:r w:rsidRPr="005A0A46">
        <w:rPr>
          <w:rFonts w:hint="cs"/>
          <w:rtl/>
        </w:rPr>
        <w:t xml:space="preserve"> נמצא לפחות מ</w:t>
      </w:r>
      <w:r w:rsidRPr="005A0A46">
        <w:rPr>
          <w:rtl/>
        </w:rPr>
        <w:t xml:space="preserve">סמך </w:t>
      </w:r>
      <w:r w:rsidRPr="005A0A46">
        <w:rPr>
          <w:rFonts w:hint="cs"/>
          <w:rtl/>
        </w:rPr>
        <w:t>אחד כזה שאינו נגיש</w:t>
      </w:r>
      <w:r>
        <w:rPr>
          <w:vertAlign w:val="superscript"/>
          <w:rtl/>
        </w:rPr>
        <w:footnoteReference w:id="68"/>
      </w:r>
      <w:r w:rsidRPr="005A0A46">
        <w:rPr>
          <w:rFonts w:hint="cs"/>
          <w:rtl/>
        </w:rPr>
        <w:t>. ללא הנגשה של מסמך לאנשים עם מוגבלויות שונות, הם לא יוכלו לקבל את</w:t>
      </w:r>
      <w:r w:rsidRPr="005A0A46">
        <w:rPr>
          <w:rFonts w:hint="cs"/>
          <w:rtl/>
        </w:rPr>
        <w:t xml:space="preserve"> המידע</w:t>
      </w:r>
      <w:r>
        <w:rPr>
          <w:vertAlign w:val="superscript"/>
          <w:rtl/>
        </w:rPr>
        <w:footnoteReference w:id="69"/>
      </w:r>
      <w:r w:rsidRPr="005A0A46">
        <w:rPr>
          <w:rFonts w:hint="cs"/>
          <w:rtl/>
        </w:rPr>
        <w:t>. כך למשל, ללא הנגשת המסמך לתוכנת קורא מסך הוא לא יהיה נגיש לאנשים עיוורים וכבדי ראייה.</w:t>
      </w:r>
    </w:p>
    <w:p w:rsidR="00BF1E3B" w:rsidRPr="005A0A46" w:rsidRDefault="00DF6A0A">
      <w:pPr>
        <w:pStyle w:val="711"/>
        <w:numPr>
          <w:ilvl w:val="0"/>
          <w:numId w:val="14"/>
        </w:numPr>
        <w:ind w:left="623" w:hanging="396"/>
      </w:pPr>
      <w:r w:rsidRPr="005A0A46">
        <w:rPr>
          <w:rFonts w:hint="cs"/>
          <w:rtl/>
        </w:rPr>
        <w:t>בשבעה מתוך 15 אתרי מרשתת שנבדקו (47%),</w:t>
      </w:r>
      <w:r w:rsidRPr="005A0A46">
        <w:rPr>
          <w:rtl/>
        </w:rPr>
        <w:t xml:space="preserve"> </w:t>
      </w:r>
      <w:r w:rsidRPr="005A0A46">
        <w:rPr>
          <w:rFonts w:hint="cs"/>
          <w:rtl/>
        </w:rPr>
        <w:t>נמצאו פריטים ב</w:t>
      </w:r>
      <w:r w:rsidRPr="005A0A46">
        <w:rPr>
          <w:rtl/>
        </w:rPr>
        <w:t xml:space="preserve">רמה לא מספקת של ניגודיות בצבעים של מלל או מספרים ביחס לצבעי הרקע </w:t>
      </w:r>
      <w:r w:rsidRPr="005A0A46">
        <w:rPr>
          <w:rFonts w:hint="cs"/>
          <w:rtl/>
        </w:rPr>
        <w:t>שעלי</w:t>
      </w:r>
      <w:r w:rsidR="00FE5D2A">
        <w:rPr>
          <w:rFonts w:hint="cs"/>
          <w:rtl/>
        </w:rPr>
        <w:t>ו</w:t>
      </w:r>
      <w:r w:rsidRPr="005A0A46">
        <w:rPr>
          <w:rtl/>
        </w:rPr>
        <w:t xml:space="preserve"> הוצגו</w:t>
      </w:r>
      <w:r w:rsidRPr="005A0A46">
        <w:rPr>
          <w:rFonts w:hint="cs"/>
          <w:rtl/>
        </w:rPr>
        <w:t>, והדבר מקשה על אנשים עם מוגבלות</w:t>
      </w:r>
      <w:r w:rsidRPr="005A0A46">
        <w:rPr>
          <w:rFonts w:hint="cs"/>
          <w:rtl/>
        </w:rPr>
        <w:t xml:space="preserve"> בראייה; בשיעור זהה של אתרי מרשתת נמצאו אזורים במסכים בהם </w:t>
      </w:r>
      <w:r w:rsidRPr="005A0A46">
        <w:rPr>
          <w:rtl/>
        </w:rPr>
        <w:t>לא ניתנה אפשרות לבצע את כל הפעולות באמצעות מקלדת בלבד - הנגשה חיונית עבור משתמשים עם מוגבלות בידיים</w:t>
      </w:r>
      <w:r w:rsidRPr="005A0A46">
        <w:rPr>
          <w:rFonts w:hint="cs"/>
          <w:rtl/>
        </w:rPr>
        <w:t xml:space="preserve">. </w:t>
      </w:r>
    </w:p>
    <w:p w:rsidR="00BF1E3B" w:rsidRPr="005A0A46" w:rsidRDefault="00DF6A0A">
      <w:pPr>
        <w:pStyle w:val="711"/>
        <w:numPr>
          <w:ilvl w:val="0"/>
          <w:numId w:val="14"/>
        </w:numPr>
        <w:ind w:left="623" w:hanging="396"/>
      </w:pPr>
      <w:r w:rsidRPr="005A0A46">
        <w:rPr>
          <w:rFonts w:hint="cs"/>
          <w:rtl/>
        </w:rPr>
        <w:t>בתשעה אתרים, כ-60% מן האתרים שנבדקו, נמצאו ליקויי נגישות בטופס המקוון שנדגם ונבדק.</w:t>
      </w:r>
    </w:p>
    <w:p w:rsidR="00BF1E3B" w:rsidRPr="005A0A46" w:rsidRDefault="00DF6A0A">
      <w:pPr>
        <w:pStyle w:val="711"/>
        <w:numPr>
          <w:ilvl w:val="0"/>
          <w:numId w:val="14"/>
        </w:numPr>
        <w:ind w:left="623" w:hanging="396"/>
      </w:pPr>
      <w:r w:rsidRPr="005A0A46">
        <w:rPr>
          <w:rFonts w:hint="cs"/>
          <w:rtl/>
        </w:rPr>
        <w:t>בשמונה אתרים,</w:t>
      </w:r>
      <w:r w:rsidRPr="005A0A46">
        <w:rPr>
          <w:rFonts w:hint="cs"/>
          <w:rtl/>
        </w:rPr>
        <w:t xml:space="preserve"> כמחצית מן האתרים שנבדקו נמצאו אלמנטים ויזואליי</w:t>
      </w:r>
      <w:r w:rsidRPr="005A0A46">
        <w:rPr>
          <w:rFonts w:hint="eastAsia"/>
          <w:rtl/>
        </w:rPr>
        <w:t>ם</w:t>
      </w:r>
      <w:r w:rsidRPr="005A0A46">
        <w:rPr>
          <w:rFonts w:hint="cs"/>
          <w:rtl/>
        </w:rPr>
        <w:t xml:space="preserve"> שלא ניתן להם תיאור במלל ועל כן לא היו נגישים לאנשים עם מוגבלות ראייה. </w:t>
      </w:r>
    </w:p>
    <w:p w:rsidR="00BF1E3B" w:rsidRPr="005A0A46" w:rsidRDefault="00DF6A0A" w:rsidP="005A0A46">
      <w:pPr>
        <w:pStyle w:val="735"/>
        <w:rPr>
          <w:rtl/>
        </w:rPr>
      </w:pPr>
      <w:r w:rsidRPr="005A0A46">
        <w:rPr>
          <w:rFonts w:hint="eastAsia"/>
          <w:rtl/>
        </w:rPr>
        <w:t>כמו</w:t>
      </w:r>
      <w:r w:rsidRPr="005A0A46">
        <w:rPr>
          <w:rtl/>
        </w:rPr>
        <w:t xml:space="preserve"> כן</w:t>
      </w:r>
      <w:r w:rsidRPr="005A0A46">
        <w:rPr>
          <w:rFonts w:hint="cs"/>
          <w:rtl/>
        </w:rPr>
        <w:t>,</w:t>
      </w:r>
      <w:r w:rsidRPr="005A0A46">
        <w:rPr>
          <w:rtl/>
        </w:rPr>
        <w:t xml:space="preserve"> </w:t>
      </w:r>
      <w:r w:rsidRPr="005A0A46">
        <w:rPr>
          <w:rFonts w:hint="eastAsia"/>
          <w:rtl/>
        </w:rPr>
        <w:t>נמצאו</w:t>
      </w:r>
      <w:r w:rsidRPr="005A0A46">
        <w:rPr>
          <w:rtl/>
        </w:rPr>
        <w:t xml:space="preserve"> ליקויים הנוגעים להצהרת הנגישות ברוב אתרי </w:t>
      </w:r>
      <w:r w:rsidRPr="005A0A46">
        <w:rPr>
          <w:rFonts w:hint="eastAsia"/>
          <w:rtl/>
        </w:rPr>
        <w:t>המרשתת</w:t>
      </w:r>
      <w:r w:rsidRPr="005A0A46">
        <w:rPr>
          <w:rtl/>
        </w:rPr>
        <w:t xml:space="preserve"> שנבדקו</w:t>
      </w:r>
      <w:r w:rsidRPr="005A0A46">
        <w:rPr>
          <w:rFonts w:hint="cs"/>
          <w:rtl/>
        </w:rPr>
        <w:t>.</w:t>
      </w:r>
      <w:r w:rsidRPr="005A0A46">
        <w:rPr>
          <w:rtl/>
        </w:rPr>
        <w:t xml:space="preserve"> להלן </w:t>
      </w:r>
      <w:r w:rsidRPr="005A0A46">
        <w:rPr>
          <w:rFonts w:hint="cs"/>
          <w:rtl/>
        </w:rPr>
        <w:t>ה</w:t>
      </w:r>
      <w:r w:rsidRPr="005A0A46">
        <w:rPr>
          <w:rtl/>
        </w:rPr>
        <w:t>פירוט:</w:t>
      </w:r>
      <w:r w:rsidRPr="005A0A46">
        <w:rPr>
          <w:rFonts w:hint="cs"/>
          <w:rtl/>
        </w:rPr>
        <w:t xml:space="preserve"> </w:t>
      </w:r>
    </w:p>
    <w:p w:rsidR="00BF1E3B" w:rsidRPr="005A0A46" w:rsidRDefault="00DF6A0A">
      <w:pPr>
        <w:pStyle w:val="711"/>
        <w:numPr>
          <w:ilvl w:val="0"/>
          <w:numId w:val="15"/>
        </w:numPr>
        <w:ind w:left="623" w:hanging="396"/>
        <w:rPr>
          <w:rtl/>
        </w:rPr>
      </w:pPr>
      <w:r>
        <w:rPr>
          <w:rFonts w:hint="cs"/>
          <w:rtl/>
        </w:rPr>
        <w:t>ב</w:t>
      </w:r>
      <w:r w:rsidRPr="005A0A46">
        <w:rPr>
          <w:rFonts w:hint="cs"/>
          <w:rtl/>
        </w:rPr>
        <w:t>שלושה מבין 15 אתרי המרשתת שנבדקו (20%)</w:t>
      </w:r>
      <w:r>
        <w:rPr>
          <w:vertAlign w:val="superscript"/>
          <w:rtl/>
        </w:rPr>
        <w:footnoteReference w:id="70"/>
      </w:r>
      <w:r w:rsidRPr="005A0A46">
        <w:rPr>
          <w:rFonts w:hint="cs"/>
          <w:vertAlign w:val="superscript"/>
          <w:rtl/>
        </w:rPr>
        <w:t xml:space="preserve"> </w:t>
      </w:r>
      <w:r w:rsidRPr="005A0A46">
        <w:rPr>
          <w:rFonts w:hint="cs"/>
          <w:rtl/>
        </w:rPr>
        <w:t>לא נמצאו מי</w:t>
      </w:r>
      <w:r w:rsidRPr="005A0A46">
        <w:rPr>
          <w:rFonts w:hint="cs"/>
          <w:rtl/>
        </w:rPr>
        <w:t>דע על הנגישות בהם או קישורים למידע בנושא. באתרי מרשתת של ארבעה גופים נוספים</w:t>
      </w:r>
      <w:r>
        <w:rPr>
          <w:vertAlign w:val="superscript"/>
          <w:rtl/>
        </w:rPr>
        <w:footnoteReference w:id="71"/>
      </w:r>
      <w:r w:rsidRPr="005A0A46">
        <w:rPr>
          <w:rFonts w:hint="cs"/>
          <w:rtl/>
        </w:rPr>
        <w:t xml:space="preserve">, שמפעילים </w:t>
      </w:r>
      <w:r w:rsidRPr="005A0A46">
        <w:rPr>
          <w:rFonts w:hint="cs"/>
          <w:rtl/>
        </w:rPr>
        <w:lastRenderedPageBreak/>
        <w:t>את אתרי המרשתת שלהם על תשתית האתר הממשלתי האחוד</w:t>
      </w:r>
      <w:r>
        <w:rPr>
          <w:vertAlign w:val="superscript"/>
          <w:rtl/>
        </w:rPr>
        <w:footnoteReference w:id="72"/>
      </w:r>
      <w:r w:rsidRPr="005A0A46">
        <w:rPr>
          <w:rFonts w:hint="cs"/>
          <w:rtl/>
        </w:rPr>
        <w:t>, לא פרסמו הגופים מידע בנושא נגישות האתרים בכל הנוגע לרכיבי ההנגשה שאינם מסופקים על ידי התשתית האחודה ובמסכים של האתרים ה</w:t>
      </w:r>
      <w:r w:rsidRPr="005A0A46">
        <w:rPr>
          <w:rFonts w:hint="cs"/>
          <w:rtl/>
        </w:rPr>
        <w:t>יה רק קישור להצהרת הנגישות שמפרסם מערך הדיגיטל הלאומי, שנוגעת לנגישות התשתית של האתר האחוד</w:t>
      </w:r>
      <w:r>
        <w:rPr>
          <w:vertAlign w:val="superscript"/>
          <w:rtl/>
        </w:rPr>
        <w:footnoteReference w:id="73"/>
      </w:r>
      <w:r w:rsidRPr="005A0A46">
        <w:rPr>
          <w:rFonts w:hint="cs"/>
          <w:rtl/>
        </w:rPr>
        <w:t xml:space="preserve">. </w:t>
      </w:r>
    </w:p>
    <w:p w:rsidR="00BF1E3B" w:rsidRPr="005A0A46" w:rsidRDefault="00DF6A0A">
      <w:pPr>
        <w:pStyle w:val="711"/>
        <w:numPr>
          <w:ilvl w:val="0"/>
          <w:numId w:val="15"/>
        </w:numPr>
        <w:ind w:left="623" w:hanging="396"/>
      </w:pPr>
      <w:r w:rsidRPr="005A0A46">
        <w:rPr>
          <w:rFonts w:hint="cs"/>
          <w:rtl/>
        </w:rPr>
        <w:t xml:space="preserve">באתרי המרשתת של 60% מן הגופים (9 מבין 15) לא נמצאה הצהרת הנגישות במקום גלוי לעין. </w:t>
      </w:r>
    </w:p>
    <w:p w:rsidR="00BF1E3B" w:rsidRPr="005A0A46" w:rsidRDefault="00DF6A0A">
      <w:pPr>
        <w:pStyle w:val="711"/>
        <w:numPr>
          <w:ilvl w:val="0"/>
          <w:numId w:val="15"/>
        </w:numPr>
        <w:ind w:left="623" w:hanging="396"/>
      </w:pPr>
      <w:r w:rsidRPr="005A0A46">
        <w:rPr>
          <w:rFonts w:hint="cs"/>
          <w:rtl/>
        </w:rPr>
        <w:t>באתרי המרשתת של 67% מן הגופים (10 מבין 15) לא פרסם הגוף באתר המרשתת שלו את כל פ</w:t>
      </w:r>
      <w:r w:rsidRPr="005A0A46">
        <w:rPr>
          <w:rFonts w:hint="cs"/>
          <w:rtl/>
        </w:rPr>
        <w:t>רטי המידע הנדרשים על פי התקנות, כגון</w:t>
      </w:r>
      <w:r w:rsidRPr="005A0A46">
        <w:rPr>
          <w:rtl/>
        </w:rPr>
        <w:t xml:space="preserve"> </w:t>
      </w:r>
      <w:r w:rsidRPr="005A0A46">
        <w:rPr>
          <w:rFonts w:hint="cs"/>
          <w:rtl/>
        </w:rPr>
        <w:t xml:space="preserve">התאמות הנגישות שבוצעו על ידי הגוף המפעיל את אתר המרשתת. </w:t>
      </w:r>
    </w:p>
    <w:p w:rsidR="00BF1E3B" w:rsidRDefault="00DF6A0A" w:rsidP="00C619CC">
      <w:pPr>
        <w:pStyle w:val="7392"/>
        <w:rPr>
          <w:rtl/>
        </w:rPr>
      </w:pPr>
      <w:r w:rsidRPr="003A45E5">
        <w:rPr>
          <w:rFonts w:hint="cs"/>
          <w:rtl/>
        </w:rPr>
        <w:t>להלן בתרשים</w:t>
      </w:r>
      <w:r>
        <w:rPr>
          <w:rFonts w:hint="cs"/>
          <w:rtl/>
        </w:rPr>
        <w:t xml:space="preserve"> </w:t>
      </w:r>
      <w:r w:rsidRPr="003A45E5">
        <w:rPr>
          <w:rFonts w:hint="cs"/>
          <w:rtl/>
        </w:rPr>
        <w:t xml:space="preserve">שיעור הרכיבים </w:t>
      </w:r>
      <w:r>
        <w:rPr>
          <w:rFonts w:hint="cs"/>
          <w:rtl/>
        </w:rPr>
        <w:t>ה</w:t>
      </w:r>
      <w:r w:rsidRPr="003A45E5">
        <w:rPr>
          <w:rFonts w:hint="cs"/>
          <w:rtl/>
        </w:rPr>
        <w:t xml:space="preserve">תקינים </w:t>
      </w:r>
      <w:r>
        <w:rPr>
          <w:rFonts w:hint="cs"/>
          <w:rtl/>
        </w:rPr>
        <w:t>וה</w:t>
      </w:r>
      <w:r w:rsidRPr="003A45E5">
        <w:rPr>
          <w:rFonts w:hint="cs"/>
          <w:rtl/>
        </w:rPr>
        <w:t>לקויים</w:t>
      </w:r>
      <w:r>
        <w:rPr>
          <w:rFonts w:hint="cs"/>
          <w:rtl/>
        </w:rPr>
        <w:t xml:space="preserve"> מבחינת נגישות</w:t>
      </w:r>
      <w:r w:rsidRPr="003A45E5">
        <w:rPr>
          <w:rFonts w:hint="cs"/>
          <w:rtl/>
        </w:rPr>
        <w:t xml:space="preserve"> ב</w:t>
      </w:r>
      <w:r>
        <w:rPr>
          <w:rFonts w:hint="cs"/>
          <w:rtl/>
        </w:rPr>
        <w:t>כל אחד מ-15 אתרי המרשתת שבהם בוצעה הבדיקה, לפי גופי ממשל.</w:t>
      </w:r>
    </w:p>
    <w:p w:rsidR="00BF1E3B" w:rsidRPr="005A0A46" w:rsidRDefault="00DF6A0A" w:rsidP="005A0A46">
      <w:pPr>
        <w:pStyle w:val="738"/>
        <w:rPr>
          <w:rtl/>
        </w:rPr>
      </w:pPr>
      <w:r w:rsidRPr="005A0A46">
        <w:rPr>
          <w:rFonts w:hint="eastAsia"/>
          <w:b w:val="0"/>
          <w:bCs w:val="0"/>
          <w:rtl/>
        </w:rPr>
        <w:lastRenderedPageBreak/>
        <w:t>תרשים</w:t>
      </w:r>
      <w:r w:rsidRPr="005A0A46">
        <w:rPr>
          <w:rFonts w:hint="cs"/>
          <w:b w:val="0"/>
          <w:bCs w:val="0"/>
          <w:rtl/>
        </w:rPr>
        <w:t xml:space="preserve"> 10:</w:t>
      </w:r>
      <w:r w:rsidRPr="005A0A46">
        <w:rPr>
          <w:rtl/>
        </w:rPr>
        <w:t xml:space="preserve"> </w:t>
      </w:r>
      <w:r w:rsidRPr="005A0A46">
        <w:rPr>
          <w:rFonts w:hint="eastAsia"/>
          <w:rtl/>
        </w:rPr>
        <w:t>שיעור</w:t>
      </w:r>
      <w:r w:rsidRPr="005A0A46">
        <w:rPr>
          <w:rtl/>
        </w:rPr>
        <w:t xml:space="preserve"> </w:t>
      </w:r>
      <w:r w:rsidRPr="005A0A46">
        <w:rPr>
          <w:rFonts w:hint="cs"/>
          <w:rtl/>
        </w:rPr>
        <w:t>ה</w:t>
      </w:r>
      <w:r w:rsidRPr="005A0A46">
        <w:rPr>
          <w:rFonts w:hint="eastAsia"/>
          <w:rtl/>
        </w:rPr>
        <w:t>רכיבים</w:t>
      </w:r>
      <w:r w:rsidRPr="005A0A46">
        <w:rPr>
          <w:rtl/>
        </w:rPr>
        <w:t xml:space="preserve"> </w:t>
      </w:r>
      <w:r w:rsidRPr="005A0A46">
        <w:rPr>
          <w:rFonts w:hint="cs"/>
          <w:rtl/>
        </w:rPr>
        <w:t>ה</w:t>
      </w:r>
      <w:r w:rsidRPr="005A0A46">
        <w:rPr>
          <w:rFonts w:hint="eastAsia"/>
          <w:rtl/>
        </w:rPr>
        <w:t>תקינים</w:t>
      </w:r>
      <w:r w:rsidRPr="005A0A46">
        <w:rPr>
          <w:rtl/>
        </w:rPr>
        <w:t xml:space="preserve"> </w:t>
      </w:r>
      <w:r w:rsidRPr="005A0A46">
        <w:rPr>
          <w:rFonts w:hint="eastAsia"/>
          <w:rtl/>
        </w:rPr>
        <w:t>ו</w:t>
      </w:r>
      <w:r w:rsidRPr="005A0A46">
        <w:rPr>
          <w:rFonts w:hint="cs"/>
          <w:rtl/>
        </w:rPr>
        <w:t>ה</w:t>
      </w:r>
      <w:r w:rsidRPr="005A0A46">
        <w:rPr>
          <w:rFonts w:hint="eastAsia"/>
          <w:rtl/>
        </w:rPr>
        <w:t>לקויים</w:t>
      </w:r>
      <w:r w:rsidRPr="005A0A46">
        <w:rPr>
          <w:rtl/>
        </w:rPr>
        <w:t xml:space="preserve"> </w:t>
      </w:r>
      <w:r w:rsidRPr="005A0A46">
        <w:rPr>
          <w:rFonts w:hint="eastAsia"/>
          <w:rtl/>
        </w:rPr>
        <w:t>בהנגש</w:t>
      </w:r>
      <w:r w:rsidRPr="005A0A46">
        <w:rPr>
          <w:rFonts w:hint="cs"/>
          <w:rtl/>
        </w:rPr>
        <w:t xml:space="preserve">ה </w:t>
      </w:r>
      <w:r w:rsidRPr="005A0A46">
        <w:rPr>
          <w:rFonts w:hint="eastAsia"/>
          <w:rtl/>
        </w:rPr>
        <w:t>בכל</w:t>
      </w:r>
      <w:r w:rsidRPr="005A0A46">
        <w:rPr>
          <w:rtl/>
        </w:rPr>
        <w:t xml:space="preserve"> אחד מה-15 </w:t>
      </w:r>
      <w:r w:rsidRPr="005A0A46">
        <w:rPr>
          <w:rFonts w:hint="cs"/>
          <w:rtl/>
        </w:rPr>
        <w:t>אתרי המרשתת</w:t>
      </w:r>
      <w:r w:rsidRPr="005A0A46">
        <w:rPr>
          <w:rtl/>
        </w:rPr>
        <w:t xml:space="preserve"> </w:t>
      </w:r>
    </w:p>
    <w:p w:rsidR="00BF1E3B" w:rsidRDefault="00DF6A0A" w:rsidP="00BF1E3B">
      <w:pPr>
        <w:rPr>
          <w:sz w:val="16"/>
          <w:szCs w:val="20"/>
          <w:rtl/>
        </w:rPr>
      </w:pPr>
      <w:r w:rsidRPr="00A75C4A">
        <w:rPr>
          <w:noProof/>
        </w:rPr>
        <w:drawing>
          <wp:inline distT="0" distB="0" distL="0" distR="0">
            <wp:extent cx="4562622" cy="5303187"/>
            <wp:effectExtent l="0" t="0" r="0" b="0"/>
            <wp:docPr id="2052770955" name="תמונה 2052770955" descr="שיעור הפריטים שנמצאו לא נגישים בכל אתר מרשתת, מקרב הפריטים שנדגמו ונבדקו: באתר של המשרד לשירותי דת -73% מהפריטים שנדגמו ונבדקו נמצאו לא מונגשים; באתר של רשות האכיפה והגבייה - 18%, באתר של משרד הביטחון אגף שיקום נכים - 55%, באתר של משטרת ישראל - 45%,  באתר של שירות התעסוקה - 36%, באתר של ועדת הבחירות המרכזית - 27%, באתר נט המשפט - 55%, באתר בית המשפט העליון - 73%, באתר הביטוח הלאומי - 36%, באתר יחידת מיטב (השייך לצה&quot;ל) - 64%, באתר כל הבריאות (השייך למשרד הבריאות) - 64%, באתר כנסת ישראל - 27%, באתר משרד הפנים - 27%, באתר רשות הטבע והגנים - 45%, באתר רשות האוכלוסין וההגירה -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5" name="תמונה 2052770955"/>
                    <pic:cNvPicPr/>
                  </pic:nvPicPr>
                  <pic:blipFill>
                    <a:blip r:embed="rId28">
                      <a:extLst>
                        <a:ext uri="{28A0092B-C50C-407E-A947-70E740481C1C}">
                          <a14:useLocalDpi xmlns:a14="http://schemas.microsoft.com/office/drawing/2010/main" val="0"/>
                        </a:ext>
                      </a:extLst>
                    </a:blip>
                    <a:srcRect l="5803" t="10545" r="7347" b="18121"/>
                    <a:stretch>
                      <a:fillRect/>
                    </a:stretch>
                  </pic:blipFill>
                  <pic:spPr bwMode="auto">
                    <a:xfrm>
                      <a:off x="0" y="0"/>
                      <a:ext cx="4576399" cy="5319200"/>
                    </a:xfrm>
                    <a:prstGeom prst="rect">
                      <a:avLst/>
                    </a:prstGeom>
                    <a:ln>
                      <a:noFill/>
                    </a:ln>
                    <a:extLst>
                      <a:ext uri="{53640926-AAD7-44D8-BBD7-CCE9431645EC}">
                        <a14:shadowObscured xmlns:a14="http://schemas.microsoft.com/office/drawing/2010/main"/>
                      </a:ext>
                    </a:extLst>
                  </pic:spPr>
                </pic:pic>
              </a:graphicData>
            </a:graphic>
          </wp:inline>
        </w:drawing>
      </w:r>
    </w:p>
    <w:p w:rsidR="00BF1E3B" w:rsidRDefault="00DF6A0A" w:rsidP="00731E30">
      <w:pPr>
        <w:pStyle w:val="73e"/>
        <w:spacing w:after="0"/>
        <w:rPr>
          <w:rtl/>
        </w:rPr>
      </w:pPr>
      <w:r>
        <w:rPr>
          <w:rFonts w:hint="cs"/>
          <w:rtl/>
        </w:rPr>
        <w:t>על פי</w:t>
      </w:r>
      <w:r w:rsidRPr="00FF68D3">
        <w:rPr>
          <w:rFonts w:hint="cs"/>
          <w:rtl/>
        </w:rPr>
        <w:t xml:space="preserve"> ממצאי בדיקות משרד מבקר המדינה.</w:t>
      </w:r>
    </w:p>
    <w:p w:rsidR="00BF1E3B" w:rsidRPr="00417392" w:rsidRDefault="00DF6A0A" w:rsidP="00731E30">
      <w:pPr>
        <w:pStyle w:val="73e"/>
        <w:spacing w:before="0"/>
        <w:rPr>
          <w:rtl/>
        </w:rPr>
      </w:pPr>
      <w:r>
        <w:rPr>
          <w:rFonts w:hint="cs"/>
          <w:rtl/>
        </w:rPr>
        <w:t xml:space="preserve">סכומי השיעורים המוצגים בתרשימים לא תמיד מסתכמים בדיוק ב-100% משום שהשיעורים עוגלו. </w:t>
      </w:r>
    </w:p>
    <w:p w:rsidR="00BF1E3B" w:rsidRDefault="00DF6A0A" w:rsidP="00731E30">
      <w:pPr>
        <w:pStyle w:val="735"/>
        <w:rPr>
          <w:rtl/>
        </w:rPr>
      </w:pPr>
      <w:r w:rsidRPr="00BD2606">
        <w:rPr>
          <w:rFonts w:hint="eastAsia"/>
          <w:rtl/>
        </w:rPr>
        <w:lastRenderedPageBreak/>
        <w:t>מהתרשים</w:t>
      </w:r>
      <w:r w:rsidRPr="00BD2606">
        <w:rPr>
          <w:rtl/>
        </w:rPr>
        <w:t xml:space="preserve"> </w:t>
      </w:r>
      <w:r w:rsidRPr="00BD2606">
        <w:rPr>
          <w:rFonts w:hint="eastAsia"/>
          <w:rtl/>
        </w:rPr>
        <w:t>עולה</w:t>
      </w:r>
      <w:r w:rsidRPr="00BD2606">
        <w:rPr>
          <w:rtl/>
        </w:rPr>
        <w:t xml:space="preserve"> </w:t>
      </w:r>
      <w:r w:rsidRPr="00BD2606">
        <w:rPr>
          <w:rFonts w:hint="eastAsia"/>
          <w:rtl/>
        </w:rPr>
        <w:t>כי</w:t>
      </w:r>
      <w:r w:rsidRPr="00BD2606">
        <w:rPr>
          <w:rtl/>
        </w:rPr>
        <w:t xml:space="preserve"> </w:t>
      </w:r>
      <w:r w:rsidRPr="00BD2606">
        <w:rPr>
          <w:rFonts w:hint="eastAsia"/>
          <w:rtl/>
        </w:rPr>
        <w:t>ב</w:t>
      </w:r>
      <w:r>
        <w:rPr>
          <w:rFonts w:hint="cs"/>
          <w:rtl/>
        </w:rPr>
        <w:t>למעלה ממחצית האתרים,</w:t>
      </w:r>
      <w:r w:rsidRPr="00BD2606">
        <w:rPr>
          <w:rFonts w:hint="cs"/>
          <w:rtl/>
        </w:rPr>
        <w:t xml:space="preserve"> 8</w:t>
      </w:r>
      <w:r w:rsidRPr="00BD2606">
        <w:rPr>
          <w:rtl/>
        </w:rPr>
        <w:t xml:space="preserve"> </w:t>
      </w:r>
      <w:r w:rsidRPr="00BD2606">
        <w:rPr>
          <w:rFonts w:hint="eastAsia"/>
          <w:rtl/>
        </w:rPr>
        <w:t>מתוך</w:t>
      </w:r>
      <w:r w:rsidRPr="00BD2606">
        <w:rPr>
          <w:rtl/>
        </w:rPr>
        <w:t xml:space="preserve"> 15 (</w:t>
      </w:r>
      <w:r w:rsidRPr="00BD2606">
        <w:rPr>
          <w:rFonts w:hint="cs"/>
          <w:rtl/>
        </w:rPr>
        <w:t>5</w:t>
      </w:r>
      <w:r w:rsidRPr="00BD2606">
        <w:rPr>
          <w:rtl/>
        </w:rPr>
        <w:t xml:space="preserve">3%) </w:t>
      </w:r>
      <w:r w:rsidRPr="00BD2606">
        <w:rPr>
          <w:rFonts w:hint="eastAsia"/>
          <w:rtl/>
        </w:rPr>
        <w:t>אתרי</w:t>
      </w:r>
      <w:r w:rsidRPr="00BD2606">
        <w:rPr>
          <w:rtl/>
        </w:rPr>
        <w:t xml:space="preserve"> </w:t>
      </w:r>
      <w:r w:rsidRPr="00BD2606">
        <w:rPr>
          <w:rFonts w:hint="eastAsia"/>
          <w:rtl/>
        </w:rPr>
        <w:t>המרשתת</w:t>
      </w:r>
      <w:r w:rsidRPr="00BD2606">
        <w:rPr>
          <w:rtl/>
        </w:rPr>
        <w:t xml:space="preserve"> </w:t>
      </w:r>
      <w:r w:rsidRPr="00BD2606">
        <w:rPr>
          <w:rFonts w:hint="eastAsia"/>
          <w:rtl/>
        </w:rPr>
        <w:t>שנבדקו</w:t>
      </w:r>
      <w:r w:rsidRPr="00BD2606">
        <w:rPr>
          <w:rFonts w:hint="cs"/>
          <w:rtl/>
        </w:rPr>
        <w:t>,</w:t>
      </w:r>
      <w:r w:rsidRPr="00BD2606">
        <w:rPr>
          <w:rtl/>
        </w:rPr>
        <w:t xml:space="preserve"> </w:t>
      </w:r>
      <w:r w:rsidRPr="00BD2606">
        <w:rPr>
          <w:rFonts w:hint="eastAsia"/>
          <w:rtl/>
        </w:rPr>
        <w:t>נמצאו</w:t>
      </w:r>
      <w:r w:rsidRPr="00BD2606">
        <w:rPr>
          <w:rFonts w:hint="cs"/>
          <w:rtl/>
        </w:rPr>
        <w:t xml:space="preserve"> ליקויי נגישות</w:t>
      </w:r>
      <w:r w:rsidRPr="00BD2606">
        <w:rPr>
          <w:rtl/>
        </w:rPr>
        <w:t xml:space="preserve"> </w:t>
      </w:r>
      <w:r w:rsidRPr="00BD2606">
        <w:rPr>
          <w:rFonts w:hint="eastAsia"/>
          <w:rtl/>
        </w:rPr>
        <w:t>בפריטים</w:t>
      </w:r>
      <w:r>
        <w:rPr>
          <w:rStyle w:val="a8"/>
          <w:rtl/>
        </w:rPr>
        <w:footnoteReference w:id="74"/>
      </w:r>
      <w:r w:rsidRPr="00BD2606">
        <w:rPr>
          <w:rtl/>
        </w:rPr>
        <w:t xml:space="preserve"> ש</w:t>
      </w:r>
      <w:r w:rsidRPr="00BD2606">
        <w:rPr>
          <w:rFonts w:hint="cs"/>
          <w:rtl/>
        </w:rPr>
        <w:t>נבדקו וזאת ב</w:t>
      </w:r>
      <w:r w:rsidRPr="00BD2606">
        <w:rPr>
          <w:rtl/>
        </w:rPr>
        <w:t xml:space="preserve">מעל </w:t>
      </w:r>
      <w:r w:rsidRPr="00BD2606">
        <w:rPr>
          <w:rFonts w:hint="cs"/>
          <w:rtl/>
        </w:rPr>
        <w:t>4</w:t>
      </w:r>
      <w:r w:rsidRPr="00BD2606">
        <w:rPr>
          <w:rtl/>
        </w:rPr>
        <w:t xml:space="preserve">0% </w:t>
      </w:r>
      <w:r w:rsidRPr="00BD2606">
        <w:rPr>
          <w:rFonts w:hint="cs"/>
          <w:rtl/>
        </w:rPr>
        <w:t>מ</w:t>
      </w:r>
      <w:r w:rsidRPr="00BD2606">
        <w:rPr>
          <w:rtl/>
        </w:rPr>
        <w:t xml:space="preserve">הרכיבים שנכללו בבדיקה. המשרד לשירותי דת, </w:t>
      </w:r>
      <w:r w:rsidRPr="00BD2606">
        <w:rPr>
          <w:rFonts w:hint="cs"/>
          <w:rtl/>
        </w:rPr>
        <w:t xml:space="preserve">משרד הביטחון אגף שיקום נכים, משטרת ישראל, הנהלת בתי המשפט אתר נט המשפט ואתר בית המשפט העליון, </w:t>
      </w:r>
      <w:r w:rsidRPr="00BD2606">
        <w:rPr>
          <w:rtl/>
        </w:rPr>
        <w:t>רשות</w:t>
      </w:r>
      <w:r w:rsidRPr="00BD2606">
        <w:rPr>
          <w:rFonts w:hint="cs"/>
          <w:rtl/>
        </w:rPr>
        <w:t xml:space="preserve"> הטבע</w:t>
      </w:r>
      <w:r>
        <w:rPr>
          <w:rFonts w:hint="cs"/>
          <w:rtl/>
        </w:rPr>
        <w:t xml:space="preserve"> והגנים, צה"ל אתר יחידת מיטב, משרד הבריאות אתר כל הבריאות. בנסיבות שבהן יש פריטים שאינם נגי</w:t>
      </w:r>
      <w:r>
        <w:rPr>
          <w:rFonts w:hint="cs"/>
          <w:rtl/>
        </w:rPr>
        <w:t xml:space="preserve">שים באתר מרשתת של גוף ממשל נפגעת היכולת של אנשים עם מוגבלות לקבל שירות ומידע במרחב הדיגיטלי באופן עצמאי וכשאר הציבור. </w:t>
      </w:r>
    </w:p>
    <w:p w:rsidR="00BF1E3B" w:rsidRPr="00731E30" w:rsidRDefault="00DF6A0A" w:rsidP="00731E30">
      <w:pPr>
        <w:pStyle w:val="735"/>
        <w:rPr>
          <w:rtl/>
        </w:rPr>
      </w:pPr>
      <w:r w:rsidRPr="00731E30">
        <w:rPr>
          <w:rFonts w:hint="eastAsia"/>
          <w:rtl/>
        </w:rPr>
        <w:t>על</w:t>
      </w:r>
      <w:r w:rsidRPr="00731E30">
        <w:rPr>
          <w:rtl/>
        </w:rPr>
        <w:t xml:space="preserve"> כל אחד מ</w:t>
      </w:r>
      <w:r w:rsidRPr="00731E30">
        <w:rPr>
          <w:rFonts w:hint="cs"/>
          <w:rtl/>
        </w:rPr>
        <w:t>הגופים</w:t>
      </w:r>
      <w:r w:rsidRPr="00731E30">
        <w:rPr>
          <w:rtl/>
        </w:rPr>
        <w:t xml:space="preserve"> שאתרי </w:t>
      </w:r>
      <w:r w:rsidRPr="00731E30">
        <w:rPr>
          <w:rFonts w:hint="eastAsia"/>
          <w:rtl/>
        </w:rPr>
        <w:t>המרשתת</w:t>
      </w:r>
      <w:r w:rsidRPr="00731E30">
        <w:rPr>
          <w:rtl/>
        </w:rPr>
        <w:t xml:space="preserve"> </w:t>
      </w:r>
      <w:r w:rsidRPr="00731E30">
        <w:rPr>
          <w:rFonts w:hint="eastAsia"/>
          <w:rtl/>
        </w:rPr>
        <w:t>ש</w:t>
      </w:r>
      <w:r w:rsidRPr="00731E30">
        <w:rPr>
          <w:rFonts w:hint="cs"/>
          <w:rtl/>
        </w:rPr>
        <w:t xml:space="preserve">להם </w:t>
      </w:r>
      <w:r w:rsidRPr="00731E30">
        <w:rPr>
          <w:rFonts w:hint="eastAsia"/>
          <w:rtl/>
        </w:rPr>
        <w:t>נבדקו</w:t>
      </w:r>
      <w:r w:rsidRPr="00731E30">
        <w:rPr>
          <w:rtl/>
        </w:rPr>
        <w:t xml:space="preserve"> </w:t>
      </w:r>
      <w:r w:rsidRPr="00731E30">
        <w:rPr>
          <w:rFonts w:hint="cs"/>
          <w:rtl/>
        </w:rPr>
        <w:t>לפעול לתיקון ליקויי הנגישות שנמצאו</w:t>
      </w:r>
      <w:r>
        <w:rPr>
          <w:rStyle w:val="a8"/>
          <w:rtl/>
        </w:rPr>
        <w:footnoteReference w:id="75"/>
      </w:r>
      <w:r w:rsidRPr="00731E30">
        <w:rPr>
          <w:rtl/>
        </w:rPr>
        <w:t xml:space="preserve">. מוצע כי </w:t>
      </w:r>
      <w:r w:rsidRPr="00731E30">
        <w:rPr>
          <w:rFonts w:hint="cs"/>
          <w:rtl/>
        </w:rPr>
        <w:t>נציבות שוויון זכויות לאנשים עם מוגבלות, כמי שאמונה</w:t>
      </w:r>
      <w:r w:rsidRPr="00731E30">
        <w:rPr>
          <w:rFonts w:hint="cs"/>
          <w:rtl/>
        </w:rPr>
        <w:t xml:space="preserve"> על קידום הנגשת מידע ושירותים לציבור, ת</w:t>
      </w:r>
      <w:r w:rsidRPr="00731E30">
        <w:rPr>
          <w:rtl/>
        </w:rPr>
        <w:t xml:space="preserve">קיים </w:t>
      </w:r>
      <w:r w:rsidRPr="00731E30">
        <w:rPr>
          <w:rFonts w:hint="cs"/>
          <w:rtl/>
        </w:rPr>
        <w:t xml:space="preserve">תוכנית מעקב </w:t>
      </w:r>
      <w:r w:rsidRPr="00731E30">
        <w:rPr>
          <w:rtl/>
        </w:rPr>
        <w:t>ע</w:t>
      </w:r>
      <w:r w:rsidRPr="00731E30">
        <w:rPr>
          <w:rFonts w:hint="cs"/>
          <w:rtl/>
        </w:rPr>
        <w:t>י</w:t>
      </w:r>
      <w:r w:rsidRPr="00731E30">
        <w:rPr>
          <w:rtl/>
        </w:rPr>
        <w:t>תית</w:t>
      </w:r>
      <w:r w:rsidRPr="00731E30">
        <w:rPr>
          <w:rFonts w:hint="cs"/>
          <w:rtl/>
        </w:rPr>
        <w:t xml:space="preserve"> כדי להבטיח קיום מלא של דרישות הדין בנוגע להנגשת אתרי מרשתת לאנשים עם מוגבלויות </w:t>
      </w:r>
      <w:r w:rsidRPr="00731E30">
        <w:rPr>
          <w:rtl/>
        </w:rPr>
        <w:t xml:space="preserve">על ידי </w:t>
      </w:r>
      <w:r w:rsidRPr="00731E30">
        <w:rPr>
          <w:rFonts w:hint="cs"/>
          <w:rtl/>
        </w:rPr>
        <w:t>גופי הממשל</w:t>
      </w:r>
      <w:r w:rsidRPr="00731E30">
        <w:rPr>
          <w:rtl/>
        </w:rPr>
        <w:t>.</w:t>
      </w:r>
      <w:r w:rsidRPr="00731E30">
        <w:rPr>
          <w:rFonts w:hint="cs"/>
          <w:rtl/>
        </w:rPr>
        <w:t xml:space="preserve"> כמו כן מוצע כי הנציבות תעביר דוחות סטטוס אחת לתקופה לכלל גופי הממשל. </w:t>
      </w:r>
    </w:p>
    <w:p w:rsidR="00BF1E3B" w:rsidRDefault="00DF6A0A" w:rsidP="00C619CC">
      <w:pPr>
        <w:pStyle w:val="7392"/>
        <w:rPr>
          <w:rtl/>
        </w:rPr>
      </w:pPr>
      <w:r>
        <w:rPr>
          <w:rFonts w:hint="cs"/>
          <w:rtl/>
        </w:rPr>
        <w:t xml:space="preserve">נציבות שיוויון זכויות לאנשים עם מוגבלות מסרה בתשובתה כי היא מבצעת מעקב ובכוונתה להמשיך לעשות כן. עוד היא כתבה כי היא "שוקלת בחיוב לייצר פורמט של דו"חות סטטוס תקופתיים אשר יועברו לגופי הממשל". </w:t>
      </w:r>
    </w:p>
    <w:p w:rsidR="00BF1E3B" w:rsidRDefault="00DF6A0A" w:rsidP="00C619CC">
      <w:pPr>
        <w:pStyle w:val="7392"/>
        <w:rPr>
          <w:rtl/>
        </w:rPr>
      </w:pPr>
      <w:r>
        <w:rPr>
          <w:rFonts w:hint="cs"/>
          <w:rtl/>
        </w:rPr>
        <w:t>בתשובותיהם למשרד מבקר המדינה מינואר ופברואר 2023 מסרו גופי הממש</w:t>
      </w:r>
      <w:r>
        <w:rPr>
          <w:rFonts w:hint="cs"/>
          <w:rtl/>
        </w:rPr>
        <w:t xml:space="preserve">ל כדלהלן: </w:t>
      </w:r>
      <w:r w:rsidRPr="00392E68">
        <w:rPr>
          <w:b/>
          <w:bCs/>
          <w:rtl/>
        </w:rPr>
        <w:t>המוסד לביטוח הלאומי</w:t>
      </w:r>
      <w:r>
        <w:rPr>
          <w:rFonts w:hint="cs"/>
          <w:b/>
          <w:bCs/>
          <w:rtl/>
        </w:rPr>
        <w:t xml:space="preserve"> </w:t>
      </w:r>
      <w:r>
        <w:rPr>
          <w:rFonts w:hint="cs"/>
          <w:rtl/>
        </w:rPr>
        <w:t>מסר</w:t>
      </w:r>
      <w:r w:rsidRPr="00392E68">
        <w:rPr>
          <w:rFonts w:hint="cs"/>
          <w:rtl/>
        </w:rPr>
        <w:t xml:space="preserve"> כי הוא </w:t>
      </w:r>
      <w:r>
        <w:rPr>
          <w:rFonts w:hint="cs"/>
          <w:rtl/>
        </w:rPr>
        <w:t>מייחד</w:t>
      </w:r>
      <w:r w:rsidRPr="00392E68">
        <w:rPr>
          <w:rFonts w:hint="cs"/>
          <w:rtl/>
        </w:rPr>
        <w:t xml:space="preserve"> </w:t>
      </w:r>
      <w:r w:rsidRPr="00392E68">
        <w:rPr>
          <w:rtl/>
        </w:rPr>
        <w:t>מאמצ</w:t>
      </w:r>
      <w:r w:rsidRPr="00392E68">
        <w:rPr>
          <w:rFonts w:hint="cs"/>
          <w:rtl/>
        </w:rPr>
        <w:t>ים</w:t>
      </w:r>
      <w:r w:rsidRPr="00392E68">
        <w:rPr>
          <w:rtl/>
        </w:rPr>
        <w:t xml:space="preserve"> רבים</w:t>
      </w:r>
      <w:r>
        <w:rPr>
          <w:rtl/>
        </w:rPr>
        <w:t xml:space="preserve"> </w:t>
      </w:r>
      <w:r w:rsidRPr="00392E68">
        <w:rPr>
          <w:rtl/>
        </w:rPr>
        <w:t>להנגשת השירותים הדיגיטליים</w:t>
      </w:r>
      <w:r w:rsidRPr="00392E68">
        <w:rPr>
          <w:rFonts w:hint="cs"/>
          <w:rtl/>
        </w:rPr>
        <w:t xml:space="preserve"> </w:t>
      </w:r>
      <w:r w:rsidRPr="00392E68">
        <w:rPr>
          <w:rtl/>
        </w:rPr>
        <w:t>והשירותים בכלל לאנשים עם מוגבלויות ולאנשים שאינם משתמשים במדיה דיגיטלית</w:t>
      </w:r>
      <w:r>
        <w:rPr>
          <w:rFonts w:hint="cs"/>
          <w:rtl/>
        </w:rPr>
        <w:t xml:space="preserve">, </w:t>
      </w:r>
      <w:r w:rsidRPr="00392E68">
        <w:rPr>
          <w:rFonts w:hint="cs"/>
          <w:rtl/>
        </w:rPr>
        <w:t>וכי מי</w:t>
      </w:r>
      <w:r>
        <w:rPr>
          <w:rFonts w:hint="cs"/>
          <w:rtl/>
        </w:rPr>
        <w:t>י</w:t>
      </w:r>
      <w:r w:rsidRPr="00392E68">
        <w:rPr>
          <w:rFonts w:hint="cs"/>
          <w:rtl/>
        </w:rPr>
        <w:t xml:space="preserve">ד עם קבלת ממצאי הבדיקה שעשה משרד מבקר המדינה </w:t>
      </w:r>
      <w:r>
        <w:rPr>
          <w:rFonts w:hint="cs"/>
          <w:rtl/>
        </w:rPr>
        <w:t xml:space="preserve">הוא </w:t>
      </w:r>
      <w:r w:rsidRPr="00392E68">
        <w:rPr>
          <w:rFonts w:hint="cs"/>
          <w:rtl/>
        </w:rPr>
        <w:t>תיקן את הליקויים שעלו בה (בתשובה פ</w:t>
      </w:r>
      <w:r>
        <w:rPr>
          <w:rFonts w:hint="cs"/>
          <w:rtl/>
        </w:rPr>
        <w:t>ו</w:t>
      </w:r>
      <w:r w:rsidRPr="00392E68">
        <w:rPr>
          <w:rFonts w:hint="cs"/>
          <w:rtl/>
        </w:rPr>
        <w:t>רט ל</w:t>
      </w:r>
      <w:r>
        <w:rPr>
          <w:rFonts w:hint="cs"/>
          <w:rtl/>
        </w:rPr>
        <w:t>גבי ה</w:t>
      </w:r>
      <w:r w:rsidRPr="00392E68">
        <w:rPr>
          <w:rFonts w:hint="cs"/>
          <w:rtl/>
        </w:rPr>
        <w:t>תיקונים שנעשו).</w:t>
      </w:r>
      <w:r>
        <w:rPr>
          <w:rFonts w:hint="cs"/>
          <w:b/>
          <w:bCs/>
          <w:rtl/>
        </w:rPr>
        <w:t xml:space="preserve"> </w:t>
      </w:r>
      <w:r w:rsidRPr="00C91C17">
        <w:rPr>
          <w:rFonts w:hint="cs"/>
          <w:b/>
          <w:bCs/>
          <w:rtl/>
        </w:rPr>
        <w:t>המשרד לשירותי דת</w:t>
      </w:r>
      <w:r>
        <w:rPr>
          <w:rFonts w:hint="cs"/>
          <w:b/>
          <w:bCs/>
          <w:rtl/>
        </w:rPr>
        <w:t xml:space="preserve"> </w:t>
      </w:r>
      <w:r>
        <w:rPr>
          <w:rFonts w:hint="cs"/>
          <w:rtl/>
        </w:rPr>
        <w:t>מסר</w:t>
      </w:r>
      <w:r w:rsidRPr="00392E68">
        <w:rPr>
          <w:rFonts w:hint="cs"/>
          <w:rtl/>
        </w:rPr>
        <w:t xml:space="preserve"> כי </w:t>
      </w:r>
      <w:r w:rsidRPr="00392E68">
        <w:rPr>
          <w:rtl/>
        </w:rPr>
        <w:t xml:space="preserve">החל בתהליך </w:t>
      </w:r>
      <w:r>
        <w:rPr>
          <w:rFonts w:hint="cs"/>
          <w:rtl/>
        </w:rPr>
        <w:t>ל</w:t>
      </w:r>
      <w:r w:rsidRPr="00392E68">
        <w:rPr>
          <w:rtl/>
        </w:rPr>
        <w:t>התאמת אתר</w:t>
      </w:r>
      <w:r w:rsidRPr="00392E68">
        <w:rPr>
          <w:rFonts w:hint="cs"/>
          <w:rtl/>
        </w:rPr>
        <w:t xml:space="preserve"> המ</w:t>
      </w:r>
      <w:r w:rsidR="00FE5D2A">
        <w:rPr>
          <w:rFonts w:hint="cs"/>
          <w:rtl/>
        </w:rPr>
        <w:t>ר</w:t>
      </w:r>
      <w:r w:rsidRPr="00392E68">
        <w:rPr>
          <w:rFonts w:hint="cs"/>
          <w:rtl/>
        </w:rPr>
        <w:t>שתת</w:t>
      </w:r>
      <w:r w:rsidRPr="00392E68">
        <w:rPr>
          <w:rtl/>
        </w:rPr>
        <w:t xml:space="preserve"> לדרישות הנגישות בהתאם להנחיית יועץ</w:t>
      </w:r>
      <w:r w:rsidRPr="00392E68">
        <w:rPr>
          <w:rFonts w:hint="cs"/>
          <w:rtl/>
        </w:rPr>
        <w:t xml:space="preserve"> </w:t>
      </w:r>
      <w:r w:rsidRPr="00392E68">
        <w:rPr>
          <w:rtl/>
        </w:rPr>
        <w:t>נגישות ולהערות הביקורת</w:t>
      </w:r>
      <w:r w:rsidRPr="00392E68">
        <w:rPr>
          <w:rFonts w:hint="cs"/>
          <w:rtl/>
        </w:rPr>
        <w:t>.</w:t>
      </w:r>
      <w:r>
        <w:rPr>
          <w:rFonts w:hint="cs"/>
          <w:rtl/>
        </w:rPr>
        <w:t xml:space="preserve"> </w:t>
      </w:r>
      <w:r w:rsidRPr="00392E68">
        <w:rPr>
          <w:b/>
          <w:bCs/>
          <w:rtl/>
        </w:rPr>
        <w:t>הנהלת בתי המשפט</w:t>
      </w:r>
      <w:r w:rsidRPr="00395511">
        <w:rPr>
          <w:rtl/>
        </w:rPr>
        <w:t xml:space="preserve"> </w:t>
      </w:r>
      <w:r>
        <w:rPr>
          <w:rFonts w:hint="cs"/>
          <w:rtl/>
        </w:rPr>
        <w:t xml:space="preserve">מסרה כי </w:t>
      </w:r>
      <w:r>
        <w:rPr>
          <w:rtl/>
        </w:rPr>
        <w:t xml:space="preserve">ממצאי דוח הביקורת יועברו </w:t>
      </w:r>
      <w:r>
        <w:rPr>
          <w:rFonts w:hint="cs"/>
          <w:rtl/>
        </w:rPr>
        <w:t xml:space="preserve">לספק חיצוני </w:t>
      </w:r>
      <w:r>
        <w:rPr>
          <w:rtl/>
        </w:rPr>
        <w:t>לביצוע בחינה</w:t>
      </w:r>
      <w:r>
        <w:rPr>
          <w:rFonts w:hint="cs"/>
          <w:rtl/>
        </w:rPr>
        <w:t>.לגבי אתר המרשתת של בית המשפט העליון מסרה הנהלת בת</w:t>
      </w:r>
      <w:r>
        <w:rPr>
          <w:rFonts w:hint="cs"/>
          <w:rtl/>
        </w:rPr>
        <w:t xml:space="preserve">י המשפט כי </w:t>
      </w:r>
      <w:r>
        <w:rPr>
          <w:rtl/>
        </w:rPr>
        <w:t xml:space="preserve">בשנת 2023 </w:t>
      </w:r>
      <w:r>
        <w:rPr>
          <w:rFonts w:hint="cs"/>
          <w:rtl/>
        </w:rPr>
        <w:t xml:space="preserve">היא </w:t>
      </w:r>
      <w:r>
        <w:rPr>
          <w:rtl/>
        </w:rPr>
        <w:t>תבצע התקשרות עם ספק חיצוני לשם ביצוע</w:t>
      </w:r>
      <w:r>
        <w:rPr>
          <w:rFonts w:hint="cs"/>
          <w:rtl/>
        </w:rPr>
        <w:t xml:space="preserve"> </w:t>
      </w:r>
      <w:r>
        <w:rPr>
          <w:rtl/>
        </w:rPr>
        <w:t>בדיקת נגישותו של אתר בית המשפט העליון ותפעל לביצוע התאמות נגישות בהתאם לממצאים</w:t>
      </w:r>
      <w:r>
        <w:rPr>
          <w:rFonts w:hint="cs"/>
          <w:rtl/>
        </w:rPr>
        <w:t xml:space="preserve"> </w:t>
      </w:r>
      <w:r>
        <w:rPr>
          <w:rtl/>
        </w:rPr>
        <w:t>שיעלו מהבדיקה ובהתאם לממצאים שהוצגו בדוח זה.</w:t>
      </w:r>
      <w:r>
        <w:rPr>
          <w:rFonts w:hint="cs"/>
          <w:rtl/>
        </w:rPr>
        <w:t xml:space="preserve"> </w:t>
      </w:r>
      <w:r w:rsidRPr="00392E68">
        <w:rPr>
          <w:b/>
          <w:bCs/>
          <w:rtl/>
        </w:rPr>
        <w:t>ועדת הבחירות המרכזית</w:t>
      </w:r>
      <w:r w:rsidRPr="00865841">
        <w:rPr>
          <w:rtl/>
        </w:rPr>
        <w:t xml:space="preserve"> </w:t>
      </w:r>
      <w:r>
        <w:rPr>
          <w:rFonts w:hint="cs"/>
          <w:rtl/>
        </w:rPr>
        <w:t>מסרה כי היא</w:t>
      </w:r>
      <w:r>
        <w:rPr>
          <w:rtl/>
        </w:rPr>
        <w:t xml:space="preserve"> מפרסמת בתקופת בחירות</w:t>
      </w:r>
      <w:r>
        <w:rPr>
          <w:rFonts w:hint="cs"/>
          <w:rtl/>
        </w:rPr>
        <w:t xml:space="preserve"> </w:t>
      </w:r>
      <w:r>
        <w:rPr>
          <w:rtl/>
        </w:rPr>
        <w:t>מאות מסמכים</w:t>
      </w:r>
      <w:r>
        <w:rPr>
          <w:rFonts w:hint="cs"/>
          <w:rtl/>
        </w:rPr>
        <w:t>,</w:t>
      </w:r>
      <w:r>
        <w:rPr>
          <w:rtl/>
        </w:rPr>
        <w:t xml:space="preserve"> </w:t>
      </w:r>
      <w:r>
        <w:rPr>
          <w:rFonts w:hint="cs"/>
          <w:rtl/>
        </w:rPr>
        <w:t>וכי</w:t>
      </w:r>
      <w:r>
        <w:rPr>
          <w:rFonts w:hint="cs"/>
          <w:rtl/>
        </w:rPr>
        <w:t xml:space="preserve"> </w:t>
      </w:r>
      <w:r>
        <w:rPr>
          <w:rtl/>
        </w:rPr>
        <w:t>מסמכים שיתב</w:t>
      </w:r>
      <w:r>
        <w:rPr>
          <w:rFonts w:hint="cs"/>
          <w:rtl/>
        </w:rPr>
        <w:t>ר</w:t>
      </w:r>
      <w:r>
        <w:rPr>
          <w:rtl/>
        </w:rPr>
        <w:t xml:space="preserve">ר </w:t>
      </w:r>
      <w:r>
        <w:rPr>
          <w:rFonts w:hint="cs"/>
          <w:rtl/>
        </w:rPr>
        <w:t>ש</w:t>
      </w:r>
      <w:r>
        <w:rPr>
          <w:rtl/>
        </w:rPr>
        <w:t>אינם מונגשים</w:t>
      </w:r>
      <w:r>
        <w:rPr>
          <w:rFonts w:hint="cs"/>
          <w:rtl/>
        </w:rPr>
        <w:t xml:space="preserve"> </w:t>
      </w:r>
      <w:r>
        <w:rPr>
          <w:rtl/>
        </w:rPr>
        <w:t>יונגשו או יוסרו מאתר הוועדה.</w:t>
      </w:r>
      <w:r>
        <w:rPr>
          <w:rFonts w:hint="cs"/>
          <w:rtl/>
        </w:rPr>
        <w:t xml:space="preserve"> </w:t>
      </w:r>
      <w:r w:rsidRPr="00A44AB7">
        <w:rPr>
          <w:rtl/>
        </w:rPr>
        <w:t>ועדת הבחירות המרכזית</w:t>
      </w:r>
      <w:r>
        <w:rPr>
          <w:rtl/>
        </w:rPr>
        <w:t xml:space="preserve"> </w:t>
      </w:r>
      <w:r>
        <w:rPr>
          <w:rFonts w:hint="cs"/>
          <w:rtl/>
        </w:rPr>
        <w:t xml:space="preserve">הוסיפה כי </w:t>
      </w:r>
      <w:r>
        <w:rPr>
          <w:rtl/>
        </w:rPr>
        <w:t>ה</w:t>
      </w:r>
      <w:r>
        <w:rPr>
          <w:rFonts w:hint="cs"/>
          <w:rtl/>
        </w:rPr>
        <w:t>ו</w:t>
      </w:r>
      <w:r>
        <w:rPr>
          <w:rtl/>
        </w:rPr>
        <w:t>ק</w:t>
      </w:r>
      <w:r>
        <w:rPr>
          <w:rFonts w:hint="cs"/>
          <w:rtl/>
        </w:rPr>
        <w:t>ם</w:t>
      </w:r>
      <w:r>
        <w:rPr>
          <w:rtl/>
        </w:rPr>
        <w:t xml:space="preserve"> צוות ייעודי בוועדה </w:t>
      </w:r>
      <w:r>
        <w:rPr>
          <w:rFonts w:hint="cs"/>
          <w:rtl/>
        </w:rPr>
        <w:t>שיבדוק את הנגשת</w:t>
      </w:r>
      <w:r>
        <w:rPr>
          <w:rtl/>
        </w:rPr>
        <w:t xml:space="preserve"> כלל המסמכים ויעדכנם </w:t>
      </w:r>
      <w:r>
        <w:rPr>
          <w:rFonts w:hint="cs"/>
          <w:rtl/>
        </w:rPr>
        <w:t xml:space="preserve">אם הדבר </w:t>
      </w:r>
      <w:r>
        <w:rPr>
          <w:rtl/>
        </w:rPr>
        <w:t>נדרש.</w:t>
      </w:r>
      <w:r w:rsidRPr="00865841">
        <w:rPr>
          <w:rtl/>
        </w:rPr>
        <w:t xml:space="preserve"> </w:t>
      </w:r>
      <w:r>
        <w:rPr>
          <w:rFonts w:hint="cs"/>
          <w:rtl/>
        </w:rPr>
        <w:t>לדברי הוועדה,</w:t>
      </w:r>
      <w:r>
        <w:rPr>
          <w:rtl/>
        </w:rPr>
        <w:t xml:space="preserve"> </w:t>
      </w:r>
      <w:r>
        <w:rPr>
          <w:rFonts w:hint="cs"/>
          <w:rtl/>
        </w:rPr>
        <w:t xml:space="preserve">החל </w:t>
      </w:r>
      <w:r>
        <w:rPr>
          <w:rtl/>
        </w:rPr>
        <w:t xml:space="preserve">מהבחירות לכנסת </w:t>
      </w:r>
      <w:r>
        <w:rPr>
          <w:rFonts w:hint="cs"/>
          <w:rtl/>
        </w:rPr>
        <w:t>העשרים וחמש</w:t>
      </w:r>
      <w:r>
        <w:rPr>
          <w:rtl/>
        </w:rPr>
        <w:t xml:space="preserve"> אתר</w:t>
      </w:r>
      <w:r>
        <w:rPr>
          <w:rFonts w:hint="cs"/>
          <w:rtl/>
        </w:rPr>
        <w:t xml:space="preserve"> </w:t>
      </w:r>
      <w:r>
        <w:rPr>
          <w:rtl/>
        </w:rPr>
        <w:t>הו</w:t>
      </w:r>
      <w:r>
        <w:rPr>
          <w:rFonts w:hint="cs"/>
          <w:rtl/>
        </w:rPr>
        <w:t>ו</w:t>
      </w:r>
      <w:r>
        <w:rPr>
          <w:rtl/>
        </w:rPr>
        <w:t>עדה מנוהל על גבי פלטפורמת</w:t>
      </w:r>
      <w:r>
        <w:rPr>
          <w:rFonts w:hint="cs"/>
          <w:rtl/>
        </w:rPr>
        <w:t xml:space="preserve"> האתר הממשלתי</w:t>
      </w:r>
      <w:r>
        <w:rPr>
          <w:rtl/>
        </w:rPr>
        <w:t xml:space="preserve"> </w:t>
      </w:r>
      <w:r>
        <w:rPr>
          <w:rFonts w:hint="cs"/>
          <w:rtl/>
        </w:rPr>
        <w:t>ה</w:t>
      </w:r>
      <w:r>
        <w:rPr>
          <w:rtl/>
        </w:rPr>
        <w:t>אחוד</w:t>
      </w:r>
      <w:r>
        <w:rPr>
          <w:rFonts w:hint="cs"/>
          <w:rtl/>
        </w:rPr>
        <w:t xml:space="preserve"> וכי </w:t>
      </w:r>
      <w:r>
        <w:rPr>
          <w:rtl/>
        </w:rPr>
        <w:t>עבר ביקורת</w:t>
      </w:r>
      <w:r>
        <w:rPr>
          <w:rFonts w:hint="cs"/>
          <w:rtl/>
        </w:rPr>
        <w:t xml:space="preserve"> </w:t>
      </w:r>
      <w:r>
        <w:rPr>
          <w:rtl/>
        </w:rPr>
        <w:t xml:space="preserve">על ידי יועץ נגישות </w:t>
      </w:r>
      <w:r>
        <w:rPr>
          <w:rFonts w:hint="cs"/>
          <w:rtl/>
        </w:rPr>
        <w:t xml:space="preserve">לפני </w:t>
      </w:r>
      <w:r>
        <w:rPr>
          <w:rtl/>
        </w:rPr>
        <w:t>עלייתו לאוויר</w:t>
      </w:r>
      <w:r>
        <w:rPr>
          <w:rFonts w:hint="cs"/>
          <w:rtl/>
        </w:rPr>
        <w:t>, וכי באתר יש קישור להצהרת נגישות שפרסמה</w:t>
      </w:r>
      <w:r>
        <w:rPr>
          <w:rStyle w:val="a8"/>
          <w:rtl/>
        </w:rPr>
        <w:footnoteReference w:id="76"/>
      </w:r>
      <w:r>
        <w:rPr>
          <w:rtl/>
        </w:rPr>
        <w:t>.</w:t>
      </w:r>
      <w:r>
        <w:rPr>
          <w:rFonts w:hint="cs"/>
          <w:rtl/>
        </w:rPr>
        <w:t xml:space="preserve"> </w:t>
      </w:r>
      <w:r w:rsidRPr="00392E68">
        <w:rPr>
          <w:b/>
          <w:bCs/>
          <w:rtl/>
        </w:rPr>
        <w:t>כנסת ישראל</w:t>
      </w:r>
      <w:r>
        <w:rPr>
          <w:rFonts w:hint="cs"/>
          <w:rtl/>
        </w:rPr>
        <w:t xml:space="preserve"> מסרה כי היא</w:t>
      </w:r>
      <w:r>
        <w:rPr>
          <w:rtl/>
        </w:rPr>
        <w:t xml:space="preserve"> רואה ערך עליון בהנגשת כלל הפעילות </w:t>
      </w:r>
      <w:r>
        <w:rPr>
          <w:rtl/>
        </w:rPr>
        <w:lastRenderedPageBreak/>
        <w:t>המתקיימת ב</w:t>
      </w:r>
      <w:r>
        <w:rPr>
          <w:rFonts w:hint="cs"/>
          <w:rtl/>
        </w:rPr>
        <w:t xml:space="preserve">ה </w:t>
      </w:r>
      <w:r>
        <w:rPr>
          <w:rtl/>
        </w:rPr>
        <w:t>ופועלת בשנים האחרונות לקידומה של מטרה זו, תוך השקעת משאבים ניכרים,</w:t>
      </w:r>
      <w:r>
        <w:rPr>
          <w:rFonts w:hint="cs"/>
          <w:rtl/>
        </w:rPr>
        <w:t xml:space="preserve"> </w:t>
      </w:r>
      <w:r>
        <w:rPr>
          <w:rtl/>
        </w:rPr>
        <w:t>ובכלל זה התקנת אמצעי</w:t>
      </w:r>
      <w:r>
        <w:rPr>
          <w:rtl/>
        </w:rPr>
        <w:t xml:space="preserve"> הנגשה, עריכת כנסים בי</w:t>
      </w:r>
      <w:r>
        <w:rPr>
          <w:rFonts w:hint="cs"/>
          <w:rtl/>
        </w:rPr>
        <w:t>ן-</w:t>
      </w:r>
      <w:r>
        <w:rPr>
          <w:rtl/>
        </w:rPr>
        <w:t xml:space="preserve">לאומיים בתחום </w:t>
      </w:r>
      <w:r>
        <w:rPr>
          <w:rFonts w:hint="cs"/>
          <w:rtl/>
        </w:rPr>
        <w:t>ו</w:t>
      </w:r>
      <w:r>
        <w:rPr>
          <w:rtl/>
        </w:rPr>
        <w:t>ביצוע הדרכות לבעלי</w:t>
      </w:r>
      <w:r>
        <w:rPr>
          <w:rFonts w:hint="cs"/>
          <w:rtl/>
        </w:rPr>
        <w:t xml:space="preserve"> </w:t>
      </w:r>
      <w:r>
        <w:rPr>
          <w:rtl/>
        </w:rPr>
        <w:t>תפקידים</w:t>
      </w:r>
      <w:r>
        <w:rPr>
          <w:rFonts w:hint="cs"/>
          <w:rtl/>
        </w:rPr>
        <w:t xml:space="preserve">. כנסת ישראל הוסיפה כי </w:t>
      </w:r>
      <w:r>
        <w:rPr>
          <w:rtl/>
        </w:rPr>
        <w:t>היא</w:t>
      </w:r>
      <w:r>
        <w:rPr>
          <w:rFonts w:hint="cs"/>
          <w:rtl/>
        </w:rPr>
        <w:t xml:space="preserve"> </w:t>
      </w:r>
      <w:r>
        <w:rPr>
          <w:rtl/>
        </w:rPr>
        <w:t>פועלת לנקיטת אמצעי הנגשה אף מעבר לנדרש בהתאם להוראות הדין, ובפרט בכל הנוגע</w:t>
      </w:r>
      <w:r>
        <w:rPr>
          <w:rFonts w:hint="cs"/>
          <w:rtl/>
        </w:rPr>
        <w:t xml:space="preserve"> </w:t>
      </w:r>
      <w:r>
        <w:rPr>
          <w:rtl/>
        </w:rPr>
        <w:t>להנגשת המידע והשירותים המוצגים באתר הכנסת לציבור הרחב.</w:t>
      </w:r>
      <w:r>
        <w:rPr>
          <w:rFonts w:hint="cs"/>
          <w:rtl/>
        </w:rPr>
        <w:t xml:space="preserve"> </w:t>
      </w:r>
      <w:r>
        <w:rPr>
          <w:rtl/>
        </w:rPr>
        <w:t xml:space="preserve">בצד זאת, </w:t>
      </w:r>
      <w:r>
        <w:rPr>
          <w:rFonts w:hint="cs"/>
          <w:rtl/>
        </w:rPr>
        <w:t>"</w:t>
      </w:r>
      <w:r>
        <w:rPr>
          <w:rtl/>
        </w:rPr>
        <w:t>מודה הכנסת על הפניית תשו</w:t>
      </w:r>
      <w:r>
        <w:rPr>
          <w:rtl/>
        </w:rPr>
        <w:t>מת הלב למספר היבטים באתר אשר נדרש לתקנם.</w:t>
      </w:r>
      <w:r>
        <w:rPr>
          <w:rFonts w:hint="cs"/>
          <w:rtl/>
        </w:rPr>
        <w:t xml:space="preserve"> </w:t>
      </w:r>
      <w:r>
        <w:rPr>
          <w:rtl/>
        </w:rPr>
        <w:t>עם קבלת מכתבכם פעלה הכנסת לתיקון אי ההתאמות שהוצגו בו ובכוונתה להוסיף ולפעול</w:t>
      </w:r>
      <w:r>
        <w:rPr>
          <w:rFonts w:hint="cs"/>
          <w:rtl/>
        </w:rPr>
        <w:t xml:space="preserve"> </w:t>
      </w:r>
      <w:r>
        <w:rPr>
          <w:rtl/>
        </w:rPr>
        <w:t>גם בעתיד כך שהשירותים הניתנים באתר האינטרנט של הכנסת יוסיפו להיות נגישים אף</w:t>
      </w:r>
      <w:r>
        <w:rPr>
          <w:rFonts w:hint="cs"/>
          <w:rtl/>
        </w:rPr>
        <w:t xml:space="preserve"> </w:t>
      </w:r>
      <w:r>
        <w:rPr>
          <w:rtl/>
        </w:rPr>
        <w:t>מעבר לדרישות הדין</w:t>
      </w:r>
      <w:r>
        <w:rPr>
          <w:rFonts w:hint="cs"/>
          <w:rtl/>
        </w:rPr>
        <w:t xml:space="preserve">". </w:t>
      </w:r>
      <w:r w:rsidRPr="00392E68">
        <w:rPr>
          <w:b/>
          <w:bCs/>
          <w:rtl/>
        </w:rPr>
        <w:t>משטרת ישראל</w:t>
      </w:r>
      <w:r>
        <w:rPr>
          <w:rFonts w:hint="cs"/>
          <w:rtl/>
        </w:rPr>
        <w:t xml:space="preserve"> מסרה בנוגע לממצאים על ליקויים </w:t>
      </w:r>
      <w:r>
        <w:rPr>
          <w:rFonts w:hint="cs"/>
          <w:rtl/>
        </w:rPr>
        <w:t xml:space="preserve">שנוגעים לרכיבים שהנגשתם נמצאת באחריות מערך הדיגיטל הלאומי המספק לה את התשתית להפעלת האתר, כי היא העבירה את הממצאים לבדיקתו. לגבי שני מסמכים שנמצאו לא נגישים נכתב בתשובה כי אחד מהם הונגש, והשני יפורסם באופן מונגש בפברואר 2023. </w:t>
      </w:r>
      <w:r w:rsidRPr="00392E68">
        <w:rPr>
          <w:b/>
          <w:bCs/>
          <w:rtl/>
        </w:rPr>
        <w:t>משרד הביטחון - אגף שיקום נכים</w:t>
      </w:r>
      <w:r>
        <w:rPr>
          <w:rFonts w:hint="cs"/>
          <w:rtl/>
        </w:rPr>
        <w:t xml:space="preserve"> </w:t>
      </w:r>
      <w:r>
        <w:rPr>
          <w:rFonts w:hint="cs"/>
          <w:rtl/>
        </w:rPr>
        <w:t xml:space="preserve">מסר כי בימים אלה אגף השיקום ואגף תקשוב פועלים להקמת אתר מרשתת חדש לאגף השיקום אשר צפוי לעלות לאוויר במהלך שנת 2023, וכי תכנים חדשים יועלו לאתר רק לאחר אישור של יועצת הנגישות. מן התשובה עלה כי בתשתית אתר המרשתת שנבדק היו כמה בעיות נגישות מובנות, ואילו באתר </w:t>
      </w:r>
      <w:r>
        <w:rPr>
          <w:rFonts w:hint="cs"/>
          <w:rtl/>
        </w:rPr>
        <w:t xml:space="preserve">המרשתת החדש תהיה תשתית חדשה שאמורה לתת מענה לכך. </w:t>
      </w:r>
      <w:r w:rsidRPr="00392E68">
        <w:rPr>
          <w:b/>
          <w:bCs/>
          <w:rtl/>
        </w:rPr>
        <w:t>משרד הבריאות</w:t>
      </w:r>
      <w:r w:rsidRPr="00395511">
        <w:rPr>
          <w:rtl/>
        </w:rPr>
        <w:t xml:space="preserve"> </w:t>
      </w:r>
      <w:r>
        <w:rPr>
          <w:rFonts w:hint="cs"/>
          <w:rtl/>
        </w:rPr>
        <w:t>מסר בנוגע לממצאים שעלו</w:t>
      </w:r>
      <w:r w:rsidRPr="00395511">
        <w:rPr>
          <w:rtl/>
        </w:rPr>
        <w:t xml:space="preserve"> </w:t>
      </w:r>
      <w:r>
        <w:rPr>
          <w:rFonts w:hint="cs"/>
          <w:rtl/>
        </w:rPr>
        <w:t>ב</w:t>
      </w:r>
      <w:r w:rsidRPr="00395511">
        <w:rPr>
          <w:rtl/>
        </w:rPr>
        <w:t>אתר</w:t>
      </w:r>
      <w:r>
        <w:rPr>
          <w:rFonts w:hint="cs"/>
          <w:rtl/>
        </w:rPr>
        <w:t xml:space="preserve"> המרשתת</w:t>
      </w:r>
      <w:r w:rsidRPr="00395511">
        <w:rPr>
          <w:rtl/>
        </w:rPr>
        <w:t xml:space="preserve"> </w:t>
      </w:r>
      <w:r>
        <w:rPr>
          <w:rFonts w:hint="cs"/>
          <w:rtl/>
        </w:rPr>
        <w:t>"</w:t>
      </w:r>
      <w:r w:rsidRPr="00395511">
        <w:rPr>
          <w:rtl/>
        </w:rPr>
        <w:t>כל הבריאות</w:t>
      </w:r>
      <w:r>
        <w:rPr>
          <w:rFonts w:hint="cs"/>
          <w:rtl/>
        </w:rPr>
        <w:t xml:space="preserve">", כי הוא </w:t>
      </w:r>
      <w:r>
        <w:rPr>
          <w:rtl/>
        </w:rPr>
        <w:t>נמצא לקראת סיום תהליך החלפ</w:t>
      </w:r>
      <w:r>
        <w:rPr>
          <w:rFonts w:hint="cs"/>
          <w:rtl/>
        </w:rPr>
        <w:t xml:space="preserve">תו של אתר זה </w:t>
      </w:r>
      <w:r>
        <w:rPr>
          <w:rtl/>
        </w:rPr>
        <w:t>באתר חדש</w:t>
      </w:r>
      <w:r>
        <w:rPr>
          <w:rFonts w:hint="cs"/>
          <w:rtl/>
        </w:rPr>
        <w:t>,</w:t>
      </w:r>
      <w:r w:rsidR="00FE5D2A">
        <w:rPr>
          <w:rFonts w:hint="cs"/>
          <w:rtl/>
        </w:rPr>
        <w:t xml:space="preserve"> </w:t>
      </w:r>
      <w:r>
        <w:rPr>
          <w:rFonts w:hint="cs"/>
          <w:rtl/>
        </w:rPr>
        <w:t>וכי הוא יהיה מונגש על פי כל הדרישות;</w:t>
      </w:r>
      <w:r>
        <w:rPr>
          <w:rtl/>
        </w:rPr>
        <w:t xml:space="preserve"> </w:t>
      </w:r>
      <w:r>
        <w:rPr>
          <w:rFonts w:hint="cs"/>
          <w:rtl/>
        </w:rPr>
        <w:t>ה</w:t>
      </w:r>
      <w:r>
        <w:rPr>
          <w:rtl/>
        </w:rPr>
        <w:t>הערכה הי</w:t>
      </w:r>
      <w:r>
        <w:rPr>
          <w:rFonts w:hint="cs"/>
          <w:rtl/>
        </w:rPr>
        <w:t>א</w:t>
      </w:r>
      <w:r>
        <w:rPr>
          <w:rtl/>
        </w:rPr>
        <w:t xml:space="preserve"> שה</w:t>
      </w:r>
      <w:r>
        <w:rPr>
          <w:rFonts w:hint="cs"/>
          <w:rtl/>
        </w:rPr>
        <w:t xml:space="preserve">אתר </w:t>
      </w:r>
      <w:r>
        <w:rPr>
          <w:rtl/>
        </w:rPr>
        <w:t>החדש</w:t>
      </w:r>
      <w:r>
        <w:rPr>
          <w:rFonts w:hint="cs"/>
          <w:rtl/>
        </w:rPr>
        <w:t xml:space="preserve"> יעלה לאוויר</w:t>
      </w:r>
      <w:r>
        <w:rPr>
          <w:rtl/>
        </w:rPr>
        <w:t xml:space="preserve"> ברבעון הראשון של ש</w:t>
      </w:r>
      <w:r>
        <w:rPr>
          <w:rtl/>
        </w:rPr>
        <w:t>נת 2023.</w:t>
      </w:r>
      <w:r>
        <w:rPr>
          <w:rFonts w:hint="cs"/>
          <w:rtl/>
        </w:rPr>
        <w:t xml:space="preserve"> </w:t>
      </w:r>
      <w:r w:rsidRPr="00392E68">
        <w:rPr>
          <w:b/>
          <w:bCs/>
          <w:rtl/>
        </w:rPr>
        <w:t>משרד הפנים</w:t>
      </w:r>
      <w:r w:rsidRPr="00395511">
        <w:rPr>
          <w:rtl/>
        </w:rPr>
        <w:t xml:space="preserve"> </w:t>
      </w:r>
      <w:r>
        <w:rPr>
          <w:rtl/>
        </w:rPr>
        <w:t>מ</w:t>
      </w:r>
      <w:r>
        <w:rPr>
          <w:rFonts w:hint="cs"/>
          <w:rtl/>
        </w:rPr>
        <w:t xml:space="preserve">סר כי הוא פועל </w:t>
      </w:r>
      <w:r>
        <w:rPr>
          <w:rtl/>
        </w:rPr>
        <w:t>מאמצע אוגוסט 2022 להנגשת מסמכי</w:t>
      </w:r>
      <w:r>
        <w:rPr>
          <w:rFonts w:hint="cs"/>
          <w:rtl/>
        </w:rPr>
        <w:t xml:space="preserve"> </w:t>
      </w:r>
      <w:r>
        <w:rPr>
          <w:rtl/>
        </w:rPr>
        <w:t>ה-</w:t>
      </w:r>
      <w:r>
        <w:t>PDF</w:t>
      </w:r>
      <w:r>
        <w:rPr>
          <w:rtl/>
        </w:rPr>
        <w:t xml:space="preserve"> שנמצא שאינם נגישים</w:t>
      </w:r>
      <w:r>
        <w:rPr>
          <w:rFonts w:hint="cs"/>
          <w:rtl/>
        </w:rPr>
        <w:t>,</w:t>
      </w:r>
      <w:r>
        <w:rPr>
          <w:rtl/>
        </w:rPr>
        <w:t xml:space="preserve"> ו</w:t>
      </w:r>
      <w:r>
        <w:rPr>
          <w:rFonts w:hint="cs"/>
          <w:rtl/>
        </w:rPr>
        <w:t xml:space="preserve">כי </w:t>
      </w:r>
      <w:r>
        <w:rPr>
          <w:rtl/>
        </w:rPr>
        <w:t xml:space="preserve">כל הליקויים תוקנו. </w:t>
      </w:r>
      <w:r>
        <w:rPr>
          <w:rFonts w:hint="cs"/>
          <w:rtl/>
        </w:rPr>
        <w:t xml:space="preserve">נוסף על כך הנחה </w:t>
      </w:r>
      <w:r>
        <w:rPr>
          <w:rtl/>
        </w:rPr>
        <w:t xml:space="preserve">המשרד </w:t>
      </w:r>
      <w:r>
        <w:rPr>
          <w:rFonts w:hint="cs"/>
          <w:rtl/>
        </w:rPr>
        <w:t xml:space="preserve">את </w:t>
      </w:r>
      <w:r>
        <w:rPr>
          <w:rtl/>
        </w:rPr>
        <w:t>כלל עובדי המשרד</w:t>
      </w:r>
      <w:r>
        <w:rPr>
          <w:rFonts w:hint="cs"/>
          <w:rtl/>
        </w:rPr>
        <w:t xml:space="preserve"> </w:t>
      </w:r>
      <w:r>
        <w:rPr>
          <w:rtl/>
        </w:rPr>
        <w:t>להנגיש כל מסמך שעולה למרשתת</w:t>
      </w:r>
      <w:r>
        <w:rPr>
          <w:rFonts w:hint="cs"/>
          <w:rtl/>
        </w:rPr>
        <w:t>, ולדבריו "</w:t>
      </w:r>
      <w:r>
        <w:rPr>
          <w:rtl/>
        </w:rPr>
        <w:t>נכון להיום כל מסמך שעולה למרשתת מונגש</w:t>
      </w:r>
      <w:r>
        <w:rPr>
          <w:rFonts w:hint="cs"/>
          <w:rtl/>
        </w:rPr>
        <w:t>"</w:t>
      </w:r>
      <w:r>
        <w:rPr>
          <w:rtl/>
        </w:rPr>
        <w:t>.</w:t>
      </w:r>
      <w:r>
        <w:rPr>
          <w:rFonts w:hint="cs"/>
          <w:rtl/>
        </w:rPr>
        <w:t xml:space="preserve"> </w:t>
      </w:r>
      <w:r w:rsidRPr="00392E68">
        <w:rPr>
          <w:b/>
          <w:bCs/>
          <w:rtl/>
        </w:rPr>
        <w:t>צה"ל - אתר יחידת מיטב</w:t>
      </w:r>
      <w:r>
        <w:rPr>
          <w:rFonts w:hint="cs"/>
          <w:rtl/>
        </w:rPr>
        <w:t xml:space="preserve">, מסר כי עם עליית אתר מתגייסים המחודש יבוצע עדכון גם בנושא הנגישות ויבוצעו תיקונים. הדבר מתוכנן להתבצע במהלך שנת 2023. </w:t>
      </w:r>
      <w:r w:rsidRPr="00392E68">
        <w:rPr>
          <w:b/>
          <w:bCs/>
          <w:rtl/>
        </w:rPr>
        <w:t>רשות האוכלוסין וההגירה</w:t>
      </w:r>
      <w:r>
        <w:rPr>
          <w:rFonts w:hint="cs"/>
          <w:rtl/>
        </w:rPr>
        <w:t xml:space="preserve"> מסרה כי היא שמה לה למטרה להנגיש את כלל שירותיה לאנשים עם מוגבלות, וכי היא משקיעה מאמצים רבים לתיקון ליקויים; הרשות</w:t>
      </w:r>
      <w:r>
        <w:rPr>
          <w:rFonts w:hint="cs"/>
          <w:rtl/>
        </w:rPr>
        <w:t xml:space="preserve"> נמצאת בעיצומו של הליך לבחירת "מורשה נגישות, אשר ילווה את הרשות בהסדרת הנושא. בין מטלותיו הראשונות יהיה המורשה אמון לבחון את הסוגיות המועלות בדוח המבקר ולתקן את הליקויים, ככל שישנם"; לגבי הנגשת מסמכים כתבה הרשות כי היא נמצאת במהלך כתיבת נוהל "המסדיר את התנ</w:t>
      </w:r>
      <w:r>
        <w:rPr>
          <w:rFonts w:hint="cs"/>
          <w:rtl/>
        </w:rPr>
        <w:t xml:space="preserve">אים הנדרשים לכתיבה והעלאת מסמכים מונגשים בטרם עלייתם לאתר הרשות". הרשות בחנה את ממצאי הביקורת בנוגע לאתר המרשתת שלה וציינה וכי תטפל ברכיבים שנדרש לתקן. </w:t>
      </w:r>
      <w:r w:rsidRPr="005B424D">
        <w:rPr>
          <w:b/>
          <w:bCs/>
          <w:rtl/>
        </w:rPr>
        <w:t>רשות האכיפה והגביי</w:t>
      </w:r>
      <w:r w:rsidRPr="005B424D">
        <w:rPr>
          <w:rFonts w:hint="cs"/>
          <w:b/>
          <w:bCs/>
          <w:rtl/>
        </w:rPr>
        <w:t>ה</w:t>
      </w:r>
      <w:r>
        <w:rPr>
          <w:rFonts w:hint="cs"/>
          <w:rtl/>
        </w:rPr>
        <w:t xml:space="preserve"> העבירה את ממצאי הביקורת הנוגעים לרכיבים שמונגשים על ידי התשתית שמספק מערך הדיגיטל הל</w:t>
      </w:r>
      <w:r>
        <w:rPr>
          <w:rFonts w:hint="cs"/>
          <w:rtl/>
        </w:rPr>
        <w:t>אומי לבדיקת מערך הדיגיטל. לגבי רכיבים שנמצאו בהם היבטים לקויים בבדיקה ואשר הנגשתם נעשית באמצעות רשות האכיפה והגבייה, ציינה הרשות כי הדבר נמצא בטיפול לצורך תיקון</w:t>
      </w:r>
      <w:r w:rsidRPr="00C07E3B">
        <w:rPr>
          <w:rFonts w:hint="cs"/>
          <w:rtl/>
        </w:rPr>
        <w:t>.</w:t>
      </w:r>
      <w:r w:rsidRPr="001628FF">
        <w:rPr>
          <w:rFonts w:hint="cs"/>
          <w:b/>
          <w:bCs/>
          <w:rtl/>
        </w:rPr>
        <w:t xml:space="preserve"> שירות</w:t>
      </w:r>
      <w:r w:rsidRPr="001628FF">
        <w:rPr>
          <w:b/>
          <w:bCs/>
          <w:rtl/>
        </w:rPr>
        <w:t xml:space="preserve"> התעסוקה</w:t>
      </w:r>
      <w:r>
        <w:rPr>
          <w:rFonts w:hint="cs"/>
          <w:rtl/>
        </w:rPr>
        <w:t xml:space="preserve"> מסר כי </w:t>
      </w:r>
      <w:r>
        <w:rPr>
          <w:rtl/>
        </w:rPr>
        <w:t>בספטמבר 2022</w:t>
      </w:r>
      <w:r>
        <w:rPr>
          <w:rFonts w:hint="cs"/>
          <w:rtl/>
        </w:rPr>
        <w:t xml:space="preserve"> (כאמור בדיקת משרד מבקר המדינה נעשתה באוגוסט אותה שנה) ה</w:t>
      </w:r>
      <w:r>
        <w:rPr>
          <w:rtl/>
        </w:rPr>
        <w:t xml:space="preserve">עלה </w:t>
      </w:r>
      <w:r>
        <w:rPr>
          <w:rFonts w:hint="cs"/>
          <w:rtl/>
        </w:rPr>
        <w:t>ל</w:t>
      </w:r>
      <w:r>
        <w:rPr>
          <w:rFonts w:hint="cs"/>
          <w:rtl/>
        </w:rPr>
        <w:t xml:space="preserve">אתר המרשתת שלו </w:t>
      </w:r>
      <w:r>
        <w:rPr>
          <w:rtl/>
        </w:rPr>
        <w:t>רכיב נגישות חדש</w:t>
      </w:r>
      <w:r>
        <w:rPr>
          <w:rFonts w:hint="cs"/>
          <w:rtl/>
        </w:rPr>
        <w:t>. עוד הוא מסר כי יבצע ב</w:t>
      </w:r>
      <w:r>
        <w:rPr>
          <w:rtl/>
        </w:rPr>
        <w:t xml:space="preserve">דיקה </w:t>
      </w:r>
      <w:r>
        <w:rPr>
          <w:rFonts w:hint="cs"/>
          <w:rtl/>
        </w:rPr>
        <w:t xml:space="preserve">לגבי הליקויים שהציג לפניו משרד מבקר המדינה כדי לטפל בליקויים שעדיין קיימים. שירות התעסוקה הוסיף כי </w:t>
      </w:r>
      <w:r>
        <w:rPr>
          <w:rtl/>
        </w:rPr>
        <w:t>בסוף שנת 2021 הסתיים מיפוי פנימי שערך בנוגע להנגשת המסמכים והפרסומים באתר</w:t>
      </w:r>
      <w:r>
        <w:rPr>
          <w:rFonts w:hint="cs"/>
          <w:rtl/>
        </w:rPr>
        <w:t>,</w:t>
      </w:r>
      <w:r>
        <w:rPr>
          <w:rtl/>
        </w:rPr>
        <w:t xml:space="preserve"> אולם </w:t>
      </w:r>
      <w:r>
        <w:rPr>
          <w:rFonts w:hint="cs"/>
          <w:rtl/>
        </w:rPr>
        <w:t xml:space="preserve">בשל אילוצי תקציב </w:t>
      </w:r>
      <w:r w:rsidRPr="00B87256">
        <w:rPr>
          <w:rtl/>
        </w:rPr>
        <w:t>לא</w:t>
      </w:r>
      <w:r w:rsidR="00FE5D2A">
        <w:rPr>
          <w:rFonts w:hint="cs"/>
          <w:rtl/>
        </w:rPr>
        <w:t xml:space="preserve"> </w:t>
      </w:r>
      <w:r w:rsidRPr="00B87256">
        <w:rPr>
          <w:rtl/>
        </w:rPr>
        <w:t xml:space="preserve">היה </w:t>
      </w:r>
      <w:r w:rsidRPr="00B87256">
        <w:rPr>
          <w:rFonts w:hint="eastAsia"/>
          <w:rtl/>
        </w:rPr>
        <w:t>אפשר</w:t>
      </w:r>
      <w:r>
        <w:rPr>
          <w:rFonts w:hint="cs"/>
          <w:rtl/>
        </w:rPr>
        <w:t xml:space="preserve">י </w:t>
      </w:r>
      <w:r>
        <w:rPr>
          <w:rtl/>
        </w:rPr>
        <w:t>לבצע את התיקונים הנדרשים</w:t>
      </w:r>
      <w:r>
        <w:rPr>
          <w:rFonts w:hint="cs"/>
          <w:rtl/>
        </w:rPr>
        <w:t xml:space="preserve">. </w:t>
      </w:r>
      <w:r>
        <w:rPr>
          <w:rtl/>
        </w:rPr>
        <w:t xml:space="preserve">באוגוסט 2022 החל שירות התעסוקה לבצע הנגשה על בסיס תקצוב פנימי של חלק מהמסמכים במסגרת </w:t>
      </w:r>
      <w:r>
        <w:rPr>
          <w:rFonts w:hint="cs"/>
          <w:rtl/>
        </w:rPr>
        <w:t>"</w:t>
      </w:r>
      <w:r>
        <w:rPr>
          <w:rtl/>
        </w:rPr>
        <w:t>תיעדוף שנקבע לאור העדר התקציב.</w:t>
      </w:r>
      <w:r>
        <w:rPr>
          <w:rFonts w:hint="cs"/>
          <w:rtl/>
        </w:rPr>
        <w:t xml:space="preserve">.. </w:t>
      </w:r>
      <w:r>
        <w:rPr>
          <w:rtl/>
        </w:rPr>
        <w:t>בכל מקרה, מסמכים חדשים אשר מועלים כיום לאתר עוברים הנגשה</w:t>
      </w:r>
      <w:r>
        <w:rPr>
          <w:rFonts w:hint="cs"/>
          <w:rtl/>
        </w:rPr>
        <w:t>"</w:t>
      </w:r>
      <w:r>
        <w:rPr>
          <w:rtl/>
        </w:rPr>
        <w:t>.</w:t>
      </w:r>
    </w:p>
    <w:p w:rsidR="00BF1E3B" w:rsidRPr="00B74C6A" w:rsidRDefault="00DF6A0A" w:rsidP="00B74C6A">
      <w:pPr>
        <w:pStyle w:val="73414"/>
        <w:rPr>
          <w:rtl/>
        </w:rPr>
      </w:pPr>
      <w:r w:rsidRPr="00B74C6A">
        <w:rPr>
          <w:rFonts w:hint="eastAsia"/>
          <w:rtl/>
        </w:rPr>
        <w:lastRenderedPageBreak/>
        <w:t>נגישות</w:t>
      </w:r>
      <w:r w:rsidRPr="00B74C6A">
        <w:rPr>
          <w:rtl/>
        </w:rPr>
        <w:t xml:space="preserve"> </w:t>
      </w:r>
      <w:r w:rsidRPr="00B74C6A">
        <w:rPr>
          <w:rFonts w:hint="eastAsia"/>
          <w:rtl/>
        </w:rPr>
        <w:t>של</w:t>
      </w:r>
      <w:r w:rsidRPr="00B74C6A">
        <w:rPr>
          <w:rtl/>
        </w:rPr>
        <w:t xml:space="preserve"> </w:t>
      </w:r>
      <w:r w:rsidRPr="00B74C6A">
        <w:rPr>
          <w:rFonts w:hint="eastAsia"/>
          <w:rtl/>
        </w:rPr>
        <w:t>דפי</w:t>
      </w:r>
      <w:r w:rsidRPr="00B74C6A">
        <w:rPr>
          <w:rtl/>
        </w:rPr>
        <w:t xml:space="preserve"> </w:t>
      </w:r>
      <w:r w:rsidRPr="00B74C6A">
        <w:rPr>
          <w:rFonts w:hint="eastAsia"/>
          <w:rtl/>
        </w:rPr>
        <w:t>שירות</w:t>
      </w:r>
      <w:r w:rsidRPr="00B74C6A">
        <w:rPr>
          <w:rFonts w:hint="cs"/>
          <w:rtl/>
        </w:rPr>
        <w:t xml:space="preserve"> </w:t>
      </w:r>
    </w:p>
    <w:p w:rsidR="00BF1E3B" w:rsidRDefault="00DF6A0A" w:rsidP="00C619CC">
      <w:pPr>
        <w:pStyle w:val="7392"/>
        <w:rPr>
          <w:rtl/>
        </w:rPr>
      </w:pPr>
      <w:r>
        <w:rPr>
          <w:rFonts w:hint="cs"/>
          <w:rtl/>
        </w:rPr>
        <w:t xml:space="preserve">באתרי מרשתת של גופי </w:t>
      </w:r>
      <w:r>
        <w:rPr>
          <w:rFonts w:hint="cs"/>
          <w:rtl/>
        </w:rPr>
        <w:t>ממשל קיימים ד</w:t>
      </w:r>
      <w:r w:rsidRPr="00113A1D">
        <w:rPr>
          <w:rtl/>
        </w:rPr>
        <w:t>פי שירות</w:t>
      </w:r>
      <w:r>
        <w:rPr>
          <w:rFonts w:hint="cs"/>
          <w:rtl/>
        </w:rPr>
        <w:t>. דף שירות הוא דף מקדים המוצג למשתמש, לפני המעבר לשירות עצמו, והוא כולל הסבר על מהות השירות, פירוט המסמכים או התנאים הנדרשים לשם ביצוע השירות וכיו"ב. דף השירות כולל הפניה למעבר המשתמש לשירות עצמו, על ידי לחיצה על הרכיב "כפתור פעולה" ומ</w:t>
      </w:r>
      <w:r>
        <w:rPr>
          <w:rFonts w:hint="cs"/>
          <w:rtl/>
        </w:rPr>
        <w:t>עבר לשירות המבוקש או על ידי קישור (</w:t>
      </w:r>
      <w:r>
        <w:rPr>
          <w:rFonts w:hint="cs"/>
        </w:rPr>
        <w:t>L</w:t>
      </w:r>
      <w:r>
        <w:t>ink</w:t>
      </w:r>
      <w:r>
        <w:rPr>
          <w:rFonts w:hint="cs"/>
          <w:rtl/>
        </w:rPr>
        <w:t xml:space="preserve">) לשירות, שמשמש לאותו צורך. דפי השירות נערכים על ידי מערך הדיגיטל הלאומי ולא על ידי גופי הממשל שמשתמשים בתשתית האתר הממשלתי האחוד, כדי להבטיח אחידות בסגנון. </w:t>
      </w:r>
    </w:p>
    <w:p w:rsidR="00BF1E3B" w:rsidRDefault="00DF6A0A" w:rsidP="00C619CC">
      <w:pPr>
        <w:pStyle w:val="7392"/>
        <w:rPr>
          <w:rtl/>
        </w:rPr>
      </w:pPr>
      <w:r>
        <w:rPr>
          <w:rFonts w:hint="cs"/>
          <w:rtl/>
        </w:rPr>
        <w:t xml:space="preserve">משרד מבקר המדינה, באמצעות יועץ חיצוני, בדק את </w:t>
      </w:r>
      <w:r w:rsidRPr="00133710">
        <w:rPr>
          <w:rFonts w:hint="cs"/>
          <w:rtl/>
        </w:rPr>
        <w:t xml:space="preserve">הנגישות </w:t>
      </w:r>
      <w:r>
        <w:rPr>
          <w:rFonts w:hint="cs"/>
          <w:rtl/>
        </w:rPr>
        <w:t xml:space="preserve">של </w:t>
      </w:r>
      <w:r>
        <w:t>16</w:t>
      </w:r>
      <w:r w:rsidRPr="00133710">
        <w:rPr>
          <w:rFonts w:hint="cs"/>
          <w:rtl/>
        </w:rPr>
        <w:t xml:space="preserve"> דפי השירות </w:t>
      </w:r>
      <w:r>
        <w:rPr>
          <w:rFonts w:hint="cs"/>
          <w:rtl/>
        </w:rPr>
        <w:t xml:space="preserve">שהיו </w:t>
      </w:r>
      <w:r w:rsidRPr="00133710">
        <w:rPr>
          <w:rFonts w:hint="cs"/>
          <w:rtl/>
        </w:rPr>
        <w:t xml:space="preserve">הנצפים ביותר </w:t>
      </w:r>
      <w:r>
        <w:rPr>
          <w:rFonts w:hint="cs"/>
          <w:rtl/>
        </w:rPr>
        <w:t>על ידי הציבור בשבוע מסוים ביוני 2022</w:t>
      </w:r>
      <w:r>
        <w:rPr>
          <w:rStyle w:val="a8"/>
          <w:rtl/>
        </w:rPr>
        <w:footnoteReference w:id="77"/>
      </w:r>
      <w:r>
        <w:rPr>
          <w:rFonts w:hint="cs"/>
          <w:rtl/>
        </w:rPr>
        <w:t>. נבדקו הנגישות של דף השירות וכן הנגישות בתהליך המעבר מדף השירות דרך מסכים או קישורים אל המסך או הטופס שבו נדרש המשתמש להקליד את פרטיו לצורך קבלת השירות, כולל הנגישות של אותו מסך או טופס. ב</w:t>
      </w:r>
      <w:r>
        <w:rPr>
          <w:rFonts w:hint="cs"/>
          <w:rtl/>
        </w:rPr>
        <w:t>לוח שלהלן מפורטים דפי השירות שנגישותם נבדקה ושיעור הצפיות השנתי בהם בשנת 2022:</w:t>
      </w:r>
    </w:p>
    <w:p w:rsidR="00BF1E3B" w:rsidRPr="00731E30" w:rsidRDefault="00DF6A0A" w:rsidP="00731E30">
      <w:pPr>
        <w:pStyle w:val="738"/>
        <w:rPr>
          <w:rtl/>
        </w:rPr>
      </w:pPr>
      <w:r w:rsidRPr="00731E30">
        <w:rPr>
          <w:rFonts w:hint="cs"/>
          <w:b w:val="0"/>
          <w:bCs w:val="0"/>
          <w:rtl/>
        </w:rPr>
        <w:t>לוח 3:</w:t>
      </w:r>
      <w:r w:rsidRPr="00731E30">
        <w:rPr>
          <w:rFonts w:hint="cs"/>
          <w:rtl/>
        </w:rPr>
        <w:t xml:space="preserve"> דפי השירות בגופים הממשלתיים שנגישותם נבדקה ושיעור הצפיות השנתי בהם, 2022 </w:t>
      </w:r>
    </w:p>
    <w:tbl>
      <w:tblPr>
        <w:tblW w:w="7313" w:type="dxa"/>
        <w:jc w:val="right"/>
        <w:tblBorders>
          <w:left w:val="single" w:sz="4" w:space="0" w:color="auto"/>
          <w:right w:val="single" w:sz="4" w:space="0" w:color="auto"/>
          <w:insideV w:val="single" w:sz="4" w:space="0" w:color="auto"/>
        </w:tblBorders>
        <w:tblLayout w:type="fixed"/>
        <w:tblLook w:val="04A0" w:firstRow="1" w:lastRow="0" w:firstColumn="1" w:lastColumn="0" w:noHBand="0" w:noVBand="1"/>
      </w:tblPr>
      <w:tblGrid>
        <w:gridCol w:w="1134"/>
        <w:gridCol w:w="2494"/>
        <w:gridCol w:w="1814"/>
        <w:gridCol w:w="1871"/>
      </w:tblGrid>
      <w:tr w:rsidR="007758ED" w:rsidTr="00731E30">
        <w:trPr>
          <w:trHeight w:val="300"/>
          <w:tblHeader/>
          <w:jc w:val="right"/>
        </w:trPr>
        <w:tc>
          <w:tcPr>
            <w:tcW w:w="1134" w:type="dxa"/>
            <w:shd w:val="clear" w:color="auto" w:fill="C8DCE4"/>
            <w:vAlign w:val="bottom"/>
          </w:tcPr>
          <w:p w:rsidR="00BF1E3B" w:rsidRPr="00731E30" w:rsidRDefault="00DF6A0A" w:rsidP="00731E30">
            <w:pPr>
              <w:pStyle w:val="73R"/>
              <w:rPr>
                <w:rFonts w:eastAsia="Times New Roman"/>
                <w:b/>
                <w:bCs/>
                <w:rtl/>
              </w:rPr>
            </w:pPr>
            <w:r w:rsidRPr="00731E30">
              <w:rPr>
                <w:rFonts w:eastAsia="Times New Roman" w:hint="eastAsia"/>
                <w:b/>
                <w:bCs/>
                <w:rtl/>
              </w:rPr>
              <w:t>מספר</w:t>
            </w:r>
            <w:r w:rsidRPr="00731E30">
              <w:rPr>
                <w:rFonts w:eastAsia="Times New Roman"/>
                <w:b/>
                <w:bCs/>
                <w:rtl/>
              </w:rPr>
              <w:t xml:space="preserve"> </w:t>
            </w:r>
            <w:r w:rsidRPr="00731E30">
              <w:rPr>
                <w:rFonts w:eastAsia="Times New Roman" w:hint="eastAsia"/>
                <w:b/>
                <w:bCs/>
                <w:rtl/>
              </w:rPr>
              <w:t>הצפיות</w:t>
            </w:r>
            <w:r w:rsidRPr="00731E30">
              <w:rPr>
                <w:rFonts w:eastAsia="Times New Roman"/>
                <w:b/>
                <w:bCs/>
                <w:rtl/>
              </w:rPr>
              <w:t xml:space="preserve"> </w:t>
            </w:r>
            <w:r w:rsidRPr="00731E30">
              <w:rPr>
                <w:rFonts w:eastAsia="Times New Roman" w:hint="eastAsia"/>
                <w:b/>
                <w:bCs/>
                <w:rtl/>
              </w:rPr>
              <w:t>בדף</w:t>
            </w:r>
            <w:r w:rsidRPr="00731E30">
              <w:rPr>
                <w:rFonts w:eastAsia="Times New Roman"/>
                <w:b/>
                <w:bCs/>
                <w:rtl/>
              </w:rPr>
              <w:t xml:space="preserve"> </w:t>
            </w:r>
            <w:r w:rsidRPr="00731E30">
              <w:rPr>
                <w:rFonts w:eastAsia="Times New Roman" w:hint="eastAsia"/>
                <w:b/>
                <w:bCs/>
                <w:rtl/>
              </w:rPr>
              <w:t>השירות</w:t>
            </w:r>
            <w:r w:rsidRPr="00731E30">
              <w:rPr>
                <w:rFonts w:eastAsia="Times New Roman"/>
                <w:b/>
                <w:bCs/>
                <w:rtl/>
              </w:rPr>
              <w:t xml:space="preserve"> </w:t>
            </w:r>
            <w:r w:rsidRPr="00731E30">
              <w:rPr>
                <w:rFonts w:eastAsia="Times New Roman" w:hint="eastAsia"/>
                <w:b/>
                <w:bCs/>
                <w:rtl/>
              </w:rPr>
              <w:t>בשנת</w:t>
            </w:r>
            <w:r w:rsidRPr="00731E30">
              <w:rPr>
                <w:rFonts w:eastAsia="Times New Roman"/>
                <w:b/>
                <w:bCs/>
                <w:rtl/>
              </w:rPr>
              <w:t xml:space="preserve"> 2022</w:t>
            </w:r>
          </w:p>
        </w:tc>
        <w:tc>
          <w:tcPr>
            <w:tcW w:w="2494" w:type="dxa"/>
            <w:shd w:val="clear" w:color="auto" w:fill="C8DCE4"/>
            <w:vAlign w:val="bottom"/>
            <w:hideMark/>
          </w:tcPr>
          <w:p w:rsidR="00BF1E3B" w:rsidRPr="00731E30" w:rsidRDefault="00DF6A0A" w:rsidP="00731E30">
            <w:pPr>
              <w:pStyle w:val="73R"/>
              <w:rPr>
                <w:rFonts w:eastAsia="Times New Roman"/>
                <w:b/>
                <w:bCs/>
                <w:color w:val="6090CC"/>
                <w:rtl/>
              </w:rPr>
            </w:pPr>
            <w:r w:rsidRPr="00731E30">
              <w:rPr>
                <w:rFonts w:eastAsia="Times New Roman"/>
                <w:b/>
                <w:bCs/>
                <w:color w:val="000000" w:themeColor="text1"/>
                <w:rtl/>
              </w:rPr>
              <w:t xml:space="preserve">כתובת דף </w:t>
            </w:r>
            <w:r w:rsidRPr="00731E30">
              <w:rPr>
                <w:rFonts w:eastAsia="Times New Roman" w:hint="eastAsia"/>
                <w:b/>
                <w:bCs/>
                <w:color w:val="000000" w:themeColor="text1"/>
                <w:rtl/>
              </w:rPr>
              <w:t>ה</w:t>
            </w:r>
            <w:r w:rsidRPr="00731E30">
              <w:rPr>
                <w:rFonts w:eastAsia="Times New Roman"/>
                <w:b/>
                <w:bCs/>
                <w:color w:val="000000" w:themeColor="text1"/>
                <w:rtl/>
              </w:rPr>
              <w:t>שירות</w:t>
            </w:r>
          </w:p>
        </w:tc>
        <w:tc>
          <w:tcPr>
            <w:tcW w:w="1814" w:type="dxa"/>
            <w:shd w:val="clear" w:color="auto" w:fill="C8DCE4"/>
            <w:vAlign w:val="bottom"/>
          </w:tcPr>
          <w:p w:rsidR="00BF1E3B" w:rsidRPr="00731E30" w:rsidRDefault="00DF6A0A" w:rsidP="00731E30">
            <w:pPr>
              <w:pStyle w:val="73R"/>
              <w:rPr>
                <w:b/>
                <w:bCs/>
                <w:rtl/>
              </w:rPr>
            </w:pPr>
            <w:r w:rsidRPr="00731E30">
              <w:rPr>
                <w:b/>
                <w:bCs/>
                <w:rtl/>
              </w:rPr>
              <w:t>שם השירות</w:t>
            </w:r>
          </w:p>
        </w:tc>
        <w:tc>
          <w:tcPr>
            <w:tcW w:w="1871" w:type="dxa"/>
            <w:shd w:val="clear" w:color="auto" w:fill="C8DCE4"/>
            <w:vAlign w:val="bottom"/>
          </w:tcPr>
          <w:p w:rsidR="00BF1E3B" w:rsidRPr="00731E30" w:rsidRDefault="00DF6A0A" w:rsidP="00731E30">
            <w:pPr>
              <w:pStyle w:val="73R"/>
              <w:rPr>
                <w:rFonts w:eastAsia="Times New Roman"/>
                <w:b/>
                <w:bCs/>
                <w:rtl/>
              </w:rPr>
            </w:pPr>
            <w:r w:rsidRPr="00731E30">
              <w:rPr>
                <w:rFonts w:hint="eastAsia"/>
                <w:b/>
                <w:bCs/>
                <w:rtl/>
              </w:rPr>
              <w:t>ה</w:t>
            </w:r>
            <w:r w:rsidRPr="00731E30">
              <w:rPr>
                <w:b/>
                <w:bCs/>
                <w:rtl/>
              </w:rPr>
              <w:t>משרד</w:t>
            </w:r>
          </w:p>
        </w:tc>
      </w:tr>
      <w:tr w:rsidR="007758ED" w:rsidTr="00731E30">
        <w:trPr>
          <w:trHeight w:val="315"/>
          <w:jc w:val="right"/>
        </w:trPr>
        <w:tc>
          <w:tcPr>
            <w:tcW w:w="1134" w:type="dxa"/>
            <w:shd w:val="clear" w:color="auto" w:fill="DFECEF"/>
          </w:tcPr>
          <w:p w:rsidR="00BF1E3B" w:rsidRPr="00CC69DF" w:rsidRDefault="00DF6A0A" w:rsidP="00731E30">
            <w:pPr>
              <w:pStyle w:val="73R"/>
              <w:rPr>
                <w:sz w:val="18"/>
              </w:rPr>
            </w:pPr>
            <w:r w:rsidRPr="00CC69DF">
              <w:rPr>
                <w:rFonts w:hint="cs"/>
                <w:sz w:val="18"/>
                <w:rtl/>
              </w:rPr>
              <w:t>1,755,256</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47" w:history="1">
              <w:r w:rsidR="00A23452" w:rsidRPr="00731E30">
                <w:rPr>
                  <w:rFonts w:eastAsia="Times New Roman"/>
                  <w:color w:val="6090CC"/>
                  <w:u w:val="single"/>
                </w:rPr>
                <w:t>https://www.gov.il/he/service/land_registration_extract</w:t>
              </w:r>
            </w:hyperlink>
          </w:p>
        </w:tc>
        <w:tc>
          <w:tcPr>
            <w:tcW w:w="1814" w:type="dxa"/>
            <w:shd w:val="clear" w:color="auto" w:fill="DFECEF"/>
          </w:tcPr>
          <w:p w:rsidR="00BF1E3B" w:rsidRPr="00CC69DF" w:rsidRDefault="00DF6A0A" w:rsidP="00731E30">
            <w:pPr>
              <w:pStyle w:val="73R"/>
              <w:rPr>
                <w:sz w:val="18"/>
                <w:rtl/>
              </w:rPr>
            </w:pPr>
            <w:r w:rsidRPr="00CC69DF">
              <w:rPr>
                <w:sz w:val="18"/>
                <w:rtl/>
              </w:rPr>
              <w:t>הפקת נסח טאבו מפנקסי המקרקעין</w:t>
            </w:r>
          </w:p>
        </w:tc>
        <w:tc>
          <w:tcPr>
            <w:tcW w:w="1871" w:type="dxa"/>
            <w:shd w:val="clear" w:color="auto" w:fill="DFECEF"/>
          </w:tcPr>
          <w:p w:rsidR="00BF1E3B" w:rsidRPr="00CC69DF" w:rsidRDefault="00DF6A0A" w:rsidP="00731E30">
            <w:pPr>
              <w:pStyle w:val="73R"/>
              <w:rPr>
                <w:sz w:val="18"/>
              </w:rPr>
            </w:pPr>
            <w:r w:rsidRPr="00CC69DF">
              <w:rPr>
                <w:rFonts w:hint="cs"/>
                <w:sz w:val="18"/>
                <w:rtl/>
              </w:rPr>
              <w:t xml:space="preserve">משרד המשפטים, </w:t>
            </w:r>
            <w:r w:rsidRPr="00CC69DF">
              <w:rPr>
                <w:sz w:val="18"/>
                <w:rtl/>
              </w:rPr>
              <w:t>הרשות לרישום והסדר זכויות מקרקעין</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Pr>
            </w:pPr>
            <w:r w:rsidRPr="00CC69DF">
              <w:rPr>
                <w:rFonts w:hint="cs"/>
                <w:sz w:val="18"/>
                <w:rtl/>
              </w:rPr>
              <w:t>1,200,849</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48" w:history="1">
              <w:r w:rsidR="00A23452" w:rsidRPr="00731E30">
                <w:rPr>
                  <w:rFonts w:eastAsia="Times New Roman"/>
                  <w:color w:val="6090CC"/>
                  <w:u w:val="single"/>
                </w:rPr>
                <w:t>https://www.gov.il/he/service/police_fine_payment</w:t>
              </w:r>
            </w:hyperlink>
          </w:p>
        </w:tc>
        <w:tc>
          <w:tcPr>
            <w:tcW w:w="1814" w:type="dxa"/>
            <w:shd w:val="clear" w:color="auto" w:fill="F0F8F9"/>
          </w:tcPr>
          <w:p w:rsidR="00BF1E3B" w:rsidRPr="00CC69DF" w:rsidRDefault="00DF6A0A" w:rsidP="00731E30">
            <w:pPr>
              <w:pStyle w:val="73R"/>
              <w:rPr>
                <w:sz w:val="18"/>
                <w:rtl/>
              </w:rPr>
            </w:pPr>
            <w:r w:rsidRPr="00CC69DF">
              <w:rPr>
                <w:sz w:val="18"/>
                <w:rtl/>
              </w:rPr>
              <w:t>תשלום קנסות תעבורה</w:t>
            </w:r>
          </w:p>
        </w:tc>
        <w:tc>
          <w:tcPr>
            <w:tcW w:w="1871" w:type="dxa"/>
            <w:shd w:val="clear" w:color="auto" w:fill="F0F8F9"/>
          </w:tcPr>
          <w:p w:rsidR="00BF1E3B" w:rsidRPr="00CC69DF" w:rsidRDefault="00DF6A0A" w:rsidP="00731E30">
            <w:pPr>
              <w:pStyle w:val="73R"/>
              <w:rPr>
                <w:sz w:val="18"/>
              </w:rPr>
            </w:pPr>
            <w:r w:rsidRPr="00CC69DF">
              <w:rPr>
                <w:sz w:val="18"/>
                <w:rtl/>
              </w:rPr>
              <w:t>משטרת ישראל</w:t>
            </w:r>
          </w:p>
        </w:tc>
      </w:tr>
      <w:tr w:rsidR="007758ED" w:rsidTr="00731E30">
        <w:trPr>
          <w:trHeight w:val="525"/>
          <w:jc w:val="right"/>
        </w:trPr>
        <w:tc>
          <w:tcPr>
            <w:tcW w:w="1134" w:type="dxa"/>
            <w:shd w:val="clear" w:color="auto" w:fill="DFECEF"/>
          </w:tcPr>
          <w:p w:rsidR="00BF1E3B" w:rsidRPr="00CC69DF" w:rsidRDefault="00DF6A0A" w:rsidP="00731E30">
            <w:pPr>
              <w:pStyle w:val="73R"/>
              <w:rPr>
                <w:sz w:val="18"/>
              </w:rPr>
            </w:pPr>
            <w:r w:rsidRPr="00CC69DF">
              <w:rPr>
                <w:rFonts w:hint="cs"/>
                <w:sz w:val="18"/>
                <w:rtl/>
              </w:rPr>
              <w:t>1,209,668</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49" w:history="1">
              <w:r w:rsidR="00A23452" w:rsidRPr="00731E30">
                <w:rPr>
                  <w:rFonts w:eastAsia="Times New Roman"/>
                  <w:color w:val="6090CC"/>
                  <w:u w:val="single"/>
                </w:rPr>
                <w:t>https://www.gov.il/he/service/request-entry-to-israel-covid19</w:t>
              </w:r>
            </w:hyperlink>
          </w:p>
        </w:tc>
        <w:tc>
          <w:tcPr>
            <w:tcW w:w="1814" w:type="dxa"/>
            <w:shd w:val="clear" w:color="auto" w:fill="DFECEF"/>
          </w:tcPr>
          <w:p w:rsidR="00BF1E3B" w:rsidRPr="00CC69DF" w:rsidRDefault="00DF6A0A" w:rsidP="00731E30">
            <w:pPr>
              <w:pStyle w:val="73R"/>
              <w:rPr>
                <w:sz w:val="18"/>
                <w:rtl/>
              </w:rPr>
            </w:pPr>
            <w:r w:rsidRPr="00CC69DF">
              <w:rPr>
                <w:sz w:val="18"/>
                <w:rtl/>
              </w:rPr>
              <w:t>הצהרת נוסע נכנס לישראל לפני טיסה (לתקופת הקורונה)</w:t>
            </w:r>
          </w:p>
        </w:tc>
        <w:tc>
          <w:tcPr>
            <w:tcW w:w="1871" w:type="dxa"/>
            <w:shd w:val="clear" w:color="auto" w:fill="DFECEF"/>
          </w:tcPr>
          <w:p w:rsidR="00BF1E3B" w:rsidRPr="00CC69DF" w:rsidRDefault="00DF6A0A" w:rsidP="00731E30">
            <w:pPr>
              <w:pStyle w:val="73R"/>
              <w:rPr>
                <w:sz w:val="18"/>
              </w:rPr>
            </w:pPr>
            <w:r w:rsidRPr="00CC69DF">
              <w:rPr>
                <w:sz w:val="18"/>
                <w:rtl/>
              </w:rPr>
              <w:t>משרד הבריאות</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Pr>
            </w:pPr>
            <w:r w:rsidRPr="00CC69DF">
              <w:rPr>
                <w:rFonts w:hint="cs"/>
                <w:sz w:val="18"/>
                <w:rtl/>
              </w:rPr>
              <w:t>3,537,263</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50" w:history="1">
              <w:r w:rsidR="00A23452" w:rsidRPr="00731E30">
                <w:rPr>
                  <w:rFonts w:eastAsia="Times New Roman"/>
                  <w:color w:val="6090CC"/>
                  <w:u w:val="single"/>
                </w:rPr>
                <w:t>https://www.gov.il/he/service/car_licence_renewal</w:t>
              </w:r>
            </w:hyperlink>
          </w:p>
        </w:tc>
        <w:tc>
          <w:tcPr>
            <w:tcW w:w="1814" w:type="dxa"/>
            <w:shd w:val="clear" w:color="auto" w:fill="F0F8F9"/>
          </w:tcPr>
          <w:p w:rsidR="00BF1E3B" w:rsidRPr="00CC69DF" w:rsidRDefault="00DF6A0A" w:rsidP="00731E30">
            <w:pPr>
              <w:pStyle w:val="73R"/>
              <w:rPr>
                <w:sz w:val="18"/>
                <w:rtl/>
              </w:rPr>
            </w:pPr>
            <w:r w:rsidRPr="00CC69DF">
              <w:rPr>
                <w:sz w:val="18"/>
                <w:rtl/>
              </w:rPr>
              <w:t>חידוש רישיון רכב</w:t>
            </w:r>
          </w:p>
        </w:tc>
        <w:tc>
          <w:tcPr>
            <w:tcW w:w="1871" w:type="dxa"/>
            <w:shd w:val="clear" w:color="auto" w:fill="F0F8F9"/>
          </w:tcPr>
          <w:p w:rsidR="00BF1E3B" w:rsidRPr="00CC69DF" w:rsidRDefault="00DF6A0A" w:rsidP="00731E30">
            <w:pPr>
              <w:pStyle w:val="73R"/>
              <w:rPr>
                <w:sz w:val="18"/>
              </w:rPr>
            </w:pPr>
            <w:r w:rsidRPr="00CC69DF">
              <w:rPr>
                <w:sz w:val="18"/>
                <w:rtl/>
              </w:rPr>
              <w:t>משרד התחבורה והבטיחות בדרכים</w:t>
            </w:r>
          </w:p>
        </w:tc>
      </w:tr>
      <w:tr w:rsidR="007758ED" w:rsidTr="00731E30">
        <w:trPr>
          <w:trHeight w:val="300"/>
          <w:jc w:val="right"/>
        </w:trPr>
        <w:tc>
          <w:tcPr>
            <w:tcW w:w="1134" w:type="dxa"/>
            <w:shd w:val="clear" w:color="auto" w:fill="DFECEF"/>
          </w:tcPr>
          <w:p w:rsidR="00BF1E3B" w:rsidRPr="00CC69DF" w:rsidRDefault="00DF6A0A" w:rsidP="00731E30">
            <w:pPr>
              <w:pStyle w:val="73R"/>
              <w:rPr>
                <w:sz w:val="18"/>
              </w:rPr>
            </w:pPr>
            <w:r w:rsidRPr="00CC69DF">
              <w:rPr>
                <w:rFonts w:hint="cs"/>
                <w:sz w:val="18"/>
                <w:rtl/>
              </w:rPr>
              <w:t>1,699,859</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51" w:history="1">
              <w:r w:rsidR="00A23452" w:rsidRPr="00731E30">
                <w:rPr>
                  <w:rFonts w:eastAsia="Times New Roman"/>
                  <w:color w:val="6090CC"/>
                  <w:u w:val="single"/>
                </w:rPr>
                <w:t>https://www.gov.il/he/service/disability_parking_badge</w:t>
              </w:r>
            </w:hyperlink>
          </w:p>
        </w:tc>
        <w:tc>
          <w:tcPr>
            <w:tcW w:w="1814" w:type="dxa"/>
            <w:shd w:val="clear" w:color="auto" w:fill="DFECEF"/>
          </w:tcPr>
          <w:p w:rsidR="00BF1E3B" w:rsidRPr="00CC69DF" w:rsidRDefault="00DF6A0A" w:rsidP="00731E30">
            <w:pPr>
              <w:pStyle w:val="73R"/>
              <w:rPr>
                <w:sz w:val="18"/>
                <w:rtl/>
              </w:rPr>
            </w:pPr>
            <w:r w:rsidRPr="00CC69DF">
              <w:rPr>
                <w:sz w:val="18"/>
                <w:rtl/>
              </w:rPr>
              <w:t>תג חניה לנכה</w:t>
            </w:r>
          </w:p>
        </w:tc>
        <w:tc>
          <w:tcPr>
            <w:tcW w:w="1871" w:type="dxa"/>
            <w:shd w:val="clear" w:color="auto" w:fill="DFECEF"/>
          </w:tcPr>
          <w:p w:rsidR="00BF1E3B" w:rsidRPr="00CC69DF" w:rsidRDefault="00DF6A0A" w:rsidP="00731E30">
            <w:pPr>
              <w:pStyle w:val="73R"/>
              <w:rPr>
                <w:sz w:val="18"/>
              </w:rPr>
            </w:pPr>
            <w:r w:rsidRPr="00CC69DF">
              <w:rPr>
                <w:sz w:val="18"/>
                <w:rtl/>
              </w:rPr>
              <w:t>משרד התחבורה והבטיחות בדרכים</w:t>
            </w:r>
          </w:p>
        </w:tc>
      </w:tr>
      <w:tr w:rsidR="007758ED" w:rsidTr="00731E30">
        <w:trPr>
          <w:trHeight w:val="585"/>
          <w:jc w:val="right"/>
        </w:trPr>
        <w:tc>
          <w:tcPr>
            <w:tcW w:w="1134" w:type="dxa"/>
            <w:shd w:val="clear" w:color="auto" w:fill="F0F8F9"/>
          </w:tcPr>
          <w:p w:rsidR="00BF1E3B" w:rsidRPr="00CC69DF" w:rsidRDefault="00DF6A0A" w:rsidP="00731E30">
            <w:pPr>
              <w:pStyle w:val="73R"/>
              <w:rPr>
                <w:sz w:val="18"/>
              </w:rPr>
            </w:pPr>
            <w:r w:rsidRPr="00CC69DF">
              <w:rPr>
                <w:rFonts w:hint="cs"/>
                <w:sz w:val="18"/>
                <w:rtl/>
              </w:rPr>
              <w:t>1,708,586</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52" w:history="1">
              <w:r w:rsidR="00A23452" w:rsidRPr="00731E30">
                <w:rPr>
                  <w:rFonts w:eastAsia="Times New Roman"/>
                  <w:color w:val="6090CC"/>
                  <w:u w:val="single"/>
                </w:rPr>
                <w:t>https://www.gov.il/he/service/apply_for_new_driver_drivers_license</w:t>
              </w:r>
            </w:hyperlink>
          </w:p>
        </w:tc>
        <w:tc>
          <w:tcPr>
            <w:tcW w:w="1814" w:type="dxa"/>
            <w:shd w:val="clear" w:color="auto" w:fill="F0F8F9"/>
          </w:tcPr>
          <w:p w:rsidR="00BF1E3B" w:rsidRPr="00CC69DF" w:rsidRDefault="00DF6A0A" w:rsidP="00731E30">
            <w:pPr>
              <w:pStyle w:val="73R"/>
              <w:rPr>
                <w:sz w:val="18"/>
                <w:rtl/>
              </w:rPr>
            </w:pPr>
            <w:r w:rsidRPr="00CC69DF">
              <w:rPr>
                <w:sz w:val="18"/>
                <w:rtl/>
              </w:rPr>
              <w:t>הוצאת רישיון נהיגה</w:t>
            </w:r>
          </w:p>
        </w:tc>
        <w:tc>
          <w:tcPr>
            <w:tcW w:w="1871" w:type="dxa"/>
            <w:shd w:val="clear" w:color="auto" w:fill="F0F8F9"/>
          </w:tcPr>
          <w:p w:rsidR="00BF1E3B" w:rsidRPr="00CC69DF" w:rsidRDefault="00DF6A0A" w:rsidP="00731E30">
            <w:pPr>
              <w:pStyle w:val="73R"/>
              <w:rPr>
                <w:sz w:val="18"/>
              </w:rPr>
            </w:pPr>
            <w:r w:rsidRPr="00CC69DF">
              <w:rPr>
                <w:sz w:val="18"/>
                <w:rtl/>
              </w:rPr>
              <w:t>משרד התחבורה והבטיחות בדרכים</w:t>
            </w:r>
          </w:p>
        </w:tc>
      </w:tr>
      <w:tr w:rsidR="007758ED" w:rsidTr="00731E30">
        <w:trPr>
          <w:trHeight w:val="300"/>
          <w:jc w:val="right"/>
        </w:trPr>
        <w:tc>
          <w:tcPr>
            <w:tcW w:w="1134" w:type="dxa"/>
            <w:shd w:val="clear" w:color="auto" w:fill="DFECEF"/>
          </w:tcPr>
          <w:p w:rsidR="00BF1E3B" w:rsidRPr="00CC69DF" w:rsidRDefault="00DF6A0A" w:rsidP="00731E30">
            <w:pPr>
              <w:pStyle w:val="73R"/>
              <w:rPr>
                <w:sz w:val="18"/>
              </w:rPr>
            </w:pPr>
            <w:r w:rsidRPr="00CC69DF">
              <w:rPr>
                <w:rFonts w:hint="cs"/>
                <w:sz w:val="18"/>
                <w:rtl/>
              </w:rPr>
              <w:t>1,182,652</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53" w:history="1">
              <w:r w:rsidR="00A23452" w:rsidRPr="00731E30">
                <w:rPr>
                  <w:rFonts w:eastAsia="Times New Roman"/>
                  <w:color w:val="6090CC"/>
                  <w:u w:val="single"/>
                </w:rPr>
                <w:t>https://www.gov.il/he/service/driving_license_renewal</w:t>
              </w:r>
            </w:hyperlink>
          </w:p>
        </w:tc>
        <w:tc>
          <w:tcPr>
            <w:tcW w:w="1814" w:type="dxa"/>
            <w:shd w:val="clear" w:color="auto" w:fill="DFECEF"/>
          </w:tcPr>
          <w:p w:rsidR="00BF1E3B" w:rsidRPr="00CC69DF" w:rsidRDefault="00DF6A0A" w:rsidP="00731E30">
            <w:pPr>
              <w:pStyle w:val="73R"/>
              <w:rPr>
                <w:sz w:val="18"/>
                <w:rtl/>
              </w:rPr>
            </w:pPr>
            <w:r w:rsidRPr="00CC69DF">
              <w:rPr>
                <w:sz w:val="18"/>
                <w:rtl/>
              </w:rPr>
              <w:t>חידוש רישיון נהיגה</w:t>
            </w:r>
          </w:p>
        </w:tc>
        <w:tc>
          <w:tcPr>
            <w:tcW w:w="1871" w:type="dxa"/>
            <w:shd w:val="clear" w:color="auto" w:fill="DFECEF"/>
          </w:tcPr>
          <w:p w:rsidR="00BF1E3B" w:rsidRPr="00CC69DF" w:rsidRDefault="00DF6A0A" w:rsidP="00731E30">
            <w:pPr>
              <w:pStyle w:val="73R"/>
              <w:rPr>
                <w:sz w:val="18"/>
              </w:rPr>
            </w:pPr>
            <w:r w:rsidRPr="00CC69DF">
              <w:rPr>
                <w:sz w:val="18"/>
                <w:rtl/>
              </w:rPr>
              <w:t>משרד התחבורה והבטיחות בדרכים</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tl/>
              </w:rPr>
            </w:pPr>
            <w:r w:rsidRPr="00CC69DF">
              <w:rPr>
                <w:rFonts w:hint="cs"/>
                <w:sz w:val="18"/>
                <w:rtl/>
              </w:rPr>
              <w:lastRenderedPageBreak/>
              <w:t>868,515</w:t>
            </w:r>
          </w:p>
          <w:p w:rsidR="00BF1E3B" w:rsidRPr="00CC69DF" w:rsidRDefault="00BF1E3B" w:rsidP="00731E30">
            <w:pPr>
              <w:pStyle w:val="73R"/>
              <w:rPr>
                <w:sz w:val="18"/>
              </w:rPr>
            </w:pP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54" w:history="1">
              <w:r w:rsidR="00A23452" w:rsidRPr="00731E30">
                <w:rPr>
                  <w:rFonts w:eastAsia="Times New Roman"/>
                  <w:color w:val="6090CC"/>
                  <w:u w:val="single"/>
                </w:rPr>
                <w:t>https://www.gov.il/he/service/ownership-vehicles-transfer</w:t>
              </w:r>
            </w:hyperlink>
          </w:p>
        </w:tc>
        <w:tc>
          <w:tcPr>
            <w:tcW w:w="1814" w:type="dxa"/>
            <w:shd w:val="clear" w:color="auto" w:fill="F0F8F9"/>
          </w:tcPr>
          <w:p w:rsidR="00BF1E3B" w:rsidRPr="00CC69DF" w:rsidRDefault="00DF6A0A" w:rsidP="00731E30">
            <w:pPr>
              <w:pStyle w:val="73R"/>
              <w:rPr>
                <w:sz w:val="18"/>
                <w:rtl/>
              </w:rPr>
            </w:pPr>
            <w:r w:rsidRPr="00CC69DF">
              <w:rPr>
                <w:sz w:val="18"/>
                <w:rtl/>
              </w:rPr>
              <w:t>העברת בעלות לכלי רכב</w:t>
            </w:r>
          </w:p>
        </w:tc>
        <w:tc>
          <w:tcPr>
            <w:tcW w:w="1871" w:type="dxa"/>
            <w:shd w:val="clear" w:color="auto" w:fill="F0F8F9"/>
          </w:tcPr>
          <w:p w:rsidR="00BF1E3B" w:rsidRPr="00CC69DF" w:rsidRDefault="00DF6A0A" w:rsidP="00731E30">
            <w:pPr>
              <w:pStyle w:val="73R"/>
              <w:rPr>
                <w:sz w:val="18"/>
              </w:rPr>
            </w:pPr>
            <w:r w:rsidRPr="00CC69DF">
              <w:rPr>
                <w:sz w:val="18"/>
                <w:rtl/>
              </w:rPr>
              <w:t>משרד התחבורה והבטיחות בדרכים</w:t>
            </w:r>
          </w:p>
        </w:tc>
      </w:tr>
      <w:tr w:rsidR="007758ED" w:rsidTr="00731E30">
        <w:trPr>
          <w:trHeight w:val="585"/>
          <w:jc w:val="right"/>
        </w:trPr>
        <w:tc>
          <w:tcPr>
            <w:tcW w:w="1134" w:type="dxa"/>
            <w:shd w:val="clear" w:color="auto" w:fill="DFECEF"/>
          </w:tcPr>
          <w:p w:rsidR="00BF1E3B" w:rsidRPr="00CC69DF" w:rsidRDefault="00DF6A0A" w:rsidP="00731E30">
            <w:pPr>
              <w:pStyle w:val="73R"/>
              <w:rPr>
                <w:sz w:val="18"/>
              </w:rPr>
            </w:pPr>
            <w:r w:rsidRPr="00CC69DF">
              <w:rPr>
                <w:rFonts w:hint="cs"/>
                <w:sz w:val="18"/>
                <w:rtl/>
              </w:rPr>
              <w:t>3,492,734</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55" w:history="1">
              <w:r w:rsidR="00A23452" w:rsidRPr="00731E30">
                <w:rPr>
                  <w:rFonts w:eastAsia="Times New Roman"/>
                  <w:color w:val="6090CC"/>
                  <w:u w:val="single"/>
                </w:rPr>
                <w:t>https://www.gov.il/he/service/application_for_biometric_passport2</w:t>
              </w:r>
            </w:hyperlink>
          </w:p>
        </w:tc>
        <w:tc>
          <w:tcPr>
            <w:tcW w:w="1814" w:type="dxa"/>
            <w:shd w:val="clear" w:color="auto" w:fill="DFECEF"/>
          </w:tcPr>
          <w:p w:rsidR="00BF1E3B" w:rsidRPr="00CC69DF" w:rsidRDefault="00DF6A0A" w:rsidP="00731E30">
            <w:pPr>
              <w:pStyle w:val="73R"/>
              <w:rPr>
                <w:sz w:val="18"/>
                <w:rtl/>
              </w:rPr>
            </w:pPr>
            <w:r w:rsidRPr="00CC69DF">
              <w:rPr>
                <w:sz w:val="18"/>
                <w:rtl/>
              </w:rPr>
              <w:t>בקשה לדרכון</w:t>
            </w:r>
          </w:p>
        </w:tc>
        <w:tc>
          <w:tcPr>
            <w:tcW w:w="1871" w:type="dxa"/>
            <w:shd w:val="clear" w:color="auto" w:fill="DFECEF"/>
          </w:tcPr>
          <w:p w:rsidR="00BF1E3B" w:rsidRPr="00CC69DF" w:rsidRDefault="00DF6A0A" w:rsidP="00731E30">
            <w:pPr>
              <w:pStyle w:val="73R"/>
              <w:rPr>
                <w:sz w:val="18"/>
              </w:rPr>
            </w:pPr>
            <w:r w:rsidRPr="00CC69DF">
              <w:rPr>
                <w:sz w:val="18"/>
                <w:rtl/>
              </w:rPr>
              <w:t>רשות האוכלוסין וההגירה</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Pr>
            </w:pPr>
            <w:r w:rsidRPr="00CC69DF">
              <w:rPr>
                <w:rFonts w:hint="cs"/>
                <w:sz w:val="18"/>
                <w:rtl/>
              </w:rPr>
              <w:t>1,097,360</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56" w:history="1">
              <w:r w:rsidR="00A23452" w:rsidRPr="00731E30">
                <w:rPr>
                  <w:rFonts w:eastAsia="Times New Roman"/>
                  <w:color w:val="6090CC"/>
                  <w:u w:val="single"/>
                </w:rPr>
                <w:t>https://www.gov.il/he/service/biometric_smart_id_request</w:t>
              </w:r>
            </w:hyperlink>
          </w:p>
        </w:tc>
        <w:tc>
          <w:tcPr>
            <w:tcW w:w="1814" w:type="dxa"/>
            <w:shd w:val="clear" w:color="auto" w:fill="F0F8F9"/>
          </w:tcPr>
          <w:p w:rsidR="00BF1E3B" w:rsidRPr="00CC69DF" w:rsidRDefault="00DF6A0A" w:rsidP="00731E30">
            <w:pPr>
              <w:pStyle w:val="73R"/>
              <w:rPr>
                <w:sz w:val="18"/>
                <w:rtl/>
              </w:rPr>
            </w:pPr>
            <w:r w:rsidRPr="00CC69DF">
              <w:rPr>
                <w:sz w:val="18"/>
                <w:rtl/>
              </w:rPr>
              <w:t xml:space="preserve">בקשה לתעודת </w:t>
            </w:r>
            <w:r w:rsidRPr="00CC69DF">
              <w:rPr>
                <w:sz w:val="18"/>
                <w:rtl/>
              </w:rPr>
              <w:t>זהות</w:t>
            </w:r>
          </w:p>
        </w:tc>
        <w:tc>
          <w:tcPr>
            <w:tcW w:w="1871" w:type="dxa"/>
            <w:shd w:val="clear" w:color="auto" w:fill="F0F8F9"/>
          </w:tcPr>
          <w:p w:rsidR="00BF1E3B" w:rsidRPr="00CC69DF" w:rsidRDefault="00DF6A0A" w:rsidP="00731E30">
            <w:pPr>
              <w:pStyle w:val="73R"/>
              <w:rPr>
                <w:sz w:val="18"/>
              </w:rPr>
            </w:pPr>
            <w:r w:rsidRPr="00CC69DF">
              <w:rPr>
                <w:sz w:val="18"/>
                <w:rtl/>
              </w:rPr>
              <w:t>רשות האוכלוסין וההגירה</w:t>
            </w:r>
          </w:p>
        </w:tc>
      </w:tr>
      <w:tr w:rsidR="007758ED" w:rsidTr="00731E30">
        <w:trPr>
          <w:trHeight w:val="300"/>
          <w:jc w:val="right"/>
        </w:trPr>
        <w:tc>
          <w:tcPr>
            <w:tcW w:w="1134" w:type="dxa"/>
            <w:shd w:val="clear" w:color="auto" w:fill="DFECEF"/>
          </w:tcPr>
          <w:p w:rsidR="00BF1E3B" w:rsidRPr="00CC69DF" w:rsidRDefault="00DF6A0A" w:rsidP="00731E30">
            <w:pPr>
              <w:pStyle w:val="73R"/>
              <w:rPr>
                <w:sz w:val="18"/>
              </w:rPr>
            </w:pPr>
            <w:r w:rsidRPr="00CC69DF">
              <w:rPr>
                <w:rFonts w:hint="cs"/>
                <w:sz w:val="18"/>
                <w:rtl/>
              </w:rPr>
              <w:t>2,487,018</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57" w:history="1">
              <w:r w:rsidR="00A23452" w:rsidRPr="00731E30">
                <w:rPr>
                  <w:rFonts w:eastAsia="Times New Roman"/>
                  <w:color w:val="6090CC"/>
                  <w:u w:val="single"/>
                </w:rPr>
                <w:t>https://www.gov.il/he/service/itc-gmishurim</w:t>
              </w:r>
            </w:hyperlink>
          </w:p>
        </w:tc>
        <w:tc>
          <w:tcPr>
            <w:tcW w:w="1814" w:type="dxa"/>
            <w:shd w:val="clear" w:color="auto" w:fill="DFECEF"/>
          </w:tcPr>
          <w:p w:rsidR="00BF1E3B" w:rsidRPr="00CC69DF" w:rsidRDefault="00DF6A0A" w:rsidP="00731E30">
            <w:pPr>
              <w:pStyle w:val="73R"/>
              <w:rPr>
                <w:sz w:val="18"/>
                <w:rtl/>
              </w:rPr>
            </w:pPr>
            <w:r w:rsidRPr="00CC69DF">
              <w:rPr>
                <w:sz w:val="18"/>
                <w:rtl/>
              </w:rPr>
              <w:t>מידע על אישורי ניכוי מס במקור וניהול ספרים</w:t>
            </w:r>
          </w:p>
        </w:tc>
        <w:tc>
          <w:tcPr>
            <w:tcW w:w="1871" w:type="dxa"/>
            <w:shd w:val="clear" w:color="auto" w:fill="DFECEF"/>
          </w:tcPr>
          <w:p w:rsidR="00BF1E3B" w:rsidRPr="00CC69DF" w:rsidRDefault="00DF6A0A" w:rsidP="00731E30">
            <w:pPr>
              <w:pStyle w:val="73R"/>
              <w:rPr>
                <w:sz w:val="18"/>
              </w:rPr>
            </w:pPr>
            <w:r w:rsidRPr="00CC69DF">
              <w:rPr>
                <w:sz w:val="18"/>
                <w:rtl/>
              </w:rPr>
              <w:t>רשות המ</w:t>
            </w:r>
            <w:r w:rsidRPr="00CC69DF">
              <w:rPr>
                <w:rFonts w:hint="cs"/>
                <w:sz w:val="18"/>
                <w:rtl/>
              </w:rPr>
              <w:t>י</w:t>
            </w:r>
            <w:r w:rsidRPr="00CC69DF">
              <w:rPr>
                <w:sz w:val="18"/>
                <w:rtl/>
              </w:rPr>
              <w:t>סים בישראל</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Pr>
            </w:pPr>
            <w:r w:rsidRPr="00CC69DF">
              <w:rPr>
                <w:rFonts w:hint="cs"/>
                <w:sz w:val="18"/>
                <w:rtl/>
              </w:rPr>
              <w:t>731,995</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58" w:history="1">
              <w:r w:rsidR="00A23452" w:rsidRPr="00731E30">
                <w:rPr>
                  <w:rFonts w:eastAsia="Times New Roman"/>
                  <w:color w:val="6090CC"/>
                  <w:u w:val="single"/>
                </w:rPr>
                <w:t>https://www.gov.il/he/service/check-status-for-job-grant</w:t>
              </w:r>
            </w:hyperlink>
          </w:p>
        </w:tc>
        <w:tc>
          <w:tcPr>
            <w:tcW w:w="1814" w:type="dxa"/>
            <w:shd w:val="clear" w:color="auto" w:fill="F0F8F9"/>
          </w:tcPr>
          <w:p w:rsidR="00BF1E3B" w:rsidRPr="00CC69DF" w:rsidRDefault="00DF6A0A" w:rsidP="00731E30">
            <w:pPr>
              <w:pStyle w:val="73R"/>
              <w:rPr>
                <w:sz w:val="18"/>
                <w:rtl/>
              </w:rPr>
            </w:pPr>
            <w:r w:rsidRPr="00CC69DF">
              <w:rPr>
                <w:sz w:val="18"/>
                <w:rtl/>
              </w:rPr>
              <w:t>בירור מצב טיפול בבקשה למענק עבודה</w:t>
            </w:r>
          </w:p>
        </w:tc>
        <w:tc>
          <w:tcPr>
            <w:tcW w:w="1871" w:type="dxa"/>
            <w:shd w:val="clear" w:color="auto" w:fill="F0F8F9"/>
          </w:tcPr>
          <w:p w:rsidR="00BF1E3B" w:rsidRPr="00CC69DF" w:rsidRDefault="00DF6A0A" w:rsidP="00731E30">
            <w:pPr>
              <w:pStyle w:val="73R"/>
              <w:rPr>
                <w:sz w:val="18"/>
              </w:rPr>
            </w:pPr>
            <w:r w:rsidRPr="00CC69DF">
              <w:rPr>
                <w:sz w:val="18"/>
                <w:rtl/>
              </w:rPr>
              <w:t>רשות המ</w:t>
            </w:r>
            <w:r w:rsidRPr="00CC69DF">
              <w:rPr>
                <w:rFonts w:hint="cs"/>
                <w:sz w:val="18"/>
                <w:rtl/>
              </w:rPr>
              <w:t>י</w:t>
            </w:r>
            <w:r w:rsidRPr="00CC69DF">
              <w:rPr>
                <w:sz w:val="18"/>
                <w:rtl/>
              </w:rPr>
              <w:t>סים בישראל</w:t>
            </w:r>
          </w:p>
        </w:tc>
      </w:tr>
      <w:tr w:rsidR="007758ED" w:rsidTr="00731E30">
        <w:trPr>
          <w:trHeight w:val="585"/>
          <w:jc w:val="right"/>
        </w:trPr>
        <w:tc>
          <w:tcPr>
            <w:tcW w:w="1134" w:type="dxa"/>
            <w:shd w:val="clear" w:color="auto" w:fill="DFECEF"/>
          </w:tcPr>
          <w:p w:rsidR="00BF1E3B" w:rsidRPr="00CC69DF" w:rsidRDefault="00DF6A0A" w:rsidP="00731E30">
            <w:pPr>
              <w:pStyle w:val="73R"/>
              <w:rPr>
                <w:sz w:val="18"/>
              </w:rPr>
            </w:pPr>
            <w:r w:rsidRPr="00CC69DF">
              <w:rPr>
                <w:rFonts w:hint="cs"/>
                <w:sz w:val="18"/>
                <w:rtl/>
              </w:rPr>
              <w:t>1,422,027</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59" w:history="1">
              <w:r w:rsidR="00A23452" w:rsidRPr="00731E30">
                <w:rPr>
                  <w:rFonts w:eastAsia="Times New Roman"/>
                  <w:color w:val="6090CC"/>
                  <w:u w:val="single"/>
                </w:rPr>
                <w:t>https://www.gov.il/he/service/submitting-an-online-claim-for-job-grant</w:t>
              </w:r>
            </w:hyperlink>
          </w:p>
        </w:tc>
        <w:tc>
          <w:tcPr>
            <w:tcW w:w="1814" w:type="dxa"/>
            <w:shd w:val="clear" w:color="auto" w:fill="DFECEF"/>
          </w:tcPr>
          <w:p w:rsidR="00BF1E3B" w:rsidRPr="00CC69DF" w:rsidRDefault="00DF6A0A" w:rsidP="00731E30">
            <w:pPr>
              <w:pStyle w:val="73R"/>
              <w:rPr>
                <w:sz w:val="18"/>
                <w:rtl/>
              </w:rPr>
            </w:pPr>
            <w:r w:rsidRPr="00CC69DF">
              <w:rPr>
                <w:sz w:val="18"/>
                <w:rtl/>
              </w:rPr>
              <w:t>הגשת בקשה למענק עבודה</w:t>
            </w:r>
          </w:p>
        </w:tc>
        <w:tc>
          <w:tcPr>
            <w:tcW w:w="1871" w:type="dxa"/>
            <w:shd w:val="clear" w:color="auto" w:fill="DFECEF"/>
          </w:tcPr>
          <w:p w:rsidR="00BF1E3B" w:rsidRPr="00CC69DF" w:rsidRDefault="00DF6A0A" w:rsidP="00731E30">
            <w:pPr>
              <w:pStyle w:val="73R"/>
              <w:rPr>
                <w:sz w:val="18"/>
              </w:rPr>
            </w:pPr>
            <w:r w:rsidRPr="00CC69DF">
              <w:rPr>
                <w:sz w:val="18"/>
                <w:rtl/>
              </w:rPr>
              <w:t>רשות המ</w:t>
            </w:r>
            <w:r w:rsidRPr="00CC69DF">
              <w:rPr>
                <w:rFonts w:hint="cs"/>
                <w:sz w:val="18"/>
                <w:rtl/>
              </w:rPr>
              <w:t>י</w:t>
            </w:r>
            <w:r w:rsidRPr="00CC69DF">
              <w:rPr>
                <w:sz w:val="18"/>
                <w:rtl/>
              </w:rPr>
              <w:t>סים בישראל</w:t>
            </w:r>
          </w:p>
        </w:tc>
      </w:tr>
      <w:tr w:rsidR="007758ED" w:rsidTr="00731E30">
        <w:trPr>
          <w:trHeight w:val="300"/>
          <w:jc w:val="right"/>
        </w:trPr>
        <w:tc>
          <w:tcPr>
            <w:tcW w:w="1134" w:type="dxa"/>
            <w:shd w:val="clear" w:color="auto" w:fill="F0F8F9"/>
          </w:tcPr>
          <w:p w:rsidR="00BF1E3B" w:rsidRPr="00CC69DF" w:rsidRDefault="00DF6A0A" w:rsidP="00731E30">
            <w:pPr>
              <w:pStyle w:val="73R"/>
              <w:rPr>
                <w:sz w:val="18"/>
              </w:rPr>
            </w:pPr>
            <w:r w:rsidRPr="00CC69DF">
              <w:rPr>
                <w:rFonts w:hint="cs"/>
                <w:sz w:val="18"/>
                <w:rtl/>
              </w:rPr>
              <w:t>1,888,637</w:t>
            </w:r>
          </w:p>
        </w:tc>
        <w:tc>
          <w:tcPr>
            <w:tcW w:w="2494" w:type="dxa"/>
            <w:shd w:val="clear" w:color="auto" w:fill="F0F8F9"/>
            <w:hideMark/>
          </w:tcPr>
          <w:p w:rsidR="00BF1E3B" w:rsidRPr="00731E30" w:rsidRDefault="00DF6A0A" w:rsidP="00731E30">
            <w:pPr>
              <w:pStyle w:val="73R"/>
              <w:rPr>
                <w:rFonts w:eastAsia="Times New Roman"/>
                <w:color w:val="6090CC"/>
                <w:u w:val="single"/>
                <w:rtl/>
              </w:rPr>
            </w:pPr>
            <w:hyperlink r:id="rId60" w:history="1">
              <w:r w:rsidR="00A23452" w:rsidRPr="00731E30">
                <w:rPr>
                  <w:rFonts w:eastAsia="Times New Roman"/>
                  <w:color w:val="6090CC"/>
                  <w:u w:val="single"/>
                </w:rPr>
                <w:t>https://www.gov.il/he/service/tax-coordination-online</w:t>
              </w:r>
            </w:hyperlink>
          </w:p>
        </w:tc>
        <w:tc>
          <w:tcPr>
            <w:tcW w:w="1814" w:type="dxa"/>
            <w:shd w:val="clear" w:color="auto" w:fill="F0F8F9"/>
          </w:tcPr>
          <w:p w:rsidR="00BF1E3B" w:rsidRPr="00CC69DF" w:rsidRDefault="00DF6A0A" w:rsidP="00731E30">
            <w:pPr>
              <w:pStyle w:val="73R"/>
              <w:rPr>
                <w:sz w:val="18"/>
                <w:rtl/>
              </w:rPr>
            </w:pPr>
            <w:r w:rsidRPr="00CC69DF">
              <w:rPr>
                <w:sz w:val="18"/>
                <w:rtl/>
              </w:rPr>
              <w:t>עריכת תיאום מס באינטרנט</w:t>
            </w:r>
          </w:p>
        </w:tc>
        <w:tc>
          <w:tcPr>
            <w:tcW w:w="1871" w:type="dxa"/>
            <w:shd w:val="clear" w:color="auto" w:fill="F0F8F9"/>
          </w:tcPr>
          <w:p w:rsidR="00BF1E3B" w:rsidRPr="00CC69DF" w:rsidRDefault="00DF6A0A" w:rsidP="00731E30">
            <w:pPr>
              <w:pStyle w:val="73R"/>
              <w:rPr>
                <w:sz w:val="18"/>
              </w:rPr>
            </w:pPr>
            <w:r w:rsidRPr="00CC69DF">
              <w:rPr>
                <w:sz w:val="18"/>
                <w:rtl/>
              </w:rPr>
              <w:t>רשות המ</w:t>
            </w:r>
            <w:r w:rsidRPr="00CC69DF">
              <w:rPr>
                <w:rFonts w:hint="cs"/>
                <w:sz w:val="18"/>
                <w:rtl/>
              </w:rPr>
              <w:t>י</w:t>
            </w:r>
            <w:r w:rsidRPr="00CC69DF">
              <w:rPr>
                <w:sz w:val="18"/>
                <w:rtl/>
              </w:rPr>
              <w:t>סים בישראל</w:t>
            </w:r>
          </w:p>
        </w:tc>
      </w:tr>
      <w:tr w:rsidR="007758ED" w:rsidTr="00731E30">
        <w:trPr>
          <w:trHeight w:val="300"/>
          <w:jc w:val="right"/>
        </w:trPr>
        <w:tc>
          <w:tcPr>
            <w:tcW w:w="1134" w:type="dxa"/>
            <w:shd w:val="clear" w:color="auto" w:fill="DFECEF"/>
          </w:tcPr>
          <w:p w:rsidR="00BF1E3B" w:rsidRPr="00CC69DF" w:rsidRDefault="00DF6A0A" w:rsidP="00731E30">
            <w:pPr>
              <w:pStyle w:val="73R"/>
              <w:rPr>
                <w:sz w:val="18"/>
              </w:rPr>
            </w:pPr>
            <w:r w:rsidRPr="00CC69DF">
              <w:rPr>
                <w:rFonts w:hint="cs"/>
                <w:sz w:val="18"/>
                <w:rtl/>
              </w:rPr>
              <w:t>841,810</w:t>
            </w:r>
          </w:p>
        </w:tc>
        <w:tc>
          <w:tcPr>
            <w:tcW w:w="2494" w:type="dxa"/>
            <w:shd w:val="clear" w:color="auto" w:fill="DFECEF"/>
            <w:hideMark/>
          </w:tcPr>
          <w:p w:rsidR="00BF1E3B" w:rsidRPr="00731E30" w:rsidRDefault="00DF6A0A" w:rsidP="00731E30">
            <w:pPr>
              <w:pStyle w:val="73R"/>
              <w:rPr>
                <w:rFonts w:eastAsia="Times New Roman"/>
                <w:color w:val="6090CC"/>
                <w:u w:val="single"/>
                <w:rtl/>
              </w:rPr>
            </w:pPr>
            <w:hyperlink r:id="rId61" w:history="1">
              <w:r w:rsidR="00A23452" w:rsidRPr="00731E30">
                <w:rPr>
                  <w:rFonts w:eastAsia="Times New Roman"/>
                  <w:color w:val="6090CC"/>
                  <w:u w:val="single"/>
                </w:rPr>
                <w:t>https://www.gov.il/he/service/real_estate_information</w:t>
              </w:r>
            </w:hyperlink>
          </w:p>
        </w:tc>
        <w:tc>
          <w:tcPr>
            <w:tcW w:w="1814" w:type="dxa"/>
            <w:shd w:val="clear" w:color="auto" w:fill="DFECEF"/>
          </w:tcPr>
          <w:p w:rsidR="00BF1E3B" w:rsidRPr="00CC69DF" w:rsidRDefault="00DF6A0A" w:rsidP="00731E30">
            <w:pPr>
              <w:pStyle w:val="73R"/>
              <w:rPr>
                <w:sz w:val="18"/>
                <w:rtl/>
              </w:rPr>
            </w:pPr>
            <w:r w:rsidRPr="00CC69DF">
              <w:rPr>
                <w:rFonts w:hint="cs"/>
                <w:sz w:val="18"/>
                <w:rtl/>
              </w:rPr>
              <w:t xml:space="preserve">מידע בנושא נדל"ן </w:t>
            </w:r>
          </w:p>
        </w:tc>
        <w:tc>
          <w:tcPr>
            <w:tcW w:w="1871" w:type="dxa"/>
            <w:shd w:val="clear" w:color="auto" w:fill="DFECEF"/>
          </w:tcPr>
          <w:p w:rsidR="00BF1E3B" w:rsidRPr="00CC69DF" w:rsidRDefault="00DF6A0A" w:rsidP="00731E30">
            <w:pPr>
              <w:pStyle w:val="73R"/>
              <w:rPr>
                <w:sz w:val="18"/>
                <w:rtl/>
              </w:rPr>
            </w:pPr>
            <w:r w:rsidRPr="00CC69DF">
              <w:rPr>
                <w:sz w:val="18"/>
                <w:rtl/>
              </w:rPr>
              <w:t xml:space="preserve">רשות </w:t>
            </w:r>
            <w:r w:rsidRPr="00CC69DF">
              <w:rPr>
                <w:rFonts w:hint="cs"/>
                <w:sz w:val="18"/>
                <w:rtl/>
              </w:rPr>
              <w:t>המיסים בישראל</w:t>
            </w:r>
          </w:p>
        </w:tc>
      </w:tr>
      <w:tr w:rsidR="007758ED" w:rsidTr="00731E30">
        <w:trPr>
          <w:trHeight w:val="74"/>
          <w:jc w:val="right"/>
        </w:trPr>
        <w:tc>
          <w:tcPr>
            <w:tcW w:w="1134" w:type="dxa"/>
            <w:shd w:val="clear" w:color="auto" w:fill="F0F8F9"/>
          </w:tcPr>
          <w:p w:rsidR="00BF1E3B" w:rsidRPr="00CC69DF" w:rsidRDefault="00DF6A0A" w:rsidP="00731E30">
            <w:pPr>
              <w:pStyle w:val="73R"/>
              <w:rPr>
                <w:sz w:val="18"/>
              </w:rPr>
            </w:pPr>
            <w:r w:rsidRPr="00CC69DF">
              <w:rPr>
                <w:rFonts w:hint="cs"/>
                <w:sz w:val="18"/>
                <w:rtl/>
              </w:rPr>
              <w:t>867,965</w:t>
            </w:r>
          </w:p>
        </w:tc>
        <w:tc>
          <w:tcPr>
            <w:tcW w:w="2494" w:type="dxa"/>
            <w:shd w:val="clear" w:color="auto" w:fill="F0F8F9"/>
            <w:hideMark/>
          </w:tcPr>
          <w:p w:rsidR="00BF1E3B" w:rsidRPr="00731E30" w:rsidRDefault="00DF6A0A" w:rsidP="00731E30">
            <w:pPr>
              <w:pStyle w:val="73R"/>
              <w:rPr>
                <w:rFonts w:ascii="Arial" w:eastAsia="Times New Roman" w:hAnsi="Arial" w:cs="Arial"/>
                <w:color w:val="6090CC"/>
                <w:szCs w:val="20"/>
                <w:u w:val="single"/>
                <w:rtl/>
              </w:rPr>
            </w:pPr>
            <w:hyperlink r:id="rId62" w:history="1">
              <w:r w:rsidR="00A23452" w:rsidRPr="00731E30">
                <w:rPr>
                  <w:rStyle w:val="Hyperlink"/>
                  <w:rFonts w:ascii="Arial" w:hAnsi="Arial" w:cs="Arial"/>
                  <w:color w:val="6090CC"/>
                  <w:szCs w:val="20"/>
                </w:rPr>
                <w:t>https://www.gov.il/he/service/my-ramitech</w:t>
              </w:r>
            </w:hyperlink>
          </w:p>
        </w:tc>
        <w:tc>
          <w:tcPr>
            <w:tcW w:w="1814" w:type="dxa"/>
            <w:shd w:val="clear" w:color="auto" w:fill="F0F8F9"/>
          </w:tcPr>
          <w:p w:rsidR="00BF1E3B" w:rsidRPr="00CC69DF" w:rsidRDefault="00DF6A0A" w:rsidP="00731E30">
            <w:pPr>
              <w:pStyle w:val="73R"/>
              <w:rPr>
                <w:sz w:val="18"/>
                <w:rtl/>
              </w:rPr>
            </w:pPr>
            <w:r w:rsidRPr="00CC69DF">
              <w:rPr>
                <w:sz w:val="18"/>
                <w:rtl/>
              </w:rPr>
              <w:t>רמ"י שלי (מידע מרשות מקרקעי ישראל)</w:t>
            </w:r>
          </w:p>
        </w:tc>
        <w:tc>
          <w:tcPr>
            <w:tcW w:w="1871" w:type="dxa"/>
            <w:shd w:val="clear" w:color="auto" w:fill="F0F8F9"/>
          </w:tcPr>
          <w:p w:rsidR="00BF1E3B" w:rsidRPr="00CC69DF" w:rsidRDefault="00DF6A0A" w:rsidP="00731E30">
            <w:pPr>
              <w:pStyle w:val="73R"/>
              <w:rPr>
                <w:rFonts w:ascii="Arial" w:eastAsia="Times New Roman" w:hAnsi="Arial" w:cs="Arial"/>
                <w:color w:val="0563C1"/>
                <w:sz w:val="18"/>
                <w:u w:val="single"/>
              </w:rPr>
            </w:pPr>
            <w:r w:rsidRPr="00CC69DF">
              <w:rPr>
                <w:sz w:val="18"/>
                <w:rtl/>
              </w:rPr>
              <w:t>רשות מקרקעי ישראל</w:t>
            </w:r>
          </w:p>
        </w:tc>
      </w:tr>
    </w:tbl>
    <w:p w:rsidR="00BF1E3B" w:rsidRPr="00731E30" w:rsidRDefault="00DF6A0A" w:rsidP="00731E30">
      <w:pPr>
        <w:pStyle w:val="73e"/>
        <w:rPr>
          <w:rtl/>
        </w:rPr>
      </w:pPr>
      <w:r w:rsidRPr="00731E30">
        <w:rPr>
          <w:rFonts w:hint="eastAsia"/>
          <w:rtl/>
        </w:rPr>
        <w:t>על</w:t>
      </w:r>
      <w:r w:rsidRPr="00731E30">
        <w:rPr>
          <w:rtl/>
        </w:rPr>
        <w:t xml:space="preserve"> פי נתוני מערך </w:t>
      </w:r>
      <w:r w:rsidRPr="00731E30">
        <w:rPr>
          <w:rFonts w:hint="eastAsia"/>
          <w:rtl/>
        </w:rPr>
        <w:t>הדיגיטל</w:t>
      </w:r>
      <w:r w:rsidRPr="00731E30">
        <w:rPr>
          <w:rtl/>
        </w:rPr>
        <w:t xml:space="preserve"> </w:t>
      </w:r>
      <w:r w:rsidRPr="00731E30">
        <w:rPr>
          <w:rFonts w:hint="eastAsia"/>
          <w:rtl/>
        </w:rPr>
        <w:t>הלאומי</w:t>
      </w:r>
      <w:r w:rsidRPr="00731E30">
        <w:rPr>
          <w:rtl/>
        </w:rPr>
        <w:t xml:space="preserve">, </w:t>
      </w:r>
      <w:r w:rsidRPr="00731E30">
        <w:rPr>
          <w:rFonts w:hint="eastAsia"/>
          <w:rtl/>
        </w:rPr>
        <w:t>בעיבוד</w:t>
      </w:r>
      <w:r w:rsidRPr="00731E30">
        <w:rPr>
          <w:rtl/>
        </w:rPr>
        <w:t xml:space="preserve"> </w:t>
      </w:r>
      <w:r w:rsidRPr="00731E30">
        <w:rPr>
          <w:rFonts w:hint="eastAsia"/>
          <w:rtl/>
        </w:rPr>
        <w:t>משרד</w:t>
      </w:r>
      <w:r w:rsidRPr="00731E30">
        <w:rPr>
          <w:rtl/>
        </w:rPr>
        <w:t xml:space="preserve"> </w:t>
      </w:r>
      <w:r w:rsidRPr="00731E30">
        <w:rPr>
          <w:rFonts w:hint="eastAsia"/>
          <w:rtl/>
        </w:rPr>
        <w:t>מבקר</w:t>
      </w:r>
      <w:r w:rsidRPr="00731E30">
        <w:rPr>
          <w:rtl/>
        </w:rPr>
        <w:t xml:space="preserve"> </w:t>
      </w:r>
      <w:r w:rsidRPr="00731E30">
        <w:rPr>
          <w:rFonts w:hint="eastAsia"/>
          <w:rtl/>
        </w:rPr>
        <w:t>המדינה</w:t>
      </w:r>
      <w:r w:rsidRPr="00731E30">
        <w:rPr>
          <w:rtl/>
        </w:rPr>
        <w:t>.</w:t>
      </w:r>
    </w:p>
    <w:p w:rsidR="00BF1E3B" w:rsidRPr="00731E30" w:rsidRDefault="00DF6A0A" w:rsidP="00731E30">
      <w:pPr>
        <w:pStyle w:val="735"/>
        <w:rPr>
          <w:rtl/>
        </w:rPr>
      </w:pPr>
      <w:r w:rsidRPr="00731E30">
        <w:rPr>
          <w:rFonts w:hint="cs"/>
          <w:rtl/>
        </w:rPr>
        <w:t>מבדיקת 16 דפי השירות של הגופים עלו הממצאים האלה:</w:t>
      </w:r>
    </w:p>
    <w:p w:rsidR="00BF1E3B" w:rsidRPr="00731E30" w:rsidRDefault="00DF6A0A">
      <w:pPr>
        <w:pStyle w:val="711"/>
        <w:numPr>
          <w:ilvl w:val="0"/>
          <w:numId w:val="16"/>
        </w:numPr>
        <w:ind w:left="623" w:hanging="396"/>
      </w:pPr>
      <w:r w:rsidRPr="00731E30">
        <w:rPr>
          <w:rFonts w:hint="cs"/>
          <w:rtl/>
        </w:rPr>
        <w:t>בכל אחד מ-16 דפי השירות הממשלתיים שנבדקו, אשר מספקים מידע למשתמש על שירות דיגיטלי באתרים ולעיתים אף קישורים לטפסים מקוונים לצורך ביצוע פעולות לקבלת השי</w:t>
      </w:r>
      <w:r w:rsidRPr="00731E30">
        <w:rPr>
          <w:rFonts w:hint="cs"/>
          <w:rtl/>
        </w:rPr>
        <w:t>רות, נמצאו לפחות שני פריטים שלא הונגשו כנדרש על פי הדין. בכך, נפגעת הגישה של אנשים עם מוגבלות למלוא המידע והשירותים שבאתרי המרשתת הממשלתיים</w:t>
      </w:r>
      <w:r>
        <w:rPr>
          <w:vertAlign w:val="superscript"/>
          <w:rtl/>
        </w:rPr>
        <w:footnoteReference w:id="78"/>
      </w:r>
      <w:r w:rsidRPr="00731E30">
        <w:rPr>
          <w:rFonts w:hint="cs"/>
          <w:rtl/>
        </w:rPr>
        <w:t>. הליקוי מתעצם נוכח העובדה שמדובר ב</w:t>
      </w:r>
      <w:r w:rsidRPr="00731E30">
        <w:rPr>
          <w:rtl/>
        </w:rPr>
        <w:t xml:space="preserve">-16 </w:t>
      </w:r>
      <w:r w:rsidRPr="00731E30">
        <w:rPr>
          <w:rFonts w:hint="eastAsia"/>
          <w:rtl/>
        </w:rPr>
        <w:t>מתוך</w:t>
      </w:r>
      <w:r w:rsidRPr="00731E30">
        <w:rPr>
          <w:rtl/>
        </w:rPr>
        <w:t xml:space="preserve"> 20 </w:t>
      </w:r>
      <w:r w:rsidRPr="00731E30">
        <w:rPr>
          <w:rFonts w:hint="eastAsia"/>
          <w:rtl/>
        </w:rPr>
        <w:t>דפי</w:t>
      </w:r>
      <w:r w:rsidRPr="00731E30">
        <w:rPr>
          <w:rtl/>
        </w:rPr>
        <w:t xml:space="preserve"> </w:t>
      </w:r>
      <w:r w:rsidRPr="00731E30">
        <w:rPr>
          <w:rFonts w:hint="eastAsia"/>
          <w:rtl/>
        </w:rPr>
        <w:lastRenderedPageBreak/>
        <w:t>השירות</w:t>
      </w:r>
      <w:r w:rsidRPr="00731E30">
        <w:rPr>
          <w:rtl/>
        </w:rPr>
        <w:t xml:space="preserve"> </w:t>
      </w:r>
      <w:r w:rsidRPr="00731E30">
        <w:rPr>
          <w:rFonts w:hint="eastAsia"/>
          <w:rtl/>
        </w:rPr>
        <w:t>הנצפים</w:t>
      </w:r>
      <w:r w:rsidRPr="00731E30">
        <w:rPr>
          <w:rtl/>
        </w:rPr>
        <w:t xml:space="preserve"> </w:t>
      </w:r>
      <w:r w:rsidRPr="00731E30">
        <w:rPr>
          <w:rFonts w:hint="eastAsia"/>
          <w:rtl/>
        </w:rPr>
        <w:t>ביותר</w:t>
      </w:r>
      <w:r w:rsidRPr="00731E30">
        <w:rPr>
          <w:rtl/>
        </w:rPr>
        <w:t xml:space="preserve"> </w:t>
      </w:r>
      <w:r w:rsidRPr="00731E30">
        <w:rPr>
          <w:rFonts w:hint="eastAsia"/>
          <w:rtl/>
        </w:rPr>
        <w:t>על</w:t>
      </w:r>
      <w:r w:rsidRPr="00731E30">
        <w:rPr>
          <w:rtl/>
        </w:rPr>
        <w:t xml:space="preserve"> </w:t>
      </w:r>
      <w:r w:rsidRPr="00731E30">
        <w:rPr>
          <w:rFonts w:hint="eastAsia"/>
          <w:rtl/>
        </w:rPr>
        <w:t>ידי</w:t>
      </w:r>
      <w:r w:rsidRPr="00731E30">
        <w:rPr>
          <w:rtl/>
        </w:rPr>
        <w:t xml:space="preserve"> </w:t>
      </w:r>
      <w:r w:rsidRPr="00731E30">
        <w:rPr>
          <w:rFonts w:hint="eastAsia"/>
          <w:rtl/>
        </w:rPr>
        <w:t>הציבור</w:t>
      </w:r>
      <w:r w:rsidRPr="00731E30">
        <w:rPr>
          <w:rFonts w:hint="cs"/>
          <w:rtl/>
        </w:rPr>
        <w:t xml:space="preserve">, דבר שמצביע על החיוניות שלהם עבור המשתמשים.   </w:t>
      </w:r>
    </w:p>
    <w:p w:rsidR="00BF1E3B" w:rsidRPr="00731E30" w:rsidRDefault="00DF6A0A">
      <w:pPr>
        <w:pStyle w:val="711"/>
        <w:numPr>
          <w:ilvl w:val="0"/>
          <w:numId w:val="16"/>
        </w:numPr>
        <w:ind w:left="623" w:hanging="396"/>
      </w:pPr>
      <w:r w:rsidRPr="00731E30">
        <w:rPr>
          <w:rFonts w:hint="cs"/>
          <w:rtl/>
        </w:rPr>
        <w:t>בכל אחד מ-16 דפי השירות שנבדקו נמצא לפחות פריט אחד</w:t>
      </w:r>
      <w:r>
        <w:rPr>
          <w:vertAlign w:val="superscript"/>
          <w:rtl/>
        </w:rPr>
        <w:footnoteReference w:id="79"/>
      </w:r>
      <w:r w:rsidRPr="00731E30">
        <w:rPr>
          <w:rFonts w:hint="cs"/>
          <w:rtl/>
        </w:rPr>
        <w:t xml:space="preserve"> שלא הונגש לתוכנת הקראת מסך אשר נדרשת כדי להנגיש מידע לאנשים עיוורים וכבדי ראייה, זאת שלא בהתאם לתקנות הנגישות. אי-הנגשה כאמור של פריט בדף שירות אשר משמש למע</w:t>
      </w:r>
      <w:r w:rsidRPr="00731E30">
        <w:rPr>
          <w:rFonts w:hint="cs"/>
          <w:rtl/>
        </w:rPr>
        <w:t xml:space="preserve">בר לטופס המקוון או אי-הנגשה של פריט בטופס המקוון עצמו פוגעת ביכולתם של משתמשים עם מוגבלות לצרוך את השירות בדרך מקוונת. </w:t>
      </w:r>
    </w:p>
    <w:p w:rsidR="00BF1E3B" w:rsidRPr="001C3D70" w:rsidRDefault="00DF6A0A" w:rsidP="001C3D70">
      <w:pPr>
        <w:pStyle w:val="73f1"/>
        <w:rPr>
          <w:rtl/>
        </w:rPr>
      </w:pPr>
      <w:r w:rsidRPr="001C3D70">
        <w:rPr>
          <w:rFonts w:hint="eastAsia"/>
          <w:rtl/>
        </w:rPr>
        <w:t>להלן</w:t>
      </w:r>
      <w:r w:rsidRPr="001C3D70">
        <w:rPr>
          <w:rtl/>
        </w:rPr>
        <w:t xml:space="preserve"> </w:t>
      </w:r>
      <w:r w:rsidRPr="001C3D70">
        <w:rPr>
          <w:rFonts w:hint="eastAsia"/>
          <w:rtl/>
        </w:rPr>
        <w:t>ארבע</w:t>
      </w:r>
      <w:r w:rsidRPr="001C3D70">
        <w:rPr>
          <w:rtl/>
        </w:rPr>
        <w:t xml:space="preserve"> </w:t>
      </w:r>
      <w:r w:rsidRPr="001C3D70">
        <w:rPr>
          <w:rFonts w:hint="eastAsia"/>
          <w:rtl/>
        </w:rPr>
        <w:t>דוגמאות</w:t>
      </w:r>
      <w:r w:rsidRPr="001C3D70">
        <w:rPr>
          <w:rtl/>
        </w:rPr>
        <w:t xml:space="preserve"> </w:t>
      </w:r>
      <w:r w:rsidRPr="001C3D70">
        <w:rPr>
          <w:rFonts w:hint="eastAsia"/>
          <w:rtl/>
        </w:rPr>
        <w:t>לליקויי</w:t>
      </w:r>
      <w:r w:rsidRPr="001C3D70">
        <w:rPr>
          <w:rtl/>
        </w:rPr>
        <w:t xml:space="preserve"> </w:t>
      </w:r>
      <w:r w:rsidRPr="001C3D70">
        <w:rPr>
          <w:rFonts w:hint="eastAsia"/>
          <w:rtl/>
        </w:rPr>
        <w:t>נגישות</w:t>
      </w:r>
      <w:r w:rsidRPr="001C3D70">
        <w:rPr>
          <w:rtl/>
        </w:rPr>
        <w:t xml:space="preserve"> </w:t>
      </w:r>
      <w:r w:rsidRPr="001C3D70">
        <w:rPr>
          <w:rFonts w:hint="eastAsia"/>
          <w:rtl/>
        </w:rPr>
        <w:t>שנמצאו</w:t>
      </w:r>
      <w:r w:rsidRPr="001C3D70">
        <w:rPr>
          <w:rtl/>
        </w:rPr>
        <w:t xml:space="preserve"> </w:t>
      </w:r>
      <w:r w:rsidRPr="001C3D70">
        <w:rPr>
          <w:rFonts w:hint="eastAsia"/>
          <w:rtl/>
        </w:rPr>
        <w:t>בדפי</w:t>
      </w:r>
      <w:r w:rsidRPr="001C3D70">
        <w:rPr>
          <w:rtl/>
        </w:rPr>
        <w:t xml:space="preserve"> </w:t>
      </w:r>
      <w:r w:rsidRPr="001C3D70">
        <w:rPr>
          <w:rFonts w:hint="eastAsia"/>
          <w:rtl/>
        </w:rPr>
        <w:t>השירות</w:t>
      </w:r>
      <w:r w:rsidRPr="001C3D70">
        <w:rPr>
          <w:rtl/>
        </w:rPr>
        <w:t xml:space="preserve"> </w:t>
      </w:r>
      <w:r w:rsidRPr="001C3D70">
        <w:rPr>
          <w:rFonts w:hint="eastAsia"/>
          <w:rtl/>
        </w:rPr>
        <w:t>שנבדקו</w:t>
      </w:r>
      <w:r w:rsidRPr="001C3D70">
        <w:rPr>
          <w:rFonts w:hint="cs"/>
          <w:rtl/>
        </w:rPr>
        <w:t>:</w:t>
      </w:r>
    </w:p>
    <w:p w:rsidR="00BF1E3B" w:rsidRPr="00F003CD" w:rsidRDefault="00DF6A0A">
      <w:pPr>
        <w:pStyle w:val="739"/>
        <w:numPr>
          <w:ilvl w:val="0"/>
          <w:numId w:val="23"/>
        </w:numPr>
        <w:ind w:left="851"/>
        <w:rPr>
          <w:rtl/>
        </w:rPr>
      </w:pPr>
      <w:r w:rsidRPr="00F003CD">
        <w:rPr>
          <w:rFonts w:hint="cs"/>
          <w:rtl/>
        </w:rPr>
        <w:t>נמצאו מקרים שבהם הוצג למשתמש "שדה" להקלדת נתונים, אולם לא הוקראה לו ה"כותרת"</w:t>
      </w:r>
      <w:r w:rsidRPr="00F003CD">
        <w:rPr>
          <w:rFonts w:hint="cs"/>
          <w:rtl/>
        </w:rPr>
        <w:t xml:space="preserve"> שבנוגע אליה הוצג ה"שדה". במקרה כזה המשתמש לא יכול לדעת איזה סוג של נתונים הוא מתבקש להקליד, ומכאן נפגעת יכולתו להשתמש בטופס המקוון. להלן דוגמה בתמונה </w:t>
      </w:r>
      <w:r>
        <w:rPr>
          <w:rFonts w:hint="cs"/>
          <w:rtl/>
        </w:rPr>
        <w:t>1</w:t>
      </w:r>
      <w:r w:rsidRPr="00F003CD">
        <w:rPr>
          <w:rFonts w:hint="cs"/>
          <w:rtl/>
        </w:rPr>
        <w:t xml:space="preserve">. </w:t>
      </w:r>
    </w:p>
    <w:p w:rsidR="00BF1E3B" w:rsidRPr="001C3D70" w:rsidRDefault="00DF6A0A" w:rsidP="001C3D70">
      <w:pPr>
        <w:pStyle w:val="738"/>
        <w:ind w:left="794"/>
        <w:rPr>
          <w:rtl/>
        </w:rPr>
      </w:pPr>
      <w:r w:rsidRPr="001C3D70">
        <w:rPr>
          <w:rFonts w:hint="eastAsia"/>
          <w:b w:val="0"/>
          <w:bCs w:val="0"/>
          <w:rtl/>
        </w:rPr>
        <w:t>תמונה</w:t>
      </w:r>
      <w:r w:rsidRPr="001C3D70">
        <w:rPr>
          <w:b w:val="0"/>
          <w:bCs w:val="0"/>
          <w:rtl/>
        </w:rPr>
        <w:t xml:space="preserve"> </w:t>
      </w:r>
      <w:r w:rsidRPr="001C3D70">
        <w:rPr>
          <w:rFonts w:hint="cs"/>
          <w:b w:val="0"/>
          <w:bCs w:val="0"/>
          <w:rtl/>
        </w:rPr>
        <w:t>1</w:t>
      </w:r>
      <w:r w:rsidRPr="001C3D70">
        <w:rPr>
          <w:b w:val="0"/>
          <w:bCs w:val="0"/>
          <w:rtl/>
        </w:rPr>
        <w:t xml:space="preserve">: </w:t>
      </w:r>
      <w:r w:rsidRPr="001C3D70">
        <w:rPr>
          <w:rtl/>
        </w:rPr>
        <w:t xml:space="preserve">צילום מסך שבו </w:t>
      </w:r>
      <w:r w:rsidRPr="001C3D70">
        <w:rPr>
          <w:rFonts w:hint="cs"/>
          <w:rtl/>
        </w:rPr>
        <w:t xml:space="preserve">כותרת השדות למילוי פרטים לא הונגשה לתוכנת קורא מסך </w:t>
      </w:r>
    </w:p>
    <w:p w:rsidR="00BF1E3B" w:rsidRPr="00F941A5" w:rsidRDefault="00DF6A0A" w:rsidP="00BF1E3B">
      <w:pPr>
        <w:jc w:val="right"/>
        <w:rPr>
          <w:rtl/>
        </w:rPr>
      </w:pPr>
      <w:r w:rsidRPr="00A75C4A">
        <w:rPr>
          <w:noProof/>
        </w:rPr>
        <w:drawing>
          <wp:inline distT="0" distB="0" distL="0" distR="0">
            <wp:extent cx="4262614" cy="1634490"/>
            <wp:effectExtent l="0" t="0" r="5080" b="3810"/>
            <wp:docPr id="2052770956" name="תמונה 2052770956" descr="בתמונה מוצגת תיבה ובה יש למלא תאריך לידה על פי שנה, חודש ויום.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6" name="תמונה 205277095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15537" cy="1654783"/>
                    </a:xfrm>
                    <a:prstGeom prst="rect">
                      <a:avLst/>
                    </a:prstGeom>
                  </pic:spPr>
                </pic:pic>
              </a:graphicData>
            </a:graphic>
          </wp:inline>
        </w:drawing>
      </w:r>
    </w:p>
    <w:p w:rsidR="00BF1E3B" w:rsidRPr="001C3D70" w:rsidRDefault="00DF6A0A" w:rsidP="001C3D70">
      <w:pPr>
        <w:pStyle w:val="73f0"/>
        <w:rPr>
          <w:rtl/>
        </w:rPr>
      </w:pPr>
      <w:r w:rsidRPr="001C3D70">
        <w:rPr>
          <w:rtl/>
        </w:rPr>
        <w:t xml:space="preserve">בבדיקה נמצא כי הכותרת "תאריך לידה" אינה מוקראת למשתמש בקורא מסך. </w:t>
      </w:r>
      <w:r w:rsidRPr="001C3D70">
        <w:rPr>
          <w:rFonts w:hint="eastAsia"/>
          <w:rtl/>
        </w:rPr>
        <w:t>ה</w:t>
      </w:r>
      <w:r w:rsidRPr="001C3D70">
        <w:rPr>
          <w:rtl/>
        </w:rPr>
        <w:t xml:space="preserve">כותרות </w:t>
      </w:r>
      <w:r w:rsidRPr="001C3D70">
        <w:rPr>
          <w:rFonts w:hint="cs"/>
          <w:rtl/>
        </w:rPr>
        <w:t xml:space="preserve">- </w:t>
      </w:r>
      <w:r w:rsidRPr="001C3D70">
        <w:rPr>
          <w:rtl/>
        </w:rPr>
        <w:t xml:space="preserve">"שנה", "חודש" ו"יום" מוקראות. </w:t>
      </w:r>
      <w:r w:rsidRPr="001C3D70">
        <w:rPr>
          <w:rFonts w:hint="eastAsia"/>
          <w:rtl/>
        </w:rPr>
        <w:t>כך</w:t>
      </w:r>
      <w:r w:rsidRPr="001C3D70">
        <w:rPr>
          <w:rtl/>
        </w:rPr>
        <w:t>, משתמש עם מוגבלות שנעזר בקורא מסך יודע שהוא מתבקש להזין פרטי תאריך אך לא שמדובר בתאריך לידה.</w:t>
      </w:r>
    </w:p>
    <w:p w:rsidR="00BF1E3B" w:rsidRPr="001C3D70" w:rsidRDefault="00DF6A0A">
      <w:pPr>
        <w:pStyle w:val="739"/>
        <w:numPr>
          <w:ilvl w:val="0"/>
          <w:numId w:val="23"/>
        </w:numPr>
        <w:ind w:left="851"/>
        <w:rPr>
          <w:rtl/>
        </w:rPr>
      </w:pPr>
      <w:r w:rsidRPr="001C3D70">
        <w:rPr>
          <w:rFonts w:hint="eastAsia"/>
          <w:rtl/>
        </w:rPr>
        <w:t>להלן</w:t>
      </w:r>
      <w:r w:rsidRPr="001C3D70">
        <w:rPr>
          <w:rtl/>
        </w:rPr>
        <w:t xml:space="preserve"> בתמונה </w:t>
      </w:r>
      <w:r w:rsidRPr="001C3D70">
        <w:rPr>
          <w:rFonts w:hint="cs"/>
          <w:rtl/>
        </w:rPr>
        <w:t xml:space="preserve">2 דוגמה נוספת - </w:t>
      </w:r>
      <w:r w:rsidRPr="001C3D70">
        <w:rPr>
          <w:rtl/>
        </w:rPr>
        <w:t xml:space="preserve">צילום </w:t>
      </w:r>
      <w:r w:rsidRPr="001C3D70">
        <w:rPr>
          <w:rFonts w:hint="eastAsia"/>
          <w:rtl/>
        </w:rPr>
        <w:t>מסך</w:t>
      </w:r>
      <w:r w:rsidRPr="001C3D70">
        <w:rPr>
          <w:rtl/>
        </w:rPr>
        <w:t xml:space="preserve"> שמתאר מקרה </w:t>
      </w:r>
      <w:r w:rsidRPr="001C3D70">
        <w:rPr>
          <w:rFonts w:hint="eastAsia"/>
          <w:rtl/>
        </w:rPr>
        <w:t>שבו</w:t>
      </w:r>
      <w:r w:rsidRPr="001C3D70">
        <w:rPr>
          <w:rtl/>
        </w:rPr>
        <w:t xml:space="preserve"> משתמש בתוכנת קורא מסך לא מקבל חיווי על מעבר למסך המשך. </w:t>
      </w:r>
    </w:p>
    <w:p w:rsidR="00BF1E3B" w:rsidRPr="001C3D70" w:rsidRDefault="00DF6A0A" w:rsidP="001C3D70">
      <w:pPr>
        <w:pStyle w:val="738"/>
        <w:ind w:left="794"/>
        <w:rPr>
          <w:rtl/>
        </w:rPr>
      </w:pPr>
      <w:r w:rsidRPr="001C3D70">
        <w:rPr>
          <w:b w:val="0"/>
          <w:bCs w:val="0"/>
          <w:noProof/>
        </w:rPr>
        <w:lastRenderedPageBreak/>
        <w:drawing>
          <wp:anchor distT="0" distB="0" distL="114300" distR="114300" simplePos="0" relativeHeight="251735040" behindDoc="0" locked="0" layoutInCell="1" allowOverlap="1">
            <wp:simplePos x="0" y="0"/>
            <wp:positionH relativeFrom="margin">
              <wp:posOffset>91440</wp:posOffset>
            </wp:positionH>
            <wp:positionV relativeFrom="paragraph">
              <wp:posOffset>596265</wp:posOffset>
            </wp:positionV>
            <wp:extent cx="3962400" cy="696595"/>
            <wp:effectExtent l="152400" t="152400" r="152400" b="154305"/>
            <wp:wrapTopAndBottom/>
            <wp:docPr id="14" name="תמונה 14" descr="בתמונה מוצגת תיבה ובה רשום המשפט: &quot;קראתי ואני מאשר את תנאי השימוש באתר&quot;. מצד ימין של התיבה יש מקום שבו המשתמש יכול לסמן V  לצורך אישו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64">
                      <a:extLst>
                        <a:ext uri="{BEBA8EAE-BF5A-486C-A8C5-ECC9F3942E4B}">
                          <a14:imgProps xmlns:a14="http://schemas.microsoft.com/office/drawing/2010/main">
                            <a14:imgLayer>
                              <a14:imgEffect>
                                <a14:sharpenSoften amount="58000"/>
                              </a14:imgEffect>
                            </a14:imgLayer>
                          </a14:imgProps>
                        </a:ext>
                        <a:ext uri="{28A0092B-C50C-407E-A947-70E740481C1C}">
                          <a14:useLocalDpi xmlns:a14="http://schemas.microsoft.com/office/drawing/2010/main" val="0"/>
                        </a:ext>
                      </a:extLst>
                    </a:blip>
                    <a:stretch>
                      <a:fillRect/>
                    </a:stretch>
                  </pic:blipFill>
                  <pic:spPr bwMode="auto">
                    <a:xfrm>
                      <a:off x="0" y="0"/>
                      <a:ext cx="3962400" cy="6965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C3D70">
        <w:rPr>
          <w:rFonts w:hint="eastAsia"/>
          <w:b w:val="0"/>
          <w:bCs w:val="0"/>
          <w:rtl/>
        </w:rPr>
        <w:t>תמונה</w:t>
      </w:r>
      <w:r w:rsidRPr="001C3D70">
        <w:rPr>
          <w:b w:val="0"/>
          <w:bCs w:val="0"/>
          <w:rtl/>
        </w:rPr>
        <w:t xml:space="preserve"> </w:t>
      </w:r>
      <w:r w:rsidRPr="001C3D70">
        <w:rPr>
          <w:rFonts w:hint="cs"/>
          <w:b w:val="0"/>
          <w:bCs w:val="0"/>
          <w:rtl/>
        </w:rPr>
        <w:t>2</w:t>
      </w:r>
      <w:r w:rsidRPr="001C3D70">
        <w:rPr>
          <w:b w:val="0"/>
          <w:bCs w:val="0"/>
          <w:rtl/>
        </w:rPr>
        <w:t>:</w:t>
      </w:r>
      <w:r w:rsidRPr="001C3D70">
        <w:rPr>
          <w:rtl/>
        </w:rPr>
        <w:t xml:space="preserve"> </w:t>
      </w:r>
      <w:r w:rsidRPr="001C3D70">
        <w:rPr>
          <w:rFonts w:hint="cs"/>
          <w:rtl/>
        </w:rPr>
        <w:t xml:space="preserve">צילום מתוך מסך שבו נדרש המשתמש לסמן "מאשר" </w:t>
      </w:r>
      <w:r w:rsidR="00D72704">
        <w:rPr>
          <w:rtl/>
        </w:rPr>
        <w:br/>
      </w:r>
      <w:r w:rsidRPr="001C3D70">
        <w:rPr>
          <w:rtl/>
        </w:rPr>
        <w:t xml:space="preserve">(לפני </w:t>
      </w:r>
      <w:r w:rsidRPr="001C3D70">
        <w:rPr>
          <w:rFonts w:hint="eastAsia"/>
          <w:rtl/>
        </w:rPr>
        <w:t>מעבר</w:t>
      </w:r>
      <w:r w:rsidRPr="001C3D70">
        <w:rPr>
          <w:rtl/>
        </w:rPr>
        <w:t xml:space="preserve"> </w:t>
      </w:r>
      <w:r w:rsidRPr="001C3D70">
        <w:rPr>
          <w:rFonts w:hint="eastAsia"/>
          <w:rtl/>
        </w:rPr>
        <w:t>למסך</w:t>
      </w:r>
      <w:r w:rsidRPr="001C3D70">
        <w:rPr>
          <w:rtl/>
        </w:rPr>
        <w:t xml:space="preserve"> </w:t>
      </w:r>
      <w:r w:rsidRPr="001C3D70">
        <w:rPr>
          <w:rFonts w:hint="eastAsia"/>
          <w:rtl/>
        </w:rPr>
        <w:t>המשך</w:t>
      </w:r>
      <w:r w:rsidRPr="001C3D70">
        <w:rPr>
          <w:rtl/>
        </w:rPr>
        <w:t>)</w:t>
      </w:r>
    </w:p>
    <w:p w:rsidR="00BF1E3B" w:rsidRPr="001C3D70" w:rsidRDefault="00DF6A0A" w:rsidP="001C3D70">
      <w:pPr>
        <w:pStyle w:val="73f0"/>
        <w:rPr>
          <w:rtl/>
        </w:rPr>
      </w:pPr>
      <w:r w:rsidRPr="001C3D70">
        <w:rPr>
          <w:rFonts w:hint="eastAsia"/>
          <w:rtl/>
        </w:rPr>
        <w:t>בבדיקה</w:t>
      </w:r>
      <w:r w:rsidRPr="001C3D70">
        <w:rPr>
          <w:rtl/>
        </w:rPr>
        <w:t xml:space="preserve"> נמצא כי משתמש בקורא מסך שסימן כי קרא ואישר את תנאי השימוש באתר, כפי שהתבקש בהודעה זו, אינו מקבל חיווי קולי על כך שפע</w:t>
      </w:r>
      <w:r w:rsidRPr="001C3D70">
        <w:rPr>
          <w:rtl/>
        </w:rPr>
        <w:t xml:space="preserve">ולותיו נקלטו ושהוא הועבר למסך ההמשך. </w:t>
      </w:r>
    </w:p>
    <w:p w:rsidR="00BF1E3B" w:rsidRPr="001C3D70" w:rsidRDefault="00DF6A0A">
      <w:pPr>
        <w:pStyle w:val="7120"/>
        <w:numPr>
          <w:ilvl w:val="0"/>
          <w:numId w:val="12"/>
        </w:numPr>
        <w:rPr>
          <w:b/>
          <w:rtl/>
        </w:rPr>
      </w:pPr>
      <w:r w:rsidRPr="001C3D70">
        <w:rPr>
          <w:rFonts w:hint="eastAsia"/>
          <w:b/>
          <w:rtl/>
        </w:rPr>
        <w:t>נמצא</w:t>
      </w:r>
      <w:r w:rsidRPr="001C3D70">
        <w:rPr>
          <w:b/>
          <w:rtl/>
        </w:rPr>
        <w:t xml:space="preserve"> </w:t>
      </w:r>
      <w:r w:rsidRPr="001C3D70">
        <w:rPr>
          <w:rFonts w:hint="eastAsia"/>
          <w:b/>
          <w:rtl/>
        </w:rPr>
        <w:t>מקרה</w:t>
      </w:r>
      <w:r w:rsidRPr="001C3D70">
        <w:rPr>
          <w:b/>
          <w:rtl/>
        </w:rPr>
        <w:t xml:space="preserve"> </w:t>
      </w:r>
      <w:r w:rsidRPr="001C3D70">
        <w:rPr>
          <w:rFonts w:hint="eastAsia"/>
          <w:b/>
          <w:rtl/>
        </w:rPr>
        <w:t>שבו</w:t>
      </w:r>
      <w:r w:rsidRPr="001C3D70">
        <w:rPr>
          <w:b/>
          <w:rtl/>
        </w:rPr>
        <w:t xml:space="preserve"> </w:t>
      </w:r>
      <w:r w:rsidRPr="001C3D70">
        <w:rPr>
          <w:rFonts w:hint="eastAsia"/>
          <w:b/>
          <w:rtl/>
        </w:rPr>
        <w:t>הודעה</w:t>
      </w:r>
      <w:r w:rsidRPr="001C3D70">
        <w:rPr>
          <w:b/>
          <w:rtl/>
        </w:rPr>
        <w:t xml:space="preserve"> "צפה"</w:t>
      </w:r>
      <w:r>
        <w:rPr>
          <w:vertAlign w:val="superscript"/>
          <w:rtl/>
        </w:rPr>
        <w:footnoteReference w:id="80"/>
      </w:r>
      <w:r w:rsidRPr="001C3D70">
        <w:rPr>
          <w:b/>
          <w:rtl/>
        </w:rPr>
        <w:t xml:space="preserve"> שמופיעה על המסך לא נגישה לתוכנת קורא מסך. </w:t>
      </w:r>
    </w:p>
    <w:p w:rsidR="00BF1E3B" w:rsidRPr="001C3D70" w:rsidRDefault="00DF6A0A" w:rsidP="001C3D70">
      <w:pPr>
        <w:pStyle w:val="738"/>
        <w:ind w:left="794"/>
        <w:rPr>
          <w:rtl/>
        </w:rPr>
      </w:pPr>
      <w:r w:rsidRPr="001C3D70">
        <w:rPr>
          <w:b w:val="0"/>
          <w:bCs w:val="0"/>
          <w:noProof/>
          <w:rtl/>
        </w:rPr>
        <w:drawing>
          <wp:anchor distT="0" distB="0" distL="114300" distR="114300" simplePos="0" relativeHeight="251743232" behindDoc="0" locked="0" layoutInCell="1" allowOverlap="1">
            <wp:simplePos x="0" y="0"/>
            <wp:positionH relativeFrom="margin">
              <wp:posOffset>91440</wp:posOffset>
            </wp:positionH>
            <wp:positionV relativeFrom="paragraph">
              <wp:posOffset>580390</wp:posOffset>
            </wp:positionV>
            <wp:extent cx="3973195" cy="1192530"/>
            <wp:effectExtent l="165100" t="165100" r="167005" b="166370"/>
            <wp:wrapTopAndBottom/>
            <wp:docPr id="2052770958" name="תמונה 2052770958" descr="בתמונה מוצגת תיבה ובה רשומה ההודעה הזו: &#10;&quot;לא קיימת תביעה על פי הנתונים שהוקלדו. למידע נוסף ניתן לפנות למרכז המידע הטלפוני: *מסים 4954*, 02-5656400&quot;. לאחר ההודעה מוצג כפתור ללחיצה ועליו רשום &quot;סגירה&quot;. לחיצה של המשתמש עליו תאפשר לו לסגור את ההודע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58" name="Picture 6" descr="C:\Users\ronit_y\Pictures\צילום מסך שני.png"/>
                    <pic:cNvPicPr>
                      <a:picLocks noChangeAspect="1" noChangeArrowheads="1"/>
                    </pic:cNvPicPr>
                  </pic:nvPicPr>
                  <pic:blipFill>
                    <a:blip r:embed="rId65">
                      <a:extLst>
                        <a:ext uri="{BEBA8EAE-BF5A-486C-A8C5-ECC9F3942E4B}">
                          <a14:imgProps xmlns:a14="http://schemas.microsoft.com/office/drawing/2010/main">
                            <a14:imgLayer>
                              <a14:imgEffect>
                                <a14:sharpenSoften amount="22000"/>
                              </a14:imgEffect>
                            </a14:imgLayer>
                          </a14:imgProps>
                        </a:ext>
                        <a:ext uri="{28A0092B-C50C-407E-A947-70E740481C1C}">
                          <a14:useLocalDpi xmlns:a14="http://schemas.microsoft.com/office/drawing/2010/main" val="0"/>
                        </a:ext>
                      </a:extLst>
                    </a:blip>
                    <a:stretch>
                      <a:fillRect/>
                    </a:stretch>
                  </pic:blipFill>
                  <pic:spPr bwMode="auto">
                    <a:xfrm>
                      <a:off x="0" y="0"/>
                      <a:ext cx="3973195" cy="11925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C3D70">
        <w:rPr>
          <w:rFonts w:hint="eastAsia"/>
          <w:b w:val="0"/>
          <w:bCs w:val="0"/>
          <w:rtl/>
        </w:rPr>
        <w:t>תמונה</w:t>
      </w:r>
      <w:r w:rsidRPr="001C3D70">
        <w:rPr>
          <w:b w:val="0"/>
          <w:bCs w:val="0"/>
          <w:rtl/>
        </w:rPr>
        <w:t xml:space="preserve"> </w:t>
      </w:r>
      <w:r w:rsidRPr="001C3D70">
        <w:rPr>
          <w:rFonts w:hint="cs"/>
          <w:b w:val="0"/>
          <w:bCs w:val="0"/>
          <w:rtl/>
        </w:rPr>
        <w:t>3</w:t>
      </w:r>
      <w:r w:rsidRPr="001C3D70">
        <w:rPr>
          <w:b w:val="0"/>
          <w:bCs w:val="0"/>
          <w:rtl/>
        </w:rPr>
        <w:t>:</w:t>
      </w:r>
      <w:r w:rsidRPr="001C3D70">
        <w:rPr>
          <w:rtl/>
        </w:rPr>
        <w:t xml:space="preserve"> </w:t>
      </w:r>
      <w:r w:rsidRPr="001C3D70">
        <w:rPr>
          <w:rFonts w:hint="eastAsia"/>
          <w:rtl/>
        </w:rPr>
        <w:t>צילום</w:t>
      </w:r>
      <w:r w:rsidRPr="001C3D70">
        <w:rPr>
          <w:rtl/>
        </w:rPr>
        <w:t xml:space="preserve"> מסך ש</w:t>
      </w:r>
      <w:r w:rsidRPr="001C3D70">
        <w:rPr>
          <w:rFonts w:hint="cs"/>
          <w:rtl/>
        </w:rPr>
        <w:t>בו</w:t>
      </w:r>
      <w:r w:rsidRPr="001C3D70">
        <w:rPr>
          <w:rtl/>
        </w:rPr>
        <w:t xml:space="preserve"> </w:t>
      </w:r>
      <w:r w:rsidRPr="001C3D70">
        <w:rPr>
          <w:rFonts w:hint="eastAsia"/>
          <w:rtl/>
        </w:rPr>
        <w:t>הודע</w:t>
      </w:r>
      <w:r w:rsidRPr="001C3D70">
        <w:rPr>
          <w:rFonts w:hint="cs"/>
          <w:rtl/>
        </w:rPr>
        <w:t xml:space="preserve">ה "צפה" שמופיעה על המסך ואינה מונגשת לתוכנת קורא מסך </w:t>
      </w:r>
    </w:p>
    <w:p w:rsidR="00BF1E3B" w:rsidRPr="001C3D70" w:rsidRDefault="00DF6A0A" w:rsidP="001C3D70">
      <w:pPr>
        <w:pStyle w:val="73f2"/>
        <w:rPr>
          <w:rtl/>
        </w:rPr>
      </w:pPr>
      <w:r w:rsidRPr="001C3D70">
        <w:rPr>
          <w:rFonts w:hint="cs"/>
          <w:rtl/>
        </w:rPr>
        <w:t xml:space="preserve">אם משתמש שגה בהקלדת מספר התביעה או שלא קיימת לו תביעה, תופיע על </w:t>
      </w:r>
      <w:r w:rsidRPr="001C3D70">
        <w:rPr>
          <w:rFonts w:hint="cs"/>
          <w:rtl/>
        </w:rPr>
        <w:t>המסך ההודעה שמוצגת בתמונה לעיל. מדובר בהודעה "</w:t>
      </w:r>
      <w:r w:rsidRPr="001C3D70">
        <w:rPr>
          <w:rtl/>
        </w:rPr>
        <w:t>צפה</w:t>
      </w:r>
      <w:r w:rsidRPr="001C3D70">
        <w:rPr>
          <w:rFonts w:hint="cs"/>
          <w:rtl/>
        </w:rPr>
        <w:t>"</w:t>
      </w:r>
      <w:r w:rsidRPr="001C3D70">
        <w:rPr>
          <w:rtl/>
        </w:rPr>
        <w:t xml:space="preserve"> (הודעת פופ</w:t>
      </w:r>
      <w:r w:rsidRPr="001C3D70">
        <w:rPr>
          <w:rFonts w:hint="cs"/>
          <w:rtl/>
        </w:rPr>
        <w:t>-</w:t>
      </w:r>
      <w:r w:rsidRPr="001C3D70">
        <w:rPr>
          <w:rtl/>
        </w:rPr>
        <w:t>אפ) ש</w:t>
      </w:r>
      <w:r w:rsidRPr="001C3D70">
        <w:rPr>
          <w:rFonts w:hint="cs"/>
          <w:rtl/>
        </w:rPr>
        <w:t xml:space="preserve">כאשר היא </w:t>
      </w:r>
      <w:r w:rsidRPr="001C3D70">
        <w:rPr>
          <w:rtl/>
        </w:rPr>
        <w:t xml:space="preserve">מופיעה </w:t>
      </w:r>
      <w:r w:rsidRPr="001C3D70">
        <w:rPr>
          <w:rFonts w:hint="cs"/>
          <w:rtl/>
        </w:rPr>
        <w:t>יש להנגישה באמצעות מיקוד (פוקוס), אחרת משתמש עיוור או כבד ראייה שנעזר ב</w:t>
      </w:r>
      <w:r w:rsidRPr="001C3D70">
        <w:rPr>
          <w:rtl/>
        </w:rPr>
        <w:t>תוכנת קורא מסך</w:t>
      </w:r>
      <w:r w:rsidRPr="001C3D70">
        <w:rPr>
          <w:rFonts w:hint="cs"/>
          <w:rtl/>
        </w:rPr>
        <w:t xml:space="preserve"> </w:t>
      </w:r>
      <w:r w:rsidRPr="001C3D70">
        <w:rPr>
          <w:rtl/>
        </w:rPr>
        <w:t>לא יודע שהיא קיימת</w:t>
      </w:r>
      <w:r w:rsidRPr="001C3D70">
        <w:rPr>
          <w:rFonts w:hint="cs"/>
          <w:rtl/>
        </w:rPr>
        <w:t xml:space="preserve">, ובמקרה ששגה בהקלדה לא ידע על כך. התאמת הנגשה להודעה "צפה" נדרשת גם </w:t>
      </w:r>
      <w:r w:rsidRPr="001C3D70">
        <w:rPr>
          <w:rFonts w:hint="cs"/>
          <w:rtl/>
        </w:rPr>
        <w:t>ל</w:t>
      </w:r>
      <w:r w:rsidRPr="001C3D70">
        <w:rPr>
          <w:rtl/>
        </w:rPr>
        <w:t>משתמש</w:t>
      </w:r>
      <w:r w:rsidRPr="001C3D70">
        <w:rPr>
          <w:rFonts w:hint="cs"/>
          <w:rtl/>
        </w:rPr>
        <w:t xml:space="preserve"> שיש לו מוגבלות בידיים וגולש רק באמצעות</w:t>
      </w:r>
      <w:r w:rsidRPr="001C3D70">
        <w:rPr>
          <w:rtl/>
        </w:rPr>
        <w:t xml:space="preserve"> מקלדת </w:t>
      </w:r>
      <w:r w:rsidRPr="001C3D70">
        <w:rPr>
          <w:rFonts w:hint="cs"/>
          <w:rtl/>
        </w:rPr>
        <w:t xml:space="preserve">(ללא שימוש בעכבר), כיוון שאחרת </w:t>
      </w:r>
      <w:r w:rsidRPr="001C3D70">
        <w:rPr>
          <w:rtl/>
        </w:rPr>
        <w:t>לא</w:t>
      </w:r>
      <w:r w:rsidRPr="001C3D70">
        <w:rPr>
          <w:rFonts w:hint="cs"/>
          <w:rtl/>
        </w:rPr>
        <w:t xml:space="preserve"> יוכל לה</w:t>
      </w:r>
      <w:r w:rsidRPr="001C3D70">
        <w:rPr>
          <w:rtl/>
        </w:rPr>
        <w:t>גיע עם המקלדת להודעה זו</w:t>
      </w:r>
      <w:r w:rsidRPr="001C3D70">
        <w:rPr>
          <w:rFonts w:hint="cs"/>
          <w:rtl/>
        </w:rPr>
        <w:t xml:space="preserve"> כדי לסגור אותה. </w:t>
      </w:r>
    </w:p>
    <w:p w:rsidR="00BF1E3B" w:rsidRPr="001C3D70" w:rsidRDefault="00DF6A0A">
      <w:pPr>
        <w:pStyle w:val="711"/>
        <w:numPr>
          <w:ilvl w:val="0"/>
          <w:numId w:val="16"/>
        </w:numPr>
        <w:ind w:left="623" w:hanging="396"/>
        <w:rPr>
          <w:rtl/>
        </w:rPr>
      </w:pPr>
      <w:r w:rsidRPr="001C3D70">
        <w:rPr>
          <w:rFonts w:hint="cs"/>
          <w:rtl/>
        </w:rPr>
        <w:t>בשלושה מתוך 16 דפי השירות הממשלתיים (</w:t>
      </w:r>
      <w:r w:rsidRPr="001C3D70">
        <w:rPr>
          <w:rtl/>
        </w:rPr>
        <w:t>מידע על אישורי ניכוי מס במקור וניהול ספרים</w:t>
      </w:r>
      <w:r w:rsidRPr="001C3D70">
        <w:rPr>
          <w:rFonts w:hint="cs"/>
          <w:rtl/>
        </w:rPr>
        <w:t>- רשות המיסים</w:t>
      </w:r>
      <w:r w:rsidRPr="001C3D70">
        <w:rPr>
          <w:rtl/>
        </w:rPr>
        <w:t xml:space="preserve">, הצהרת נוסע נכנס לישראל לפני </w:t>
      </w:r>
      <w:r w:rsidRPr="001C3D70">
        <w:rPr>
          <w:rtl/>
        </w:rPr>
        <w:t>טיסה (לתקופת הקורונה)</w:t>
      </w:r>
      <w:r w:rsidRPr="001C3D70">
        <w:rPr>
          <w:rFonts w:hint="cs"/>
          <w:rtl/>
        </w:rPr>
        <w:t xml:space="preserve"> - משרד הבריאות</w:t>
      </w:r>
      <w:r w:rsidRPr="001C3D70">
        <w:rPr>
          <w:rtl/>
        </w:rPr>
        <w:t xml:space="preserve"> והוצאת רישיון נהיגה</w:t>
      </w:r>
      <w:r w:rsidRPr="001C3D70">
        <w:rPr>
          <w:rFonts w:hint="cs"/>
          <w:rtl/>
        </w:rPr>
        <w:t xml:space="preserve"> - משרד התחבורה והבטיחות בדרכים) שנבדקו נמצא פריט אחד שהוצג על המסך ברמת ניגודיות נמוכה מזו הנדרשת על פי התקן </w:t>
      </w:r>
      <w:r w:rsidRPr="001C3D70">
        <w:rPr>
          <w:rFonts w:hint="cs"/>
          <w:rtl/>
        </w:rPr>
        <w:lastRenderedPageBreak/>
        <w:t>של מכון התקנים הישראלי כדי לאפשר לאנשים עם מוגבלות ראייה לקרוא את הטקסט</w:t>
      </w:r>
      <w:r>
        <w:rPr>
          <w:vertAlign w:val="superscript"/>
          <w:rtl/>
        </w:rPr>
        <w:footnoteReference w:id="81"/>
      </w:r>
      <w:r w:rsidRPr="001C3D70">
        <w:rPr>
          <w:rFonts w:hint="cs"/>
          <w:rtl/>
        </w:rPr>
        <w:t xml:space="preserve">. </w:t>
      </w:r>
    </w:p>
    <w:p w:rsidR="00BF1E3B" w:rsidRPr="004B4DC3" w:rsidRDefault="00DF6A0A" w:rsidP="004B4DC3">
      <w:pPr>
        <w:pStyle w:val="735"/>
        <w:rPr>
          <w:rtl/>
        </w:rPr>
      </w:pPr>
      <w:r w:rsidRPr="004B4DC3">
        <w:rPr>
          <w:rFonts w:hint="eastAsia"/>
          <w:rtl/>
        </w:rPr>
        <w:t>על</w:t>
      </w:r>
      <w:r w:rsidRPr="004B4DC3">
        <w:rPr>
          <w:rtl/>
        </w:rPr>
        <w:t xml:space="preserve"> </w:t>
      </w:r>
      <w:r w:rsidRPr="004B4DC3">
        <w:rPr>
          <w:rFonts w:hint="cs"/>
          <w:rtl/>
        </w:rPr>
        <w:t>מערך הדיגיטל</w:t>
      </w:r>
      <w:r w:rsidRPr="004B4DC3">
        <w:rPr>
          <w:rFonts w:hint="cs"/>
          <w:rtl/>
        </w:rPr>
        <w:t xml:space="preserve"> הממשלתי הפועל להנגשת השירותים המקוונים של משרדי הממשלה ועל </w:t>
      </w:r>
      <w:r w:rsidRPr="004B4DC3">
        <w:rPr>
          <w:rFonts w:hint="eastAsia"/>
          <w:rtl/>
        </w:rPr>
        <w:t>כל</w:t>
      </w:r>
      <w:r w:rsidRPr="004B4DC3">
        <w:rPr>
          <w:rtl/>
        </w:rPr>
        <w:t xml:space="preserve"> </w:t>
      </w:r>
      <w:r w:rsidRPr="004B4DC3">
        <w:rPr>
          <w:rFonts w:hint="eastAsia"/>
          <w:rtl/>
        </w:rPr>
        <w:t>אחד</w:t>
      </w:r>
      <w:r w:rsidRPr="004B4DC3">
        <w:rPr>
          <w:rtl/>
        </w:rPr>
        <w:t xml:space="preserve"> </w:t>
      </w:r>
      <w:r w:rsidRPr="004B4DC3">
        <w:rPr>
          <w:rFonts w:hint="eastAsia"/>
          <w:rtl/>
        </w:rPr>
        <w:t>מה</w:t>
      </w:r>
      <w:r w:rsidRPr="004B4DC3">
        <w:rPr>
          <w:rFonts w:hint="cs"/>
          <w:rtl/>
        </w:rPr>
        <w:t xml:space="preserve">גופים הממשלתיים </w:t>
      </w:r>
      <w:r w:rsidRPr="004B4DC3">
        <w:rPr>
          <w:rFonts w:hint="eastAsia"/>
          <w:rtl/>
        </w:rPr>
        <w:t>המנהלים</w:t>
      </w:r>
      <w:r w:rsidRPr="004B4DC3">
        <w:rPr>
          <w:rtl/>
        </w:rPr>
        <w:t xml:space="preserve"> </w:t>
      </w:r>
      <w:r w:rsidRPr="004B4DC3">
        <w:rPr>
          <w:rFonts w:hint="eastAsia"/>
          <w:rtl/>
        </w:rPr>
        <w:t>את</w:t>
      </w:r>
      <w:r w:rsidRPr="004B4DC3">
        <w:rPr>
          <w:rtl/>
        </w:rPr>
        <w:t xml:space="preserve"> 16 </w:t>
      </w:r>
      <w:r w:rsidRPr="004B4DC3">
        <w:rPr>
          <w:rFonts w:hint="eastAsia"/>
          <w:rtl/>
        </w:rPr>
        <w:t>דפי</w:t>
      </w:r>
      <w:r w:rsidRPr="004B4DC3">
        <w:rPr>
          <w:rtl/>
        </w:rPr>
        <w:t xml:space="preserve"> </w:t>
      </w:r>
      <w:r w:rsidRPr="004B4DC3">
        <w:rPr>
          <w:rFonts w:hint="eastAsia"/>
          <w:rtl/>
        </w:rPr>
        <w:t>השירות</w:t>
      </w:r>
      <w:r w:rsidRPr="004B4DC3">
        <w:rPr>
          <w:rtl/>
        </w:rPr>
        <w:t xml:space="preserve"> </w:t>
      </w:r>
      <w:r w:rsidRPr="004B4DC3">
        <w:rPr>
          <w:rFonts w:hint="eastAsia"/>
          <w:rtl/>
        </w:rPr>
        <w:t>שנבדקו</w:t>
      </w:r>
      <w:r w:rsidRPr="004B4DC3">
        <w:rPr>
          <w:rFonts w:hint="cs"/>
          <w:rtl/>
        </w:rPr>
        <w:t xml:space="preserve"> בביקורת ונמצאו בהם ליקויים</w:t>
      </w:r>
      <w:r w:rsidRPr="004B4DC3">
        <w:rPr>
          <w:rtl/>
        </w:rPr>
        <w:t xml:space="preserve"> </w:t>
      </w:r>
      <w:r w:rsidRPr="004B4DC3">
        <w:rPr>
          <w:rFonts w:hint="eastAsia"/>
          <w:rtl/>
        </w:rPr>
        <w:t>לפעול</w:t>
      </w:r>
      <w:r w:rsidRPr="004B4DC3">
        <w:rPr>
          <w:rtl/>
        </w:rPr>
        <w:t xml:space="preserve"> </w:t>
      </w:r>
      <w:r w:rsidRPr="004B4DC3">
        <w:rPr>
          <w:rFonts w:hint="eastAsia"/>
          <w:rtl/>
        </w:rPr>
        <w:t>ל</w:t>
      </w:r>
      <w:r w:rsidRPr="004B4DC3">
        <w:rPr>
          <w:rFonts w:hint="cs"/>
          <w:rtl/>
        </w:rPr>
        <w:t>הנגשה מלאה של דפי השירות והטפסים המקוונים,</w:t>
      </w:r>
      <w:r w:rsidRPr="004B4DC3">
        <w:rPr>
          <w:rtl/>
        </w:rPr>
        <w:t xml:space="preserve"> </w:t>
      </w:r>
      <w:r w:rsidRPr="004B4DC3">
        <w:rPr>
          <w:rFonts w:hint="cs"/>
          <w:rtl/>
        </w:rPr>
        <w:t>באופן שיקנה לאנשים עם מוגבלות את האפשרות לקבל מידע על השירותים</w:t>
      </w:r>
      <w:r w:rsidRPr="004B4DC3">
        <w:rPr>
          <w:rFonts w:hint="cs"/>
          <w:rtl/>
        </w:rPr>
        <w:t xml:space="preserve"> ולצרוך אותם בדרך מקוונת כיתר הציבור. מומלץ כי נציבות שוויון זכויות לאנשים עם מוגבלות תשלב בבקרות הנגישות שהיא עושה בגופים שונים גם בדיקה של דפי שירות דיגיטליים של גופי ממשל. </w:t>
      </w:r>
    </w:p>
    <w:p w:rsidR="00BF1E3B" w:rsidRDefault="00DF6A0A" w:rsidP="00C619CC">
      <w:pPr>
        <w:pStyle w:val="7392"/>
        <w:rPr>
          <w:rtl/>
        </w:rPr>
      </w:pPr>
      <w:r>
        <w:rPr>
          <w:rFonts w:hint="cs"/>
          <w:rtl/>
        </w:rPr>
        <w:t>מערך הדיגיטל הלאומי מסר בתשובתו כי בין דפי השירות שנבדקו על ידי משרד מבקר המדינה</w:t>
      </w:r>
      <w:r>
        <w:rPr>
          <w:rFonts w:hint="cs"/>
          <w:rtl/>
        </w:rPr>
        <w:t xml:space="preserve"> יש המפנים למערכות מחשוב שלא פותחו על ידו, והליקויים באותם דפים נוגעים למערכות מחשוב ששייכות לגופי ממשל אחרים ונמצאות בתחום אחריותם. לגבי הדפים הנוגעים לתחום אחריותו מסר מערך הדיגיטל כי הם הועברו לבדיקת יועץ הנגישות לבחינת נגישותם "מקצה לקצה". מערך הדיגיטל</w:t>
      </w:r>
      <w:r>
        <w:rPr>
          <w:rFonts w:hint="cs"/>
          <w:rtl/>
        </w:rPr>
        <w:t xml:space="preserve"> הוסיף כי יפעל להשלים את התיקונים שקשורים לתחום אחריותו, וכי הוא "שם לנגד עיניו חשיבות רבה להנגשה [של] השירותים השונים לאנשים עם מוגבלויות. [המערך]... אחראי על הנגשת הפלטפורמות השונות המשמשות את משרדי הממשלה למתן השירותים השונים לאזרחים. כלל הפלטפורמות השו</w:t>
      </w:r>
      <w:r>
        <w:rPr>
          <w:rFonts w:hint="cs"/>
          <w:rtl/>
        </w:rPr>
        <w:t xml:space="preserve">נות, ובפרט דפי השירות, עוברים בדיקות נגישות תקופתיות כנדרש בתקנות". </w:t>
      </w:r>
    </w:p>
    <w:p w:rsidR="00BF1E3B" w:rsidRPr="002511D9" w:rsidRDefault="00DF6A0A" w:rsidP="00C619CC">
      <w:pPr>
        <w:pStyle w:val="7392"/>
      </w:pPr>
      <w:r>
        <w:rPr>
          <w:rFonts w:hint="cs"/>
          <w:rtl/>
        </w:rPr>
        <w:t xml:space="preserve">להלן תשובות הגופים שבדפי השירות שנבדקו יש הפניה למערכות מחשוב שנמצאות בתחום אחריותם. </w:t>
      </w:r>
      <w:r w:rsidRPr="00597F43">
        <w:rPr>
          <w:rFonts w:hint="cs"/>
          <w:b/>
          <w:bCs/>
          <w:rtl/>
        </w:rPr>
        <w:t>רשות המיסים</w:t>
      </w:r>
      <w:r>
        <w:rPr>
          <w:rFonts w:hint="cs"/>
          <w:rtl/>
        </w:rPr>
        <w:t xml:space="preserve"> מסרה בתשובתה למשרד מבקר המדינה כי היא "מקבלת את המלצת המבקר, והליקויים בדפי השירות יטופלו במהלך שנת 2023". </w:t>
      </w:r>
      <w:r w:rsidRPr="00597F43">
        <w:rPr>
          <w:b/>
          <w:bCs/>
          <w:rtl/>
        </w:rPr>
        <w:t>משרד הבריאות</w:t>
      </w:r>
      <w:r w:rsidRPr="002511D9">
        <w:rPr>
          <w:rtl/>
        </w:rPr>
        <w:t xml:space="preserve"> </w:t>
      </w:r>
      <w:r>
        <w:rPr>
          <w:rFonts w:hint="cs"/>
          <w:rtl/>
        </w:rPr>
        <w:t xml:space="preserve">מסר כי </w:t>
      </w:r>
      <w:r w:rsidRPr="002511D9">
        <w:rPr>
          <w:rFonts w:hint="eastAsia"/>
          <w:rtl/>
        </w:rPr>
        <w:t>דף</w:t>
      </w:r>
      <w:r w:rsidRPr="002511D9">
        <w:rPr>
          <w:rtl/>
        </w:rPr>
        <w:t xml:space="preserve"> </w:t>
      </w:r>
      <w:r w:rsidRPr="002511D9">
        <w:rPr>
          <w:rFonts w:hint="eastAsia"/>
          <w:rtl/>
        </w:rPr>
        <w:t>השירות</w:t>
      </w:r>
      <w:r w:rsidRPr="002511D9">
        <w:rPr>
          <w:rtl/>
        </w:rPr>
        <w:t xml:space="preserve"> </w:t>
      </w:r>
      <w:r w:rsidRPr="002511D9">
        <w:rPr>
          <w:rFonts w:hint="eastAsia"/>
          <w:rtl/>
        </w:rPr>
        <w:t>שנבדק</w:t>
      </w:r>
      <w:r w:rsidRPr="002511D9">
        <w:rPr>
          <w:rtl/>
        </w:rPr>
        <w:t xml:space="preserve"> </w:t>
      </w:r>
      <w:r w:rsidRPr="002511D9">
        <w:rPr>
          <w:rFonts w:hint="eastAsia"/>
          <w:rtl/>
        </w:rPr>
        <w:t>אינו</w:t>
      </w:r>
      <w:r w:rsidRPr="002511D9">
        <w:rPr>
          <w:rtl/>
        </w:rPr>
        <w:t xml:space="preserve"> </w:t>
      </w:r>
      <w:r w:rsidRPr="002511D9">
        <w:rPr>
          <w:rFonts w:hint="eastAsia"/>
          <w:rtl/>
        </w:rPr>
        <w:t>בשימוש</w:t>
      </w:r>
      <w:r w:rsidRPr="002511D9">
        <w:rPr>
          <w:rtl/>
        </w:rPr>
        <w:t xml:space="preserve"> </w:t>
      </w:r>
      <w:r w:rsidRPr="002511D9">
        <w:rPr>
          <w:rFonts w:hint="eastAsia"/>
          <w:rtl/>
        </w:rPr>
        <w:t>בעת</w:t>
      </w:r>
      <w:r w:rsidRPr="002511D9">
        <w:rPr>
          <w:rtl/>
        </w:rPr>
        <w:t xml:space="preserve"> </w:t>
      </w:r>
      <w:r w:rsidRPr="002511D9">
        <w:rPr>
          <w:rFonts w:hint="eastAsia"/>
          <w:rtl/>
        </w:rPr>
        <w:t>הנוכחית</w:t>
      </w:r>
      <w:r>
        <w:rPr>
          <w:rFonts w:hint="cs"/>
          <w:rtl/>
        </w:rPr>
        <w:t>,</w:t>
      </w:r>
      <w:r w:rsidRPr="002511D9">
        <w:rPr>
          <w:rtl/>
        </w:rPr>
        <w:t xml:space="preserve"> וכי </w:t>
      </w:r>
      <w:r>
        <w:rPr>
          <w:rFonts w:hint="cs"/>
          <w:rtl/>
        </w:rPr>
        <w:t xml:space="preserve">הוא </w:t>
      </w:r>
      <w:r w:rsidRPr="002511D9">
        <w:rPr>
          <w:rtl/>
        </w:rPr>
        <w:t xml:space="preserve">יבצע </w:t>
      </w:r>
      <w:r w:rsidRPr="002511D9">
        <w:rPr>
          <w:rFonts w:hint="eastAsia"/>
          <w:rtl/>
        </w:rPr>
        <w:t>את</w:t>
      </w:r>
      <w:r w:rsidRPr="002511D9">
        <w:rPr>
          <w:rtl/>
        </w:rPr>
        <w:t xml:space="preserve"> </w:t>
      </w:r>
      <w:r w:rsidRPr="002511D9">
        <w:rPr>
          <w:rFonts w:hint="eastAsia"/>
          <w:rtl/>
        </w:rPr>
        <w:t>התיקונים</w:t>
      </w:r>
      <w:r w:rsidRPr="002511D9">
        <w:rPr>
          <w:rtl/>
        </w:rPr>
        <w:t xml:space="preserve"> </w:t>
      </w:r>
      <w:r w:rsidRPr="002511D9">
        <w:rPr>
          <w:rFonts w:hint="eastAsia"/>
          <w:rtl/>
        </w:rPr>
        <w:t>הנדרשים</w:t>
      </w:r>
      <w:r w:rsidRPr="002511D9">
        <w:rPr>
          <w:rtl/>
        </w:rPr>
        <w:t xml:space="preserve"> בדף זה "</w:t>
      </w:r>
      <w:r w:rsidRPr="002511D9">
        <w:rPr>
          <w:rFonts w:hint="eastAsia"/>
          <w:rtl/>
        </w:rPr>
        <w:t>לפני</w:t>
      </w:r>
      <w:r w:rsidRPr="002511D9">
        <w:rPr>
          <w:rtl/>
        </w:rPr>
        <w:t xml:space="preserve"> עלייתו לאוויר ככל שיידרש". </w:t>
      </w:r>
    </w:p>
    <w:p w:rsidR="00BF1E3B" w:rsidRPr="00FE5D2A" w:rsidRDefault="00DF6A0A" w:rsidP="00FE5D2A">
      <w:pPr>
        <w:pStyle w:val="73fa"/>
        <w:rPr>
          <w:rtl/>
        </w:rPr>
      </w:pPr>
      <w:r w:rsidRPr="00FE5D2A">
        <w:rPr>
          <w:rtl/>
        </w:rPr>
        <w:t>✰</w:t>
      </w:r>
    </w:p>
    <w:p w:rsidR="00BF1E3B" w:rsidRPr="004B4DC3" w:rsidRDefault="00DF6A0A" w:rsidP="004B4DC3">
      <w:pPr>
        <w:pStyle w:val="735"/>
        <w:rPr>
          <w:rtl/>
        </w:rPr>
      </w:pPr>
      <w:r w:rsidRPr="004B4DC3">
        <w:rPr>
          <w:rFonts w:hint="cs"/>
          <w:rtl/>
        </w:rPr>
        <w:t>בבדיקת משרד</w:t>
      </w:r>
      <w:r w:rsidRPr="004B4DC3">
        <w:rPr>
          <w:rFonts w:hint="cs"/>
          <w:rtl/>
        </w:rPr>
        <w:t xml:space="preserve"> מבקר המדינה ביוני 2022 נמצא כי בכל אחד מ-15 אתרי המרשתת שנבדקו ואותם מפעילים גופי הממשל קיימים פריטים שאינם מונגשים כדין לאנשים עם מוגבלויות שונות כגון  ליקויי ראייה, מוגבלות בידיים וקשיי קשב וריכוז. במסגרת זו נמצאו, בין היתר, מסמכים, דפי שירות, טפסים מקו</w:t>
      </w:r>
      <w:r w:rsidRPr="004B4DC3">
        <w:rPr>
          <w:rFonts w:hint="cs"/>
          <w:rtl/>
        </w:rPr>
        <w:t>ונים ואלמנטים ויזואליים שלא היו מונגשים כנדרש. פערים בהנגשה כאמור מקשים על אנשים עם מוגבלות למצות את זכותם על פי דין לגישה מלאה ועצמאית לאתרים אלה, והם אינם עולים בקנה אחד עם חובתם של גופי הממשל להעניק שירות שוויוני לכלל מקבלי השירות. יש לראות ממצאים אלה ע</w:t>
      </w:r>
      <w:r w:rsidRPr="004B4DC3">
        <w:rPr>
          <w:rFonts w:hint="cs"/>
          <w:rtl/>
        </w:rPr>
        <w:t>ל רקע הנתונים על שיעור השימוש באתרי המרשתת הממשלתיים בקרב אנשים עם מוגבלות, הנמוך בכ-16% משיעור המשתמשים בקרב אנשים באוכלוסייה הכללית. נוסף על כך, בדיקת נגישות שעשה מבקר המדינה ב-16 מבין דפי השירות הנצפים ביותר על ידי הציבור העלתה כי בכל אחד מהם קיים לפחות</w:t>
      </w:r>
      <w:r w:rsidRPr="004B4DC3">
        <w:rPr>
          <w:rFonts w:hint="cs"/>
          <w:rtl/>
        </w:rPr>
        <w:t xml:space="preserve"> פריט אחד שלא הונגש. </w:t>
      </w:r>
    </w:p>
    <w:p w:rsidR="00BF1E3B" w:rsidRPr="004B4DC3" w:rsidRDefault="00DF6A0A" w:rsidP="004B4DC3">
      <w:pPr>
        <w:pStyle w:val="735"/>
        <w:rPr>
          <w:rtl/>
        </w:rPr>
      </w:pPr>
      <w:r w:rsidRPr="004B4DC3">
        <w:rPr>
          <w:rFonts w:hint="cs"/>
          <w:rtl/>
        </w:rPr>
        <w:lastRenderedPageBreak/>
        <w:t xml:space="preserve">על הגופים שבהם בוצעו בדיקות משרד מבקר המדינה להסדיר את הנגישות באתרי המרשתת. בכל הנוגע לדפי שירות, </w:t>
      </w:r>
      <w:r w:rsidRPr="004B4DC3">
        <w:rPr>
          <w:rFonts w:hint="eastAsia"/>
          <w:rtl/>
        </w:rPr>
        <w:t>על</w:t>
      </w:r>
      <w:r w:rsidRPr="004B4DC3">
        <w:rPr>
          <w:rtl/>
        </w:rPr>
        <w:t xml:space="preserve"> הגופים שבהם בוצעו בדיקות משרד מבקר המדינה </w:t>
      </w:r>
      <w:r w:rsidRPr="004B4DC3">
        <w:rPr>
          <w:rFonts w:hint="eastAsia"/>
          <w:rtl/>
        </w:rPr>
        <w:t>בין</w:t>
      </w:r>
      <w:r w:rsidRPr="004B4DC3">
        <w:rPr>
          <w:rFonts w:hint="cs"/>
          <w:rtl/>
        </w:rPr>
        <w:t xml:space="preserve"> אם </w:t>
      </w:r>
      <w:r w:rsidRPr="004B4DC3">
        <w:rPr>
          <w:rFonts w:hint="eastAsia"/>
          <w:rtl/>
        </w:rPr>
        <w:t>דפי</w:t>
      </w:r>
      <w:r w:rsidRPr="004B4DC3">
        <w:rPr>
          <w:rtl/>
        </w:rPr>
        <w:t xml:space="preserve"> </w:t>
      </w:r>
      <w:r w:rsidRPr="004B4DC3">
        <w:rPr>
          <w:rFonts w:hint="eastAsia"/>
          <w:rtl/>
        </w:rPr>
        <w:t>השירות</w:t>
      </w:r>
      <w:r w:rsidRPr="004B4DC3">
        <w:rPr>
          <w:rtl/>
        </w:rPr>
        <w:t xml:space="preserve"> </w:t>
      </w:r>
      <w:r w:rsidRPr="004B4DC3">
        <w:rPr>
          <w:rFonts w:hint="eastAsia"/>
          <w:rtl/>
        </w:rPr>
        <w:t>שלהם</w:t>
      </w:r>
      <w:r w:rsidRPr="004B4DC3">
        <w:rPr>
          <w:rtl/>
        </w:rPr>
        <w:t xml:space="preserve"> </w:t>
      </w:r>
      <w:r w:rsidRPr="004B4DC3">
        <w:rPr>
          <w:rFonts w:hint="eastAsia"/>
          <w:rtl/>
        </w:rPr>
        <w:t>נמצאים</w:t>
      </w:r>
      <w:r w:rsidRPr="004B4DC3">
        <w:rPr>
          <w:rtl/>
        </w:rPr>
        <w:t xml:space="preserve"> </w:t>
      </w:r>
      <w:r w:rsidRPr="004B4DC3">
        <w:rPr>
          <w:rFonts w:hint="eastAsia"/>
          <w:rtl/>
        </w:rPr>
        <w:t>בטיפול</w:t>
      </w:r>
      <w:r w:rsidRPr="004B4DC3">
        <w:rPr>
          <w:rtl/>
        </w:rPr>
        <w:t xml:space="preserve"> </w:t>
      </w:r>
      <w:r w:rsidRPr="004B4DC3">
        <w:rPr>
          <w:rFonts w:hint="eastAsia"/>
          <w:rtl/>
        </w:rPr>
        <w:t>מערך</w:t>
      </w:r>
      <w:r w:rsidRPr="004B4DC3">
        <w:rPr>
          <w:rtl/>
        </w:rPr>
        <w:t xml:space="preserve"> </w:t>
      </w:r>
      <w:r w:rsidRPr="004B4DC3">
        <w:rPr>
          <w:rFonts w:hint="eastAsia"/>
          <w:rtl/>
        </w:rPr>
        <w:t>הדיגיטל</w:t>
      </w:r>
      <w:r w:rsidRPr="004B4DC3">
        <w:rPr>
          <w:rtl/>
        </w:rPr>
        <w:t xml:space="preserve"> </w:t>
      </w:r>
      <w:r w:rsidRPr="004B4DC3">
        <w:rPr>
          <w:rFonts w:hint="eastAsia"/>
          <w:rtl/>
        </w:rPr>
        <w:t>הלאומי</w:t>
      </w:r>
      <w:r w:rsidRPr="004B4DC3">
        <w:rPr>
          <w:rtl/>
        </w:rPr>
        <w:t xml:space="preserve">, ובין אם </w:t>
      </w:r>
      <w:r w:rsidRPr="004B4DC3">
        <w:rPr>
          <w:rFonts w:hint="eastAsia"/>
          <w:rtl/>
        </w:rPr>
        <w:t>דפי</w:t>
      </w:r>
      <w:r w:rsidRPr="004B4DC3">
        <w:rPr>
          <w:rtl/>
        </w:rPr>
        <w:t xml:space="preserve"> השירות שלהם מפנים למ</w:t>
      </w:r>
      <w:r w:rsidRPr="004B4DC3">
        <w:rPr>
          <w:rtl/>
        </w:rPr>
        <w:t xml:space="preserve">ערכות מחשוב שבאחריותם - </w:t>
      </w:r>
      <w:r w:rsidRPr="004B4DC3">
        <w:rPr>
          <w:rFonts w:hint="eastAsia"/>
          <w:rtl/>
        </w:rPr>
        <w:t>להסדיר</w:t>
      </w:r>
      <w:r w:rsidRPr="004B4DC3">
        <w:rPr>
          <w:rtl/>
        </w:rPr>
        <w:t xml:space="preserve"> </w:t>
      </w:r>
      <w:r w:rsidRPr="004B4DC3">
        <w:rPr>
          <w:rFonts w:hint="eastAsia"/>
          <w:rtl/>
        </w:rPr>
        <w:t>את</w:t>
      </w:r>
      <w:r w:rsidRPr="004B4DC3">
        <w:rPr>
          <w:rtl/>
        </w:rPr>
        <w:t xml:space="preserve"> </w:t>
      </w:r>
      <w:r w:rsidRPr="004B4DC3">
        <w:rPr>
          <w:rFonts w:hint="eastAsia"/>
          <w:rtl/>
        </w:rPr>
        <w:t>הנגישות</w:t>
      </w:r>
      <w:r w:rsidRPr="004B4DC3">
        <w:rPr>
          <w:rtl/>
        </w:rPr>
        <w:t xml:space="preserve"> </w:t>
      </w:r>
      <w:r w:rsidRPr="004B4DC3">
        <w:rPr>
          <w:rFonts w:hint="eastAsia"/>
          <w:rtl/>
        </w:rPr>
        <w:t>באתרי</w:t>
      </w:r>
      <w:r w:rsidRPr="004B4DC3">
        <w:rPr>
          <w:rtl/>
        </w:rPr>
        <w:t xml:space="preserve"> </w:t>
      </w:r>
      <w:r w:rsidRPr="004B4DC3">
        <w:rPr>
          <w:rFonts w:hint="eastAsia"/>
          <w:rtl/>
        </w:rPr>
        <w:t>המרשתת</w:t>
      </w:r>
      <w:r w:rsidRPr="004B4DC3">
        <w:rPr>
          <w:rtl/>
        </w:rPr>
        <w:t xml:space="preserve"> בעצמם או בשיתוף עם מערך הדיגיטל. </w:t>
      </w:r>
      <w:r w:rsidRPr="004B4DC3">
        <w:rPr>
          <w:rFonts w:hint="eastAsia"/>
          <w:rtl/>
        </w:rPr>
        <w:t>כל</w:t>
      </w:r>
      <w:r w:rsidRPr="004B4DC3">
        <w:rPr>
          <w:rtl/>
        </w:rPr>
        <w:t xml:space="preserve"> </w:t>
      </w:r>
      <w:r w:rsidRPr="004B4DC3">
        <w:rPr>
          <w:rFonts w:hint="eastAsia"/>
          <w:rtl/>
        </w:rPr>
        <w:t>זאת</w:t>
      </w:r>
      <w:r w:rsidRPr="004B4DC3">
        <w:rPr>
          <w:rtl/>
        </w:rPr>
        <w:t xml:space="preserve">, </w:t>
      </w:r>
      <w:r w:rsidRPr="004B4DC3">
        <w:rPr>
          <w:rFonts w:hint="eastAsia"/>
          <w:rtl/>
        </w:rPr>
        <w:t>על</w:t>
      </w:r>
      <w:r w:rsidRPr="004B4DC3">
        <w:rPr>
          <w:rtl/>
        </w:rPr>
        <w:t xml:space="preserve"> </w:t>
      </w:r>
      <w:r w:rsidRPr="004B4DC3">
        <w:rPr>
          <w:rFonts w:hint="eastAsia"/>
          <w:rtl/>
        </w:rPr>
        <w:t>מנת</w:t>
      </w:r>
      <w:r w:rsidRPr="004B4DC3">
        <w:rPr>
          <w:rtl/>
        </w:rPr>
        <w:t xml:space="preserve"> </w:t>
      </w:r>
      <w:r w:rsidRPr="004B4DC3">
        <w:rPr>
          <w:rFonts w:hint="eastAsia"/>
          <w:rtl/>
        </w:rPr>
        <w:t>שציבור</w:t>
      </w:r>
      <w:r w:rsidRPr="004B4DC3">
        <w:rPr>
          <w:rtl/>
        </w:rPr>
        <w:t xml:space="preserve"> </w:t>
      </w:r>
      <w:r w:rsidRPr="004B4DC3">
        <w:rPr>
          <w:rFonts w:hint="eastAsia"/>
          <w:rtl/>
        </w:rPr>
        <w:t>האנשים</w:t>
      </w:r>
      <w:r w:rsidRPr="004B4DC3">
        <w:rPr>
          <w:rtl/>
        </w:rPr>
        <w:t xml:space="preserve"> </w:t>
      </w:r>
      <w:r w:rsidRPr="004B4DC3">
        <w:rPr>
          <w:rFonts w:hint="eastAsia"/>
          <w:rtl/>
        </w:rPr>
        <w:t>עם</w:t>
      </w:r>
      <w:r w:rsidRPr="004B4DC3">
        <w:rPr>
          <w:rtl/>
        </w:rPr>
        <w:t xml:space="preserve"> </w:t>
      </w:r>
      <w:r w:rsidRPr="004B4DC3">
        <w:rPr>
          <w:rFonts w:hint="eastAsia"/>
          <w:rtl/>
        </w:rPr>
        <w:t>מוגבלות</w:t>
      </w:r>
      <w:r w:rsidRPr="004B4DC3">
        <w:rPr>
          <w:rtl/>
        </w:rPr>
        <w:t xml:space="preserve"> </w:t>
      </w:r>
      <w:r w:rsidRPr="004B4DC3">
        <w:rPr>
          <w:rFonts w:hint="eastAsia"/>
          <w:rtl/>
        </w:rPr>
        <w:t>יוכל</w:t>
      </w:r>
      <w:r w:rsidRPr="004B4DC3">
        <w:rPr>
          <w:rtl/>
        </w:rPr>
        <w:t xml:space="preserve"> </w:t>
      </w:r>
      <w:r w:rsidRPr="004B4DC3">
        <w:rPr>
          <w:rFonts w:hint="eastAsia"/>
          <w:rtl/>
        </w:rPr>
        <w:t>לקבל</w:t>
      </w:r>
      <w:r w:rsidRPr="004B4DC3">
        <w:rPr>
          <w:rtl/>
        </w:rPr>
        <w:t xml:space="preserve"> </w:t>
      </w:r>
      <w:r w:rsidRPr="004B4DC3">
        <w:rPr>
          <w:rFonts w:hint="eastAsia"/>
          <w:rtl/>
        </w:rPr>
        <w:t>שירות</w:t>
      </w:r>
      <w:r w:rsidRPr="004B4DC3">
        <w:rPr>
          <w:rtl/>
        </w:rPr>
        <w:t xml:space="preserve"> </w:t>
      </w:r>
      <w:r w:rsidRPr="004B4DC3">
        <w:rPr>
          <w:rFonts w:hint="eastAsia"/>
          <w:rtl/>
        </w:rPr>
        <w:t>באתרי</w:t>
      </w:r>
      <w:r w:rsidRPr="004B4DC3">
        <w:rPr>
          <w:rtl/>
        </w:rPr>
        <w:t xml:space="preserve"> </w:t>
      </w:r>
      <w:r w:rsidRPr="004B4DC3">
        <w:rPr>
          <w:rFonts w:hint="eastAsia"/>
          <w:rtl/>
        </w:rPr>
        <w:t>המרשת</w:t>
      </w:r>
      <w:r w:rsidR="00FE5D2A">
        <w:rPr>
          <w:rFonts w:hint="cs"/>
          <w:rtl/>
        </w:rPr>
        <w:t>ת</w:t>
      </w:r>
      <w:r w:rsidRPr="004B4DC3">
        <w:rPr>
          <w:rtl/>
        </w:rPr>
        <w:t xml:space="preserve"> </w:t>
      </w:r>
      <w:r w:rsidRPr="004B4DC3">
        <w:rPr>
          <w:rFonts w:hint="eastAsia"/>
          <w:rtl/>
        </w:rPr>
        <w:t>כשאר</w:t>
      </w:r>
      <w:r w:rsidRPr="004B4DC3">
        <w:rPr>
          <w:rtl/>
        </w:rPr>
        <w:t xml:space="preserve"> </w:t>
      </w:r>
      <w:r w:rsidRPr="004B4DC3">
        <w:rPr>
          <w:rFonts w:hint="eastAsia"/>
          <w:rtl/>
        </w:rPr>
        <w:t>הציבור</w:t>
      </w:r>
      <w:r w:rsidRPr="004B4DC3">
        <w:rPr>
          <w:rtl/>
        </w:rPr>
        <w:t xml:space="preserve">, </w:t>
      </w:r>
      <w:r w:rsidRPr="004B4DC3">
        <w:rPr>
          <w:rFonts w:hint="eastAsia"/>
          <w:rtl/>
        </w:rPr>
        <w:t>כנדרש</w:t>
      </w:r>
      <w:r w:rsidRPr="004B4DC3">
        <w:rPr>
          <w:rtl/>
        </w:rPr>
        <w:t xml:space="preserve"> </w:t>
      </w:r>
      <w:r w:rsidRPr="004B4DC3">
        <w:rPr>
          <w:rFonts w:hint="eastAsia"/>
          <w:rtl/>
        </w:rPr>
        <w:t>על</w:t>
      </w:r>
      <w:r w:rsidRPr="004B4DC3">
        <w:rPr>
          <w:rtl/>
        </w:rPr>
        <w:t xml:space="preserve">-פי </w:t>
      </w:r>
      <w:r w:rsidRPr="004B4DC3">
        <w:rPr>
          <w:rFonts w:hint="eastAsia"/>
          <w:rtl/>
        </w:rPr>
        <w:t>הדין</w:t>
      </w:r>
      <w:r w:rsidRPr="004B4DC3">
        <w:rPr>
          <w:rtl/>
        </w:rPr>
        <w:t>.</w:t>
      </w:r>
      <w:r w:rsidRPr="004B4DC3">
        <w:rPr>
          <w:rFonts w:hint="cs"/>
          <w:rtl/>
        </w:rPr>
        <w:t xml:space="preserve"> </w:t>
      </w:r>
    </w:p>
    <w:p w:rsidR="00BF1E3B" w:rsidRPr="004B4DC3" w:rsidRDefault="00DF6A0A" w:rsidP="004B4DC3">
      <w:pPr>
        <w:pStyle w:val="735"/>
        <w:rPr>
          <w:rtl/>
        </w:rPr>
      </w:pPr>
      <w:r w:rsidRPr="004B4DC3">
        <w:rPr>
          <w:rFonts w:hint="cs"/>
          <w:rtl/>
        </w:rPr>
        <w:t>עוד מומלץ כי נציבות שוויון זכויות לאנשים עם מוגבלות תכלול במסגרת פעולות הפיקוח שהיא מבצעת בתחום הנגישות הדיגיטלית את בדיקת השירותים הממשלתיים שניתנים במרשתת ובמסגרת זו את דפי שירות, זאת בשל חשיבותם של ערוצי השירות הדיגיטליים בהיותם אפיק תקשורת משמעותי של ה</w:t>
      </w:r>
      <w:r w:rsidRPr="004B4DC3">
        <w:rPr>
          <w:rFonts w:hint="cs"/>
          <w:rtl/>
        </w:rPr>
        <w:t xml:space="preserve">ציבור עם גופי הממשל.  </w:t>
      </w:r>
    </w:p>
    <w:p w:rsidR="00BF1E3B" w:rsidRDefault="00DF6A0A" w:rsidP="00C619CC">
      <w:pPr>
        <w:pStyle w:val="7392"/>
        <w:rPr>
          <w:rtl/>
        </w:rPr>
      </w:pPr>
      <w:r>
        <w:rPr>
          <w:rFonts w:hint="cs"/>
          <w:rtl/>
        </w:rPr>
        <w:t xml:space="preserve">נציבות שוויון זכויות לאנשים עם מוגבלות מסרה בתשובתה כי נושא בדיקת דפי השירות נמצא בתוכנית עבודת הפיקוח השוטפת שלה. </w:t>
      </w:r>
    </w:p>
    <w:p w:rsidR="00BF1E3B" w:rsidRPr="00B74C6A" w:rsidRDefault="00DF6A0A" w:rsidP="00B74C6A">
      <w:pPr>
        <w:pStyle w:val="733155"/>
        <w:rPr>
          <w:rtl/>
        </w:rPr>
      </w:pPr>
      <w:r w:rsidRPr="00B74C6A">
        <w:rPr>
          <w:rFonts w:hint="cs"/>
          <w:rtl/>
        </w:rPr>
        <w:t xml:space="preserve">חוויית השימוש במרשתת על ידי אנשים עם מוגבלות - תוצאות הליך שיתוף ציבור </w:t>
      </w:r>
    </w:p>
    <w:p w:rsidR="00BF1E3B" w:rsidRDefault="00DF6A0A" w:rsidP="00C619CC">
      <w:pPr>
        <w:pStyle w:val="7392"/>
        <w:rPr>
          <w:rtl/>
        </w:rPr>
      </w:pPr>
      <w:r>
        <w:rPr>
          <w:rFonts w:hint="cs"/>
          <w:rtl/>
        </w:rPr>
        <w:t xml:space="preserve">לבחינת חוויית השירות של אנשים עם מוגבלות </w:t>
      </w:r>
      <w:r>
        <w:rPr>
          <w:rFonts w:hint="cs"/>
          <w:rtl/>
        </w:rPr>
        <w:t>שמשתמשים בשירותים דיגיטליים של גופי ממשל</w:t>
      </w:r>
      <w:r>
        <w:rPr>
          <w:rStyle w:val="a8"/>
          <w:rtl/>
        </w:rPr>
        <w:footnoteReference w:id="82"/>
      </w:r>
      <w:r>
        <w:rPr>
          <w:rFonts w:hint="cs"/>
          <w:rtl/>
        </w:rPr>
        <w:t>, ביצע משרד מבקר המדינה</w:t>
      </w:r>
      <w:r>
        <w:rPr>
          <w:rStyle w:val="a8"/>
          <w:rtl/>
        </w:rPr>
        <w:footnoteReference w:id="83"/>
      </w:r>
      <w:r>
        <w:rPr>
          <w:rFonts w:hint="cs"/>
          <w:rtl/>
        </w:rPr>
        <w:t xml:space="preserve"> באוגוסט 2022 סקר באמצעות שאלון במרשתת</w:t>
      </w:r>
      <w:r>
        <w:rPr>
          <w:rStyle w:val="a8"/>
          <w:rtl/>
        </w:rPr>
        <w:footnoteReference w:id="84"/>
      </w:r>
      <w:r>
        <w:rPr>
          <w:rFonts w:hint="cs"/>
          <w:rtl/>
        </w:rPr>
        <w:t xml:space="preserve"> (להלן - סקר שיתוף הציבור או שיתוף הציבור). על סקר שיתוף הציבור השיבו </w:t>
      </w:r>
      <w:r w:rsidRPr="006E4128">
        <w:rPr>
          <w:rtl/>
        </w:rPr>
        <w:t>527 משיבים בני 18 עד 70 המתמודדים עם מוגבלויות שונות</w:t>
      </w:r>
      <w:r>
        <w:rPr>
          <w:rFonts w:hint="cs"/>
          <w:rtl/>
        </w:rPr>
        <w:t xml:space="preserve"> - מדגם מייצג של קבוצת האנשים </w:t>
      </w:r>
      <w:r>
        <w:rPr>
          <w:rFonts w:hint="cs"/>
          <w:rtl/>
        </w:rPr>
        <w:t>עם מוגבלויות בישראל</w:t>
      </w:r>
      <w:r>
        <w:rPr>
          <w:rStyle w:val="a8"/>
          <w:rtl/>
        </w:rPr>
        <w:footnoteReference w:id="85"/>
      </w:r>
      <w:r w:rsidRPr="006E4128">
        <w:rPr>
          <w:rtl/>
        </w:rPr>
        <w:t>.</w:t>
      </w:r>
      <w:r>
        <w:rPr>
          <w:rFonts w:hint="cs"/>
          <w:rtl/>
        </w:rPr>
        <w:t xml:space="preserve"> להלן תוצאות שעלו משיתוף הציבור.</w:t>
      </w:r>
    </w:p>
    <w:p w:rsidR="00BF1E3B" w:rsidRPr="003709DF" w:rsidRDefault="00DF6A0A">
      <w:pPr>
        <w:pStyle w:val="739"/>
        <w:numPr>
          <w:ilvl w:val="0"/>
          <w:numId w:val="20"/>
        </w:numPr>
        <w:rPr>
          <w:rtl/>
        </w:rPr>
      </w:pPr>
      <w:r w:rsidRPr="004D2E83">
        <w:rPr>
          <w:rStyle w:val="7371"/>
          <w:rFonts w:hint="cs"/>
          <w:rtl/>
        </w:rPr>
        <w:t>ערוץ שירות מועדף:</w:t>
      </w:r>
      <w:r>
        <w:rPr>
          <w:rFonts w:hint="cs"/>
          <w:rtl/>
        </w:rPr>
        <w:t xml:space="preserve"> </w:t>
      </w:r>
      <w:r w:rsidRPr="00A4478E">
        <w:rPr>
          <w:rFonts w:hint="cs"/>
          <w:rtl/>
        </w:rPr>
        <w:t xml:space="preserve">להלן </w:t>
      </w:r>
      <w:r w:rsidRPr="000B3783">
        <w:rPr>
          <w:rFonts w:hint="cs"/>
          <w:rtl/>
        </w:rPr>
        <w:t xml:space="preserve">בתרשים </w:t>
      </w:r>
      <w:r>
        <w:rPr>
          <w:rFonts w:hint="cs"/>
          <w:rtl/>
        </w:rPr>
        <w:t>ממצאי הסקר בנוגע ל</w:t>
      </w:r>
      <w:r w:rsidRPr="000B3783">
        <w:rPr>
          <w:rFonts w:hint="cs"/>
          <w:rtl/>
        </w:rPr>
        <w:t>ערוץ קבלת השירות הממשלתי</w:t>
      </w:r>
      <w:r w:rsidRPr="00216A19">
        <w:rPr>
          <w:rtl/>
        </w:rPr>
        <w:t xml:space="preserve"> </w:t>
      </w:r>
      <w:r w:rsidRPr="00216A19">
        <w:rPr>
          <w:rFonts w:hint="eastAsia"/>
          <w:rtl/>
        </w:rPr>
        <w:t>המועדף</w:t>
      </w:r>
      <w:r w:rsidRPr="00216A19">
        <w:rPr>
          <w:rtl/>
        </w:rPr>
        <w:t xml:space="preserve"> על המשיבים לסקר שיתוף הציבור</w:t>
      </w:r>
      <w:r w:rsidRPr="000B3783">
        <w:rPr>
          <w:rFonts w:hint="cs"/>
          <w:rtl/>
        </w:rPr>
        <w:t>.</w:t>
      </w:r>
    </w:p>
    <w:p w:rsidR="00BF1E3B" w:rsidRPr="004D2E83" w:rsidRDefault="00DF6A0A" w:rsidP="004D2E83">
      <w:pPr>
        <w:pStyle w:val="738"/>
        <w:ind w:left="397"/>
        <w:rPr>
          <w:rtl/>
        </w:rPr>
      </w:pPr>
      <w:r w:rsidRPr="004D2E83">
        <w:rPr>
          <w:rFonts w:hint="eastAsia"/>
          <w:b w:val="0"/>
          <w:bCs w:val="0"/>
          <w:rtl/>
        </w:rPr>
        <w:lastRenderedPageBreak/>
        <w:t>תרשים</w:t>
      </w:r>
      <w:r w:rsidR="004D2E83" w:rsidRPr="004D2E83">
        <w:rPr>
          <w:rFonts w:hint="cs"/>
          <w:b w:val="0"/>
          <w:bCs w:val="0"/>
          <w:rtl/>
        </w:rPr>
        <w:t xml:space="preserve"> </w:t>
      </w:r>
      <w:r w:rsidRPr="004D2E83">
        <w:rPr>
          <w:rFonts w:hint="cs"/>
          <w:b w:val="0"/>
          <w:bCs w:val="0"/>
          <w:rtl/>
        </w:rPr>
        <w:t>11</w:t>
      </w:r>
      <w:r w:rsidRPr="004D2E83">
        <w:rPr>
          <w:b w:val="0"/>
          <w:bCs w:val="0"/>
          <w:rtl/>
        </w:rPr>
        <w:t>:</w:t>
      </w:r>
      <w:r w:rsidRPr="004D2E83">
        <w:rPr>
          <w:rFonts w:hint="cs"/>
          <w:rtl/>
        </w:rPr>
        <w:t xml:space="preserve"> ערוץ שירות ממשלתי מועדף על פי סקר שיתוף הציבור בקרב משיבים עם מוגבלות</w:t>
      </w:r>
    </w:p>
    <w:p w:rsidR="00BF1E3B" w:rsidRDefault="00DF6A0A" w:rsidP="004D2E83">
      <w:pPr>
        <w:jc w:val="right"/>
        <w:rPr>
          <w:sz w:val="16"/>
          <w:szCs w:val="20"/>
          <w:rtl/>
        </w:rPr>
      </w:pPr>
      <w:r w:rsidRPr="00A75C4A">
        <w:rPr>
          <w:noProof/>
        </w:rPr>
        <w:drawing>
          <wp:inline distT="0" distB="0" distL="0" distR="0">
            <wp:extent cx="4409345" cy="3110593"/>
            <wp:effectExtent l="0" t="0" r="0" b="0"/>
            <wp:docPr id="36" name="תמונה 36" descr="מן הסקר עלה כי 44% מן המשיבים אינם בוחרים בשירות הדיגיטלי כערוץ שירות ממשלתי מועדף - מהם 21% שמעדיפים להשתמש בערוץ הפרונטלי (קבלת קהל) ו-23% שמעדיפים להשתמש בערוץ הטלפו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תמונה 36"/>
                    <pic:cNvPicPr/>
                  </pic:nvPicPr>
                  <pic:blipFill>
                    <a:blip r:embed="rId66">
                      <a:extLst>
                        <a:ext uri="{28A0092B-C50C-407E-A947-70E740481C1C}">
                          <a14:useLocalDpi xmlns:a14="http://schemas.microsoft.com/office/drawing/2010/main" val="0"/>
                        </a:ext>
                      </a:extLst>
                    </a:blip>
                    <a:stretch>
                      <a:fillRect/>
                    </a:stretch>
                  </pic:blipFill>
                  <pic:spPr>
                    <a:xfrm>
                      <a:off x="0" y="0"/>
                      <a:ext cx="4437751" cy="3130632"/>
                    </a:xfrm>
                    <a:prstGeom prst="rect">
                      <a:avLst/>
                    </a:prstGeom>
                    <a:ln>
                      <a:noFill/>
                    </a:ln>
                  </pic:spPr>
                </pic:pic>
              </a:graphicData>
            </a:graphic>
          </wp:inline>
        </w:drawing>
      </w:r>
    </w:p>
    <w:p w:rsidR="00BF1E3B" w:rsidRPr="004D2E83" w:rsidRDefault="00DF6A0A" w:rsidP="004D2E83">
      <w:pPr>
        <w:pStyle w:val="73e"/>
        <w:ind w:left="397"/>
        <w:rPr>
          <w:rtl/>
        </w:rPr>
      </w:pPr>
      <w:r w:rsidRPr="004D2E83">
        <w:rPr>
          <w:rFonts w:hint="cs"/>
          <w:rtl/>
        </w:rPr>
        <w:t>על פי</w:t>
      </w:r>
      <w:r w:rsidRPr="004D2E83">
        <w:rPr>
          <w:rtl/>
        </w:rPr>
        <w:t xml:space="preserve"> סקר שיתוף הציבור שנעשה עבור משרד מבקר המדינה.</w:t>
      </w:r>
    </w:p>
    <w:p w:rsidR="00BF1E3B" w:rsidRPr="004D2E83" w:rsidRDefault="00DF6A0A" w:rsidP="004D2E83">
      <w:pPr>
        <w:pStyle w:val="73f1"/>
        <w:rPr>
          <w:rtl/>
        </w:rPr>
      </w:pPr>
      <w:r w:rsidRPr="004D2E83">
        <w:rPr>
          <w:rFonts w:hint="cs"/>
          <w:rtl/>
        </w:rPr>
        <w:t xml:space="preserve">כעולה מסקר שיתוף הציבור שביצע משרד מבקר המדינה, שיעור משמעותי מקרב המשיבים, שהינם מדגם מייצג של אנשים עם מוגבלות בישראל - 44% - ציינו כי הם מעדיפים להגיע פיזית ללשכות קבלת הקהל כדי לצרוך את השירותים הממשלתיים </w:t>
      </w:r>
      <w:r w:rsidRPr="004D2E83">
        <w:rPr>
          <w:rFonts w:hint="cs"/>
          <w:rtl/>
        </w:rPr>
        <w:t>או להשתמש בשירות הטלפוני. 56% ציינו כי מעדיפים לקבל את השירות בערוץ הדיגיטלי.</w:t>
      </w:r>
    </w:p>
    <w:p w:rsidR="00BF1E3B" w:rsidRDefault="00DF6A0A">
      <w:pPr>
        <w:pStyle w:val="739"/>
        <w:numPr>
          <w:ilvl w:val="0"/>
          <w:numId w:val="20"/>
        </w:numPr>
        <w:rPr>
          <w:rtl/>
        </w:rPr>
      </w:pPr>
      <w:r w:rsidRPr="004D2E83">
        <w:rPr>
          <w:rStyle w:val="7371"/>
          <w:rFonts w:hint="cs"/>
          <w:rtl/>
        </w:rPr>
        <w:t>שימוש אנשים עם מוגבלות בערוצי שירות ממשלתיים:</w:t>
      </w:r>
      <w:r>
        <w:rPr>
          <w:rFonts w:hint="cs"/>
          <w:rtl/>
        </w:rPr>
        <w:t xml:space="preserve"> </w:t>
      </w:r>
      <w:r w:rsidRPr="00A81E09">
        <w:rPr>
          <w:rFonts w:hint="cs"/>
          <w:rtl/>
        </w:rPr>
        <w:t>להלן בתרשים</w:t>
      </w:r>
      <w:r>
        <w:rPr>
          <w:rFonts w:hint="cs"/>
          <w:rtl/>
        </w:rPr>
        <w:t xml:space="preserve"> ממצאי הסקר בנוגע ל</w:t>
      </w:r>
      <w:r w:rsidRPr="00A81E09">
        <w:rPr>
          <w:rFonts w:hint="cs"/>
          <w:rtl/>
        </w:rPr>
        <w:t>ערוץ המועדף לקבלת השירות הממשלתי בפילוח לפי גיל והשכלה</w:t>
      </w:r>
      <w:r>
        <w:rPr>
          <w:rFonts w:hint="cs"/>
          <w:rtl/>
        </w:rPr>
        <w:t>.</w:t>
      </w:r>
    </w:p>
    <w:p w:rsidR="00BF1E3B" w:rsidRPr="004D2E83" w:rsidRDefault="00DF6A0A" w:rsidP="004D2E83">
      <w:pPr>
        <w:pStyle w:val="738"/>
        <w:ind w:left="397"/>
        <w:rPr>
          <w:rtl/>
        </w:rPr>
      </w:pPr>
      <w:r w:rsidRPr="004D2E83">
        <w:rPr>
          <w:rFonts w:hint="eastAsia"/>
          <w:b w:val="0"/>
          <w:bCs w:val="0"/>
          <w:rtl/>
        </w:rPr>
        <w:lastRenderedPageBreak/>
        <w:t>תרשים</w:t>
      </w:r>
      <w:r w:rsidRPr="004D2E83">
        <w:rPr>
          <w:b w:val="0"/>
          <w:bCs w:val="0"/>
          <w:rtl/>
        </w:rPr>
        <w:t xml:space="preserve"> </w:t>
      </w:r>
      <w:r w:rsidRPr="004D2E83">
        <w:rPr>
          <w:rFonts w:hint="cs"/>
          <w:b w:val="0"/>
          <w:bCs w:val="0"/>
          <w:rtl/>
        </w:rPr>
        <w:t>12</w:t>
      </w:r>
      <w:r w:rsidRPr="004D2E83">
        <w:rPr>
          <w:b w:val="0"/>
          <w:bCs w:val="0"/>
          <w:rtl/>
        </w:rPr>
        <w:t>:</w:t>
      </w:r>
      <w:r w:rsidRPr="004D2E83">
        <w:rPr>
          <w:rFonts w:hint="cs"/>
          <w:rtl/>
        </w:rPr>
        <w:t xml:space="preserve"> שימוש אנשים עם מוגבלות בערוצי השירות</w:t>
      </w:r>
      <w:r w:rsidRPr="004D2E83">
        <w:rPr>
          <w:rFonts w:hint="cs"/>
          <w:rtl/>
        </w:rPr>
        <w:t xml:space="preserve"> הממשלתי, על פי גיל והשכלה</w:t>
      </w:r>
    </w:p>
    <w:p w:rsidR="00BF1E3B" w:rsidRPr="00207456" w:rsidRDefault="00DF6A0A" w:rsidP="004D2E83">
      <w:pPr>
        <w:ind w:left="397"/>
        <w:rPr>
          <w:b/>
          <w:bCs/>
          <w:rtl/>
        </w:rPr>
      </w:pPr>
      <w:r w:rsidRPr="00A75C4A">
        <w:rPr>
          <w:noProof/>
        </w:rPr>
        <w:drawing>
          <wp:inline distT="0" distB="0" distL="0" distR="0">
            <wp:extent cx="4472817" cy="2550886"/>
            <wp:effectExtent l="0" t="0" r="0" b="0"/>
            <wp:docPr id="35" name="תמונה 35" descr="עיקרי הממצאים שבתרשים מוצגים גם בקטע המלל שלאחרי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תמונה 35"/>
                    <pic:cNvPicPr/>
                  </pic:nvPicPr>
                  <pic:blipFill>
                    <a:blip r:embed="rId67">
                      <a:extLst>
                        <a:ext uri="{28A0092B-C50C-407E-A947-70E740481C1C}">
                          <a14:useLocalDpi xmlns:a14="http://schemas.microsoft.com/office/drawing/2010/main" val="0"/>
                        </a:ext>
                      </a:extLst>
                    </a:blip>
                    <a:stretch>
                      <a:fillRect/>
                    </a:stretch>
                  </pic:blipFill>
                  <pic:spPr>
                    <a:xfrm>
                      <a:off x="0" y="0"/>
                      <a:ext cx="4501172" cy="2567057"/>
                    </a:xfrm>
                    <a:prstGeom prst="rect">
                      <a:avLst/>
                    </a:prstGeom>
                    <a:ln>
                      <a:noFill/>
                    </a:ln>
                  </pic:spPr>
                </pic:pic>
              </a:graphicData>
            </a:graphic>
          </wp:inline>
        </w:drawing>
      </w:r>
    </w:p>
    <w:p w:rsidR="00BF1E3B" w:rsidRPr="004D2E83" w:rsidRDefault="00DF6A0A" w:rsidP="004D2E83">
      <w:pPr>
        <w:pStyle w:val="73e"/>
        <w:spacing w:after="0"/>
        <w:ind w:left="397"/>
        <w:rPr>
          <w:rtl/>
        </w:rPr>
      </w:pPr>
      <w:r w:rsidRPr="004D2E83">
        <w:rPr>
          <w:rFonts w:hint="cs"/>
          <w:rtl/>
        </w:rPr>
        <w:t>על פי</w:t>
      </w:r>
      <w:r w:rsidRPr="004D2E83">
        <w:rPr>
          <w:rtl/>
        </w:rPr>
        <w:t xml:space="preserve"> סקר שיתוף הציבור שנעשה עבור משרד מבקר המדינה.</w:t>
      </w:r>
      <w:r w:rsidRPr="004D2E83">
        <w:rPr>
          <w:rFonts w:hint="cs"/>
          <w:rtl/>
        </w:rPr>
        <w:t xml:space="preserve"> </w:t>
      </w:r>
    </w:p>
    <w:p w:rsidR="00BF1E3B" w:rsidRPr="004D2E83" w:rsidRDefault="00DF6A0A" w:rsidP="004D2E83">
      <w:pPr>
        <w:pStyle w:val="73e"/>
        <w:spacing w:before="0"/>
        <w:ind w:left="397"/>
        <w:rPr>
          <w:rtl/>
        </w:rPr>
      </w:pPr>
      <w:r w:rsidRPr="004D2E83">
        <w:rPr>
          <w:rFonts w:hint="cs"/>
          <w:rtl/>
        </w:rPr>
        <w:t xml:space="preserve">סכומי השיעורים המוצגים בתרשימים לא תמיד מסתכמים בדיוק ב-100% משום שהשיעורים עוגלו. </w:t>
      </w:r>
    </w:p>
    <w:p w:rsidR="00BF1E3B" w:rsidRPr="004D2E83" w:rsidRDefault="00DF6A0A" w:rsidP="004D2E83">
      <w:pPr>
        <w:pStyle w:val="73f1"/>
        <w:rPr>
          <w:rtl/>
        </w:rPr>
      </w:pPr>
      <w:r w:rsidRPr="004D2E83">
        <w:rPr>
          <w:rFonts w:hint="cs"/>
          <w:rtl/>
        </w:rPr>
        <w:t>מסקר שיתוף הציבור שביצע משרד מבקר המדינה עלה כי יש הבדלים בין קבוצות גיל שונות בשיעור האנש</w:t>
      </w:r>
      <w:r w:rsidRPr="004D2E83">
        <w:rPr>
          <w:rFonts w:hint="cs"/>
          <w:rtl/>
        </w:rPr>
        <w:t>ים עם מוגבלות המשתמשים בערוץ הדיגיטלי לקבלת השירות הממשלתי: בגילים 18 - 45 השיעור הוא - 60%, בגילים 46 - 65 השיעור הוא 53% ומעל גיל 66 השיעור יורד ל-43%. עוד נמצא כי קיים מתאם בין רמת ההשכלה לבין השימוש בערוץ הממשלתי הדיגיטלי - שיעור בעלי ההשכלה העל-תיכוני</w:t>
      </w:r>
      <w:r w:rsidRPr="004D2E83">
        <w:rPr>
          <w:rFonts w:hint="cs"/>
          <w:rtl/>
        </w:rPr>
        <w:t xml:space="preserve">ת המשתמשים בערוץ הממשלתי הדיגיטלי גבוה יותר משיעור בעלי ההשכלה התיכונית ומטה - 60% בהשוואה ל-49%, בהתאמה. </w:t>
      </w:r>
    </w:p>
    <w:p w:rsidR="00BF1E3B" w:rsidRPr="004D2E83" w:rsidRDefault="00DF6A0A">
      <w:pPr>
        <w:pStyle w:val="739"/>
        <w:numPr>
          <w:ilvl w:val="0"/>
          <w:numId w:val="20"/>
        </w:numPr>
        <w:rPr>
          <w:rtl/>
        </w:rPr>
      </w:pPr>
      <w:r w:rsidRPr="00C619CC">
        <w:rPr>
          <w:rStyle w:val="7371"/>
          <w:rFonts w:hint="cs"/>
          <w:rtl/>
        </w:rPr>
        <w:t>סיבות לאי-העדפת השימוש בערוץ השירות הדיגיטלי:</w:t>
      </w:r>
      <w:r w:rsidRPr="004D2E83">
        <w:rPr>
          <w:rFonts w:hint="cs"/>
          <w:rtl/>
        </w:rPr>
        <w:t xml:space="preserve"> המשיבים שהעדיפו לצרוך את השירות הממשלתי באמצעות הטלפון או בדרך פרונטלית - פנים אל פנים מול פקיד - ציינו</w:t>
      </w:r>
      <w:r w:rsidRPr="004D2E83">
        <w:rPr>
          <w:rFonts w:hint="cs"/>
          <w:rtl/>
        </w:rPr>
        <w:t xml:space="preserve"> את הסיבות לכך שהם אינם בוחרים בשירות הדיגיטלי. </w:t>
      </w:r>
    </w:p>
    <w:p w:rsidR="00BF1E3B" w:rsidRPr="004D2E83" w:rsidRDefault="00DF6A0A" w:rsidP="004D2E83">
      <w:pPr>
        <w:pStyle w:val="73f1"/>
        <w:rPr>
          <w:rtl/>
        </w:rPr>
      </w:pPr>
      <w:r w:rsidRPr="004D2E83">
        <w:rPr>
          <w:rFonts w:hint="cs"/>
          <w:rtl/>
        </w:rPr>
        <w:t xml:space="preserve">מסקר שיתוף הציבור שביצע משרד מבקר המדינה עלה כי אחד מתוך שישה (16%) משיבים שלא משתמשים בערוץ השירות הדיגיטלי ציין כי אינו עושה זאת כיוון שהשירות הדיגיטלי לא מונגש לאנשים עם מוגבלות כשלו. </w:t>
      </w:r>
    </w:p>
    <w:p w:rsidR="00BF1E3B" w:rsidRPr="004D2E83" w:rsidRDefault="00DF6A0A">
      <w:pPr>
        <w:pStyle w:val="739"/>
        <w:numPr>
          <w:ilvl w:val="0"/>
          <w:numId w:val="20"/>
        </w:numPr>
        <w:rPr>
          <w:rtl/>
        </w:rPr>
      </w:pPr>
      <w:r w:rsidRPr="004D2E83">
        <w:rPr>
          <w:rStyle w:val="7371"/>
          <w:rFonts w:hint="cs"/>
          <w:rtl/>
        </w:rPr>
        <w:t xml:space="preserve">צורך בהנגשה על פי </w:t>
      </w:r>
      <w:r w:rsidRPr="004D2E83">
        <w:rPr>
          <w:rStyle w:val="7371"/>
          <w:rFonts w:hint="cs"/>
          <w:rtl/>
        </w:rPr>
        <w:t>סוגי הנגשות:</w:t>
      </w:r>
      <w:r w:rsidRPr="004D2E83">
        <w:rPr>
          <w:rFonts w:hint="cs"/>
          <w:rtl/>
        </w:rPr>
        <w:t xml:space="preserve"> </w:t>
      </w:r>
      <w:r w:rsidRPr="004D2E83">
        <w:rPr>
          <w:rtl/>
        </w:rPr>
        <w:t xml:space="preserve">כמחצית מן המשיבים על </w:t>
      </w:r>
      <w:r w:rsidRPr="004D2E83">
        <w:rPr>
          <w:rFonts w:hint="cs"/>
          <w:rtl/>
        </w:rPr>
        <w:t>סקר שיתוף הציבור</w:t>
      </w:r>
      <w:r w:rsidRPr="004D2E83">
        <w:rPr>
          <w:rtl/>
        </w:rPr>
        <w:t xml:space="preserve"> (47%) ציינו </w:t>
      </w:r>
      <w:r w:rsidRPr="004D2E83">
        <w:rPr>
          <w:rFonts w:hint="cs"/>
          <w:rtl/>
        </w:rPr>
        <w:t xml:space="preserve">כי לצורך השימוש בערוץ השירות הדיגיטלי </w:t>
      </w:r>
      <w:r w:rsidRPr="004D2E83">
        <w:rPr>
          <w:rtl/>
        </w:rPr>
        <w:t>הם זקוקים ל</w:t>
      </w:r>
      <w:r w:rsidRPr="004D2E83">
        <w:rPr>
          <w:rFonts w:hint="cs"/>
          <w:rtl/>
        </w:rPr>
        <w:t>ה</w:t>
      </w:r>
      <w:r w:rsidRPr="004D2E83">
        <w:rPr>
          <w:rtl/>
        </w:rPr>
        <w:t>נגש</w:t>
      </w:r>
      <w:r w:rsidRPr="004D2E83">
        <w:rPr>
          <w:rFonts w:hint="cs"/>
          <w:rtl/>
        </w:rPr>
        <w:t xml:space="preserve">ה. הם התבקשו לציין </w:t>
      </w:r>
      <w:r w:rsidRPr="004D2E83">
        <w:rPr>
          <w:rFonts w:hint="cs"/>
          <w:rtl/>
        </w:rPr>
        <w:lastRenderedPageBreak/>
        <w:t>אילו סוגי הנגשות נחוצים להם באופן עקרוני. להלן בתרשים סוגי ההנגשה על פי שיעור נחיצותם</w:t>
      </w:r>
      <w:r>
        <w:rPr>
          <w:rStyle w:val="a8"/>
          <w:rtl/>
        </w:rPr>
        <w:footnoteReference w:id="86"/>
      </w:r>
      <w:r w:rsidRPr="004D2E83">
        <w:rPr>
          <w:rFonts w:hint="cs"/>
          <w:rtl/>
        </w:rPr>
        <w:t xml:space="preserve">. </w:t>
      </w:r>
    </w:p>
    <w:p w:rsidR="00BF1E3B" w:rsidRDefault="00DF6A0A" w:rsidP="00A55DA5">
      <w:pPr>
        <w:pStyle w:val="738"/>
        <w:ind w:left="397"/>
      </w:pPr>
      <w:r>
        <w:rPr>
          <w:noProof/>
        </w:rPr>
        <w:drawing>
          <wp:anchor distT="0" distB="0" distL="114300" distR="114300" simplePos="0" relativeHeight="251746304" behindDoc="0" locked="0" layoutInCell="1" allowOverlap="1">
            <wp:simplePos x="0" y="0"/>
            <wp:positionH relativeFrom="column">
              <wp:posOffset>-7620</wp:posOffset>
            </wp:positionH>
            <wp:positionV relativeFrom="paragraph">
              <wp:posOffset>449580</wp:posOffset>
            </wp:positionV>
            <wp:extent cx="4436110" cy="2511425"/>
            <wp:effectExtent l="0" t="0" r="0" b="0"/>
            <wp:wrapTopAndBottom/>
            <wp:docPr id="2052770985" name="תמונה 2052770985" descr="42%  - ציינו שהנגשה הנדרשת היא שהמסך לא ירצד,&#10;40% - שתהיה חלוקה נושאית מובנת באתר המרשתת, 35% - שתהיה אפשרות להגדיל אותיות וכן לשנות את בהירות התצוגה,&#10;28% - שיינתן תיאור מילולי של אלמנט ויזואלי כגון תמונה; &#10;26% - שיוצגו כתוביות בקטעי שמע,&#10; 18% - שתהיה אפשרות לחבר תוכנת קורא מסך,&#10; 15% - שתהיה אפשרות לבצע עבודה מלאה במקלדת (ללא &quot;עכבר&quot;),&#10; 4% - שיינתנו באתר המרשתת מידע מפורט והסברים.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85" name="תמונה 2052770985"/>
                    <pic:cNvPicPr/>
                  </pic:nvPicPr>
                  <pic:blipFill>
                    <a:blip r:embed="rId32">
                      <a:extLst>
                        <a:ext uri="{28A0092B-C50C-407E-A947-70E740481C1C}">
                          <a14:useLocalDpi xmlns:a14="http://schemas.microsoft.com/office/drawing/2010/main" val="0"/>
                        </a:ext>
                      </a:extLst>
                    </a:blip>
                    <a:stretch>
                      <a:fillRect/>
                    </a:stretch>
                  </pic:blipFill>
                  <pic:spPr>
                    <a:xfrm>
                      <a:off x="0" y="0"/>
                      <a:ext cx="4436110" cy="2511425"/>
                    </a:xfrm>
                    <a:prstGeom prst="rect">
                      <a:avLst/>
                    </a:prstGeom>
                  </pic:spPr>
                </pic:pic>
              </a:graphicData>
            </a:graphic>
            <wp14:sizeRelH relativeFrom="page">
              <wp14:pctWidth>0</wp14:pctWidth>
            </wp14:sizeRelH>
            <wp14:sizeRelV relativeFrom="page">
              <wp14:pctHeight>0</wp14:pctHeight>
            </wp14:sizeRelV>
          </wp:anchor>
        </w:drawing>
      </w:r>
      <w:r w:rsidRPr="004D2E83">
        <w:rPr>
          <w:rFonts w:hint="eastAsia"/>
          <w:b w:val="0"/>
          <w:bCs w:val="0"/>
          <w:rtl/>
        </w:rPr>
        <w:t>תרשים</w:t>
      </w:r>
      <w:r w:rsidRPr="004D2E83">
        <w:rPr>
          <w:b w:val="0"/>
          <w:bCs w:val="0"/>
          <w:rtl/>
        </w:rPr>
        <w:t xml:space="preserve"> </w:t>
      </w:r>
      <w:r w:rsidRPr="004D2E83">
        <w:rPr>
          <w:rFonts w:hint="cs"/>
          <w:b w:val="0"/>
          <w:bCs w:val="0"/>
          <w:rtl/>
        </w:rPr>
        <w:t>13</w:t>
      </w:r>
      <w:r w:rsidRPr="004D2E83">
        <w:rPr>
          <w:b w:val="0"/>
          <w:bCs w:val="0"/>
          <w:rtl/>
        </w:rPr>
        <w:t>:</w:t>
      </w:r>
      <w:r w:rsidRPr="004D2E83">
        <w:rPr>
          <w:rFonts w:hint="cs"/>
          <w:rtl/>
        </w:rPr>
        <w:t xml:space="preserve"> שיעור המשיבים שזקוקים</w:t>
      </w:r>
      <w:r w:rsidRPr="004D2E83">
        <w:rPr>
          <w:rFonts w:hint="cs"/>
          <w:rtl/>
        </w:rPr>
        <w:t xml:space="preserve"> להנגשה במרשתת, </w:t>
      </w:r>
      <w:r w:rsidR="008C4891">
        <w:br/>
      </w:r>
      <w:r w:rsidRPr="004D2E83">
        <w:rPr>
          <w:rFonts w:hint="cs"/>
          <w:rtl/>
        </w:rPr>
        <w:t xml:space="preserve">לפי סוגי הנגשות  </w:t>
      </w:r>
    </w:p>
    <w:p w:rsidR="00BF1E3B" w:rsidRPr="004D2E83" w:rsidRDefault="00DF6A0A" w:rsidP="004D2E83">
      <w:pPr>
        <w:pStyle w:val="73e"/>
        <w:ind w:left="397"/>
        <w:rPr>
          <w:rtl/>
        </w:rPr>
      </w:pPr>
      <w:r w:rsidRPr="004D2E83">
        <w:rPr>
          <w:rFonts w:hint="cs"/>
          <w:rtl/>
        </w:rPr>
        <w:t xml:space="preserve">על פי </w:t>
      </w:r>
      <w:r w:rsidRPr="004D2E83">
        <w:rPr>
          <w:rtl/>
        </w:rPr>
        <w:t>סקר שיתוף הציבור שנעשה עבור משרד מבקר המדינה</w:t>
      </w:r>
      <w:r w:rsidRPr="004D2E83">
        <w:rPr>
          <w:rFonts w:hint="cs"/>
          <w:rtl/>
        </w:rPr>
        <w:t>.</w:t>
      </w:r>
    </w:p>
    <w:p w:rsidR="00BF1E3B" w:rsidRPr="004B7A9D" w:rsidRDefault="00DF6A0A" w:rsidP="004D2E83">
      <w:pPr>
        <w:pStyle w:val="73f1"/>
        <w:rPr>
          <w:rtl/>
        </w:rPr>
      </w:pPr>
      <w:r>
        <w:rPr>
          <w:rFonts w:hint="cs"/>
          <w:rtl/>
        </w:rPr>
        <w:t>מן התרשים עולה כי התאמות הנגישות (ההנגשות) שהמשיבים ציינו בסקר שביצע משרד מבקר המדינה כי הן נחוצות להם מכוונות למוגבלויות שונות: קשיי קשב וריכוז, קשיי ראייה, קשיי שמיעה,</w:t>
      </w:r>
      <w:r>
        <w:rPr>
          <w:rFonts w:hint="cs"/>
          <w:rtl/>
        </w:rPr>
        <w:t xml:space="preserve"> נכות בידיים ומגבלות הקשורות להיבטים קוגניטיביים.</w:t>
      </w:r>
      <w:r w:rsidRPr="004B7A9D">
        <w:rPr>
          <w:rFonts w:hint="cs"/>
          <w:rtl/>
        </w:rPr>
        <w:t xml:space="preserve"> </w:t>
      </w:r>
      <w:r>
        <w:rPr>
          <w:rFonts w:hint="cs"/>
          <w:rtl/>
        </w:rPr>
        <w:t>נוסף על כך,</w:t>
      </w:r>
      <w:r w:rsidRPr="004B7A9D">
        <w:rPr>
          <w:rFonts w:hint="cs"/>
          <w:rtl/>
        </w:rPr>
        <w:t xml:space="preserve"> </w:t>
      </w:r>
      <w:r>
        <w:rPr>
          <w:rFonts w:hint="cs"/>
          <w:rtl/>
        </w:rPr>
        <w:t>מבין התאמות הנגישות שהוצגו לעיל, הש</w:t>
      </w:r>
      <w:r w:rsidRPr="004B7A9D">
        <w:rPr>
          <w:rFonts w:hint="cs"/>
          <w:rtl/>
        </w:rPr>
        <w:t xml:space="preserve">יעורים </w:t>
      </w:r>
      <w:r>
        <w:rPr>
          <w:rFonts w:hint="cs"/>
          <w:rtl/>
        </w:rPr>
        <w:t>ה</w:t>
      </w:r>
      <w:r w:rsidRPr="004B7A9D">
        <w:rPr>
          <w:rFonts w:hint="cs"/>
          <w:rtl/>
        </w:rPr>
        <w:t xml:space="preserve">גבוהים </w:t>
      </w:r>
      <w:r>
        <w:rPr>
          <w:rFonts w:hint="cs"/>
          <w:rtl/>
        </w:rPr>
        <w:t xml:space="preserve">ביותר </w:t>
      </w:r>
      <w:r w:rsidRPr="004B7A9D">
        <w:rPr>
          <w:rFonts w:hint="cs"/>
          <w:rtl/>
        </w:rPr>
        <w:t>של משיבים</w:t>
      </w:r>
      <w:r>
        <w:rPr>
          <w:rFonts w:hint="cs"/>
          <w:rtl/>
        </w:rPr>
        <w:t>,</w:t>
      </w:r>
      <w:r w:rsidRPr="004B7A9D">
        <w:rPr>
          <w:rFonts w:hint="cs"/>
          <w:rtl/>
        </w:rPr>
        <w:t xml:space="preserve"> 35% - 42%</w:t>
      </w:r>
      <w:r>
        <w:rPr>
          <w:rFonts w:hint="cs"/>
          <w:rtl/>
        </w:rPr>
        <w:t>,</w:t>
      </w:r>
      <w:r w:rsidRPr="004B7A9D">
        <w:rPr>
          <w:rFonts w:hint="cs"/>
          <w:rtl/>
        </w:rPr>
        <w:t xml:space="preserve"> ציינו כי הם זקוקים ל</w:t>
      </w:r>
      <w:r>
        <w:rPr>
          <w:rFonts w:hint="cs"/>
          <w:rtl/>
        </w:rPr>
        <w:t xml:space="preserve">התאמות הללו: </w:t>
      </w:r>
      <w:r w:rsidRPr="004B7A9D">
        <w:rPr>
          <w:rFonts w:hint="cs"/>
          <w:rtl/>
        </w:rPr>
        <w:t xml:space="preserve">מסכים </w:t>
      </w:r>
      <w:r>
        <w:rPr>
          <w:rFonts w:hint="cs"/>
          <w:rtl/>
        </w:rPr>
        <w:t>שאינם מ</w:t>
      </w:r>
      <w:r w:rsidRPr="004B7A9D">
        <w:rPr>
          <w:rFonts w:hint="cs"/>
          <w:rtl/>
        </w:rPr>
        <w:t>רצד</w:t>
      </w:r>
      <w:r>
        <w:rPr>
          <w:rFonts w:hint="cs"/>
          <w:rtl/>
        </w:rPr>
        <w:t xml:space="preserve">ים, </w:t>
      </w:r>
      <w:r w:rsidRPr="004B7A9D">
        <w:rPr>
          <w:rFonts w:hint="cs"/>
          <w:rtl/>
        </w:rPr>
        <w:t xml:space="preserve">חלוקה </w:t>
      </w:r>
      <w:r>
        <w:rPr>
          <w:rFonts w:hint="cs"/>
          <w:rtl/>
        </w:rPr>
        <w:t xml:space="preserve">נושאית </w:t>
      </w:r>
      <w:r w:rsidRPr="004B7A9D">
        <w:rPr>
          <w:rFonts w:hint="cs"/>
          <w:rtl/>
        </w:rPr>
        <w:t>מובנת באתר</w:t>
      </w:r>
      <w:r>
        <w:rPr>
          <w:rFonts w:hint="cs"/>
          <w:rtl/>
        </w:rPr>
        <w:t xml:space="preserve"> ויכולת</w:t>
      </w:r>
      <w:r w:rsidRPr="004B7A9D">
        <w:rPr>
          <w:rFonts w:hint="cs"/>
          <w:rtl/>
        </w:rPr>
        <w:t xml:space="preserve"> לקרוא את ה</w:t>
      </w:r>
      <w:r>
        <w:rPr>
          <w:rFonts w:hint="cs"/>
          <w:rtl/>
        </w:rPr>
        <w:t xml:space="preserve">תכנים </w:t>
      </w:r>
      <w:r w:rsidRPr="004B7A9D">
        <w:rPr>
          <w:rFonts w:hint="cs"/>
          <w:rtl/>
        </w:rPr>
        <w:t xml:space="preserve">בקלות </w:t>
      </w:r>
      <w:r>
        <w:rPr>
          <w:rFonts w:hint="cs"/>
          <w:rtl/>
        </w:rPr>
        <w:t>באמצעות</w:t>
      </w:r>
      <w:r w:rsidRPr="004B7A9D">
        <w:rPr>
          <w:rFonts w:hint="cs"/>
          <w:rtl/>
        </w:rPr>
        <w:t xml:space="preserve"> אפ</w:t>
      </w:r>
      <w:r w:rsidRPr="004B7A9D">
        <w:rPr>
          <w:rFonts w:hint="cs"/>
          <w:rtl/>
        </w:rPr>
        <w:t xml:space="preserve">שרות </w:t>
      </w:r>
      <w:r>
        <w:rPr>
          <w:rFonts w:hint="cs"/>
          <w:rtl/>
        </w:rPr>
        <w:t xml:space="preserve">להגדלת מלל </w:t>
      </w:r>
      <w:r w:rsidRPr="004B7A9D">
        <w:rPr>
          <w:rFonts w:hint="cs"/>
          <w:rtl/>
        </w:rPr>
        <w:t>ו</w:t>
      </w:r>
      <w:r>
        <w:rPr>
          <w:rFonts w:hint="cs"/>
          <w:rtl/>
        </w:rPr>
        <w:t>באמצעות הצגתו בר</w:t>
      </w:r>
      <w:r w:rsidRPr="004B7A9D">
        <w:rPr>
          <w:rFonts w:hint="cs"/>
          <w:rtl/>
        </w:rPr>
        <w:t xml:space="preserve">מת בהירות </w:t>
      </w:r>
      <w:r>
        <w:rPr>
          <w:rFonts w:hint="cs"/>
          <w:rtl/>
        </w:rPr>
        <w:t xml:space="preserve">או ניגודיות </w:t>
      </w:r>
      <w:r w:rsidRPr="004B7A9D">
        <w:rPr>
          <w:rFonts w:hint="cs"/>
          <w:rtl/>
        </w:rPr>
        <w:t xml:space="preserve">טובה. </w:t>
      </w:r>
    </w:p>
    <w:p w:rsidR="00BF1E3B" w:rsidRPr="004D2E83" w:rsidRDefault="00DF6A0A">
      <w:pPr>
        <w:pStyle w:val="739"/>
        <w:numPr>
          <w:ilvl w:val="0"/>
          <w:numId w:val="20"/>
        </w:numPr>
        <w:rPr>
          <w:rtl/>
        </w:rPr>
      </w:pPr>
      <w:r w:rsidRPr="00C619CC">
        <w:rPr>
          <w:rStyle w:val="7371"/>
          <w:rFonts w:hint="cs"/>
          <w:rtl/>
        </w:rPr>
        <w:t>רמת הנגישות הנתפסת של אתרי מרשתת ממשלתיים</w:t>
      </w:r>
      <w:r w:rsidRPr="004D2E83">
        <w:rPr>
          <w:rStyle w:val="50"/>
          <w:rFonts w:eastAsiaTheme="minorHAnsi" w:hint="cs"/>
          <w:b/>
          <w:spacing w:val="0"/>
          <w:rtl/>
        </w:rPr>
        <w:t>:</w:t>
      </w:r>
      <w:r w:rsidRPr="004D2E83">
        <w:rPr>
          <w:rFonts w:hint="cs"/>
          <w:rtl/>
        </w:rPr>
        <w:t xml:space="preserve"> </w:t>
      </w:r>
      <w:r w:rsidRPr="004D2E83">
        <w:rPr>
          <w:rtl/>
        </w:rPr>
        <w:t>משיבים התבקשו להעריך על פי נ</w:t>
      </w:r>
      <w:r w:rsidRPr="004D2E83">
        <w:rPr>
          <w:rFonts w:hint="cs"/>
          <w:rtl/>
        </w:rPr>
        <w:t>י</w:t>
      </w:r>
      <w:r w:rsidRPr="004D2E83">
        <w:rPr>
          <w:rtl/>
        </w:rPr>
        <w:t>סיונם את רמת הנגישות בשירות הדיגיטלי</w:t>
      </w:r>
      <w:r w:rsidRPr="004D2E83">
        <w:rPr>
          <w:rFonts w:hint="cs"/>
          <w:rtl/>
        </w:rPr>
        <w:t xml:space="preserve"> של אתרי מרשתת ממשלתיים (הערכה כללית ללא התמקדות בגוף ממשלתי מסוים)</w:t>
      </w:r>
      <w:r w:rsidRPr="004D2E83">
        <w:rPr>
          <w:rtl/>
        </w:rPr>
        <w:t xml:space="preserve">. </w:t>
      </w:r>
      <w:r w:rsidRPr="004D2E83">
        <w:rPr>
          <w:rFonts w:hint="cs"/>
          <w:rtl/>
        </w:rPr>
        <w:t xml:space="preserve">נותחו התשובות של </w:t>
      </w:r>
      <w:r w:rsidRPr="004D2E83">
        <w:rPr>
          <w:rFonts w:hint="cs"/>
          <w:rtl/>
        </w:rPr>
        <w:t>משיבים משלוש קבוצות - משיבים שמעדיפים להשתמש בשירות דיגיטלי, משיבים שמעדיפים את השירות הטלפוני ואלה שמעדיפים שירות פרונטלי. להלן התוצאות בתרשים.</w:t>
      </w:r>
    </w:p>
    <w:p w:rsidR="00BF1E3B" w:rsidRPr="004D2E83" w:rsidRDefault="00DF6A0A" w:rsidP="006E5CA2">
      <w:pPr>
        <w:pStyle w:val="738"/>
        <w:ind w:left="397"/>
        <w:rPr>
          <w:rtl/>
        </w:rPr>
      </w:pPr>
      <w:r w:rsidRPr="004D2E83">
        <w:rPr>
          <w:rFonts w:hint="eastAsia"/>
          <w:b w:val="0"/>
          <w:bCs w:val="0"/>
          <w:rtl/>
        </w:rPr>
        <w:lastRenderedPageBreak/>
        <w:t>תרשים</w:t>
      </w:r>
      <w:r w:rsidRPr="004D2E83">
        <w:rPr>
          <w:b w:val="0"/>
          <w:bCs w:val="0"/>
          <w:rtl/>
        </w:rPr>
        <w:t xml:space="preserve"> </w:t>
      </w:r>
      <w:r w:rsidRPr="004D2E83">
        <w:rPr>
          <w:rFonts w:hint="cs"/>
          <w:b w:val="0"/>
          <w:bCs w:val="0"/>
          <w:rtl/>
        </w:rPr>
        <w:t>14:</w:t>
      </w:r>
      <w:r w:rsidRPr="004D2E83">
        <w:rPr>
          <w:rFonts w:hint="cs"/>
          <w:rtl/>
        </w:rPr>
        <w:t xml:space="preserve"> רמת הנגישות הנתפסת של אתרי מרשתת ממשלתיים, על פי ניסיונם הקודם של המשיבים ועל פי ערוץ השירות המועדף ע</w:t>
      </w:r>
      <w:r w:rsidRPr="004D2E83">
        <w:rPr>
          <w:rFonts w:hint="cs"/>
          <w:rtl/>
        </w:rPr>
        <w:t>ליהם</w:t>
      </w:r>
    </w:p>
    <w:p w:rsidR="00BF1E3B" w:rsidRDefault="00DF6A0A" w:rsidP="006E5CA2">
      <w:pPr>
        <w:ind w:left="397"/>
        <w:rPr>
          <w:b/>
          <w:bCs/>
          <w:rtl/>
        </w:rPr>
      </w:pPr>
      <w:r w:rsidRPr="00A75C4A">
        <w:rPr>
          <w:noProof/>
        </w:rPr>
        <w:drawing>
          <wp:inline distT="0" distB="0" distL="0" distR="0">
            <wp:extent cx="4480560" cy="2766060"/>
            <wp:effectExtent l="0" t="0" r="0" b="0"/>
            <wp:docPr id="2052770960" name="תמונה 2052770960" descr="הממצאים העיקריים שעולים מן התרשים מוצגים בקטע המלל שלאחריו.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0" name="תמונה 2052770960"/>
                    <pic:cNvPicPr/>
                  </pic:nvPicPr>
                  <pic:blipFill>
                    <a:blip r:embed="rId68">
                      <a:extLst>
                        <a:ext uri="{28A0092B-C50C-407E-A947-70E740481C1C}">
                          <a14:useLocalDpi xmlns:a14="http://schemas.microsoft.com/office/drawing/2010/main" val="0"/>
                        </a:ext>
                      </a:extLst>
                    </a:blip>
                    <a:stretch>
                      <a:fillRect/>
                    </a:stretch>
                  </pic:blipFill>
                  <pic:spPr bwMode="auto">
                    <a:xfrm>
                      <a:off x="0" y="0"/>
                      <a:ext cx="4480560" cy="2766060"/>
                    </a:xfrm>
                    <a:prstGeom prst="rect">
                      <a:avLst/>
                    </a:prstGeom>
                    <a:extLst>
                      <a:ext uri="{53640926-AAD7-44D8-BBD7-CCE9431645EC}">
                        <a14:shadowObscured xmlns:a14="http://schemas.microsoft.com/office/drawing/2010/main"/>
                      </a:ext>
                    </a:extLst>
                  </pic:spPr>
                </pic:pic>
              </a:graphicData>
            </a:graphic>
          </wp:inline>
        </w:drawing>
      </w:r>
    </w:p>
    <w:p w:rsidR="00BF1E3B" w:rsidRPr="004D2E83" w:rsidRDefault="00DF6A0A" w:rsidP="004D2E83">
      <w:pPr>
        <w:pStyle w:val="73e"/>
        <w:spacing w:after="0"/>
        <w:ind w:left="397"/>
        <w:rPr>
          <w:rtl/>
        </w:rPr>
      </w:pPr>
      <w:r w:rsidRPr="004D2E83">
        <w:rPr>
          <w:rFonts w:hint="cs"/>
          <w:rtl/>
        </w:rPr>
        <w:t>על פי</w:t>
      </w:r>
      <w:r w:rsidRPr="004D2E83">
        <w:rPr>
          <w:rtl/>
        </w:rPr>
        <w:t xml:space="preserve"> סקר שיתוף הציבור שנעשה עבור משרד מבקר המדינה. </w:t>
      </w:r>
    </w:p>
    <w:p w:rsidR="00BF1E3B" w:rsidRPr="004D2E83" w:rsidRDefault="00DF6A0A" w:rsidP="004D2E83">
      <w:pPr>
        <w:pStyle w:val="73e"/>
        <w:spacing w:before="0"/>
        <w:ind w:left="397"/>
        <w:rPr>
          <w:rtl/>
        </w:rPr>
      </w:pPr>
      <w:r w:rsidRPr="004D2E83">
        <w:rPr>
          <w:rFonts w:hint="cs"/>
          <w:rtl/>
        </w:rPr>
        <w:t xml:space="preserve">סכומי השיעורים המוצגים בתרשימים לא תיד מסתכמים בדיוק ב-100% משום שהשיעורים עוגלו.   </w:t>
      </w:r>
    </w:p>
    <w:p w:rsidR="00BF1E3B" w:rsidRPr="004D2E83" w:rsidRDefault="00DF6A0A" w:rsidP="004D2E83">
      <w:pPr>
        <w:pStyle w:val="73f1"/>
        <w:rPr>
          <w:rtl/>
        </w:rPr>
      </w:pPr>
      <w:r w:rsidRPr="004D2E83">
        <w:rPr>
          <w:rFonts w:hint="cs"/>
          <w:rtl/>
        </w:rPr>
        <w:t>מסקר שיתוף הציבור שביצע משרד מבקר המדינה עלה כי מקרב כלל המשיבים, המהווים מדגם מייצג של אנשים עם מוגבלות בישראל</w:t>
      </w:r>
      <w:r w:rsidRPr="004D2E83">
        <w:rPr>
          <w:rFonts w:hint="cs"/>
          <w:rtl/>
        </w:rPr>
        <w:t xml:space="preserve"> - הן אלה שמעדיפים את ערוץ השירות הדיגיטלי הממשלתי והן אלה שמעדיפים ערוצי שירות אחרים</w:t>
      </w:r>
      <w:r>
        <w:rPr>
          <w:rStyle w:val="a8"/>
          <w:rtl/>
        </w:rPr>
        <w:footnoteReference w:id="87"/>
      </w:r>
      <w:r w:rsidRPr="004D2E83">
        <w:rPr>
          <w:rFonts w:hint="cs"/>
          <w:rtl/>
        </w:rPr>
        <w:t xml:space="preserve"> - 44% העריכו את רמת הנגישות של השירות הממשלתי באתרי מרשתת לאנשים עם מוגבלות כבינונית, 38% העריכו אותה כטובה עד טובה מאוד וכ-18% העריכו אותה כנמוכה עד נמוכה מאוד. </w:t>
      </w:r>
    </w:p>
    <w:p w:rsidR="00BF1E3B" w:rsidRDefault="00DF6A0A">
      <w:pPr>
        <w:pStyle w:val="739"/>
        <w:numPr>
          <w:ilvl w:val="0"/>
          <w:numId w:val="20"/>
        </w:numPr>
        <w:rPr>
          <w:rtl/>
        </w:rPr>
      </w:pPr>
      <w:r w:rsidRPr="006E5CA2">
        <w:rPr>
          <w:rStyle w:val="7371"/>
          <w:rFonts w:hint="cs"/>
          <w:rtl/>
        </w:rPr>
        <w:t xml:space="preserve">פנייה </w:t>
      </w:r>
      <w:r w:rsidRPr="006E5CA2">
        <w:rPr>
          <w:rStyle w:val="7371"/>
          <w:rFonts w:hint="cs"/>
          <w:rtl/>
        </w:rPr>
        <w:t>לערוץ שירות דיגיטלי:</w:t>
      </w:r>
      <w:r>
        <w:rPr>
          <w:rFonts w:hint="cs"/>
          <w:rtl/>
        </w:rPr>
        <w:t xml:space="preserve"> בסקר שיתוף הציבור הוצגה לנשאלים רשימה של 17 גופי ממשל</w:t>
      </w:r>
      <w:r>
        <w:rPr>
          <w:rStyle w:val="a8"/>
          <w:rtl/>
        </w:rPr>
        <w:footnoteReference w:id="88"/>
      </w:r>
      <w:r>
        <w:rPr>
          <w:rFonts w:hint="cs"/>
          <w:rtl/>
        </w:rPr>
        <w:t>, והם התבקשו לציין מאילו מהם קיבלו או ניסו לקבל שירות בשנתיים האחרונות באמצעות אתרי המרשתת או האפליקציות שלהם ואם נתקלו בקשיי נגישות בערוצים דיגיטליים אלו. להלן בתרשים שמות הגופים ש</w:t>
      </w:r>
      <w:r>
        <w:rPr>
          <w:rFonts w:hint="cs"/>
          <w:rtl/>
        </w:rPr>
        <w:t>הוצגו לנשאלים והתוצאות שעלו:</w:t>
      </w:r>
    </w:p>
    <w:p w:rsidR="00BF1E3B" w:rsidRPr="006E5CA2" w:rsidRDefault="00DF6A0A" w:rsidP="006E5CA2">
      <w:pPr>
        <w:pStyle w:val="738"/>
        <w:ind w:left="397"/>
        <w:rPr>
          <w:rtl/>
        </w:rPr>
      </w:pPr>
      <w:r w:rsidRPr="006E5CA2">
        <w:rPr>
          <w:rFonts w:hint="eastAsia"/>
          <w:b w:val="0"/>
          <w:bCs w:val="0"/>
          <w:rtl/>
        </w:rPr>
        <w:lastRenderedPageBreak/>
        <w:t>תרשים</w:t>
      </w:r>
      <w:r w:rsidRPr="006E5CA2">
        <w:rPr>
          <w:b w:val="0"/>
          <w:bCs w:val="0"/>
          <w:rtl/>
        </w:rPr>
        <w:t xml:space="preserve"> </w:t>
      </w:r>
      <w:r w:rsidRPr="006E5CA2">
        <w:rPr>
          <w:rFonts w:hint="cs"/>
          <w:b w:val="0"/>
          <w:bCs w:val="0"/>
          <w:rtl/>
        </w:rPr>
        <w:t>15</w:t>
      </w:r>
      <w:r w:rsidRPr="006E5CA2">
        <w:rPr>
          <w:b w:val="0"/>
          <w:bCs w:val="0"/>
          <w:rtl/>
        </w:rPr>
        <w:t>:</w:t>
      </w:r>
      <w:r w:rsidRPr="006E5CA2">
        <w:rPr>
          <w:rFonts w:hint="cs"/>
          <w:b w:val="0"/>
          <w:bCs w:val="0"/>
          <w:rtl/>
        </w:rPr>
        <w:t xml:space="preserve"> </w:t>
      </w:r>
      <w:r w:rsidRPr="006E5CA2">
        <w:rPr>
          <w:rFonts w:hint="cs"/>
          <w:rtl/>
        </w:rPr>
        <w:t xml:space="preserve">קבלת שירות באמצעות ערוץ דיגיטלי (אתר מרשתת </w:t>
      </w:r>
      <w:r w:rsidR="00CE5079">
        <w:br/>
      </w:r>
      <w:r w:rsidRPr="006E5CA2">
        <w:rPr>
          <w:rFonts w:hint="cs"/>
          <w:rtl/>
        </w:rPr>
        <w:t>או אפליקציה)</w:t>
      </w:r>
    </w:p>
    <w:p w:rsidR="00BF1E3B" w:rsidRDefault="00DF6A0A" w:rsidP="006E5CA2">
      <w:pPr>
        <w:ind w:left="397"/>
        <w:rPr>
          <w:sz w:val="16"/>
          <w:szCs w:val="20"/>
          <w:rtl/>
        </w:rPr>
      </w:pPr>
      <w:r w:rsidRPr="00A75C4A">
        <w:rPr>
          <w:noProof/>
        </w:rPr>
        <w:drawing>
          <wp:inline distT="0" distB="0" distL="0" distR="0">
            <wp:extent cx="4460842" cy="4274820"/>
            <wp:effectExtent l="0" t="0" r="0" b="0"/>
            <wp:docPr id="2052770961" name="תמונה 2052770961" descr="שמות הגופים שהוצגו לנשאלים בסקר: המוסד לביטוח לאומי, משרד הפנים, רשות המיסים, רשויות מקומיות, משרד התחבורה, משרד הבריאות, רשות האוכלוסין וההגירה, שירות התעסוקה, משרד החינוך, משרד המשפטים, משטרת ישראל, רשות האכיפה והגבייה, משרד הרווחה, המשרד לשוויון חברתי, משרד הביטחון - האגף לשיקום נכים, משרד החוץ והמשרד לשירותי דת. המשיבים על הסקר נשאלו אם קיבלו שירות דיגיטלי מאחד ממשרדים אלה ואם נתקלו במקרה של בעיה בהנגשה. רוב הנשאלים (58%) ציינו כי פנו לבקש שירות דיגיטלי מהביטוח הלאומי ו-15% ציינו כי נתקלו בבעיית הנגשה. שיעור הפונים לגופי ממשל אחרים היה קטן יותר, והם הוצגו בתרשים בסדר יורד על פי הסדר לעיל של הצגת שמות הגופים; גם שיעורי הנתקלים בבעיות נגישות היה קטן יותר בהתאם לכך - למשל, רק 3% מן הנשאלים ציינו כי פנו לקבל שירות מהמשרד לשירותי דת, ו-1% ציינו כי נתקלו בבעיית הנגשה דיגיטלית אצלו. עיקרי הממצאים מוצגים בקטע המלל שלאחר התרשים.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1" name="תמונה 2052770961"/>
                    <pic:cNvPicPr/>
                  </pic:nvPicPr>
                  <pic:blipFill>
                    <a:blip r:embed="rId69">
                      <a:extLst>
                        <a:ext uri="{28A0092B-C50C-407E-A947-70E740481C1C}">
                          <a14:useLocalDpi xmlns:a14="http://schemas.microsoft.com/office/drawing/2010/main" val="0"/>
                        </a:ext>
                      </a:extLst>
                    </a:blip>
                    <a:stretch>
                      <a:fillRect/>
                    </a:stretch>
                  </pic:blipFill>
                  <pic:spPr>
                    <a:xfrm>
                      <a:off x="0" y="0"/>
                      <a:ext cx="4479566" cy="4292763"/>
                    </a:xfrm>
                    <a:prstGeom prst="rect">
                      <a:avLst/>
                    </a:prstGeom>
                    <a:ln>
                      <a:noFill/>
                    </a:ln>
                  </pic:spPr>
                </pic:pic>
              </a:graphicData>
            </a:graphic>
          </wp:inline>
        </w:drawing>
      </w:r>
    </w:p>
    <w:p w:rsidR="00BF1E3B" w:rsidRDefault="00DF6A0A" w:rsidP="006E5CA2">
      <w:pPr>
        <w:pStyle w:val="73e"/>
        <w:spacing w:after="0"/>
        <w:ind w:left="397"/>
        <w:rPr>
          <w:b/>
          <w:bCs/>
          <w:sz w:val="18"/>
          <w:szCs w:val="22"/>
          <w:rtl/>
        </w:rPr>
      </w:pPr>
      <w:r>
        <w:rPr>
          <w:rFonts w:hint="cs"/>
          <w:rtl/>
        </w:rPr>
        <w:t>על פי</w:t>
      </w:r>
      <w:r w:rsidRPr="004145A2">
        <w:rPr>
          <w:rtl/>
        </w:rPr>
        <w:t xml:space="preserve"> סקר שיתוף הציבור שנעשה עבור משרד מבקר המדינה.</w:t>
      </w:r>
    </w:p>
    <w:p w:rsidR="00BF1E3B" w:rsidRPr="007A107E" w:rsidRDefault="00DF6A0A" w:rsidP="006E5CA2">
      <w:pPr>
        <w:pStyle w:val="73e"/>
        <w:spacing w:before="0"/>
        <w:ind w:left="707" w:hanging="310"/>
        <w:rPr>
          <w:rtl/>
        </w:rPr>
      </w:pPr>
      <w:r>
        <w:rPr>
          <w:rFonts w:hint="cs"/>
          <w:rtl/>
        </w:rPr>
        <w:t xml:space="preserve">* </w:t>
      </w:r>
      <w:r w:rsidR="006E5CA2">
        <w:rPr>
          <w:rtl/>
        </w:rPr>
        <w:tab/>
      </w:r>
      <w:r w:rsidRPr="002D45AB">
        <w:rPr>
          <w:rtl/>
        </w:rPr>
        <w:t>משרד הפנים מסר כי</w:t>
      </w:r>
      <w:r>
        <w:rPr>
          <w:rFonts w:hint="cs"/>
          <w:rtl/>
        </w:rPr>
        <w:t xml:space="preserve"> הוא</w:t>
      </w:r>
      <w:r w:rsidRPr="002D45AB">
        <w:rPr>
          <w:rtl/>
        </w:rPr>
        <w:t xml:space="preserve"> פועל בעבודתו השוטפת מול רשויות מקומיות ולא מול תושבים, ולפיכך י</w:t>
      </w:r>
      <w:r>
        <w:rPr>
          <w:rFonts w:hint="cs"/>
          <w:rtl/>
        </w:rPr>
        <w:t>י</w:t>
      </w:r>
      <w:r w:rsidRPr="002D45AB">
        <w:rPr>
          <w:rtl/>
        </w:rPr>
        <w:t>תכן שהמשיבים לסקר</w:t>
      </w:r>
      <w:r>
        <w:rPr>
          <w:rtl/>
        </w:rPr>
        <w:t xml:space="preserve"> התבלבלו בינו לבין רשות אחרת. </w:t>
      </w:r>
    </w:p>
    <w:p w:rsidR="00BF1E3B" w:rsidRPr="006E5CA2" w:rsidRDefault="00DF6A0A" w:rsidP="006E5CA2">
      <w:pPr>
        <w:pStyle w:val="73f1"/>
        <w:rPr>
          <w:rtl/>
        </w:rPr>
      </w:pPr>
      <w:r w:rsidRPr="006E5CA2">
        <w:rPr>
          <w:rFonts w:hint="cs"/>
          <w:rtl/>
        </w:rPr>
        <w:lastRenderedPageBreak/>
        <w:t>מסקר שיתוף ציבור שביצע משרד מבקר המדינה בקרב אנשים עם מוגבלות עלה כי 39% מן המשיבים נתקלו בפריטים שלא הונגשו כנדרש באתרי מרשתת או באפליקציות של גופי ממשל</w:t>
      </w:r>
      <w:r>
        <w:rPr>
          <w:rStyle w:val="a8"/>
          <w:rtl/>
        </w:rPr>
        <w:footnoteReference w:id="89"/>
      </w:r>
      <w:r w:rsidRPr="006E5CA2">
        <w:rPr>
          <w:rFonts w:hint="cs"/>
          <w:vertAlign w:val="superscript"/>
          <w:rtl/>
        </w:rPr>
        <w:t>.</w:t>
      </w:r>
      <w:r w:rsidRPr="006E5CA2">
        <w:rPr>
          <w:rFonts w:hint="cs"/>
          <w:rtl/>
        </w:rPr>
        <w:t xml:space="preserve"> בהתייחס לכל אחד מ-17 הגופים שלגביהם נשאלו המשיבים, עלה </w:t>
      </w:r>
      <w:r w:rsidRPr="006E5CA2">
        <w:rPr>
          <w:rFonts w:hint="eastAsia"/>
          <w:rtl/>
        </w:rPr>
        <w:t>כי</w:t>
      </w:r>
      <w:r w:rsidRPr="006E5CA2">
        <w:rPr>
          <w:rtl/>
        </w:rPr>
        <w:t xml:space="preserve"> </w:t>
      </w:r>
      <w:r w:rsidRPr="006E5CA2">
        <w:rPr>
          <w:rFonts w:hint="cs"/>
          <w:rtl/>
        </w:rPr>
        <w:t>כשליש עד חמ</w:t>
      </w:r>
      <w:r w:rsidRPr="006E5CA2">
        <w:rPr>
          <w:rFonts w:hint="cs"/>
          <w:rtl/>
        </w:rPr>
        <w:t xml:space="preserve">ישית מהפונים </w:t>
      </w:r>
      <w:r w:rsidRPr="006E5CA2">
        <w:rPr>
          <w:rFonts w:hint="eastAsia"/>
          <w:rtl/>
        </w:rPr>
        <w:t>נתקלו</w:t>
      </w:r>
      <w:r w:rsidRPr="006E5CA2">
        <w:rPr>
          <w:rtl/>
        </w:rPr>
        <w:t xml:space="preserve"> </w:t>
      </w:r>
      <w:r w:rsidRPr="006E5CA2">
        <w:rPr>
          <w:rFonts w:hint="eastAsia"/>
          <w:rtl/>
        </w:rPr>
        <w:t>בבעי</w:t>
      </w:r>
      <w:r w:rsidRPr="006E5CA2">
        <w:rPr>
          <w:rFonts w:hint="cs"/>
          <w:rtl/>
        </w:rPr>
        <w:t>ית נגישות</w:t>
      </w:r>
      <w:r w:rsidRPr="006E5CA2">
        <w:rPr>
          <w:rtl/>
        </w:rPr>
        <w:t xml:space="preserve"> </w:t>
      </w:r>
      <w:r w:rsidRPr="006E5CA2">
        <w:rPr>
          <w:rFonts w:hint="eastAsia"/>
          <w:rtl/>
        </w:rPr>
        <w:t>ב</w:t>
      </w:r>
      <w:r w:rsidRPr="006E5CA2">
        <w:rPr>
          <w:rFonts w:hint="cs"/>
          <w:rtl/>
        </w:rPr>
        <w:t xml:space="preserve">בואם לקבל </w:t>
      </w:r>
      <w:r w:rsidRPr="006E5CA2">
        <w:rPr>
          <w:rFonts w:hint="eastAsia"/>
          <w:rtl/>
        </w:rPr>
        <w:t>ש</w:t>
      </w:r>
      <w:r w:rsidRPr="006E5CA2">
        <w:rPr>
          <w:rFonts w:hint="cs"/>
          <w:rtl/>
        </w:rPr>
        <w:t>י</w:t>
      </w:r>
      <w:r w:rsidRPr="006E5CA2">
        <w:rPr>
          <w:rFonts w:hint="eastAsia"/>
          <w:rtl/>
        </w:rPr>
        <w:t>רות</w:t>
      </w:r>
      <w:r w:rsidRPr="006E5CA2">
        <w:rPr>
          <w:rtl/>
        </w:rPr>
        <w:t xml:space="preserve"> </w:t>
      </w:r>
      <w:r w:rsidRPr="006E5CA2">
        <w:rPr>
          <w:rFonts w:hint="eastAsia"/>
          <w:rtl/>
        </w:rPr>
        <w:t>באמצעות</w:t>
      </w:r>
      <w:r w:rsidRPr="006E5CA2">
        <w:rPr>
          <w:rtl/>
        </w:rPr>
        <w:t xml:space="preserve"> </w:t>
      </w:r>
      <w:r w:rsidRPr="006E5CA2">
        <w:rPr>
          <w:rFonts w:hint="cs"/>
          <w:rtl/>
        </w:rPr>
        <w:t>ה</w:t>
      </w:r>
      <w:r w:rsidRPr="006E5CA2">
        <w:rPr>
          <w:rFonts w:hint="eastAsia"/>
          <w:rtl/>
        </w:rPr>
        <w:t>ערוץ</w:t>
      </w:r>
      <w:r w:rsidRPr="006E5CA2">
        <w:rPr>
          <w:rtl/>
        </w:rPr>
        <w:t xml:space="preserve"> </w:t>
      </w:r>
      <w:r w:rsidRPr="006E5CA2">
        <w:rPr>
          <w:rFonts w:hint="cs"/>
          <w:rtl/>
        </w:rPr>
        <w:t>ה</w:t>
      </w:r>
      <w:r w:rsidRPr="006E5CA2">
        <w:rPr>
          <w:rFonts w:hint="eastAsia"/>
          <w:rtl/>
        </w:rPr>
        <w:t>דיגיטלי</w:t>
      </w:r>
      <w:r w:rsidRPr="006E5CA2">
        <w:rPr>
          <w:rFonts w:hint="cs"/>
          <w:rtl/>
        </w:rPr>
        <w:t xml:space="preserve">. </w:t>
      </w:r>
      <w:r w:rsidRPr="006E5CA2">
        <w:rPr>
          <w:rFonts w:hint="eastAsia"/>
          <w:rtl/>
        </w:rPr>
        <w:t>כשליש</w:t>
      </w:r>
      <w:r w:rsidRPr="006E5CA2">
        <w:rPr>
          <w:rtl/>
        </w:rPr>
        <w:t xml:space="preserve"> </w:t>
      </w:r>
      <w:r w:rsidRPr="006E5CA2">
        <w:rPr>
          <w:rFonts w:hint="cs"/>
          <w:rtl/>
        </w:rPr>
        <w:t>מהפונים נתקלו בקשיי נגישות באתרי המרשתת של הגופים הבאים: ה</w:t>
      </w:r>
      <w:r w:rsidRPr="006E5CA2">
        <w:rPr>
          <w:rtl/>
        </w:rPr>
        <w:t xml:space="preserve">משרד לשירותי דת, משרד החוץ, המשרד </w:t>
      </w:r>
      <w:r w:rsidRPr="006E5CA2">
        <w:rPr>
          <w:rFonts w:hint="eastAsia"/>
          <w:rtl/>
        </w:rPr>
        <w:t>לשוויון</w:t>
      </w:r>
      <w:r w:rsidRPr="006E5CA2">
        <w:rPr>
          <w:rtl/>
        </w:rPr>
        <w:t xml:space="preserve"> חברתי ומשרד הרווחה</w:t>
      </w:r>
      <w:r w:rsidR="00D73301">
        <w:rPr>
          <w:rFonts w:hint="cs"/>
          <w:rtl/>
        </w:rPr>
        <w:t xml:space="preserve"> והביטחון החברתי</w:t>
      </w:r>
      <w:r w:rsidRPr="006E5CA2">
        <w:rPr>
          <w:rFonts w:hint="cs"/>
          <w:rtl/>
        </w:rPr>
        <w:t>.</w:t>
      </w:r>
      <w:r w:rsidRPr="006E5CA2">
        <w:rPr>
          <w:rtl/>
        </w:rPr>
        <w:t xml:space="preserve"> </w:t>
      </w:r>
      <w:r w:rsidRPr="006E5CA2">
        <w:rPr>
          <w:rFonts w:hint="cs"/>
          <w:rtl/>
        </w:rPr>
        <w:t xml:space="preserve">כך גם </w:t>
      </w:r>
      <w:r w:rsidRPr="006E5CA2">
        <w:rPr>
          <w:rFonts w:hint="eastAsia"/>
          <w:rtl/>
        </w:rPr>
        <w:t>כרבע</w:t>
      </w:r>
      <w:r w:rsidRPr="006E5CA2">
        <w:rPr>
          <w:rtl/>
        </w:rPr>
        <w:t xml:space="preserve"> מהפונים </w:t>
      </w:r>
      <w:r w:rsidRPr="006E5CA2">
        <w:rPr>
          <w:rFonts w:hint="cs"/>
          <w:rtl/>
        </w:rPr>
        <w:t>למוסד ל</w:t>
      </w:r>
      <w:r w:rsidRPr="006E5CA2">
        <w:rPr>
          <w:rtl/>
        </w:rPr>
        <w:t xml:space="preserve">ביטוח לאומי, </w:t>
      </w:r>
      <w:r w:rsidRPr="006E5CA2">
        <w:rPr>
          <w:rFonts w:hint="cs"/>
          <w:rtl/>
        </w:rPr>
        <w:t>ל</w:t>
      </w:r>
      <w:r w:rsidRPr="006E5CA2">
        <w:rPr>
          <w:rtl/>
        </w:rPr>
        <w:t xml:space="preserve">משרד הפנים, </w:t>
      </w:r>
      <w:r w:rsidRPr="006E5CA2">
        <w:rPr>
          <w:rFonts w:hint="cs"/>
          <w:rtl/>
        </w:rPr>
        <w:t>ל</w:t>
      </w:r>
      <w:r w:rsidRPr="006E5CA2">
        <w:rPr>
          <w:rFonts w:hint="eastAsia"/>
          <w:rtl/>
        </w:rPr>
        <w:t>רשות</w:t>
      </w:r>
      <w:r w:rsidRPr="006E5CA2">
        <w:rPr>
          <w:rtl/>
        </w:rPr>
        <w:t xml:space="preserve"> </w:t>
      </w:r>
      <w:r w:rsidRPr="006E5CA2">
        <w:rPr>
          <w:rFonts w:hint="eastAsia"/>
          <w:rtl/>
        </w:rPr>
        <w:t>המ</w:t>
      </w:r>
      <w:r w:rsidRPr="006E5CA2">
        <w:rPr>
          <w:rFonts w:hint="cs"/>
          <w:rtl/>
        </w:rPr>
        <w:t>י</w:t>
      </w:r>
      <w:r w:rsidRPr="006E5CA2">
        <w:rPr>
          <w:rFonts w:hint="eastAsia"/>
          <w:rtl/>
        </w:rPr>
        <w:t>סים</w:t>
      </w:r>
      <w:r w:rsidRPr="006E5CA2">
        <w:rPr>
          <w:rtl/>
        </w:rPr>
        <w:t xml:space="preserve">, </w:t>
      </w:r>
      <w:r w:rsidRPr="006E5CA2">
        <w:rPr>
          <w:rFonts w:hint="cs"/>
          <w:rtl/>
        </w:rPr>
        <w:t>ל</w:t>
      </w:r>
      <w:r w:rsidRPr="006E5CA2">
        <w:rPr>
          <w:rFonts w:hint="eastAsia"/>
          <w:rtl/>
        </w:rPr>
        <w:t>משרד</w:t>
      </w:r>
      <w:r w:rsidRPr="006E5CA2">
        <w:rPr>
          <w:rtl/>
        </w:rPr>
        <w:t xml:space="preserve"> </w:t>
      </w:r>
      <w:r w:rsidRPr="006E5CA2">
        <w:rPr>
          <w:rFonts w:hint="eastAsia"/>
          <w:rtl/>
        </w:rPr>
        <w:t>המשפטים</w:t>
      </w:r>
      <w:r w:rsidRPr="006E5CA2">
        <w:rPr>
          <w:rFonts w:hint="cs"/>
          <w:rtl/>
        </w:rPr>
        <w:t>, למשרד הביטחון - לאגף לשיקום נכים,</w:t>
      </w:r>
      <w:r w:rsidRPr="006E5CA2">
        <w:rPr>
          <w:rtl/>
        </w:rPr>
        <w:t xml:space="preserve"> ו</w:t>
      </w:r>
      <w:r w:rsidRPr="006E5CA2">
        <w:rPr>
          <w:rFonts w:hint="cs"/>
          <w:rtl/>
        </w:rPr>
        <w:t>ל</w:t>
      </w:r>
      <w:r w:rsidRPr="006E5CA2">
        <w:rPr>
          <w:rFonts w:hint="eastAsia"/>
          <w:rtl/>
        </w:rPr>
        <w:t>רשות</w:t>
      </w:r>
      <w:r w:rsidRPr="006E5CA2">
        <w:rPr>
          <w:rtl/>
        </w:rPr>
        <w:t xml:space="preserve"> האכיפה והגבייה </w:t>
      </w:r>
      <w:r w:rsidRPr="006E5CA2">
        <w:rPr>
          <w:rFonts w:hint="cs"/>
          <w:rtl/>
        </w:rPr>
        <w:t>ו</w:t>
      </w:r>
      <w:r w:rsidRPr="006E5CA2">
        <w:rPr>
          <w:rFonts w:hint="eastAsia"/>
          <w:rtl/>
        </w:rPr>
        <w:t>כחמישית</w:t>
      </w:r>
      <w:r w:rsidRPr="006E5CA2">
        <w:rPr>
          <w:rtl/>
        </w:rPr>
        <w:t xml:space="preserve"> מהפונים למשרד התחבורה</w:t>
      </w:r>
      <w:r w:rsidRPr="006E5CA2">
        <w:rPr>
          <w:rFonts w:hint="cs"/>
          <w:rtl/>
        </w:rPr>
        <w:t xml:space="preserve"> והבטיחות בדרכים</w:t>
      </w:r>
      <w:r w:rsidRPr="006E5CA2">
        <w:rPr>
          <w:rtl/>
        </w:rPr>
        <w:t xml:space="preserve">, </w:t>
      </w:r>
      <w:r w:rsidRPr="006E5CA2">
        <w:rPr>
          <w:rFonts w:hint="cs"/>
          <w:rtl/>
        </w:rPr>
        <w:t>לרשות האוכלוסין וההגירה, ל</w:t>
      </w:r>
      <w:r w:rsidRPr="006E5CA2">
        <w:rPr>
          <w:rFonts w:hint="eastAsia"/>
          <w:rtl/>
        </w:rPr>
        <w:t>משטרת</w:t>
      </w:r>
      <w:r w:rsidRPr="006E5CA2">
        <w:rPr>
          <w:rtl/>
        </w:rPr>
        <w:t xml:space="preserve"> </w:t>
      </w:r>
      <w:r w:rsidRPr="006E5CA2">
        <w:rPr>
          <w:rFonts w:hint="eastAsia"/>
          <w:rtl/>
        </w:rPr>
        <w:t>ישראל</w:t>
      </w:r>
      <w:r w:rsidRPr="006E5CA2">
        <w:rPr>
          <w:rtl/>
        </w:rPr>
        <w:t xml:space="preserve">, </w:t>
      </w:r>
      <w:r w:rsidRPr="006E5CA2">
        <w:rPr>
          <w:rFonts w:hint="cs"/>
          <w:rtl/>
        </w:rPr>
        <w:t>ל</w:t>
      </w:r>
      <w:r w:rsidRPr="006E5CA2">
        <w:rPr>
          <w:rFonts w:hint="eastAsia"/>
          <w:rtl/>
        </w:rPr>
        <w:t>משרד</w:t>
      </w:r>
      <w:r w:rsidRPr="006E5CA2">
        <w:rPr>
          <w:rtl/>
        </w:rPr>
        <w:t xml:space="preserve"> </w:t>
      </w:r>
      <w:r w:rsidRPr="006E5CA2">
        <w:rPr>
          <w:rFonts w:hint="eastAsia"/>
          <w:rtl/>
        </w:rPr>
        <w:t>החינוך</w:t>
      </w:r>
      <w:r w:rsidRPr="006E5CA2">
        <w:rPr>
          <w:rtl/>
        </w:rPr>
        <w:t xml:space="preserve"> </w:t>
      </w:r>
      <w:r w:rsidRPr="006E5CA2">
        <w:rPr>
          <w:rFonts w:hint="cs"/>
          <w:rtl/>
        </w:rPr>
        <w:t>ול</w:t>
      </w:r>
      <w:r w:rsidRPr="006E5CA2">
        <w:rPr>
          <w:rFonts w:hint="eastAsia"/>
          <w:rtl/>
        </w:rPr>
        <w:t>משרד</w:t>
      </w:r>
      <w:r w:rsidRPr="006E5CA2">
        <w:rPr>
          <w:rtl/>
        </w:rPr>
        <w:t xml:space="preserve"> </w:t>
      </w:r>
      <w:r w:rsidRPr="006E5CA2">
        <w:rPr>
          <w:rFonts w:hint="eastAsia"/>
          <w:rtl/>
        </w:rPr>
        <w:t>הבריאות</w:t>
      </w:r>
      <w:r w:rsidRPr="006E5CA2">
        <w:rPr>
          <w:rFonts w:hint="cs"/>
          <w:rtl/>
        </w:rPr>
        <w:t>.</w:t>
      </w:r>
    </w:p>
    <w:p w:rsidR="00BF1E3B" w:rsidRDefault="00DF6A0A" w:rsidP="006E5CA2">
      <w:pPr>
        <w:pStyle w:val="73f7"/>
        <w:rPr>
          <w:rtl/>
        </w:rPr>
      </w:pPr>
      <w:r>
        <w:rPr>
          <w:rFonts w:hint="cs"/>
          <w:rtl/>
        </w:rPr>
        <w:t>בתשובתם למשרד מבקר המדינה מינואר ומפברואר 2</w:t>
      </w:r>
      <w:r>
        <w:rPr>
          <w:rFonts w:hint="cs"/>
          <w:rtl/>
        </w:rPr>
        <w:t xml:space="preserve">023 התייחסו ארבעה גופי ממשל לממצאי הסקר שהוצגו בתרשים שלעיל: </w:t>
      </w:r>
      <w:r w:rsidRPr="007D5DED">
        <w:rPr>
          <w:rFonts w:hint="cs"/>
          <w:b/>
          <w:bCs/>
          <w:rtl/>
        </w:rPr>
        <w:t>משרד הפנים</w:t>
      </w:r>
      <w:r>
        <w:rPr>
          <w:rFonts w:hint="cs"/>
          <w:rtl/>
        </w:rPr>
        <w:t xml:space="preserve"> מסר, כי יש לסייג את תוצאות הסקר הנוגעות אליו, כיוון שהוא פועל בעבודתו השוטפת מול רשויות מקומיות ולא מול תושבים ולפיכך ייתכן שהמשיבים על הסקר התבלבלו בינו לבין רשות אחרת. </w:t>
      </w:r>
      <w:r w:rsidRPr="007D5DED">
        <w:rPr>
          <w:rFonts w:hint="cs"/>
          <w:b/>
          <w:bCs/>
          <w:rtl/>
        </w:rPr>
        <w:t>משרד החינוך</w:t>
      </w:r>
      <w:r>
        <w:rPr>
          <w:rFonts w:hint="cs"/>
          <w:rtl/>
        </w:rPr>
        <w:t xml:space="preserve"> מס</w:t>
      </w:r>
      <w:r>
        <w:rPr>
          <w:rFonts w:hint="cs"/>
          <w:rtl/>
        </w:rPr>
        <w:t xml:space="preserve">ר, כי שירותים רבים אינם ניתנים באמצעותו אלא ישירות באמצעות בתי הספר. </w:t>
      </w:r>
      <w:r w:rsidRPr="007D5DED">
        <w:rPr>
          <w:rFonts w:hint="cs"/>
          <w:b/>
          <w:bCs/>
          <w:rtl/>
        </w:rPr>
        <w:t>משרד הרווחה והביטחון החברתי</w:t>
      </w:r>
      <w:r>
        <w:rPr>
          <w:rFonts w:hint="cs"/>
          <w:rtl/>
        </w:rPr>
        <w:t xml:space="preserve"> מסר כי יש קושי לה</w:t>
      </w:r>
      <w:r>
        <w:rPr>
          <w:rtl/>
        </w:rPr>
        <w:t xml:space="preserve">תייחס </w:t>
      </w:r>
      <w:r>
        <w:rPr>
          <w:rFonts w:hint="cs"/>
          <w:rtl/>
        </w:rPr>
        <w:t xml:space="preserve">לממצאים </w:t>
      </w:r>
      <w:r>
        <w:rPr>
          <w:rtl/>
        </w:rPr>
        <w:t>כאשר אין דוגמאות ספציפיות</w:t>
      </w:r>
      <w:r>
        <w:rPr>
          <w:rFonts w:hint="cs"/>
          <w:rtl/>
        </w:rPr>
        <w:t>, וכי ע</w:t>
      </w:r>
      <w:r>
        <w:rPr>
          <w:rtl/>
        </w:rPr>
        <w:t>ד כמה שידוע</w:t>
      </w:r>
      <w:r>
        <w:rPr>
          <w:rFonts w:hint="cs"/>
          <w:rtl/>
        </w:rPr>
        <w:t xml:space="preserve"> לו,</w:t>
      </w:r>
      <w:r>
        <w:rPr>
          <w:rtl/>
        </w:rPr>
        <w:t xml:space="preserve"> לא התקבלו תלונות על בעיות נגישות באתרי המש</w:t>
      </w:r>
      <w:r>
        <w:rPr>
          <w:rFonts w:hint="cs"/>
          <w:rtl/>
        </w:rPr>
        <w:t>רד; לדברי המשרד, אם יתקבלו תלונות כאמו</w:t>
      </w:r>
      <w:r>
        <w:rPr>
          <w:rFonts w:hint="cs"/>
          <w:rtl/>
        </w:rPr>
        <w:t xml:space="preserve">ר הוא יפעל באופן מיידי לתקן את מה שנדרש. </w:t>
      </w:r>
      <w:r w:rsidRPr="007D5DED">
        <w:rPr>
          <w:rFonts w:hint="cs"/>
          <w:b/>
          <w:bCs/>
          <w:rtl/>
        </w:rPr>
        <w:t>המשרד לשירותי דת</w:t>
      </w:r>
      <w:r>
        <w:rPr>
          <w:rFonts w:hint="cs"/>
          <w:rtl/>
        </w:rPr>
        <w:t xml:space="preserve"> מסר כי </w:t>
      </w:r>
      <w:r>
        <w:rPr>
          <w:rtl/>
        </w:rPr>
        <w:t>ה</w:t>
      </w:r>
      <w:r>
        <w:rPr>
          <w:rFonts w:hint="cs"/>
          <w:rtl/>
        </w:rPr>
        <w:t>וא ה</w:t>
      </w:r>
      <w:r>
        <w:rPr>
          <w:rtl/>
        </w:rPr>
        <w:t>חל בתהליך התאמת האתר לדרישות הנגישות בהתאם להנחיית יועץ</w:t>
      </w:r>
      <w:r>
        <w:rPr>
          <w:rFonts w:hint="cs"/>
          <w:rtl/>
        </w:rPr>
        <w:t xml:space="preserve"> </w:t>
      </w:r>
      <w:r>
        <w:rPr>
          <w:rtl/>
        </w:rPr>
        <w:t>נגישות ו</w:t>
      </w:r>
      <w:r>
        <w:rPr>
          <w:rFonts w:hint="cs"/>
          <w:rtl/>
        </w:rPr>
        <w:t xml:space="preserve">על פי </w:t>
      </w:r>
      <w:r>
        <w:rPr>
          <w:rtl/>
        </w:rPr>
        <w:t>הערות הביקורת</w:t>
      </w:r>
      <w:r>
        <w:rPr>
          <w:rFonts w:hint="cs"/>
          <w:rtl/>
        </w:rPr>
        <w:t>.</w:t>
      </w:r>
    </w:p>
    <w:p w:rsidR="00BF1E3B" w:rsidRPr="006E5CA2" w:rsidRDefault="00DF6A0A">
      <w:pPr>
        <w:pStyle w:val="739"/>
        <w:numPr>
          <w:ilvl w:val="0"/>
          <w:numId w:val="20"/>
        </w:numPr>
      </w:pPr>
      <w:r w:rsidRPr="006E5CA2">
        <w:rPr>
          <w:rStyle w:val="50"/>
          <w:rFonts w:eastAsiaTheme="minorHAnsi" w:hint="cs"/>
          <w:b/>
          <w:spacing w:val="0"/>
          <w:rtl/>
        </w:rPr>
        <w:t>בעיות נגישות בערוצי שירות דיגיטליים:</w:t>
      </w:r>
      <w:r w:rsidRPr="006E5CA2">
        <w:rPr>
          <w:rFonts w:hint="cs"/>
          <w:rtl/>
        </w:rPr>
        <w:t xml:space="preserve"> </w:t>
      </w:r>
      <w:r w:rsidRPr="006E5CA2">
        <w:rPr>
          <w:rFonts w:hint="eastAsia"/>
          <w:rtl/>
        </w:rPr>
        <w:t>המשיבים בסקר</w:t>
      </w:r>
      <w:r w:rsidRPr="006E5CA2">
        <w:rPr>
          <w:rtl/>
        </w:rPr>
        <w:t xml:space="preserve"> שיתוף הציבור נשאלו על </w:t>
      </w:r>
      <w:r w:rsidRPr="006E5CA2">
        <w:rPr>
          <w:rFonts w:hint="eastAsia"/>
          <w:rtl/>
        </w:rPr>
        <w:t>הבעיות</w:t>
      </w:r>
      <w:r w:rsidRPr="006E5CA2">
        <w:rPr>
          <w:rtl/>
        </w:rPr>
        <w:t xml:space="preserve"> המרכזיות </w:t>
      </w:r>
      <w:r w:rsidRPr="006E5CA2">
        <w:rPr>
          <w:rFonts w:hint="eastAsia"/>
          <w:rtl/>
        </w:rPr>
        <w:t>בתחום</w:t>
      </w:r>
      <w:r w:rsidRPr="006E5CA2">
        <w:rPr>
          <w:rtl/>
        </w:rPr>
        <w:t xml:space="preserve"> הנגישות </w:t>
      </w:r>
      <w:r w:rsidRPr="006E5CA2">
        <w:rPr>
          <w:rFonts w:hint="cs"/>
          <w:rtl/>
        </w:rPr>
        <w:t>ש</w:t>
      </w:r>
      <w:r w:rsidRPr="006E5CA2">
        <w:rPr>
          <w:rtl/>
        </w:rPr>
        <w:t>בה</w:t>
      </w:r>
      <w:r w:rsidRPr="006E5CA2">
        <w:rPr>
          <w:rFonts w:hint="cs"/>
          <w:rtl/>
        </w:rPr>
        <w:t>ן</w:t>
      </w:r>
      <w:r w:rsidRPr="006E5CA2">
        <w:rPr>
          <w:rtl/>
        </w:rPr>
        <w:t xml:space="preserve"> נתקלו ב</w:t>
      </w:r>
      <w:r w:rsidRPr="006E5CA2">
        <w:rPr>
          <w:rFonts w:hint="eastAsia"/>
          <w:rtl/>
        </w:rPr>
        <w:t>כניסה</w:t>
      </w:r>
      <w:r w:rsidRPr="006E5CA2">
        <w:rPr>
          <w:rtl/>
        </w:rPr>
        <w:t xml:space="preserve"> </w:t>
      </w:r>
      <w:r w:rsidRPr="006E5CA2">
        <w:rPr>
          <w:rFonts w:hint="eastAsia"/>
          <w:rtl/>
        </w:rPr>
        <w:t>לאתרי</w:t>
      </w:r>
      <w:r w:rsidRPr="006E5CA2">
        <w:rPr>
          <w:rtl/>
        </w:rPr>
        <w:t xml:space="preserve"> </w:t>
      </w:r>
      <w:r w:rsidRPr="006E5CA2">
        <w:rPr>
          <w:rFonts w:hint="eastAsia"/>
          <w:rtl/>
        </w:rPr>
        <w:t>מרשתת</w:t>
      </w:r>
      <w:r w:rsidRPr="006E5CA2">
        <w:rPr>
          <w:rtl/>
        </w:rPr>
        <w:t xml:space="preserve"> </w:t>
      </w:r>
      <w:r w:rsidRPr="006E5CA2">
        <w:rPr>
          <w:rFonts w:hint="eastAsia"/>
          <w:rtl/>
        </w:rPr>
        <w:t>או</w:t>
      </w:r>
      <w:r w:rsidRPr="006E5CA2">
        <w:rPr>
          <w:rtl/>
        </w:rPr>
        <w:t xml:space="preserve"> </w:t>
      </w:r>
      <w:r w:rsidRPr="006E5CA2">
        <w:rPr>
          <w:rFonts w:hint="eastAsia"/>
          <w:rtl/>
        </w:rPr>
        <w:t>לאפליקציות</w:t>
      </w:r>
      <w:r w:rsidRPr="006E5CA2">
        <w:rPr>
          <w:rtl/>
        </w:rPr>
        <w:t xml:space="preserve"> של גופי ממשל </w:t>
      </w:r>
      <w:r w:rsidRPr="006E5CA2">
        <w:rPr>
          <w:rFonts w:hint="eastAsia"/>
          <w:rtl/>
        </w:rPr>
        <w:t>ורשויות</w:t>
      </w:r>
      <w:r w:rsidRPr="006E5CA2">
        <w:rPr>
          <w:rtl/>
        </w:rPr>
        <w:t xml:space="preserve"> </w:t>
      </w:r>
      <w:r w:rsidRPr="006E5CA2">
        <w:rPr>
          <w:rFonts w:hint="eastAsia"/>
          <w:rtl/>
        </w:rPr>
        <w:t>מקומיות</w:t>
      </w:r>
      <w:r w:rsidRPr="006E5CA2">
        <w:rPr>
          <w:rFonts w:hint="cs"/>
          <w:rtl/>
        </w:rPr>
        <w:t>. להלן בתרשים הממצאים.</w:t>
      </w:r>
    </w:p>
    <w:p w:rsidR="00BF1E3B" w:rsidRPr="006E5CA2" w:rsidRDefault="00DF6A0A" w:rsidP="006E5CA2">
      <w:pPr>
        <w:pStyle w:val="738"/>
        <w:ind w:left="397"/>
        <w:rPr>
          <w:rtl/>
        </w:rPr>
      </w:pPr>
      <w:r w:rsidRPr="006E5CA2">
        <w:rPr>
          <w:rFonts w:hint="eastAsia"/>
          <w:b w:val="0"/>
          <w:bCs w:val="0"/>
          <w:rtl/>
        </w:rPr>
        <w:lastRenderedPageBreak/>
        <w:t>תרשים</w:t>
      </w:r>
      <w:r w:rsidRPr="006E5CA2">
        <w:rPr>
          <w:b w:val="0"/>
          <w:bCs w:val="0"/>
          <w:rtl/>
        </w:rPr>
        <w:t xml:space="preserve"> </w:t>
      </w:r>
      <w:r w:rsidRPr="006E5CA2">
        <w:rPr>
          <w:rFonts w:hint="cs"/>
          <w:b w:val="0"/>
          <w:bCs w:val="0"/>
          <w:rtl/>
        </w:rPr>
        <w:t>16</w:t>
      </w:r>
      <w:r w:rsidRPr="006E5CA2">
        <w:rPr>
          <w:b w:val="0"/>
          <w:bCs w:val="0"/>
          <w:rtl/>
        </w:rPr>
        <w:t>:</w:t>
      </w:r>
      <w:r w:rsidRPr="006E5CA2">
        <w:rPr>
          <w:rFonts w:hint="cs"/>
          <w:rtl/>
        </w:rPr>
        <w:t xml:space="preserve"> שיעורי המשיבים שנתקלו בליקויי הנגשה, על פי סוגי ההנגשות הנדרשות</w:t>
      </w:r>
    </w:p>
    <w:p w:rsidR="00BF1E3B" w:rsidRPr="00667628" w:rsidRDefault="00DF6A0A" w:rsidP="006E5CA2">
      <w:pPr>
        <w:ind w:left="397"/>
        <w:jc w:val="right"/>
        <w:rPr>
          <w:b/>
          <w:bCs/>
          <w:rtl/>
        </w:rPr>
      </w:pPr>
      <w:r w:rsidRPr="00A75C4A">
        <w:rPr>
          <w:noProof/>
        </w:rPr>
        <w:drawing>
          <wp:inline distT="0" distB="0" distL="0" distR="0">
            <wp:extent cx="4467646" cy="2767693"/>
            <wp:effectExtent l="0" t="0" r="0" b="0"/>
            <wp:docPr id="2052770962" name="תמונה 2052770962" descr="עיקרי הממצאים מן התרשים מוצגים בקטע המלל שלאחר מכ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2" name="תמונה 2052770962"/>
                    <pic:cNvPicPr/>
                  </pic:nvPicPr>
                  <pic:blipFill>
                    <a:blip r:embed="rId70">
                      <a:extLst>
                        <a:ext uri="{28A0092B-C50C-407E-A947-70E740481C1C}">
                          <a14:useLocalDpi xmlns:a14="http://schemas.microsoft.com/office/drawing/2010/main" val="0"/>
                        </a:ext>
                      </a:extLst>
                    </a:blip>
                    <a:stretch>
                      <a:fillRect/>
                    </a:stretch>
                  </pic:blipFill>
                  <pic:spPr>
                    <a:xfrm>
                      <a:off x="0" y="0"/>
                      <a:ext cx="4476362" cy="2773093"/>
                    </a:xfrm>
                    <a:prstGeom prst="rect">
                      <a:avLst/>
                    </a:prstGeom>
                    <a:ln>
                      <a:noFill/>
                    </a:ln>
                  </pic:spPr>
                </pic:pic>
              </a:graphicData>
            </a:graphic>
          </wp:inline>
        </w:drawing>
      </w:r>
    </w:p>
    <w:p w:rsidR="00BF1E3B" w:rsidRDefault="00DF6A0A" w:rsidP="006E5CA2">
      <w:pPr>
        <w:pStyle w:val="73e"/>
        <w:ind w:left="397"/>
        <w:rPr>
          <w:rtl/>
        </w:rPr>
      </w:pPr>
      <w:r>
        <w:rPr>
          <w:rFonts w:hint="cs"/>
          <w:rtl/>
        </w:rPr>
        <w:t xml:space="preserve">על פי </w:t>
      </w:r>
      <w:r w:rsidRPr="006E5ADE">
        <w:rPr>
          <w:rtl/>
        </w:rPr>
        <w:t>סקר שיתוף הציבור שנעשה עבור משרד מבקר המדינה</w:t>
      </w:r>
      <w:r w:rsidRPr="006E5ADE">
        <w:rPr>
          <w:rFonts w:hint="cs"/>
          <w:rtl/>
        </w:rPr>
        <w:t>.</w:t>
      </w:r>
      <w:r>
        <w:rPr>
          <w:rFonts w:hint="cs"/>
          <w:rtl/>
        </w:rPr>
        <w:t xml:space="preserve">      </w:t>
      </w:r>
    </w:p>
    <w:p w:rsidR="00BF1E3B" w:rsidRPr="006E5CA2" w:rsidRDefault="00DF6A0A" w:rsidP="006E5CA2">
      <w:pPr>
        <w:pStyle w:val="73f1"/>
        <w:rPr>
          <w:rtl/>
        </w:rPr>
      </w:pPr>
      <w:r w:rsidRPr="006E5CA2">
        <w:rPr>
          <w:rFonts w:hint="cs"/>
          <w:rtl/>
        </w:rPr>
        <w:t>להלן כמה מן הממצאי</w:t>
      </w:r>
      <w:r w:rsidRPr="006E5CA2">
        <w:rPr>
          <w:rFonts w:hint="cs"/>
          <w:rtl/>
        </w:rPr>
        <w:t>ם שמוצגים בתרשים ועולים מסקר שיתוף ציבור שביצע משרד מבקר המדינה, לגבי ליקויי נגישות שבהם נתקלו המשיבים באתרי מרשתת ובאפליקציות של גופי ממשל ורשויות מקומיות:</w:t>
      </w:r>
    </w:p>
    <w:p w:rsidR="00BF1E3B" w:rsidRPr="006E5CA2" w:rsidRDefault="00DF6A0A">
      <w:pPr>
        <w:pStyle w:val="7120"/>
        <w:numPr>
          <w:ilvl w:val="0"/>
          <w:numId w:val="17"/>
        </w:numPr>
        <w:rPr>
          <w:b/>
        </w:rPr>
      </w:pPr>
      <w:r w:rsidRPr="006E5CA2">
        <w:rPr>
          <w:rFonts w:hint="cs"/>
          <w:b/>
          <w:rtl/>
        </w:rPr>
        <w:t>43% מן המשיבים נתקלו בשירות שבו לא ניתן היה לעבור בין כותרות וקישורים</w:t>
      </w:r>
      <w:r>
        <w:rPr>
          <w:vertAlign w:val="superscript"/>
          <w:rtl/>
        </w:rPr>
        <w:footnoteReference w:id="90"/>
      </w:r>
      <w:r w:rsidRPr="006E5CA2">
        <w:rPr>
          <w:rFonts w:hint="cs"/>
          <w:b/>
          <w:rtl/>
        </w:rPr>
        <w:t>.</w:t>
      </w:r>
    </w:p>
    <w:p w:rsidR="00BF1E3B" w:rsidRPr="006E5CA2" w:rsidRDefault="00DF6A0A">
      <w:pPr>
        <w:pStyle w:val="7120"/>
        <w:numPr>
          <w:ilvl w:val="0"/>
          <w:numId w:val="17"/>
        </w:numPr>
        <w:rPr>
          <w:b/>
        </w:rPr>
      </w:pPr>
      <w:r w:rsidRPr="006E5CA2">
        <w:rPr>
          <w:rFonts w:hint="cs"/>
          <w:b/>
          <w:rtl/>
        </w:rPr>
        <w:t>כשליש מן המשיבים נתקלו בליק</w:t>
      </w:r>
      <w:r w:rsidRPr="006E5CA2">
        <w:rPr>
          <w:rFonts w:hint="cs"/>
          <w:b/>
          <w:rtl/>
        </w:rPr>
        <w:t xml:space="preserve">ויי ההנגשה הבאים: </w:t>
      </w:r>
      <w:r w:rsidRPr="006E5CA2">
        <w:rPr>
          <w:b/>
          <w:rtl/>
        </w:rPr>
        <w:t>ה</w:t>
      </w:r>
      <w:r w:rsidRPr="006E5CA2">
        <w:rPr>
          <w:rFonts w:hint="cs"/>
          <w:b/>
          <w:rtl/>
        </w:rPr>
        <w:t>י</w:t>
      </w:r>
      <w:r w:rsidRPr="006E5CA2">
        <w:rPr>
          <w:b/>
          <w:rtl/>
        </w:rPr>
        <w:t>עדר אפשרות להתאמת גודל התצוגה במסך</w:t>
      </w:r>
      <w:r w:rsidRPr="006E5CA2">
        <w:rPr>
          <w:rFonts w:hint="cs"/>
          <w:b/>
          <w:rtl/>
        </w:rPr>
        <w:t>,</w:t>
      </w:r>
      <w:r w:rsidRPr="006E5CA2">
        <w:rPr>
          <w:b/>
          <w:rtl/>
        </w:rPr>
        <w:t xml:space="preserve"> מלל ש</w:t>
      </w:r>
      <w:r w:rsidRPr="006E5CA2">
        <w:rPr>
          <w:rFonts w:hint="cs"/>
          <w:b/>
          <w:rtl/>
        </w:rPr>
        <w:t>מ</w:t>
      </w:r>
      <w:r w:rsidRPr="006E5CA2">
        <w:rPr>
          <w:b/>
          <w:rtl/>
        </w:rPr>
        <w:t>וצג במסך בית של אתר ו</w:t>
      </w:r>
      <w:r w:rsidRPr="006E5CA2">
        <w:rPr>
          <w:rFonts w:hint="cs"/>
          <w:b/>
          <w:rtl/>
        </w:rPr>
        <w:t>איננו מונגש והיעדר אפשרות לגלישה בעזרת מקלדת בלבד</w:t>
      </w:r>
      <w:r>
        <w:rPr>
          <w:vertAlign w:val="superscript"/>
          <w:rtl/>
        </w:rPr>
        <w:footnoteReference w:id="91"/>
      </w:r>
      <w:r w:rsidRPr="006E5CA2">
        <w:rPr>
          <w:rFonts w:hint="cs"/>
          <w:b/>
          <w:rtl/>
        </w:rPr>
        <w:t>.</w:t>
      </w:r>
    </w:p>
    <w:p w:rsidR="00BF1E3B" w:rsidRPr="006E5CA2" w:rsidRDefault="00DF6A0A">
      <w:pPr>
        <w:pStyle w:val="7120"/>
        <w:numPr>
          <w:ilvl w:val="0"/>
          <w:numId w:val="17"/>
        </w:numPr>
        <w:rPr>
          <w:b/>
        </w:rPr>
      </w:pPr>
      <w:r w:rsidRPr="006E5CA2">
        <w:rPr>
          <w:rFonts w:hint="cs"/>
          <w:b/>
          <w:rtl/>
        </w:rPr>
        <w:t xml:space="preserve">כ-30% מן המשיבים נתקלו ברכיב ויזואלי כגון תרשים או תמונה שלא סופק לו תיאור מילולי, ושיעור דומה של משיבים נתקלו </w:t>
      </w:r>
      <w:r w:rsidRPr="006E5CA2">
        <w:rPr>
          <w:b/>
          <w:rtl/>
        </w:rPr>
        <w:t xml:space="preserve">במסמכים </w:t>
      </w:r>
      <w:r w:rsidRPr="006E5CA2">
        <w:rPr>
          <w:b/>
          <w:rtl/>
        </w:rPr>
        <w:t>שהמלל בהם לא היה מונגש.</w:t>
      </w:r>
    </w:p>
    <w:p w:rsidR="00BF1E3B" w:rsidRPr="006E5CA2" w:rsidRDefault="00DF6A0A">
      <w:pPr>
        <w:pStyle w:val="7120"/>
        <w:numPr>
          <w:ilvl w:val="0"/>
          <w:numId w:val="17"/>
        </w:numPr>
        <w:rPr>
          <w:b/>
        </w:rPr>
      </w:pPr>
      <w:r w:rsidRPr="006E5CA2">
        <w:rPr>
          <w:rFonts w:hint="cs"/>
          <w:b/>
          <w:rtl/>
        </w:rPr>
        <w:lastRenderedPageBreak/>
        <w:t xml:space="preserve">21% מן המשיבים נתקלו בקטעי שמע או בסרטונים עם דיבור ללא תוספת של כתוביות הנדרשות כדי להנגישם לאנשים עם לקות שמיעה. </w:t>
      </w:r>
    </w:p>
    <w:p w:rsidR="00BF1E3B" w:rsidRPr="006E5CA2" w:rsidRDefault="00DF6A0A">
      <w:pPr>
        <w:pStyle w:val="7120"/>
        <w:numPr>
          <w:ilvl w:val="0"/>
          <w:numId w:val="17"/>
        </w:numPr>
        <w:rPr>
          <w:b/>
          <w:rtl/>
        </w:rPr>
      </w:pPr>
      <w:r w:rsidRPr="006E5CA2">
        <w:rPr>
          <w:rFonts w:hint="cs"/>
          <w:b/>
          <w:rtl/>
        </w:rPr>
        <w:t>14% מן המשיבים נתקלו באתר מרשתת שלא ניתן היה להתחבר אליו באמצעות תוכנת קורא מסך הנדרשת לצורך הנגשת המידע לאנשים עיוו</w:t>
      </w:r>
      <w:r w:rsidRPr="006E5CA2">
        <w:rPr>
          <w:rFonts w:hint="cs"/>
          <w:b/>
          <w:rtl/>
        </w:rPr>
        <w:t xml:space="preserve">רים ולאנשים כבדי ראייה. </w:t>
      </w:r>
    </w:p>
    <w:p w:rsidR="00BF1E3B" w:rsidRPr="006E5CA2" w:rsidRDefault="00DF6A0A">
      <w:pPr>
        <w:pStyle w:val="739"/>
        <w:numPr>
          <w:ilvl w:val="0"/>
          <w:numId w:val="21"/>
        </w:numPr>
        <w:rPr>
          <w:rtl/>
        </w:rPr>
      </w:pPr>
      <w:r w:rsidRPr="00C619CC">
        <w:rPr>
          <w:rStyle w:val="7371"/>
          <w:rFonts w:hint="cs"/>
          <w:rtl/>
        </w:rPr>
        <w:t>השלכות של בעיות נגישות בערוצי שירות דיגיטליים</w:t>
      </w:r>
      <w:r w:rsidRPr="00CE5079">
        <w:rPr>
          <w:rStyle w:val="50"/>
          <w:rFonts w:eastAsiaTheme="minorHAnsi" w:hint="cs"/>
          <w:b/>
          <w:spacing w:val="0"/>
          <w:rtl/>
        </w:rPr>
        <w:t>:</w:t>
      </w:r>
      <w:r w:rsidRPr="006E5CA2">
        <w:rPr>
          <w:rFonts w:hint="cs"/>
          <w:rtl/>
        </w:rPr>
        <w:t xml:space="preserve"> הנשאלים בסקר שיתוף הציבור התבקשו לציין כיצד השפיעה עליהם העובדה שנתקלו ברכיבים שאינם מונגשים בשירותים דיגיטליים של גופי ממשל ורשויות מקומיות, וכיצד התמודדו עם היעדר ההנגשה. להלן תרשים </w:t>
      </w:r>
      <w:r w:rsidRPr="006E5CA2">
        <w:rPr>
          <w:rFonts w:hint="cs"/>
          <w:rtl/>
        </w:rPr>
        <w:t>המציג את הממצאים שעלו:</w:t>
      </w:r>
    </w:p>
    <w:p w:rsidR="00BF1E3B" w:rsidRPr="004B4DC3" w:rsidRDefault="00DF6A0A" w:rsidP="004B4DC3">
      <w:pPr>
        <w:pStyle w:val="738"/>
        <w:ind w:left="397"/>
        <w:rPr>
          <w:rtl/>
        </w:rPr>
      </w:pPr>
      <w:r w:rsidRPr="004B4DC3">
        <w:rPr>
          <w:rFonts w:hint="eastAsia"/>
          <w:b w:val="0"/>
          <w:bCs w:val="0"/>
          <w:rtl/>
        </w:rPr>
        <w:t>תרשים</w:t>
      </w:r>
      <w:r w:rsidRPr="004B4DC3">
        <w:rPr>
          <w:b w:val="0"/>
          <w:bCs w:val="0"/>
          <w:rtl/>
        </w:rPr>
        <w:t xml:space="preserve"> </w:t>
      </w:r>
      <w:r w:rsidRPr="004B4DC3">
        <w:rPr>
          <w:rFonts w:hint="cs"/>
          <w:b w:val="0"/>
          <w:bCs w:val="0"/>
          <w:rtl/>
        </w:rPr>
        <w:t>17</w:t>
      </w:r>
      <w:r w:rsidRPr="004B4DC3">
        <w:rPr>
          <w:b w:val="0"/>
          <w:bCs w:val="0"/>
          <w:rtl/>
        </w:rPr>
        <w:t>:</w:t>
      </w:r>
      <w:r w:rsidRPr="004B4DC3">
        <w:rPr>
          <w:rFonts w:hint="cs"/>
          <w:rtl/>
        </w:rPr>
        <w:t xml:space="preserve"> </w:t>
      </w:r>
      <w:r w:rsidRPr="004B4DC3">
        <w:rPr>
          <w:rtl/>
        </w:rPr>
        <w:t>ההשלכות של בעיות בנגישות בערוצי שירות דיגיטליים וה</w:t>
      </w:r>
      <w:r w:rsidRPr="004B4DC3">
        <w:rPr>
          <w:rFonts w:hint="cs"/>
          <w:rtl/>
        </w:rPr>
        <w:t>ה</w:t>
      </w:r>
      <w:r w:rsidRPr="004B4DC3">
        <w:rPr>
          <w:rtl/>
        </w:rPr>
        <w:t>תמודדות עמם</w:t>
      </w:r>
      <w:r w:rsidRPr="004B4DC3">
        <w:rPr>
          <w:rFonts w:hint="cs"/>
          <w:rtl/>
        </w:rPr>
        <w:t xml:space="preserve"> </w:t>
      </w:r>
    </w:p>
    <w:p w:rsidR="00BF1E3B" w:rsidRDefault="00DF6A0A" w:rsidP="004B4DC3">
      <w:pPr>
        <w:ind w:left="397"/>
        <w:rPr>
          <w:b/>
          <w:bCs/>
          <w:rtl/>
        </w:rPr>
      </w:pPr>
      <w:r w:rsidRPr="00A75C4A">
        <w:rPr>
          <w:noProof/>
        </w:rPr>
        <w:drawing>
          <wp:inline distT="0" distB="0" distL="0" distR="0">
            <wp:extent cx="4498140" cy="1974079"/>
            <wp:effectExtent l="0" t="0" r="0" b="0"/>
            <wp:docPr id="44" name="תמונה 44" descr="בתרשים מוצגות שלוש עמודות: הראשונה מציגה את התפלגות התשובות לגבי מידת הפגיעה של חוסר הנגישות בחוויית השירות: 24% - חוסר הנגישות לא פגע כלל בחוויית השירות או פגע בה במידה מועטה, 44% - פגע במידה בינונית ו-32% - פגע במידה רבה עד רבה מאוד. בעמודה השנייה מוצגות ההשלכות של חוסר הנגישות על הלקוח: 37% ציינו כי בשל בעיות הנגישות הם קיבלו את המידע בעיכוב, 28% ציינו כי הדבר אילץ אותם להגיע פיזית ללשכת קבלת הקהל, 27% ציינו כי נאלצו להשתמש בטלפון ו-21% ציינו כי בסופו של דבר לא קיבלו את המידע (ניתן היה לסמן יותר מתשובה אחת). בעמודה השלישית מוצגות תשובות הנשאלים לגבי אופן התמודדותם עם חוסר נגישות שבה נתקלו (ניתן היה לסמן יותר מתשובה אחת): 29% ציינו כי ביקשו עזרה מאדם ללא מוגבלות, 26% ציינו כי פנו לקבלת השירות בערוץ הטלפוני, 24% ציינו כי ויתרו על קבלת השירות (ממצא שהודגש בתרשים), 24% ציינו כי פנו לקבל שירות באופן פרונטלי, 12% ציינו כי פנו לנותן השירות כדי לקבל ממנו פתרון דיגיטלי ועוד 2% ציינו &quot;הסתדרתי בעצמי&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תמונה 44"/>
                    <pic:cNvPicPr/>
                  </pic:nvPicPr>
                  <pic:blipFill>
                    <a:blip r:embed="rId29">
                      <a:extLst>
                        <a:ext uri="{28A0092B-C50C-407E-A947-70E740481C1C}">
                          <a14:useLocalDpi xmlns:a14="http://schemas.microsoft.com/office/drawing/2010/main" val="0"/>
                        </a:ext>
                      </a:extLst>
                    </a:blip>
                    <a:stretch>
                      <a:fillRect/>
                    </a:stretch>
                  </pic:blipFill>
                  <pic:spPr>
                    <a:xfrm>
                      <a:off x="0" y="0"/>
                      <a:ext cx="4517812" cy="1982712"/>
                    </a:xfrm>
                    <a:prstGeom prst="rect">
                      <a:avLst/>
                    </a:prstGeom>
                    <a:ln>
                      <a:noFill/>
                    </a:ln>
                  </pic:spPr>
                </pic:pic>
              </a:graphicData>
            </a:graphic>
          </wp:inline>
        </w:drawing>
      </w:r>
    </w:p>
    <w:p w:rsidR="00BF1E3B" w:rsidRPr="004B4DC3" w:rsidRDefault="00DF6A0A" w:rsidP="004B4DC3">
      <w:pPr>
        <w:pStyle w:val="73e"/>
        <w:spacing w:after="0"/>
        <w:ind w:left="397"/>
        <w:rPr>
          <w:rtl/>
        </w:rPr>
      </w:pPr>
      <w:r w:rsidRPr="004B4DC3">
        <w:rPr>
          <w:rFonts w:hint="cs"/>
          <w:rtl/>
        </w:rPr>
        <w:t xml:space="preserve">על פי </w:t>
      </w:r>
      <w:r w:rsidRPr="004B4DC3">
        <w:rPr>
          <w:rtl/>
        </w:rPr>
        <w:t>סקר שיתוף הציבור שנעשה עבור משרד מבקר המדינה</w:t>
      </w:r>
      <w:r w:rsidRPr="004B4DC3">
        <w:rPr>
          <w:rFonts w:hint="cs"/>
          <w:rtl/>
        </w:rPr>
        <w:t>.</w:t>
      </w:r>
    </w:p>
    <w:p w:rsidR="00BF1E3B" w:rsidRPr="004B4DC3" w:rsidRDefault="00DF6A0A" w:rsidP="004B4DC3">
      <w:pPr>
        <w:pStyle w:val="73e"/>
        <w:spacing w:before="0"/>
        <w:ind w:left="707" w:hanging="310"/>
        <w:rPr>
          <w:rtl/>
        </w:rPr>
      </w:pPr>
      <w:r w:rsidRPr="004B4DC3">
        <w:rPr>
          <w:rFonts w:hint="cs"/>
          <w:rtl/>
        </w:rPr>
        <w:t xml:space="preserve">* </w:t>
      </w:r>
      <w:r w:rsidR="004B4DC3">
        <w:rPr>
          <w:rtl/>
        </w:rPr>
        <w:tab/>
      </w:r>
      <w:r w:rsidRPr="004B4DC3">
        <w:rPr>
          <w:rFonts w:hint="cs"/>
          <w:rtl/>
        </w:rPr>
        <w:t xml:space="preserve">סיכום השיעורים בחלקים "אופן ההתמודדות עם חוסר נגישות" ו"השלכות חוסר הנגישות" עולה על 100% כיוון שכל משיב היה יכול לסמן יותר מתשובה אחת אפשרית. </w:t>
      </w:r>
    </w:p>
    <w:p w:rsidR="00BF1E3B" w:rsidRPr="004B4DC3" w:rsidRDefault="00DF6A0A" w:rsidP="004B4DC3">
      <w:pPr>
        <w:pStyle w:val="73f1"/>
        <w:rPr>
          <w:rtl/>
        </w:rPr>
      </w:pPr>
      <w:r w:rsidRPr="004B4DC3">
        <w:rPr>
          <w:rFonts w:hint="cs"/>
          <w:rtl/>
        </w:rPr>
        <w:t>מבין המשיבים לסקר שיתוף הציבור שביצע משרד מבקר המדינה, עלה כאמור כי 39% נתקלו בליקויי נגישות בשירותים הדיגיטליים</w:t>
      </w:r>
      <w:r w:rsidRPr="004B4DC3">
        <w:rPr>
          <w:rFonts w:hint="cs"/>
          <w:rtl/>
        </w:rPr>
        <w:t xml:space="preserve"> של גופי ממשל. להלן כמה מן ההשלכות שהיו לכך על השירות שקיבלו: </w:t>
      </w:r>
    </w:p>
    <w:p w:rsidR="00BF1E3B" w:rsidRPr="004B4DC3" w:rsidRDefault="00DF6A0A">
      <w:pPr>
        <w:pStyle w:val="7120"/>
        <w:numPr>
          <w:ilvl w:val="0"/>
          <w:numId w:val="10"/>
        </w:numPr>
        <w:ind w:left="1077" w:hanging="397"/>
        <w:rPr>
          <w:b/>
        </w:rPr>
      </w:pPr>
      <w:r w:rsidRPr="004B4DC3">
        <w:rPr>
          <w:rFonts w:hint="eastAsia"/>
          <w:b/>
          <w:rtl/>
        </w:rPr>
        <w:t>כשליש</w:t>
      </w:r>
      <w:r w:rsidRPr="004B4DC3">
        <w:rPr>
          <w:b/>
          <w:rtl/>
        </w:rPr>
        <w:t xml:space="preserve"> </w:t>
      </w:r>
      <w:r w:rsidRPr="004B4DC3">
        <w:rPr>
          <w:rFonts w:hint="eastAsia"/>
          <w:b/>
          <w:rtl/>
        </w:rPr>
        <w:t>מהמשיבים</w:t>
      </w:r>
      <w:r w:rsidRPr="004B4DC3">
        <w:rPr>
          <w:b/>
          <w:rtl/>
        </w:rPr>
        <w:t xml:space="preserve"> (32%) ציינו כי הדבר פגע במידה רבה עד רבה מא</w:t>
      </w:r>
      <w:r w:rsidRPr="004B4DC3">
        <w:rPr>
          <w:rFonts w:hint="eastAsia"/>
          <w:b/>
          <w:rtl/>
        </w:rPr>
        <w:t>וד</w:t>
      </w:r>
      <w:r w:rsidRPr="004B4DC3">
        <w:rPr>
          <w:b/>
          <w:rtl/>
        </w:rPr>
        <w:t xml:space="preserve"> בחוויית השירות שלהם. </w:t>
      </w:r>
    </w:p>
    <w:p w:rsidR="00BF1E3B" w:rsidRPr="004B4DC3" w:rsidRDefault="00DF6A0A">
      <w:pPr>
        <w:pStyle w:val="7120"/>
        <w:numPr>
          <w:ilvl w:val="0"/>
          <w:numId w:val="10"/>
        </w:numPr>
        <w:ind w:left="1077" w:hanging="397"/>
        <w:rPr>
          <w:b/>
        </w:rPr>
      </w:pPr>
      <w:r w:rsidRPr="004B4DC3">
        <w:rPr>
          <w:rFonts w:hint="cs"/>
          <w:b/>
          <w:rtl/>
        </w:rPr>
        <w:t xml:space="preserve">כרבע מהם (24%) ציינו שבשל קשיי הנגישות הם ויתרו על קבלת השירות בערוץ הדיגיטלי. </w:t>
      </w:r>
    </w:p>
    <w:p w:rsidR="00BF1E3B" w:rsidRPr="004B4DC3" w:rsidRDefault="00DF6A0A">
      <w:pPr>
        <w:pStyle w:val="7120"/>
        <w:numPr>
          <w:ilvl w:val="0"/>
          <w:numId w:val="10"/>
        </w:numPr>
        <w:ind w:left="1077" w:hanging="397"/>
        <w:rPr>
          <w:b/>
        </w:rPr>
      </w:pPr>
      <w:r w:rsidRPr="004B4DC3">
        <w:rPr>
          <w:rFonts w:hint="cs"/>
          <w:b/>
          <w:rtl/>
        </w:rPr>
        <w:t>37% מהם ציינו שקיבלו בעיכוב את</w:t>
      </w:r>
      <w:r w:rsidRPr="004B4DC3">
        <w:rPr>
          <w:rFonts w:hint="cs"/>
          <w:b/>
          <w:rtl/>
        </w:rPr>
        <w:t xml:space="preserve"> המידע שנזקקו לו ו-21% מהם ציינו שבשל הקשיים לא קיבלו את המידע שנדרש להם. </w:t>
      </w:r>
    </w:p>
    <w:p w:rsidR="00BF1E3B" w:rsidRPr="004B4DC3" w:rsidRDefault="00DF6A0A">
      <w:pPr>
        <w:pStyle w:val="7120"/>
        <w:numPr>
          <w:ilvl w:val="0"/>
          <w:numId w:val="10"/>
        </w:numPr>
        <w:ind w:left="1077" w:hanging="397"/>
        <w:rPr>
          <w:b/>
          <w:rtl/>
        </w:rPr>
      </w:pPr>
      <w:r w:rsidRPr="004B4DC3">
        <w:rPr>
          <w:rFonts w:hint="cs"/>
          <w:b/>
          <w:rtl/>
        </w:rPr>
        <w:lastRenderedPageBreak/>
        <w:t xml:space="preserve">כ-28% מהם ציינו כי בשל ליקויי ההנגשה בערוץ הדיגיטלי, הם נאלצו להגיע פיזית למשרדי קבלת הקהל או לפנות לשירות הטלפוני כדי לקבל את השירות שביקשו. </w:t>
      </w:r>
    </w:p>
    <w:p w:rsidR="00BF1E3B" w:rsidRPr="004B203F" w:rsidRDefault="00DF6A0A">
      <w:pPr>
        <w:pStyle w:val="739"/>
        <w:numPr>
          <w:ilvl w:val="0"/>
          <w:numId w:val="21"/>
        </w:numPr>
        <w:rPr>
          <w:rStyle w:val="7371"/>
          <w:bCs w:val="0"/>
          <w:rtl/>
        </w:rPr>
      </w:pPr>
      <w:r w:rsidRPr="004B203F">
        <w:rPr>
          <w:rStyle w:val="7371"/>
          <w:rFonts w:hint="cs"/>
          <w:b/>
          <w:rtl/>
        </w:rPr>
        <w:t>מודעות לחובה לפרסם הצהרת נגישות ולמידע</w:t>
      </w:r>
      <w:r w:rsidRPr="004B203F">
        <w:rPr>
          <w:rStyle w:val="7371"/>
          <w:rFonts w:hint="cs"/>
          <w:b/>
          <w:rtl/>
        </w:rPr>
        <w:t xml:space="preserve"> שעליה לכלול:</w:t>
      </w:r>
      <w:r w:rsidRPr="004B203F">
        <w:rPr>
          <w:rStyle w:val="7371"/>
          <w:rFonts w:hint="cs"/>
          <w:bCs w:val="0"/>
          <w:rtl/>
        </w:rPr>
        <w:t xml:space="preserve"> בסקר שיתוף ציבור נבדק אם אנשים עם מוגבלות מודעים לכך שגוף ממשל נדרש לפרסם באתרי המרשתת שלו הצהרת נגישות ולכלול בה את פרטי הקשר של רכז הנגישות שאליו יוכלו לפנות במקרה שהם נתקלים בפריטים שלא הונגשו או כדי לקבל מידע על הנגישות באתר. להלן בתרשים </w:t>
      </w:r>
      <w:r w:rsidRPr="004B203F">
        <w:rPr>
          <w:rStyle w:val="7371"/>
          <w:rFonts w:hint="cs"/>
          <w:bCs w:val="0"/>
          <w:rtl/>
        </w:rPr>
        <w:t>הממצאים שעלו.</w:t>
      </w:r>
    </w:p>
    <w:p w:rsidR="00BF1E3B" w:rsidRPr="006E5CA2" w:rsidRDefault="00DF6A0A" w:rsidP="006E5CA2">
      <w:pPr>
        <w:pStyle w:val="738"/>
        <w:ind w:left="397"/>
        <w:rPr>
          <w:rtl/>
        </w:rPr>
      </w:pPr>
      <w:r w:rsidRPr="006E5CA2">
        <w:rPr>
          <w:noProof/>
        </w:rPr>
        <w:drawing>
          <wp:anchor distT="0" distB="0" distL="114300" distR="114300" simplePos="0" relativeHeight="251745280" behindDoc="0" locked="0" layoutInCell="1" allowOverlap="1">
            <wp:simplePos x="0" y="0"/>
            <wp:positionH relativeFrom="column">
              <wp:posOffset>-51435</wp:posOffset>
            </wp:positionH>
            <wp:positionV relativeFrom="paragraph">
              <wp:posOffset>542925</wp:posOffset>
            </wp:positionV>
            <wp:extent cx="4475480" cy="1711960"/>
            <wp:effectExtent l="12700" t="12700" r="7620" b="15240"/>
            <wp:wrapThrough wrapText="bothSides">
              <wp:wrapPolygon edited="0">
                <wp:start x="-61" y="-160"/>
                <wp:lineTo x="-61" y="21632"/>
                <wp:lineTo x="21575" y="21632"/>
                <wp:lineTo x="21575" y="-160"/>
                <wp:lineTo x="-61" y="-160"/>
              </wp:wrapPolygon>
            </wp:wrapThrough>
            <wp:docPr id="84" name="תמונה 84" descr="הממצא העיקרי שעולה מן התרשים מוצג בקטע המלל שלאחר מכ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תמונה 84"/>
                    <pic:cNvPicPr/>
                  </pic:nvPicPr>
                  <pic:blipFill>
                    <a:blip r:embed="rId71" cstate="print">
                      <a:extLst>
                        <a:ext uri="{28A0092B-C50C-407E-A947-70E740481C1C}">
                          <a14:useLocalDpi xmlns:a14="http://schemas.microsoft.com/office/drawing/2010/main" val="0"/>
                        </a:ext>
                      </a:extLst>
                    </a:blip>
                    <a:srcRect t="7086"/>
                    <a:stretch>
                      <a:fillRect/>
                    </a:stretch>
                  </pic:blipFill>
                  <pic:spPr bwMode="auto">
                    <a:xfrm>
                      <a:off x="0" y="0"/>
                      <a:ext cx="4475480" cy="1711960"/>
                    </a:xfrm>
                    <a:prstGeom prst="rect">
                      <a:avLst/>
                    </a:prstGeom>
                    <a:ln w="9525">
                      <a:solidFill>
                        <a:sysClr val="window" lastClr="FFFFFF"/>
                      </a:solidFill>
                      <a:prstDash val="solid"/>
                      <a:round/>
                      <a:headEnd/>
                      <a:tailEnd/>
                      <a:extLst>
                        <a:ext uri="{C807C97D-BFC1-408E-A445-0C87EB9F89A2}">
                          <ask:lineSketchStyleProps xmlns:w10="urn:schemas-microsoft-com:office:word" xmlns:w="http://schemas.openxmlformats.org/wordprocessingml/2006/main" xmlns:v="urn:schemas-microsoft-com:vml" xmlns:o="urn:schemas-microsoft-com:office:office" xmlns:ask="http://schemas.microsoft.com/office/drawing/2018/sketchyshapes" xmlns="" sd="0">
                            <a:custGeom>
                              <a:avLst/>
                              <a:gdLst/>
                              <a:ahLst/>
                              <a:cxnLst/>
                              <a:rect b="0" l="0" r="0" t="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CA2">
        <w:rPr>
          <w:rFonts w:hint="cs"/>
          <w:b w:val="0"/>
          <w:bCs w:val="0"/>
          <w:rtl/>
        </w:rPr>
        <w:t>תרשים 18:</w:t>
      </w:r>
      <w:r w:rsidRPr="006E5CA2">
        <w:rPr>
          <w:rFonts w:hint="cs"/>
          <w:rtl/>
        </w:rPr>
        <w:t xml:space="preserve"> המודעות לחובה לפרסם הצהרת הנגישות ולדרישה לכלול בה פרטי קשר של רכז הנגישות</w:t>
      </w:r>
    </w:p>
    <w:p w:rsidR="00BF1E3B" w:rsidRPr="006E5CA2" w:rsidRDefault="00DF6A0A" w:rsidP="006E5CA2">
      <w:pPr>
        <w:pStyle w:val="73e"/>
        <w:spacing w:after="0"/>
        <w:ind w:left="397"/>
        <w:rPr>
          <w:rtl/>
        </w:rPr>
      </w:pPr>
      <w:r w:rsidRPr="006E5CA2">
        <w:rPr>
          <w:rFonts w:hint="cs"/>
          <w:rtl/>
        </w:rPr>
        <w:t xml:space="preserve">על פי </w:t>
      </w:r>
      <w:r w:rsidRPr="006E5CA2">
        <w:rPr>
          <w:rtl/>
        </w:rPr>
        <w:t>סקר שיתוף הציבור שנעשה עבור משרד מבקר המדינה</w:t>
      </w:r>
      <w:r w:rsidRPr="006E5CA2">
        <w:rPr>
          <w:rFonts w:hint="cs"/>
          <w:rtl/>
        </w:rPr>
        <w:t xml:space="preserve">.   </w:t>
      </w:r>
    </w:p>
    <w:p w:rsidR="00BF1E3B" w:rsidRPr="006E5CA2" w:rsidRDefault="00DF6A0A" w:rsidP="006E5CA2">
      <w:pPr>
        <w:pStyle w:val="73e"/>
        <w:spacing w:before="0"/>
        <w:ind w:left="397"/>
        <w:rPr>
          <w:rtl/>
        </w:rPr>
      </w:pPr>
      <w:r w:rsidRPr="006E5CA2">
        <w:rPr>
          <w:rFonts w:hint="cs"/>
          <w:rtl/>
        </w:rPr>
        <w:t xml:space="preserve">סכומי השיעורים המוצגים בתרשימים לא תמיד מסתכמים בדיוק ב-100% משום שהשיעורים עוגלו.    </w:t>
      </w:r>
    </w:p>
    <w:p w:rsidR="00BF1E3B" w:rsidRDefault="00DF6A0A" w:rsidP="006E5CA2">
      <w:pPr>
        <w:pStyle w:val="73f1"/>
        <w:rPr>
          <w:rtl/>
        </w:rPr>
      </w:pPr>
      <w:r>
        <w:rPr>
          <w:rFonts w:hint="cs"/>
          <w:rtl/>
        </w:rPr>
        <w:t>עלה כי</w:t>
      </w:r>
      <w:r w:rsidRPr="00D85160">
        <w:rPr>
          <w:rFonts w:hint="cs"/>
          <w:rtl/>
        </w:rPr>
        <w:t xml:space="preserve"> </w:t>
      </w:r>
      <w:r>
        <w:rPr>
          <w:rFonts w:hint="cs"/>
          <w:rtl/>
        </w:rPr>
        <w:t>כשני של</w:t>
      </w:r>
      <w:r>
        <w:rPr>
          <w:rFonts w:hint="cs"/>
          <w:rtl/>
        </w:rPr>
        <w:t>יש מ</w:t>
      </w:r>
      <w:r w:rsidRPr="00D85160">
        <w:rPr>
          <w:rFonts w:hint="cs"/>
          <w:rtl/>
        </w:rPr>
        <w:t>ה</w:t>
      </w:r>
      <w:r>
        <w:rPr>
          <w:rFonts w:hint="cs"/>
          <w:rtl/>
        </w:rPr>
        <w:t>משיבים לסקר (</w:t>
      </w:r>
      <w:r w:rsidRPr="00D85160">
        <w:rPr>
          <w:rFonts w:hint="cs"/>
          <w:rtl/>
        </w:rPr>
        <w:t>68%</w:t>
      </w:r>
      <w:r>
        <w:rPr>
          <w:rFonts w:hint="cs"/>
          <w:rtl/>
        </w:rPr>
        <w:t>) שיתוף הציבור שביצע משרד מבקר המדינה</w:t>
      </w:r>
      <w:r w:rsidRPr="00D85160">
        <w:rPr>
          <w:rFonts w:hint="cs"/>
          <w:rtl/>
        </w:rPr>
        <w:t xml:space="preserve"> </w:t>
      </w:r>
      <w:r>
        <w:rPr>
          <w:rFonts w:hint="cs"/>
          <w:rtl/>
        </w:rPr>
        <w:t xml:space="preserve">לא היו </w:t>
      </w:r>
      <w:r w:rsidRPr="00D85160">
        <w:rPr>
          <w:rFonts w:hint="cs"/>
          <w:rtl/>
        </w:rPr>
        <w:t>מודעים לכך שהגופים הממשלתיים נדרשים</w:t>
      </w:r>
      <w:r>
        <w:rPr>
          <w:rFonts w:hint="cs"/>
          <w:rtl/>
        </w:rPr>
        <w:t xml:space="preserve"> על פי דין</w:t>
      </w:r>
      <w:r w:rsidRPr="00D85160">
        <w:rPr>
          <w:rFonts w:hint="cs"/>
          <w:rtl/>
        </w:rPr>
        <w:t xml:space="preserve"> לפרסם באתרי המרשתת שלהם הצהרת נגישות</w:t>
      </w:r>
      <w:r>
        <w:rPr>
          <w:rFonts w:hint="cs"/>
          <w:rtl/>
        </w:rPr>
        <w:t xml:space="preserve"> לרבות פרטי רכז ממונה לפניות הציבור בנושא הנגשה חסרה. </w:t>
      </w:r>
    </w:p>
    <w:p w:rsidR="00BF1E3B" w:rsidRPr="00F93EC3" w:rsidRDefault="00DF6A0A" w:rsidP="006E5CA2">
      <w:pPr>
        <w:pStyle w:val="73f1"/>
        <w:rPr>
          <w:rtl/>
        </w:rPr>
      </w:pPr>
      <w:r w:rsidRPr="00F93EC3">
        <w:rPr>
          <w:rFonts w:hint="cs"/>
          <w:rtl/>
        </w:rPr>
        <w:t xml:space="preserve">מומלץ כי נציבות שוויון זכויות לאנשים עם מוגבלות תנקוט פעולות להגברת המודעות בקרב אנשים עם מוגבלות </w:t>
      </w:r>
      <w:r>
        <w:rPr>
          <w:rFonts w:hint="cs"/>
          <w:rtl/>
        </w:rPr>
        <w:t>ל</w:t>
      </w:r>
      <w:r w:rsidRPr="00F93EC3">
        <w:rPr>
          <w:rFonts w:hint="cs"/>
          <w:rtl/>
        </w:rPr>
        <w:t xml:space="preserve">קיומן של הצהרות </w:t>
      </w:r>
      <w:r>
        <w:rPr>
          <w:rFonts w:hint="cs"/>
          <w:rtl/>
        </w:rPr>
        <w:t>ה</w:t>
      </w:r>
      <w:r w:rsidRPr="00F93EC3">
        <w:rPr>
          <w:rFonts w:hint="cs"/>
          <w:rtl/>
        </w:rPr>
        <w:t>נגישות באתרי</w:t>
      </w:r>
      <w:r>
        <w:rPr>
          <w:rFonts w:hint="cs"/>
          <w:rtl/>
        </w:rPr>
        <w:t>ם</w:t>
      </w:r>
      <w:r w:rsidRPr="00F93EC3">
        <w:rPr>
          <w:rFonts w:hint="cs"/>
          <w:rtl/>
        </w:rPr>
        <w:t xml:space="preserve"> הממשלתיים</w:t>
      </w:r>
      <w:r>
        <w:rPr>
          <w:rFonts w:hint="cs"/>
          <w:rtl/>
        </w:rPr>
        <w:t>,</w:t>
      </w:r>
      <w:r w:rsidRPr="00F93EC3">
        <w:rPr>
          <w:rFonts w:hint="cs"/>
          <w:rtl/>
        </w:rPr>
        <w:t xml:space="preserve"> </w:t>
      </w:r>
      <w:r>
        <w:rPr>
          <w:rFonts w:hint="cs"/>
          <w:rtl/>
        </w:rPr>
        <w:t>למטרתן</w:t>
      </w:r>
      <w:r w:rsidRPr="00F93EC3">
        <w:rPr>
          <w:rFonts w:hint="cs"/>
          <w:rtl/>
        </w:rPr>
        <w:t xml:space="preserve"> למסור מידע למשתמשים על פעולות ההנגשה שבוצעו ו</w:t>
      </w:r>
      <w:r>
        <w:rPr>
          <w:rFonts w:hint="cs"/>
          <w:rtl/>
        </w:rPr>
        <w:t xml:space="preserve">על </w:t>
      </w:r>
      <w:r w:rsidRPr="00F93EC3">
        <w:rPr>
          <w:rFonts w:hint="cs"/>
          <w:rtl/>
        </w:rPr>
        <w:t xml:space="preserve">דרכי </w:t>
      </w:r>
      <w:r>
        <w:rPr>
          <w:rFonts w:hint="cs"/>
          <w:rtl/>
        </w:rPr>
        <w:t>ה</w:t>
      </w:r>
      <w:r w:rsidRPr="00F93EC3">
        <w:rPr>
          <w:rFonts w:hint="cs"/>
          <w:rtl/>
        </w:rPr>
        <w:t xml:space="preserve">התקשרות </w:t>
      </w:r>
      <w:r>
        <w:rPr>
          <w:rFonts w:hint="cs"/>
          <w:rtl/>
        </w:rPr>
        <w:t xml:space="preserve">עם </w:t>
      </w:r>
      <w:r w:rsidRPr="00F93EC3">
        <w:rPr>
          <w:rFonts w:hint="cs"/>
          <w:rtl/>
        </w:rPr>
        <w:t>רכזי הנגישות</w:t>
      </w:r>
      <w:r>
        <w:rPr>
          <w:rFonts w:hint="cs"/>
          <w:rtl/>
        </w:rPr>
        <w:t xml:space="preserve"> ולחובה לפרסמן</w:t>
      </w:r>
      <w:r w:rsidRPr="00F93EC3">
        <w:rPr>
          <w:rFonts w:hint="cs"/>
          <w:rtl/>
        </w:rPr>
        <w:t>.</w:t>
      </w:r>
    </w:p>
    <w:p w:rsidR="00BF1E3B" w:rsidRPr="004B203F" w:rsidRDefault="00DF6A0A">
      <w:pPr>
        <w:pStyle w:val="739"/>
        <w:numPr>
          <w:ilvl w:val="0"/>
          <w:numId w:val="21"/>
        </w:numPr>
        <w:rPr>
          <w:rStyle w:val="7371"/>
          <w:b/>
          <w:bCs w:val="0"/>
        </w:rPr>
      </w:pPr>
      <w:r w:rsidRPr="004B203F">
        <w:rPr>
          <w:rStyle w:val="7371"/>
          <w:rFonts w:hint="cs"/>
          <w:rtl/>
        </w:rPr>
        <w:t xml:space="preserve">היגדים בנושא נגישות בערוצי שירות דיגיטליים: </w:t>
      </w:r>
      <w:r w:rsidRPr="004B203F">
        <w:rPr>
          <w:rStyle w:val="7371"/>
          <w:rFonts w:hint="cs"/>
          <w:b/>
          <w:bCs w:val="0"/>
          <w:rtl/>
        </w:rPr>
        <w:t xml:space="preserve">בסקר שיתוף הציבור ניתנה למשיבים אפשרות לכתוב הערות והצעות בקשר לנגישות של אתרים ממשלתיים. להלן בתרשים כמה מן ההיגדים שעלו. </w:t>
      </w:r>
    </w:p>
    <w:p w:rsidR="00BF1E3B" w:rsidRPr="00806DA6" w:rsidRDefault="00DF6A0A" w:rsidP="006E5CA2">
      <w:pPr>
        <w:pStyle w:val="738"/>
        <w:ind w:left="397"/>
        <w:rPr>
          <w:rtl/>
        </w:rPr>
      </w:pPr>
      <w:r w:rsidRPr="00806DA6">
        <w:rPr>
          <w:rFonts w:hint="eastAsia"/>
          <w:b w:val="0"/>
          <w:bCs w:val="0"/>
          <w:rtl/>
        </w:rPr>
        <w:lastRenderedPageBreak/>
        <w:t>תרשים</w:t>
      </w:r>
      <w:r w:rsidRPr="00806DA6">
        <w:rPr>
          <w:b w:val="0"/>
          <w:bCs w:val="0"/>
          <w:rtl/>
        </w:rPr>
        <w:t xml:space="preserve"> </w:t>
      </w:r>
      <w:r w:rsidRPr="00806DA6">
        <w:rPr>
          <w:rFonts w:hint="cs"/>
          <w:b w:val="0"/>
          <w:bCs w:val="0"/>
          <w:rtl/>
        </w:rPr>
        <w:t>19</w:t>
      </w:r>
      <w:r w:rsidRPr="00806DA6">
        <w:rPr>
          <w:b w:val="0"/>
          <w:bCs w:val="0"/>
          <w:rtl/>
        </w:rPr>
        <w:t>:</w:t>
      </w:r>
      <w:r w:rsidRPr="00806DA6">
        <w:rPr>
          <w:rFonts w:hint="cs"/>
          <w:rtl/>
        </w:rPr>
        <w:t xml:space="preserve"> היגדים שעלו בסקר שיתוף הציבור</w:t>
      </w:r>
    </w:p>
    <w:p w:rsidR="00BF1E3B" w:rsidRDefault="00DF6A0A" w:rsidP="006E5CA2">
      <w:pPr>
        <w:ind w:left="397"/>
        <w:rPr>
          <w:rtl/>
        </w:rPr>
      </w:pPr>
      <w:r w:rsidRPr="00A75C4A">
        <w:rPr>
          <w:noProof/>
        </w:rPr>
        <w:drawing>
          <wp:inline distT="0" distB="0" distL="0" distR="0">
            <wp:extent cx="4433124" cy="3063122"/>
            <wp:effectExtent l="0" t="0" r="0" b="0"/>
            <wp:docPr id="49" name="תמונה 49" descr="בתרשים מוצגים היגדים שכתבו משיבים על הסקר, למשל: &quot;במקומות רבים ממונה נגישות לא ממש נגיש&quot; או &quot;אם אין מספיק מידע באתר - שיהיה מאוד ברור למי לפנות... בנושא הנגשה&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תמונה 49"/>
                    <pic:cNvPicPr/>
                  </pic:nvPicPr>
                  <pic:blipFill>
                    <a:blip r:embed="rId72">
                      <a:extLst>
                        <a:ext uri="{28A0092B-C50C-407E-A947-70E740481C1C}">
                          <a14:useLocalDpi xmlns:a14="http://schemas.microsoft.com/office/drawing/2010/main" val="0"/>
                        </a:ext>
                      </a:extLst>
                    </a:blip>
                    <a:stretch>
                      <a:fillRect/>
                    </a:stretch>
                  </pic:blipFill>
                  <pic:spPr>
                    <a:xfrm>
                      <a:off x="0" y="0"/>
                      <a:ext cx="4451257" cy="3075651"/>
                    </a:xfrm>
                    <a:prstGeom prst="rect">
                      <a:avLst/>
                    </a:prstGeom>
                    <a:ln>
                      <a:noFill/>
                    </a:ln>
                  </pic:spPr>
                </pic:pic>
              </a:graphicData>
            </a:graphic>
          </wp:inline>
        </w:drawing>
      </w:r>
    </w:p>
    <w:p w:rsidR="00BF1E3B" w:rsidRPr="00806DA6" w:rsidRDefault="00DF6A0A" w:rsidP="006E5CA2">
      <w:pPr>
        <w:pStyle w:val="73e"/>
        <w:ind w:left="283"/>
        <w:rPr>
          <w:rtl/>
        </w:rPr>
      </w:pPr>
      <w:r w:rsidRPr="00806DA6">
        <w:rPr>
          <w:rFonts w:hint="cs"/>
          <w:rtl/>
        </w:rPr>
        <w:t>על פי סקר שיתוף ציבור שנעשה עבור משרד מבקר המד</w:t>
      </w:r>
      <w:r w:rsidRPr="00806DA6">
        <w:rPr>
          <w:rFonts w:hint="cs"/>
          <w:rtl/>
        </w:rPr>
        <w:t xml:space="preserve">ינה. </w:t>
      </w:r>
    </w:p>
    <w:p w:rsidR="00BF1E3B" w:rsidRPr="00BD5EEA" w:rsidRDefault="00DF6A0A" w:rsidP="00BD5EEA">
      <w:pPr>
        <w:pStyle w:val="73fa"/>
        <w:rPr>
          <w:rtl/>
        </w:rPr>
      </w:pPr>
      <w:r w:rsidRPr="00BD5EEA">
        <w:rPr>
          <w:rFonts w:hint="cs"/>
          <w:rtl/>
        </w:rPr>
        <w:t>✰</w:t>
      </w:r>
    </w:p>
    <w:p w:rsidR="00BF1E3B" w:rsidRPr="00806DA6" w:rsidRDefault="00DF6A0A" w:rsidP="00806DA6">
      <w:pPr>
        <w:pStyle w:val="735"/>
        <w:rPr>
          <w:rtl/>
        </w:rPr>
      </w:pPr>
      <w:r w:rsidRPr="00806DA6">
        <w:rPr>
          <w:rFonts w:hint="cs"/>
          <w:rtl/>
        </w:rPr>
        <w:t>מממצאי סקר שיתוף הציבור שערך משרד מבקר המדינה עולה כי שיעור גבוה מהמשיבים (39%) נתקל בליקויי נגישות בערוצי השירות הדיגיטלי של גופי ממשל שונים. אצל שליש מהם נפגעה במידה רבה עד רבה מאוד חוויית השירות, רבע מהם ויתרו על קבלת השירות וכחמישית מהם לא קיבל</w:t>
      </w:r>
      <w:r w:rsidRPr="00806DA6">
        <w:rPr>
          <w:rFonts w:hint="cs"/>
          <w:rtl/>
        </w:rPr>
        <w:t xml:space="preserve">ו מידע שנדרש להם. על גופי הממשל להבטיח שהשירות הדיגיטלי יונגש ויותאם לאנשים עם מוגבלויות שונות בהתאם לדין, כדי שיוכלו להשתמש בשירות זה באופן מלא ועצמאי. </w:t>
      </w:r>
    </w:p>
    <w:p w:rsidR="00BF1E3B" w:rsidRPr="00806DA6" w:rsidRDefault="00DF6A0A" w:rsidP="00806DA6">
      <w:pPr>
        <w:pStyle w:val="735"/>
        <w:rPr>
          <w:rtl/>
        </w:rPr>
      </w:pPr>
      <w:r w:rsidRPr="00806DA6">
        <w:rPr>
          <w:rFonts w:hint="eastAsia"/>
          <w:rtl/>
        </w:rPr>
        <w:t>מומלץ</w:t>
      </w:r>
      <w:r w:rsidRPr="00806DA6">
        <w:rPr>
          <w:rtl/>
        </w:rPr>
        <w:t xml:space="preserve"> </w:t>
      </w:r>
      <w:r w:rsidRPr="00806DA6">
        <w:rPr>
          <w:rFonts w:hint="eastAsia"/>
          <w:rtl/>
        </w:rPr>
        <w:t>כי</w:t>
      </w:r>
      <w:r w:rsidRPr="00806DA6">
        <w:rPr>
          <w:rtl/>
        </w:rPr>
        <w:t xml:space="preserve"> </w:t>
      </w:r>
      <w:r w:rsidRPr="00806DA6">
        <w:rPr>
          <w:rFonts w:hint="eastAsia"/>
          <w:rtl/>
        </w:rPr>
        <w:t>נציבות</w:t>
      </w:r>
      <w:r w:rsidRPr="00806DA6">
        <w:rPr>
          <w:rtl/>
        </w:rPr>
        <w:t xml:space="preserve"> </w:t>
      </w:r>
      <w:r w:rsidRPr="00806DA6">
        <w:rPr>
          <w:rFonts w:hint="eastAsia"/>
          <w:rtl/>
        </w:rPr>
        <w:t>שוויון</w:t>
      </w:r>
      <w:r w:rsidRPr="00806DA6">
        <w:rPr>
          <w:rtl/>
        </w:rPr>
        <w:t xml:space="preserve"> </w:t>
      </w:r>
      <w:r w:rsidRPr="00806DA6">
        <w:rPr>
          <w:rFonts w:hint="eastAsia"/>
          <w:rtl/>
        </w:rPr>
        <w:t>זכויות</w:t>
      </w:r>
      <w:r w:rsidRPr="00806DA6">
        <w:rPr>
          <w:rtl/>
        </w:rPr>
        <w:t xml:space="preserve"> </w:t>
      </w:r>
      <w:r w:rsidRPr="00806DA6">
        <w:rPr>
          <w:rFonts w:hint="eastAsia"/>
          <w:rtl/>
        </w:rPr>
        <w:t>לאנשים</w:t>
      </w:r>
      <w:r w:rsidRPr="00806DA6">
        <w:rPr>
          <w:rtl/>
        </w:rPr>
        <w:t xml:space="preserve"> </w:t>
      </w:r>
      <w:r w:rsidRPr="00806DA6">
        <w:rPr>
          <w:rFonts w:hint="eastAsia"/>
          <w:rtl/>
        </w:rPr>
        <w:t>עם</w:t>
      </w:r>
      <w:r w:rsidRPr="00806DA6">
        <w:rPr>
          <w:rtl/>
        </w:rPr>
        <w:t xml:space="preserve"> </w:t>
      </w:r>
      <w:r w:rsidRPr="00806DA6">
        <w:rPr>
          <w:rFonts w:hint="eastAsia"/>
          <w:rtl/>
        </w:rPr>
        <w:t>מוגבלות</w:t>
      </w:r>
      <w:r w:rsidRPr="00806DA6">
        <w:rPr>
          <w:rtl/>
        </w:rPr>
        <w:t xml:space="preserve"> </w:t>
      </w:r>
      <w:r w:rsidRPr="00806DA6">
        <w:rPr>
          <w:rFonts w:hint="eastAsia"/>
          <w:rtl/>
        </w:rPr>
        <w:t>תעשה</w:t>
      </w:r>
      <w:r w:rsidRPr="00806DA6">
        <w:rPr>
          <w:rtl/>
        </w:rPr>
        <w:t xml:space="preserve"> </w:t>
      </w:r>
      <w:r w:rsidRPr="00806DA6">
        <w:rPr>
          <w:rFonts w:hint="eastAsia"/>
          <w:rtl/>
        </w:rPr>
        <w:t>סקרים</w:t>
      </w:r>
      <w:r w:rsidRPr="00806DA6">
        <w:rPr>
          <w:rtl/>
        </w:rPr>
        <w:t xml:space="preserve"> </w:t>
      </w:r>
      <w:r w:rsidRPr="00806DA6">
        <w:rPr>
          <w:rFonts w:hint="eastAsia"/>
          <w:rtl/>
        </w:rPr>
        <w:t>שנתיים</w:t>
      </w:r>
      <w:r w:rsidRPr="00806DA6">
        <w:rPr>
          <w:rtl/>
        </w:rPr>
        <w:t xml:space="preserve"> </w:t>
      </w:r>
      <w:r w:rsidRPr="00806DA6">
        <w:rPr>
          <w:rFonts w:hint="eastAsia"/>
          <w:rtl/>
        </w:rPr>
        <w:t>בקרב</w:t>
      </w:r>
      <w:r w:rsidRPr="00806DA6">
        <w:rPr>
          <w:rtl/>
        </w:rPr>
        <w:t xml:space="preserve"> </w:t>
      </w:r>
      <w:r w:rsidRPr="00806DA6">
        <w:rPr>
          <w:rFonts w:hint="eastAsia"/>
          <w:rtl/>
        </w:rPr>
        <w:t>אנשים</w:t>
      </w:r>
      <w:r w:rsidRPr="00806DA6">
        <w:rPr>
          <w:rtl/>
        </w:rPr>
        <w:t xml:space="preserve"> </w:t>
      </w:r>
      <w:r w:rsidRPr="00806DA6">
        <w:rPr>
          <w:rFonts w:hint="eastAsia"/>
          <w:rtl/>
        </w:rPr>
        <w:t>עם</w:t>
      </w:r>
      <w:r w:rsidRPr="00806DA6">
        <w:rPr>
          <w:rtl/>
        </w:rPr>
        <w:t xml:space="preserve"> </w:t>
      </w:r>
      <w:r w:rsidRPr="00806DA6">
        <w:rPr>
          <w:rFonts w:hint="eastAsia"/>
          <w:rtl/>
        </w:rPr>
        <w:t>מוגבלו</w:t>
      </w:r>
      <w:r w:rsidRPr="00806DA6">
        <w:rPr>
          <w:rFonts w:hint="cs"/>
          <w:rtl/>
        </w:rPr>
        <w:t>יו</w:t>
      </w:r>
      <w:r w:rsidRPr="00806DA6">
        <w:rPr>
          <w:rFonts w:hint="eastAsia"/>
          <w:rtl/>
        </w:rPr>
        <w:t>ת</w:t>
      </w:r>
      <w:r w:rsidRPr="00806DA6">
        <w:rPr>
          <w:rtl/>
        </w:rPr>
        <w:t xml:space="preserve"> </w:t>
      </w:r>
      <w:r w:rsidRPr="00806DA6">
        <w:rPr>
          <w:rFonts w:hint="eastAsia"/>
          <w:rtl/>
        </w:rPr>
        <w:t>שונ</w:t>
      </w:r>
      <w:r w:rsidRPr="00806DA6">
        <w:rPr>
          <w:rFonts w:hint="cs"/>
          <w:rtl/>
        </w:rPr>
        <w:t>ות</w:t>
      </w:r>
      <w:r w:rsidRPr="00806DA6">
        <w:rPr>
          <w:rtl/>
        </w:rPr>
        <w:t xml:space="preserve"> </w:t>
      </w:r>
      <w:r w:rsidRPr="00806DA6">
        <w:rPr>
          <w:rFonts w:hint="eastAsia"/>
          <w:rtl/>
        </w:rPr>
        <w:t>בכדי</w:t>
      </w:r>
      <w:r w:rsidRPr="00806DA6">
        <w:rPr>
          <w:rtl/>
        </w:rPr>
        <w:t xml:space="preserve"> </w:t>
      </w:r>
      <w:r w:rsidRPr="00806DA6">
        <w:rPr>
          <w:rFonts w:hint="eastAsia"/>
          <w:rtl/>
        </w:rPr>
        <w:t>ל</w:t>
      </w:r>
      <w:r w:rsidRPr="00806DA6">
        <w:rPr>
          <w:rFonts w:hint="cs"/>
          <w:rtl/>
        </w:rPr>
        <w:t>קבל מהם מידע על ל</w:t>
      </w:r>
      <w:r w:rsidRPr="00806DA6">
        <w:rPr>
          <w:rFonts w:hint="eastAsia"/>
          <w:rtl/>
        </w:rPr>
        <w:t>יקויי</w:t>
      </w:r>
      <w:r w:rsidRPr="00806DA6">
        <w:rPr>
          <w:rtl/>
        </w:rPr>
        <w:t xml:space="preserve"> </w:t>
      </w:r>
      <w:r w:rsidRPr="00806DA6">
        <w:rPr>
          <w:rFonts w:hint="eastAsia"/>
          <w:rtl/>
        </w:rPr>
        <w:t>הנגשה</w:t>
      </w:r>
      <w:r w:rsidRPr="00806DA6">
        <w:rPr>
          <w:rtl/>
        </w:rPr>
        <w:t xml:space="preserve"> </w:t>
      </w:r>
      <w:r w:rsidRPr="00806DA6">
        <w:rPr>
          <w:rFonts w:hint="eastAsia"/>
          <w:rtl/>
        </w:rPr>
        <w:t>שהם</w:t>
      </w:r>
      <w:r w:rsidRPr="00806DA6">
        <w:rPr>
          <w:rtl/>
        </w:rPr>
        <w:t xml:space="preserve"> </w:t>
      </w:r>
      <w:r w:rsidRPr="00806DA6">
        <w:rPr>
          <w:rFonts w:hint="eastAsia"/>
          <w:rtl/>
        </w:rPr>
        <w:t>נתקלים</w:t>
      </w:r>
      <w:r w:rsidRPr="00806DA6">
        <w:rPr>
          <w:rtl/>
        </w:rPr>
        <w:t xml:space="preserve"> </w:t>
      </w:r>
      <w:r w:rsidRPr="00806DA6">
        <w:rPr>
          <w:rFonts w:hint="eastAsia"/>
          <w:rtl/>
        </w:rPr>
        <w:t>בהם</w:t>
      </w:r>
      <w:r w:rsidRPr="00806DA6">
        <w:rPr>
          <w:rtl/>
        </w:rPr>
        <w:t xml:space="preserve"> </w:t>
      </w:r>
      <w:r w:rsidRPr="00806DA6">
        <w:rPr>
          <w:rFonts w:hint="eastAsia"/>
          <w:rtl/>
        </w:rPr>
        <w:t>בבואם</w:t>
      </w:r>
      <w:r w:rsidRPr="00806DA6">
        <w:rPr>
          <w:rtl/>
        </w:rPr>
        <w:t xml:space="preserve"> </w:t>
      </w:r>
      <w:r w:rsidRPr="00806DA6">
        <w:rPr>
          <w:rFonts w:hint="eastAsia"/>
          <w:rtl/>
        </w:rPr>
        <w:t>לצרוך</w:t>
      </w:r>
      <w:r w:rsidRPr="00806DA6">
        <w:rPr>
          <w:rtl/>
        </w:rPr>
        <w:t xml:space="preserve"> </w:t>
      </w:r>
      <w:r w:rsidRPr="00806DA6">
        <w:rPr>
          <w:rFonts w:hint="eastAsia"/>
          <w:rtl/>
        </w:rPr>
        <w:t>שירותי</w:t>
      </w:r>
      <w:r w:rsidRPr="00806DA6">
        <w:rPr>
          <w:rtl/>
        </w:rPr>
        <w:t xml:space="preserve"> </w:t>
      </w:r>
      <w:r w:rsidRPr="00806DA6">
        <w:rPr>
          <w:rFonts w:hint="eastAsia"/>
          <w:rtl/>
        </w:rPr>
        <w:t>ממשל</w:t>
      </w:r>
      <w:r w:rsidRPr="00806DA6">
        <w:rPr>
          <w:rtl/>
        </w:rPr>
        <w:t xml:space="preserve"> בערוצים הדיגיטליים</w:t>
      </w:r>
      <w:r w:rsidRPr="00806DA6">
        <w:rPr>
          <w:rFonts w:hint="cs"/>
          <w:rtl/>
        </w:rPr>
        <w:t>.</w:t>
      </w:r>
      <w:r w:rsidRPr="00806DA6">
        <w:rPr>
          <w:rtl/>
        </w:rPr>
        <w:t xml:space="preserve"> דבר</w:t>
      </w:r>
      <w:r w:rsidRPr="00806DA6">
        <w:rPr>
          <w:rFonts w:hint="cs"/>
          <w:rtl/>
        </w:rPr>
        <w:t xml:space="preserve"> זה</w:t>
      </w:r>
      <w:r w:rsidRPr="00806DA6">
        <w:rPr>
          <w:rtl/>
        </w:rPr>
        <w:t xml:space="preserve"> יסייע לה למקד </w:t>
      </w:r>
      <w:r w:rsidRPr="00806DA6">
        <w:rPr>
          <w:rFonts w:hint="eastAsia"/>
          <w:rtl/>
        </w:rPr>
        <w:t>את</w:t>
      </w:r>
      <w:r w:rsidRPr="00806DA6">
        <w:rPr>
          <w:rtl/>
        </w:rPr>
        <w:t xml:space="preserve"> בדיקות הנגישות </w:t>
      </w:r>
      <w:r w:rsidRPr="00806DA6">
        <w:rPr>
          <w:rFonts w:hint="eastAsia"/>
          <w:rtl/>
        </w:rPr>
        <w:t>שהיא</w:t>
      </w:r>
      <w:r w:rsidRPr="00806DA6">
        <w:rPr>
          <w:rtl/>
        </w:rPr>
        <w:t xml:space="preserve"> </w:t>
      </w:r>
      <w:r w:rsidRPr="00806DA6">
        <w:rPr>
          <w:rFonts w:hint="eastAsia"/>
          <w:rtl/>
        </w:rPr>
        <w:t>עושה</w:t>
      </w:r>
      <w:r w:rsidRPr="00806DA6">
        <w:rPr>
          <w:rtl/>
        </w:rPr>
        <w:t xml:space="preserve"> </w:t>
      </w:r>
      <w:r w:rsidRPr="00806DA6">
        <w:rPr>
          <w:rFonts w:hint="cs"/>
          <w:rtl/>
        </w:rPr>
        <w:t>בגופי ממשל</w:t>
      </w:r>
      <w:r w:rsidRPr="00806DA6">
        <w:rPr>
          <w:rtl/>
        </w:rPr>
        <w:t xml:space="preserve">.  </w:t>
      </w:r>
    </w:p>
    <w:p w:rsidR="00BF1E3B" w:rsidRPr="00EE2ABF" w:rsidRDefault="00DF6A0A" w:rsidP="00C619CC">
      <w:pPr>
        <w:pStyle w:val="7392"/>
      </w:pPr>
      <w:r>
        <w:rPr>
          <w:rFonts w:hint="cs"/>
          <w:rtl/>
        </w:rPr>
        <w:t>בתשובתה למשרד מבקר המדינה מסרה נציבות שוויון זכויות לאנשים עם מוגבלות כי "סוגיית ביצוע הסקרים השנתיים בקר</w:t>
      </w:r>
      <w:r>
        <w:rPr>
          <w:rFonts w:hint="cs"/>
          <w:rtl/>
        </w:rPr>
        <w:t xml:space="preserve">ב אנשים עם מוגבלות מקבלת כיום מקום בולט במסגרת מאמצי הנציבות לטיוב ולשיפור פעולות המחקר שהיא מבצעת". </w:t>
      </w:r>
    </w:p>
    <w:p w:rsidR="00BF1E3B" w:rsidRPr="00B74C6A" w:rsidRDefault="00DF6A0A" w:rsidP="00B74C6A">
      <w:pPr>
        <w:pStyle w:val="733155"/>
        <w:rPr>
          <w:rtl/>
        </w:rPr>
      </w:pPr>
      <w:r w:rsidRPr="00B74C6A">
        <w:rPr>
          <w:rtl/>
        </w:rPr>
        <w:lastRenderedPageBreak/>
        <w:t>פיקוח ואכיפה</w:t>
      </w:r>
      <w:r w:rsidRPr="00B74C6A">
        <w:rPr>
          <w:rFonts w:hint="cs"/>
          <w:rtl/>
        </w:rPr>
        <w:t xml:space="preserve"> של נציבות שוויון </w:t>
      </w:r>
      <w:r w:rsidRPr="00B74C6A">
        <w:rPr>
          <w:rtl/>
        </w:rPr>
        <w:t xml:space="preserve">זכויות לאנשים עם מוגבלות </w:t>
      </w:r>
      <w:r w:rsidRPr="00B74C6A">
        <w:rPr>
          <w:rFonts w:hint="cs"/>
          <w:rtl/>
        </w:rPr>
        <w:t xml:space="preserve">בנושא </w:t>
      </w:r>
      <w:r w:rsidRPr="00B74C6A">
        <w:rPr>
          <w:rtl/>
        </w:rPr>
        <w:t>הנגשה דיגיטלית בגופי ממשל</w:t>
      </w:r>
    </w:p>
    <w:p w:rsidR="00BF1E3B" w:rsidRPr="00CF50CB" w:rsidRDefault="00DF6A0A" w:rsidP="00C619CC">
      <w:pPr>
        <w:pStyle w:val="7392"/>
        <w:rPr>
          <w:rtl/>
        </w:rPr>
      </w:pPr>
      <w:r w:rsidRPr="00CC4EEA">
        <w:rPr>
          <w:rtl/>
        </w:rPr>
        <w:t xml:space="preserve">נציבות שוויון זכויות לאנשים עם מוגבלות הוקמה </w:t>
      </w:r>
      <w:r>
        <w:rPr>
          <w:rFonts w:hint="cs"/>
          <w:rtl/>
        </w:rPr>
        <w:t xml:space="preserve">כאמור </w:t>
      </w:r>
      <w:r w:rsidRPr="00CC4EEA">
        <w:rPr>
          <w:rtl/>
        </w:rPr>
        <w:t xml:space="preserve">במשרד המשפטים, </w:t>
      </w:r>
      <w:r w:rsidRPr="00CC4EEA">
        <w:rPr>
          <w:rtl/>
        </w:rPr>
        <w:t>באוגוסט 2000</w:t>
      </w:r>
      <w:r>
        <w:rPr>
          <w:rFonts w:hint="cs"/>
          <w:rtl/>
        </w:rPr>
        <w:t>,</w:t>
      </w:r>
      <w:r w:rsidRPr="00CC4EEA">
        <w:rPr>
          <w:rtl/>
        </w:rPr>
        <w:t xml:space="preserve"> מכוח חוק שוויון זכויות</w:t>
      </w:r>
      <w:r>
        <w:rPr>
          <w:rStyle w:val="a8"/>
          <w:rFonts w:ascii="David" w:eastAsia="Calibri" w:hAnsi="David"/>
          <w:sz w:val="24"/>
          <w:rtl/>
        </w:rPr>
        <w:footnoteReference w:id="92"/>
      </w:r>
      <w:r>
        <w:rPr>
          <w:rFonts w:hint="cs"/>
          <w:rtl/>
        </w:rPr>
        <w:t xml:space="preserve"> </w:t>
      </w:r>
      <w:r w:rsidRPr="00CC4EEA">
        <w:rPr>
          <w:rtl/>
        </w:rPr>
        <w:t>שמטרתו לצמצם את הפער בין מציאות חייהם של אנשים עם מוגבלות לבין הנדרש על פי עקרונות השוויון וכבוד האדם. בראש הנציבות עומד נציב שוויון זכויות לאנשים עם מוגבלות</w:t>
      </w:r>
      <w:r w:rsidRPr="00CC4EEA">
        <w:rPr>
          <w:rFonts w:hint="cs"/>
          <w:rtl/>
        </w:rPr>
        <w:t xml:space="preserve"> (להלן - הנציב)</w:t>
      </w:r>
      <w:r>
        <w:rPr>
          <w:rtl/>
        </w:rPr>
        <w:t xml:space="preserve">. </w:t>
      </w:r>
      <w:r w:rsidRPr="00CC4EEA">
        <w:rPr>
          <w:rFonts w:hint="cs"/>
          <w:rtl/>
        </w:rPr>
        <w:t>ל</w:t>
      </w:r>
      <w:r w:rsidRPr="00CC4EEA">
        <w:rPr>
          <w:rtl/>
        </w:rPr>
        <w:t xml:space="preserve">נציב מייעצת </w:t>
      </w:r>
      <w:r w:rsidRPr="00CC4EEA">
        <w:rPr>
          <w:rFonts w:hint="cs"/>
          <w:rtl/>
        </w:rPr>
        <w:t xml:space="preserve">ועדה העוסקת </w:t>
      </w:r>
      <w:r w:rsidRPr="00CC4EEA">
        <w:rPr>
          <w:rtl/>
        </w:rPr>
        <w:t>בעניינים הנוגעים לת</w:t>
      </w:r>
      <w:r w:rsidRPr="00CC4EEA">
        <w:rPr>
          <w:rtl/>
        </w:rPr>
        <w:t>פקידי הנציבות</w:t>
      </w:r>
      <w:r>
        <w:rPr>
          <w:rFonts w:hint="cs"/>
          <w:rtl/>
        </w:rPr>
        <w:t xml:space="preserve"> ואת </w:t>
      </w:r>
      <w:r w:rsidRPr="00CC4EEA">
        <w:rPr>
          <w:rFonts w:hint="cs"/>
          <w:rtl/>
        </w:rPr>
        <w:t>חברי</w:t>
      </w:r>
      <w:r>
        <w:rPr>
          <w:rFonts w:hint="cs"/>
          <w:rtl/>
        </w:rPr>
        <w:t>ה</w:t>
      </w:r>
      <w:r w:rsidRPr="00CC4EEA">
        <w:rPr>
          <w:rFonts w:hint="cs"/>
          <w:rtl/>
        </w:rPr>
        <w:t xml:space="preserve"> </w:t>
      </w:r>
      <w:r>
        <w:rPr>
          <w:rFonts w:hint="cs"/>
          <w:rtl/>
        </w:rPr>
        <w:t>ממנים</w:t>
      </w:r>
      <w:r w:rsidRPr="00CC4EEA">
        <w:rPr>
          <w:rFonts w:hint="cs"/>
          <w:rtl/>
        </w:rPr>
        <w:t xml:space="preserve"> </w:t>
      </w:r>
      <w:r w:rsidRPr="00CC4EEA">
        <w:rPr>
          <w:rtl/>
        </w:rPr>
        <w:t>שרי המשפטים והרווחה</w:t>
      </w:r>
      <w:r w:rsidRPr="00CC4EEA">
        <w:rPr>
          <w:rFonts w:hint="cs"/>
          <w:rtl/>
        </w:rPr>
        <w:t xml:space="preserve">. חברי הוועדה הם </w:t>
      </w:r>
      <w:r w:rsidRPr="00CC4EEA">
        <w:rPr>
          <w:rtl/>
        </w:rPr>
        <w:t>מומחים בתחומי פעולתה של הנציבות, משפטנים ונציגי ציבור</w:t>
      </w:r>
      <w:r w:rsidRPr="00CC4EEA">
        <w:rPr>
          <w:rFonts w:hint="cs"/>
          <w:rtl/>
        </w:rPr>
        <w:t>,</w:t>
      </w:r>
      <w:r w:rsidRPr="00CC4EEA">
        <w:rPr>
          <w:rtl/>
        </w:rPr>
        <w:t xml:space="preserve"> ביניהם אנשים עם מוגבלויות שונות </w:t>
      </w:r>
      <w:r w:rsidRPr="00CC4EEA">
        <w:rPr>
          <w:rFonts w:hint="cs"/>
          <w:rtl/>
        </w:rPr>
        <w:t>ו</w:t>
      </w:r>
      <w:r w:rsidRPr="00CC4EEA">
        <w:rPr>
          <w:rtl/>
        </w:rPr>
        <w:t xml:space="preserve">נציגי ארגונים העוסקים בקידום זכויותיהם. </w:t>
      </w:r>
    </w:p>
    <w:p w:rsidR="00BF1E3B" w:rsidRPr="00EE2ABF" w:rsidRDefault="00DF6A0A" w:rsidP="00C619CC">
      <w:pPr>
        <w:pStyle w:val="7392"/>
        <w:rPr>
          <w:rtl/>
        </w:rPr>
      </w:pPr>
      <w:r w:rsidRPr="000046D4">
        <w:rPr>
          <w:rFonts w:hint="cs"/>
          <w:rtl/>
        </w:rPr>
        <w:t>הנציבות</w:t>
      </w:r>
      <w:r>
        <w:rPr>
          <w:rFonts w:hint="cs"/>
          <w:rtl/>
        </w:rPr>
        <w:t xml:space="preserve"> לשוויון </w:t>
      </w:r>
      <w:r w:rsidRPr="000046D4">
        <w:rPr>
          <w:rFonts w:hint="cs"/>
          <w:rtl/>
        </w:rPr>
        <w:t xml:space="preserve">פועלת במגוון </w:t>
      </w:r>
      <w:r>
        <w:rPr>
          <w:rFonts w:hint="cs"/>
          <w:rtl/>
        </w:rPr>
        <w:t xml:space="preserve">תחומים, </w:t>
      </w:r>
      <w:r w:rsidRPr="000046D4">
        <w:rPr>
          <w:rFonts w:hint="cs"/>
          <w:rtl/>
        </w:rPr>
        <w:t xml:space="preserve">ובכללם </w:t>
      </w:r>
      <w:r>
        <w:rPr>
          <w:rFonts w:hint="cs"/>
          <w:rtl/>
        </w:rPr>
        <w:t>קידום</w:t>
      </w:r>
      <w:r w:rsidRPr="000046D4">
        <w:rPr>
          <w:rFonts w:hint="cs"/>
          <w:rtl/>
        </w:rPr>
        <w:t xml:space="preserve"> חקיקה</w:t>
      </w:r>
      <w:r>
        <w:rPr>
          <w:rFonts w:hint="cs"/>
          <w:rtl/>
        </w:rPr>
        <w:t>,</w:t>
      </w:r>
      <w:r w:rsidRPr="000046D4">
        <w:rPr>
          <w:rFonts w:hint="cs"/>
          <w:rtl/>
        </w:rPr>
        <w:t xml:space="preserve"> פעיל</w:t>
      </w:r>
      <w:r>
        <w:rPr>
          <w:rFonts w:hint="cs"/>
          <w:rtl/>
        </w:rPr>
        <w:t>ות</w:t>
      </w:r>
      <w:r w:rsidRPr="000046D4">
        <w:rPr>
          <w:rFonts w:hint="cs"/>
          <w:rtl/>
        </w:rPr>
        <w:t xml:space="preserve"> בוועדות ציבוריות וממשלתיות,</w:t>
      </w:r>
      <w:r w:rsidRPr="0030285A">
        <w:rPr>
          <w:rFonts w:hint="cs"/>
          <w:rtl/>
        </w:rPr>
        <w:t xml:space="preserve"> </w:t>
      </w:r>
      <w:r>
        <w:rPr>
          <w:rFonts w:hint="cs"/>
          <w:rtl/>
        </w:rPr>
        <w:t>הגשת תביעות אזרחיות ופליליות, קידום תעסוקת אנשים עם מוגבלות, שילוב בקהילה, ביצוע הסברה ועוד. פעולות הייעוץ, ההסברה, הפיקוח והאכיפה של הנציבות נוגעות ליישום דרישות הדין על ידי גופים ציבוריים ופרטיים בהתאם לכללים החלים עליהם</w:t>
      </w:r>
      <w:r>
        <w:rPr>
          <w:rStyle w:val="a8"/>
          <w:rFonts w:ascii="David" w:eastAsia="Calibri" w:hAnsi="David"/>
          <w:rtl/>
        </w:rPr>
        <w:footnoteReference w:id="93"/>
      </w:r>
      <w:r>
        <w:rPr>
          <w:rFonts w:hint="cs"/>
          <w:rtl/>
        </w:rPr>
        <w:t xml:space="preserve">. </w:t>
      </w:r>
      <w:r>
        <w:rPr>
          <w:rFonts w:hint="cs"/>
          <w:rtl/>
        </w:rPr>
        <w:t>על פי החוק</w:t>
      </w:r>
      <w:r>
        <w:rPr>
          <w:rStyle w:val="a8"/>
          <w:rtl/>
        </w:rPr>
        <w:footnoteReference w:id="94"/>
      </w:r>
      <w:r>
        <w:rPr>
          <w:rFonts w:hint="cs"/>
          <w:rtl/>
        </w:rPr>
        <w:t xml:space="preserve"> </w:t>
      </w:r>
      <w:r>
        <w:rPr>
          <w:rtl/>
        </w:rPr>
        <w:t xml:space="preserve">הנציב רשאי להורות בצו למי שחייב בביצוע התאמות נגישות לנקוט פעולות לשם ביצוע </w:t>
      </w:r>
      <w:r>
        <w:rPr>
          <w:rFonts w:hint="cs"/>
          <w:rtl/>
        </w:rPr>
        <w:t>ה</w:t>
      </w:r>
      <w:r>
        <w:rPr>
          <w:rtl/>
        </w:rPr>
        <w:t>התאמות</w:t>
      </w:r>
      <w:r>
        <w:rPr>
          <w:rFonts w:hint="cs"/>
          <w:rtl/>
        </w:rPr>
        <w:t xml:space="preserve"> תוך פרק הזמן שהוגדר בצו.</w:t>
      </w:r>
      <w:r>
        <w:rPr>
          <w:rtl/>
        </w:rPr>
        <w:t xml:space="preserve"> </w:t>
      </w:r>
      <w:r w:rsidRPr="00EB2F4C">
        <w:rPr>
          <w:rtl/>
        </w:rPr>
        <w:t xml:space="preserve">הפרת צו נגישות </w:t>
      </w:r>
      <w:r>
        <w:rPr>
          <w:rFonts w:hint="cs"/>
          <w:rtl/>
        </w:rPr>
        <w:t>היא</w:t>
      </w:r>
      <w:r w:rsidRPr="00EB2F4C">
        <w:rPr>
          <w:rtl/>
        </w:rPr>
        <w:t xml:space="preserve"> עבירה פלילית</w:t>
      </w:r>
      <w:r>
        <w:rPr>
          <w:rFonts w:hint="cs"/>
          <w:rtl/>
        </w:rPr>
        <w:t xml:space="preserve">. </w:t>
      </w:r>
    </w:p>
    <w:p w:rsidR="00BF1E3B" w:rsidRPr="00CC4EEA" w:rsidRDefault="00DF6A0A" w:rsidP="00C619CC">
      <w:pPr>
        <w:pStyle w:val="7392"/>
        <w:rPr>
          <w:b/>
          <w:sz w:val="22"/>
          <w:rtl/>
        </w:rPr>
      </w:pPr>
      <w:r w:rsidRPr="00CC4EEA">
        <w:rPr>
          <w:rFonts w:hint="cs"/>
          <w:rtl/>
        </w:rPr>
        <w:t xml:space="preserve">הנציבות </w:t>
      </w:r>
      <w:r>
        <w:rPr>
          <w:rFonts w:hint="cs"/>
          <w:rtl/>
        </w:rPr>
        <w:t xml:space="preserve">מקיימת </w:t>
      </w:r>
      <w:r w:rsidRPr="00CC4EEA">
        <w:rPr>
          <w:rFonts w:hint="cs"/>
          <w:rtl/>
        </w:rPr>
        <w:t>קשרי גומלין עם גורמים שונים</w:t>
      </w:r>
      <w:r>
        <w:rPr>
          <w:rFonts w:hint="cs"/>
          <w:rtl/>
        </w:rPr>
        <w:t>, ביניהם</w:t>
      </w:r>
      <w:r w:rsidRPr="00CC4EEA">
        <w:rPr>
          <w:rFonts w:hint="cs"/>
          <w:rtl/>
        </w:rPr>
        <w:t xml:space="preserve"> מערך הדיגיטל הלאומי</w:t>
      </w:r>
      <w:r>
        <w:rPr>
          <w:rFonts w:hint="cs"/>
          <w:rtl/>
        </w:rPr>
        <w:t xml:space="preserve">, </w:t>
      </w:r>
      <w:r w:rsidRPr="00CC4EEA">
        <w:rPr>
          <w:rFonts w:hint="cs"/>
          <w:rtl/>
        </w:rPr>
        <w:t>הפרקליטות ויחידות החקיקה במשר</w:t>
      </w:r>
      <w:r w:rsidRPr="00CC4EEA">
        <w:rPr>
          <w:rFonts w:hint="cs"/>
          <w:rtl/>
        </w:rPr>
        <w:t>ד המשפטים</w:t>
      </w:r>
      <w:r>
        <w:rPr>
          <w:rFonts w:hint="cs"/>
          <w:rtl/>
        </w:rPr>
        <w:t>,</w:t>
      </w:r>
      <w:r w:rsidRPr="00CC4EEA">
        <w:rPr>
          <w:rFonts w:hint="cs"/>
          <w:rtl/>
        </w:rPr>
        <w:t xml:space="preserve"> משרדי ממשלה</w:t>
      </w:r>
      <w:r>
        <w:rPr>
          <w:rFonts w:hint="cs"/>
          <w:rtl/>
        </w:rPr>
        <w:t xml:space="preserve">, גופים ציבוריים, גופים עסקיים וגופים מן המגזר השלישי. </w:t>
      </w:r>
      <w:r w:rsidRPr="00CC4EEA">
        <w:rPr>
          <w:rtl/>
        </w:rPr>
        <w:t>בשנים 2019 -</w:t>
      </w:r>
      <w:r>
        <w:rPr>
          <w:rFonts w:hint="cs"/>
          <w:rtl/>
        </w:rPr>
        <w:t xml:space="preserve"> </w:t>
      </w:r>
      <w:r w:rsidRPr="00CC4EEA">
        <w:rPr>
          <w:rtl/>
        </w:rPr>
        <w:t>202</w:t>
      </w:r>
      <w:r w:rsidRPr="00CC4EEA">
        <w:rPr>
          <w:rFonts w:hint="cs"/>
          <w:rtl/>
        </w:rPr>
        <w:t>1 השתתפה הנציבות ב</w:t>
      </w:r>
      <w:r>
        <w:rPr>
          <w:rFonts w:hint="cs"/>
          <w:rtl/>
        </w:rPr>
        <w:t xml:space="preserve">פעולות </w:t>
      </w:r>
      <w:r w:rsidRPr="00CC4EEA">
        <w:rPr>
          <w:rFonts w:hint="cs"/>
          <w:rtl/>
        </w:rPr>
        <w:t>הדרכ</w:t>
      </w:r>
      <w:r>
        <w:rPr>
          <w:rFonts w:hint="cs"/>
          <w:rtl/>
        </w:rPr>
        <w:t>ה</w:t>
      </w:r>
      <w:r w:rsidRPr="00CC4EEA">
        <w:rPr>
          <w:rFonts w:hint="cs"/>
          <w:rtl/>
        </w:rPr>
        <w:t xml:space="preserve"> והסבר</w:t>
      </w:r>
      <w:r>
        <w:rPr>
          <w:rFonts w:hint="cs"/>
          <w:rtl/>
        </w:rPr>
        <w:t>ה</w:t>
      </w:r>
      <w:r w:rsidRPr="00CC4EEA">
        <w:rPr>
          <w:rFonts w:hint="cs"/>
          <w:rtl/>
        </w:rPr>
        <w:t xml:space="preserve"> למשרדי ממשלה </w:t>
      </w:r>
      <w:r w:rsidRPr="00CC4EEA">
        <w:rPr>
          <w:rtl/>
        </w:rPr>
        <w:t>ב</w:t>
      </w:r>
      <w:r>
        <w:rPr>
          <w:rFonts w:hint="cs"/>
          <w:rtl/>
        </w:rPr>
        <w:t>תחום ה</w:t>
      </w:r>
      <w:r w:rsidRPr="00CC4EEA">
        <w:rPr>
          <w:rtl/>
        </w:rPr>
        <w:t>נגישות במרשתת</w:t>
      </w:r>
      <w:r>
        <w:rPr>
          <w:rStyle w:val="a8"/>
          <w:rFonts w:ascii="David" w:eastAsia="Calibri" w:hAnsi="David"/>
          <w:sz w:val="24"/>
          <w:rtl/>
        </w:rPr>
        <w:footnoteReference w:id="95"/>
      </w:r>
      <w:r w:rsidRPr="00CC4EEA">
        <w:rPr>
          <w:rFonts w:hint="cs"/>
          <w:rtl/>
        </w:rPr>
        <w:t xml:space="preserve">. </w:t>
      </w:r>
    </w:p>
    <w:p w:rsidR="00BF1E3B" w:rsidRPr="00715440" w:rsidRDefault="00DF6A0A" w:rsidP="00C619CC">
      <w:pPr>
        <w:pStyle w:val="7392"/>
        <w:rPr>
          <w:rtl/>
        </w:rPr>
      </w:pPr>
      <w:r w:rsidRPr="00E61279">
        <w:rPr>
          <w:rtl/>
        </w:rPr>
        <w:t>בשנת 2020 ט</w:t>
      </w:r>
      <w:r>
        <w:rPr>
          <w:rFonts w:hint="cs"/>
          <w:rtl/>
        </w:rPr>
        <w:t>יפלה הנציבות בכ-6,000</w:t>
      </w:r>
      <w:r w:rsidRPr="00E61279">
        <w:rPr>
          <w:rtl/>
        </w:rPr>
        <w:t xml:space="preserve"> </w:t>
      </w:r>
      <w:r>
        <w:rPr>
          <w:rFonts w:hint="cs"/>
          <w:rtl/>
        </w:rPr>
        <w:t xml:space="preserve">פניות ציבור, כמחציתן עסקו בנגישות בהיבטים שונים: נגישות מבנים, נגישות בתחבורה וכן נגישות של שירות דיגיטלי. במסגרת אכיפת חובת הנגישות על גופים שונים במשק ביצעה הנציבות באותה שנה </w:t>
      </w:r>
      <w:r w:rsidRPr="00E61279">
        <w:rPr>
          <w:rtl/>
        </w:rPr>
        <w:t xml:space="preserve">965 </w:t>
      </w:r>
      <w:r>
        <w:rPr>
          <w:rFonts w:hint="cs"/>
          <w:rtl/>
        </w:rPr>
        <w:t xml:space="preserve">פעולות </w:t>
      </w:r>
      <w:r w:rsidRPr="00E61279">
        <w:rPr>
          <w:rtl/>
        </w:rPr>
        <w:t>פיקוח</w:t>
      </w:r>
      <w:r>
        <w:rPr>
          <w:rFonts w:hint="cs"/>
          <w:rtl/>
        </w:rPr>
        <w:t xml:space="preserve"> </w:t>
      </w:r>
      <w:r w:rsidRPr="00E61279">
        <w:rPr>
          <w:rtl/>
        </w:rPr>
        <w:t>חדש</w:t>
      </w:r>
      <w:r>
        <w:rPr>
          <w:rFonts w:hint="cs"/>
          <w:rtl/>
        </w:rPr>
        <w:t>ות</w:t>
      </w:r>
      <w:r w:rsidRPr="00E61279">
        <w:rPr>
          <w:rtl/>
        </w:rPr>
        <w:t xml:space="preserve"> ו</w:t>
      </w:r>
      <w:r>
        <w:rPr>
          <w:rFonts w:hint="cs"/>
          <w:rtl/>
        </w:rPr>
        <w:t>-</w:t>
      </w:r>
      <w:r w:rsidRPr="00E61279">
        <w:rPr>
          <w:rtl/>
        </w:rPr>
        <w:t xml:space="preserve">205 </w:t>
      </w:r>
      <w:r>
        <w:rPr>
          <w:rFonts w:hint="cs"/>
          <w:rtl/>
        </w:rPr>
        <w:t>פעולות פיקוח חוזר,</w:t>
      </w:r>
      <w:r w:rsidRPr="00E61279">
        <w:rPr>
          <w:rtl/>
        </w:rPr>
        <w:t xml:space="preserve"> מתוכ</w:t>
      </w:r>
      <w:r>
        <w:rPr>
          <w:rFonts w:hint="cs"/>
          <w:rtl/>
        </w:rPr>
        <w:t>ן</w:t>
      </w:r>
      <w:r w:rsidRPr="00E61279">
        <w:rPr>
          <w:rtl/>
        </w:rPr>
        <w:t xml:space="preserve"> 310 פיקוחי נגישות באתרי</w:t>
      </w:r>
      <w:r>
        <w:rPr>
          <w:rFonts w:hint="cs"/>
          <w:rtl/>
        </w:rPr>
        <w:t xml:space="preserve"> </w:t>
      </w:r>
      <w:r w:rsidRPr="00E61279">
        <w:rPr>
          <w:rtl/>
        </w:rPr>
        <w:t>א</w:t>
      </w:r>
      <w:r w:rsidRPr="00E61279">
        <w:rPr>
          <w:rtl/>
        </w:rPr>
        <w:t>ינטרנט ובאפליקציות</w:t>
      </w:r>
      <w:r>
        <w:rPr>
          <w:rFonts w:hint="cs"/>
          <w:rtl/>
        </w:rPr>
        <w:t xml:space="preserve"> של גופים המספקים שירותים לציבור</w:t>
      </w:r>
      <w:r w:rsidRPr="00E61279">
        <w:rPr>
          <w:rtl/>
        </w:rPr>
        <w:t>. ב</w:t>
      </w:r>
      <w:r>
        <w:rPr>
          <w:rFonts w:hint="cs"/>
          <w:rtl/>
        </w:rPr>
        <w:t xml:space="preserve">עקבות ממצאי הפיקוח הוציאה הנציבות </w:t>
      </w:r>
      <w:r w:rsidRPr="00E61279">
        <w:rPr>
          <w:rtl/>
        </w:rPr>
        <w:t>276 צווי נגישות. נוסף</w:t>
      </w:r>
      <w:r>
        <w:rPr>
          <w:rFonts w:hint="cs"/>
          <w:rtl/>
        </w:rPr>
        <w:t xml:space="preserve"> על כך היא ביצעה </w:t>
      </w:r>
      <w:r w:rsidRPr="00E61279">
        <w:rPr>
          <w:rtl/>
        </w:rPr>
        <w:t xml:space="preserve">מספר פעולות הדרכה </w:t>
      </w:r>
      <w:r>
        <w:rPr>
          <w:rFonts w:hint="cs"/>
          <w:rtl/>
        </w:rPr>
        <w:t>כדי</w:t>
      </w:r>
      <w:r w:rsidRPr="00E61279">
        <w:rPr>
          <w:rtl/>
        </w:rPr>
        <w:t xml:space="preserve"> להעביר ידע רלוונטי לציבור</w:t>
      </w:r>
      <w:r>
        <w:rPr>
          <w:rFonts w:hint="cs"/>
          <w:rtl/>
        </w:rPr>
        <w:t xml:space="preserve"> </w:t>
      </w:r>
      <w:r w:rsidRPr="00E61279">
        <w:rPr>
          <w:rtl/>
        </w:rPr>
        <w:t xml:space="preserve">מורשי הנגישות, </w:t>
      </w:r>
      <w:r>
        <w:rPr>
          <w:rFonts w:hint="cs"/>
          <w:rtl/>
        </w:rPr>
        <w:t>ל</w:t>
      </w:r>
      <w:r w:rsidRPr="00E61279">
        <w:rPr>
          <w:rtl/>
        </w:rPr>
        <w:t>רכזי נגישות וכן לציבור הרחב ו</w:t>
      </w:r>
      <w:r>
        <w:rPr>
          <w:rFonts w:hint="cs"/>
          <w:rtl/>
        </w:rPr>
        <w:t>ל</w:t>
      </w:r>
      <w:r w:rsidRPr="00E61279">
        <w:rPr>
          <w:rtl/>
        </w:rPr>
        <w:t>אנשים עם מוגבלות</w:t>
      </w:r>
      <w:r>
        <w:rPr>
          <w:rStyle w:val="a8"/>
          <w:rFonts w:ascii="David" w:eastAsia="Calibri" w:hAnsi="David"/>
          <w:rtl/>
        </w:rPr>
        <w:footnoteReference w:id="96"/>
      </w:r>
      <w:r w:rsidRPr="00E61279">
        <w:rPr>
          <w:rtl/>
        </w:rPr>
        <w:t>.</w:t>
      </w:r>
    </w:p>
    <w:p w:rsidR="00BF1E3B" w:rsidRPr="00CC4EEA" w:rsidRDefault="00DF6A0A" w:rsidP="00C619CC">
      <w:pPr>
        <w:pStyle w:val="7392"/>
        <w:rPr>
          <w:rtl/>
        </w:rPr>
      </w:pPr>
      <w:r w:rsidRPr="00CC4EEA">
        <w:rPr>
          <w:rtl/>
        </w:rPr>
        <w:lastRenderedPageBreak/>
        <w:t xml:space="preserve">להלן </w:t>
      </w:r>
      <w:r>
        <w:rPr>
          <w:rFonts w:hint="cs"/>
          <w:rtl/>
        </w:rPr>
        <w:t>ב</w:t>
      </w:r>
      <w:r w:rsidRPr="00CC4EEA">
        <w:rPr>
          <w:rtl/>
        </w:rPr>
        <w:t xml:space="preserve">תרשים </w:t>
      </w:r>
      <w:r>
        <w:rPr>
          <w:rFonts w:hint="cs"/>
          <w:rtl/>
        </w:rPr>
        <w:t>20</w:t>
      </w:r>
      <w:r w:rsidRPr="00CC4EEA">
        <w:rPr>
          <w:rtl/>
        </w:rPr>
        <w:t xml:space="preserve"> נתו</w:t>
      </w:r>
      <w:r w:rsidRPr="00CC4EEA">
        <w:rPr>
          <w:rtl/>
        </w:rPr>
        <w:t xml:space="preserve">נים </w:t>
      </w:r>
      <w:r>
        <w:rPr>
          <w:rFonts w:hint="cs"/>
          <w:rtl/>
        </w:rPr>
        <w:t xml:space="preserve">שפרסמה הנציבות </w:t>
      </w:r>
      <w:r w:rsidRPr="00CC4EEA">
        <w:rPr>
          <w:rtl/>
        </w:rPr>
        <w:t xml:space="preserve">על התפלגות הפניות </w:t>
      </w:r>
      <w:r w:rsidRPr="00CC4EEA">
        <w:rPr>
          <w:rFonts w:hint="cs"/>
          <w:rtl/>
        </w:rPr>
        <w:t xml:space="preserve">שהגיעו </w:t>
      </w:r>
      <w:r w:rsidRPr="00CC4EEA">
        <w:rPr>
          <w:rtl/>
        </w:rPr>
        <w:t>אליה, על פי תחומים</w:t>
      </w:r>
      <w:r>
        <w:rPr>
          <w:vertAlign w:val="superscript"/>
          <w:rtl/>
        </w:rPr>
        <w:footnoteReference w:id="97"/>
      </w:r>
      <w:r>
        <w:rPr>
          <w:rFonts w:hint="cs"/>
          <w:rtl/>
        </w:rPr>
        <w:t>.</w:t>
      </w:r>
    </w:p>
    <w:p w:rsidR="00BF1E3B" w:rsidRPr="00806DA6" w:rsidRDefault="00DF6A0A" w:rsidP="00806DA6">
      <w:pPr>
        <w:pStyle w:val="738"/>
        <w:rPr>
          <w:rtl/>
        </w:rPr>
      </w:pPr>
      <w:r w:rsidRPr="00806DA6">
        <w:rPr>
          <w:b w:val="0"/>
          <w:bCs w:val="0"/>
          <w:noProof/>
        </w:rPr>
        <w:drawing>
          <wp:anchor distT="0" distB="0" distL="114300" distR="114300" simplePos="0" relativeHeight="251736064" behindDoc="0" locked="0" layoutInCell="1" allowOverlap="1">
            <wp:simplePos x="0" y="0"/>
            <wp:positionH relativeFrom="margin">
              <wp:posOffset>-53340</wp:posOffset>
            </wp:positionH>
            <wp:positionV relativeFrom="paragraph">
              <wp:posOffset>331470</wp:posOffset>
            </wp:positionV>
            <wp:extent cx="4732655" cy="3390900"/>
            <wp:effectExtent l="0" t="0" r="4445" b="0"/>
            <wp:wrapThrough wrapText="bothSides">
              <wp:wrapPolygon edited="0">
                <wp:start x="0" y="0"/>
                <wp:lineTo x="0" y="21519"/>
                <wp:lineTo x="21562" y="21519"/>
                <wp:lineTo x="21562" y="0"/>
                <wp:lineTo x="0" y="0"/>
              </wp:wrapPolygon>
            </wp:wrapThrough>
            <wp:docPr id="86" name="תמונה 86" descr="בתרשים מוצגים מספרי הפניות לנציבות שוויון זכויות לאנשים עם מוגבלות, על פי תחומי נגישות שונים; למשל, פניות בנושא נגישות בחינוך, בתחבורה ציבורית ובנושא נגישות למבנה ציבורי. בין התחומים נכלל תחום הנגישות הדיגיטלית ובקטע המלל שלאחר התרשים מוצג הממצא הנוגע אלי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תמונה 86"/>
                    <pic:cNvPicPr/>
                  </pic:nvPicPr>
                  <pic:blipFill>
                    <a:blip r:embed="rId73">
                      <a:extLst>
                        <a:ext uri="{28A0092B-C50C-407E-A947-70E740481C1C}">
                          <a14:useLocalDpi xmlns:a14="http://schemas.microsoft.com/office/drawing/2010/main" val="0"/>
                        </a:ext>
                      </a:extLst>
                    </a:blip>
                    <a:stretch>
                      <a:fillRect/>
                    </a:stretch>
                  </pic:blipFill>
                  <pic:spPr bwMode="auto">
                    <a:xfrm>
                      <a:off x="0" y="0"/>
                      <a:ext cx="4732655" cy="33909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6DA6">
        <w:rPr>
          <w:rFonts w:hint="eastAsia"/>
          <w:b w:val="0"/>
          <w:bCs w:val="0"/>
          <w:rtl/>
        </w:rPr>
        <w:t>תרשים</w:t>
      </w:r>
      <w:r w:rsidRPr="00806DA6">
        <w:rPr>
          <w:b w:val="0"/>
          <w:bCs w:val="0"/>
          <w:rtl/>
        </w:rPr>
        <w:t xml:space="preserve"> </w:t>
      </w:r>
      <w:r w:rsidRPr="00806DA6">
        <w:rPr>
          <w:rFonts w:hint="cs"/>
          <w:b w:val="0"/>
          <w:bCs w:val="0"/>
          <w:rtl/>
        </w:rPr>
        <w:t>20</w:t>
      </w:r>
      <w:r w:rsidRPr="00806DA6">
        <w:rPr>
          <w:b w:val="0"/>
          <w:bCs w:val="0"/>
          <w:rtl/>
        </w:rPr>
        <w:t>:</w:t>
      </w:r>
      <w:r w:rsidRPr="00806DA6">
        <w:rPr>
          <w:rFonts w:hint="cs"/>
          <w:rtl/>
        </w:rPr>
        <w:t xml:space="preserve"> פניות הציבור בנושאי נגישות, לפי תחום הפנייה, 2020</w:t>
      </w:r>
    </w:p>
    <w:p w:rsidR="00BF1E3B" w:rsidRPr="00806DA6" w:rsidRDefault="00DF6A0A" w:rsidP="00806DA6">
      <w:pPr>
        <w:pStyle w:val="73e"/>
        <w:rPr>
          <w:rtl/>
        </w:rPr>
      </w:pPr>
      <w:r w:rsidRPr="00806DA6">
        <w:rPr>
          <w:rFonts w:hint="cs"/>
          <w:rtl/>
        </w:rPr>
        <w:t>המקור</w:t>
      </w:r>
      <w:r w:rsidRPr="00806DA6">
        <w:t>:</w:t>
      </w:r>
      <w:r w:rsidRPr="00806DA6">
        <w:rPr>
          <w:rFonts w:hint="cs"/>
          <w:rtl/>
        </w:rPr>
        <w:t xml:space="preserve"> משרד המשפטים, </w:t>
      </w:r>
      <w:r w:rsidR="00545989">
        <w:rPr>
          <w:rFonts w:hint="cs"/>
          <w:rtl/>
        </w:rPr>
        <w:t>ה</w:t>
      </w:r>
      <w:r w:rsidRPr="00806DA6">
        <w:rPr>
          <w:rFonts w:hint="cs"/>
          <w:rtl/>
        </w:rPr>
        <w:t>נציבות לשוויון, שם.</w:t>
      </w:r>
    </w:p>
    <w:p w:rsidR="00BF1E3B" w:rsidRPr="00806DA6" w:rsidRDefault="00DF6A0A" w:rsidP="00806DA6">
      <w:pPr>
        <w:pStyle w:val="735"/>
        <w:rPr>
          <w:rFonts w:eastAsia="Calibri"/>
          <w:rtl/>
        </w:rPr>
      </w:pPr>
      <w:r w:rsidRPr="00806DA6">
        <w:rPr>
          <w:rFonts w:eastAsia="Calibri"/>
          <w:rtl/>
        </w:rPr>
        <w:t>מן התרשים עולה כי נושא הנגישות הדיגיטלית</w:t>
      </w:r>
      <w:r>
        <w:rPr>
          <w:rStyle w:val="a8"/>
          <w:rFonts w:eastAsia="Calibri"/>
          <w:rtl/>
        </w:rPr>
        <w:footnoteReference w:id="98"/>
      </w:r>
      <w:r w:rsidRPr="00806DA6">
        <w:rPr>
          <w:rFonts w:eastAsia="Calibri"/>
          <w:rtl/>
        </w:rPr>
        <w:t xml:space="preserve"> </w:t>
      </w:r>
      <w:r w:rsidRPr="00806DA6">
        <w:rPr>
          <w:rFonts w:eastAsia="Calibri" w:hint="eastAsia"/>
          <w:rtl/>
        </w:rPr>
        <w:t>היה</w:t>
      </w:r>
      <w:r w:rsidRPr="00806DA6">
        <w:rPr>
          <w:rFonts w:eastAsia="Calibri"/>
          <w:rtl/>
        </w:rPr>
        <w:t xml:space="preserve"> </w:t>
      </w:r>
      <w:r w:rsidRPr="00806DA6">
        <w:rPr>
          <w:rFonts w:eastAsia="Calibri" w:hint="eastAsia"/>
          <w:rtl/>
        </w:rPr>
        <w:t>אחד</w:t>
      </w:r>
      <w:r w:rsidRPr="00806DA6">
        <w:rPr>
          <w:rFonts w:eastAsia="Calibri"/>
          <w:rtl/>
        </w:rPr>
        <w:t xml:space="preserve"> </w:t>
      </w:r>
      <w:r w:rsidRPr="00806DA6">
        <w:rPr>
          <w:rFonts w:eastAsia="Calibri" w:hint="eastAsia"/>
          <w:rtl/>
        </w:rPr>
        <w:t>מ</w:t>
      </w:r>
      <w:r w:rsidRPr="00806DA6">
        <w:rPr>
          <w:rFonts w:eastAsia="Calibri"/>
          <w:rtl/>
        </w:rPr>
        <w:t xml:space="preserve">שבעת </w:t>
      </w:r>
      <w:r w:rsidRPr="00806DA6">
        <w:rPr>
          <w:rFonts w:eastAsia="Calibri" w:hint="eastAsia"/>
          <w:rtl/>
        </w:rPr>
        <w:t>התחומים</w:t>
      </w:r>
      <w:r w:rsidRPr="00806DA6">
        <w:rPr>
          <w:rFonts w:eastAsia="Calibri"/>
          <w:rtl/>
        </w:rPr>
        <w:t xml:space="preserve"> שמספרי הפניות </w:t>
      </w:r>
      <w:r w:rsidRPr="00806DA6">
        <w:rPr>
          <w:rFonts w:eastAsia="Calibri" w:hint="eastAsia"/>
          <w:rtl/>
        </w:rPr>
        <w:t>לגביהם</w:t>
      </w:r>
      <w:r w:rsidRPr="00806DA6">
        <w:rPr>
          <w:rFonts w:eastAsia="Calibri"/>
          <w:rtl/>
        </w:rPr>
        <w:t xml:space="preserve"> היו הגבוהים ביותר מבין 19 התחומים הנוגעים לנגישות </w:t>
      </w:r>
      <w:r w:rsidRPr="00806DA6">
        <w:rPr>
          <w:rFonts w:eastAsia="Calibri" w:hint="eastAsia"/>
          <w:rtl/>
        </w:rPr>
        <w:t>שלגביהם</w:t>
      </w:r>
      <w:r w:rsidRPr="00806DA6">
        <w:rPr>
          <w:rFonts w:eastAsia="Calibri"/>
          <w:rtl/>
        </w:rPr>
        <w:t xml:space="preserve"> פנה הציבור לנציבות לשוויון בשנת 2020 (231 </w:t>
      </w:r>
      <w:r w:rsidRPr="00806DA6">
        <w:rPr>
          <w:rFonts w:eastAsia="Calibri" w:hint="eastAsia"/>
          <w:rtl/>
        </w:rPr>
        <w:t>פניות</w:t>
      </w:r>
      <w:r w:rsidRPr="00806DA6">
        <w:rPr>
          <w:rFonts w:eastAsia="Calibri"/>
          <w:rtl/>
        </w:rPr>
        <w:t xml:space="preserve"> </w:t>
      </w:r>
      <w:r w:rsidRPr="00806DA6">
        <w:rPr>
          <w:rFonts w:eastAsia="Calibri" w:hint="eastAsia"/>
          <w:rtl/>
        </w:rPr>
        <w:t>בנושא</w:t>
      </w:r>
      <w:r w:rsidRPr="00806DA6">
        <w:rPr>
          <w:rFonts w:eastAsia="Calibri"/>
          <w:rtl/>
        </w:rPr>
        <w:t xml:space="preserve"> </w:t>
      </w:r>
      <w:r w:rsidRPr="00806DA6">
        <w:rPr>
          <w:rFonts w:eastAsia="Calibri" w:hint="eastAsia"/>
          <w:rtl/>
        </w:rPr>
        <w:t>נגישות</w:t>
      </w:r>
      <w:r w:rsidRPr="00806DA6">
        <w:rPr>
          <w:rFonts w:eastAsia="Calibri"/>
          <w:rtl/>
        </w:rPr>
        <w:t xml:space="preserve"> </w:t>
      </w:r>
      <w:r w:rsidRPr="00806DA6">
        <w:rPr>
          <w:rFonts w:eastAsia="Calibri" w:hint="eastAsia"/>
          <w:rtl/>
        </w:rPr>
        <w:t>דיגיטלית</w:t>
      </w:r>
      <w:r w:rsidRPr="00806DA6">
        <w:rPr>
          <w:rFonts w:eastAsia="Calibri"/>
          <w:rtl/>
        </w:rPr>
        <w:t xml:space="preserve">). </w:t>
      </w:r>
      <w:r w:rsidRPr="00806DA6">
        <w:rPr>
          <w:rFonts w:eastAsia="Calibri" w:hint="eastAsia"/>
          <w:rtl/>
        </w:rPr>
        <w:t>נתון</w:t>
      </w:r>
      <w:r w:rsidRPr="00806DA6">
        <w:rPr>
          <w:rFonts w:eastAsia="Calibri"/>
          <w:rtl/>
        </w:rPr>
        <w:t xml:space="preserve"> </w:t>
      </w:r>
      <w:r w:rsidRPr="00806DA6">
        <w:rPr>
          <w:rFonts w:eastAsia="Calibri" w:hint="eastAsia"/>
          <w:rtl/>
        </w:rPr>
        <w:t>זה</w:t>
      </w:r>
      <w:r w:rsidRPr="00806DA6">
        <w:rPr>
          <w:rFonts w:eastAsia="Calibri"/>
          <w:rtl/>
        </w:rPr>
        <w:t xml:space="preserve"> </w:t>
      </w:r>
      <w:r w:rsidRPr="00806DA6">
        <w:rPr>
          <w:rFonts w:eastAsia="Calibri" w:hint="eastAsia"/>
          <w:rtl/>
        </w:rPr>
        <w:t>משקף</w:t>
      </w:r>
      <w:r w:rsidRPr="00806DA6">
        <w:rPr>
          <w:rFonts w:eastAsia="Calibri"/>
          <w:rtl/>
        </w:rPr>
        <w:t xml:space="preserve"> </w:t>
      </w:r>
      <w:r w:rsidRPr="00806DA6">
        <w:rPr>
          <w:rFonts w:eastAsia="Calibri" w:hint="eastAsia"/>
          <w:rtl/>
        </w:rPr>
        <w:t>עלייה</w:t>
      </w:r>
      <w:r w:rsidRPr="00806DA6">
        <w:rPr>
          <w:rFonts w:eastAsia="Calibri"/>
          <w:rtl/>
        </w:rPr>
        <w:t xml:space="preserve"> </w:t>
      </w:r>
      <w:r w:rsidRPr="00806DA6">
        <w:rPr>
          <w:rFonts w:eastAsia="Calibri" w:hint="eastAsia"/>
          <w:rtl/>
        </w:rPr>
        <w:t>של</w:t>
      </w:r>
      <w:r w:rsidRPr="00806DA6">
        <w:rPr>
          <w:rFonts w:eastAsia="Calibri"/>
          <w:rtl/>
        </w:rPr>
        <w:t xml:space="preserve"> </w:t>
      </w:r>
      <w:r w:rsidRPr="00806DA6">
        <w:rPr>
          <w:rFonts w:eastAsia="Calibri" w:hint="eastAsia"/>
          <w:rtl/>
        </w:rPr>
        <w:t>כ</w:t>
      </w:r>
      <w:r w:rsidRPr="00806DA6">
        <w:rPr>
          <w:rFonts w:eastAsia="Calibri"/>
          <w:rtl/>
        </w:rPr>
        <w:t xml:space="preserve">-85% </w:t>
      </w:r>
      <w:r w:rsidRPr="00806DA6">
        <w:rPr>
          <w:rFonts w:eastAsia="Calibri" w:hint="eastAsia"/>
          <w:rtl/>
        </w:rPr>
        <w:t>במספר</w:t>
      </w:r>
      <w:r w:rsidRPr="00806DA6">
        <w:rPr>
          <w:rFonts w:eastAsia="Calibri"/>
          <w:rtl/>
        </w:rPr>
        <w:t xml:space="preserve"> </w:t>
      </w:r>
      <w:r w:rsidRPr="00806DA6">
        <w:rPr>
          <w:rFonts w:eastAsia="Calibri" w:hint="eastAsia"/>
          <w:rtl/>
        </w:rPr>
        <w:t>הפניות</w:t>
      </w:r>
      <w:r w:rsidRPr="00806DA6">
        <w:rPr>
          <w:rFonts w:eastAsia="Calibri"/>
          <w:rtl/>
        </w:rPr>
        <w:t xml:space="preserve"> </w:t>
      </w:r>
      <w:r w:rsidRPr="00806DA6">
        <w:rPr>
          <w:rFonts w:eastAsia="Calibri" w:hint="eastAsia"/>
          <w:rtl/>
        </w:rPr>
        <w:t>בנושא</w:t>
      </w:r>
      <w:r w:rsidRPr="00806DA6">
        <w:rPr>
          <w:rFonts w:eastAsia="Calibri"/>
          <w:rtl/>
        </w:rPr>
        <w:t xml:space="preserve"> </w:t>
      </w:r>
      <w:r w:rsidRPr="00806DA6">
        <w:rPr>
          <w:rFonts w:eastAsia="Calibri" w:hint="eastAsia"/>
          <w:rtl/>
        </w:rPr>
        <w:t>זה</w:t>
      </w:r>
      <w:r w:rsidRPr="00806DA6">
        <w:rPr>
          <w:rFonts w:eastAsia="Calibri"/>
          <w:rtl/>
        </w:rPr>
        <w:t xml:space="preserve"> </w:t>
      </w:r>
      <w:r w:rsidRPr="00806DA6">
        <w:rPr>
          <w:rFonts w:eastAsia="Calibri" w:hint="eastAsia"/>
          <w:rtl/>
        </w:rPr>
        <w:t>בהשוואה</w:t>
      </w:r>
      <w:r w:rsidRPr="00806DA6">
        <w:rPr>
          <w:rFonts w:eastAsia="Calibri"/>
          <w:rtl/>
        </w:rPr>
        <w:t xml:space="preserve"> </w:t>
      </w:r>
      <w:r w:rsidRPr="00806DA6">
        <w:rPr>
          <w:rFonts w:eastAsia="Calibri" w:hint="eastAsia"/>
          <w:rtl/>
        </w:rPr>
        <w:t>לשנת</w:t>
      </w:r>
      <w:r w:rsidRPr="00806DA6">
        <w:rPr>
          <w:rFonts w:eastAsia="Calibri"/>
          <w:rtl/>
        </w:rPr>
        <w:t xml:space="preserve"> 2019</w:t>
      </w:r>
      <w:r>
        <w:rPr>
          <w:rFonts w:eastAsia="Calibri"/>
          <w:vertAlign w:val="superscript"/>
          <w:rtl/>
        </w:rPr>
        <w:footnoteReference w:id="99"/>
      </w:r>
      <w:r w:rsidRPr="00806DA6">
        <w:rPr>
          <w:rFonts w:eastAsia="Calibri"/>
          <w:vertAlign w:val="superscript"/>
          <w:rtl/>
        </w:rPr>
        <w:t xml:space="preserve"> </w:t>
      </w:r>
      <w:r w:rsidRPr="00806DA6">
        <w:rPr>
          <w:rFonts w:eastAsia="Calibri"/>
          <w:rtl/>
        </w:rPr>
        <w:t xml:space="preserve">שבה הגיעו לנציבות 125 פניות בנושא. </w:t>
      </w:r>
    </w:p>
    <w:p w:rsidR="00BF1E3B" w:rsidRPr="00B74C6A" w:rsidRDefault="00DF6A0A" w:rsidP="00B74C6A">
      <w:pPr>
        <w:pStyle w:val="73414"/>
        <w:rPr>
          <w:rtl/>
        </w:rPr>
      </w:pPr>
      <w:r w:rsidRPr="00B74C6A">
        <w:rPr>
          <w:rtl/>
        </w:rPr>
        <w:lastRenderedPageBreak/>
        <w:t>פעולות</w:t>
      </w:r>
      <w:r w:rsidRPr="00B74C6A">
        <w:rPr>
          <w:rFonts w:hint="cs"/>
          <w:rtl/>
        </w:rPr>
        <w:t xml:space="preserve"> פיקוח ואכיפה של הנציבות</w:t>
      </w:r>
      <w:r w:rsidRPr="00B74C6A">
        <w:rPr>
          <w:rtl/>
        </w:rPr>
        <w:t xml:space="preserve"> </w:t>
      </w:r>
      <w:r w:rsidRPr="00B74C6A">
        <w:rPr>
          <w:rFonts w:hint="cs"/>
          <w:rtl/>
        </w:rPr>
        <w:t xml:space="preserve">מול גופי ממשל </w:t>
      </w:r>
      <w:r w:rsidRPr="00B74C6A">
        <w:rPr>
          <w:rtl/>
        </w:rPr>
        <w:t>בנושא נגישות דיגיטלית</w:t>
      </w:r>
      <w:r>
        <w:rPr>
          <w:vertAlign w:val="superscript"/>
          <w:rtl/>
        </w:rPr>
        <w:footnoteReference w:id="100"/>
      </w:r>
      <w:r w:rsidRPr="00B74C6A">
        <w:rPr>
          <w:rtl/>
        </w:rPr>
        <w:t xml:space="preserve"> </w:t>
      </w:r>
    </w:p>
    <w:p w:rsidR="00BF1E3B" w:rsidRPr="00CC4EEA" w:rsidRDefault="00DF6A0A" w:rsidP="00C619CC">
      <w:pPr>
        <w:pStyle w:val="7392"/>
        <w:rPr>
          <w:rtl/>
        </w:rPr>
      </w:pPr>
      <w:r w:rsidRPr="00CC4EEA">
        <w:rPr>
          <w:rFonts w:hint="cs"/>
          <w:rtl/>
        </w:rPr>
        <w:t xml:space="preserve">בשנים 2019 - 2021 ביצעה </w:t>
      </w:r>
      <w:r>
        <w:rPr>
          <w:rFonts w:hint="cs"/>
          <w:rtl/>
        </w:rPr>
        <w:t xml:space="preserve">הנציבות לשוויון </w:t>
      </w:r>
      <w:r w:rsidRPr="00CC4EEA">
        <w:rPr>
          <w:rFonts w:hint="cs"/>
          <w:rtl/>
        </w:rPr>
        <w:t>פעולות פיקוח ב</w:t>
      </w:r>
      <w:r>
        <w:rPr>
          <w:rFonts w:hint="cs"/>
          <w:rtl/>
        </w:rPr>
        <w:t xml:space="preserve">-14 </w:t>
      </w:r>
      <w:r w:rsidRPr="00CC4EEA">
        <w:rPr>
          <w:rFonts w:hint="cs"/>
          <w:rtl/>
        </w:rPr>
        <w:t xml:space="preserve">אתרי מרשתת של 13 גופי </w:t>
      </w:r>
      <w:r>
        <w:rPr>
          <w:rFonts w:hint="cs"/>
          <w:rtl/>
        </w:rPr>
        <w:t xml:space="preserve">ממשל, במסגרת </w:t>
      </w:r>
      <w:r w:rsidRPr="00CC4EEA">
        <w:rPr>
          <w:rFonts w:hint="cs"/>
          <w:rtl/>
        </w:rPr>
        <w:t>ת</w:t>
      </w:r>
      <w:r>
        <w:rPr>
          <w:rFonts w:hint="cs"/>
          <w:rtl/>
        </w:rPr>
        <w:t>ו</w:t>
      </w:r>
      <w:r w:rsidRPr="00CC4EEA">
        <w:rPr>
          <w:rFonts w:hint="cs"/>
          <w:rtl/>
        </w:rPr>
        <w:t xml:space="preserve">כנית העבודה של הנציבות </w:t>
      </w:r>
      <w:r>
        <w:rPr>
          <w:rFonts w:hint="cs"/>
          <w:rtl/>
        </w:rPr>
        <w:t xml:space="preserve">או </w:t>
      </w:r>
      <w:r w:rsidRPr="00CC4EEA">
        <w:rPr>
          <w:rFonts w:hint="cs"/>
          <w:rtl/>
        </w:rPr>
        <w:t>בעקבות פני</w:t>
      </w:r>
      <w:r>
        <w:rPr>
          <w:rFonts w:hint="cs"/>
          <w:rtl/>
        </w:rPr>
        <w:t>י</w:t>
      </w:r>
      <w:r w:rsidRPr="00CC4EEA">
        <w:rPr>
          <w:rFonts w:hint="cs"/>
          <w:rtl/>
        </w:rPr>
        <w:t>ה או תלונה מן הציבור</w:t>
      </w:r>
      <w:r>
        <w:rPr>
          <w:rFonts w:hint="cs"/>
          <w:rtl/>
        </w:rPr>
        <w:t>.</w:t>
      </w:r>
      <w:r w:rsidRPr="00CC4EEA">
        <w:rPr>
          <w:rFonts w:hint="cs"/>
          <w:rtl/>
        </w:rPr>
        <w:t xml:space="preserve"> </w:t>
      </w:r>
    </w:p>
    <w:p w:rsidR="00BF1E3B" w:rsidRPr="00CC4EEA" w:rsidRDefault="00DF6A0A" w:rsidP="00C619CC">
      <w:pPr>
        <w:pStyle w:val="7392"/>
        <w:rPr>
          <w:rtl/>
        </w:rPr>
      </w:pPr>
      <w:r>
        <w:rPr>
          <w:rFonts w:hint="cs"/>
          <w:rtl/>
        </w:rPr>
        <w:t>במהלך הביקורת מסרה הנציבות מידע ומסמכי</w:t>
      </w:r>
      <w:r>
        <w:rPr>
          <w:rFonts w:hint="cs"/>
          <w:rtl/>
        </w:rPr>
        <w:t>ם שמהם עלה כי במקרים שבהם מתגלים בבדיקותיה ליקויי נגישות באתר מרשתת,</w:t>
      </w:r>
      <w:r w:rsidRPr="00CC4EEA">
        <w:rPr>
          <w:rFonts w:hint="cs"/>
          <w:rtl/>
        </w:rPr>
        <w:t xml:space="preserve"> </w:t>
      </w:r>
      <w:r>
        <w:rPr>
          <w:rFonts w:hint="cs"/>
          <w:rtl/>
        </w:rPr>
        <w:t>היא נוקטת את הצעדים המפורטים להלן, וזאת בשים לב להוראות התקנות המבדילות בין "סטייה" ל"הפרה"</w:t>
      </w:r>
      <w:r>
        <w:rPr>
          <w:rStyle w:val="a8"/>
          <w:rFonts w:eastAsia="Calibri"/>
          <w:rtl/>
        </w:rPr>
        <w:footnoteReference w:id="101"/>
      </w:r>
      <w:r>
        <w:rPr>
          <w:rFonts w:hint="cs"/>
          <w:rtl/>
        </w:rPr>
        <w:t xml:space="preserve"> ועל מנת לעשות שימוש מיטבי במשאבי האכיפה של הנציבות: </w:t>
      </w:r>
      <w:r w:rsidRPr="00CC4EEA">
        <w:rPr>
          <w:rFonts w:hint="cs"/>
          <w:rtl/>
        </w:rPr>
        <w:t xml:space="preserve">בשלב </w:t>
      </w:r>
      <w:r>
        <w:rPr>
          <w:rFonts w:hint="cs"/>
          <w:rtl/>
        </w:rPr>
        <w:t>ה</w:t>
      </w:r>
      <w:r w:rsidRPr="00CC4EEA">
        <w:rPr>
          <w:rFonts w:hint="cs"/>
          <w:rtl/>
        </w:rPr>
        <w:t>ראשון</w:t>
      </w:r>
      <w:r>
        <w:rPr>
          <w:rFonts w:hint="cs"/>
          <w:rtl/>
        </w:rPr>
        <w:t>,</w:t>
      </w:r>
      <w:r w:rsidRPr="00CC4EEA">
        <w:rPr>
          <w:rFonts w:hint="cs"/>
          <w:rtl/>
        </w:rPr>
        <w:t xml:space="preserve"> אם </w:t>
      </w:r>
      <w:r>
        <w:rPr>
          <w:rFonts w:hint="cs"/>
          <w:rtl/>
        </w:rPr>
        <w:t>הל</w:t>
      </w:r>
      <w:r w:rsidRPr="00CC4EEA">
        <w:rPr>
          <w:rFonts w:hint="cs"/>
          <w:rtl/>
        </w:rPr>
        <w:t>יקוי</w:t>
      </w:r>
      <w:r>
        <w:rPr>
          <w:rFonts w:hint="cs"/>
          <w:rtl/>
        </w:rPr>
        <w:t>ים</w:t>
      </w:r>
      <w:r w:rsidRPr="00CC4EEA">
        <w:rPr>
          <w:rFonts w:hint="cs"/>
          <w:rtl/>
        </w:rPr>
        <w:t xml:space="preserve"> </w:t>
      </w:r>
      <w:r>
        <w:rPr>
          <w:rFonts w:hint="cs"/>
          <w:rtl/>
        </w:rPr>
        <w:t>הם נקודתיים ואינם</w:t>
      </w:r>
      <w:r>
        <w:rPr>
          <w:rFonts w:hint="cs"/>
          <w:rtl/>
        </w:rPr>
        <w:t xml:space="preserve"> </w:t>
      </w:r>
      <w:r w:rsidRPr="00CC4EEA">
        <w:rPr>
          <w:rFonts w:hint="cs"/>
          <w:rtl/>
        </w:rPr>
        <w:t xml:space="preserve">פוגעים על פי </w:t>
      </w:r>
      <w:r>
        <w:rPr>
          <w:rFonts w:hint="cs"/>
          <w:rtl/>
        </w:rPr>
        <w:t>בדיקה מקצועית ב</w:t>
      </w:r>
      <w:r w:rsidRPr="00CC4EEA">
        <w:rPr>
          <w:rFonts w:hint="cs"/>
          <w:rtl/>
        </w:rPr>
        <w:t xml:space="preserve">אופן מהותי בשירות לציבור, </w:t>
      </w:r>
      <w:r>
        <w:rPr>
          <w:rFonts w:hint="cs"/>
          <w:rtl/>
        </w:rPr>
        <w:t xml:space="preserve">הנציבות </w:t>
      </w:r>
      <w:r w:rsidRPr="00CC4EEA">
        <w:rPr>
          <w:rFonts w:hint="cs"/>
          <w:rtl/>
        </w:rPr>
        <w:t xml:space="preserve">שולחת לגוף </w:t>
      </w:r>
      <w:r w:rsidRPr="00CC4EEA">
        <w:rPr>
          <w:rtl/>
        </w:rPr>
        <w:t xml:space="preserve">מכתב יידוע </w:t>
      </w:r>
      <w:r>
        <w:rPr>
          <w:rFonts w:hint="cs"/>
          <w:rtl/>
        </w:rPr>
        <w:t>ש</w:t>
      </w:r>
      <w:r w:rsidRPr="00CC4EEA">
        <w:rPr>
          <w:rtl/>
        </w:rPr>
        <w:t xml:space="preserve">בו </w:t>
      </w:r>
      <w:r>
        <w:rPr>
          <w:rFonts w:hint="cs"/>
          <w:rtl/>
        </w:rPr>
        <w:t>מוצגים ממצאי הבדיקה בליווי דרישה לתיקון הלי</w:t>
      </w:r>
      <w:r w:rsidRPr="00CC4EEA">
        <w:rPr>
          <w:rtl/>
        </w:rPr>
        <w:t>קויים</w:t>
      </w:r>
      <w:r>
        <w:rPr>
          <w:rFonts w:hint="cs"/>
          <w:rtl/>
        </w:rPr>
        <w:t xml:space="preserve">. </w:t>
      </w:r>
      <w:r w:rsidRPr="00CC4EEA">
        <w:rPr>
          <w:rFonts w:hint="cs"/>
          <w:rtl/>
        </w:rPr>
        <w:t xml:space="preserve">בשלב </w:t>
      </w:r>
      <w:r>
        <w:rPr>
          <w:rFonts w:hint="cs"/>
          <w:rtl/>
        </w:rPr>
        <w:t>ה</w:t>
      </w:r>
      <w:r w:rsidRPr="00CC4EEA">
        <w:rPr>
          <w:rFonts w:hint="cs"/>
          <w:rtl/>
        </w:rPr>
        <w:t>שני</w:t>
      </w:r>
      <w:r>
        <w:rPr>
          <w:rFonts w:hint="cs"/>
          <w:rtl/>
        </w:rPr>
        <w:t>, אם הגוף לא תיקן את הליקויים</w:t>
      </w:r>
      <w:r w:rsidRPr="00CC4EEA">
        <w:rPr>
          <w:rFonts w:hint="cs"/>
          <w:rtl/>
        </w:rPr>
        <w:t xml:space="preserve"> או </w:t>
      </w:r>
      <w:r>
        <w:rPr>
          <w:rFonts w:hint="cs"/>
          <w:rtl/>
        </w:rPr>
        <w:t>אם ה</w:t>
      </w:r>
      <w:r w:rsidRPr="00CC4EEA">
        <w:rPr>
          <w:rFonts w:hint="cs"/>
          <w:rtl/>
        </w:rPr>
        <w:t>ליקויים מהותיים</w:t>
      </w:r>
      <w:r>
        <w:rPr>
          <w:rFonts w:hint="cs"/>
          <w:rtl/>
        </w:rPr>
        <w:t>,</w:t>
      </w:r>
      <w:r w:rsidRPr="00CC4EEA">
        <w:rPr>
          <w:rFonts w:hint="cs"/>
          <w:rtl/>
        </w:rPr>
        <w:t xml:space="preserve"> הנציבות </w:t>
      </w:r>
      <w:r>
        <w:rPr>
          <w:rFonts w:hint="cs"/>
          <w:rtl/>
        </w:rPr>
        <w:t>שולחת</w:t>
      </w:r>
      <w:r w:rsidRPr="00CC4EEA">
        <w:rPr>
          <w:rFonts w:hint="cs"/>
          <w:rtl/>
        </w:rPr>
        <w:t xml:space="preserve"> לגוף מכתב התראה </w:t>
      </w:r>
      <w:r>
        <w:rPr>
          <w:rFonts w:hint="cs"/>
          <w:rtl/>
        </w:rPr>
        <w:t>טרם הוצאת צו נגישות, המב</w:t>
      </w:r>
      <w:r>
        <w:rPr>
          <w:rFonts w:hint="cs"/>
          <w:rtl/>
        </w:rPr>
        <w:t xml:space="preserve">היר כי אי-תיקון הליקויים יביא להוצאת צו נגישות. בשלב השלישי, הנציבות מורה לגוף בצו נגישות </w:t>
      </w:r>
      <w:r w:rsidRPr="00CC4EEA">
        <w:rPr>
          <w:rtl/>
        </w:rPr>
        <w:t>לבצע את כל התאמות הנגישות הנדרשות מכוח ה</w:t>
      </w:r>
      <w:r>
        <w:rPr>
          <w:rFonts w:hint="cs"/>
          <w:rtl/>
        </w:rPr>
        <w:t>דין</w:t>
      </w:r>
      <w:r w:rsidRPr="00CC4EEA">
        <w:rPr>
          <w:rtl/>
        </w:rPr>
        <w:t>, וזאת עד ל</w:t>
      </w:r>
      <w:r w:rsidRPr="00CC4EEA">
        <w:rPr>
          <w:rFonts w:hint="cs"/>
          <w:rtl/>
        </w:rPr>
        <w:t xml:space="preserve">מועד שנקבע בצו. הנציבות </w:t>
      </w:r>
      <w:r>
        <w:rPr>
          <w:rFonts w:hint="cs"/>
          <w:rtl/>
        </w:rPr>
        <w:t xml:space="preserve">מוסמכת </w:t>
      </w:r>
      <w:r w:rsidRPr="00CC4EEA">
        <w:rPr>
          <w:rtl/>
        </w:rPr>
        <w:t>מכוח הוראות הדין להג</w:t>
      </w:r>
      <w:r>
        <w:rPr>
          <w:rFonts w:hint="cs"/>
          <w:rtl/>
        </w:rPr>
        <w:t>י</w:t>
      </w:r>
      <w:r w:rsidRPr="00CC4EEA">
        <w:rPr>
          <w:rtl/>
        </w:rPr>
        <w:t>ש כתב אישום נגד</w:t>
      </w:r>
      <w:r>
        <w:rPr>
          <w:rFonts w:hint="cs"/>
          <w:rtl/>
        </w:rPr>
        <w:t xml:space="preserve"> גוף שלא מילא את הוראות הצו</w:t>
      </w:r>
      <w:r w:rsidRPr="00CC4EEA">
        <w:rPr>
          <w:rtl/>
        </w:rPr>
        <w:t>.</w:t>
      </w:r>
      <w:r>
        <w:rPr>
          <w:rFonts w:hint="cs"/>
          <w:rtl/>
        </w:rPr>
        <w:t xml:space="preserve"> </w:t>
      </w:r>
    </w:p>
    <w:p w:rsidR="00BF1E3B" w:rsidRPr="00CC4EEA" w:rsidRDefault="00DF6A0A" w:rsidP="00C619CC">
      <w:pPr>
        <w:pStyle w:val="7392"/>
        <w:rPr>
          <w:rtl/>
        </w:rPr>
      </w:pPr>
      <w:r w:rsidRPr="00CC4EEA">
        <w:rPr>
          <w:rFonts w:hint="cs"/>
          <w:rtl/>
        </w:rPr>
        <w:t xml:space="preserve">להלן </w:t>
      </w:r>
      <w:r w:rsidRPr="00D612ED">
        <w:rPr>
          <w:rFonts w:hint="eastAsia"/>
          <w:rtl/>
        </w:rPr>
        <w:t>בלוח</w:t>
      </w:r>
      <w:r w:rsidRPr="00D612ED">
        <w:rPr>
          <w:rtl/>
        </w:rPr>
        <w:t xml:space="preserve"> </w:t>
      </w:r>
      <w:r w:rsidRPr="00CC4EEA">
        <w:rPr>
          <w:rFonts w:hint="cs"/>
          <w:rtl/>
        </w:rPr>
        <w:t xml:space="preserve">שמות </w:t>
      </w:r>
      <w:r w:rsidRPr="00CC4EEA">
        <w:rPr>
          <w:rFonts w:hint="cs"/>
          <w:rtl/>
        </w:rPr>
        <w:t>הגופים אשר באתרי המרשתת שלהם ביצעה הנציבות</w:t>
      </w:r>
      <w:r>
        <w:rPr>
          <w:rFonts w:hint="cs"/>
          <w:rtl/>
        </w:rPr>
        <w:t>, במסגרת פעולות הפיקוח שקיימה</w:t>
      </w:r>
      <w:r>
        <w:rPr>
          <w:rStyle w:val="a8"/>
          <w:rFonts w:eastAsia="Calibri"/>
          <w:rtl/>
        </w:rPr>
        <w:footnoteReference w:id="102"/>
      </w:r>
      <w:r>
        <w:rPr>
          <w:rFonts w:hint="cs"/>
          <w:rtl/>
        </w:rPr>
        <w:t xml:space="preserve">, </w:t>
      </w:r>
      <w:r w:rsidRPr="00CC4EEA">
        <w:rPr>
          <w:rFonts w:hint="cs"/>
          <w:rtl/>
        </w:rPr>
        <w:t xml:space="preserve">בדיקות נגישות בשנים 2019 - 2021, והטיפול </w:t>
      </w:r>
      <w:r>
        <w:rPr>
          <w:rFonts w:hint="cs"/>
          <w:rtl/>
        </w:rPr>
        <w:t>שלה</w:t>
      </w:r>
      <w:r w:rsidRPr="00CC4EEA">
        <w:rPr>
          <w:rFonts w:hint="cs"/>
          <w:rtl/>
        </w:rPr>
        <w:t xml:space="preserve"> בעניינם הסתיים</w:t>
      </w:r>
      <w:r>
        <w:rPr>
          <w:rFonts w:hint="cs"/>
          <w:rtl/>
        </w:rPr>
        <w:t xml:space="preserve"> </w:t>
      </w:r>
      <w:r w:rsidRPr="00CC4EEA">
        <w:rPr>
          <w:rFonts w:hint="cs"/>
          <w:rtl/>
        </w:rPr>
        <w:t xml:space="preserve">(התיק נסגר). עוד בלוח המידע שבידי הנציבות בשנת 2022 </w:t>
      </w:r>
      <w:r>
        <w:rPr>
          <w:rFonts w:hint="cs"/>
          <w:rtl/>
        </w:rPr>
        <w:t xml:space="preserve">לגבי תיקון </w:t>
      </w:r>
      <w:r w:rsidRPr="00CC4EEA">
        <w:rPr>
          <w:rFonts w:hint="cs"/>
          <w:rtl/>
        </w:rPr>
        <w:t>הליקויים שהתריעה עליהם</w:t>
      </w:r>
      <w:r>
        <w:rPr>
          <w:rFonts w:hint="cs"/>
          <w:rtl/>
        </w:rPr>
        <w:t>.</w:t>
      </w:r>
      <w:r w:rsidRPr="00CC4EEA">
        <w:rPr>
          <w:rFonts w:hint="cs"/>
          <w:rtl/>
        </w:rPr>
        <w:t xml:space="preserve"> </w:t>
      </w:r>
    </w:p>
    <w:p w:rsidR="00BF1E3B" w:rsidRPr="00AF40E6" w:rsidRDefault="00DF6A0A" w:rsidP="00DD0FAE">
      <w:pPr>
        <w:pStyle w:val="738"/>
        <w:rPr>
          <w:rFonts w:eastAsia="Times New Roman"/>
          <w:rtl/>
        </w:rPr>
      </w:pPr>
      <w:r w:rsidRPr="00DD0FAE">
        <w:rPr>
          <w:rFonts w:eastAsia="Times New Roman"/>
          <w:b w:val="0"/>
          <w:bCs w:val="0"/>
          <w:rtl/>
        </w:rPr>
        <w:t>לוח</w:t>
      </w:r>
      <w:r w:rsidRPr="00DD0FAE">
        <w:rPr>
          <w:rFonts w:eastAsia="Times New Roman" w:hint="cs"/>
          <w:b w:val="0"/>
          <w:bCs w:val="0"/>
          <w:rtl/>
        </w:rPr>
        <w:t xml:space="preserve"> 4: </w:t>
      </w:r>
      <w:r w:rsidRPr="00EA2447">
        <w:rPr>
          <w:rFonts w:eastAsia="Times New Roman"/>
          <w:rtl/>
        </w:rPr>
        <w:t>גופי</w:t>
      </w:r>
      <w:r w:rsidRPr="00EA2447">
        <w:rPr>
          <w:rFonts w:eastAsia="Times New Roman" w:hint="cs"/>
          <w:rtl/>
        </w:rPr>
        <w:t xml:space="preserve"> ממשל</w:t>
      </w:r>
      <w:r>
        <w:rPr>
          <w:rFonts w:eastAsia="Times New Roman" w:hint="cs"/>
          <w:rtl/>
        </w:rPr>
        <w:t xml:space="preserve"> </w:t>
      </w:r>
      <w:r w:rsidRPr="00EA2447">
        <w:rPr>
          <w:rFonts w:eastAsia="Times New Roman" w:hint="cs"/>
          <w:rtl/>
        </w:rPr>
        <w:t>שבאתרי המרשתת שלה</w:t>
      </w:r>
      <w:r w:rsidRPr="00EA2447">
        <w:rPr>
          <w:rFonts w:eastAsia="Times New Roman" w:hint="cs"/>
          <w:rtl/>
        </w:rPr>
        <w:t>ם ביצעה הנציבות</w:t>
      </w:r>
      <w:r>
        <w:rPr>
          <w:rFonts w:eastAsia="Times New Roman" w:hint="cs"/>
          <w:rtl/>
        </w:rPr>
        <w:t xml:space="preserve"> </w:t>
      </w:r>
      <w:r w:rsidRPr="00EA2447">
        <w:rPr>
          <w:rFonts w:eastAsia="Times New Roman" w:hint="cs"/>
          <w:rtl/>
        </w:rPr>
        <w:t>לשווי</w:t>
      </w:r>
      <w:r>
        <w:rPr>
          <w:rFonts w:eastAsia="Times New Roman" w:hint="cs"/>
          <w:rtl/>
        </w:rPr>
        <w:t>ו</w:t>
      </w:r>
      <w:r w:rsidRPr="00EA2447">
        <w:rPr>
          <w:rFonts w:eastAsia="Times New Roman" w:hint="cs"/>
          <w:rtl/>
        </w:rPr>
        <w:t>ן בדיקות נגישות,</w:t>
      </w:r>
      <w:r w:rsidRPr="00C5718E">
        <w:rPr>
          <w:rFonts w:eastAsia="Times New Roman" w:hint="cs"/>
          <w:rtl/>
        </w:rPr>
        <w:t xml:space="preserve"> </w:t>
      </w:r>
      <w:r w:rsidRPr="00EA2447">
        <w:rPr>
          <w:rFonts w:eastAsia="Times New Roman"/>
          <w:rtl/>
        </w:rPr>
        <w:t>2019</w:t>
      </w:r>
      <w:r>
        <w:rPr>
          <w:rFonts w:eastAsia="Times New Roman" w:hint="cs"/>
          <w:rtl/>
        </w:rPr>
        <w:t xml:space="preserve"> </w:t>
      </w:r>
      <w:r w:rsidRPr="00EA2447">
        <w:rPr>
          <w:rFonts w:eastAsia="Times New Roman"/>
          <w:rtl/>
        </w:rPr>
        <w:t>-</w:t>
      </w:r>
      <w:r>
        <w:rPr>
          <w:rFonts w:eastAsia="Times New Roman" w:hint="cs"/>
          <w:rtl/>
        </w:rPr>
        <w:t xml:space="preserve"> </w:t>
      </w:r>
      <w:r w:rsidRPr="00EA2447">
        <w:rPr>
          <w:rFonts w:eastAsia="Times New Roman"/>
          <w:rtl/>
        </w:rPr>
        <w:t>2021</w:t>
      </w:r>
    </w:p>
    <w:tbl>
      <w:tblPr>
        <w:bidiVisual/>
        <w:tblW w:w="5000" w:type="pct"/>
        <w:jc w:val="center"/>
        <w:tblBorders>
          <w:left w:val="single" w:sz="4" w:space="0" w:color="auto"/>
          <w:right w:val="single" w:sz="4" w:space="0" w:color="auto"/>
          <w:insideV w:val="single" w:sz="4" w:space="0" w:color="auto"/>
        </w:tblBorders>
        <w:tblLook w:val="04A0" w:firstRow="1" w:lastRow="0" w:firstColumn="1" w:lastColumn="0" w:noHBand="0" w:noVBand="1"/>
      </w:tblPr>
      <w:tblGrid>
        <w:gridCol w:w="841"/>
        <w:gridCol w:w="880"/>
        <w:gridCol w:w="1959"/>
        <w:gridCol w:w="1288"/>
        <w:gridCol w:w="2392"/>
      </w:tblGrid>
      <w:tr w:rsidR="007758ED" w:rsidTr="00BD5EEA">
        <w:trPr>
          <w:trHeight w:val="510"/>
          <w:tblHeader/>
          <w:jc w:val="center"/>
        </w:trPr>
        <w:tc>
          <w:tcPr>
            <w:tcW w:w="1169" w:type="pct"/>
            <w:gridSpan w:val="2"/>
            <w:shd w:val="clear" w:color="auto" w:fill="C8DCE4"/>
            <w:hideMark/>
          </w:tcPr>
          <w:p w:rsidR="00BF1E3B" w:rsidRPr="00566E34" w:rsidRDefault="00DF6A0A" w:rsidP="00DD0FAE">
            <w:pPr>
              <w:pStyle w:val="73R"/>
              <w:rPr>
                <w:rFonts w:eastAsia="Times New Roman"/>
              </w:rPr>
            </w:pPr>
            <w:r w:rsidRPr="00566E34">
              <w:rPr>
                <w:rFonts w:eastAsia="Times New Roman" w:hint="eastAsia"/>
                <w:rtl/>
              </w:rPr>
              <w:t>שם</w:t>
            </w:r>
            <w:r w:rsidRPr="00566E34">
              <w:rPr>
                <w:rFonts w:eastAsia="Times New Roman"/>
                <w:rtl/>
              </w:rPr>
              <w:t xml:space="preserve"> </w:t>
            </w:r>
            <w:r w:rsidRPr="00566E34">
              <w:rPr>
                <w:rFonts w:eastAsia="Times New Roman" w:hint="eastAsia"/>
                <w:rtl/>
              </w:rPr>
              <w:t>הגוף</w:t>
            </w:r>
          </w:p>
        </w:tc>
        <w:tc>
          <w:tcPr>
            <w:tcW w:w="1331" w:type="pct"/>
            <w:shd w:val="clear" w:color="auto" w:fill="C8DCE4"/>
            <w:hideMark/>
          </w:tcPr>
          <w:p w:rsidR="00BF1E3B" w:rsidRPr="00566E34" w:rsidRDefault="00DF6A0A" w:rsidP="00DD0FAE">
            <w:pPr>
              <w:pStyle w:val="73R"/>
              <w:rPr>
                <w:rFonts w:eastAsia="Times New Roman"/>
                <w:rtl/>
              </w:rPr>
            </w:pPr>
            <w:r w:rsidRPr="00566E34">
              <w:rPr>
                <w:rFonts w:eastAsia="Times New Roman" w:hint="eastAsia"/>
                <w:rtl/>
              </w:rPr>
              <w:t>פעולות</w:t>
            </w:r>
            <w:r w:rsidRPr="00566E34">
              <w:rPr>
                <w:rFonts w:eastAsia="Times New Roman"/>
                <w:rtl/>
              </w:rPr>
              <w:t xml:space="preserve"> </w:t>
            </w:r>
            <w:r w:rsidRPr="00566E34">
              <w:rPr>
                <w:rFonts w:eastAsia="Times New Roman" w:hint="eastAsia"/>
                <w:rtl/>
              </w:rPr>
              <w:t>הנציבות</w:t>
            </w:r>
            <w:r w:rsidRPr="00566E34">
              <w:rPr>
                <w:rFonts w:eastAsia="Times New Roman"/>
                <w:rtl/>
              </w:rPr>
              <w:t xml:space="preserve"> </w:t>
            </w:r>
            <w:r w:rsidRPr="00566E34">
              <w:rPr>
                <w:rFonts w:eastAsia="Times New Roman" w:hint="eastAsia"/>
                <w:rtl/>
              </w:rPr>
              <w:t>לאחר</w:t>
            </w:r>
            <w:r w:rsidRPr="00566E34">
              <w:rPr>
                <w:rFonts w:eastAsia="Times New Roman"/>
                <w:rtl/>
              </w:rPr>
              <w:t xml:space="preserve"> </w:t>
            </w:r>
            <w:r w:rsidRPr="00566E34">
              <w:rPr>
                <w:rFonts w:eastAsia="Times New Roman" w:hint="eastAsia"/>
                <w:rtl/>
              </w:rPr>
              <w:t>איתור</w:t>
            </w:r>
            <w:r w:rsidRPr="00566E34">
              <w:rPr>
                <w:rFonts w:eastAsia="Times New Roman"/>
                <w:rtl/>
              </w:rPr>
              <w:t xml:space="preserve"> </w:t>
            </w:r>
            <w:r w:rsidRPr="00566E34">
              <w:rPr>
                <w:rFonts w:eastAsia="Times New Roman" w:hint="eastAsia"/>
                <w:rtl/>
              </w:rPr>
              <w:t>ליקוי</w:t>
            </w:r>
            <w:r w:rsidRPr="00566E34">
              <w:rPr>
                <w:rFonts w:eastAsia="Times New Roman"/>
                <w:rtl/>
              </w:rPr>
              <w:t xml:space="preserve"> </w:t>
            </w:r>
            <w:r w:rsidRPr="00566E34">
              <w:rPr>
                <w:rFonts w:eastAsia="Times New Roman" w:hint="eastAsia"/>
                <w:rtl/>
              </w:rPr>
              <w:t>הנגישות</w:t>
            </w:r>
          </w:p>
        </w:tc>
        <w:tc>
          <w:tcPr>
            <w:tcW w:w="875" w:type="pct"/>
            <w:shd w:val="clear" w:color="auto" w:fill="C8DCE4"/>
            <w:hideMark/>
          </w:tcPr>
          <w:p w:rsidR="00BF1E3B" w:rsidRPr="00566E34" w:rsidRDefault="00DF6A0A" w:rsidP="00DD0FAE">
            <w:pPr>
              <w:pStyle w:val="73R"/>
              <w:rPr>
                <w:rFonts w:eastAsia="Times New Roman"/>
                <w:rtl/>
              </w:rPr>
            </w:pPr>
            <w:r w:rsidRPr="00566E34">
              <w:rPr>
                <w:rFonts w:eastAsia="Times New Roman" w:hint="eastAsia"/>
                <w:rtl/>
              </w:rPr>
              <w:t>האם</w:t>
            </w:r>
            <w:r w:rsidRPr="00566E34">
              <w:rPr>
                <w:rFonts w:eastAsia="Times New Roman"/>
                <w:rtl/>
              </w:rPr>
              <w:t xml:space="preserve"> </w:t>
            </w:r>
            <w:r w:rsidRPr="00566E34">
              <w:rPr>
                <w:rFonts w:eastAsia="Times New Roman" w:hint="eastAsia"/>
                <w:rtl/>
              </w:rPr>
              <w:t>הנציבות</w:t>
            </w:r>
            <w:r w:rsidRPr="00566E34">
              <w:rPr>
                <w:rFonts w:eastAsia="Times New Roman"/>
                <w:rtl/>
              </w:rPr>
              <w:t xml:space="preserve"> </w:t>
            </w:r>
            <w:r w:rsidRPr="00566E34">
              <w:rPr>
                <w:rFonts w:eastAsia="Times New Roman" w:hint="eastAsia"/>
                <w:rtl/>
              </w:rPr>
              <w:t>ביצעה</w:t>
            </w:r>
            <w:r w:rsidRPr="00566E34">
              <w:rPr>
                <w:rFonts w:eastAsia="Times New Roman"/>
                <w:rtl/>
              </w:rPr>
              <w:t xml:space="preserve"> </w:t>
            </w:r>
            <w:r w:rsidRPr="00566E34">
              <w:rPr>
                <w:rFonts w:eastAsia="Times New Roman" w:hint="eastAsia"/>
                <w:rtl/>
              </w:rPr>
              <w:t>מעקב</w:t>
            </w:r>
            <w:r w:rsidRPr="00566E34">
              <w:rPr>
                <w:rFonts w:eastAsia="Times New Roman"/>
                <w:rtl/>
              </w:rPr>
              <w:t xml:space="preserve"> </w:t>
            </w:r>
            <w:r w:rsidRPr="00566E34">
              <w:rPr>
                <w:rFonts w:eastAsia="Times New Roman" w:hint="eastAsia"/>
                <w:rtl/>
              </w:rPr>
              <w:t>לבדיקת</w:t>
            </w:r>
            <w:r w:rsidRPr="00566E34">
              <w:rPr>
                <w:rFonts w:eastAsia="Times New Roman"/>
                <w:rtl/>
              </w:rPr>
              <w:t xml:space="preserve"> </w:t>
            </w:r>
            <w:r w:rsidRPr="00566E34">
              <w:rPr>
                <w:rFonts w:eastAsia="Times New Roman" w:hint="eastAsia"/>
                <w:rtl/>
              </w:rPr>
              <w:t>תיקון</w:t>
            </w:r>
            <w:r w:rsidRPr="00566E34">
              <w:rPr>
                <w:rFonts w:eastAsia="Times New Roman"/>
                <w:rtl/>
              </w:rPr>
              <w:t xml:space="preserve"> </w:t>
            </w:r>
            <w:r w:rsidRPr="00566E34">
              <w:rPr>
                <w:rFonts w:eastAsia="Times New Roman" w:hint="eastAsia"/>
                <w:rtl/>
              </w:rPr>
              <w:t>הליקויים</w:t>
            </w:r>
            <w:r w:rsidRPr="00566E34">
              <w:rPr>
                <w:rFonts w:eastAsia="Times New Roman"/>
                <w:rtl/>
              </w:rPr>
              <w:t>?</w:t>
            </w:r>
          </w:p>
          <w:p w:rsidR="00BF1E3B" w:rsidRPr="00566E34" w:rsidRDefault="00DF6A0A" w:rsidP="00DD0FAE">
            <w:pPr>
              <w:pStyle w:val="73R"/>
              <w:rPr>
                <w:rFonts w:eastAsia="Times New Roman"/>
              </w:rPr>
            </w:pPr>
            <w:r w:rsidRPr="0031431B">
              <w:rPr>
                <w:rFonts w:eastAsia="Times New Roman"/>
                <w:rtl/>
              </w:rPr>
              <w:t>(כן -</w:t>
            </w:r>
            <w:r w:rsidRPr="0031431B">
              <w:rPr>
                <w:rFonts w:eastAsia="Times New Roman"/>
              </w:rPr>
              <w:t>V</w:t>
            </w:r>
            <w:r w:rsidRPr="0031431B">
              <w:rPr>
                <w:rFonts w:eastAsia="Times New Roman"/>
                <w:rtl/>
              </w:rPr>
              <w:t xml:space="preserve">, לא - </w:t>
            </w:r>
            <w:r w:rsidRPr="0031431B">
              <w:rPr>
                <w:rFonts w:eastAsia="Times New Roman"/>
              </w:rPr>
              <w:t>X</w:t>
            </w:r>
            <w:r w:rsidRPr="0031431B">
              <w:rPr>
                <w:rFonts w:eastAsia="Times New Roman"/>
                <w:rtl/>
              </w:rPr>
              <w:t>)</w:t>
            </w:r>
          </w:p>
        </w:tc>
        <w:tc>
          <w:tcPr>
            <w:tcW w:w="1625" w:type="pct"/>
            <w:shd w:val="clear" w:color="auto" w:fill="C8DCE4"/>
            <w:hideMark/>
          </w:tcPr>
          <w:p w:rsidR="00BF1E3B" w:rsidRPr="00566E34" w:rsidRDefault="00DF6A0A" w:rsidP="00DD0FAE">
            <w:pPr>
              <w:pStyle w:val="73R"/>
              <w:rPr>
                <w:rFonts w:eastAsia="Times New Roman"/>
                <w:rtl/>
              </w:rPr>
            </w:pPr>
            <w:r w:rsidRPr="00566E34">
              <w:rPr>
                <w:rFonts w:eastAsia="Times New Roman" w:hint="eastAsia"/>
                <w:rtl/>
              </w:rPr>
              <w:t>מידת</w:t>
            </w:r>
            <w:r w:rsidRPr="00566E34">
              <w:rPr>
                <w:rFonts w:eastAsia="Times New Roman"/>
                <w:rtl/>
              </w:rPr>
              <w:t xml:space="preserve"> </w:t>
            </w:r>
            <w:r w:rsidRPr="00566E34">
              <w:rPr>
                <w:rFonts w:eastAsia="Times New Roman" w:hint="eastAsia"/>
                <w:rtl/>
              </w:rPr>
              <w:t>תיקון</w:t>
            </w:r>
            <w:r w:rsidRPr="00566E34">
              <w:rPr>
                <w:rFonts w:eastAsia="Times New Roman"/>
                <w:rtl/>
              </w:rPr>
              <w:t xml:space="preserve"> </w:t>
            </w:r>
            <w:r w:rsidRPr="00566E34">
              <w:rPr>
                <w:rFonts w:eastAsia="Times New Roman" w:hint="eastAsia"/>
                <w:rtl/>
              </w:rPr>
              <w:t>הליקויים</w:t>
            </w:r>
            <w:r w:rsidRPr="00566E34">
              <w:rPr>
                <w:rFonts w:eastAsia="Times New Roman"/>
                <w:rtl/>
              </w:rPr>
              <w:t xml:space="preserve"> </w:t>
            </w:r>
            <w:r w:rsidRPr="00566E34">
              <w:rPr>
                <w:rFonts w:eastAsia="Times New Roman" w:hint="eastAsia"/>
                <w:rtl/>
              </w:rPr>
              <w:t>על</w:t>
            </w:r>
            <w:r w:rsidRPr="00566E34">
              <w:rPr>
                <w:rFonts w:eastAsia="Times New Roman"/>
                <w:rtl/>
              </w:rPr>
              <w:t xml:space="preserve"> </w:t>
            </w:r>
            <w:r w:rsidRPr="00566E34">
              <w:rPr>
                <w:rFonts w:eastAsia="Times New Roman" w:hint="eastAsia"/>
                <w:rtl/>
              </w:rPr>
              <w:t>פי</w:t>
            </w:r>
            <w:r w:rsidRPr="00566E34">
              <w:rPr>
                <w:rFonts w:eastAsia="Times New Roman"/>
                <w:rtl/>
              </w:rPr>
              <w:t xml:space="preserve"> </w:t>
            </w:r>
            <w:r w:rsidRPr="00566E34">
              <w:rPr>
                <w:rFonts w:eastAsia="Times New Roman" w:hint="eastAsia"/>
                <w:rtl/>
              </w:rPr>
              <w:t>המידע</w:t>
            </w:r>
            <w:r w:rsidRPr="00566E34">
              <w:rPr>
                <w:rFonts w:eastAsia="Times New Roman"/>
                <w:rtl/>
              </w:rPr>
              <w:t xml:space="preserve"> </w:t>
            </w:r>
            <w:r w:rsidRPr="00566E34">
              <w:rPr>
                <w:rFonts w:eastAsia="Times New Roman" w:hint="eastAsia"/>
                <w:rtl/>
              </w:rPr>
              <w:t>שבידי</w:t>
            </w:r>
            <w:r w:rsidRPr="00566E34">
              <w:rPr>
                <w:rFonts w:eastAsia="Times New Roman"/>
                <w:rtl/>
              </w:rPr>
              <w:t xml:space="preserve"> </w:t>
            </w:r>
            <w:r w:rsidRPr="00566E34">
              <w:rPr>
                <w:rFonts w:eastAsia="Times New Roman" w:hint="eastAsia"/>
                <w:rtl/>
              </w:rPr>
              <w:t>הנציבות</w:t>
            </w:r>
            <w:r w:rsidRPr="00566E34">
              <w:rPr>
                <w:rFonts w:eastAsia="Times New Roman"/>
                <w:rtl/>
              </w:rPr>
              <w:t xml:space="preserve"> </w:t>
            </w:r>
            <w:r w:rsidR="00DD0FAE">
              <w:rPr>
                <w:rFonts w:eastAsia="Times New Roman"/>
                <w:rtl/>
              </w:rPr>
              <w:br/>
            </w:r>
            <w:r w:rsidRPr="00566E34">
              <w:rPr>
                <w:rFonts w:eastAsia="Times New Roman" w:hint="eastAsia"/>
                <w:rtl/>
              </w:rPr>
              <w:t>בשנת</w:t>
            </w:r>
            <w:r w:rsidRPr="00566E34">
              <w:rPr>
                <w:rFonts w:eastAsia="Times New Roman"/>
                <w:rtl/>
              </w:rPr>
              <w:t xml:space="preserve"> 2022</w:t>
            </w:r>
          </w:p>
          <w:p w:rsidR="00BF1E3B" w:rsidRPr="00566E34" w:rsidRDefault="00DF6A0A" w:rsidP="00DD0FAE">
            <w:pPr>
              <w:pStyle w:val="73R"/>
              <w:rPr>
                <w:rFonts w:eastAsia="Times New Roman"/>
                <w:rtl/>
              </w:rPr>
            </w:pPr>
            <w:r w:rsidRPr="0031431B">
              <w:rPr>
                <w:rFonts w:eastAsia="Times New Roman"/>
                <w:rtl/>
              </w:rPr>
              <w:t xml:space="preserve">(תוקנו - </w:t>
            </w:r>
            <w:r w:rsidRPr="0031431B">
              <w:rPr>
                <w:rFonts w:ascii="Arial" w:eastAsia="Times New Roman" w:hAnsi="Arial" w:cs="Arial"/>
              </w:rPr>
              <w:t>V</w:t>
            </w:r>
            <w:r w:rsidRPr="0031431B">
              <w:rPr>
                <w:rFonts w:eastAsia="Times New Roman"/>
                <w:rtl/>
              </w:rPr>
              <w:t xml:space="preserve">, תוקנו חלקית - </w:t>
            </w:r>
            <w:r w:rsidRPr="0031431B">
              <w:rPr>
                <w:rFonts w:ascii="Arial" w:eastAsia="Times New Roman" w:hAnsi="Arial" w:cs="Arial"/>
                <w:strike/>
              </w:rPr>
              <w:t>V</w:t>
            </w:r>
            <w:r w:rsidRPr="0031431B">
              <w:rPr>
                <w:rFonts w:ascii="Arial" w:eastAsia="Times New Roman" w:hAnsi="Arial" w:cs="Arial"/>
                <w:strike/>
                <w:rtl/>
              </w:rPr>
              <w:t>)</w:t>
            </w:r>
            <w:r w:rsidR="00DD0FAE">
              <w:rPr>
                <w:rFonts w:eastAsia="Times New Roman"/>
                <w:rtl/>
              </w:rPr>
              <w:br/>
            </w:r>
            <w:r w:rsidRPr="0031431B">
              <w:rPr>
                <w:rFonts w:eastAsia="Times New Roman" w:hint="eastAsia"/>
                <w:rtl/>
              </w:rPr>
              <w:t>לא</w:t>
            </w:r>
            <w:r w:rsidRPr="0031431B">
              <w:rPr>
                <w:rFonts w:eastAsia="Times New Roman"/>
                <w:rtl/>
              </w:rPr>
              <w:t xml:space="preserve"> </w:t>
            </w:r>
            <w:r w:rsidRPr="0031431B">
              <w:rPr>
                <w:rFonts w:eastAsia="Times New Roman" w:hint="eastAsia"/>
                <w:rtl/>
              </w:rPr>
              <w:t>תוקנו</w:t>
            </w:r>
            <w:r w:rsidRPr="0031431B">
              <w:rPr>
                <w:rFonts w:eastAsia="Times New Roman"/>
                <w:rtl/>
              </w:rPr>
              <w:t xml:space="preserve"> -</w:t>
            </w:r>
            <w:r>
              <w:rPr>
                <w:rFonts w:eastAsia="Times New Roman" w:hint="cs"/>
                <w:rtl/>
              </w:rPr>
              <w:t xml:space="preserve"> </w:t>
            </w:r>
            <w:r w:rsidRPr="0031431B">
              <w:rPr>
                <w:rFonts w:ascii="Arial" w:eastAsia="Times New Roman" w:hAnsi="Arial" w:cs="Arial"/>
              </w:rPr>
              <w:t>X</w:t>
            </w:r>
            <w:r w:rsidRPr="0031431B">
              <w:rPr>
                <w:rFonts w:eastAsia="Times New Roman"/>
                <w:rtl/>
              </w:rPr>
              <w:t xml:space="preserve">, לא ידוע - </w:t>
            </w:r>
            <w:r w:rsidRPr="0031431B">
              <w:rPr>
                <w:rFonts w:ascii="Arial" w:eastAsia="Times New Roman" w:hAnsi="Arial" w:cs="Arial"/>
                <w:rtl/>
              </w:rPr>
              <w:t>?</w:t>
            </w:r>
            <w:r w:rsidRPr="0031431B">
              <w:rPr>
                <w:rFonts w:eastAsia="Times New Roman"/>
                <w:rtl/>
              </w:rPr>
              <w:t>)</w:t>
            </w:r>
          </w:p>
        </w:tc>
      </w:tr>
      <w:tr w:rsidR="007758ED" w:rsidTr="00DD0FAE">
        <w:trPr>
          <w:trHeight w:val="510"/>
          <w:jc w:val="center"/>
        </w:trPr>
        <w:tc>
          <w:tcPr>
            <w:tcW w:w="1169" w:type="pct"/>
            <w:gridSpan w:val="2"/>
            <w:shd w:val="clear" w:color="auto" w:fill="DFECEF"/>
            <w:hideMark/>
          </w:tcPr>
          <w:p w:rsidR="00BF1E3B" w:rsidRPr="00566E34" w:rsidRDefault="00DF6A0A" w:rsidP="00DD0FAE">
            <w:pPr>
              <w:pStyle w:val="73R"/>
              <w:rPr>
                <w:rFonts w:eastAsia="Times New Roman"/>
                <w:rtl/>
              </w:rPr>
            </w:pPr>
            <w:r>
              <w:rPr>
                <w:rFonts w:eastAsia="Times New Roman" w:hint="cs"/>
                <w:rtl/>
              </w:rPr>
              <w:t>המוסד ל</w:t>
            </w:r>
            <w:r w:rsidRPr="00566E34">
              <w:rPr>
                <w:rFonts w:eastAsia="Times New Roman"/>
                <w:rtl/>
              </w:rPr>
              <w:t>ביטוח לאומי</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יידוע</w:t>
            </w:r>
          </w:p>
        </w:tc>
        <w:tc>
          <w:tcPr>
            <w:tcW w:w="875" w:type="pct"/>
            <w:shd w:val="clear" w:color="auto" w:fill="BF2544"/>
            <w:hideMark/>
          </w:tcPr>
          <w:p w:rsidR="00BF1E3B" w:rsidRPr="00DD0FAE" w:rsidRDefault="00DF6A0A" w:rsidP="00DD0FAE">
            <w:pPr>
              <w:pStyle w:val="73R"/>
              <w:jc w:val="center"/>
              <w:rPr>
                <w:rFonts w:ascii="Arial" w:eastAsia="Times New Roman" w:hAnsi="Arial" w:cs="Arial"/>
                <w:b/>
                <w:bCs/>
                <w:color w:val="FFFFFF"/>
                <w:sz w:val="18"/>
                <w:szCs w:val="18"/>
              </w:rPr>
            </w:pPr>
            <w:r w:rsidRPr="00DD0FAE">
              <w:rPr>
                <w:rFonts w:ascii="Arial" w:eastAsia="Times New Roman" w:hAnsi="Arial" w:cs="Arial"/>
                <w:b/>
                <w:bCs/>
                <w:color w:val="FFFFFF"/>
                <w:sz w:val="18"/>
                <w:szCs w:val="18"/>
              </w:rPr>
              <w:t>X</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sz w:val="18"/>
                <w:szCs w:val="18"/>
                <w:rtl/>
              </w:rPr>
            </w:pPr>
            <w:r w:rsidRPr="00DD0FAE">
              <w:rPr>
                <w:rFonts w:ascii="Arial" w:eastAsia="Times New Roman" w:hAnsi="Arial" w:cs="Arial"/>
                <w:b/>
                <w:bCs/>
                <w:color w:val="FF0000"/>
                <w:sz w:val="18"/>
                <w:szCs w:val="18"/>
                <w:rtl/>
              </w:rPr>
              <w:t>?</w:t>
            </w:r>
          </w:p>
        </w:tc>
      </w:tr>
      <w:tr w:rsidR="007758ED" w:rsidTr="00DD0FAE">
        <w:trPr>
          <w:trHeight w:val="510"/>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rtl/>
              </w:rPr>
              <w:t>הנהלת בתי המשפט</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התראה</w:t>
            </w:r>
          </w:p>
        </w:tc>
        <w:tc>
          <w:tcPr>
            <w:tcW w:w="875" w:type="pct"/>
            <w:tcBorders>
              <w:bottom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V</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color w:val="28A29C"/>
                <w:sz w:val="18"/>
                <w:szCs w:val="18"/>
              </w:rPr>
            </w:pPr>
            <w:r w:rsidRPr="00DD0FAE">
              <w:rPr>
                <w:rFonts w:ascii="Arial" w:eastAsia="Times New Roman" w:hAnsi="Arial" w:cs="Arial"/>
                <w:b/>
                <w:bCs/>
                <w:color w:val="28A29C"/>
                <w:sz w:val="18"/>
                <w:szCs w:val="18"/>
              </w:rPr>
              <w:t>V</w:t>
            </w:r>
          </w:p>
        </w:tc>
      </w:tr>
      <w:tr w:rsidR="007758ED" w:rsidTr="00DD0FAE">
        <w:trPr>
          <w:trHeight w:val="510"/>
          <w:jc w:val="center"/>
        </w:trPr>
        <w:tc>
          <w:tcPr>
            <w:tcW w:w="1169" w:type="pct"/>
            <w:gridSpan w:val="2"/>
            <w:shd w:val="clear" w:color="auto" w:fill="DFECEF"/>
            <w:hideMark/>
          </w:tcPr>
          <w:p w:rsidR="00BF1E3B" w:rsidRPr="00566E34" w:rsidRDefault="00DF6A0A" w:rsidP="00DD0FAE">
            <w:pPr>
              <w:pStyle w:val="73R"/>
              <w:rPr>
                <w:rFonts w:eastAsia="Times New Roman"/>
                <w:rtl/>
              </w:rPr>
            </w:pPr>
            <w:r w:rsidRPr="00566E34">
              <w:rPr>
                <w:rFonts w:eastAsia="Times New Roman"/>
                <w:rtl/>
              </w:rPr>
              <w:t xml:space="preserve">הרשות לפיתוח ירושלים </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מכתב התראה ולאחריו </w:t>
            </w:r>
            <w:r w:rsidRPr="00566E34">
              <w:rPr>
                <w:rFonts w:eastAsia="Times New Roman" w:hint="eastAsia"/>
                <w:rtl/>
              </w:rPr>
              <w:t>הוצא</w:t>
            </w:r>
            <w:r w:rsidRPr="00566E34">
              <w:rPr>
                <w:rFonts w:eastAsia="Times New Roman"/>
                <w:rtl/>
              </w:rPr>
              <w:t xml:space="preserve"> </w:t>
            </w:r>
            <w:r w:rsidRPr="00566E34">
              <w:rPr>
                <w:rFonts w:eastAsia="Times New Roman" w:hint="eastAsia"/>
                <w:rtl/>
              </w:rPr>
              <w:t>צו</w:t>
            </w:r>
            <w:r w:rsidRPr="00566E34">
              <w:rPr>
                <w:rFonts w:eastAsia="Times New Roman"/>
                <w:rtl/>
              </w:rPr>
              <w:t xml:space="preserve"> </w:t>
            </w:r>
            <w:r w:rsidRPr="00566E34">
              <w:rPr>
                <w:rFonts w:eastAsia="Times New Roman" w:hint="eastAsia"/>
                <w:rtl/>
              </w:rPr>
              <w:t>נגישות</w:t>
            </w:r>
          </w:p>
        </w:tc>
        <w:tc>
          <w:tcPr>
            <w:tcW w:w="875" w:type="pct"/>
            <w:tcBorders>
              <w:top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Pr>
            </w:pPr>
            <w:r w:rsidRPr="00DD0FAE">
              <w:rPr>
                <w:rFonts w:ascii="Arial" w:eastAsia="Times New Roman" w:hAnsi="Arial" w:cs="Arial"/>
                <w:b/>
                <w:bCs/>
                <w:color w:val="FFFFFF"/>
                <w:sz w:val="18"/>
                <w:szCs w:val="18"/>
              </w:rPr>
              <w:t>V</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color w:val="28A29C"/>
                <w:sz w:val="18"/>
                <w:szCs w:val="18"/>
              </w:rPr>
            </w:pPr>
            <w:r w:rsidRPr="00DD0FAE">
              <w:rPr>
                <w:rFonts w:ascii="Arial" w:eastAsia="Times New Roman" w:hAnsi="Arial" w:cs="Arial"/>
                <w:b/>
                <w:bCs/>
                <w:color w:val="28A29C"/>
                <w:sz w:val="18"/>
                <w:szCs w:val="18"/>
              </w:rPr>
              <w:t>V</w:t>
            </w:r>
          </w:p>
        </w:tc>
      </w:tr>
      <w:tr w:rsidR="007758ED" w:rsidTr="00DD0FAE">
        <w:trPr>
          <w:trHeight w:val="510"/>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rtl/>
              </w:rPr>
              <w:lastRenderedPageBreak/>
              <w:t>ועדת הבחירות המרכזית</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יידוע</w:t>
            </w:r>
          </w:p>
        </w:tc>
        <w:tc>
          <w:tcPr>
            <w:tcW w:w="875" w:type="pct"/>
            <w:shd w:val="clear" w:color="auto" w:fill="BF2544"/>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X</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sz w:val="18"/>
                <w:szCs w:val="18"/>
                <w:rtl/>
              </w:rPr>
            </w:pPr>
            <w:r w:rsidRPr="00DD0FAE">
              <w:rPr>
                <w:rFonts w:ascii="Arial" w:eastAsia="Times New Roman" w:hAnsi="Arial" w:cs="Arial"/>
                <w:b/>
                <w:bCs/>
                <w:color w:val="FF0000"/>
                <w:sz w:val="18"/>
                <w:szCs w:val="18"/>
                <w:rtl/>
              </w:rPr>
              <w:t>?</w:t>
            </w:r>
          </w:p>
        </w:tc>
      </w:tr>
      <w:tr w:rsidR="007758ED" w:rsidTr="00806DA6">
        <w:trPr>
          <w:trHeight w:val="825"/>
          <w:jc w:val="center"/>
        </w:trPr>
        <w:tc>
          <w:tcPr>
            <w:tcW w:w="571" w:type="pct"/>
            <w:vMerge w:val="restart"/>
            <w:shd w:val="clear" w:color="auto" w:fill="C8DCE4"/>
            <w:vAlign w:val="center"/>
          </w:tcPr>
          <w:p w:rsidR="00BF1E3B" w:rsidRPr="00566E34" w:rsidRDefault="00DF6A0A" w:rsidP="00806DA6">
            <w:pPr>
              <w:pStyle w:val="73R"/>
              <w:rPr>
                <w:rFonts w:eastAsia="Times New Roman"/>
                <w:rtl/>
              </w:rPr>
            </w:pPr>
            <w:r w:rsidRPr="00566E34">
              <w:rPr>
                <w:rFonts w:eastAsia="Times New Roman"/>
                <w:rtl/>
              </w:rPr>
              <w:t>משרד הביטחון</w:t>
            </w:r>
          </w:p>
        </w:tc>
        <w:tc>
          <w:tcPr>
            <w:tcW w:w="597" w:type="pct"/>
            <w:shd w:val="clear" w:color="auto" w:fill="DFECEF"/>
          </w:tcPr>
          <w:p w:rsidR="00BF1E3B" w:rsidRPr="00566E34" w:rsidRDefault="00DF6A0A" w:rsidP="00DD0FAE">
            <w:pPr>
              <w:pStyle w:val="73R"/>
              <w:rPr>
                <w:rFonts w:eastAsia="Times New Roman"/>
                <w:rtl/>
              </w:rPr>
            </w:pPr>
            <w:r w:rsidRPr="00566E34">
              <w:rPr>
                <w:rFonts w:eastAsia="Times New Roman" w:hint="eastAsia"/>
                <w:rtl/>
              </w:rPr>
              <w:t>אתר</w:t>
            </w:r>
            <w:r w:rsidRPr="00566E34">
              <w:rPr>
                <w:rFonts w:eastAsia="Times New Roman"/>
                <w:rtl/>
              </w:rPr>
              <w:t xml:space="preserve"> </w:t>
            </w:r>
            <w:r w:rsidRPr="00566E34">
              <w:rPr>
                <w:rFonts w:eastAsia="Times New Roman" w:hint="eastAsia"/>
                <w:rtl/>
              </w:rPr>
              <w:t>מרשתת</w:t>
            </w:r>
            <w:r w:rsidRPr="00566E34">
              <w:rPr>
                <w:rFonts w:eastAsia="Times New Roman"/>
                <w:rtl/>
              </w:rPr>
              <w:t xml:space="preserve"> </w:t>
            </w:r>
            <w:r w:rsidRPr="00566E34">
              <w:rPr>
                <w:rFonts w:eastAsia="Times New Roman" w:hint="eastAsia"/>
                <w:rtl/>
              </w:rPr>
              <w:t>א</w:t>
            </w:r>
            <w:r w:rsidRPr="00566E34">
              <w:rPr>
                <w:rFonts w:eastAsia="Times New Roman"/>
                <w:rtl/>
              </w:rPr>
              <w:t>'</w:t>
            </w:r>
          </w:p>
        </w:tc>
        <w:tc>
          <w:tcPr>
            <w:tcW w:w="1331" w:type="pct"/>
            <w:shd w:val="clear" w:color="auto" w:fill="DFECEF"/>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מכתב יידוע </w:t>
            </w:r>
          </w:p>
        </w:tc>
        <w:tc>
          <w:tcPr>
            <w:tcW w:w="875" w:type="pct"/>
            <w:shd w:val="clear" w:color="auto" w:fill="28A29C"/>
          </w:tcPr>
          <w:p w:rsidR="00BF1E3B" w:rsidRPr="00DD0FAE" w:rsidRDefault="00DF6A0A" w:rsidP="00DD0FAE">
            <w:pPr>
              <w:pStyle w:val="73R"/>
              <w:jc w:val="center"/>
              <w:rPr>
                <w:rFonts w:ascii="Arial" w:eastAsia="Times New Roman" w:hAnsi="Arial" w:cs="Arial"/>
                <w:b/>
                <w:bCs/>
                <w:color w:val="FFFFFF"/>
                <w:sz w:val="18"/>
                <w:szCs w:val="18"/>
                <w:highlight w:val="green"/>
              </w:rPr>
            </w:pPr>
            <w:r w:rsidRPr="00DD0FAE">
              <w:rPr>
                <w:rFonts w:ascii="Arial" w:eastAsia="Times New Roman" w:hAnsi="Arial" w:cs="Arial"/>
                <w:b/>
                <w:bCs/>
                <w:color w:val="FFFFFF"/>
                <w:sz w:val="18"/>
                <w:szCs w:val="18"/>
              </w:rPr>
              <w:t>V</w:t>
            </w:r>
          </w:p>
        </w:tc>
        <w:tc>
          <w:tcPr>
            <w:tcW w:w="1625" w:type="pct"/>
            <w:shd w:val="clear" w:color="auto" w:fill="DFECEF"/>
          </w:tcPr>
          <w:p w:rsidR="00BF1E3B" w:rsidRPr="00DD0FAE" w:rsidRDefault="00DF6A0A" w:rsidP="00DD0FAE">
            <w:pPr>
              <w:pStyle w:val="73R"/>
              <w:jc w:val="center"/>
              <w:rPr>
                <w:rFonts w:eastAsia="Times New Roman"/>
                <w:b/>
                <w:bCs/>
                <w:sz w:val="18"/>
                <w:szCs w:val="18"/>
                <w:rtl/>
              </w:rPr>
            </w:pPr>
            <w:r w:rsidRPr="00DD0FAE">
              <w:rPr>
                <w:rFonts w:ascii="Arial" w:eastAsia="Times New Roman" w:hAnsi="Arial" w:cs="Arial"/>
                <w:b/>
                <w:bCs/>
                <w:strike/>
                <w:sz w:val="18"/>
                <w:szCs w:val="18"/>
              </w:rPr>
              <w:t>V</w:t>
            </w:r>
          </w:p>
        </w:tc>
      </w:tr>
      <w:tr w:rsidR="007758ED" w:rsidTr="00DD0FAE">
        <w:trPr>
          <w:trHeight w:val="825"/>
          <w:jc w:val="center"/>
        </w:trPr>
        <w:tc>
          <w:tcPr>
            <w:tcW w:w="571" w:type="pct"/>
            <w:vMerge/>
            <w:shd w:val="clear" w:color="auto" w:fill="C8DCE4"/>
          </w:tcPr>
          <w:p w:rsidR="00BF1E3B" w:rsidRPr="00566E34" w:rsidRDefault="00BF1E3B" w:rsidP="00DD0FAE">
            <w:pPr>
              <w:pStyle w:val="73R"/>
              <w:rPr>
                <w:rFonts w:eastAsia="Times New Roman"/>
                <w:rtl/>
              </w:rPr>
            </w:pPr>
          </w:p>
        </w:tc>
        <w:tc>
          <w:tcPr>
            <w:tcW w:w="597" w:type="pct"/>
            <w:shd w:val="clear" w:color="auto" w:fill="F0F8F9"/>
          </w:tcPr>
          <w:p w:rsidR="00BF1E3B" w:rsidRPr="00566E34" w:rsidRDefault="00DF6A0A" w:rsidP="00DD0FAE">
            <w:pPr>
              <w:pStyle w:val="73R"/>
              <w:rPr>
                <w:rFonts w:eastAsia="Times New Roman"/>
                <w:rtl/>
              </w:rPr>
            </w:pPr>
            <w:r w:rsidRPr="00566E34">
              <w:rPr>
                <w:rFonts w:eastAsia="Times New Roman" w:hint="eastAsia"/>
                <w:rtl/>
              </w:rPr>
              <w:t>אתר</w:t>
            </w:r>
            <w:r w:rsidRPr="00566E34">
              <w:rPr>
                <w:rFonts w:eastAsia="Times New Roman"/>
                <w:rtl/>
              </w:rPr>
              <w:t xml:space="preserve"> </w:t>
            </w:r>
            <w:r w:rsidRPr="00566E34">
              <w:rPr>
                <w:rFonts w:eastAsia="Times New Roman" w:hint="eastAsia"/>
                <w:rtl/>
              </w:rPr>
              <w:t>מרשתת</w:t>
            </w:r>
            <w:r w:rsidRPr="00566E34">
              <w:rPr>
                <w:rFonts w:eastAsia="Times New Roman"/>
                <w:rtl/>
              </w:rPr>
              <w:t xml:space="preserve"> </w:t>
            </w:r>
            <w:r w:rsidRPr="00566E34">
              <w:rPr>
                <w:rFonts w:eastAsia="Times New Roman" w:hint="eastAsia"/>
                <w:rtl/>
              </w:rPr>
              <w:t>ב</w:t>
            </w:r>
          </w:p>
        </w:tc>
        <w:tc>
          <w:tcPr>
            <w:tcW w:w="1331" w:type="pct"/>
            <w:shd w:val="clear" w:color="auto" w:fill="F0F8F9"/>
          </w:tcPr>
          <w:p w:rsidR="00BF1E3B" w:rsidRPr="00566E34" w:rsidRDefault="00DF6A0A" w:rsidP="00DD0FAE">
            <w:pPr>
              <w:pStyle w:val="73R"/>
              <w:rPr>
                <w:rFonts w:eastAsia="Times New Roman"/>
                <w:rtl/>
              </w:rPr>
            </w:pPr>
            <w:r w:rsidRPr="00566E34">
              <w:rPr>
                <w:rFonts w:eastAsia="Times New Roman" w:hint="eastAsia"/>
                <w:rtl/>
              </w:rPr>
              <w:t>הוצא</w:t>
            </w:r>
            <w:r w:rsidRPr="00566E34">
              <w:rPr>
                <w:rFonts w:eastAsia="Times New Roman"/>
                <w:rtl/>
              </w:rPr>
              <w:t xml:space="preserve"> </w:t>
            </w:r>
            <w:r w:rsidRPr="00566E34">
              <w:rPr>
                <w:rFonts w:eastAsia="Times New Roman" w:hint="eastAsia"/>
                <w:rtl/>
              </w:rPr>
              <w:t>צו</w:t>
            </w:r>
            <w:r w:rsidRPr="00566E34">
              <w:rPr>
                <w:rFonts w:eastAsia="Times New Roman"/>
                <w:rtl/>
              </w:rPr>
              <w:t xml:space="preserve"> </w:t>
            </w:r>
            <w:r w:rsidRPr="00566E34">
              <w:rPr>
                <w:rFonts w:eastAsia="Times New Roman" w:hint="eastAsia"/>
                <w:rtl/>
              </w:rPr>
              <w:t>נגישות</w:t>
            </w:r>
          </w:p>
        </w:tc>
        <w:tc>
          <w:tcPr>
            <w:tcW w:w="875" w:type="pct"/>
            <w:shd w:val="clear" w:color="auto" w:fill="BF2544"/>
          </w:tcPr>
          <w:p w:rsidR="00BF1E3B" w:rsidRPr="00DD0FAE" w:rsidRDefault="00DF6A0A" w:rsidP="00DD0FAE">
            <w:pPr>
              <w:pStyle w:val="73R"/>
              <w:jc w:val="center"/>
              <w:rPr>
                <w:rFonts w:eastAsia="Times New Roman"/>
                <w:b/>
                <w:bCs/>
                <w:sz w:val="18"/>
                <w:szCs w:val="18"/>
              </w:rPr>
            </w:pPr>
            <w:r w:rsidRPr="00DD0FAE">
              <w:rPr>
                <w:rFonts w:eastAsia="Times New Roman"/>
                <w:b/>
                <w:bCs/>
                <w:color w:val="FFFFFF" w:themeColor="background1"/>
                <w:sz w:val="18"/>
                <w:szCs w:val="18"/>
              </w:rPr>
              <w:t>X</w:t>
            </w:r>
          </w:p>
        </w:tc>
        <w:tc>
          <w:tcPr>
            <w:tcW w:w="1625" w:type="pct"/>
            <w:shd w:val="clear" w:color="auto" w:fill="F0F8F9"/>
          </w:tcPr>
          <w:p w:rsidR="00BF1E3B" w:rsidRPr="00DD0FAE" w:rsidRDefault="00DF6A0A" w:rsidP="00DD0FAE">
            <w:pPr>
              <w:pStyle w:val="73R"/>
              <w:jc w:val="center"/>
              <w:rPr>
                <w:rFonts w:eastAsia="Times New Roman"/>
                <w:b/>
                <w:bCs/>
                <w:sz w:val="18"/>
                <w:szCs w:val="18"/>
                <w:rtl/>
              </w:rPr>
            </w:pPr>
            <w:r w:rsidRPr="00DD0FAE">
              <w:rPr>
                <w:rFonts w:ascii="Arial" w:eastAsia="Times New Roman" w:hAnsi="Arial" w:cs="Arial"/>
                <w:b/>
                <w:bCs/>
                <w:color w:val="FF0000"/>
                <w:sz w:val="18"/>
                <w:szCs w:val="18"/>
                <w:rtl/>
              </w:rPr>
              <w:t>?</w:t>
            </w:r>
          </w:p>
        </w:tc>
      </w:tr>
      <w:tr w:rsidR="007758ED" w:rsidTr="00DD0FAE">
        <w:trPr>
          <w:trHeight w:val="510"/>
          <w:jc w:val="center"/>
        </w:trPr>
        <w:tc>
          <w:tcPr>
            <w:tcW w:w="1169" w:type="pct"/>
            <w:gridSpan w:val="2"/>
            <w:shd w:val="clear" w:color="auto" w:fill="DFECEF"/>
            <w:hideMark/>
          </w:tcPr>
          <w:p w:rsidR="00BF1E3B" w:rsidRPr="00566E34" w:rsidRDefault="00DF6A0A" w:rsidP="00DD0FAE">
            <w:pPr>
              <w:pStyle w:val="73R"/>
              <w:rPr>
                <w:rFonts w:eastAsia="Times New Roman"/>
                <w:rtl/>
              </w:rPr>
            </w:pPr>
            <w:r w:rsidRPr="00566E34">
              <w:rPr>
                <w:rFonts w:eastAsia="Times New Roman"/>
                <w:rtl/>
              </w:rPr>
              <w:t xml:space="preserve">משרד הבריאות </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התראה</w:t>
            </w:r>
          </w:p>
        </w:tc>
        <w:tc>
          <w:tcPr>
            <w:tcW w:w="875" w:type="pct"/>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V</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sz w:val="18"/>
                <w:szCs w:val="18"/>
              </w:rPr>
            </w:pPr>
            <w:r w:rsidRPr="00DD0FAE">
              <w:rPr>
                <w:rFonts w:ascii="Arial" w:eastAsia="Times New Roman" w:hAnsi="Arial" w:cs="Arial"/>
                <w:b/>
                <w:bCs/>
                <w:color w:val="28A29C"/>
                <w:sz w:val="18"/>
                <w:szCs w:val="18"/>
              </w:rPr>
              <w:t>V</w:t>
            </w:r>
          </w:p>
        </w:tc>
      </w:tr>
      <w:tr w:rsidR="007758ED" w:rsidTr="00DD0FAE">
        <w:trPr>
          <w:trHeight w:val="467"/>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מערך</w:t>
            </w:r>
            <w:r w:rsidRPr="00566E34">
              <w:rPr>
                <w:rFonts w:eastAsia="Times New Roman"/>
                <w:rtl/>
              </w:rPr>
              <w:t xml:space="preserve"> הדיגיטל הלאומי</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יידוע</w:t>
            </w:r>
          </w:p>
        </w:tc>
        <w:tc>
          <w:tcPr>
            <w:tcW w:w="875" w:type="pct"/>
            <w:shd w:val="clear" w:color="auto" w:fill="BF2544"/>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X</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sz w:val="18"/>
                <w:szCs w:val="18"/>
                <w:rtl/>
              </w:rPr>
            </w:pPr>
            <w:r w:rsidRPr="00DD0FAE">
              <w:rPr>
                <w:rFonts w:ascii="Arial" w:eastAsia="Times New Roman" w:hAnsi="Arial" w:cs="Arial"/>
                <w:b/>
                <w:bCs/>
                <w:color w:val="FF0000"/>
                <w:sz w:val="18"/>
                <w:szCs w:val="18"/>
                <w:rtl/>
              </w:rPr>
              <w:t>?</w:t>
            </w:r>
          </w:p>
        </w:tc>
      </w:tr>
      <w:tr w:rsidR="007758ED" w:rsidTr="00DD0FAE">
        <w:trPr>
          <w:trHeight w:val="389"/>
          <w:jc w:val="center"/>
        </w:trPr>
        <w:tc>
          <w:tcPr>
            <w:tcW w:w="1169" w:type="pct"/>
            <w:gridSpan w:val="2"/>
            <w:shd w:val="clear" w:color="auto" w:fill="DFECEF"/>
            <w:hideMark/>
          </w:tcPr>
          <w:p w:rsidR="00BF1E3B" w:rsidRPr="00566E34" w:rsidRDefault="00DF6A0A" w:rsidP="00DD0FAE">
            <w:pPr>
              <w:pStyle w:val="73R"/>
              <w:rPr>
                <w:rFonts w:eastAsia="Times New Roman"/>
                <w:rtl/>
              </w:rPr>
            </w:pPr>
            <w:r w:rsidRPr="00566E34">
              <w:rPr>
                <w:rFonts w:eastAsia="Times New Roman"/>
                <w:rtl/>
              </w:rPr>
              <w:t>משרד החינוך</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הוצא</w:t>
            </w:r>
            <w:r w:rsidRPr="00566E34">
              <w:rPr>
                <w:rFonts w:eastAsia="Times New Roman"/>
                <w:rtl/>
              </w:rPr>
              <w:t xml:space="preserve"> </w:t>
            </w:r>
            <w:r w:rsidRPr="00566E34">
              <w:rPr>
                <w:rFonts w:eastAsia="Times New Roman" w:hint="eastAsia"/>
                <w:rtl/>
              </w:rPr>
              <w:t>צו</w:t>
            </w:r>
            <w:r w:rsidRPr="00566E34">
              <w:rPr>
                <w:rFonts w:eastAsia="Times New Roman"/>
                <w:rtl/>
              </w:rPr>
              <w:t xml:space="preserve"> </w:t>
            </w:r>
            <w:r w:rsidRPr="00566E34">
              <w:rPr>
                <w:rFonts w:eastAsia="Times New Roman" w:hint="eastAsia"/>
                <w:rtl/>
              </w:rPr>
              <w:t>נגישות</w:t>
            </w:r>
          </w:p>
        </w:tc>
        <w:tc>
          <w:tcPr>
            <w:tcW w:w="875" w:type="pct"/>
            <w:tcBorders>
              <w:bottom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Pr>
            </w:pPr>
            <w:r w:rsidRPr="00DD0FAE">
              <w:rPr>
                <w:rFonts w:ascii="Arial" w:eastAsia="Times New Roman" w:hAnsi="Arial" w:cs="Arial"/>
                <w:b/>
                <w:bCs/>
                <w:color w:val="FFFFFF"/>
                <w:sz w:val="18"/>
                <w:szCs w:val="18"/>
              </w:rPr>
              <w:t>V</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strike/>
                <w:sz w:val="18"/>
                <w:szCs w:val="18"/>
              </w:rPr>
            </w:pPr>
            <w:r w:rsidRPr="00DD0FAE">
              <w:rPr>
                <w:rFonts w:ascii="Arial" w:eastAsia="Times New Roman" w:hAnsi="Arial" w:cs="Arial"/>
                <w:b/>
                <w:bCs/>
                <w:strike/>
                <w:sz w:val="18"/>
                <w:szCs w:val="18"/>
              </w:rPr>
              <w:t>V</w:t>
            </w:r>
          </w:p>
        </w:tc>
      </w:tr>
      <w:tr w:rsidR="007758ED" w:rsidTr="00DD0FAE">
        <w:trPr>
          <w:trHeight w:val="310"/>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rtl/>
              </w:rPr>
              <w:t xml:space="preserve">משרד התחבורה </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התראה</w:t>
            </w:r>
          </w:p>
        </w:tc>
        <w:tc>
          <w:tcPr>
            <w:tcW w:w="875" w:type="pct"/>
            <w:tcBorders>
              <w:top w:val="single" w:sz="4" w:space="0" w:color="auto"/>
              <w:bottom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Pr>
            </w:pPr>
            <w:r w:rsidRPr="00DD0FAE">
              <w:rPr>
                <w:rFonts w:ascii="Arial" w:eastAsia="Times New Roman" w:hAnsi="Arial" w:cs="Arial"/>
                <w:b/>
                <w:bCs/>
                <w:color w:val="FFFFFF"/>
                <w:sz w:val="18"/>
                <w:szCs w:val="18"/>
              </w:rPr>
              <w:t>V</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strike/>
                <w:sz w:val="18"/>
                <w:szCs w:val="18"/>
                <w:rtl/>
              </w:rPr>
            </w:pPr>
            <w:r w:rsidRPr="00DD0FAE">
              <w:rPr>
                <w:rFonts w:ascii="Arial" w:eastAsia="Times New Roman" w:hAnsi="Arial" w:cs="Arial"/>
                <w:b/>
                <w:bCs/>
                <w:strike/>
                <w:sz w:val="18"/>
                <w:szCs w:val="18"/>
              </w:rPr>
              <w:t>V</w:t>
            </w:r>
          </w:p>
        </w:tc>
      </w:tr>
      <w:tr w:rsidR="007758ED" w:rsidTr="00DD0FAE">
        <w:trPr>
          <w:trHeight w:val="388"/>
          <w:jc w:val="center"/>
        </w:trPr>
        <w:tc>
          <w:tcPr>
            <w:tcW w:w="1169" w:type="pct"/>
            <w:gridSpan w:val="2"/>
            <w:shd w:val="clear" w:color="auto" w:fill="DFECEF"/>
            <w:hideMark/>
          </w:tcPr>
          <w:p w:rsidR="00BF1E3B" w:rsidRPr="00566E34" w:rsidRDefault="00DF6A0A" w:rsidP="00DD0FAE">
            <w:pPr>
              <w:pStyle w:val="73R"/>
              <w:rPr>
                <w:rFonts w:eastAsia="Times New Roman"/>
                <w:rtl/>
              </w:rPr>
            </w:pPr>
            <w:r w:rsidRPr="00566E34">
              <w:rPr>
                <w:rFonts w:eastAsia="Times New Roman"/>
                <w:rtl/>
              </w:rPr>
              <w:t>פיקוד העורף</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התראה</w:t>
            </w:r>
          </w:p>
        </w:tc>
        <w:tc>
          <w:tcPr>
            <w:tcW w:w="875" w:type="pct"/>
            <w:tcBorders>
              <w:top w:val="single" w:sz="4" w:space="0" w:color="auto"/>
              <w:bottom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V</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strike/>
                <w:sz w:val="18"/>
                <w:szCs w:val="18"/>
                <w:rtl/>
              </w:rPr>
            </w:pPr>
            <w:r w:rsidRPr="00DD0FAE">
              <w:rPr>
                <w:rFonts w:ascii="Arial" w:eastAsia="Times New Roman" w:hAnsi="Arial" w:cs="Arial"/>
                <w:b/>
                <w:bCs/>
                <w:strike/>
                <w:sz w:val="18"/>
                <w:szCs w:val="18"/>
              </w:rPr>
              <w:t>V</w:t>
            </w:r>
          </w:p>
        </w:tc>
      </w:tr>
      <w:tr w:rsidR="007758ED" w:rsidTr="00DD0FAE">
        <w:trPr>
          <w:trHeight w:val="407"/>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rtl/>
              </w:rPr>
              <w:t xml:space="preserve">רשות העתיקות </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התראה</w:t>
            </w:r>
          </w:p>
        </w:tc>
        <w:tc>
          <w:tcPr>
            <w:tcW w:w="875" w:type="pct"/>
            <w:tcBorders>
              <w:top w:val="single" w:sz="4" w:space="0" w:color="auto"/>
            </w:tcBorders>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V</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sz w:val="18"/>
                <w:szCs w:val="18"/>
              </w:rPr>
            </w:pPr>
            <w:r w:rsidRPr="00DD0FAE">
              <w:rPr>
                <w:rFonts w:ascii="Arial" w:eastAsia="Times New Roman" w:hAnsi="Arial" w:cs="Arial"/>
                <w:b/>
                <w:bCs/>
                <w:color w:val="28A29C"/>
                <w:sz w:val="18"/>
                <w:szCs w:val="18"/>
              </w:rPr>
              <w:t>V</w:t>
            </w:r>
          </w:p>
        </w:tc>
      </w:tr>
      <w:tr w:rsidR="007758ED" w:rsidTr="00DD0FAE">
        <w:trPr>
          <w:trHeight w:val="510"/>
          <w:jc w:val="center"/>
        </w:trPr>
        <w:tc>
          <w:tcPr>
            <w:tcW w:w="1169" w:type="pct"/>
            <w:gridSpan w:val="2"/>
            <w:shd w:val="clear" w:color="auto" w:fill="DFECEF"/>
            <w:hideMark/>
          </w:tcPr>
          <w:p w:rsidR="00BF1E3B" w:rsidRPr="00566E34" w:rsidRDefault="00DF6A0A" w:rsidP="00DD0FAE">
            <w:pPr>
              <w:pStyle w:val="73R"/>
              <w:rPr>
                <w:rFonts w:eastAsia="Times New Roman"/>
                <w:rtl/>
              </w:rPr>
            </w:pPr>
            <w:r w:rsidRPr="00566E34">
              <w:rPr>
                <w:rFonts w:eastAsia="Times New Roman"/>
                <w:rtl/>
              </w:rPr>
              <w:t xml:space="preserve">רשות שדות </w:t>
            </w:r>
            <w:r w:rsidRPr="00566E34">
              <w:rPr>
                <w:rFonts w:eastAsia="Times New Roman"/>
                <w:rtl/>
              </w:rPr>
              <w:t>התעופה</w:t>
            </w:r>
          </w:p>
        </w:tc>
        <w:tc>
          <w:tcPr>
            <w:tcW w:w="1331" w:type="pct"/>
            <w:shd w:val="clear" w:color="auto" w:fill="DFECEF"/>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יידוע</w:t>
            </w:r>
          </w:p>
        </w:tc>
        <w:tc>
          <w:tcPr>
            <w:tcW w:w="875" w:type="pct"/>
            <w:shd w:val="clear" w:color="auto" w:fill="BF2544"/>
            <w:hideMark/>
          </w:tcPr>
          <w:p w:rsidR="00BF1E3B" w:rsidRPr="00DD0FAE" w:rsidRDefault="00DF6A0A" w:rsidP="00DD0FAE">
            <w:pPr>
              <w:pStyle w:val="73R"/>
              <w:jc w:val="center"/>
              <w:rPr>
                <w:rFonts w:ascii="Arial" w:eastAsia="Times New Roman" w:hAnsi="Arial" w:cs="Arial"/>
                <w:b/>
                <w:bCs/>
                <w:color w:val="FFFFFF"/>
                <w:sz w:val="18"/>
                <w:szCs w:val="18"/>
              </w:rPr>
            </w:pPr>
            <w:r w:rsidRPr="00DD0FAE">
              <w:rPr>
                <w:rFonts w:ascii="Arial" w:eastAsia="Times New Roman" w:hAnsi="Arial" w:cs="Arial"/>
                <w:b/>
                <w:bCs/>
                <w:color w:val="FFFFFF"/>
                <w:sz w:val="18"/>
                <w:szCs w:val="18"/>
              </w:rPr>
              <w:t>X</w:t>
            </w:r>
          </w:p>
        </w:tc>
        <w:tc>
          <w:tcPr>
            <w:tcW w:w="1625" w:type="pct"/>
            <w:shd w:val="clear" w:color="auto" w:fill="DFECEF"/>
            <w:hideMark/>
          </w:tcPr>
          <w:p w:rsidR="00BF1E3B" w:rsidRPr="00DD0FAE" w:rsidRDefault="00DF6A0A" w:rsidP="00DD0FAE">
            <w:pPr>
              <w:pStyle w:val="73R"/>
              <w:jc w:val="center"/>
              <w:rPr>
                <w:rFonts w:ascii="Arial" w:eastAsia="Times New Roman" w:hAnsi="Arial" w:cs="Arial"/>
                <w:b/>
                <w:bCs/>
                <w:sz w:val="18"/>
                <w:szCs w:val="18"/>
                <w:rtl/>
              </w:rPr>
            </w:pPr>
            <w:r w:rsidRPr="00DD0FAE">
              <w:rPr>
                <w:rFonts w:ascii="Arial" w:eastAsia="Times New Roman" w:hAnsi="Arial" w:cs="Arial"/>
                <w:b/>
                <w:bCs/>
                <w:color w:val="FF0000"/>
                <w:sz w:val="18"/>
                <w:szCs w:val="18"/>
                <w:rtl/>
              </w:rPr>
              <w:t>?</w:t>
            </w:r>
          </w:p>
        </w:tc>
      </w:tr>
      <w:tr w:rsidR="007758ED" w:rsidTr="00DD0FAE">
        <w:trPr>
          <w:trHeight w:val="510"/>
          <w:jc w:val="center"/>
        </w:trPr>
        <w:tc>
          <w:tcPr>
            <w:tcW w:w="1169" w:type="pct"/>
            <w:gridSpan w:val="2"/>
            <w:shd w:val="clear" w:color="auto" w:fill="F0F8F9"/>
            <w:hideMark/>
          </w:tcPr>
          <w:p w:rsidR="00BF1E3B" w:rsidRPr="00566E34" w:rsidRDefault="00DF6A0A" w:rsidP="00DD0FAE">
            <w:pPr>
              <w:pStyle w:val="73R"/>
              <w:rPr>
                <w:rFonts w:eastAsia="Times New Roman"/>
                <w:rtl/>
              </w:rPr>
            </w:pPr>
            <w:r w:rsidRPr="00566E34">
              <w:rPr>
                <w:rFonts w:eastAsia="Times New Roman"/>
                <w:rtl/>
              </w:rPr>
              <w:t>שירות התעסוקה</w:t>
            </w:r>
          </w:p>
        </w:tc>
        <w:tc>
          <w:tcPr>
            <w:tcW w:w="1331" w:type="pct"/>
            <w:shd w:val="clear" w:color="auto" w:fill="F0F8F9"/>
            <w:hideMark/>
          </w:tcPr>
          <w:p w:rsidR="00BF1E3B" w:rsidRPr="00566E34" w:rsidRDefault="00DF6A0A" w:rsidP="00DD0FAE">
            <w:pPr>
              <w:pStyle w:val="73R"/>
              <w:rPr>
                <w:rFonts w:eastAsia="Times New Roman"/>
                <w:rtl/>
              </w:rPr>
            </w:pPr>
            <w:r w:rsidRPr="00566E34">
              <w:rPr>
                <w:rFonts w:eastAsia="Times New Roman" w:hint="eastAsia"/>
                <w:rtl/>
              </w:rPr>
              <w:t>נשלח</w:t>
            </w:r>
            <w:r w:rsidRPr="00566E34">
              <w:rPr>
                <w:rFonts w:eastAsia="Times New Roman"/>
                <w:rtl/>
              </w:rPr>
              <w:t xml:space="preserve"> </w:t>
            </w:r>
            <w:r w:rsidRPr="00566E34">
              <w:rPr>
                <w:rFonts w:eastAsia="Times New Roman" w:hint="eastAsia"/>
                <w:rtl/>
              </w:rPr>
              <w:t>מכתב</w:t>
            </w:r>
            <w:r w:rsidRPr="00566E34">
              <w:rPr>
                <w:rFonts w:eastAsia="Times New Roman"/>
                <w:rtl/>
              </w:rPr>
              <w:t xml:space="preserve"> </w:t>
            </w:r>
            <w:r w:rsidRPr="00566E34">
              <w:rPr>
                <w:rFonts w:eastAsia="Times New Roman" w:hint="eastAsia"/>
                <w:rtl/>
              </w:rPr>
              <w:t>יידוע</w:t>
            </w:r>
          </w:p>
        </w:tc>
        <w:tc>
          <w:tcPr>
            <w:tcW w:w="875" w:type="pct"/>
            <w:shd w:val="clear" w:color="auto" w:fill="28A29C"/>
            <w:hideMark/>
          </w:tcPr>
          <w:p w:rsidR="00BF1E3B" w:rsidRPr="00DD0FAE" w:rsidRDefault="00DF6A0A" w:rsidP="00DD0FAE">
            <w:pPr>
              <w:pStyle w:val="73R"/>
              <w:jc w:val="center"/>
              <w:rPr>
                <w:rFonts w:ascii="Arial" w:eastAsia="Times New Roman" w:hAnsi="Arial" w:cs="Arial"/>
                <w:b/>
                <w:bCs/>
                <w:color w:val="FFFFFF"/>
                <w:sz w:val="18"/>
                <w:szCs w:val="18"/>
                <w:rtl/>
              </w:rPr>
            </w:pPr>
            <w:r w:rsidRPr="00DD0FAE">
              <w:rPr>
                <w:rFonts w:ascii="Arial" w:eastAsia="Times New Roman" w:hAnsi="Arial" w:cs="Arial"/>
                <w:b/>
                <w:bCs/>
                <w:color w:val="FFFFFF"/>
                <w:sz w:val="18"/>
                <w:szCs w:val="18"/>
              </w:rPr>
              <w:t>V</w:t>
            </w:r>
          </w:p>
        </w:tc>
        <w:tc>
          <w:tcPr>
            <w:tcW w:w="1625" w:type="pct"/>
            <w:shd w:val="clear" w:color="auto" w:fill="F0F8F9"/>
            <w:hideMark/>
          </w:tcPr>
          <w:p w:rsidR="00BF1E3B" w:rsidRPr="00DD0FAE" w:rsidRDefault="00DF6A0A" w:rsidP="00DD0FAE">
            <w:pPr>
              <w:pStyle w:val="73R"/>
              <w:jc w:val="center"/>
              <w:rPr>
                <w:rFonts w:ascii="Arial" w:eastAsia="Times New Roman" w:hAnsi="Arial" w:cs="Arial"/>
                <w:b/>
                <w:bCs/>
                <w:sz w:val="18"/>
                <w:szCs w:val="18"/>
              </w:rPr>
            </w:pPr>
            <w:r w:rsidRPr="00DD0FAE">
              <w:rPr>
                <w:rFonts w:ascii="Arial" w:eastAsia="Times New Roman" w:hAnsi="Arial" w:cs="Arial"/>
                <w:b/>
                <w:bCs/>
                <w:color w:val="28A29C"/>
                <w:sz w:val="18"/>
                <w:szCs w:val="18"/>
              </w:rPr>
              <w:t>V</w:t>
            </w:r>
          </w:p>
        </w:tc>
      </w:tr>
    </w:tbl>
    <w:p w:rsidR="00BF1E3B" w:rsidRPr="00566E34" w:rsidRDefault="00DF6A0A" w:rsidP="00DD0FAE">
      <w:pPr>
        <w:pStyle w:val="73e"/>
        <w:rPr>
          <w:rtl/>
        </w:rPr>
      </w:pPr>
      <w:r w:rsidRPr="00566E34">
        <w:rPr>
          <w:rFonts w:hint="eastAsia"/>
          <w:rtl/>
        </w:rPr>
        <w:t>על</w:t>
      </w:r>
      <w:r w:rsidRPr="00566E34">
        <w:rPr>
          <w:rtl/>
        </w:rPr>
        <w:t xml:space="preserve"> </w:t>
      </w:r>
      <w:r w:rsidRPr="00566E34">
        <w:rPr>
          <w:rFonts w:hint="eastAsia"/>
          <w:rtl/>
        </w:rPr>
        <w:t>פי</w:t>
      </w:r>
      <w:r w:rsidRPr="00566E34">
        <w:rPr>
          <w:rtl/>
        </w:rPr>
        <w:t xml:space="preserve"> נתוני הנציבות לשוויון, בעיבוד משרד מבקר המדינה.</w:t>
      </w:r>
    </w:p>
    <w:p w:rsidR="00BF1E3B" w:rsidRPr="00DD0FAE" w:rsidRDefault="00DF6A0A" w:rsidP="00DD0FAE">
      <w:pPr>
        <w:pStyle w:val="735"/>
        <w:rPr>
          <w:rFonts w:eastAsia="Calibri"/>
          <w:rtl/>
        </w:rPr>
      </w:pPr>
      <w:r w:rsidRPr="00DD0FAE">
        <w:rPr>
          <w:rFonts w:eastAsia="Calibri" w:hint="cs"/>
          <w:rtl/>
        </w:rPr>
        <w:t xml:space="preserve">מניתוח נתוני הנציבות על פעולות הפיקוח שבוצעו על ידה בשנים 2019 - 2021 באתרי המרשתת של גופי ממשל עלה שהנציבות מיצתה באופן חלקי את סמכויות </w:t>
      </w:r>
      <w:r w:rsidRPr="00DD0FAE">
        <w:rPr>
          <w:rFonts w:eastAsia="Calibri" w:hint="cs"/>
          <w:rtl/>
        </w:rPr>
        <w:t>הפיקוח והאכיפה שהוקנו לה בחוק עד לאותו מועד כדי להבטיח נגישות מלאה של אנשים עם מוגבלות לאתרי המרשתת של גופי ממשל שנבדקו על ידה, כמפורט ל</w:t>
      </w:r>
      <w:r w:rsidRPr="00DD0FAE">
        <w:rPr>
          <w:rFonts w:eastAsia="Calibri" w:hint="eastAsia"/>
          <w:rtl/>
        </w:rPr>
        <w:t>הלן</w:t>
      </w:r>
      <w:r w:rsidRPr="00DD0FAE">
        <w:rPr>
          <w:rFonts w:eastAsia="Calibri"/>
          <w:rtl/>
        </w:rPr>
        <w:t>:</w:t>
      </w:r>
    </w:p>
    <w:p w:rsidR="00BF1E3B" w:rsidRPr="00DD0FAE" w:rsidRDefault="00DF6A0A">
      <w:pPr>
        <w:pStyle w:val="711"/>
        <w:numPr>
          <w:ilvl w:val="0"/>
          <w:numId w:val="11"/>
        </w:numPr>
        <w:ind w:left="623" w:hanging="396"/>
      </w:pPr>
      <w:r w:rsidRPr="00DD0FAE">
        <w:rPr>
          <w:rFonts w:hint="cs"/>
          <w:rtl/>
        </w:rPr>
        <w:t>הנציבות</w:t>
      </w:r>
      <w:r w:rsidRPr="00DD0FAE">
        <w:rPr>
          <w:rtl/>
        </w:rPr>
        <w:t xml:space="preserve"> מצאה ליקוי אחד </w:t>
      </w:r>
      <w:r w:rsidRPr="00DD0FAE">
        <w:rPr>
          <w:rFonts w:hint="cs"/>
          <w:rtl/>
        </w:rPr>
        <w:t>או יותר</w:t>
      </w:r>
      <w:r w:rsidRPr="00DD0FAE">
        <w:rPr>
          <w:rtl/>
        </w:rPr>
        <w:t xml:space="preserve"> ב</w:t>
      </w:r>
      <w:r w:rsidRPr="00DD0FAE">
        <w:rPr>
          <w:rFonts w:hint="cs"/>
          <w:rtl/>
        </w:rPr>
        <w:t xml:space="preserve">אתרי מרשתת של </w:t>
      </w:r>
      <w:r w:rsidRPr="00DD0FAE">
        <w:rPr>
          <w:rtl/>
        </w:rPr>
        <w:t>כל אחד מ-1</w:t>
      </w:r>
      <w:r w:rsidRPr="00DD0FAE">
        <w:rPr>
          <w:rFonts w:hint="cs"/>
          <w:rtl/>
        </w:rPr>
        <w:t>3</w:t>
      </w:r>
      <w:r w:rsidRPr="00DD0FAE">
        <w:rPr>
          <w:rtl/>
        </w:rPr>
        <w:t xml:space="preserve"> </w:t>
      </w:r>
      <w:r w:rsidRPr="00DD0FAE">
        <w:rPr>
          <w:rFonts w:hint="cs"/>
          <w:rtl/>
        </w:rPr>
        <w:t>גופי הממשל</w:t>
      </w:r>
      <w:r w:rsidRPr="00DD0FAE">
        <w:rPr>
          <w:rtl/>
        </w:rPr>
        <w:t xml:space="preserve"> ש</w:t>
      </w:r>
      <w:r w:rsidRPr="00DD0FAE">
        <w:rPr>
          <w:rFonts w:hint="cs"/>
          <w:rtl/>
        </w:rPr>
        <w:t xml:space="preserve">בהם ביצעה בדיקות נגישות. </w:t>
      </w:r>
    </w:p>
    <w:p w:rsidR="00BF1E3B" w:rsidRPr="00DD0FAE" w:rsidRDefault="00DF6A0A">
      <w:pPr>
        <w:pStyle w:val="711"/>
        <w:numPr>
          <w:ilvl w:val="0"/>
          <w:numId w:val="11"/>
        </w:numPr>
        <w:ind w:left="623" w:hanging="396"/>
      </w:pPr>
      <w:r w:rsidRPr="00DD0FAE">
        <w:rPr>
          <w:rFonts w:hint="cs"/>
          <w:rtl/>
        </w:rPr>
        <w:t>הנציבות לא קיימה מע</w:t>
      </w:r>
      <w:r w:rsidRPr="00DD0FAE">
        <w:rPr>
          <w:rFonts w:hint="cs"/>
          <w:rtl/>
        </w:rPr>
        <w:t xml:space="preserve">קב אחר הליקויים שנמצאו בחמישה </w:t>
      </w:r>
      <w:r w:rsidRPr="00DD0FAE">
        <w:rPr>
          <w:rtl/>
        </w:rPr>
        <w:t>(</w:t>
      </w:r>
      <w:r w:rsidRPr="00DD0FAE">
        <w:rPr>
          <w:rFonts w:hint="cs"/>
          <w:rtl/>
        </w:rPr>
        <w:t>36%</w:t>
      </w:r>
      <w:r w:rsidRPr="00DD0FAE">
        <w:rPr>
          <w:rtl/>
        </w:rPr>
        <w:t>)</w:t>
      </w:r>
      <w:r w:rsidRPr="00DD0FAE">
        <w:rPr>
          <w:rFonts w:hint="cs"/>
          <w:rtl/>
        </w:rPr>
        <w:t xml:space="preserve"> </w:t>
      </w:r>
      <w:r w:rsidRPr="00DD0FAE">
        <w:rPr>
          <w:rtl/>
        </w:rPr>
        <w:t>מבין 1</w:t>
      </w:r>
      <w:r w:rsidRPr="00DD0FAE">
        <w:rPr>
          <w:rFonts w:hint="cs"/>
          <w:rtl/>
        </w:rPr>
        <w:t>4</w:t>
      </w:r>
      <w:r w:rsidRPr="00DD0FAE">
        <w:rPr>
          <w:rtl/>
        </w:rPr>
        <w:t xml:space="preserve"> </w:t>
      </w:r>
      <w:r w:rsidRPr="00DD0FAE">
        <w:rPr>
          <w:rFonts w:hint="cs"/>
          <w:rtl/>
        </w:rPr>
        <w:t>אתרי מרשתת</w:t>
      </w:r>
      <w:r w:rsidRPr="00DD0FAE">
        <w:rPr>
          <w:rtl/>
        </w:rPr>
        <w:t xml:space="preserve"> </w:t>
      </w:r>
      <w:r w:rsidRPr="00DD0FAE">
        <w:rPr>
          <w:rFonts w:hint="cs"/>
          <w:rtl/>
        </w:rPr>
        <w:t xml:space="preserve">של גופי ממשל </w:t>
      </w:r>
      <w:r w:rsidRPr="00DD0FAE">
        <w:rPr>
          <w:rtl/>
        </w:rPr>
        <w:t>ש</w:t>
      </w:r>
      <w:r w:rsidRPr="00DD0FAE">
        <w:rPr>
          <w:rFonts w:hint="cs"/>
          <w:rtl/>
        </w:rPr>
        <w:t>בהם מצאה ליקויי נגישות בשנים 2019 - 2021.</w:t>
      </w:r>
      <w:r w:rsidRPr="00DD0FAE">
        <w:rPr>
          <w:rtl/>
        </w:rPr>
        <w:t xml:space="preserve"> </w:t>
      </w:r>
      <w:r w:rsidRPr="00DD0FAE">
        <w:rPr>
          <w:rFonts w:hint="cs"/>
          <w:rtl/>
        </w:rPr>
        <w:t xml:space="preserve">מעקב זה לא בוצע באתרי המרשתת של הגופים הבאים: ביטוח לאומי, ועדת הבחירות </w:t>
      </w:r>
      <w:r w:rsidRPr="00DD0FAE">
        <w:rPr>
          <w:rFonts w:hint="cs"/>
          <w:rtl/>
        </w:rPr>
        <w:lastRenderedPageBreak/>
        <w:t xml:space="preserve">המרכזית, אתר אחד של משרד הביטחון, מערך הדיגיטל הלאומי ורשות שדות התעופה. בנסיבות אלה, </w:t>
      </w:r>
      <w:r w:rsidRPr="00DD0FAE">
        <w:rPr>
          <w:rtl/>
        </w:rPr>
        <w:t>אין בידי</w:t>
      </w:r>
      <w:r w:rsidRPr="00DD0FAE">
        <w:rPr>
          <w:rFonts w:hint="cs"/>
          <w:rtl/>
        </w:rPr>
        <w:t xml:space="preserve"> הנציבות</w:t>
      </w:r>
      <w:r w:rsidRPr="00DD0FAE">
        <w:rPr>
          <w:rtl/>
        </w:rPr>
        <w:t xml:space="preserve"> בשנת 2022 מ</w:t>
      </w:r>
      <w:r w:rsidRPr="00DD0FAE">
        <w:rPr>
          <w:rFonts w:hint="cs"/>
          <w:rtl/>
        </w:rPr>
        <w:t>י</w:t>
      </w:r>
      <w:r w:rsidRPr="00DD0FAE">
        <w:rPr>
          <w:rtl/>
        </w:rPr>
        <w:t xml:space="preserve">דע </w:t>
      </w:r>
      <w:r w:rsidRPr="00DD0FAE">
        <w:rPr>
          <w:rFonts w:hint="cs"/>
          <w:rtl/>
        </w:rPr>
        <w:t xml:space="preserve">העונה על השאלה </w:t>
      </w:r>
      <w:r w:rsidRPr="00DD0FAE">
        <w:rPr>
          <w:rtl/>
        </w:rPr>
        <w:t xml:space="preserve">אם </w:t>
      </w:r>
      <w:r w:rsidRPr="00DD0FAE">
        <w:rPr>
          <w:rFonts w:hint="cs"/>
          <w:rtl/>
        </w:rPr>
        <w:t xml:space="preserve">הגופים המפעילים את חמשת האתרים תיקנו את הליקויים שנמצאו בהם. </w:t>
      </w:r>
    </w:p>
    <w:p w:rsidR="00BF1E3B" w:rsidRPr="00DD0FAE" w:rsidRDefault="00DF6A0A">
      <w:pPr>
        <w:pStyle w:val="711"/>
        <w:numPr>
          <w:ilvl w:val="0"/>
          <w:numId w:val="11"/>
        </w:numPr>
        <w:ind w:left="623" w:hanging="396"/>
      </w:pPr>
      <w:r w:rsidRPr="00DD0FAE">
        <w:rPr>
          <w:rFonts w:hint="cs"/>
          <w:rtl/>
        </w:rPr>
        <w:t>מבין תשעת</w:t>
      </w:r>
      <w:r w:rsidRPr="00DD0FAE">
        <w:rPr>
          <w:rtl/>
        </w:rPr>
        <w:t xml:space="preserve"> הגופים </w:t>
      </w:r>
      <w:r w:rsidRPr="00DD0FAE">
        <w:rPr>
          <w:rFonts w:hint="cs"/>
          <w:rtl/>
        </w:rPr>
        <w:t>שבאתריהם נמצאו ליקויי נגישות ושאחריהם קיי</w:t>
      </w:r>
      <w:r w:rsidRPr="00DD0FAE">
        <w:rPr>
          <w:rFonts w:hint="cs"/>
          <w:rtl/>
        </w:rPr>
        <w:t>מה ה</w:t>
      </w:r>
      <w:r w:rsidRPr="00DD0FAE">
        <w:rPr>
          <w:rtl/>
        </w:rPr>
        <w:t>נציבות מ</w:t>
      </w:r>
      <w:r w:rsidRPr="00DD0FAE">
        <w:rPr>
          <w:rFonts w:hint="cs"/>
          <w:rtl/>
        </w:rPr>
        <w:t xml:space="preserve">עקב, </w:t>
      </w:r>
      <w:r w:rsidRPr="00DD0FAE">
        <w:rPr>
          <w:rtl/>
        </w:rPr>
        <w:t>רק חמישה</w:t>
      </w:r>
      <w:r w:rsidRPr="00DD0FAE">
        <w:rPr>
          <w:rFonts w:hint="cs"/>
          <w:rtl/>
        </w:rPr>
        <w:t xml:space="preserve"> (56%)</w:t>
      </w:r>
      <w:r w:rsidRPr="00DD0FAE">
        <w:rPr>
          <w:rtl/>
        </w:rPr>
        <w:t xml:space="preserve"> </w:t>
      </w:r>
      <w:r w:rsidRPr="00DD0FAE">
        <w:rPr>
          <w:rFonts w:hint="cs"/>
          <w:rtl/>
        </w:rPr>
        <w:t>תי</w:t>
      </w:r>
      <w:r w:rsidRPr="00DD0FAE">
        <w:rPr>
          <w:rtl/>
        </w:rPr>
        <w:t xml:space="preserve">קנו את כל הליקויים </w:t>
      </w:r>
      <w:r w:rsidRPr="00DD0FAE">
        <w:rPr>
          <w:rFonts w:hint="cs"/>
          <w:rtl/>
        </w:rPr>
        <w:t>ש</w:t>
      </w:r>
      <w:r w:rsidRPr="00DD0FAE">
        <w:rPr>
          <w:rtl/>
        </w:rPr>
        <w:t>עליהם התריעה</w:t>
      </w:r>
      <w:r w:rsidRPr="00DD0FAE">
        <w:rPr>
          <w:rFonts w:hint="cs"/>
          <w:rtl/>
        </w:rPr>
        <w:t xml:space="preserve"> הנציבות.</w:t>
      </w:r>
      <w:r w:rsidRPr="00DD0FAE">
        <w:rPr>
          <w:rtl/>
        </w:rPr>
        <w:t xml:space="preserve"> </w:t>
      </w:r>
      <w:r w:rsidRPr="00DD0FAE">
        <w:rPr>
          <w:rFonts w:hint="cs"/>
          <w:rtl/>
        </w:rPr>
        <w:t xml:space="preserve">ארבעת האחרים (44%) </w:t>
      </w:r>
      <w:r w:rsidRPr="00DD0FAE">
        <w:rPr>
          <w:rtl/>
        </w:rPr>
        <w:t xml:space="preserve">תיקנו </w:t>
      </w:r>
      <w:r w:rsidRPr="00DD0FAE">
        <w:rPr>
          <w:rFonts w:hint="cs"/>
          <w:rtl/>
        </w:rPr>
        <w:t xml:space="preserve">רק חלק מהליקויים. ואלה הגופים שתיקנו רק חלק מהליקויים: משרד הביטחון (באתר מרשתת אחד), משרד החינוך, משרד התחבורה ופיקוד העורף. </w:t>
      </w:r>
    </w:p>
    <w:p w:rsidR="00BF1E3B" w:rsidRPr="00DD0FAE" w:rsidRDefault="00DF6A0A">
      <w:pPr>
        <w:pStyle w:val="711"/>
        <w:numPr>
          <w:ilvl w:val="0"/>
          <w:numId w:val="11"/>
        </w:numPr>
        <w:ind w:left="623" w:hanging="396"/>
      </w:pPr>
      <w:r w:rsidRPr="00DD0FAE">
        <w:rPr>
          <w:rFonts w:hint="eastAsia"/>
          <w:rtl/>
        </w:rPr>
        <w:t>הנציבות</w:t>
      </w:r>
      <w:r w:rsidRPr="00DD0FAE">
        <w:rPr>
          <w:rtl/>
        </w:rPr>
        <w:t xml:space="preserve"> הפסיקה את </w:t>
      </w:r>
      <w:r w:rsidRPr="00DD0FAE">
        <w:rPr>
          <w:rFonts w:hint="eastAsia"/>
          <w:rtl/>
        </w:rPr>
        <w:t>פעולות</w:t>
      </w:r>
      <w:r w:rsidRPr="00DD0FAE">
        <w:rPr>
          <w:rtl/>
        </w:rPr>
        <w:t xml:space="preserve"> </w:t>
      </w:r>
      <w:r w:rsidRPr="00DD0FAE">
        <w:rPr>
          <w:rFonts w:hint="eastAsia"/>
          <w:rtl/>
        </w:rPr>
        <w:t>הפי</w:t>
      </w:r>
      <w:r w:rsidRPr="00DD0FAE">
        <w:rPr>
          <w:rFonts w:hint="eastAsia"/>
          <w:rtl/>
        </w:rPr>
        <w:t>קוח</w:t>
      </w:r>
      <w:r w:rsidRPr="00DD0FAE">
        <w:rPr>
          <w:rtl/>
        </w:rPr>
        <w:t xml:space="preserve"> </w:t>
      </w:r>
      <w:r w:rsidRPr="00DD0FAE">
        <w:rPr>
          <w:rFonts w:hint="eastAsia"/>
          <w:rtl/>
        </w:rPr>
        <w:t>והאכיפה</w:t>
      </w:r>
      <w:r w:rsidRPr="00DD0FAE">
        <w:rPr>
          <w:rtl/>
        </w:rPr>
        <w:t xml:space="preserve"> </w:t>
      </w:r>
      <w:r w:rsidRPr="00DD0FAE">
        <w:rPr>
          <w:rFonts w:hint="eastAsia"/>
          <w:rtl/>
        </w:rPr>
        <w:t>וסגרה</w:t>
      </w:r>
      <w:r w:rsidRPr="00DD0FAE">
        <w:rPr>
          <w:rtl/>
        </w:rPr>
        <w:t xml:space="preserve"> את </w:t>
      </w:r>
      <w:r w:rsidRPr="00DD0FAE">
        <w:rPr>
          <w:rFonts w:hint="eastAsia"/>
          <w:rtl/>
        </w:rPr>
        <w:t>תיקי</w:t>
      </w:r>
      <w:r w:rsidRPr="00DD0FAE">
        <w:rPr>
          <w:rtl/>
        </w:rPr>
        <w:t xml:space="preserve"> </w:t>
      </w:r>
      <w:r w:rsidRPr="00DD0FAE">
        <w:rPr>
          <w:rFonts w:hint="eastAsia"/>
          <w:rtl/>
        </w:rPr>
        <w:t>הפיקוח</w:t>
      </w:r>
      <w:r w:rsidRPr="00DD0FAE">
        <w:rPr>
          <w:rtl/>
        </w:rPr>
        <w:t xml:space="preserve"> מבלי לבחון את הצורך בנקיטת </w:t>
      </w:r>
      <w:r w:rsidRPr="00DD0FAE">
        <w:rPr>
          <w:rFonts w:hint="eastAsia"/>
          <w:rtl/>
        </w:rPr>
        <w:t>צעדים</w:t>
      </w:r>
      <w:r w:rsidRPr="00DD0FAE">
        <w:rPr>
          <w:rtl/>
        </w:rPr>
        <w:t xml:space="preserve"> נוספ</w:t>
      </w:r>
      <w:r w:rsidRPr="00DD0FAE">
        <w:rPr>
          <w:rFonts w:hint="eastAsia"/>
          <w:rtl/>
        </w:rPr>
        <w:t>ים</w:t>
      </w:r>
      <w:r w:rsidRPr="00DD0FAE">
        <w:rPr>
          <w:rtl/>
        </w:rPr>
        <w:t xml:space="preserve"> </w:t>
      </w:r>
      <w:r w:rsidRPr="00DD0FAE">
        <w:rPr>
          <w:rFonts w:hint="eastAsia"/>
          <w:rtl/>
        </w:rPr>
        <w:t>שבסמכותה</w:t>
      </w:r>
      <w:r w:rsidRPr="00DD0FAE">
        <w:rPr>
          <w:rtl/>
        </w:rPr>
        <w:t xml:space="preserve"> </w:t>
      </w:r>
      <w:r w:rsidRPr="00DD0FAE">
        <w:rPr>
          <w:rFonts w:hint="eastAsia"/>
          <w:rtl/>
        </w:rPr>
        <w:t>לנקוט</w:t>
      </w:r>
      <w:r w:rsidRPr="00DD0FAE">
        <w:rPr>
          <w:rtl/>
        </w:rPr>
        <w:t xml:space="preserve"> </w:t>
      </w:r>
      <w:r w:rsidRPr="00DD0FAE">
        <w:rPr>
          <w:rFonts w:hint="eastAsia"/>
          <w:rtl/>
        </w:rPr>
        <w:t>כלפי</w:t>
      </w:r>
      <w:r w:rsidRPr="00DD0FAE">
        <w:rPr>
          <w:rtl/>
        </w:rPr>
        <w:t xml:space="preserve"> </w:t>
      </w:r>
      <w:r w:rsidRPr="00DD0FAE">
        <w:rPr>
          <w:rFonts w:hint="eastAsia"/>
          <w:rtl/>
        </w:rPr>
        <w:t>גופי</w:t>
      </w:r>
      <w:r w:rsidRPr="00DD0FAE">
        <w:rPr>
          <w:rtl/>
        </w:rPr>
        <w:t xml:space="preserve"> </w:t>
      </w:r>
      <w:r w:rsidRPr="00DD0FAE">
        <w:rPr>
          <w:rFonts w:hint="eastAsia"/>
          <w:rtl/>
        </w:rPr>
        <w:t>ממשל</w:t>
      </w:r>
      <w:r w:rsidRPr="00DD0FAE">
        <w:rPr>
          <w:rtl/>
        </w:rPr>
        <w:t xml:space="preserve"> </w:t>
      </w:r>
      <w:r w:rsidRPr="00DD0FAE">
        <w:rPr>
          <w:rFonts w:hint="eastAsia"/>
          <w:rtl/>
        </w:rPr>
        <w:t>שמצאה</w:t>
      </w:r>
      <w:r w:rsidRPr="00DD0FAE">
        <w:rPr>
          <w:rtl/>
        </w:rPr>
        <w:t xml:space="preserve"> באתרי </w:t>
      </w:r>
      <w:r w:rsidRPr="00DD0FAE">
        <w:rPr>
          <w:rFonts w:hint="eastAsia"/>
          <w:rtl/>
        </w:rPr>
        <w:t>המרשתת</w:t>
      </w:r>
      <w:r w:rsidRPr="00DD0FAE">
        <w:rPr>
          <w:rtl/>
        </w:rPr>
        <w:t xml:space="preserve"> שלהם </w:t>
      </w:r>
      <w:r w:rsidRPr="00DD0FAE">
        <w:rPr>
          <w:rFonts w:hint="eastAsia"/>
          <w:rtl/>
        </w:rPr>
        <w:t>ליקויי</w:t>
      </w:r>
      <w:r w:rsidRPr="00DD0FAE">
        <w:rPr>
          <w:rtl/>
        </w:rPr>
        <w:t xml:space="preserve"> נגישות</w:t>
      </w:r>
      <w:r w:rsidRPr="00DD0FAE">
        <w:rPr>
          <w:rFonts w:hint="cs"/>
          <w:rtl/>
        </w:rPr>
        <w:t>,</w:t>
      </w:r>
      <w:r w:rsidRPr="00DD0FAE">
        <w:rPr>
          <w:rtl/>
        </w:rPr>
        <w:t xml:space="preserve"> </w:t>
      </w:r>
      <w:r w:rsidRPr="00DD0FAE">
        <w:rPr>
          <w:rFonts w:hint="eastAsia"/>
          <w:rtl/>
        </w:rPr>
        <w:t>גם</w:t>
      </w:r>
      <w:r w:rsidRPr="00DD0FAE">
        <w:rPr>
          <w:rtl/>
        </w:rPr>
        <w:t xml:space="preserve"> </w:t>
      </w:r>
      <w:r w:rsidRPr="00DD0FAE">
        <w:rPr>
          <w:rFonts w:hint="eastAsia"/>
          <w:rtl/>
        </w:rPr>
        <w:t>במקרים</w:t>
      </w:r>
      <w:r w:rsidRPr="00DD0FAE">
        <w:rPr>
          <w:rtl/>
        </w:rPr>
        <w:t xml:space="preserve"> </w:t>
      </w:r>
      <w:r w:rsidRPr="00DD0FAE">
        <w:rPr>
          <w:rFonts w:hint="cs"/>
          <w:rtl/>
        </w:rPr>
        <w:t>ש</w:t>
      </w:r>
      <w:r w:rsidRPr="00DD0FAE">
        <w:rPr>
          <w:rFonts w:hint="eastAsia"/>
          <w:rtl/>
        </w:rPr>
        <w:t>בהם</w:t>
      </w:r>
      <w:r w:rsidRPr="00DD0FAE">
        <w:rPr>
          <w:rtl/>
        </w:rPr>
        <w:t xml:space="preserve"> </w:t>
      </w:r>
      <w:r w:rsidRPr="00DD0FAE">
        <w:rPr>
          <w:rFonts w:hint="eastAsia"/>
          <w:rtl/>
        </w:rPr>
        <w:t>לא</w:t>
      </w:r>
      <w:r w:rsidRPr="00DD0FAE">
        <w:rPr>
          <w:rtl/>
        </w:rPr>
        <w:t xml:space="preserve"> </w:t>
      </w:r>
      <w:r w:rsidRPr="00DD0FAE">
        <w:rPr>
          <w:rFonts w:hint="eastAsia"/>
          <w:rtl/>
        </w:rPr>
        <w:t>היה</w:t>
      </w:r>
      <w:r w:rsidRPr="00DD0FAE">
        <w:rPr>
          <w:rtl/>
        </w:rPr>
        <w:t xml:space="preserve"> </w:t>
      </w:r>
      <w:r w:rsidRPr="00DD0FAE">
        <w:rPr>
          <w:rFonts w:hint="eastAsia"/>
          <w:rtl/>
        </w:rPr>
        <w:t>לה</w:t>
      </w:r>
      <w:r w:rsidRPr="00DD0FAE">
        <w:rPr>
          <w:rtl/>
        </w:rPr>
        <w:t xml:space="preserve"> </w:t>
      </w:r>
      <w:r w:rsidRPr="00DD0FAE">
        <w:rPr>
          <w:rFonts w:hint="eastAsia"/>
          <w:rtl/>
        </w:rPr>
        <w:t>מידע</w:t>
      </w:r>
      <w:r w:rsidRPr="00DD0FAE">
        <w:rPr>
          <w:rtl/>
        </w:rPr>
        <w:t xml:space="preserve"> </w:t>
      </w:r>
      <w:r w:rsidRPr="00DD0FAE">
        <w:rPr>
          <w:rFonts w:hint="eastAsia"/>
          <w:rtl/>
        </w:rPr>
        <w:t>על</w:t>
      </w:r>
      <w:r w:rsidRPr="00DD0FAE">
        <w:rPr>
          <w:rtl/>
        </w:rPr>
        <w:t xml:space="preserve"> </w:t>
      </w:r>
      <w:r w:rsidRPr="00DD0FAE">
        <w:rPr>
          <w:rFonts w:hint="eastAsia"/>
          <w:rtl/>
        </w:rPr>
        <w:t>תיקון</w:t>
      </w:r>
      <w:r w:rsidRPr="00DD0FAE">
        <w:rPr>
          <w:rtl/>
        </w:rPr>
        <w:t xml:space="preserve"> </w:t>
      </w:r>
      <w:r w:rsidRPr="00DD0FAE">
        <w:rPr>
          <w:rFonts w:hint="eastAsia"/>
          <w:rtl/>
        </w:rPr>
        <w:t>הליקויים</w:t>
      </w:r>
      <w:r w:rsidRPr="00DD0FAE">
        <w:rPr>
          <w:rtl/>
        </w:rPr>
        <w:t xml:space="preserve"> </w:t>
      </w:r>
      <w:r w:rsidRPr="00DD0FAE">
        <w:rPr>
          <w:rFonts w:hint="eastAsia"/>
          <w:rtl/>
        </w:rPr>
        <w:t>וגם</w:t>
      </w:r>
      <w:r w:rsidRPr="00DD0FAE">
        <w:rPr>
          <w:rtl/>
        </w:rPr>
        <w:t xml:space="preserve"> </w:t>
      </w:r>
      <w:r w:rsidRPr="00DD0FAE">
        <w:rPr>
          <w:rFonts w:hint="eastAsia"/>
          <w:rtl/>
        </w:rPr>
        <w:t>במקרים</w:t>
      </w:r>
      <w:r w:rsidRPr="00DD0FAE">
        <w:rPr>
          <w:rtl/>
        </w:rPr>
        <w:t xml:space="preserve"> </w:t>
      </w:r>
      <w:r w:rsidRPr="00DD0FAE">
        <w:rPr>
          <w:rFonts w:hint="cs"/>
          <w:rtl/>
        </w:rPr>
        <w:t>ש</w:t>
      </w:r>
      <w:r w:rsidRPr="00DD0FAE">
        <w:rPr>
          <w:rFonts w:hint="eastAsia"/>
          <w:rtl/>
        </w:rPr>
        <w:t>בהם</w:t>
      </w:r>
      <w:r w:rsidRPr="00DD0FAE">
        <w:rPr>
          <w:rtl/>
        </w:rPr>
        <w:t xml:space="preserve"> </w:t>
      </w:r>
      <w:r w:rsidRPr="00DD0FAE">
        <w:rPr>
          <w:rFonts w:hint="eastAsia"/>
          <w:rtl/>
        </w:rPr>
        <w:t>היה</w:t>
      </w:r>
      <w:r w:rsidRPr="00DD0FAE">
        <w:rPr>
          <w:rtl/>
        </w:rPr>
        <w:t xml:space="preserve"> </w:t>
      </w:r>
      <w:r w:rsidRPr="00DD0FAE">
        <w:rPr>
          <w:rFonts w:hint="eastAsia"/>
          <w:rtl/>
        </w:rPr>
        <w:t>לה</w:t>
      </w:r>
      <w:r w:rsidRPr="00DD0FAE">
        <w:rPr>
          <w:rtl/>
        </w:rPr>
        <w:t xml:space="preserve"> </w:t>
      </w:r>
      <w:r w:rsidRPr="00DD0FAE">
        <w:rPr>
          <w:rFonts w:hint="eastAsia"/>
          <w:rtl/>
        </w:rPr>
        <w:t>מידע</w:t>
      </w:r>
      <w:r w:rsidRPr="00DD0FAE">
        <w:rPr>
          <w:rtl/>
        </w:rPr>
        <w:t xml:space="preserve"> </w:t>
      </w:r>
      <w:r w:rsidRPr="00DD0FAE">
        <w:rPr>
          <w:rFonts w:hint="cs"/>
          <w:rtl/>
        </w:rPr>
        <w:t>שלפיו</w:t>
      </w:r>
      <w:r w:rsidRPr="00DD0FAE">
        <w:rPr>
          <w:rtl/>
        </w:rPr>
        <w:t xml:space="preserve"> </w:t>
      </w:r>
      <w:r w:rsidRPr="00DD0FAE">
        <w:rPr>
          <w:rFonts w:hint="eastAsia"/>
          <w:rtl/>
        </w:rPr>
        <w:t>הם</w:t>
      </w:r>
      <w:r w:rsidRPr="00DD0FAE">
        <w:rPr>
          <w:rtl/>
        </w:rPr>
        <w:t xml:space="preserve"> </w:t>
      </w:r>
      <w:r w:rsidRPr="00DD0FAE">
        <w:rPr>
          <w:rFonts w:hint="eastAsia"/>
          <w:rtl/>
        </w:rPr>
        <w:t>תוקנו</w:t>
      </w:r>
      <w:r w:rsidRPr="00DD0FAE">
        <w:rPr>
          <w:rtl/>
        </w:rPr>
        <w:t xml:space="preserve"> </w:t>
      </w:r>
      <w:r w:rsidRPr="00DD0FAE">
        <w:rPr>
          <w:rFonts w:hint="eastAsia"/>
          <w:rtl/>
        </w:rPr>
        <w:t>רק</w:t>
      </w:r>
      <w:r w:rsidRPr="00DD0FAE">
        <w:rPr>
          <w:rtl/>
        </w:rPr>
        <w:t xml:space="preserve"> </w:t>
      </w:r>
      <w:r w:rsidRPr="00DD0FAE">
        <w:rPr>
          <w:rFonts w:hint="eastAsia"/>
          <w:rtl/>
        </w:rPr>
        <w:t>חלקית</w:t>
      </w:r>
      <w:r w:rsidRPr="00DD0FAE">
        <w:rPr>
          <w:rFonts w:hint="cs"/>
          <w:rtl/>
        </w:rPr>
        <w:t>.</w:t>
      </w:r>
      <w:r w:rsidRPr="00DD0FAE">
        <w:rPr>
          <w:rtl/>
        </w:rPr>
        <w:t xml:space="preserve"> </w:t>
      </w:r>
      <w:r w:rsidRPr="00DD0FAE">
        <w:rPr>
          <w:rFonts w:hint="eastAsia"/>
          <w:rtl/>
        </w:rPr>
        <w:t>הנציבות</w:t>
      </w:r>
      <w:r w:rsidRPr="00DD0FAE">
        <w:rPr>
          <w:rtl/>
        </w:rPr>
        <w:t xml:space="preserve"> </w:t>
      </w:r>
      <w:r w:rsidRPr="00DD0FAE">
        <w:rPr>
          <w:rFonts w:hint="eastAsia"/>
          <w:rtl/>
        </w:rPr>
        <w:t>הפסיקה</w:t>
      </w:r>
      <w:r w:rsidRPr="00DD0FAE">
        <w:rPr>
          <w:rtl/>
        </w:rPr>
        <w:t xml:space="preserve"> </w:t>
      </w:r>
      <w:r w:rsidRPr="00DD0FAE">
        <w:rPr>
          <w:rFonts w:hint="eastAsia"/>
          <w:rtl/>
        </w:rPr>
        <w:t>את</w:t>
      </w:r>
      <w:r w:rsidRPr="00DD0FAE">
        <w:rPr>
          <w:rtl/>
        </w:rPr>
        <w:t xml:space="preserve"> </w:t>
      </w:r>
      <w:r w:rsidRPr="00DD0FAE">
        <w:rPr>
          <w:rFonts w:hint="eastAsia"/>
          <w:rtl/>
        </w:rPr>
        <w:t>פעולות</w:t>
      </w:r>
      <w:r w:rsidRPr="00DD0FAE">
        <w:rPr>
          <w:rtl/>
        </w:rPr>
        <w:t xml:space="preserve"> </w:t>
      </w:r>
      <w:r w:rsidRPr="00DD0FAE">
        <w:rPr>
          <w:rFonts w:hint="eastAsia"/>
          <w:rtl/>
        </w:rPr>
        <w:t>הפיקוח</w:t>
      </w:r>
      <w:r w:rsidRPr="00DD0FAE">
        <w:rPr>
          <w:rtl/>
        </w:rPr>
        <w:t xml:space="preserve"> </w:t>
      </w:r>
      <w:r w:rsidRPr="00DD0FAE">
        <w:rPr>
          <w:rFonts w:hint="eastAsia"/>
          <w:rtl/>
        </w:rPr>
        <w:t>והאכיפה</w:t>
      </w:r>
      <w:r w:rsidRPr="00DD0FAE">
        <w:rPr>
          <w:rtl/>
        </w:rPr>
        <w:t xml:space="preserve"> </w:t>
      </w:r>
      <w:r w:rsidRPr="00DD0FAE">
        <w:rPr>
          <w:rFonts w:hint="eastAsia"/>
          <w:rtl/>
        </w:rPr>
        <w:t>בשני</w:t>
      </w:r>
      <w:r w:rsidRPr="00DD0FAE">
        <w:rPr>
          <w:rtl/>
        </w:rPr>
        <w:t xml:space="preserve"> </w:t>
      </w:r>
      <w:r w:rsidRPr="00DD0FAE">
        <w:rPr>
          <w:rFonts w:hint="eastAsia"/>
          <w:rtl/>
        </w:rPr>
        <w:t>מקרים</w:t>
      </w:r>
      <w:r w:rsidRPr="00DD0FAE">
        <w:rPr>
          <w:rtl/>
        </w:rPr>
        <w:t xml:space="preserve"> </w:t>
      </w:r>
      <w:r w:rsidRPr="00DD0FAE">
        <w:rPr>
          <w:rFonts w:hint="cs"/>
          <w:rtl/>
        </w:rPr>
        <w:t>ש</w:t>
      </w:r>
      <w:r w:rsidRPr="00DD0FAE">
        <w:rPr>
          <w:rFonts w:hint="eastAsia"/>
          <w:rtl/>
        </w:rPr>
        <w:t>בהם</w:t>
      </w:r>
      <w:r w:rsidRPr="00DD0FAE">
        <w:rPr>
          <w:rtl/>
        </w:rPr>
        <w:t xml:space="preserve"> </w:t>
      </w:r>
      <w:r w:rsidRPr="00DD0FAE">
        <w:rPr>
          <w:rFonts w:hint="eastAsia"/>
          <w:rtl/>
        </w:rPr>
        <w:t>כבר</w:t>
      </w:r>
      <w:r w:rsidRPr="00DD0FAE">
        <w:rPr>
          <w:rtl/>
        </w:rPr>
        <w:t xml:space="preserve"> </w:t>
      </w:r>
      <w:r w:rsidRPr="00DD0FAE">
        <w:rPr>
          <w:rFonts w:hint="eastAsia"/>
          <w:rtl/>
        </w:rPr>
        <w:t>הוציאה</w:t>
      </w:r>
      <w:r w:rsidRPr="00DD0FAE">
        <w:rPr>
          <w:rtl/>
        </w:rPr>
        <w:t xml:space="preserve"> </w:t>
      </w:r>
      <w:r w:rsidRPr="00DD0FAE">
        <w:rPr>
          <w:rFonts w:hint="eastAsia"/>
          <w:rtl/>
        </w:rPr>
        <w:t>צו</w:t>
      </w:r>
      <w:r w:rsidRPr="00DD0FAE">
        <w:rPr>
          <w:rtl/>
        </w:rPr>
        <w:t xml:space="preserve"> </w:t>
      </w:r>
      <w:r w:rsidRPr="00DD0FAE">
        <w:rPr>
          <w:rFonts w:hint="eastAsia"/>
          <w:rtl/>
        </w:rPr>
        <w:t>נגישות</w:t>
      </w:r>
      <w:r w:rsidRPr="00DD0FAE">
        <w:rPr>
          <w:rFonts w:hint="cs"/>
          <w:rtl/>
        </w:rPr>
        <w:t>,</w:t>
      </w:r>
      <w:r w:rsidRPr="00DD0FAE">
        <w:rPr>
          <w:rtl/>
        </w:rPr>
        <w:t xml:space="preserve"> </w:t>
      </w:r>
      <w:r w:rsidRPr="00DD0FAE">
        <w:rPr>
          <w:rFonts w:hint="cs"/>
          <w:rtl/>
        </w:rPr>
        <w:t>אף</w:t>
      </w:r>
      <w:r w:rsidRPr="00DD0FAE">
        <w:rPr>
          <w:rtl/>
        </w:rPr>
        <w:t xml:space="preserve"> </w:t>
      </w:r>
      <w:r w:rsidRPr="00DD0FAE">
        <w:rPr>
          <w:rFonts w:hint="eastAsia"/>
          <w:rtl/>
        </w:rPr>
        <w:t>שב</w:t>
      </w:r>
      <w:r w:rsidRPr="00DD0FAE">
        <w:rPr>
          <w:rFonts w:hint="cs"/>
          <w:rtl/>
        </w:rPr>
        <w:t>נוגע ל</w:t>
      </w:r>
      <w:r w:rsidRPr="00DD0FAE">
        <w:rPr>
          <w:rFonts w:hint="eastAsia"/>
          <w:rtl/>
        </w:rPr>
        <w:t>אחד</w:t>
      </w:r>
      <w:r w:rsidRPr="00DD0FAE">
        <w:rPr>
          <w:rtl/>
        </w:rPr>
        <w:t xml:space="preserve"> </w:t>
      </w:r>
      <w:r w:rsidRPr="00DD0FAE">
        <w:rPr>
          <w:rFonts w:hint="eastAsia"/>
          <w:rtl/>
        </w:rPr>
        <w:t>מהם</w:t>
      </w:r>
      <w:r w:rsidRPr="00DD0FAE">
        <w:rPr>
          <w:rtl/>
        </w:rPr>
        <w:t xml:space="preserve"> </w:t>
      </w:r>
      <w:r w:rsidRPr="00DD0FAE">
        <w:rPr>
          <w:rFonts w:hint="eastAsia"/>
          <w:rtl/>
        </w:rPr>
        <w:t>לא</w:t>
      </w:r>
      <w:r w:rsidRPr="00DD0FAE">
        <w:rPr>
          <w:rtl/>
        </w:rPr>
        <w:t xml:space="preserve"> </w:t>
      </w:r>
      <w:r w:rsidRPr="00DD0FAE">
        <w:rPr>
          <w:rFonts w:hint="eastAsia"/>
          <w:rtl/>
        </w:rPr>
        <w:t>היה</w:t>
      </w:r>
      <w:r w:rsidRPr="00DD0FAE">
        <w:rPr>
          <w:rtl/>
        </w:rPr>
        <w:t xml:space="preserve"> </w:t>
      </w:r>
      <w:r w:rsidRPr="00DD0FAE">
        <w:rPr>
          <w:rFonts w:hint="eastAsia"/>
          <w:rtl/>
        </w:rPr>
        <w:t>לה</w:t>
      </w:r>
      <w:r w:rsidRPr="00DD0FAE">
        <w:rPr>
          <w:rtl/>
        </w:rPr>
        <w:t xml:space="preserve"> </w:t>
      </w:r>
      <w:r w:rsidRPr="00DD0FAE">
        <w:rPr>
          <w:rFonts w:hint="eastAsia"/>
          <w:rtl/>
        </w:rPr>
        <w:t>מידע</w:t>
      </w:r>
      <w:r w:rsidRPr="00DD0FAE">
        <w:rPr>
          <w:rtl/>
        </w:rPr>
        <w:t xml:space="preserve"> </w:t>
      </w:r>
      <w:r w:rsidRPr="00DD0FAE">
        <w:rPr>
          <w:rFonts w:hint="cs"/>
          <w:rtl/>
        </w:rPr>
        <w:t>על תיקון</w:t>
      </w:r>
      <w:r w:rsidRPr="00DD0FAE">
        <w:rPr>
          <w:rtl/>
        </w:rPr>
        <w:t xml:space="preserve"> </w:t>
      </w:r>
      <w:r w:rsidRPr="00DD0FAE">
        <w:rPr>
          <w:rFonts w:hint="eastAsia"/>
          <w:rtl/>
        </w:rPr>
        <w:t>הליקויים</w:t>
      </w:r>
      <w:r w:rsidRPr="00DD0FAE">
        <w:rPr>
          <w:rtl/>
        </w:rPr>
        <w:t xml:space="preserve"> </w:t>
      </w:r>
      <w:r w:rsidRPr="00DD0FAE">
        <w:rPr>
          <w:rFonts w:hint="eastAsia"/>
          <w:rtl/>
        </w:rPr>
        <w:t>ובמקרה</w:t>
      </w:r>
      <w:r w:rsidRPr="00DD0FAE">
        <w:rPr>
          <w:rtl/>
        </w:rPr>
        <w:t xml:space="preserve"> </w:t>
      </w:r>
      <w:r w:rsidRPr="00DD0FAE">
        <w:rPr>
          <w:rFonts w:hint="eastAsia"/>
          <w:rtl/>
        </w:rPr>
        <w:t>השני</w:t>
      </w:r>
      <w:r w:rsidRPr="00DD0FAE">
        <w:rPr>
          <w:rtl/>
        </w:rPr>
        <w:t xml:space="preserve"> </w:t>
      </w:r>
      <w:r w:rsidRPr="00DD0FAE">
        <w:rPr>
          <w:rFonts w:hint="eastAsia"/>
          <w:rtl/>
        </w:rPr>
        <w:t>על</w:t>
      </w:r>
      <w:r w:rsidRPr="00DD0FAE">
        <w:rPr>
          <w:rtl/>
        </w:rPr>
        <w:t xml:space="preserve"> </w:t>
      </w:r>
      <w:r w:rsidRPr="00DD0FAE">
        <w:rPr>
          <w:rFonts w:hint="eastAsia"/>
          <w:rtl/>
        </w:rPr>
        <w:t>פי</w:t>
      </w:r>
      <w:r w:rsidRPr="00DD0FAE">
        <w:rPr>
          <w:rtl/>
        </w:rPr>
        <w:t xml:space="preserve"> </w:t>
      </w:r>
      <w:r w:rsidRPr="00DD0FAE">
        <w:rPr>
          <w:rFonts w:hint="eastAsia"/>
          <w:rtl/>
        </w:rPr>
        <w:t>המידע</w:t>
      </w:r>
      <w:r w:rsidRPr="00DD0FAE">
        <w:rPr>
          <w:rtl/>
        </w:rPr>
        <w:t xml:space="preserve"> </w:t>
      </w:r>
      <w:r w:rsidRPr="00DD0FAE">
        <w:rPr>
          <w:rFonts w:hint="eastAsia"/>
          <w:rtl/>
        </w:rPr>
        <w:t>שהיה</w:t>
      </w:r>
      <w:r w:rsidRPr="00DD0FAE">
        <w:rPr>
          <w:rtl/>
        </w:rPr>
        <w:t xml:space="preserve"> </w:t>
      </w:r>
      <w:r w:rsidRPr="00DD0FAE">
        <w:rPr>
          <w:rFonts w:hint="eastAsia"/>
          <w:rtl/>
        </w:rPr>
        <w:t>בידיה</w:t>
      </w:r>
      <w:r w:rsidRPr="00DD0FAE">
        <w:rPr>
          <w:rtl/>
        </w:rPr>
        <w:t xml:space="preserve"> </w:t>
      </w:r>
      <w:r w:rsidRPr="00DD0FAE">
        <w:rPr>
          <w:rFonts w:hint="eastAsia"/>
          <w:rtl/>
        </w:rPr>
        <w:t>היה</w:t>
      </w:r>
      <w:r w:rsidRPr="00DD0FAE">
        <w:rPr>
          <w:rtl/>
        </w:rPr>
        <w:t xml:space="preserve"> </w:t>
      </w:r>
      <w:r w:rsidRPr="00DD0FAE">
        <w:rPr>
          <w:rFonts w:hint="eastAsia"/>
          <w:rtl/>
        </w:rPr>
        <w:t>תיקון</w:t>
      </w:r>
      <w:r w:rsidRPr="00DD0FAE">
        <w:rPr>
          <w:rtl/>
        </w:rPr>
        <w:t xml:space="preserve"> </w:t>
      </w:r>
      <w:r w:rsidRPr="00DD0FAE">
        <w:rPr>
          <w:rFonts w:hint="eastAsia"/>
          <w:rtl/>
        </w:rPr>
        <w:t>חלקי</w:t>
      </w:r>
      <w:r w:rsidRPr="00DD0FAE">
        <w:rPr>
          <w:rtl/>
        </w:rPr>
        <w:t xml:space="preserve"> </w:t>
      </w:r>
      <w:r w:rsidRPr="00DD0FAE">
        <w:rPr>
          <w:rFonts w:hint="eastAsia"/>
          <w:rtl/>
        </w:rPr>
        <w:t>בלבד</w:t>
      </w:r>
      <w:r w:rsidRPr="00DD0FAE">
        <w:rPr>
          <w:rtl/>
        </w:rPr>
        <w:t xml:space="preserve">. </w:t>
      </w:r>
      <w:r w:rsidRPr="00DD0FAE">
        <w:rPr>
          <w:rFonts w:hint="cs"/>
          <w:rtl/>
        </w:rPr>
        <w:t xml:space="preserve">שני המקרים נוגעים לגופים: משרד החינוך ומשרד הביטחון. </w:t>
      </w:r>
    </w:p>
    <w:p w:rsidR="00BF1E3B" w:rsidRPr="004B203F" w:rsidRDefault="00DF6A0A" w:rsidP="004B203F">
      <w:pPr>
        <w:pStyle w:val="7392"/>
        <w:rPr>
          <w:rtl/>
        </w:rPr>
      </w:pPr>
      <w:r w:rsidRPr="004B203F">
        <w:rPr>
          <w:rFonts w:hint="cs"/>
          <w:rtl/>
        </w:rPr>
        <w:t xml:space="preserve">הנציבות לשוויון מסרה באוגוסט 2022 למשרד מבקר המדינה כי </w:t>
      </w:r>
      <w:r w:rsidRPr="004B203F">
        <w:rPr>
          <w:rtl/>
        </w:rPr>
        <w:t xml:space="preserve">בהתאם למדיניות האכיפה שקבעה, תהליך האכיפה מבוצע בהתאם לממצאי הפיקוח והיקף הליקויים שנמצאו. במקרים </w:t>
      </w:r>
      <w:r w:rsidRPr="004B203F">
        <w:rPr>
          <w:rFonts w:hint="cs"/>
          <w:rtl/>
        </w:rPr>
        <w:t>ש</w:t>
      </w:r>
      <w:r w:rsidRPr="004B203F">
        <w:rPr>
          <w:rtl/>
        </w:rPr>
        <w:t xml:space="preserve">בהם נמצא היקף הליקויים מצומצם וכאשר אלו אינם פוגעים בשימוש באתר, מוצא מכתב יידוע ובמרבית המקרים </w:t>
      </w:r>
      <w:r w:rsidRPr="004B203F">
        <w:rPr>
          <w:rFonts w:hint="cs"/>
          <w:rtl/>
        </w:rPr>
        <w:t>אין</w:t>
      </w:r>
      <w:r w:rsidRPr="004B203F">
        <w:rPr>
          <w:rtl/>
        </w:rPr>
        <w:t xml:space="preserve"> מע</w:t>
      </w:r>
      <w:r w:rsidRPr="004B203F">
        <w:rPr>
          <w:rtl/>
        </w:rPr>
        <w:t xml:space="preserve">קב. במקרים אחרים </w:t>
      </w:r>
      <w:r w:rsidRPr="004B203F">
        <w:rPr>
          <w:rFonts w:hint="cs"/>
          <w:rtl/>
        </w:rPr>
        <w:t>ש</w:t>
      </w:r>
      <w:r w:rsidRPr="004B203F">
        <w:rPr>
          <w:rtl/>
        </w:rPr>
        <w:t>בהם נמצאו ליקויים רבים או משמעותיים, יוצא מכתב התראה ותהליך האכיפה ממשיך לצו ואף לתביעה. כל זאת, בהתאם לאילוצי כ</w:t>
      </w:r>
      <w:r w:rsidRPr="004B203F">
        <w:rPr>
          <w:rFonts w:hint="cs"/>
          <w:rtl/>
        </w:rPr>
        <w:t>ו</w:t>
      </w:r>
      <w:r w:rsidRPr="004B203F">
        <w:rPr>
          <w:rtl/>
        </w:rPr>
        <w:t>ח האדם ו</w:t>
      </w:r>
      <w:r w:rsidRPr="004B203F">
        <w:rPr>
          <w:rFonts w:hint="cs"/>
          <w:rtl/>
        </w:rPr>
        <w:t>ל</w:t>
      </w:r>
      <w:r w:rsidRPr="004B203F">
        <w:rPr>
          <w:rtl/>
        </w:rPr>
        <w:t xml:space="preserve">שיקולים רגולטוריים. </w:t>
      </w:r>
    </w:p>
    <w:p w:rsidR="00BF1E3B" w:rsidRPr="00DD0FAE" w:rsidRDefault="00DF6A0A" w:rsidP="00DD0FAE">
      <w:pPr>
        <w:pStyle w:val="735"/>
        <w:rPr>
          <w:rFonts w:eastAsia="Calibri"/>
          <w:rtl/>
        </w:rPr>
      </w:pPr>
      <w:r w:rsidRPr="00DD0FAE">
        <w:rPr>
          <w:rFonts w:eastAsia="Calibri" w:hint="cs"/>
          <w:rtl/>
        </w:rPr>
        <w:t>מומלץ כי נציבות שוויון זכויות לאנשים עם מוגבלות תפעיל סמכויות פיקוח ואכיפה מול גופי ממשל שלא פע</w:t>
      </w:r>
      <w:r w:rsidRPr="00DD0FAE">
        <w:rPr>
          <w:rFonts w:eastAsia="Calibri" w:hint="cs"/>
          <w:rtl/>
        </w:rPr>
        <w:t xml:space="preserve">לו עד כה לתקן ליקויים עליהם התריעה בפניהם עוד בשנים 2019 - 2021. על </w:t>
      </w:r>
      <w:r w:rsidRPr="00DD0FAE">
        <w:rPr>
          <w:rFonts w:eastAsia="Calibri"/>
          <w:rtl/>
        </w:rPr>
        <w:t>משרד הביטחון, משרד החינוך, משרד התחבורה ופיקוד העורף</w:t>
      </w:r>
      <w:r w:rsidRPr="00DD0FAE">
        <w:rPr>
          <w:rFonts w:eastAsia="Calibri" w:hint="cs"/>
          <w:rtl/>
        </w:rPr>
        <w:t xml:space="preserve">, שבאתרי המרשתת שלהם מצאה הנציבות לשוויון במהלך השנים 2019 - 2021 ליקויי נגישות ושעל פי המידע שיש בידיה נכון לשנת 2022 טרם תוקנו במלואם </w:t>
      </w:r>
      <w:r w:rsidRPr="00DD0FAE">
        <w:rPr>
          <w:rFonts w:eastAsia="Calibri" w:hint="cs"/>
          <w:rtl/>
        </w:rPr>
        <w:t xml:space="preserve">לפעול לתיקון כל הליקויים ולעדכן בכך את הנציבות. </w:t>
      </w:r>
    </w:p>
    <w:p w:rsidR="00BF1E3B" w:rsidRPr="006E1B0D" w:rsidRDefault="00DF6A0A" w:rsidP="00C619CC">
      <w:pPr>
        <w:pStyle w:val="7392"/>
        <w:rPr>
          <w:rtl/>
        </w:rPr>
      </w:pPr>
      <w:r>
        <w:rPr>
          <w:rFonts w:hint="cs"/>
          <w:rtl/>
        </w:rPr>
        <w:t xml:space="preserve">בתשובתם למשרד מבקר המדינה מינואר ומפברואר 2023 מסרו גופי הממשל ביחס לממצאים האמורים לעיל את הדברים הבאים: </w:t>
      </w:r>
      <w:r w:rsidRPr="007D5DED">
        <w:rPr>
          <w:rFonts w:hint="cs"/>
          <w:b/>
          <w:bCs/>
          <w:rtl/>
        </w:rPr>
        <w:t>מערך הדיגיטל הלאומי</w:t>
      </w:r>
      <w:r>
        <w:rPr>
          <w:rFonts w:hint="cs"/>
          <w:rtl/>
        </w:rPr>
        <w:t xml:space="preserve"> מסר כי הוא תיקן את הליקויים שעלו בעקבות בדיקת הנציבות, וכי בתקופה שבה בדקה הנציבו</w:t>
      </w:r>
      <w:r>
        <w:rPr>
          <w:rFonts w:hint="cs"/>
          <w:rtl/>
        </w:rPr>
        <w:t xml:space="preserve">ת את האתר הוא היה ב"הרצה" והוסר מאז. </w:t>
      </w:r>
      <w:r w:rsidRPr="007D5DED">
        <w:rPr>
          <w:rFonts w:ascii="David" w:eastAsia="Calibri" w:hAnsi="David" w:hint="eastAsia"/>
          <w:b/>
          <w:bCs/>
          <w:rtl/>
        </w:rPr>
        <w:t>ועדת</w:t>
      </w:r>
      <w:r w:rsidRPr="007D5DED">
        <w:rPr>
          <w:rFonts w:ascii="David" w:eastAsia="Calibri" w:hAnsi="David"/>
          <w:b/>
          <w:bCs/>
          <w:rtl/>
        </w:rPr>
        <w:t xml:space="preserve"> הבחירות המרכזית</w:t>
      </w:r>
      <w:r w:rsidRPr="006E1B0D">
        <w:rPr>
          <w:rFonts w:ascii="David" w:eastAsia="Calibri" w:hAnsi="David"/>
          <w:rtl/>
        </w:rPr>
        <w:t xml:space="preserve"> </w:t>
      </w:r>
      <w:r>
        <w:rPr>
          <w:rFonts w:ascii="David" w:eastAsia="Calibri" w:hAnsi="David" w:hint="cs"/>
          <w:rtl/>
        </w:rPr>
        <w:t>מסרה</w:t>
      </w:r>
      <w:r w:rsidRPr="006E1B0D">
        <w:rPr>
          <w:rFonts w:ascii="David" w:eastAsia="Calibri" w:hAnsi="David"/>
          <w:rtl/>
        </w:rPr>
        <w:t xml:space="preserve"> כי מכתב הנציבות לא נשלח לוועדה ולא התקבל על-ידה</w:t>
      </w:r>
      <w:r>
        <w:rPr>
          <w:rFonts w:ascii="David" w:eastAsia="Calibri" w:hAnsi="David" w:hint="cs"/>
          <w:rtl/>
        </w:rPr>
        <w:t>. שכן המכתב נשלח</w:t>
      </w:r>
      <w:r w:rsidRPr="006E1B0D">
        <w:rPr>
          <w:rFonts w:ascii="David" w:eastAsia="Calibri" w:hAnsi="David"/>
          <w:rtl/>
        </w:rPr>
        <w:t xml:space="preserve"> לכנסת ולא לוועדה</w:t>
      </w:r>
      <w:r>
        <w:rPr>
          <w:rFonts w:ascii="David" w:eastAsia="Calibri" w:hAnsi="David" w:hint="cs"/>
          <w:rtl/>
        </w:rPr>
        <w:t xml:space="preserve"> ו</w:t>
      </w:r>
      <w:r w:rsidRPr="006E1B0D">
        <w:rPr>
          <w:rFonts w:ascii="David" w:eastAsia="Calibri" w:hAnsi="David"/>
          <w:rtl/>
        </w:rPr>
        <w:t>משכך, אין באפשרות הוועדה להתייחס לעניין זה.</w:t>
      </w:r>
      <w:r>
        <w:rPr>
          <w:rFonts w:ascii="David" w:eastAsia="Calibri" w:hAnsi="David" w:hint="cs"/>
          <w:rtl/>
        </w:rPr>
        <w:t xml:space="preserve"> </w:t>
      </w:r>
      <w:r w:rsidRPr="007D5DED">
        <w:rPr>
          <w:rFonts w:ascii="David" w:eastAsia="Calibri" w:hAnsi="David" w:hint="cs"/>
          <w:b/>
          <w:bCs/>
          <w:rtl/>
        </w:rPr>
        <w:t>משרד החינוך</w:t>
      </w:r>
      <w:r>
        <w:rPr>
          <w:rFonts w:ascii="David" w:eastAsia="Calibri" w:hAnsi="David" w:hint="cs"/>
          <w:rtl/>
        </w:rPr>
        <w:t xml:space="preserve"> מסר כי </w:t>
      </w:r>
      <w:r w:rsidRPr="00D545DF">
        <w:rPr>
          <w:rFonts w:ascii="David" w:eastAsia="Calibri" w:hAnsi="David"/>
          <w:rtl/>
        </w:rPr>
        <w:t>בהמשך לצו הנגישות שקיבל</w:t>
      </w:r>
      <w:r>
        <w:rPr>
          <w:rFonts w:ascii="David" w:eastAsia="Calibri" w:hAnsi="David" w:hint="cs"/>
          <w:rtl/>
        </w:rPr>
        <w:t xml:space="preserve"> </w:t>
      </w:r>
      <w:r w:rsidRPr="00D545DF">
        <w:rPr>
          <w:rFonts w:ascii="David" w:eastAsia="Calibri" w:hAnsi="David"/>
          <w:rtl/>
        </w:rPr>
        <w:t xml:space="preserve">בספטמבר 2020, בוצעו </w:t>
      </w:r>
      <w:r w:rsidRPr="00D545DF">
        <w:rPr>
          <w:rFonts w:ascii="David" w:eastAsia="Calibri" w:hAnsi="David"/>
          <w:rtl/>
        </w:rPr>
        <w:t>פעולות</w:t>
      </w:r>
      <w:r>
        <w:rPr>
          <w:rFonts w:ascii="David" w:eastAsia="Calibri" w:hAnsi="David" w:hint="cs"/>
          <w:rtl/>
        </w:rPr>
        <w:t xml:space="preserve"> </w:t>
      </w:r>
      <w:r w:rsidRPr="00D545DF">
        <w:rPr>
          <w:rFonts w:ascii="David" w:eastAsia="Calibri" w:hAnsi="David"/>
          <w:rtl/>
        </w:rPr>
        <w:t>רבות ומגוונות להנגשת סעיפים רבים שהועלו מצו הנגישות</w:t>
      </w:r>
      <w:r>
        <w:rPr>
          <w:rFonts w:ascii="David" w:eastAsia="Calibri" w:hAnsi="David" w:hint="cs"/>
          <w:rtl/>
        </w:rPr>
        <w:t>,</w:t>
      </w:r>
      <w:r w:rsidRPr="00D545DF">
        <w:rPr>
          <w:rFonts w:ascii="David" w:eastAsia="Calibri" w:hAnsi="David"/>
          <w:rtl/>
        </w:rPr>
        <w:t xml:space="preserve"> </w:t>
      </w:r>
      <w:r>
        <w:rPr>
          <w:rFonts w:ascii="David" w:eastAsia="Calibri" w:hAnsi="David" w:hint="cs"/>
          <w:rtl/>
        </w:rPr>
        <w:t xml:space="preserve">וכי המשרד </w:t>
      </w:r>
      <w:r w:rsidRPr="00D545DF">
        <w:rPr>
          <w:rFonts w:ascii="David" w:eastAsia="Calibri" w:hAnsi="David"/>
          <w:rtl/>
        </w:rPr>
        <w:t>ממשי</w:t>
      </w:r>
      <w:r>
        <w:rPr>
          <w:rFonts w:ascii="David" w:eastAsia="Calibri" w:hAnsi="David" w:hint="cs"/>
          <w:rtl/>
        </w:rPr>
        <w:t>ך</w:t>
      </w:r>
      <w:r w:rsidRPr="00D545DF">
        <w:rPr>
          <w:rFonts w:ascii="David" w:eastAsia="Calibri" w:hAnsi="David"/>
          <w:rtl/>
        </w:rPr>
        <w:t xml:space="preserve"> לבצע</w:t>
      </w:r>
      <w:r>
        <w:rPr>
          <w:rFonts w:ascii="David" w:eastAsia="Calibri" w:hAnsi="David" w:hint="cs"/>
          <w:rtl/>
        </w:rPr>
        <w:t xml:space="preserve"> </w:t>
      </w:r>
      <w:r w:rsidRPr="00D545DF">
        <w:rPr>
          <w:rFonts w:ascii="David" w:eastAsia="Calibri" w:hAnsi="David"/>
          <w:rtl/>
        </w:rPr>
        <w:t>עדכונים ברמת הפיתוח, בדגש על החלפת התשתית ופיתוח העומד בדרישות הנגישות</w:t>
      </w:r>
      <w:r>
        <w:rPr>
          <w:rFonts w:ascii="David" w:eastAsia="Calibri" w:hAnsi="David" w:hint="cs"/>
          <w:rtl/>
        </w:rPr>
        <w:t xml:space="preserve">. </w:t>
      </w:r>
      <w:r w:rsidRPr="007D5DED">
        <w:rPr>
          <w:rFonts w:ascii="David" w:eastAsia="Calibri" w:hAnsi="David" w:hint="cs"/>
          <w:b/>
          <w:bCs/>
          <w:rtl/>
        </w:rPr>
        <w:t xml:space="preserve">פיקוד העורף </w:t>
      </w:r>
      <w:r>
        <w:rPr>
          <w:rFonts w:ascii="David" w:eastAsia="Calibri" w:hAnsi="David" w:hint="cs"/>
          <w:rtl/>
        </w:rPr>
        <w:t>מסר כי בעקבות פניית משרד מבקר המדינה</w:t>
      </w:r>
      <w:r w:rsidRPr="006529E9">
        <w:rPr>
          <w:rFonts w:ascii="David" w:eastAsia="Calibri" w:hAnsi="David" w:hint="cs"/>
          <w:rtl/>
        </w:rPr>
        <w:t xml:space="preserve"> </w:t>
      </w:r>
      <w:r>
        <w:rPr>
          <w:rFonts w:ascii="David" w:eastAsia="Calibri" w:hAnsi="David" w:hint="cs"/>
          <w:rtl/>
        </w:rPr>
        <w:t xml:space="preserve">נערכה בדיקה לבירור הנושא, ועלה כי מדובר </w:t>
      </w:r>
      <w:r w:rsidRPr="004F2387">
        <w:rPr>
          <w:rFonts w:ascii="David" w:eastAsia="Calibri" w:hAnsi="David"/>
          <w:rtl/>
        </w:rPr>
        <w:t>באתר</w:t>
      </w:r>
      <w:r>
        <w:rPr>
          <w:rFonts w:ascii="David" w:eastAsia="Calibri" w:hAnsi="David" w:hint="cs"/>
          <w:rtl/>
        </w:rPr>
        <w:t xml:space="preserve"> </w:t>
      </w:r>
      <w:r>
        <w:rPr>
          <w:rFonts w:ascii="David" w:eastAsia="Calibri" w:hAnsi="David" w:hint="cs"/>
          <w:rtl/>
        </w:rPr>
        <w:lastRenderedPageBreak/>
        <w:t>מרשתת 'יש</w:t>
      </w:r>
      <w:r>
        <w:rPr>
          <w:rFonts w:ascii="David" w:eastAsia="Calibri" w:hAnsi="David" w:hint="cs"/>
          <w:rtl/>
        </w:rPr>
        <w:t xml:space="preserve">ן' וכי בשנת 2020 </w:t>
      </w:r>
      <w:r w:rsidRPr="004F2387">
        <w:rPr>
          <w:rFonts w:ascii="David" w:eastAsia="Calibri" w:hAnsi="David"/>
          <w:rtl/>
        </w:rPr>
        <w:t>הוקם פורטל חדש של פיקוד העורף</w:t>
      </w:r>
      <w:r>
        <w:rPr>
          <w:rFonts w:ascii="David" w:eastAsia="Calibri" w:hAnsi="David" w:hint="cs"/>
          <w:rtl/>
        </w:rPr>
        <w:t xml:space="preserve">, וכי בנובמבר 2022 בוצעה בו </w:t>
      </w:r>
      <w:r>
        <w:rPr>
          <w:rFonts w:ascii="David" w:eastAsia="Calibri" w:hAnsi="David"/>
          <w:rtl/>
        </w:rPr>
        <w:t xml:space="preserve">ביקורת </w:t>
      </w:r>
      <w:r>
        <w:rPr>
          <w:rFonts w:ascii="David" w:eastAsia="Calibri" w:hAnsi="David" w:hint="cs"/>
          <w:rtl/>
        </w:rPr>
        <w:t>על ידי חברה חיצונית הפועלת בתחום הנגישות.</w:t>
      </w:r>
    </w:p>
    <w:p w:rsidR="00BF1E3B" w:rsidRPr="004B203F" w:rsidRDefault="00DF6A0A" w:rsidP="004B203F">
      <w:pPr>
        <w:pStyle w:val="7392"/>
        <w:rPr>
          <w:rtl/>
        </w:rPr>
      </w:pPr>
      <w:r w:rsidRPr="004B203F">
        <w:rPr>
          <w:rFonts w:hint="cs"/>
          <w:rtl/>
        </w:rPr>
        <w:t xml:space="preserve">כאמור, בשנת 2022 לא היה לנציבות לשוויון מידע על מצב הליקויים ב-5 מתוך 14 אתרי מרשתת שבהם מצאה ליקויים במהלך פעולות הפיקוח שביצעה בשנים 2019 - 2021. אחד האתרים היה של מערך הדיגיטל הלאומי, והוא מסר למשרד מבקר המדינה במהלך הביקורת כי הוא הסיר את האתר. ועל כן </w:t>
      </w:r>
      <w:r w:rsidRPr="004B203F">
        <w:rPr>
          <w:rFonts w:hint="cs"/>
          <w:rtl/>
        </w:rPr>
        <w:t xml:space="preserve">באוגוסט 2022 בדק משרד מבקר המדינה באתרי המרשתת של ארבעה גופים את נגישות הרכיבים אשר בקשר אליהם התריעה הנציבות. להלן בלוח 4 תוצאות הבדיקה. </w:t>
      </w:r>
    </w:p>
    <w:p w:rsidR="00BF1E3B" w:rsidRPr="00DD0FAE" w:rsidRDefault="00DF6A0A" w:rsidP="00545989">
      <w:pPr>
        <w:pStyle w:val="738"/>
        <w:spacing w:after="120"/>
        <w:rPr>
          <w:rtl/>
        </w:rPr>
      </w:pPr>
      <w:r w:rsidRPr="00DD0FAE">
        <w:rPr>
          <w:rFonts w:hint="eastAsia"/>
          <w:b w:val="0"/>
          <w:bCs w:val="0"/>
          <w:rtl/>
        </w:rPr>
        <w:t>לוח</w:t>
      </w:r>
      <w:r w:rsidRPr="00DD0FAE">
        <w:rPr>
          <w:b w:val="0"/>
          <w:bCs w:val="0"/>
          <w:rtl/>
        </w:rPr>
        <w:t xml:space="preserve"> </w:t>
      </w:r>
      <w:r w:rsidRPr="00DD0FAE">
        <w:rPr>
          <w:rFonts w:hint="cs"/>
          <w:b w:val="0"/>
          <w:bCs w:val="0"/>
          <w:rtl/>
        </w:rPr>
        <w:t>5</w:t>
      </w:r>
      <w:r w:rsidRPr="00DD0FAE">
        <w:rPr>
          <w:b w:val="0"/>
          <w:bCs w:val="0"/>
          <w:rtl/>
        </w:rPr>
        <w:t>:</w:t>
      </w:r>
      <w:r w:rsidRPr="00DD0FAE">
        <w:rPr>
          <w:rFonts w:hint="cs"/>
          <w:rtl/>
        </w:rPr>
        <w:t xml:space="preserve"> מצב הליקויים שעליהם התריעה הנציבות לשוויון בשנים 2019 - 2021 </w:t>
      </w:r>
    </w:p>
    <w:tbl>
      <w:tblPr>
        <w:tblpPr w:leftFromText="180" w:rightFromText="180" w:vertAnchor="text" w:horzAnchor="margin" w:tblpY="258"/>
        <w:bidiVisual/>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523"/>
        <w:gridCol w:w="2541"/>
        <w:gridCol w:w="3296"/>
      </w:tblGrid>
      <w:tr w:rsidR="007758ED" w:rsidTr="00DD0FAE">
        <w:trPr>
          <w:trHeight w:val="831"/>
        </w:trPr>
        <w:tc>
          <w:tcPr>
            <w:tcW w:w="1034" w:type="pct"/>
            <w:shd w:val="clear" w:color="auto" w:fill="C8DCE4"/>
            <w:hideMark/>
          </w:tcPr>
          <w:p w:rsidR="00BF1E3B" w:rsidRPr="00637A48" w:rsidRDefault="00DF6A0A" w:rsidP="00637A48">
            <w:pPr>
              <w:pStyle w:val="73R"/>
              <w:rPr>
                <w:b/>
                <w:bCs/>
              </w:rPr>
            </w:pPr>
            <w:r w:rsidRPr="00637A48">
              <w:rPr>
                <w:rFonts w:hint="eastAsia"/>
                <w:b/>
                <w:bCs/>
                <w:rtl/>
              </w:rPr>
              <w:t>שם</w:t>
            </w:r>
            <w:r w:rsidRPr="00637A48">
              <w:rPr>
                <w:b/>
                <w:bCs/>
                <w:rtl/>
              </w:rPr>
              <w:t xml:space="preserve"> </w:t>
            </w:r>
            <w:r w:rsidRPr="00637A48">
              <w:rPr>
                <w:rFonts w:hint="eastAsia"/>
                <w:b/>
                <w:bCs/>
                <w:rtl/>
              </w:rPr>
              <w:t>הגוף</w:t>
            </w:r>
          </w:p>
        </w:tc>
        <w:tc>
          <w:tcPr>
            <w:tcW w:w="1726" w:type="pct"/>
            <w:shd w:val="clear" w:color="auto" w:fill="C8DCE4"/>
          </w:tcPr>
          <w:p w:rsidR="00BF1E3B" w:rsidRPr="00637A48" w:rsidRDefault="00DF6A0A" w:rsidP="00637A48">
            <w:pPr>
              <w:pStyle w:val="73R"/>
              <w:rPr>
                <w:b/>
                <w:bCs/>
                <w:rtl/>
              </w:rPr>
            </w:pPr>
            <w:r w:rsidRPr="00637A48">
              <w:rPr>
                <w:rFonts w:hint="eastAsia"/>
                <w:b/>
                <w:bCs/>
                <w:rtl/>
              </w:rPr>
              <w:t>תוצאות</w:t>
            </w:r>
            <w:r w:rsidRPr="00637A48">
              <w:rPr>
                <w:b/>
                <w:bCs/>
                <w:rtl/>
              </w:rPr>
              <w:t xml:space="preserve"> </w:t>
            </w:r>
            <w:r w:rsidRPr="00637A48">
              <w:rPr>
                <w:rFonts w:hint="eastAsia"/>
                <w:b/>
                <w:bCs/>
                <w:rtl/>
              </w:rPr>
              <w:t>בדיקות</w:t>
            </w:r>
            <w:r w:rsidRPr="00637A48">
              <w:rPr>
                <w:b/>
                <w:bCs/>
                <w:rtl/>
              </w:rPr>
              <w:t xml:space="preserve"> </w:t>
            </w:r>
            <w:r w:rsidRPr="00637A48">
              <w:rPr>
                <w:rFonts w:hint="eastAsia"/>
                <w:b/>
                <w:bCs/>
                <w:rtl/>
              </w:rPr>
              <w:t>הנציבות</w:t>
            </w:r>
            <w:r w:rsidRPr="00637A48">
              <w:rPr>
                <w:b/>
                <w:bCs/>
                <w:rtl/>
              </w:rPr>
              <w:t xml:space="preserve"> </w:t>
            </w:r>
            <w:r w:rsidRPr="00637A48">
              <w:rPr>
                <w:rFonts w:hint="eastAsia"/>
                <w:b/>
                <w:bCs/>
                <w:rtl/>
              </w:rPr>
              <w:t>לשוויון</w:t>
            </w:r>
            <w:r w:rsidRPr="00637A48">
              <w:rPr>
                <w:b/>
                <w:bCs/>
                <w:rtl/>
              </w:rPr>
              <w:t xml:space="preserve"> (2019 - 2021) </w:t>
            </w:r>
          </w:p>
        </w:tc>
        <w:tc>
          <w:tcPr>
            <w:tcW w:w="2239" w:type="pct"/>
            <w:shd w:val="clear" w:color="auto" w:fill="C8DCE4"/>
          </w:tcPr>
          <w:p w:rsidR="00BF1E3B" w:rsidRPr="00637A48" w:rsidRDefault="00DF6A0A" w:rsidP="00637A48">
            <w:pPr>
              <w:pStyle w:val="73R"/>
              <w:rPr>
                <w:rtl/>
              </w:rPr>
            </w:pPr>
            <w:r w:rsidRPr="00637A48">
              <w:rPr>
                <w:rFonts w:hint="eastAsia"/>
                <w:b/>
                <w:bCs/>
                <w:rtl/>
              </w:rPr>
              <w:t>תוצאות</w:t>
            </w:r>
            <w:r w:rsidRPr="00637A48">
              <w:rPr>
                <w:b/>
                <w:bCs/>
                <w:rtl/>
              </w:rPr>
              <w:t xml:space="preserve"> בדיקת </w:t>
            </w:r>
            <w:r w:rsidRPr="00637A48">
              <w:rPr>
                <w:rFonts w:hint="cs"/>
                <w:b/>
                <w:bCs/>
                <w:rtl/>
              </w:rPr>
              <w:t>ה</w:t>
            </w:r>
            <w:r w:rsidRPr="00637A48">
              <w:rPr>
                <w:b/>
                <w:bCs/>
                <w:rtl/>
              </w:rPr>
              <w:t xml:space="preserve">מעקב שביצע </w:t>
            </w:r>
            <w:r w:rsidRPr="00637A48">
              <w:rPr>
                <w:rFonts w:hint="eastAsia"/>
                <w:b/>
                <w:bCs/>
                <w:rtl/>
              </w:rPr>
              <w:t>משרד</w:t>
            </w:r>
            <w:r w:rsidRPr="00637A48">
              <w:rPr>
                <w:b/>
                <w:bCs/>
                <w:rtl/>
              </w:rPr>
              <w:t xml:space="preserve"> </w:t>
            </w:r>
            <w:r w:rsidRPr="00637A48">
              <w:rPr>
                <w:rFonts w:hint="eastAsia"/>
                <w:b/>
                <w:bCs/>
                <w:rtl/>
              </w:rPr>
              <w:t>מבקר</w:t>
            </w:r>
            <w:r w:rsidRPr="00637A48">
              <w:rPr>
                <w:b/>
                <w:bCs/>
                <w:rtl/>
              </w:rPr>
              <w:t xml:space="preserve"> </w:t>
            </w:r>
            <w:r w:rsidRPr="00637A48">
              <w:rPr>
                <w:rFonts w:hint="eastAsia"/>
                <w:b/>
                <w:bCs/>
                <w:rtl/>
              </w:rPr>
              <w:t>המדינה</w:t>
            </w:r>
            <w:r w:rsidRPr="00637A48">
              <w:rPr>
                <w:b/>
                <w:bCs/>
                <w:rtl/>
              </w:rPr>
              <w:t xml:space="preserve"> ב-2022</w:t>
            </w:r>
            <w:r w:rsidR="00637A48">
              <w:rPr>
                <w:b/>
                <w:bCs/>
                <w:rtl/>
              </w:rPr>
              <w:br/>
            </w:r>
            <w:r w:rsidRPr="00637A48">
              <w:rPr>
                <w:rtl/>
              </w:rPr>
              <w:t xml:space="preserve">(רכיב </w:t>
            </w:r>
            <w:r w:rsidRPr="00637A48">
              <w:rPr>
                <w:rFonts w:hint="eastAsia"/>
                <w:rtl/>
              </w:rPr>
              <w:t>מתוקן</w:t>
            </w:r>
            <w:r w:rsidRPr="00637A48">
              <w:rPr>
                <w:rtl/>
              </w:rPr>
              <w:t xml:space="preserve"> - </w:t>
            </w:r>
            <w:r w:rsidRPr="00637A48">
              <w:t>V</w:t>
            </w:r>
            <w:r w:rsidRPr="00637A48">
              <w:rPr>
                <w:rtl/>
              </w:rPr>
              <w:t xml:space="preserve">, </w:t>
            </w:r>
            <w:r w:rsidRPr="00637A48">
              <w:rPr>
                <w:rFonts w:hint="eastAsia"/>
                <w:rtl/>
              </w:rPr>
              <w:t>רכיב</w:t>
            </w:r>
            <w:r w:rsidRPr="00637A48">
              <w:rPr>
                <w:rtl/>
              </w:rPr>
              <w:t xml:space="preserve"> </w:t>
            </w:r>
            <w:r w:rsidRPr="00637A48">
              <w:rPr>
                <w:rFonts w:hint="eastAsia"/>
                <w:rtl/>
              </w:rPr>
              <w:t>לקוי</w:t>
            </w:r>
            <w:r w:rsidRPr="00637A48">
              <w:rPr>
                <w:rtl/>
              </w:rPr>
              <w:t xml:space="preserve"> -</w:t>
            </w:r>
            <w:r w:rsidRPr="00637A48">
              <w:t>X</w:t>
            </w:r>
            <w:r w:rsidRPr="00637A48">
              <w:rPr>
                <w:rtl/>
              </w:rPr>
              <w:t>)</w:t>
            </w:r>
          </w:p>
        </w:tc>
      </w:tr>
      <w:tr w:rsidR="007758ED" w:rsidTr="00DD0FAE">
        <w:trPr>
          <w:trHeight w:val="510"/>
        </w:trPr>
        <w:tc>
          <w:tcPr>
            <w:tcW w:w="1034" w:type="pct"/>
            <w:shd w:val="clear" w:color="auto" w:fill="DFECEF"/>
            <w:hideMark/>
          </w:tcPr>
          <w:p w:rsidR="00BF1E3B" w:rsidRPr="00637A48" w:rsidRDefault="00DF6A0A" w:rsidP="00637A48">
            <w:pPr>
              <w:pStyle w:val="73R"/>
              <w:rPr>
                <w:rtl/>
              </w:rPr>
            </w:pPr>
            <w:r w:rsidRPr="00637A48">
              <w:rPr>
                <w:rFonts w:hint="cs"/>
                <w:rtl/>
              </w:rPr>
              <w:t>המוסד ל</w:t>
            </w:r>
            <w:r w:rsidRPr="00637A48">
              <w:rPr>
                <w:rtl/>
              </w:rPr>
              <w:t>ביטוח לאומי</w:t>
            </w:r>
          </w:p>
        </w:tc>
        <w:tc>
          <w:tcPr>
            <w:tcW w:w="1726" w:type="pct"/>
            <w:shd w:val="clear" w:color="auto" w:fill="DFECEF"/>
          </w:tcPr>
          <w:p w:rsidR="00BF1E3B" w:rsidRPr="00637A48" w:rsidRDefault="00DF6A0A" w:rsidP="00637A48">
            <w:pPr>
              <w:pStyle w:val="73R"/>
            </w:pPr>
            <w:r w:rsidRPr="00637A48">
              <w:rPr>
                <w:rFonts w:hint="eastAsia"/>
                <w:rtl/>
              </w:rPr>
              <w:t>נמצא</w:t>
            </w:r>
            <w:r w:rsidRPr="00637A48">
              <w:rPr>
                <w:rtl/>
              </w:rPr>
              <w:t xml:space="preserve"> </w:t>
            </w:r>
            <w:r w:rsidRPr="00637A48">
              <w:rPr>
                <w:rFonts w:hint="eastAsia"/>
                <w:rtl/>
              </w:rPr>
              <w:t>ש</w:t>
            </w:r>
            <w:r w:rsidRPr="00637A48">
              <w:rPr>
                <w:rtl/>
              </w:rPr>
              <w:t xml:space="preserve">טופס מקוון לתביעה להגשת דמי אבטלה </w:t>
            </w:r>
            <w:r w:rsidRPr="00637A48">
              <w:rPr>
                <w:rFonts w:hint="eastAsia"/>
                <w:rtl/>
              </w:rPr>
              <w:t>אינו</w:t>
            </w:r>
            <w:r w:rsidRPr="00637A48">
              <w:rPr>
                <w:rtl/>
              </w:rPr>
              <w:t xml:space="preserve"> מונגש</w:t>
            </w:r>
            <w:r w:rsidRPr="00637A48">
              <w:rPr>
                <w:rFonts w:hint="cs"/>
                <w:rtl/>
              </w:rPr>
              <w:t xml:space="preserve"> זאת למרות חשיבותו בעיקר בתקופה שבה עלה משמעותית שיעור האבטלה כתוצאה מהתפרצות נגיף הקורונה</w:t>
            </w:r>
            <w:r>
              <w:rPr>
                <w:rStyle w:val="a8"/>
              </w:rPr>
              <w:footnoteReference w:id="103"/>
            </w:r>
          </w:p>
        </w:tc>
        <w:tc>
          <w:tcPr>
            <w:tcW w:w="2239" w:type="pct"/>
            <w:shd w:val="clear" w:color="auto" w:fill="DFECEF"/>
          </w:tcPr>
          <w:p w:rsidR="00BF1E3B" w:rsidRPr="00637A48" w:rsidRDefault="00DF6A0A" w:rsidP="00637A48">
            <w:pPr>
              <w:pStyle w:val="73R"/>
              <w:rPr>
                <w:rtl/>
              </w:rPr>
            </w:pPr>
            <w:r w:rsidRPr="00637A48">
              <w:rPr>
                <w:rFonts w:hint="eastAsia"/>
                <w:rtl/>
              </w:rPr>
              <w:t>נמצא</w:t>
            </w:r>
            <w:r w:rsidRPr="00637A48">
              <w:rPr>
                <w:rtl/>
              </w:rPr>
              <w:t xml:space="preserve"> שהטופס עדיין </w:t>
            </w:r>
            <w:r w:rsidRPr="00637A48">
              <w:rPr>
                <w:rFonts w:hint="eastAsia"/>
                <w:rtl/>
              </w:rPr>
              <w:t>אינו</w:t>
            </w:r>
            <w:r w:rsidRPr="00637A48">
              <w:rPr>
                <w:rtl/>
              </w:rPr>
              <w:t xml:space="preserve"> </w:t>
            </w:r>
            <w:r w:rsidRPr="00637A48">
              <w:rPr>
                <w:rFonts w:hint="eastAsia"/>
                <w:rtl/>
              </w:rPr>
              <w:t>מונגש</w:t>
            </w:r>
          </w:p>
          <w:p w:rsidR="00BF1E3B" w:rsidRPr="00DD0FAE" w:rsidRDefault="00DF6A0A" w:rsidP="00637A48">
            <w:pPr>
              <w:pStyle w:val="73R"/>
              <w:rPr>
                <w:b/>
                <w:bCs/>
                <w:color w:val="BF2544"/>
                <w:sz w:val="18"/>
                <w:szCs w:val="18"/>
                <w:rtl/>
              </w:rPr>
            </w:pPr>
            <w:r w:rsidRPr="00DD0FAE">
              <w:rPr>
                <w:b/>
                <w:bCs/>
                <w:color w:val="BF2544"/>
                <w:sz w:val="18"/>
                <w:szCs w:val="18"/>
              </w:rPr>
              <w:t>X</w:t>
            </w:r>
          </w:p>
        </w:tc>
      </w:tr>
      <w:tr w:rsidR="007758ED" w:rsidTr="00DD0FAE">
        <w:trPr>
          <w:trHeight w:val="1910"/>
        </w:trPr>
        <w:tc>
          <w:tcPr>
            <w:tcW w:w="1034" w:type="pct"/>
            <w:shd w:val="clear" w:color="auto" w:fill="F0F8F9"/>
            <w:hideMark/>
          </w:tcPr>
          <w:p w:rsidR="00BF1E3B" w:rsidRPr="00637A48" w:rsidRDefault="00DF6A0A" w:rsidP="00637A48">
            <w:pPr>
              <w:pStyle w:val="73R"/>
              <w:rPr>
                <w:rtl/>
              </w:rPr>
            </w:pPr>
            <w:r w:rsidRPr="00637A48">
              <w:rPr>
                <w:rtl/>
              </w:rPr>
              <w:t>ועדת הבחירות המרכזית</w:t>
            </w:r>
          </w:p>
        </w:tc>
        <w:tc>
          <w:tcPr>
            <w:tcW w:w="1726" w:type="pct"/>
            <w:shd w:val="clear" w:color="auto" w:fill="F0F8F9"/>
          </w:tcPr>
          <w:p w:rsidR="00BF1E3B" w:rsidRPr="00637A48" w:rsidRDefault="00DF6A0A" w:rsidP="00637A48">
            <w:pPr>
              <w:pStyle w:val="73R"/>
            </w:pPr>
            <w:r w:rsidRPr="00637A48">
              <w:rPr>
                <w:rFonts w:hint="eastAsia"/>
                <w:rtl/>
              </w:rPr>
              <w:t>נמצאו</w:t>
            </w:r>
            <w:r w:rsidRPr="00637A48">
              <w:rPr>
                <w:rtl/>
              </w:rPr>
              <w:t xml:space="preserve"> 12 רכיבים לקויים</w:t>
            </w:r>
          </w:p>
        </w:tc>
        <w:tc>
          <w:tcPr>
            <w:tcW w:w="2239" w:type="pct"/>
            <w:shd w:val="clear" w:color="auto" w:fill="F0F8F9"/>
          </w:tcPr>
          <w:p w:rsidR="00BF1E3B" w:rsidRPr="00637A48" w:rsidRDefault="00DF6A0A" w:rsidP="00637A48">
            <w:pPr>
              <w:pStyle w:val="73R"/>
              <w:rPr>
                <w:rtl/>
              </w:rPr>
            </w:pPr>
            <w:r w:rsidRPr="00637A48">
              <w:rPr>
                <w:rFonts w:hint="eastAsia"/>
                <w:rtl/>
              </w:rPr>
              <w:t>נבדקו</w:t>
            </w:r>
            <w:r w:rsidRPr="00637A48">
              <w:rPr>
                <w:rtl/>
              </w:rPr>
              <w:t xml:space="preserve"> </w:t>
            </w:r>
            <w:r w:rsidRPr="00637A48">
              <w:rPr>
                <w:rFonts w:hint="eastAsia"/>
                <w:rtl/>
              </w:rPr>
              <w:t>שבעה</w:t>
            </w:r>
            <w:r w:rsidRPr="00637A48">
              <w:rPr>
                <w:rtl/>
              </w:rPr>
              <w:t xml:space="preserve"> </w:t>
            </w:r>
            <w:r w:rsidRPr="00637A48">
              <w:rPr>
                <w:rFonts w:hint="eastAsia"/>
                <w:rtl/>
              </w:rPr>
              <w:t>רכיבים</w:t>
            </w:r>
            <w:r w:rsidRPr="00637A48">
              <w:rPr>
                <w:rtl/>
              </w:rPr>
              <w:t xml:space="preserve"> - מתוכם חמישה נמצאו ל</w:t>
            </w:r>
            <w:r w:rsidRPr="00637A48">
              <w:rPr>
                <w:rFonts w:hint="eastAsia"/>
                <w:rtl/>
              </w:rPr>
              <w:t>קויים</w:t>
            </w:r>
            <w:r w:rsidRPr="00637A48">
              <w:rPr>
                <w:rtl/>
              </w:rPr>
              <w:t xml:space="preserve"> </w:t>
            </w:r>
            <w:r w:rsidRPr="00637A48">
              <w:rPr>
                <w:rFonts w:hint="eastAsia"/>
                <w:rtl/>
              </w:rPr>
              <w:t>ושניים</w:t>
            </w:r>
            <w:r w:rsidRPr="00637A48">
              <w:rPr>
                <w:rtl/>
              </w:rPr>
              <w:t xml:space="preserve"> תקינים. </w:t>
            </w:r>
            <w:r w:rsidRPr="00637A48">
              <w:rPr>
                <w:rFonts w:hint="eastAsia"/>
                <w:rtl/>
              </w:rPr>
              <w:t>נוסף</w:t>
            </w:r>
            <w:r w:rsidRPr="00637A48">
              <w:rPr>
                <w:rtl/>
              </w:rPr>
              <w:t xml:space="preserve"> </w:t>
            </w:r>
            <w:r w:rsidRPr="00637A48">
              <w:rPr>
                <w:rFonts w:hint="eastAsia"/>
                <w:rtl/>
              </w:rPr>
              <w:t>על</w:t>
            </w:r>
            <w:r w:rsidRPr="00637A48">
              <w:rPr>
                <w:rtl/>
              </w:rPr>
              <w:t xml:space="preserve"> </w:t>
            </w:r>
            <w:r w:rsidRPr="00637A48">
              <w:rPr>
                <w:rFonts w:hint="eastAsia"/>
                <w:rtl/>
              </w:rPr>
              <w:t>כך</w:t>
            </w:r>
            <w:r w:rsidRPr="00637A48">
              <w:rPr>
                <w:rtl/>
              </w:rPr>
              <w:t xml:space="preserve">, חמישה ליקויים נוספים המשויכים להצהרת הנגישות נמצאו לא רלוונטיים לבדיקה כי ההצהרה </w:t>
            </w:r>
            <w:r w:rsidRPr="00637A48">
              <w:rPr>
                <w:rFonts w:hint="eastAsia"/>
                <w:rtl/>
              </w:rPr>
              <w:t>לא</w:t>
            </w:r>
            <w:r w:rsidRPr="00637A48">
              <w:rPr>
                <w:rtl/>
              </w:rPr>
              <w:t xml:space="preserve"> </w:t>
            </w:r>
            <w:r w:rsidRPr="00637A48">
              <w:rPr>
                <w:rFonts w:hint="eastAsia"/>
                <w:rtl/>
              </w:rPr>
              <w:t>הייתה</w:t>
            </w:r>
            <w:r w:rsidRPr="00637A48">
              <w:rPr>
                <w:rtl/>
              </w:rPr>
              <w:t xml:space="preserve"> </w:t>
            </w:r>
            <w:r w:rsidRPr="00637A48">
              <w:rPr>
                <w:rFonts w:hint="eastAsia"/>
                <w:rtl/>
              </w:rPr>
              <w:t>מונגשת</w:t>
            </w:r>
          </w:p>
          <w:p w:rsidR="00BF1E3B" w:rsidRPr="00DD0FAE" w:rsidRDefault="00DF6A0A" w:rsidP="00637A48">
            <w:pPr>
              <w:pStyle w:val="73R"/>
              <w:rPr>
                <w:b/>
                <w:bCs/>
                <w:color w:val="28A29C"/>
                <w:sz w:val="18"/>
                <w:szCs w:val="18"/>
                <w:rtl/>
              </w:rPr>
            </w:pPr>
            <w:r w:rsidRPr="00DD0FAE">
              <w:rPr>
                <w:b/>
                <w:bCs/>
                <w:color w:val="28A29C"/>
                <w:sz w:val="18"/>
                <w:szCs w:val="18"/>
              </w:rPr>
              <w:t>VV</w:t>
            </w:r>
          </w:p>
          <w:p w:rsidR="00BF1E3B" w:rsidRPr="00637A48" w:rsidRDefault="00DF6A0A" w:rsidP="00637A48">
            <w:pPr>
              <w:pStyle w:val="73R"/>
              <w:rPr>
                <w:b/>
                <w:bCs/>
                <w:rtl/>
              </w:rPr>
            </w:pPr>
            <w:r w:rsidRPr="00DD0FAE">
              <w:rPr>
                <w:b/>
                <w:bCs/>
                <w:color w:val="BF2544"/>
                <w:sz w:val="18"/>
                <w:szCs w:val="18"/>
              </w:rPr>
              <w:t>XXXXX</w:t>
            </w:r>
          </w:p>
        </w:tc>
      </w:tr>
      <w:tr w:rsidR="007758ED" w:rsidTr="00DD0FAE">
        <w:trPr>
          <w:trHeight w:val="880"/>
        </w:trPr>
        <w:tc>
          <w:tcPr>
            <w:tcW w:w="1034" w:type="pct"/>
            <w:shd w:val="clear" w:color="auto" w:fill="DFECEF"/>
            <w:hideMark/>
          </w:tcPr>
          <w:p w:rsidR="00BF1E3B" w:rsidRPr="00637A48" w:rsidRDefault="00DF6A0A" w:rsidP="00637A48">
            <w:pPr>
              <w:pStyle w:val="73R"/>
              <w:rPr>
                <w:rtl/>
              </w:rPr>
            </w:pPr>
            <w:r w:rsidRPr="00637A48">
              <w:rPr>
                <w:rtl/>
              </w:rPr>
              <w:t>משרד הביטחון</w:t>
            </w:r>
          </w:p>
        </w:tc>
        <w:tc>
          <w:tcPr>
            <w:tcW w:w="1726" w:type="pct"/>
            <w:shd w:val="clear" w:color="auto" w:fill="DFECEF"/>
          </w:tcPr>
          <w:p w:rsidR="00BF1E3B" w:rsidRPr="00637A48" w:rsidRDefault="00DF6A0A" w:rsidP="00637A48">
            <w:pPr>
              <w:pStyle w:val="73R"/>
              <w:rPr>
                <w:rtl/>
              </w:rPr>
            </w:pPr>
            <w:r w:rsidRPr="00637A48">
              <w:rPr>
                <w:rFonts w:hint="eastAsia"/>
                <w:rtl/>
              </w:rPr>
              <w:t>בבדיקה</w:t>
            </w:r>
            <w:r w:rsidRPr="00637A48">
              <w:rPr>
                <w:rtl/>
              </w:rPr>
              <w:t xml:space="preserve"> </w:t>
            </w:r>
            <w:r w:rsidRPr="00637A48">
              <w:rPr>
                <w:rFonts w:hint="eastAsia"/>
                <w:rtl/>
              </w:rPr>
              <w:t>של</w:t>
            </w:r>
            <w:r w:rsidRPr="00637A48">
              <w:rPr>
                <w:rtl/>
              </w:rPr>
              <w:t xml:space="preserve"> </w:t>
            </w:r>
            <w:r w:rsidRPr="00637A48">
              <w:rPr>
                <w:rFonts w:hint="eastAsia"/>
                <w:rtl/>
              </w:rPr>
              <w:t>אתר</w:t>
            </w:r>
            <w:r w:rsidRPr="00637A48">
              <w:rPr>
                <w:rtl/>
              </w:rPr>
              <w:t xml:space="preserve"> </w:t>
            </w:r>
            <w:r w:rsidRPr="00637A48">
              <w:rPr>
                <w:rFonts w:hint="eastAsia"/>
                <w:rtl/>
              </w:rPr>
              <w:t>המרשתת</w:t>
            </w:r>
            <w:r w:rsidRPr="00637A48">
              <w:rPr>
                <w:rtl/>
              </w:rPr>
              <w:t xml:space="preserve"> "משפחות, הנצחה ומורשת" </w:t>
            </w:r>
            <w:r w:rsidRPr="00637A48">
              <w:rPr>
                <w:rFonts w:hint="eastAsia"/>
                <w:rtl/>
              </w:rPr>
              <w:t>נמצאו</w:t>
            </w:r>
            <w:r w:rsidRPr="00637A48">
              <w:rPr>
                <w:rtl/>
              </w:rPr>
              <w:t xml:space="preserve"> ליקויי נגישות ב-13 רכיבים</w:t>
            </w:r>
          </w:p>
        </w:tc>
        <w:tc>
          <w:tcPr>
            <w:tcW w:w="2239" w:type="pct"/>
            <w:shd w:val="clear" w:color="auto" w:fill="DFECEF"/>
          </w:tcPr>
          <w:p w:rsidR="00BF1E3B" w:rsidRPr="00637A48" w:rsidRDefault="00DF6A0A" w:rsidP="00637A48">
            <w:pPr>
              <w:pStyle w:val="73R"/>
              <w:rPr>
                <w:rtl/>
              </w:rPr>
            </w:pPr>
            <w:r w:rsidRPr="00637A48">
              <w:rPr>
                <w:rFonts w:hint="eastAsia"/>
                <w:rtl/>
              </w:rPr>
              <w:t>נבדקו</w:t>
            </w:r>
            <w:r w:rsidRPr="00637A48">
              <w:rPr>
                <w:rtl/>
              </w:rPr>
              <w:t xml:space="preserve"> כל הרכיבים </w:t>
            </w:r>
            <w:r w:rsidRPr="00637A48">
              <w:rPr>
                <w:rFonts w:hint="eastAsia"/>
                <w:rtl/>
              </w:rPr>
              <w:t>שבהם</w:t>
            </w:r>
            <w:r w:rsidRPr="00637A48">
              <w:rPr>
                <w:rtl/>
              </w:rPr>
              <w:t xml:space="preserve"> </w:t>
            </w:r>
            <w:r w:rsidRPr="00637A48">
              <w:rPr>
                <w:rFonts w:hint="eastAsia"/>
                <w:rtl/>
              </w:rPr>
              <w:t>נמצאו</w:t>
            </w:r>
            <w:r w:rsidRPr="00637A48">
              <w:rPr>
                <w:rtl/>
              </w:rPr>
              <w:t xml:space="preserve"> </w:t>
            </w:r>
            <w:r w:rsidRPr="00637A48">
              <w:rPr>
                <w:rFonts w:hint="eastAsia"/>
                <w:rtl/>
              </w:rPr>
              <w:t>ליקויי</w:t>
            </w:r>
            <w:r w:rsidRPr="00637A48">
              <w:rPr>
                <w:rtl/>
              </w:rPr>
              <w:t xml:space="preserve"> נגישות, ונמצא כי שבעה מהם עדיין </w:t>
            </w:r>
            <w:r w:rsidRPr="00637A48">
              <w:rPr>
                <w:rFonts w:hint="eastAsia"/>
                <w:rtl/>
              </w:rPr>
              <w:t>אינם</w:t>
            </w:r>
            <w:r w:rsidRPr="00637A48">
              <w:rPr>
                <w:rtl/>
              </w:rPr>
              <w:t xml:space="preserve"> </w:t>
            </w:r>
            <w:r w:rsidRPr="00637A48">
              <w:rPr>
                <w:rFonts w:hint="eastAsia"/>
                <w:rtl/>
              </w:rPr>
              <w:t>נגישים</w:t>
            </w:r>
            <w:r w:rsidRPr="00637A48">
              <w:rPr>
                <w:rtl/>
              </w:rPr>
              <w:t xml:space="preserve"> </w:t>
            </w:r>
            <w:r w:rsidRPr="00637A48">
              <w:rPr>
                <w:rFonts w:hint="eastAsia"/>
                <w:rtl/>
              </w:rPr>
              <w:t>וששת</w:t>
            </w:r>
            <w:r w:rsidRPr="00637A48">
              <w:rPr>
                <w:rtl/>
              </w:rPr>
              <w:t xml:space="preserve"> </w:t>
            </w:r>
            <w:r w:rsidRPr="00637A48">
              <w:rPr>
                <w:rFonts w:hint="eastAsia"/>
                <w:rtl/>
              </w:rPr>
              <w:t>האחרים</w:t>
            </w:r>
            <w:r w:rsidRPr="00637A48">
              <w:rPr>
                <w:rtl/>
              </w:rPr>
              <w:t xml:space="preserve"> </w:t>
            </w:r>
            <w:r w:rsidRPr="00637A48">
              <w:rPr>
                <w:rFonts w:hint="eastAsia"/>
                <w:rtl/>
              </w:rPr>
              <w:t>הונגשו</w:t>
            </w:r>
          </w:p>
          <w:p w:rsidR="00BF1E3B" w:rsidRPr="00DD0FAE" w:rsidRDefault="00DF6A0A" w:rsidP="00637A48">
            <w:pPr>
              <w:pStyle w:val="73R"/>
              <w:rPr>
                <w:b/>
                <w:bCs/>
                <w:color w:val="28A29C"/>
                <w:sz w:val="18"/>
                <w:szCs w:val="18"/>
              </w:rPr>
            </w:pPr>
            <w:r w:rsidRPr="00DD0FAE">
              <w:rPr>
                <w:b/>
                <w:bCs/>
                <w:color w:val="28A29C"/>
                <w:sz w:val="18"/>
                <w:szCs w:val="18"/>
              </w:rPr>
              <w:t>VVVVVV</w:t>
            </w:r>
          </w:p>
          <w:p w:rsidR="00BF1E3B" w:rsidRPr="00DD0FAE" w:rsidRDefault="00DF6A0A" w:rsidP="00637A48">
            <w:pPr>
              <w:pStyle w:val="73R"/>
              <w:rPr>
                <w:b/>
                <w:bCs/>
                <w:sz w:val="18"/>
                <w:szCs w:val="18"/>
                <w:rtl/>
              </w:rPr>
            </w:pPr>
            <w:r w:rsidRPr="00DD0FAE">
              <w:rPr>
                <w:b/>
                <w:bCs/>
                <w:color w:val="BF2544"/>
                <w:sz w:val="18"/>
                <w:szCs w:val="18"/>
              </w:rPr>
              <w:t>XXXXXXX</w:t>
            </w:r>
          </w:p>
        </w:tc>
      </w:tr>
      <w:tr w:rsidR="007758ED" w:rsidTr="00DD0FAE">
        <w:trPr>
          <w:trHeight w:val="657"/>
        </w:trPr>
        <w:tc>
          <w:tcPr>
            <w:tcW w:w="1034" w:type="pct"/>
            <w:shd w:val="clear" w:color="auto" w:fill="F0F8F9"/>
            <w:hideMark/>
          </w:tcPr>
          <w:p w:rsidR="00BF1E3B" w:rsidRPr="00637A48" w:rsidRDefault="00DF6A0A" w:rsidP="00637A48">
            <w:pPr>
              <w:pStyle w:val="73R"/>
              <w:rPr>
                <w:rtl/>
              </w:rPr>
            </w:pPr>
            <w:r w:rsidRPr="00637A48">
              <w:rPr>
                <w:rtl/>
              </w:rPr>
              <w:t>רשות שדות התעופה</w:t>
            </w:r>
          </w:p>
        </w:tc>
        <w:tc>
          <w:tcPr>
            <w:tcW w:w="1726" w:type="pct"/>
            <w:shd w:val="clear" w:color="auto" w:fill="F0F8F9"/>
          </w:tcPr>
          <w:p w:rsidR="00BF1E3B" w:rsidRPr="00637A48" w:rsidRDefault="00DF6A0A" w:rsidP="00637A48">
            <w:pPr>
              <w:pStyle w:val="73R"/>
              <w:rPr>
                <w:rtl/>
              </w:rPr>
            </w:pPr>
            <w:r w:rsidRPr="00637A48">
              <w:rPr>
                <w:rtl/>
              </w:rPr>
              <w:t xml:space="preserve"> </w:t>
            </w:r>
            <w:r w:rsidRPr="00637A48">
              <w:rPr>
                <w:rFonts w:hint="eastAsia"/>
                <w:rtl/>
              </w:rPr>
              <w:t>נמצאו</w:t>
            </w:r>
            <w:r w:rsidRPr="00637A48">
              <w:rPr>
                <w:rtl/>
              </w:rPr>
              <w:t xml:space="preserve"> פרטי מידע חסרים בהצהרת הנגישות</w:t>
            </w:r>
          </w:p>
        </w:tc>
        <w:tc>
          <w:tcPr>
            <w:tcW w:w="2239" w:type="pct"/>
            <w:shd w:val="clear" w:color="auto" w:fill="F0F8F9"/>
          </w:tcPr>
          <w:p w:rsidR="00BF1E3B" w:rsidRPr="00637A48" w:rsidRDefault="00DF6A0A" w:rsidP="00637A48">
            <w:pPr>
              <w:pStyle w:val="73R"/>
            </w:pPr>
            <w:r w:rsidRPr="00637A48">
              <w:rPr>
                <w:rtl/>
              </w:rPr>
              <w:t>הפריטים החסרים הושלמו</w:t>
            </w:r>
          </w:p>
          <w:p w:rsidR="00BF1E3B" w:rsidRPr="00DD0FAE" w:rsidRDefault="00DF6A0A" w:rsidP="00637A48">
            <w:pPr>
              <w:pStyle w:val="73R"/>
              <w:rPr>
                <w:b/>
                <w:bCs/>
                <w:sz w:val="18"/>
                <w:szCs w:val="18"/>
                <w:rtl/>
              </w:rPr>
            </w:pPr>
            <w:r w:rsidRPr="00DD0FAE">
              <w:rPr>
                <w:b/>
                <w:bCs/>
                <w:color w:val="28A29C"/>
                <w:sz w:val="18"/>
                <w:szCs w:val="18"/>
              </w:rPr>
              <w:t>V</w:t>
            </w:r>
          </w:p>
        </w:tc>
      </w:tr>
    </w:tbl>
    <w:p w:rsidR="00BF1E3B" w:rsidRPr="00637A48" w:rsidRDefault="00DF6A0A" w:rsidP="00637A48">
      <w:pPr>
        <w:pStyle w:val="73e"/>
        <w:rPr>
          <w:rtl/>
        </w:rPr>
      </w:pPr>
      <w:r w:rsidRPr="00637A48">
        <w:rPr>
          <w:rFonts w:hint="cs"/>
          <w:rtl/>
        </w:rPr>
        <w:t xml:space="preserve">על פי נתוני הנציבות לשוויון מהשנים 2019 - 2021 ובדיקת משרד מבקר המדינה בשנת 2022. </w:t>
      </w:r>
    </w:p>
    <w:p w:rsidR="00BF1E3B" w:rsidRPr="00637A48" w:rsidRDefault="00DF6A0A" w:rsidP="00637A48">
      <w:pPr>
        <w:pStyle w:val="735"/>
        <w:rPr>
          <w:rFonts w:eastAsia="Calibri"/>
          <w:rtl/>
        </w:rPr>
      </w:pPr>
      <w:r w:rsidRPr="00637A48">
        <w:rPr>
          <w:rFonts w:eastAsia="Calibri" w:hint="cs"/>
          <w:rtl/>
        </w:rPr>
        <w:lastRenderedPageBreak/>
        <w:t xml:space="preserve">כפי שמשתקף בתרשים לעיל, בדיקת משרד מבקר המדינה העלתה כי מתוך 22 פריטים שנמצאו ליקויים בבדיקת הנציבות נמצאו 13 פריטים (59%) שעדיין לא תוקנו - הליקויים נמצאו בשלושה מבין ארבעה אתרי המרשתת. הגופים שבאתרי המרשתת שלהם נמצאו פריטים שעדיין נשארו לקויים הם </w:t>
      </w:r>
      <w:r w:rsidRPr="00637A48">
        <w:rPr>
          <w:rFonts w:eastAsia="Calibri"/>
          <w:rtl/>
        </w:rPr>
        <w:t>המוסד ל</w:t>
      </w:r>
      <w:r w:rsidRPr="00637A48">
        <w:rPr>
          <w:rFonts w:eastAsia="Calibri"/>
          <w:rtl/>
        </w:rPr>
        <w:t>ביטוח לאומי</w:t>
      </w:r>
      <w:r w:rsidRPr="00637A48">
        <w:rPr>
          <w:rFonts w:eastAsia="Calibri" w:hint="cs"/>
          <w:rtl/>
        </w:rPr>
        <w:t xml:space="preserve"> (פריט אחד)</w:t>
      </w:r>
      <w:r w:rsidRPr="00637A48">
        <w:rPr>
          <w:rFonts w:eastAsia="Calibri"/>
          <w:rtl/>
        </w:rPr>
        <w:t xml:space="preserve">, ועדת הבחירות המרכזית </w:t>
      </w:r>
      <w:r w:rsidRPr="00637A48">
        <w:rPr>
          <w:rFonts w:eastAsia="Calibri" w:hint="cs"/>
          <w:rtl/>
        </w:rPr>
        <w:t>ו</w:t>
      </w:r>
      <w:r w:rsidRPr="00637A48">
        <w:rPr>
          <w:rFonts w:eastAsia="Calibri"/>
          <w:rtl/>
        </w:rPr>
        <w:t>משרד הביטחון</w:t>
      </w:r>
      <w:r>
        <w:rPr>
          <w:rStyle w:val="a8"/>
          <w:rFonts w:eastAsia="Calibri"/>
          <w:rtl/>
        </w:rPr>
        <w:footnoteReference w:id="104"/>
      </w:r>
      <w:r w:rsidRPr="00637A48">
        <w:rPr>
          <w:rFonts w:eastAsia="Calibri"/>
          <w:rtl/>
        </w:rPr>
        <w:t xml:space="preserve">. כך, </w:t>
      </w:r>
      <w:r w:rsidRPr="00637A48">
        <w:rPr>
          <w:rFonts w:eastAsia="Calibri" w:hint="cs"/>
          <w:rtl/>
        </w:rPr>
        <w:t>עולה כי פריטים ש</w:t>
      </w:r>
      <w:r w:rsidRPr="00637A48">
        <w:rPr>
          <w:rFonts w:eastAsia="Calibri" w:hint="eastAsia"/>
          <w:rtl/>
        </w:rPr>
        <w:t>נמצא</w:t>
      </w:r>
      <w:r w:rsidRPr="00637A48">
        <w:rPr>
          <w:rFonts w:eastAsia="Calibri" w:hint="cs"/>
          <w:rtl/>
        </w:rPr>
        <w:t xml:space="preserve"> כי אינם</w:t>
      </w:r>
      <w:r w:rsidRPr="00637A48">
        <w:rPr>
          <w:rFonts w:eastAsia="Calibri"/>
          <w:rtl/>
        </w:rPr>
        <w:t xml:space="preserve"> נגישים </w:t>
      </w:r>
      <w:r w:rsidRPr="00637A48">
        <w:rPr>
          <w:rFonts w:eastAsia="Calibri" w:hint="eastAsia"/>
          <w:rtl/>
        </w:rPr>
        <w:t>לאנשים</w:t>
      </w:r>
      <w:r w:rsidRPr="00637A48">
        <w:rPr>
          <w:rFonts w:eastAsia="Calibri"/>
          <w:rtl/>
        </w:rPr>
        <w:t xml:space="preserve"> עם מוגבלות </w:t>
      </w:r>
      <w:r w:rsidRPr="00637A48">
        <w:rPr>
          <w:rFonts w:eastAsia="Calibri" w:hint="eastAsia"/>
          <w:rtl/>
        </w:rPr>
        <w:t>בבדיקת</w:t>
      </w:r>
      <w:r w:rsidRPr="00637A48">
        <w:rPr>
          <w:rFonts w:eastAsia="Calibri"/>
          <w:rtl/>
        </w:rPr>
        <w:t xml:space="preserve"> </w:t>
      </w:r>
      <w:r w:rsidRPr="00637A48">
        <w:rPr>
          <w:rFonts w:eastAsia="Calibri" w:hint="eastAsia"/>
          <w:rtl/>
        </w:rPr>
        <w:t>הנציבות</w:t>
      </w:r>
      <w:r w:rsidRPr="00637A48">
        <w:rPr>
          <w:rFonts w:eastAsia="Calibri"/>
          <w:rtl/>
        </w:rPr>
        <w:t xml:space="preserve"> </w:t>
      </w:r>
      <w:r w:rsidRPr="00637A48">
        <w:rPr>
          <w:rFonts w:eastAsia="Calibri" w:hint="eastAsia"/>
          <w:rtl/>
        </w:rPr>
        <w:t>בשנ</w:t>
      </w:r>
      <w:r w:rsidRPr="00637A48">
        <w:rPr>
          <w:rFonts w:eastAsia="Calibri" w:hint="cs"/>
          <w:rtl/>
        </w:rPr>
        <w:t xml:space="preserve">ים אלו, </w:t>
      </w:r>
      <w:r w:rsidRPr="00637A48">
        <w:rPr>
          <w:rFonts w:eastAsia="Calibri" w:hint="eastAsia"/>
          <w:rtl/>
        </w:rPr>
        <w:t>עדיין</w:t>
      </w:r>
      <w:r w:rsidRPr="00637A48">
        <w:rPr>
          <w:rFonts w:eastAsia="Calibri"/>
          <w:rtl/>
        </w:rPr>
        <w:t xml:space="preserve"> אינם </w:t>
      </w:r>
      <w:r w:rsidRPr="00637A48">
        <w:rPr>
          <w:rFonts w:eastAsia="Calibri" w:hint="eastAsia"/>
          <w:rtl/>
        </w:rPr>
        <w:t>נגישים</w:t>
      </w:r>
      <w:r w:rsidRPr="00637A48">
        <w:rPr>
          <w:rFonts w:eastAsia="Calibri"/>
          <w:rtl/>
        </w:rPr>
        <w:t xml:space="preserve"> </w:t>
      </w:r>
      <w:r w:rsidRPr="00637A48">
        <w:rPr>
          <w:rFonts w:eastAsia="Calibri" w:hint="eastAsia"/>
          <w:rtl/>
        </w:rPr>
        <w:t>באוגוסט</w:t>
      </w:r>
      <w:r w:rsidRPr="00637A48">
        <w:rPr>
          <w:rFonts w:eastAsia="Calibri"/>
          <w:rtl/>
        </w:rPr>
        <w:t xml:space="preserve"> 2022</w:t>
      </w:r>
      <w:r w:rsidRPr="00637A48">
        <w:rPr>
          <w:rFonts w:eastAsia="Calibri" w:hint="cs"/>
          <w:rtl/>
        </w:rPr>
        <w:t xml:space="preserve">. </w:t>
      </w:r>
      <w:r w:rsidRPr="00637A48">
        <w:rPr>
          <w:rFonts w:eastAsia="Calibri" w:hint="eastAsia"/>
          <w:rtl/>
        </w:rPr>
        <w:t>ממצאים</w:t>
      </w:r>
      <w:r w:rsidRPr="00637A48">
        <w:rPr>
          <w:rFonts w:eastAsia="Calibri"/>
          <w:rtl/>
        </w:rPr>
        <w:t xml:space="preserve"> אלה מדגישים </w:t>
      </w:r>
      <w:r w:rsidRPr="00637A48">
        <w:rPr>
          <w:rFonts w:eastAsia="Calibri" w:hint="eastAsia"/>
          <w:rtl/>
        </w:rPr>
        <w:t>את</w:t>
      </w:r>
      <w:r w:rsidRPr="00637A48">
        <w:rPr>
          <w:rFonts w:eastAsia="Calibri"/>
          <w:rtl/>
        </w:rPr>
        <w:t xml:space="preserve"> החשיבות </w:t>
      </w:r>
      <w:r w:rsidRPr="00637A48">
        <w:rPr>
          <w:rFonts w:eastAsia="Calibri" w:hint="cs"/>
          <w:rtl/>
        </w:rPr>
        <w:t xml:space="preserve">בכך שהנציבות תבצע </w:t>
      </w:r>
      <w:r w:rsidRPr="00637A48">
        <w:rPr>
          <w:rFonts w:eastAsia="Calibri" w:hint="eastAsia"/>
          <w:rtl/>
        </w:rPr>
        <w:t>מעקב</w:t>
      </w:r>
      <w:r w:rsidRPr="00637A48">
        <w:rPr>
          <w:rFonts w:eastAsia="Calibri"/>
          <w:rtl/>
        </w:rPr>
        <w:t xml:space="preserve"> </w:t>
      </w:r>
      <w:r w:rsidRPr="00637A48">
        <w:rPr>
          <w:rFonts w:eastAsia="Calibri" w:hint="cs"/>
          <w:rtl/>
        </w:rPr>
        <w:t>אחר</w:t>
      </w:r>
      <w:r w:rsidRPr="00637A48">
        <w:rPr>
          <w:rFonts w:eastAsia="Calibri"/>
          <w:rtl/>
        </w:rPr>
        <w:t xml:space="preserve"> </w:t>
      </w:r>
      <w:r w:rsidRPr="00637A48">
        <w:rPr>
          <w:rFonts w:eastAsia="Calibri" w:hint="eastAsia"/>
          <w:rtl/>
        </w:rPr>
        <w:t>תיקון</w:t>
      </w:r>
      <w:r w:rsidRPr="00637A48">
        <w:rPr>
          <w:rFonts w:eastAsia="Calibri"/>
          <w:rtl/>
        </w:rPr>
        <w:t xml:space="preserve"> </w:t>
      </w:r>
      <w:r w:rsidRPr="00637A48">
        <w:rPr>
          <w:rFonts w:eastAsia="Calibri" w:hint="eastAsia"/>
          <w:rtl/>
        </w:rPr>
        <w:t>ליקוי</w:t>
      </w:r>
      <w:r w:rsidRPr="00637A48">
        <w:rPr>
          <w:rFonts w:eastAsia="Calibri" w:hint="cs"/>
          <w:rtl/>
        </w:rPr>
        <w:t>י הנגישות</w:t>
      </w:r>
      <w:r w:rsidRPr="00637A48">
        <w:rPr>
          <w:rFonts w:eastAsia="Calibri"/>
          <w:rtl/>
        </w:rPr>
        <w:t xml:space="preserve"> </w:t>
      </w:r>
      <w:r w:rsidRPr="00637A48">
        <w:rPr>
          <w:rFonts w:eastAsia="Calibri" w:hint="cs"/>
          <w:rtl/>
        </w:rPr>
        <w:t xml:space="preserve">שהיא מאתרת בגופים שבפיקוחה </w:t>
      </w:r>
      <w:r w:rsidRPr="00637A48">
        <w:rPr>
          <w:rFonts w:eastAsia="Calibri" w:hint="eastAsia"/>
          <w:rtl/>
        </w:rPr>
        <w:t>עד</w:t>
      </w:r>
      <w:r w:rsidRPr="00637A48">
        <w:rPr>
          <w:rFonts w:eastAsia="Calibri"/>
          <w:rtl/>
        </w:rPr>
        <w:t xml:space="preserve"> </w:t>
      </w:r>
      <w:r w:rsidRPr="00637A48">
        <w:rPr>
          <w:rFonts w:eastAsia="Calibri" w:hint="eastAsia"/>
          <w:rtl/>
        </w:rPr>
        <w:t>לתיקונם</w:t>
      </w:r>
      <w:r w:rsidRPr="00637A48">
        <w:rPr>
          <w:rFonts w:eastAsia="Calibri"/>
          <w:rtl/>
        </w:rPr>
        <w:t xml:space="preserve"> </w:t>
      </w:r>
      <w:r w:rsidRPr="00637A48">
        <w:rPr>
          <w:rFonts w:eastAsia="Calibri" w:hint="eastAsia"/>
          <w:rtl/>
        </w:rPr>
        <w:t>המלא</w:t>
      </w:r>
      <w:r w:rsidRPr="00637A48">
        <w:rPr>
          <w:rFonts w:eastAsia="Calibri"/>
          <w:rtl/>
        </w:rPr>
        <w:t>.</w:t>
      </w:r>
      <w:r w:rsidRPr="00637A48">
        <w:rPr>
          <w:rFonts w:eastAsia="Calibri" w:hint="cs"/>
          <w:rtl/>
        </w:rPr>
        <w:t xml:space="preserve"> </w:t>
      </w:r>
    </w:p>
    <w:p w:rsidR="00BF1E3B" w:rsidRDefault="00DF6A0A" w:rsidP="00C619CC">
      <w:pPr>
        <w:pStyle w:val="7392"/>
        <w:rPr>
          <w:rtl/>
        </w:rPr>
      </w:pPr>
      <w:r>
        <w:rPr>
          <w:rFonts w:hint="cs"/>
          <w:rtl/>
        </w:rPr>
        <w:t xml:space="preserve">בתשובה שמסר </w:t>
      </w:r>
      <w:r w:rsidRPr="001177FE">
        <w:rPr>
          <w:rFonts w:hint="cs"/>
          <w:b/>
          <w:bCs/>
          <w:rtl/>
        </w:rPr>
        <w:t>המוסד לביטוח לאומי</w:t>
      </w:r>
      <w:r>
        <w:rPr>
          <w:rFonts w:hint="cs"/>
          <w:rtl/>
        </w:rPr>
        <w:t xml:space="preserve"> למשרד מבקר המדינה בינואר 2023 צוין כי ממצאי הביקורת נוגעים לטופס שפותח באמצעות ממשל זמין "על תשתית שרת הטפסים ממשלתי (ולא ביטוח לאומי) אשר הונגש כבר בשנת 2018. לאור ממצא המבקר, פני</w:t>
      </w:r>
      <w:r>
        <w:rPr>
          <w:rFonts w:hint="cs"/>
          <w:rtl/>
        </w:rPr>
        <w:t>נו לגורמים המקצועיים בממשל זמין וביקשנו שיבצעו בדיקות נגישות נוספות לטופס". המוסד לביטוח לאומי הוסיף כי בבדיקה שהתבצעה על ידי ממשל זמין התגלו בעיות נגישות בשני טפסים, וכי צוות הפיתוח בממשל זמין מטפל בכך. עוד ציין המוסד לביטוח לאומי כי יבצע מעקב אחר הפעילות</w:t>
      </w:r>
      <w:r>
        <w:rPr>
          <w:rFonts w:hint="cs"/>
          <w:rtl/>
        </w:rPr>
        <w:t xml:space="preserve"> שנעשית עד להנגשה מלאה של הטפסים. </w:t>
      </w:r>
      <w:r w:rsidRPr="001177FE">
        <w:rPr>
          <w:rFonts w:hint="cs"/>
          <w:b/>
          <w:bCs/>
          <w:rtl/>
        </w:rPr>
        <w:t>ועדת הבחירות המרכזית</w:t>
      </w:r>
      <w:r>
        <w:rPr>
          <w:rFonts w:hint="cs"/>
          <w:rtl/>
        </w:rPr>
        <w:t xml:space="preserve"> מסרה בתשובה כי </w:t>
      </w:r>
      <w:r>
        <w:rPr>
          <w:rtl/>
        </w:rPr>
        <w:t>מנכ"לית</w:t>
      </w:r>
      <w:r>
        <w:rPr>
          <w:rFonts w:hint="cs"/>
          <w:rtl/>
        </w:rPr>
        <w:t xml:space="preserve"> הוועדה </w:t>
      </w:r>
      <w:r>
        <w:rPr>
          <w:rtl/>
        </w:rPr>
        <w:t>הנחתה</w:t>
      </w:r>
      <w:r>
        <w:rPr>
          <w:rFonts w:hint="cs"/>
          <w:rtl/>
        </w:rPr>
        <w:t xml:space="preserve"> לתקן את </w:t>
      </w:r>
      <w:r>
        <w:rPr>
          <w:rtl/>
        </w:rPr>
        <w:t xml:space="preserve">כלל הליקויים </w:t>
      </w:r>
      <w:r>
        <w:rPr>
          <w:rFonts w:hint="cs"/>
          <w:rtl/>
        </w:rPr>
        <w:t>"</w:t>
      </w:r>
      <w:r>
        <w:rPr>
          <w:rtl/>
        </w:rPr>
        <w:t>ככל שיידרש</w:t>
      </w:r>
      <w:r>
        <w:rPr>
          <w:rFonts w:hint="cs"/>
          <w:rtl/>
        </w:rPr>
        <w:t xml:space="preserve"> </w:t>
      </w:r>
      <w:r>
        <w:rPr>
          <w:rtl/>
        </w:rPr>
        <w:t>ובהתאם להתייחסות הפרטנית של</w:t>
      </w:r>
      <w:r>
        <w:rPr>
          <w:rFonts w:hint="cs"/>
          <w:rtl/>
        </w:rPr>
        <w:t xml:space="preserve"> </w:t>
      </w:r>
      <w:r>
        <w:rPr>
          <w:rtl/>
        </w:rPr>
        <w:t>הוועדה</w:t>
      </w:r>
      <w:r>
        <w:rPr>
          <w:rFonts w:hint="cs"/>
          <w:rtl/>
        </w:rPr>
        <w:t xml:space="preserve">". </w:t>
      </w:r>
    </w:p>
    <w:p w:rsidR="00BF1E3B" w:rsidRPr="00637A48" w:rsidRDefault="00DF6A0A" w:rsidP="00637A48">
      <w:pPr>
        <w:pStyle w:val="735"/>
        <w:rPr>
          <w:rFonts w:eastAsia="Calibri"/>
          <w:rtl/>
        </w:rPr>
      </w:pPr>
      <w:r w:rsidRPr="00637A48">
        <w:rPr>
          <w:rFonts w:eastAsia="Calibri" w:hint="cs"/>
          <w:rtl/>
        </w:rPr>
        <w:t xml:space="preserve">על המוסד לביטוח לאומי, ועדת הבחירות המרכזית ומשרד הביטחון לפעול להשלמת תיקון ליקויי הנגישות </w:t>
      </w:r>
      <w:r w:rsidRPr="00637A48">
        <w:rPr>
          <w:rFonts w:eastAsia="Calibri" w:hint="eastAsia"/>
          <w:rtl/>
        </w:rPr>
        <w:t>שע</w:t>
      </w:r>
      <w:r w:rsidRPr="00637A48">
        <w:rPr>
          <w:rFonts w:eastAsia="Calibri" w:hint="eastAsia"/>
          <w:rtl/>
        </w:rPr>
        <w:t>ליהם</w:t>
      </w:r>
      <w:r w:rsidRPr="00637A48">
        <w:rPr>
          <w:rFonts w:eastAsia="Calibri"/>
          <w:rtl/>
        </w:rPr>
        <w:t xml:space="preserve"> התריעה הנציבות בבקרות שביצעה בשנים 2019 - 2021 והם </w:t>
      </w:r>
      <w:r w:rsidRPr="00637A48">
        <w:rPr>
          <w:rFonts w:eastAsia="Calibri" w:hint="eastAsia"/>
          <w:rtl/>
        </w:rPr>
        <w:t>טרם</w:t>
      </w:r>
      <w:r w:rsidRPr="00637A48">
        <w:rPr>
          <w:rFonts w:eastAsia="Calibri"/>
          <w:rtl/>
        </w:rPr>
        <w:t xml:space="preserve"> תוקנו</w:t>
      </w:r>
      <w:r w:rsidRPr="00637A48">
        <w:rPr>
          <w:rFonts w:eastAsia="Calibri" w:hint="cs"/>
          <w:rtl/>
        </w:rPr>
        <w:t>,</w:t>
      </w:r>
      <w:r w:rsidRPr="00637A48">
        <w:rPr>
          <w:rFonts w:eastAsia="Calibri"/>
          <w:rtl/>
        </w:rPr>
        <w:t xml:space="preserve"> </w:t>
      </w:r>
      <w:r w:rsidRPr="00637A48">
        <w:rPr>
          <w:rFonts w:eastAsia="Calibri" w:hint="eastAsia"/>
          <w:rtl/>
        </w:rPr>
        <w:t>כפי</w:t>
      </w:r>
      <w:r w:rsidRPr="00637A48">
        <w:rPr>
          <w:rFonts w:eastAsia="Calibri"/>
          <w:rtl/>
        </w:rPr>
        <w:t xml:space="preserve"> </w:t>
      </w:r>
      <w:r w:rsidRPr="00637A48">
        <w:rPr>
          <w:rFonts w:eastAsia="Calibri" w:hint="eastAsia"/>
          <w:rtl/>
        </w:rPr>
        <w:t>שעלה</w:t>
      </w:r>
      <w:r w:rsidRPr="00637A48">
        <w:rPr>
          <w:rFonts w:eastAsia="Calibri"/>
          <w:rtl/>
        </w:rPr>
        <w:t xml:space="preserve"> </w:t>
      </w:r>
      <w:r w:rsidRPr="00637A48">
        <w:rPr>
          <w:rFonts w:eastAsia="Calibri" w:hint="eastAsia"/>
          <w:rtl/>
        </w:rPr>
        <w:t>בביקורת</w:t>
      </w:r>
      <w:r w:rsidRPr="00637A48">
        <w:rPr>
          <w:rFonts w:eastAsia="Calibri" w:hint="cs"/>
          <w:rtl/>
        </w:rPr>
        <w:t xml:space="preserve"> שעשה משרד מבקר המדינה</w:t>
      </w:r>
      <w:r w:rsidRPr="00637A48">
        <w:rPr>
          <w:rFonts w:eastAsia="Calibri"/>
          <w:rtl/>
        </w:rPr>
        <w:t xml:space="preserve"> </w:t>
      </w:r>
      <w:r w:rsidRPr="00637A48">
        <w:rPr>
          <w:rFonts w:eastAsia="Calibri" w:hint="eastAsia"/>
          <w:rtl/>
        </w:rPr>
        <w:t>באוגוסט</w:t>
      </w:r>
      <w:r w:rsidRPr="00637A48">
        <w:rPr>
          <w:rFonts w:eastAsia="Calibri"/>
          <w:rtl/>
        </w:rPr>
        <w:t xml:space="preserve"> 2022.</w:t>
      </w:r>
      <w:r w:rsidRPr="00637A48">
        <w:rPr>
          <w:rFonts w:eastAsia="Calibri" w:hint="cs"/>
          <w:rtl/>
        </w:rPr>
        <w:t xml:space="preserve"> </w:t>
      </w:r>
    </w:p>
    <w:p w:rsidR="00BF1E3B" w:rsidRPr="00681EC1" w:rsidRDefault="00DF6A0A" w:rsidP="00C619CC">
      <w:pPr>
        <w:pStyle w:val="7392"/>
        <w:rPr>
          <w:rtl/>
        </w:rPr>
      </w:pPr>
      <w:r w:rsidRPr="00DB546A">
        <w:rPr>
          <w:rFonts w:hint="eastAsia"/>
          <w:rtl/>
        </w:rPr>
        <w:t>נציבות</w:t>
      </w:r>
      <w:r w:rsidRPr="00DB546A">
        <w:rPr>
          <w:rtl/>
        </w:rPr>
        <w:t xml:space="preserve"> </w:t>
      </w:r>
      <w:r w:rsidRPr="00DB546A">
        <w:rPr>
          <w:rFonts w:hint="eastAsia"/>
          <w:rtl/>
        </w:rPr>
        <w:t>שוויון</w:t>
      </w:r>
      <w:r w:rsidRPr="00DB546A">
        <w:rPr>
          <w:rtl/>
        </w:rPr>
        <w:t xml:space="preserve"> </w:t>
      </w:r>
      <w:r w:rsidRPr="00DB546A">
        <w:rPr>
          <w:rFonts w:hint="eastAsia"/>
          <w:rtl/>
        </w:rPr>
        <w:t>זכויות</w:t>
      </w:r>
      <w:r w:rsidRPr="00DB546A">
        <w:rPr>
          <w:rtl/>
        </w:rPr>
        <w:t xml:space="preserve"> </w:t>
      </w:r>
      <w:r w:rsidRPr="00DB546A">
        <w:rPr>
          <w:rFonts w:hint="eastAsia"/>
          <w:rtl/>
        </w:rPr>
        <w:t>לאנשים</w:t>
      </w:r>
      <w:r w:rsidRPr="00DB546A">
        <w:rPr>
          <w:rtl/>
        </w:rPr>
        <w:t xml:space="preserve"> </w:t>
      </w:r>
      <w:r w:rsidRPr="00DB546A">
        <w:rPr>
          <w:rFonts w:hint="eastAsia"/>
          <w:rtl/>
        </w:rPr>
        <w:t>עם</w:t>
      </w:r>
      <w:r w:rsidRPr="00DB546A">
        <w:rPr>
          <w:rtl/>
        </w:rPr>
        <w:t xml:space="preserve"> </w:t>
      </w:r>
      <w:r w:rsidRPr="00DB546A">
        <w:rPr>
          <w:rFonts w:hint="eastAsia"/>
          <w:rtl/>
        </w:rPr>
        <w:t>מוגבלות</w:t>
      </w:r>
      <w:r w:rsidRPr="00DB546A">
        <w:rPr>
          <w:rtl/>
        </w:rPr>
        <w:t xml:space="preserve"> </w:t>
      </w:r>
      <w:r w:rsidRPr="00DB546A">
        <w:rPr>
          <w:rFonts w:hint="eastAsia"/>
          <w:rtl/>
        </w:rPr>
        <w:t>מסרה</w:t>
      </w:r>
      <w:r w:rsidRPr="00DB546A">
        <w:rPr>
          <w:rtl/>
        </w:rPr>
        <w:t xml:space="preserve"> </w:t>
      </w:r>
      <w:r w:rsidRPr="00DB546A">
        <w:rPr>
          <w:rFonts w:hint="eastAsia"/>
          <w:rtl/>
        </w:rPr>
        <w:t>למשרד</w:t>
      </w:r>
      <w:r w:rsidRPr="00DB546A">
        <w:rPr>
          <w:rtl/>
        </w:rPr>
        <w:t xml:space="preserve"> </w:t>
      </w:r>
      <w:r w:rsidRPr="00DB546A">
        <w:rPr>
          <w:rFonts w:hint="eastAsia"/>
          <w:rtl/>
        </w:rPr>
        <w:t>מבקר</w:t>
      </w:r>
      <w:r w:rsidRPr="00DB546A">
        <w:rPr>
          <w:rtl/>
        </w:rPr>
        <w:t xml:space="preserve"> </w:t>
      </w:r>
      <w:r w:rsidRPr="00DB546A">
        <w:rPr>
          <w:rFonts w:hint="eastAsia"/>
          <w:rtl/>
        </w:rPr>
        <w:t>המדינה</w:t>
      </w:r>
      <w:r w:rsidRPr="00DB546A">
        <w:rPr>
          <w:rtl/>
        </w:rPr>
        <w:t xml:space="preserve"> </w:t>
      </w:r>
      <w:r w:rsidRPr="00DB546A">
        <w:rPr>
          <w:rFonts w:hint="eastAsia"/>
          <w:rtl/>
        </w:rPr>
        <w:t>כי</w:t>
      </w:r>
      <w:r w:rsidRPr="00DB546A">
        <w:rPr>
          <w:rtl/>
        </w:rPr>
        <w:t xml:space="preserve"> </w:t>
      </w:r>
      <w:r w:rsidRPr="00DB546A">
        <w:rPr>
          <w:rFonts w:hint="eastAsia"/>
          <w:rtl/>
        </w:rPr>
        <w:t>בהתאם</w:t>
      </w:r>
      <w:r w:rsidRPr="00DB546A">
        <w:rPr>
          <w:rtl/>
        </w:rPr>
        <w:t xml:space="preserve"> </w:t>
      </w:r>
      <w:r w:rsidRPr="00DB546A">
        <w:rPr>
          <w:rFonts w:hint="eastAsia"/>
          <w:rtl/>
        </w:rPr>
        <w:t>לתיקון</w:t>
      </w:r>
      <w:r w:rsidRPr="00DB546A">
        <w:rPr>
          <w:rtl/>
        </w:rPr>
        <w:t xml:space="preserve"> </w:t>
      </w:r>
      <w:r w:rsidRPr="00DB546A">
        <w:rPr>
          <w:rFonts w:hint="eastAsia"/>
          <w:rtl/>
        </w:rPr>
        <w:t>לחוק</w:t>
      </w:r>
      <w:r w:rsidRPr="00DB546A">
        <w:rPr>
          <w:rtl/>
        </w:rPr>
        <w:t xml:space="preserve"> </w:t>
      </w:r>
      <w:r w:rsidRPr="00DB546A">
        <w:rPr>
          <w:rFonts w:hint="eastAsia"/>
          <w:rtl/>
        </w:rPr>
        <w:t>שוויון</w:t>
      </w:r>
      <w:r w:rsidRPr="00DB546A">
        <w:rPr>
          <w:rtl/>
        </w:rPr>
        <w:t xml:space="preserve"> </w:t>
      </w:r>
      <w:r w:rsidRPr="00DB546A">
        <w:rPr>
          <w:rFonts w:hint="eastAsia"/>
          <w:rtl/>
        </w:rPr>
        <w:t>זכויות</w:t>
      </w:r>
      <w:r w:rsidRPr="00DB546A">
        <w:rPr>
          <w:rtl/>
        </w:rPr>
        <w:t xml:space="preserve"> </w:t>
      </w:r>
      <w:r w:rsidRPr="00DB546A">
        <w:rPr>
          <w:rFonts w:hint="eastAsia"/>
          <w:rtl/>
        </w:rPr>
        <w:t>לאנשים</w:t>
      </w:r>
      <w:r w:rsidRPr="00DB546A">
        <w:rPr>
          <w:rtl/>
        </w:rPr>
        <w:t xml:space="preserve"> </w:t>
      </w:r>
      <w:r w:rsidRPr="00DB546A">
        <w:rPr>
          <w:rFonts w:hint="eastAsia"/>
          <w:rtl/>
        </w:rPr>
        <w:t>עם</w:t>
      </w:r>
      <w:r w:rsidRPr="00DB546A">
        <w:rPr>
          <w:rtl/>
        </w:rPr>
        <w:t xml:space="preserve"> </w:t>
      </w:r>
      <w:r w:rsidRPr="00DB546A">
        <w:rPr>
          <w:rFonts w:hint="eastAsia"/>
          <w:rtl/>
        </w:rPr>
        <w:t>מוגבלות</w:t>
      </w:r>
      <w:r w:rsidRPr="00DB546A">
        <w:rPr>
          <w:rtl/>
        </w:rPr>
        <w:t xml:space="preserve"> </w:t>
      </w:r>
      <w:r w:rsidRPr="00DB546A">
        <w:rPr>
          <w:rFonts w:hint="eastAsia"/>
          <w:rtl/>
        </w:rPr>
        <w:t>מיולי</w:t>
      </w:r>
      <w:r w:rsidRPr="00DB546A">
        <w:rPr>
          <w:rtl/>
        </w:rPr>
        <w:t xml:space="preserve"> 2022</w:t>
      </w:r>
      <w:r>
        <w:rPr>
          <w:rStyle w:val="a8"/>
          <w:rtl/>
        </w:rPr>
        <w:footnoteReference w:id="105"/>
      </w:r>
      <w:r w:rsidRPr="00DB546A">
        <w:rPr>
          <w:rtl/>
        </w:rPr>
        <w:t xml:space="preserve"> הורחבו סמכויות האכיפה של הנציבות כלפי מי שמפר חובות נגישות. הרחבת הסמכויות נעשתה הן לעניין הסמכות להגיש תביעות אזרחיות נגד משרדי ממשלה גם בהקשר להנגשה והפליה במקום ציבורי ובשירות ציבורי (זאת בנוסף לסמכות הגשת תביעות בגין הפליה בתעסוקה) והן במתן אפשרות לנק</w:t>
      </w:r>
      <w:r w:rsidRPr="00DB546A">
        <w:rPr>
          <w:rtl/>
        </w:rPr>
        <w:t>וט אמצעים מ</w:t>
      </w:r>
      <w:r>
        <w:rPr>
          <w:rFonts w:hint="cs"/>
          <w:rtl/>
        </w:rPr>
        <w:t>י</w:t>
      </w:r>
      <w:r w:rsidRPr="00DB546A">
        <w:rPr>
          <w:rtl/>
        </w:rPr>
        <w:t>נהליים</w:t>
      </w:r>
      <w:r>
        <w:rPr>
          <w:rFonts w:hint="cs"/>
          <w:rtl/>
        </w:rPr>
        <w:t>,</w:t>
      </w:r>
      <w:r w:rsidRPr="00DB546A">
        <w:rPr>
          <w:rtl/>
        </w:rPr>
        <w:t xml:space="preserve"> כגון הטלת עיצומים כספיים, מתן התראות מינהליות, קבלת התחייבות מהמפר להימנע מהפרה והפקדת ערבון.</w:t>
      </w:r>
    </w:p>
    <w:p w:rsidR="00BF1E3B" w:rsidRPr="00637A48" w:rsidRDefault="00DF6A0A" w:rsidP="00637A48">
      <w:pPr>
        <w:pStyle w:val="735"/>
        <w:rPr>
          <w:rFonts w:eastAsia="Calibri"/>
          <w:rtl/>
        </w:rPr>
      </w:pPr>
      <w:r w:rsidRPr="00637A48">
        <w:rPr>
          <w:rFonts w:eastAsia="Calibri" w:hint="cs"/>
          <w:rtl/>
        </w:rPr>
        <w:t>מוצע כי הנציבות לשוויון, כגוף הממלכתי האמון על תחום הנגישות, תבצע מעקב אחר תיקון ליקויים שמצאה בשירותים הדיגיטליים של גופי ממשל. זאת בייחוד במ</w:t>
      </w:r>
      <w:r w:rsidRPr="00637A48">
        <w:rPr>
          <w:rFonts w:eastAsia="Calibri" w:hint="cs"/>
          <w:rtl/>
        </w:rPr>
        <w:t>קרים שבהם מצאה צורך להוציא לגוף ממשלתי צו נגישות. בהתאם לתוצאות המעקב שתבצע, מוצע שהנציבות תבחן בכל מקרה לגופו את הצורך בנקיטת צעדים נוספים בהתאם לסמכויות הפיקוח והאכיפה שהוקנו לה בחוק לשם מימוש תכליתו - הבטחת נגישות מלאה של השירות והמידע באתרי המרשתת לאנש</w:t>
      </w:r>
      <w:r w:rsidRPr="00637A48">
        <w:rPr>
          <w:rFonts w:eastAsia="Calibri" w:hint="cs"/>
          <w:rtl/>
        </w:rPr>
        <w:t xml:space="preserve">ים עם מוגבלות. </w:t>
      </w:r>
    </w:p>
    <w:p w:rsidR="00BF1E3B" w:rsidRPr="00B74C6A" w:rsidRDefault="00DF6A0A" w:rsidP="00B74C6A">
      <w:pPr>
        <w:pStyle w:val="733155"/>
        <w:rPr>
          <w:rFonts w:eastAsia="Calibri"/>
          <w:rtl/>
        </w:rPr>
      </w:pPr>
      <w:r w:rsidRPr="00B74C6A">
        <w:rPr>
          <w:rFonts w:hint="cs"/>
          <w:rtl/>
        </w:rPr>
        <w:lastRenderedPageBreak/>
        <w:t>מדידת איכות השירות לציבור על ידי היחידה לשיפור השירות הממשלתי</w:t>
      </w:r>
      <w:r w:rsidRPr="00B74C6A">
        <w:rPr>
          <w:rFonts w:eastAsia="Calibri" w:hint="cs"/>
          <w:rtl/>
        </w:rPr>
        <w:t xml:space="preserve"> במערך הדיגיטל הלאומי</w:t>
      </w:r>
    </w:p>
    <w:p w:rsidR="00BF1E3B" w:rsidRPr="00EC25C1" w:rsidRDefault="00DF6A0A" w:rsidP="00C619CC">
      <w:pPr>
        <w:pStyle w:val="7392"/>
        <w:rPr>
          <w:rtl/>
        </w:rPr>
      </w:pPr>
      <w:r w:rsidRPr="00EC25C1">
        <w:rPr>
          <w:rFonts w:hint="cs"/>
          <w:rtl/>
        </w:rPr>
        <w:t xml:space="preserve">היחידה לשיפור השירות הממשלתי לציבור (להלן - היחידה) </w:t>
      </w:r>
      <w:r>
        <w:rPr>
          <w:rFonts w:hint="cs"/>
          <w:rtl/>
        </w:rPr>
        <w:t>במערך הדיגיטל הלאומי מופקדת על</w:t>
      </w:r>
      <w:r w:rsidRPr="00EC25C1">
        <w:rPr>
          <w:rFonts w:hint="cs"/>
          <w:rtl/>
        </w:rPr>
        <w:t xml:space="preserve"> </w:t>
      </w:r>
      <w:r w:rsidRPr="00EC25C1">
        <w:rPr>
          <w:rtl/>
        </w:rPr>
        <w:t>מדידת איכות השירות</w:t>
      </w:r>
      <w:r w:rsidRPr="00EC25C1">
        <w:rPr>
          <w:rFonts w:hint="cs"/>
          <w:rtl/>
        </w:rPr>
        <w:t xml:space="preserve"> לציבור</w:t>
      </w:r>
      <w:r w:rsidRPr="00806B42">
        <w:rPr>
          <w:rtl/>
        </w:rPr>
        <w:t xml:space="preserve"> </w:t>
      </w:r>
      <w:r w:rsidRPr="00806B42">
        <w:rPr>
          <w:rFonts w:hint="eastAsia"/>
          <w:rtl/>
        </w:rPr>
        <w:t>שנותנים</w:t>
      </w:r>
      <w:r w:rsidRPr="00806B42">
        <w:rPr>
          <w:rtl/>
        </w:rPr>
        <w:t xml:space="preserve"> </w:t>
      </w:r>
      <w:r w:rsidRPr="00806B42">
        <w:rPr>
          <w:rFonts w:hint="eastAsia"/>
          <w:rtl/>
        </w:rPr>
        <w:t>גופי</w:t>
      </w:r>
      <w:r w:rsidRPr="00806B42">
        <w:rPr>
          <w:rtl/>
        </w:rPr>
        <w:t xml:space="preserve"> </w:t>
      </w:r>
      <w:r w:rsidRPr="00806B42">
        <w:rPr>
          <w:rFonts w:hint="eastAsia"/>
          <w:rtl/>
        </w:rPr>
        <w:t>ממשל</w:t>
      </w:r>
      <w:r w:rsidRPr="00806B42">
        <w:rPr>
          <w:rtl/>
        </w:rPr>
        <w:t xml:space="preserve"> </w:t>
      </w:r>
      <w:r w:rsidRPr="00806B42">
        <w:rPr>
          <w:rFonts w:hint="eastAsia"/>
          <w:rtl/>
        </w:rPr>
        <w:t>שונים</w:t>
      </w:r>
      <w:r w:rsidRPr="00806B42">
        <w:rPr>
          <w:rtl/>
        </w:rPr>
        <w:t xml:space="preserve"> </w:t>
      </w:r>
      <w:r w:rsidRPr="00806B42">
        <w:rPr>
          <w:rFonts w:hint="eastAsia"/>
          <w:rtl/>
        </w:rPr>
        <w:t>בערוצי</w:t>
      </w:r>
      <w:r w:rsidRPr="00806B42">
        <w:rPr>
          <w:rtl/>
        </w:rPr>
        <w:t xml:space="preserve"> </w:t>
      </w:r>
      <w:r w:rsidRPr="00806B42">
        <w:rPr>
          <w:rFonts w:hint="eastAsia"/>
          <w:rtl/>
        </w:rPr>
        <w:t>שירות</w:t>
      </w:r>
      <w:r w:rsidRPr="00806B42">
        <w:rPr>
          <w:rtl/>
        </w:rPr>
        <w:t xml:space="preserve"> </w:t>
      </w:r>
      <w:r w:rsidRPr="00806B42">
        <w:rPr>
          <w:rFonts w:hint="eastAsia"/>
          <w:rtl/>
        </w:rPr>
        <w:t>שונים</w:t>
      </w:r>
      <w:r>
        <w:rPr>
          <w:rFonts w:hint="cs"/>
          <w:rtl/>
        </w:rPr>
        <w:t>.</w:t>
      </w:r>
      <w:r w:rsidRPr="00EC25C1">
        <w:rPr>
          <w:rFonts w:hint="cs"/>
          <w:rtl/>
        </w:rPr>
        <w:t xml:space="preserve"> </w:t>
      </w:r>
      <w:r>
        <w:rPr>
          <w:rFonts w:hint="cs"/>
          <w:rtl/>
        </w:rPr>
        <w:t xml:space="preserve">היחידה </w:t>
      </w:r>
      <w:r w:rsidRPr="00EC25C1">
        <w:rPr>
          <w:rFonts w:hint="cs"/>
          <w:rtl/>
        </w:rPr>
        <w:t>עושה זאת באמצעות סקרי שביעות רצו</w:t>
      </w:r>
      <w:r>
        <w:rPr>
          <w:rFonts w:hint="cs"/>
          <w:rtl/>
        </w:rPr>
        <w:t>ן</w:t>
      </w:r>
      <w:r w:rsidRPr="00EC25C1">
        <w:rPr>
          <w:rFonts w:hint="cs"/>
          <w:rtl/>
        </w:rPr>
        <w:t xml:space="preserve"> </w:t>
      </w:r>
      <w:r>
        <w:rPr>
          <w:rFonts w:hint="cs"/>
          <w:rtl/>
        </w:rPr>
        <w:t xml:space="preserve">הבודקים </w:t>
      </w:r>
      <w:r w:rsidRPr="00EC25C1">
        <w:rPr>
          <w:rFonts w:hint="cs"/>
          <w:rtl/>
        </w:rPr>
        <w:t xml:space="preserve">שלושה ערוצי שירות עיקריים: </w:t>
      </w:r>
      <w:r>
        <w:rPr>
          <w:rFonts w:hint="cs"/>
          <w:rtl/>
        </w:rPr>
        <w:t xml:space="preserve">שירות </w:t>
      </w:r>
      <w:r w:rsidRPr="00EC25C1">
        <w:rPr>
          <w:rFonts w:hint="cs"/>
          <w:rtl/>
        </w:rPr>
        <w:t xml:space="preserve">פרונטלי בסניפים, שירות טלפוני וכן שירות באתרי המרשתת של </w:t>
      </w:r>
      <w:r>
        <w:rPr>
          <w:rFonts w:hint="cs"/>
          <w:rtl/>
        </w:rPr>
        <w:t xml:space="preserve">הגופים הממשלתיים. </w:t>
      </w:r>
    </w:p>
    <w:p w:rsidR="00BF1E3B" w:rsidRPr="00EC25C1" w:rsidRDefault="00DF6A0A" w:rsidP="00C619CC">
      <w:pPr>
        <w:pStyle w:val="7392"/>
        <w:rPr>
          <w:rtl/>
        </w:rPr>
      </w:pPr>
      <w:r>
        <w:rPr>
          <w:rFonts w:hint="cs"/>
          <w:rtl/>
        </w:rPr>
        <w:t>מ</w:t>
      </w:r>
      <w:r w:rsidRPr="00EC25C1">
        <w:rPr>
          <w:rFonts w:hint="cs"/>
          <w:rtl/>
        </w:rPr>
        <w:t xml:space="preserve">שנת 2014 מפרסמת היחידה דוחות שנתיים על תוצאות המדידה. </w:t>
      </w:r>
      <w:r w:rsidRPr="00EC25C1">
        <w:rPr>
          <w:rtl/>
        </w:rPr>
        <w:t>לדוח</w:t>
      </w:r>
      <w:r w:rsidRPr="00EC25C1">
        <w:rPr>
          <w:rFonts w:hint="cs"/>
          <w:rtl/>
        </w:rPr>
        <w:t xml:space="preserve">ות אלו </w:t>
      </w:r>
      <w:r w:rsidRPr="00EC25C1">
        <w:rPr>
          <w:rtl/>
        </w:rPr>
        <w:t>שתי מטרות</w:t>
      </w:r>
      <w:r>
        <w:rPr>
          <w:rStyle w:val="a8"/>
          <w:rtl/>
        </w:rPr>
        <w:footnoteReference w:id="106"/>
      </w:r>
      <w:r w:rsidRPr="00EC25C1">
        <w:rPr>
          <w:rtl/>
        </w:rPr>
        <w:t>:</w:t>
      </w:r>
      <w:r>
        <w:rPr>
          <w:rFonts w:hint="cs"/>
          <w:rtl/>
        </w:rPr>
        <w:t xml:space="preserve"> (א)</w:t>
      </w:r>
      <w:r w:rsidRPr="00EC25C1">
        <w:rPr>
          <w:rtl/>
        </w:rPr>
        <w:t xml:space="preserve"> </w:t>
      </w:r>
      <w:r w:rsidRPr="00EC25C1">
        <w:rPr>
          <w:rFonts w:hint="cs"/>
          <w:rtl/>
        </w:rPr>
        <w:t>"</w:t>
      </w:r>
      <w:r w:rsidRPr="00EC25C1">
        <w:rPr>
          <w:rtl/>
        </w:rPr>
        <w:t>לשמש כלי עזר ליח</w:t>
      </w:r>
      <w:r w:rsidRPr="00EC25C1">
        <w:rPr>
          <w:rtl/>
        </w:rPr>
        <w:t>ידות הממשלה בהשגת שיפור באיכות השירותים הממשלתיים בערוצי השירות השונים</w:t>
      </w:r>
      <w:r w:rsidRPr="00EC25C1">
        <w:rPr>
          <w:rFonts w:hint="cs"/>
          <w:rtl/>
        </w:rPr>
        <w:t>"</w:t>
      </w:r>
      <w:r>
        <w:rPr>
          <w:rFonts w:hint="cs"/>
          <w:rtl/>
        </w:rPr>
        <w:t>;</w:t>
      </w:r>
      <w:r w:rsidRPr="00EC25C1">
        <w:rPr>
          <w:rFonts w:hint="cs"/>
          <w:rtl/>
        </w:rPr>
        <w:t xml:space="preserve"> </w:t>
      </w:r>
      <w:r>
        <w:rPr>
          <w:rFonts w:hint="cs"/>
          <w:rtl/>
        </w:rPr>
        <w:t>(ב)</w:t>
      </w:r>
      <w:r w:rsidRPr="00EC25C1">
        <w:rPr>
          <w:rtl/>
        </w:rPr>
        <w:t xml:space="preserve"> </w:t>
      </w:r>
      <w:r w:rsidRPr="00EC25C1">
        <w:rPr>
          <w:rFonts w:hint="cs"/>
          <w:rtl/>
        </w:rPr>
        <w:t>"</w:t>
      </w:r>
      <w:r w:rsidRPr="00EC25C1">
        <w:rPr>
          <w:rtl/>
        </w:rPr>
        <w:t>ליידע את הציבור הרחב בדבר רמת שביעות הרצון הציבורית מהיחידות השונות במטרה ליצור דיון ציבורי</w:t>
      </w:r>
      <w:r w:rsidRPr="00EC25C1">
        <w:rPr>
          <w:rFonts w:hint="cs"/>
          <w:rtl/>
        </w:rPr>
        <w:t xml:space="preserve"> </w:t>
      </w:r>
      <w:r w:rsidRPr="00EC25C1">
        <w:rPr>
          <w:rtl/>
        </w:rPr>
        <w:t>ולהעלות את המודעות לנושא כחלק ממדיניות ממשל פתוח</w:t>
      </w:r>
      <w:r w:rsidRPr="00EC25C1">
        <w:rPr>
          <w:rFonts w:hint="cs"/>
          <w:rtl/>
        </w:rPr>
        <w:t xml:space="preserve">". </w:t>
      </w:r>
    </w:p>
    <w:p w:rsidR="00BF1E3B" w:rsidRPr="00EC25C1" w:rsidRDefault="00DF6A0A" w:rsidP="00637A48">
      <w:pPr>
        <w:pStyle w:val="735"/>
        <w:rPr>
          <w:rtl/>
        </w:rPr>
      </w:pPr>
      <w:r w:rsidRPr="00131999">
        <w:rPr>
          <w:rFonts w:hint="cs"/>
          <w:rtl/>
        </w:rPr>
        <w:t xml:space="preserve">בביקורת עלה כי אף </w:t>
      </w:r>
      <w:r>
        <w:rPr>
          <w:rFonts w:hint="cs"/>
          <w:rtl/>
        </w:rPr>
        <w:t>ש</w:t>
      </w:r>
      <w:r w:rsidRPr="00131999">
        <w:rPr>
          <w:rFonts w:hint="cs"/>
          <w:rtl/>
        </w:rPr>
        <w:t>כ-</w:t>
      </w:r>
      <w:r>
        <w:rPr>
          <w:rFonts w:hint="cs"/>
          <w:rtl/>
        </w:rPr>
        <w:t>17%</w:t>
      </w:r>
      <w:r w:rsidRPr="00131999">
        <w:rPr>
          <w:rFonts w:hint="cs"/>
          <w:rtl/>
        </w:rPr>
        <w:t xml:space="preserve"> מהאוכלוסי</w:t>
      </w:r>
      <w:r w:rsidRPr="00131999">
        <w:rPr>
          <w:rFonts w:hint="cs"/>
          <w:rtl/>
        </w:rPr>
        <w:t>יה בישראל</w:t>
      </w:r>
      <w:r>
        <w:rPr>
          <w:rFonts w:hint="cs"/>
          <w:rtl/>
        </w:rPr>
        <w:t xml:space="preserve"> הם אנשים עם מוגבלות</w:t>
      </w:r>
      <w:r>
        <w:rPr>
          <w:rStyle w:val="a8"/>
          <w:rtl/>
        </w:rPr>
        <w:footnoteReference w:id="107"/>
      </w:r>
      <w:r>
        <w:rPr>
          <w:rFonts w:hint="cs"/>
          <w:rtl/>
        </w:rPr>
        <w:t xml:space="preserve">, </w:t>
      </w:r>
      <w:r w:rsidRPr="00131999">
        <w:rPr>
          <w:rFonts w:hint="cs"/>
          <w:rtl/>
        </w:rPr>
        <w:t>היחידה</w:t>
      </w:r>
      <w:r>
        <w:rPr>
          <w:rFonts w:hint="cs"/>
          <w:rtl/>
        </w:rPr>
        <w:t xml:space="preserve"> לשיפור השירות הממשלתי לציבור במערך הדיגיטל הלאומי</w:t>
      </w:r>
      <w:r w:rsidRPr="00131999">
        <w:rPr>
          <w:rFonts w:hint="cs"/>
          <w:rtl/>
        </w:rPr>
        <w:t xml:space="preserve"> לא מדדה את איכות השירות הדיגיטלי הממשלתי</w:t>
      </w:r>
      <w:r>
        <w:rPr>
          <w:rFonts w:hint="cs"/>
          <w:rtl/>
        </w:rPr>
        <w:t xml:space="preserve"> הניתן לציבור מבחינת נגישותו לאנשים עם מוגבלות</w:t>
      </w:r>
      <w:r w:rsidRPr="00131999">
        <w:rPr>
          <w:rFonts w:hint="cs"/>
          <w:rtl/>
        </w:rPr>
        <w:t xml:space="preserve">, </w:t>
      </w:r>
      <w:r>
        <w:rPr>
          <w:rFonts w:hint="cs"/>
          <w:rtl/>
        </w:rPr>
        <w:t>ו</w:t>
      </w:r>
      <w:r w:rsidRPr="00131999">
        <w:rPr>
          <w:rFonts w:hint="cs"/>
          <w:rtl/>
        </w:rPr>
        <w:t>בשל כך לא ניתן למצוא מידע בנדון בדוחות השנתיים ש</w:t>
      </w:r>
      <w:r>
        <w:rPr>
          <w:rFonts w:hint="cs"/>
          <w:rtl/>
        </w:rPr>
        <w:t xml:space="preserve">פרסמה </w:t>
      </w:r>
      <w:r w:rsidRPr="00131999">
        <w:rPr>
          <w:rFonts w:hint="cs"/>
          <w:rtl/>
        </w:rPr>
        <w:t>לציבור</w:t>
      </w:r>
      <w:r>
        <w:rPr>
          <w:rFonts w:hint="cs"/>
          <w:rtl/>
        </w:rPr>
        <w:t xml:space="preserve"> בנושא זה.</w:t>
      </w:r>
    </w:p>
    <w:p w:rsidR="00BF1E3B" w:rsidRPr="00637A48" w:rsidRDefault="00DF6A0A" w:rsidP="00637A48">
      <w:pPr>
        <w:pStyle w:val="735"/>
        <w:rPr>
          <w:rtl/>
        </w:rPr>
      </w:pPr>
      <w:r w:rsidRPr="00637A48">
        <w:rPr>
          <w:rFonts w:hint="cs"/>
          <w:rtl/>
        </w:rPr>
        <w:t>נוכח המ</w:t>
      </w:r>
      <w:r w:rsidRPr="00637A48">
        <w:rPr>
          <w:rFonts w:hint="cs"/>
          <w:rtl/>
        </w:rPr>
        <w:t xml:space="preserve">מצאים שהעלה משרד מבקר המדינה בעניין פערי הנגישות באתרי מרשתת של גופי ממשל, מוצע כי היחידה </w:t>
      </w:r>
      <w:r w:rsidRPr="00637A48">
        <w:rPr>
          <w:rtl/>
        </w:rPr>
        <w:t>לשיפור השירות הממשלתי לציבור</w:t>
      </w:r>
      <w:r w:rsidRPr="00637A48">
        <w:rPr>
          <w:rFonts w:hint="cs"/>
          <w:rtl/>
        </w:rPr>
        <w:t xml:space="preserve"> תכלול במסגרת סקרי שביעות הרצון שהיא מבצעת גם את איכות השירות הדיגיטלי הממשלתי הניתן לאנשים עם מוגבלות ותציג את ממצאיה הן לציבור והן לגופי</w:t>
      </w:r>
      <w:r w:rsidRPr="00637A48">
        <w:rPr>
          <w:rFonts w:hint="cs"/>
          <w:rtl/>
        </w:rPr>
        <w:t xml:space="preserve"> הממשל כדי לקדם שיפור בתחום זה. </w:t>
      </w:r>
    </w:p>
    <w:p w:rsidR="00BF1E3B" w:rsidRDefault="00DF6A0A" w:rsidP="00C619CC">
      <w:pPr>
        <w:pStyle w:val="7392"/>
        <w:rPr>
          <w:rtl/>
        </w:rPr>
      </w:pPr>
      <w:r>
        <w:rPr>
          <w:rFonts w:hint="cs"/>
          <w:rtl/>
        </w:rPr>
        <w:t>מערך הדיגיטל הלאומי מסר בתשובתו כי מתודולוגיית מדידת איכות השירות הממשלתי לציבור אינה מאפשרת "סימון" אנשים עם מוגבלות. בשל הרגישות המובנת, אין כל הנחיה לסוקרים לשאול פרטים אישיים כגון אלה שכן הגדרת אנשים כ"אנשים עם מוגבלות"</w:t>
      </w:r>
      <w:r>
        <w:rPr>
          <w:rFonts w:hint="cs"/>
          <w:rtl/>
        </w:rPr>
        <w:t xml:space="preserve"> היא רחבה, אישית ורגישה ביותר ונוגעת לצנעת הפרט. התייחסות לשירות שניתן לאנשים עם מוגבלות ניתנת במסגרת תצפיות, והן נוגעות לשירות הפרונטלי.</w:t>
      </w:r>
    </w:p>
    <w:p w:rsidR="00BF1E3B" w:rsidRPr="00637A48" w:rsidRDefault="00DF6A0A" w:rsidP="00637A48">
      <w:pPr>
        <w:pStyle w:val="735"/>
        <w:rPr>
          <w:rtl/>
        </w:rPr>
      </w:pPr>
      <w:r w:rsidRPr="00637A48">
        <w:rPr>
          <w:rFonts w:hint="cs"/>
          <w:rtl/>
        </w:rPr>
        <w:t>משרד מבקר המדינה ממליץ ליחידה לשיפור השירות הממשלתי לבחון דרכים לביצוע הליך שיתוף ציבור, באופן שיאפשר לאנשים עם מוגבלו</w:t>
      </w:r>
      <w:r w:rsidRPr="00637A48">
        <w:rPr>
          <w:rFonts w:hint="cs"/>
          <w:rtl/>
        </w:rPr>
        <w:t xml:space="preserve">ת שמעוניינים בכך, לספק מידע על "חוויית השירות" שלהם בבואם לצרוך שירותי ממשל במרשתת, בדרך וולונטרית ובאופן שלא יפגע בפרטיותם.   </w:t>
      </w:r>
    </w:p>
    <w:p w:rsidR="00BF1E3B" w:rsidRPr="00637A48" w:rsidRDefault="00DF6A0A" w:rsidP="00637A48">
      <w:pPr>
        <w:pStyle w:val="733155"/>
        <w:rPr>
          <w:rtl/>
        </w:rPr>
      </w:pPr>
      <w:r w:rsidRPr="00637A48">
        <w:rPr>
          <w:rFonts w:hint="cs"/>
          <w:rtl/>
        </w:rPr>
        <w:lastRenderedPageBreak/>
        <w:t xml:space="preserve">נגישות דיגיטלית בתחום שירותי הבריאות </w:t>
      </w:r>
    </w:p>
    <w:p w:rsidR="00BF1E3B" w:rsidRDefault="00DF6A0A" w:rsidP="00C619CC">
      <w:pPr>
        <w:pStyle w:val="7392"/>
        <w:rPr>
          <w:rtl/>
        </w:rPr>
      </w:pPr>
      <w:r w:rsidRPr="0028639A">
        <w:rPr>
          <w:rtl/>
        </w:rPr>
        <w:t xml:space="preserve">חובת </w:t>
      </w:r>
      <w:r>
        <w:rPr>
          <w:rFonts w:hint="cs"/>
          <w:rtl/>
        </w:rPr>
        <w:t>ה</w:t>
      </w:r>
      <w:r w:rsidRPr="0028639A">
        <w:rPr>
          <w:rtl/>
        </w:rPr>
        <w:t>הנגש</w:t>
      </w:r>
      <w:r w:rsidRPr="002E68C8">
        <w:rPr>
          <w:rtl/>
        </w:rPr>
        <w:t xml:space="preserve">ה של </w:t>
      </w:r>
      <w:r w:rsidRPr="0028639A">
        <w:rPr>
          <w:rtl/>
        </w:rPr>
        <w:t>שירותי הבריאות</w:t>
      </w:r>
      <w:r>
        <w:rPr>
          <w:rStyle w:val="a8"/>
          <w:rFonts w:ascii="David" w:eastAsia="Calibri" w:hAnsi="David"/>
          <w:sz w:val="24"/>
          <w:rtl/>
        </w:rPr>
        <w:footnoteReference w:id="108"/>
      </w:r>
      <w:r>
        <w:rPr>
          <w:rFonts w:hint="cs"/>
          <w:rtl/>
        </w:rPr>
        <w:t xml:space="preserve"> מעוגנת בחוק השוויון, במסגרת</w:t>
      </w:r>
      <w:r w:rsidRPr="0028639A">
        <w:rPr>
          <w:rtl/>
        </w:rPr>
        <w:t xml:space="preserve"> </w:t>
      </w:r>
      <w:r>
        <w:rPr>
          <w:rFonts w:hint="cs"/>
          <w:rtl/>
        </w:rPr>
        <w:t>ה</w:t>
      </w:r>
      <w:r w:rsidRPr="0028639A">
        <w:rPr>
          <w:rtl/>
        </w:rPr>
        <w:t xml:space="preserve">דרישות הכלליות לנגישות למקום ציבורי, </w:t>
      </w:r>
      <w:r>
        <w:rPr>
          <w:rFonts w:hint="cs"/>
          <w:rtl/>
        </w:rPr>
        <w:t>ב</w:t>
      </w:r>
      <w:r w:rsidRPr="0028639A">
        <w:rPr>
          <w:rtl/>
        </w:rPr>
        <w:t xml:space="preserve">הוראות </w:t>
      </w:r>
      <w:r>
        <w:rPr>
          <w:rFonts w:hint="cs"/>
          <w:rtl/>
        </w:rPr>
        <w:t>ה</w:t>
      </w:r>
      <w:r w:rsidRPr="0028639A">
        <w:rPr>
          <w:rtl/>
        </w:rPr>
        <w:t xml:space="preserve">כלליות לגבי נגישות שירות </w:t>
      </w:r>
      <w:r>
        <w:rPr>
          <w:rFonts w:hint="cs"/>
          <w:rtl/>
        </w:rPr>
        <w:t>ו</w:t>
      </w:r>
      <w:r w:rsidRPr="0028639A">
        <w:rPr>
          <w:rtl/>
        </w:rPr>
        <w:t xml:space="preserve">בדרישות המפורטות בסימן </w:t>
      </w:r>
      <w:r w:rsidRPr="002E68C8">
        <w:rPr>
          <w:rtl/>
        </w:rPr>
        <w:t>ו'</w:t>
      </w:r>
      <w:r>
        <w:rPr>
          <w:rFonts w:hint="cs"/>
          <w:rtl/>
        </w:rPr>
        <w:t xml:space="preserve"> בפרק ה1</w:t>
      </w:r>
      <w:r w:rsidRPr="002E68C8">
        <w:rPr>
          <w:rtl/>
        </w:rPr>
        <w:t xml:space="preserve"> לחוק</w:t>
      </w:r>
      <w:r>
        <w:rPr>
          <w:rStyle w:val="a8"/>
          <w:rFonts w:ascii="David" w:eastAsia="Calibri" w:hAnsi="David"/>
          <w:sz w:val="24"/>
          <w:rtl/>
        </w:rPr>
        <w:footnoteReference w:id="109"/>
      </w:r>
      <w:r>
        <w:rPr>
          <w:rFonts w:hint="cs"/>
          <w:rtl/>
        </w:rPr>
        <w:t xml:space="preserve">. בסעיף 19יז לחוק, נקבע בחוק כי </w:t>
      </w:r>
      <w:r w:rsidRPr="002E68C8">
        <w:rPr>
          <w:rtl/>
        </w:rPr>
        <w:t>ע</w:t>
      </w:r>
      <w:r w:rsidRPr="0028639A">
        <w:rPr>
          <w:rtl/>
        </w:rPr>
        <w:t>ל שר הבריאות לקבוע הוראות בדבר התאמות הנגישות הנדרשות כדי לאפשר לאדם עם מוגבלות נגישות סביר</w:t>
      </w:r>
      <w:r>
        <w:rPr>
          <w:rFonts w:hint="cs"/>
          <w:rtl/>
        </w:rPr>
        <w:t>ה</w:t>
      </w:r>
      <w:r w:rsidRPr="0028639A">
        <w:rPr>
          <w:rtl/>
        </w:rPr>
        <w:t xml:space="preserve"> לשירותי </w:t>
      </w:r>
      <w:r>
        <w:rPr>
          <w:rFonts w:hint="cs"/>
          <w:rtl/>
        </w:rPr>
        <w:t>ה</w:t>
      </w:r>
      <w:r w:rsidRPr="0028639A">
        <w:rPr>
          <w:rtl/>
        </w:rPr>
        <w:t>בריאות ולמ</w:t>
      </w:r>
      <w:r w:rsidRPr="0028639A">
        <w:rPr>
          <w:rtl/>
        </w:rPr>
        <w:t>קומות ציבוריים קיימים שבהם ניתנים שירותי בריאות.</w:t>
      </w:r>
      <w:r>
        <w:rPr>
          <w:rFonts w:hint="cs"/>
          <w:rtl/>
        </w:rPr>
        <w:t xml:space="preserve"> </w:t>
      </w:r>
    </w:p>
    <w:p w:rsidR="00BF1E3B" w:rsidRDefault="00DF6A0A" w:rsidP="004B203F">
      <w:pPr>
        <w:pStyle w:val="7392"/>
        <w:rPr>
          <w:rtl/>
        </w:rPr>
      </w:pPr>
      <w:r>
        <w:rPr>
          <w:rFonts w:hint="cs"/>
          <w:rtl/>
        </w:rPr>
        <w:t xml:space="preserve">בשנת 2012 הוגשה </w:t>
      </w:r>
      <w:r w:rsidRPr="00C17E8A">
        <w:rPr>
          <w:rtl/>
        </w:rPr>
        <w:t xml:space="preserve">לכנסת טיוטת תקנות </w:t>
      </w:r>
      <w:r>
        <w:rPr>
          <w:rFonts w:hint="cs"/>
          <w:rtl/>
        </w:rPr>
        <w:t xml:space="preserve">ובה </w:t>
      </w:r>
      <w:r w:rsidRPr="00C17E8A">
        <w:rPr>
          <w:rtl/>
        </w:rPr>
        <w:t>הצעות להסדרים להנגשת שירותי הבריאות. ב</w:t>
      </w:r>
      <w:r>
        <w:rPr>
          <w:rFonts w:hint="cs"/>
          <w:rtl/>
        </w:rPr>
        <w:t xml:space="preserve">שנת </w:t>
      </w:r>
      <w:r w:rsidRPr="00C17E8A">
        <w:rPr>
          <w:rtl/>
        </w:rPr>
        <w:t xml:space="preserve">2016 </w:t>
      </w:r>
      <w:r>
        <w:rPr>
          <w:rFonts w:hint="cs"/>
          <w:rtl/>
        </w:rPr>
        <w:t>ה</w:t>
      </w:r>
      <w:r w:rsidRPr="00C17E8A">
        <w:rPr>
          <w:rtl/>
        </w:rPr>
        <w:t>סתיימה התקנתן של תקנות שוויון זכויות לאנשים עם מוגבלות (התאמות נגישות לשירותי בריאות ו</w:t>
      </w:r>
      <w:r>
        <w:rPr>
          <w:rtl/>
        </w:rPr>
        <w:t>למקומות נתינתם), התשע"ו</w:t>
      </w:r>
      <w:r>
        <w:rPr>
          <w:rFonts w:hint="cs"/>
          <w:rtl/>
        </w:rPr>
        <w:t>-</w:t>
      </w:r>
      <w:r>
        <w:rPr>
          <w:rtl/>
        </w:rPr>
        <w:t>2016</w:t>
      </w:r>
      <w:r>
        <w:rPr>
          <w:rFonts w:hint="cs"/>
          <w:rtl/>
        </w:rPr>
        <w:t xml:space="preserve">. </w:t>
      </w:r>
      <w:r w:rsidRPr="00D20D55">
        <w:rPr>
          <w:rtl/>
        </w:rPr>
        <w:t>תקנו</w:t>
      </w:r>
      <w:r w:rsidRPr="00D20D55">
        <w:rPr>
          <w:rtl/>
        </w:rPr>
        <w:t xml:space="preserve">ת אלו </w:t>
      </w:r>
      <w:r>
        <w:rPr>
          <w:rFonts w:hint="cs"/>
          <w:rtl/>
        </w:rPr>
        <w:t xml:space="preserve">מטילות </w:t>
      </w:r>
      <w:r w:rsidRPr="00D20D55">
        <w:rPr>
          <w:rtl/>
        </w:rPr>
        <w:t>חוב</w:t>
      </w:r>
      <w:r>
        <w:rPr>
          <w:rFonts w:hint="cs"/>
          <w:rtl/>
        </w:rPr>
        <w:t>ה</w:t>
      </w:r>
      <w:r w:rsidRPr="00D20D55">
        <w:rPr>
          <w:rtl/>
        </w:rPr>
        <w:t xml:space="preserve"> </w:t>
      </w:r>
      <w:r>
        <w:rPr>
          <w:rFonts w:hint="cs"/>
          <w:rtl/>
        </w:rPr>
        <w:t>לבצע</w:t>
      </w:r>
      <w:r w:rsidRPr="00D20D55">
        <w:rPr>
          <w:rtl/>
        </w:rPr>
        <w:t xml:space="preserve"> התאמות </w:t>
      </w:r>
      <w:r>
        <w:rPr>
          <w:rFonts w:hint="cs"/>
          <w:rtl/>
        </w:rPr>
        <w:t xml:space="preserve">פיזיות של </w:t>
      </w:r>
      <w:r w:rsidRPr="00517F0D">
        <w:rPr>
          <w:rtl/>
        </w:rPr>
        <w:t>נגישות למקומות ש</w:t>
      </w:r>
      <w:r>
        <w:rPr>
          <w:rFonts w:hint="cs"/>
          <w:rtl/>
        </w:rPr>
        <w:t>בהם</w:t>
      </w:r>
      <w:r w:rsidRPr="00517F0D">
        <w:rPr>
          <w:rtl/>
        </w:rPr>
        <w:t xml:space="preserve"> ניתנים </w:t>
      </w:r>
      <w:r>
        <w:rPr>
          <w:rFonts w:hint="cs"/>
          <w:rtl/>
        </w:rPr>
        <w:t>ש</w:t>
      </w:r>
      <w:r w:rsidRPr="00517F0D">
        <w:rPr>
          <w:rtl/>
        </w:rPr>
        <w:t>ירותי בריאות</w:t>
      </w:r>
      <w:r>
        <w:rPr>
          <w:rFonts w:hint="cs"/>
          <w:rtl/>
        </w:rPr>
        <w:t xml:space="preserve"> - הנגשת מבנים, שטחים ותשתיות. חובה זו מוטלת על </w:t>
      </w:r>
      <w:r w:rsidRPr="00517F0D">
        <w:rPr>
          <w:rtl/>
        </w:rPr>
        <w:t xml:space="preserve">בתי החולים, </w:t>
      </w:r>
      <w:r>
        <w:rPr>
          <w:rFonts w:hint="cs"/>
          <w:rtl/>
        </w:rPr>
        <w:t>ה</w:t>
      </w:r>
      <w:r w:rsidRPr="00517F0D">
        <w:rPr>
          <w:rtl/>
        </w:rPr>
        <w:t>מרפאות</w:t>
      </w:r>
      <w:r>
        <w:rPr>
          <w:rFonts w:hint="cs"/>
          <w:rtl/>
        </w:rPr>
        <w:t>,</w:t>
      </w:r>
      <w:r w:rsidRPr="00517F0D">
        <w:rPr>
          <w:rtl/>
        </w:rPr>
        <w:t xml:space="preserve"> קופות החולים </w:t>
      </w:r>
      <w:r>
        <w:rPr>
          <w:rFonts w:hint="cs"/>
          <w:rtl/>
        </w:rPr>
        <w:t>ו</w:t>
      </w:r>
      <w:r w:rsidRPr="00517F0D">
        <w:rPr>
          <w:rtl/>
        </w:rPr>
        <w:t>מבני משרד הבריאות</w:t>
      </w:r>
      <w:r>
        <w:rPr>
          <w:rFonts w:hint="cs"/>
          <w:rtl/>
        </w:rPr>
        <w:t>.</w:t>
      </w:r>
      <w:r w:rsidRPr="00517F0D">
        <w:rPr>
          <w:rtl/>
        </w:rPr>
        <w:t xml:space="preserve"> </w:t>
      </w:r>
      <w:r>
        <w:rPr>
          <w:rFonts w:hint="cs"/>
          <w:rtl/>
        </w:rPr>
        <w:t xml:space="preserve">התקנות אינן עוסקות בנגישות של שירות הניתן במרשתת. </w:t>
      </w:r>
    </w:p>
    <w:p w:rsidR="00BF1E3B" w:rsidRPr="00637A48" w:rsidRDefault="00DF6A0A" w:rsidP="00637A48">
      <w:pPr>
        <w:pStyle w:val="735"/>
        <w:rPr>
          <w:rFonts w:eastAsia="Calibri"/>
          <w:rtl/>
        </w:rPr>
      </w:pPr>
      <w:r w:rsidRPr="00637A48">
        <w:rPr>
          <w:rFonts w:eastAsia="Calibri" w:hint="cs"/>
          <w:rtl/>
        </w:rPr>
        <w:t xml:space="preserve">נמצא כי </w:t>
      </w:r>
      <w:r w:rsidRPr="00637A48">
        <w:rPr>
          <w:rFonts w:eastAsia="Calibri"/>
          <w:rtl/>
        </w:rPr>
        <w:t>עד סיכום הביקור</w:t>
      </w:r>
      <w:r w:rsidRPr="00637A48">
        <w:rPr>
          <w:rFonts w:eastAsia="Calibri"/>
          <w:rtl/>
        </w:rPr>
        <w:t xml:space="preserve">ת </w:t>
      </w:r>
      <w:r w:rsidRPr="00637A48">
        <w:rPr>
          <w:rFonts w:eastAsia="Calibri" w:hint="cs"/>
          <w:rtl/>
        </w:rPr>
        <w:t>בנובמבר</w:t>
      </w:r>
      <w:r w:rsidRPr="00637A48">
        <w:rPr>
          <w:rFonts w:eastAsia="Calibri"/>
          <w:rtl/>
        </w:rPr>
        <w:t xml:space="preserve"> 2022, </w:t>
      </w:r>
      <w:r w:rsidRPr="00637A48">
        <w:rPr>
          <w:rFonts w:eastAsia="Calibri" w:hint="cs"/>
          <w:rtl/>
        </w:rPr>
        <w:t xml:space="preserve">לא קידם משרד הבריאות תקנות וממילא לא הותקנו </w:t>
      </w:r>
      <w:r w:rsidRPr="00637A48">
        <w:rPr>
          <w:rFonts w:eastAsia="Calibri"/>
          <w:rtl/>
        </w:rPr>
        <w:t xml:space="preserve">תקנות </w:t>
      </w:r>
      <w:r w:rsidRPr="00637A48">
        <w:rPr>
          <w:rFonts w:eastAsia="Calibri" w:hint="cs"/>
          <w:rtl/>
        </w:rPr>
        <w:t>שמטילות על ספקי שירותי בריאות, לרבות קופות החולים ובתי החולים שמספקים שירות לכלל הציבור בישראל, חובה ל</w:t>
      </w:r>
      <w:r w:rsidRPr="00637A48">
        <w:rPr>
          <w:rFonts w:eastAsia="Calibri"/>
          <w:rtl/>
        </w:rPr>
        <w:t xml:space="preserve">הנגיש את </w:t>
      </w:r>
      <w:r w:rsidRPr="00637A48">
        <w:rPr>
          <w:rFonts w:eastAsia="Calibri" w:hint="cs"/>
          <w:rtl/>
        </w:rPr>
        <w:t xml:space="preserve">השירות ובכלל זאת את אתרי המרשתת שלהם או האפליקציות שהם מפעילים </w:t>
      </w:r>
      <w:r w:rsidRPr="00637A48">
        <w:rPr>
          <w:rFonts w:eastAsia="Calibri"/>
          <w:rtl/>
        </w:rPr>
        <w:t>לאנשים עם מוגבלו</w:t>
      </w:r>
      <w:r w:rsidRPr="00637A48">
        <w:rPr>
          <w:rFonts w:eastAsia="Calibri"/>
          <w:rtl/>
        </w:rPr>
        <w:t xml:space="preserve">ת. </w:t>
      </w:r>
      <w:r w:rsidRPr="00637A48">
        <w:rPr>
          <w:rFonts w:eastAsia="Calibri" w:hint="cs"/>
          <w:rtl/>
        </w:rPr>
        <w:t xml:space="preserve">בהיעדר דרישה בדין, לא ניתן לאכוף הספקת התאמות נגישות במרשתת על ידי ספקי שירותי הבריאות. </w:t>
      </w:r>
    </w:p>
    <w:p w:rsidR="00BF1E3B" w:rsidRPr="0028639A" w:rsidRDefault="00DF6A0A" w:rsidP="00C619CC">
      <w:pPr>
        <w:pStyle w:val="7392"/>
        <w:rPr>
          <w:rtl/>
        </w:rPr>
      </w:pPr>
      <w:r w:rsidRPr="00D07BBD">
        <w:rPr>
          <w:rFonts w:hint="cs"/>
          <w:rtl/>
        </w:rPr>
        <w:t>ב</w:t>
      </w:r>
      <w:r w:rsidRPr="00D07BBD">
        <w:rPr>
          <w:rtl/>
        </w:rPr>
        <w:t>ספטמבר</w:t>
      </w:r>
      <w:r w:rsidRPr="002E68C8">
        <w:rPr>
          <w:rtl/>
        </w:rPr>
        <w:t xml:space="preserve"> 2022 </w:t>
      </w:r>
      <w:r>
        <w:rPr>
          <w:rFonts w:hint="cs"/>
          <w:rtl/>
        </w:rPr>
        <w:t xml:space="preserve">מסר </w:t>
      </w:r>
      <w:r w:rsidRPr="002E68C8">
        <w:rPr>
          <w:rtl/>
        </w:rPr>
        <w:t xml:space="preserve">משרד הבריאות </w:t>
      </w:r>
      <w:r>
        <w:rPr>
          <w:rFonts w:hint="cs"/>
          <w:rtl/>
        </w:rPr>
        <w:t>למשרד מבקר המדינה כי בכוונתו לפרסם בהקדם את פרק נגישות השירות שצפוי להיות מוסדר בתקנות ולהביאו לאישור ועדת העבודה, הרווחה והבריאות של הכנסת במהרה. פרק זה יכלול גם הוראות לעניין הנגשת אתרי מרשתת. עוד הוסיף כי הפרק קיבל ביטוי בטיוטת התקנות שהונחה על שולחן הו</w:t>
      </w:r>
      <w:r>
        <w:rPr>
          <w:rFonts w:hint="cs"/>
          <w:rtl/>
        </w:rPr>
        <w:t xml:space="preserve">ועדה בשנת 2013, אך הוחלט שלא לכלול אותו בנוסח תקנות </w:t>
      </w:r>
      <w:r w:rsidRPr="0028639A">
        <w:rPr>
          <w:rtl/>
        </w:rPr>
        <w:t xml:space="preserve">שוויון זכויות לאנשים עם מוגבלות (התאמות נגישות לשירותי </w:t>
      </w:r>
      <w:r>
        <w:rPr>
          <w:rtl/>
        </w:rPr>
        <w:t>בריאות ולמקומות נתינתם), התשע"ו</w:t>
      </w:r>
      <w:r>
        <w:rPr>
          <w:rFonts w:hint="cs"/>
          <w:rtl/>
        </w:rPr>
        <w:t>-</w:t>
      </w:r>
      <w:r w:rsidRPr="0028639A">
        <w:rPr>
          <w:rtl/>
        </w:rPr>
        <w:t>2016</w:t>
      </w:r>
      <w:r>
        <w:rPr>
          <w:rStyle w:val="a8"/>
          <w:rFonts w:ascii="David" w:eastAsia="Calibri" w:hAnsi="David"/>
          <w:sz w:val="24"/>
          <w:rtl/>
        </w:rPr>
        <w:footnoteReference w:id="110"/>
      </w:r>
      <w:r>
        <w:rPr>
          <w:rFonts w:hint="cs"/>
          <w:rtl/>
        </w:rPr>
        <w:t>. משרד הבריאות הוסיף כי נוכח סיבות שונות - ובכללן הצורך בקביעת הדרישות המקצועיות, הצורך בעדכון התקנות הקיימות לצ</w:t>
      </w:r>
      <w:r>
        <w:rPr>
          <w:rFonts w:hint="cs"/>
          <w:rtl/>
        </w:rPr>
        <w:t xml:space="preserve">ד ריבוי המשימות ומגבלת המשאבים והבנה כי הנוסח שגובש בשנת 2013 דורש עדכון, טרם הותקנו ההוראות הנוספות הנדרשות להסדרה בתקנות ובכללן ההוראות בנושא נגישות השירות הניתן במרשתת וכי הוא פועל כדי לקדם את הסדרתן. </w:t>
      </w:r>
    </w:p>
    <w:p w:rsidR="00BF1E3B" w:rsidRPr="00637A48" w:rsidRDefault="00DF6A0A" w:rsidP="00637A48">
      <w:pPr>
        <w:pStyle w:val="735"/>
        <w:rPr>
          <w:rFonts w:eastAsia="Calibri"/>
          <w:rtl/>
        </w:rPr>
      </w:pPr>
      <w:r w:rsidRPr="00637A48">
        <w:rPr>
          <w:rFonts w:eastAsia="Calibri" w:hint="cs"/>
          <w:rtl/>
        </w:rPr>
        <w:t>בחלוף כעשור מהתקנת תקנות הנגישות, ראוי כי דרישות הד</w:t>
      </w:r>
      <w:r w:rsidRPr="00637A48">
        <w:rPr>
          <w:rFonts w:eastAsia="Calibri" w:hint="cs"/>
          <w:rtl/>
        </w:rPr>
        <w:t xml:space="preserve">ין לגבי הנגשת תכנים ושירותים במרשתת יוסדרו גם בנוגע לגופים המספקים לציבור שירותי בריאות. על שר הבריאות לפעול באמצעות משרדו להתקנת הוראות בנושא הנדרשות להסדרה בתקנות בהתאם לסמכותו על פי החוק. </w:t>
      </w:r>
    </w:p>
    <w:p w:rsidR="00BF1E3B" w:rsidRDefault="00DF6A0A" w:rsidP="00C619CC">
      <w:pPr>
        <w:pStyle w:val="7392"/>
        <w:rPr>
          <w:rtl/>
        </w:rPr>
      </w:pPr>
      <w:r>
        <w:rPr>
          <w:rFonts w:hint="cs"/>
          <w:rtl/>
        </w:rPr>
        <w:lastRenderedPageBreak/>
        <w:t xml:space="preserve">משרד הבריאות מסר בתשובתו מפברואר 2023 למשרד מבקר המדינה כי </w:t>
      </w:r>
      <w:r>
        <w:rPr>
          <w:rtl/>
        </w:rPr>
        <w:t>בהתאם</w:t>
      </w:r>
      <w:r>
        <w:rPr>
          <w:rtl/>
        </w:rPr>
        <w:t xml:space="preserve"> להודעת המדינה בבג"ץ 5833/08</w:t>
      </w:r>
      <w:r>
        <w:rPr>
          <w:rFonts w:hint="cs"/>
          <w:rtl/>
        </w:rPr>
        <w:t xml:space="preserve"> עמותת נגישות ישראל נ' משרד התחבורה ואח'</w:t>
      </w:r>
      <w:r>
        <w:rPr>
          <w:rtl/>
        </w:rPr>
        <w:t>, בימים אלו העבודה המקצועית על נוסח התקנות שעניינן נג</w:t>
      </w:r>
      <w:r>
        <w:rPr>
          <w:rFonts w:hint="cs"/>
          <w:rtl/>
        </w:rPr>
        <w:t>י</w:t>
      </w:r>
      <w:r>
        <w:rPr>
          <w:rtl/>
        </w:rPr>
        <w:t>שות השירות לשירותי הבריאות נמצאת בישורת האחרונה</w:t>
      </w:r>
      <w:r>
        <w:rPr>
          <w:rFonts w:hint="cs"/>
          <w:rtl/>
        </w:rPr>
        <w:t>,</w:t>
      </w:r>
      <w:r>
        <w:rPr>
          <w:rtl/>
        </w:rPr>
        <w:t xml:space="preserve"> וההערכה היא כי בתוך </w:t>
      </w:r>
      <w:r>
        <w:rPr>
          <w:rFonts w:hint="cs"/>
          <w:rtl/>
        </w:rPr>
        <w:t>כ</w:t>
      </w:r>
      <w:r>
        <w:rPr>
          <w:rtl/>
        </w:rPr>
        <w:t xml:space="preserve">חודשיים הן יפורסמו להערות הציבור. </w:t>
      </w:r>
      <w:r>
        <w:rPr>
          <w:rFonts w:hint="cs"/>
          <w:rtl/>
        </w:rPr>
        <w:t>עוד מסר משרד הבריאות כי</w:t>
      </w:r>
      <w:r>
        <w:rPr>
          <w:rtl/>
        </w:rPr>
        <w:t xml:space="preserve"> בהתאם </w:t>
      </w:r>
      <w:r>
        <w:rPr>
          <w:rtl/>
        </w:rPr>
        <w:t>להוראת סעיף 19כ(ב1) לחוק שוויון זכויות לאנשים עם מוגבלות</w:t>
      </w:r>
      <w:r>
        <w:rPr>
          <w:rFonts w:hint="cs"/>
          <w:rtl/>
        </w:rPr>
        <w:t>,</w:t>
      </w:r>
      <w:r>
        <w:rPr>
          <w:rtl/>
        </w:rPr>
        <w:t xml:space="preserve"> התשנ"ח</w:t>
      </w:r>
      <w:r>
        <w:rPr>
          <w:rFonts w:hint="cs"/>
          <w:rtl/>
        </w:rPr>
        <w:t>-</w:t>
      </w:r>
      <w:r>
        <w:rPr>
          <w:rtl/>
        </w:rPr>
        <w:t>1998</w:t>
      </w:r>
      <w:r>
        <w:rPr>
          <w:rFonts w:hint="cs"/>
          <w:rtl/>
        </w:rPr>
        <w:t>,</w:t>
      </w:r>
      <w:r>
        <w:rPr>
          <w:rtl/>
        </w:rPr>
        <w:t xml:space="preserve"> </w:t>
      </w:r>
      <w:r>
        <w:rPr>
          <w:rFonts w:hint="cs"/>
          <w:rtl/>
        </w:rPr>
        <w:t>הגיש</w:t>
      </w:r>
      <w:r>
        <w:rPr>
          <w:rtl/>
        </w:rPr>
        <w:t xml:space="preserve"> משרד הבריאות ת</w:t>
      </w:r>
      <w:r>
        <w:rPr>
          <w:rFonts w:hint="cs"/>
          <w:rtl/>
        </w:rPr>
        <w:t>ו</w:t>
      </w:r>
      <w:r>
        <w:rPr>
          <w:rtl/>
        </w:rPr>
        <w:t>כנית המפרטת את דרכי הנגשת שירותי האינטרנט הניתנים במסגרת שירותי הבריאות וזאת עד למועד שנקבע בחודש מאי 2022.</w:t>
      </w:r>
    </w:p>
    <w:p w:rsidR="00BF1E3B" w:rsidRPr="003255F9" w:rsidRDefault="00DF6A0A" w:rsidP="00C619CC">
      <w:pPr>
        <w:pStyle w:val="7392"/>
        <w:rPr>
          <w:rtl/>
        </w:rPr>
      </w:pPr>
      <w:r>
        <w:rPr>
          <w:rFonts w:hint="cs"/>
          <w:rtl/>
        </w:rPr>
        <w:t>נציבות שוויון זכויות לאנשים עם מוגבלות מסרה בתשובתה למשרד</w:t>
      </w:r>
      <w:r>
        <w:rPr>
          <w:rFonts w:hint="cs"/>
          <w:rtl/>
        </w:rPr>
        <w:t xml:space="preserve"> מבקר המדינה כי היא מצפה לשיתוף פעולה עם משרד הבריאות בהקדם האפשרי, ולצורך כך תקצה את מלוא המשאבים הנדרשים מבחינתה. </w:t>
      </w:r>
    </w:p>
    <w:p w:rsidR="00BF1E3B" w:rsidRPr="00B74C6A" w:rsidRDefault="00DF6A0A" w:rsidP="00B74C6A">
      <w:pPr>
        <w:pStyle w:val="733155"/>
        <w:rPr>
          <w:rtl/>
        </w:rPr>
      </w:pPr>
      <w:r w:rsidRPr="00B74C6A">
        <w:rPr>
          <w:rFonts w:hint="cs"/>
          <w:rtl/>
        </w:rPr>
        <w:t xml:space="preserve">סיכום </w:t>
      </w:r>
    </w:p>
    <w:p w:rsidR="00BF1E3B" w:rsidRPr="00637A48" w:rsidRDefault="00DF6A0A" w:rsidP="00637A48">
      <w:pPr>
        <w:pStyle w:val="735"/>
        <w:rPr>
          <w:rtl/>
        </w:rPr>
      </w:pPr>
      <w:r w:rsidRPr="00637A48">
        <w:rPr>
          <w:rFonts w:hint="cs"/>
          <w:rtl/>
        </w:rPr>
        <w:t>בשנת 2022 מרבית אזרחי ישראל משתמשים במרשתת לצרכים שונים. גופי הממשל מספקים לציבור שירותים רבים באמצעות אתרי מרשתת ואפליקציות. כדי שג</w:t>
      </w:r>
      <w:r w:rsidRPr="00637A48">
        <w:rPr>
          <w:rFonts w:hint="cs"/>
          <w:rtl/>
        </w:rPr>
        <w:t xml:space="preserve">ם אנשים עם מוגבלות, שמהווים כ-17% מהאוכלוסייה בישראל, יוכלו להשתמש בשירותים הדיגיטליים באופן מלא ועצמאי, על גופי הממשל לספק להם התאמות נגישות. חובת ההנגשה במרשתת של השירותים מוטלת על גופי הממשל בדין. </w:t>
      </w:r>
    </w:p>
    <w:p w:rsidR="00BF1E3B" w:rsidRPr="00637A48" w:rsidRDefault="00DF6A0A" w:rsidP="00637A48">
      <w:pPr>
        <w:pStyle w:val="735"/>
        <w:rPr>
          <w:rtl/>
        </w:rPr>
      </w:pPr>
      <w:r w:rsidRPr="00637A48">
        <w:rPr>
          <w:rtl/>
        </w:rPr>
        <w:t>לאחר התפרצות משבר הקורונה בשנת 2020 ובעקבותיו</w:t>
      </w:r>
      <w:r w:rsidRPr="00637A48">
        <w:rPr>
          <w:rFonts w:hint="cs"/>
          <w:rtl/>
        </w:rPr>
        <w:t>,</w:t>
      </w:r>
      <w:r w:rsidRPr="00637A48">
        <w:rPr>
          <w:rtl/>
        </w:rPr>
        <w:t xml:space="preserve"> פעלה הממ</w:t>
      </w:r>
      <w:r w:rsidRPr="00637A48">
        <w:rPr>
          <w:rtl/>
        </w:rPr>
        <w:t>שלה להאיץ את פיתוח השירותים הדיגיטליים הממשלתיים</w:t>
      </w:r>
      <w:r w:rsidRPr="00637A48">
        <w:rPr>
          <w:rFonts w:hint="cs"/>
          <w:rtl/>
        </w:rPr>
        <w:t>. כשנתיים לאחר מכן, בשנת 2022</w:t>
      </w:r>
      <w:r w:rsidRPr="00637A48">
        <w:rPr>
          <w:rtl/>
        </w:rPr>
        <w:t xml:space="preserve">, </w:t>
      </w:r>
      <w:r w:rsidRPr="00637A48">
        <w:rPr>
          <w:rFonts w:hint="cs"/>
          <w:rtl/>
        </w:rPr>
        <w:t>לאחר ששירותים דיגיטליים שונים פותחו והורחבו, בדק משרד מבקר המדינה במסגרת ביקורת זו את הנגישות, של אתרי מרשתת של גופי ממשל באמצעותם הם מספקים מידע ושירות לציבור,</w:t>
      </w:r>
      <w:r w:rsidRPr="00637A48">
        <w:rPr>
          <w:rtl/>
        </w:rPr>
        <w:t xml:space="preserve"> לאנשים עם מוגבלו</w:t>
      </w:r>
      <w:r w:rsidRPr="00637A48">
        <w:rPr>
          <w:rtl/>
        </w:rPr>
        <w:t>יות שונות</w:t>
      </w:r>
      <w:r w:rsidRPr="00637A48">
        <w:rPr>
          <w:rFonts w:hint="cs"/>
          <w:rtl/>
        </w:rPr>
        <w:t xml:space="preserve">. </w:t>
      </w:r>
    </w:p>
    <w:p w:rsidR="00BF1E3B" w:rsidRPr="00637A48" w:rsidRDefault="00DF6A0A" w:rsidP="00637A48">
      <w:pPr>
        <w:pStyle w:val="735"/>
        <w:rPr>
          <w:rtl/>
        </w:rPr>
      </w:pPr>
      <w:r w:rsidRPr="00637A48">
        <w:rPr>
          <w:rFonts w:hint="cs"/>
          <w:rtl/>
        </w:rPr>
        <w:t>בדיקות שביצע משרד מבקר המדינה ב-15 אתרי מרשתת של גופי ממשל שונים העלו כי קיימים בהם פרטי מידע ושירותים שלא הונגשו. נבדקה גם הנגישות של תהליכי קבלת השירות הקשורים ל-16 דפי השירות הנצפים ביותר על ידי הציבור, ובכל אחד מהם נמצאו פריטים שאינם מונגשים. לשם בדיקת</w:t>
      </w:r>
      <w:r w:rsidRPr="00637A48">
        <w:rPr>
          <w:rFonts w:hint="cs"/>
          <w:rtl/>
        </w:rPr>
        <w:t xml:space="preserve"> הנגישות גם בדרך נוספת ביצע משרד מבקר המדינה סקר בקרב גופי ממשל עליו השיבו 23 גופים. </w:t>
      </w:r>
      <w:r w:rsidR="009C2B2C" w:rsidRPr="009C2B2C">
        <w:rPr>
          <w:rtl/>
        </w:rPr>
        <w:t>הם התבקשו לדווח בעצמם אם ביצעו פעולות להנגשת תכנים ושירותים במרשתת ועל המידה בה אתרי המרשתת שלהם מונגשים; מן הסקר עלה כי כ-57% מאתרי המרשתת של הגופים הונגשו רק באופן חלקי וכי 43% מן הגופים עדיין לא ביצעו בדיקת נגישות של אתרי המרשתת שלהם, בדיקה שעל הגופים לבצע בתוך חמש שנים ממועד השלמת התאמות ההנגשה ולא יאוחר מנובמבר 2023. להשלמת התמונה ביצע משרד מבקר המדינה סקר שיתוף ציבור בקרב כ-500 אנשים עם מוגבלות שמשתמשים במרשתת</w:t>
      </w:r>
      <w:r w:rsidRPr="00637A48">
        <w:rPr>
          <w:rFonts w:hint="cs"/>
          <w:rtl/>
        </w:rPr>
        <w:t>. בין המ</w:t>
      </w:r>
      <w:r w:rsidRPr="00637A48">
        <w:rPr>
          <w:rFonts w:hint="cs"/>
          <w:rtl/>
        </w:rPr>
        <w:t xml:space="preserve">מצאים שעלו, </w:t>
      </w:r>
      <w:r w:rsidRPr="00637A48">
        <w:rPr>
          <w:rtl/>
        </w:rPr>
        <w:t>39%</w:t>
      </w:r>
      <w:r w:rsidRPr="00637A48">
        <w:rPr>
          <w:rFonts w:hint="cs"/>
          <w:rtl/>
        </w:rPr>
        <w:t xml:space="preserve"> מן המשיבים ציינו כי נתקלו</w:t>
      </w:r>
      <w:r w:rsidRPr="00637A48">
        <w:rPr>
          <w:rtl/>
        </w:rPr>
        <w:t xml:space="preserve"> בליקויי נגישות </w:t>
      </w:r>
      <w:r w:rsidRPr="00637A48">
        <w:rPr>
          <w:rFonts w:hint="cs"/>
          <w:rtl/>
        </w:rPr>
        <w:t>בשירותים דיגיטליים של גופי ממשל. פריטים לא מונגשים וליקויי נגישות בשירותים דיגיטליים של גופי ממשל פוגעים באפשרותם של אנשים עם מוגבלות לקבל מידע ושירות באמצעות המרשתת מגופי הממשל. ממצא זה מתיישב עם המ</w:t>
      </w:r>
      <w:r w:rsidRPr="00637A48">
        <w:rPr>
          <w:rFonts w:hint="cs"/>
          <w:rtl/>
        </w:rPr>
        <w:t xml:space="preserve">מצא שעלה גם הוא מהליך שיתוף הציבור, ולפיו 44% מן האנשים עם מוגבלויות מעדיפים שלא להשתמש בערוצי השירות הדיגיטליים של גופי הממשל אלא לקבל את השירות בערוץ טלפוני או להגיע ללשכות קבלת הקהל כדי לקבלו. </w:t>
      </w:r>
    </w:p>
    <w:p w:rsidR="00BF1E3B" w:rsidRPr="00637A48" w:rsidRDefault="00DF6A0A" w:rsidP="00637A48">
      <w:pPr>
        <w:pStyle w:val="735"/>
        <w:rPr>
          <w:rtl/>
        </w:rPr>
      </w:pPr>
      <w:r w:rsidRPr="00637A48">
        <w:rPr>
          <w:rtl/>
        </w:rPr>
        <w:lastRenderedPageBreak/>
        <w:t>נציבות שוויון זכויות לאנשים עם מוגבלות</w:t>
      </w:r>
      <w:r w:rsidRPr="00637A48">
        <w:rPr>
          <w:rFonts w:hint="cs"/>
          <w:rtl/>
        </w:rPr>
        <w:t xml:space="preserve"> מבצעת פיקוח ואכיפה ע</w:t>
      </w:r>
      <w:r w:rsidRPr="00637A48">
        <w:rPr>
          <w:rFonts w:hint="cs"/>
          <w:rtl/>
        </w:rPr>
        <w:t xml:space="preserve">ל גופים שונים במשק וביניהם על גופי ממשל. בדיקות שעשתה בשנים </w:t>
      </w:r>
      <w:r w:rsidRPr="00637A48">
        <w:rPr>
          <w:rtl/>
        </w:rPr>
        <w:t>2019 - 2021 באתרי מרשתת של 13 גופי ממשל</w:t>
      </w:r>
      <w:r w:rsidRPr="00637A48">
        <w:rPr>
          <w:rFonts w:hint="cs"/>
          <w:rtl/>
        </w:rPr>
        <w:t xml:space="preserve"> העלו ליקויי נגישות. הנציבות פנתה לגופים ודרשה מהם לתקן את הליקויים, ואולם בבדיקה שעשה משרד מבקר המדינה נמצא כי חלק מהליקויים עדיין לא תוקנו. </w:t>
      </w:r>
    </w:p>
    <w:p w:rsidR="00BF1E3B" w:rsidRPr="00637A48" w:rsidRDefault="00DF6A0A" w:rsidP="00637A48">
      <w:pPr>
        <w:pStyle w:val="735"/>
        <w:rPr>
          <w:rtl/>
        </w:rPr>
      </w:pPr>
      <w:r w:rsidRPr="00637A48">
        <w:rPr>
          <w:rFonts w:hint="cs"/>
          <w:rtl/>
        </w:rPr>
        <w:t>במהלך ביצוע הב</w:t>
      </w:r>
      <w:r w:rsidRPr="00637A48">
        <w:rPr>
          <w:rFonts w:hint="cs"/>
          <w:rtl/>
        </w:rPr>
        <w:t xml:space="preserve">יקורת, עוד בשלב מילוי התשובות לסקר שעשה משרד מבקר המדינה וכן לאחר העברת טיוטת דוח הביקורת לגופי הממשל התקיימו קשרי גומלין שוטפים בין עובדי הגופים המבוקרים שהביקורת התייחסה אליהם לבין משרד מבקר המדינה. מקשרי הגומלין עלה כי גופים מבוקרים רבים פועלים, כל גוף </w:t>
      </w:r>
      <w:r w:rsidRPr="00637A48">
        <w:rPr>
          <w:rFonts w:hint="cs"/>
          <w:rtl/>
        </w:rPr>
        <w:t>בתחום אחריותו, לנתח את ממצאי הביקורת ולבחון דרכים לטיפול בליקויים שעלו. כמו כן גופים אשר מפעילים את אתרי המרשתת על תשתית האתר האחוד שמספק מערך הדיגיטל הלאומי, פנו לאחרון כדי שיסייע להם לבחון את הממצאים ולקדם את הטיפול בליקויים שעלו. משרד מבקר המדינה רואה ב</w:t>
      </w:r>
      <w:r w:rsidRPr="00637A48">
        <w:rPr>
          <w:rFonts w:hint="cs"/>
          <w:rtl/>
        </w:rPr>
        <w:t>חיוב פעולות שעשו גופים מבוקרים לקידום הטיפול בליקויים, בעיקר כאשר הן נעשות עוד במהלך הביקורת ועם קבלת ממצאיה. עוד יש לציין לחיוב את פעולות מערך הדיגיטל, שפעל כבר במהלך ביצוע הביקורת לניתח ממצאי הביקורת בתחום ההנגשה וכדי להבהיר אילו היבטים נוגעים למערכות המ</w:t>
      </w:r>
      <w:r w:rsidRPr="00637A48">
        <w:rPr>
          <w:rFonts w:hint="cs"/>
          <w:rtl/>
        </w:rPr>
        <w:t xml:space="preserve">חשוב שלו ואילו נוגעים למערכות של משרדים אחרים, וכן ביצע פעולות מיידיות לקידום הטיפול בתיקון הליקויים. </w:t>
      </w:r>
    </w:p>
    <w:p w:rsidR="00BF1E3B" w:rsidRPr="00637A48" w:rsidRDefault="00DF6A0A" w:rsidP="00637A48">
      <w:pPr>
        <w:pStyle w:val="735"/>
        <w:rPr>
          <w:rtl/>
        </w:rPr>
      </w:pPr>
      <w:r w:rsidRPr="00637A48">
        <w:rPr>
          <w:rtl/>
        </w:rPr>
        <w:t>על גופי</w:t>
      </w:r>
      <w:r w:rsidRPr="00637A48">
        <w:rPr>
          <w:rFonts w:hint="cs"/>
          <w:rtl/>
        </w:rPr>
        <w:t xml:space="preserve"> הממשל להמשיך לקדם את ההנגשה של שירותיהם הדיגיטליים לאנשים עם מוגבלות מסוגים שונים, כדי להגיע להנגשה מלאה שלהם, כנדרש על פי הדין. הדבר נחוץ כדי לש</w:t>
      </w:r>
      <w:r w:rsidRPr="00637A48">
        <w:rPr>
          <w:rFonts w:hint="cs"/>
          <w:rtl/>
        </w:rPr>
        <w:t xml:space="preserve">פר את השירות שמספקים גופי הממשל לאנשים עם מוגבלות וכדי להבטיח שירות מונגש "מקצה לקצה" כדי שאנשים עם מוגבלות יוכלו להשתמש בשירות הדיגיטלי באופן עצמאי ככל הניתן ולממש באמצעותו את זכויותיהם. במסגרת זו על גופי הממשל לבצע בדיקות נגישות באתרי המרשתת שלהם, לזהות </w:t>
      </w:r>
      <w:r w:rsidRPr="00637A48">
        <w:rPr>
          <w:rFonts w:hint="cs"/>
          <w:rtl/>
        </w:rPr>
        <w:t xml:space="preserve">פריטים שקיימים בהם ולא מונגשים ולתקן את הליקויים, כיוון שדי ברכיב אחד </w:t>
      </w:r>
      <w:r w:rsidR="00A61DFA">
        <w:rPr>
          <w:rFonts w:hint="cs"/>
          <w:rtl/>
        </w:rPr>
        <w:t xml:space="preserve">לא מונגש </w:t>
      </w:r>
      <w:r w:rsidRPr="00637A48">
        <w:rPr>
          <w:rtl/>
        </w:rPr>
        <w:t xml:space="preserve">כדי להקשות </w:t>
      </w:r>
      <w:r w:rsidRPr="00637A48">
        <w:rPr>
          <w:rFonts w:hint="cs"/>
          <w:rtl/>
        </w:rPr>
        <w:t xml:space="preserve">על </w:t>
      </w:r>
      <w:r w:rsidRPr="00637A48">
        <w:rPr>
          <w:rtl/>
        </w:rPr>
        <w:t>אדם עם מוגבלות</w:t>
      </w:r>
      <w:r w:rsidRPr="00637A48">
        <w:rPr>
          <w:rFonts w:hint="cs"/>
          <w:rtl/>
        </w:rPr>
        <w:t xml:space="preserve"> לצרוך שירות ממשלתי במרשתת ואף למנוע זאת ממנו. </w:t>
      </w:r>
    </w:p>
    <w:p w:rsidR="00BF1E3B" w:rsidRDefault="00BF1E3B" w:rsidP="00C619CC">
      <w:pPr>
        <w:pStyle w:val="7392"/>
        <w:rPr>
          <w:rtl/>
        </w:rPr>
      </w:pPr>
    </w:p>
    <w:p w:rsidR="00BF1E3B" w:rsidRDefault="00DF6A0A">
      <w:pPr>
        <w:bidi w:val="0"/>
        <w:spacing w:after="200" w:line="276" w:lineRule="auto"/>
        <w:rPr>
          <w:rFonts w:eastAsiaTheme="majorEastAsia"/>
          <w:bCs/>
          <w:szCs w:val="32"/>
          <w:rtl/>
        </w:rPr>
      </w:pPr>
      <w:r>
        <w:rPr>
          <w:rtl/>
        </w:rPr>
        <w:br w:type="page"/>
      </w:r>
    </w:p>
    <w:p w:rsidR="00BF1E3B" w:rsidRPr="00637A48" w:rsidRDefault="00DF6A0A" w:rsidP="00637A48">
      <w:pPr>
        <w:pStyle w:val="7320"/>
        <w:rPr>
          <w:rtl/>
        </w:rPr>
      </w:pPr>
      <w:r w:rsidRPr="00637A48">
        <w:rPr>
          <w:rFonts w:hint="cs"/>
          <w:rtl/>
        </w:rPr>
        <w:lastRenderedPageBreak/>
        <w:t xml:space="preserve">חלק שני: </w:t>
      </w:r>
      <w:r w:rsidRPr="00637A48">
        <w:rPr>
          <w:rtl/>
        </w:rPr>
        <w:t xml:space="preserve">המענה </w:t>
      </w:r>
      <w:r w:rsidRPr="00637A48">
        <w:rPr>
          <w:rFonts w:hint="eastAsia"/>
          <w:rtl/>
        </w:rPr>
        <w:t>הממשלתי</w:t>
      </w:r>
      <w:r w:rsidRPr="00637A48">
        <w:rPr>
          <w:rtl/>
        </w:rPr>
        <w:t xml:space="preserve"> בעידן הדיגיטלי לציבור שאינו משתמש במדיה הדיגיטלית</w:t>
      </w:r>
    </w:p>
    <w:p w:rsidR="00BF1E3B" w:rsidRPr="00373CBE" w:rsidRDefault="00DF6A0A" w:rsidP="00C619CC">
      <w:pPr>
        <w:pStyle w:val="7392"/>
        <w:rPr>
          <w:sz w:val="24"/>
          <w:rtl/>
        </w:rPr>
      </w:pPr>
      <w:r w:rsidRPr="00373CBE">
        <w:rPr>
          <w:rtl/>
        </w:rPr>
        <w:t>להתפתחות הטכנולוגי</w:t>
      </w:r>
      <w:r>
        <w:rPr>
          <w:rFonts w:hint="cs"/>
          <w:rtl/>
        </w:rPr>
        <w:t>ת</w:t>
      </w:r>
      <w:r w:rsidRPr="00373CBE">
        <w:rPr>
          <w:rtl/>
        </w:rPr>
        <w:t xml:space="preserve"> שהביא</w:t>
      </w:r>
      <w:r w:rsidRPr="00373CBE">
        <w:rPr>
          <w:rtl/>
        </w:rPr>
        <w:t>ה להרחבת השירותים שנותנים גופי</w:t>
      </w:r>
      <w:r w:rsidRPr="00373CBE">
        <w:rPr>
          <w:rFonts w:hint="cs"/>
          <w:rtl/>
        </w:rPr>
        <w:t xml:space="preserve"> </w:t>
      </w:r>
      <w:r w:rsidRPr="00373CBE">
        <w:rPr>
          <w:rtl/>
        </w:rPr>
        <w:t>הממשל לציבור בערוצים הדיגיטליים שלהם - אתרי מרשתת ואפליקציות, יש יתרונות רבים שחלקם צוינו במבוא לדוח זה. עם זאת</w:t>
      </w:r>
      <w:r>
        <w:rPr>
          <w:rFonts w:hint="cs"/>
          <w:rtl/>
        </w:rPr>
        <w:t>,</w:t>
      </w:r>
      <w:r w:rsidRPr="00373CBE">
        <w:rPr>
          <w:rtl/>
        </w:rPr>
        <w:t xml:space="preserve"> ישנם אנשים ואף קבוצות אוכלוסייה בציבור שממעטים </w:t>
      </w:r>
      <w:r>
        <w:rPr>
          <w:rFonts w:hint="cs"/>
          <w:rtl/>
        </w:rPr>
        <w:t>להשתמש</w:t>
      </w:r>
      <w:r w:rsidRPr="00373CBE">
        <w:rPr>
          <w:rtl/>
        </w:rPr>
        <w:t xml:space="preserve"> במרשתת לצריכת שירותים ממשלתיים</w:t>
      </w:r>
      <w:r>
        <w:rPr>
          <w:rFonts w:hint="cs"/>
          <w:rtl/>
        </w:rPr>
        <w:t xml:space="preserve"> ואף נמנעים מכך</w:t>
      </w:r>
      <w:r w:rsidRPr="00373CBE">
        <w:rPr>
          <w:rtl/>
        </w:rPr>
        <w:t>. עבורם יש צו</w:t>
      </w:r>
      <w:r w:rsidRPr="00373CBE">
        <w:rPr>
          <w:rtl/>
        </w:rPr>
        <w:t>רך להמשיך לתחזק את ערוצי השירות המסורתיים</w:t>
      </w:r>
      <w:r>
        <w:rPr>
          <w:rtl/>
        </w:rPr>
        <w:t xml:space="preserve"> </w:t>
      </w:r>
      <w:r w:rsidRPr="00373CBE">
        <w:rPr>
          <w:rtl/>
        </w:rPr>
        <w:t xml:space="preserve">- </w:t>
      </w:r>
      <w:r w:rsidRPr="00373CBE">
        <w:rPr>
          <w:sz w:val="24"/>
          <w:rtl/>
        </w:rPr>
        <w:t xml:space="preserve">דואר, טלפון ולשכות קבלת הקהל (להלן - הערוצים המסורתיים), כדי שיוכלו ליצור קשר עם גופי הממשל, לקבל מידע ולמצות את זכויותיהם. </w:t>
      </w:r>
    </w:p>
    <w:p w:rsidR="00BF1E3B" w:rsidRPr="00373CBE" w:rsidRDefault="00DF6A0A" w:rsidP="00C619CC">
      <w:pPr>
        <w:pStyle w:val="7392"/>
        <w:rPr>
          <w:rtl/>
        </w:rPr>
      </w:pPr>
      <w:r w:rsidRPr="00373CBE">
        <w:rPr>
          <w:rtl/>
        </w:rPr>
        <w:t xml:space="preserve">שימוש בערוצי השירות המסורתיים תחת השימוש בערוצי </w:t>
      </w:r>
      <w:r>
        <w:rPr>
          <w:rFonts w:hint="cs"/>
          <w:rtl/>
        </w:rPr>
        <w:t>ה</w:t>
      </w:r>
      <w:r w:rsidRPr="00373CBE">
        <w:rPr>
          <w:rtl/>
        </w:rPr>
        <w:t xml:space="preserve">שירות </w:t>
      </w:r>
      <w:r>
        <w:rPr>
          <w:rFonts w:hint="cs"/>
          <w:rtl/>
        </w:rPr>
        <w:t>ה</w:t>
      </w:r>
      <w:r w:rsidRPr="00373CBE">
        <w:rPr>
          <w:rtl/>
        </w:rPr>
        <w:t xml:space="preserve">דיגיטליים יכול לנבוע מאילוצים </w:t>
      </w:r>
      <w:r w:rsidRPr="00373CBE">
        <w:rPr>
          <w:rtl/>
        </w:rPr>
        <w:t>של הפרט או מהעדפה ובחירה. כך למשל, קיומו של פער דיגיטלי</w:t>
      </w:r>
      <w:r>
        <w:rPr>
          <w:vertAlign w:val="superscript"/>
          <w:rtl/>
        </w:rPr>
        <w:footnoteReference w:id="111"/>
      </w:r>
      <w:r w:rsidRPr="00373CBE">
        <w:rPr>
          <w:rtl/>
        </w:rPr>
        <w:t xml:space="preserve"> - חוסר אוריינות דיגיטלית או חוסר נגישות למחשוב ולתקשורת אינטרנטית</w:t>
      </w:r>
      <w:r>
        <w:rPr>
          <w:rFonts w:hint="cs"/>
          <w:rtl/>
        </w:rPr>
        <w:t>;</w:t>
      </w:r>
      <w:r w:rsidRPr="00373CBE">
        <w:rPr>
          <w:rtl/>
        </w:rPr>
        <w:t xml:space="preserve"> </w:t>
      </w:r>
      <w:r>
        <w:rPr>
          <w:rFonts w:hint="cs"/>
          <w:rtl/>
        </w:rPr>
        <w:t xml:space="preserve">אי ידיעה על עצם ההיתכנות לקבל שירות ממשלתי במרשתת; </w:t>
      </w:r>
      <w:r w:rsidRPr="00373CBE">
        <w:rPr>
          <w:rtl/>
        </w:rPr>
        <w:t xml:space="preserve">סיבות הקשורות בתרבות, דת או העדפה אישית שבעטיין ימעט הפרט </w:t>
      </w:r>
      <w:r>
        <w:rPr>
          <w:rFonts w:hint="cs"/>
          <w:rtl/>
        </w:rPr>
        <w:t>להשתמש</w:t>
      </w:r>
      <w:r w:rsidRPr="00373CBE">
        <w:rPr>
          <w:rtl/>
        </w:rPr>
        <w:t xml:space="preserve"> במרשתת</w:t>
      </w:r>
      <w:r>
        <w:rPr>
          <w:rFonts w:hint="cs"/>
          <w:rtl/>
        </w:rPr>
        <w:t xml:space="preserve"> או יימנע מכך</w:t>
      </w:r>
      <w:r w:rsidRPr="00373CBE">
        <w:rPr>
          <w:rtl/>
        </w:rPr>
        <w:t xml:space="preserve"> (לעיתים כדי שלא להיחשף לתכנים שבה)</w:t>
      </w:r>
      <w:r>
        <w:rPr>
          <w:rFonts w:hint="cs"/>
          <w:rtl/>
        </w:rPr>
        <w:t>;</w:t>
      </w:r>
      <w:r w:rsidRPr="00373CBE">
        <w:rPr>
          <w:rtl/>
        </w:rPr>
        <w:t xml:space="preserve"> ה</w:t>
      </w:r>
      <w:r>
        <w:rPr>
          <w:rFonts w:hint="cs"/>
          <w:rtl/>
        </w:rPr>
        <w:t>י</w:t>
      </w:r>
      <w:r w:rsidRPr="00373CBE">
        <w:rPr>
          <w:rtl/>
        </w:rPr>
        <w:t>עדר כרטיס אשראי או העדפה לשלם על השירות הממשלתי בהמחאה או במזומן ועוד</w:t>
      </w:r>
      <w:r w:rsidRPr="00373CBE">
        <w:rPr>
          <w:rFonts w:hint="cs"/>
          <w:rtl/>
        </w:rPr>
        <w:t>.</w:t>
      </w:r>
      <w:r w:rsidRPr="00373CBE">
        <w:rPr>
          <w:rtl/>
        </w:rPr>
        <w:t xml:space="preserve"> </w:t>
      </w:r>
    </w:p>
    <w:p w:rsidR="00BF1E3B" w:rsidRPr="00373CBE" w:rsidRDefault="00DF6A0A" w:rsidP="00C619CC">
      <w:pPr>
        <w:pStyle w:val="7392"/>
        <w:rPr>
          <w:rtl/>
        </w:rPr>
      </w:pPr>
      <w:r w:rsidRPr="00373CBE">
        <w:rPr>
          <w:rtl/>
        </w:rPr>
        <w:t>מבקר המדינה</w:t>
      </w:r>
      <w:r w:rsidRPr="00E458E7">
        <w:rPr>
          <w:rtl/>
        </w:rPr>
        <w:t xml:space="preserve"> </w:t>
      </w:r>
      <w:r w:rsidRPr="00373CBE">
        <w:rPr>
          <w:rtl/>
        </w:rPr>
        <w:t xml:space="preserve">התייחס כנציב תלונות הציבור (להלן </w:t>
      </w:r>
      <w:r w:rsidRPr="00373CBE">
        <w:rPr>
          <w:rFonts w:hint="cs"/>
          <w:rtl/>
        </w:rPr>
        <w:t xml:space="preserve">- </w:t>
      </w:r>
      <w:r w:rsidRPr="00373CBE">
        <w:rPr>
          <w:rtl/>
        </w:rPr>
        <w:t xml:space="preserve">נת"צ), לתקופה </w:t>
      </w:r>
      <w:r w:rsidRPr="00373CBE">
        <w:rPr>
          <w:rFonts w:hint="cs"/>
          <w:rtl/>
        </w:rPr>
        <w:t xml:space="preserve">זו </w:t>
      </w:r>
      <w:r>
        <w:rPr>
          <w:rFonts w:hint="cs"/>
          <w:rtl/>
        </w:rPr>
        <w:t>ש</w:t>
      </w:r>
      <w:r w:rsidRPr="00373CBE">
        <w:rPr>
          <w:rtl/>
        </w:rPr>
        <w:t xml:space="preserve">בה גופים ציבוריים </w:t>
      </w:r>
      <w:r w:rsidRPr="00373CBE">
        <w:rPr>
          <w:rFonts w:hint="cs"/>
          <w:rtl/>
        </w:rPr>
        <w:t xml:space="preserve">עוברים </w:t>
      </w:r>
      <w:r w:rsidRPr="00373CBE">
        <w:rPr>
          <w:rtl/>
        </w:rPr>
        <w:t>מ</w:t>
      </w:r>
      <w:r w:rsidRPr="00373CBE">
        <w:rPr>
          <w:rFonts w:hint="cs"/>
          <w:rtl/>
        </w:rPr>
        <w:t xml:space="preserve">אספקת </w:t>
      </w:r>
      <w:r w:rsidRPr="00373CBE">
        <w:rPr>
          <w:rtl/>
        </w:rPr>
        <w:t>שירותים בדרכים מסורתיות ל</w:t>
      </w:r>
      <w:r w:rsidRPr="00373CBE">
        <w:rPr>
          <w:rFonts w:hint="cs"/>
          <w:rtl/>
        </w:rPr>
        <w:t>השקעה בפית</w:t>
      </w:r>
      <w:r w:rsidRPr="00373CBE">
        <w:rPr>
          <w:rFonts w:hint="cs"/>
          <w:rtl/>
        </w:rPr>
        <w:t>וח והרחבה של ערוצי שירות דיגיטליים</w:t>
      </w:r>
      <w:r>
        <w:rPr>
          <w:vertAlign w:val="superscript"/>
          <w:rtl/>
        </w:rPr>
        <w:footnoteReference w:id="112"/>
      </w:r>
      <w:r w:rsidRPr="00373CBE">
        <w:rPr>
          <w:rFonts w:hint="cs"/>
          <w:rtl/>
        </w:rPr>
        <w:t xml:space="preserve">. </w:t>
      </w:r>
      <w:r w:rsidRPr="00373CBE">
        <w:rPr>
          <w:rtl/>
        </w:rPr>
        <w:t xml:space="preserve">המבקר ציין כי </w:t>
      </w:r>
      <w:r w:rsidRPr="00373CBE">
        <w:rPr>
          <w:rFonts w:hint="cs"/>
          <w:rtl/>
        </w:rPr>
        <w:t xml:space="preserve">על רקע זה התקבלו </w:t>
      </w:r>
      <w:r w:rsidRPr="00373CBE">
        <w:rPr>
          <w:rtl/>
        </w:rPr>
        <w:t xml:space="preserve">תלונות </w:t>
      </w:r>
      <w:r>
        <w:rPr>
          <w:rFonts w:hint="cs"/>
          <w:rtl/>
        </w:rPr>
        <w:t xml:space="preserve">על </w:t>
      </w:r>
      <w:r w:rsidRPr="00373CBE">
        <w:rPr>
          <w:rtl/>
        </w:rPr>
        <w:t xml:space="preserve">גופים </w:t>
      </w:r>
      <w:r w:rsidRPr="00373CBE">
        <w:rPr>
          <w:rFonts w:hint="cs"/>
          <w:rtl/>
        </w:rPr>
        <w:t>שאינם מאפשרים לתקשר עימם אלא בערוצים הדיגיטליים. ל</w:t>
      </w:r>
      <w:r>
        <w:rPr>
          <w:rFonts w:hint="cs"/>
          <w:rtl/>
        </w:rPr>
        <w:t>דוגמה,</w:t>
      </w:r>
      <w:r w:rsidRPr="00373CBE">
        <w:rPr>
          <w:rFonts w:hint="cs"/>
          <w:rtl/>
        </w:rPr>
        <w:t xml:space="preserve"> </w:t>
      </w:r>
      <w:r w:rsidRPr="00373CBE">
        <w:rPr>
          <w:rtl/>
        </w:rPr>
        <w:t>בדוח</w:t>
      </w:r>
      <w:r w:rsidRPr="00373CBE">
        <w:rPr>
          <w:rFonts w:hint="cs"/>
          <w:rtl/>
        </w:rPr>
        <w:t xml:space="preserve"> נת"צ</w:t>
      </w:r>
      <w:r w:rsidRPr="00373CBE">
        <w:rPr>
          <w:rtl/>
        </w:rPr>
        <w:t xml:space="preserve"> </w:t>
      </w:r>
      <w:r w:rsidRPr="00373CBE">
        <w:rPr>
          <w:rFonts w:hint="cs"/>
          <w:rtl/>
        </w:rPr>
        <w:t xml:space="preserve">הוצגה תלונה </w:t>
      </w:r>
      <w:r>
        <w:rPr>
          <w:rFonts w:hint="cs"/>
          <w:rtl/>
        </w:rPr>
        <w:t>ש</w:t>
      </w:r>
      <w:r w:rsidRPr="00373CBE">
        <w:rPr>
          <w:rFonts w:hint="cs"/>
          <w:rtl/>
        </w:rPr>
        <w:t>לפיה אישה</w:t>
      </w:r>
      <w:r>
        <w:rPr>
          <w:rFonts w:hint="cs"/>
          <w:rtl/>
        </w:rPr>
        <w:t>, שלדבריה אין לה גישה למחשב ואינה יכולה להגיש את בקשתה באופן מקוון,</w:t>
      </w:r>
      <w:r w:rsidRPr="00373CBE">
        <w:rPr>
          <w:rFonts w:hint="cs"/>
          <w:rtl/>
        </w:rPr>
        <w:t xml:space="preserve"> הגיעה למשרדי הר</w:t>
      </w:r>
      <w:r w:rsidRPr="00373CBE">
        <w:rPr>
          <w:rFonts w:hint="cs"/>
          <w:rtl/>
        </w:rPr>
        <w:t xml:space="preserve">שות המקומית עם מסמכים שרצתה להגיש </w:t>
      </w:r>
      <w:r w:rsidRPr="00373CBE">
        <w:rPr>
          <w:rtl/>
        </w:rPr>
        <w:t xml:space="preserve">באופן ידני </w:t>
      </w:r>
      <w:r w:rsidRPr="00373CBE">
        <w:rPr>
          <w:rFonts w:hint="cs"/>
          <w:rtl/>
        </w:rPr>
        <w:t xml:space="preserve">במסגרת בקשה </w:t>
      </w:r>
      <w:r w:rsidRPr="00373CBE">
        <w:rPr>
          <w:rtl/>
        </w:rPr>
        <w:t>להנחה בארנונה</w:t>
      </w:r>
      <w:r w:rsidRPr="00373CBE">
        <w:rPr>
          <w:rFonts w:hint="cs"/>
          <w:rtl/>
        </w:rPr>
        <w:t>, אך נאמר לה שלא תוכל להגיש</w:t>
      </w:r>
      <w:r>
        <w:rPr>
          <w:rFonts w:hint="cs"/>
          <w:rtl/>
        </w:rPr>
        <w:t>ם</w:t>
      </w:r>
      <w:r w:rsidRPr="00373CBE">
        <w:rPr>
          <w:rFonts w:hint="cs"/>
          <w:rtl/>
        </w:rPr>
        <w:t xml:space="preserve"> אלא באמצעות </w:t>
      </w:r>
      <w:r w:rsidRPr="00373CBE">
        <w:rPr>
          <w:rtl/>
        </w:rPr>
        <w:t>מערכת ממוחשבת</w:t>
      </w:r>
      <w:r>
        <w:rPr>
          <w:vertAlign w:val="superscript"/>
          <w:rtl/>
        </w:rPr>
        <w:footnoteReference w:id="113"/>
      </w:r>
      <w:r w:rsidRPr="00373CBE">
        <w:rPr>
          <w:rFonts w:hint="cs"/>
          <w:rtl/>
        </w:rPr>
        <w:t xml:space="preserve">. </w:t>
      </w:r>
    </w:p>
    <w:p w:rsidR="00BF1E3B" w:rsidRDefault="00DF6A0A" w:rsidP="00C619CC">
      <w:pPr>
        <w:pStyle w:val="7392"/>
        <w:rPr>
          <w:rtl/>
        </w:rPr>
      </w:pPr>
      <w:r w:rsidRPr="00373CBE">
        <w:rPr>
          <w:rtl/>
        </w:rPr>
        <w:t>בשנת 2018 חוקקה הכנסת את חוק פנייה לגופים ציבוריים באמצעי קשר דיגיטליים</w:t>
      </w:r>
      <w:r>
        <w:rPr>
          <w:rFonts w:hint="cs"/>
          <w:rtl/>
        </w:rPr>
        <w:t>,</w:t>
      </w:r>
      <w:r w:rsidRPr="00373CBE">
        <w:rPr>
          <w:rtl/>
        </w:rPr>
        <w:t xml:space="preserve"> התשע"ח-</w:t>
      </w:r>
      <w:r>
        <w:rPr>
          <w:rFonts w:hint="cs"/>
          <w:rtl/>
        </w:rPr>
        <w:t>2018</w:t>
      </w:r>
      <w:r>
        <w:rPr>
          <w:rStyle w:val="a8"/>
          <w:rFonts w:ascii="David" w:eastAsia="Calibri" w:hAnsi="David"/>
          <w:rtl/>
        </w:rPr>
        <w:footnoteReference w:id="114"/>
      </w:r>
      <w:r w:rsidRPr="00373CBE">
        <w:rPr>
          <w:rtl/>
        </w:rPr>
        <w:t xml:space="preserve">. </w:t>
      </w:r>
      <w:r w:rsidRPr="00373CBE">
        <w:rPr>
          <w:rFonts w:hint="cs"/>
          <w:rtl/>
        </w:rPr>
        <w:t>ב</w:t>
      </w:r>
      <w:r w:rsidRPr="00373CBE">
        <w:rPr>
          <w:rtl/>
        </w:rPr>
        <w:t>חוק</w:t>
      </w:r>
      <w:r w:rsidRPr="00373CBE">
        <w:rPr>
          <w:rFonts w:hint="cs"/>
          <w:rtl/>
        </w:rPr>
        <w:t xml:space="preserve"> נקבע כי "</w:t>
      </w:r>
      <w:r w:rsidRPr="00373CBE">
        <w:rPr>
          <w:rtl/>
        </w:rPr>
        <w:t>גוף ציבורי יאפשר לכל אדם לפ</w:t>
      </w:r>
      <w:r w:rsidRPr="00373CBE">
        <w:rPr>
          <w:rtl/>
        </w:rPr>
        <w:t>נות אליו באמצעי קשר דיגיטלי</w:t>
      </w:r>
      <w:r>
        <w:rPr>
          <w:rFonts w:hint="cs"/>
          <w:rtl/>
        </w:rPr>
        <w:t>[</w:t>
      </w:r>
      <w:r>
        <w:rPr>
          <w:rStyle w:val="a8"/>
          <w:rFonts w:ascii="David" w:eastAsia="Calibri" w:hAnsi="David"/>
          <w:rtl/>
        </w:rPr>
        <w:footnoteReference w:id="115"/>
      </w:r>
      <w:r>
        <w:rPr>
          <w:rFonts w:hint="cs"/>
          <w:rtl/>
        </w:rPr>
        <w:t>]</w:t>
      </w:r>
      <w:r w:rsidRPr="00373CBE">
        <w:rPr>
          <w:rtl/>
        </w:rPr>
        <w:t xml:space="preserve">, אלא אם כן נקבע אחרת לפי כל דין או שהגוף </w:t>
      </w:r>
      <w:r w:rsidRPr="00686A21">
        <w:rPr>
          <w:sz w:val="24"/>
          <w:rtl/>
        </w:rPr>
        <w:t>הציבורי החליט, מטעמים מיוחדים שיירשמו, כי הפנייה לגבי עניין מסוים תהיה בדרך מסוימת אחרת</w:t>
      </w:r>
      <w:r w:rsidRPr="00686A21">
        <w:rPr>
          <w:rFonts w:hint="cs"/>
          <w:sz w:val="24"/>
          <w:rtl/>
        </w:rPr>
        <w:t>"; "</w:t>
      </w:r>
      <w:r w:rsidRPr="00686A21">
        <w:rPr>
          <w:rFonts w:ascii="FrankRuehl" w:hAnsi="FrankRuehl"/>
          <w:color w:val="000000"/>
          <w:sz w:val="24"/>
          <w:rtl/>
        </w:rPr>
        <w:t xml:space="preserve">החלטה כאמור תפורסם באתר האינטרנט של הגוף הציבורי ואינה טעונה פרסום ברשומות; על אף האמור, גוף </w:t>
      </w:r>
      <w:r w:rsidRPr="00686A21">
        <w:rPr>
          <w:rFonts w:ascii="FrankRuehl" w:hAnsi="FrankRuehl"/>
          <w:color w:val="000000"/>
          <w:sz w:val="24"/>
          <w:rtl/>
        </w:rPr>
        <w:t>ציבורי המאפשר לפנות אליו בעניין מסוים באמצעות פקסימיליה יהיה חייב לאפשר פנייה אליו באותו עניין גם באמצעי קשר דיגיטלי</w:t>
      </w:r>
      <w:r w:rsidRPr="00686A21">
        <w:rPr>
          <w:rFonts w:hint="cs"/>
          <w:sz w:val="24"/>
          <w:rtl/>
        </w:rPr>
        <w:t>". הסדר זה בחוק בא ל</w:t>
      </w:r>
      <w:r w:rsidRPr="00686A21">
        <w:rPr>
          <w:sz w:val="24"/>
          <w:rtl/>
        </w:rPr>
        <w:t xml:space="preserve">הוסיף את הערוץ הדיגיטלי לערוצי הפנייה </w:t>
      </w:r>
      <w:r w:rsidRPr="00686A21">
        <w:rPr>
          <w:rFonts w:hint="cs"/>
          <w:sz w:val="24"/>
          <w:rtl/>
        </w:rPr>
        <w:t xml:space="preserve">שבהם </w:t>
      </w:r>
      <w:r w:rsidRPr="00686A21">
        <w:rPr>
          <w:rFonts w:hint="cs"/>
          <w:sz w:val="24"/>
          <w:rtl/>
        </w:rPr>
        <w:lastRenderedPageBreak/>
        <w:t xml:space="preserve">ניתן לפנות לגופים הציבוריים, </w:t>
      </w:r>
      <w:r w:rsidRPr="00686A21">
        <w:rPr>
          <w:sz w:val="24"/>
          <w:rtl/>
        </w:rPr>
        <w:t xml:space="preserve">ולא </w:t>
      </w:r>
      <w:r w:rsidRPr="00686A21">
        <w:rPr>
          <w:rFonts w:hint="cs"/>
          <w:sz w:val="24"/>
          <w:rtl/>
        </w:rPr>
        <w:t>להופכו לערוץ הפנייה הבלעדי</w:t>
      </w:r>
      <w:r>
        <w:rPr>
          <w:rStyle w:val="a8"/>
          <w:rFonts w:ascii="David" w:eastAsia="Calibri" w:hAnsi="David"/>
          <w:sz w:val="24"/>
          <w:rtl/>
        </w:rPr>
        <w:footnoteReference w:id="116"/>
      </w:r>
      <w:r w:rsidRPr="00686A21">
        <w:rPr>
          <w:rFonts w:hint="cs"/>
          <w:sz w:val="24"/>
          <w:rtl/>
        </w:rPr>
        <w:t xml:space="preserve">. </w:t>
      </w:r>
      <w:r w:rsidRPr="00686A21">
        <w:rPr>
          <w:sz w:val="24"/>
          <w:rtl/>
        </w:rPr>
        <w:t>ב</w:t>
      </w:r>
      <w:r w:rsidRPr="00686A21">
        <w:rPr>
          <w:rFonts w:hint="cs"/>
          <w:sz w:val="24"/>
          <w:rtl/>
        </w:rPr>
        <w:t>ספטמ</w:t>
      </w:r>
      <w:r w:rsidRPr="00686A21">
        <w:rPr>
          <w:sz w:val="24"/>
          <w:rtl/>
        </w:rPr>
        <w:t xml:space="preserve">בר 2019 </w:t>
      </w:r>
      <w:r w:rsidRPr="00686A21">
        <w:rPr>
          <w:rFonts w:hint="cs"/>
          <w:sz w:val="24"/>
          <w:rtl/>
        </w:rPr>
        <w:t>הוציא</w:t>
      </w:r>
      <w:r w:rsidRPr="00686A21">
        <w:rPr>
          <w:sz w:val="24"/>
          <w:rtl/>
        </w:rPr>
        <w:t xml:space="preserve"> היוע</w:t>
      </w:r>
      <w:r w:rsidRPr="00686A21">
        <w:rPr>
          <w:rFonts w:hint="cs"/>
          <w:sz w:val="24"/>
          <w:rtl/>
        </w:rPr>
        <w:t>ץ המשפטי לממשלה (להלן - היועמ</w:t>
      </w:r>
      <w:r w:rsidRPr="00686A21">
        <w:rPr>
          <w:sz w:val="24"/>
          <w:rtl/>
        </w:rPr>
        <w:t>"ש</w:t>
      </w:r>
      <w:r w:rsidRPr="00686A21">
        <w:rPr>
          <w:rFonts w:hint="cs"/>
          <w:sz w:val="24"/>
          <w:rtl/>
        </w:rPr>
        <w:t>)</w:t>
      </w:r>
      <w:r w:rsidRPr="00686A21">
        <w:rPr>
          <w:sz w:val="24"/>
          <w:rtl/>
        </w:rPr>
        <w:t xml:space="preserve"> הנחייה בדבר "כללים מנחים לגיבוש הסדרים דיגיטליים"</w:t>
      </w:r>
      <w:r>
        <w:rPr>
          <w:sz w:val="24"/>
          <w:vertAlign w:val="superscript"/>
          <w:rtl/>
        </w:rPr>
        <w:footnoteReference w:id="117"/>
      </w:r>
      <w:r w:rsidRPr="00686A21">
        <w:rPr>
          <w:sz w:val="24"/>
          <w:rtl/>
        </w:rPr>
        <w:t xml:space="preserve">. </w:t>
      </w:r>
      <w:r w:rsidRPr="00686A21">
        <w:rPr>
          <w:rFonts w:hint="cs"/>
          <w:sz w:val="24"/>
          <w:rtl/>
        </w:rPr>
        <w:t>במבוא ל</w:t>
      </w:r>
      <w:r w:rsidRPr="00686A21">
        <w:rPr>
          <w:sz w:val="24"/>
          <w:rtl/>
        </w:rPr>
        <w:t>הנחיה נ</w:t>
      </w:r>
      <w:r w:rsidRPr="00686A21">
        <w:rPr>
          <w:rFonts w:hint="cs"/>
          <w:sz w:val="24"/>
          <w:rtl/>
        </w:rPr>
        <w:t xml:space="preserve">כתב </w:t>
      </w:r>
      <w:r w:rsidRPr="00686A21">
        <w:rPr>
          <w:sz w:val="24"/>
          <w:rtl/>
        </w:rPr>
        <w:t xml:space="preserve">כי עם השנים מתחזקת </w:t>
      </w:r>
      <w:r w:rsidRPr="00686A21">
        <w:rPr>
          <w:rFonts w:hint="cs"/>
          <w:sz w:val="24"/>
          <w:rtl/>
        </w:rPr>
        <w:t>מגמת המעבר</w:t>
      </w:r>
      <w:r w:rsidRPr="00686A21">
        <w:rPr>
          <w:sz w:val="24"/>
          <w:rtl/>
        </w:rPr>
        <w:t xml:space="preserve"> לתהליכים דיגיטליים</w:t>
      </w:r>
      <w:r w:rsidRPr="00686A21">
        <w:rPr>
          <w:rFonts w:hint="cs"/>
          <w:sz w:val="24"/>
          <w:rtl/>
        </w:rPr>
        <w:t xml:space="preserve"> ולאפשר ביצוע של פעולות ושירותים באופן דיגיטלי. עוד נכתב בהנחיה כי המעבר לעולם הדיגיטלי </w:t>
      </w:r>
      <w:r w:rsidRPr="00686A21">
        <w:rPr>
          <w:sz w:val="24"/>
          <w:rtl/>
        </w:rPr>
        <w:t>משקף את</w:t>
      </w:r>
      <w:r w:rsidRPr="00686A21">
        <w:rPr>
          <w:sz w:val="24"/>
          <w:rtl/>
        </w:rPr>
        <w:t xml:space="preserve"> מדיניות הממשלה</w:t>
      </w:r>
      <w:r w:rsidRPr="00686A21">
        <w:rPr>
          <w:rFonts w:hint="cs"/>
          <w:sz w:val="24"/>
          <w:rtl/>
        </w:rPr>
        <w:t xml:space="preserve">, מעודד פיתוח והתייעלות ומסייע לממשלה לשפר את השירות לציבור ולשמור על האינטרס הציבורי. בהתייחסו </w:t>
      </w:r>
      <w:r w:rsidRPr="00686A21">
        <w:rPr>
          <w:sz w:val="24"/>
          <w:rtl/>
        </w:rPr>
        <w:t>ל</w:t>
      </w:r>
      <w:r w:rsidRPr="00686A21">
        <w:rPr>
          <w:rFonts w:hint="cs"/>
          <w:sz w:val="24"/>
          <w:rtl/>
        </w:rPr>
        <w:t>שאלה על סבירותה של</w:t>
      </w:r>
      <w:r w:rsidRPr="00686A21">
        <w:rPr>
          <w:sz w:val="24"/>
          <w:rtl/>
        </w:rPr>
        <w:t xml:space="preserve"> קב</w:t>
      </w:r>
      <w:r w:rsidRPr="00686A21">
        <w:rPr>
          <w:rFonts w:hint="cs"/>
          <w:sz w:val="24"/>
          <w:rtl/>
        </w:rPr>
        <w:t>י</w:t>
      </w:r>
      <w:r w:rsidRPr="00686A21">
        <w:rPr>
          <w:sz w:val="24"/>
          <w:rtl/>
        </w:rPr>
        <w:t>ע</w:t>
      </w:r>
      <w:r w:rsidRPr="00686A21">
        <w:rPr>
          <w:rFonts w:hint="cs"/>
          <w:sz w:val="24"/>
          <w:rtl/>
        </w:rPr>
        <w:t>ת</w:t>
      </w:r>
      <w:r w:rsidRPr="00686A21">
        <w:rPr>
          <w:sz w:val="24"/>
          <w:rtl/>
        </w:rPr>
        <w:t xml:space="preserve"> ערוץ דיגיטלי כערוץ יחיד</w:t>
      </w:r>
      <w:r w:rsidRPr="00686A21">
        <w:rPr>
          <w:rFonts w:hint="cs"/>
          <w:sz w:val="24"/>
          <w:rtl/>
        </w:rPr>
        <w:t>, עמד</w:t>
      </w:r>
      <w:r w:rsidRPr="00686A21">
        <w:rPr>
          <w:sz w:val="24"/>
          <w:rtl/>
        </w:rPr>
        <w:t xml:space="preserve"> </w:t>
      </w:r>
      <w:r w:rsidRPr="00686A21">
        <w:rPr>
          <w:rFonts w:hint="cs"/>
          <w:sz w:val="24"/>
          <w:rtl/>
        </w:rPr>
        <w:t xml:space="preserve">היועמ"ש על כך </w:t>
      </w:r>
      <w:r w:rsidRPr="00686A21">
        <w:rPr>
          <w:sz w:val="24"/>
          <w:rtl/>
        </w:rPr>
        <w:t>כי קביע</w:t>
      </w:r>
      <w:r w:rsidRPr="00686A21">
        <w:rPr>
          <w:rFonts w:hint="cs"/>
          <w:sz w:val="24"/>
          <w:rtl/>
        </w:rPr>
        <w:t>ה</w:t>
      </w:r>
      <w:r w:rsidRPr="00686A21">
        <w:rPr>
          <w:sz w:val="24"/>
          <w:rtl/>
        </w:rPr>
        <w:t xml:space="preserve"> כזו היא נושא מורכב, שמעלה שאלות</w:t>
      </w:r>
      <w:r w:rsidRPr="00373CBE">
        <w:rPr>
          <w:rtl/>
        </w:rPr>
        <w:t xml:space="preserve"> כבדות משקל בדבר סבירות</w:t>
      </w:r>
      <w:r>
        <w:rPr>
          <w:rFonts w:hint="cs"/>
          <w:rtl/>
        </w:rPr>
        <w:t xml:space="preserve"> קביעה זו;</w:t>
      </w:r>
      <w:r w:rsidRPr="00373CBE">
        <w:rPr>
          <w:rtl/>
        </w:rPr>
        <w:t xml:space="preserve"> במ</w:t>
      </w:r>
      <w:r w:rsidRPr="00373CBE">
        <w:rPr>
          <w:rtl/>
        </w:rPr>
        <w:t>קרים לא מבוטלים, קביעתו של ערוץ דיגיטלי כערוץ יחיד תהיה בלתי סבירה.</w:t>
      </w:r>
      <w:r w:rsidRPr="00373CBE">
        <w:rPr>
          <w:rFonts w:hint="cs"/>
          <w:rtl/>
        </w:rPr>
        <w:t xml:space="preserve"> </w:t>
      </w:r>
      <w:r w:rsidRPr="00373CBE">
        <w:rPr>
          <w:rtl/>
        </w:rPr>
        <w:t>לפיכך</w:t>
      </w:r>
      <w:r w:rsidRPr="00373CBE">
        <w:rPr>
          <w:rFonts w:hint="cs"/>
          <w:rtl/>
        </w:rPr>
        <w:t xml:space="preserve"> קבע היועמ"ש כי </w:t>
      </w:r>
      <w:r w:rsidRPr="00373CBE">
        <w:rPr>
          <w:rtl/>
        </w:rPr>
        <w:t xml:space="preserve">קביעת ערוץ דיגיטלי כערוץ יחיד כפופה לאישורו או </w:t>
      </w:r>
      <w:r>
        <w:rPr>
          <w:rFonts w:hint="cs"/>
          <w:rtl/>
        </w:rPr>
        <w:t>ל</w:t>
      </w:r>
      <w:r w:rsidRPr="00373CBE">
        <w:rPr>
          <w:rFonts w:hint="cs"/>
          <w:rtl/>
        </w:rPr>
        <w:t xml:space="preserve">אישור של </w:t>
      </w:r>
      <w:r w:rsidRPr="00373CBE">
        <w:rPr>
          <w:rtl/>
        </w:rPr>
        <w:t xml:space="preserve">מי מטעמו. </w:t>
      </w:r>
    </w:p>
    <w:p w:rsidR="00BF1E3B" w:rsidRPr="00B74C6A" w:rsidRDefault="00DF6A0A" w:rsidP="00B74C6A">
      <w:pPr>
        <w:pStyle w:val="733155"/>
        <w:rPr>
          <w:rtl/>
        </w:rPr>
      </w:pPr>
      <w:r w:rsidRPr="00B74C6A">
        <w:rPr>
          <w:rtl/>
        </w:rPr>
        <w:t>פערים דיגיטלי</w:t>
      </w:r>
      <w:r w:rsidRPr="00B74C6A">
        <w:rPr>
          <w:rFonts w:hint="cs"/>
          <w:rtl/>
        </w:rPr>
        <w:t>ים</w:t>
      </w:r>
      <w:r w:rsidRPr="00B74C6A">
        <w:rPr>
          <w:rtl/>
        </w:rPr>
        <w:t xml:space="preserve"> בישראל</w:t>
      </w:r>
    </w:p>
    <w:p w:rsidR="00BF1E3B" w:rsidRDefault="00DF6A0A" w:rsidP="004B203F">
      <w:pPr>
        <w:pStyle w:val="7392"/>
        <w:rPr>
          <w:rtl/>
        </w:rPr>
      </w:pPr>
      <w:r w:rsidRPr="00373CBE">
        <w:rPr>
          <w:rFonts w:hint="cs"/>
          <w:rtl/>
        </w:rPr>
        <w:t>על פי נתוני מערך הדיגיטל</w:t>
      </w:r>
      <w:r>
        <w:rPr>
          <w:rFonts w:hint="cs"/>
          <w:rtl/>
        </w:rPr>
        <w:t xml:space="preserve"> הלאומי</w:t>
      </w:r>
      <w:r w:rsidRPr="00373CBE">
        <w:rPr>
          <w:rFonts w:hint="cs"/>
          <w:rtl/>
        </w:rPr>
        <w:t xml:space="preserve"> </w:t>
      </w:r>
      <w:r w:rsidRPr="00373CBE">
        <w:rPr>
          <w:rtl/>
        </w:rPr>
        <w:t>בשנת 2017</w:t>
      </w:r>
      <w:r>
        <w:rPr>
          <w:rFonts w:hint="cs"/>
          <w:rtl/>
        </w:rPr>
        <w:t xml:space="preserve">, </w:t>
      </w:r>
      <w:r w:rsidRPr="00373CBE">
        <w:rPr>
          <w:rtl/>
        </w:rPr>
        <w:t xml:space="preserve">עם התחלת </w:t>
      </w:r>
      <w:r w:rsidRPr="00373CBE">
        <w:rPr>
          <w:rFonts w:hint="cs"/>
          <w:rtl/>
        </w:rPr>
        <w:t>ה</w:t>
      </w:r>
      <w:r w:rsidRPr="00373CBE">
        <w:rPr>
          <w:rtl/>
        </w:rPr>
        <w:t>פעילות להגדלת האוריינות</w:t>
      </w:r>
      <w:r w:rsidRPr="00373CBE">
        <w:rPr>
          <w:rtl/>
        </w:rPr>
        <w:t xml:space="preserve"> הדיגי</w:t>
      </w:r>
      <w:r w:rsidRPr="00373CBE">
        <w:rPr>
          <w:rFonts w:hint="cs"/>
          <w:rtl/>
        </w:rPr>
        <w:t>ט</w:t>
      </w:r>
      <w:r w:rsidRPr="00373CBE">
        <w:rPr>
          <w:rtl/>
        </w:rPr>
        <w:t>לית ב</w:t>
      </w:r>
      <w:r w:rsidRPr="00373CBE">
        <w:rPr>
          <w:rFonts w:hint="cs"/>
          <w:rtl/>
        </w:rPr>
        <w:t>קרב ה</w:t>
      </w:r>
      <w:r w:rsidRPr="00373CBE">
        <w:rPr>
          <w:rtl/>
        </w:rPr>
        <w:t>אוכלוסייה</w:t>
      </w:r>
      <w:r w:rsidRPr="00373CBE">
        <w:rPr>
          <w:rFonts w:hint="cs"/>
          <w:rtl/>
        </w:rPr>
        <w:t xml:space="preserve"> בישראל</w:t>
      </w:r>
      <w:r w:rsidRPr="00373CBE">
        <w:rPr>
          <w:rtl/>
        </w:rPr>
        <w:t xml:space="preserve">, </w:t>
      </w:r>
      <w:r w:rsidRPr="00373CBE">
        <w:rPr>
          <w:rFonts w:hint="cs"/>
          <w:rtl/>
        </w:rPr>
        <w:t xml:space="preserve">נמצא כי </w:t>
      </w:r>
      <w:r w:rsidRPr="00373CBE">
        <w:rPr>
          <w:rtl/>
        </w:rPr>
        <w:t>כ-25% מ</w:t>
      </w:r>
      <w:r w:rsidRPr="00373CBE">
        <w:rPr>
          <w:rFonts w:hint="cs"/>
          <w:rtl/>
        </w:rPr>
        <w:t>ה</w:t>
      </w:r>
      <w:r w:rsidRPr="00373CBE">
        <w:rPr>
          <w:rtl/>
        </w:rPr>
        <w:t>אוכלוס</w:t>
      </w:r>
      <w:r w:rsidRPr="00373CBE">
        <w:rPr>
          <w:rFonts w:hint="cs"/>
          <w:rtl/>
        </w:rPr>
        <w:t>ייה</w:t>
      </w:r>
      <w:r w:rsidRPr="00373CBE">
        <w:rPr>
          <w:rtl/>
        </w:rPr>
        <w:t xml:space="preserve"> </w:t>
      </w:r>
      <w:r w:rsidRPr="00373CBE">
        <w:rPr>
          <w:rFonts w:hint="cs"/>
          <w:rtl/>
        </w:rPr>
        <w:t>ש</w:t>
      </w:r>
      <w:r w:rsidRPr="00373CBE">
        <w:rPr>
          <w:rtl/>
        </w:rPr>
        <w:t xml:space="preserve">בגיל 20 ומעלה חסרת אוריינות דיגיטלית </w:t>
      </w:r>
      <w:r>
        <w:rPr>
          <w:rFonts w:hint="cs"/>
          <w:rtl/>
        </w:rPr>
        <w:t>ו</w:t>
      </w:r>
      <w:r w:rsidRPr="00373CBE">
        <w:rPr>
          <w:rFonts w:hint="cs"/>
          <w:rtl/>
        </w:rPr>
        <w:t>א</w:t>
      </w:r>
      <w:r w:rsidRPr="00373CBE">
        <w:rPr>
          <w:rtl/>
        </w:rPr>
        <w:t>ינה משתמשת ב</w:t>
      </w:r>
      <w:r w:rsidRPr="00373CBE">
        <w:rPr>
          <w:rFonts w:hint="cs"/>
          <w:rtl/>
        </w:rPr>
        <w:t>מרשתת</w:t>
      </w:r>
      <w:r w:rsidRPr="00373CBE">
        <w:rPr>
          <w:rtl/>
        </w:rPr>
        <w:t xml:space="preserve"> </w:t>
      </w:r>
      <w:r w:rsidRPr="00373CBE">
        <w:rPr>
          <w:rFonts w:hint="cs"/>
          <w:rtl/>
        </w:rPr>
        <w:t xml:space="preserve">וכתוצאה מכך אינה </w:t>
      </w:r>
      <w:r w:rsidRPr="00373CBE">
        <w:rPr>
          <w:rtl/>
        </w:rPr>
        <w:t xml:space="preserve">נהנית מהתועלות שהדיגיטציה </w:t>
      </w:r>
      <w:r>
        <w:rPr>
          <w:rFonts w:hint="cs"/>
          <w:rtl/>
        </w:rPr>
        <w:t>תורמת</w:t>
      </w:r>
      <w:r w:rsidRPr="00373CBE">
        <w:rPr>
          <w:rtl/>
        </w:rPr>
        <w:t xml:space="preserve"> </w:t>
      </w:r>
      <w:r w:rsidRPr="00373CBE">
        <w:rPr>
          <w:rFonts w:hint="cs"/>
          <w:rtl/>
        </w:rPr>
        <w:t>ל</w:t>
      </w:r>
      <w:r w:rsidRPr="00373CBE">
        <w:rPr>
          <w:rtl/>
        </w:rPr>
        <w:t>איכות החיים</w:t>
      </w:r>
      <w:r w:rsidRPr="00373CBE">
        <w:rPr>
          <w:rFonts w:hint="cs"/>
          <w:rtl/>
        </w:rPr>
        <w:t xml:space="preserve"> של האזרח</w:t>
      </w:r>
      <w:r w:rsidRPr="00373CBE">
        <w:rPr>
          <w:rtl/>
        </w:rPr>
        <w:t>. מערך הדיגיטל</w:t>
      </w:r>
      <w:r w:rsidRPr="00373CBE">
        <w:rPr>
          <w:rFonts w:hint="cs"/>
          <w:rtl/>
        </w:rPr>
        <w:t xml:space="preserve"> מסר למשרד מבקר המדינה כי מאז</w:t>
      </w:r>
      <w:r>
        <w:rPr>
          <w:rFonts w:hint="cs"/>
          <w:rtl/>
        </w:rPr>
        <w:t xml:space="preserve"> שנת 2017</w:t>
      </w:r>
      <w:r w:rsidRPr="00373CBE">
        <w:rPr>
          <w:rFonts w:hint="cs"/>
          <w:rtl/>
        </w:rPr>
        <w:t xml:space="preserve"> ועד לשנת 2022 חל שיפור בנושא</w:t>
      </w:r>
      <w:r>
        <w:rPr>
          <w:rFonts w:hint="cs"/>
          <w:rtl/>
        </w:rPr>
        <w:t>.</w:t>
      </w:r>
      <w:r w:rsidRPr="00373CBE">
        <w:rPr>
          <w:rFonts w:hint="cs"/>
          <w:rtl/>
        </w:rPr>
        <w:t xml:space="preserve"> על פי הנתונים המעודכנים לשנת 2022, שיעור הישראלים </w:t>
      </w:r>
      <w:r>
        <w:rPr>
          <w:rFonts w:hint="cs"/>
          <w:rtl/>
        </w:rPr>
        <w:t>שגילם</w:t>
      </w:r>
      <w:r w:rsidRPr="00373CBE">
        <w:rPr>
          <w:rFonts w:hint="cs"/>
          <w:rtl/>
        </w:rPr>
        <w:t xml:space="preserve"> 20 ומעלה שאינם משתמשים במרשתת ירד ל-11%. </w:t>
      </w:r>
    </w:p>
    <w:p w:rsidR="00BF1E3B" w:rsidRPr="00855821" w:rsidRDefault="00DF6A0A" w:rsidP="00C619CC">
      <w:pPr>
        <w:pStyle w:val="7392"/>
        <w:rPr>
          <w:rtl/>
        </w:rPr>
      </w:pPr>
      <w:r>
        <w:rPr>
          <w:rFonts w:hint="cs"/>
          <w:rtl/>
        </w:rPr>
        <w:t xml:space="preserve">על פי נתוני הלמ"ס, מנתה אוכלוסיית ישראל </w:t>
      </w:r>
      <w:r w:rsidRPr="00855821">
        <w:rPr>
          <w:rtl/>
        </w:rPr>
        <w:t>בשנת 2021 כ-9.5 מיליון איש</w:t>
      </w:r>
      <w:r>
        <w:rPr>
          <w:rStyle w:val="a8"/>
          <w:rFonts w:ascii="David" w:eastAsia="David" w:hAnsi="David"/>
          <w:sz w:val="24"/>
          <w:rtl/>
        </w:rPr>
        <w:footnoteReference w:id="118"/>
      </w:r>
      <w:r>
        <w:rPr>
          <w:rFonts w:hint="cs"/>
          <w:rtl/>
        </w:rPr>
        <w:t xml:space="preserve">, מהם </w:t>
      </w:r>
      <w:r w:rsidRPr="00855821">
        <w:rPr>
          <w:rtl/>
        </w:rPr>
        <w:t xml:space="preserve">כ-5.9 מיליון איש </w:t>
      </w:r>
      <w:r w:rsidRPr="00855821">
        <w:rPr>
          <w:rFonts w:hint="cs"/>
          <w:rtl/>
        </w:rPr>
        <w:t>בגילאי</w:t>
      </w:r>
      <w:r w:rsidRPr="00855821">
        <w:rPr>
          <w:rtl/>
        </w:rPr>
        <w:t xml:space="preserve"> 20</w:t>
      </w:r>
      <w:r w:rsidRPr="00855821">
        <w:rPr>
          <w:rFonts w:hint="cs"/>
          <w:rtl/>
        </w:rPr>
        <w:t xml:space="preserve"> שנה</w:t>
      </w:r>
      <w:r w:rsidRPr="00855821">
        <w:rPr>
          <w:rtl/>
        </w:rPr>
        <w:t xml:space="preserve"> ומעלה</w:t>
      </w:r>
      <w:r w:rsidRPr="00855821">
        <w:rPr>
          <w:rFonts w:hint="cs"/>
          <w:rtl/>
        </w:rPr>
        <w:t>. מבין בני ה-20 ומ</w:t>
      </w:r>
      <w:r w:rsidRPr="00855821">
        <w:rPr>
          <w:rFonts w:hint="cs"/>
          <w:rtl/>
        </w:rPr>
        <w:t>עלה</w:t>
      </w:r>
      <w:r>
        <w:rPr>
          <w:rFonts w:hint="cs"/>
          <w:rtl/>
        </w:rPr>
        <w:t xml:space="preserve"> כ-90% משתמשים במרשתת. בכל הנוגע לצריכת שירותי ממשל באמצעות המרשתת עולה מנתוני הלמ"ס לשנת 2021 כי</w:t>
      </w:r>
      <w:r w:rsidRPr="00855821">
        <w:rPr>
          <w:rtl/>
        </w:rPr>
        <w:t xml:space="preserve"> כ-3.35 מיליון איש צרכו שירותי ממשל ב</w:t>
      </w:r>
      <w:r>
        <w:rPr>
          <w:rFonts w:hint="cs"/>
          <w:rtl/>
        </w:rPr>
        <w:t>אמצעות ה</w:t>
      </w:r>
      <w:r w:rsidRPr="00855821">
        <w:rPr>
          <w:rtl/>
        </w:rPr>
        <w:t>מרשתת</w:t>
      </w:r>
      <w:r>
        <w:rPr>
          <w:rFonts w:hint="cs"/>
          <w:rtl/>
        </w:rPr>
        <w:t xml:space="preserve">, כלומר 2.55 מיליון איש, (43%) לא עשו זאת. </w:t>
      </w:r>
    </w:p>
    <w:p w:rsidR="00BF1E3B" w:rsidRDefault="00DF6A0A" w:rsidP="00C619CC">
      <w:pPr>
        <w:pStyle w:val="7392"/>
        <w:rPr>
          <w:rtl/>
        </w:rPr>
      </w:pPr>
      <w:r w:rsidRPr="00373CBE">
        <w:rPr>
          <w:rFonts w:hint="cs"/>
          <w:rtl/>
        </w:rPr>
        <w:t xml:space="preserve">לצד השימוש הנרחב במרשתת בישראל, </w:t>
      </w:r>
      <w:r>
        <w:rPr>
          <w:rFonts w:hint="cs"/>
          <w:rtl/>
        </w:rPr>
        <w:t>ניכר</w:t>
      </w:r>
      <w:r w:rsidRPr="00373CBE">
        <w:rPr>
          <w:rFonts w:hint="cs"/>
          <w:rtl/>
        </w:rPr>
        <w:t xml:space="preserve"> </w:t>
      </w:r>
      <w:r>
        <w:rPr>
          <w:rFonts w:hint="cs"/>
          <w:rtl/>
        </w:rPr>
        <w:t>מ</w:t>
      </w:r>
      <w:r w:rsidRPr="00373CBE">
        <w:rPr>
          <w:rFonts w:hint="cs"/>
          <w:rtl/>
        </w:rPr>
        <w:t>נתוני הל</w:t>
      </w:r>
      <w:r>
        <w:rPr>
          <w:rFonts w:hint="cs"/>
          <w:rtl/>
        </w:rPr>
        <w:t>מ"ס</w:t>
      </w:r>
      <w:r w:rsidRPr="00373CBE">
        <w:rPr>
          <w:rFonts w:hint="cs"/>
          <w:rtl/>
        </w:rPr>
        <w:t xml:space="preserve"> </w:t>
      </w:r>
      <w:r>
        <w:rPr>
          <w:rFonts w:hint="cs"/>
          <w:rtl/>
        </w:rPr>
        <w:t>וכן</w:t>
      </w:r>
      <w:r w:rsidRPr="00373CBE">
        <w:rPr>
          <w:rFonts w:hint="cs"/>
          <w:rtl/>
        </w:rPr>
        <w:t xml:space="preserve"> </w:t>
      </w:r>
      <w:r>
        <w:rPr>
          <w:rFonts w:hint="cs"/>
          <w:rtl/>
        </w:rPr>
        <w:t>מ</w:t>
      </w:r>
      <w:r w:rsidRPr="00373CBE">
        <w:rPr>
          <w:rtl/>
        </w:rPr>
        <w:t>נתוני ס</w:t>
      </w:r>
      <w:r w:rsidRPr="00373CBE">
        <w:rPr>
          <w:rtl/>
        </w:rPr>
        <w:t>קר</w:t>
      </w:r>
      <w:r w:rsidRPr="00373CBE">
        <w:rPr>
          <w:rFonts w:hint="cs"/>
          <w:rtl/>
        </w:rPr>
        <w:t xml:space="preserve"> שעשה איגוד האינטרנט הישראלי כי </w:t>
      </w:r>
      <w:r w:rsidRPr="00373CBE">
        <w:rPr>
          <w:rtl/>
        </w:rPr>
        <w:t xml:space="preserve">שלוש קבוצות </w:t>
      </w:r>
      <w:r>
        <w:rPr>
          <w:rFonts w:hint="cs"/>
          <w:rtl/>
        </w:rPr>
        <w:t xml:space="preserve">אוכלוסייה, שמנו בשנת 2021 כ-3 מיליון איש, והן: בני 60 ומעלה, </w:t>
      </w:r>
      <w:r w:rsidR="004E7F15">
        <w:rPr>
          <w:rFonts w:hint="cs"/>
          <w:rtl/>
        </w:rPr>
        <w:t>ובני 20 ומעלה מ</w:t>
      </w:r>
      <w:r>
        <w:rPr>
          <w:rFonts w:hint="cs"/>
          <w:rtl/>
        </w:rPr>
        <w:t>החברה הערבית ו</w:t>
      </w:r>
      <w:r w:rsidR="004E7F15">
        <w:rPr>
          <w:rFonts w:hint="cs"/>
          <w:rtl/>
        </w:rPr>
        <w:t>מ</w:t>
      </w:r>
      <w:r>
        <w:rPr>
          <w:rFonts w:hint="cs"/>
          <w:rtl/>
        </w:rPr>
        <w:t xml:space="preserve">החברה החרדית, </w:t>
      </w:r>
      <w:r w:rsidRPr="00373CBE">
        <w:rPr>
          <w:rFonts w:hint="cs"/>
          <w:rtl/>
        </w:rPr>
        <w:t>עושות שימוש נמוך יותר במרשתת בהשוואה לאוכלוסייה הכללית</w:t>
      </w:r>
      <w:r>
        <w:rPr>
          <w:rFonts w:hint="cs"/>
          <w:rtl/>
        </w:rPr>
        <w:t xml:space="preserve"> של בני 20 ומעלה; שיעור ניכר מהמשתייכים ל</w:t>
      </w:r>
      <w:r w:rsidRPr="00E03C42">
        <w:rPr>
          <w:rFonts w:hint="cs"/>
          <w:rtl/>
        </w:rPr>
        <w:t xml:space="preserve">כל אחת </w:t>
      </w:r>
      <w:r>
        <w:rPr>
          <w:rFonts w:hint="cs"/>
          <w:rtl/>
        </w:rPr>
        <w:t>מ</w:t>
      </w:r>
      <w:r w:rsidRPr="00E03C42">
        <w:rPr>
          <w:rFonts w:hint="cs"/>
          <w:rtl/>
        </w:rPr>
        <w:t>של</w:t>
      </w:r>
      <w:r w:rsidRPr="00E03C42">
        <w:rPr>
          <w:rFonts w:hint="cs"/>
          <w:rtl/>
        </w:rPr>
        <w:t xml:space="preserve">וש קבוצות אלה אינו </w:t>
      </w:r>
      <w:r>
        <w:rPr>
          <w:rFonts w:hint="cs"/>
          <w:rtl/>
        </w:rPr>
        <w:t>משתמש</w:t>
      </w:r>
      <w:r w:rsidRPr="00E03C42">
        <w:rPr>
          <w:rFonts w:hint="cs"/>
          <w:rtl/>
        </w:rPr>
        <w:t xml:space="preserve"> במרשתת לצריכת שירותים ממשלתיים</w:t>
      </w:r>
      <w:r>
        <w:rPr>
          <w:rFonts w:hint="cs"/>
          <w:rtl/>
        </w:rPr>
        <w:t xml:space="preserve">. קבוצות אוכלוסייה אלה מהוות כשליש בכלל האוכלוסייה בישראל וכמחצית מן האוכלוסייה הבוגרת. </w:t>
      </w:r>
    </w:p>
    <w:p w:rsidR="00BF1E3B" w:rsidRPr="00ED0417" w:rsidRDefault="00DF6A0A" w:rsidP="00C619CC">
      <w:pPr>
        <w:pStyle w:val="7392"/>
        <w:rPr>
          <w:rtl/>
        </w:rPr>
      </w:pPr>
      <w:r>
        <w:rPr>
          <w:rFonts w:hint="cs"/>
          <w:rtl/>
        </w:rPr>
        <w:t xml:space="preserve">כדי להמחיש את הפערים בין כל אחת משלוש הקבוצות האמורות לבין כלל האוכלוסייה בישראל בכל הנוגע לשימוש במרשתת, ובפרט לצריכת שירותי ממשל, יוצגו להלן נתונים שמשקפים את הפערים הקיימים. </w:t>
      </w:r>
    </w:p>
    <w:p w:rsidR="00BF1E3B" w:rsidRPr="00373CBE" w:rsidRDefault="00DF6A0A" w:rsidP="00C619CC">
      <w:pPr>
        <w:pStyle w:val="7392"/>
        <w:rPr>
          <w:rtl/>
        </w:rPr>
      </w:pPr>
      <w:r w:rsidRPr="00C619CC">
        <w:rPr>
          <w:rStyle w:val="7371"/>
          <w:rFonts w:hint="cs"/>
          <w:rtl/>
        </w:rPr>
        <w:lastRenderedPageBreak/>
        <w:t>שימוש במרשתת לפי קבוצות גיל:</w:t>
      </w:r>
      <w:r>
        <w:rPr>
          <w:rFonts w:hint="cs"/>
          <w:rtl/>
        </w:rPr>
        <w:t xml:space="preserve"> </w:t>
      </w:r>
      <w:r w:rsidRPr="00373CBE">
        <w:rPr>
          <w:rtl/>
        </w:rPr>
        <w:t xml:space="preserve">להלן </w:t>
      </w:r>
      <w:r w:rsidRPr="00373CBE">
        <w:rPr>
          <w:rFonts w:hint="cs"/>
          <w:rtl/>
        </w:rPr>
        <w:t>בתרשים</w:t>
      </w:r>
      <w:r>
        <w:rPr>
          <w:rFonts w:hint="cs"/>
          <w:rtl/>
        </w:rPr>
        <w:t xml:space="preserve"> </w:t>
      </w:r>
      <w:r w:rsidRPr="00373CBE">
        <w:rPr>
          <w:rFonts w:hint="cs"/>
          <w:rtl/>
        </w:rPr>
        <w:t xml:space="preserve">נתוני הלמ"ס על </w:t>
      </w:r>
      <w:r w:rsidRPr="00373CBE">
        <w:rPr>
          <w:rtl/>
        </w:rPr>
        <w:t xml:space="preserve">השימוש במרשתת </w:t>
      </w:r>
      <w:r w:rsidRPr="00373CBE">
        <w:rPr>
          <w:rFonts w:hint="cs"/>
          <w:rtl/>
        </w:rPr>
        <w:t>לשנת 202</w:t>
      </w:r>
      <w:r w:rsidRPr="00373CBE">
        <w:rPr>
          <w:rFonts w:hint="cs"/>
          <w:rtl/>
        </w:rPr>
        <w:t xml:space="preserve">0, על פי </w:t>
      </w:r>
      <w:r>
        <w:rPr>
          <w:rFonts w:hint="cs"/>
          <w:rtl/>
        </w:rPr>
        <w:t xml:space="preserve">קבוצות </w:t>
      </w:r>
      <w:r w:rsidRPr="00373CBE">
        <w:rPr>
          <w:rFonts w:hint="cs"/>
          <w:rtl/>
        </w:rPr>
        <w:t>גיל</w:t>
      </w:r>
      <w:r>
        <w:rPr>
          <w:rFonts w:hint="cs"/>
          <w:rtl/>
        </w:rPr>
        <w:t>, אשר ממנו ניתן ללמוד כי</w:t>
      </w:r>
      <w:r w:rsidRPr="00373CBE">
        <w:rPr>
          <w:rFonts w:hint="cs"/>
          <w:rtl/>
        </w:rPr>
        <w:t xml:space="preserve"> </w:t>
      </w:r>
      <w:r w:rsidRPr="00ED0417">
        <w:rPr>
          <w:rtl/>
        </w:rPr>
        <w:t>שיעור המשתמשים במרשתת יורד ב</w:t>
      </w:r>
      <w:r>
        <w:rPr>
          <w:rFonts w:hint="cs"/>
          <w:rtl/>
        </w:rPr>
        <w:t>אופן משמעותי</w:t>
      </w:r>
      <w:r w:rsidRPr="00ED0417">
        <w:rPr>
          <w:rtl/>
        </w:rPr>
        <w:t xml:space="preserve"> מגיל 60 ומעלה.</w:t>
      </w:r>
    </w:p>
    <w:p w:rsidR="00BF1E3B" w:rsidRPr="00637A48" w:rsidRDefault="00DF6A0A" w:rsidP="00637A48">
      <w:pPr>
        <w:pStyle w:val="738"/>
        <w:rPr>
          <w:rtl/>
        </w:rPr>
      </w:pPr>
      <w:r w:rsidRPr="00637A48">
        <w:rPr>
          <w:b w:val="0"/>
          <w:bCs w:val="0"/>
          <w:rtl/>
        </w:rPr>
        <w:t>תרשים</w:t>
      </w:r>
      <w:r w:rsidRPr="00637A48">
        <w:rPr>
          <w:rFonts w:hint="cs"/>
          <w:b w:val="0"/>
          <w:bCs w:val="0"/>
          <w:rtl/>
        </w:rPr>
        <w:t xml:space="preserve"> 21</w:t>
      </w:r>
      <w:r w:rsidRPr="00637A48">
        <w:rPr>
          <w:b w:val="0"/>
          <w:bCs w:val="0"/>
          <w:rtl/>
        </w:rPr>
        <w:t>:</w:t>
      </w:r>
      <w:r w:rsidRPr="00637A48">
        <w:rPr>
          <w:rtl/>
        </w:rPr>
        <w:t xml:space="preserve"> בני</w:t>
      </w:r>
      <w:r w:rsidRPr="00637A48">
        <w:t xml:space="preserve"> 20 </w:t>
      </w:r>
      <w:r w:rsidRPr="00637A48">
        <w:rPr>
          <w:rtl/>
        </w:rPr>
        <w:t>ומעלה</w:t>
      </w:r>
      <w:r w:rsidRPr="00637A48">
        <w:t xml:space="preserve"> </w:t>
      </w:r>
      <w:r w:rsidRPr="00637A48">
        <w:rPr>
          <w:rFonts w:hint="eastAsia"/>
          <w:rtl/>
        </w:rPr>
        <w:t>המשתמשים</w:t>
      </w:r>
      <w:r w:rsidRPr="00637A48">
        <w:rPr>
          <w:rtl/>
        </w:rPr>
        <w:t xml:space="preserve"> </w:t>
      </w:r>
      <w:r w:rsidRPr="00637A48">
        <w:rPr>
          <w:rFonts w:hint="eastAsia"/>
          <w:rtl/>
        </w:rPr>
        <w:t>במרשתת</w:t>
      </w:r>
      <w:r w:rsidRPr="00637A48">
        <w:rPr>
          <w:rtl/>
        </w:rPr>
        <w:t xml:space="preserve">, </w:t>
      </w:r>
      <w:r w:rsidRPr="00637A48">
        <w:rPr>
          <w:rFonts w:hint="eastAsia"/>
          <w:rtl/>
        </w:rPr>
        <w:t>לפי</w:t>
      </w:r>
      <w:r w:rsidRPr="00637A48">
        <w:rPr>
          <w:rtl/>
        </w:rPr>
        <w:t xml:space="preserve"> </w:t>
      </w:r>
      <w:r w:rsidRPr="00637A48">
        <w:rPr>
          <w:rFonts w:hint="eastAsia"/>
          <w:rtl/>
        </w:rPr>
        <w:t>קבוצות</w:t>
      </w:r>
      <w:r w:rsidRPr="00637A48">
        <w:rPr>
          <w:rtl/>
        </w:rPr>
        <w:t xml:space="preserve"> </w:t>
      </w:r>
      <w:r w:rsidRPr="00637A48">
        <w:rPr>
          <w:rFonts w:hint="eastAsia"/>
          <w:rtl/>
        </w:rPr>
        <w:t>גיל</w:t>
      </w:r>
      <w:r w:rsidRPr="00637A48">
        <w:rPr>
          <w:rtl/>
        </w:rPr>
        <w:t>, 2020</w:t>
      </w:r>
      <w:r w:rsidRPr="00637A48">
        <w:rPr>
          <w:rFonts w:hint="cs"/>
          <w:rtl/>
        </w:rPr>
        <w:t xml:space="preserve"> (באחוזים)</w:t>
      </w:r>
    </w:p>
    <w:p w:rsidR="00BF1E3B" w:rsidRDefault="00DF6A0A" w:rsidP="00BF1E3B">
      <w:pPr>
        <w:rPr>
          <w:rFonts w:ascii="David" w:eastAsia="Calibri" w:hAnsi="David"/>
          <w:sz w:val="16"/>
          <w:szCs w:val="20"/>
          <w:rtl/>
        </w:rPr>
      </w:pPr>
      <w:r w:rsidRPr="00BF1E3B">
        <w:rPr>
          <w:noProof/>
        </w:rPr>
        <w:drawing>
          <wp:inline distT="0" distB="0" distL="0" distR="0">
            <wp:extent cx="4698002" cy="2616060"/>
            <wp:effectExtent l="0" t="0" r="0" b="0"/>
            <wp:docPr id="29" name="תמונה 29" descr="בקטע המלל שלאחר התרשים יש תיאור של המוצג ב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תמונה 29"/>
                    <pic:cNvPicPr/>
                  </pic:nvPicPr>
                  <pic:blipFill>
                    <a:blip r:embed="rId74">
                      <a:extLst>
                        <a:ext uri="{28A0092B-C50C-407E-A947-70E740481C1C}">
                          <a14:useLocalDpi xmlns:a14="http://schemas.microsoft.com/office/drawing/2010/main" val="0"/>
                        </a:ext>
                      </a:extLst>
                    </a:blip>
                    <a:stretch>
                      <a:fillRect/>
                    </a:stretch>
                  </pic:blipFill>
                  <pic:spPr>
                    <a:xfrm>
                      <a:off x="0" y="0"/>
                      <a:ext cx="4713066" cy="2624449"/>
                    </a:xfrm>
                    <a:prstGeom prst="rect">
                      <a:avLst/>
                    </a:prstGeom>
                    <a:ln>
                      <a:noFill/>
                    </a:ln>
                  </pic:spPr>
                </pic:pic>
              </a:graphicData>
            </a:graphic>
          </wp:inline>
        </w:drawing>
      </w:r>
    </w:p>
    <w:p w:rsidR="00BF1E3B" w:rsidRPr="00637A48" w:rsidRDefault="00DF6A0A" w:rsidP="00637A48">
      <w:pPr>
        <w:pStyle w:val="73e"/>
        <w:rPr>
          <w:rtl/>
        </w:rPr>
      </w:pPr>
      <w:r w:rsidRPr="00637A48">
        <w:rPr>
          <w:rFonts w:hint="cs"/>
          <w:rtl/>
        </w:rPr>
        <w:t xml:space="preserve">על פי </w:t>
      </w:r>
      <w:r w:rsidRPr="00637A48">
        <w:rPr>
          <w:rtl/>
        </w:rPr>
        <w:t xml:space="preserve">נתוני </w:t>
      </w:r>
      <w:r w:rsidRPr="00637A48">
        <w:rPr>
          <w:rFonts w:hint="cs"/>
          <w:rtl/>
        </w:rPr>
        <w:t>ה</w:t>
      </w:r>
      <w:r w:rsidRPr="00637A48">
        <w:rPr>
          <w:rFonts w:hint="eastAsia"/>
          <w:rtl/>
        </w:rPr>
        <w:t>למ</w:t>
      </w:r>
      <w:r w:rsidRPr="00637A48">
        <w:rPr>
          <w:rtl/>
        </w:rPr>
        <w:t xml:space="preserve">"ס מהסקר החברתי 2020, </w:t>
      </w:r>
      <w:r w:rsidRPr="00637A48">
        <w:rPr>
          <w:rFonts w:hint="eastAsia"/>
          <w:rtl/>
        </w:rPr>
        <w:t>בעיבוד</w:t>
      </w:r>
      <w:r w:rsidRPr="00637A48">
        <w:rPr>
          <w:rtl/>
        </w:rPr>
        <w:t xml:space="preserve"> </w:t>
      </w:r>
      <w:r w:rsidRPr="00637A48">
        <w:rPr>
          <w:rFonts w:hint="eastAsia"/>
          <w:rtl/>
        </w:rPr>
        <w:t>משרד</w:t>
      </w:r>
      <w:r w:rsidRPr="00637A48">
        <w:rPr>
          <w:rtl/>
        </w:rPr>
        <w:t xml:space="preserve"> </w:t>
      </w:r>
      <w:r w:rsidRPr="00637A48">
        <w:rPr>
          <w:rFonts w:hint="eastAsia"/>
          <w:rtl/>
        </w:rPr>
        <w:t>מבקר</w:t>
      </w:r>
      <w:r w:rsidRPr="00637A48">
        <w:rPr>
          <w:rtl/>
        </w:rPr>
        <w:t xml:space="preserve"> </w:t>
      </w:r>
      <w:r w:rsidRPr="00637A48">
        <w:rPr>
          <w:rFonts w:hint="eastAsia"/>
          <w:rtl/>
        </w:rPr>
        <w:t>המדינה</w:t>
      </w:r>
      <w:r w:rsidRPr="00637A48">
        <w:rPr>
          <w:rFonts w:hint="cs"/>
          <w:rtl/>
        </w:rPr>
        <w:t>.</w:t>
      </w:r>
    </w:p>
    <w:p w:rsidR="00BF1E3B" w:rsidRDefault="00DF6A0A" w:rsidP="00637A48">
      <w:pPr>
        <w:pStyle w:val="735"/>
        <w:rPr>
          <w:rFonts w:eastAsia="Calibri"/>
          <w:rtl/>
        </w:rPr>
      </w:pPr>
      <w:r>
        <w:rPr>
          <w:rFonts w:eastAsia="Calibri" w:hint="cs"/>
          <w:rtl/>
        </w:rPr>
        <w:t>כעולה מן התרשים,</w:t>
      </w:r>
      <w:r w:rsidRPr="00373CBE">
        <w:rPr>
          <w:rFonts w:eastAsia="Calibri" w:hint="cs"/>
          <w:rtl/>
        </w:rPr>
        <w:t xml:space="preserve"> בגילאי 75 ומעלה שיעור המשתמשים </w:t>
      </w:r>
      <w:r>
        <w:rPr>
          <w:rFonts w:eastAsia="Calibri" w:hint="cs"/>
          <w:rtl/>
        </w:rPr>
        <w:t xml:space="preserve">במרשתת יורד </w:t>
      </w:r>
      <w:r w:rsidRPr="00373CBE">
        <w:rPr>
          <w:rFonts w:eastAsia="Calibri" w:hint="cs"/>
          <w:rtl/>
        </w:rPr>
        <w:t>בעשרות אחוזים ועומד על 56%.</w:t>
      </w:r>
      <w:r>
        <w:rPr>
          <w:rFonts w:eastAsia="Calibri" w:hint="cs"/>
          <w:rtl/>
        </w:rPr>
        <w:t xml:space="preserve"> לעומת השימוש</w:t>
      </w:r>
      <w:r w:rsidRPr="00373CBE">
        <w:rPr>
          <w:rFonts w:eastAsia="Calibri" w:hint="cs"/>
          <w:rtl/>
        </w:rPr>
        <w:t xml:space="preserve"> בקרב אנשים בקבוצת הגיל 20 - 59 </w:t>
      </w:r>
      <w:r>
        <w:rPr>
          <w:rFonts w:eastAsia="Calibri" w:hint="cs"/>
          <w:rtl/>
        </w:rPr>
        <w:t>ש</w:t>
      </w:r>
      <w:r w:rsidRPr="00373CBE">
        <w:rPr>
          <w:rFonts w:eastAsia="Calibri" w:hint="cs"/>
          <w:rtl/>
        </w:rPr>
        <w:t>השימוש במרשתת הוא בממוצע 94%.</w:t>
      </w:r>
      <w:r w:rsidRPr="004F3ECD">
        <w:rPr>
          <w:rFonts w:eastAsia="Calibri" w:hint="cs"/>
          <w:rtl/>
        </w:rPr>
        <w:t xml:space="preserve"> </w:t>
      </w:r>
      <w:r w:rsidRPr="00373CBE">
        <w:rPr>
          <w:rFonts w:eastAsia="Calibri" w:hint="cs"/>
          <w:rtl/>
        </w:rPr>
        <w:t>בקבוצות הגיל:</w:t>
      </w:r>
      <w:r>
        <w:rPr>
          <w:rFonts w:eastAsia="Calibri" w:hint="cs"/>
          <w:rtl/>
        </w:rPr>
        <w:t xml:space="preserve"> 60 - 64 ו-65 - 74 </w:t>
      </w:r>
      <w:r w:rsidRPr="00373CBE">
        <w:rPr>
          <w:rFonts w:eastAsia="Calibri" w:hint="cs"/>
          <w:rtl/>
        </w:rPr>
        <w:t>שיעורי השימוש</w:t>
      </w:r>
      <w:r>
        <w:rPr>
          <w:rFonts w:eastAsia="Calibri" w:hint="cs"/>
          <w:rtl/>
        </w:rPr>
        <w:t xml:space="preserve"> הם</w:t>
      </w:r>
      <w:r w:rsidRPr="00373CBE">
        <w:rPr>
          <w:rFonts w:eastAsia="Calibri" w:hint="cs"/>
          <w:rtl/>
        </w:rPr>
        <w:t xml:space="preserve"> 87% ו-82% בהתאמה</w:t>
      </w:r>
      <w:r>
        <w:rPr>
          <w:rFonts w:eastAsia="Calibri" w:hint="cs"/>
          <w:rtl/>
        </w:rPr>
        <w:t>.</w:t>
      </w:r>
    </w:p>
    <w:p w:rsidR="00BF1E3B" w:rsidRDefault="00DF6A0A" w:rsidP="00C619CC">
      <w:pPr>
        <w:pStyle w:val="7392"/>
        <w:rPr>
          <w:rtl/>
        </w:rPr>
      </w:pPr>
      <w:r w:rsidRPr="00D46F5B">
        <w:rPr>
          <w:rFonts w:hint="cs"/>
          <w:rtl/>
        </w:rPr>
        <w:t xml:space="preserve">להלן בלוח </w:t>
      </w:r>
      <w:r>
        <w:rPr>
          <w:rFonts w:hint="cs"/>
          <w:rtl/>
        </w:rPr>
        <w:t xml:space="preserve">שימוש במרשתת לצריכת שירותי ממשל </w:t>
      </w:r>
      <w:r>
        <w:rPr>
          <w:rFonts w:hint="cs"/>
          <w:rtl/>
        </w:rPr>
        <w:t>בשנת 2021 על פי קבוצות גיל.</w:t>
      </w:r>
    </w:p>
    <w:p w:rsidR="004B203F" w:rsidRDefault="00DF6A0A">
      <w:pPr>
        <w:bidi w:val="0"/>
        <w:spacing w:after="200" w:line="276" w:lineRule="auto"/>
        <w:rPr>
          <w:rFonts w:ascii="Tahoma" w:eastAsiaTheme="minorEastAsia" w:hAnsi="Tahoma" w:cs="Tahoma"/>
          <w:color w:val="0D0D0D" w:themeColor="text1" w:themeTint="F2"/>
          <w:szCs w:val="20"/>
          <w:rtl/>
        </w:rPr>
      </w:pPr>
      <w:r>
        <w:rPr>
          <w:b/>
          <w:bCs/>
          <w:rtl/>
        </w:rPr>
        <w:br w:type="page"/>
      </w:r>
    </w:p>
    <w:p w:rsidR="00BF1E3B" w:rsidRDefault="00DF6A0A" w:rsidP="006A0ACD">
      <w:pPr>
        <w:pStyle w:val="738"/>
        <w:rPr>
          <w:rtl/>
        </w:rPr>
      </w:pPr>
      <w:r w:rsidRPr="006A0ACD">
        <w:rPr>
          <w:rFonts w:hint="cs"/>
          <w:b w:val="0"/>
          <w:bCs w:val="0"/>
          <w:rtl/>
        </w:rPr>
        <w:lastRenderedPageBreak/>
        <w:t>לוח</w:t>
      </w:r>
      <w:r w:rsidRPr="006A0ACD">
        <w:rPr>
          <w:b w:val="0"/>
          <w:bCs w:val="0"/>
          <w:rtl/>
        </w:rPr>
        <w:t xml:space="preserve"> </w:t>
      </w:r>
      <w:r w:rsidRPr="006A0ACD">
        <w:rPr>
          <w:rFonts w:hint="cs"/>
          <w:b w:val="0"/>
          <w:bCs w:val="0"/>
          <w:rtl/>
        </w:rPr>
        <w:t>6</w:t>
      </w:r>
      <w:r w:rsidRPr="006A0ACD">
        <w:rPr>
          <w:b w:val="0"/>
          <w:bCs w:val="0"/>
          <w:rtl/>
        </w:rPr>
        <w:t>:</w:t>
      </w:r>
      <w:r w:rsidRPr="006A0ACD">
        <w:rPr>
          <w:rtl/>
        </w:rPr>
        <w:t xml:space="preserve"> </w:t>
      </w:r>
      <w:r w:rsidRPr="006A0ACD">
        <w:rPr>
          <w:rFonts w:hint="eastAsia"/>
          <w:rtl/>
        </w:rPr>
        <w:t>צריכת</w:t>
      </w:r>
      <w:r w:rsidRPr="006A0ACD">
        <w:rPr>
          <w:rtl/>
        </w:rPr>
        <w:t xml:space="preserve"> </w:t>
      </w:r>
      <w:r w:rsidRPr="006A0ACD">
        <w:rPr>
          <w:rFonts w:hint="eastAsia"/>
          <w:rtl/>
        </w:rPr>
        <w:t>שירותי</w:t>
      </w:r>
      <w:r w:rsidRPr="006A0ACD">
        <w:rPr>
          <w:rtl/>
        </w:rPr>
        <w:t xml:space="preserve"> </w:t>
      </w:r>
      <w:r w:rsidRPr="006A0ACD">
        <w:rPr>
          <w:rFonts w:hint="eastAsia"/>
          <w:rtl/>
        </w:rPr>
        <w:t>ממשל</w:t>
      </w:r>
      <w:r w:rsidRPr="006A0ACD">
        <w:rPr>
          <w:rtl/>
        </w:rPr>
        <w:t xml:space="preserve"> </w:t>
      </w:r>
      <w:r w:rsidRPr="006A0ACD">
        <w:rPr>
          <w:rFonts w:hint="eastAsia"/>
          <w:rtl/>
        </w:rPr>
        <w:t>בישראל</w:t>
      </w:r>
      <w:r w:rsidRPr="006A0ACD">
        <w:rPr>
          <w:rtl/>
        </w:rPr>
        <w:t xml:space="preserve"> </w:t>
      </w:r>
      <w:r w:rsidRPr="006A0ACD">
        <w:rPr>
          <w:rFonts w:hint="eastAsia"/>
          <w:rtl/>
        </w:rPr>
        <w:t>באמצעות</w:t>
      </w:r>
      <w:r w:rsidRPr="006A0ACD">
        <w:rPr>
          <w:rtl/>
        </w:rPr>
        <w:t xml:space="preserve"> </w:t>
      </w:r>
      <w:r w:rsidRPr="006A0ACD">
        <w:rPr>
          <w:rFonts w:hint="eastAsia"/>
          <w:rtl/>
        </w:rPr>
        <w:t>המרשתת</w:t>
      </w:r>
      <w:r w:rsidRPr="006A0ACD">
        <w:rPr>
          <w:rtl/>
        </w:rPr>
        <w:t xml:space="preserve">, </w:t>
      </w:r>
      <w:r w:rsidRPr="006A0ACD">
        <w:rPr>
          <w:rFonts w:hint="eastAsia"/>
          <w:rtl/>
        </w:rPr>
        <w:t>בני</w:t>
      </w:r>
      <w:r w:rsidRPr="006A0ACD">
        <w:rPr>
          <w:rtl/>
        </w:rPr>
        <w:t xml:space="preserve"> 20 </w:t>
      </w:r>
      <w:r w:rsidRPr="006A0ACD">
        <w:rPr>
          <w:rFonts w:hint="eastAsia"/>
          <w:rtl/>
        </w:rPr>
        <w:t>ומעלה</w:t>
      </w:r>
      <w:r w:rsidRPr="006A0ACD">
        <w:rPr>
          <w:rtl/>
        </w:rPr>
        <w:t xml:space="preserve">, לפי קבוצות גיל </w:t>
      </w:r>
      <w:r w:rsidRPr="006A0ACD">
        <w:rPr>
          <w:rFonts w:hint="cs"/>
          <w:rtl/>
        </w:rPr>
        <w:t>(</w:t>
      </w:r>
      <w:r w:rsidRPr="006A0ACD">
        <w:rPr>
          <w:rFonts w:hint="eastAsia"/>
          <w:rtl/>
        </w:rPr>
        <w:t>באלפים</w:t>
      </w:r>
      <w:r w:rsidRPr="006A0ACD">
        <w:rPr>
          <w:rtl/>
        </w:rPr>
        <w:t xml:space="preserve"> ובאחוזים</w:t>
      </w:r>
      <w:r w:rsidRPr="006A0ACD">
        <w:rPr>
          <w:rFonts w:hint="cs"/>
          <w:rtl/>
        </w:rPr>
        <w:t>)</w:t>
      </w:r>
    </w:p>
    <w:tbl>
      <w:tblPr>
        <w:tblStyle w:val="a9"/>
        <w:bidiVisual/>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453"/>
        <w:gridCol w:w="2453"/>
        <w:gridCol w:w="2454"/>
      </w:tblGrid>
      <w:tr w:rsidR="007758ED" w:rsidTr="00637A48">
        <w:tc>
          <w:tcPr>
            <w:tcW w:w="2453" w:type="dxa"/>
            <w:shd w:val="clear" w:color="auto" w:fill="C8DCE4"/>
          </w:tcPr>
          <w:p w:rsidR="006A0ACD" w:rsidRPr="00637A48" w:rsidRDefault="00DF6A0A" w:rsidP="006A0ACD">
            <w:pPr>
              <w:pStyle w:val="73R"/>
              <w:rPr>
                <w:b/>
                <w:bCs/>
                <w:rtl/>
              </w:rPr>
            </w:pPr>
            <w:r w:rsidRPr="00637A48">
              <w:rPr>
                <w:rFonts w:hint="cs"/>
                <w:b/>
                <w:bCs/>
                <w:rtl/>
              </w:rPr>
              <w:t>קבוצות האוכלוסייה</w:t>
            </w:r>
          </w:p>
        </w:tc>
        <w:tc>
          <w:tcPr>
            <w:tcW w:w="2453" w:type="dxa"/>
            <w:shd w:val="clear" w:color="auto" w:fill="C8DCE4"/>
          </w:tcPr>
          <w:p w:rsidR="006A0ACD" w:rsidRPr="00637A48" w:rsidRDefault="00DF6A0A" w:rsidP="006A0ACD">
            <w:pPr>
              <w:pStyle w:val="73R"/>
              <w:rPr>
                <w:b/>
                <w:bCs/>
                <w:rtl/>
              </w:rPr>
            </w:pPr>
            <w:r w:rsidRPr="00637A48">
              <w:rPr>
                <w:rFonts w:hint="cs"/>
                <w:b/>
                <w:bCs/>
                <w:rtl/>
              </w:rPr>
              <w:t xml:space="preserve">בני 20 ומעלה </w:t>
            </w:r>
            <w:r w:rsidRPr="00637A48">
              <w:rPr>
                <w:b/>
                <w:bCs/>
                <w:rtl/>
              </w:rPr>
              <w:t>–</w:t>
            </w:r>
            <w:r w:rsidRPr="00637A48">
              <w:rPr>
                <w:rFonts w:hint="cs"/>
                <w:b/>
                <w:bCs/>
                <w:rtl/>
              </w:rPr>
              <w:t xml:space="preserve"> סך הכל באלפים</w:t>
            </w:r>
          </w:p>
        </w:tc>
        <w:tc>
          <w:tcPr>
            <w:tcW w:w="2454" w:type="dxa"/>
            <w:shd w:val="clear" w:color="auto" w:fill="C8DCE4"/>
          </w:tcPr>
          <w:p w:rsidR="006A0ACD" w:rsidRPr="00637A48" w:rsidRDefault="00DF6A0A" w:rsidP="006A0ACD">
            <w:pPr>
              <w:pStyle w:val="73R"/>
              <w:rPr>
                <w:b/>
                <w:bCs/>
                <w:rtl/>
              </w:rPr>
            </w:pPr>
            <w:r w:rsidRPr="00637A48">
              <w:rPr>
                <w:rFonts w:hint="cs"/>
                <w:b/>
                <w:bCs/>
                <w:rtl/>
              </w:rPr>
              <w:t>מהם: צרכו שירותי ממשל במרשתת</w:t>
            </w:r>
          </w:p>
        </w:tc>
      </w:tr>
      <w:tr w:rsidR="007758ED" w:rsidTr="00637A48">
        <w:tc>
          <w:tcPr>
            <w:tcW w:w="2453" w:type="dxa"/>
            <w:shd w:val="clear" w:color="auto" w:fill="DFECEF"/>
          </w:tcPr>
          <w:p w:rsidR="00637A48" w:rsidRPr="00637A48" w:rsidRDefault="00DF6A0A" w:rsidP="00637A48">
            <w:pPr>
              <w:pStyle w:val="73R"/>
              <w:rPr>
                <w:b/>
                <w:bCs/>
                <w:rtl/>
              </w:rPr>
            </w:pPr>
            <w:r w:rsidRPr="00637A48">
              <w:rPr>
                <w:rFonts w:hint="cs"/>
                <w:b/>
                <w:bCs/>
                <w:rtl/>
              </w:rPr>
              <w:t>סך כל האוכלוסייה בני 20 ומעלה בישראל</w:t>
            </w:r>
          </w:p>
        </w:tc>
        <w:tc>
          <w:tcPr>
            <w:tcW w:w="2453" w:type="dxa"/>
            <w:shd w:val="clear" w:color="auto" w:fill="DFECEF"/>
          </w:tcPr>
          <w:p w:rsidR="00637A48" w:rsidRPr="006A0ACD" w:rsidRDefault="00DF6A0A" w:rsidP="00637A48">
            <w:pPr>
              <w:pStyle w:val="73R"/>
              <w:rPr>
                <w:rtl/>
              </w:rPr>
            </w:pPr>
            <w:r w:rsidRPr="006A0ACD">
              <w:t>5,914</w:t>
            </w:r>
          </w:p>
        </w:tc>
        <w:tc>
          <w:tcPr>
            <w:tcW w:w="2454" w:type="dxa"/>
            <w:shd w:val="clear" w:color="auto" w:fill="DFECEF"/>
          </w:tcPr>
          <w:p w:rsidR="00637A48" w:rsidRPr="006A0ACD" w:rsidRDefault="00DF6A0A" w:rsidP="00637A48">
            <w:pPr>
              <w:pStyle w:val="73R"/>
              <w:rPr>
                <w:rtl/>
              </w:rPr>
            </w:pPr>
            <w:r w:rsidRPr="006A0ACD">
              <w:t>56.7%</w:t>
            </w:r>
          </w:p>
        </w:tc>
      </w:tr>
      <w:tr w:rsidR="007758ED" w:rsidTr="00637A48">
        <w:tc>
          <w:tcPr>
            <w:tcW w:w="2453" w:type="dxa"/>
            <w:shd w:val="clear" w:color="auto" w:fill="F0F8F9"/>
          </w:tcPr>
          <w:p w:rsidR="00637A48" w:rsidRPr="00637A48" w:rsidRDefault="00DF6A0A" w:rsidP="00637A48">
            <w:pPr>
              <w:pStyle w:val="73R"/>
              <w:rPr>
                <w:b/>
                <w:bCs/>
                <w:rtl/>
              </w:rPr>
            </w:pPr>
            <w:r w:rsidRPr="00637A48">
              <w:rPr>
                <w:b/>
                <w:bCs/>
                <w:rtl/>
              </w:rPr>
              <w:t xml:space="preserve">על </w:t>
            </w:r>
            <w:r w:rsidRPr="00637A48">
              <w:rPr>
                <w:b/>
                <w:bCs/>
                <w:rtl/>
              </w:rPr>
              <w:t>פי קבוצות גיל</w:t>
            </w:r>
          </w:p>
        </w:tc>
        <w:tc>
          <w:tcPr>
            <w:tcW w:w="2453" w:type="dxa"/>
            <w:shd w:val="clear" w:color="auto" w:fill="F0F8F9"/>
          </w:tcPr>
          <w:p w:rsidR="00637A48" w:rsidRPr="006A0ACD" w:rsidRDefault="00637A48" w:rsidP="00637A48">
            <w:pPr>
              <w:pStyle w:val="73R"/>
              <w:rPr>
                <w:rtl/>
              </w:rPr>
            </w:pPr>
          </w:p>
        </w:tc>
        <w:tc>
          <w:tcPr>
            <w:tcW w:w="2454" w:type="dxa"/>
            <w:shd w:val="clear" w:color="auto" w:fill="F0F8F9"/>
          </w:tcPr>
          <w:p w:rsidR="00637A48" w:rsidRPr="006A0ACD" w:rsidRDefault="00637A48" w:rsidP="00637A48">
            <w:pPr>
              <w:pStyle w:val="73R"/>
              <w:rPr>
                <w:rtl/>
              </w:rPr>
            </w:pPr>
          </w:p>
        </w:tc>
      </w:tr>
      <w:tr w:rsidR="007758ED" w:rsidTr="00637A48">
        <w:tc>
          <w:tcPr>
            <w:tcW w:w="2453" w:type="dxa"/>
            <w:shd w:val="clear" w:color="auto" w:fill="DFECEF"/>
          </w:tcPr>
          <w:p w:rsidR="00637A48" w:rsidRPr="006A0ACD" w:rsidRDefault="00DF6A0A" w:rsidP="00637A48">
            <w:pPr>
              <w:pStyle w:val="73R"/>
              <w:rPr>
                <w:rtl/>
              </w:rPr>
            </w:pPr>
            <w:r w:rsidRPr="006A0ACD">
              <w:t>24 - 20</w:t>
            </w:r>
          </w:p>
        </w:tc>
        <w:tc>
          <w:tcPr>
            <w:tcW w:w="2453" w:type="dxa"/>
            <w:shd w:val="clear" w:color="auto" w:fill="DFECEF"/>
          </w:tcPr>
          <w:p w:rsidR="00637A48" w:rsidRPr="006A0ACD" w:rsidRDefault="00DF6A0A" w:rsidP="00637A48">
            <w:pPr>
              <w:pStyle w:val="73R"/>
              <w:rPr>
                <w:rtl/>
              </w:rPr>
            </w:pPr>
            <w:r w:rsidRPr="006A0ACD">
              <w:t>670</w:t>
            </w:r>
          </w:p>
        </w:tc>
        <w:tc>
          <w:tcPr>
            <w:tcW w:w="2454" w:type="dxa"/>
            <w:shd w:val="clear" w:color="auto" w:fill="DFECEF"/>
          </w:tcPr>
          <w:p w:rsidR="00637A48" w:rsidRPr="006A0ACD" w:rsidRDefault="00DF6A0A" w:rsidP="00637A48">
            <w:pPr>
              <w:pStyle w:val="73R"/>
              <w:rPr>
                <w:rtl/>
              </w:rPr>
            </w:pPr>
            <w:r w:rsidRPr="006A0ACD">
              <w:t>55%</w:t>
            </w:r>
          </w:p>
        </w:tc>
      </w:tr>
      <w:tr w:rsidR="007758ED" w:rsidTr="00637A48">
        <w:tc>
          <w:tcPr>
            <w:tcW w:w="2453" w:type="dxa"/>
            <w:shd w:val="clear" w:color="auto" w:fill="F0F8F9"/>
          </w:tcPr>
          <w:p w:rsidR="00637A48" w:rsidRPr="006A0ACD" w:rsidRDefault="00DF6A0A" w:rsidP="00637A48">
            <w:pPr>
              <w:pStyle w:val="73R"/>
              <w:rPr>
                <w:rtl/>
              </w:rPr>
            </w:pPr>
            <w:r w:rsidRPr="006A0ACD">
              <w:t>44 - 25</w:t>
            </w:r>
          </w:p>
        </w:tc>
        <w:tc>
          <w:tcPr>
            <w:tcW w:w="2453" w:type="dxa"/>
            <w:shd w:val="clear" w:color="auto" w:fill="F0F8F9"/>
          </w:tcPr>
          <w:p w:rsidR="00637A48" w:rsidRPr="006A0ACD" w:rsidRDefault="00DF6A0A" w:rsidP="00637A48">
            <w:pPr>
              <w:pStyle w:val="73R"/>
              <w:rPr>
                <w:rtl/>
              </w:rPr>
            </w:pPr>
            <w:r w:rsidRPr="006A0ACD">
              <w:t>2,371</w:t>
            </w:r>
          </w:p>
        </w:tc>
        <w:tc>
          <w:tcPr>
            <w:tcW w:w="2454" w:type="dxa"/>
            <w:shd w:val="clear" w:color="auto" w:fill="F0F8F9"/>
          </w:tcPr>
          <w:p w:rsidR="00637A48" w:rsidRPr="006A0ACD" w:rsidRDefault="00DF6A0A" w:rsidP="00637A48">
            <w:pPr>
              <w:pStyle w:val="73R"/>
              <w:rPr>
                <w:rtl/>
              </w:rPr>
            </w:pPr>
            <w:r w:rsidRPr="006A0ACD">
              <w:t>66%</w:t>
            </w:r>
          </w:p>
        </w:tc>
      </w:tr>
      <w:tr w:rsidR="007758ED" w:rsidTr="00637A48">
        <w:tc>
          <w:tcPr>
            <w:tcW w:w="2453" w:type="dxa"/>
            <w:shd w:val="clear" w:color="auto" w:fill="DFECEF"/>
          </w:tcPr>
          <w:p w:rsidR="00637A48" w:rsidRPr="006A0ACD" w:rsidRDefault="00DF6A0A" w:rsidP="00637A48">
            <w:pPr>
              <w:pStyle w:val="73R"/>
              <w:rPr>
                <w:rtl/>
              </w:rPr>
            </w:pPr>
            <w:r w:rsidRPr="006A0ACD">
              <w:t>64 - 45</w:t>
            </w:r>
          </w:p>
        </w:tc>
        <w:tc>
          <w:tcPr>
            <w:tcW w:w="2453" w:type="dxa"/>
            <w:shd w:val="clear" w:color="auto" w:fill="DFECEF"/>
          </w:tcPr>
          <w:p w:rsidR="00637A48" w:rsidRPr="006A0ACD" w:rsidRDefault="00DF6A0A" w:rsidP="00637A48">
            <w:pPr>
              <w:pStyle w:val="73R"/>
              <w:rPr>
                <w:rtl/>
              </w:rPr>
            </w:pPr>
            <w:r w:rsidRPr="006A0ACD">
              <w:t>1,764</w:t>
            </w:r>
          </w:p>
        </w:tc>
        <w:tc>
          <w:tcPr>
            <w:tcW w:w="2454" w:type="dxa"/>
            <w:shd w:val="clear" w:color="auto" w:fill="DFECEF"/>
          </w:tcPr>
          <w:p w:rsidR="00637A48" w:rsidRPr="006A0ACD" w:rsidRDefault="00DF6A0A" w:rsidP="00637A48">
            <w:pPr>
              <w:pStyle w:val="73R"/>
              <w:rPr>
                <w:rtl/>
              </w:rPr>
            </w:pPr>
            <w:r w:rsidRPr="006A0ACD">
              <w:t>59%</w:t>
            </w:r>
          </w:p>
        </w:tc>
      </w:tr>
      <w:tr w:rsidR="007758ED" w:rsidTr="00637A48">
        <w:tc>
          <w:tcPr>
            <w:tcW w:w="2453" w:type="dxa"/>
            <w:shd w:val="clear" w:color="auto" w:fill="F0F8F9"/>
          </w:tcPr>
          <w:p w:rsidR="00637A48" w:rsidRPr="006A0ACD" w:rsidRDefault="00DF6A0A" w:rsidP="00637A48">
            <w:pPr>
              <w:pStyle w:val="73R"/>
              <w:rPr>
                <w:rtl/>
              </w:rPr>
            </w:pPr>
            <w:r w:rsidRPr="006A0ACD">
              <w:t>74 - 65</w:t>
            </w:r>
          </w:p>
        </w:tc>
        <w:tc>
          <w:tcPr>
            <w:tcW w:w="2453" w:type="dxa"/>
            <w:shd w:val="clear" w:color="auto" w:fill="F0F8F9"/>
          </w:tcPr>
          <w:p w:rsidR="00637A48" w:rsidRPr="006A0ACD" w:rsidRDefault="00DF6A0A" w:rsidP="00637A48">
            <w:pPr>
              <w:pStyle w:val="73R"/>
              <w:rPr>
                <w:rtl/>
              </w:rPr>
            </w:pPr>
            <w:r w:rsidRPr="006A0ACD">
              <w:t>695</w:t>
            </w:r>
          </w:p>
        </w:tc>
        <w:tc>
          <w:tcPr>
            <w:tcW w:w="2454" w:type="dxa"/>
            <w:shd w:val="clear" w:color="auto" w:fill="F0F8F9"/>
          </w:tcPr>
          <w:p w:rsidR="00637A48" w:rsidRPr="006A0ACD" w:rsidRDefault="00DF6A0A" w:rsidP="00637A48">
            <w:pPr>
              <w:pStyle w:val="73R"/>
              <w:rPr>
                <w:rtl/>
              </w:rPr>
            </w:pPr>
            <w:r w:rsidRPr="006A0ACD">
              <w:t>41%</w:t>
            </w:r>
          </w:p>
        </w:tc>
      </w:tr>
      <w:tr w:rsidR="007758ED" w:rsidTr="00637A48">
        <w:tc>
          <w:tcPr>
            <w:tcW w:w="2453" w:type="dxa"/>
            <w:shd w:val="clear" w:color="auto" w:fill="DFECEF"/>
          </w:tcPr>
          <w:p w:rsidR="00637A48" w:rsidRPr="006A0ACD" w:rsidRDefault="00DF6A0A" w:rsidP="00637A48">
            <w:pPr>
              <w:pStyle w:val="73R"/>
              <w:rPr>
                <w:rtl/>
              </w:rPr>
            </w:pPr>
            <w:r w:rsidRPr="006A0ACD">
              <w:rPr>
                <w:rtl/>
              </w:rPr>
              <w:t>75 ומעלה</w:t>
            </w:r>
          </w:p>
        </w:tc>
        <w:tc>
          <w:tcPr>
            <w:tcW w:w="2453" w:type="dxa"/>
            <w:shd w:val="clear" w:color="auto" w:fill="DFECEF"/>
          </w:tcPr>
          <w:p w:rsidR="00637A48" w:rsidRPr="006A0ACD" w:rsidRDefault="00DF6A0A" w:rsidP="00637A48">
            <w:pPr>
              <w:pStyle w:val="73R"/>
              <w:rPr>
                <w:rtl/>
              </w:rPr>
            </w:pPr>
            <w:r w:rsidRPr="006A0ACD">
              <w:t>412</w:t>
            </w:r>
          </w:p>
        </w:tc>
        <w:tc>
          <w:tcPr>
            <w:tcW w:w="2454" w:type="dxa"/>
            <w:shd w:val="clear" w:color="auto" w:fill="DFECEF"/>
          </w:tcPr>
          <w:p w:rsidR="00637A48" w:rsidRPr="006A0ACD" w:rsidRDefault="00DF6A0A" w:rsidP="00637A48">
            <w:pPr>
              <w:pStyle w:val="73R"/>
              <w:rPr>
                <w:rtl/>
              </w:rPr>
            </w:pPr>
            <w:r>
              <w:rPr>
                <w:rFonts w:hint="cs"/>
                <w:rtl/>
              </w:rPr>
              <w:t>24%</w:t>
            </w:r>
          </w:p>
        </w:tc>
      </w:tr>
    </w:tbl>
    <w:p w:rsidR="00BF1E3B" w:rsidRPr="006A0ACD" w:rsidRDefault="00DF6A0A" w:rsidP="006A0ACD">
      <w:pPr>
        <w:pStyle w:val="73e"/>
        <w:rPr>
          <w:rtl/>
        </w:rPr>
      </w:pPr>
      <w:r w:rsidRPr="006A0ACD">
        <w:rPr>
          <w:rFonts w:hint="cs"/>
          <w:rtl/>
        </w:rPr>
        <w:t xml:space="preserve">על פי </w:t>
      </w:r>
      <w:r w:rsidRPr="006A0ACD">
        <w:rPr>
          <w:rtl/>
        </w:rPr>
        <w:t xml:space="preserve">נתוני </w:t>
      </w:r>
      <w:r w:rsidRPr="006A0ACD">
        <w:rPr>
          <w:rFonts w:hint="cs"/>
          <w:rtl/>
        </w:rPr>
        <w:t>ה</w:t>
      </w:r>
      <w:r w:rsidRPr="006A0ACD">
        <w:rPr>
          <w:rtl/>
        </w:rPr>
        <w:t>למ"ס, הסקר החברתי 2021, בעיבוד משרד מבקר המדינה.</w:t>
      </w:r>
    </w:p>
    <w:p w:rsidR="00BF1E3B" w:rsidRPr="006A0ACD" w:rsidRDefault="00DF6A0A" w:rsidP="006A0ACD">
      <w:pPr>
        <w:pStyle w:val="735"/>
        <w:rPr>
          <w:rtl/>
        </w:rPr>
      </w:pPr>
      <w:r w:rsidRPr="006A0ACD">
        <w:rPr>
          <w:rFonts w:hint="cs"/>
          <w:rtl/>
        </w:rPr>
        <w:t xml:space="preserve">כעולה מן הלוח, שיעורי השימוש במרשתת לצריכת שירותי ממשל נמוכים באופן משמעותי בקרב בני 65 ומעלה בהשוואה לשיעורי השימוש בקרב שלוש קבוצות הגיל הצעירות יותר: בקרב שלוש קבוצות הגיל הצעירות יותר השיעורים נעים בין 55% ל-66%, ואילו בקרב בני 65 - 74 השיעורים לצריכת </w:t>
      </w:r>
      <w:r w:rsidRPr="006A0ACD">
        <w:rPr>
          <w:rFonts w:hint="cs"/>
          <w:rtl/>
        </w:rPr>
        <w:t xml:space="preserve">שירותי ממשל במרשתת יורדים ל-41% והחל מגיל 75 ומעלה הם יורדים ל-24%. </w:t>
      </w:r>
    </w:p>
    <w:p w:rsidR="00BF1E3B" w:rsidRPr="00373CBE" w:rsidRDefault="00DF6A0A" w:rsidP="00C619CC">
      <w:pPr>
        <w:pStyle w:val="7392"/>
        <w:rPr>
          <w:rtl/>
        </w:rPr>
      </w:pPr>
      <w:r w:rsidRPr="00C619CC">
        <w:rPr>
          <w:rStyle w:val="7371"/>
          <w:rFonts w:hint="eastAsia"/>
          <w:rtl/>
        </w:rPr>
        <w:t>שימוש</w:t>
      </w:r>
      <w:r w:rsidRPr="00C619CC">
        <w:rPr>
          <w:rStyle w:val="7371"/>
          <w:rtl/>
        </w:rPr>
        <w:t xml:space="preserve"> </w:t>
      </w:r>
      <w:r w:rsidRPr="00C619CC">
        <w:rPr>
          <w:rStyle w:val="7371"/>
          <w:rFonts w:hint="eastAsia"/>
          <w:rtl/>
        </w:rPr>
        <w:t>במרשתת</w:t>
      </w:r>
      <w:r w:rsidRPr="00C619CC">
        <w:rPr>
          <w:rStyle w:val="7371"/>
          <w:rtl/>
        </w:rPr>
        <w:t xml:space="preserve"> </w:t>
      </w:r>
      <w:r w:rsidRPr="00C619CC">
        <w:rPr>
          <w:rStyle w:val="7371"/>
          <w:rFonts w:hint="eastAsia"/>
          <w:rtl/>
        </w:rPr>
        <w:t>בחברה</w:t>
      </w:r>
      <w:r w:rsidRPr="00C619CC">
        <w:rPr>
          <w:rStyle w:val="7371"/>
          <w:rtl/>
        </w:rPr>
        <w:t xml:space="preserve"> </w:t>
      </w:r>
      <w:r w:rsidRPr="00C619CC">
        <w:rPr>
          <w:rStyle w:val="7371"/>
          <w:rFonts w:hint="eastAsia"/>
          <w:rtl/>
        </w:rPr>
        <w:t>היהודית</w:t>
      </w:r>
      <w:r w:rsidRPr="00C619CC">
        <w:rPr>
          <w:rStyle w:val="7371"/>
          <w:rtl/>
        </w:rPr>
        <w:t xml:space="preserve"> </w:t>
      </w:r>
      <w:r w:rsidRPr="00C619CC">
        <w:rPr>
          <w:rStyle w:val="7371"/>
          <w:rFonts w:hint="eastAsia"/>
          <w:rtl/>
        </w:rPr>
        <w:t>לפי</w:t>
      </w:r>
      <w:r w:rsidRPr="00C619CC">
        <w:rPr>
          <w:rStyle w:val="7371"/>
          <w:rtl/>
        </w:rPr>
        <w:t xml:space="preserve"> </w:t>
      </w:r>
      <w:r w:rsidRPr="00C619CC">
        <w:rPr>
          <w:rStyle w:val="7371"/>
          <w:rFonts w:hint="cs"/>
          <w:rtl/>
        </w:rPr>
        <w:t>ה</w:t>
      </w:r>
      <w:r w:rsidRPr="00C619CC">
        <w:rPr>
          <w:rStyle w:val="7371"/>
          <w:rFonts w:hint="eastAsia"/>
          <w:rtl/>
        </w:rPr>
        <w:t>רמ</w:t>
      </w:r>
      <w:r w:rsidRPr="00C619CC">
        <w:rPr>
          <w:rStyle w:val="7371"/>
          <w:rFonts w:hint="cs"/>
          <w:rtl/>
        </w:rPr>
        <w:t>ה</w:t>
      </w:r>
      <w:r w:rsidRPr="00C619CC">
        <w:rPr>
          <w:rStyle w:val="7371"/>
          <w:rtl/>
        </w:rPr>
        <w:t xml:space="preserve"> </w:t>
      </w:r>
      <w:r w:rsidRPr="00C619CC">
        <w:rPr>
          <w:rStyle w:val="7371"/>
          <w:rFonts w:hint="cs"/>
          <w:rtl/>
        </w:rPr>
        <w:t>ה</w:t>
      </w:r>
      <w:r w:rsidRPr="00C619CC">
        <w:rPr>
          <w:rStyle w:val="7371"/>
          <w:rFonts w:hint="eastAsia"/>
          <w:rtl/>
        </w:rPr>
        <w:t>דתית</w:t>
      </w:r>
      <w:r w:rsidRPr="00D2614B">
        <w:rPr>
          <w:rStyle w:val="50"/>
          <w:rFonts w:eastAsiaTheme="majorEastAsia" w:hint="cs"/>
          <w:rtl/>
        </w:rPr>
        <w:t>:</w:t>
      </w:r>
      <w:r>
        <w:rPr>
          <w:rFonts w:hint="cs"/>
          <w:rtl/>
        </w:rPr>
        <w:t xml:space="preserve"> נמצא כי ק</w:t>
      </w:r>
      <w:r w:rsidRPr="00373CBE">
        <w:rPr>
          <w:rFonts w:hint="cs"/>
          <w:rtl/>
        </w:rPr>
        <w:t xml:space="preserve">יימת שונות בשיעור השימוש במרשתת בקרב קבוצות אוכלוסייה מן החברה היהודית לפי </w:t>
      </w:r>
      <w:r>
        <w:rPr>
          <w:rFonts w:hint="cs"/>
          <w:rtl/>
        </w:rPr>
        <w:t>ה</w:t>
      </w:r>
      <w:r w:rsidRPr="00373CBE">
        <w:rPr>
          <w:rFonts w:hint="cs"/>
          <w:rtl/>
        </w:rPr>
        <w:t>רמ</w:t>
      </w:r>
      <w:r>
        <w:rPr>
          <w:rFonts w:hint="cs"/>
          <w:rtl/>
        </w:rPr>
        <w:t>ה</w:t>
      </w:r>
      <w:r w:rsidRPr="00373CBE">
        <w:rPr>
          <w:rFonts w:hint="cs"/>
          <w:rtl/>
        </w:rPr>
        <w:t xml:space="preserve"> הדתית המוצהרת. </w:t>
      </w:r>
      <w:r>
        <w:rPr>
          <w:rFonts w:hint="cs"/>
          <w:rtl/>
        </w:rPr>
        <w:t xml:space="preserve">להלן </w:t>
      </w:r>
      <w:r w:rsidRPr="004816F2">
        <w:rPr>
          <w:rFonts w:hint="eastAsia"/>
          <w:rtl/>
        </w:rPr>
        <w:t>בתרשים</w:t>
      </w:r>
      <w:r w:rsidRPr="004816F2">
        <w:rPr>
          <w:rtl/>
        </w:rPr>
        <w:t xml:space="preserve"> </w:t>
      </w:r>
      <w:r w:rsidRPr="00373CBE">
        <w:rPr>
          <w:rFonts w:hint="cs"/>
          <w:rtl/>
        </w:rPr>
        <w:t xml:space="preserve">שיעור השימוש במרשתת </w:t>
      </w:r>
      <w:r w:rsidRPr="00373CBE">
        <w:rPr>
          <w:rFonts w:hint="cs"/>
          <w:rtl/>
        </w:rPr>
        <w:t>באוכלוסייה היהודית</w:t>
      </w:r>
      <w:r>
        <w:rPr>
          <w:rFonts w:hint="cs"/>
          <w:rtl/>
        </w:rPr>
        <w:t xml:space="preserve"> מגיל 20 ומעלה</w:t>
      </w:r>
      <w:r w:rsidRPr="00373CBE">
        <w:rPr>
          <w:rFonts w:hint="cs"/>
          <w:rtl/>
        </w:rPr>
        <w:t xml:space="preserve"> על פי רמת דתיות, נכון לשנת 2020. </w:t>
      </w:r>
    </w:p>
    <w:p w:rsidR="00BF1E3B" w:rsidRPr="006A0ACD" w:rsidRDefault="00DF6A0A" w:rsidP="006A0ACD">
      <w:pPr>
        <w:pStyle w:val="738"/>
        <w:rPr>
          <w:rtl/>
        </w:rPr>
      </w:pPr>
      <w:r w:rsidRPr="006A0ACD">
        <w:rPr>
          <w:b w:val="0"/>
          <w:bCs w:val="0"/>
          <w:rtl/>
        </w:rPr>
        <w:lastRenderedPageBreak/>
        <w:t>תרשים</w:t>
      </w:r>
      <w:r w:rsidRPr="006A0ACD">
        <w:rPr>
          <w:rFonts w:hint="cs"/>
          <w:b w:val="0"/>
          <w:bCs w:val="0"/>
          <w:rtl/>
        </w:rPr>
        <w:t xml:space="preserve"> 22:</w:t>
      </w:r>
      <w:r w:rsidRPr="006A0ACD">
        <w:rPr>
          <w:rFonts w:hint="cs"/>
          <w:rtl/>
        </w:rPr>
        <w:t xml:space="preserve"> </w:t>
      </w:r>
      <w:r w:rsidRPr="006A0ACD">
        <w:rPr>
          <w:rtl/>
        </w:rPr>
        <w:t>יהודים בני 20 ומעלה המשתמשים ב</w:t>
      </w:r>
      <w:r w:rsidRPr="006A0ACD">
        <w:rPr>
          <w:rFonts w:hint="cs"/>
          <w:rtl/>
        </w:rPr>
        <w:t>מרשתת</w:t>
      </w:r>
      <w:r w:rsidRPr="006A0ACD">
        <w:rPr>
          <w:rtl/>
        </w:rPr>
        <w:t xml:space="preserve">, </w:t>
      </w:r>
      <w:r w:rsidR="006A0ACD">
        <w:rPr>
          <w:rtl/>
        </w:rPr>
        <w:br/>
      </w:r>
      <w:r w:rsidRPr="006A0ACD">
        <w:rPr>
          <w:rtl/>
        </w:rPr>
        <w:t xml:space="preserve">לפי רמת דתיות, 2020 </w:t>
      </w:r>
    </w:p>
    <w:p w:rsidR="00BF1E3B" w:rsidRDefault="00DF6A0A" w:rsidP="00BF1E3B">
      <w:pPr>
        <w:rPr>
          <w:rFonts w:ascii="David" w:eastAsia="Calibri" w:hAnsi="David"/>
          <w:b/>
          <w:bCs/>
          <w:rtl/>
        </w:rPr>
      </w:pPr>
      <w:r>
        <w:rPr>
          <w:noProof/>
        </w:rPr>
        <mc:AlternateContent>
          <mc:Choice Requires="wps">
            <w:drawing>
              <wp:anchor distT="0" distB="0" distL="114300" distR="114300" simplePos="0" relativeHeight="251741184" behindDoc="0" locked="0" layoutInCell="1" allowOverlap="1">
                <wp:simplePos x="0" y="0"/>
                <wp:positionH relativeFrom="column">
                  <wp:posOffset>3196590</wp:posOffset>
                </wp:positionH>
                <wp:positionV relativeFrom="paragraph">
                  <wp:posOffset>487680</wp:posOffset>
                </wp:positionV>
                <wp:extent cx="1143000" cy="571500"/>
                <wp:effectExtent l="0" t="0" r="76200" b="57150"/>
                <wp:wrapNone/>
                <wp:docPr id="2052770948" name="מחבר חץ ישר 2052770948"/>
                <wp:cNvGraphicFramePr/>
                <a:graphic xmlns:a="http://schemas.openxmlformats.org/drawingml/2006/main">
                  <a:graphicData uri="http://schemas.microsoft.com/office/word/2010/wordprocessingShape">
                    <wps:wsp>
                      <wps:cNvCnPr/>
                      <wps:spPr>
                        <a:xfrm>
                          <a:off x="0" y="0"/>
                          <a:ext cx="1143000" cy="5715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מחבר חץ ישר 2052770948" o:spid="_x0000_s1061" type="#_x0000_t32" style="width:90pt;height:45pt;margin-top:38.4pt;margin-left:251.7pt;mso-wrap-distance-bottom:0;mso-wrap-distance-left:9pt;mso-wrap-distance-right:9pt;mso-wrap-distance-top:0;mso-wrap-style:square;position:absolute;visibility:visible;z-index:251742208" strokecolor="#2683c6" strokeweight="1.5pt">
                <v:stroke endarrow="block"/>
              </v:shape>
            </w:pict>
          </mc:Fallback>
        </mc:AlternateContent>
      </w:r>
      <w:r w:rsidRPr="00BF1E3B">
        <w:rPr>
          <w:noProof/>
        </w:rPr>
        <w:drawing>
          <wp:inline distT="0" distB="0" distL="0" distR="0">
            <wp:extent cx="4613447" cy="2251801"/>
            <wp:effectExtent l="0" t="0" r="0" b="0"/>
            <wp:docPr id="30" name="תמונה 30" descr="בקטע המלל שלאחר התרשים יש תיאור של הממצא העולה ממנו. יצוין עוד כי מן התרשים עולה כי שיעור המשתמשים במרשתת בקרב יהודים חילוניים הוא 96%, ובקרב יהודים מסורתיים ויהודים דתיים השיעורים שווים ועומדים על 9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תמונה 30"/>
                    <pic:cNvPicPr/>
                  </pic:nvPicPr>
                  <pic:blipFill>
                    <a:blip r:embed="rId75">
                      <a:extLst>
                        <a:ext uri="{28A0092B-C50C-407E-A947-70E740481C1C}">
                          <a14:useLocalDpi xmlns:a14="http://schemas.microsoft.com/office/drawing/2010/main" val="0"/>
                        </a:ext>
                      </a:extLst>
                    </a:blip>
                    <a:stretch>
                      <a:fillRect/>
                    </a:stretch>
                  </pic:blipFill>
                  <pic:spPr>
                    <a:xfrm>
                      <a:off x="0" y="0"/>
                      <a:ext cx="4617397" cy="2253729"/>
                    </a:xfrm>
                    <a:prstGeom prst="rect">
                      <a:avLst/>
                    </a:prstGeom>
                    <a:ln>
                      <a:noFill/>
                    </a:ln>
                  </pic:spPr>
                </pic:pic>
              </a:graphicData>
            </a:graphic>
          </wp:inline>
        </w:drawing>
      </w:r>
    </w:p>
    <w:p w:rsidR="00BF1E3B" w:rsidRPr="006A0ACD" w:rsidRDefault="00DF6A0A" w:rsidP="006A0ACD">
      <w:pPr>
        <w:pStyle w:val="73e"/>
        <w:rPr>
          <w:rtl/>
        </w:rPr>
      </w:pPr>
      <w:r w:rsidRPr="006A0ACD">
        <w:rPr>
          <w:rFonts w:hint="cs"/>
          <w:rtl/>
        </w:rPr>
        <w:t>על פי נתוני</w:t>
      </w:r>
      <w:r w:rsidRPr="006A0ACD">
        <w:rPr>
          <w:rtl/>
        </w:rPr>
        <w:t xml:space="preserve"> </w:t>
      </w:r>
      <w:r w:rsidRPr="006A0ACD">
        <w:rPr>
          <w:rFonts w:hint="cs"/>
          <w:rtl/>
        </w:rPr>
        <w:t>ה</w:t>
      </w:r>
      <w:r w:rsidRPr="006A0ACD">
        <w:rPr>
          <w:rFonts w:hint="eastAsia"/>
          <w:rtl/>
        </w:rPr>
        <w:t>למ</w:t>
      </w:r>
      <w:r w:rsidRPr="006A0ACD">
        <w:rPr>
          <w:rtl/>
        </w:rPr>
        <w:t xml:space="preserve">"ס </w:t>
      </w:r>
      <w:r w:rsidRPr="006A0ACD">
        <w:rPr>
          <w:rFonts w:hint="eastAsia"/>
          <w:rtl/>
        </w:rPr>
        <w:t>מ</w:t>
      </w:r>
      <w:r w:rsidRPr="006A0ACD">
        <w:rPr>
          <w:rtl/>
        </w:rPr>
        <w:t xml:space="preserve">הסקר החברתי לשנת 2020, </w:t>
      </w:r>
      <w:r w:rsidRPr="006A0ACD">
        <w:rPr>
          <w:rFonts w:hint="eastAsia"/>
          <w:rtl/>
        </w:rPr>
        <w:t>בעיבוד</w:t>
      </w:r>
      <w:r w:rsidRPr="006A0ACD">
        <w:rPr>
          <w:rtl/>
        </w:rPr>
        <w:t xml:space="preserve"> </w:t>
      </w:r>
      <w:r w:rsidRPr="006A0ACD">
        <w:rPr>
          <w:rFonts w:hint="eastAsia"/>
          <w:rtl/>
        </w:rPr>
        <w:t>משרד</w:t>
      </w:r>
      <w:r w:rsidRPr="006A0ACD">
        <w:rPr>
          <w:rtl/>
        </w:rPr>
        <w:t xml:space="preserve"> </w:t>
      </w:r>
      <w:r w:rsidRPr="006A0ACD">
        <w:rPr>
          <w:rFonts w:hint="eastAsia"/>
          <w:rtl/>
        </w:rPr>
        <w:t>מבקר</w:t>
      </w:r>
      <w:r w:rsidRPr="006A0ACD">
        <w:rPr>
          <w:rtl/>
        </w:rPr>
        <w:t xml:space="preserve"> </w:t>
      </w:r>
      <w:r w:rsidRPr="006A0ACD">
        <w:rPr>
          <w:rFonts w:hint="eastAsia"/>
          <w:rtl/>
        </w:rPr>
        <w:t>המדינה</w:t>
      </w:r>
      <w:r w:rsidRPr="006A0ACD">
        <w:rPr>
          <w:rFonts w:hint="cs"/>
          <w:rtl/>
        </w:rPr>
        <w:t>.</w:t>
      </w:r>
    </w:p>
    <w:p w:rsidR="00BF1E3B" w:rsidRPr="006A0ACD" w:rsidRDefault="00DF6A0A" w:rsidP="006A0ACD">
      <w:pPr>
        <w:pStyle w:val="735"/>
        <w:rPr>
          <w:rFonts w:eastAsia="Calibri"/>
          <w:rtl/>
        </w:rPr>
      </w:pPr>
      <w:r w:rsidRPr="006A0ACD">
        <w:rPr>
          <w:rFonts w:eastAsia="Calibri" w:hint="cs"/>
          <w:rtl/>
        </w:rPr>
        <w:t xml:space="preserve">עולה מן התרשים כי בחברה היהודית-חרדית רק שני שליש (64%) מבני ה-20 ומעלה משתמשים במרשתת, בהשוואה לשיעורים הגבוהים מ-90% בקרב יהודים דתיים, מסורתיים וחילונים. </w:t>
      </w:r>
    </w:p>
    <w:p w:rsidR="00BF1E3B" w:rsidRDefault="00DF6A0A" w:rsidP="00C619CC">
      <w:pPr>
        <w:pStyle w:val="7392"/>
        <w:rPr>
          <w:rtl/>
        </w:rPr>
      </w:pPr>
      <w:r>
        <w:rPr>
          <w:rFonts w:hint="cs"/>
          <w:rtl/>
        </w:rPr>
        <w:t xml:space="preserve">להלן </w:t>
      </w:r>
      <w:r w:rsidRPr="00176911">
        <w:rPr>
          <w:rFonts w:hint="eastAsia"/>
          <w:rtl/>
        </w:rPr>
        <w:t>בלוח</w:t>
      </w:r>
      <w:r w:rsidRPr="00176911">
        <w:rPr>
          <w:rtl/>
        </w:rPr>
        <w:t xml:space="preserve"> </w:t>
      </w:r>
      <w:r>
        <w:rPr>
          <w:rFonts w:hint="cs"/>
          <w:rtl/>
        </w:rPr>
        <w:t>צריכת שירותי ממשל במרשתת בחברה היהודית על פי הרמה הדתית לשנת 2021.</w:t>
      </w:r>
    </w:p>
    <w:p w:rsidR="00BF1E3B" w:rsidRDefault="00DF6A0A" w:rsidP="006A0ACD">
      <w:pPr>
        <w:pStyle w:val="738"/>
        <w:rPr>
          <w:rtl/>
        </w:rPr>
      </w:pPr>
      <w:r w:rsidRPr="006A0ACD">
        <w:rPr>
          <w:rFonts w:hint="eastAsia"/>
          <w:b w:val="0"/>
          <w:bCs w:val="0"/>
          <w:rtl/>
        </w:rPr>
        <w:t>לוח</w:t>
      </w:r>
      <w:r w:rsidRPr="006A0ACD">
        <w:rPr>
          <w:rFonts w:hint="cs"/>
          <w:b w:val="0"/>
          <w:bCs w:val="0"/>
          <w:rtl/>
        </w:rPr>
        <w:t xml:space="preserve"> 7:</w:t>
      </w:r>
      <w:r w:rsidRPr="006A0ACD">
        <w:rPr>
          <w:rFonts w:hint="cs"/>
          <w:rtl/>
        </w:rPr>
        <w:t xml:space="preserve"> צריכת שירותי ממשל במרשתת בחברה היהודית על פי </w:t>
      </w:r>
      <w:r w:rsidR="006A0ACD">
        <w:rPr>
          <w:rtl/>
        </w:rPr>
        <w:br/>
      </w:r>
      <w:r w:rsidRPr="006A0ACD">
        <w:rPr>
          <w:rFonts w:hint="cs"/>
          <w:rtl/>
        </w:rPr>
        <w:t>הרמה הדתית, 2021</w:t>
      </w:r>
    </w:p>
    <w:tbl>
      <w:tblPr>
        <w:tblStyle w:val="a9"/>
        <w:bidiVisual/>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453"/>
        <w:gridCol w:w="2453"/>
        <w:gridCol w:w="2454"/>
      </w:tblGrid>
      <w:tr w:rsidR="007758ED" w:rsidTr="006273CE">
        <w:tc>
          <w:tcPr>
            <w:tcW w:w="2453" w:type="dxa"/>
            <w:shd w:val="clear" w:color="auto" w:fill="C8DCE4"/>
          </w:tcPr>
          <w:p w:rsidR="00637A48" w:rsidRPr="00637A48" w:rsidRDefault="00DF6A0A" w:rsidP="006273CE">
            <w:pPr>
              <w:pStyle w:val="73R"/>
              <w:rPr>
                <w:b/>
                <w:bCs/>
                <w:rtl/>
              </w:rPr>
            </w:pPr>
            <w:r w:rsidRPr="00637A48">
              <w:rPr>
                <w:rFonts w:hint="cs"/>
                <w:b/>
                <w:bCs/>
                <w:rtl/>
              </w:rPr>
              <w:t>קבוצות האוכלוסייה</w:t>
            </w:r>
          </w:p>
        </w:tc>
        <w:tc>
          <w:tcPr>
            <w:tcW w:w="2453" w:type="dxa"/>
            <w:shd w:val="clear" w:color="auto" w:fill="C8DCE4"/>
          </w:tcPr>
          <w:p w:rsidR="00637A48" w:rsidRPr="00637A48" w:rsidRDefault="00DF6A0A" w:rsidP="006273CE">
            <w:pPr>
              <w:pStyle w:val="73R"/>
              <w:rPr>
                <w:b/>
                <w:bCs/>
                <w:rtl/>
              </w:rPr>
            </w:pPr>
            <w:r w:rsidRPr="00637A48">
              <w:rPr>
                <w:rFonts w:hint="cs"/>
                <w:b/>
                <w:bCs/>
                <w:rtl/>
              </w:rPr>
              <w:t xml:space="preserve">בני 20 ומעלה </w:t>
            </w:r>
            <w:r w:rsidRPr="00637A48">
              <w:rPr>
                <w:b/>
                <w:bCs/>
                <w:rtl/>
              </w:rPr>
              <w:t>–</w:t>
            </w:r>
            <w:r w:rsidRPr="00637A48">
              <w:rPr>
                <w:rFonts w:hint="cs"/>
                <w:b/>
                <w:bCs/>
                <w:rtl/>
              </w:rPr>
              <w:t xml:space="preserve"> סך הכל באלפים</w:t>
            </w:r>
          </w:p>
        </w:tc>
        <w:tc>
          <w:tcPr>
            <w:tcW w:w="2454" w:type="dxa"/>
            <w:shd w:val="clear" w:color="auto" w:fill="C8DCE4"/>
          </w:tcPr>
          <w:p w:rsidR="00637A48" w:rsidRPr="00637A48" w:rsidRDefault="00DF6A0A" w:rsidP="006273CE">
            <w:pPr>
              <w:pStyle w:val="73R"/>
              <w:rPr>
                <w:b/>
                <w:bCs/>
                <w:rtl/>
              </w:rPr>
            </w:pPr>
            <w:r w:rsidRPr="00637A48">
              <w:rPr>
                <w:rFonts w:hint="cs"/>
                <w:b/>
                <w:bCs/>
                <w:rtl/>
              </w:rPr>
              <w:t>מהם: צרכו שירותי ממשל במרשתת</w:t>
            </w:r>
          </w:p>
        </w:tc>
      </w:tr>
      <w:tr w:rsidR="007758ED" w:rsidTr="006273CE">
        <w:tc>
          <w:tcPr>
            <w:tcW w:w="2453" w:type="dxa"/>
            <w:shd w:val="clear" w:color="auto" w:fill="DFECEF"/>
          </w:tcPr>
          <w:p w:rsidR="00637A48" w:rsidRPr="00637A48" w:rsidRDefault="00DF6A0A" w:rsidP="00637A48">
            <w:pPr>
              <w:pStyle w:val="73R"/>
              <w:rPr>
                <w:b/>
                <w:bCs/>
                <w:rtl/>
              </w:rPr>
            </w:pPr>
            <w:r w:rsidRPr="006A0ACD">
              <w:rPr>
                <w:color w:val="000000" w:themeColor="text1"/>
                <w:rtl/>
              </w:rPr>
              <w:t>חרדים</w:t>
            </w:r>
          </w:p>
        </w:tc>
        <w:tc>
          <w:tcPr>
            <w:tcW w:w="2453" w:type="dxa"/>
            <w:shd w:val="clear" w:color="auto" w:fill="DFECEF"/>
          </w:tcPr>
          <w:p w:rsidR="00637A48" w:rsidRPr="006A0ACD" w:rsidRDefault="00DF6A0A" w:rsidP="00637A48">
            <w:pPr>
              <w:pStyle w:val="73R"/>
              <w:rPr>
                <w:rtl/>
              </w:rPr>
            </w:pPr>
            <w:r w:rsidRPr="006A0ACD">
              <w:rPr>
                <w:color w:val="000000" w:themeColor="text1"/>
              </w:rPr>
              <w:t>477</w:t>
            </w:r>
          </w:p>
        </w:tc>
        <w:tc>
          <w:tcPr>
            <w:tcW w:w="2454" w:type="dxa"/>
            <w:shd w:val="clear" w:color="auto" w:fill="DFECEF"/>
          </w:tcPr>
          <w:p w:rsidR="00637A48" w:rsidRPr="006A0ACD" w:rsidRDefault="00DF6A0A" w:rsidP="00637A48">
            <w:pPr>
              <w:pStyle w:val="73R"/>
              <w:rPr>
                <w:rtl/>
              </w:rPr>
            </w:pPr>
            <w:r w:rsidRPr="006A0ACD">
              <w:rPr>
                <w:color w:val="000000" w:themeColor="text1"/>
              </w:rPr>
              <w:t>49%</w:t>
            </w:r>
          </w:p>
        </w:tc>
      </w:tr>
      <w:tr w:rsidR="007758ED" w:rsidTr="006273CE">
        <w:tc>
          <w:tcPr>
            <w:tcW w:w="2453" w:type="dxa"/>
            <w:shd w:val="clear" w:color="auto" w:fill="F0F8F9"/>
          </w:tcPr>
          <w:p w:rsidR="00637A48" w:rsidRPr="00637A48" w:rsidRDefault="00DF6A0A" w:rsidP="00637A48">
            <w:pPr>
              <w:pStyle w:val="73R"/>
              <w:rPr>
                <w:b/>
                <w:bCs/>
                <w:rtl/>
              </w:rPr>
            </w:pPr>
            <w:r w:rsidRPr="006A0ACD">
              <w:rPr>
                <w:color w:val="000000" w:themeColor="text1"/>
                <w:rtl/>
              </w:rPr>
              <w:t>דתיים</w:t>
            </w:r>
          </w:p>
        </w:tc>
        <w:tc>
          <w:tcPr>
            <w:tcW w:w="2453" w:type="dxa"/>
            <w:shd w:val="clear" w:color="auto" w:fill="F0F8F9"/>
          </w:tcPr>
          <w:p w:rsidR="00637A48" w:rsidRPr="006A0ACD" w:rsidRDefault="00DF6A0A" w:rsidP="00637A48">
            <w:pPr>
              <w:pStyle w:val="73R"/>
              <w:rPr>
                <w:rtl/>
              </w:rPr>
            </w:pPr>
            <w:r w:rsidRPr="006A0ACD">
              <w:rPr>
                <w:color w:val="000000" w:themeColor="text1"/>
              </w:rPr>
              <w:t>488</w:t>
            </w:r>
          </w:p>
        </w:tc>
        <w:tc>
          <w:tcPr>
            <w:tcW w:w="2454" w:type="dxa"/>
            <w:shd w:val="clear" w:color="auto" w:fill="F0F8F9"/>
          </w:tcPr>
          <w:p w:rsidR="00637A48" w:rsidRPr="006A0ACD" w:rsidRDefault="00DF6A0A" w:rsidP="00637A48">
            <w:pPr>
              <w:pStyle w:val="73R"/>
              <w:rPr>
                <w:rtl/>
              </w:rPr>
            </w:pPr>
            <w:r w:rsidRPr="006A0ACD">
              <w:rPr>
                <w:color w:val="000000" w:themeColor="text1"/>
              </w:rPr>
              <w:t>60%</w:t>
            </w:r>
          </w:p>
        </w:tc>
      </w:tr>
      <w:tr w:rsidR="007758ED" w:rsidTr="006273CE">
        <w:tc>
          <w:tcPr>
            <w:tcW w:w="2453" w:type="dxa"/>
            <w:shd w:val="clear" w:color="auto" w:fill="DFECEF"/>
          </w:tcPr>
          <w:p w:rsidR="00637A48" w:rsidRPr="006A0ACD" w:rsidRDefault="00DF6A0A" w:rsidP="00637A48">
            <w:pPr>
              <w:pStyle w:val="73R"/>
              <w:rPr>
                <w:rtl/>
              </w:rPr>
            </w:pPr>
            <w:r w:rsidRPr="006A0ACD">
              <w:rPr>
                <w:color w:val="000000" w:themeColor="text1"/>
                <w:rtl/>
              </w:rPr>
              <w:t>מסורתיים</w:t>
            </w:r>
            <w:r w:rsidRPr="006A0ACD">
              <w:rPr>
                <w:rFonts w:hint="cs"/>
                <w:color w:val="000000" w:themeColor="text1"/>
                <w:rtl/>
              </w:rPr>
              <w:t xml:space="preserve"> </w:t>
            </w:r>
          </w:p>
        </w:tc>
        <w:tc>
          <w:tcPr>
            <w:tcW w:w="2453" w:type="dxa"/>
            <w:shd w:val="clear" w:color="auto" w:fill="DFECEF"/>
          </w:tcPr>
          <w:p w:rsidR="00637A48" w:rsidRPr="006A0ACD" w:rsidRDefault="00DF6A0A" w:rsidP="00637A48">
            <w:pPr>
              <w:pStyle w:val="73R"/>
              <w:rPr>
                <w:rtl/>
              </w:rPr>
            </w:pPr>
            <w:r w:rsidRPr="006A0ACD">
              <w:rPr>
                <w:color w:val="000000" w:themeColor="text1"/>
              </w:rPr>
              <w:t>1,509</w:t>
            </w:r>
          </w:p>
        </w:tc>
        <w:tc>
          <w:tcPr>
            <w:tcW w:w="2454" w:type="dxa"/>
            <w:shd w:val="clear" w:color="auto" w:fill="DFECEF"/>
          </w:tcPr>
          <w:p w:rsidR="00637A48" w:rsidRPr="006A0ACD" w:rsidRDefault="00DF6A0A" w:rsidP="00637A48">
            <w:pPr>
              <w:pStyle w:val="73R"/>
              <w:rPr>
                <w:rtl/>
              </w:rPr>
            </w:pPr>
            <w:r w:rsidRPr="006A0ACD">
              <w:rPr>
                <w:color w:val="000000" w:themeColor="text1"/>
              </w:rPr>
              <w:t>55%</w:t>
            </w:r>
          </w:p>
        </w:tc>
      </w:tr>
      <w:tr w:rsidR="007758ED" w:rsidTr="006273CE">
        <w:tc>
          <w:tcPr>
            <w:tcW w:w="2453" w:type="dxa"/>
            <w:shd w:val="clear" w:color="auto" w:fill="F0F8F9"/>
          </w:tcPr>
          <w:p w:rsidR="00637A48" w:rsidRPr="006A0ACD" w:rsidRDefault="00DF6A0A" w:rsidP="00637A48">
            <w:pPr>
              <w:pStyle w:val="73R"/>
              <w:rPr>
                <w:rtl/>
              </w:rPr>
            </w:pPr>
            <w:r w:rsidRPr="006A0ACD">
              <w:rPr>
                <w:color w:val="000000" w:themeColor="text1"/>
                <w:rtl/>
              </w:rPr>
              <w:t>לא דתיים, חילונים</w:t>
            </w:r>
          </w:p>
        </w:tc>
        <w:tc>
          <w:tcPr>
            <w:tcW w:w="2453" w:type="dxa"/>
            <w:shd w:val="clear" w:color="auto" w:fill="F0F8F9"/>
          </w:tcPr>
          <w:p w:rsidR="00637A48" w:rsidRPr="006A0ACD" w:rsidRDefault="00DF6A0A" w:rsidP="00637A48">
            <w:pPr>
              <w:pStyle w:val="73R"/>
              <w:rPr>
                <w:rtl/>
              </w:rPr>
            </w:pPr>
            <w:r w:rsidRPr="006A0ACD">
              <w:rPr>
                <w:color w:val="000000" w:themeColor="text1"/>
              </w:rPr>
              <w:t>2,063</w:t>
            </w:r>
          </w:p>
        </w:tc>
        <w:tc>
          <w:tcPr>
            <w:tcW w:w="2454" w:type="dxa"/>
            <w:shd w:val="clear" w:color="auto" w:fill="F0F8F9"/>
          </w:tcPr>
          <w:p w:rsidR="00637A48" w:rsidRPr="006A0ACD" w:rsidRDefault="00DF6A0A" w:rsidP="00637A48">
            <w:pPr>
              <w:pStyle w:val="73R"/>
              <w:rPr>
                <w:rtl/>
              </w:rPr>
            </w:pPr>
            <w:r w:rsidRPr="006A0ACD">
              <w:rPr>
                <w:color w:val="000000" w:themeColor="text1"/>
              </w:rPr>
              <w:t>71%</w:t>
            </w:r>
          </w:p>
        </w:tc>
      </w:tr>
    </w:tbl>
    <w:p w:rsidR="00BF1E3B" w:rsidRPr="006A0ACD" w:rsidRDefault="00DF6A0A" w:rsidP="006A0ACD">
      <w:pPr>
        <w:pStyle w:val="73e"/>
        <w:rPr>
          <w:rtl/>
        </w:rPr>
      </w:pPr>
      <w:r w:rsidRPr="006A0ACD">
        <w:rPr>
          <w:rFonts w:hint="cs"/>
          <w:rtl/>
        </w:rPr>
        <w:t xml:space="preserve">על פי </w:t>
      </w:r>
      <w:r w:rsidRPr="006A0ACD">
        <w:rPr>
          <w:rtl/>
        </w:rPr>
        <w:t xml:space="preserve">נתוני </w:t>
      </w:r>
      <w:r w:rsidRPr="006A0ACD">
        <w:rPr>
          <w:rFonts w:hint="cs"/>
          <w:rtl/>
        </w:rPr>
        <w:t>ה</w:t>
      </w:r>
      <w:r w:rsidRPr="006A0ACD">
        <w:rPr>
          <w:rtl/>
        </w:rPr>
        <w:t xml:space="preserve">למ"ס, הסקר החברתי </w:t>
      </w:r>
      <w:r w:rsidRPr="006A0ACD">
        <w:rPr>
          <w:rtl/>
        </w:rPr>
        <w:t>2021, בעיבוד משרד מבקר המדינה.</w:t>
      </w:r>
    </w:p>
    <w:p w:rsidR="00BF1E3B" w:rsidRPr="006A0ACD" w:rsidRDefault="00DF6A0A" w:rsidP="006A0ACD">
      <w:pPr>
        <w:pStyle w:val="735"/>
        <w:rPr>
          <w:rtl/>
        </w:rPr>
      </w:pPr>
      <w:r w:rsidRPr="006A0ACD">
        <w:rPr>
          <w:rFonts w:hint="cs"/>
          <w:rtl/>
        </w:rPr>
        <w:lastRenderedPageBreak/>
        <w:t>כעולה מן התרשים, שיעורי השימוש במרשתת לצריכת שירותי ממשל נמוכים יותר בקרב החברה החרדית בהשוואה לקבוצות אחרות בחברה היהודית: בקרב אנשים המגדירים עצמם חילונים, מסורתיים ודתיים שיעורים אלה הם בין 55% לבין 71%, ואילו בקרב החברה ה</w:t>
      </w:r>
      <w:r w:rsidRPr="006A0ACD">
        <w:rPr>
          <w:rFonts w:hint="cs"/>
          <w:rtl/>
        </w:rPr>
        <w:t xml:space="preserve">חרדית השיעור הוא 49% בלבד. </w:t>
      </w:r>
    </w:p>
    <w:p w:rsidR="00BF1E3B" w:rsidRPr="00373CBE" w:rsidRDefault="00DF6A0A" w:rsidP="00C619CC">
      <w:pPr>
        <w:pStyle w:val="7392"/>
        <w:rPr>
          <w:rtl/>
        </w:rPr>
      </w:pPr>
      <w:r w:rsidRPr="00C619CC">
        <w:rPr>
          <w:rStyle w:val="7371"/>
          <w:rFonts w:hint="cs"/>
          <w:rtl/>
        </w:rPr>
        <w:t>שימוש במרשתת בהשוואה בין החברה היהודית לבין החברה הערבית</w:t>
      </w:r>
      <w:r w:rsidRPr="00D2614B">
        <w:rPr>
          <w:rStyle w:val="50"/>
          <w:rFonts w:eastAsiaTheme="majorEastAsia" w:hint="cs"/>
          <w:rtl/>
        </w:rPr>
        <w:t>:</w:t>
      </w:r>
      <w:r>
        <w:rPr>
          <w:rFonts w:eastAsia="Times New Roman" w:hint="cs"/>
          <w:sz w:val="24"/>
          <w:rtl/>
        </w:rPr>
        <w:t xml:space="preserve"> </w:t>
      </w:r>
      <w:r w:rsidRPr="00373CBE">
        <w:rPr>
          <w:rFonts w:eastAsia="Times New Roman" w:hint="cs"/>
          <w:sz w:val="24"/>
          <w:rtl/>
        </w:rPr>
        <w:t xml:space="preserve">קיימים הבדלים בשימוש במרשתת בין החברה היהודית לערבית. </w:t>
      </w:r>
      <w:r w:rsidRPr="00373CBE">
        <w:rPr>
          <w:rFonts w:eastAsia="Times New Roman"/>
          <w:sz w:val="24"/>
          <w:rtl/>
        </w:rPr>
        <w:t>במסמך</w:t>
      </w:r>
      <w:r w:rsidRPr="00373CBE">
        <w:rPr>
          <w:rtl/>
        </w:rPr>
        <w:t xml:space="preserve"> שפרסם איגוד האינטרנט הישראלי</w:t>
      </w:r>
      <w:r>
        <w:rPr>
          <w:vertAlign w:val="superscript"/>
          <w:rtl/>
        </w:rPr>
        <w:footnoteReference w:id="119"/>
      </w:r>
      <w:r w:rsidRPr="00373CBE">
        <w:rPr>
          <w:rFonts w:hint="cs"/>
          <w:rtl/>
        </w:rPr>
        <w:t xml:space="preserve"> </w:t>
      </w:r>
      <w:r w:rsidRPr="00373CBE">
        <w:rPr>
          <w:rtl/>
        </w:rPr>
        <w:t xml:space="preserve">בשנת </w:t>
      </w:r>
      <w:r w:rsidRPr="00373CBE">
        <w:rPr>
          <w:rFonts w:hint="cs"/>
          <w:rtl/>
        </w:rPr>
        <w:t>2018</w:t>
      </w:r>
      <w:r w:rsidRPr="00373CBE">
        <w:rPr>
          <w:rtl/>
        </w:rPr>
        <w:t xml:space="preserve"> הוצגו ההבדלים בשיעורי הגלישה ב</w:t>
      </w:r>
      <w:r w:rsidRPr="00373CBE">
        <w:rPr>
          <w:rFonts w:hint="cs"/>
          <w:rtl/>
        </w:rPr>
        <w:t>מרשתת</w:t>
      </w:r>
      <w:r w:rsidRPr="00373CBE">
        <w:rPr>
          <w:rtl/>
        </w:rPr>
        <w:t xml:space="preserve"> של יהודים וערבים בישראל בשנים 2002 - </w:t>
      </w:r>
      <w:r w:rsidRPr="00373CBE">
        <w:rPr>
          <w:rFonts w:hint="cs"/>
          <w:rtl/>
        </w:rPr>
        <w:t xml:space="preserve">2017. </w:t>
      </w:r>
    </w:p>
    <w:p w:rsidR="00BF1E3B" w:rsidRPr="000C2161" w:rsidRDefault="00DF6A0A" w:rsidP="000C2161">
      <w:pPr>
        <w:pStyle w:val="738"/>
        <w:rPr>
          <w:rtl/>
        </w:rPr>
      </w:pPr>
      <w:r w:rsidRPr="000C2161">
        <w:rPr>
          <w:b w:val="0"/>
          <w:bCs w:val="0"/>
          <w:noProof/>
        </w:rPr>
        <w:drawing>
          <wp:anchor distT="0" distB="0" distL="114300" distR="114300" simplePos="0" relativeHeight="251737088" behindDoc="0" locked="0" layoutInCell="1" allowOverlap="1">
            <wp:simplePos x="0" y="0"/>
            <wp:positionH relativeFrom="column">
              <wp:posOffset>24334</wp:posOffset>
            </wp:positionH>
            <wp:positionV relativeFrom="paragraph">
              <wp:posOffset>544539</wp:posOffset>
            </wp:positionV>
            <wp:extent cx="4649470" cy="1980565"/>
            <wp:effectExtent l="0" t="0" r="0" b="635"/>
            <wp:wrapTopAndBottom/>
            <wp:docPr id="33" name="תמונה 33" descr="שיעור המשתמשים במרשתת בקרב החברה היהודית היה בשנת 2002 מעט פחות מ-40% והוא גדל עד לשנת 2017 לכ-90%, זאת יחסית לשיעור המשתמשים במרשתת בחברה הערבית שהיה בשנת 2002 מעט פחות מ-20% וגדל עד לשנת 2017 לשיעור של יותר מ-80% אך מעט פחות מ-90% (כלומר שיעור קטן מזה של המגזר היהודי באותה שנה). קטע המלל שלאחר התרשים עוסק בהשוואה בין החברות מבחינת קצב הגידול בשיעור המשתמשים במרשתת - בחברה הערבית הגידול בשיעור זה בשנים 2002 עד 2017 עלה על  זה שבמגזר היהוד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76">
                      <a:extLst>
                        <a:ext uri="{28A0092B-C50C-407E-A947-70E740481C1C}">
                          <a14:useLocalDpi xmlns:a14="http://schemas.microsoft.com/office/drawing/2010/main" val="0"/>
                        </a:ext>
                      </a:extLst>
                    </a:blip>
                    <a:srcRect l="2015" t="4157" r="1431" b="3227"/>
                    <a:stretch>
                      <a:fillRect/>
                    </a:stretch>
                  </pic:blipFill>
                  <pic:spPr bwMode="auto">
                    <a:xfrm>
                      <a:off x="0" y="0"/>
                      <a:ext cx="4649470" cy="1980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2161">
        <w:rPr>
          <w:b w:val="0"/>
          <w:bCs w:val="0"/>
          <w:rtl/>
        </w:rPr>
        <w:t xml:space="preserve">תרשים </w:t>
      </w:r>
      <w:r w:rsidRPr="000C2161">
        <w:rPr>
          <w:rFonts w:hint="cs"/>
          <w:b w:val="0"/>
          <w:bCs w:val="0"/>
          <w:rtl/>
        </w:rPr>
        <w:t>23</w:t>
      </w:r>
      <w:r w:rsidRPr="000C2161">
        <w:rPr>
          <w:b w:val="0"/>
          <w:bCs w:val="0"/>
          <w:rtl/>
        </w:rPr>
        <w:t>:</w:t>
      </w:r>
      <w:r w:rsidRPr="000C2161">
        <w:rPr>
          <w:rtl/>
        </w:rPr>
        <w:t xml:space="preserve"> </w:t>
      </w:r>
      <w:r w:rsidRPr="000C2161">
        <w:rPr>
          <w:rFonts w:hint="eastAsia"/>
          <w:rtl/>
        </w:rPr>
        <w:t>שיעור</w:t>
      </w:r>
      <w:r w:rsidRPr="000C2161">
        <w:rPr>
          <w:rtl/>
        </w:rPr>
        <w:t xml:space="preserve"> המשתמשים </w:t>
      </w:r>
      <w:r w:rsidRPr="000C2161">
        <w:rPr>
          <w:rFonts w:hint="eastAsia"/>
          <w:rtl/>
        </w:rPr>
        <w:t>במרשתת</w:t>
      </w:r>
      <w:r w:rsidRPr="000C2161">
        <w:rPr>
          <w:rtl/>
        </w:rPr>
        <w:t xml:space="preserve"> בקרב </w:t>
      </w:r>
      <w:r w:rsidRPr="000C2161">
        <w:rPr>
          <w:rFonts w:hint="eastAsia"/>
          <w:rtl/>
        </w:rPr>
        <w:t>החברה</w:t>
      </w:r>
      <w:r w:rsidRPr="000C2161">
        <w:rPr>
          <w:rtl/>
        </w:rPr>
        <w:t xml:space="preserve"> </w:t>
      </w:r>
      <w:r w:rsidRPr="000C2161">
        <w:rPr>
          <w:rFonts w:hint="eastAsia"/>
          <w:rtl/>
        </w:rPr>
        <w:t>היהודית</w:t>
      </w:r>
      <w:r w:rsidRPr="000C2161">
        <w:rPr>
          <w:rtl/>
        </w:rPr>
        <w:t xml:space="preserve"> </w:t>
      </w:r>
      <w:r w:rsidRPr="000C2161">
        <w:rPr>
          <w:rFonts w:hint="eastAsia"/>
          <w:rtl/>
        </w:rPr>
        <w:t>ובקרב</w:t>
      </w:r>
      <w:r w:rsidRPr="000C2161">
        <w:rPr>
          <w:rtl/>
        </w:rPr>
        <w:t xml:space="preserve"> </w:t>
      </w:r>
      <w:r w:rsidRPr="000C2161">
        <w:rPr>
          <w:rFonts w:hint="eastAsia"/>
          <w:rtl/>
        </w:rPr>
        <w:t>החברה</w:t>
      </w:r>
      <w:r w:rsidRPr="000C2161">
        <w:rPr>
          <w:rtl/>
        </w:rPr>
        <w:t xml:space="preserve"> </w:t>
      </w:r>
      <w:r w:rsidRPr="000C2161">
        <w:rPr>
          <w:rFonts w:hint="eastAsia"/>
          <w:rtl/>
        </w:rPr>
        <w:t>הערבית</w:t>
      </w:r>
      <w:r w:rsidRPr="000C2161">
        <w:rPr>
          <w:rtl/>
        </w:rPr>
        <w:t xml:space="preserve"> בישראל</w:t>
      </w:r>
      <w:r w:rsidRPr="000C2161">
        <w:rPr>
          <w:rFonts w:hint="cs"/>
          <w:rtl/>
        </w:rPr>
        <w:t xml:space="preserve">, </w:t>
      </w:r>
      <w:r w:rsidRPr="000C2161">
        <w:rPr>
          <w:rtl/>
        </w:rPr>
        <w:t>2002 - 2017</w:t>
      </w:r>
      <w:r w:rsidRPr="000C2161">
        <w:rPr>
          <w:rFonts w:hint="cs"/>
          <w:rtl/>
        </w:rPr>
        <w:t xml:space="preserve"> (באחוזים)</w:t>
      </w:r>
    </w:p>
    <w:p w:rsidR="00BF1E3B" w:rsidRPr="009D4D08" w:rsidRDefault="00DF6A0A" w:rsidP="004E7F15">
      <w:pPr>
        <w:pStyle w:val="73e"/>
        <w:spacing w:before="360"/>
        <w:rPr>
          <w:rtl/>
        </w:rPr>
      </w:pPr>
      <w:r w:rsidRPr="009D4D08">
        <w:rPr>
          <w:rFonts w:hint="eastAsia"/>
          <w:rtl/>
        </w:rPr>
        <w:t>המקור</w:t>
      </w:r>
      <w:r w:rsidRPr="009D4D08">
        <w:rPr>
          <w:rtl/>
        </w:rPr>
        <w:t xml:space="preserve">: </w:t>
      </w:r>
      <w:r w:rsidRPr="009D4D08">
        <w:rPr>
          <w:rFonts w:hint="eastAsia"/>
          <w:rtl/>
        </w:rPr>
        <w:t>איגוד</w:t>
      </w:r>
      <w:r w:rsidRPr="009D4D08">
        <w:rPr>
          <w:rtl/>
        </w:rPr>
        <w:t xml:space="preserve"> </w:t>
      </w:r>
      <w:r w:rsidRPr="009D4D08">
        <w:rPr>
          <w:rFonts w:hint="eastAsia"/>
          <w:rtl/>
        </w:rPr>
        <w:t>האינטרנט</w:t>
      </w:r>
      <w:r w:rsidRPr="009D4D08">
        <w:rPr>
          <w:rtl/>
        </w:rPr>
        <w:t xml:space="preserve"> </w:t>
      </w:r>
      <w:r w:rsidRPr="009D4D08">
        <w:rPr>
          <w:rFonts w:hint="eastAsia"/>
          <w:rtl/>
        </w:rPr>
        <w:t>הישראלי</w:t>
      </w:r>
      <w:r w:rsidRPr="009D4D08">
        <w:rPr>
          <w:rtl/>
        </w:rPr>
        <w:t xml:space="preserve">, </w:t>
      </w:r>
      <w:r w:rsidRPr="009D4D08">
        <w:rPr>
          <w:rFonts w:hint="eastAsia"/>
          <w:rtl/>
        </w:rPr>
        <w:t>שם</w:t>
      </w:r>
      <w:r w:rsidRPr="009D4D08">
        <w:rPr>
          <w:rtl/>
        </w:rPr>
        <w:t xml:space="preserve">, </w:t>
      </w:r>
      <w:r w:rsidRPr="009D4D08">
        <w:rPr>
          <w:rFonts w:hint="eastAsia"/>
          <w:rtl/>
        </w:rPr>
        <w:t>עמ</w:t>
      </w:r>
      <w:r w:rsidRPr="009D4D08">
        <w:rPr>
          <w:rtl/>
        </w:rPr>
        <w:t xml:space="preserve">' 16. </w:t>
      </w:r>
    </w:p>
    <w:p w:rsidR="00BF1E3B" w:rsidRPr="000C2161" w:rsidRDefault="00DF6A0A" w:rsidP="000C2161">
      <w:pPr>
        <w:pStyle w:val="735"/>
        <w:rPr>
          <w:rFonts w:eastAsia="Calibri"/>
          <w:rtl/>
        </w:rPr>
      </w:pPr>
      <w:r w:rsidRPr="000C2161">
        <w:rPr>
          <w:rFonts w:eastAsia="Calibri"/>
          <w:rtl/>
        </w:rPr>
        <w:t>מן התרשים עולה ש</w:t>
      </w:r>
      <w:r w:rsidRPr="000C2161">
        <w:rPr>
          <w:rFonts w:eastAsia="Calibri" w:hint="eastAsia"/>
          <w:rtl/>
        </w:rPr>
        <w:t>ה</w:t>
      </w:r>
      <w:r w:rsidRPr="000C2161">
        <w:rPr>
          <w:rFonts w:eastAsia="Calibri"/>
          <w:rtl/>
        </w:rPr>
        <w:t>פער בשי</w:t>
      </w:r>
      <w:r w:rsidRPr="000C2161">
        <w:rPr>
          <w:rFonts w:eastAsia="Calibri" w:hint="eastAsia"/>
          <w:rtl/>
        </w:rPr>
        <w:t>עור</w:t>
      </w:r>
      <w:r w:rsidRPr="000C2161">
        <w:rPr>
          <w:rFonts w:eastAsia="Calibri"/>
          <w:rtl/>
        </w:rPr>
        <w:t xml:space="preserve"> </w:t>
      </w:r>
      <w:r w:rsidRPr="000C2161">
        <w:rPr>
          <w:rFonts w:eastAsia="Calibri" w:hint="eastAsia"/>
          <w:rtl/>
        </w:rPr>
        <w:t>המשתמשים</w:t>
      </w:r>
      <w:r w:rsidRPr="000C2161">
        <w:rPr>
          <w:rFonts w:eastAsia="Calibri"/>
          <w:rtl/>
        </w:rPr>
        <w:t xml:space="preserve"> ב</w:t>
      </w:r>
      <w:r w:rsidRPr="000C2161">
        <w:rPr>
          <w:rFonts w:eastAsia="Calibri" w:hint="eastAsia"/>
          <w:rtl/>
        </w:rPr>
        <w:t>מרשתת</w:t>
      </w:r>
      <w:r w:rsidRPr="000C2161">
        <w:rPr>
          <w:rFonts w:eastAsia="Calibri"/>
          <w:rtl/>
        </w:rPr>
        <w:t xml:space="preserve"> בין החברה היהודי</w:t>
      </w:r>
      <w:r w:rsidRPr="000C2161">
        <w:rPr>
          <w:rFonts w:eastAsia="Calibri" w:hint="eastAsia"/>
          <w:rtl/>
        </w:rPr>
        <w:t>ת</w:t>
      </w:r>
      <w:r w:rsidRPr="000C2161">
        <w:rPr>
          <w:rFonts w:eastAsia="Calibri"/>
          <w:rtl/>
        </w:rPr>
        <w:t xml:space="preserve"> ל</w:t>
      </w:r>
      <w:r w:rsidRPr="000C2161">
        <w:rPr>
          <w:rFonts w:eastAsia="Calibri" w:hint="eastAsia"/>
          <w:rtl/>
        </w:rPr>
        <w:t>חברה</w:t>
      </w:r>
      <w:r w:rsidRPr="000C2161">
        <w:rPr>
          <w:rFonts w:eastAsia="Calibri"/>
          <w:rtl/>
        </w:rPr>
        <w:t xml:space="preserve"> הערבית הצטמצ</w:t>
      </w:r>
      <w:r w:rsidRPr="000C2161">
        <w:rPr>
          <w:rFonts w:eastAsia="Calibri" w:hint="eastAsia"/>
          <w:rtl/>
        </w:rPr>
        <w:t>ם</w:t>
      </w:r>
      <w:r w:rsidRPr="000C2161">
        <w:rPr>
          <w:rFonts w:eastAsia="Calibri"/>
          <w:rtl/>
        </w:rPr>
        <w:t xml:space="preserve"> במהלך השנים 2002 - 2017. בכל אחת </w:t>
      </w:r>
      <w:r w:rsidRPr="000C2161">
        <w:rPr>
          <w:rFonts w:eastAsia="Calibri" w:hint="cs"/>
          <w:rtl/>
        </w:rPr>
        <w:t xml:space="preserve">משתי </w:t>
      </w:r>
      <w:r w:rsidRPr="000C2161">
        <w:rPr>
          <w:rFonts w:eastAsia="Calibri"/>
          <w:rtl/>
        </w:rPr>
        <w:t xml:space="preserve">קבוצות </w:t>
      </w:r>
      <w:r w:rsidRPr="000C2161">
        <w:rPr>
          <w:rFonts w:eastAsia="Calibri" w:hint="cs"/>
          <w:rtl/>
        </w:rPr>
        <w:t xml:space="preserve">אלה </w:t>
      </w:r>
      <w:r w:rsidRPr="000C2161">
        <w:rPr>
          <w:rFonts w:eastAsia="Calibri"/>
          <w:rtl/>
        </w:rPr>
        <w:t xml:space="preserve">עלה בשנים שנבדקו שיעור המשתמשים </w:t>
      </w:r>
      <w:r w:rsidRPr="000C2161">
        <w:rPr>
          <w:rFonts w:eastAsia="Calibri" w:hint="eastAsia"/>
          <w:rtl/>
        </w:rPr>
        <w:t>במרשתת</w:t>
      </w:r>
      <w:r w:rsidRPr="000C2161">
        <w:rPr>
          <w:rFonts w:eastAsia="Calibri"/>
          <w:rtl/>
        </w:rPr>
        <w:t xml:space="preserve">, </w:t>
      </w:r>
      <w:r w:rsidRPr="000C2161">
        <w:rPr>
          <w:rFonts w:eastAsia="Calibri" w:hint="cs"/>
          <w:rtl/>
        </w:rPr>
        <w:t>ו</w:t>
      </w:r>
      <w:r w:rsidRPr="000C2161">
        <w:rPr>
          <w:rFonts w:eastAsia="Calibri" w:hint="eastAsia"/>
          <w:rtl/>
        </w:rPr>
        <w:t>העלייה</w:t>
      </w:r>
      <w:r w:rsidRPr="000C2161">
        <w:rPr>
          <w:rFonts w:eastAsia="Calibri"/>
          <w:rtl/>
        </w:rPr>
        <w:t xml:space="preserve"> </w:t>
      </w:r>
      <w:r w:rsidRPr="000C2161">
        <w:rPr>
          <w:rFonts w:eastAsia="Calibri" w:hint="eastAsia"/>
          <w:rtl/>
        </w:rPr>
        <w:t>בחברה</w:t>
      </w:r>
      <w:r w:rsidRPr="000C2161">
        <w:rPr>
          <w:rFonts w:eastAsia="Calibri"/>
          <w:rtl/>
        </w:rPr>
        <w:t xml:space="preserve"> </w:t>
      </w:r>
      <w:r w:rsidRPr="000C2161">
        <w:rPr>
          <w:rFonts w:eastAsia="Calibri" w:hint="eastAsia"/>
          <w:rtl/>
        </w:rPr>
        <w:t>הערבית</w:t>
      </w:r>
      <w:r w:rsidRPr="000C2161">
        <w:rPr>
          <w:rFonts w:eastAsia="Calibri"/>
          <w:rtl/>
        </w:rPr>
        <w:t xml:space="preserve"> הייתה </w:t>
      </w:r>
      <w:r w:rsidRPr="000C2161">
        <w:rPr>
          <w:rFonts w:eastAsia="Calibri" w:hint="eastAsia"/>
          <w:rtl/>
        </w:rPr>
        <w:t>משמעותית</w:t>
      </w:r>
      <w:r w:rsidRPr="000C2161">
        <w:rPr>
          <w:rFonts w:eastAsia="Calibri"/>
          <w:rtl/>
        </w:rPr>
        <w:t xml:space="preserve"> יותר</w:t>
      </w:r>
      <w:r w:rsidRPr="000C2161">
        <w:rPr>
          <w:rFonts w:eastAsia="Calibri" w:hint="cs"/>
          <w:rtl/>
        </w:rPr>
        <w:t>.</w:t>
      </w:r>
      <w:r w:rsidRPr="000C2161">
        <w:rPr>
          <w:rFonts w:eastAsia="Calibri"/>
          <w:rtl/>
        </w:rPr>
        <w:t xml:space="preserve"> </w:t>
      </w:r>
    </w:p>
    <w:p w:rsidR="00BF1E3B" w:rsidRPr="004B203F" w:rsidRDefault="00DF6A0A" w:rsidP="004B203F">
      <w:pPr>
        <w:pStyle w:val="7392"/>
        <w:rPr>
          <w:rtl/>
        </w:rPr>
      </w:pPr>
      <w:r w:rsidRPr="004B203F">
        <w:rPr>
          <w:rFonts w:hint="cs"/>
          <w:rtl/>
        </w:rPr>
        <w:t>מנתוני הלמ"ס לשנת 2020 עולה כי ישנם הבדלים בין סוגי השימושים במרשתת בחברה היהודית ובחברה הערבית. להלן תרש</w:t>
      </w:r>
      <w:r w:rsidRPr="004B203F">
        <w:rPr>
          <w:rFonts w:hint="cs"/>
          <w:rtl/>
        </w:rPr>
        <w:t>ים המציג השוואה של השימושים במרשתת בשתי החברות.</w:t>
      </w:r>
    </w:p>
    <w:p w:rsidR="00BF1E3B" w:rsidRPr="000C2161" w:rsidRDefault="00DF6A0A" w:rsidP="000C2161">
      <w:pPr>
        <w:pStyle w:val="738"/>
        <w:rPr>
          <w:rtl/>
        </w:rPr>
      </w:pPr>
      <w:r w:rsidRPr="000C2161">
        <w:rPr>
          <w:noProof/>
        </w:rPr>
        <w:lastRenderedPageBreak/>
        <w:drawing>
          <wp:anchor distT="0" distB="0" distL="114300" distR="114300" simplePos="0" relativeHeight="251738112" behindDoc="0" locked="0" layoutInCell="1" allowOverlap="1">
            <wp:simplePos x="0" y="0"/>
            <wp:positionH relativeFrom="column">
              <wp:posOffset>-53340</wp:posOffset>
            </wp:positionH>
            <wp:positionV relativeFrom="paragraph">
              <wp:posOffset>494030</wp:posOffset>
            </wp:positionV>
            <wp:extent cx="4663440" cy="4153535"/>
            <wp:effectExtent l="0" t="0" r="0" b="0"/>
            <wp:wrapTopAndBottom/>
            <wp:docPr id="2052770963" name="תמונה 2052770963" descr="בקטע המלל שלאחר התרשים מוצג הממצא העיקרי העולה ממנ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3" name="תמונה 2052770963"/>
                    <pic:cNvPicPr/>
                  </pic:nvPicPr>
                  <pic:blipFill>
                    <a:blip r:embed="rId77" cstate="print">
                      <a:extLst>
                        <a:ext uri="{28A0092B-C50C-407E-A947-70E740481C1C}">
                          <a14:useLocalDpi xmlns:a14="http://schemas.microsoft.com/office/drawing/2010/main" val="0"/>
                        </a:ext>
                      </a:extLst>
                    </a:blip>
                    <a:srcRect t="300" b="300"/>
                    <a:stretch>
                      <a:fillRect/>
                    </a:stretch>
                  </pic:blipFill>
                  <pic:spPr bwMode="auto">
                    <a:xfrm>
                      <a:off x="0" y="0"/>
                      <a:ext cx="4663440" cy="4153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2161">
        <w:rPr>
          <w:b w:val="0"/>
          <w:bCs w:val="0"/>
          <w:rtl/>
        </w:rPr>
        <w:t>תרשים</w:t>
      </w:r>
      <w:r w:rsidRPr="000C2161">
        <w:rPr>
          <w:rFonts w:hint="cs"/>
          <w:b w:val="0"/>
          <w:bCs w:val="0"/>
          <w:rtl/>
        </w:rPr>
        <w:t xml:space="preserve"> 24:</w:t>
      </w:r>
      <w:r w:rsidRPr="000C2161">
        <w:rPr>
          <w:rFonts w:hint="cs"/>
          <w:rtl/>
        </w:rPr>
        <w:t xml:space="preserve"> </w:t>
      </w:r>
      <w:r w:rsidRPr="000C2161">
        <w:rPr>
          <w:rtl/>
        </w:rPr>
        <w:t>סוגי שימוש ב</w:t>
      </w:r>
      <w:r w:rsidRPr="000C2161">
        <w:rPr>
          <w:rFonts w:hint="cs"/>
          <w:rtl/>
        </w:rPr>
        <w:t xml:space="preserve">מרשתת בקרב בני 20 ומעלה, השוואה בין החברה היהודית לחברה הערבית, </w:t>
      </w:r>
      <w:r w:rsidRPr="000C2161">
        <w:rPr>
          <w:rtl/>
        </w:rPr>
        <w:t xml:space="preserve">2020 </w:t>
      </w:r>
    </w:p>
    <w:p w:rsidR="00BF1E3B" w:rsidRPr="000C2161" w:rsidRDefault="00DF6A0A" w:rsidP="000C2161">
      <w:pPr>
        <w:pStyle w:val="73e"/>
        <w:rPr>
          <w:rtl/>
        </w:rPr>
      </w:pPr>
      <w:r w:rsidRPr="000C2161">
        <w:rPr>
          <w:rFonts w:hint="cs"/>
          <w:rtl/>
        </w:rPr>
        <w:t xml:space="preserve">על פי נתוני </w:t>
      </w:r>
      <w:r w:rsidRPr="000C2161">
        <w:rPr>
          <w:rFonts w:hint="eastAsia"/>
          <w:rtl/>
        </w:rPr>
        <w:t>הלמ</w:t>
      </w:r>
      <w:r w:rsidRPr="000C2161">
        <w:rPr>
          <w:rtl/>
        </w:rPr>
        <w:t>"ס</w:t>
      </w:r>
      <w:r w:rsidRPr="000C2161">
        <w:rPr>
          <w:rFonts w:hint="cs"/>
          <w:rtl/>
        </w:rPr>
        <w:t>,</w:t>
      </w:r>
      <w:r w:rsidRPr="000C2161">
        <w:rPr>
          <w:rtl/>
        </w:rPr>
        <w:t xml:space="preserve"> לקט נתונים מהסקר החברתי 2020 בנושא שימוש באינטר</w:t>
      </w:r>
      <w:r w:rsidRPr="000C2161">
        <w:rPr>
          <w:rFonts w:hint="eastAsia"/>
          <w:rtl/>
        </w:rPr>
        <w:t>נט</w:t>
      </w:r>
      <w:r w:rsidRPr="000C2161">
        <w:rPr>
          <w:rtl/>
        </w:rPr>
        <w:t xml:space="preserve"> (2021)</w:t>
      </w:r>
      <w:r w:rsidRPr="000C2161">
        <w:rPr>
          <w:rFonts w:hint="cs"/>
          <w:rtl/>
        </w:rPr>
        <w:t xml:space="preserve">, בעיבוד משרד מבקר המדינה. </w:t>
      </w:r>
    </w:p>
    <w:p w:rsidR="00BF1E3B" w:rsidRPr="000C2161" w:rsidRDefault="00DF6A0A" w:rsidP="000C2161">
      <w:pPr>
        <w:pStyle w:val="735"/>
        <w:rPr>
          <w:rFonts w:eastAsia="Calibri"/>
          <w:rtl/>
        </w:rPr>
      </w:pPr>
      <w:r w:rsidRPr="000C2161">
        <w:rPr>
          <w:rFonts w:eastAsia="Calibri" w:hint="cs"/>
          <w:rtl/>
        </w:rPr>
        <w:t>מן ה</w:t>
      </w:r>
      <w:r w:rsidRPr="000C2161">
        <w:rPr>
          <w:rFonts w:eastAsia="Calibri"/>
          <w:rtl/>
        </w:rPr>
        <w:t xml:space="preserve">תרשים </w:t>
      </w:r>
      <w:r w:rsidRPr="000C2161">
        <w:rPr>
          <w:rFonts w:eastAsia="Calibri" w:hint="cs"/>
          <w:rtl/>
        </w:rPr>
        <w:t>עו</w:t>
      </w:r>
      <w:r w:rsidRPr="000C2161">
        <w:rPr>
          <w:rFonts w:eastAsia="Calibri" w:hint="cs"/>
          <w:rtl/>
        </w:rPr>
        <w:t xml:space="preserve">לה כי </w:t>
      </w:r>
      <w:r w:rsidRPr="000C2161">
        <w:rPr>
          <w:rFonts w:eastAsia="Calibri"/>
          <w:rtl/>
        </w:rPr>
        <w:t xml:space="preserve">אין הבדל ממשי </w:t>
      </w:r>
      <w:r w:rsidRPr="000C2161">
        <w:rPr>
          <w:rFonts w:eastAsia="Calibri" w:hint="cs"/>
          <w:rtl/>
        </w:rPr>
        <w:t>בין החברה היהודית לחברה ה</w:t>
      </w:r>
      <w:r w:rsidRPr="000C2161">
        <w:rPr>
          <w:rFonts w:eastAsia="Calibri"/>
          <w:rtl/>
        </w:rPr>
        <w:t>ערבי</w:t>
      </w:r>
      <w:r w:rsidRPr="000C2161">
        <w:rPr>
          <w:rFonts w:eastAsia="Calibri" w:hint="cs"/>
          <w:rtl/>
        </w:rPr>
        <w:t>ת במידת השימוש במרשתת למטרות כגון לימודים וגלישה ברשתות חברתיות. לעומת זאת, קיימים ת</w:t>
      </w:r>
      <w:r w:rsidRPr="000C2161">
        <w:rPr>
          <w:rFonts w:eastAsia="Calibri"/>
          <w:rtl/>
        </w:rPr>
        <w:t>חומי</w:t>
      </w:r>
      <w:r w:rsidRPr="000C2161">
        <w:rPr>
          <w:rFonts w:eastAsia="Calibri" w:hint="cs"/>
          <w:rtl/>
        </w:rPr>
        <w:t xml:space="preserve"> פעילות</w:t>
      </w:r>
      <w:r w:rsidRPr="000C2161">
        <w:rPr>
          <w:rFonts w:eastAsia="Calibri"/>
          <w:rtl/>
        </w:rPr>
        <w:t xml:space="preserve"> </w:t>
      </w:r>
      <w:r w:rsidRPr="000C2161">
        <w:rPr>
          <w:rFonts w:eastAsia="Calibri" w:hint="cs"/>
          <w:rtl/>
        </w:rPr>
        <w:t>ש</w:t>
      </w:r>
      <w:r w:rsidRPr="000C2161">
        <w:rPr>
          <w:rFonts w:eastAsia="Calibri"/>
          <w:rtl/>
        </w:rPr>
        <w:t xml:space="preserve">בהם </w:t>
      </w:r>
      <w:r w:rsidRPr="000C2161">
        <w:rPr>
          <w:rFonts w:eastAsia="Calibri" w:hint="cs"/>
          <w:rtl/>
        </w:rPr>
        <w:t xml:space="preserve">שיעור השימוש במרשתת בחברה הערבית נמוך בהשוואה לחברה היהודית. אחד מהתחומים האלה הוא </w:t>
      </w:r>
      <w:r w:rsidRPr="000C2161">
        <w:rPr>
          <w:rFonts w:eastAsia="Calibri"/>
          <w:rtl/>
        </w:rPr>
        <w:t>צריכת שירותים ממשלתיי</w:t>
      </w:r>
      <w:r w:rsidRPr="000C2161">
        <w:rPr>
          <w:rFonts w:eastAsia="Calibri" w:hint="cs"/>
          <w:rtl/>
        </w:rPr>
        <w:t>ם.</w:t>
      </w:r>
      <w:r w:rsidRPr="000C2161">
        <w:rPr>
          <w:rFonts w:eastAsia="Calibri" w:hint="cs"/>
          <w:rtl/>
        </w:rPr>
        <w:t xml:space="preserve"> על פי נתוני הלמ"ס, בשנת 2020 52% מקרב החברה היהודית השתמשו בערוצים הדיגיטליים של משרדי ממשלה - שיעור הגבוה </w:t>
      </w:r>
      <w:r w:rsidR="004E7F15">
        <w:rPr>
          <w:rFonts w:eastAsia="Calibri" w:hint="cs"/>
          <w:rtl/>
        </w:rPr>
        <w:t>ביותר מפי שניים</w:t>
      </w:r>
      <w:r w:rsidRPr="000C2161">
        <w:rPr>
          <w:rFonts w:eastAsia="Calibri" w:hint="cs"/>
          <w:rtl/>
        </w:rPr>
        <w:t xml:space="preserve"> משיעור המשתמשים בערוצים אלה בקרב החברה הערבית, שהיה 22%</w:t>
      </w:r>
      <w:r>
        <w:rPr>
          <w:rFonts w:eastAsia="Calibri"/>
          <w:vertAlign w:val="superscript"/>
          <w:rtl/>
        </w:rPr>
        <w:footnoteReference w:id="120"/>
      </w:r>
      <w:r w:rsidRPr="000C2161">
        <w:rPr>
          <w:rFonts w:eastAsia="Calibri" w:hint="cs"/>
          <w:rtl/>
        </w:rPr>
        <w:t xml:space="preserve">. על פי נתוני הלמ"ס לשנת 2021 שיעור השימוש במרשתת לצריכת שירותי ממשל; בחברה היהודית עלה ל-62% ובחברה הערבית עלה ל-35%. </w:t>
      </w:r>
    </w:p>
    <w:p w:rsidR="00BF1E3B" w:rsidRPr="00187A91" w:rsidRDefault="00DF6A0A" w:rsidP="00187A91">
      <w:pPr>
        <w:pStyle w:val="73fa"/>
        <w:rPr>
          <w:rtl/>
        </w:rPr>
      </w:pPr>
      <w:r w:rsidRPr="00187A91">
        <w:rPr>
          <w:rFonts w:hint="cs"/>
          <w:rtl/>
        </w:rPr>
        <w:lastRenderedPageBreak/>
        <w:t>✰</w:t>
      </w:r>
    </w:p>
    <w:p w:rsidR="00BF1E3B" w:rsidRPr="000C2161" w:rsidRDefault="00DF6A0A" w:rsidP="000C2161">
      <w:pPr>
        <w:pStyle w:val="735"/>
        <w:rPr>
          <w:rtl/>
        </w:rPr>
      </w:pPr>
      <w:r w:rsidRPr="000C2161">
        <w:rPr>
          <w:rtl/>
        </w:rPr>
        <w:t xml:space="preserve">הנתונים לשנת 2021 כפי </w:t>
      </w:r>
      <w:r w:rsidRPr="000C2161">
        <w:rPr>
          <w:rFonts w:hint="cs"/>
          <w:rtl/>
        </w:rPr>
        <w:t>שעולה מהאמור לעיל</w:t>
      </w:r>
      <w:r w:rsidRPr="000C2161">
        <w:rPr>
          <w:rtl/>
        </w:rPr>
        <w:t xml:space="preserve"> מצביעים על צריכה נמוכה יותר של שירותי ממשל במרשתת בקרב שלוש קבוצות אוכלוסייה: גילאי 6</w:t>
      </w:r>
      <w:r w:rsidRPr="000C2161">
        <w:rPr>
          <w:rFonts w:hint="cs"/>
          <w:rtl/>
        </w:rPr>
        <w:t>0</w:t>
      </w:r>
      <w:r w:rsidRPr="000C2161">
        <w:rPr>
          <w:rtl/>
        </w:rPr>
        <w:t xml:space="preserve"> ומעלה ב</w:t>
      </w:r>
      <w:r w:rsidRPr="000C2161">
        <w:rPr>
          <w:rtl/>
        </w:rPr>
        <w:t>השוואה לקבוצות גיל צעירות יות</w:t>
      </w:r>
      <w:r w:rsidRPr="000C2161">
        <w:rPr>
          <w:rFonts w:hint="cs"/>
          <w:rtl/>
        </w:rPr>
        <w:t>ר;</w:t>
      </w:r>
      <w:r w:rsidRPr="000C2161">
        <w:rPr>
          <w:rtl/>
        </w:rPr>
        <w:t xml:space="preserve"> </w:t>
      </w:r>
      <w:r w:rsidRPr="000C2161">
        <w:rPr>
          <w:rFonts w:hint="cs"/>
          <w:rtl/>
        </w:rPr>
        <w:t>החברה ה</w:t>
      </w:r>
      <w:r w:rsidRPr="000C2161">
        <w:rPr>
          <w:rtl/>
        </w:rPr>
        <w:t>ערבי</w:t>
      </w:r>
      <w:r w:rsidRPr="000C2161">
        <w:rPr>
          <w:rFonts w:hint="cs"/>
          <w:rtl/>
        </w:rPr>
        <w:t>ת</w:t>
      </w:r>
      <w:r w:rsidRPr="000C2161">
        <w:rPr>
          <w:rtl/>
        </w:rPr>
        <w:t xml:space="preserve"> בהשוואה ל</w:t>
      </w:r>
      <w:r w:rsidRPr="000C2161">
        <w:rPr>
          <w:rFonts w:hint="cs"/>
          <w:rtl/>
        </w:rPr>
        <w:t>חברה ה</w:t>
      </w:r>
      <w:r w:rsidRPr="000C2161">
        <w:rPr>
          <w:rtl/>
        </w:rPr>
        <w:t>יהודי</w:t>
      </w:r>
      <w:r w:rsidRPr="000C2161">
        <w:rPr>
          <w:rFonts w:hint="cs"/>
          <w:rtl/>
        </w:rPr>
        <w:t>ת</w:t>
      </w:r>
      <w:r w:rsidRPr="000C2161">
        <w:rPr>
          <w:rtl/>
        </w:rPr>
        <w:t xml:space="preserve"> ובקרב החברה החרדית בהשוואה לקבוצות אחרות בחברה היהודית. </w:t>
      </w:r>
      <w:r w:rsidRPr="000C2161">
        <w:rPr>
          <w:rFonts w:hint="eastAsia"/>
          <w:rtl/>
        </w:rPr>
        <w:t>על</w:t>
      </w:r>
      <w:r w:rsidRPr="000C2161">
        <w:rPr>
          <w:rtl/>
        </w:rPr>
        <w:t xml:space="preserve"> פי נתוני </w:t>
      </w:r>
      <w:r w:rsidRPr="000C2161">
        <w:rPr>
          <w:rFonts w:hint="eastAsia"/>
          <w:rtl/>
        </w:rPr>
        <w:t>הלמ</w:t>
      </w:r>
      <w:r w:rsidRPr="000C2161">
        <w:rPr>
          <w:rtl/>
        </w:rPr>
        <w:t>"ס, מספר האנשים הכולל בשלוש קבוצות אוכלוסייה אלה היה כ-</w:t>
      </w:r>
      <w:r w:rsidRPr="000C2161">
        <w:rPr>
          <w:rFonts w:hint="cs"/>
          <w:rtl/>
        </w:rPr>
        <w:t xml:space="preserve">3 </w:t>
      </w:r>
      <w:r w:rsidRPr="000C2161">
        <w:rPr>
          <w:rtl/>
        </w:rPr>
        <w:t xml:space="preserve">מיליון איש בשנת 2021; </w:t>
      </w:r>
      <w:r w:rsidRPr="000C2161">
        <w:rPr>
          <w:rFonts w:hint="cs"/>
          <w:rtl/>
        </w:rPr>
        <w:t>ומהם</w:t>
      </w:r>
      <w:r w:rsidRPr="000C2161">
        <w:rPr>
          <w:rtl/>
        </w:rPr>
        <w:t xml:space="preserve">, </w:t>
      </w:r>
      <w:r w:rsidRPr="000C2161">
        <w:rPr>
          <w:rFonts w:hint="cs"/>
          <w:rtl/>
        </w:rPr>
        <w:t>לפחות כמחצית, על פי נתוני הלמ"ס ל</w:t>
      </w:r>
      <w:r w:rsidRPr="000C2161">
        <w:rPr>
          <w:rFonts w:hint="cs"/>
          <w:rtl/>
        </w:rPr>
        <w:t>אותה שנה</w:t>
      </w:r>
      <w:r>
        <w:rPr>
          <w:rStyle w:val="a8"/>
          <w:rtl/>
        </w:rPr>
        <w:footnoteReference w:id="121"/>
      </w:r>
      <w:r w:rsidRPr="000C2161">
        <w:rPr>
          <w:rFonts w:hint="cs"/>
          <w:rtl/>
        </w:rPr>
        <w:t xml:space="preserve">, </w:t>
      </w:r>
      <w:r w:rsidRPr="000C2161">
        <w:rPr>
          <w:rtl/>
        </w:rPr>
        <w:t xml:space="preserve">לא עשו שימוש במרשתת לצריכת שירותי ממשל. </w:t>
      </w:r>
      <w:r w:rsidRPr="000C2161">
        <w:rPr>
          <w:rFonts w:hint="cs"/>
          <w:rtl/>
        </w:rPr>
        <w:t xml:space="preserve">מדובר בשיעור משמעותי של אנשים, ועל כן מומלץ כי גופי הממשל ינקטו בפעולות שיאפשרו הנגשה מיטבית של שירותי הממשל לשלוש קבוצות אוכלוסייה אלו. </w:t>
      </w:r>
    </w:p>
    <w:p w:rsidR="00BF1E3B" w:rsidRPr="00B74C6A" w:rsidRDefault="00DF6A0A" w:rsidP="00B74C6A">
      <w:pPr>
        <w:pStyle w:val="73414"/>
        <w:rPr>
          <w:rtl/>
        </w:rPr>
      </w:pPr>
      <w:r w:rsidRPr="00B74C6A">
        <w:rPr>
          <w:rFonts w:hint="cs"/>
          <w:rtl/>
        </w:rPr>
        <w:t>סקר שעשה משרד מבקר המדינה על צריכת שירותי ממשל בקרב אנשים משלוש קבו</w:t>
      </w:r>
      <w:r w:rsidRPr="00B74C6A">
        <w:rPr>
          <w:rFonts w:hint="cs"/>
          <w:rtl/>
        </w:rPr>
        <w:t xml:space="preserve">צות אוכלוסייה - בני 60 ומעלה, החברה הערבית והחברה החרדית </w:t>
      </w:r>
    </w:p>
    <w:p w:rsidR="00BF1E3B" w:rsidRPr="00373CBE" w:rsidRDefault="00DF6A0A" w:rsidP="00C619CC">
      <w:pPr>
        <w:pStyle w:val="7392"/>
      </w:pPr>
      <w:r w:rsidRPr="00373CBE">
        <w:rPr>
          <w:rFonts w:hint="cs"/>
          <w:rtl/>
        </w:rPr>
        <w:t xml:space="preserve">כדי לקבל מידע על חסמים שעומדים בפני אנשים משלוש הקבוצות </w:t>
      </w:r>
      <w:r>
        <w:rPr>
          <w:rFonts w:hint="cs"/>
          <w:rtl/>
        </w:rPr>
        <w:t>שבהן</w:t>
      </w:r>
      <w:r w:rsidRPr="00373CBE">
        <w:rPr>
          <w:rFonts w:hint="cs"/>
          <w:rtl/>
        </w:rPr>
        <w:t xml:space="preserve"> שימוש מופחת במרשתת לצריכת שירותים ממשלתיים</w:t>
      </w:r>
      <w:r>
        <w:rPr>
          <w:rFonts w:hint="cs"/>
          <w:rtl/>
        </w:rPr>
        <w:t>,</w:t>
      </w:r>
      <w:r w:rsidRPr="00373CBE">
        <w:rPr>
          <w:rFonts w:hint="cs"/>
          <w:rtl/>
        </w:rPr>
        <w:t xml:space="preserve"> עשה מבקר המדינה סקר </w:t>
      </w:r>
      <w:r>
        <w:rPr>
          <w:rFonts w:hint="cs"/>
          <w:rtl/>
        </w:rPr>
        <w:t>באמצעות</w:t>
      </w:r>
      <w:r w:rsidRPr="00373CBE">
        <w:rPr>
          <w:rtl/>
        </w:rPr>
        <w:t xml:space="preserve"> תשאול טלפוני</w:t>
      </w:r>
      <w:r>
        <w:rPr>
          <w:rFonts w:ascii="David" w:hAnsi="David"/>
          <w:vertAlign w:val="superscript"/>
          <w:rtl/>
        </w:rPr>
        <w:footnoteReference w:id="122"/>
      </w:r>
      <w:r w:rsidRPr="00373CBE">
        <w:rPr>
          <w:rFonts w:hint="cs"/>
          <w:rtl/>
        </w:rPr>
        <w:t xml:space="preserve">. לצורך כך אותרו באופן מדגמי </w:t>
      </w:r>
      <w:r w:rsidRPr="00373CBE">
        <w:rPr>
          <w:rtl/>
        </w:rPr>
        <w:t xml:space="preserve">301 </w:t>
      </w:r>
      <w:r w:rsidRPr="00373CBE">
        <w:rPr>
          <w:rFonts w:hint="cs"/>
          <w:rtl/>
        </w:rPr>
        <w:t>איש: שליש מהם אנשים</w:t>
      </w:r>
      <w:r w:rsidRPr="00373CBE">
        <w:rPr>
          <w:rFonts w:hint="cs"/>
          <w:rtl/>
        </w:rPr>
        <w:t xml:space="preserve"> מעל גיל 60 מהחברה הכללית</w:t>
      </w:r>
      <w:r>
        <w:rPr>
          <w:rStyle w:val="a8"/>
          <w:rFonts w:eastAsia="Calibri"/>
          <w:sz w:val="24"/>
          <w:rtl/>
        </w:rPr>
        <w:footnoteReference w:id="123"/>
      </w:r>
      <w:r w:rsidRPr="00373CBE">
        <w:rPr>
          <w:rFonts w:hint="cs"/>
          <w:rtl/>
        </w:rPr>
        <w:t xml:space="preserve">, שליש בני 18 ומעלה מן החברה החרדית ושליש </w:t>
      </w:r>
      <w:r>
        <w:rPr>
          <w:rFonts w:hint="cs"/>
          <w:rtl/>
        </w:rPr>
        <w:t>בני 18 ומעלה מן</w:t>
      </w:r>
      <w:r w:rsidRPr="00373CBE">
        <w:rPr>
          <w:rFonts w:hint="cs"/>
          <w:rtl/>
        </w:rPr>
        <w:t xml:space="preserve"> </w:t>
      </w:r>
      <w:r w:rsidRPr="00373CBE">
        <w:rPr>
          <w:rtl/>
        </w:rPr>
        <w:t>החברה הערבית. כל המשיבים נבחרו לסקר בשל העדפתם, על פי תשאול ראשוני</w:t>
      </w:r>
      <w:r>
        <w:rPr>
          <w:vertAlign w:val="superscript"/>
          <w:rtl/>
        </w:rPr>
        <w:footnoteReference w:id="124"/>
      </w:r>
      <w:r w:rsidRPr="00373CBE">
        <w:rPr>
          <w:rtl/>
        </w:rPr>
        <w:t>,</w:t>
      </w:r>
      <w:r>
        <w:rPr>
          <w:rtl/>
        </w:rPr>
        <w:t xml:space="preserve"> </w:t>
      </w:r>
      <w:r>
        <w:rPr>
          <w:rFonts w:hint="cs"/>
          <w:rtl/>
        </w:rPr>
        <w:t>ש</w:t>
      </w:r>
      <w:r w:rsidRPr="00373CBE">
        <w:rPr>
          <w:rFonts w:hint="cs"/>
          <w:rtl/>
        </w:rPr>
        <w:t xml:space="preserve">לא </w:t>
      </w:r>
      <w:r>
        <w:rPr>
          <w:rFonts w:hint="cs"/>
          <w:rtl/>
        </w:rPr>
        <w:t>לצרוך</w:t>
      </w:r>
      <w:r w:rsidRPr="00373CBE">
        <w:rPr>
          <w:rFonts w:hint="cs"/>
          <w:rtl/>
        </w:rPr>
        <w:t xml:space="preserve"> את השירותים </w:t>
      </w:r>
      <w:r>
        <w:rPr>
          <w:rFonts w:hint="cs"/>
          <w:rtl/>
        </w:rPr>
        <w:t xml:space="preserve">הממשלתיים </w:t>
      </w:r>
      <w:r w:rsidRPr="00373CBE">
        <w:rPr>
          <w:rFonts w:hint="cs"/>
          <w:rtl/>
        </w:rPr>
        <w:t>בערוצים הדיגיטליים אלא בערוץ ה</w:t>
      </w:r>
      <w:r w:rsidRPr="00373CBE">
        <w:rPr>
          <w:rtl/>
        </w:rPr>
        <w:t>טלפו</w:t>
      </w:r>
      <w:r w:rsidRPr="00373CBE">
        <w:rPr>
          <w:rFonts w:hint="cs"/>
          <w:rtl/>
        </w:rPr>
        <w:t>ני</w:t>
      </w:r>
      <w:r w:rsidRPr="00373CBE">
        <w:rPr>
          <w:rtl/>
        </w:rPr>
        <w:t xml:space="preserve"> או </w:t>
      </w:r>
      <w:r w:rsidRPr="00373CBE">
        <w:rPr>
          <w:rFonts w:hint="cs"/>
          <w:rtl/>
        </w:rPr>
        <w:t xml:space="preserve">בלשכת קבלת קהל. להלן הממצאים שעלו: </w:t>
      </w:r>
    </w:p>
    <w:p w:rsidR="00BF1E3B" w:rsidRPr="004B203F" w:rsidRDefault="00DF6A0A" w:rsidP="004B203F">
      <w:pPr>
        <w:pStyle w:val="7392"/>
        <w:rPr>
          <w:rtl/>
        </w:rPr>
      </w:pPr>
      <w:r w:rsidRPr="004B203F">
        <w:rPr>
          <w:rFonts w:hint="cs"/>
          <w:rtl/>
        </w:rPr>
        <w:t>המשיבים לסקר ציינו כאמור כי הם מעדיפים לצרוך שירותים ממשלתיים בערוצים מסורתיים, כגון בטלפון או בלשכת קבלת קהל, ולא בערוצים הדיגיטליים. עם זאת, חלקם צרכו שירותים אלה גם בערוצים הדיגיטליים. להלן תרשים המציג את שימוש המשיבי</w:t>
      </w:r>
      <w:r w:rsidRPr="004B203F">
        <w:rPr>
          <w:rFonts w:hint="cs"/>
          <w:rtl/>
        </w:rPr>
        <w:t>ם במרשתת על פי קבוצות השייכות שהוגדרו.</w:t>
      </w:r>
    </w:p>
    <w:p w:rsidR="00BF1E3B" w:rsidRPr="000C2161" w:rsidRDefault="00DF6A0A" w:rsidP="000C2161">
      <w:pPr>
        <w:pStyle w:val="738"/>
        <w:rPr>
          <w:rtl/>
        </w:rPr>
      </w:pPr>
      <w:r w:rsidRPr="000C2161">
        <w:rPr>
          <w:b w:val="0"/>
          <w:bCs w:val="0"/>
          <w:noProof/>
          <w:rtl/>
          <w:lang w:val="he-IL"/>
        </w:rPr>
        <w:lastRenderedPageBreak/>
        <w:drawing>
          <wp:anchor distT="0" distB="0" distL="114300" distR="114300" simplePos="0" relativeHeight="251744256" behindDoc="0" locked="0" layoutInCell="1" allowOverlap="1">
            <wp:simplePos x="0" y="0"/>
            <wp:positionH relativeFrom="column">
              <wp:posOffset>-3810</wp:posOffset>
            </wp:positionH>
            <wp:positionV relativeFrom="paragraph">
              <wp:posOffset>325120</wp:posOffset>
            </wp:positionV>
            <wp:extent cx="4679950" cy="2089785"/>
            <wp:effectExtent l="0" t="0" r="6350" b="0"/>
            <wp:wrapTopAndBottom/>
            <wp:docPr id="2052770968" name="תמונה 2052770968" descr="שלוש קבוצות השייכות שביניהן בוצעה ההשוואה הן: בני 60 ומעלה מהאוכלוסייה הכללית, בני 18 ומעלה מהחברה היהודית-חרדית ובני 18 ומעלה מהחברה הערבית. בקטע שלאחר התרשים מוצגים עיקרי הממצאים העולים ב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8" name="תמונה 2052770968"/>
                    <pic:cNvPicPr/>
                  </pic:nvPicPr>
                  <pic:blipFill>
                    <a:blip r:embed="rId78">
                      <a:extLst>
                        <a:ext uri="{28A0092B-C50C-407E-A947-70E740481C1C}">
                          <a14:useLocalDpi xmlns:a14="http://schemas.microsoft.com/office/drawing/2010/main" val="0"/>
                        </a:ext>
                      </a:extLst>
                    </a:blip>
                    <a:stretch>
                      <a:fillRect/>
                    </a:stretch>
                  </pic:blipFill>
                  <pic:spPr>
                    <a:xfrm>
                      <a:off x="0" y="0"/>
                      <a:ext cx="4679950" cy="2089785"/>
                    </a:xfrm>
                    <a:prstGeom prst="rect">
                      <a:avLst/>
                    </a:prstGeom>
                  </pic:spPr>
                </pic:pic>
              </a:graphicData>
            </a:graphic>
            <wp14:sizeRelH relativeFrom="page">
              <wp14:pctWidth>0</wp14:pctWidth>
            </wp14:sizeRelH>
            <wp14:sizeRelV relativeFrom="page">
              <wp14:pctHeight>0</wp14:pctHeight>
            </wp14:sizeRelV>
          </wp:anchor>
        </w:drawing>
      </w:r>
      <w:r w:rsidRPr="000C2161">
        <w:rPr>
          <w:b w:val="0"/>
          <w:bCs w:val="0"/>
          <w:rtl/>
        </w:rPr>
        <w:t xml:space="preserve">תרשים </w:t>
      </w:r>
      <w:r w:rsidRPr="000C2161">
        <w:rPr>
          <w:rFonts w:hint="cs"/>
          <w:b w:val="0"/>
          <w:bCs w:val="0"/>
          <w:rtl/>
        </w:rPr>
        <w:t>25</w:t>
      </w:r>
      <w:r w:rsidRPr="000C2161">
        <w:rPr>
          <w:b w:val="0"/>
          <w:bCs w:val="0"/>
          <w:rtl/>
        </w:rPr>
        <w:t>:</w:t>
      </w:r>
      <w:r w:rsidRPr="000C2161">
        <w:rPr>
          <w:rtl/>
        </w:rPr>
        <w:t xml:space="preserve"> שימוש במרשתת</w:t>
      </w:r>
      <w:r w:rsidRPr="000C2161">
        <w:rPr>
          <w:rFonts w:hint="cs"/>
          <w:rtl/>
        </w:rPr>
        <w:t>,</w:t>
      </w:r>
      <w:r w:rsidRPr="000C2161">
        <w:rPr>
          <w:rtl/>
        </w:rPr>
        <w:t xml:space="preserve"> על פי קבוצות </w:t>
      </w:r>
      <w:r w:rsidRPr="000C2161">
        <w:rPr>
          <w:rFonts w:hint="cs"/>
          <w:rtl/>
        </w:rPr>
        <w:t>שייכות</w:t>
      </w:r>
      <w:r>
        <w:rPr>
          <w:vertAlign w:val="superscript"/>
          <w:rtl/>
        </w:rPr>
        <w:footnoteReference w:id="125"/>
      </w:r>
    </w:p>
    <w:p w:rsidR="00BF1E3B" w:rsidRPr="000C2161" w:rsidRDefault="00DF6A0A" w:rsidP="000C2161">
      <w:pPr>
        <w:pStyle w:val="73e"/>
        <w:rPr>
          <w:rStyle w:val="ab"/>
          <w:rtl/>
        </w:rPr>
      </w:pPr>
      <w:r w:rsidRPr="000C2161">
        <w:rPr>
          <w:rStyle w:val="ab"/>
          <w:rFonts w:hint="cs"/>
          <w:rtl/>
        </w:rPr>
        <w:t>על פי</w:t>
      </w:r>
      <w:r w:rsidRPr="000C2161">
        <w:rPr>
          <w:rStyle w:val="ab"/>
          <w:rtl/>
        </w:rPr>
        <w:t xml:space="preserve"> ממצאי </w:t>
      </w:r>
      <w:r w:rsidRPr="000C2161">
        <w:rPr>
          <w:rStyle w:val="ab"/>
          <w:rFonts w:hint="cs"/>
          <w:rtl/>
        </w:rPr>
        <w:t>ה</w:t>
      </w:r>
      <w:r w:rsidRPr="000C2161">
        <w:rPr>
          <w:rStyle w:val="ab"/>
          <w:rFonts w:hint="eastAsia"/>
          <w:rtl/>
        </w:rPr>
        <w:t>סקר</w:t>
      </w:r>
      <w:r w:rsidRPr="000C2161">
        <w:rPr>
          <w:rStyle w:val="ab"/>
          <w:rtl/>
        </w:rPr>
        <w:t xml:space="preserve"> </w:t>
      </w:r>
      <w:r w:rsidRPr="000C2161">
        <w:rPr>
          <w:rStyle w:val="ab"/>
          <w:rFonts w:hint="cs"/>
          <w:rtl/>
        </w:rPr>
        <w:t>ה</w:t>
      </w:r>
      <w:r w:rsidRPr="000C2161">
        <w:rPr>
          <w:rStyle w:val="ab"/>
          <w:rFonts w:hint="eastAsia"/>
          <w:rtl/>
        </w:rPr>
        <w:t>טלפוני</w:t>
      </w:r>
      <w:r w:rsidRPr="000C2161">
        <w:rPr>
          <w:rStyle w:val="ab"/>
          <w:rtl/>
        </w:rPr>
        <w:t xml:space="preserve">, </w:t>
      </w:r>
      <w:r w:rsidRPr="000C2161">
        <w:rPr>
          <w:rStyle w:val="ab"/>
          <w:rFonts w:hint="eastAsia"/>
          <w:rtl/>
        </w:rPr>
        <w:t>משרד</w:t>
      </w:r>
      <w:r w:rsidRPr="000C2161">
        <w:rPr>
          <w:rStyle w:val="ab"/>
          <w:rtl/>
        </w:rPr>
        <w:t xml:space="preserve"> </w:t>
      </w:r>
      <w:r w:rsidRPr="000C2161">
        <w:rPr>
          <w:rStyle w:val="ab"/>
          <w:rFonts w:hint="eastAsia"/>
          <w:rtl/>
        </w:rPr>
        <w:t>מבקר</w:t>
      </w:r>
      <w:r w:rsidRPr="000C2161">
        <w:rPr>
          <w:rStyle w:val="ab"/>
          <w:rtl/>
        </w:rPr>
        <w:t xml:space="preserve"> </w:t>
      </w:r>
      <w:r w:rsidRPr="000C2161">
        <w:rPr>
          <w:rStyle w:val="ab"/>
          <w:rFonts w:hint="eastAsia"/>
          <w:rtl/>
        </w:rPr>
        <w:t>המדינה</w:t>
      </w:r>
      <w:r w:rsidRPr="000C2161">
        <w:rPr>
          <w:rStyle w:val="ab"/>
          <w:rtl/>
        </w:rPr>
        <w:t>.</w:t>
      </w:r>
    </w:p>
    <w:p w:rsidR="00BF1E3B" w:rsidRPr="000C2161" w:rsidRDefault="00DF6A0A" w:rsidP="000C2161">
      <w:pPr>
        <w:pStyle w:val="735"/>
        <w:rPr>
          <w:rFonts w:eastAsia="Calibri"/>
          <w:rtl/>
        </w:rPr>
      </w:pPr>
      <w:r w:rsidRPr="000C2161">
        <w:rPr>
          <w:rFonts w:eastAsia="Calibri"/>
          <w:rtl/>
        </w:rPr>
        <w:t xml:space="preserve">מן התרשים עולה כי </w:t>
      </w:r>
      <w:r w:rsidRPr="000C2161">
        <w:rPr>
          <w:rFonts w:eastAsia="Calibri" w:hint="cs"/>
          <w:rtl/>
        </w:rPr>
        <w:t>ב</w:t>
      </w:r>
      <w:r w:rsidRPr="000C2161">
        <w:rPr>
          <w:rFonts w:eastAsia="Calibri"/>
          <w:rtl/>
        </w:rPr>
        <w:t>קרב המשיבים לסקר</w:t>
      </w:r>
      <w:r w:rsidRPr="000C2161">
        <w:rPr>
          <w:rFonts w:eastAsia="Calibri" w:hint="cs"/>
          <w:rtl/>
        </w:rPr>
        <w:t xml:space="preserve"> שמעדיפים לקבל שירות בערוץ טלפוני או פרונטלי אך צרכו בפועל שירותים גם בערוצים דיגיטליים, קבלת שירות ממשלתי באמצעים הדיגיטליים היא השימוש העיקרי של בני ה-60 ומעלה ושל החברה החרדית במרשתת: 51% מהמשיבים בגילי 60 ומעלה ו-39% מהמשיבים מן החברה החרדית משתמשים במ</w:t>
      </w:r>
      <w:r w:rsidRPr="000C2161">
        <w:rPr>
          <w:rFonts w:eastAsia="Calibri" w:hint="cs"/>
          <w:rtl/>
        </w:rPr>
        <w:t xml:space="preserve">רשתת למטרה זו. </w:t>
      </w:r>
      <w:r w:rsidRPr="000C2161">
        <w:rPr>
          <w:rFonts w:eastAsia="Calibri"/>
          <w:rtl/>
        </w:rPr>
        <w:t>זאת לעומת שיעור</w:t>
      </w:r>
      <w:r w:rsidRPr="000C2161">
        <w:rPr>
          <w:rFonts w:eastAsia="Calibri" w:hint="cs"/>
          <w:rtl/>
        </w:rPr>
        <w:t xml:space="preserve">ים נמוכים יותר של </w:t>
      </w:r>
      <w:r w:rsidRPr="000C2161">
        <w:rPr>
          <w:rFonts w:eastAsia="Calibri"/>
          <w:rtl/>
        </w:rPr>
        <w:t xml:space="preserve">שימוש </w:t>
      </w:r>
      <w:r w:rsidRPr="000C2161">
        <w:rPr>
          <w:rFonts w:eastAsia="Calibri" w:hint="cs"/>
          <w:rtl/>
        </w:rPr>
        <w:t xml:space="preserve">לצרכים </w:t>
      </w:r>
      <w:r w:rsidRPr="000C2161">
        <w:rPr>
          <w:rFonts w:eastAsia="Calibri"/>
          <w:rtl/>
        </w:rPr>
        <w:t xml:space="preserve">אחרים </w:t>
      </w:r>
      <w:r w:rsidRPr="000C2161">
        <w:rPr>
          <w:rFonts w:eastAsia="Calibri" w:hint="cs"/>
          <w:rtl/>
        </w:rPr>
        <w:t>כ</w:t>
      </w:r>
      <w:r w:rsidRPr="000C2161">
        <w:rPr>
          <w:rFonts w:eastAsia="Calibri"/>
          <w:rtl/>
        </w:rPr>
        <w:t>רכישת בגדים, מזון וכרטיסים לא</w:t>
      </w:r>
      <w:r w:rsidRPr="000C2161">
        <w:rPr>
          <w:rFonts w:eastAsia="Calibri" w:hint="cs"/>
          <w:rtl/>
        </w:rPr>
        <w:t>י</w:t>
      </w:r>
      <w:r w:rsidRPr="000C2161">
        <w:rPr>
          <w:rFonts w:eastAsia="Calibri"/>
          <w:rtl/>
        </w:rPr>
        <w:t xml:space="preserve">רועים. </w:t>
      </w:r>
      <w:r w:rsidRPr="000C2161">
        <w:rPr>
          <w:rFonts w:eastAsia="Calibri" w:hint="cs"/>
          <w:rtl/>
        </w:rPr>
        <w:t>בחברה הערבית השימוש העיקרי במרשתת - של 28% מהמשיבים - הוא קניית בגדים. השימוש במרשתת לצריכת שירותים ממשלתיים דורג מעט נמוך יותר וצוין על ידי 23% מהמשיב</w:t>
      </w:r>
      <w:r w:rsidRPr="000C2161">
        <w:rPr>
          <w:rFonts w:eastAsia="Calibri" w:hint="cs"/>
          <w:rtl/>
        </w:rPr>
        <w:t xml:space="preserve">ים. </w:t>
      </w:r>
    </w:p>
    <w:p w:rsidR="00BF1E3B" w:rsidRPr="00373CBE" w:rsidRDefault="00DF6A0A" w:rsidP="00C619CC">
      <w:pPr>
        <w:pStyle w:val="7392"/>
        <w:rPr>
          <w:rtl/>
        </w:rPr>
      </w:pPr>
      <w:r w:rsidRPr="00C619CC">
        <w:rPr>
          <w:rStyle w:val="7371"/>
          <w:rFonts w:hint="cs"/>
          <w:rtl/>
        </w:rPr>
        <w:t>סיבות לאי-העדפת הערוצים הדיגיטליים:</w:t>
      </w:r>
      <w:r>
        <w:rPr>
          <w:rFonts w:hint="cs"/>
          <w:rtl/>
        </w:rPr>
        <w:t xml:space="preserve"> </w:t>
      </w:r>
      <w:r w:rsidRPr="00373CBE">
        <w:rPr>
          <w:rFonts w:hint="cs"/>
          <w:rtl/>
        </w:rPr>
        <w:t>המשיבים לסקר התבקשו לציין סיבות לאי-העדפת השירות הממשלתי בערוצים הדיגיטליים</w:t>
      </w:r>
      <w:r>
        <w:rPr>
          <w:rFonts w:hint="cs"/>
          <w:rtl/>
        </w:rPr>
        <w:t>.</w:t>
      </w:r>
      <w:r w:rsidRPr="00373CBE">
        <w:rPr>
          <w:rFonts w:hint="cs"/>
          <w:rtl/>
        </w:rPr>
        <w:t xml:space="preserve"> להלן בתרשים הממצאים שעלו</w:t>
      </w:r>
      <w:r>
        <w:rPr>
          <w:vertAlign w:val="superscript"/>
          <w:rtl/>
        </w:rPr>
        <w:footnoteReference w:id="126"/>
      </w:r>
      <w:r w:rsidRPr="00373CBE">
        <w:rPr>
          <w:rFonts w:hint="cs"/>
          <w:rtl/>
        </w:rPr>
        <w:t xml:space="preserve">. </w:t>
      </w:r>
    </w:p>
    <w:p w:rsidR="00BF1E3B" w:rsidRPr="000C2161" w:rsidRDefault="00DF6A0A" w:rsidP="000C2161">
      <w:pPr>
        <w:pStyle w:val="738"/>
        <w:rPr>
          <w:rtl/>
        </w:rPr>
      </w:pPr>
      <w:r w:rsidRPr="000C2161">
        <w:rPr>
          <w:b w:val="0"/>
          <w:bCs w:val="0"/>
          <w:rtl/>
        </w:rPr>
        <w:lastRenderedPageBreak/>
        <w:t>תרשים</w:t>
      </w:r>
      <w:r w:rsidRPr="000C2161">
        <w:rPr>
          <w:rFonts w:hint="cs"/>
          <w:b w:val="0"/>
          <w:bCs w:val="0"/>
          <w:rtl/>
        </w:rPr>
        <w:t xml:space="preserve"> 26</w:t>
      </w:r>
      <w:r w:rsidRPr="000C2161">
        <w:rPr>
          <w:b w:val="0"/>
          <w:bCs w:val="0"/>
          <w:rtl/>
        </w:rPr>
        <w:t>:</w:t>
      </w:r>
      <w:r w:rsidRPr="000C2161">
        <w:rPr>
          <w:rtl/>
        </w:rPr>
        <w:t xml:space="preserve"> סיבות לאי-העדפ</w:t>
      </w:r>
      <w:r w:rsidRPr="000C2161">
        <w:rPr>
          <w:rFonts w:hint="cs"/>
          <w:rtl/>
        </w:rPr>
        <w:t>ת הערוצים הדיגיטליים לקבלת</w:t>
      </w:r>
      <w:r w:rsidRPr="000C2161">
        <w:rPr>
          <w:rtl/>
        </w:rPr>
        <w:t xml:space="preserve"> שירות ממשלתי </w:t>
      </w:r>
    </w:p>
    <w:p w:rsidR="00BF1E3B" w:rsidRDefault="00DF6A0A" w:rsidP="00BF1E3B">
      <w:pPr>
        <w:rPr>
          <w:rFonts w:ascii="David" w:eastAsia="Calibri" w:hAnsi="David"/>
          <w:szCs w:val="20"/>
          <w:rtl/>
        </w:rPr>
      </w:pPr>
      <w:r w:rsidRPr="00BF1E3B">
        <w:rPr>
          <w:noProof/>
        </w:rPr>
        <w:drawing>
          <wp:inline distT="0" distB="0" distL="0" distR="0">
            <wp:extent cx="4716252" cy="2003425"/>
            <wp:effectExtent l="0" t="0" r="0" b="0"/>
            <wp:docPr id="2052770965" name="תמונה 2052770965" descr="התרשים מציג השוואה בין שלוש קבוצות: בני 60 ומעלה מהאוכלוסייה הכללית, בני 18 ומעלה מהחברה היהודית-חרדית ובני 18 ומעלה מהחברה הערבית. בקטע המלל שלאחר התרשים מוצגים עיקרי הממצאים העולים ממנו.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5" name="תמונה 2052770965"/>
                    <pic:cNvPicPr/>
                  </pic:nvPicPr>
                  <pic:blipFill>
                    <a:blip r:embed="rId33">
                      <a:extLst>
                        <a:ext uri="{28A0092B-C50C-407E-A947-70E740481C1C}">
                          <a14:useLocalDpi xmlns:a14="http://schemas.microsoft.com/office/drawing/2010/main" val="0"/>
                        </a:ext>
                      </a:extLst>
                    </a:blip>
                    <a:stretch>
                      <a:fillRect/>
                    </a:stretch>
                  </pic:blipFill>
                  <pic:spPr>
                    <a:xfrm>
                      <a:off x="0" y="0"/>
                      <a:ext cx="4728863" cy="2008782"/>
                    </a:xfrm>
                    <a:prstGeom prst="rect">
                      <a:avLst/>
                    </a:prstGeom>
                    <a:ln>
                      <a:noFill/>
                    </a:ln>
                  </pic:spPr>
                </pic:pic>
              </a:graphicData>
            </a:graphic>
          </wp:inline>
        </w:drawing>
      </w:r>
    </w:p>
    <w:p w:rsidR="00BF1E3B" w:rsidRPr="000C2161" w:rsidRDefault="00DF6A0A" w:rsidP="000C2161">
      <w:pPr>
        <w:pStyle w:val="73e"/>
        <w:rPr>
          <w:rtl/>
        </w:rPr>
      </w:pPr>
      <w:r w:rsidRPr="000C2161">
        <w:rPr>
          <w:rFonts w:hint="cs"/>
          <w:rtl/>
        </w:rPr>
        <w:t>על פי ממצאי הסקר הטלפוני, משרד מבקר המדינה.</w:t>
      </w:r>
    </w:p>
    <w:p w:rsidR="00BF1E3B" w:rsidRPr="000C2161" w:rsidRDefault="00DF6A0A" w:rsidP="000C2161">
      <w:pPr>
        <w:pStyle w:val="735"/>
        <w:rPr>
          <w:rFonts w:eastAsia="Calibri"/>
          <w:rtl/>
        </w:rPr>
      </w:pPr>
      <w:r w:rsidRPr="000C2161">
        <w:rPr>
          <w:rFonts w:eastAsia="Calibri" w:hint="cs"/>
          <w:rtl/>
        </w:rPr>
        <w:t>להלן עיקר הממצאים שעלו מהסקר לעניין אי-העדפת הערוצים הדיגיטליים לקבלת שירות ממשלתי:</w:t>
      </w:r>
    </w:p>
    <w:p w:rsidR="00BF1E3B" w:rsidRPr="000C2161" w:rsidRDefault="00DF6A0A">
      <w:pPr>
        <w:pStyle w:val="711"/>
        <w:numPr>
          <w:ilvl w:val="0"/>
          <w:numId w:val="18"/>
        </w:numPr>
        <w:ind w:left="623" w:hanging="396"/>
      </w:pPr>
      <w:r w:rsidRPr="000C2161">
        <w:rPr>
          <w:rtl/>
        </w:rPr>
        <w:t>הקושי הטכנולוגי הוא הסיבה המרכזית</w:t>
      </w:r>
      <w:r w:rsidRPr="000C2161">
        <w:rPr>
          <w:rFonts w:hint="cs"/>
          <w:rtl/>
        </w:rPr>
        <w:t xml:space="preserve"> לאי-העדפת הערוצים הדיגיטליים שציינו משיבים מן החברה הערבית (45%) ומשיבים בני 60 ומעלה (39%). </w:t>
      </w:r>
    </w:p>
    <w:p w:rsidR="00BF1E3B" w:rsidRPr="000C2161" w:rsidRDefault="00DF6A0A">
      <w:pPr>
        <w:pStyle w:val="711"/>
        <w:numPr>
          <w:ilvl w:val="0"/>
          <w:numId w:val="18"/>
        </w:numPr>
        <w:ind w:left="623" w:hanging="396"/>
      </w:pPr>
      <w:r w:rsidRPr="000C2161">
        <w:rPr>
          <w:rFonts w:hint="cs"/>
          <w:rtl/>
        </w:rPr>
        <w:t>בחברה הערבית ציינו 15% מן המשיבים כי הם נמנ</w:t>
      </w:r>
      <w:r w:rsidRPr="000C2161">
        <w:rPr>
          <w:rFonts w:hint="cs"/>
          <w:rtl/>
        </w:rPr>
        <w:t xml:space="preserve">עים משימוש בערוצי השירות הדיגיטליים בשל חשש להזין פרטים אישיים במרשתת. ראוי לציין, כי קשיי שפה, כגורם לאי העדפת השירות הממשלתי הדיגיטלי, צוינו על ידי 6% מן המשיבים מן החברה הערבית. </w:t>
      </w:r>
    </w:p>
    <w:p w:rsidR="00BF1E3B" w:rsidRPr="000C2161" w:rsidRDefault="00DF6A0A">
      <w:pPr>
        <w:pStyle w:val="711"/>
        <w:numPr>
          <w:ilvl w:val="0"/>
          <w:numId w:val="18"/>
        </w:numPr>
        <w:ind w:left="623" w:hanging="396"/>
      </w:pPr>
      <w:r w:rsidRPr="000C2161">
        <w:rPr>
          <w:rFonts w:hint="cs"/>
          <w:rtl/>
        </w:rPr>
        <w:t>ב</w:t>
      </w:r>
      <w:r w:rsidRPr="000C2161">
        <w:rPr>
          <w:rtl/>
        </w:rPr>
        <w:t>חברה החרדית, הסיבה המרכזית</w:t>
      </w:r>
      <w:r w:rsidRPr="000C2161">
        <w:rPr>
          <w:rFonts w:hint="cs"/>
          <w:rtl/>
        </w:rPr>
        <w:t>, ש</w:t>
      </w:r>
      <w:r w:rsidRPr="000C2161">
        <w:rPr>
          <w:rtl/>
        </w:rPr>
        <w:t xml:space="preserve">ציינו </w:t>
      </w:r>
      <w:r w:rsidRPr="000C2161">
        <w:rPr>
          <w:rFonts w:hint="cs"/>
          <w:rtl/>
        </w:rPr>
        <w:t xml:space="preserve">מחצית מהמשיבים, </w:t>
      </w:r>
      <w:r w:rsidRPr="000C2161">
        <w:rPr>
          <w:rtl/>
        </w:rPr>
        <w:t>היא</w:t>
      </w:r>
      <w:r w:rsidRPr="000C2161">
        <w:rPr>
          <w:rFonts w:hint="cs"/>
          <w:rtl/>
        </w:rPr>
        <w:t xml:space="preserve"> היעדר תשתית ואמצעי</w:t>
      </w:r>
      <w:r w:rsidRPr="000C2161">
        <w:rPr>
          <w:rFonts w:hint="cs"/>
          <w:rtl/>
        </w:rPr>
        <w:t>ם לחיבור למרשתת (למשל טלפון חכם)</w:t>
      </w:r>
      <w:r w:rsidRPr="000C2161">
        <w:rPr>
          <w:rtl/>
        </w:rPr>
        <w:t>.</w:t>
      </w:r>
      <w:r w:rsidRPr="000C2161">
        <w:rPr>
          <w:rFonts w:hint="cs"/>
          <w:rtl/>
        </w:rPr>
        <w:t xml:space="preserve"> 21% מן המשיבים מקבוצה זו ציינו קושי טכנולוגי כסיבה להעדפתם שלא להשתמש בערוץ הדיגיטלי לקבלת שירותים ממשלתיים, ו-17% ציינו כי הסיבה לאי-השימוש במרשתת לצריכת שירותים ממשלתיים היא על רקע דתי</w:t>
      </w:r>
      <w:r>
        <w:rPr>
          <w:vertAlign w:val="superscript"/>
          <w:rtl/>
        </w:rPr>
        <w:footnoteReference w:id="127"/>
      </w:r>
      <w:r w:rsidRPr="000C2161">
        <w:rPr>
          <w:rFonts w:hint="cs"/>
          <w:rtl/>
        </w:rPr>
        <w:t>.</w:t>
      </w:r>
    </w:p>
    <w:p w:rsidR="00BF1E3B" w:rsidRPr="000C2161" w:rsidRDefault="00DF6A0A" w:rsidP="000C2161">
      <w:pPr>
        <w:pStyle w:val="735"/>
        <w:rPr>
          <w:rtl/>
        </w:rPr>
      </w:pPr>
      <w:r w:rsidRPr="000C2161">
        <w:rPr>
          <w:rFonts w:hint="cs"/>
          <w:rtl/>
        </w:rPr>
        <w:lastRenderedPageBreak/>
        <w:t xml:space="preserve">מומלץ כי מערך הדיגיטל הלאומי וגופי הממשל יפעלו </w:t>
      </w:r>
      <w:r w:rsidRPr="000C2161">
        <w:rPr>
          <w:rFonts w:hint="eastAsia"/>
          <w:rtl/>
        </w:rPr>
        <w:t>להפחית</w:t>
      </w:r>
      <w:r w:rsidRPr="000C2161">
        <w:rPr>
          <w:rFonts w:hint="cs"/>
          <w:rtl/>
        </w:rPr>
        <w:t xml:space="preserve"> את החסמים שעלו מן הסקר שעשה מבקר המדינה. במסגרת פעולתם מוצע </w:t>
      </w:r>
      <w:r w:rsidRPr="000C2161">
        <w:rPr>
          <w:rFonts w:hint="eastAsia"/>
          <w:rtl/>
        </w:rPr>
        <w:t>לבחון</w:t>
      </w:r>
      <w:r w:rsidRPr="000C2161">
        <w:rPr>
          <w:rtl/>
        </w:rPr>
        <w:t xml:space="preserve"> </w:t>
      </w:r>
      <w:r w:rsidRPr="000C2161">
        <w:rPr>
          <w:rFonts w:hint="cs"/>
          <w:rtl/>
        </w:rPr>
        <w:t>הצבת עמדות שירות דיגיטליות בלשכות קבלת קהל של גופי ממשל עבור אוכלוסייה שאין לה אמצעים להתחבר למרשתת או עבור אנשים שהאוריינטציה הדיגיטלית</w:t>
      </w:r>
      <w:r w:rsidRPr="000C2161">
        <w:rPr>
          <w:rFonts w:hint="cs"/>
          <w:rtl/>
        </w:rPr>
        <w:t xml:space="preserve"> שלהם נמוכה. לצד העמדות מומלץ להציב דיילים </w:t>
      </w:r>
      <w:r w:rsidRPr="000C2161">
        <w:rPr>
          <w:rtl/>
        </w:rPr>
        <w:t xml:space="preserve">שידריכו את הציבור </w:t>
      </w:r>
      <w:r w:rsidRPr="000C2161">
        <w:rPr>
          <w:rFonts w:hint="cs"/>
          <w:rtl/>
        </w:rPr>
        <w:t xml:space="preserve">בשימוש בהן. סיוע של דיילים בשימוש בעמדות השירות הדיגיטליות עשוי גם להפחית את החשש </w:t>
      </w:r>
      <w:r w:rsidRPr="000C2161">
        <w:rPr>
          <w:rFonts w:hint="eastAsia"/>
          <w:rtl/>
        </w:rPr>
        <w:t>או</w:t>
      </w:r>
      <w:r w:rsidRPr="000C2161">
        <w:rPr>
          <w:rtl/>
        </w:rPr>
        <w:t xml:space="preserve"> </w:t>
      </w:r>
      <w:r w:rsidRPr="000C2161">
        <w:rPr>
          <w:rFonts w:hint="eastAsia"/>
          <w:rtl/>
        </w:rPr>
        <w:t>הרתיעה</w:t>
      </w:r>
      <w:r w:rsidRPr="000C2161">
        <w:rPr>
          <w:rFonts w:hint="cs"/>
          <w:rtl/>
        </w:rPr>
        <w:t xml:space="preserve"> בקרב אנשים שאינם מעוניינים להזין פרטים אישיים בערוצי השירות של גופי הממשל. נוסף על כך, מומלץ כי מערך הד</w:t>
      </w:r>
      <w:r w:rsidRPr="000C2161">
        <w:rPr>
          <w:rFonts w:hint="cs"/>
          <w:rtl/>
        </w:rPr>
        <w:t>יגיטל ימשיך בפעולותיו להסברה, הטמעה והנגשה של שירותי הממשל הדיגיטליים בקרב הציבור</w:t>
      </w:r>
      <w:r>
        <w:rPr>
          <w:rStyle w:val="a8"/>
          <w:rtl/>
        </w:rPr>
        <w:footnoteReference w:id="128"/>
      </w:r>
      <w:r w:rsidRPr="000C2161">
        <w:rPr>
          <w:rFonts w:hint="cs"/>
          <w:rtl/>
        </w:rPr>
        <w:t xml:space="preserve">. </w:t>
      </w:r>
    </w:p>
    <w:p w:rsidR="00BF1E3B" w:rsidRPr="00373CBE" w:rsidRDefault="00DF6A0A" w:rsidP="00C619CC">
      <w:pPr>
        <w:pStyle w:val="7392"/>
        <w:rPr>
          <w:rtl/>
        </w:rPr>
      </w:pPr>
      <w:r w:rsidRPr="00C619CC">
        <w:rPr>
          <w:rStyle w:val="7371"/>
          <w:rFonts w:hint="cs"/>
          <w:rtl/>
        </w:rPr>
        <w:t>שימוש באמצעים שנדרשים לצריכת שירות בערוץ דיגיטלי:</w:t>
      </w:r>
      <w:r>
        <w:rPr>
          <w:rFonts w:hint="cs"/>
          <w:rtl/>
        </w:rPr>
        <w:t xml:space="preserve"> </w:t>
      </w:r>
      <w:r w:rsidRPr="00373CBE">
        <w:rPr>
          <w:rFonts w:hint="cs"/>
          <w:rtl/>
        </w:rPr>
        <w:t xml:space="preserve">כדי לצרוך שירותים ממשלתיים בערוצים דיגיטליים נדרש שימוש באמצעים כגון כרטיס אשראי, מחשב </w:t>
      </w:r>
      <w:r>
        <w:rPr>
          <w:rFonts w:hint="cs"/>
          <w:rtl/>
        </w:rPr>
        <w:t>ה</w:t>
      </w:r>
      <w:r w:rsidRPr="00373CBE">
        <w:rPr>
          <w:rFonts w:hint="cs"/>
          <w:rtl/>
        </w:rPr>
        <w:t>מחובר למרשתת או טלפון חכם. המשיבי</w:t>
      </w:r>
      <w:r w:rsidRPr="00373CBE">
        <w:rPr>
          <w:rFonts w:hint="cs"/>
          <w:rtl/>
        </w:rPr>
        <w:t xml:space="preserve">ם לסקר הטלפוני התבקשו לציין </w:t>
      </w:r>
      <w:r>
        <w:rPr>
          <w:rFonts w:hint="cs"/>
          <w:rtl/>
        </w:rPr>
        <w:t>אם הם משתמשים</w:t>
      </w:r>
      <w:r w:rsidRPr="00373CBE">
        <w:rPr>
          <w:rFonts w:hint="cs"/>
          <w:rtl/>
        </w:rPr>
        <w:t xml:space="preserve"> </w:t>
      </w:r>
      <w:r>
        <w:rPr>
          <w:rFonts w:hint="cs"/>
          <w:rtl/>
        </w:rPr>
        <w:t>ב</w:t>
      </w:r>
      <w:r w:rsidRPr="00373CBE">
        <w:rPr>
          <w:rFonts w:hint="cs"/>
          <w:rtl/>
        </w:rPr>
        <w:t xml:space="preserve">אמצעים </w:t>
      </w:r>
      <w:r>
        <w:rPr>
          <w:rFonts w:hint="cs"/>
          <w:rtl/>
        </w:rPr>
        <w:t>הללו</w:t>
      </w:r>
      <w:r w:rsidRPr="00373CBE">
        <w:rPr>
          <w:rFonts w:hint="cs"/>
          <w:rtl/>
        </w:rPr>
        <w:t>. להלן תרשים ובו התוצאות.</w:t>
      </w:r>
      <w:r>
        <w:rPr>
          <w:rFonts w:hint="cs"/>
          <w:rtl/>
        </w:rPr>
        <w:t xml:space="preserve"> </w:t>
      </w:r>
    </w:p>
    <w:p w:rsidR="00BF1E3B" w:rsidRPr="000C2161" w:rsidRDefault="00DF6A0A" w:rsidP="000C2161">
      <w:pPr>
        <w:pStyle w:val="738"/>
        <w:rPr>
          <w:rtl/>
        </w:rPr>
      </w:pPr>
      <w:r w:rsidRPr="000C2161">
        <w:rPr>
          <w:b w:val="0"/>
          <w:bCs w:val="0"/>
          <w:noProof/>
        </w:rPr>
        <w:drawing>
          <wp:anchor distT="0" distB="0" distL="114300" distR="114300" simplePos="0" relativeHeight="251739136" behindDoc="0" locked="0" layoutInCell="1" allowOverlap="1">
            <wp:simplePos x="0" y="0"/>
            <wp:positionH relativeFrom="column">
              <wp:posOffset>4445</wp:posOffset>
            </wp:positionH>
            <wp:positionV relativeFrom="paragraph">
              <wp:posOffset>533037</wp:posOffset>
            </wp:positionV>
            <wp:extent cx="4642485" cy="1722120"/>
            <wp:effectExtent l="0" t="0" r="5715" b="0"/>
            <wp:wrapTopAndBottom/>
            <wp:docPr id="2052770966" name="תמונה 2052770966" descr="השוואה בין שלוש קבוצות: בני 60 ומעלה מהאוכלוסייה הכללית, בני 18 ומעלה מהחברה היהודית-חרדית ובני 18 ומעלה מהחברה הערבית. המשיבים על הסקר הטלפוני נשאלו לגבי כל אמצעי אם הוא נמצא ברשותם, להלן האמצעים: כרטיס אשראי, אימייל, טלפון חכם, מחשב המחובר לאינטרנט, שום אמצעי מהאמצעים האלה. &#10;בקטעי מלל שלאחר התרשים מוצגים הממצאים העיקריים שעלו.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6" name="תמונה 2052770966"/>
                    <pic:cNvPicPr/>
                  </pic:nvPicPr>
                  <pic:blipFill>
                    <a:blip r:embed="rId79">
                      <a:extLst>
                        <a:ext uri="{28A0092B-C50C-407E-A947-70E740481C1C}">
                          <a14:useLocalDpi xmlns:a14="http://schemas.microsoft.com/office/drawing/2010/main" val="0"/>
                        </a:ext>
                      </a:extLst>
                    </a:blip>
                    <a:stretch>
                      <a:fillRect/>
                    </a:stretch>
                  </pic:blipFill>
                  <pic:spPr>
                    <a:xfrm>
                      <a:off x="0" y="0"/>
                      <a:ext cx="4642485" cy="172212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0C2161">
        <w:rPr>
          <w:b w:val="0"/>
          <w:bCs w:val="0"/>
          <w:rtl/>
        </w:rPr>
        <w:t xml:space="preserve">תרשים </w:t>
      </w:r>
      <w:r w:rsidRPr="000C2161">
        <w:rPr>
          <w:rFonts w:hint="cs"/>
          <w:b w:val="0"/>
          <w:bCs w:val="0"/>
          <w:rtl/>
        </w:rPr>
        <w:t>27</w:t>
      </w:r>
      <w:r w:rsidRPr="000C2161">
        <w:rPr>
          <w:b w:val="0"/>
          <w:bCs w:val="0"/>
          <w:rtl/>
        </w:rPr>
        <w:t xml:space="preserve">: </w:t>
      </w:r>
      <w:r w:rsidRPr="000C2161">
        <w:rPr>
          <w:rtl/>
        </w:rPr>
        <w:t xml:space="preserve">שימוש באמצעים </w:t>
      </w:r>
      <w:r w:rsidRPr="000C2161">
        <w:rPr>
          <w:rFonts w:hint="cs"/>
          <w:rtl/>
        </w:rPr>
        <w:t xml:space="preserve">שנדרשים </w:t>
      </w:r>
      <w:r w:rsidRPr="000C2161">
        <w:rPr>
          <w:rFonts w:hint="eastAsia"/>
          <w:rtl/>
        </w:rPr>
        <w:t>לצריכת</w:t>
      </w:r>
      <w:r w:rsidRPr="000C2161">
        <w:rPr>
          <w:rtl/>
        </w:rPr>
        <w:t xml:space="preserve"> שירות </w:t>
      </w:r>
      <w:r w:rsidRPr="000C2161">
        <w:rPr>
          <w:rFonts w:hint="eastAsia"/>
          <w:rtl/>
        </w:rPr>
        <w:t>דיגיטלי</w:t>
      </w:r>
      <w:r w:rsidRPr="000C2161">
        <w:rPr>
          <w:rtl/>
        </w:rPr>
        <w:t xml:space="preserve"> </w:t>
      </w:r>
      <w:r w:rsidRPr="000C2161">
        <w:rPr>
          <w:rFonts w:hint="eastAsia"/>
          <w:rtl/>
        </w:rPr>
        <w:t>בקרב</w:t>
      </w:r>
      <w:r w:rsidRPr="000C2161">
        <w:rPr>
          <w:rtl/>
        </w:rPr>
        <w:t xml:space="preserve"> </w:t>
      </w:r>
      <w:r w:rsidRPr="000C2161">
        <w:rPr>
          <w:rFonts w:hint="eastAsia"/>
          <w:rtl/>
        </w:rPr>
        <w:t>אנשים</w:t>
      </w:r>
      <w:r w:rsidRPr="000C2161">
        <w:rPr>
          <w:rtl/>
        </w:rPr>
        <w:t xml:space="preserve"> </w:t>
      </w:r>
      <w:r w:rsidRPr="000C2161">
        <w:rPr>
          <w:rFonts w:hint="eastAsia"/>
          <w:rtl/>
        </w:rPr>
        <w:t>שמעדיפים</w:t>
      </w:r>
      <w:r w:rsidRPr="000C2161">
        <w:rPr>
          <w:rtl/>
        </w:rPr>
        <w:t xml:space="preserve"> </w:t>
      </w:r>
      <w:r w:rsidRPr="000C2161">
        <w:rPr>
          <w:rFonts w:hint="eastAsia"/>
          <w:rtl/>
        </w:rPr>
        <w:t>להשתמש</w:t>
      </w:r>
      <w:r w:rsidRPr="000C2161">
        <w:rPr>
          <w:rtl/>
        </w:rPr>
        <w:t xml:space="preserve"> </w:t>
      </w:r>
      <w:r w:rsidRPr="000C2161">
        <w:rPr>
          <w:rFonts w:hint="eastAsia"/>
          <w:rtl/>
        </w:rPr>
        <w:t>בערוצי</w:t>
      </w:r>
      <w:r w:rsidRPr="000C2161">
        <w:rPr>
          <w:rtl/>
        </w:rPr>
        <w:t xml:space="preserve"> </w:t>
      </w:r>
      <w:r w:rsidRPr="000C2161">
        <w:rPr>
          <w:rFonts w:hint="eastAsia"/>
          <w:rtl/>
        </w:rPr>
        <w:t>השירות</w:t>
      </w:r>
      <w:r w:rsidRPr="000C2161">
        <w:rPr>
          <w:rtl/>
        </w:rPr>
        <w:t xml:space="preserve"> </w:t>
      </w:r>
      <w:r w:rsidRPr="000C2161">
        <w:rPr>
          <w:rFonts w:hint="eastAsia"/>
          <w:rtl/>
        </w:rPr>
        <w:t>המסורתיים</w:t>
      </w:r>
      <w:r w:rsidRPr="000C2161">
        <w:rPr>
          <w:rFonts w:hint="cs"/>
          <w:rtl/>
        </w:rPr>
        <w:t xml:space="preserve">  </w:t>
      </w:r>
    </w:p>
    <w:p w:rsidR="00BF1E3B" w:rsidRPr="000C2161" w:rsidRDefault="00DF6A0A" w:rsidP="000C2161">
      <w:pPr>
        <w:pStyle w:val="73e"/>
        <w:rPr>
          <w:rtl/>
        </w:rPr>
      </w:pPr>
      <w:r w:rsidRPr="000C2161">
        <w:rPr>
          <w:rFonts w:hint="cs"/>
          <w:rtl/>
        </w:rPr>
        <w:t>על פי ממצאי סקר טלפוני, משרד מבקר המדינה.</w:t>
      </w:r>
      <w:r w:rsidRPr="000C2161">
        <w:t xml:space="preserve"> </w:t>
      </w:r>
    </w:p>
    <w:p w:rsidR="00BF1E3B" w:rsidRPr="000C2161" w:rsidRDefault="00DF6A0A" w:rsidP="000C2161">
      <w:pPr>
        <w:pStyle w:val="735"/>
        <w:rPr>
          <w:rFonts w:eastAsia="Calibri"/>
          <w:rtl/>
        </w:rPr>
      </w:pPr>
      <w:r w:rsidRPr="000C2161">
        <w:rPr>
          <w:rFonts w:eastAsia="Calibri" w:hint="cs"/>
          <w:rtl/>
        </w:rPr>
        <w:t xml:space="preserve">כעולה מן התרשים, בסקר בקרב אנשים המעדיפים שימוש בערוצי שירות מסורתיים עלו הממצאים שלהלן: </w:t>
      </w:r>
    </w:p>
    <w:p w:rsidR="00BF1E3B" w:rsidRPr="000C2161" w:rsidRDefault="00DF6A0A">
      <w:pPr>
        <w:pStyle w:val="711"/>
        <w:numPr>
          <w:ilvl w:val="0"/>
          <w:numId w:val="19"/>
        </w:numPr>
        <w:ind w:left="623" w:hanging="396"/>
      </w:pPr>
      <w:r w:rsidRPr="000C2161">
        <w:rPr>
          <w:rFonts w:hint="cs"/>
          <w:rtl/>
        </w:rPr>
        <w:t xml:space="preserve">לכ-80% מהמשיבים בני ה-60 ומעלה יש אמצעים המאפשרים לצרוך שירותים בערוצים הדיגיטליים. מכאן שהעדפתם לא להשתמש בערוצים האלה נובעת מסיבות אחרות, ביניהן קושי טכנולוגי. </w:t>
      </w:r>
    </w:p>
    <w:p w:rsidR="00BF1E3B" w:rsidRPr="000C2161" w:rsidRDefault="00DF6A0A">
      <w:pPr>
        <w:pStyle w:val="711"/>
        <w:numPr>
          <w:ilvl w:val="0"/>
          <w:numId w:val="19"/>
        </w:numPr>
        <w:ind w:left="623" w:hanging="396"/>
      </w:pPr>
      <w:r w:rsidRPr="000C2161">
        <w:rPr>
          <w:rFonts w:hint="cs"/>
          <w:rtl/>
        </w:rPr>
        <w:t>לכש</w:t>
      </w:r>
      <w:r w:rsidRPr="000C2161">
        <w:rPr>
          <w:rFonts w:hint="cs"/>
          <w:rtl/>
        </w:rPr>
        <w:t xml:space="preserve">ליש מהמשיבים המשתייכים לחברה החרדית אין כרטיס אשראי, ולשיעור דומה אין תיבת דואר אלקטרוני. לרובם המכריע - 80% - אין טלפון חכם ול-68% מהם אין </w:t>
      </w:r>
      <w:r w:rsidRPr="000C2161">
        <w:rPr>
          <w:rFonts w:hint="cs"/>
          <w:rtl/>
        </w:rPr>
        <w:lastRenderedPageBreak/>
        <w:t xml:space="preserve">מחשב המחובר למרשתת. במצב זה, האפשרות להשתמש בערוצים הדיגיטליים מצטמצמת. </w:t>
      </w:r>
    </w:p>
    <w:p w:rsidR="00BF1E3B" w:rsidRPr="000C2161" w:rsidRDefault="00DF6A0A">
      <w:pPr>
        <w:pStyle w:val="711"/>
        <w:numPr>
          <w:ilvl w:val="0"/>
          <w:numId w:val="19"/>
        </w:numPr>
        <w:ind w:left="623" w:hanging="396"/>
      </w:pPr>
      <w:r w:rsidRPr="000C2161">
        <w:rPr>
          <w:rFonts w:hint="cs"/>
          <w:rtl/>
        </w:rPr>
        <w:t xml:space="preserve">כשליש מהמשיבים המשתייכים לחברה הערבית אינם </w:t>
      </w:r>
      <w:r w:rsidRPr="000C2161">
        <w:rPr>
          <w:rFonts w:hint="cs"/>
          <w:rtl/>
        </w:rPr>
        <w:t>משתמשים בכרטיס אשראי</w:t>
      </w:r>
      <w:r>
        <w:rPr>
          <w:vertAlign w:val="superscript"/>
          <w:rtl/>
        </w:rPr>
        <w:footnoteReference w:id="129"/>
      </w:r>
      <w:r w:rsidRPr="000C2161">
        <w:rPr>
          <w:rFonts w:hint="cs"/>
          <w:rtl/>
        </w:rPr>
        <w:t xml:space="preserve"> ובתיבת דואר אלקטרוני ו-42% מהם אינם משתמשים במחשב המחובר למרשתת. עם זאת, רובם המכריע (89%) משתמשים בטלפון חכם. </w:t>
      </w:r>
    </w:p>
    <w:p w:rsidR="00BF1E3B" w:rsidRPr="00B74C6A" w:rsidRDefault="00DF6A0A" w:rsidP="00B74C6A">
      <w:pPr>
        <w:pStyle w:val="735"/>
        <w:rPr>
          <w:rFonts w:eastAsia="Calibri"/>
        </w:rPr>
      </w:pPr>
      <w:r w:rsidRPr="00B74C6A">
        <w:rPr>
          <w:rFonts w:eastAsia="Calibri" w:hint="eastAsia"/>
          <w:rtl/>
        </w:rPr>
        <w:t>ממצאי</w:t>
      </w:r>
      <w:r w:rsidRPr="00B74C6A">
        <w:rPr>
          <w:rFonts w:eastAsia="Calibri"/>
          <w:rtl/>
        </w:rPr>
        <w:t xml:space="preserve"> הסקר מצביעים </w:t>
      </w:r>
      <w:r w:rsidRPr="00B74C6A">
        <w:rPr>
          <w:rFonts w:eastAsia="Calibri" w:hint="eastAsia"/>
          <w:rtl/>
        </w:rPr>
        <w:t>על</w:t>
      </w:r>
      <w:r w:rsidRPr="00B74C6A">
        <w:rPr>
          <w:rFonts w:eastAsia="Calibri" w:hint="cs"/>
          <w:rtl/>
        </w:rPr>
        <w:t xml:space="preserve"> כך שבפני אנשים המעדיפים שימוש בערוצים המסורתיים לצריכת שירות ממשלתי עומדים </w:t>
      </w:r>
      <w:r w:rsidRPr="00B74C6A">
        <w:rPr>
          <w:rFonts w:eastAsia="Calibri"/>
          <w:rtl/>
        </w:rPr>
        <w:t xml:space="preserve">חסמים </w:t>
      </w:r>
      <w:r w:rsidRPr="00B74C6A">
        <w:rPr>
          <w:rFonts w:eastAsia="Calibri" w:hint="cs"/>
          <w:rtl/>
        </w:rPr>
        <w:t xml:space="preserve">המקשים על </w:t>
      </w:r>
      <w:r w:rsidRPr="00B74C6A">
        <w:rPr>
          <w:rFonts w:eastAsia="Calibri" w:hint="eastAsia"/>
          <w:rtl/>
        </w:rPr>
        <w:t>צריכת</w:t>
      </w:r>
      <w:r w:rsidRPr="00B74C6A">
        <w:rPr>
          <w:rFonts w:eastAsia="Calibri" w:hint="cs"/>
          <w:rtl/>
        </w:rPr>
        <w:t>ו</w:t>
      </w:r>
      <w:r w:rsidRPr="00B74C6A">
        <w:rPr>
          <w:rFonts w:eastAsia="Calibri"/>
          <w:rtl/>
        </w:rPr>
        <w:t xml:space="preserve"> </w:t>
      </w:r>
      <w:r w:rsidRPr="00B74C6A">
        <w:rPr>
          <w:rFonts w:eastAsia="Calibri" w:hint="cs"/>
          <w:rtl/>
        </w:rPr>
        <w:t>בע</w:t>
      </w:r>
      <w:r w:rsidRPr="00B74C6A">
        <w:rPr>
          <w:rFonts w:eastAsia="Calibri" w:hint="cs"/>
          <w:rtl/>
        </w:rPr>
        <w:t>רוצים ה</w:t>
      </w:r>
      <w:r w:rsidRPr="00B74C6A">
        <w:rPr>
          <w:rFonts w:eastAsia="Calibri" w:hint="eastAsia"/>
          <w:rtl/>
        </w:rPr>
        <w:t>דיגיטלי</w:t>
      </w:r>
      <w:r w:rsidRPr="00B74C6A">
        <w:rPr>
          <w:rFonts w:eastAsia="Calibri" w:hint="cs"/>
          <w:rtl/>
        </w:rPr>
        <w:t>ים. חסמים אלה</w:t>
      </w:r>
      <w:r w:rsidRPr="00B74C6A">
        <w:rPr>
          <w:rFonts w:eastAsia="Calibri"/>
          <w:rtl/>
        </w:rPr>
        <w:t xml:space="preserve"> </w:t>
      </w:r>
      <w:r w:rsidRPr="00B74C6A">
        <w:rPr>
          <w:rFonts w:eastAsia="Calibri" w:hint="eastAsia"/>
          <w:rtl/>
        </w:rPr>
        <w:t>מקורם</w:t>
      </w:r>
      <w:r w:rsidRPr="00B74C6A">
        <w:rPr>
          <w:rFonts w:eastAsia="Calibri"/>
          <w:rtl/>
        </w:rPr>
        <w:t xml:space="preserve"> </w:t>
      </w:r>
      <w:r w:rsidRPr="00B74C6A">
        <w:rPr>
          <w:rFonts w:eastAsia="Calibri" w:hint="eastAsia"/>
          <w:rtl/>
        </w:rPr>
        <w:t>בהיעדר</w:t>
      </w:r>
      <w:r w:rsidRPr="00B74C6A">
        <w:rPr>
          <w:rFonts w:eastAsia="Calibri"/>
          <w:rtl/>
        </w:rPr>
        <w:t xml:space="preserve"> </w:t>
      </w:r>
      <w:r w:rsidRPr="00B74C6A">
        <w:rPr>
          <w:rFonts w:eastAsia="Calibri" w:hint="eastAsia"/>
          <w:rtl/>
        </w:rPr>
        <w:t>אמצעים</w:t>
      </w:r>
      <w:r w:rsidRPr="00B74C6A">
        <w:rPr>
          <w:rFonts w:eastAsia="Calibri"/>
          <w:rtl/>
        </w:rPr>
        <w:t xml:space="preserve"> </w:t>
      </w:r>
      <w:r w:rsidRPr="00B74C6A">
        <w:rPr>
          <w:rFonts w:eastAsia="Calibri" w:hint="eastAsia"/>
          <w:rtl/>
        </w:rPr>
        <w:t>מתאימים</w:t>
      </w:r>
      <w:r w:rsidRPr="00B74C6A">
        <w:rPr>
          <w:rFonts w:eastAsia="Calibri"/>
          <w:rtl/>
        </w:rPr>
        <w:t xml:space="preserve"> </w:t>
      </w:r>
      <w:r w:rsidRPr="00B74C6A">
        <w:rPr>
          <w:rFonts w:eastAsia="Calibri" w:hint="eastAsia"/>
          <w:rtl/>
        </w:rPr>
        <w:t>או</w:t>
      </w:r>
      <w:r w:rsidRPr="00B74C6A">
        <w:rPr>
          <w:rFonts w:eastAsia="Calibri"/>
          <w:rtl/>
        </w:rPr>
        <w:t xml:space="preserve"> </w:t>
      </w:r>
      <w:r w:rsidRPr="00B74C6A">
        <w:rPr>
          <w:rFonts w:eastAsia="Calibri" w:hint="eastAsia"/>
          <w:rtl/>
        </w:rPr>
        <w:t>בקשיים</w:t>
      </w:r>
      <w:r w:rsidRPr="00B74C6A">
        <w:rPr>
          <w:rFonts w:eastAsia="Calibri"/>
          <w:rtl/>
        </w:rPr>
        <w:t xml:space="preserve"> טכנולוגיים בתפעול השירות בערוץ זה</w:t>
      </w:r>
      <w:r w:rsidRPr="00B74C6A">
        <w:rPr>
          <w:rFonts w:eastAsia="Calibri" w:hint="cs"/>
          <w:rtl/>
        </w:rPr>
        <w:t>.</w:t>
      </w:r>
      <w:r w:rsidRPr="00B74C6A">
        <w:rPr>
          <w:rFonts w:eastAsia="Calibri"/>
          <w:rtl/>
        </w:rPr>
        <w:t xml:space="preserve"> בנסיבות אל</w:t>
      </w:r>
      <w:r w:rsidRPr="00B74C6A">
        <w:rPr>
          <w:rFonts w:eastAsia="Calibri" w:hint="cs"/>
          <w:rtl/>
        </w:rPr>
        <w:t>ה</w:t>
      </w:r>
      <w:r w:rsidRPr="00B74C6A">
        <w:rPr>
          <w:rFonts w:eastAsia="Calibri"/>
          <w:rtl/>
        </w:rPr>
        <w:t xml:space="preserve">, </w:t>
      </w:r>
      <w:r w:rsidRPr="00B74C6A">
        <w:rPr>
          <w:rFonts w:eastAsia="Calibri" w:hint="cs"/>
          <w:rtl/>
        </w:rPr>
        <w:t>הערוצים המסורתיים הם החלופות היחידות עבורם לקבלת השירות.</w:t>
      </w:r>
    </w:p>
    <w:p w:rsidR="00BF1E3B" w:rsidRPr="00373CBE" w:rsidRDefault="00DF6A0A" w:rsidP="00C619CC">
      <w:pPr>
        <w:pStyle w:val="7392"/>
        <w:rPr>
          <w:rtl/>
        </w:rPr>
      </w:pPr>
      <w:r w:rsidRPr="00C619CC">
        <w:rPr>
          <w:rStyle w:val="7371"/>
          <w:rFonts w:hint="cs"/>
          <w:rtl/>
        </w:rPr>
        <w:t>קושי בקבלת שירות ממשלתי בערוצים מסורתיים:</w:t>
      </w:r>
      <w:r>
        <w:rPr>
          <w:rFonts w:hint="cs"/>
          <w:rtl/>
        </w:rPr>
        <w:t xml:space="preserve"> </w:t>
      </w:r>
      <w:r w:rsidRPr="00373CBE">
        <w:rPr>
          <w:rtl/>
        </w:rPr>
        <w:t>המשיבים לסקר</w:t>
      </w:r>
      <w:r w:rsidRPr="00373CBE">
        <w:rPr>
          <w:rFonts w:hint="cs"/>
          <w:rtl/>
        </w:rPr>
        <w:t xml:space="preserve"> הטלפוני</w:t>
      </w:r>
      <w:r w:rsidRPr="00373CBE">
        <w:rPr>
          <w:rtl/>
        </w:rPr>
        <w:t xml:space="preserve"> נשאלו אם ניסו לקבל שירות ממשלתי בטלפון, בלשכת קבלת קהל או בדואר ולא הצליחו לקבל מענה </w:t>
      </w:r>
      <w:r w:rsidRPr="00373CBE">
        <w:rPr>
          <w:rFonts w:hint="cs"/>
          <w:rtl/>
        </w:rPr>
        <w:t>מ</w:t>
      </w:r>
      <w:r w:rsidRPr="00373CBE">
        <w:rPr>
          <w:rtl/>
        </w:rPr>
        <w:t>כיוון שלא הי</w:t>
      </w:r>
      <w:r w:rsidRPr="00373CBE">
        <w:rPr>
          <w:rFonts w:hint="cs"/>
          <w:rtl/>
        </w:rPr>
        <w:t>ו</w:t>
      </w:r>
      <w:r w:rsidRPr="00373CBE">
        <w:rPr>
          <w:rtl/>
        </w:rPr>
        <w:t xml:space="preserve"> להם אמצעי</w:t>
      </w:r>
      <w:r w:rsidRPr="00373CBE">
        <w:rPr>
          <w:rFonts w:hint="cs"/>
          <w:rtl/>
        </w:rPr>
        <w:t xml:space="preserve">ם דיגיטליים (טלפון חכם, דואר אלקטרוני, גישה לאינטרנט) או כרטיס אשראי, ואלו נדרשו לצורך קבלת השירות. </w:t>
      </w:r>
    </w:p>
    <w:p w:rsidR="00BF1E3B" w:rsidRPr="00373CBE" w:rsidRDefault="00DF6A0A" w:rsidP="00C619CC">
      <w:pPr>
        <w:pStyle w:val="7392"/>
        <w:rPr>
          <w:rtl/>
        </w:rPr>
      </w:pPr>
      <w:r w:rsidRPr="00373CBE">
        <w:rPr>
          <w:rtl/>
        </w:rPr>
        <w:t xml:space="preserve">להלן בתרשים </w:t>
      </w:r>
      <w:r>
        <w:rPr>
          <w:rFonts w:hint="cs"/>
          <w:rtl/>
        </w:rPr>
        <w:t>מפורטות ה</w:t>
      </w:r>
      <w:r w:rsidRPr="00373CBE">
        <w:rPr>
          <w:rFonts w:hint="cs"/>
          <w:rtl/>
        </w:rPr>
        <w:t>סיבות ל</w:t>
      </w:r>
      <w:r w:rsidRPr="00373CBE">
        <w:rPr>
          <w:rtl/>
        </w:rPr>
        <w:t xml:space="preserve">קושי בקבלת שירות </w:t>
      </w:r>
      <w:r w:rsidRPr="00373CBE">
        <w:rPr>
          <w:rtl/>
        </w:rPr>
        <w:t xml:space="preserve">ממשלתי </w:t>
      </w:r>
      <w:r>
        <w:rPr>
          <w:rFonts w:hint="cs"/>
          <w:rtl/>
        </w:rPr>
        <w:t>בערוץ</w:t>
      </w:r>
      <w:r w:rsidRPr="00373CBE">
        <w:rPr>
          <w:rtl/>
        </w:rPr>
        <w:t xml:space="preserve"> טלפוני</w:t>
      </w:r>
      <w:r w:rsidRPr="00373CBE">
        <w:rPr>
          <w:rFonts w:hint="cs"/>
          <w:rtl/>
        </w:rPr>
        <w:t xml:space="preserve"> או פרונטלי </w:t>
      </w:r>
      <w:r w:rsidRPr="00373CBE">
        <w:rPr>
          <w:rtl/>
        </w:rPr>
        <w:t>בגלל</w:t>
      </w:r>
      <w:r w:rsidRPr="00373CBE">
        <w:rPr>
          <w:rFonts w:hint="cs"/>
          <w:rtl/>
        </w:rPr>
        <w:t xml:space="preserve"> ה</w:t>
      </w:r>
      <w:r>
        <w:rPr>
          <w:rFonts w:hint="cs"/>
          <w:rtl/>
        </w:rPr>
        <w:t>י</w:t>
      </w:r>
      <w:r w:rsidRPr="00373CBE">
        <w:rPr>
          <w:rFonts w:hint="cs"/>
          <w:rtl/>
        </w:rPr>
        <w:t>עדר אמצעי דיגיטלי או כרטיס אשראי</w:t>
      </w:r>
      <w:r>
        <w:rPr>
          <w:vertAlign w:val="superscript"/>
          <w:rtl/>
        </w:rPr>
        <w:footnoteReference w:id="130"/>
      </w:r>
      <w:r w:rsidRPr="00373CBE">
        <w:rPr>
          <w:rtl/>
        </w:rPr>
        <w:t>:</w:t>
      </w:r>
    </w:p>
    <w:p w:rsidR="00F438A5" w:rsidRDefault="00DF6A0A">
      <w:pPr>
        <w:bidi w:val="0"/>
        <w:spacing w:after="200" w:line="276" w:lineRule="auto"/>
        <w:rPr>
          <w:rFonts w:ascii="Tahoma" w:eastAsiaTheme="minorEastAsia" w:hAnsi="Tahoma" w:cs="Tahoma"/>
          <w:color w:val="0D0D0D" w:themeColor="text1" w:themeTint="F2"/>
          <w:szCs w:val="20"/>
          <w:rtl/>
        </w:rPr>
      </w:pPr>
      <w:r>
        <w:rPr>
          <w:b/>
          <w:bCs/>
          <w:rtl/>
        </w:rPr>
        <w:br w:type="page"/>
      </w:r>
    </w:p>
    <w:p w:rsidR="00BF1E3B" w:rsidRPr="00B74C6A" w:rsidRDefault="00DF6A0A" w:rsidP="00B74C6A">
      <w:pPr>
        <w:pStyle w:val="738"/>
        <w:rPr>
          <w:rtl/>
        </w:rPr>
      </w:pPr>
      <w:r w:rsidRPr="00B74C6A">
        <w:rPr>
          <w:rFonts w:hint="eastAsia"/>
          <w:b w:val="0"/>
          <w:bCs w:val="0"/>
          <w:rtl/>
        </w:rPr>
        <w:lastRenderedPageBreak/>
        <w:t>תרשים</w:t>
      </w:r>
      <w:r w:rsidRPr="00B74C6A">
        <w:rPr>
          <w:rFonts w:hint="cs"/>
          <w:b w:val="0"/>
          <w:bCs w:val="0"/>
          <w:rtl/>
        </w:rPr>
        <w:t xml:space="preserve"> 28: </w:t>
      </w:r>
      <w:r w:rsidRPr="00B74C6A">
        <w:rPr>
          <w:rFonts w:hint="cs"/>
          <w:rtl/>
        </w:rPr>
        <w:t>שיעור המשיבים שנתקלו בקושי בקבלת שירות מגופי ממשל בערוצים המסורתיים, לפי האמצעי החסר וגוף הממשל</w:t>
      </w:r>
      <w:r>
        <w:rPr>
          <w:vertAlign w:val="superscript"/>
          <w:rtl/>
        </w:rPr>
        <w:footnoteReference w:id="131"/>
      </w:r>
    </w:p>
    <w:p w:rsidR="00BF1E3B" w:rsidRDefault="00DF6A0A" w:rsidP="00BF1E3B">
      <w:pPr>
        <w:rPr>
          <w:rFonts w:ascii="David" w:eastAsia="Calibri" w:hAnsi="David"/>
          <w:szCs w:val="20"/>
          <w:rtl/>
        </w:rPr>
      </w:pPr>
      <w:r w:rsidRPr="00BF1E3B">
        <w:rPr>
          <w:noProof/>
        </w:rPr>
        <w:drawing>
          <wp:inline distT="0" distB="0" distL="0" distR="0">
            <wp:extent cx="4664710" cy="1524000"/>
            <wp:effectExtent l="0" t="0" r="0" b="0"/>
            <wp:docPr id="2052770967" name="תמונה 2052770967" descr="עיקרי הממצאים לגבי אמצעי זה או אחר שהיה חסר למשיבים לצורך קבלת שירות מגופי ממשל בערוצים המסורתיים מוצגים בקטעי המלל שלאחר התרשים.  &#10;עוד מצוינים בתרשים שמות של כמה גופי ממשל ושיעור המשיבים שציינו כי נתקלו בקושי לקבל מהם שירות בערוצים המסורתיים, כמפורט להלן:  המוסד לביטוח לאומי- 18%, משרד הפנים - 5%, מס הכנסה - 3%, משרד התחבורה - 3%, משרד הרישוי - 3%, בית חולים או קופת חולים - 3%. &#10;בהערה לכותרת התרשים צוין כי בסקר הטלפוני ציינו הסוקרים לפני המשיבים שמות של גופי ממשל אחדים, זאת אם משיב לא הבין את השאלה או ציין שנתקל בקושי בקבלת שירות מגוף ממשל אך לא זכר באיזה גוף מדובר. לא ניתן היה לציין לפני המשיבים שמות של כל גופי הממשל כיוון שמדובר ביותר מ-100 גופים כאל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0967" name="תמונה 2052770967"/>
                    <pic:cNvPicPr/>
                  </pic:nvPicPr>
                  <pic:blipFill>
                    <a:blip r:embed="rId80">
                      <a:extLst>
                        <a:ext uri="{28A0092B-C50C-407E-A947-70E740481C1C}">
                          <a14:useLocalDpi xmlns:a14="http://schemas.microsoft.com/office/drawing/2010/main" val="0"/>
                        </a:ext>
                      </a:extLst>
                    </a:blip>
                    <a:stretch>
                      <a:fillRect/>
                    </a:stretch>
                  </pic:blipFill>
                  <pic:spPr>
                    <a:xfrm>
                      <a:off x="0" y="0"/>
                      <a:ext cx="4665188" cy="1524156"/>
                    </a:xfrm>
                    <a:prstGeom prst="rect">
                      <a:avLst/>
                    </a:prstGeom>
                    <a:ln>
                      <a:noFill/>
                    </a:ln>
                  </pic:spPr>
                </pic:pic>
              </a:graphicData>
            </a:graphic>
          </wp:inline>
        </w:drawing>
      </w:r>
    </w:p>
    <w:p w:rsidR="00BF1E3B" w:rsidRPr="00B74C6A" w:rsidRDefault="00DF6A0A" w:rsidP="00B74C6A">
      <w:pPr>
        <w:pStyle w:val="73e"/>
        <w:spacing w:after="0"/>
        <w:rPr>
          <w:rtl/>
        </w:rPr>
      </w:pPr>
      <w:r w:rsidRPr="00B74C6A">
        <w:rPr>
          <w:rFonts w:hint="cs"/>
          <w:rtl/>
        </w:rPr>
        <w:t>על פי ממצאי סקר טלפוני, משרד מבקר המדינה.</w:t>
      </w:r>
    </w:p>
    <w:p w:rsidR="00BF1E3B" w:rsidRPr="00B74C6A" w:rsidRDefault="00DF6A0A" w:rsidP="00B74C6A">
      <w:pPr>
        <w:pStyle w:val="73e"/>
        <w:spacing w:before="0"/>
        <w:ind w:left="424" w:hanging="424"/>
      </w:pPr>
      <w:r w:rsidRPr="00B74C6A">
        <w:rPr>
          <w:rFonts w:hint="cs"/>
          <w:rtl/>
        </w:rPr>
        <w:t xml:space="preserve">* </w:t>
      </w:r>
      <w:r w:rsidR="00B74C6A">
        <w:rPr>
          <w:rtl/>
        </w:rPr>
        <w:tab/>
      </w:r>
      <w:r w:rsidRPr="00B74C6A">
        <w:rPr>
          <w:rFonts w:hint="cs"/>
          <w:rtl/>
        </w:rPr>
        <w:t xml:space="preserve">בתשובתו למשרד מבקר המדינה מינואר 2023 מסר משרד הפנים כי יש לסייג את הממצאים לגביו בסקר זה, כיוון שהוא פועל בעבודתו השוטפת מול רשויות מקומיות ואינו מספק שירותים </w:t>
      </w:r>
      <w:r w:rsidRPr="00B74C6A">
        <w:rPr>
          <w:rFonts w:hint="eastAsia"/>
          <w:rtl/>
        </w:rPr>
        <w:t>ישירות</w:t>
      </w:r>
      <w:r w:rsidRPr="00B74C6A">
        <w:rPr>
          <w:rFonts w:hint="cs"/>
          <w:rtl/>
        </w:rPr>
        <w:t xml:space="preserve"> לתושב; לדבריו, ייתכן שהמשיבים לסקר התבלבלו בין משרד הפנים לבין רשות ממשל אחרת. </w:t>
      </w:r>
    </w:p>
    <w:p w:rsidR="00BF1E3B" w:rsidRPr="00B74C6A" w:rsidRDefault="00DF6A0A" w:rsidP="00B74C6A">
      <w:pPr>
        <w:pStyle w:val="735"/>
        <w:rPr>
          <w:rFonts w:eastAsia="Calibri"/>
          <w:rtl/>
        </w:rPr>
      </w:pPr>
      <w:r w:rsidRPr="00B74C6A">
        <w:rPr>
          <w:rFonts w:eastAsia="Calibri"/>
          <w:rtl/>
        </w:rPr>
        <w:t xml:space="preserve">כעולה מן </w:t>
      </w:r>
      <w:r w:rsidRPr="00B74C6A">
        <w:rPr>
          <w:rFonts w:eastAsia="Calibri"/>
          <w:rtl/>
        </w:rPr>
        <w:t>התרשים</w:t>
      </w:r>
      <w:r w:rsidRPr="00B74C6A">
        <w:rPr>
          <w:rFonts w:eastAsia="Calibri" w:hint="cs"/>
          <w:rtl/>
        </w:rPr>
        <w:t>,</w:t>
      </w:r>
      <w:r w:rsidRPr="00B74C6A">
        <w:rPr>
          <w:rFonts w:eastAsia="Calibri"/>
          <w:rtl/>
        </w:rPr>
        <w:t xml:space="preserve"> 31% מן מהמשיבים ציינו כי נתקלו במקר</w:t>
      </w:r>
      <w:r w:rsidRPr="00B74C6A">
        <w:rPr>
          <w:rFonts w:eastAsia="Calibri" w:hint="cs"/>
          <w:rtl/>
        </w:rPr>
        <w:t>ים</w:t>
      </w:r>
      <w:r w:rsidRPr="00B74C6A">
        <w:rPr>
          <w:rFonts w:eastAsia="Calibri"/>
          <w:rtl/>
        </w:rPr>
        <w:t xml:space="preserve"> </w:t>
      </w:r>
      <w:r w:rsidRPr="00B74C6A">
        <w:rPr>
          <w:rFonts w:eastAsia="Calibri" w:hint="cs"/>
          <w:rtl/>
        </w:rPr>
        <w:t>ש</w:t>
      </w:r>
      <w:r w:rsidRPr="00B74C6A">
        <w:rPr>
          <w:rFonts w:eastAsia="Calibri"/>
          <w:rtl/>
        </w:rPr>
        <w:t>ב</w:t>
      </w:r>
      <w:r w:rsidRPr="00B74C6A">
        <w:rPr>
          <w:rFonts w:eastAsia="Calibri" w:hint="cs"/>
          <w:rtl/>
        </w:rPr>
        <w:t>הם</w:t>
      </w:r>
      <w:r w:rsidRPr="00B74C6A">
        <w:rPr>
          <w:rFonts w:eastAsia="Calibri"/>
          <w:rtl/>
        </w:rPr>
        <w:t xml:space="preserve"> ביקשו לקבל שירות ממשלתי בערוצים המסורתיים אך לא קיבלו מענה כי</w:t>
      </w:r>
      <w:r w:rsidRPr="00B74C6A">
        <w:rPr>
          <w:rFonts w:eastAsia="Calibri" w:hint="cs"/>
          <w:rtl/>
        </w:rPr>
        <w:t>ו</w:t>
      </w:r>
      <w:r w:rsidRPr="00B74C6A">
        <w:rPr>
          <w:rFonts w:eastAsia="Calibri"/>
          <w:rtl/>
        </w:rPr>
        <w:t xml:space="preserve">ון שנדרשו </w:t>
      </w:r>
      <w:r w:rsidRPr="00B74C6A">
        <w:rPr>
          <w:rFonts w:eastAsia="Calibri" w:hint="eastAsia"/>
          <w:rtl/>
        </w:rPr>
        <w:t>להשתמש</w:t>
      </w:r>
      <w:r w:rsidRPr="00B74C6A">
        <w:rPr>
          <w:rFonts w:eastAsia="Calibri"/>
          <w:rtl/>
        </w:rPr>
        <w:t xml:space="preserve"> </w:t>
      </w:r>
      <w:r w:rsidRPr="00B74C6A">
        <w:rPr>
          <w:rFonts w:eastAsia="Calibri" w:hint="eastAsia"/>
          <w:rtl/>
        </w:rPr>
        <w:t>באמצעי</w:t>
      </w:r>
      <w:r w:rsidRPr="00B74C6A">
        <w:rPr>
          <w:rFonts w:eastAsia="Calibri"/>
          <w:rtl/>
        </w:rPr>
        <w:t xml:space="preserve"> </w:t>
      </w:r>
      <w:r w:rsidRPr="00B74C6A">
        <w:rPr>
          <w:rFonts w:eastAsia="Calibri" w:hint="cs"/>
          <w:rtl/>
        </w:rPr>
        <w:t xml:space="preserve">דיגיטלי </w:t>
      </w:r>
      <w:r w:rsidRPr="00B74C6A">
        <w:rPr>
          <w:rFonts w:eastAsia="Calibri" w:hint="eastAsia"/>
          <w:rtl/>
        </w:rPr>
        <w:t>שלא</w:t>
      </w:r>
      <w:r w:rsidRPr="00B74C6A">
        <w:rPr>
          <w:rFonts w:eastAsia="Calibri"/>
          <w:rtl/>
        </w:rPr>
        <w:t xml:space="preserve"> </w:t>
      </w:r>
      <w:r w:rsidRPr="00B74C6A">
        <w:rPr>
          <w:rFonts w:eastAsia="Calibri" w:hint="eastAsia"/>
          <w:rtl/>
        </w:rPr>
        <w:t>היה</w:t>
      </w:r>
      <w:r w:rsidRPr="00B74C6A">
        <w:rPr>
          <w:rFonts w:eastAsia="Calibri"/>
          <w:rtl/>
        </w:rPr>
        <w:t xml:space="preserve"> </w:t>
      </w:r>
      <w:r w:rsidRPr="00B74C6A">
        <w:rPr>
          <w:rFonts w:eastAsia="Calibri" w:hint="eastAsia"/>
          <w:rtl/>
        </w:rPr>
        <w:t>ברשותם</w:t>
      </w:r>
      <w:r w:rsidRPr="00B74C6A">
        <w:rPr>
          <w:rFonts w:eastAsia="Calibri" w:hint="cs"/>
          <w:rtl/>
        </w:rPr>
        <w:t xml:space="preserve"> (טלפון חכם, דואר אלקטרוני או חיבור למרשתת) או בכרטיס אשראי שלא היה ברשותם. </w:t>
      </w:r>
    </w:p>
    <w:p w:rsidR="00BF1E3B" w:rsidRPr="00B74C6A" w:rsidRDefault="00DF6A0A" w:rsidP="00B74C6A">
      <w:pPr>
        <w:pStyle w:val="735"/>
        <w:rPr>
          <w:rFonts w:eastAsia="Calibri"/>
          <w:rtl/>
        </w:rPr>
      </w:pPr>
      <w:r w:rsidRPr="00B74C6A">
        <w:rPr>
          <w:rFonts w:eastAsia="Calibri" w:hint="eastAsia"/>
          <w:rtl/>
        </w:rPr>
        <w:t>כמו</w:t>
      </w:r>
      <w:r w:rsidRPr="00B74C6A">
        <w:rPr>
          <w:rFonts w:eastAsia="Calibri"/>
          <w:rtl/>
        </w:rPr>
        <w:t xml:space="preserve"> </w:t>
      </w:r>
      <w:r w:rsidRPr="00B74C6A">
        <w:rPr>
          <w:rFonts w:eastAsia="Calibri" w:hint="eastAsia"/>
          <w:rtl/>
        </w:rPr>
        <w:t>כן</w:t>
      </w:r>
      <w:r w:rsidRPr="00B74C6A">
        <w:rPr>
          <w:rFonts w:eastAsia="Calibri"/>
          <w:rtl/>
        </w:rPr>
        <w:t xml:space="preserve">, ל-13% חסר טלפון חכם </w:t>
      </w:r>
      <w:r w:rsidRPr="00B74C6A">
        <w:rPr>
          <w:rFonts w:eastAsia="Calibri" w:hint="eastAsia"/>
          <w:rtl/>
        </w:rPr>
        <w:t>שנדרש</w:t>
      </w:r>
      <w:r w:rsidRPr="00B74C6A">
        <w:rPr>
          <w:rFonts w:eastAsia="Calibri"/>
          <w:rtl/>
        </w:rPr>
        <w:t xml:space="preserve"> </w:t>
      </w:r>
      <w:r w:rsidRPr="00B74C6A">
        <w:rPr>
          <w:rFonts w:eastAsia="Calibri" w:hint="eastAsia"/>
          <w:rtl/>
        </w:rPr>
        <w:t>מהם</w:t>
      </w:r>
      <w:r w:rsidRPr="00B74C6A">
        <w:rPr>
          <w:rFonts w:eastAsia="Calibri"/>
          <w:rtl/>
        </w:rPr>
        <w:t xml:space="preserve"> </w:t>
      </w:r>
      <w:r w:rsidRPr="00B74C6A">
        <w:rPr>
          <w:rFonts w:eastAsia="Calibri" w:hint="eastAsia"/>
          <w:rtl/>
        </w:rPr>
        <w:t>לשם</w:t>
      </w:r>
      <w:r w:rsidRPr="00B74C6A">
        <w:rPr>
          <w:rFonts w:eastAsia="Calibri"/>
          <w:rtl/>
        </w:rPr>
        <w:t xml:space="preserve"> </w:t>
      </w:r>
      <w:r w:rsidRPr="00B74C6A">
        <w:rPr>
          <w:rFonts w:eastAsia="Calibri" w:hint="eastAsia"/>
          <w:rtl/>
        </w:rPr>
        <w:t>קבלת</w:t>
      </w:r>
      <w:r w:rsidRPr="00B74C6A">
        <w:rPr>
          <w:rFonts w:eastAsia="Calibri"/>
          <w:rtl/>
        </w:rPr>
        <w:t xml:space="preserve"> סיסמה לצורך זיהוי - אמצעי שנדרש בערוץ השירות הטלפוני. 9% </w:t>
      </w:r>
      <w:r w:rsidRPr="00B74C6A">
        <w:rPr>
          <w:rFonts w:eastAsia="Calibri" w:hint="eastAsia"/>
          <w:rtl/>
        </w:rPr>
        <w:t>ציינו</w:t>
      </w:r>
      <w:r w:rsidRPr="00B74C6A">
        <w:rPr>
          <w:rFonts w:eastAsia="Calibri"/>
          <w:rtl/>
        </w:rPr>
        <w:t xml:space="preserve"> </w:t>
      </w:r>
      <w:r w:rsidRPr="00B74C6A">
        <w:rPr>
          <w:rFonts w:eastAsia="Calibri" w:hint="eastAsia"/>
          <w:rtl/>
        </w:rPr>
        <w:t>שכשביקשו</w:t>
      </w:r>
      <w:r w:rsidRPr="00B74C6A">
        <w:rPr>
          <w:rFonts w:eastAsia="Calibri"/>
          <w:rtl/>
        </w:rPr>
        <w:t xml:space="preserve"> לקבל שירות בלשכת קבלת קהל נדרשו לקבוע לצורך כך תור באמצעות ה</w:t>
      </w:r>
      <w:r w:rsidRPr="00B74C6A">
        <w:rPr>
          <w:rFonts w:eastAsia="Calibri" w:hint="eastAsia"/>
          <w:rtl/>
        </w:rPr>
        <w:t>מרשתת</w:t>
      </w:r>
      <w:r w:rsidRPr="00B74C6A">
        <w:rPr>
          <w:rFonts w:eastAsia="Calibri"/>
          <w:rtl/>
        </w:rPr>
        <w:t xml:space="preserve">, והדבר </w:t>
      </w:r>
      <w:r w:rsidRPr="00B74C6A">
        <w:rPr>
          <w:rFonts w:eastAsia="Calibri" w:hint="eastAsia"/>
          <w:rtl/>
        </w:rPr>
        <w:t>הציב</w:t>
      </w:r>
      <w:r w:rsidRPr="00B74C6A">
        <w:rPr>
          <w:rFonts w:eastAsia="Calibri"/>
          <w:rtl/>
        </w:rPr>
        <w:t xml:space="preserve"> </w:t>
      </w:r>
      <w:r w:rsidRPr="00B74C6A">
        <w:rPr>
          <w:rFonts w:eastAsia="Calibri" w:hint="eastAsia"/>
          <w:rtl/>
        </w:rPr>
        <w:t>מולם</w:t>
      </w:r>
      <w:r w:rsidRPr="00B74C6A">
        <w:rPr>
          <w:rFonts w:eastAsia="Calibri"/>
          <w:rtl/>
        </w:rPr>
        <w:t xml:space="preserve"> חסם. </w:t>
      </w:r>
      <w:r w:rsidRPr="00B74C6A">
        <w:rPr>
          <w:rFonts w:eastAsia="Calibri" w:hint="eastAsia"/>
          <w:rtl/>
        </w:rPr>
        <w:t>נוסף</w:t>
      </w:r>
      <w:r w:rsidRPr="00B74C6A">
        <w:rPr>
          <w:rFonts w:eastAsia="Calibri"/>
          <w:rtl/>
        </w:rPr>
        <w:t xml:space="preserve"> על כך, 4% מהמשיבים ציינו </w:t>
      </w:r>
      <w:r w:rsidRPr="00B74C6A">
        <w:rPr>
          <w:rFonts w:eastAsia="Calibri" w:hint="eastAsia"/>
          <w:rtl/>
        </w:rPr>
        <w:t>שאינם</w:t>
      </w:r>
      <w:r w:rsidRPr="00B74C6A">
        <w:rPr>
          <w:rFonts w:eastAsia="Calibri"/>
          <w:rtl/>
        </w:rPr>
        <w:t xml:space="preserve"> מחזיקים </w:t>
      </w:r>
      <w:r w:rsidRPr="00B74C6A">
        <w:rPr>
          <w:rFonts w:eastAsia="Calibri" w:hint="eastAsia"/>
          <w:rtl/>
        </w:rPr>
        <w:t>ב</w:t>
      </w:r>
      <w:r w:rsidRPr="00B74C6A">
        <w:rPr>
          <w:rFonts w:eastAsia="Calibri"/>
          <w:rtl/>
        </w:rPr>
        <w:t>כרטיס אשרא</w:t>
      </w:r>
      <w:r w:rsidRPr="00B74C6A">
        <w:rPr>
          <w:rFonts w:eastAsia="Calibri"/>
          <w:rtl/>
        </w:rPr>
        <w:t>י ו</w:t>
      </w:r>
      <w:r w:rsidRPr="00B74C6A">
        <w:rPr>
          <w:rFonts w:eastAsia="Calibri" w:hint="cs"/>
          <w:rtl/>
        </w:rPr>
        <w:t xml:space="preserve">לפיכך </w:t>
      </w:r>
      <w:r w:rsidRPr="00B74C6A">
        <w:rPr>
          <w:rFonts w:eastAsia="Calibri"/>
          <w:rtl/>
        </w:rPr>
        <w:t xml:space="preserve">ביקשו לשלם בקופה במזומן </w:t>
      </w:r>
      <w:r w:rsidRPr="00B74C6A">
        <w:rPr>
          <w:rFonts w:eastAsia="Calibri" w:hint="eastAsia"/>
          <w:rtl/>
        </w:rPr>
        <w:t>אך</w:t>
      </w:r>
      <w:r w:rsidRPr="00B74C6A">
        <w:rPr>
          <w:rFonts w:eastAsia="Calibri"/>
          <w:rtl/>
        </w:rPr>
        <w:t xml:space="preserve"> </w:t>
      </w:r>
      <w:r w:rsidRPr="00B74C6A">
        <w:rPr>
          <w:rFonts w:eastAsia="Calibri" w:hint="eastAsia"/>
          <w:rtl/>
        </w:rPr>
        <w:t>נתקלו</w:t>
      </w:r>
      <w:r w:rsidRPr="00B74C6A">
        <w:rPr>
          <w:rFonts w:eastAsia="Calibri"/>
          <w:rtl/>
        </w:rPr>
        <w:t xml:space="preserve"> </w:t>
      </w:r>
      <w:r w:rsidRPr="00B74C6A">
        <w:rPr>
          <w:rFonts w:eastAsia="Calibri" w:hint="eastAsia"/>
          <w:rtl/>
        </w:rPr>
        <w:t>בסירוב</w:t>
      </w:r>
      <w:r w:rsidRPr="00B74C6A">
        <w:rPr>
          <w:rFonts w:eastAsia="Calibri"/>
          <w:rtl/>
        </w:rPr>
        <w:t xml:space="preserve">. </w:t>
      </w:r>
    </w:p>
    <w:p w:rsidR="00BF1E3B" w:rsidRPr="00B74C6A" w:rsidRDefault="00DF6A0A" w:rsidP="00B74C6A">
      <w:pPr>
        <w:pStyle w:val="735"/>
        <w:rPr>
          <w:rtl/>
        </w:rPr>
      </w:pPr>
      <w:r w:rsidRPr="00B74C6A">
        <w:rPr>
          <w:rFonts w:hint="cs"/>
          <w:rtl/>
        </w:rPr>
        <w:t xml:space="preserve">על גופי הממשל לאפשר לאנשים שפונים אליהם לקבל שירות בערוצים מסורתיים - לשכת קבלת קהל, טלפון ודואר - לקבל את השירות מבלי להתנות זאת בפעולות המחייבות שימוש באמצעים דיגיטליים - כגון, דואר אלקטרוני וטלפון חכם. </w:t>
      </w:r>
      <w:r w:rsidRPr="00B74C6A">
        <w:rPr>
          <w:rFonts w:hint="cs"/>
          <w:rtl/>
        </w:rPr>
        <w:t xml:space="preserve">כמו כן יש לאפשר לאדם שמבקש לשלם אגרה ממשלתית בקופה בלשכת קבלת קהל לעשות זאת מבלי להתנות זאת בשימוש בכרטיס אשראי, כיוון שיש אנשים שאינם משתמשים באמצעי זה. </w:t>
      </w:r>
    </w:p>
    <w:p w:rsidR="00BF1E3B" w:rsidRPr="00373CBE" w:rsidRDefault="00DF6A0A" w:rsidP="00C619CC">
      <w:pPr>
        <w:pStyle w:val="7392"/>
        <w:rPr>
          <w:rtl/>
        </w:rPr>
      </w:pPr>
      <w:r w:rsidRPr="00C619CC">
        <w:rPr>
          <w:rStyle w:val="7371"/>
          <w:rFonts w:hint="cs"/>
          <w:rtl/>
        </w:rPr>
        <w:t>אפשרות לקבל שירות רק באמצעות ערוץ דיגיטלי</w:t>
      </w:r>
      <w:r>
        <w:rPr>
          <w:rStyle w:val="50"/>
          <w:rFonts w:eastAsiaTheme="majorEastAsia" w:hint="cs"/>
          <w:rtl/>
        </w:rPr>
        <w:t>:</w:t>
      </w:r>
      <w:r>
        <w:rPr>
          <w:rFonts w:hint="cs"/>
          <w:rtl/>
        </w:rPr>
        <w:t xml:space="preserve"> </w:t>
      </w:r>
      <w:r w:rsidRPr="00373CBE">
        <w:rPr>
          <w:rFonts w:hint="cs"/>
          <w:rtl/>
        </w:rPr>
        <w:t xml:space="preserve">בשאלון במרשתת שהפיץ </w:t>
      </w:r>
      <w:r w:rsidRPr="00373CBE">
        <w:rPr>
          <w:rtl/>
        </w:rPr>
        <w:t>משרד מבקר המדינה בקרב אנשים עם מוגבלות</w:t>
      </w:r>
      <w:r w:rsidRPr="00373CBE">
        <w:rPr>
          <w:rFonts w:hint="cs"/>
          <w:rtl/>
        </w:rPr>
        <w:t xml:space="preserve"> (</w:t>
      </w:r>
      <w:r w:rsidRPr="00373CBE">
        <w:rPr>
          <w:rtl/>
        </w:rPr>
        <w:t>הוצגה ל</w:t>
      </w:r>
      <w:r w:rsidRPr="00373CBE">
        <w:rPr>
          <w:rFonts w:hint="cs"/>
          <w:rtl/>
        </w:rPr>
        <w:t xml:space="preserve">משיבים </w:t>
      </w:r>
      <w:r w:rsidRPr="00373CBE">
        <w:rPr>
          <w:rtl/>
        </w:rPr>
        <w:t>רשימה</w:t>
      </w:r>
      <w:r w:rsidRPr="00373CBE">
        <w:rPr>
          <w:rFonts w:hint="cs"/>
          <w:rtl/>
        </w:rPr>
        <w:t xml:space="preserve"> ובה</w:t>
      </w:r>
      <w:r w:rsidRPr="00373CBE">
        <w:rPr>
          <w:rtl/>
        </w:rPr>
        <w:t xml:space="preserve"> שמ</w:t>
      </w:r>
      <w:r w:rsidRPr="00373CBE">
        <w:rPr>
          <w:rFonts w:hint="cs"/>
          <w:rtl/>
        </w:rPr>
        <w:t xml:space="preserve">ות של </w:t>
      </w:r>
      <w:r w:rsidRPr="00373CBE">
        <w:rPr>
          <w:rtl/>
        </w:rPr>
        <w:t>18 גופי ממשל</w:t>
      </w:r>
      <w:r>
        <w:rPr>
          <w:vertAlign w:val="superscript"/>
          <w:rtl/>
        </w:rPr>
        <w:footnoteReference w:id="132"/>
      </w:r>
      <w:r w:rsidRPr="00373CBE">
        <w:rPr>
          <w:rtl/>
        </w:rPr>
        <w:t xml:space="preserve"> והם התבקשו לציין אם נתקלו ב</w:t>
      </w:r>
      <w:r w:rsidRPr="00373CBE">
        <w:rPr>
          <w:rFonts w:hint="cs"/>
          <w:rtl/>
        </w:rPr>
        <w:t xml:space="preserve">מקרים </w:t>
      </w:r>
      <w:r>
        <w:rPr>
          <w:rFonts w:hint="cs"/>
          <w:rtl/>
        </w:rPr>
        <w:t>ש</w:t>
      </w:r>
      <w:r w:rsidRPr="00373CBE">
        <w:rPr>
          <w:rFonts w:hint="cs"/>
          <w:rtl/>
        </w:rPr>
        <w:t xml:space="preserve">בהם לא ניתן היה </w:t>
      </w:r>
      <w:r w:rsidRPr="00373CBE">
        <w:rPr>
          <w:rtl/>
        </w:rPr>
        <w:t>לקבל מ</w:t>
      </w:r>
      <w:r w:rsidRPr="00373CBE">
        <w:rPr>
          <w:rFonts w:hint="cs"/>
          <w:rtl/>
        </w:rPr>
        <w:t>אחד או יותר מ</w:t>
      </w:r>
      <w:r w:rsidRPr="00373CBE">
        <w:rPr>
          <w:rtl/>
        </w:rPr>
        <w:t>גופים אלה</w:t>
      </w:r>
      <w:r w:rsidRPr="00373CBE">
        <w:rPr>
          <w:rFonts w:hint="cs"/>
          <w:rtl/>
        </w:rPr>
        <w:t xml:space="preserve"> </w:t>
      </w:r>
      <w:r w:rsidRPr="00373CBE">
        <w:rPr>
          <w:rFonts w:hint="cs"/>
          <w:rtl/>
        </w:rPr>
        <w:lastRenderedPageBreak/>
        <w:t>שירות מסוים אלא באמצעות ה</w:t>
      </w:r>
      <w:r w:rsidRPr="00373CBE">
        <w:rPr>
          <w:rtl/>
        </w:rPr>
        <w:t>ערוצים</w:t>
      </w:r>
      <w:r>
        <w:rPr>
          <w:rtl/>
        </w:rPr>
        <w:t xml:space="preserve"> </w:t>
      </w:r>
      <w:r w:rsidRPr="00373CBE">
        <w:rPr>
          <w:rFonts w:hint="cs"/>
          <w:rtl/>
        </w:rPr>
        <w:t>הדיגיטליים.</w:t>
      </w:r>
      <w:r w:rsidRPr="00373CBE">
        <w:rPr>
          <w:rtl/>
        </w:rPr>
        <w:t xml:space="preserve"> </w:t>
      </w:r>
      <w:r w:rsidRPr="00373CBE">
        <w:rPr>
          <w:rFonts w:hint="cs"/>
          <w:rtl/>
        </w:rPr>
        <w:t xml:space="preserve">ממצאים אלו רלוונטיים גם עבור אוכלוסיית מקבלי השירות שאינם צורכים שירותים דיגיטליים בשל העדפה, בשל היעדר אמצעים טכנולוגיים מתאימים או בשל קושי טכנולוגי. </w:t>
      </w:r>
      <w:r w:rsidRPr="00373CBE">
        <w:rPr>
          <w:rtl/>
        </w:rPr>
        <w:t>להלן בתרשים</w:t>
      </w:r>
      <w:r w:rsidRPr="00373CBE">
        <w:rPr>
          <w:rFonts w:hint="cs"/>
          <w:rtl/>
        </w:rPr>
        <w:t xml:space="preserve"> </w:t>
      </w:r>
      <w:r w:rsidRPr="00373CBE">
        <w:rPr>
          <w:rtl/>
        </w:rPr>
        <w:t>התוצאות שעלו</w:t>
      </w:r>
      <w:r w:rsidRPr="00373CBE">
        <w:t>:</w:t>
      </w:r>
    </w:p>
    <w:p w:rsidR="00BF1E3B" w:rsidRPr="00B74C6A" w:rsidRDefault="00DF6A0A" w:rsidP="00B74C6A">
      <w:pPr>
        <w:pStyle w:val="738"/>
        <w:rPr>
          <w:rtl/>
        </w:rPr>
      </w:pPr>
      <w:r w:rsidRPr="00B74C6A">
        <w:rPr>
          <w:b w:val="0"/>
          <w:bCs w:val="0"/>
          <w:rtl/>
        </w:rPr>
        <w:t>תרשים</w:t>
      </w:r>
      <w:r w:rsidRPr="00B74C6A">
        <w:rPr>
          <w:rFonts w:hint="cs"/>
          <w:b w:val="0"/>
          <w:bCs w:val="0"/>
          <w:rtl/>
        </w:rPr>
        <w:t xml:space="preserve"> 29:</w:t>
      </w:r>
      <w:r w:rsidRPr="00B74C6A">
        <w:rPr>
          <w:rtl/>
        </w:rPr>
        <w:t xml:space="preserve"> מקרים </w:t>
      </w:r>
      <w:r w:rsidRPr="00B74C6A">
        <w:rPr>
          <w:rFonts w:hint="cs"/>
          <w:rtl/>
        </w:rPr>
        <w:t>ש</w:t>
      </w:r>
      <w:r w:rsidRPr="00B74C6A">
        <w:rPr>
          <w:rtl/>
        </w:rPr>
        <w:t xml:space="preserve">בהם </w:t>
      </w:r>
      <w:r w:rsidRPr="00B74C6A">
        <w:rPr>
          <w:rFonts w:hint="cs"/>
          <w:rtl/>
        </w:rPr>
        <w:t>קבלת</w:t>
      </w:r>
      <w:r w:rsidRPr="00B74C6A">
        <w:rPr>
          <w:rtl/>
        </w:rPr>
        <w:t xml:space="preserve"> שירות ממשלתי </w:t>
      </w:r>
      <w:r w:rsidRPr="00B74C6A">
        <w:rPr>
          <w:rFonts w:hint="cs"/>
          <w:rtl/>
        </w:rPr>
        <w:t xml:space="preserve">התאפשרה </w:t>
      </w:r>
      <w:r w:rsidRPr="00B74C6A">
        <w:rPr>
          <w:rtl/>
        </w:rPr>
        <w:t xml:space="preserve">רק </w:t>
      </w:r>
      <w:r w:rsidR="00B74C6A">
        <w:rPr>
          <w:rtl/>
        </w:rPr>
        <w:br/>
      </w:r>
      <w:r w:rsidRPr="00B74C6A">
        <w:rPr>
          <w:rFonts w:hint="cs"/>
          <w:rtl/>
        </w:rPr>
        <w:t>ב</w:t>
      </w:r>
      <w:r w:rsidRPr="00B74C6A">
        <w:rPr>
          <w:rtl/>
        </w:rPr>
        <w:t>ערוץ הדיגיטלי</w:t>
      </w:r>
    </w:p>
    <w:p w:rsidR="00BF1E3B" w:rsidRPr="001E7FDF" w:rsidRDefault="00DF6A0A" w:rsidP="00BF1E3B">
      <w:pPr>
        <w:rPr>
          <w:rFonts w:ascii="David" w:eastAsia="Calibri" w:hAnsi="David"/>
          <w:rtl/>
        </w:rPr>
      </w:pPr>
      <w:r w:rsidRPr="00BF1E3B">
        <w:rPr>
          <w:noProof/>
        </w:rPr>
        <w:drawing>
          <wp:inline distT="0" distB="0" distL="0" distR="0">
            <wp:extent cx="4595712" cy="2311789"/>
            <wp:effectExtent l="0" t="0" r="1905" b="0"/>
            <wp:docPr id="46" name="תמונה 46" descr="הערה: תרשים זה מתייחס לממצאי הסקר האינטרנטי שבוצע בקרב כ-520 אנשים עם מוגבלות שמשתמשים באינטרנט לצרכים שונים. הממצא העיקרי העולה מן התרשים מוצג בקטע מלל שלאחריו - 38% מבין המשיבים, כלומר 199 משיבים, ציינו שנתקלו במקרים שבהם ניתן היה לקבל שירות ממשלתי רק בערוץ הדיגיטלי.  &#10;בסקר האינטרנטי הוצגה לפני משיבים רשימה חלקית של שמות של גופי ממשל וסוגי שירותים (כיוון שלא ניתן היה להציג בפועל רשימה מלאה) כדי שיוכלו לסמן ליד שמות של גופי ממשל אם נתקלו אצלם במקרים בהם לא ניתן היה לקבל את השירות אלא בערוץ דיגיטלי (כלומר לא ניתן היה לקבל את השירות בלשכת קבלת קהל, בטלפון או בדואר). להלן יוצגו שיעורי המשיבים שציינו שנתקלו במקרה כזה או במקרים כאלה, לפי שם גוף הממשל או סוג השירות: שירות זימון תורים - 13%, שירות מהמוסד לביטוח לאומי - 13%, שירות ממשרד הפנים - 10%, שירות מדואר ישראל - 6%, שירות ממס הכנסה - 5%, שירות לביצוע תשלומים - 5%, חידוש דרכון - 5% ושירות ממשרד התחבורה - 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81"/>
                    <a:stretch>
                      <a:fillRect/>
                    </a:stretch>
                  </pic:blipFill>
                  <pic:spPr>
                    <a:xfrm>
                      <a:off x="0" y="0"/>
                      <a:ext cx="4627467" cy="2327763"/>
                    </a:xfrm>
                    <a:prstGeom prst="rect">
                      <a:avLst/>
                    </a:prstGeom>
                    <a:ln>
                      <a:noFill/>
                    </a:ln>
                  </pic:spPr>
                </pic:pic>
              </a:graphicData>
            </a:graphic>
          </wp:inline>
        </w:drawing>
      </w:r>
    </w:p>
    <w:p w:rsidR="00BF1E3B" w:rsidRPr="00B74C6A" w:rsidRDefault="00DF6A0A" w:rsidP="00B74C6A">
      <w:pPr>
        <w:pStyle w:val="73e"/>
        <w:spacing w:after="0"/>
        <w:rPr>
          <w:rtl/>
        </w:rPr>
      </w:pPr>
      <w:r w:rsidRPr="00B74C6A">
        <w:rPr>
          <w:rFonts w:hint="cs"/>
          <w:rtl/>
        </w:rPr>
        <w:t>המקור: ממצ</w:t>
      </w:r>
      <w:r w:rsidRPr="00B74C6A">
        <w:rPr>
          <w:rFonts w:hint="cs"/>
          <w:rtl/>
        </w:rPr>
        <w:t>אי הסקר, משרד מבקר המדינה.</w:t>
      </w:r>
    </w:p>
    <w:p w:rsidR="00BF1E3B" w:rsidRPr="00B74C6A" w:rsidRDefault="00DF6A0A" w:rsidP="00B74C6A">
      <w:pPr>
        <w:pStyle w:val="73e"/>
        <w:spacing w:before="0"/>
        <w:ind w:left="424" w:hanging="424"/>
        <w:rPr>
          <w:rtl/>
        </w:rPr>
      </w:pPr>
      <w:r w:rsidRPr="00B74C6A">
        <w:rPr>
          <w:rFonts w:hint="cs"/>
          <w:rtl/>
        </w:rPr>
        <w:t xml:space="preserve">* </w:t>
      </w:r>
      <w:r w:rsidR="00B74C6A">
        <w:rPr>
          <w:rtl/>
        </w:rPr>
        <w:tab/>
      </w:r>
      <w:r w:rsidRPr="00B74C6A">
        <w:rPr>
          <w:rFonts w:hint="cs"/>
          <w:rtl/>
        </w:rPr>
        <w:t xml:space="preserve">בתשובתו למשרד מבקר המדינה מינואר 2023 מסר משרד הפנים, כי יש לסייג את הממצאים לגביו בסקר זה, כיוון שהוא פועל בעבודתו השוטפת מול רשויות מקומיות ואינו מספק שירותים </w:t>
      </w:r>
      <w:r w:rsidRPr="00B74C6A">
        <w:rPr>
          <w:rFonts w:hint="eastAsia"/>
          <w:rtl/>
        </w:rPr>
        <w:t>ישירות</w:t>
      </w:r>
      <w:r w:rsidRPr="00B74C6A">
        <w:rPr>
          <w:rFonts w:hint="cs"/>
          <w:rtl/>
        </w:rPr>
        <w:t xml:space="preserve"> לתושב; לדבריו, ייתכן שהמשיבים לסקר התבלבלו בין משרד הפנים </w:t>
      </w:r>
      <w:r w:rsidRPr="00B74C6A">
        <w:rPr>
          <w:rFonts w:hint="cs"/>
          <w:rtl/>
        </w:rPr>
        <w:t xml:space="preserve">לבין רשות ממשל אחרת. </w:t>
      </w:r>
    </w:p>
    <w:p w:rsidR="00BF1E3B" w:rsidRPr="00B74C6A" w:rsidRDefault="00DF6A0A" w:rsidP="00B74C6A">
      <w:pPr>
        <w:pStyle w:val="735"/>
        <w:rPr>
          <w:rFonts w:eastAsia="Calibri"/>
          <w:rtl/>
        </w:rPr>
      </w:pPr>
      <w:r w:rsidRPr="00B74C6A">
        <w:rPr>
          <w:rFonts w:eastAsia="Calibri" w:hint="cs"/>
          <w:rtl/>
        </w:rPr>
        <w:t>מבין 520 המשיבים לסקר שערך משרד מבקר המדינה, ציינו 199 משיבים (38%) כי נתקלו במקרים שבהם לא ניתן היה לקבל שירות מגופי הממשל אלא בדרך דיגיטלית. כלומר, לא הייתה אפשרות לצרוך אותו בלשכת קבלת קהל או באמצעות השירות הטלפוני</w:t>
      </w:r>
      <w:r>
        <w:rPr>
          <w:rFonts w:eastAsia="Calibri"/>
          <w:vertAlign w:val="superscript"/>
          <w:rtl/>
        </w:rPr>
        <w:footnoteReference w:id="133"/>
      </w:r>
      <w:r w:rsidRPr="00B74C6A">
        <w:rPr>
          <w:rFonts w:eastAsia="Calibri" w:hint="cs"/>
          <w:rtl/>
        </w:rPr>
        <w:t>. יצוין כי על פי</w:t>
      </w:r>
      <w:r w:rsidRPr="00B74C6A">
        <w:rPr>
          <w:rFonts w:eastAsia="Calibri" w:hint="cs"/>
          <w:rtl/>
        </w:rPr>
        <w:t xml:space="preserve"> תשובות המשיבים, לעיתים ההפניה לשירות הדיגיטלי כערוץ בלעדי לקבלת השירות הייתה כבר בשלב הראשוני, שבו ביקשו להזמין תור לקבלת השירות והופנו לשירות הדיגיטלי שרק באמצעותו ניתן היה לקבוע את התור. </w:t>
      </w:r>
    </w:p>
    <w:p w:rsidR="00BF1E3B" w:rsidRPr="00B74C6A" w:rsidRDefault="00DF6A0A" w:rsidP="00B74C6A">
      <w:pPr>
        <w:pStyle w:val="735"/>
        <w:rPr>
          <w:rFonts w:eastAsia="Calibri"/>
          <w:rtl/>
        </w:rPr>
      </w:pPr>
      <w:r w:rsidRPr="00C619CC">
        <w:rPr>
          <w:rStyle w:val="7371"/>
          <w:rFonts w:eastAsiaTheme="majorEastAsia" w:hint="cs"/>
          <w:rtl/>
        </w:rPr>
        <w:lastRenderedPageBreak/>
        <w:t>הערות והצעות שהעלו המשיבים לסקר:</w:t>
      </w:r>
      <w:r w:rsidRPr="00B74C6A">
        <w:rPr>
          <w:rFonts w:eastAsia="Calibri" w:hint="cs"/>
          <w:rtl/>
        </w:rPr>
        <w:t xml:space="preserve"> </w:t>
      </w:r>
      <w:r w:rsidRPr="00B74C6A">
        <w:rPr>
          <w:rFonts w:eastAsia="Calibri"/>
          <w:rtl/>
        </w:rPr>
        <w:t xml:space="preserve">בסקר התאפשר למשיבים להעלות הערות והצעות לשיפור השירות הממשלתי. </w:t>
      </w:r>
      <w:r w:rsidRPr="00B74C6A">
        <w:rPr>
          <w:rFonts w:eastAsia="Calibri" w:hint="eastAsia"/>
          <w:rtl/>
        </w:rPr>
        <w:t>יותר</w:t>
      </w:r>
      <w:r w:rsidRPr="00B74C6A">
        <w:rPr>
          <w:rFonts w:eastAsia="Calibri"/>
          <w:rtl/>
        </w:rPr>
        <w:t xml:space="preserve"> </w:t>
      </w:r>
      <w:r w:rsidRPr="00B74C6A">
        <w:rPr>
          <w:rFonts w:eastAsia="Calibri" w:hint="eastAsia"/>
          <w:rtl/>
        </w:rPr>
        <w:t>מ</w:t>
      </w:r>
      <w:r w:rsidRPr="00B74C6A">
        <w:rPr>
          <w:rFonts w:eastAsia="Calibri"/>
          <w:rtl/>
        </w:rPr>
        <w:t xml:space="preserve">מחצית מהמשיבים (54%) ציינו כי הם מבקשים </w:t>
      </w:r>
      <w:r w:rsidRPr="00B74C6A">
        <w:rPr>
          <w:rFonts w:eastAsia="Calibri" w:hint="eastAsia"/>
          <w:rtl/>
        </w:rPr>
        <w:t>ש</w:t>
      </w:r>
      <w:r w:rsidRPr="00B74C6A">
        <w:rPr>
          <w:rFonts w:eastAsia="Calibri"/>
          <w:rtl/>
        </w:rPr>
        <w:t xml:space="preserve">השירות הדיגיטלי הממשלתי יהיה ידידותי יותר. בכל הנוגע להקלה על צריכת שירותים ממשלתיים בערוצים המסורתיים, העלו משיבים </w:t>
      </w:r>
      <w:r w:rsidRPr="00B74C6A">
        <w:rPr>
          <w:rFonts w:eastAsia="Calibri" w:hint="eastAsia"/>
          <w:rtl/>
        </w:rPr>
        <w:t>את</w:t>
      </w:r>
      <w:r w:rsidRPr="00B74C6A">
        <w:rPr>
          <w:rFonts w:eastAsia="Calibri"/>
          <w:rtl/>
        </w:rPr>
        <w:t xml:space="preserve"> הצורך לפעול לקיצור זמן ההמת</w:t>
      </w:r>
      <w:r w:rsidRPr="00B74C6A">
        <w:rPr>
          <w:rFonts w:eastAsia="Calibri"/>
          <w:rtl/>
        </w:rPr>
        <w:t xml:space="preserve">נה למענה בשירות הטלפוני ובלשכות קבלת </w:t>
      </w:r>
      <w:r w:rsidRPr="00B74C6A">
        <w:rPr>
          <w:rFonts w:eastAsia="Calibri" w:hint="eastAsia"/>
          <w:rtl/>
        </w:rPr>
        <w:t>ה</w:t>
      </w:r>
      <w:r w:rsidRPr="00B74C6A">
        <w:rPr>
          <w:rFonts w:eastAsia="Calibri"/>
          <w:rtl/>
        </w:rPr>
        <w:t>קהל.</w:t>
      </w:r>
    </w:p>
    <w:p w:rsidR="00BF1E3B" w:rsidRPr="00B74C6A" w:rsidRDefault="00DF6A0A" w:rsidP="00B74C6A">
      <w:pPr>
        <w:pStyle w:val="73fa"/>
        <w:rPr>
          <w:rtl/>
        </w:rPr>
      </w:pPr>
      <w:r w:rsidRPr="00B74C6A">
        <w:rPr>
          <w:rFonts w:hint="cs"/>
          <w:rtl/>
        </w:rPr>
        <w:t>✰</w:t>
      </w:r>
    </w:p>
    <w:p w:rsidR="00BF1E3B" w:rsidRPr="00373CBE" w:rsidRDefault="00DF6A0A" w:rsidP="00B74C6A">
      <w:pPr>
        <w:pStyle w:val="735"/>
        <w:rPr>
          <w:rFonts w:eastAsia="Calibri"/>
          <w:rtl/>
        </w:rPr>
      </w:pPr>
      <w:r w:rsidRPr="00373CBE">
        <w:rPr>
          <w:rFonts w:eastAsia="Calibri" w:hint="eastAsia"/>
          <w:rtl/>
        </w:rPr>
        <w:t>ממצאי</w:t>
      </w:r>
      <w:r w:rsidRPr="00373CBE">
        <w:rPr>
          <w:rFonts w:eastAsia="Calibri"/>
          <w:rtl/>
        </w:rPr>
        <w:t xml:space="preserve"> הסקר שעשה משרד מבקר המדינה</w:t>
      </w:r>
      <w:r>
        <w:rPr>
          <w:rFonts w:eastAsia="Calibri" w:hint="cs"/>
          <w:rtl/>
        </w:rPr>
        <w:t xml:space="preserve"> בקרב אנשים שממעטים לצרוך שירותי ממשל בערוץ דיגיטלי או נמנעים מכך,</w:t>
      </w:r>
      <w:r w:rsidRPr="00373CBE">
        <w:rPr>
          <w:rFonts w:eastAsia="Calibri"/>
          <w:rtl/>
        </w:rPr>
        <w:t xml:space="preserve"> </w:t>
      </w:r>
      <w:r w:rsidR="004E7F15" w:rsidRPr="004E7F15">
        <w:rPr>
          <w:rFonts w:eastAsia="Calibri"/>
          <w:rtl/>
        </w:rPr>
        <w:t>העלו כי יש חסמים העומדים בפני אנשים משלוש קבוצות אוכלוסייה שנכללו בסקר - אנשים בני 60 ומעלה מהאוכלוסייה הכללית ואנשים בני 20 ומעלה מהחברה הערבית ומהחברה היהודית-חרדית</w:t>
      </w:r>
      <w:r>
        <w:rPr>
          <w:rFonts w:eastAsia="Calibri" w:hint="cs"/>
          <w:rtl/>
        </w:rPr>
        <w:t xml:space="preserve">. שלוש קבוצות אלה מהוות כ-3 מיליון איש - כשליש מכלל הציבור בישראל ולפחות מחציתם אינם עושים שימוש במרשתת לצריכת שירותי ממשל. </w:t>
      </w:r>
      <w:r w:rsidRPr="00373CBE">
        <w:rPr>
          <w:rFonts w:eastAsia="Calibri" w:hint="eastAsia"/>
          <w:rtl/>
        </w:rPr>
        <w:t>עבור</w:t>
      </w:r>
      <w:r w:rsidRPr="00373CBE">
        <w:rPr>
          <w:rFonts w:eastAsia="Calibri"/>
          <w:rtl/>
        </w:rPr>
        <w:t xml:space="preserve"> חלק</w:t>
      </w:r>
      <w:r>
        <w:rPr>
          <w:rFonts w:eastAsia="Calibri" w:hint="cs"/>
          <w:rtl/>
        </w:rPr>
        <w:t xml:space="preserve"> מהאנשים בקבוצות האוכלוסייה הללו</w:t>
      </w:r>
      <w:r w:rsidRPr="00373CBE">
        <w:rPr>
          <w:rFonts w:eastAsia="Calibri"/>
          <w:rtl/>
        </w:rPr>
        <w:t xml:space="preserve"> </w:t>
      </w:r>
      <w:r>
        <w:rPr>
          <w:rFonts w:eastAsia="Calibri" w:hint="cs"/>
          <w:rtl/>
        </w:rPr>
        <w:t xml:space="preserve">העדפת </w:t>
      </w:r>
      <w:r w:rsidRPr="00373CBE">
        <w:rPr>
          <w:rFonts w:eastAsia="Calibri"/>
          <w:rtl/>
        </w:rPr>
        <w:t xml:space="preserve">השימוש באמצעים מסורתיים על פני </w:t>
      </w:r>
      <w:r w:rsidRPr="00373CBE">
        <w:rPr>
          <w:rFonts w:eastAsia="Calibri"/>
          <w:rtl/>
        </w:rPr>
        <w:t xml:space="preserve">האמצעים </w:t>
      </w:r>
      <w:r>
        <w:rPr>
          <w:rFonts w:eastAsia="Calibri" w:hint="cs"/>
          <w:rtl/>
        </w:rPr>
        <w:t>ה</w:t>
      </w:r>
      <w:r w:rsidRPr="00373CBE">
        <w:rPr>
          <w:rFonts w:eastAsia="Calibri"/>
          <w:rtl/>
        </w:rPr>
        <w:t xml:space="preserve">דיגיטליים </w:t>
      </w:r>
      <w:r w:rsidRPr="00373CBE">
        <w:rPr>
          <w:rFonts w:eastAsia="Calibri" w:hint="eastAsia"/>
          <w:rtl/>
        </w:rPr>
        <w:t>נובע</w:t>
      </w:r>
      <w:r>
        <w:rPr>
          <w:rFonts w:eastAsia="Calibri" w:hint="cs"/>
          <w:rtl/>
        </w:rPr>
        <w:t>ת</w:t>
      </w:r>
      <w:r w:rsidRPr="00373CBE">
        <w:rPr>
          <w:rFonts w:eastAsia="Calibri"/>
          <w:rtl/>
        </w:rPr>
        <w:t xml:space="preserve"> מהעדפה אישית</w:t>
      </w:r>
      <w:r>
        <w:rPr>
          <w:rFonts w:eastAsia="Calibri" w:hint="cs"/>
          <w:rtl/>
        </w:rPr>
        <w:t>,</w:t>
      </w:r>
      <w:r w:rsidRPr="00373CBE">
        <w:rPr>
          <w:rFonts w:eastAsia="Calibri"/>
          <w:rtl/>
        </w:rPr>
        <w:t xml:space="preserve"> אך </w:t>
      </w:r>
      <w:r w:rsidRPr="00373CBE">
        <w:rPr>
          <w:rFonts w:eastAsia="Calibri" w:hint="eastAsia"/>
          <w:rtl/>
        </w:rPr>
        <w:t>עבור</w:t>
      </w:r>
      <w:r w:rsidRPr="00373CBE">
        <w:rPr>
          <w:rFonts w:eastAsia="Calibri"/>
          <w:rtl/>
        </w:rPr>
        <w:t xml:space="preserve"> </w:t>
      </w:r>
      <w:r>
        <w:rPr>
          <w:rFonts w:eastAsia="Calibri" w:hint="cs"/>
          <w:rtl/>
        </w:rPr>
        <w:t>חלק אחר</w:t>
      </w:r>
      <w:r w:rsidRPr="00373CBE">
        <w:rPr>
          <w:rFonts w:eastAsia="Calibri"/>
          <w:rtl/>
        </w:rPr>
        <w:t xml:space="preserve"> </w:t>
      </w:r>
      <w:r w:rsidRPr="00373CBE">
        <w:rPr>
          <w:rFonts w:eastAsia="Calibri" w:hint="eastAsia"/>
          <w:rtl/>
        </w:rPr>
        <w:t>קיימים</w:t>
      </w:r>
      <w:r w:rsidRPr="00373CBE">
        <w:rPr>
          <w:rFonts w:eastAsia="Calibri"/>
          <w:rtl/>
        </w:rPr>
        <w:t xml:space="preserve"> </w:t>
      </w:r>
      <w:r w:rsidRPr="00373CBE">
        <w:rPr>
          <w:rFonts w:eastAsia="Calibri" w:hint="eastAsia"/>
          <w:rtl/>
        </w:rPr>
        <w:t>חסמים</w:t>
      </w:r>
      <w:r w:rsidRPr="00373CBE">
        <w:rPr>
          <w:rFonts w:eastAsia="Calibri"/>
          <w:rtl/>
        </w:rPr>
        <w:t xml:space="preserve"> </w:t>
      </w:r>
      <w:r w:rsidRPr="00373CBE">
        <w:rPr>
          <w:rFonts w:eastAsia="Calibri" w:hint="eastAsia"/>
          <w:rtl/>
        </w:rPr>
        <w:t>שעל</w:t>
      </w:r>
      <w:r w:rsidRPr="00373CBE">
        <w:rPr>
          <w:rFonts w:eastAsia="Calibri"/>
          <w:rtl/>
        </w:rPr>
        <w:t xml:space="preserve"> </w:t>
      </w:r>
      <w:r>
        <w:rPr>
          <w:rFonts w:eastAsia="Calibri" w:hint="cs"/>
          <w:rtl/>
        </w:rPr>
        <w:t xml:space="preserve">גופי הממשל </w:t>
      </w:r>
      <w:r w:rsidRPr="00373CBE">
        <w:rPr>
          <w:rFonts w:eastAsia="Calibri" w:hint="eastAsia"/>
          <w:rtl/>
        </w:rPr>
        <w:t>לתת</w:t>
      </w:r>
      <w:r w:rsidRPr="00373CBE">
        <w:rPr>
          <w:rFonts w:eastAsia="Calibri"/>
          <w:rtl/>
        </w:rPr>
        <w:t xml:space="preserve"> </w:t>
      </w:r>
      <w:r w:rsidRPr="00373CBE">
        <w:rPr>
          <w:rFonts w:eastAsia="Calibri" w:hint="eastAsia"/>
          <w:rtl/>
        </w:rPr>
        <w:t>עליהם</w:t>
      </w:r>
      <w:r w:rsidRPr="00373CBE">
        <w:rPr>
          <w:rFonts w:eastAsia="Calibri"/>
          <w:rtl/>
        </w:rPr>
        <w:t xml:space="preserve"> </w:t>
      </w:r>
      <w:r w:rsidRPr="00373CBE">
        <w:rPr>
          <w:rFonts w:eastAsia="Calibri" w:hint="eastAsia"/>
          <w:rtl/>
        </w:rPr>
        <w:t>את</w:t>
      </w:r>
      <w:r w:rsidRPr="00373CBE">
        <w:rPr>
          <w:rFonts w:eastAsia="Calibri"/>
          <w:rtl/>
        </w:rPr>
        <w:t xml:space="preserve"> </w:t>
      </w:r>
      <w:r w:rsidRPr="00373CBE">
        <w:rPr>
          <w:rFonts w:eastAsia="Calibri" w:hint="eastAsia"/>
          <w:rtl/>
        </w:rPr>
        <w:t>הדעת</w:t>
      </w:r>
      <w:r w:rsidRPr="00373CBE">
        <w:rPr>
          <w:rFonts w:eastAsia="Calibri"/>
          <w:rtl/>
        </w:rPr>
        <w:t xml:space="preserve"> </w:t>
      </w:r>
      <w:r w:rsidRPr="00373CBE">
        <w:rPr>
          <w:rFonts w:eastAsia="Calibri" w:hint="eastAsia"/>
          <w:rtl/>
        </w:rPr>
        <w:t>ולפעול</w:t>
      </w:r>
      <w:r w:rsidRPr="00373CBE">
        <w:rPr>
          <w:rFonts w:eastAsia="Calibri"/>
          <w:rtl/>
        </w:rPr>
        <w:t xml:space="preserve"> </w:t>
      </w:r>
      <w:r w:rsidRPr="00373CBE">
        <w:rPr>
          <w:rFonts w:eastAsia="Calibri" w:hint="eastAsia"/>
          <w:rtl/>
        </w:rPr>
        <w:t>להסרתם</w:t>
      </w:r>
      <w:r w:rsidRPr="00373CBE">
        <w:rPr>
          <w:rFonts w:eastAsia="Calibri"/>
          <w:rtl/>
        </w:rPr>
        <w:t xml:space="preserve"> או </w:t>
      </w:r>
      <w:r>
        <w:rPr>
          <w:rFonts w:eastAsia="Calibri" w:hint="cs"/>
          <w:rtl/>
        </w:rPr>
        <w:t>ל</w:t>
      </w:r>
      <w:r w:rsidRPr="00373CBE">
        <w:rPr>
          <w:rFonts w:eastAsia="Calibri"/>
          <w:rtl/>
        </w:rPr>
        <w:t>צמצומם</w:t>
      </w:r>
      <w:r>
        <w:rPr>
          <w:rFonts w:eastAsia="Calibri" w:hint="cs"/>
          <w:rtl/>
        </w:rPr>
        <w:t>.</w:t>
      </w:r>
      <w:r w:rsidRPr="00373CBE">
        <w:rPr>
          <w:rFonts w:eastAsia="Calibri"/>
          <w:rtl/>
        </w:rPr>
        <w:t xml:space="preserve"> </w:t>
      </w:r>
      <w:r>
        <w:rPr>
          <w:rFonts w:eastAsia="Calibri" w:hint="cs"/>
          <w:rtl/>
        </w:rPr>
        <w:t>למשל</w:t>
      </w:r>
      <w:r w:rsidRPr="00373CBE">
        <w:rPr>
          <w:rFonts w:eastAsia="Calibri"/>
          <w:rtl/>
        </w:rPr>
        <w:t xml:space="preserve">, </w:t>
      </w:r>
      <w:r w:rsidRPr="00373CBE">
        <w:rPr>
          <w:rFonts w:eastAsia="Calibri" w:hint="eastAsia"/>
          <w:rtl/>
        </w:rPr>
        <w:t>קושי</w:t>
      </w:r>
      <w:r w:rsidRPr="00373CBE">
        <w:rPr>
          <w:rFonts w:eastAsia="Calibri"/>
          <w:rtl/>
        </w:rPr>
        <w:t xml:space="preserve"> טכנולוגי (ה</w:t>
      </w:r>
      <w:r>
        <w:rPr>
          <w:rFonts w:eastAsia="Calibri" w:hint="cs"/>
          <w:rtl/>
        </w:rPr>
        <w:t>י</w:t>
      </w:r>
      <w:r w:rsidRPr="00373CBE">
        <w:rPr>
          <w:rFonts w:eastAsia="Calibri"/>
          <w:rtl/>
        </w:rPr>
        <w:t xml:space="preserve">עדר אוריינטציה דיגיטלית ברמה מספקת) הוא </w:t>
      </w:r>
      <w:r w:rsidRPr="003B51DF">
        <w:rPr>
          <w:rFonts w:eastAsia="Calibri"/>
          <w:rtl/>
        </w:rPr>
        <w:t xml:space="preserve">חסם שקיים </w:t>
      </w:r>
      <w:r w:rsidRPr="003B51DF">
        <w:rPr>
          <w:rFonts w:eastAsia="Calibri" w:hint="eastAsia"/>
          <w:rtl/>
        </w:rPr>
        <w:t>בשלוש</w:t>
      </w:r>
      <w:r w:rsidRPr="003B51DF">
        <w:rPr>
          <w:rFonts w:eastAsia="Calibri"/>
          <w:rtl/>
        </w:rPr>
        <w:t xml:space="preserve"> </w:t>
      </w:r>
      <w:r w:rsidRPr="003B51DF">
        <w:rPr>
          <w:rFonts w:eastAsia="Calibri" w:hint="eastAsia"/>
          <w:rtl/>
        </w:rPr>
        <w:t>הקבוצות</w:t>
      </w:r>
      <w:r w:rsidRPr="003B51DF">
        <w:rPr>
          <w:rFonts w:eastAsia="Calibri"/>
          <w:rtl/>
        </w:rPr>
        <w:t xml:space="preserve"> </w:t>
      </w:r>
      <w:r w:rsidRPr="003B51DF">
        <w:rPr>
          <w:rFonts w:eastAsia="Calibri" w:hint="eastAsia"/>
          <w:rtl/>
        </w:rPr>
        <w:t>הללו</w:t>
      </w:r>
      <w:r w:rsidRPr="003B51DF">
        <w:rPr>
          <w:rFonts w:eastAsia="Calibri"/>
          <w:rtl/>
        </w:rPr>
        <w:t xml:space="preserve"> בשיעור ניכר ל</w:t>
      </w:r>
      <w:r w:rsidRPr="003B51DF">
        <w:rPr>
          <w:rFonts w:eastAsia="Calibri" w:hint="eastAsia"/>
          <w:rtl/>
        </w:rPr>
        <w:t>עומת</w:t>
      </w:r>
      <w:r w:rsidRPr="003B51DF">
        <w:rPr>
          <w:rFonts w:eastAsia="Calibri" w:hint="cs"/>
          <w:rtl/>
        </w:rPr>
        <w:t xml:space="preserve"> האוכלוסייה</w:t>
      </w:r>
      <w:r>
        <w:rPr>
          <w:rFonts w:eastAsia="Calibri" w:hint="cs"/>
          <w:rtl/>
        </w:rPr>
        <w:t xml:space="preserve"> הכללית</w:t>
      </w:r>
      <w:r w:rsidRPr="00373CBE">
        <w:rPr>
          <w:rFonts w:eastAsia="Calibri"/>
          <w:rtl/>
        </w:rPr>
        <w:t xml:space="preserve">. </w:t>
      </w:r>
      <w:r w:rsidRPr="00373CBE">
        <w:rPr>
          <w:rFonts w:eastAsia="Calibri"/>
          <w:rtl/>
        </w:rPr>
        <w:t>החסם העיקרי והמשמעותי בקרב החברה החרדית הוא אי</w:t>
      </w:r>
      <w:r>
        <w:rPr>
          <w:rFonts w:eastAsia="Calibri" w:hint="cs"/>
          <w:rtl/>
        </w:rPr>
        <w:t>-</w:t>
      </w:r>
      <w:r w:rsidRPr="00373CBE">
        <w:rPr>
          <w:rFonts w:eastAsia="Calibri"/>
          <w:rtl/>
        </w:rPr>
        <w:t>החזקת אמצעי חיבור למרשתת.</w:t>
      </w:r>
      <w:r>
        <w:rPr>
          <w:rFonts w:eastAsia="Calibri"/>
          <w:rtl/>
        </w:rPr>
        <w:t xml:space="preserve"> </w:t>
      </w:r>
      <w:r>
        <w:rPr>
          <w:rFonts w:eastAsia="Calibri" w:hint="cs"/>
          <w:rtl/>
        </w:rPr>
        <w:t xml:space="preserve">  </w:t>
      </w:r>
    </w:p>
    <w:p w:rsidR="00BF1E3B" w:rsidRDefault="00DF6A0A" w:rsidP="00B74C6A">
      <w:pPr>
        <w:pStyle w:val="735"/>
        <w:rPr>
          <w:rFonts w:eastAsia="Calibri"/>
          <w:rtl/>
        </w:rPr>
      </w:pPr>
      <w:r w:rsidRPr="003B51DF">
        <w:rPr>
          <w:rFonts w:eastAsia="Calibri" w:hint="eastAsia"/>
          <w:rtl/>
        </w:rPr>
        <w:t>לאור</w:t>
      </w:r>
      <w:r w:rsidRPr="003B51DF">
        <w:rPr>
          <w:rFonts w:eastAsia="Calibri"/>
          <w:rtl/>
        </w:rPr>
        <w:t xml:space="preserve"> העובדה שאוכלוסיות אלו כוללות כ-</w:t>
      </w:r>
      <w:r>
        <w:rPr>
          <w:rFonts w:eastAsia="Calibri" w:hint="cs"/>
          <w:rtl/>
        </w:rPr>
        <w:t xml:space="preserve">3 </w:t>
      </w:r>
      <w:r w:rsidRPr="003B51DF">
        <w:rPr>
          <w:rFonts w:eastAsia="Calibri"/>
          <w:rtl/>
        </w:rPr>
        <w:t>מיליון אזרחים שהם כשליש מהאוכלוסיי</w:t>
      </w:r>
      <w:r w:rsidRPr="003B51DF">
        <w:rPr>
          <w:rFonts w:eastAsia="Calibri" w:hint="eastAsia"/>
          <w:rtl/>
        </w:rPr>
        <w:t>ה</w:t>
      </w:r>
      <w:r w:rsidRPr="003B51DF">
        <w:rPr>
          <w:rFonts w:eastAsia="Calibri"/>
          <w:rtl/>
        </w:rPr>
        <w:t xml:space="preserve"> בישרא</w:t>
      </w:r>
      <w:r>
        <w:rPr>
          <w:rFonts w:eastAsia="Calibri" w:hint="cs"/>
          <w:rtl/>
        </w:rPr>
        <w:t>ל - וכמחצית מהאוכלוסייה הבוגרת במדינה</w:t>
      </w:r>
      <w:r w:rsidRPr="003B51DF">
        <w:rPr>
          <w:rFonts w:eastAsia="Calibri"/>
          <w:rtl/>
        </w:rPr>
        <w:t>,</w:t>
      </w:r>
      <w:r>
        <w:rPr>
          <w:rFonts w:eastAsia="Calibri" w:hint="cs"/>
          <w:rtl/>
        </w:rPr>
        <w:t xml:space="preserve"> מומלץ כי</w:t>
      </w:r>
      <w:r w:rsidRPr="00373CBE">
        <w:rPr>
          <w:rFonts w:eastAsia="Calibri"/>
          <w:rtl/>
        </w:rPr>
        <w:t xml:space="preserve"> </w:t>
      </w:r>
      <w:r w:rsidRPr="00373CBE">
        <w:rPr>
          <w:rFonts w:eastAsia="Calibri" w:hint="eastAsia"/>
          <w:rtl/>
        </w:rPr>
        <w:t>מערך</w:t>
      </w:r>
      <w:r w:rsidRPr="00373CBE">
        <w:rPr>
          <w:rFonts w:eastAsia="Calibri"/>
          <w:rtl/>
        </w:rPr>
        <w:t xml:space="preserve"> </w:t>
      </w:r>
      <w:r w:rsidRPr="00373CBE">
        <w:rPr>
          <w:rFonts w:eastAsia="Calibri" w:hint="eastAsia"/>
          <w:rtl/>
        </w:rPr>
        <w:t>הדיגיטל</w:t>
      </w:r>
      <w:r w:rsidRPr="00373CBE">
        <w:rPr>
          <w:rFonts w:eastAsia="Calibri"/>
          <w:rtl/>
        </w:rPr>
        <w:t xml:space="preserve"> </w:t>
      </w:r>
      <w:r w:rsidRPr="00373CBE">
        <w:rPr>
          <w:rFonts w:eastAsia="Calibri" w:hint="eastAsia"/>
          <w:rtl/>
        </w:rPr>
        <w:t>ו</w:t>
      </w:r>
      <w:r w:rsidRPr="00373CBE">
        <w:rPr>
          <w:rFonts w:eastAsia="Calibri"/>
          <w:rtl/>
        </w:rPr>
        <w:t xml:space="preserve">גופי הממשל </w:t>
      </w:r>
      <w:r>
        <w:rPr>
          <w:rFonts w:eastAsia="Calibri" w:hint="cs"/>
          <w:rtl/>
        </w:rPr>
        <w:t>ילמדו</w:t>
      </w:r>
      <w:r w:rsidRPr="00373CBE">
        <w:rPr>
          <w:rFonts w:eastAsia="Calibri"/>
          <w:rtl/>
        </w:rPr>
        <w:t xml:space="preserve"> את ממצאי הסקרים לשיתוף הציבור שעשה משרד מבקר המדינה,</w:t>
      </w:r>
      <w:r>
        <w:rPr>
          <w:rFonts w:eastAsia="Calibri"/>
          <w:rtl/>
        </w:rPr>
        <w:t xml:space="preserve"> </w:t>
      </w:r>
      <w:r>
        <w:rPr>
          <w:rFonts w:eastAsia="Calibri" w:hint="cs"/>
          <w:rtl/>
        </w:rPr>
        <w:t>ינתחו</w:t>
      </w:r>
      <w:r>
        <w:rPr>
          <w:rFonts w:eastAsia="Calibri"/>
          <w:rtl/>
        </w:rPr>
        <w:t xml:space="preserve"> </w:t>
      </w:r>
      <w:r w:rsidRPr="00373CBE">
        <w:rPr>
          <w:rFonts w:eastAsia="Calibri"/>
          <w:rtl/>
        </w:rPr>
        <w:t xml:space="preserve">את החסמים </w:t>
      </w:r>
      <w:r w:rsidRPr="00373CBE">
        <w:rPr>
          <w:rFonts w:eastAsia="Calibri" w:hint="eastAsia"/>
          <w:rtl/>
        </w:rPr>
        <w:t>או</w:t>
      </w:r>
      <w:r w:rsidRPr="00373CBE">
        <w:rPr>
          <w:rFonts w:eastAsia="Calibri"/>
          <w:rtl/>
        </w:rPr>
        <w:t xml:space="preserve"> הסיבות לשימוש </w:t>
      </w:r>
      <w:r>
        <w:rPr>
          <w:rFonts w:eastAsia="Calibri" w:hint="cs"/>
          <w:rtl/>
        </w:rPr>
        <w:t xml:space="preserve">הנמוך </w:t>
      </w:r>
      <w:r w:rsidRPr="00373CBE">
        <w:rPr>
          <w:rFonts w:eastAsia="Calibri"/>
          <w:rtl/>
        </w:rPr>
        <w:t>יחסי</w:t>
      </w:r>
      <w:r>
        <w:rPr>
          <w:rFonts w:eastAsia="Calibri" w:hint="cs"/>
          <w:rtl/>
        </w:rPr>
        <w:t>ת</w:t>
      </w:r>
      <w:r w:rsidRPr="00373CBE">
        <w:rPr>
          <w:rFonts w:eastAsia="Calibri"/>
          <w:rtl/>
        </w:rPr>
        <w:t xml:space="preserve"> בערוץ הדיגיטלי בקרב </w:t>
      </w:r>
      <w:r w:rsidRPr="00373CBE">
        <w:rPr>
          <w:rFonts w:eastAsia="Calibri" w:hint="eastAsia"/>
          <w:rtl/>
        </w:rPr>
        <w:t>האוכלוסייה</w:t>
      </w:r>
      <w:r w:rsidRPr="00373CBE">
        <w:rPr>
          <w:rFonts w:eastAsia="Calibri"/>
          <w:rtl/>
        </w:rPr>
        <w:t xml:space="preserve"> </w:t>
      </w:r>
      <w:r w:rsidRPr="00373CBE">
        <w:rPr>
          <w:rFonts w:eastAsia="Calibri" w:hint="eastAsia"/>
          <w:rtl/>
        </w:rPr>
        <w:t>החרדית</w:t>
      </w:r>
      <w:r w:rsidRPr="00373CBE">
        <w:rPr>
          <w:rFonts w:eastAsia="Calibri"/>
          <w:rtl/>
        </w:rPr>
        <w:t xml:space="preserve"> </w:t>
      </w:r>
      <w:r>
        <w:rPr>
          <w:rFonts w:eastAsia="Calibri" w:hint="cs"/>
          <w:rtl/>
        </w:rPr>
        <w:t>ו</w:t>
      </w:r>
      <w:r w:rsidRPr="00373CBE">
        <w:rPr>
          <w:rFonts w:eastAsia="Calibri" w:hint="eastAsia"/>
          <w:rtl/>
        </w:rPr>
        <w:t>הערבית</w:t>
      </w:r>
      <w:r w:rsidRPr="00373CBE">
        <w:rPr>
          <w:rFonts w:eastAsia="Calibri"/>
          <w:rtl/>
        </w:rPr>
        <w:t xml:space="preserve"> </w:t>
      </w:r>
      <w:r w:rsidRPr="00373CBE">
        <w:rPr>
          <w:rFonts w:eastAsia="Calibri" w:hint="eastAsia"/>
          <w:rtl/>
        </w:rPr>
        <w:t>ובקרב</w:t>
      </w:r>
      <w:r w:rsidRPr="00373CBE">
        <w:rPr>
          <w:rFonts w:eastAsia="Calibri"/>
          <w:rtl/>
        </w:rPr>
        <w:t xml:space="preserve"> </w:t>
      </w:r>
      <w:r w:rsidRPr="00373CBE">
        <w:rPr>
          <w:rFonts w:eastAsia="Calibri" w:hint="eastAsia"/>
          <w:rtl/>
        </w:rPr>
        <w:t>בני</w:t>
      </w:r>
      <w:r w:rsidRPr="00373CBE">
        <w:rPr>
          <w:rFonts w:eastAsia="Calibri"/>
          <w:rtl/>
        </w:rPr>
        <w:t xml:space="preserve"> </w:t>
      </w:r>
      <w:r>
        <w:rPr>
          <w:rFonts w:eastAsia="Calibri" w:hint="cs"/>
          <w:rtl/>
        </w:rPr>
        <w:t>ה-</w:t>
      </w:r>
      <w:r w:rsidRPr="00373CBE">
        <w:rPr>
          <w:rFonts w:eastAsia="Calibri"/>
          <w:rtl/>
        </w:rPr>
        <w:t xml:space="preserve">60 </w:t>
      </w:r>
      <w:r w:rsidRPr="00373CBE">
        <w:rPr>
          <w:rFonts w:eastAsia="Calibri" w:hint="eastAsia"/>
          <w:rtl/>
        </w:rPr>
        <w:t>ומעלה</w:t>
      </w:r>
      <w:r w:rsidRPr="00373CBE">
        <w:rPr>
          <w:rFonts w:eastAsia="Calibri"/>
          <w:rtl/>
        </w:rPr>
        <w:t xml:space="preserve"> </w:t>
      </w:r>
      <w:r>
        <w:rPr>
          <w:rFonts w:eastAsia="Calibri" w:hint="cs"/>
          <w:rtl/>
        </w:rPr>
        <w:t>ויבחנו</w:t>
      </w:r>
      <w:r w:rsidRPr="00373CBE">
        <w:rPr>
          <w:rFonts w:eastAsia="Calibri"/>
          <w:rtl/>
        </w:rPr>
        <w:t xml:space="preserve"> דרכים לשפר את השירות הממשלתי </w:t>
      </w:r>
      <w:r w:rsidRPr="00373CBE">
        <w:rPr>
          <w:rFonts w:eastAsia="Calibri" w:hint="cs"/>
          <w:rtl/>
        </w:rPr>
        <w:t>עבור קבוצות כה גדולות בציבור בישראל</w:t>
      </w:r>
      <w:r>
        <w:rPr>
          <w:rStyle w:val="a8"/>
          <w:rFonts w:eastAsia="Calibri"/>
          <w:sz w:val="24"/>
          <w:rtl/>
        </w:rPr>
        <w:footnoteReference w:id="134"/>
      </w:r>
      <w:r w:rsidRPr="00373CBE">
        <w:rPr>
          <w:rFonts w:eastAsia="Calibri"/>
          <w:rtl/>
        </w:rPr>
        <w:t xml:space="preserve">. </w:t>
      </w:r>
      <w:r w:rsidRPr="00373CBE">
        <w:rPr>
          <w:rFonts w:eastAsia="Calibri" w:hint="eastAsia"/>
          <w:rtl/>
        </w:rPr>
        <w:t>בד</w:t>
      </w:r>
      <w:r w:rsidRPr="00373CBE">
        <w:rPr>
          <w:rFonts w:eastAsia="Calibri"/>
          <w:rtl/>
        </w:rPr>
        <w:t xml:space="preserve"> </w:t>
      </w:r>
      <w:r w:rsidRPr="00373CBE">
        <w:rPr>
          <w:rFonts w:eastAsia="Calibri" w:hint="eastAsia"/>
          <w:rtl/>
        </w:rPr>
        <w:t>בבד</w:t>
      </w:r>
      <w:r w:rsidRPr="00373CBE">
        <w:rPr>
          <w:rFonts w:eastAsia="Calibri"/>
          <w:rtl/>
        </w:rPr>
        <w:t xml:space="preserve"> עם פיתוח השירות הדיגיטלי ונקיטת פעולות להנגשתו המיטבית לכלל הציבור, </w:t>
      </w:r>
      <w:r>
        <w:rPr>
          <w:rFonts w:eastAsia="Calibri" w:hint="cs"/>
          <w:rtl/>
        </w:rPr>
        <w:t xml:space="preserve">על גופי הממשל </w:t>
      </w:r>
      <w:r w:rsidRPr="00373CBE">
        <w:rPr>
          <w:rFonts w:eastAsia="Calibri"/>
          <w:rtl/>
        </w:rPr>
        <w:t xml:space="preserve">להמשיך </w:t>
      </w:r>
      <w:r w:rsidRPr="00373CBE">
        <w:rPr>
          <w:rFonts w:eastAsia="Calibri" w:hint="eastAsia"/>
          <w:rtl/>
        </w:rPr>
        <w:t>לתת</w:t>
      </w:r>
      <w:r w:rsidRPr="00373CBE">
        <w:rPr>
          <w:rFonts w:eastAsia="Calibri"/>
          <w:rtl/>
        </w:rPr>
        <w:t xml:space="preserve"> מענה מלא גם בערוצים המסורתיים עבור אותם אנשים </w:t>
      </w:r>
      <w:r w:rsidRPr="00373CBE">
        <w:rPr>
          <w:rFonts w:eastAsia="Calibri" w:hint="eastAsia"/>
          <w:rtl/>
        </w:rPr>
        <w:t>שמעדיפים</w:t>
      </w:r>
      <w:r w:rsidRPr="00373CBE">
        <w:rPr>
          <w:rFonts w:eastAsia="Calibri"/>
          <w:rtl/>
        </w:rPr>
        <w:t xml:space="preserve"> או נאלצים להשתמש בהם</w:t>
      </w:r>
      <w:r w:rsidRPr="00373CBE">
        <w:rPr>
          <w:rFonts w:eastAsia="Calibri" w:hint="cs"/>
          <w:rtl/>
        </w:rPr>
        <w:t>.</w:t>
      </w:r>
    </w:p>
    <w:p w:rsidR="00BF1E3B" w:rsidRPr="002C6198" w:rsidRDefault="00DF6A0A" w:rsidP="00C619CC">
      <w:pPr>
        <w:pStyle w:val="7392"/>
        <w:rPr>
          <w:rtl/>
        </w:rPr>
      </w:pPr>
      <w:r>
        <w:rPr>
          <w:rFonts w:hint="cs"/>
          <w:rtl/>
        </w:rPr>
        <w:t>מערך הדיגיטל הלאומי מסר בתשובתו כי הוא מממש את ההמלצה ופועל בשיתוף נציבות שירות המדינ</w:t>
      </w:r>
      <w:r>
        <w:rPr>
          <w:rFonts w:hint="cs"/>
          <w:rtl/>
        </w:rPr>
        <w:t>ה "תוך ביצוע הסדרה לאגפי שירות במשרדי ממשלה שמנהלים את כלל ערוצי השירות". עוד הוא מסר כי "בוצעו מחקרי עומק (האחד בשנת 2017 והשני בשנת 2022) שמטרתם לבדוק את החסמים והמוטיבציות של קהלי היעד ובהתאם נבנו הכשרות מותאמות לקהלי היעד חסרי האוריינות הדיגיטלית".</w:t>
      </w:r>
    </w:p>
    <w:p w:rsidR="00BF1E3B" w:rsidRPr="00B74C6A" w:rsidRDefault="00DF6A0A" w:rsidP="00B74C6A">
      <w:pPr>
        <w:pStyle w:val="733155"/>
        <w:rPr>
          <w:rtl/>
        </w:rPr>
      </w:pPr>
      <w:r w:rsidRPr="00B74C6A">
        <w:rPr>
          <w:rFonts w:hint="cs"/>
          <w:rtl/>
        </w:rPr>
        <w:lastRenderedPageBreak/>
        <w:t>המע</w:t>
      </w:r>
      <w:r w:rsidRPr="00B74C6A">
        <w:rPr>
          <w:rFonts w:hint="cs"/>
          <w:rtl/>
        </w:rPr>
        <w:t>נה הממשלתי ל</w:t>
      </w:r>
      <w:r w:rsidRPr="00B74C6A">
        <w:rPr>
          <w:rtl/>
        </w:rPr>
        <w:t>פערים ב</w:t>
      </w:r>
      <w:r w:rsidRPr="00B74C6A">
        <w:rPr>
          <w:rFonts w:hint="cs"/>
          <w:rtl/>
        </w:rPr>
        <w:t xml:space="preserve">שימוש במרשתת לצריכת </w:t>
      </w:r>
      <w:r w:rsidRPr="00B74C6A">
        <w:rPr>
          <w:rtl/>
        </w:rPr>
        <w:t>שירותי</w:t>
      </w:r>
      <w:r w:rsidRPr="00B74C6A">
        <w:rPr>
          <w:rFonts w:hint="cs"/>
          <w:rtl/>
        </w:rPr>
        <w:t>ם ממשלתיים</w:t>
      </w:r>
      <w:r w:rsidRPr="00B74C6A">
        <w:rPr>
          <w:rtl/>
        </w:rPr>
        <w:t xml:space="preserve"> </w:t>
      </w:r>
    </w:p>
    <w:p w:rsidR="00BF1E3B" w:rsidRPr="00124A4F" w:rsidRDefault="00DF6A0A" w:rsidP="00124A4F">
      <w:pPr>
        <w:pStyle w:val="7392"/>
        <w:rPr>
          <w:rtl/>
        </w:rPr>
      </w:pPr>
      <w:r w:rsidRPr="00124A4F">
        <w:rPr>
          <w:rFonts w:hint="cs"/>
          <w:rtl/>
        </w:rPr>
        <w:t xml:space="preserve">משרד מבקר המדינה בדק אילו מענים מספקת הממשלה לאנשים </w:t>
      </w:r>
      <w:r w:rsidRPr="00124A4F">
        <w:rPr>
          <w:rtl/>
        </w:rPr>
        <w:t xml:space="preserve">שאינם </w:t>
      </w:r>
      <w:r w:rsidRPr="00124A4F">
        <w:rPr>
          <w:rFonts w:hint="cs"/>
          <w:rtl/>
        </w:rPr>
        <w:t>משתמשים</w:t>
      </w:r>
      <w:r w:rsidRPr="00124A4F">
        <w:rPr>
          <w:rtl/>
        </w:rPr>
        <w:t xml:space="preserve"> במרשתת לצריכת שירותים ממשלתיים</w:t>
      </w:r>
      <w:r w:rsidRPr="00124A4F">
        <w:rPr>
          <w:rFonts w:hint="cs"/>
          <w:rtl/>
        </w:rPr>
        <w:t xml:space="preserve"> כדי להתגבר על החסמים שמקשים עליהם ליהנות מיתרונות השימוש בערוצים הדיגיטליים.</w:t>
      </w:r>
    </w:p>
    <w:p w:rsidR="00BF1E3B" w:rsidRPr="00B74C6A" w:rsidRDefault="00DF6A0A" w:rsidP="00B74C6A">
      <w:pPr>
        <w:pStyle w:val="73414"/>
        <w:rPr>
          <w:rtl/>
        </w:rPr>
      </w:pPr>
      <w:r w:rsidRPr="00B74C6A">
        <w:rPr>
          <w:rtl/>
        </w:rPr>
        <w:t xml:space="preserve">פעולות </w:t>
      </w:r>
      <w:r w:rsidRPr="00B74C6A">
        <w:rPr>
          <w:rFonts w:hint="cs"/>
          <w:rtl/>
        </w:rPr>
        <w:t>ל</w:t>
      </w:r>
      <w:r w:rsidRPr="00B74C6A">
        <w:rPr>
          <w:rtl/>
        </w:rPr>
        <w:t>הגברת האוריינות ה</w:t>
      </w:r>
      <w:r w:rsidRPr="00B74C6A">
        <w:rPr>
          <w:rtl/>
        </w:rPr>
        <w:t xml:space="preserve">דיגיטלית של האוכלוסייה </w:t>
      </w:r>
    </w:p>
    <w:p w:rsidR="00BF1E3B" w:rsidRPr="00373CBE" w:rsidRDefault="00DF6A0A" w:rsidP="00C619CC">
      <w:pPr>
        <w:pStyle w:val="7392"/>
        <w:rPr>
          <w:rtl/>
        </w:rPr>
      </w:pPr>
      <w:r w:rsidRPr="00373CBE">
        <w:rPr>
          <w:rtl/>
        </w:rPr>
        <w:t>בהחלטת ממשלה</w:t>
      </w:r>
      <w:r>
        <w:rPr>
          <w:vertAlign w:val="superscript"/>
          <w:rtl/>
        </w:rPr>
        <w:footnoteReference w:id="135"/>
      </w:r>
      <w:r w:rsidRPr="00373CBE">
        <w:rPr>
          <w:rFonts w:hint="cs"/>
          <w:rtl/>
        </w:rPr>
        <w:t xml:space="preserve"> מ</w:t>
      </w:r>
      <w:r>
        <w:rPr>
          <w:rFonts w:hint="cs"/>
          <w:rtl/>
        </w:rPr>
        <w:t xml:space="preserve">יוני </w:t>
      </w:r>
      <w:r w:rsidRPr="00373CBE">
        <w:rPr>
          <w:rFonts w:hint="cs"/>
          <w:rtl/>
        </w:rPr>
        <w:t>2017</w:t>
      </w:r>
      <w:r w:rsidRPr="00373CBE">
        <w:rPr>
          <w:rtl/>
        </w:rPr>
        <w:t xml:space="preserve"> נקבע כי יש "לגבש, בתוך שישה חודשים מיום קבלת</w:t>
      </w:r>
      <w:r>
        <w:rPr>
          <w:rFonts w:hint="cs"/>
          <w:rtl/>
        </w:rPr>
        <w:t xml:space="preserve"> החלטה זו,</w:t>
      </w:r>
      <w:r w:rsidRPr="00373CBE">
        <w:rPr>
          <w:rtl/>
        </w:rPr>
        <w:t xml:space="preserve"> תכנית לאורי</w:t>
      </w:r>
      <w:r>
        <w:rPr>
          <w:rFonts w:hint="cs"/>
          <w:rtl/>
        </w:rPr>
        <w:t>י</w:t>
      </w:r>
      <w:r w:rsidRPr="00373CBE">
        <w:rPr>
          <w:rtl/>
        </w:rPr>
        <w:t>נות דיגיטלית תוך התייחסות למגזרים שבהם קיים פער בנושא ולהוביל את יישומה".</w:t>
      </w:r>
      <w:r w:rsidRPr="00373CBE">
        <w:rPr>
          <w:rFonts w:hint="cs"/>
          <w:rtl/>
        </w:rPr>
        <w:t xml:space="preserve"> </w:t>
      </w:r>
      <w:r w:rsidRPr="00373CBE">
        <w:rPr>
          <w:rtl/>
        </w:rPr>
        <w:t>להלן בתמצית מידע שמסר מערך הדיגיטל למשרד מבקר המדינה בנוגע לפעולות</w:t>
      </w:r>
      <w:r w:rsidRPr="00373CBE">
        <w:rPr>
          <w:rtl/>
        </w:rPr>
        <w:t xml:space="preserve"> </w:t>
      </w:r>
      <w:r w:rsidRPr="00373CBE">
        <w:rPr>
          <w:rFonts w:hint="cs"/>
          <w:rtl/>
        </w:rPr>
        <w:t xml:space="preserve">שבוצעו </w:t>
      </w:r>
      <w:r w:rsidRPr="00373CBE">
        <w:rPr>
          <w:rtl/>
        </w:rPr>
        <w:t>מאז התקבלה החלטת הממשלה</w:t>
      </w:r>
      <w:r w:rsidRPr="00373CBE">
        <w:rPr>
          <w:rFonts w:hint="cs"/>
          <w:rtl/>
        </w:rPr>
        <w:t xml:space="preserve"> ו</w:t>
      </w:r>
      <w:r w:rsidRPr="00373CBE">
        <w:rPr>
          <w:rtl/>
        </w:rPr>
        <w:t xml:space="preserve">עד ספטמבר 2022. </w:t>
      </w:r>
    </w:p>
    <w:p w:rsidR="00BF1E3B" w:rsidRPr="00373CBE" w:rsidRDefault="00DF6A0A" w:rsidP="00C619CC">
      <w:pPr>
        <w:pStyle w:val="7392"/>
        <w:rPr>
          <w:color w:val="000000"/>
        </w:rPr>
      </w:pPr>
      <w:r w:rsidRPr="00373CBE">
        <w:rPr>
          <w:rFonts w:hint="cs"/>
          <w:rtl/>
        </w:rPr>
        <w:t xml:space="preserve">מערך הדיגיטל מפעיל </w:t>
      </w:r>
      <w:r w:rsidRPr="00373CBE">
        <w:rPr>
          <w:rtl/>
        </w:rPr>
        <w:t>ת</w:t>
      </w:r>
      <w:r w:rsidRPr="00373CBE">
        <w:rPr>
          <w:rFonts w:hint="cs"/>
          <w:rtl/>
        </w:rPr>
        <w:t>ו</w:t>
      </w:r>
      <w:r w:rsidRPr="00373CBE">
        <w:rPr>
          <w:rtl/>
        </w:rPr>
        <w:t>כני</w:t>
      </w:r>
      <w:r w:rsidRPr="00373CBE">
        <w:rPr>
          <w:rFonts w:hint="cs"/>
          <w:rtl/>
        </w:rPr>
        <w:t>ו</w:t>
      </w:r>
      <w:r w:rsidRPr="00373CBE">
        <w:rPr>
          <w:rtl/>
        </w:rPr>
        <w:t xml:space="preserve">ת לקידום אוריינות דיגיטלית בקרב אזרחים חסרי אוריינות דיגיטלית </w:t>
      </w:r>
      <w:r w:rsidRPr="00373CBE">
        <w:rPr>
          <w:rFonts w:hint="eastAsia"/>
          <w:color w:val="000000"/>
          <w:rtl/>
        </w:rPr>
        <w:t>מ</w:t>
      </w:r>
      <w:r w:rsidRPr="00373CBE">
        <w:rPr>
          <w:color w:val="000000"/>
          <w:rtl/>
        </w:rPr>
        <w:t>החברה</w:t>
      </w:r>
      <w:r w:rsidRPr="00373CBE">
        <w:rPr>
          <w:b/>
          <w:rtl/>
        </w:rPr>
        <w:t xml:space="preserve"> הערבית,</w:t>
      </w:r>
      <w:r w:rsidRPr="00373CBE">
        <w:rPr>
          <w:rtl/>
        </w:rPr>
        <w:t xml:space="preserve"> החברה היהודית-חרדית </w:t>
      </w:r>
      <w:r w:rsidR="006B6D90">
        <w:rPr>
          <w:rFonts w:hint="cs"/>
          <w:rtl/>
        </w:rPr>
        <w:t>ו</w:t>
      </w:r>
      <w:r w:rsidRPr="00373CBE">
        <w:rPr>
          <w:rtl/>
        </w:rPr>
        <w:t>אוכלוסיית האזרחים הוותיקים</w:t>
      </w:r>
      <w:r>
        <w:rPr>
          <w:rFonts w:hint="cs"/>
          <w:rtl/>
        </w:rPr>
        <w:t>. וכן תוכניות להכשרת</w:t>
      </w:r>
      <w:r w:rsidRPr="00373CBE">
        <w:rPr>
          <w:rtl/>
        </w:rPr>
        <w:t xml:space="preserve"> נשים מהפריפריה החברתית והגיאוגרפית.</w:t>
      </w:r>
      <w:r w:rsidRPr="00373CBE">
        <w:rPr>
          <w:rFonts w:hint="cs"/>
          <w:rtl/>
        </w:rPr>
        <w:t xml:space="preserve"> בתוכניות </w:t>
      </w:r>
      <w:r w:rsidRPr="00373CBE">
        <w:rPr>
          <w:rFonts w:hint="cs"/>
          <w:color w:val="000000"/>
          <w:rtl/>
        </w:rPr>
        <w:t>השתתפו עד ל</w:t>
      </w:r>
      <w:r>
        <w:rPr>
          <w:rFonts w:hint="cs"/>
          <w:color w:val="000000"/>
          <w:rtl/>
        </w:rPr>
        <w:t xml:space="preserve">סוף שנת </w:t>
      </w:r>
      <w:r w:rsidRPr="00373CBE">
        <w:rPr>
          <w:rFonts w:hint="cs"/>
          <w:color w:val="000000"/>
          <w:rtl/>
        </w:rPr>
        <w:t>20</w:t>
      </w:r>
      <w:r>
        <w:rPr>
          <w:rFonts w:hint="cs"/>
          <w:color w:val="000000"/>
          <w:rtl/>
        </w:rPr>
        <w:t>2</w:t>
      </w:r>
      <w:r w:rsidRPr="00373CBE">
        <w:rPr>
          <w:rFonts w:hint="cs"/>
          <w:color w:val="000000"/>
          <w:rtl/>
        </w:rPr>
        <w:t xml:space="preserve">2 </w:t>
      </w:r>
      <w:r w:rsidRPr="00373CBE">
        <w:rPr>
          <w:color w:val="000000"/>
          <w:rtl/>
        </w:rPr>
        <w:t>כ-</w:t>
      </w:r>
      <w:r>
        <w:rPr>
          <w:rFonts w:hint="cs"/>
          <w:color w:val="000000"/>
          <w:rtl/>
        </w:rPr>
        <w:t>2</w:t>
      </w:r>
      <w:r w:rsidRPr="00373CBE">
        <w:rPr>
          <w:color w:val="000000"/>
          <w:rtl/>
        </w:rPr>
        <w:t>00,000 איש</w:t>
      </w:r>
      <w:r w:rsidRPr="00373CBE">
        <w:rPr>
          <w:rFonts w:hint="cs"/>
          <w:color w:val="000000"/>
          <w:rtl/>
        </w:rPr>
        <w:t>.</w:t>
      </w:r>
      <w:r>
        <w:rPr>
          <w:rFonts w:hint="cs"/>
          <w:color w:val="000000"/>
          <w:rtl/>
        </w:rPr>
        <w:t xml:space="preserve"> מהם מהחברה הערבית כ-21 אלף איש, מהחברה החרדית כ-17 אלף איש, מקרב אוכלוסיית בני 65 ומעלה כ-36 אלף איש והייתר כ-130 אלף איש מהחברה היהודית (ללא קבוצת החברה החרדית) בגילאי 18 - 65. </w:t>
      </w:r>
    </w:p>
    <w:p w:rsidR="00BF1E3B" w:rsidRPr="00373CBE" w:rsidRDefault="00DF6A0A" w:rsidP="00C619CC">
      <w:pPr>
        <w:pStyle w:val="7392"/>
      </w:pPr>
      <w:r w:rsidRPr="00373CBE">
        <w:rPr>
          <w:rFonts w:hint="cs"/>
          <w:rtl/>
        </w:rPr>
        <w:t xml:space="preserve">להלן דוגמאות לתוכניות </w:t>
      </w:r>
      <w:r>
        <w:rPr>
          <w:rFonts w:hint="cs"/>
          <w:rtl/>
        </w:rPr>
        <w:t>שמפעיל</w:t>
      </w:r>
      <w:r w:rsidRPr="00373CBE">
        <w:rPr>
          <w:rFonts w:hint="cs"/>
          <w:rtl/>
        </w:rPr>
        <w:t xml:space="preserve"> מערך הדיגיטל בקרב קבוצות אוכלוסייה שונות</w:t>
      </w:r>
      <w:r w:rsidRPr="00373CBE">
        <w:rPr>
          <w:b/>
          <w:rtl/>
        </w:rPr>
        <w:t xml:space="preserve">: </w:t>
      </w:r>
      <w:r w:rsidRPr="00373CBE">
        <w:rPr>
          <w:rFonts w:hint="cs"/>
          <w:b/>
          <w:rtl/>
        </w:rPr>
        <w:t>(</w:t>
      </w:r>
      <w:r>
        <w:rPr>
          <w:rFonts w:hint="cs"/>
          <w:b/>
          <w:rtl/>
        </w:rPr>
        <w:t>א</w:t>
      </w:r>
      <w:r w:rsidRPr="00373CBE">
        <w:rPr>
          <w:rFonts w:hint="cs"/>
          <w:b/>
          <w:rtl/>
        </w:rPr>
        <w:t xml:space="preserve">) </w:t>
      </w:r>
      <w:r w:rsidRPr="00373CBE">
        <w:rPr>
          <w:b/>
          <w:rtl/>
        </w:rPr>
        <w:t>המיזם הלאומי לקידום זקנה פעילה באמצעות אוריינות דיגיטלית</w:t>
      </w:r>
      <w:r>
        <w:rPr>
          <w:vertAlign w:val="superscript"/>
        </w:rPr>
        <w:footnoteReference w:id="136"/>
      </w:r>
      <w:r>
        <w:rPr>
          <w:rFonts w:hint="cs"/>
          <w:rtl/>
        </w:rPr>
        <w:t>;</w:t>
      </w:r>
      <w:r w:rsidRPr="00373CBE">
        <w:rPr>
          <w:rFonts w:hint="cs"/>
          <w:rtl/>
        </w:rPr>
        <w:t xml:space="preserve"> (</w:t>
      </w:r>
      <w:r>
        <w:rPr>
          <w:rFonts w:hint="cs"/>
          <w:rtl/>
        </w:rPr>
        <w:t>ב</w:t>
      </w:r>
      <w:r w:rsidRPr="00373CBE">
        <w:rPr>
          <w:rFonts w:hint="cs"/>
          <w:rtl/>
        </w:rPr>
        <w:t xml:space="preserve">) </w:t>
      </w:r>
      <w:r w:rsidRPr="00373CBE">
        <w:rPr>
          <w:rtl/>
        </w:rPr>
        <w:t>הכשרת שגרירים דיגיטליים מהחברה הערבית</w:t>
      </w:r>
      <w:r>
        <w:rPr>
          <w:vertAlign w:val="superscript"/>
        </w:rPr>
        <w:footnoteReference w:id="137"/>
      </w:r>
      <w:r>
        <w:rPr>
          <w:rFonts w:hint="cs"/>
          <w:rtl/>
        </w:rPr>
        <w:t xml:space="preserve">; </w:t>
      </w:r>
      <w:r w:rsidRPr="00373CBE">
        <w:rPr>
          <w:rFonts w:hint="cs"/>
          <w:rtl/>
        </w:rPr>
        <w:t>(</w:t>
      </w:r>
      <w:r>
        <w:rPr>
          <w:rFonts w:hint="cs"/>
          <w:rtl/>
        </w:rPr>
        <w:t>ג</w:t>
      </w:r>
      <w:r w:rsidRPr="00373CBE">
        <w:rPr>
          <w:rFonts w:hint="cs"/>
          <w:rtl/>
        </w:rPr>
        <w:t xml:space="preserve">) </w:t>
      </w:r>
      <w:r w:rsidRPr="00373CBE">
        <w:rPr>
          <w:rtl/>
        </w:rPr>
        <w:t xml:space="preserve">פרויקט </w:t>
      </w:r>
      <w:r w:rsidRPr="00373CBE">
        <w:rPr>
          <w:rFonts w:hint="cs"/>
          <w:rtl/>
        </w:rPr>
        <w:t xml:space="preserve">דיגיטציה ליישוב הבדואי </w:t>
      </w:r>
      <w:r w:rsidRPr="00373CBE">
        <w:rPr>
          <w:rtl/>
        </w:rPr>
        <w:t xml:space="preserve">חורה </w:t>
      </w:r>
      <w:r w:rsidRPr="00373CBE">
        <w:rPr>
          <w:rFonts w:hint="cs"/>
          <w:rtl/>
        </w:rPr>
        <w:t xml:space="preserve">- "חורה </w:t>
      </w:r>
      <w:r w:rsidRPr="00373CBE">
        <w:rPr>
          <w:rtl/>
        </w:rPr>
        <w:t>דיגיטלית</w:t>
      </w:r>
      <w:r w:rsidRPr="00373CBE">
        <w:rPr>
          <w:rFonts w:hint="cs"/>
          <w:rtl/>
        </w:rPr>
        <w:t>"</w:t>
      </w:r>
      <w:r>
        <w:rPr>
          <w:vertAlign w:val="superscript"/>
          <w:rtl/>
        </w:rPr>
        <w:footnoteReference w:id="138"/>
      </w:r>
      <w:r>
        <w:rPr>
          <w:rFonts w:hint="cs"/>
          <w:rtl/>
        </w:rPr>
        <w:t xml:space="preserve">; </w:t>
      </w:r>
      <w:r w:rsidRPr="00373CBE">
        <w:rPr>
          <w:rFonts w:hint="cs"/>
          <w:rtl/>
        </w:rPr>
        <w:t>(</w:t>
      </w:r>
      <w:r>
        <w:rPr>
          <w:rFonts w:hint="cs"/>
          <w:rtl/>
        </w:rPr>
        <w:t>ד</w:t>
      </w:r>
      <w:r w:rsidRPr="00373CBE">
        <w:rPr>
          <w:rFonts w:hint="cs"/>
          <w:rtl/>
        </w:rPr>
        <w:t xml:space="preserve">) </w:t>
      </w:r>
      <w:r w:rsidRPr="00373CBE">
        <w:rPr>
          <w:rtl/>
        </w:rPr>
        <w:t>מיזם קהילות דיגיטליות בירושלים</w:t>
      </w:r>
      <w:r>
        <w:rPr>
          <w:vertAlign w:val="superscript"/>
          <w:rtl/>
        </w:rPr>
        <w:footnoteReference w:id="139"/>
      </w:r>
      <w:r w:rsidRPr="00373CBE">
        <w:rPr>
          <w:rFonts w:hint="cs"/>
          <w:rtl/>
        </w:rPr>
        <w:t>.</w:t>
      </w:r>
    </w:p>
    <w:p w:rsidR="00BF1E3B" w:rsidRPr="00373CBE" w:rsidRDefault="00DF6A0A" w:rsidP="00C619CC">
      <w:pPr>
        <w:pStyle w:val="7392"/>
        <w:rPr>
          <w:rtl/>
        </w:rPr>
      </w:pPr>
      <w:r w:rsidRPr="00373CBE">
        <w:rPr>
          <w:rFonts w:hint="cs"/>
          <w:rtl/>
        </w:rPr>
        <w:lastRenderedPageBreak/>
        <w:t>באוקטובר 2</w:t>
      </w:r>
      <w:r w:rsidRPr="00373CBE">
        <w:rPr>
          <w:rFonts w:hint="cs"/>
          <w:rtl/>
        </w:rPr>
        <w:t xml:space="preserve">021 </w:t>
      </w:r>
      <w:r>
        <w:rPr>
          <w:rFonts w:hint="cs"/>
          <w:rtl/>
        </w:rPr>
        <w:t>התקבלה</w:t>
      </w:r>
      <w:r w:rsidRPr="00373CBE">
        <w:rPr>
          <w:rFonts w:hint="cs"/>
          <w:rtl/>
        </w:rPr>
        <w:t xml:space="preserve"> החלט</w:t>
      </w:r>
      <w:r>
        <w:rPr>
          <w:rFonts w:hint="cs"/>
          <w:rtl/>
        </w:rPr>
        <w:t>ת ממשלה</w:t>
      </w:r>
      <w:r w:rsidRPr="00373CBE">
        <w:rPr>
          <w:rFonts w:hint="cs"/>
          <w:rtl/>
        </w:rPr>
        <w:t xml:space="preserve"> בנושא</w:t>
      </w:r>
      <w:r w:rsidRPr="00373CBE">
        <w:rPr>
          <w:rtl/>
        </w:rPr>
        <w:t xml:space="preserve"> צמצום פערים בחברה הערבית</w:t>
      </w:r>
      <w:r>
        <w:rPr>
          <w:rFonts w:eastAsia="Calibri"/>
          <w:sz w:val="24"/>
          <w:vertAlign w:val="superscript"/>
          <w:rtl/>
        </w:rPr>
        <w:footnoteReference w:id="140"/>
      </w:r>
      <w:r w:rsidRPr="00373CBE">
        <w:rPr>
          <w:rFonts w:hint="cs"/>
          <w:rtl/>
        </w:rPr>
        <w:t xml:space="preserve"> (להלן - החלטה 550). </w:t>
      </w:r>
      <w:r w:rsidRPr="00373CBE">
        <w:rPr>
          <w:rtl/>
        </w:rPr>
        <w:t>בין המשימות שנקבע</w:t>
      </w:r>
      <w:r w:rsidRPr="00373CBE">
        <w:rPr>
          <w:rFonts w:hint="cs"/>
          <w:rtl/>
        </w:rPr>
        <w:t xml:space="preserve">ו, </w:t>
      </w:r>
      <w:r w:rsidRPr="00373CBE">
        <w:rPr>
          <w:rtl/>
        </w:rPr>
        <w:t>הוטל על מערך הדיגיטל הלאומי בשיתוף עם משרד האוצר להקצות משאבים עבור מיזמים לקידום אוריינות דיגיטלית בחברה הערבית</w:t>
      </w:r>
      <w:r>
        <w:rPr>
          <w:vertAlign w:val="superscript"/>
          <w:rtl/>
        </w:rPr>
        <w:footnoteReference w:id="141"/>
      </w:r>
      <w:r>
        <w:rPr>
          <w:rFonts w:hint="cs"/>
          <w:rtl/>
        </w:rPr>
        <w:t>.</w:t>
      </w:r>
      <w:r w:rsidRPr="00373CBE">
        <w:rPr>
          <w:rFonts w:hint="cs"/>
          <w:rtl/>
        </w:rPr>
        <w:t xml:space="preserve"> נקבע כי </w:t>
      </w:r>
      <w:r w:rsidRPr="00373CBE">
        <w:rPr>
          <w:rtl/>
        </w:rPr>
        <w:t xml:space="preserve">במיזמים שיקודמו </w:t>
      </w:r>
      <w:r>
        <w:rPr>
          <w:rFonts w:hint="cs"/>
          <w:rtl/>
        </w:rPr>
        <w:t xml:space="preserve">מיועדים </w:t>
      </w:r>
      <w:r w:rsidRPr="00373CBE">
        <w:rPr>
          <w:rtl/>
        </w:rPr>
        <w:t xml:space="preserve">להשתתף לכל הפחות 40,000 תושבים ערבים </w:t>
      </w:r>
      <w:r>
        <w:rPr>
          <w:rFonts w:hint="cs"/>
          <w:rtl/>
        </w:rPr>
        <w:t>במטרה</w:t>
      </w:r>
      <w:r w:rsidRPr="00373CBE">
        <w:rPr>
          <w:rtl/>
        </w:rPr>
        <w:t xml:space="preserve"> לשפר את רמת האוריינות הדיגיטלית של משתתף ממוצע ב-25% לפחות עד סוף</w:t>
      </w:r>
      <w:r w:rsidRPr="00373CBE">
        <w:rPr>
          <w:rFonts w:hint="cs"/>
          <w:rtl/>
        </w:rPr>
        <w:t xml:space="preserve"> שנת 2026</w:t>
      </w:r>
      <w:r w:rsidRPr="00373CBE">
        <w:rPr>
          <w:rtl/>
        </w:rPr>
        <w:t>.</w:t>
      </w:r>
      <w:r w:rsidRPr="00373CBE">
        <w:rPr>
          <w:rFonts w:hint="cs"/>
          <w:rtl/>
        </w:rPr>
        <w:t xml:space="preserve"> </w:t>
      </w:r>
    </w:p>
    <w:p w:rsidR="00BF1E3B" w:rsidRPr="00D4265C" w:rsidRDefault="00DF6A0A" w:rsidP="00C619CC">
      <w:pPr>
        <w:pStyle w:val="7392"/>
        <w:rPr>
          <w:rtl/>
        </w:rPr>
      </w:pPr>
      <w:r w:rsidRPr="00373CBE">
        <w:rPr>
          <w:rFonts w:ascii="David" w:eastAsia="David" w:hAnsi="David" w:hint="cs"/>
          <w:rtl/>
        </w:rPr>
        <w:t>מערך הדיגיטל מסר למשרד מבקר המדינה</w:t>
      </w:r>
      <w:r>
        <w:rPr>
          <w:rFonts w:ascii="David" w:eastAsia="David" w:hAnsi="David" w:hint="cs"/>
          <w:rtl/>
        </w:rPr>
        <w:t>, באוקטובר 2022,</w:t>
      </w:r>
      <w:r w:rsidRPr="00373CBE">
        <w:rPr>
          <w:rFonts w:ascii="David" w:eastAsia="David" w:hAnsi="David" w:hint="cs"/>
          <w:rtl/>
        </w:rPr>
        <w:t xml:space="preserve"> כי בהתאם להחלטת הממשלה הוא מקים מיזם </w:t>
      </w:r>
      <w:r w:rsidRPr="00373CBE">
        <w:rPr>
          <w:rtl/>
        </w:rPr>
        <w:t>להקניית אוריינות דיגיטלית</w:t>
      </w:r>
      <w:r>
        <w:rPr>
          <w:rFonts w:hint="cs"/>
          <w:rtl/>
        </w:rPr>
        <w:t xml:space="preserve"> בשם</w:t>
      </w:r>
      <w:r w:rsidRPr="00373CBE">
        <w:rPr>
          <w:rFonts w:hint="cs"/>
          <w:rtl/>
        </w:rPr>
        <w:t xml:space="preserve"> "100 באוריינות דיג</w:t>
      </w:r>
      <w:r w:rsidRPr="00373CBE">
        <w:rPr>
          <w:rFonts w:hint="cs"/>
          <w:rtl/>
        </w:rPr>
        <w:t>יטלית"</w:t>
      </w:r>
      <w:r>
        <w:rPr>
          <w:rStyle w:val="a8"/>
          <w:rFonts w:eastAsia="Calibri"/>
          <w:sz w:val="24"/>
          <w:rtl/>
        </w:rPr>
        <w:footnoteReference w:id="142"/>
      </w:r>
      <w:r>
        <w:rPr>
          <w:rFonts w:hint="cs"/>
          <w:rtl/>
        </w:rPr>
        <w:t>. למיזם יוקצו</w:t>
      </w:r>
      <w:r w:rsidRPr="00373CBE">
        <w:rPr>
          <w:rFonts w:hint="cs"/>
          <w:rtl/>
        </w:rPr>
        <w:t xml:space="preserve"> 40 מיליון ש"ח, </w:t>
      </w:r>
      <w:r>
        <w:rPr>
          <w:rFonts w:hint="cs"/>
          <w:rtl/>
        </w:rPr>
        <w:t>והוא יפעל</w:t>
      </w:r>
      <w:r w:rsidRPr="00373CBE">
        <w:rPr>
          <w:rtl/>
        </w:rPr>
        <w:t xml:space="preserve"> ב-115 רשויות מקומיות, מתוכן 68 רשויות ערביות</w:t>
      </w:r>
      <w:r>
        <w:rPr>
          <w:rFonts w:hint="cs"/>
          <w:rtl/>
        </w:rPr>
        <w:t xml:space="preserve">. </w:t>
      </w:r>
      <w:r w:rsidRPr="00373CBE">
        <w:rPr>
          <w:rFonts w:hint="cs"/>
          <w:rtl/>
        </w:rPr>
        <w:t xml:space="preserve">במהלך השנים 2023 - 2024 </w:t>
      </w:r>
      <w:r>
        <w:rPr>
          <w:rFonts w:hint="cs"/>
          <w:rtl/>
        </w:rPr>
        <w:t>יוכשרו</w:t>
      </w:r>
      <w:r w:rsidRPr="00373CBE">
        <w:rPr>
          <w:rFonts w:hint="cs"/>
          <w:rtl/>
        </w:rPr>
        <w:t xml:space="preserve"> במסגרתו כ-</w:t>
      </w:r>
      <w:r w:rsidRPr="00373CBE">
        <w:rPr>
          <w:rtl/>
        </w:rPr>
        <w:t xml:space="preserve">60,000 אנשים מהחברה הערבית. </w:t>
      </w:r>
    </w:p>
    <w:p w:rsidR="00BF1E3B" w:rsidRPr="00373CBE" w:rsidRDefault="00DF6A0A" w:rsidP="00C619CC">
      <w:pPr>
        <w:pStyle w:val="7392"/>
        <w:rPr>
          <w:rtl/>
        </w:rPr>
      </w:pPr>
      <w:r w:rsidRPr="00373CBE">
        <w:rPr>
          <w:rFonts w:hint="cs"/>
          <w:rtl/>
        </w:rPr>
        <w:t xml:space="preserve">יצוין כי משרד מבקר המדינה עסק לא פעם בפעולות הממשלה להקניית </w:t>
      </w:r>
      <w:r w:rsidRPr="00373CBE">
        <w:rPr>
          <w:rtl/>
        </w:rPr>
        <w:t xml:space="preserve">אוריינות דיגיטלית </w:t>
      </w:r>
      <w:r w:rsidRPr="00373CBE">
        <w:rPr>
          <w:rFonts w:hint="cs"/>
          <w:rtl/>
        </w:rPr>
        <w:t>ופרסם</w:t>
      </w:r>
      <w:r>
        <w:rPr>
          <w:rFonts w:hint="cs"/>
          <w:rtl/>
        </w:rPr>
        <w:t xml:space="preserve"> את</w:t>
      </w:r>
      <w:r w:rsidRPr="00373CBE">
        <w:rPr>
          <w:rFonts w:hint="cs"/>
          <w:rtl/>
        </w:rPr>
        <w:t xml:space="preserve"> ממצאיו </w:t>
      </w:r>
      <w:r w:rsidRPr="00373CBE">
        <w:rPr>
          <w:rFonts w:hint="cs"/>
          <w:rtl/>
        </w:rPr>
        <w:t>בדוחות</w:t>
      </w:r>
      <w:r>
        <w:rPr>
          <w:vertAlign w:val="superscript"/>
          <w:rtl/>
        </w:rPr>
        <w:footnoteReference w:id="143"/>
      </w:r>
      <w:r w:rsidRPr="00373CBE">
        <w:rPr>
          <w:rtl/>
        </w:rPr>
        <w:t xml:space="preserve">. </w:t>
      </w:r>
    </w:p>
    <w:p w:rsidR="00BF1E3B" w:rsidRPr="00B74C6A" w:rsidRDefault="00DF6A0A" w:rsidP="00B74C6A">
      <w:pPr>
        <w:pStyle w:val="733155"/>
        <w:rPr>
          <w:rtl/>
        </w:rPr>
      </w:pPr>
      <w:r w:rsidRPr="00B74C6A">
        <w:rPr>
          <w:rFonts w:hint="cs"/>
          <w:rtl/>
        </w:rPr>
        <w:t>הנגשת השירות הדיגיטלי לאנשים ללא אוריינות ואמצעים דיגיטליים</w:t>
      </w:r>
    </w:p>
    <w:p w:rsidR="00BF1E3B" w:rsidRPr="00373CBE" w:rsidRDefault="00DF6A0A" w:rsidP="00C619CC">
      <w:pPr>
        <w:pStyle w:val="7392"/>
        <w:rPr>
          <w:rtl/>
        </w:rPr>
      </w:pPr>
      <w:r w:rsidRPr="00373CBE">
        <w:rPr>
          <w:rFonts w:hint="cs"/>
          <w:rtl/>
        </w:rPr>
        <w:t xml:space="preserve">מגפת הקורונה שפרצה בשנת 2020 </w:t>
      </w:r>
      <w:r>
        <w:rPr>
          <w:rFonts w:hint="cs"/>
          <w:rtl/>
        </w:rPr>
        <w:t>יצרה צורך מוגבר</w:t>
      </w:r>
      <w:r w:rsidRPr="00373CBE">
        <w:rPr>
          <w:rFonts w:hint="cs"/>
          <w:rtl/>
        </w:rPr>
        <w:t xml:space="preserve"> בשירותים ממשלתיים דיגיטליים </w:t>
      </w:r>
      <w:r>
        <w:rPr>
          <w:rFonts w:hint="cs"/>
          <w:rtl/>
        </w:rPr>
        <w:t>במקום</w:t>
      </w:r>
      <w:r w:rsidRPr="00373CBE">
        <w:rPr>
          <w:rFonts w:hint="cs"/>
          <w:rtl/>
        </w:rPr>
        <w:t xml:space="preserve"> קבלת קהל פרונטלית כדי לאפשר שמירה על ריחוק פיזי בין אנשים. ביולי </w:t>
      </w:r>
      <w:r>
        <w:rPr>
          <w:rFonts w:hint="cs"/>
          <w:rtl/>
        </w:rPr>
        <w:t>ב</w:t>
      </w:r>
      <w:r w:rsidRPr="00373CBE">
        <w:rPr>
          <w:rFonts w:hint="cs"/>
          <w:rtl/>
        </w:rPr>
        <w:t>אותה שנה החליטה הממשלה על ת</w:t>
      </w:r>
      <w:r>
        <w:rPr>
          <w:rFonts w:hint="cs"/>
          <w:rtl/>
        </w:rPr>
        <w:t>ו</w:t>
      </w:r>
      <w:r w:rsidRPr="00373CBE">
        <w:rPr>
          <w:rFonts w:hint="cs"/>
          <w:rtl/>
        </w:rPr>
        <w:t>כנית להאצת הש</w:t>
      </w:r>
      <w:r w:rsidRPr="00373CBE">
        <w:rPr>
          <w:rFonts w:hint="cs"/>
          <w:rtl/>
        </w:rPr>
        <w:t>ירותים הדיגיטליים לציבור</w:t>
      </w:r>
      <w:r>
        <w:rPr>
          <w:vertAlign w:val="superscript"/>
          <w:rtl/>
        </w:rPr>
        <w:footnoteReference w:id="144"/>
      </w:r>
      <w:r w:rsidRPr="00373CBE">
        <w:rPr>
          <w:rFonts w:hint="cs"/>
          <w:rtl/>
        </w:rPr>
        <w:t xml:space="preserve"> (להלן - החלטה 260). במסגרת החלטה זו </w:t>
      </w:r>
      <w:r>
        <w:rPr>
          <w:rFonts w:hint="cs"/>
          <w:rtl/>
        </w:rPr>
        <w:t xml:space="preserve">נקבע כי לצורך </w:t>
      </w:r>
      <w:r w:rsidRPr="00650899">
        <w:rPr>
          <w:rtl/>
        </w:rPr>
        <w:t>קידום של מענה הולם לאוכלוסיות המתקשות לצרוך שירות דיגיטלי</w:t>
      </w:r>
      <w:r>
        <w:rPr>
          <w:rFonts w:hint="cs"/>
          <w:rtl/>
        </w:rPr>
        <w:t xml:space="preserve">, יוקם צוות </w:t>
      </w:r>
      <w:r w:rsidRPr="00650899">
        <w:rPr>
          <w:rtl/>
        </w:rPr>
        <w:t xml:space="preserve">בהובלת משרד הדיגיטל, בהשתתפות אגף תקציבים במשרד האוצר ומשרד ראש הממשלה. </w:t>
      </w:r>
      <w:r>
        <w:rPr>
          <w:rFonts w:hint="cs"/>
          <w:rtl/>
        </w:rPr>
        <w:t>עוד נקבע כי</w:t>
      </w:r>
      <w:r w:rsidRPr="00650899">
        <w:rPr>
          <w:rtl/>
        </w:rPr>
        <w:t xml:space="preserve"> בשלב גיבוש התכנית, הצוות יב</w:t>
      </w:r>
      <w:r w:rsidRPr="00650899">
        <w:rPr>
          <w:rtl/>
        </w:rPr>
        <w:t>חן את סוגיית עמדות השירות הממשלתיות</w:t>
      </w:r>
      <w:r>
        <w:rPr>
          <w:vertAlign w:val="superscript"/>
          <w:rtl/>
        </w:rPr>
        <w:footnoteReference w:id="145"/>
      </w:r>
      <w:r w:rsidRPr="00373CBE">
        <w:rPr>
          <w:rFonts w:hint="cs"/>
          <w:rtl/>
        </w:rPr>
        <w:t>.</w:t>
      </w:r>
      <w:r>
        <w:rPr>
          <w:rFonts w:hint="cs"/>
          <w:rtl/>
        </w:rPr>
        <w:t xml:space="preserve">    </w:t>
      </w:r>
    </w:p>
    <w:p w:rsidR="00BF1E3B" w:rsidRPr="00B74C6A" w:rsidRDefault="00DF6A0A" w:rsidP="00B74C6A">
      <w:pPr>
        <w:pStyle w:val="73414"/>
        <w:rPr>
          <w:rtl/>
        </w:rPr>
      </w:pPr>
      <w:r w:rsidRPr="00B74C6A">
        <w:rPr>
          <w:rFonts w:hint="cs"/>
          <w:rtl/>
        </w:rPr>
        <w:lastRenderedPageBreak/>
        <w:t xml:space="preserve">הצבת עמדות שירות דיגיטליות בלשכות קבלת קהל </w:t>
      </w:r>
    </w:p>
    <w:p w:rsidR="00BF1E3B" w:rsidRPr="000E5ADC" w:rsidRDefault="00DF6A0A" w:rsidP="00C619CC">
      <w:pPr>
        <w:pStyle w:val="7392"/>
        <w:rPr>
          <w:rtl/>
        </w:rPr>
      </w:pPr>
      <w:r>
        <w:rPr>
          <w:rFonts w:hint="cs"/>
          <w:rtl/>
        </w:rPr>
        <w:t>על פי הנתונים המעודכנים לינואר 2023 מערך הדיגיטל הלאומי הציב כ-140 עמדות שירות דיגיטליות בפריסה ארצית במקומות ציבוריים ביישובים שונים</w:t>
      </w:r>
      <w:r>
        <w:rPr>
          <w:rStyle w:val="a8"/>
          <w:rtl/>
        </w:rPr>
        <w:footnoteReference w:id="146"/>
      </w:r>
      <w:r>
        <w:rPr>
          <w:rFonts w:hint="cs"/>
          <w:rtl/>
        </w:rPr>
        <w:t xml:space="preserve">. באתר הממשלתי האחוד מתפרסם מידע על </w:t>
      </w:r>
      <w:r>
        <w:rPr>
          <w:rFonts w:hint="cs"/>
          <w:rtl/>
        </w:rPr>
        <w:t>מיקום העמדות בכל יישוב וכן על המידע והשירות שהן מספקות, מדובר בין היתר</w:t>
      </w:r>
      <w:r w:rsidR="006B6D90">
        <w:rPr>
          <w:rFonts w:hint="cs"/>
          <w:rtl/>
        </w:rPr>
        <w:t xml:space="preserve"> באפשרות</w:t>
      </w:r>
      <w:r>
        <w:rPr>
          <w:rFonts w:hint="cs"/>
          <w:rtl/>
        </w:rPr>
        <w:t xml:space="preserve"> גלישה באתר הממשלתי (</w:t>
      </w:r>
      <w:r>
        <w:rPr>
          <w:rFonts w:hint="cs"/>
        </w:rPr>
        <w:t>GOV.IL</w:t>
      </w:r>
      <w:r>
        <w:rPr>
          <w:rFonts w:hint="cs"/>
          <w:rtl/>
        </w:rPr>
        <w:t>), וכך למעשה מתאפשרת הנגשתו לאנשים שאין להם מחשב מחובר למרשתת או טלפון חכם</w:t>
      </w:r>
      <w:r>
        <w:rPr>
          <w:rStyle w:val="a8"/>
          <w:rtl/>
        </w:rPr>
        <w:footnoteReference w:id="147"/>
      </w:r>
      <w:r>
        <w:rPr>
          <w:rFonts w:hint="cs"/>
          <w:rtl/>
        </w:rPr>
        <w:t>. מערך הדיגיטל מסר כי בנוסף לאפשרות להשתמש בעמדות השירות לצורך גלישה באתר המ</w:t>
      </w:r>
      <w:r>
        <w:rPr>
          <w:rFonts w:hint="cs"/>
          <w:rtl/>
        </w:rPr>
        <w:t xml:space="preserve">משלתי </w:t>
      </w:r>
      <w:r w:rsidRPr="00E80FBC">
        <w:rPr>
          <w:rtl/>
        </w:rPr>
        <w:t>(</w:t>
      </w:r>
      <w:r w:rsidRPr="00E80FBC">
        <w:t>gov.il</w:t>
      </w:r>
      <w:r w:rsidRPr="00E80FBC">
        <w:rPr>
          <w:rtl/>
        </w:rPr>
        <w:t>)</w:t>
      </w:r>
      <w:r w:rsidRPr="00E80FBC">
        <w:rPr>
          <w:rFonts w:hint="cs"/>
          <w:rtl/>
        </w:rPr>
        <w:t xml:space="preserve"> </w:t>
      </w:r>
      <w:r>
        <w:rPr>
          <w:rFonts w:hint="cs"/>
          <w:rtl/>
        </w:rPr>
        <w:t xml:space="preserve">על כלל המידע והשרותים המפורסמים בו, </w:t>
      </w:r>
      <w:r w:rsidRPr="00E80FBC">
        <w:rPr>
          <w:rtl/>
        </w:rPr>
        <w:t xml:space="preserve">בעמדות השרות שהציב יש שירותים שפותחו עבור גופי הממשל הבאים: משרד התחבורה, רשות האוכלוסין וההגירה, משרד המשפטים, רשות האכיפה והגבייה, משרד הבריאות </w:t>
      </w:r>
      <w:r>
        <w:rPr>
          <w:rFonts w:hint="cs"/>
          <w:rtl/>
        </w:rPr>
        <w:t>ו</w:t>
      </w:r>
      <w:r w:rsidRPr="00E80FBC">
        <w:rPr>
          <w:rtl/>
        </w:rPr>
        <w:t>המשרד לביטחון לאומי</w:t>
      </w:r>
      <w:r>
        <w:rPr>
          <w:rFonts w:hint="cs"/>
          <w:rtl/>
        </w:rPr>
        <w:t>.</w:t>
      </w:r>
      <w:r w:rsidRPr="005F074B">
        <w:rPr>
          <w:rtl/>
        </w:rPr>
        <w:t xml:space="preserve"> </w:t>
      </w:r>
    </w:p>
    <w:p w:rsidR="00BF1E3B" w:rsidRDefault="00DF6A0A" w:rsidP="00C619CC">
      <w:pPr>
        <w:pStyle w:val="7392"/>
        <w:rPr>
          <w:rtl/>
        </w:rPr>
      </w:pPr>
      <w:r w:rsidRPr="00373CBE">
        <w:rPr>
          <w:rFonts w:hint="cs"/>
          <w:rtl/>
        </w:rPr>
        <w:t>מערך הדיגיטל מסר באוקטובר 2022 למשרד</w:t>
      </w:r>
      <w:r w:rsidRPr="00373CBE">
        <w:rPr>
          <w:rFonts w:hint="cs"/>
          <w:rtl/>
        </w:rPr>
        <w:t xml:space="preserve"> מבקר המדינה כי</w:t>
      </w:r>
      <w:r>
        <w:rPr>
          <w:rFonts w:hint="cs"/>
          <w:rtl/>
        </w:rPr>
        <w:t xml:space="preserve"> בעקבות החלטת הממשלה 260 הוחלט על פריסת 40 עמדות שירות ממשלתיות נוספות, בדגש על רשויות מקומיות שבהן יש קהלי יעד חסרי אוריינות דיגיטלית; שדרוג הממשק של 102 עמדות שירות קיימות;</w:t>
      </w:r>
      <w:r w:rsidRPr="00373CBE">
        <w:rPr>
          <w:rFonts w:hint="cs"/>
          <w:rtl/>
        </w:rPr>
        <w:t xml:space="preserve"> </w:t>
      </w:r>
      <w:r>
        <w:rPr>
          <w:rFonts w:hint="cs"/>
          <w:rtl/>
        </w:rPr>
        <w:t>הצבת דיילים בחמש רשויות מקומיות (שתי רשויות מהחברה הערבית ושתיים מ</w:t>
      </w:r>
      <w:r>
        <w:rPr>
          <w:rFonts w:hint="cs"/>
          <w:rtl/>
        </w:rPr>
        <w:t xml:space="preserve">ן החברה החרדית ועמדה אחת ברשות מקומית שמשרתת אוכלוסייה כללית); התאמת העמדות לשירות באזור האישי לרבות הוספת אביזרים וציוד קצה כדי לשפר את השירות שניתן בעמדה. </w:t>
      </w:r>
    </w:p>
    <w:p w:rsidR="00BF1E3B" w:rsidRPr="00373CBE" w:rsidRDefault="00DF6A0A" w:rsidP="00C619CC">
      <w:pPr>
        <w:pStyle w:val="7392"/>
        <w:rPr>
          <w:rFonts w:eastAsia="Calibri"/>
        </w:rPr>
      </w:pPr>
      <w:r>
        <w:rPr>
          <w:rFonts w:eastAsia="Calibri" w:hint="cs"/>
          <w:rtl/>
        </w:rPr>
        <w:t xml:space="preserve">בכל הנוגע להצבת עמדות שירות ביישובים ערביים וחרדיים עלה כי מערך הדיגיטל פעל כדלהלן: </w:t>
      </w:r>
      <w:r w:rsidRPr="00373CBE">
        <w:rPr>
          <w:rFonts w:eastAsia="Calibri" w:hint="cs"/>
          <w:rtl/>
        </w:rPr>
        <w:t>(</w:t>
      </w:r>
      <w:r>
        <w:rPr>
          <w:rFonts w:eastAsia="Calibri" w:hint="cs"/>
          <w:rtl/>
        </w:rPr>
        <w:t>א</w:t>
      </w:r>
      <w:r w:rsidRPr="00373CBE">
        <w:rPr>
          <w:rFonts w:eastAsia="Calibri" w:hint="cs"/>
          <w:rtl/>
        </w:rPr>
        <w:t>)</w:t>
      </w:r>
      <w:r>
        <w:rPr>
          <w:rFonts w:eastAsia="Calibri" w:hint="cs"/>
          <w:rtl/>
        </w:rPr>
        <w:t xml:space="preserve"> </w:t>
      </w:r>
      <w:r>
        <w:rPr>
          <w:rFonts w:hint="cs"/>
          <w:rtl/>
        </w:rPr>
        <w:t xml:space="preserve">הצבת 12 </w:t>
      </w:r>
      <w:r w:rsidRPr="00373CBE">
        <w:rPr>
          <w:rtl/>
        </w:rPr>
        <w:t>עמ</w:t>
      </w:r>
      <w:r w:rsidRPr="00373CBE">
        <w:rPr>
          <w:rtl/>
        </w:rPr>
        <w:t>דות שירות</w:t>
      </w:r>
      <w:r w:rsidRPr="00373CBE">
        <w:rPr>
          <w:rFonts w:hint="cs"/>
          <w:rtl/>
        </w:rPr>
        <w:t xml:space="preserve"> דיגיטליות </w:t>
      </w:r>
      <w:r w:rsidRPr="00373CBE">
        <w:rPr>
          <w:rtl/>
        </w:rPr>
        <w:t>ממשלתיות</w:t>
      </w:r>
      <w:r>
        <w:rPr>
          <w:rFonts w:hint="cs"/>
          <w:rtl/>
        </w:rPr>
        <w:t xml:space="preserve"> </w:t>
      </w:r>
      <w:r w:rsidRPr="00373CBE">
        <w:rPr>
          <w:rtl/>
        </w:rPr>
        <w:t>ב</w:t>
      </w:r>
      <w:r w:rsidRPr="00373CBE">
        <w:rPr>
          <w:rFonts w:hint="cs"/>
          <w:rtl/>
        </w:rPr>
        <w:t xml:space="preserve">שמונה </w:t>
      </w:r>
      <w:r w:rsidRPr="00373CBE">
        <w:rPr>
          <w:rtl/>
        </w:rPr>
        <w:t xml:space="preserve">רשויות מקומיות </w:t>
      </w:r>
      <w:r w:rsidRPr="00373CBE">
        <w:rPr>
          <w:rFonts w:hint="cs"/>
          <w:rtl/>
        </w:rPr>
        <w:t xml:space="preserve">- </w:t>
      </w:r>
      <w:r>
        <w:rPr>
          <w:rFonts w:hint="cs"/>
          <w:rtl/>
        </w:rPr>
        <w:t>אלעד, בית שמש, ביתר עילית, בני ברק, מודיעין עילית,</w:t>
      </w:r>
      <w:r w:rsidRPr="00373CBE">
        <w:rPr>
          <w:rFonts w:hint="cs"/>
          <w:rtl/>
        </w:rPr>
        <w:t xml:space="preserve"> ירושלים, רכסים וצפת</w:t>
      </w:r>
      <w:r>
        <w:rPr>
          <w:rFonts w:hint="cs"/>
          <w:rtl/>
        </w:rPr>
        <w:t>;</w:t>
      </w:r>
      <w:r w:rsidRPr="00373CBE">
        <w:rPr>
          <w:rFonts w:hint="cs"/>
          <w:rtl/>
        </w:rPr>
        <w:t xml:space="preserve"> (</w:t>
      </w:r>
      <w:r>
        <w:rPr>
          <w:rFonts w:hint="cs"/>
          <w:rtl/>
        </w:rPr>
        <w:t>ב</w:t>
      </w:r>
      <w:r w:rsidRPr="00373CBE">
        <w:rPr>
          <w:rFonts w:hint="cs"/>
          <w:rtl/>
        </w:rPr>
        <w:t>)</w:t>
      </w:r>
      <w:r w:rsidRPr="00373CBE">
        <w:rPr>
          <w:rFonts w:eastAsia="Calibri" w:hint="cs"/>
          <w:rtl/>
        </w:rPr>
        <w:t xml:space="preserve"> </w:t>
      </w:r>
      <w:r w:rsidRPr="00373CBE">
        <w:rPr>
          <w:rFonts w:hint="cs"/>
          <w:rtl/>
        </w:rPr>
        <w:t>הצב</w:t>
      </w:r>
      <w:r>
        <w:rPr>
          <w:rFonts w:hint="cs"/>
          <w:rtl/>
        </w:rPr>
        <w:t>ת</w:t>
      </w:r>
      <w:r w:rsidRPr="00373CBE">
        <w:rPr>
          <w:rFonts w:hint="cs"/>
          <w:rtl/>
        </w:rPr>
        <w:t xml:space="preserve"> דיילים ליד עמדות שירות ממשלתיות </w:t>
      </w:r>
      <w:r>
        <w:rPr>
          <w:rFonts w:hint="cs"/>
          <w:rtl/>
        </w:rPr>
        <w:t>דיגי</w:t>
      </w:r>
      <w:r w:rsidRPr="00373CBE">
        <w:rPr>
          <w:rFonts w:hint="cs"/>
          <w:rtl/>
        </w:rPr>
        <w:t>טלי</w:t>
      </w:r>
      <w:r>
        <w:rPr>
          <w:rFonts w:hint="cs"/>
          <w:rtl/>
        </w:rPr>
        <w:t>ות</w:t>
      </w:r>
      <w:r w:rsidRPr="00373CBE">
        <w:rPr>
          <w:rFonts w:hint="cs"/>
          <w:rtl/>
        </w:rPr>
        <w:t xml:space="preserve"> כדי לסייע לאזרחים להשתמש בהן</w:t>
      </w:r>
      <w:r>
        <w:rPr>
          <w:rFonts w:hint="cs"/>
          <w:rtl/>
        </w:rPr>
        <w:t>;</w:t>
      </w:r>
      <w:r w:rsidRPr="00373CBE">
        <w:rPr>
          <w:rFonts w:hint="cs"/>
          <w:rtl/>
        </w:rPr>
        <w:t xml:space="preserve"> (</w:t>
      </w:r>
      <w:r>
        <w:rPr>
          <w:rFonts w:hint="cs"/>
          <w:rtl/>
        </w:rPr>
        <w:t>ג</w:t>
      </w:r>
      <w:r w:rsidRPr="00373CBE">
        <w:rPr>
          <w:rFonts w:hint="cs"/>
          <w:rtl/>
        </w:rPr>
        <w:t xml:space="preserve">) החל </w:t>
      </w:r>
      <w:r w:rsidRPr="00373CBE">
        <w:rPr>
          <w:rtl/>
        </w:rPr>
        <w:t xml:space="preserve">תהליך </w:t>
      </w:r>
      <w:r w:rsidRPr="00373CBE">
        <w:rPr>
          <w:rFonts w:hint="cs"/>
          <w:rtl/>
        </w:rPr>
        <w:t>בחינה ו</w:t>
      </w:r>
      <w:r w:rsidRPr="00373CBE">
        <w:rPr>
          <w:rtl/>
        </w:rPr>
        <w:t xml:space="preserve">עיצוב </w:t>
      </w:r>
      <w:r w:rsidRPr="00373CBE">
        <w:rPr>
          <w:rFonts w:hint="cs"/>
          <w:rtl/>
        </w:rPr>
        <w:t xml:space="preserve">של </w:t>
      </w:r>
      <w:r w:rsidRPr="00373CBE">
        <w:rPr>
          <w:rtl/>
        </w:rPr>
        <w:t xml:space="preserve">שירותים ממשלתיים </w:t>
      </w:r>
      <w:r w:rsidRPr="00373CBE">
        <w:rPr>
          <w:rFonts w:hint="cs"/>
          <w:rtl/>
        </w:rPr>
        <w:t>דיגיטליים כדי להתאימם ל</w:t>
      </w:r>
      <w:r w:rsidRPr="00373CBE">
        <w:rPr>
          <w:rtl/>
        </w:rPr>
        <w:t>קהל החרדי</w:t>
      </w:r>
      <w:r w:rsidRPr="00373CBE">
        <w:rPr>
          <w:rFonts w:hint="cs"/>
          <w:rtl/>
        </w:rPr>
        <w:t xml:space="preserve">, </w:t>
      </w:r>
      <w:r>
        <w:rPr>
          <w:rFonts w:hint="cs"/>
          <w:rtl/>
        </w:rPr>
        <w:t>בשים</w:t>
      </w:r>
      <w:r w:rsidRPr="00373CBE">
        <w:rPr>
          <w:rFonts w:hint="cs"/>
          <w:rtl/>
        </w:rPr>
        <w:t xml:space="preserve"> לב</w:t>
      </w:r>
      <w:r>
        <w:rPr>
          <w:rFonts w:hint="cs"/>
          <w:rtl/>
        </w:rPr>
        <w:t>,</w:t>
      </w:r>
      <w:r w:rsidRPr="00373CBE">
        <w:rPr>
          <w:rFonts w:hint="cs"/>
          <w:rtl/>
        </w:rPr>
        <w:t xml:space="preserve"> למשל</w:t>
      </w:r>
      <w:r>
        <w:rPr>
          <w:rFonts w:hint="cs"/>
          <w:rtl/>
        </w:rPr>
        <w:t>,</w:t>
      </w:r>
      <w:r w:rsidRPr="00373CBE">
        <w:rPr>
          <w:rFonts w:hint="cs"/>
          <w:rtl/>
        </w:rPr>
        <w:t xml:space="preserve"> לדרכי ניסוח המידע ולאלמנטים </w:t>
      </w:r>
      <w:r>
        <w:rPr>
          <w:rFonts w:hint="cs"/>
          <w:rtl/>
        </w:rPr>
        <w:t>הו</w:t>
      </w:r>
      <w:r w:rsidRPr="00373CBE">
        <w:rPr>
          <w:rFonts w:hint="cs"/>
          <w:rtl/>
        </w:rPr>
        <w:t xml:space="preserve">ויזואליים </w:t>
      </w:r>
      <w:r>
        <w:rPr>
          <w:rFonts w:hint="cs"/>
          <w:rtl/>
        </w:rPr>
        <w:t>המוצגים</w:t>
      </w:r>
      <w:r w:rsidRPr="00373CBE">
        <w:rPr>
          <w:rFonts w:hint="cs"/>
          <w:rtl/>
        </w:rPr>
        <w:t xml:space="preserve">. </w:t>
      </w:r>
      <w:r>
        <w:rPr>
          <w:rFonts w:hint="cs"/>
          <w:rtl/>
        </w:rPr>
        <w:t xml:space="preserve">(ד) </w:t>
      </w:r>
      <w:r w:rsidRPr="00373CBE">
        <w:rPr>
          <w:rFonts w:hint="cs"/>
          <w:rtl/>
        </w:rPr>
        <w:t xml:space="preserve">הליך </w:t>
      </w:r>
      <w:r>
        <w:rPr>
          <w:rFonts w:hint="cs"/>
          <w:rtl/>
        </w:rPr>
        <w:t xml:space="preserve">בחינה דומה של התאמת השירותים הממשלתיים </w:t>
      </w:r>
      <w:r w:rsidRPr="00373CBE">
        <w:rPr>
          <w:rFonts w:hint="cs"/>
          <w:rtl/>
        </w:rPr>
        <w:t>נעשה עבור החברה הערבית</w:t>
      </w:r>
      <w:r>
        <w:rPr>
          <w:rFonts w:hint="cs"/>
          <w:rtl/>
        </w:rPr>
        <w:t>,</w:t>
      </w:r>
      <w:r w:rsidRPr="00373CBE">
        <w:rPr>
          <w:rFonts w:hint="cs"/>
          <w:rtl/>
        </w:rPr>
        <w:t xml:space="preserve"> </w:t>
      </w:r>
      <w:r>
        <w:rPr>
          <w:rFonts w:hint="cs"/>
          <w:rtl/>
        </w:rPr>
        <w:t>ו</w:t>
      </w:r>
      <w:r w:rsidRPr="00373CBE">
        <w:rPr>
          <w:rFonts w:hint="cs"/>
          <w:rtl/>
        </w:rPr>
        <w:t>במסגרתו הוצבו 12 עמדות שירות ב-12 יישובים ערביים.</w:t>
      </w:r>
      <w:r>
        <w:rPr>
          <w:rtl/>
        </w:rPr>
        <w:t xml:space="preserve"> </w:t>
      </w:r>
    </w:p>
    <w:p w:rsidR="00BF1E3B" w:rsidRDefault="00DF6A0A" w:rsidP="00C619CC">
      <w:pPr>
        <w:pStyle w:val="7392"/>
        <w:rPr>
          <w:rtl/>
        </w:rPr>
      </w:pPr>
      <w:r w:rsidRPr="00373CBE">
        <w:rPr>
          <w:rFonts w:hint="cs"/>
          <w:rtl/>
        </w:rPr>
        <w:t xml:space="preserve">בסקר שעשה </w:t>
      </w:r>
      <w:r>
        <w:rPr>
          <w:rFonts w:hint="cs"/>
          <w:rtl/>
        </w:rPr>
        <w:t xml:space="preserve">משרד </w:t>
      </w:r>
      <w:r w:rsidRPr="00373CBE">
        <w:rPr>
          <w:rFonts w:hint="cs"/>
          <w:rtl/>
        </w:rPr>
        <w:t>מבקר המדינה בקרב גו</w:t>
      </w:r>
      <w:r w:rsidRPr="00373CBE">
        <w:rPr>
          <w:rFonts w:hint="cs"/>
          <w:rtl/>
        </w:rPr>
        <w:t>פי ממשל נשאלו הגופים אם בלשכות קבלת הקהל שלהם</w:t>
      </w:r>
      <w:r>
        <w:rPr>
          <w:rFonts w:hint="cs"/>
          <w:rtl/>
        </w:rPr>
        <w:t xml:space="preserve"> הם הציבו</w:t>
      </w:r>
      <w:r w:rsidRPr="00373CBE">
        <w:rPr>
          <w:rFonts w:hint="cs"/>
          <w:rtl/>
        </w:rPr>
        <w:t xml:space="preserve"> עמדות שירות דיגיטליות</w:t>
      </w:r>
      <w:r>
        <w:rPr>
          <w:rFonts w:hint="cs"/>
          <w:rtl/>
        </w:rPr>
        <w:t xml:space="preserve"> ייעודיות</w:t>
      </w:r>
      <w:r>
        <w:rPr>
          <w:rStyle w:val="a8"/>
          <w:rFonts w:ascii="David" w:eastAsia="Calibri" w:hAnsi="David"/>
          <w:sz w:val="24"/>
          <w:rtl/>
        </w:rPr>
        <w:footnoteReference w:id="148"/>
      </w:r>
      <w:r>
        <w:rPr>
          <w:rFonts w:hint="cs"/>
          <w:rtl/>
        </w:rPr>
        <w:t xml:space="preserve"> (ללא קשר לעמדות השירות הממשלתיות שמוצבות על ידי מערך הדיגיטל). במענה לסקר השיבו שישה גופי ממשל שהם מפעילים עמדות שירות דיגיטליות עצמאיות בלשכות קבלת קהל, שמספקות שירותים</w:t>
      </w:r>
      <w:r>
        <w:rPr>
          <w:rFonts w:hint="cs"/>
          <w:rtl/>
        </w:rPr>
        <w:t xml:space="preserve"> דיגיטליים שניתן לקבל באתר המרשתת של אותם גופים: המוסד לביטוח לאומי, רשות האכיפה והגבייה, רכבת ישראל, הסוכנות לעסקים קטנים ובינוניים (משרד הכלכלה והתעשייה), משרד המשפטים ומשרד </w:t>
      </w:r>
      <w:r>
        <w:rPr>
          <w:rFonts w:hint="cs"/>
          <w:rtl/>
        </w:rPr>
        <w:lastRenderedPageBreak/>
        <w:t xml:space="preserve">החינוך. </w:t>
      </w:r>
      <w:r w:rsidRPr="00333A88">
        <w:rPr>
          <w:rFonts w:hint="eastAsia"/>
          <w:rtl/>
        </w:rPr>
        <w:t>משרד</w:t>
      </w:r>
      <w:r w:rsidRPr="00333A88">
        <w:rPr>
          <w:rtl/>
        </w:rPr>
        <w:t xml:space="preserve"> </w:t>
      </w:r>
      <w:r w:rsidRPr="00333A88">
        <w:rPr>
          <w:rFonts w:hint="eastAsia"/>
          <w:rtl/>
        </w:rPr>
        <w:t>החינוך</w:t>
      </w:r>
      <w:r>
        <w:rPr>
          <w:rFonts w:hint="cs"/>
          <w:rtl/>
        </w:rPr>
        <w:t xml:space="preserve"> ציין כי הוא הציב עמדת שירות ראשונה כפיילוט במחוז צפון, וכי ל</w:t>
      </w:r>
      <w:r>
        <w:rPr>
          <w:rFonts w:hint="cs"/>
          <w:rtl/>
        </w:rPr>
        <w:t xml:space="preserve">אחר סיום הפיילוט הוא מתכנן להציב עמדות נוספות בכל אחד ממחוזותיו בארץ. </w:t>
      </w:r>
    </w:p>
    <w:p w:rsidR="00BF1E3B" w:rsidRPr="00B74C6A" w:rsidRDefault="00DF6A0A" w:rsidP="00B74C6A">
      <w:pPr>
        <w:pStyle w:val="735"/>
        <w:rPr>
          <w:rFonts w:eastAsia="Calibri"/>
          <w:rtl/>
        </w:rPr>
      </w:pPr>
      <w:r w:rsidRPr="00B74C6A">
        <w:rPr>
          <w:rFonts w:eastAsia="Calibri" w:hint="cs"/>
          <w:rtl/>
        </w:rPr>
        <w:t>מומלץ שמערך הדיגיטל הלאומי, בשיתוף כל אחד מגופי הממשל שמספקים שירותים דיגיטליים לציבור ועדיין לא הקימו עמדות שירות דיגיטליות בלשכות קבלת הקהל שלהם, יבחנו הצבת עמדות שירות בגופים אלה. זא</w:t>
      </w:r>
      <w:r w:rsidRPr="00B74C6A">
        <w:rPr>
          <w:rFonts w:eastAsia="Calibri" w:hint="cs"/>
          <w:rtl/>
        </w:rPr>
        <w:t xml:space="preserve">ת כדי לסייע בהנגשת השירותים בערוצים הדיגיטליים לכלל הציבור, לרבות אנשים שמתקשים בשימוש באמצעים טכנולוגיים או שחסרים להם האמצעים המתאימים. פעולה זו עשויה לסייע בקידום התוכנית להאצת השירותים הדיגיטליים לציבור. </w:t>
      </w:r>
    </w:p>
    <w:p w:rsidR="00BF1E3B" w:rsidRPr="00AA26CD" w:rsidRDefault="00DF6A0A" w:rsidP="00C619CC">
      <w:pPr>
        <w:pStyle w:val="7392"/>
        <w:rPr>
          <w:rtl/>
        </w:rPr>
      </w:pPr>
      <w:r>
        <w:rPr>
          <w:rFonts w:hint="cs"/>
          <w:rtl/>
        </w:rPr>
        <w:t>בתשובתו מינואר 2023 למשרד מבקר המדינה, מסר מערך</w:t>
      </w:r>
      <w:r>
        <w:rPr>
          <w:rFonts w:hint="cs"/>
          <w:rtl/>
        </w:rPr>
        <w:t xml:space="preserve"> הדיגיטל הלאומי, כי כבר היום, כחלק מהמדיניות שננקטה בהחלטת הממשלה 260, נפרסו עמדות שירות גנריות מתקציב מערך הדיגיטל הלאומי ובאחריותו, ובהן שירותים של כמה משרדים. העמדות נפרסו ברשויות המקומיות וביישובים השונים, ונושא השימוש בהם עדיין בבחינה. לגבי עמדות שירו</w:t>
      </w:r>
      <w:r>
        <w:rPr>
          <w:rFonts w:hint="cs"/>
          <w:rtl/>
        </w:rPr>
        <w:t xml:space="preserve">ת נוספות בלשכות קבלת קהל של גופי ממשל - מערך הדיגיטל ימליץ על הנושא לגופים שמקבלים קהל, ואם הם יחליטו לרכוש עמדות אלו מתקציבם, ניתן יהיה להיעזר במוצר עמדות השירות, לרכישה ותפעול עמדות שירות כאלה, על פי תנאי המכרז הנוגע לכך. עוד מסר מערך הדיגיטל כי </w:t>
      </w:r>
      <w:r w:rsidRPr="00110167">
        <w:rPr>
          <w:rtl/>
        </w:rPr>
        <w:t>בשיתוף ע</w:t>
      </w:r>
      <w:r w:rsidRPr="00110167">
        <w:rPr>
          <w:rtl/>
        </w:rPr>
        <w:t>ם משרד החוץ ומשרד המשפטים</w:t>
      </w:r>
      <w:r>
        <w:rPr>
          <w:rFonts w:hint="cs"/>
          <w:rtl/>
        </w:rPr>
        <w:t xml:space="preserve"> הוא הציב עמדות שירות ב</w:t>
      </w:r>
      <w:r w:rsidRPr="00110167">
        <w:rPr>
          <w:rtl/>
        </w:rPr>
        <w:t xml:space="preserve">לשכות קבלת הקהל שלהם. </w:t>
      </w:r>
    </w:p>
    <w:p w:rsidR="00BF1E3B" w:rsidRPr="00B74C6A" w:rsidRDefault="00DF6A0A" w:rsidP="00B74C6A">
      <w:pPr>
        <w:pStyle w:val="73414"/>
        <w:rPr>
          <w:rtl/>
        </w:rPr>
      </w:pPr>
      <w:r w:rsidRPr="00B74C6A">
        <w:rPr>
          <w:rFonts w:hint="cs"/>
          <w:rtl/>
        </w:rPr>
        <w:t xml:space="preserve">הנגשה שפתית של השירותים הממשלתיים הדיגיטליים לחברה הערבית </w:t>
      </w:r>
    </w:p>
    <w:p w:rsidR="00BF1E3B" w:rsidRPr="00373CBE" w:rsidRDefault="00DF6A0A" w:rsidP="00C619CC">
      <w:pPr>
        <w:pStyle w:val="7392"/>
        <w:rPr>
          <w:rtl/>
        </w:rPr>
      </w:pPr>
      <w:r w:rsidRPr="00373CBE">
        <w:rPr>
          <w:rFonts w:hint="cs"/>
          <w:rtl/>
        </w:rPr>
        <w:t>החלטה 550 של הממשלה</w:t>
      </w:r>
      <w:r>
        <w:rPr>
          <w:rFonts w:hint="cs"/>
          <w:rtl/>
        </w:rPr>
        <w:t xml:space="preserve"> מאוקטובר 2021</w:t>
      </w:r>
      <w:r w:rsidRPr="00373CBE">
        <w:rPr>
          <w:rFonts w:hint="cs"/>
          <w:rtl/>
        </w:rPr>
        <w:t xml:space="preserve"> קובעת פעולות שונות שיש </w:t>
      </w:r>
      <w:r>
        <w:rPr>
          <w:rFonts w:hint="cs"/>
          <w:rtl/>
        </w:rPr>
        <w:t>לנקוט</w:t>
      </w:r>
      <w:r w:rsidRPr="00373CBE">
        <w:rPr>
          <w:rFonts w:hint="cs"/>
          <w:rtl/>
        </w:rPr>
        <w:t xml:space="preserve"> לצמצום הפערים בין החברה הערבית לבין החברה היהודית. בהחלטה</w:t>
      </w:r>
      <w:r>
        <w:rPr>
          <w:vertAlign w:val="superscript"/>
          <w:rtl/>
        </w:rPr>
        <w:footnoteReference w:id="149"/>
      </w:r>
      <w:r w:rsidRPr="00373CBE">
        <w:rPr>
          <w:rFonts w:hint="cs"/>
          <w:rtl/>
        </w:rPr>
        <w:t xml:space="preserve"> נקבע</w:t>
      </w:r>
      <w:r>
        <w:rPr>
          <w:rFonts w:hint="cs"/>
          <w:rtl/>
        </w:rPr>
        <w:t>, בין היתר,</w:t>
      </w:r>
      <w:r w:rsidRPr="00373CBE">
        <w:rPr>
          <w:rFonts w:hint="cs"/>
          <w:rtl/>
        </w:rPr>
        <w:t xml:space="preserve"> כי יש</w:t>
      </w:r>
      <w:r>
        <w:rPr>
          <w:rFonts w:hint="cs"/>
          <w:rtl/>
        </w:rPr>
        <w:t xml:space="preserve"> להנחות את כלל משרדי הממשלה</w:t>
      </w:r>
      <w:r w:rsidRPr="00373CBE">
        <w:rPr>
          <w:rFonts w:hint="cs"/>
          <w:rtl/>
        </w:rPr>
        <w:t xml:space="preserve"> לבצע הנגשה שפתית ותרבותית</w:t>
      </w:r>
      <w:r>
        <w:rPr>
          <w:rFonts w:hint="cs"/>
          <w:rtl/>
        </w:rPr>
        <w:t xml:space="preserve"> לאוכלוסיית החברה הערבית של לפחות 50% מהתוכן ו</w:t>
      </w:r>
      <w:r w:rsidRPr="00373CBE">
        <w:rPr>
          <w:rFonts w:hint="cs"/>
          <w:rtl/>
        </w:rPr>
        <w:t>השירותים הממשלתיים הדיגיטליים</w:t>
      </w:r>
      <w:r>
        <w:rPr>
          <w:rFonts w:hint="cs"/>
          <w:rtl/>
        </w:rPr>
        <w:t xml:space="preserve"> הרלוונטיים עבור</w:t>
      </w:r>
      <w:r w:rsidRPr="00373CBE">
        <w:rPr>
          <w:rFonts w:hint="cs"/>
          <w:rtl/>
        </w:rPr>
        <w:t xml:space="preserve"> </w:t>
      </w:r>
      <w:r>
        <w:rPr>
          <w:rFonts w:hint="cs"/>
          <w:rtl/>
        </w:rPr>
        <w:t>החברה הערבית, זאת עד לסוף שנת 2025</w:t>
      </w:r>
      <w:r w:rsidRPr="00373CBE">
        <w:rPr>
          <w:rFonts w:hint="cs"/>
          <w:rtl/>
        </w:rPr>
        <w:t xml:space="preserve">. על מערך הדיגיטל הוטל </w:t>
      </w:r>
      <w:r w:rsidRPr="00373CBE">
        <w:rPr>
          <w:rtl/>
        </w:rPr>
        <w:t>להנגיש שפתית ותרבותית את התשתיות והפל</w:t>
      </w:r>
      <w:r w:rsidRPr="00373CBE">
        <w:rPr>
          <w:rtl/>
        </w:rPr>
        <w:t>טפורמות המקוונות הרוחביות אשר משמשות למתן שירות דיגיטלי לאזרחים</w:t>
      </w:r>
      <w:r>
        <w:rPr>
          <w:rtl/>
        </w:rPr>
        <w:t xml:space="preserve"> </w:t>
      </w:r>
      <w:r w:rsidRPr="00373CBE">
        <w:rPr>
          <w:rFonts w:hint="cs"/>
          <w:rtl/>
        </w:rPr>
        <w:t>ול</w:t>
      </w:r>
      <w:r w:rsidRPr="00373CBE">
        <w:rPr>
          <w:rtl/>
        </w:rPr>
        <w:t>עסקים</w:t>
      </w:r>
      <w:r w:rsidRPr="00373CBE">
        <w:rPr>
          <w:rFonts w:hint="cs"/>
          <w:rtl/>
        </w:rPr>
        <w:t xml:space="preserve">: </w:t>
      </w:r>
      <w:r w:rsidRPr="00373CBE">
        <w:rPr>
          <w:rtl/>
        </w:rPr>
        <w:t xml:space="preserve">מערכת ההזדהות הלאומית, </w:t>
      </w:r>
      <w:r>
        <w:rPr>
          <w:rFonts w:hint="cs"/>
          <w:rtl/>
        </w:rPr>
        <w:t>ה</w:t>
      </w:r>
      <w:r w:rsidRPr="00373CBE">
        <w:rPr>
          <w:rtl/>
        </w:rPr>
        <w:t xml:space="preserve">אזור </w:t>
      </w:r>
      <w:r>
        <w:rPr>
          <w:rFonts w:hint="cs"/>
          <w:rtl/>
        </w:rPr>
        <w:t>ה</w:t>
      </w:r>
      <w:r w:rsidRPr="00373CBE">
        <w:rPr>
          <w:rtl/>
        </w:rPr>
        <w:t xml:space="preserve">אישי </w:t>
      </w:r>
      <w:r>
        <w:rPr>
          <w:rFonts w:hint="cs"/>
          <w:rtl/>
        </w:rPr>
        <w:t>ה</w:t>
      </w:r>
      <w:r w:rsidRPr="00373CBE">
        <w:rPr>
          <w:rtl/>
        </w:rPr>
        <w:t xml:space="preserve">ממשלתי </w:t>
      </w:r>
      <w:r w:rsidRPr="00373CBE">
        <w:rPr>
          <w:rFonts w:hint="cs"/>
          <w:rtl/>
        </w:rPr>
        <w:t xml:space="preserve">(פרטי </w:t>
      </w:r>
      <w:r w:rsidRPr="00373CBE">
        <w:rPr>
          <w:rtl/>
        </w:rPr>
        <w:t>ועסקי</w:t>
      </w:r>
      <w:r w:rsidRPr="00373CBE">
        <w:rPr>
          <w:rFonts w:hint="cs"/>
          <w:rtl/>
        </w:rPr>
        <w:t>)</w:t>
      </w:r>
      <w:r w:rsidRPr="00373CBE">
        <w:rPr>
          <w:rtl/>
        </w:rPr>
        <w:t xml:space="preserve"> </w:t>
      </w:r>
      <w:r w:rsidRPr="00373CBE">
        <w:rPr>
          <w:rFonts w:hint="cs"/>
          <w:rtl/>
        </w:rPr>
        <w:t>ו</w:t>
      </w:r>
      <w:r w:rsidRPr="00373CBE">
        <w:rPr>
          <w:rtl/>
        </w:rPr>
        <w:t>שירות הטפסים הממשלתי.</w:t>
      </w:r>
      <w:r>
        <w:rPr>
          <w:rtl/>
        </w:rPr>
        <w:t xml:space="preserve"> </w:t>
      </w:r>
      <w:r w:rsidRPr="00373CBE">
        <w:rPr>
          <w:rFonts w:hint="cs"/>
          <w:rtl/>
        </w:rPr>
        <w:t xml:space="preserve">עוד הוטל עליו </w:t>
      </w:r>
      <w:r w:rsidRPr="00373CBE">
        <w:rPr>
          <w:rtl/>
        </w:rPr>
        <w:t xml:space="preserve">להאיץ את </w:t>
      </w:r>
      <w:r w:rsidRPr="00373CBE">
        <w:rPr>
          <w:rFonts w:hint="cs"/>
          <w:rtl/>
        </w:rPr>
        <w:t>ה</w:t>
      </w:r>
      <w:r w:rsidRPr="00373CBE">
        <w:rPr>
          <w:rtl/>
        </w:rPr>
        <w:t xml:space="preserve">פעולות </w:t>
      </w:r>
      <w:r>
        <w:rPr>
          <w:rFonts w:hint="cs"/>
          <w:rtl/>
        </w:rPr>
        <w:t>ל</w:t>
      </w:r>
      <w:r w:rsidRPr="00373CBE">
        <w:rPr>
          <w:rtl/>
        </w:rPr>
        <w:t xml:space="preserve">הגברת </w:t>
      </w:r>
      <w:r>
        <w:rPr>
          <w:rFonts w:hint="cs"/>
          <w:rtl/>
        </w:rPr>
        <w:t>מודעותו של</w:t>
      </w:r>
      <w:r w:rsidRPr="00373CBE">
        <w:rPr>
          <w:rtl/>
        </w:rPr>
        <w:t xml:space="preserve"> הציבור </w:t>
      </w:r>
      <w:r w:rsidRPr="00373CBE">
        <w:rPr>
          <w:rFonts w:hint="cs"/>
          <w:rtl/>
        </w:rPr>
        <w:t xml:space="preserve">דובר הערבית </w:t>
      </w:r>
      <w:r w:rsidRPr="00373CBE">
        <w:rPr>
          <w:rtl/>
        </w:rPr>
        <w:t>לכלל</w:t>
      </w:r>
      <w:r w:rsidRPr="00373CBE">
        <w:rPr>
          <w:rFonts w:hint="cs"/>
          <w:rtl/>
        </w:rPr>
        <w:t xml:space="preserve"> </w:t>
      </w:r>
      <w:r w:rsidRPr="00373CBE">
        <w:rPr>
          <w:rtl/>
        </w:rPr>
        <w:t xml:space="preserve">השירותים המונגשים </w:t>
      </w:r>
      <w:r w:rsidRPr="00373CBE">
        <w:rPr>
          <w:rFonts w:hint="cs"/>
          <w:rtl/>
        </w:rPr>
        <w:t>ב</w:t>
      </w:r>
      <w:r w:rsidRPr="00373CBE">
        <w:rPr>
          <w:rtl/>
        </w:rPr>
        <w:t>אזור האישי ה</w:t>
      </w:r>
      <w:r w:rsidRPr="00373CBE">
        <w:rPr>
          <w:rtl/>
        </w:rPr>
        <w:t xml:space="preserve">ממשלתי באופן ייעודי ומותאם לאוכלוסיית דוברי הערבית. </w:t>
      </w:r>
      <w:r w:rsidRPr="00373CBE">
        <w:rPr>
          <w:rFonts w:hint="cs"/>
          <w:rtl/>
        </w:rPr>
        <w:t xml:space="preserve">על </w:t>
      </w:r>
      <w:r w:rsidRPr="00373CBE">
        <w:rPr>
          <w:rtl/>
        </w:rPr>
        <w:t xml:space="preserve">משרדי הממשלה </w:t>
      </w:r>
      <w:r w:rsidRPr="00373CBE">
        <w:rPr>
          <w:rFonts w:hint="cs"/>
          <w:rtl/>
        </w:rPr>
        <w:t xml:space="preserve">הוטל על פי ההחלטה </w:t>
      </w:r>
      <w:r>
        <w:rPr>
          <w:rFonts w:hint="cs"/>
          <w:rtl/>
        </w:rPr>
        <w:t>להנגיש</w:t>
      </w:r>
      <w:r w:rsidRPr="00373CBE">
        <w:rPr>
          <w:rtl/>
        </w:rPr>
        <w:t xml:space="preserve"> שפתית ותרבותית לפחות 50% מהתוכן והשירותים המקוונים שלהם לאוכלוסיית החברה הערבית עד לסוף שנת 2025</w:t>
      </w:r>
      <w:r w:rsidRPr="00373CBE">
        <w:rPr>
          <w:rFonts w:hint="cs"/>
          <w:rtl/>
        </w:rPr>
        <w:t>, בסיוע מערך הדיגיטל.</w:t>
      </w:r>
      <w:r>
        <w:rPr>
          <w:rFonts w:hint="cs"/>
          <w:rtl/>
        </w:rPr>
        <w:t xml:space="preserve"> </w:t>
      </w:r>
    </w:p>
    <w:p w:rsidR="00BF1E3B" w:rsidRPr="00373CBE" w:rsidRDefault="00DF6A0A" w:rsidP="00C619CC">
      <w:pPr>
        <w:pStyle w:val="7392"/>
        <w:rPr>
          <w:rtl/>
        </w:rPr>
      </w:pPr>
      <w:r w:rsidRPr="00373CBE">
        <w:rPr>
          <w:rFonts w:hint="cs"/>
          <w:rtl/>
        </w:rPr>
        <w:t>משרד מבקר המדינה בדק אילו פעולות ליישום סעיף</w:t>
      </w:r>
      <w:r w:rsidRPr="00373CBE">
        <w:rPr>
          <w:rFonts w:hint="cs"/>
          <w:rtl/>
        </w:rPr>
        <w:t xml:space="preserve"> זה בהחלטת הממשלה</w:t>
      </w:r>
      <w:r>
        <w:rPr>
          <w:rFonts w:hint="cs"/>
          <w:rtl/>
        </w:rPr>
        <w:t>, בהקשר להנגשה של השירות הממשלתי לשפה הערבית,</w:t>
      </w:r>
      <w:r w:rsidRPr="00373CBE">
        <w:rPr>
          <w:rFonts w:hint="cs"/>
          <w:rtl/>
        </w:rPr>
        <w:t xml:space="preserve"> </w:t>
      </w:r>
      <w:r>
        <w:rPr>
          <w:rFonts w:hint="cs"/>
          <w:rtl/>
        </w:rPr>
        <w:t>נקטו</w:t>
      </w:r>
      <w:r w:rsidRPr="00373CBE">
        <w:rPr>
          <w:rFonts w:hint="cs"/>
          <w:rtl/>
        </w:rPr>
        <w:t xml:space="preserve"> או החלו </w:t>
      </w:r>
      <w:r>
        <w:rPr>
          <w:rFonts w:hint="cs"/>
          <w:rtl/>
        </w:rPr>
        <w:t>לנקוט</w:t>
      </w:r>
      <w:r w:rsidRPr="00373CBE">
        <w:rPr>
          <w:rFonts w:hint="cs"/>
          <w:rtl/>
        </w:rPr>
        <w:t xml:space="preserve"> מערך הדיגיטל הלאומי וגופי הממשל</w:t>
      </w:r>
      <w:r>
        <w:rPr>
          <w:rFonts w:hint="cs"/>
          <w:rtl/>
        </w:rPr>
        <w:t>.</w:t>
      </w:r>
      <w:r w:rsidRPr="00373CBE">
        <w:rPr>
          <w:rFonts w:hint="cs"/>
          <w:rtl/>
        </w:rPr>
        <w:t xml:space="preserve"> להלן הממצאים.</w:t>
      </w:r>
      <w:r>
        <w:rPr>
          <w:rFonts w:hint="cs"/>
          <w:rtl/>
        </w:rPr>
        <w:t xml:space="preserve"> </w:t>
      </w:r>
    </w:p>
    <w:p w:rsidR="00BF1E3B" w:rsidRPr="00373CBE" w:rsidRDefault="00DF6A0A" w:rsidP="00C619CC">
      <w:pPr>
        <w:pStyle w:val="7392"/>
        <w:rPr>
          <w:rtl/>
        </w:rPr>
      </w:pPr>
      <w:r w:rsidRPr="00C619CC">
        <w:rPr>
          <w:rStyle w:val="7371"/>
          <w:rtl/>
        </w:rPr>
        <w:t xml:space="preserve">תרגום לערבית </w:t>
      </w:r>
      <w:r w:rsidRPr="00C619CC">
        <w:rPr>
          <w:rStyle w:val="7371"/>
          <w:rFonts w:hint="eastAsia"/>
          <w:rtl/>
        </w:rPr>
        <w:t>של</w:t>
      </w:r>
      <w:r w:rsidRPr="00C619CC">
        <w:rPr>
          <w:rStyle w:val="7371"/>
          <w:rtl/>
        </w:rPr>
        <w:t xml:space="preserve"> דפי </w:t>
      </w:r>
      <w:r w:rsidRPr="00C619CC">
        <w:rPr>
          <w:rStyle w:val="7371"/>
          <w:rFonts w:hint="eastAsia"/>
          <w:rtl/>
        </w:rPr>
        <w:t>השירות</w:t>
      </w:r>
      <w:r w:rsidRPr="00C619CC">
        <w:rPr>
          <w:rStyle w:val="7371"/>
          <w:rtl/>
        </w:rPr>
        <w:t xml:space="preserve"> </w:t>
      </w:r>
      <w:r w:rsidRPr="00C619CC">
        <w:rPr>
          <w:rStyle w:val="7371"/>
          <w:rFonts w:hint="eastAsia"/>
          <w:rtl/>
        </w:rPr>
        <w:t>באתר</w:t>
      </w:r>
      <w:r w:rsidRPr="00C619CC">
        <w:rPr>
          <w:rStyle w:val="7371"/>
          <w:rtl/>
        </w:rPr>
        <w:t xml:space="preserve"> </w:t>
      </w:r>
      <w:r w:rsidRPr="00C619CC">
        <w:rPr>
          <w:rStyle w:val="7371"/>
          <w:rFonts w:hint="eastAsia"/>
          <w:rtl/>
        </w:rPr>
        <w:t>הממשלתי</w:t>
      </w:r>
      <w:r w:rsidRPr="00C619CC">
        <w:rPr>
          <w:rStyle w:val="7371"/>
          <w:rtl/>
        </w:rPr>
        <w:t xml:space="preserve"> </w:t>
      </w:r>
      <w:r w:rsidRPr="00C619CC">
        <w:rPr>
          <w:rStyle w:val="7371"/>
          <w:rFonts w:hint="eastAsia"/>
          <w:rtl/>
        </w:rPr>
        <w:t>האחוד</w:t>
      </w:r>
      <w:r w:rsidRPr="00C619CC">
        <w:rPr>
          <w:rStyle w:val="7371"/>
          <w:rtl/>
        </w:rPr>
        <w:t>:</w:t>
      </w:r>
      <w:r>
        <w:rPr>
          <w:rFonts w:hint="cs"/>
          <w:rtl/>
        </w:rPr>
        <w:t xml:space="preserve"> באתרי המרשתת של גופי הממשל יש תכנים ושירותים מסוגים שונים. אחד המרכיבים של השירות הדיגיטלי הוא דף השירות, בו ניתן הסבר על השירות וקישור למסך או לטופס מקוון שבאמצעותם ניתן לצרוך את </w:t>
      </w:r>
      <w:r>
        <w:rPr>
          <w:rFonts w:hint="cs"/>
          <w:rtl/>
        </w:rPr>
        <w:lastRenderedPageBreak/>
        <w:t>השירות</w:t>
      </w:r>
      <w:r>
        <w:rPr>
          <w:rStyle w:val="a8"/>
          <w:rFonts w:eastAsia="Calibri"/>
          <w:sz w:val="24"/>
          <w:rtl/>
        </w:rPr>
        <w:footnoteReference w:id="150"/>
      </w:r>
      <w:r>
        <w:rPr>
          <w:rFonts w:hint="cs"/>
          <w:rtl/>
        </w:rPr>
        <w:t xml:space="preserve">. מערך הדיגיטל מסר כי </w:t>
      </w:r>
      <w:r w:rsidRPr="00373CBE">
        <w:rPr>
          <w:rFonts w:hint="cs"/>
          <w:rtl/>
        </w:rPr>
        <w:t xml:space="preserve">דפי השירות של </w:t>
      </w:r>
      <w:r>
        <w:rPr>
          <w:rFonts w:hint="cs"/>
          <w:rtl/>
        </w:rPr>
        <w:t xml:space="preserve">משרדי ממשלה </w:t>
      </w:r>
      <w:r w:rsidRPr="00373CBE">
        <w:rPr>
          <w:rFonts w:hint="cs"/>
          <w:rtl/>
        </w:rPr>
        <w:t xml:space="preserve">שאתרי המרשתת שלהם מנוהלים במסגרת האתר הממשלתי האחוד </w:t>
      </w:r>
      <w:r>
        <w:rPr>
          <w:rFonts w:hint="cs"/>
          <w:rtl/>
        </w:rPr>
        <w:t>מתורגמים לערבית</w:t>
      </w:r>
      <w:r w:rsidRPr="00373CBE">
        <w:rPr>
          <w:rFonts w:hint="cs"/>
          <w:rtl/>
        </w:rPr>
        <w:t xml:space="preserve"> על יד</w:t>
      </w:r>
      <w:r>
        <w:rPr>
          <w:rFonts w:hint="cs"/>
          <w:rtl/>
        </w:rPr>
        <w:t>ו - על ידי</w:t>
      </w:r>
      <w:r w:rsidRPr="00373CBE">
        <w:rPr>
          <w:rFonts w:hint="cs"/>
          <w:rtl/>
        </w:rPr>
        <w:t xml:space="preserve"> מערך הדיגיטל</w:t>
      </w:r>
      <w:r>
        <w:rPr>
          <w:rFonts w:hint="cs"/>
          <w:rtl/>
        </w:rPr>
        <w:t xml:space="preserve">, </w:t>
      </w:r>
      <w:r w:rsidRPr="00373CBE">
        <w:rPr>
          <w:rFonts w:hint="cs"/>
          <w:rtl/>
        </w:rPr>
        <w:t>ולא על ידי כל גוף ממשלתי בעצמו, כדי להבטיח רמה מקצועית נדרשת ואחידות לשונית</w:t>
      </w:r>
      <w:r>
        <w:rPr>
          <w:rStyle w:val="a8"/>
          <w:rFonts w:eastAsia="Calibri"/>
          <w:sz w:val="24"/>
          <w:rtl/>
        </w:rPr>
        <w:footnoteReference w:id="151"/>
      </w:r>
      <w:r w:rsidRPr="00373CBE">
        <w:rPr>
          <w:rFonts w:hint="cs"/>
          <w:rtl/>
        </w:rPr>
        <w:t>.</w:t>
      </w:r>
      <w:r>
        <w:rPr>
          <w:rFonts w:hint="cs"/>
          <w:rtl/>
        </w:rPr>
        <w:t xml:space="preserve"> עם זאת, האחריות לתוכן המתורגם מוטלת על המשרד שדף השירות שייך לתחום פעילותו, ולפי</w:t>
      </w:r>
      <w:r>
        <w:rPr>
          <w:rFonts w:hint="cs"/>
          <w:rtl/>
        </w:rPr>
        <w:t xml:space="preserve">כך לאחר שמערך הדיגיטל מתרגם את דף השירות, על משרדי הממשלה לאשר ולתקף את התכנים שבהם. </w:t>
      </w:r>
      <w:r w:rsidRPr="00373CBE">
        <w:rPr>
          <w:rFonts w:hint="cs"/>
          <w:rtl/>
        </w:rPr>
        <w:t xml:space="preserve">מערך הדיגיטל מסר למשרד מבקר המדינה כי החל לתרגם את דפי השירות בשנת 2017 כאשר </w:t>
      </w:r>
      <w:r w:rsidRPr="00373CBE">
        <w:rPr>
          <w:rtl/>
        </w:rPr>
        <w:t>באתר ה</w:t>
      </w:r>
      <w:r w:rsidRPr="00373CBE">
        <w:rPr>
          <w:rFonts w:hint="cs"/>
          <w:rtl/>
        </w:rPr>
        <w:t>אחוד</w:t>
      </w:r>
      <w:r w:rsidRPr="00373CBE">
        <w:rPr>
          <w:rtl/>
        </w:rPr>
        <w:t xml:space="preserve"> </w:t>
      </w:r>
      <w:r w:rsidRPr="00373CBE">
        <w:rPr>
          <w:rFonts w:hint="cs"/>
          <w:rtl/>
        </w:rPr>
        <w:t xml:space="preserve">היו כבר </w:t>
      </w:r>
      <w:r w:rsidRPr="00373CBE">
        <w:rPr>
          <w:rtl/>
        </w:rPr>
        <w:t>כ-1</w:t>
      </w:r>
      <w:r w:rsidRPr="00373CBE">
        <w:rPr>
          <w:rFonts w:hint="cs"/>
          <w:rtl/>
        </w:rPr>
        <w:t>,</w:t>
      </w:r>
      <w:r w:rsidRPr="00373CBE">
        <w:rPr>
          <w:rtl/>
        </w:rPr>
        <w:t xml:space="preserve">000 דפי שירות </w:t>
      </w:r>
      <w:r w:rsidRPr="00373CBE">
        <w:rPr>
          <w:rFonts w:hint="cs"/>
          <w:rtl/>
        </w:rPr>
        <w:t>ב</w:t>
      </w:r>
      <w:r w:rsidRPr="00373CBE">
        <w:rPr>
          <w:rtl/>
        </w:rPr>
        <w:t>עברית, מהם כ-400 דפים ש</w:t>
      </w:r>
      <w:r w:rsidRPr="00373CBE">
        <w:rPr>
          <w:rFonts w:hint="cs"/>
          <w:rtl/>
        </w:rPr>
        <w:t>א</w:t>
      </w:r>
      <w:r>
        <w:rPr>
          <w:rFonts w:hint="cs"/>
          <w:rtl/>
        </w:rPr>
        <w:t>ו</w:t>
      </w:r>
      <w:r w:rsidRPr="00373CBE">
        <w:rPr>
          <w:rFonts w:hint="cs"/>
          <w:rtl/>
        </w:rPr>
        <w:t xml:space="preserve">מנם </w:t>
      </w:r>
      <w:r w:rsidRPr="00373CBE">
        <w:rPr>
          <w:rtl/>
        </w:rPr>
        <w:t xml:space="preserve">תורגמו </w:t>
      </w:r>
      <w:r w:rsidRPr="00373CBE">
        <w:rPr>
          <w:rFonts w:hint="cs"/>
          <w:rtl/>
        </w:rPr>
        <w:t xml:space="preserve">בעבר </w:t>
      </w:r>
      <w:r w:rsidRPr="00373CBE">
        <w:rPr>
          <w:rtl/>
        </w:rPr>
        <w:t xml:space="preserve">לערבית אך </w:t>
      </w:r>
      <w:r w:rsidRPr="00373CBE">
        <w:rPr>
          <w:rFonts w:hint="cs"/>
          <w:rtl/>
        </w:rPr>
        <w:t>לא בא</w:t>
      </w:r>
      <w:r w:rsidRPr="00373CBE">
        <w:rPr>
          <w:rFonts w:hint="cs"/>
          <w:rtl/>
        </w:rPr>
        <w:t>ופן איכותי. מאז ועד לשנת 2022 נוספו לאתר הממשלתי מעל 1</w:t>
      </w:r>
      <w:r>
        <w:rPr>
          <w:rFonts w:hint="cs"/>
          <w:rtl/>
        </w:rPr>
        <w:t>,</w:t>
      </w:r>
      <w:r w:rsidRPr="00373CBE">
        <w:rPr>
          <w:rFonts w:hint="cs"/>
          <w:rtl/>
        </w:rPr>
        <w:t xml:space="preserve">000 דפי שירות חדשים בשל התרחבות השירותים הדיגיטליים. לאחר התרגום מעביר מערך הדיגיטל את </w:t>
      </w:r>
      <w:r w:rsidRPr="00373CBE">
        <w:rPr>
          <w:rtl/>
        </w:rPr>
        <w:t xml:space="preserve">הדפים המתורגמים </w:t>
      </w:r>
      <w:r w:rsidRPr="00373CBE">
        <w:rPr>
          <w:rFonts w:hint="cs"/>
          <w:rtl/>
        </w:rPr>
        <w:t xml:space="preserve">לכל גוף ממשלתי, על פי תחום אחריותו, כדי שיתקף את האמור בהם ויאשרם לפרסום. </w:t>
      </w:r>
    </w:p>
    <w:p w:rsidR="00BF1E3B" w:rsidRPr="00B74C6A" w:rsidRDefault="00DF6A0A" w:rsidP="00B74C6A">
      <w:pPr>
        <w:pStyle w:val="735"/>
        <w:rPr>
          <w:rFonts w:eastAsia="Calibri"/>
          <w:rtl/>
        </w:rPr>
      </w:pPr>
      <w:r w:rsidRPr="00B74C6A">
        <w:rPr>
          <w:rFonts w:eastAsia="Calibri" w:hint="cs"/>
          <w:rtl/>
        </w:rPr>
        <w:t>מנתוני מערך הדיגיטל עלה</w:t>
      </w:r>
      <w:r w:rsidRPr="00B74C6A">
        <w:rPr>
          <w:rFonts w:eastAsia="Calibri" w:hint="cs"/>
          <w:rtl/>
        </w:rPr>
        <w:t xml:space="preserve"> כי נכון לינואר 2023</w:t>
      </w:r>
      <w:r w:rsidRPr="00B74C6A">
        <w:rPr>
          <w:rFonts w:eastAsia="Calibri"/>
          <w:rtl/>
        </w:rPr>
        <w:t xml:space="preserve"> </w:t>
      </w:r>
      <w:r w:rsidRPr="00B74C6A">
        <w:rPr>
          <w:rFonts w:eastAsia="Calibri" w:hint="cs"/>
          <w:rtl/>
        </w:rPr>
        <w:t>היו</w:t>
      </w:r>
      <w:r w:rsidRPr="00B74C6A">
        <w:rPr>
          <w:rFonts w:eastAsia="Calibri"/>
          <w:rtl/>
        </w:rPr>
        <w:t xml:space="preserve"> באתר הממשלתי האחוד כ-</w:t>
      </w:r>
      <w:r w:rsidRPr="00B74C6A">
        <w:rPr>
          <w:rFonts w:eastAsia="Calibri" w:hint="cs"/>
          <w:rtl/>
        </w:rPr>
        <w:t xml:space="preserve">2,900 </w:t>
      </w:r>
      <w:r w:rsidRPr="00B74C6A">
        <w:rPr>
          <w:rFonts w:eastAsia="Calibri"/>
          <w:rtl/>
        </w:rPr>
        <w:t>דפי שירות בעברית</w:t>
      </w:r>
      <w:r>
        <w:rPr>
          <w:rFonts w:eastAsia="Calibri"/>
          <w:vertAlign w:val="superscript"/>
          <w:rtl/>
        </w:rPr>
        <w:footnoteReference w:id="152"/>
      </w:r>
      <w:r w:rsidRPr="00B74C6A">
        <w:rPr>
          <w:rFonts w:eastAsia="Calibri" w:hint="cs"/>
          <w:rtl/>
        </w:rPr>
        <w:t xml:space="preserve"> ובהם הסבר על השירותים הדיגיטליים שניתנים באתר וקישור למסכים או טפסים שבאמצעותם ניתן לצרוך את השירותים</w:t>
      </w:r>
      <w:r>
        <w:rPr>
          <w:rStyle w:val="a8"/>
          <w:rFonts w:eastAsia="Calibri"/>
          <w:rtl/>
        </w:rPr>
        <w:footnoteReference w:id="153"/>
      </w:r>
      <w:r w:rsidRPr="00B74C6A">
        <w:rPr>
          <w:rFonts w:eastAsia="Calibri" w:hint="cs"/>
          <w:rtl/>
        </w:rPr>
        <w:t>. מבין דפי השירות באתר האחוד,</w:t>
      </w:r>
      <w:r w:rsidRPr="00B74C6A">
        <w:rPr>
          <w:rFonts w:eastAsia="Calibri"/>
          <w:rtl/>
        </w:rPr>
        <w:t xml:space="preserve"> כ-</w:t>
      </w:r>
      <w:r w:rsidRPr="00B74C6A">
        <w:rPr>
          <w:rFonts w:eastAsia="Calibri" w:hint="cs"/>
          <w:rtl/>
        </w:rPr>
        <w:t>1,400</w:t>
      </w:r>
      <w:r w:rsidRPr="00B74C6A">
        <w:rPr>
          <w:rFonts w:eastAsia="Calibri"/>
          <w:rtl/>
        </w:rPr>
        <w:t xml:space="preserve"> דפי שירות (</w:t>
      </w:r>
      <w:r w:rsidRPr="00B74C6A">
        <w:rPr>
          <w:rFonts w:eastAsia="Calibri" w:hint="cs"/>
          <w:rtl/>
        </w:rPr>
        <w:t>4</w:t>
      </w:r>
      <w:r w:rsidRPr="00B74C6A">
        <w:rPr>
          <w:rFonts w:eastAsia="Calibri"/>
          <w:rtl/>
        </w:rPr>
        <w:t xml:space="preserve">8%) תורגמו לערבית ופורסמו </w:t>
      </w:r>
      <w:r w:rsidRPr="00B74C6A">
        <w:rPr>
          <w:rFonts w:eastAsia="Calibri" w:hint="cs"/>
          <w:rtl/>
        </w:rPr>
        <w:t xml:space="preserve">בו. </w:t>
      </w:r>
    </w:p>
    <w:p w:rsidR="00BF1E3B" w:rsidRPr="007D4C70" w:rsidRDefault="00DF6A0A" w:rsidP="00C619CC">
      <w:pPr>
        <w:pStyle w:val="7392"/>
        <w:rPr>
          <w:rtl/>
        </w:rPr>
      </w:pPr>
      <w:r>
        <w:rPr>
          <w:rFonts w:hint="cs"/>
          <w:rtl/>
        </w:rPr>
        <w:t>מער</w:t>
      </w:r>
      <w:r>
        <w:rPr>
          <w:rFonts w:hint="cs"/>
          <w:rtl/>
        </w:rPr>
        <w:t xml:space="preserve">ך הדיגיטל הלאומי מסר בתשובתו למשרד מבקר המדינה כי יש באתר האחוד דפי שירות שאינם רלוונטיים לתרגום לערבית. </w:t>
      </w:r>
    </w:p>
    <w:p w:rsidR="00BF1E3B" w:rsidRPr="00B74C6A" w:rsidRDefault="00DF6A0A" w:rsidP="00B74C6A">
      <w:pPr>
        <w:pStyle w:val="735"/>
        <w:rPr>
          <w:rFonts w:eastAsia="Calibri"/>
          <w:rtl/>
        </w:rPr>
      </w:pPr>
      <w:r w:rsidRPr="00B74C6A">
        <w:rPr>
          <w:rFonts w:eastAsia="Calibri" w:hint="cs"/>
          <w:rtl/>
        </w:rPr>
        <w:t>משרד מבקר המדינה ממליץ ל</w:t>
      </w:r>
      <w:r w:rsidRPr="00B74C6A">
        <w:rPr>
          <w:rFonts w:eastAsia="Calibri" w:hint="eastAsia"/>
          <w:rtl/>
        </w:rPr>
        <w:t>מערך</w:t>
      </w:r>
      <w:r w:rsidRPr="00B74C6A">
        <w:rPr>
          <w:rFonts w:eastAsia="Calibri"/>
          <w:rtl/>
        </w:rPr>
        <w:t xml:space="preserve"> הדיגיטל הלאומי </w:t>
      </w:r>
      <w:r w:rsidRPr="00B74C6A">
        <w:rPr>
          <w:rFonts w:eastAsia="Calibri" w:hint="cs"/>
          <w:rtl/>
        </w:rPr>
        <w:t>ול</w:t>
      </w:r>
      <w:r w:rsidRPr="00B74C6A">
        <w:rPr>
          <w:rFonts w:eastAsia="Calibri" w:hint="eastAsia"/>
          <w:rtl/>
        </w:rPr>
        <w:t>גופי</w:t>
      </w:r>
      <w:r w:rsidRPr="00B74C6A">
        <w:rPr>
          <w:rFonts w:eastAsia="Calibri"/>
          <w:rtl/>
        </w:rPr>
        <w:t xml:space="preserve"> הממשל </w:t>
      </w:r>
      <w:r w:rsidRPr="00B74C6A">
        <w:rPr>
          <w:rFonts w:eastAsia="Calibri" w:hint="cs"/>
          <w:rtl/>
        </w:rPr>
        <w:t>להמשיך לתרגם לערבית דפי שירות נוספים הרלוונטיים לחברה הערבית, גם מעבר לשיעור שנקבע בהחלטת הממ</w:t>
      </w:r>
      <w:r w:rsidRPr="00B74C6A">
        <w:rPr>
          <w:rFonts w:eastAsia="Calibri" w:hint="cs"/>
          <w:rtl/>
        </w:rPr>
        <w:t xml:space="preserve">שלה וכבר בוצע. הדבר יאפשר להגביר את ההנגשה </w:t>
      </w:r>
      <w:r w:rsidRPr="00B74C6A">
        <w:rPr>
          <w:rFonts w:eastAsia="Calibri"/>
          <w:rtl/>
        </w:rPr>
        <w:t xml:space="preserve">השפתית של השירותים הממשלתיים לציבור דוברי הערבית בהתאם לתכלית החלטת הממשלה שהתקבלה בעניין. </w:t>
      </w:r>
    </w:p>
    <w:p w:rsidR="00BF1E3B" w:rsidRPr="007D4C70" w:rsidRDefault="00DF6A0A" w:rsidP="00C619CC">
      <w:pPr>
        <w:pStyle w:val="7392"/>
        <w:rPr>
          <w:rtl/>
        </w:rPr>
      </w:pPr>
      <w:r>
        <w:rPr>
          <w:rFonts w:hint="cs"/>
          <w:rtl/>
        </w:rPr>
        <w:t>בתשובתו למשרד מבקר המדינה מסר מערך הדיגיטל הלאומי כי ההמלצה מקובלת, וכי צוות המימוש של החלטת ממשלה 550 פועל בימים אלו למי</w:t>
      </w:r>
      <w:r>
        <w:rPr>
          <w:rFonts w:hint="cs"/>
          <w:rtl/>
        </w:rPr>
        <w:t xml:space="preserve">פוי וסגירת הפערים. </w:t>
      </w:r>
    </w:p>
    <w:p w:rsidR="00BF1E3B" w:rsidRPr="00373CBE" w:rsidRDefault="00DF6A0A" w:rsidP="00C619CC">
      <w:pPr>
        <w:pStyle w:val="7392"/>
        <w:rPr>
          <w:rtl/>
        </w:rPr>
      </w:pPr>
      <w:r w:rsidRPr="00373CBE">
        <w:rPr>
          <w:rFonts w:hint="cs"/>
          <w:rtl/>
        </w:rPr>
        <w:t xml:space="preserve">במהלך הביקורת </w:t>
      </w:r>
      <w:r w:rsidRPr="00373CBE">
        <w:rPr>
          <w:rtl/>
        </w:rPr>
        <w:t xml:space="preserve">מסר מערך הדיגיטל למשרד מבקר המדינה </w:t>
      </w:r>
      <w:r w:rsidRPr="00373CBE">
        <w:rPr>
          <w:rFonts w:hint="cs"/>
          <w:rtl/>
        </w:rPr>
        <w:t xml:space="preserve">כי היו מקרים </w:t>
      </w:r>
      <w:r>
        <w:rPr>
          <w:rFonts w:hint="cs"/>
          <w:rtl/>
        </w:rPr>
        <w:t>ש</w:t>
      </w:r>
      <w:r w:rsidRPr="00373CBE">
        <w:rPr>
          <w:rFonts w:hint="cs"/>
          <w:rtl/>
        </w:rPr>
        <w:t xml:space="preserve">בהם </w:t>
      </w:r>
      <w:r w:rsidRPr="00373CBE">
        <w:rPr>
          <w:rFonts w:hint="eastAsia"/>
          <w:rtl/>
        </w:rPr>
        <w:t>המתין</w:t>
      </w:r>
      <w:r w:rsidRPr="00373CBE">
        <w:rPr>
          <w:rtl/>
        </w:rPr>
        <w:t xml:space="preserve"> </w:t>
      </w:r>
      <w:r w:rsidRPr="00373CBE">
        <w:rPr>
          <w:rFonts w:hint="eastAsia"/>
          <w:rtl/>
        </w:rPr>
        <w:t>חודשים</w:t>
      </w:r>
      <w:r w:rsidRPr="00373CBE">
        <w:rPr>
          <w:rtl/>
        </w:rPr>
        <w:t xml:space="preserve"> </w:t>
      </w:r>
      <w:r w:rsidRPr="00373CBE">
        <w:rPr>
          <w:rFonts w:hint="eastAsia"/>
          <w:rtl/>
        </w:rPr>
        <w:t>ארוכים</w:t>
      </w:r>
      <w:r w:rsidRPr="00373CBE">
        <w:rPr>
          <w:rtl/>
        </w:rPr>
        <w:t xml:space="preserve"> </w:t>
      </w:r>
      <w:r w:rsidRPr="00373CBE">
        <w:rPr>
          <w:rFonts w:hint="eastAsia"/>
          <w:rtl/>
        </w:rPr>
        <w:t>לגוף</w:t>
      </w:r>
      <w:r w:rsidRPr="00373CBE">
        <w:rPr>
          <w:rtl/>
        </w:rPr>
        <w:t xml:space="preserve"> </w:t>
      </w:r>
      <w:r w:rsidRPr="00373CBE">
        <w:rPr>
          <w:rFonts w:hint="eastAsia"/>
          <w:rtl/>
        </w:rPr>
        <w:t>ממשלתי</w:t>
      </w:r>
      <w:r w:rsidRPr="00373CBE">
        <w:rPr>
          <w:rtl/>
        </w:rPr>
        <w:t xml:space="preserve"> </w:t>
      </w:r>
      <w:r w:rsidRPr="00373CBE">
        <w:rPr>
          <w:rFonts w:hint="cs"/>
          <w:rtl/>
        </w:rPr>
        <w:t xml:space="preserve">עד שזה </w:t>
      </w:r>
      <w:r>
        <w:rPr>
          <w:rFonts w:hint="cs"/>
          <w:rtl/>
        </w:rPr>
        <w:t>אישר</w:t>
      </w:r>
      <w:r w:rsidRPr="00373CBE">
        <w:rPr>
          <w:rFonts w:hint="cs"/>
          <w:rtl/>
        </w:rPr>
        <w:t xml:space="preserve"> </w:t>
      </w:r>
      <w:r>
        <w:rPr>
          <w:rFonts w:hint="cs"/>
          <w:rtl/>
        </w:rPr>
        <w:t>את פרסומם של</w:t>
      </w:r>
      <w:r w:rsidRPr="00373CBE">
        <w:rPr>
          <w:rFonts w:hint="cs"/>
          <w:rtl/>
        </w:rPr>
        <w:t xml:space="preserve"> דפי השירות המתורגמים ועל כן </w:t>
      </w:r>
      <w:r w:rsidRPr="00373CBE">
        <w:rPr>
          <w:rFonts w:hint="cs"/>
          <w:rtl/>
        </w:rPr>
        <w:lastRenderedPageBreak/>
        <w:t xml:space="preserve">הפרסום התמהמה. גורם נוסף שיש בו לעכב את ההנגשה לשפה הערבית הוא דפי שירות בעברית </w:t>
      </w:r>
      <w:r w:rsidRPr="00373CBE">
        <w:rPr>
          <w:rFonts w:hint="cs"/>
          <w:rtl/>
        </w:rPr>
        <w:t>שאיכותם המקצועית ירודה ועל כן נדרש טיוב</w:t>
      </w:r>
      <w:r>
        <w:rPr>
          <w:rFonts w:hint="cs"/>
          <w:rtl/>
        </w:rPr>
        <w:t xml:space="preserve"> שלהם</w:t>
      </w:r>
      <w:r w:rsidRPr="00373CBE">
        <w:rPr>
          <w:rFonts w:hint="cs"/>
          <w:rtl/>
        </w:rPr>
        <w:t xml:space="preserve"> לפני תרג</w:t>
      </w:r>
      <w:r>
        <w:rPr>
          <w:rFonts w:hint="cs"/>
          <w:rtl/>
        </w:rPr>
        <w:t>ו</w:t>
      </w:r>
      <w:r w:rsidRPr="00373CBE">
        <w:rPr>
          <w:rFonts w:hint="cs"/>
          <w:rtl/>
        </w:rPr>
        <w:t>מם לערבית.</w:t>
      </w:r>
      <w:r>
        <w:rPr>
          <w:rFonts w:hint="cs"/>
          <w:rtl/>
        </w:rPr>
        <w:t xml:space="preserve"> </w:t>
      </w:r>
    </w:p>
    <w:p w:rsidR="00BF1E3B" w:rsidRPr="00B74C6A" w:rsidRDefault="00DF6A0A" w:rsidP="00B74C6A">
      <w:pPr>
        <w:pStyle w:val="735"/>
        <w:rPr>
          <w:rFonts w:eastAsia="Calibri"/>
        </w:rPr>
      </w:pPr>
      <w:r w:rsidRPr="00B74C6A">
        <w:rPr>
          <w:rFonts w:eastAsia="Calibri" w:hint="cs"/>
          <w:rtl/>
        </w:rPr>
        <w:t>משרד מבקר המדינה ממליץ לגופי הממשל לבדוק אם קיימים אצלם חסמים שמעכבים את מסירת התשובה למערך הדיגיטל הממשלתי ואת אישור הפרסום של דפי השירות המתורגמים ולנקוט צעדים לצורך הסרתם. עוד מומלץ שכל ג</w:t>
      </w:r>
      <w:r w:rsidRPr="00B74C6A">
        <w:rPr>
          <w:rFonts w:eastAsia="Calibri" w:hint="cs"/>
          <w:rtl/>
        </w:rPr>
        <w:t xml:space="preserve">וף יבדוק את האיכות המקצועית של דפי השירות שלו ויטייב את אלה שיש לשפרם. </w:t>
      </w:r>
    </w:p>
    <w:p w:rsidR="00BF1E3B" w:rsidRPr="00373CBE" w:rsidRDefault="00DF6A0A" w:rsidP="00C619CC">
      <w:pPr>
        <w:pStyle w:val="7392"/>
      </w:pPr>
      <w:r w:rsidRPr="00C619CC">
        <w:rPr>
          <w:rStyle w:val="7371"/>
          <w:rFonts w:hint="eastAsia"/>
          <w:rtl/>
        </w:rPr>
        <w:t>תרגום</w:t>
      </w:r>
      <w:r w:rsidRPr="00C619CC">
        <w:rPr>
          <w:rStyle w:val="7371"/>
          <w:rtl/>
        </w:rPr>
        <w:t xml:space="preserve"> </w:t>
      </w:r>
      <w:r w:rsidRPr="00C619CC">
        <w:rPr>
          <w:rStyle w:val="7371"/>
          <w:rFonts w:hint="eastAsia"/>
          <w:rtl/>
        </w:rPr>
        <w:t>הרכיבים</w:t>
      </w:r>
      <w:r w:rsidRPr="00C619CC">
        <w:rPr>
          <w:rStyle w:val="7371"/>
          <w:rtl/>
        </w:rPr>
        <w:t xml:space="preserve"> </w:t>
      </w:r>
      <w:r w:rsidRPr="00C619CC">
        <w:rPr>
          <w:rStyle w:val="7371"/>
          <w:rFonts w:hint="eastAsia"/>
          <w:rtl/>
        </w:rPr>
        <w:t>בתהליך</w:t>
      </w:r>
      <w:r w:rsidRPr="00C619CC">
        <w:rPr>
          <w:rStyle w:val="7371"/>
          <w:rtl/>
        </w:rPr>
        <w:t xml:space="preserve"> </w:t>
      </w:r>
      <w:r w:rsidRPr="00C619CC">
        <w:rPr>
          <w:rStyle w:val="7371"/>
          <w:rFonts w:hint="eastAsia"/>
          <w:rtl/>
        </w:rPr>
        <w:t>קבלת</w:t>
      </w:r>
      <w:r w:rsidRPr="00C619CC">
        <w:rPr>
          <w:rStyle w:val="7371"/>
          <w:rtl/>
        </w:rPr>
        <w:t xml:space="preserve"> </w:t>
      </w:r>
      <w:r w:rsidRPr="00C619CC">
        <w:rPr>
          <w:rStyle w:val="7371"/>
          <w:rFonts w:hint="eastAsia"/>
          <w:rtl/>
        </w:rPr>
        <w:t>השירות</w:t>
      </w:r>
      <w:r w:rsidRPr="00C619CC">
        <w:rPr>
          <w:rStyle w:val="7371"/>
          <w:rtl/>
        </w:rPr>
        <w:t>:</w:t>
      </w:r>
      <w:r w:rsidRPr="00373CBE">
        <w:rPr>
          <w:rFonts w:hint="cs"/>
          <w:b/>
          <w:bCs/>
          <w:rtl/>
        </w:rPr>
        <w:t xml:space="preserve"> </w:t>
      </w:r>
      <w:r w:rsidRPr="00373CBE">
        <w:rPr>
          <w:rFonts w:hint="cs"/>
          <w:rtl/>
        </w:rPr>
        <w:t>נוסף לדפי שירות, נדרש מערך הדיגיטל הממשלתי לתרגם גם מסכים שמוצגים למשתמש בשלבים השונים שהוא עובר, מדף השירות ועד לטופס המקוון</w:t>
      </w:r>
      <w:r>
        <w:rPr>
          <w:rFonts w:hint="cs"/>
          <w:rtl/>
        </w:rPr>
        <w:t xml:space="preserve"> </w:t>
      </w:r>
      <w:r w:rsidRPr="00373CBE">
        <w:rPr>
          <w:rFonts w:hint="cs"/>
          <w:rtl/>
        </w:rPr>
        <w:t>שבו עליו להזין פרטים לצו</w:t>
      </w:r>
      <w:r w:rsidRPr="00373CBE">
        <w:rPr>
          <w:rFonts w:hint="cs"/>
          <w:rtl/>
        </w:rPr>
        <w:t>רך קבלת השירות. מ</w:t>
      </w:r>
      <w:r w:rsidRPr="00373CBE">
        <w:rPr>
          <w:rtl/>
        </w:rPr>
        <w:t>ערך הדיגיטל</w:t>
      </w:r>
      <w:r w:rsidRPr="00373CBE">
        <w:rPr>
          <w:rFonts w:hint="cs"/>
          <w:rtl/>
        </w:rPr>
        <w:t xml:space="preserve"> מסר למשרד מבקר המדינה כי הוא נמצא בעיצומה של עבודה לתרגום של כל תהליכי קבלת השירותים הממשלתיים. </w:t>
      </w:r>
      <w:r w:rsidRPr="00373CBE">
        <w:rPr>
          <w:rtl/>
        </w:rPr>
        <w:t xml:space="preserve">בשלב ראשון </w:t>
      </w:r>
      <w:r w:rsidRPr="00373CBE">
        <w:rPr>
          <w:rFonts w:hint="cs"/>
          <w:rtl/>
        </w:rPr>
        <w:t>בחר לבצע תרגום של התהליכים הנוגעים לע</w:t>
      </w:r>
      <w:r w:rsidRPr="00373CBE">
        <w:rPr>
          <w:rtl/>
        </w:rPr>
        <w:t xml:space="preserve">שרת השירותים </w:t>
      </w:r>
      <w:r w:rsidRPr="00373CBE">
        <w:rPr>
          <w:rFonts w:hint="cs"/>
          <w:rtl/>
        </w:rPr>
        <w:t xml:space="preserve">הממשלתיים </w:t>
      </w:r>
      <w:r w:rsidRPr="00373CBE">
        <w:rPr>
          <w:rtl/>
        </w:rPr>
        <w:t>הנפוצים ביותר</w:t>
      </w:r>
      <w:r w:rsidRPr="00373CBE">
        <w:rPr>
          <w:rFonts w:hint="cs"/>
          <w:rtl/>
        </w:rPr>
        <w:t>:</w:t>
      </w:r>
      <w:r>
        <w:rPr>
          <w:rFonts w:hint="cs"/>
          <w:rtl/>
        </w:rPr>
        <w:t xml:space="preserve"> </w:t>
      </w:r>
      <w:r w:rsidRPr="00373CBE">
        <w:rPr>
          <w:rtl/>
        </w:rPr>
        <w:t>חידוש רישיון רכב</w:t>
      </w:r>
      <w:r w:rsidRPr="00373CBE">
        <w:rPr>
          <w:rFonts w:hint="cs"/>
          <w:rtl/>
        </w:rPr>
        <w:t xml:space="preserve">, </w:t>
      </w:r>
      <w:r>
        <w:rPr>
          <w:rFonts w:hint="cs"/>
          <w:rtl/>
        </w:rPr>
        <w:t xml:space="preserve">בקשת </w:t>
      </w:r>
      <w:r w:rsidRPr="00373CBE">
        <w:rPr>
          <w:rtl/>
        </w:rPr>
        <w:t>מענק לעצמאים לתקופת הק</w:t>
      </w:r>
      <w:r w:rsidRPr="00373CBE">
        <w:rPr>
          <w:rtl/>
        </w:rPr>
        <w:t>ורונה</w:t>
      </w:r>
      <w:r w:rsidRPr="00373CBE">
        <w:rPr>
          <w:rFonts w:hint="cs"/>
          <w:rtl/>
        </w:rPr>
        <w:t xml:space="preserve">, </w:t>
      </w:r>
      <w:r w:rsidRPr="00373CBE">
        <w:rPr>
          <w:rtl/>
        </w:rPr>
        <w:t>הוצאת רישיון נהיגה</w:t>
      </w:r>
      <w:r w:rsidRPr="00373CBE">
        <w:rPr>
          <w:rFonts w:hint="cs"/>
          <w:rtl/>
        </w:rPr>
        <w:t xml:space="preserve">, </w:t>
      </w:r>
      <w:r w:rsidRPr="00373CBE">
        <w:rPr>
          <w:rtl/>
        </w:rPr>
        <w:t>הצהרת נוסע נכנס לישראל לפני טיסה (לתקופת הקורונה)</w:t>
      </w:r>
      <w:r w:rsidRPr="00373CBE">
        <w:rPr>
          <w:rFonts w:hint="cs"/>
          <w:rtl/>
        </w:rPr>
        <w:t xml:space="preserve">, </w:t>
      </w:r>
      <w:r w:rsidRPr="00373CBE">
        <w:rPr>
          <w:rtl/>
        </w:rPr>
        <w:t>דיווח עצמי על כניסה לבידוד</w:t>
      </w:r>
      <w:r w:rsidRPr="00373CBE">
        <w:rPr>
          <w:rFonts w:hint="cs"/>
          <w:rtl/>
        </w:rPr>
        <w:t xml:space="preserve">, </w:t>
      </w:r>
      <w:r w:rsidRPr="00373CBE">
        <w:rPr>
          <w:rtl/>
        </w:rPr>
        <w:t>הצהרת נוסע יוצא מישראל לפני טיסה (לתקופת הקורונה)</w:t>
      </w:r>
      <w:r w:rsidRPr="00373CBE">
        <w:rPr>
          <w:rFonts w:hint="cs"/>
          <w:rtl/>
        </w:rPr>
        <w:t xml:space="preserve">, </w:t>
      </w:r>
      <w:r w:rsidRPr="00373CBE">
        <w:rPr>
          <w:rtl/>
        </w:rPr>
        <w:t>הפעלת תעודת זהות</w:t>
      </w:r>
      <w:r>
        <w:rPr>
          <w:vertAlign w:val="superscript"/>
          <w:rtl/>
        </w:rPr>
        <w:footnoteReference w:id="154"/>
      </w:r>
      <w:r w:rsidRPr="00373CBE">
        <w:rPr>
          <w:rFonts w:hint="cs"/>
          <w:rtl/>
        </w:rPr>
        <w:t xml:space="preserve">, </w:t>
      </w:r>
      <w:r w:rsidRPr="00373CBE">
        <w:rPr>
          <w:rtl/>
        </w:rPr>
        <w:t>מערכת מייצגים במיסוי מקרקעין</w:t>
      </w:r>
      <w:r>
        <w:rPr>
          <w:vertAlign w:val="superscript"/>
          <w:rtl/>
        </w:rPr>
        <w:footnoteReference w:id="155"/>
      </w:r>
      <w:r w:rsidRPr="00373CBE">
        <w:rPr>
          <w:rFonts w:hint="cs"/>
          <w:rtl/>
        </w:rPr>
        <w:t xml:space="preserve">, </w:t>
      </w:r>
      <w:r w:rsidRPr="00373CBE">
        <w:rPr>
          <w:rtl/>
        </w:rPr>
        <w:t>הפקת נסח טאבו מפנקסי המקרקעין</w:t>
      </w:r>
      <w:r w:rsidRPr="00373CBE">
        <w:rPr>
          <w:rFonts w:hint="cs"/>
          <w:rtl/>
        </w:rPr>
        <w:t xml:space="preserve"> ו</w:t>
      </w:r>
      <w:r w:rsidRPr="00373CBE">
        <w:rPr>
          <w:rtl/>
        </w:rPr>
        <w:t xml:space="preserve">הוצאת </w:t>
      </w:r>
      <w:r w:rsidRPr="00373CBE">
        <w:rPr>
          <w:rFonts w:hint="cs"/>
          <w:rtl/>
        </w:rPr>
        <w:t>תו</w:t>
      </w:r>
      <w:r w:rsidRPr="00373CBE">
        <w:rPr>
          <w:rtl/>
        </w:rPr>
        <w:t xml:space="preserve"> חניה לנכה</w:t>
      </w:r>
      <w:r w:rsidRPr="00373CBE">
        <w:rPr>
          <w:rFonts w:hint="cs"/>
          <w:rtl/>
        </w:rPr>
        <w:t>.</w:t>
      </w:r>
      <w:r w:rsidRPr="00373CBE">
        <w:rPr>
          <w:rtl/>
        </w:rPr>
        <w:t xml:space="preserve"> </w:t>
      </w:r>
    </w:p>
    <w:p w:rsidR="00BF1E3B" w:rsidRDefault="00DF6A0A" w:rsidP="00B74C6A">
      <w:pPr>
        <w:pStyle w:val="735"/>
        <w:rPr>
          <w:rtl/>
        </w:rPr>
      </w:pPr>
      <w:r w:rsidRPr="00373CBE">
        <w:rPr>
          <w:rFonts w:hint="cs"/>
          <w:rtl/>
        </w:rPr>
        <w:t xml:space="preserve">בביקורת עלה כי </w:t>
      </w:r>
      <w:r w:rsidRPr="00373CBE">
        <w:rPr>
          <w:rtl/>
        </w:rPr>
        <w:t xml:space="preserve">נכון לאוגוסט 2022 </w:t>
      </w:r>
      <w:r w:rsidRPr="00373CBE">
        <w:rPr>
          <w:rFonts w:hint="cs"/>
          <w:rtl/>
        </w:rPr>
        <w:t>הסתיים התרגום לערבית של כל המסמכים</w:t>
      </w:r>
      <w:r w:rsidRPr="00373CBE">
        <w:rPr>
          <w:rtl/>
        </w:rPr>
        <w:t xml:space="preserve">, המסכים ודפי שירות שנוגעים לכל </w:t>
      </w:r>
      <w:r w:rsidRPr="00373CBE">
        <w:rPr>
          <w:rFonts w:hint="cs"/>
          <w:rtl/>
        </w:rPr>
        <w:t>אחד מעשרת ה</w:t>
      </w:r>
      <w:r w:rsidRPr="00373CBE">
        <w:rPr>
          <w:rtl/>
        </w:rPr>
        <w:t>שירותים</w:t>
      </w:r>
      <w:r w:rsidRPr="00373CBE">
        <w:rPr>
          <w:rFonts w:hint="cs"/>
          <w:rtl/>
        </w:rPr>
        <w:t xml:space="preserve"> הממשלתיים שהוגדרו על ידי מערך הדיגיטל כנפוצים ביותר</w:t>
      </w:r>
      <w:r>
        <w:rPr>
          <w:rFonts w:hint="cs"/>
          <w:rtl/>
        </w:rPr>
        <w:t>. מערך הדיגיטל מסר עם זאת,</w:t>
      </w:r>
      <w:r w:rsidRPr="00373CBE">
        <w:rPr>
          <w:rFonts w:hint="cs"/>
          <w:rtl/>
        </w:rPr>
        <w:t xml:space="preserve"> </w:t>
      </w:r>
      <w:r>
        <w:rPr>
          <w:rFonts w:hint="cs"/>
          <w:rtl/>
        </w:rPr>
        <w:t>כי</w:t>
      </w:r>
      <w:r w:rsidRPr="00373CBE">
        <w:rPr>
          <w:rFonts w:hint="cs"/>
          <w:rtl/>
        </w:rPr>
        <w:t xml:space="preserve"> תרגום הטפסים המקוונים </w:t>
      </w:r>
      <w:r>
        <w:rPr>
          <w:rFonts w:hint="cs"/>
          <w:rtl/>
        </w:rPr>
        <w:t>של שירותים אלה לא</w:t>
      </w:r>
      <w:r w:rsidRPr="00373CBE">
        <w:rPr>
          <w:rFonts w:hint="cs"/>
          <w:rtl/>
        </w:rPr>
        <w:t xml:space="preserve"> הושלם</w:t>
      </w:r>
      <w:r>
        <w:rPr>
          <w:rFonts w:hint="cs"/>
          <w:rtl/>
        </w:rPr>
        <w:t>.</w:t>
      </w:r>
    </w:p>
    <w:p w:rsidR="00BF1E3B" w:rsidRPr="003B6D3B" w:rsidRDefault="00DF6A0A" w:rsidP="00C619CC">
      <w:pPr>
        <w:pStyle w:val="7392"/>
        <w:rPr>
          <w:rFonts w:eastAsia="Calibri"/>
          <w:rtl/>
        </w:rPr>
      </w:pPr>
      <w:r w:rsidRPr="003B6D3B">
        <w:rPr>
          <w:rFonts w:hint="cs"/>
          <w:rtl/>
        </w:rPr>
        <w:t>מערך הד</w:t>
      </w:r>
      <w:r w:rsidRPr="003B6D3B">
        <w:rPr>
          <w:rFonts w:hint="cs"/>
          <w:rtl/>
        </w:rPr>
        <w:t>יגיטל מסר למשרד מבקר המדינה בדצמבר 2022 כי הוא מספק תרגום לערבית שנוגעת לתשתית של הטפסים המקוונים</w:t>
      </w:r>
      <w:r>
        <w:rPr>
          <w:rStyle w:val="a8"/>
          <w:rFonts w:ascii="David" w:eastAsia="Times New Roman" w:hAnsi="David"/>
          <w:sz w:val="24"/>
          <w:rtl/>
        </w:rPr>
        <w:footnoteReference w:id="156"/>
      </w:r>
      <w:r w:rsidRPr="003B6D3B">
        <w:rPr>
          <w:rFonts w:hint="cs"/>
          <w:rtl/>
        </w:rPr>
        <w:t xml:space="preserve"> ואולם האחריות לתרגום השירות לרבות הטופס המקוון שנוגע אליו (אם קיים כזה), מוטלת על גוף הממשל שמספק את אותו שירות. עולה אם כן, כי רק לאחר שגופי הממשל האחראים ל</w:t>
      </w:r>
      <w:r w:rsidRPr="003B6D3B">
        <w:rPr>
          <w:rFonts w:hint="cs"/>
          <w:rtl/>
        </w:rPr>
        <w:t>אותם שירותים ישלימו את התרגום לערבית של השירותים ויעבירו את התרגומים למערך הדיגיטל לצורך הטמעתם באתרי המרשתת,</w:t>
      </w:r>
      <w:r>
        <w:rPr>
          <w:rFonts w:hint="cs"/>
          <w:rtl/>
        </w:rPr>
        <w:t xml:space="preserve"> </w:t>
      </w:r>
      <w:r w:rsidRPr="003B6D3B">
        <w:rPr>
          <w:rFonts w:hint="cs"/>
          <w:rtl/>
        </w:rPr>
        <w:t xml:space="preserve">יהיו שירותי ממשל אלה מונגשים מ'קצה לקצה' לשפה הערבית. </w:t>
      </w:r>
    </w:p>
    <w:p w:rsidR="00BF1E3B" w:rsidRPr="00B74C6A" w:rsidRDefault="00DF6A0A" w:rsidP="00B74C6A">
      <w:pPr>
        <w:pStyle w:val="735"/>
        <w:rPr>
          <w:rFonts w:eastAsia="Calibri"/>
          <w:rtl/>
        </w:rPr>
      </w:pPr>
      <w:r w:rsidRPr="00B74C6A">
        <w:rPr>
          <w:rFonts w:eastAsia="Calibri" w:hint="cs"/>
          <w:rtl/>
        </w:rPr>
        <w:lastRenderedPageBreak/>
        <w:t>מומלץ שגופי הממשל בסיוע מערך הדיגיטל הלאומי ישלימו את תהליך התרגום לערבית וההטמעה של כלל המ</w:t>
      </w:r>
      <w:r w:rsidRPr="00B74C6A">
        <w:rPr>
          <w:rFonts w:eastAsia="Calibri" w:hint="cs"/>
          <w:rtl/>
        </w:rPr>
        <w:t xml:space="preserve">סכים והטפסים המקוונים של עשרת השירותים הדיגיטליים הנפוצים ביותר. עוד מומלץ כי הגופים יגבשו תוכנית המשך לתרגום שירותי ממשל נוספים לשפה הערבית, שבמסגרתה יתורגמו תחילה שירותים נפוצים יותר. </w:t>
      </w:r>
    </w:p>
    <w:p w:rsidR="00BF1E3B" w:rsidRPr="00674766" w:rsidRDefault="00DF6A0A" w:rsidP="00C619CC">
      <w:pPr>
        <w:pStyle w:val="7392"/>
        <w:rPr>
          <w:rtl/>
        </w:rPr>
      </w:pPr>
      <w:r>
        <w:rPr>
          <w:rFonts w:hint="cs"/>
          <w:rtl/>
        </w:rPr>
        <w:t>מערך הדיגיטל הלאומי מסר בתשובתו כי הוא "ערוך ומוכן לסיוע למשרדים" ככל</w:t>
      </w:r>
      <w:r>
        <w:rPr>
          <w:rFonts w:hint="cs"/>
          <w:rtl/>
        </w:rPr>
        <w:t xml:space="preserve"> שיפנו אליו לצורך ביצוע התרגום.</w:t>
      </w:r>
    </w:p>
    <w:p w:rsidR="00BF1E3B" w:rsidRDefault="00DF6A0A" w:rsidP="00C619CC">
      <w:pPr>
        <w:pStyle w:val="7392"/>
        <w:rPr>
          <w:rtl/>
        </w:rPr>
      </w:pPr>
      <w:r w:rsidRPr="00C619CC">
        <w:rPr>
          <w:rStyle w:val="7371"/>
          <w:rFonts w:hint="eastAsia"/>
          <w:rtl/>
        </w:rPr>
        <w:t>פעולות</w:t>
      </w:r>
      <w:r w:rsidRPr="00C619CC">
        <w:rPr>
          <w:rStyle w:val="7371"/>
          <w:rtl/>
        </w:rPr>
        <w:t xml:space="preserve"> </w:t>
      </w:r>
      <w:r w:rsidRPr="00C619CC">
        <w:rPr>
          <w:rStyle w:val="7371"/>
          <w:rFonts w:hint="eastAsia"/>
          <w:rtl/>
        </w:rPr>
        <w:t>הנגשה</w:t>
      </w:r>
      <w:r w:rsidRPr="00C619CC">
        <w:rPr>
          <w:rStyle w:val="7371"/>
          <w:rtl/>
        </w:rPr>
        <w:t xml:space="preserve"> </w:t>
      </w:r>
      <w:r w:rsidRPr="00C619CC">
        <w:rPr>
          <w:rStyle w:val="7371"/>
          <w:rFonts w:hint="eastAsia"/>
          <w:rtl/>
        </w:rPr>
        <w:t>ל</w:t>
      </w:r>
      <w:r w:rsidRPr="00C619CC">
        <w:rPr>
          <w:rStyle w:val="7371"/>
          <w:rFonts w:hint="cs"/>
          <w:rtl/>
        </w:rPr>
        <w:t xml:space="preserve">דוברי </w:t>
      </w:r>
      <w:r w:rsidRPr="00C619CC">
        <w:rPr>
          <w:rStyle w:val="7371"/>
          <w:rFonts w:hint="eastAsia"/>
          <w:rtl/>
        </w:rPr>
        <w:t>ערבית</w:t>
      </w:r>
      <w:r w:rsidRPr="00C619CC">
        <w:rPr>
          <w:rStyle w:val="7371"/>
          <w:rtl/>
        </w:rPr>
        <w:t xml:space="preserve"> </w:t>
      </w:r>
      <w:r w:rsidRPr="00C619CC">
        <w:rPr>
          <w:rStyle w:val="7371"/>
          <w:rFonts w:hint="eastAsia"/>
          <w:rtl/>
        </w:rPr>
        <w:t>שביצעו</w:t>
      </w:r>
      <w:r w:rsidRPr="00C619CC">
        <w:rPr>
          <w:rStyle w:val="7371"/>
          <w:rtl/>
        </w:rPr>
        <w:t xml:space="preserve"> </w:t>
      </w:r>
      <w:r w:rsidRPr="00C619CC">
        <w:rPr>
          <w:rStyle w:val="7371"/>
          <w:rFonts w:hint="eastAsia"/>
          <w:rtl/>
        </w:rPr>
        <w:t>גופי</w:t>
      </w:r>
      <w:r w:rsidRPr="00C619CC">
        <w:rPr>
          <w:rStyle w:val="7371"/>
          <w:rtl/>
        </w:rPr>
        <w:t xml:space="preserve"> </w:t>
      </w:r>
      <w:r w:rsidRPr="00C619CC">
        <w:rPr>
          <w:rStyle w:val="7371"/>
          <w:rFonts w:hint="eastAsia"/>
          <w:rtl/>
        </w:rPr>
        <w:t>ממשל</w:t>
      </w:r>
      <w:r w:rsidRPr="00C619CC">
        <w:rPr>
          <w:rStyle w:val="7371"/>
          <w:rFonts w:hint="cs"/>
          <w:rtl/>
        </w:rPr>
        <w:t>:</w:t>
      </w:r>
      <w:r w:rsidRPr="00373CBE">
        <w:rPr>
          <w:rFonts w:hint="cs"/>
          <w:rtl/>
        </w:rPr>
        <w:t xml:space="preserve"> כאמור, על פי החלטת הממשלה נדרשים </w:t>
      </w:r>
      <w:r>
        <w:rPr>
          <w:rFonts w:hint="cs"/>
          <w:rtl/>
        </w:rPr>
        <w:t xml:space="preserve">משרדי ממשלה לבצע הנגשה שפתית ותרבותית </w:t>
      </w:r>
      <w:r w:rsidRPr="00373CBE">
        <w:rPr>
          <w:rFonts w:hint="cs"/>
          <w:rtl/>
        </w:rPr>
        <w:t>לחברה הערבית</w:t>
      </w:r>
      <w:r>
        <w:rPr>
          <w:rFonts w:hint="cs"/>
          <w:rtl/>
        </w:rPr>
        <w:t xml:space="preserve"> של לפחות 50% מהתו</w:t>
      </w:r>
      <w:r w:rsidRPr="00373CBE">
        <w:rPr>
          <w:rFonts w:hint="cs"/>
          <w:rtl/>
        </w:rPr>
        <w:t>כ</w:t>
      </w:r>
      <w:r>
        <w:rPr>
          <w:rFonts w:hint="cs"/>
          <w:rtl/>
        </w:rPr>
        <w:t xml:space="preserve">ן והשירותים הדיגיטליים שלהם הרלוונטיים לחברה הערבית. </w:t>
      </w:r>
    </w:p>
    <w:p w:rsidR="00BF1E3B" w:rsidRPr="00373CBE" w:rsidRDefault="00DF6A0A" w:rsidP="00C619CC">
      <w:pPr>
        <w:pStyle w:val="7392"/>
      </w:pPr>
      <w:r w:rsidRPr="00373CBE">
        <w:rPr>
          <w:rFonts w:hint="cs"/>
          <w:rtl/>
        </w:rPr>
        <w:t xml:space="preserve">בסקר שעשה משרד מבקר </w:t>
      </w:r>
      <w:r w:rsidRPr="00373CBE">
        <w:rPr>
          <w:rFonts w:hint="cs"/>
          <w:rtl/>
        </w:rPr>
        <w:t>המדינה בקרב גופי ממשל</w:t>
      </w:r>
      <w:r>
        <w:rPr>
          <w:vertAlign w:val="superscript"/>
          <w:rtl/>
        </w:rPr>
        <w:footnoteReference w:id="157"/>
      </w:r>
      <w:r w:rsidRPr="00373CBE">
        <w:rPr>
          <w:rFonts w:hint="cs"/>
          <w:rtl/>
        </w:rPr>
        <w:t xml:space="preserve"> נשאלו</w:t>
      </w:r>
      <w:r>
        <w:rPr>
          <w:rFonts w:hint="cs"/>
          <w:rtl/>
        </w:rPr>
        <w:t xml:space="preserve"> הן משרדי הממשלה והן גופי ממשל אחרים</w:t>
      </w:r>
      <w:r w:rsidRPr="00373CBE">
        <w:rPr>
          <w:rFonts w:hint="cs"/>
          <w:rtl/>
        </w:rPr>
        <w:t xml:space="preserve"> אם </w:t>
      </w:r>
      <w:r>
        <w:rPr>
          <w:rFonts w:hint="cs"/>
          <w:rtl/>
        </w:rPr>
        <w:t>ביצ</w:t>
      </w:r>
      <w:r w:rsidRPr="00373CBE">
        <w:rPr>
          <w:rFonts w:hint="cs"/>
          <w:rtl/>
        </w:rPr>
        <w:t>ע</w:t>
      </w:r>
      <w:r>
        <w:rPr>
          <w:rFonts w:hint="cs"/>
          <w:rtl/>
        </w:rPr>
        <w:t>ו</w:t>
      </w:r>
      <w:r w:rsidRPr="00373CBE">
        <w:rPr>
          <w:rFonts w:hint="cs"/>
          <w:rtl/>
        </w:rPr>
        <w:t xml:space="preserve"> פעולות לתרגום </w:t>
      </w:r>
      <w:r>
        <w:rPr>
          <w:rFonts w:hint="cs"/>
          <w:rtl/>
        </w:rPr>
        <w:t>התכנים וה</w:t>
      </w:r>
      <w:r w:rsidRPr="00373CBE">
        <w:rPr>
          <w:rFonts w:hint="cs"/>
          <w:rtl/>
        </w:rPr>
        <w:t>שירותים לשפה הערבית. להלן ניתוח תשובותיהם של 2</w:t>
      </w:r>
      <w:r>
        <w:rPr>
          <w:rFonts w:hint="cs"/>
          <w:rtl/>
        </w:rPr>
        <w:t>1</w:t>
      </w:r>
      <w:r w:rsidRPr="00373CBE">
        <w:rPr>
          <w:rFonts w:hint="cs"/>
          <w:rtl/>
        </w:rPr>
        <w:t xml:space="preserve"> מבין 23 הגופים</w:t>
      </w:r>
      <w:r>
        <w:rPr>
          <w:vertAlign w:val="superscript"/>
          <w:rtl/>
        </w:rPr>
        <w:footnoteReference w:id="158"/>
      </w:r>
      <w:r w:rsidRPr="00373CBE">
        <w:rPr>
          <w:rFonts w:hint="cs"/>
          <w:rtl/>
        </w:rPr>
        <w:t xml:space="preserve"> שהשיבו לשאלון </w:t>
      </w:r>
      <w:r>
        <w:rPr>
          <w:rFonts w:hint="cs"/>
          <w:rtl/>
        </w:rPr>
        <w:t>ו</w:t>
      </w:r>
      <w:r w:rsidRPr="00373CBE">
        <w:rPr>
          <w:rFonts w:hint="cs"/>
          <w:rtl/>
        </w:rPr>
        <w:t xml:space="preserve">שעבורם השאלה הייתה רלוונטית. </w:t>
      </w:r>
    </w:p>
    <w:p w:rsidR="00BF1E3B" w:rsidRPr="00B74C6A" w:rsidRDefault="00DF6A0A" w:rsidP="00B74C6A">
      <w:pPr>
        <w:pStyle w:val="735"/>
        <w:rPr>
          <w:rtl/>
        </w:rPr>
      </w:pPr>
      <w:r>
        <w:rPr>
          <w:rFonts w:hint="cs"/>
          <w:rtl/>
        </w:rPr>
        <w:t>מ</w:t>
      </w:r>
      <w:r w:rsidRPr="00B74C6A">
        <w:rPr>
          <w:rFonts w:hint="cs"/>
          <w:rtl/>
        </w:rPr>
        <w:t xml:space="preserve">ממצאי הסקר שעשה משרד מבקר המדינה עלה כי מבין 21 </w:t>
      </w:r>
      <w:r w:rsidRPr="00B74C6A">
        <w:rPr>
          <w:rFonts w:hint="eastAsia"/>
          <w:rtl/>
        </w:rPr>
        <w:t>ג</w:t>
      </w:r>
      <w:r w:rsidRPr="00B74C6A">
        <w:rPr>
          <w:rFonts w:hint="eastAsia"/>
          <w:rtl/>
        </w:rPr>
        <w:t>ופי</w:t>
      </w:r>
      <w:r w:rsidRPr="00B74C6A">
        <w:rPr>
          <w:rFonts w:hint="cs"/>
          <w:rtl/>
        </w:rPr>
        <w:t xml:space="preserve"> </w:t>
      </w:r>
      <w:r w:rsidRPr="00B74C6A">
        <w:rPr>
          <w:rFonts w:hint="eastAsia"/>
          <w:rtl/>
        </w:rPr>
        <w:t>ממשל</w:t>
      </w:r>
      <w:r w:rsidRPr="00B74C6A">
        <w:rPr>
          <w:rFonts w:hint="cs"/>
          <w:rtl/>
        </w:rPr>
        <w:t>, 20 גופים (95%) דיווחו כי הם פועלים לתרגום לערבית של המידע המצוי באתרי המרשתת שלהם לצורך הנגשת שירותיהם לחברה הערבית. מבין 20 הגופים - 14 גופים (70%) ציינו כי החלו בתהליך אך טרם השלימו אותו ושישה גופים (30%) ציינו כי השלימו את התרגום לערבית של שיר</w:t>
      </w:r>
      <w:r w:rsidRPr="00B74C6A">
        <w:rPr>
          <w:rFonts w:hint="cs"/>
          <w:rtl/>
        </w:rPr>
        <w:t xml:space="preserve">ותיהם עוד לפני שהתקבלה החלטת הממשלה בנדון. </w:t>
      </w:r>
    </w:p>
    <w:p w:rsidR="00BF1E3B" w:rsidRPr="00B74C6A" w:rsidRDefault="00DF6A0A" w:rsidP="00B74C6A">
      <w:pPr>
        <w:pStyle w:val="735"/>
        <w:rPr>
          <w:rtl/>
        </w:rPr>
      </w:pPr>
      <w:r w:rsidRPr="00B74C6A">
        <w:rPr>
          <w:rFonts w:hint="cs"/>
          <w:rtl/>
        </w:rPr>
        <w:t xml:space="preserve">על פי תשובתו של משרד הפנים לסקר עלה כי הוא לא החל לבצע פעולות תרגום לשפה הערבית. </w:t>
      </w:r>
    </w:p>
    <w:p w:rsidR="00BF1E3B" w:rsidRPr="00C619CC" w:rsidRDefault="00DF6A0A" w:rsidP="00C619CC">
      <w:pPr>
        <w:pStyle w:val="7392"/>
        <w:rPr>
          <w:rtl/>
        </w:rPr>
      </w:pPr>
      <w:r w:rsidRPr="00C619CC">
        <w:rPr>
          <w:rFonts w:hint="cs"/>
          <w:rtl/>
        </w:rPr>
        <w:t>בתשובתו מינואר 2023 למשרד מבקר המדינה ציין משרד הפנים כי אין לו טפסים מקוונים הכוללים שירותים לתושב, שכן פעילותו השוטפת היא מול הר</w:t>
      </w:r>
      <w:r w:rsidRPr="00C619CC">
        <w:rPr>
          <w:rFonts w:hint="cs"/>
          <w:rtl/>
        </w:rPr>
        <w:t xml:space="preserve">שויות המקומיות. עם זאת המשרד פועל כדי לבצע תרגום של אתר המרשתת שלו לשפה הערבית, ובמסגרת זו במהלך שנת 2022 המשרד יצא לתיחור תרגום האתר ונבחר ספק זוכה. בימים אלו נמצא המשרד בשלב של בניית תוכנית עבודה לתרגום האתר והוא יבוצע בפעימות במהלך השנים 2023 - 2024. </w:t>
      </w:r>
    </w:p>
    <w:p w:rsidR="00BF1E3B" w:rsidRPr="00B74C6A" w:rsidRDefault="00DF6A0A" w:rsidP="00B74C6A">
      <w:pPr>
        <w:pStyle w:val="735"/>
        <w:rPr>
          <w:rFonts w:eastAsia="Calibri"/>
          <w:rtl/>
        </w:rPr>
      </w:pPr>
      <w:r w:rsidRPr="00B74C6A">
        <w:rPr>
          <w:rFonts w:eastAsia="Calibri" w:hint="cs"/>
          <w:rtl/>
        </w:rPr>
        <w:lastRenderedPageBreak/>
        <w:t>ע</w:t>
      </w:r>
      <w:r w:rsidRPr="00B74C6A">
        <w:rPr>
          <w:rFonts w:eastAsia="Calibri" w:hint="cs"/>
          <w:rtl/>
        </w:rPr>
        <w:t>ל משרדי הממשלה, בסיוע מערך הדיגיטל הלאומי, לקדם את תהליך ההנגשה הדיגיטלית לחברה הערבית של כל השירותים הממשלתיים שהם מציעים בהתאם להחלטת הממשלה ולמען שיפור השירות לציבור מהחברה הערבית. מומלץ שכל גופי הממשל שמספקים מידע ושירות לציבור, גם אלה שאינם משרדי ממשל</w:t>
      </w:r>
      <w:r w:rsidRPr="00B74C6A">
        <w:rPr>
          <w:rFonts w:eastAsia="Calibri" w:hint="cs"/>
          <w:rtl/>
        </w:rPr>
        <w:t xml:space="preserve">ה והחלטת הממשלה לא חלה עליהם, יפעלו לבחינת הצורך להנגשת שירותיהם לחברה הערבית ובהתאם יפעלו להנגשתם. </w:t>
      </w:r>
    </w:p>
    <w:p w:rsidR="009A48B3" w:rsidRDefault="00DF6A0A">
      <w:pPr>
        <w:bidi w:val="0"/>
        <w:spacing w:after="200" w:line="276" w:lineRule="auto"/>
        <w:rPr>
          <w:rFonts w:ascii="Tahoma" w:eastAsia="Times New Roman" w:hAnsi="Tahoma" w:cs="Tahoma"/>
          <w:bCs/>
          <w:color w:val="00305F"/>
          <w:sz w:val="31"/>
          <w:szCs w:val="31"/>
          <w:rtl/>
        </w:rPr>
      </w:pPr>
      <w:r>
        <w:rPr>
          <w:rtl/>
        </w:rPr>
        <w:br w:type="page"/>
      </w:r>
    </w:p>
    <w:p w:rsidR="00BF1E3B" w:rsidRPr="00373CBE" w:rsidRDefault="00DF6A0A" w:rsidP="00BF1E3B">
      <w:pPr>
        <w:pStyle w:val="73fc"/>
        <w:rPr>
          <w:rtl/>
        </w:rPr>
      </w:pPr>
      <w:r>
        <w:rPr>
          <w:rFonts w:hint="cs"/>
          <w:rtl/>
        </w:rPr>
        <w:lastRenderedPageBreak/>
        <w:t xml:space="preserve">סיכום </w:t>
      </w:r>
    </w:p>
    <w:p w:rsidR="00BF1E3B" w:rsidRPr="00BF1E3B" w:rsidRDefault="00DF6A0A" w:rsidP="00BF1E3B">
      <w:pPr>
        <w:pStyle w:val="735"/>
        <w:rPr>
          <w:rFonts w:eastAsia="Calibri"/>
          <w:rtl/>
        </w:rPr>
      </w:pPr>
      <w:r w:rsidRPr="00BF1E3B">
        <w:rPr>
          <w:rFonts w:eastAsia="Calibri" w:hint="cs"/>
          <w:rtl/>
        </w:rPr>
        <w:t xml:space="preserve">ההתפתחות הטכנולוגית מאפשרת את פיתוח הערוצים הדיגיטליים ככלי מרכזי בקשר בין האזרח לגופי הממשל. נמצא כי </w:t>
      </w:r>
      <w:r w:rsidRPr="00BF1E3B">
        <w:rPr>
          <w:rFonts w:eastAsia="Calibri"/>
          <w:rtl/>
        </w:rPr>
        <w:t xml:space="preserve">השימוש במרשתת </w:t>
      </w:r>
      <w:r w:rsidRPr="00BF1E3B">
        <w:rPr>
          <w:rFonts w:eastAsia="Calibri" w:hint="cs"/>
          <w:rtl/>
        </w:rPr>
        <w:t>התרחב</w:t>
      </w:r>
      <w:r w:rsidRPr="00BF1E3B">
        <w:rPr>
          <w:rFonts w:eastAsia="Calibri"/>
          <w:rtl/>
        </w:rPr>
        <w:t xml:space="preserve"> בקרב הציבור בישראל מאז ש</w:t>
      </w:r>
      <w:r w:rsidRPr="00BF1E3B">
        <w:rPr>
          <w:rFonts w:eastAsia="Calibri"/>
          <w:rtl/>
        </w:rPr>
        <w:t>נת 2017</w:t>
      </w:r>
      <w:r w:rsidRPr="00BF1E3B">
        <w:rPr>
          <w:rFonts w:eastAsia="Calibri" w:hint="cs"/>
          <w:rtl/>
        </w:rPr>
        <w:t>, וכי בשנת 2020 כ-90% מהציבור בישראל משתמש במרשתת</w:t>
      </w:r>
      <w:r w:rsidRPr="00BF1E3B">
        <w:rPr>
          <w:rFonts w:eastAsia="Calibri"/>
          <w:rtl/>
        </w:rPr>
        <w:t xml:space="preserve">, </w:t>
      </w:r>
      <w:r w:rsidRPr="00BF1E3B">
        <w:rPr>
          <w:rFonts w:eastAsia="Calibri" w:hint="cs"/>
          <w:rtl/>
        </w:rPr>
        <w:t xml:space="preserve">ואולם </w:t>
      </w:r>
      <w:r w:rsidRPr="00BF1E3B">
        <w:rPr>
          <w:rFonts w:eastAsia="Calibri"/>
          <w:rtl/>
        </w:rPr>
        <w:t xml:space="preserve">כאשר </w:t>
      </w:r>
      <w:r w:rsidRPr="00BF1E3B">
        <w:rPr>
          <w:rFonts w:eastAsia="Calibri" w:hint="cs"/>
          <w:rtl/>
        </w:rPr>
        <w:t>בודקים את ה</w:t>
      </w:r>
      <w:r w:rsidRPr="00BF1E3B">
        <w:rPr>
          <w:rFonts w:eastAsia="Calibri"/>
          <w:rtl/>
        </w:rPr>
        <w:t>שימוש במרשתת לצריכת שירותים ממשלתיים</w:t>
      </w:r>
      <w:r w:rsidRPr="00BF1E3B">
        <w:rPr>
          <w:rFonts w:eastAsia="Calibri" w:hint="cs"/>
          <w:rtl/>
        </w:rPr>
        <w:t xml:space="preserve"> </w:t>
      </w:r>
      <w:r w:rsidRPr="00BF1E3B">
        <w:rPr>
          <w:rFonts w:eastAsia="Calibri" w:hint="eastAsia"/>
          <w:rtl/>
        </w:rPr>
        <w:t>עולה</w:t>
      </w:r>
      <w:r w:rsidRPr="00BF1E3B">
        <w:rPr>
          <w:rFonts w:eastAsia="Calibri"/>
          <w:rtl/>
        </w:rPr>
        <w:t xml:space="preserve"> כי בקרב קבוצת בני 20 ומעלה בישראל - שהם 5.9 מיליון איש - כ-43% (2.54 מיליון איש) לא השתמשו במרשתת לצריכת שירותי ממשל בשנת 2021, </w:t>
      </w:r>
      <w:r w:rsidRPr="00BF1E3B">
        <w:rPr>
          <w:rFonts w:eastAsia="Calibri" w:hint="cs"/>
          <w:rtl/>
        </w:rPr>
        <w:t xml:space="preserve">למעלה </w:t>
      </w:r>
      <w:r w:rsidRPr="00BF1E3B">
        <w:rPr>
          <w:rFonts w:eastAsia="Calibri" w:hint="cs"/>
          <w:rtl/>
        </w:rPr>
        <w:t>ממחציתם</w:t>
      </w:r>
      <w:r w:rsidRPr="00BF1E3B">
        <w:rPr>
          <w:rFonts w:eastAsia="Calibri"/>
          <w:rtl/>
        </w:rPr>
        <w:t xml:space="preserve"> הם בני 6</w:t>
      </w:r>
      <w:r w:rsidRPr="00BF1E3B">
        <w:rPr>
          <w:rFonts w:eastAsia="Calibri" w:hint="cs"/>
          <w:rtl/>
        </w:rPr>
        <w:t>0</w:t>
      </w:r>
      <w:r w:rsidRPr="00BF1E3B">
        <w:rPr>
          <w:rFonts w:eastAsia="Calibri"/>
          <w:rtl/>
        </w:rPr>
        <w:t xml:space="preserve"> ומעלה, בני החברה הערבית או בני החברה החרדית. </w:t>
      </w:r>
    </w:p>
    <w:p w:rsidR="00BF1E3B" w:rsidRPr="00BF1E3B" w:rsidRDefault="00DF6A0A" w:rsidP="00BF1E3B">
      <w:pPr>
        <w:pStyle w:val="735"/>
        <w:rPr>
          <w:rFonts w:eastAsia="Calibri"/>
          <w:rtl/>
        </w:rPr>
      </w:pPr>
      <w:r w:rsidRPr="00BF1E3B">
        <w:rPr>
          <w:rFonts w:eastAsia="Calibri" w:hint="eastAsia"/>
          <w:rtl/>
        </w:rPr>
        <w:t>ממצאי</w:t>
      </w:r>
      <w:r w:rsidRPr="00BF1E3B">
        <w:rPr>
          <w:rFonts w:eastAsia="Calibri"/>
          <w:rtl/>
        </w:rPr>
        <w:t xml:space="preserve"> הסקר הטלפוני </w:t>
      </w:r>
      <w:r w:rsidRPr="00BF1E3B">
        <w:rPr>
          <w:rFonts w:eastAsia="Calibri" w:hint="cs"/>
          <w:rtl/>
        </w:rPr>
        <w:t>של</w:t>
      </w:r>
      <w:r w:rsidRPr="00BF1E3B">
        <w:rPr>
          <w:rFonts w:eastAsia="Calibri"/>
          <w:rtl/>
        </w:rPr>
        <w:t xml:space="preserve"> משרד מבקר המדינה </w:t>
      </w:r>
      <w:r w:rsidRPr="00BF1E3B">
        <w:rPr>
          <w:rFonts w:eastAsia="Calibri" w:hint="cs"/>
          <w:rtl/>
        </w:rPr>
        <w:t>שעליו השיבו</w:t>
      </w:r>
      <w:r w:rsidRPr="00BF1E3B">
        <w:rPr>
          <w:rFonts w:eastAsia="Calibri"/>
          <w:rtl/>
        </w:rPr>
        <w:t xml:space="preserve"> </w:t>
      </w:r>
      <w:r w:rsidRPr="00BF1E3B">
        <w:rPr>
          <w:rFonts w:eastAsia="Calibri" w:hint="cs"/>
          <w:rtl/>
        </w:rPr>
        <w:t xml:space="preserve">כ-300 </w:t>
      </w:r>
      <w:r w:rsidRPr="00BF1E3B">
        <w:rPr>
          <w:rFonts w:eastAsia="Calibri" w:hint="eastAsia"/>
          <w:rtl/>
        </w:rPr>
        <w:t>אנשים</w:t>
      </w:r>
      <w:r w:rsidRPr="00BF1E3B">
        <w:rPr>
          <w:rFonts w:eastAsia="Calibri"/>
          <w:rtl/>
        </w:rPr>
        <w:t xml:space="preserve"> </w:t>
      </w:r>
      <w:r w:rsidRPr="00BF1E3B">
        <w:rPr>
          <w:rFonts w:eastAsia="Calibri" w:hint="eastAsia"/>
          <w:rtl/>
        </w:rPr>
        <w:t>משלוש</w:t>
      </w:r>
      <w:r w:rsidRPr="00BF1E3B">
        <w:rPr>
          <w:rFonts w:eastAsia="Calibri"/>
          <w:rtl/>
        </w:rPr>
        <w:t xml:space="preserve"> </w:t>
      </w:r>
      <w:r w:rsidRPr="00BF1E3B">
        <w:rPr>
          <w:rFonts w:eastAsia="Calibri" w:hint="eastAsia"/>
          <w:rtl/>
        </w:rPr>
        <w:t>הקבוצות</w:t>
      </w:r>
      <w:r w:rsidRPr="00BF1E3B">
        <w:rPr>
          <w:rFonts w:eastAsia="Calibri" w:hint="cs"/>
          <w:rtl/>
        </w:rPr>
        <w:t xml:space="preserve"> האמורות, אשר ציינו שהם מעדיפים לצרוך שירות ממשל בלשכת קבלת קהל או בטלפון ולא בערוצים הדיגיטליים, </w:t>
      </w:r>
      <w:r w:rsidRPr="00BF1E3B">
        <w:rPr>
          <w:rFonts w:eastAsia="Calibri" w:hint="eastAsia"/>
          <w:rtl/>
        </w:rPr>
        <w:t>העלו</w:t>
      </w:r>
      <w:r w:rsidRPr="00BF1E3B">
        <w:rPr>
          <w:rFonts w:eastAsia="Calibri"/>
          <w:rtl/>
        </w:rPr>
        <w:t xml:space="preserve"> </w:t>
      </w:r>
      <w:r w:rsidRPr="00BF1E3B">
        <w:rPr>
          <w:rFonts w:eastAsia="Calibri" w:hint="eastAsia"/>
          <w:rtl/>
        </w:rPr>
        <w:t>כי</w:t>
      </w:r>
      <w:r w:rsidRPr="00BF1E3B">
        <w:rPr>
          <w:rFonts w:eastAsia="Calibri"/>
          <w:rtl/>
        </w:rPr>
        <w:t xml:space="preserve"> </w:t>
      </w:r>
      <w:r w:rsidRPr="00BF1E3B">
        <w:rPr>
          <w:rFonts w:eastAsia="Calibri" w:hint="eastAsia"/>
          <w:rtl/>
        </w:rPr>
        <w:t>החס</w:t>
      </w:r>
      <w:r w:rsidRPr="00BF1E3B">
        <w:rPr>
          <w:rFonts w:eastAsia="Calibri" w:hint="cs"/>
          <w:rtl/>
        </w:rPr>
        <w:t>מים העי</w:t>
      </w:r>
      <w:r w:rsidRPr="00BF1E3B">
        <w:rPr>
          <w:rFonts w:eastAsia="Calibri" w:hint="cs"/>
          <w:rtl/>
        </w:rPr>
        <w:t>קריים לשימוש בערוצים הדיגיטליים ה</w:t>
      </w:r>
      <w:r w:rsidRPr="00BF1E3B">
        <w:rPr>
          <w:rFonts w:eastAsia="Calibri" w:hint="eastAsia"/>
          <w:rtl/>
        </w:rPr>
        <w:t>ם</w:t>
      </w:r>
      <w:r w:rsidRPr="00BF1E3B">
        <w:rPr>
          <w:rFonts w:eastAsia="Calibri"/>
          <w:rtl/>
        </w:rPr>
        <w:t xml:space="preserve"> </w:t>
      </w:r>
      <w:r w:rsidRPr="00BF1E3B">
        <w:rPr>
          <w:rFonts w:eastAsia="Calibri" w:hint="eastAsia"/>
          <w:rtl/>
        </w:rPr>
        <w:t>קושי</w:t>
      </w:r>
      <w:r w:rsidRPr="00BF1E3B">
        <w:rPr>
          <w:rFonts w:eastAsia="Calibri"/>
          <w:rtl/>
        </w:rPr>
        <w:t xml:space="preserve"> </w:t>
      </w:r>
      <w:r w:rsidRPr="00BF1E3B">
        <w:rPr>
          <w:rFonts w:eastAsia="Calibri" w:hint="eastAsia"/>
          <w:rtl/>
        </w:rPr>
        <w:t>טכנולוגי</w:t>
      </w:r>
      <w:r w:rsidRPr="00BF1E3B">
        <w:rPr>
          <w:rFonts w:eastAsia="Calibri" w:hint="cs"/>
          <w:rtl/>
        </w:rPr>
        <w:t xml:space="preserve"> ואי-</w:t>
      </w:r>
      <w:r w:rsidRPr="00BF1E3B">
        <w:rPr>
          <w:rFonts w:eastAsia="Calibri" w:hint="eastAsia"/>
          <w:rtl/>
        </w:rPr>
        <w:t>החזקת</w:t>
      </w:r>
      <w:r w:rsidRPr="00BF1E3B">
        <w:rPr>
          <w:rFonts w:eastAsia="Calibri"/>
          <w:rtl/>
        </w:rPr>
        <w:t xml:space="preserve"> אמצעי חיבור למרשתת</w:t>
      </w:r>
      <w:r w:rsidRPr="00BF1E3B">
        <w:rPr>
          <w:rFonts w:eastAsia="Calibri" w:hint="cs"/>
          <w:rtl/>
        </w:rPr>
        <w:t>. בביקורת עלה כי גם במסגרת פנייה לערוצי שירות מסורתיים מתבקשים האזרחים להציג אמצעי דיגיטלי או כרטיס אשראי; חוסר באמצעי כגון חיבור למרשתת, כתובת דואר אלקטרוני, טלפון חכם לקבלת סיסמ</w:t>
      </w:r>
      <w:r w:rsidRPr="00BF1E3B">
        <w:rPr>
          <w:rFonts w:eastAsia="Calibri" w:hint="cs"/>
          <w:rtl/>
        </w:rPr>
        <w:t>ה וכן כרטיס אשראי, מנע במקרים מסוימים, מ-31% מהמשיבים לסקר לקבל שירות ממשלתי בערוצים המסורתיים.</w:t>
      </w:r>
    </w:p>
    <w:p w:rsidR="00BF1E3B" w:rsidRPr="00BF1E3B" w:rsidRDefault="00DF6A0A" w:rsidP="00BF1E3B">
      <w:pPr>
        <w:pStyle w:val="735"/>
        <w:rPr>
          <w:rFonts w:eastAsia="Calibri"/>
          <w:rtl/>
        </w:rPr>
      </w:pPr>
      <w:r w:rsidRPr="00BF1E3B">
        <w:rPr>
          <w:rFonts w:eastAsia="Calibri" w:hint="eastAsia"/>
          <w:rtl/>
        </w:rPr>
        <w:t>השימוש</w:t>
      </w:r>
      <w:r w:rsidRPr="00BF1E3B">
        <w:rPr>
          <w:rFonts w:eastAsia="Calibri"/>
          <w:rtl/>
        </w:rPr>
        <w:t xml:space="preserve"> </w:t>
      </w:r>
      <w:r w:rsidRPr="00BF1E3B">
        <w:rPr>
          <w:rFonts w:eastAsia="Calibri" w:hint="eastAsia"/>
          <w:rtl/>
        </w:rPr>
        <w:t>בערוצים</w:t>
      </w:r>
      <w:r w:rsidRPr="00BF1E3B">
        <w:rPr>
          <w:rFonts w:eastAsia="Calibri"/>
          <w:rtl/>
        </w:rPr>
        <w:t xml:space="preserve"> </w:t>
      </w:r>
      <w:r w:rsidRPr="00BF1E3B">
        <w:rPr>
          <w:rFonts w:eastAsia="Calibri" w:hint="eastAsia"/>
          <w:rtl/>
        </w:rPr>
        <w:t>הדיגיטליים</w:t>
      </w:r>
      <w:r w:rsidRPr="00BF1E3B">
        <w:rPr>
          <w:rFonts w:eastAsia="Calibri"/>
          <w:rtl/>
        </w:rPr>
        <w:t xml:space="preserve"> </w:t>
      </w:r>
      <w:r w:rsidRPr="00BF1E3B">
        <w:rPr>
          <w:rFonts w:eastAsia="Calibri" w:hint="eastAsia"/>
          <w:rtl/>
        </w:rPr>
        <w:t>מגלם</w:t>
      </w:r>
      <w:r w:rsidRPr="00BF1E3B">
        <w:rPr>
          <w:rFonts w:eastAsia="Calibri"/>
          <w:rtl/>
        </w:rPr>
        <w:t xml:space="preserve"> </w:t>
      </w:r>
      <w:r w:rsidRPr="00BF1E3B">
        <w:rPr>
          <w:rFonts w:eastAsia="Calibri" w:hint="eastAsia"/>
          <w:rtl/>
        </w:rPr>
        <w:t>יתרונות</w:t>
      </w:r>
      <w:r w:rsidRPr="00BF1E3B">
        <w:rPr>
          <w:rFonts w:eastAsia="Calibri" w:hint="cs"/>
          <w:rtl/>
        </w:rPr>
        <w:t xml:space="preserve"> הן למשתמש בהם</w:t>
      </w:r>
      <w:r w:rsidRPr="00BF1E3B">
        <w:rPr>
          <w:rFonts w:eastAsia="Calibri"/>
          <w:rtl/>
        </w:rPr>
        <w:t xml:space="preserve"> והן לגו</w:t>
      </w:r>
      <w:r w:rsidRPr="00BF1E3B">
        <w:rPr>
          <w:rFonts w:eastAsia="Calibri" w:hint="cs"/>
          <w:rtl/>
        </w:rPr>
        <w:t>פי</w:t>
      </w:r>
      <w:r w:rsidRPr="00BF1E3B">
        <w:rPr>
          <w:rFonts w:eastAsia="Calibri"/>
          <w:rtl/>
        </w:rPr>
        <w:t xml:space="preserve"> ממשל</w:t>
      </w:r>
      <w:r w:rsidRPr="00BF1E3B">
        <w:rPr>
          <w:rFonts w:eastAsia="Calibri" w:hint="cs"/>
          <w:rtl/>
        </w:rPr>
        <w:t>, ופיתוחם והרחבת השימוש בהם מהווים צורך חיוני בעידן הדיגיטלי</w:t>
      </w:r>
      <w:r w:rsidRPr="00BF1E3B">
        <w:rPr>
          <w:rFonts w:eastAsia="Calibri"/>
          <w:rtl/>
        </w:rPr>
        <w:t xml:space="preserve">. עם זאת, </w:t>
      </w:r>
      <w:r w:rsidRPr="00BF1E3B">
        <w:rPr>
          <w:rFonts w:eastAsia="Calibri" w:hint="cs"/>
          <w:rtl/>
        </w:rPr>
        <w:t xml:space="preserve">בד בבד עם פיתוח ערוצים </w:t>
      </w:r>
      <w:r w:rsidRPr="00BF1E3B">
        <w:rPr>
          <w:rFonts w:eastAsia="Calibri" w:hint="cs"/>
          <w:rtl/>
        </w:rPr>
        <w:t>אלה יש</w:t>
      </w:r>
      <w:bookmarkStart w:id="2" w:name="tempMark"/>
      <w:bookmarkEnd w:id="2"/>
      <w:r w:rsidRPr="00BF1E3B">
        <w:rPr>
          <w:rFonts w:eastAsia="Calibri" w:hint="cs"/>
          <w:rtl/>
        </w:rPr>
        <w:t xml:space="preserve"> להמשיך ב</w:t>
      </w:r>
      <w:r w:rsidRPr="00BF1E3B">
        <w:rPr>
          <w:rFonts w:eastAsia="Calibri"/>
          <w:rtl/>
        </w:rPr>
        <w:t xml:space="preserve">פעולות </w:t>
      </w:r>
      <w:r w:rsidRPr="00BF1E3B">
        <w:rPr>
          <w:rFonts w:eastAsia="Calibri" w:hint="cs"/>
          <w:rtl/>
        </w:rPr>
        <w:t>להנגשת</w:t>
      </w:r>
      <w:r w:rsidRPr="00BF1E3B">
        <w:rPr>
          <w:rFonts w:eastAsia="Calibri"/>
          <w:rtl/>
        </w:rPr>
        <w:t xml:space="preserve"> השירות הדיגיטלי גם ל</w:t>
      </w:r>
      <w:r w:rsidRPr="00BF1E3B">
        <w:rPr>
          <w:rFonts w:eastAsia="Calibri" w:hint="cs"/>
          <w:rtl/>
        </w:rPr>
        <w:t>אנשים מ</w:t>
      </w:r>
      <w:r w:rsidRPr="00BF1E3B">
        <w:rPr>
          <w:rFonts w:eastAsia="Calibri"/>
          <w:rtl/>
        </w:rPr>
        <w:t>קבוצות</w:t>
      </w:r>
      <w:r w:rsidRPr="00BF1E3B">
        <w:rPr>
          <w:rFonts w:eastAsia="Calibri" w:hint="cs"/>
          <w:rtl/>
        </w:rPr>
        <w:t xml:space="preserve"> אוכלוסייה שממעטות יחסית לכלל האוכלוסייה להשתמש בו ואף לבחון את הרחבתן. במקביל לכך יש לשמר את </w:t>
      </w:r>
      <w:r w:rsidRPr="00BF1E3B">
        <w:rPr>
          <w:rFonts w:eastAsia="Calibri"/>
          <w:rtl/>
        </w:rPr>
        <w:t xml:space="preserve">השירות </w:t>
      </w:r>
      <w:r w:rsidRPr="00BF1E3B">
        <w:rPr>
          <w:rFonts w:eastAsia="Calibri" w:hint="cs"/>
          <w:rtl/>
        </w:rPr>
        <w:t>הממשלתי ש</w:t>
      </w:r>
      <w:r w:rsidRPr="00BF1E3B">
        <w:rPr>
          <w:rFonts w:eastAsia="Calibri"/>
          <w:rtl/>
        </w:rPr>
        <w:t xml:space="preserve">ניתן באמצעים המסורתיים (באמצעות הדואר, בלשכות קבלת </w:t>
      </w:r>
      <w:r w:rsidRPr="00BF1E3B">
        <w:rPr>
          <w:rFonts w:eastAsia="Calibri" w:hint="cs"/>
          <w:rtl/>
        </w:rPr>
        <w:t>ה</w:t>
      </w:r>
      <w:r w:rsidRPr="00BF1E3B">
        <w:rPr>
          <w:rFonts w:eastAsia="Calibri"/>
          <w:rtl/>
        </w:rPr>
        <w:t>קהל ו</w:t>
      </w:r>
      <w:r w:rsidRPr="00BF1E3B">
        <w:rPr>
          <w:rFonts w:eastAsia="Calibri" w:hint="cs"/>
          <w:rtl/>
        </w:rPr>
        <w:t xml:space="preserve">במענה </w:t>
      </w:r>
      <w:r w:rsidRPr="00BF1E3B">
        <w:rPr>
          <w:rFonts w:eastAsia="Calibri"/>
          <w:rtl/>
        </w:rPr>
        <w:t>טלפוני)</w:t>
      </w:r>
      <w:r w:rsidRPr="00BF1E3B">
        <w:rPr>
          <w:rFonts w:eastAsia="Calibri" w:hint="cs"/>
          <w:rtl/>
        </w:rPr>
        <w:t xml:space="preserve"> ולמנוע מצבים </w:t>
      </w:r>
      <w:r w:rsidRPr="00BF1E3B">
        <w:rPr>
          <w:rFonts w:eastAsia="Calibri" w:hint="cs"/>
          <w:rtl/>
        </w:rPr>
        <w:t>שבהם אנשים שפונים לערוצי שירות אלה יידרשו לאמצעי דיגיטלי שאין בידם או שיידרשו לשלם בקופה בכרטיס אשראי שאינם מחזיקים. שימור האפשרות לצרוך שירותי ממשל גם בדרך המסורתית</w:t>
      </w:r>
      <w:r w:rsidRPr="00BF1E3B">
        <w:rPr>
          <w:rFonts w:eastAsia="Calibri"/>
          <w:rtl/>
        </w:rPr>
        <w:t xml:space="preserve"> </w:t>
      </w:r>
      <w:r w:rsidRPr="00BF1E3B">
        <w:rPr>
          <w:rFonts w:eastAsia="Calibri" w:hint="cs"/>
          <w:rtl/>
        </w:rPr>
        <w:t>נחוץ לאנשים הנמנעים מהשימוש בערוץ הדיגיטלי, כדי שיוכלו גם הם למצות את זכויותיהם וכדי שהפער</w:t>
      </w:r>
      <w:r w:rsidRPr="00BF1E3B">
        <w:rPr>
          <w:rFonts w:eastAsia="Calibri" w:hint="cs"/>
          <w:rtl/>
        </w:rPr>
        <w:t xml:space="preserve"> בינם לבין מי שצורך שירות ממשלתי בערוץ הדיגיטלי לא יעמיק. לכך יש משנה חשיבות בפרט בשל כך שהמצב הכלכלי-חברתי של אנשים מקבוצות אוכלוסיות אלה, הוא ככלל נמוך יותר מזה של האוכלוסייה הכללית, ומשכך הן נזקקות יותר לשירות שמספקים גופי הממשל.</w:t>
      </w:r>
    </w:p>
    <w:p w:rsidR="005B2BF5" w:rsidRDefault="005B2BF5" w:rsidP="00BF1E3B">
      <w:pPr>
        <w:pStyle w:val="7392"/>
        <w:rPr>
          <w:rtl/>
        </w:rPr>
      </w:pPr>
    </w:p>
    <w:sectPr w:rsidR="005B2BF5" w:rsidSect="00F35B8C">
      <w:headerReference w:type="default" r:id="rId82"/>
      <w:pgSz w:w="11906" w:h="16838" w:code="9"/>
      <w:pgMar w:top="3062" w:right="2268" w:bottom="2552" w:left="2268" w:header="1134" w:footer="1361"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23A1" w:rsidRDefault="00DF6A0A">
      <w:pPr>
        <w:spacing w:line="240" w:lineRule="auto"/>
      </w:pPr>
      <w:r>
        <w:separator/>
      </w:r>
    </w:p>
    <w:p w:rsidR="004323A1" w:rsidRDefault="004323A1"/>
    <w:p w:rsidR="004323A1" w:rsidRDefault="004323A1"/>
    <w:p w:rsidR="004323A1" w:rsidRDefault="004323A1"/>
  </w:endnote>
  <w:endnote w:type="continuationSeparator" w:id="0">
    <w:p w:rsidR="004323A1" w:rsidRDefault="00DF6A0A">
      <w:pPr>
        <w:spacing w:line="240" w:lineRule="auto"/>
      </w:pPr>
      <w:r>
        <w:continuationSeparator/>
      </w:r>
    </w:p>
    <w:p w:rsidR="004323A1" w:rsidRDefault="004323A1"/>
    <w:p w:rsidR="004323A1" w:rsidRDefault="004323A1"/>
    <w:p w:rsidR="004323A1" w:rsidRDefault="004323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David">
    <w:altName w:val="Malgun Gothic Semilight"/>
    <w:panose1 w:val="020E0502060401010101"/>
    <w:charset w:val="00"/>
    <w:family w:val="swiss"/>
    <w:pitch w:val="variable"/>
    <w:sig w:usb0="00000803" w:usb1="00000000" w:usb2="00000000" w:usb3="00000000" w:csb0="00000021" w:csb1="00000000"/>
  </w:font>
  <w:font w:name="TypoUpright BT">
    <w:charset w:val="00"/>
    <w:family w:val="script"/>
    <w:pitch w:val="variable"/>
    <w:sig w:usb0="00000087" w:usb1="00000000" w:usb2="00000000" w:usb3="00000000" w:csb0="0000001B" w:csb1="00000000"/>
  </w:font>
  <w:font w:name="Tw Cen MT">
    <w:charset w:val="00"/>
    <w:family w:val="swiss"/>
    <w:pitch w:val="variable"/>
    <w:sig w:usb0="00000007" w:usb1="00000000" w:usb2="00000000" w:usb3="00000000" w:csb0="00000003" w:csb1="00000000"/>
  </w:font>
  <w:font w:name="Tw Cen MT Condensed">
    <w:charset w:val="00"/>
    <w:family w:val="swiss"/>
    <w:pitch w:val="variable"/>
    <w:sig w:usb0="00000007" w:usb1="00000000" w:usb2="00000000" w:usb3="00000000" w:csb0="00000003" w:csb1="00000000"/>
  </w:font>
  <w:font w:name="Levenim MT">
    <w:charset w:val="B1"/>
    <w:family w:val="auto"/>
    <w:pitch w:val="variable"/>
    <w:sig w:usb0="00000803" w:usb1="00000000" w:usb2="00000000" w:usb3="00000000" w:csb0="00000021" w:csb1="00000000"/>
  </w:font>
  <w:font w:name="Almoni ML Regular AAA">
    <w:altName w:val="Almoni ML Regular AAA"/>
    <w:charset w:val="B1"/>
    <w:family w:val="auto"/>
    <w:pitch w:val="variable"/>
    <w:sig w:usb0="00000A07" w:usb1="40000000" w:usb2="00000000" w:usb3="00000000" w:csb0="000000B7" w:csb1="00000000"/>
  </w:font>
  <w:font w:name="Lucida Sans Unicode">
    <w:panose1 w:val="020B0602030504020204"/>
    <w:charset w:val="00"/>
    <w:family w:val="swiss"/>
    <w:pitch w:val="variable"/>
    <w:sig w:usb0="80000AFF" w:usb1="0000396B" w:usb2="00000000" w:usb3="00000000" w:csb0="000000BF" w:csb1="00000000"/>
  </w:font>
  <w:font w:name="Arial Bold">
    <w:altName w:val="Arial"/>
    <w:panose1 w:val="00000000000000000000"/>
    <w:charset w:val="00"/>
    <w:family w:val="roman"/>
    <w:notTrueType/>
    <w:pitch w:val="default"/>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Ruehl">
    <w:charset w:val="B1"/>
    <w:family w:val="swiss"/>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Gotham Narrow Light">
    <w:altName w:val="Tahoma"/>
    <w:panose1 w:val="00000000000000000000"/>
    <w:charset w:val="00"/>
    <w:family w:val="auto"/>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DF6A0A" w:rsidP="00AC37C7">
    <w:pPr>
      <w:pStyle w:val="a5"/>
      <w:spacing w:after="120" w:line="312" w:lineRule="auto"/>
      <w:ind w:right="-737"/>
      <w:jc w:val="right"/>
      <w:rPr>
        <w:rFonts w:ascii="Tahoma" w:hAnsi="Tahoma" w:cs="Tahoma"/>
        <w:sz w:val="18"/>
        <w:szCs w:val="18"/>
        <w:rtl/>
      </w:rPr>
    </w:pPr>
    <w:r w:rsidRPr="00F94EB4">
      <w:rPr>
        <w:rFonts w:ascii="Tahoma" w:hAnsi="Tahoma" w:cs="Tahoma"/>
        <w:sz w:val="18"/>
        <w:szCs w:val="18"/>
      </w:rPr>
      <w:t xml:space="preserve">| </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3</w:t>
    </w:r>
    <w:r w:rsidRPr="00F94EB4">
      <w:rPr>
        <w:rFonts w:ascii="Tahoma" w:hAnsi="Tahoma" w:cs="Tahoma"/>
        <w:sz w:val="18"/>
        <w:szCs w:val="18"/>
        <w:rtl/>
      </w:rPr>
      <w:fldChar w:fldCharType="end"/>
    </w:r>
    <w:r w:rsidRPr="00F94EB4">
      <w:rPr>
        <w:rFonts w:ascii="Tahoma" w:hAnsi="Tahoma" w:cs="Tahoma"/>
        <w:sz w:val="18"/>
        <w:szCs w:val="18"/>
        <w:rtl/>
      </w:rPr>
      <w:t xml:space="preserve"> </w:t>
    </w:r>
    <w:r>
      <w:rPr>
        <w:rFonts w:ascii="Tahoma" w:hAnsi="Tahoma" w:cs="Tahoma" w:hint="cs"/>
        <w:sz w:val="18"/>
        <w:szCs w:val="18"/>
        <w:rtl/>
      </w:rPr>
      <w:t xml:space="preserve"> |</w:t>
    </w:r>
  </w:p>
  <w:p w:rsidR="00B14302" w:rsidRPr="00AC37C7" w:rsidRDefault="00B14302" w:rsidP="00AC37C7">
    <w:pPr>
      <w:pStyle w:val="a5"/>
      <w:spacing w:after="120" w:line="312" w:lineRule="auto"/>
      <w:ind w:right="-737"/>
      <w:jc w:val="right"/>
      <w:rPr>
        <w:rFonts w:ascii="Tahoma" w:hAnsi="Tahoma" w:cs="Tahom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B14302" w:rsidP="004E71DD">
    <w:pPr>
      <w:pStyle w:val="a5"/>
      <w:spacing w:after="120" w:line="312" w:lineRule="auto"/>
      <w:ind w:left="-510"/>
      <w:jc w:val="left"/>
      <w:rPr>
        <w:rFonts w:ascii="Tahoma" w:hAnsi="Tahoma" w:cs="Tahoma"/>
        <w:sz w:val="18"/>
        <w:szCs w:val="18"/>
        <w:rtl/>
      </w:rPr>
    </w:pPr>
  </w:p>
  <w:p w:rsidR="00B14302" w:rsidRDefault="00DF6A0A" w:rsidP="004E71DD">
    <w:pPr>
      <w:pStyle w:val="a5"/>
      <w:tabs>
        <w:tab w:val="clear" w:pos="4153"/>
        <w:tab w:val="clear" w:pos="8306"/>
        <w:tab w:val="left" w:pos="488"/>
        <w:tab w:val="left" w:pos="522"/>
      </w:tabs>
      <w:spacing w:after="120" w:line="312" w:lineRule="auto"/>
      <w:ind w:left="-737"/>
      <w:jc w:val="left"/>
      <w:rPr>
        <w:rFonts w:ascii="Tahoma" w:hAnsi="Tahoma" w:cs="Tahoma"/>
        <w:color w:val="004E6C"/>
        <w:sz w:val="18"/>
        <w:szCs w:val="18"/>
        <w:rtl/>
      </w:rPr>
    </w:pPr>
    <w:r w:rsidRPr="00F94EB4">
      <w:rPr>
        <w:rFonts w:ascii="Tahoma" w:hAnsi="Tahoma" w:cs="Tahoma"/>
        <w:sz w:val="18"/>
        <w:szCs w:val="18"/>
      </w:rPr>
      <w:t>|</w:t>
    </w:r>
    <w:r w:rsidRPr="00F94EB4">
      <w:rPr>
        <w:rFonts w:ascii="Tahoma" w:hAnsi="Tahoma" w:cs="Tahoma"/>
        <w:sz w:val="18"/>
        <w:szCs w:val="18"/>
        <w:rtl/>
      </w:rPr>
      <w:t xml:space="preserve"> </w:t>
    </w:r>
    <w:r>
      <w:rPr>
        <w:rFonts w:ascii="Tahoma" w:hAnsi="Tahoma" w:cs="Tahoma" w:hint="cs"/>
        <w:sz w:val="18"/>
        <w:szCs w:val="18"/>
        <w:rtl/>
      </w:rPr>
      <w:t xml:space="preserve">  </w:t>
    </w:r>
    <w:r w:rsidRPr="00F94EB4">
      <w:rPr>
        <w:rFonts w:ascii="Tahoma" w:hAnsi="Tahoma" w:cs="Tahoma"/>
        <w:sz w:val="18"/>
        <w:szCs w:val="18"/>
        <w:rtl/>
      </w:rPr>
      <w:fldChar w:fldCharType="begin"/>
    </w:r>
    <w:r w:rsidRPr="00F94EB4">
      <w:rPr>
        <w:rFonts w:ascii="Tahoma" w:hAnsi="Tahoma" w:cs="Tahoma"/>
        <w:sz w:val="18"/>
        <w:szCs w:val="18"/>
        <w:rtl/>
      </w:rPr>
      <w:instrText xml:space="preserve"> </w:instrText>
    </w:r>
    <w:r w:rsidRPr="00F94EB4">
      <w:rPr>
        <w:rFonts w:ascii="Tahoma" w:hAnsi="Tahoma" w:cs="Tahoma"/>
        <w:sz w:val="18"/>
        <w:szCs w:val="18"/>
      </w:rPr>
      <w:instrText xml:space="preserve">PAGE </w:instrText>
    </w:r>
    <w:r w:rsidRPr="00F94EB4">
      <w:rPr>
        <w:rFonts w:ascii="Tahoma" w:hAnsi="Tahoma" w:cs="Tahoma"/>
        <w:sz w:val="18"/>
        <w:szCs w:val="18"/>
        <w:rtl/>
      </w:rPr>
      <w:instrText xml:space="preserve"> \* </w:instrText>
    </w:r>
    <w:r w:rsidRPr="00F94EB4">
      <w:rPr>
        <w:rFonts w:ascii="Tahoma" w:hAnsi="Tahoma" w:cs="Tahoma"/>
        <w:sz w:val="18"/>
        <w:szCs w:val="18"/>
      </w:rPr>
      <w:instrText>MERGEFORMAT</w:instrText>
    </w:r>
    <w:r w:rsidRPr="00F94EB4">
      <w:rPr>
        <w:rFonts w:ascii="Tahoma" w:hAnsi="Tahoma" w:cs="Tahoma"/>
        <w:sz w:val="18"/>
        <w:szCs w:val="18"/>
        <w:rtl/>
      </w:rPr>
      <w:instrText xml:space="preserve"> </w:instrText>
    </w:r>
    <w:r w:rsidRPr="00F94EB4">
      <w:rPr>
        <w:rFonts w:ascii="Tahoma" w:hAnsi="Tahoma" w:cs="Tahoma"/>
        <w:sz w:val="18"/>
        <w:szCs w:val="18"/>
        <w:rtl/>
      </w:rPr>
      <w:fldChar w:fldCharType="separate"/>
    </w:r>
    <w:r>
      <w:rPr>
        <w:rFonts w:ascii="Tahoma" w:hAnsi="Tahoma" w:cs="Tahoma"/>
        <w:sz w:val="18"/>
        <w:szCs w:val="18"/>
        <w:rtl/>
      </w:rPr>
      <w:t>10</w:t>
    </w:r>
    <w:r w:rsidRPr="00F94EB4">
      <w:rPr>
        <w:rFonts w:ascii="Tahoma" w:hAnsi="Tahoma" w:cs="Tahoma"/>
        <w:sz w:val="18"/>
        <w:szCs w:val="18"/>
        <w:rtl/>
      </w:rPr>
      <w:fldChar w:fldCharType="end"/>
    </w:r>
    <w:r>
      <w:rPr>
        <w:rFonts w:ascii="Tahoma" w:hAnsi="Tahoma" w:cs="Tahoma" w:hint="cs"/>
        <w:sz w:val="18"/>
        <w:szCs w:val="18"/>
        <w:rtl/>
      </w:rPr>
      <w:t xml:space="preserve">   </w:t>
    </w:r>
    <w:r w:rsidRPr="0013302E">
      <w:rPr>
        <w:rFonts w:ascii="Tahoma" w:hAnsi="Tahoma" w:cs="Tahoma"/>
        <w:sz w:val="18"/>
        <w:szCs w:val="18"/>
      </w:rPr>
      <w:t>|</w:t>
    </w:r>
    <w:r>
      <w:rPr>
        <w:rFonts w:ascii="Tahoma" w:hAnsi="Tahoma" w:cs="Tahoma" w:hint="cs"/>
        <w:color w:val="004E6C"/>
        <w:sz w:val="18"/>
        <w:szCs w:val="18"/>
        <w:rtl/>
      </w:rPr>
      <w:t xml:space="preserve">     </w:t>
    </w:r>
    <w:r>
      <w:rPr>
        <w:rFonts w:ascii="Tahoma" w:hAnsi="Tahoma" w:cs="Tahoma"/>
        <w:color w:val="004E6C"/>
        <w:sz w:val="18"/>
        <w:szCs w:val="18"/>
        <w:rtl/>
      </w:rPr>
      <w:tab/>
    </w:r>
    <w:r>
      <w:rPr>
        <w:rFonts w:ascii="Tahoma" w:hAnsi="Tahoma" w:cs="Tahoma"/>
        <w:color w:val="004E6C"/>
        <w:sz w:val="18"/>
        <w:szCs w:val="18"/>
        <w:rtl/>
      </w:rPr>
      <w:tab/>
    </w:r>
  </w:p>
  <w:p w:rsidR="00B14302" w:rsidRPr="004E71DD" w:rsidRDefault="00B14302" w:rsidP="004E71DD">
    <w:pPr>
      <w:pStyle w:val="a5"/>
      <w:rPr>
        <w:szCs w:val="2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23A1" w:rsidRDefault="00DF6A0A" w:rsidP="00E7235E">
      <w:pPr>
        <w:spacing w:line="240" w:lineRule="auto"/>
      </w:pPr>
      <w:r>
        <w:separator/>
      </w:r>
    </w:p>
  </w:footnote>
  <w:footnote w:type="continuationSeparator" w:id="0">
    <w:p w:rsidR="004323A1" w:rsidRDefault="00DF6A0A" w:rsidP="00C23CC9">
      <w:pPr>
        <w:spacing w:line="240" w:lineRule="auto"/>
      </w:pPr>
      <w:r>
        <w:continuationSeparator/>
      </w:r>
    </w:p>
    <w:p w:rsidR="004323A1" w:rsidRDefault="004323A1"/>
    <w:p w:rsidR="004323A1" w:rsidRDefault="004323A1"/>
    <w:p w:rsidR="004323A1" w:rsidRDefault="004323A1"/>
  </w:footnote>
  <w:footnote w:id="1">
    <w:p w:rsidR="00B14302" w:rsidRPr="00B74C6A" w:rsidRDefault="00DF6A0A" w:rsidP="00B74C6A">
      <w:pPr>
        <w:pStyle w:val="736"/>
        <w:rPr>
          <w:rtl/>
        </w:rPr>
      </w:pPr>
      <w:r w:rsidRPr="00B74C6A">
        <w:rPr>
          <w:rStyle w:val="a8"/>
        </w:rPr>
        <w:footnoteRef/>
      </w:r>
      <w:r w:rsidRPr="00B74C6A">
        <w:rPr>
          <w:rtl/>
        </w:rPr>
        <w:t xml:space="preserve"> </w:t>
      </w:r>
      <w:r w:rsidRPr="00B74C6A">
        <w:rPr>
          <w:rtl/>
        </w:rPr>
        <w:tab/>
        <w:t xml:space="preserve">מיטב היא יחידה הפועלת בנושאי גיוס, מיון, שיבוץ וחיול </w:t>
      </w:r>
      <w:r w:rsidRPr="00124A4F">
        <w:rPr>
          <w:rStyle w:val="73ff2"/>
        </w:rPr>
        <w:t xml:space="preserve"> </w:t>
      </w:r>
      <w:hyperlink r:id="rId1" w:history="1">
        <w:r w:rsidRPr="00124A4F">
          <w:rPr>
            <w:rStyle w:val="73ff2"/>
          </w:rPr>
          <w:t>https://www.mitgaisim.idf.il</w:t>
        </w:r>
      </w:hyperlink>
    </w:p>
  </w:footnote>
  <w:footnote w:id="2">
    <w:p w:rsidR="00B14302" w:rsidRPr="00B74C6A" w:rsidRDefault="00DF6A0A" w:rsidP="001913E4">
      <w:pPr>
        <w:pStyle w:val="73f4"/>
      </w:pPr>
      <w:r w:rsidRPr="001913E4">
        <w:footnoteRef/>
      </w:r>
      <w:r w:rsidRPr="001913E4">
        <w:rPr>
          <w:rtl/>
        </w:rPr>
        <w:t xml:space="preserve"> </w:t>
      </w:r>
      <w:r w:rsidRPr="00B74C6A">
        <w:rPr>
          <w:rtl/>
        </w:rPr>
        <w:tab/>
        <w:t>שירות שניתן על ידי פקיד "פנים אל פנים".</w:t>
      </w:r>
    </w:p>
  </w:footnote>
  <w:footnote w:id="3">
    <w:p w:rsidR="00B14302" w:rsidRPr="00B74C6A" w:rsidRDefault="00DF6A0A" w:rsidP="001913E4">
      <w:pPr>
        <w:pStyle w:val="73f4"/>
        <w:rPr>
          <w:rtl/>
        </w:rPr>
      </w:pPr>
      <w:r w:rsidRPr="001913E4">
        <w:footnoteRef/>
      </w:r>
      <w:r w:rsidRPr="001913E4">
        <w:rPr>
          <w:rtl/>
        </w:rPr>
        <w:t xml:space="preserve"> </w:t>
      </w:r>
      <w:r w:rsidRPr="001913E4">
        <w:rPr>
          <w:rtl/>
        </w:rPr>
        <w:tab/>
      </w:r>
      <w:r w:rsidRPr="00B74C6A">
        <w:rPr>
          <w:rtl/>
        </w:rPr>
        <w:t xml:space="preserve">ראו: מבקר המדינה, </w:t>
      </w:r>
      <w:r w:rsidRPr="00B74C6A">
        <w:rPr>
          <w:b/>
          <w:bCs/>
          <w:rtl/>
        </w:rPr>
        <w:t>דוח שנתי 72א</w:t>
      </w:r>
      <w:r w:rsidRPr="00B74C6A">
        <w:rPr>
          <w:rtl/>
        </w:rPr>
        <w:t xml:space="preserve"> (2021), "'מדיניות פעם אחת' לשיפור השירות הממשלתי הדיגיטלי לציבור", עמ' 727. </w:t>
      </w:r>
    </w:p>
  </w:footnote>
  <w:footnote w:id="4">
    <w:p w:rsidR="00B14302" w:rsidRPr="001913E4" w:rsidRDefault="00DF6A0A" w:rsidP="001913E4">
      <w:pPr>
        <w:pStyle w:val="73f4"/>
        <w:rPr>
          <w:rtl/>
        </w:rPr>
      </w:pPr>
      <w:r w:rsidRPr="001913E4">
        <w:rPr>
          <w:rStyle w:val="a8"/>
          <w:vertAlign w:val="baseline"/>
        </w:rPr>
        <w:footnoteRef/>
      </w:r>
      <w:r w:rsidRPr="001913E4">
        <w:rPr>
          <w:rtl/>
        </w:rPr>
        <w:t xml:space="preserve"> </w:t>
      </w:r>
      <w:r w:rsidRPr="001913E4">
        <w:rPr>
          <w:rtl/>
        </w:rPr>
        <w:tab/>
      </w:r>
      <w:r w:rsidRPr="001913E4">
        <w:rPr>
          <w:rFonts w:hint="cs"/>
          <w:rtl/>
        </w:rPr>
        <w:t xml:space="preserve">הלמ"ס, הודעה לתקשורת בנושא מדדים דיגיטליים בישראל, 30 במאי 2022 </w:t>
      </w:r>
      <w:r w:rsidRPr="001913E4">
        <w:rPr>
          <w:rtl/>
        </w:rPr>
        <w:tab/>
      </w:r>
    </w:p>
  </w:footnote>
  <w:footnote w:id="5">
    <w:p w:rsidR="00B14302" w:rsidRPr="001913E4" w:rsidRDefault="00DF6A0A" w:rsidP="001913E4">
      <w:pPr>
        <w:pStyle w:val="73f4"/>
        <w:rPr>
          <w:rtl/>
        </w:rPr>
      </w:pPr>
      <w:r w:rsidRPr="001913E4">
        <w:rPr>
          <w:rStyle w:val="a8"/>
          <w:vertAlign w:val="baseline"/>
        </w:rPr>
        <w:footnoteRef/>
      </w:r>
      <w:r w:rsidRPr="001913E4">
        <w:rPr>
          <w:rtl/>
        </w:rPr>
        <w:t xml:space="preserve"> </w:t>
      </w:r>
      <w:r w:rsidRPr="001913E4">
        <w:tab/>
      </w:r>
      <w:r w:rsidRPr="001913E4">
        <w:rPr>
          <w:rtl/>
        </w:rPr>
        <w:t>מדד שירותי הממשלה המקוונים</w:t>
      </w:r>
      <w:r w:rsidRPr="001913E4">
        <w:rPr>
          <w:rFonts w:hint="cs"/>
          <w:rtl/>
        </w:rPr>
        <w:t xml:space="preserve">, </w:t>
      </w:r>
      <w:r w:rsidRPr="001913E4">
        <w:t>OSI - Online Services Index</w:t>
      </w:r>
      <w:r w:rsidRPr="001913E4">
        <w:rPr>
          <w:rFonts w:hint="cs"/>
          <w:rtl/>
        </w:rPr>
        <w:t xml:space="preserve">, </w:t>
      </w:r>
      <w:r w:rsidRPr="001913E4">
        <w:rPr>
          <w:rtl/>
        </w:rPr>
        <w:t>בוחן את ההיקף ואת הרמה של</w:t>
      </w:r>
      <w:r w:rsidRPr="001913E4">
        <w:rPr>
          <w:rFonts w:hint="cs"/>
          <w:rtl/>
        </w:rPr>
        <w:t xml:space="preserve"> </w:t>
      </w:r>
      <w:r w:rsidRPr="001913E4">
        <w:rPr>
          <w:rtl/>
        </w:rPr>
        <w:t xml:space="preserve">השירותים הממשלתיים </w:t>
      </w:r>
      <w:r w:rsidRPr="001913E4">
        <w:rPr>
          <w:rtl/>
        </w:rPr>
        <w:t>הנגישים בצורה מקוונת.</w:t>
      </w:r>
      <w:r w:rsidRPr="001913E4">
        <w:rPr>
          <w:rFonts w:hint="cs"/>
          <w:rtl/>
        </w:rPr>
        <w:t xml:space="preserve"> </w:t>
      </w:r>
    </w:p>
  </w:footnote>
  <w:footnote w:id="6">
    <w:p w:rsidR="00B14302" w:rsidRPr="001913E4" w:rsidRDefault="00DF6A0A" w:rsidP="001913E4">
      <w:pPr>
        <w:pStyle w:val="73f4"/>
        <w:rPr>
          <w:rtl/>
        </w:rPr>
      </w:pPr>
      <w:r w:rsidRPr="001913E4">
        <w:rPr>
          <w:rStyle w:val="a8"/>
          <w:vertAlign w:val="baseline"/>
        </w:rPr>
        <w:footnoteRef/>
      </w:r>
      <w:r w:rsidRPr="001913E4">
        <w:rPr>
          <w:rtl/>
        </w:rPr>
        <w:t xml:space="preserve"> </w:t>
      </w:r>
      <w:r w:rsidRPr="001913E4">
        <w:rPr>
          <w:rtl/>
        </w:rPr>
        <w:tab/>
        <w:t>ציונה של המדינה בעלת</w:t>
      </w:r>
      <w:r w:rsidRPr="001913E4">
        <w:rPr>
          <w:rFonts w:hint="cs"/>
          <w:rtl/>
        </w:rPr>
        <w:t xml:space="preserve"> </w:t>
      </w:r>
      <w:r w:rsidRPr="001913E4">
        <w:rPr>
          <w:rtl/>
        </w:rPr>
        <w:t xml:space="preserve">הציון הגבוה ביותר שווה </w:t>
      </w:r>
      <w:r w:rsidRPr="001913E4">
        <w:rPr>
          <w:rFonts w:hint="cs"/>
          <w:rtl/>
        </w:rPr>
        <w:t>ל-</w:t>
      </w:r>
      <w:r w:rsidRPr="001913E4">
        <w:rPr>
          <w:rtl/>
        </w:rPr>
        <w:t>1</w:t>
      </w:r>
      <w:r w:rsidRPr="001913E4">
        <w:rPr>
          <w:rFonts w:hint="cs"/>
          <w:rtl/>
        </w:rPr>
        <w:t xml:space="preserve"> </w:t>
      </w:r>
      <w:r w:rsidRPr="001913E4">
        <w:rPr>
          <w:rtl/>
        </w:rPr>
        <w:t>וציונה של בעלת</w:t>
      </w:r>
      <w:r w:rsidRPr="001913E4">
        <w:rPr>
          <w:rFonts w:hint="cs"/>
          <w:rtl/>
        </w:rPr>
        <w:t xml:space="preserve"> </w:t>
      </w:r>
      <w:r w:rsidRPr="001913E4">
        <w:rPr>
          <w:rtl/>
        </w:rPr>
        <w:t>הציון הנמוך ביותר שווה</w:t>
      </w:r>
      <w:r w:rsidRPr="001913E4">
        <w:rPr>
          <w:rFonts w:hint="cs"/>
          <w:rtl/>
        </w:rPr>
        <w:t xml:space="preserve"> ל-</w:t>
      </w:r>
      <w:r w:rsidRPr="001913E4">
        <w:rPr>
          <w:rtl/>
        </w:rPr>
        <w:t>0.</w:t>
      </w:r>
      <w:r w:rsidRPr="001913E4">
        <w:rPr>
          <w:rFonts w:hint="cs"/>
          <w:rtl/>
        </w:rPr>
        <w:t xml:space="preserve"> </w:t>
      </w:r>
      <w:r w:rsidRPr="001913E4">
        <w:rPr>
          <w:rtl/>
        </w:rPr>
        <w:t xml:space="preserve">מצבה של </w:t>
      </w:r>
      <w:r w:rsidRPr="001913E4">
        <w:rPr>
          <w:rFonts w:hint="cs"/>
          <w:rtl/>
        </w:rPr>
        <w:t xml:space="preserve">מדינת </w:t>
      </w:r>
      <w:r w:rsidRPr="001913E4">
        <w:rPr>
          <w:rtl/>
        </w:rPr>
        <w:t xml:space="preserve">ישראל </w:t>
      </w:r>
      <w:r w:rsidRPr="001913E4">
        <w:rPr>
          <w:rFonts w:hint="cs"/>
          <w:rtl/>
        </w:rPr>
        <w:t xml:space="preserve">על פי מדד זה </w:t>
      </w:r>
      <w:r w:rsidRPr="001913E4">
        <w:rPr>
          <w:rtl/>
        </w:rPr>
        <w:t>הורע מאז 2014, אז ציונה עמד על 0.87</w:t>
      </w:r>
      <w:r w:rsidRPr="001913E4">
        <w:rPr>
          <w:rFonts w:hint="cs"/>
          <w:rtl/>
        </w:rPr>
        <w:t xml:space="preserve"> </w:t>
      </w:r>
      <w:r w:rsidRPr="001913E4">
        <w:rPr>
          <w:rtl/>
        </w:rPr>
        <w:t>ו</w:t>
      </w:r>
      <w:r w:rsidRPr="001913E4">
        <w:rPr>
          <w:rFonts w:hint="cs"/>
          <w:rtl/>
        </w:rPr>
        <w:t>ב-2020 עמד על</w:t>
      </w:r>
      <w:r w:rsidRPr="001913E4">
        <w:rPr>
          <w:rtl/>
        </w:rPr>
        <w:t xml:space="preserve"> 0.75</w:t>
      </w:r>
      <w:r w:rsidRPr="001913E4">
        <w:rPr>
          <w:rFonts w:hint="cs"/>
          <w:rtl/>
        </w:rPr>
        <w:t>.</w:t>
      </w:r>
    </w:p>
  </w:footnote>
  <w:footnote w:id="7">
    <w:p w:rsidR="00B14302" w:rsidRPr="00B74C6A" w:rsidRDefault="00DF6A0A" w:rsidP="001913E4">
      <w:pPr>
        <w:pStyle w:val="73f4"/>
        <w:rPr>
          <w:rtl/>
        </w:rPr>
      </w:pPr>
      <w:r w:rsidRPr="001913E4">
        <w:rPr>
          <w:rStyle w:val="a8"/>
          <w:vertAlign w:val="baseline"/>
        </w:rPr>
        <w:footnoteRef/>
      </w:r>
      <w:r w:rsidRPr="00B74C6A">
        <w:rPr>
          <w:rtl/>
        </w:rPr>
        <w:t xml:space="preserve"> </w:t>
      </w:r>
      <w:r w:rsidRPr="00B74C6A">
        <w:rPr>
          <w:rtl/>
        </w:rPr>
        <w:tab/>
        <w:t>מדינות אלו חולקו לשתי קבוצות: מדינות הסמן העלי</w:t>
      </w:r>
      <w:r w:rsidRPr="00B74C6A">
        <w:rPr>
          <w:rtl/>
        </w:rPr>
        <w:t>ון - אוסטרייה, אירלנד, פינלנד, הולנד ושוודיה - שבהן התוצר לנפש ורמת הדיגיטציה גבוהים יחסית למדינות ה-</w:t>
      </w:r>
      <w:r w:rsidRPr="00B74C6A">
        <w:t>OECD</w:t>
      </w:r>
      <w:r w:rsidRPr="00B74C6A">
        <w:rPr>
          <w:rtl/>
        </w:rPr>
        <w:t>, ומדינות הסמן התחתון - איטליה, פורטוגל ופולין - המייצגות במרבית המקרים את החלק התחתון של רמת הדיגיטציה במדינות ה-</w:t>
      </w:r>
      <w:r w:rsidRPr="00B74C6A">
        <w:t>OECD</w:t>
      </w:r>
      <w:r w:rsidRPr="00B74C6A">
        <w:rPr>
          <w:rtl/>
        </w:rPr>
        <w:t>.</w:t>
      </w:r>
    </w:p>
  </w:footnote>
  <w:footnote w:id="8">
    <w:p w:rsidR="00B14302" w:rsidRPr="00B74C6A" w:rsidRDefault="00DF6A0A" w:rsidP="001913E4">
      <w:pPr>
        <w:pStyle w:val="73f4"/>
        <w:rPr>
          <w:rtl/>
        </w:rPr>
      </w:pPr>
      <w:r w:rsidRPr="001913E4">
        <w:footnoteRef/>
      </w:r>
      <w:r w:rsidRPr="001913E4">
        <w:rPr>
          <w:rtl/>
        </w:rPr>
        <w:t xml:space="preserve"> </w:t>
      </w:r>
      <w:r w:rsidRPr="001913E4">
        <w:rPr>
          <w:rtl/>
        </w:rPr>
        <w:tab/>
      </w:r>
      <w:r w:rsidRPr="00B74C6A">
        <w:rPr>
          <w:rtl/>
        </w:rPr>
        <w:t xml:space="preserve">מרכז המחקר והמידע של הכנסת, </w:t>
      </w:r>
      <w:r w:rsidRPr="00B74C6A">
        <w:rPr>
          <w:b/>
          <w:bCs/>
          <w:rtl/>
        </w:rPr>
        <w:t>היבטים בקידום ממשל דיגיטלי: מבט משווה</w:t>
      </w:r>
      <w:r w:rsidRPr="00B74C6A">
        <w:rPr>
          <w:rtl/>
        </w:rPr>
        <w:t xml:space="preserve"> (2020).</w:t>
      </w:r>
    </w:p>
  </w:footnote>
  <w:footnote w:id="9">
    <w:p w:rsidR="00B14302" w:rsidRPr="001913E4" w:rsidRDefault="00DF6A0A" w:rsidP="001913E4">
      <w:pPr>
        <w:pStyle w:val="73f4"/>
        <w:rPr>
          <w:rtl/>
        </w:rPr>
      </w:pPr>
      <w:r w:rsidRPr="001913E4">
        <w:rPr>
          <w:rStyle w:val="a8"/>
          <w:vertAlign w:val="baseline"/>
        </w:rPr>
        <w:footnoteRef/>
      </w:r>
      <w:r w:rsidRPr="001913E4">
        <w:rPr>
          <w:rtl/>
        </w:rPr>
        <w:t xml:space="preserve"> </w:t>
      </w:r>
      <w:r w:rsidRPr="001913E4">
        <w:rPr>
          <w:rtl/>
        </w:rPr>
        <w:tab/>
      </w:r>
      <w:r w:rsidRPr="001913E4">
        <w:rPr>
          <w:rFonts w:hint="cs"/>
          <w:rtl/>
        </w:rPr>
        <w:t xml:space="preserve">שם. </w:t>
      </w:r>
    </w:p>
  </w:footnote>
  <w:footnote w:id="10">
    <w:p w:rsidR="00B14302" w:rsidRPr="001913E4" w:rsidRDefault="00DF6A0A" w:rsidP="001913E4">
      <w:pPr>
        <w:pStyle w:val="73f4"/>
        <w:rPr>
          <w:rtl/>
        </w:rPr>
      </w:pPr>
      <w:r w:rsidRPr="001913E4">
        <w:rPr>
          <w:rStyle w:val="a8"/>
          <w:vertAlign w:val="baseline"/>
        </w:rPr>
        <w:footnoteRef/>
      </w:r>
      <w:r w:rsidRPr="001913E4">
        <w:rPr>
          <w:rtl/>
        </w:rPr>
        <w:t xml:space="preserve"> </w:t>
      </w:r>
      <w:r w:rsidRPr="001913E4">
        <w:rPr>
          <w:rtl/>
        </w:rPr>
        <w:tab/>
      </w:r>
      <w:r w:rsidRPr="001913E4">
        <w:t>United Nations, E-Government Survey 2020, Digital Government in the Decade of Action for Sustainable Development (2020)</w:t>
      </w:r>
      <w:r w:rsidRPr="001913E4">
        <w:rPr>
          <w:rFonts w:hint="cs"/>
          <w:rtl/>
        </w:rPr>
        <w:t>.</w:t>
      </w:r>
      <w:r w:rsidRPr="001913E4">
        <w:rPr>
          <w:rtl/>
        </w:rPr>
        <w:t xml:space="preserve"> </w:t>
      </w:r>
    </w:p>
  </w:footnote>
  <w:footnote w:id="11">
    <w:p w:rsidR="00B14302" w:rsidRPr="00B74C6A" w:rsidRDefault="00DF6A0A" w:rsidP="001913E4">
      <w:pPr>
        <w:pStyle w:val="73f4"/>
        <w:rPr>
          <w:rtl/>
        </w:rPr>
      </w:pPr>
      <w:r w:rsidRPr="001913E4">
        <w:rPr>
          <w:rStyle w:val="a8"/>
          <w:vertAlign w:val="baseline"/>
        </w:rPr>
        <w:footnoteRef/>
      </w:r>
      <w:r w:rsidRPr="00B74C6A">
        <w:rPr>
          <w:rtl/>
        </w:rPr>
        <w:t xml:space="preserve"> </w:t>
      </w:r>
      <w:r w:rsidRPr="00B74C6A">
        <w:rPr>
          <w:rtl/>
        </w:rPr>
        <w:tab/>
        <w:t xml:space="preserve">לאנשים עם מוגבלויות יש קשרי גומלין עם גופי ממשל הנובעים, בין היתר, מהצורך </w:t>
      </w:r>
      <w:r w:rsidRPr="00B74C6A">
        <w:rPr>
          <w:rtl/>
        </w:rPr>
        <w:t xml:space="preserve">למצות את זכויותיהם הנובעות מן המוגבלות ולקבל מידע, שירותים, קצבאות והנחות שהם זכאים להם. בשנת 2019 קיבלו מן המדינה כחצי מיליון איש קצבה כלשהי על רקע נכות. מאיירס ג'וינט ברוקדייל, </w:t>
      </w:r>
      <w:r w:rsidRPr="00B74C6A">
        <w:rPr>
          <w:b/>
          <w:bCs/>
          <w:rtl/>
        </w:rPr>
        <w:t>אנשים עם מוגבלות בישראל 2021 - נתונים סטטיסטיים נבחרים</w:t>
      </w:r>
      <w:r w:rsidRPr="00B74C6A">
        <w:rPr>
          <w:rtl/>
        </w:rPr>
        <w:t xml:space="preserve">, פורסם באתר המרשתת של </w:t>
      </w:r>
      <w:r w:rsidRPr="00B74C6A">
        <w:rPr>
          <w:rtl/>
        </w:rPr>
        <w:t xml:space="preserve">משרד המשפטים, נציבות שוויון זכויות לאנשים עם מוגבלות, עמ' 10. </w:t>
      </w:r>
    </w:p>
  </w:footnote>
  <w:footnote w:id="12">
    <w:p w:rsidR="00B14302" w:rsidRPr="00B74C6A" w:rsidRDefault="00DF6A0A" w:rsidP="00F43DB2">
      <w:pPr>
        <w:pStyle w:val="73f4"/>
        <w:rPr>
          <w:rtl/>
        </w:rPr>
      </w:pPr>
      <w:r w:rsidRPr="00F43DB2">
        <w:footnoteRef/>
      </w:r>
      <w:r w:rsidRPr="00F43DB2">
        <w:rPr>
          <w:rtl/>
        </w:rPr>
        <w:t xml:space="preserve"> </w:t>
      </w:r>
      <w:r w:rsidRPr="00B74C6A">
        <w:rPr>
          <w:rtl/>
        </w:rPr>
        <w:tab/>
        <w:t xml:space="preserve">ראו עוד בנושא </w:t>
      </w:r>
      <w:r w:rsidRPr="00B74C6A">
        <w:rPr>
          <w:b/>
          <w:bCs/>
          <w:rtl/>
        </w:rPr>
        <w:t>בדוח שנתי 72א</w:t>
      </w:r>
      <w:r w:rsidRPr="00B74C6A">
        <w:rPr>
          <w:rtl/>
        </w:rPr>
        <w:t xml:space="preserve"> של מבקר המדינה, שם. </w:t>
      </w:r>
    </w:p>
  </w:footnote>
  <w:footnote w:id="13">
    <w:p w:rsidR="00B14302" w:rsidRPr="00B74C6A" w:rsidRDefault="00DF6A0A" w:rsidP="00F43DB2">
      <w:pPr>
        <w:pStyle w:val="73f4"/>
        <w:rPr>
          <w:rtl/>
        </w:rPr>
      </w:pPr>
      <w:r w:rsidRPr="00F43DB2">
        <w:footnoteRef/>
      </w:r>
      <w:r w:rsidRPr="00F43DB2">
        <w:rPr>
          <w:rtl/>
        </w:rPr>
        <w:t xml:space="preserve"> </w:t>
      </w:r>
      <w:r w:rsidRPr="00B74C6A">
        <w:rPr>
          <w:rtl/>
        </w:rPr>
        <w:tab/>
      </w:r>
      <w:r w:rsidRPr="00B74C6A">
        <w:t xml:space="preserve">IDB, </w:t>
      </w:r>
      <w:r w:rsidRPr="00B74C6A">
        <w:rPr>
          <w:b/>
          <w:bCs/>
        </w:rPr>
        <w:t>Public Services and digital government during the pandemic</w:t>
      </w:r>
      <w:r w:rsidRPr="00B74C6A">
        <w:t xml:space="preserve"> (2021)</w:t>
      </w:r>
      <w:r w:rsidRPr="00B74C6A">
        <w:rPr>
          <w:rtl/>
        </w:rPr>
        <w:t xml:space="preserve">. </w:t>
      </w:r>
    </w:p>
  </w:footnote>
  <w:footnote w:id="14">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 xml:space="preserve">חוק שוויון זכויות לאנשים עם מוגבלות (תיקון מס' 2), התשס"ה-2005. </w:t>
      </w:r>
    </w:p>
  </w:footnote>
  <w:footnote w:id="15">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החלטת הממשלה 5100, "</w:t>
      </w:r>
      <w:r w:rsidRPr="00F43DB2">
        <w:rPr>
          <w:rtl/>
        </w:rPr>
        <w:t>אשרור האמנה בדבר זכויות אנשים עם מוגבלויות</w:t>
      </w:r>
      <w:r w:rsidRPr="00F43DB2">
        <w:rPr>
          <w:rFonts w:hint="cs"/>
          <w:rtl/>
        </w:rPr>
        <w:t>" (</w:t>
      </w:r>
      <w:r w:rsidRPr="00F43DB2">
        <w:t>10.9.2012</w:t>
      </w:r>
      <w:r w:rsidRPr="00F43DB2">
        <w:rPr>
          <w:rFonts w:hint="cs"/>
          <w:rtl/>
        </w:rPr>
        <w:t xml:space="preserve">). האמנה אושררה בכפוף להסתייגות </w:t>
      </w:r>
      <w:r w:rsidRPr="00F43DB2">
        <w:rPr>
          <w:rtl/>
        </w:rPr>
        <w:t>ביחס להוראות המתייחסות לנישואין בסעיף</w:t>
      </w:r>
      <w:r w:rsidRPr="00F43DB2">
        <w:rPr>
          <w:rFonts w:hint="cs"/>
          <w:rtl/>
        </w:rPr>
        <w:t xml:space="preserve"> </w:t>
      </w:r>
      <w:r w:rsidRPr="00F43DB2">
        <w:rPr>
          <w:rtl/>
        </w:rPr>
        <w:t>23</w:t>
      </w:r>
      <w:r w:rsidRPr="00F43DB2">
        <w:rPr>
          <w:rFonts w:hint="cs"/>
          <w:rtl/>
        </w:rPr>
        <w:t xml:space="preserve"> </w:t>
      </w:r>
      <w:r w:rsidRPr="00F43DB2">
        <w:rPr>
          <w:rtl/>
        </w:rPr>
        <w:t xml:space="preserve">(1) (א) לאמנה, </w:t>
      </w:r>
      <w:r w:rsidRPr="00F43DB2">
        <w:rPr>
          <w:rFonts w:hint="cs"/>
          <w:rtl/>
        </w:rPr>
        <w:t xml:space="preserve">המתייחסת למקרים שבהם </w:t>
      </w:r>
      <w:r w:rsidRPr="00F43DB2">
        <w:rPr>
          <w:rtl/>
        </w:rPr>
        <w:t xml:space="preserve">דיני </w:t>
      </w:r>
      <w:r w:rsidRPr="00F43DB2">
        <w:rPr>
          <w:rtl/>
        </w:rPr>
        <w:t>המעמד האישי המחייבים את הקהילות הדתיות השונות בישראל, אינם תואמים הוראות אלה.</w:t>
      </w:r>
    </w:p>
  </w:footnote>
  <w:footnote w:id="16">
    <w:p w:rsidR="00B14302" w:rsidRPr="00B74C6A" w:rsidRDefault="00DF6A0A" w:rsidP="00F43DB2">
      <w:pPr>
        <w:pStyle w:val="73f4"/>
        <w:rPr>
          <w:rtl/>
        </w:rPr>
      </w:pPr>
      <w:r w:rsidRPr="00F43DB2">
        <w:footnoteRef/>
      </w:r>
      <w:r w:rsidRPr="00F43DB2">
        <w:rPr>
          <w:rtl/>
        </w:rPr>
        <w:t xml:space="preserve"> </w:t>
      </w:r>
      <w:r w:rsidRPr="00B74C6A">
        <w:rPr>
          <w:rtl/>
        </w:rPr>
        <w:tab/>
        <w:t xml:space="preserve">משרד המשפטים, נציבות שוויון זכויות לאנשים עם מוגבלות, </w:t>
      </w:r>
      <w:r w:rsidRPr="00B74C6A">
        <w:rPr>
          <w:b/>
          <w:bCs/>
          <w:rtl/>
        </w:rPr>
        <w:t>אמנת האו"ם בדבר זכויותיהם של אנשים עם מוגבלויות, מדריך לציבור</w:t>
      </w:r>
      <w:r w:rsidRPr="00B74C6A">
        <w:rPr>
          <w:rtl/>
        </w:rPr>
        <w:t xml:space="preserve"> (2017), עמ' 30. </w:t>
      </w:r>
    </w:p>
  </w:footnote>
  <w:footnote w:id="17">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t>למשל תוכנת הקראת מסך שמקריאה את המלל הכ</w:t>
      </w:r>
      <w:r w:rsidRPr="00F43DB2">
        <w:rPr>
          <w:rtl/>
        </w:rPr>
        <w:t>תוב על המסך ומשמשת בעיקר אנשים עיוורים וכבדי ראייה</w:t>
      </w:r>
      <w:r w:rsidRPr="00F43DB2">
        <w:rPr>
          <w:rFonts w:hint="cs"/>
          <w:rtl/>
        </w:rPr>
        <w:t>.</w:t>
      </w:r>
      <w:r w:rsidRPr="00F43DB2">
        <w:rPr>
          <w:rtl/>
        </w:rPr>
        <w:t xml:space="preserve"> במקרה זה כדי שהתוכנה תוכל לבצע את ההקראה יש צורך ליצור באתר המרשתת אפשרות להתחבר עם תוכנה זו.</w:t>
      </w:r>
      <w:r w:rsidRPr="00F43DB2">
        <w:rPr>
          <w:rFonts w:hint="cs"/>
          <w:rtl/>
        </w:rPr>
        <w:t xml:space="preserve"> </w:t>
      </w:r>
    </w:p>
  </w:footnote>
  <w:footnote w:id="18">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הנחיה 2.2.24 מ-13.4.21</w:t>
      </w:r>
    </w:p>
  </w:footnote>
  <w:footnote w:id="19">
    <w:p w:rsidR="00B14302" w:rsidRPr="00B74C6A" w:rsidRDefault="00DF6A0A" w:rsidP="00F43DB2">
      <w:pPr>
        <w:pStyle w:val="73f4"/>
        <w:rPr>
          <w:rtl/>
        </w:rPr>
      </w:pPr>
      <w:r w:rsidRPr="00F43DB2">
        <w:rPr>
          <w:rStyle w:val="a8"/>
          <w:vertAlign w:val="baseline"/>
        </w:rPr>
        <w:footnoteRef/>
      </w:r>
      <w:r w:rsidRPr="00F43DB2">
        <w:rPr>
          <w:rtl/>
        </w:rPr>
        <w:t xml:space="preserve"> </w:t>
      </w:r>
      <w:r w:rsidRPr="00F43DB2">
        <w:rPr>
          <w:rtl/>
        </w:rPr>
        <w:tab/>
        <w:t xml:space="preserve">החלטת הממשלה 2097 </w:t>
      </w:r>
      <w:r w:rsidRPr="00F43DB2">
        <w:rPr>
          <w:rFonts w:hint="cs"/>
          <w:rtl/>
        </w:rPr>
        <w:t>"</w:t>
      </w:r>
      <w:r w:rsidRPr="00F43DB2">
        <w:rPr>
          <w:rtl/>
        </w:rPr>
        <w:t>הרחבת תחומי פעילות התקשוב הממשלתי, עידוד חדשנות במגזר הציבורי</w:t>
      </w:r>
      <w:r w:rsidRPr="00F43DB2">
        <w:rPr>
          <w:rtl/>
        </w:rPr>
        <w:t xml:space="preserve"> וקידום המיזם</w:t>
      </w:r>
      <w:r w:rsidRPr="00B74C6A">
        <w:rPr>
          <w:rtl/>
        </w:rPr>
        <w:t xml:space="preserve"> הלאומי 'ישראל דיגיטלית'" (10.10.14).</w:t>
      </w:r>
    </w:p>
  </w:footnote>
  <w:footnote w:id="20">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 xml:space="preserve">בהחלטה נקבעו תחומים נוספים שבהם תפעל רשות התקשוב הממשלתי. </w:t>
      </w:r>
    </w:p>
  </w:footnote>
  <w:footnote w:id="21">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 xml:space="preserve">גופי ממשל - משרדי ממשלה וגופים כגון </w:t>
      </w:r>
      <w:r>
        <w:rPr>
          <w:rFonts w:hint="cs"/>
          <w:rtl/>
        </w:rPr>
        <w:t>שירות</w:t>
      </w:r>
      <w:r w:rsidRPr="00F43DB2">
        <w:rPr>
          <w:rFonts w:hint="cs"/>
          <w:rtl/>
        </w:rPr>
        <w:t xml:space="preserve"> התעסוקה, </w:t>
      </w:r>
      <w:r>
        <w:rPr>
          <w:rFonts w:hint="cs"/>
          <w:rtl/>
        </w:rPr>
        <w:t xml:space="preserve">המוסד </w:t>
      </w:r>
      <w:r w:rsidRPr="00F43DB2">
        <w:rPr>
          <w:rFonts w:hint="cs"/>
          <w:rtl/>
        </w:rPr>
        <w:t xml:space="preserve">ביטוח לאומי ועוד. קישור לרשימת גופי הממשל </w:t>
      </w:r>
      <w:r>
        <w:fldChar w:fldCharType="begin"/>
      </w:r>
      <w:r>
        <w:instrText xml:space="preserve"> HYPERLINK "https://www.gov.il/he/depar</w:instrText>
      </w:r>
      <w:r>
        <w:instrText xml:space="preserve">tments" </w:instrText>
      </w:r>
      <w:r>
        <w:fldChar w:fldCharType="separate"/>
      </w:r>
      <w:r w:rsidRPr="00F43DB2">
        <w:rPr>
          <w:rStyle w:val="73ff2"/>
        </w:rPr>
        <w:t>https://www.gov.il/he/departments</w:t>
      </w:r>
      <w:r>
        <w:rPr>
          <w:rStyle w:val="73ff2"/>
        </w:rPr>
        <w:fldChar w:fldCharType="end"/>
      </w:r>
    </w:p>
  </w:footnote>
  <w:footnote w:id="22">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t xml:space="preserve">החלטת הממשלה 1046, "המיזם הלאומי 'ישראל דיגיטלית'" </w:t>
      </w:r>
      <w:r w:rsidRPr="00F43DB2">
        <w:rPr>
          <w:rFonts w:hint="cs"/>
          <w:rtl/>
        </w:rPr>
        <w:t>(</w:t>
      </w:r>
      <w:r w:rsidRPr="00F43DB2">
        <w:rPr>
          <w:rtl/>
        </w:rPr>
        <w:t>15.12.13</w:t>
      </w:r>
      <w:r w:rsidRPr="00F43DB2">
        <w:rPr>
          <w:rFonts w:hint="cs"/>
          <w:rtl/>
        </w:rPr>
        <w:t>).</w:t>
      </w:r>
    </w:p>
  </w:footnote>
  <w:footnote w:id="23">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r>
      <w:r w:rsidRPr="00F43DB2">
        <w:rPr>
          <w:rFonts w:hint="cs"/>
          <w:rtl/>
        </w:rPr>
        <w:t>החלטת הממשלה 135 (19.07.21).</w:t>
      </w:r>
    </w:p>
  </w:footnote>
  <w:footnote w:id="24">
    <w:p w:rsidR="00B14302" w:rsidRPr="00F43DB2" w:rsidRDefault="00DF6A0A" w:rsidP="00F43DB2">
      <w:pPr>
        <w:pStyle w:val="73f4"/>
      </w:pPr>
      <w:r w:rsidRPr="00F43DB2">
        <w:rPr>
          <w:rStyle w:val="a8"/>
          <w:vertAlign w:val="baseline"/>
        </w:rPr>
        <w:footnoteRef/>
      </w:r>
      <w:r w:rsidRPr="00F43DB2">
        <w:rPr>
          <w:rtl/>
        </w:rPr>
        <w:t xml:space="preserve"> </w:t>
      </w:r>
      <w:r w:rsidRPr="00F43DB2">
        <w:rPr>
          <w:rtl/>
        </w:rPr>
        <w:tab/>
        <w:t>ברשימת גופי הממשל יש מידע שלפיו ניתן לדעת אילו גופים מנהלים את אתרי המרשתת הראשיים שלהם בנפרד מן האתר הממשלתי הא</w:t>
      </w:r>
      <w:r w:rsidRPr="00F43DB2">
        <w:rPr>
          <w:rtl/>
        </w:rPr>
        <w:t xml:space="preserve">חוד, ראו קישור לרשימה </w:t>
      </w:r>
      <w:r w:rsidRPr="00F43DB2">
        <w:t>https://www.gov.il/he/departments</w:t>
      </w:r>
      <w:r w:rsidRPr="00F43DB2">
        <w:rPr>
          <w:rFonts w:hint="cs"/>
          <w:rtl/>
        </w:rPr>
        <w:t>.</w:t>
      </w:r>
    </w:p>
  </w:footnote>
  <w:footnote w:id="25">
    <w:p w:rsidR="00B14302" w:rsidRPr="00B74C6A" w:rsidRDefault="00DF6A0A" w:rsidP="00F43DB2">
      <w:pPr>
        <w:pStyle w:val="73f4"/>
      </w:pPr>
      <w:r w:rsidRPr="00F43DB2">
        <w:rPr>
          <w:rStyle w:val="a8"/>
          <w:vertAlign w:val="baseline"/>
        </w:rPr>
        <w:footnoteRef/>
      </w:r>
      <w:r w:rsidRPr="00B74C6A">
        <w:rPr>
          <w:rtl/>
        </w:rPr>
        <w:t xml:space="preserve"> </w:t>
      </w:r>
      <w:r w:rsidRPr="00B74C6A">
        <w:rPr>
          <w:rtl/>
        </w:rPr>
        <w:tab/>
        <w:t xml:space="preserve">על פי נתוני הלשכה המרכזית לסטטיסטיקה, הסקר החברתי לשנת 2020, כ-90% מן הישראלים משתמשים במרשתת. </w:t>
      </w:r>
    </w:p>
  </w:footnote>
  <w:footnote w:id="26">
    <w:p w:rsidR="00B14302" w:rsidRPr="00B74C6A" w:rsidRDefault="00DF6A0A" w:rsidP="00B74C6A">
      <w:pPr>
        <w:pStyle w:val="736"/>
      </w:pPr>
      <w:r w:rsidRPr="00F43DB2">
        <w:footnoteRef/>
      </w:r>
      <w:r w:rsidRPr="00F43DB2">
        <w:rPr>
          <w:rtl/>
        </w:rPr>
        <w:t xml:space="preserve"> </w:t>
      </w:r>
      <w:r w:rsidRPr="00B74C6A">
        <w:rPr>
          <w:rtl/>
        </w:rPr>
        <w:tab/>
        <w:t xml:space="preserve">פער דיגיטלי קיים כאשר ליחידים או לקבוצות שונות באוכלוסייה יש רמות שונות של נגישות לתשתיות </w:t>
      </w:r>
      <w:r w:rsidRPr="00B74C6A">
        <w:rPr>
          <w:rtl/>
        </w:rPr>
        <w:t>דיגיטליות כגון מחשב, טלפון חכם, תוכנות, יישומים וחיבור למרשתת, או רמות שונות של אוריינות דיגיטלית - מיומנויות וכישורי למידה ועבודה בסביבה ממוחשבת. ראו מרכז המחקר והמידע של הכנסת, ה</w:t>
      </w:r>
      <w:r w:rsidRPr="00B74C6A">
        <w:rPr>
          <w:b/>
          <w:bCs/>
          <w:rtl/>
        </w:rPr>
        <w:t>פער הדיגיטלי ויישום המדיניות הממשלתית לצמצומו</w:t>
      </w:r>
      <w:r w:rsidRPr="00B74C6A">
        <w:rPr>
          <w:rtl/>
        </w:rPr>
        <w:t xml:space="preserve"> (2020). </w:t>
      </w:r>
    </w:p>
  </w:footnote>
  <w:footnote w:id="27">
    <w:p w:rsidR="00B14302" w:rsidRPr="00B74C6A" w:rsidRDefault="00DF6A0A" w:rsidP="00B74C6A">
      <w:pPr>
        <w:pStyle w:val="736"/>
        <w:rPr>
          <w:rtl/>
        </w:rPr>
      </w:pPr>
      <w:r w:rsidRPr="00C92787">
        <w:footnoteRef/>
      </w:r>
      <w:r w:rsidRPr="00C92787">
        <w:rPr>
          <w:rtl/>
        </w:rPr>
        <w:t xml:space="preserve"> </w:t>
      </w:r>
      <w:r w:rsidRPr="00B74C6A">
        <w:rPr>
          <w:rtl/>
        </w:rPr>
        <w:tab/>
        <w:t>מיטב היא יחידה הפו</w:t>
      </w:r>
      <w:r w:rsidRPr="00B74C6A">
        <w:rPr>
          <w:rtl/>
        </w:rPr>
        <w:t xml:space="preserve">עלת בנושאי גיוס, מיון, שיבוץ וחיול </w:t>
      </w:r>
      <w:r w:rsidRPr="00B74C6A">
        <w:t xml:space="preserve"> </w:t>
      </w:r>
      <w:r>
        <w:fldChar w:fldCharType="begin"/>
      </w:r>
      <w:r>
        <w:instrText xml:space="preserve"> HYPERLINK "https://www.mitgaisim.idf.il/" </w:instrText>
      </w:r>
      <w:r>
        <w:fldChar w:fldCharType="separate"/>
      </w:r>
      <w:r w:rsidRPr="00C92787">
        <w:rPr>
          <w:rStyle w:val="73ff2"/>
        </w:rPr>
        <w:t>https://www.mitgaisim.idf.il</w:t>
      </w:r>
      <w:r>
        <w:rPr>
          <w:rStyle w:val="73ff2"/>
        </w:rPr>
        <w:fldChar w:fldCharType="end"/>
      </w:r>
    </w:p>
  </w:footnote>
  <w:footnote w:id="28">
    <w:p w:rsidR="00B14302" w:rsidRPr="00B74C6A" w:rsidRDefault="00DF6A0A" w:rsidP="00B74C6A">
      <w:pPr>
        <w:pStyle w:val="736"/>
      </w:pPr>
      <w:r w:rsidRPr="00C92787">
        <w:footnoteRef/>
      </w:r>
      <w:r w:rsidRPr="00C92787">
        <w:rPr>
          <w:rtl/>
        </w:rPr>
        <w:t xml:space="preserve"> </w:t>
      </w:r>
      <w:r w:rsidRPr="00B74C6A">
        <w:rPr>
          <w:rtl/>
        </w:rPr>
        <w:tab/>
        <w:t xml:space="preserve">ראו למשל מבקר המדינה, </w:t>
      </w:r>
      <w:r w:rsidRPr="00B74C6A">
        <w:rPr>
          <w:b/>
          <w:bCs/>
          <w:rtl/>
        </w:rPr>
        <w:t>דוח שנתי 69ב</w:t>
      </w:r>
      <w:r w:rsidRPr="00B74C6A">
        <w:rPr>
          <w:rtl/>
        </w:rPr>
        <w:t xml:space="preserve"> (2019), "הבטחת זכויות של אנשים עם מוגבלות בהליכים משפטיים", עמ' 181 - 264; מבקר המדינה, </w:t>
      </w:r>
      <w:r w:rsidRPr="00B74C6A">
        <w:rPr>
          <w:b/>
          <w:bCs/>
          <w:rtl/>
        </w:rPr>
        <w:t>דוח שנתי 64ג</w:t>
      </w:r>
      <w:r w:rsidRPr="00B74C6A">
        <w:rPr>
          <w:rtl/>
        </w:rPr>
        <w:t xml:space="preserve"> (2014)</w:t>
      </w:r>
      <w:r w:rsidRPr="00B74C6A">
        <w:rPr>
          <w:rtl/>
        </w:rPr>
        <w:t>,</w:t>
      </w:r>
      <w:r>
        <w:t xml:space="preserve"> </w:t>
      </w:r>
      <w:r w:rsidRPr="00B74C6A">
        <w:rPr>
          <w:rtl/>
        </w:rPr>
        <w:t xml:space="preserve">"פעולות המדינה לשילובם של אנשים עם מוגבלות בתעסוקה", עמ' 133 - 175. בעניין הנגשת השירות הדיגיטלי לאנשים עם מוגבלות ראו מבקר המדינה, </w:t>
      </w:r>
      <w:r w:rsidRPr="00CE5079">
        <w:rPr>
          <w:b/>
          <w:bCs/>
          <w:rtl/>
        </w:rPr>
        <w:t>דוחות על הביקורת בשלטון המקומי לשנת 2021</w:t>
      </w:r>
      <w:r w:rsidRPr="00B74C6A">
        <w:rPr>
          <w:rtl/>
        </w:rPr>
        <w:t xml:space="preserve"> (2021), "שירותים מקוונים ברשויות מקומיות בשגרה ובחירום", עמ' 311 - 415, 388 - 392</w:t>
      </w:r>
      <w:r w:rsidRPr="00B74C6A">
        <w:rPr>
          <w:rtl/>
        </w:rPr>
        <w:t>.</w:t>
      </w:r>
    </w:p>
  </w:footnote>
  <w:footnote w:id="29">
    <w:p w:rsidR="00B14302" w:rsidRPr="00B74C6A" w:rsidRDefault="00DF6A0A" w:rsidP="00B74C6A">
      <w:pPr>
        <w:pStyle w:val="736"/>
        <w:rPr>
          <w:rtl/>
        </w:rPr>
      </w:pPr>
      <w:r w:rsidRPr="00C92787">
        <w:footnoteRef/>
      </w:r>
      <w:r w:rsidRPr="00C92787">
        <w:rPr>
          <w:rtl/>
        </w:rPr>
        <w:t xml:space="preserve"> </w:t>
      </w:r>
      <w:r w:rsidRPr="00B74C6A">
        <w:rPr>
          <w:rtl/>
        </w:rPr>
        <w:tab/>
        <w:t xml:space="preserve">מאיירס-ג'וינט-ברוקדייל. </w:t>
      </w:r>
      <w:r w:rsidRPr="00B74C6A">
        <w:rPr>
          <w:b/>
          <w:bCs/>
          <w:rtl/>
        </w:rPr>
        <w:t>אנשים עם מוגבלות בישראל: נתונים סטטיסטיים נבחרים 2021.</w:t>
      </w:r>
      <w:r w:rsidRPr="00B74C6A">
        <w:rPr>
          <w:rtl/>
        </w:rPr>
        <w:t xml:space="preserve"> </w:t>
      </w:r>
    </w:p>
  </w:footnote>
  <w:footnote w:id="30">
    <w:p w:rsidR="00B14302" w:rsidRPr="00B74C6A" w:rsidRDefault="00DF6A0A" w:rsidP="00B74C6A">
      <w:pPr>
        <w:pStyle w:val="736"/>
        <w:rPr>
          <w:rtl/>
        </w:rPr>
      </w:pPr>
      <w:r w:rsidRPr="00C92787">
        <w:footnoteRef/>
      </w:r>
      <w:r w:rsidRPr="00C92787">
        <w:rPr>
          <w:rtl/>
        </w:rPr>
        <w:t xml:space="preserve"> </w:t>
      </w:r>
      <w:r w:rsidRPr="00C92787">
        <w:rPr>
          <w:rtl/>
        </w:rPr>
        <w:tab/>
      </w:r>
      <w:r w:rsidRPr="00B74C6A">
        <w:rPr>
          <w:rtl/>
        </w:rPr>
        <w:t xml:space="preserve">שם. </w:t>
      </w:r>
    </w:p>
  </w:footnote>
  <w:footnote w:id="31">
    <w:p w:rsidR="00B14302" w:rsidRPr="00B74C6A" w:rsidRDefault="00DF6A0A" w:rsidP="00B74C6A">
      <w:pPr>
        <w:pStyle w:val="736"/>
        <w:rPr>
          <w:rtl/>
        </w:rPr>
      </w:pPr>
      <w:r w:rsidRPr="00C92787">
        <w:footnoteRef/>
      </w:r>
      <w:r w:rsidRPr="00C92787">
        <w:rPr>
          <w:rtl/>
        </w:rPr>
        <w:t xml:space="preserve"> </w:t>
      </w:r>
      <w:r w:rsidRPr="00B74C6A">
        <w:rPr>
          <w:rtl/>
        </w:rPr>
        <w:tab/>
        <w:t xml:space="preserve">מאיירס-ג'וינט-ברוקדייל ונציבות שוויון זכויות לאנשים עם מוגבלות, </w:t>
      </w:r>
      <w:r w:rsidRPr="00B74C6A">
        <w:rPr>
          <w:b/>
          <w:bCs/>
          <w:rtl/>
        </w:rPr>
        <w:t>אנשים עם מוגבלות בישראל 2021, נתונים סטטיסטיים נבחרים</w:t>
      </w:r>
      <w:r w:rsidRPr="00B74C6A">
        <w:rPr>
          <w:rtl/>
        </w:rPr>
        <w:t xml:space="preserve"> </w:t>
      </w:r>
      <w:r w:rsidRPr="00B74C6A">
        <w:t>https://www.gov.il/he/departments/news/sta</w:t>
      </w:r>
      <w:r w:rsidRPr="00B74C6A">
        <w:t>tistics_pwd_dec21</w:t>
      </w:r>
    </w:p>
  </w:footnote>
  <w:footnote w:id="32">
    <w:p w:rsidR="00B14302" w:rsidRPr="00B74C6A" w:rsidRDefault="00DF6A0A" w:rsidP="00B74C6A">
      <w:pPr>
        <w:pStyle w:val="736"/>
        <w:rPr>
          <w:rtl/>
        </w:rPr>
      </w:pPr>
      <w:r w:rsidRPr="00C92787">
        <w:footnoteRef/>
      </w:r>
      <w:r w:rsidRPr="00C92787">
        <w:rPr>
          <w:rtl/>
        </w:rPr>
        <w:t xml:space="preserve"> </w:t>
      </w:r>
      <w:r w:rsidRPr="00B74C6A">
        <w:rPr>
          <w:rtl/>
        </w:rPr>
        <w:tab/>
        <w:t xml:space="preserve">מאיירס-ג'וינט ברוקדייל, שם, עמ' 27. </w:t>
      </w:r>
    </w:p>
  </w:footnote>
  <w:footnote w:id="33">
    <w:p w:rsidR="00B14302" w:rsidRPr="00C92787" w:rsidRDefault="00DF6A0A" w:rsidP="00C92787">
      <w:pPr>
        <w:pStyle w:val="73f4"/>
        <w:rPr>
          <w:rtl/>
        </w:rPr>
      </w:pPr>
      <w:r w:rsidRPr="00C92787">
        <w:rPr>
          <w:rStyle w:val="a8"/>
          <w:vertAlign w:val="baseline"/>
        </w:rPr>
        <w:footnoteRef/>
      </w:r>
      <w:r w:rsidRPr="00C92787">
        <w:rPr>
          <w:rtl/>
        </w:rPr>
        <w:t xml:space="preserve"> </w:t>
      </w:r>
      <w:r w:rsidRPr="00C92787">
        <w:rPr>
          <w:rtl/>
        </w:rPr>
        <w:tab/>
      </w:r>
      <w:r w:rsidRPr="00C92787">
        <w:rPr>
          <w:rFonts w:hint="cs"/>
          <w:rtl/>
        </w:rPr>
        <w:t xml:space="preserve">סעיף 19ב לחוק. </w:t>
      </w:r>
    </w:p>
  </w:footnote>
  <w:footnote w:id="34">
    <w:p w:rsidR="00B14302" w:rsidRPr="00C92787" w:rsidRDefault="00DF6A0A" w:rsidP="00C92787">
      <w:pPr>
        <w:pStyle w:val="73f4"/>
        <w:rPr>
          <w:rtl/>
        </w:rPr>
      </w:pPr>
      <w:r w:rsidRPr="00C92787">
        <w:rPr>
          <w:rStyle w:val="a8"/>
          <w:vertAlign w:val="baseline"/>
        </w:rPr>
        <w:footnoteRef/>
      </w:r>
      <w:r w:rsidRPr="00C92787">
        <w:rPr>
          <w:rtl/>
        </w:rPr>
        <w:t xml:space="preserve"> </w:t>
      </w:r>
      <w:r w:rsidRPr="00C92787">
        <w:rPr>
          <w:rtl/>
        </w:rPr>
        <w:tab/>
      </w:r>
      <w:r w:rsidRPr="00C92787">
        <w:rPr>
          <w:rFonts w:hint="cs"/>
          <w:rtl/>
        </w:rPr>
        <w:t>סעיף 19י לחוק.</w:t>
      </w:r>
    </w:p>
  </w:footnote>
  <w:footnote w:id="35">
    <w:p w:rsidR="00B14302" w:rsidRPr="00C92787" w:rsidRDefault="00DF6A0A" w:rsidP="00C92787">
      <w:pPr>
        <w:pStyle w:val="73f4"/>
      </w:pPr>
      <w:r w:rsidRPr="00C92787">
        <w:rPr>
          <w:rStyle w:val="a8"/>
          <w:vertAlign w:val="baseline"/>
        </w:rPr>
        <w:footnoteRef/>
      </w:r>
      <w:r w:rsidRPr="00C92787">
        <w:rPr>
          <w:rtl/>
        </w:rPr>
        <w:t xml:space="preserve"> </w:t>
      </w:r>
      <w:r w:rsidRPr="00C92787">
        <w:rPr>
          <w:rtl/>
        </w:rPr>
        <w:tab/>
      </w:r>
      <w:r w:rsidRPr="00C92787">
        <w:rPr>
          <w:rFonts w:hint="cs"/>
          <w:rtl/>
        </w:rPr>
        <w:t>כהגדרתו בסימן ג' לחוק.</w:t>
      </w:r>
    </w:p>
  </w:footnote>
  <w:footnote w:id="36">
    <w:p w:rsidR="00B14302" w:rsidRPr="00B74C6A" w:rsidRDefault="00DF6A0A" w:rsidP="00C92787">
      <w:pPr>
        <w:pStyle w:val="73f4"/>
        <w:rPr>
          <w:rtl/>
        </w:rPr>
      </w:pPr>
      <w:r w:rsidRPr="00C92787">
        <w:rPr>
          <w:rStyle w:val="a8"/>
          <w:vertAlign w:val="baseline"/>
        </w:rPr>
        <w:footnoteRef/>
      </w:r>
      <w:r w:rsidRPr="00B74C6A">
        <w:rPr>
          <w:rtl/>
        </w:rPr>
        <w:t xml:space="preserve"> </w:t>
      </w:r>
      <w:r w:rsidRPr="00B74C6A">
        <w:rPr>
          <w:rtl/>
        </w:rPr>
        <w:tab/>
        <w:t xml:space="preserve">ראו להלן בפרק זה לוח ובו פירוט לגבי כמה מדרישות ההנגשה שעולות מן התקנות. </w:t>
      </w:r>
    </w:p>
  </w:footnote>
  <w:footnote w:id="37">
    <w:p w:rsidR="00B14302" w:rsidRPr="00B74C6A" w:rsidRDefault="00DF6A0A" w:rsidP="00B74C6A">
      <w:pPr>
        <w:pStyle w:val="736"/>
        <w:rPr>
          <w:rtl/>
        </w:rPr>
      </w:pPr>
      <w:r w:rsidRPr="00006C1F">
        <w:footnoteRef/>
      </w:r>
      <w:r w:rsidRPr="00006C1F">
        <w:rPr>
          <w:rtl/>
        </w:rPr>
        <w:t xml:space="preserve"> </w:t>
      </w:r>
      <w:r w:rsidRPr="00B74C6A">
        <w:rPr>
          <w:rtl/>
        </w:rPr>
        <w:tab/>
      </w:r>
      <w:r w:rsidRPr="00B74C6A">
        <w:rPr>
          <w:rtl/>
        </w:rPr>
        <w:t xml:space="preserve">הלמ"ס, הודעה לתקשורת שפורסמה לרגל יום האזרח הוותיק הבין-לאומי (2022). </w:t>
      </w:r>
    </w:p>
  </w:footnote>
  <w:footnote w:id="38">
    <w:p w:rsidR="00B14302" w:rsidRPr="0062515E" w:rsidRDefault="00DF6A0A" w:rsidP="0062515E">
      <w:pPr>
        <w:pStyle w:val="736"/>
        <w:rPr>
          <w:rtl/>
        </w:rPr>
      </w:pPr>
      <w:r w:rsidRPr="0062515E">
        <w:rPr>
          <w:rStyle w:val="a8"/>
          <w:vertAlign w:val="baseline"/>
        </w:rPr>
        <w:footnoteRef/>
      </w:r>
      <w:r w:rsidRPr="0062515E">
        <w:rPr>
          <w:rtl/>
        </w:rPr>
        <w:t xml:space="preserve"> </w:t>
      </w:r>
      <w:r w:rsidRPr="0062515E">
        <w:rPr>
          <w:rtl/>
        </w:rPr>
        <w:tab/>
        <w:t xml:space="preserve">סימן ג' </w:t>
      </w:r>
      <w:r w:rsidRPr="0062515E">
        <w:rPr>
          <w:rFonts w:hint="cs"/>
          <w:rtl/>
        </w:rPr>
        <w:t xml:space="preserve">בפרק ה' לתקנות שעניינו "שירותי האינטרנט" ובפרט תקנה 35ה </w:t>
      </w:r>
      <w:r w:rsidRPr="0062515E">
        <w:rPr>
          <w:rtl/>
        </w:rPr>
        <w:t>ותקנה 91</w:t>
      </w:r>
      <w:r w:rsidRPr="0062515E">
        <w:rPr>
          <w:rFonts w:hint="cs"/>
          <w:rtl/>
        </w:rPr>
        <w:t xml:space="preserve"> לעניין רכז הנגישות.</w:t>
      </w:r>
    </w:p>
  </w:footnote>
  <w:footnote w:id="39">
    <w:p w:rsidR="00B14302" w:rsidRPr="0062515E" w:rsidRDefault="00DF6A0A" w:rsidP="0062515E">
      <w:pPr>
        <w:pStyle w:val="736"/>
        <w:rPr>
          <w:rtl/>
        </w:rPr>
      </w:pPr>
      <w:r w:rsidRPr="0062515E">
        <w:rPr>
          <w:rStyle w:val="a8"/>
          <w:vertAlign w:val="baseline"/>
        </w:rPr>
        <w:footnoteRef/>
      </w:r>
      <w:r w:rsidRPr="0062515E">
        <w:rPr>
          <w:rtl/>
        </w:rPr>
        <w:t xml:space="preserve"> </w:t>
      </w:r>
      <w:r w:rsidRPr="0062515E">
        <w:rPr>
          <w:rtl/>
        </w:rPr>
        <w:tab/>
      </w:r>
      <w:r w:rsidRPr="0062515E">
        <w:rPr>
          <w:rFonts w:hint="cs"/>
          <w:rtl/>
        </w:rPr>
        <w:t>על פי ההגדרה ב</w:t>
      </w:r>
      <w:r w:rsidRPr="0062515E">
        <w:rPr>
          <w:rtl/>
        </w:rPr>
        <w:t>תקנה</w:t>
      </w:r>
      <w:r w:rsidRPr="0062515E">
        <w:rPr>
          <w:rFonts w:hint="cs"/>
          <w:rtl/>
        </w:rPr>
        <w:t xml:space="preserve"> </w:t>
      </w:r>
      <w:r w:rsidRPr="0062515E">
        <w:rPr>
          <w:rtl/>
        </w:rPr>
        <w:t>35</w:t>
      </w:r>
      <w:r w:rsidRPr="0062515E">
        <w:rPr>
          <w:rFonts w:hint="cs"/>
          <w:rtl/>
        </w:rPr>
        <w:t xml:space="preserve"> "שירות אינטרנט" - "</w:t>
      </w:r>
      <w:r w:rsidRPr="0062515E">
        <w:rPr>
          <w:rtl/>
        </w:rPr>
        <w:t xml:space="preserve">תכנים בכל תצורה (פורמט) ובכלל זה כתב (טקסט), </w:t>
      </w:r>
      <w:r w:rsidRPr="0062515E">
        <w:rPr>
          <w:rtl/>
        </w:rPr>
        <w:t>מסמכים, תמונות או וידאו, המועברים על תשתית רשת האינטרנט והמוצגים למשתמש באמצעות אתרי אינטרנט, מסמכים או יישומים (אפליקציות), שנועדו לספק למשתמש שירות ציבורי או מידע על שירות כאמור</w:t>
      </w:r>
      <w:r w:rsidRPr="0062515E">
        <w:rPr>
          <w:rFonts w:hint="cs"/>
          <w:rtl/>
        </w:rPr>
        <w:t>".</w:t>
      </w:r>
    </w:p>
  </w:footnote>
  <w:footnote w:id="40">
    <w:p w:rsidR="00B14302" w:rsidRPr="0062515E" w:rsidRDefault="00DF6A0A" w:rsidP="0062515E">
      <w:pPr>
        <w:pStyle w:val="736"/>
        <w:rPr>
          <w:rtl/>
        </w:rPr>
      </w:pPr>
      <w:r w:rsidRPr="0062515E">
        <w:rPr>
          <w:rStyle w:val="a8"/>
          <w:vertAlign w:val="baseline"/>
        </w:rPr>
        <w:footnoteRef/>
      </w:r>
      <w:r w:rsidRPr="0062515E">
        <w:rPr>
          <w:rtl/>
        </w:rPr>
        <w:t xml:space="preserve"> </w:t>
      </w:r>
      <w:r w:rsidRPr="0062515E">
        <w:rPr>
          <w:rtl/>
        </w:rPr>
        <w:tab/>
      </w:r>
      <w:r w:rsidRPr="0062515E">
        <w:rPr>
          <w:rFonts w:hint="cs"/>
          <w:rtl/>
        </w:rPr>
        <w:t>על פי סימן ג' בפרק ה' בתקנות, שבו מדובר ב</w:t>
      </w:r>
      <w:r w:rsidRPr="0062515E">
        <w:rPr>
          <w:rtl/>
        </w:rPr>
        <w:t>חובות הנגשה של רכיבים שונים בא</w:t>
      </w:r>
      <w:r w:rsidRPr="0062515E">
        <w:rPr>
          <w:rtl/>
        </w:rPr>
        <w:t>תר המרשתת</w:t>
      </w:r>
      <w:r w:rsidRPr="0062515E">
        <w:rPr>
          <w:rFonts w:hint="cs"/>
          <w:rtl/>
        </w:rPr>
        <w:t>,</w:t>
      </w:r>
      <w:r w:rsidRPr="0062515E">
        <w:rPr>
          <w:rtl/>
        </w:rPr>
        <w:t xml:space="preserve"> כגון מסמכים וטפסים.</w:t>
      </w:r>
    </w:p>
  </w:footnote>
  <w:footnote w:id="41">
    <w:p w:rsidR="00B14302" w:rsidRPr="0062515E" w:rsidRDefault="00DF6A0A" w:rsidP="0062515E">
      <w:pPr>
        <w:pStyle w:val="736"/>
        <w:rPr>
          <w:rtl/>
        </w:rPr>
      </w:pPr>
      <w:r w:rsidRPr="0062515E">
        <w:rPr>
          <w:rStyle w:val="a8"/>
          <w:vertAlign w:val="baseline"/>
        </w:rPr>
        <w:footnoteRef/>
      </w:r>
      <w:r w:rsidRPr="0062515E">
        <w:rPr>
          <w:rtl/>
        </w:rPr>
        <w:t xml:space="preserve"> </w:t>
      </w:r>
      <w:r w:rsidRPr="0062515E">
        <w:rPr>
          <w:rtl/>
        </w:rPr>
        <w:tab/>
      </w:r>
      <w:r w:rsidRPr="0062515E">
        <w:rPr>
          <w:rFonts w:hint="cs"/>
          <w:rtl/>
        </w:rPr>
        <w:t xml:space="preserve">תקנה 35ו(ג) לתקנות. התאמה חלופית יכולה להיות למשל אפשרות לקבל את השירות או המידע בטלפון. </w:t>
      </w:r>
    </w:p>
  </w:footnote>
  <w:footnote w:id="42">
    <w:p w:rsidR="00B14302" w:rsidRPr="00B74C6A" w:rsidRDefault="00DF6A0A" w:rsidP="0062515E">
      <w:pPr>
        <w:pStyle w:val="736"/>
      </w:pPr>
      <w:r w:rsidRPr="0062515E">
        <w:rPr>
          <w:rStyle w:val="a8"/>
          <w:vertAlign w:val="baseline"/>
        </w:rPr>
        <w:footnoteRef/>
      </w:r>
      <w:r w:rsidRPr="0062515E">
        <w:rPr>
          <w:rtl/>
        </w:rPr>
        <w:t xml:space="preserve"> </w:t>
      </w:r>
      <w:r w:rsidRPr="0062515E">
        <w:rPr>
          <w:rtl/>
        </w:rPr>
        <w:tab/>
      </w:r>
      <w:r>
        <w:fldChar w:fldCharType="begin"/>
      </w:r>
      <w:r>
        <w:instrText xml:space="preserve"> HYPERLINK "https://www.gov.il/he/departments" </w:instrText>
      </w:r>
      <w:r>
        <w:fldChar w:fldCharType="separate"/>
      </w:r>
      <w:r w:rsidRPr="0062515E">
        <w:rPr>
          <w:rStyle w:val="73ff2"/>
        </w:rPr>
        <w:t>https://www.gov.il/he/departments</w:t>
      </w:r>
      <w:r>
        <w:rPr>
          <w:rStyle w:val="73ff2"/>
        </w:rPr>
        <w:fldChar w:fldCharType="end"/>
      </w:r>
      <w:r w:rsidRPr="00B74C6A">
        <w:rPr>
          <w:rtl/>
        </w:rPr>
        <w:t>, קישור למידע על גופי ממשל.</w:t>
      </w:r>
    </w:p>
  </w:footnote>
  <w:footnote w:id="43">
    <w:p w:rsidR="00B14302" w:rsidRPr="00317ADC" w:rsidRDefault="00DF6A0A" w:rsidP="00317ADC">
      <w:pPr>
        <w:pStyle w:val="73f4"/>
        <w:rPr>
          <w:rtl/>
        </w:rPr>
      </w:pPr>
      <w:r w:rsidRPr="00317ADC">
        <w:rPr>
          <w:rStyle w:val="a8"/>
          <w:vertAlign w:val="baseline"/>
        </w:rPr>
        <w:footnoteRef/>
      </w:r>
      <w:r w:rsidRPr="00317ADC">
        <w:rPr>
          <w:rtl/>
        </w:rPr>
        <w:t xml:space="preserve"> </w:t>
      </w:r>
      <w:r w:rsidRPr="00317ADC">
        <w:rPr>
          <w:rtl/>
        </w:rPr>
        <w:tab/>
        <w:t xml:space="preserve">לסקר נבחרו </w:t>
      </w:r>
      <w:r w:rsidRPr="00317ADC">
        <w:rPr>
          <w:rtl/>
        </w:rPr>
        <w:t>גופים שמספקים שירותים ממשלתיים לציבור בתחומים שונים</w:t>
      </w:r>
      <w:r w:rsidRPr="00317ADC">
        <w:rPr>
          <w:rFonts w:hint="cs"/>
          <w:rtl/>
        </w:rPr>
        <w:t>,</w:t>
      </w:r>
      <w:r w:rsidRPr="00317ADC">
        <w:rPr>
          <w:rtl/>
        </w:rPr>
        <w:t xml:space="preserve"> כגון בריאות, חינוך, רווחה, תעסוקה, תחבורה ועוד.</w:t>
      </w:r>
      <w:r w:rsidRPr="00317ADC">
        <w:rPr>
          <w:rFonts w:hint="cs"/>
          <w:rtl/>
        </w:rPr>
        <w:t xml:space="preserve"> </w:t>
      </w:r>
    </w:p>
  </w:footnote>
  <w:footnote w:id="44">
    <w:p w:rsidR="00B14302" w:rsidRPr="00B74C6A" w:rsidRDefault="00DF6A0A" w:rsidP="00317ADC">
      <w:pPr>
        <w:pStyle w:val="73f4"/>
      </w:pPr>
      <w:r w:rsidRPr="00317ADC">
        <w:rPr>
          <w:rStyle w:val="a8"/>
          <w:vertAlign w:val="baseline"/>
        </w:rPr>
        <w:footnoteRef/>
      </w:r>
      <w:r w:rsidRPr="00317ADC">
        <w:rPr>
          <w:rtl/>
        </w:rPr>
        <w:t xml:space="preserve"> </w:t>
      </w:r>
      <w:r w:rsidRPr="00317ADC">
        <w:rPr>
          <w:rtl/>
        </w:rPr>
        <w:tab/>
      </w:r>
      <w:r w:rsidRPr="00B74C6A">
        <w:rPr>
          <w:rtl/>
        </w:rPr>
        <w:t>23 הגופים שהשיבו על הסקר עד סוף אוקטובר 2022 הם אלה: הביטוח הלאומי, המשרד לשירותי דת, הנהלת בתי המשפט, הסוכנות לעסקים קטנים ובינוניים - משרד הכלכלה והתעשייה, ועדת הבחירות המרכזית, משטרת ישראל, משרד הבינוי והשיכון, משרד הבריאות, משרד החוץ, משרד החינוך, משרד</w:t>
      </w:r>
      <w:r w:rsidRPr="00B74C6A">
        <w:rPr>
          <w:rtl/>
        </w:rPr>
        <w:t xml:space="preserve"> החקלאות ופיתוח הכפר, משרד המשפטים, משרד הפנים, משרד הרווחה והביטחון החברתי, משרד התחבורה, משרד התיירות, רכבת ישראל, רשות האכיפה והגבייה, רשות הטבע והגנים, רשות המיסים, רשות מקרקעי ישראל, רשות ניירות ערך ורשות שדות התעופה. שלושה גופים נוספים השיבו על הסקר </w:t>
      </w:r>
      <w:r w:rsidRPr="00B74C6A">
        <w:rPr>
          <w:rtl/>
        </w:rPr>
        <w:t xml:space="preserve">במועד מאוחר יותר, ותשובותיהם לא נכללו בניתוח הממצאים. </w:t>
      </w:r>
    </w:p>
  </w:footnote>
  <w:footnote w:id="45">
    <w:p w:rsidR="00B14302" w:rsidRPr="00317ADC" w:rsidRDefault="00DF6A0A" w:rsidP="00317ADC">
      <w:pPr>
        <w:pStyle w:val="73f4"/>
        <w:rPr>
          <w:rtl/>
        </w:rPr>
      </w:pPr>
      <w:r w:rsidRPr="00317ADC">
        <w:rPr>
          <w:rStyle w:val="a8"/>
          <w:vertAlign w:val="baseline"/>
        </w:rPr>
        <w:footnoteRef/>
      </w:r>
      <w:r w:rsidRPr="00317ADC">
        <w:rPr>
          <w:rtl/>
        </w:rPr>
        <w:t xml:space="preserve"> </w:t>
      </w:r>
      <w:r w:rsidRPr="00317ADC">
        <w:rPr>
          <w:rtl/>
        </w:rPr>
        <w:tab/>
      </w:r>
      <w:r w:rsidRPr="00317ADC">
        <w:rPr>
          <w:rFonts w:hint="cs"/>
          <w:rtl/>
        </w:rPr>
        <w:t xml:space="preserve">תשובות הגופים נבדקו וטויבו כדי לדייק את הממצאים. היו מקרים שבהם גוף השיב "כן" לשאלה אם אתר המרשתת שלו עומד בדרישות הנגישות, אולם כאשר נשאל לגבי נגישות של רכיבים באתר, כגון מסמכים, טפסים, תרשימים או </w:t>
      </w:r>
      <w:r w:rsidRPr="00317ADC">
        <w:rPr>
          <w:rFonts w:hint="cs"/>
          <w:rtl/>
        </w:rPr>
        <w:t xml:space="preserve">סרטונים - השיב לגבי חלק מהם כי אינם מונגשים. במקרים כאלה תוקנה התשובה "כן" ל"חלקית". הודעה על דרך זו של טיוב התשובות נמסרה לגופים שאליהם נשלח השאלון. </w:t>
      </w:r>
    </w:p>
  </w:footnote>
  <w:footnote w:id="46">
    <w:p w:rsidR="00B14302" w:rsidRPr="00B74C6A" w:rsidRDefault="00DF6A0A" w:rsidP="00317ADC">
      <w:pPr>
        <w:pStyle w:val="73f4"/>
      </w:pPr>
      <w:r w:rsidRPr="00317ADC">
        <w:rPr>
          <w:rStyle w:val="a8"/>
          <w:vertAlign w:val="baseline"/>
        </w:rPr>
        <w:footnoteRef/>
      </w:r>
      <w:r w:rsidRPr="00317ADC">
        <w:rPr>
          <w:rtl/>
        </w:rPr>
        <w:t xml:space="preserve"> </w:t>
      </w:r>
      <w:r w:rsidRPr="00317ADC">
        <w:rPr>
          <w:rtl/>
        </w:rPr>
        <w:tab/>
      </w:r>
      <w:r w:rsidRPr="00317ADC">
        <w:rPr>
          <w:rFonts w:hint="cs"/>
          <w:rtl/>
        </w:rPr>
        <w:t>סעיף 19מב לחוק. יצוין כי החובה חלה על מי שאחראי להספקת שירות ציבורי כהגדרתו, בסימן ד', המעסיק 25</w:t>
      </w:r>
      <w:r w:rsidRPr="00B74C6A">
        <w:rPr>
          <w:rtl/>
        </w:rPr>
        <w:t xml:space="preserve"> עובדי</w:t>
      </w:r>
      <w:r w:rsidRPr="00B74C6A">
        <w:rPr>
          <w:rtl/>
        </w:rPr>
        <w:t xml:space="preserve">ם לפחות. </w:t>
      </w:r>
    </w:p>
  </w:footnote>
  <w:footnote w:id="47">
    <w:p w:rsidR="00B14302" w:rsidRPr="00317ADC" w:rsidRDefault="00DF6A0A" w:rsidP="00317ADC">
      <w:pPr>
        <w:pStyle w:val="736"/>
        <w:rPr>
          <w:rtl/>
        </w:rPr>
      </w:pPr>
      <w:r w:rsidRPr="00317ADC">
        <w:rPr>
          <w:rStyle w:val="a8"/>
          <w:vertAlign w:val="baseline"/>
        </w:rPr>
        <w:footnoteRef/>
      </w:r>
      <w:r w:rsidRPr="00317ADC">
        <w:rPr>
          <w:rtl/>
        </w:rPr>
        <w:t xml:space="preserve"> </w:t>
      </w:r>
      <w:r w:rsidRPr="00317ADC">
        <w:rPr>
          <w:rtl/>
        </w:rPr>
        <w:tab/>
      </w:r>
      <w:r w:rsidRPr="00317ADC">
        <w:rPr>
          <w:rFonts w:hint="cs"/>
          <w:rtl/>
        </w:rPr>
        <w:t>תקנה 35א(ג)(1).</w:t>
      </w:r>
    </w:p>
  </w:footnote>
  <w:footnote w:id="48">
    <w:p w:rsidR="00B14302" w:rsidRPr="00317ADC" w:rsidRDefault="00DF6A0A" w:rsidP="00317ADC">
      <w:pPr>
        <w:pStyle w:val="736"/>
      </w:pPr>
      <w:r w:rsidRPr="00317ADC">
        <w:rPr>
          <w:rStyle w:val="a8"/>
          <w:vertAlign w:val="baseline"/>
        </w:rPr>
        <w:footnoteRef/>
      </w:r>
      <w:r w:rsidRPr="00317ADC">
        <w:rPr>
          <w:rtl/>
        </w:rPr>
        <w:t xml:space="preserve"> </w:t>
      </w:r>
      <w:r w:rsidRPr="00317ADC">
        <w:rPr>
          <w:rtl/>
        </w:rPr>
        <w:tab/>
      </w:r>
      <w:r w:rsidRPr="00317ADC">
        <w:rPr>
          <w:rFonts w:hint="cs"/>
          <w:rtl/>
        </w:rPr>
        <w:t xml:space="preserve">למעט מסמכים ב"אזור האישי" שאליו המשתמש מתחבר באמצעות מערכת ההזדהות הלאומית כדי לקבל שירות. בכל הנוגע להנגשת מסמך נאמר בתקנות כי כל עוד אין תקן בעניין "התאמות הנגישות במסמך ייעשו בהתאם לאפשרויות הנגישות הסבירות שניתנו לביצוע </w:t>
      </w:r>
      <w:r w:rsidRPr="00317ADC">
        <w:rPr>
          <w:rFonts w:hint="cs"/>
          <w:rtl/>
        </w:rPr>
        <w:t xml:space="preserve">במסגרת התוכנה שבה נוצר או נערך המסמך". </w:t>
      </w:r>
    </w:p>
  </w:footnote>
  <w:footnote w:id="49">
    <w:p w:rsidR="00B14302" w:rsidRPr="00317ADC" w:rsidRDefault="00DF6A0A" w:rsidP="00317ADC">
      <w:pPr>
        <w:pStyle w:val="736"/>
      </w:pPr>
      <w:r w:rsidRPr="00317ADC">
        <w:rPr>
          <w:rStyle w:val="a8"/>
          <w:vertAlign w:val="baseline"/>
        </w:rPr>
        <w:footnoteRef/>
      </w:r>
      <w:r w:rsidRPr="00317ADC">
        <w:rPr>
          <w:rtl/>
        </w:rPr>
        <w:t xml:space="preserve"> </w:t>
      </w:r>
      <w:r w:rsidRPr="00317ADC">
        <w:rPr>
          <w:rtl/>
        </w:rPr>
        <w:tab/>
      </w:r>
      <w:r w:rsidRPr="00317ADC">
        <w:rPr>
          <w:rFonts w:hint="cs"/>
          <w:rtl/>
        </w:rPr>
        <w:t>טפסים מקוונים - טפסים למילוי במחשב ומסמכי ההסבר שנלווים לטפסים אלה. הדרישה להנגשתם מעוגנת בתקנות הנגישות, בתקנה 35א (ג)(2). יצוין כי לעניין הנגשה, טפסים שאינם מקוונים הם בבחינת מסמכים.</w:t>
      </w:r>
    </w:p>
  </w:footnote>
  <w:footnote w:id="50">
    <w:p w:rsidR="00B14302" w:rsidRPr="00317ADC" w:rsidRDefault="00DF6A0A" w:rsidP="00317ADC">
      <w:pPr>
        <w:pStyle w:val="736"/>
        <w:rPr>
          <w:rtl/>
        </w:rPr>
      </w:pPr>
      <w:r w:rsidRPr="00317ADC">
        <w:rPr>
          <w:rStyle w:val="a8"/>
          <w:vertAlign w:val="baseline"/>
        </w:rPr>
        <w:footnoteRef/>
      </w:r>
      <w:r w:rsidRPr="00317ADC">
        <w:rPr>
          <w:rtl/>
        </w:rPr>
        <w:t xml:space="preserve"> </w:t>
      </w:r>
      <w:r w:rsidRPr="00317ADC">
        <w:rPr>
          <w:rtl/>
        </w:rPr>
        <w:tab/>
      </w:r>
      <w:r w:rsidRPr="00317ADC">
        <w:rPr>
          <w:rFonts w:hint="cs"/>
          <w:rtl/>
        </w:rPr>
        <w:t>הוספת הכתוביות נדרשת על פ</w:t>
      </w:r>
      <w:r w:rsidRPr="00317ADC">
        <w:rPr>
          <w:rFonts w:hint="cs"/>
          <w:rtl/>
        </w:rPr>
        <w:t xml:space="preserve">י תקנה 35ד. לתקנות הנגישות. </w:t>
      </w:r>
    </w:p>
  </w:footnote>
  <w:footnote w:id="51">
    <w:p w:rsidR="00B14302" w:rsidRPr="00B74C6A" w:rsidRDefault="00DF6A0A" w:rsidP="00317ADC">
      <w:pPr>
        <w:pStyle w:val="736"/>
        <w:rPr>
          <w:rtl/>
        </w:rPr>
      </w:pPr>
      <w:r w:rsidRPr="00317ADC">
        <w:rPr>
          <w:rStyle w:val="a8"/>
          <w:vertAlign w:val="baseline"/>
        </w:rPr>
        <w:footnoteRef/>
      </w:r>
      <w:r w:rsidRPr="00317ADC">
        <w:rPr>
          <w:rtl/>
        </w:rPr>
        <w:t xml:space="preserve"> </w:t>
      </w:r>
      <w:r w:rsidRPr="00317ADC">
        <w:rPr>
          <w:rtl/>
        </w:rPr>
        <w:tab/>
      </w:r>
      <w:r w:rsidRPr="00317ADC">
        <w:rPr>
          <w:rFonts w:hint="cs"/>
          <w:rtl/>
        </w:rPr>
        <w:t>במקרה הצורך נעשה טיוב של התשובות. היו גופים שהשיבו לשאלה "האם האתר בכללותו עומד בדרישות הנגישות"</w:t>
      </w:r>
      <w:r w:rsidRPr="00B74C6A">
        <w:rPr>
          <w:rtl/>
        </w:rPr>
        <w:t xml:space="preserve"> - "כן", ואולם כאשר נשאלו לגבי רכיבים באתר - "האם כל המסמכים נגישים?", "האם כל הטפסים המקוונים נגישים?" ועוד, השיבו "לא" או "חלק</w:t>
      </w:r>
      <w:r w:rsidRPr="00B74C6A">
        <w:rPr>
          <w:rtl/>
        </w:rPr>
        <w:t>ית". במקרה כזה התשובה "כן" לגבי נגישות האתר בכללותו לא שיקפה את המציאות העולה מהתשובות הפרטניות, ולפיכך נדרש היה לתקנה כך שתעלה בקנה אחד עימן. במקרה שבו גוף ציין לגבי רכיבים מסוימים כי הם הונגשו רק בחלקם - תוקנה התשובה לגבי נגישות האתר בכללותו מ"כן" ל"חלקי</w:t>
      </w:r>
      <w:r w:rsidRPr="00B74C6A">
        <w:rPr>
          <w:rtl/>
        </w:rPr>
        <w:t xml:space="preserve">ת". הודעה והסבר על ביצוע הטיוב נשלחו לגופים שהשיבו על הסקר. </w:t>
      </w:r>
    </w:p>
  </w:footnote>
  <w:footnote w:id="52">
    <w:p w:rsidR="00B14302" w:rsidRPr="00F25780" w:rsidRDefault="00DF6A0A" w:rsidP="00F25780">
      <w:pPr>
        <w:pStyle w:val="736"/>
        <w:rPr>
          <w:rtl/>
        </w:rPr>
      </w:pPr>
      <w:r w:rsidRPr="00F25780">
        <w:rPr>
          <w:rStyle w:val="a8"/>
          <w:vertAlign w:val="baseline"/>
        </w:rPr>
        <w:footnoteRef/>
      </w:r>
      <w:r w:rsidRPr="00F25780">
        <w:rPr>
          <w:rtl/>
        </w:rPr>
        <w:t xml:space="preserve"> </w:t>
      </w:r>
      <w:r w:rsidRPr="00F25780">
        <w:rPr>
          <w:rtl/>
        </w:rPr>
        <w:tab/>
        <w:t>ראו להלן תשובתו של משרד התיירות למשרד מבקר המדינה.</w:t>
      </w:r>
    </w:p>
  </w:footnote>
  <w:footnote w:id="53">
    <w:p w:rsidR="00B14302" w:rsidRPr="00A211BC" w:rsidRDefault="00DF6A0A" w:rsidP="00A211BC">
      <w:pPr>
        <w:pStyle w:val="73f4"/>
        <w:rPr>
          <w:rtl/>
        </w:rPr>
      </w:pPr>
      <w:r w:rsidRPr="00A211BC">
        <w:rPr>
          <w:rStyle w:val="a8"/>
          <w:vertAlign w:val="baseline"/>
        </w:rPr>
        <w:footnoteRef/>
      </w:r>
      <w:r w:rsidRPr="00A211BC">
        <w:rPr>
          <w:rtl/>
        </w:rPr>
        <w:t xml:space="preserve"> </w:t>
      </w:r>
      <w:r w:rsidRPr="00A211BC">
        <w:rPr>
          <w:rtl/>
        </w:rPr>
        <w:tab/>
      </w:r>
      <w:r w:rsidRPr="00A211BC">
        <w:rPr>
          <w:rFonts w:hint="cs"/>
          <w:rtl/>
        </w:rPr>
        <w:t xml:space="preserve">הבחירות לכנסת העשרים וארבע התקיימו בשנת 2021. </w:t>
      </w:r>
    </w:p>
  </w:footnote>
  <w:footnote w:id="54">
    <w:p w:rsidR="00B14302" w:rsidRPr="00A211BC" w:rsidRDefault="00DF6A0A" w:rsidP="00A211BC">
      <w:pPr>
        <w:pStyle w:val="73f4"/>
      </w:pPr>
      <w:r w:rsidRPr="00A211BC">
        <w:rPr>
          <w:rStyle w:val="a8"/>
          <w:vertAlign w:val="baseline"/>
        </w:rPr>
        <w:footnoteRef/>
      </w:r>
      <w:r w:rsidRPr="00A211BC">
        <w:rPr>
          <w:rtl/>
        </w:rPr>
        <w:t xml:space="preserve"> </w:t>
      </w:r>
      <w:r w:rsidRPr="00A211BC">
        <w:rPr>
          <w:rtl/>
        </w:rPr>
        <w:tab/>
      </w:r>
      <w:r w:rsidRPr="00A211BC">
        <w:rPr>
          <w:rFonts w:hint="cs"/>
          <w:rtl/>
        </w:rPr>
        <w:t>משרד החוץ ציין כי אתרי המרשתת בארץ פועלים על תשתית האתר הממשלתי האחוד, ואילו אתרי הנציגו</w:t>
      </w:r>
      <w:r w:rsidRPr="00A211BC">
        <w:rPr>
          <w:rFonts w:hint="cs"/>
          <w:rtl/>
        </w:rPr>
        <w:t xml:space="preserve">יות שלו אינם פועלים על תשתית זו. </w:t>
      </w:r>
    </w:p>
  </w:footnote>
  <w:footnote w:id="55">
    <w:p w:rsidR="00B14302" w:rsidRPr="00B74C6A" w:rsidRDefault="00DF6A0A" w:rsidP="00A211BC">
      <w:pPr>
        <w:pStyle w:val="73f4"/>
      </w:pPr>
      <w:r w:rsidRPr="00A211BC">
        <w:rPr>
          <w:rStyle w:val="a8"/>
          <w:vertAlign w:val="baseline"/>
        </w:rPr>
        <w:footnoteRef/>
      </w:r>
      <w:r w:rsidRPr="00B74C6A">
        <w:rPr>
          <w:rtl/>
        </w:rPr>
        <w:t xml:space="preserve"> </w:t>
      </w:r>
      <w:r w:rsidRPr="00B74C6A">
        <w:rPr>
          <w:rtl/>
        </w:rPr>
        <w:tab/>
        <w:t xml:space="preserve">תקנה 28 לתקנות הנגישות. </w:t>
      </w:r>
    </w:p>
  </w:footnote>
  <w:footnote w:id="56">
    <w:p w:rsidR="00B14302" w:rsidRPr="00B74C6A" w:rsidRDefault="00DF6A0A" w:rsidP="00B74C6A">
      <w:pPr>
        <w:pStyle w:val="736"/>
      </w:pPr>
      <w:r w:rsidRPr="00A211BC">
        <w:footnoteRef/>
      </w:r>
      <w:r w:rsidRPr="00B74C6A">
        <w:rPr>
          <w:rtl/>
        </w:rPr>
        <w:t xml:space="preserve"> </w:t>
      </w:r>
      <w:r w:rsidRPr="00B74C6A">
        <w:rPr>
          <w:rtl/>
        </w:rPr>
        <w:tab/>
        <w:t xml:space="preserve">הממצאים נוגעים לדיווח על ביצוע בדיקת נגישות באתר המרשתת הציבורי הראשי של כל גוף, ואינם נוגעים לאתרי משנה שהוא מפעיל. </w:t>
      </w:r>
    </w:p>
  </w:footnote>
  <w:footnote w:id="57">
    <w:p w:rsidR="00B14302" w:rsidRPr="00B74C6A" w:rsidRDefault="00DF6A0A" w:rsidP="00B74C6A">
      <w:pPr>
        <w:pStyle w:val="736"/>
      </w:pPr>
      <w:r w:rsidRPr="00A211BC">
        <w:footnoteRef/>
      </w:r>
      <w:r w:rsidRPr="00A211BC">
        <w:rPr>
          <w:rtl/>
        </w:rPr>
        <w:t xml:space="preserve"> </w:t>
      </w:r>
      <w:r w:rsidRPr="00B74C6A">
        <w:rPr>
          <w:rtl/>
        </w:rPr>
        <w:tab/>
        <w:t>משטרת ישראל, רשות המיסים והנהלת בתי המשפט.</w:t>
      </w:r>
    </w:p>
  </w:footnote>
  <w:footnote w:id="58">
    <w:p w:rsidR="00B14302" w:rsidRPr="00A211BC" w:rsidRDefault="00DF6A0A" w:rsidP="00A211BC">
      <w:pPr>
        <w:pStyle w:val="736"/>
        <w:rPr>
          <w:rtl/>
        </w:rPr>
      </w:pPr>
      <w:r w:rsidRPr="00A211BC">
        <w:rPr>
          <w:rStyle w:val="a8"/>
          <w:vertAlign w:val="baseline"/>
        </w:rPr>
        <w:footnoteRef/>
      </w:r>
      <w:r w:rsidRPr="00A211BC">
        <w:rPr>
          <w:rtl/>
        </w:rPr>
        <w:t xml:space="preserve"> </w:t>
      </w:r>
      <w:r w:rsidRPr="00A211BC">
        <w:rPr>
          <w:rtl/>
        </w:rPr>
        <w:tab/>
      </w:r>
      <w:r w:rsidRPr="00A211BC">
        <w:rPr>
          <w:rFonts w:hint="cs"/>
          <w:rtl/>
        </w:rPr>
        <w:t xml:space="preserve">הבדיקות נעשו באמצעות חברה חיצונית שעוסקת בבדיקה ובייעוץ בנושא הנגשת מידע ושירותים במרשתת. </w:t>
      </w:r>
    </w:p>
  </w:footnote>
  <w:footnote w:id="59">
    <w:p w:rsidR="00B14302" w:rsidRPr="00A211BC" w:rsidRDefault="00DF6A0A" w:rsidP="00A211BC">
      <w:pPr>
        <w:pStyle w:val="736"/>
      </w:pPr>
      <w:r w:rsidRPr="00A211BC">
        <w:rPr>
          <w:rStyle w:val="a8"/>
          <w:vertAlign w:val="baseline"/>
        </w:rPr>
        <w:footnoteRef/>
      </w:r>
      <w:r w:rsidRPr="00A211BC">
        <w:rPr>
          <w:rtl/>
        </w:rPr>
        <w:t xml:space="preserve"> </w:t>
      </w:r>
      <w:r w:rsidRPr="00A211BC">
        <w:rPr>
          <w:rtl/>
        </w:rPr>
        <w:tab/>
        <w:t>הנהלת בתי המשפט מרכזת את פעילותה של המעטפת האדמיניסטרטיבית של הרשות השופטת. היא מסייעת לדרג השיפוטי והמ</w:t>
      </w:r>
      <w:r w:rsidRPr="00A211BC">
        <w:rPr>
          <w:rFonts w:hint="cs"/>
          <w:rtl/>
        </w:rPr>
        <w:t>י</w:t>
      </w:r>
      <w:r w:rsidRPr="00A211BC">
        <w:rPr>
          <w:rtl/>
        </w:rPr>
        <w:t>נהלי בבתי המשפט ברחבי הארץ ותומכת בו.</w:t>
      </w:r>
    </w:p>
  </w:footnote>
  <w:footnote w:id="60">
    <w:p w:rsidR="00B14302" w:rsidRPr="00A211BC" w:rsidRDefault="00DF6A0A" w:rsidP="00A211BC">
      <w:pPr>
        <w:pStyle w:val="736"/>
      </w:pPr>
      <w:r w:rsidRPr="00A211BC">
        <w:rPr>
          <w:rStyle w:val="a8"/>
          <w:vertAlign w:val="baseline"/>
        </w:rPr>
        <w:footnoteRef/>
      </w:r>
      <w:r w:rsidRPr="00A211BC">
        <w:rPr>
          <w:rtl/>
        </w:rPr>
        <w:t xml:space="preserve"> </w:t>
      </w:r>
      <w:r w:rsidRPr="00A211BC">
        <w:rPr>
          <w:rtl/>
        </w:rPr>
        <w:tab/>
        <w:t>מערכת נט המשפט הי</w:t>
      </w:r>
      <w:r w:rsidRPr="00A211BC">
        <w:rPr>
          <w:rtl/>
        </w:rPr>
        <w:t>א מערכת של הנהלת בתי המשפט, ומטרתה לאפשר לנהל תיקים אלקטרוניים ותהליכים הקשורים לעבודת בתי המשפט. המערכת משרתת דרגים שיפוטיים ומזכירותיים ו</w:t>
      </w:r>
      <w:r w:rsidRPr="00A211BC">
        <w:rPr>
          <w:rFonts w:hint="cs"/>
          <w:rtl/>
        </w:rPr>
        <w:t>כן</w:t>
      </w:r>
      <w:r w:rsidRPr="00A211BC">
        <w:rPr>
          <w:rtl/>
        </w:rPr>
        <w:t xml:space="preserve"> את קהל עורכי הדין, בעלי העניין והציבור הרחב.</w:t>
      </w:r>
    </w:p>
  </w:footnote>
  <w:footnote w:id="61">
    <w:p w:rsidR="00B14302" w:rsidRPr="00A211BC" w:rsidRDefault="00DF6A0A" w:rsidP="00A211BC">
      <w:pPr>
        <w:pStyle w:val="736"/>
      </w:pPr>
      <w:r w:rsidRPr="00A211BC">
        <w:rPr>
          <w:rStyle w:val="a8"/>
          <w:vertAlign w:val="baseline"/>
        </w:rPr>
        <w:footnoteRef/>
      </w:r>
      <w:r w:rsidRPr="00A211BC">
        <w:rPr>
          <w:rtl/>
        </w:rPr>
        <w:t xml:space="preserve"> </w:t>
      </w:r>
      <w:r w:rsidRPr="00A211BC">
        <w:rPr>
          <w:rtl/>
        </w:rPr>
        <w:tab/>
      </w:r>
      <w:r w:rsidRPr="00A211BC">
        <w:rPr>
          <w:rFonts w:hint="cs"/>
          <w:rtl/>
        </w:rPr>
        <w:t>כיוון שנבדקה הנגישות של שני האתרים ששייכים להנהלת בתי המשפט, הן הא</w:t>
      </w:r>
      <w:r w:rsidRPr="00A211BC">
        <w:rPr>
          <w:rFonts w:hint="cs"/>
          <w:rtl/>
        </w:rPr>
        <w:t xml:space="preserve">תר הכללי נט המשפט והן האתר הפרטני של בית המשפט העליון, נחשבו לעניין הניתוח של הממצאים שני אתרים של גוף אחד. לפיכך מדובר בבדיקת 15 אתרי מרשתת של 14 גופי ממשל. </w:t>
      </w:r>
    </w:p>
  </w:footnote>
  <w:footnote w:id="62">
    <w:p w:rsidR="00B14302" w:rsidRPr="00FE5D2A" w:rsidRDefault="00DF6A0A" w:rsidP="00A211BC">
      <w:pPr>
        <w:pStyle w:val="736"/>
        <w:rPr>
          <w:spacing w:val="-4"/>
          <w:rtl/>
        </w:rPr>
      </w:pPr>
      <w:r w:rsidRPr="00FE5D2A">
        <w:rPr>
          <w:rStyle w:val="a8"/>
          <w:spacing w:val="-4"/>
          <w:vertAlign w:val="baseline"/>
        </w:rPr>
        <w:footnoteRef/>
      </w:r>
      <w:r w:rsidRPr="00FE5D2A">
        <w:rPr>
          <w:spacing w:val="-4"/>
          <w:rtl/>
        </w:rPr>
        <w:t xml:space="preserve"> </w:t>
      </w:r>
      <w:r w:rsidRPr="00FE5D2A">
        <w:rPr>
          <w:spacing w:val="-4"/>
          <w:rtl/>
        </w:rPr>
        <w:tab/>
      </w:r>
      <w:r w:rsidRPr="00FE5D2A">
        <w:rPr>
          <w:rFonts w:hint="cs"/>
          <w:spacing w:val="-4"/>
          <w:rtl/>
        </w:rPr>
        <w:t xml:space="preserve">בדוח זה, כאשר נכתב "רכיב" הכוונה היא למסמך, טופס, מיצג חזותי (כגון תמונה או תרשים) ועוד. נבדק </w:t>
      </w:r>
      <w:r w:rsidRPr="00FE5D2A">
        <w:rPr>
          <w:rFonts w:hint="cs"/>
          <w:spacing w:val="-4"/>
          <w:rtl/>
        </w:rPr>
        <w:t>אם הרכיב הונגש לאנשים עם מוגבלויות שונות. "היבט" הנוגע להנגשה הוא למשל ניגודיות או יכולת להגדיל תצוגה. רכיב יכול להימצא לא נגיש בגלל שהיבט אחד או יותר בו לא הונגשו. היבטים של נגישות נבדקו לא רק בקשר לרכיבים כגון מסמכים וטפסים אלא גם בקשר למסכים שבאתר המרשת</w:t>
      </w:r>
      <w:r w:rsidRPr="00FE5D2A">
        <w:rPr>
          <w:rFonts w:hint="cs"/>
          <w:spacing w:val="-4"/>
          <w:rtl/>
        </w:rPr>
        <w:t xml:space="preserve">ת - למשל מסך הבית של האתר - האם הניגודיות היא ברמה הנדרשת, האם אפשר להגדיל תצוגה במסך ובמקרים שבהם מופיעה תנועה על המסך - האם יש יכולת לעצור או להסתיר אותה. </w:t>
      </w:r>
    </w:p>
  </w:footnote>
  <w:footnote w:id="63">
    <w:p w:rsidR="00B14302" w:rsidRPr="00B74C6A" w:rsidRDefault="00DF6A0A" w:rsidP="00A211BC">
      <w:pPr>
        <w:pStyle w:val="736"/>
        <w:rPr>
          <w:rtl/>
        </w:rPr>
      </w:pPr>
      <w:r w:rsidRPr="00A211BC">
        <w:rPr>
          <w:rStyle w:val="a8"/>
          <w:vertAlign w:val="baseline"/>
        </w:rPr>
        <w:footnoteRef/>
      </w:r>
      <w:r w:rsidRPr="00A211BC">
        <w:rPr>
          <w:rtl/>
        </w:rPr>
        <w:t xml:space="preserve"> </w:t>
      </w:r>
      <w:r w:rsidRPr="00A211BC">
        <w:rPr>
          <w:rtl/>
        </w:rPr>
        <w:tab/>
      </w:r>
      <w:r w:rsidRPr="00A211BC">
        <w:rPr>
          <w:rFonts w:hint="cs"/>
          <w:rtl/>
        </w:rPr>
        <w:t xml:space="preserve">כאמור, </w:t>
      </w:r>
      <w:r w:rsidRPr="00A211BC">
        <w:rPr>
          <w:rtl/>
        </w:rPr>
        <w:t xml:space="preserve">באתרי מרשתת ממשלתיים שמנוהלים על תשתית של </w:t>
      </w:r>
      <w:r w:rsidRPr="00A211BC">
        <w:rPr>
          <w:rFonts w:hint="cs"/>
          <w:rtl/>
        </w:rPr>
        <w:t>ה</w:t>
      </w:r>
      <w:r w:rsidRPr="00A211BC">
        <w:rPr>
          <w:rtl/>
        </w:rPr>
        <w:t xml:space="preserve">אתר </w:t>
      </w:r>
      <w:r w:rsidRPr="00A211BC">
        <w:rPr>
          <w:rFonts w:hint="cs"/>
          <w:rtl/>
        </w:rPr>
        <w:t>ה</w:t>
      </w:r>
      <w:r w:rsidRPr="00A211BC">
        <w:rPr>
          <w:rtl/>
        </w:rPr>
        <w:t xml:space="preserve">ממשלתי </w:t>
      </w:r>
      <w:r w:rsidRPr="00A211BC">
        <w:rPr>
          <w:rFonts w:hint="cs"/>
          <w:rtl/>
        </w:rPr>
        <w:t>ה</w:t>
      </w:r>
      <w:r w:rsidRPr="00A211BC">
        <w:rPr>
          <w:rtl/>
        </w:rPr>
        <w:t>אחוד (</w:t>
      </w:r>
      <w:r w:rsidRPr="00A211BC">
        <w:t>gov.il</w:t>
      </w:r>
      <w:r w:rsidRPr="00A211BC">
        <w:rPr>
          <w:rtl/>
        </w:rPr>
        <w:t xml:space="preserve">) חלק מרכיבי ההנגשה </w:t>
      </w:r>
      <w:r w:rsidRPr="00A211BC">
        <w:rPr>
          <w:rtl/>
        </w:rPr>
        <w:t>מסופקים</w:t>
      </w:r>
      <w:r w:rsidRPr="00B74C6A">
        <w:rPr>
          <w:rtl/>
        </w:rPr>
        <w:t xml:space="preserve"> על ידי מערך הדיגיטל הלאומי שמנהל תשתית זו, וחלקם באחריות גופי הממשל שמפעילים את האתר הספציפי על אותה תשתית.</w:t>
      </w:r>
    </w:p>
  </w:footnote>
  <w:footnote w:id="64">
    <w:p w:rsidR="00B14302" w:rsidRPr="004E7B2D" w:rsidRDefault="00DF6A0A" w:rsidP="004E7B2D">
      <w:pPr>
        <w:pStyle w:val="736"/>
        <w:rPr>
          <w:rtl/>
        </w:rPr>
      </w:pPr>
      <w:r w:rsidRPr="004E7B2D">
        <w:rPr>
          <w:rStyle w:val="a8"/>
          <w:vertAlign w:val="baseline"/>
        </w:rPr>
        <w:footnoteRef/>
      </w:r>
      <w:r w:rsidRPr="004E7B2D">
        <w:rPr>
          <w:rtl/>
        </w:rPr>
        <w:t xml:space="preserve"> </w:t>
      </w:r>
      <w:r w:rsidRPr="004E7B2D">
        <w:rPr>
          <w:rtl/>
        </w:rPr>
        <w:tab/>
      </w:r>
      <w:r w:rsidRPr="004E7B2D">
        <w:rPr>
          <w:rFonts w:hint="cs"/>
          <w:rtl/>
        </w:rPr>
        <w:t xml:space="preserve">בתקנות הנגישות ניתן למצוא התייחסות מילולית לחלק מן הרכיבים המופיעים בטבלה, למשל החובה להנגיש מסמכים וטפסים. ישנם רכיבים אחרים שמופיעים </w:t>
      </w:r>
      <w:r w:rsidRPr="004E7B2D">
        <w:rPr>
          <w:rFonts w:hint="cs"/>
          <w:rtl/>
        </w:rPr>
        <w:t>בטבלה ונובעים מכוח התקנות וניתן למצוא את ההתייחסות אליה</w:t>
      </w:r>
      <w:r>
        <w:rPr>
          <w:rFonts w:hint="cs"/>
          <w:rtl/>
        </w:rPr>
        <w:t>ם</w:t>
      </w:r>
      <w:r w:rsidRPr="004E7B2D">
        <w:rPr>
          <w:rFonts w:hint="cs"/>
          <w:rtl/>
        </w:rPr>
        <w:t xml:space="preserve"> בתקן הישראלי, הנזכר בתקנות שהוא כלי שבו ביטוי ופירוש מעשי לדרישות הנגישות. בהתאם לכך, למשל, הדרישה להוסיף מלל חלופי או הדרישה לניגודיות עולות מכוחן של התקנות הדורשות שמסמכים וטפסים יהיו נגישים. בתקן </w:t>
      </w:r>
      <w:r w:rsidRPr="004E7B2D">
        <w:rPr>
          <w:rFonts w:hint="cs"/>
          <w:rtl/>
        </w:rPr>
        <w:t xml:space="preserve">הישראלי יש ביטוי מעשי לדרישות אלה, ובו ניתן למצוא התייחסות לצורך להוסיף מלל חלופי לאלמנטים ויזואליים המוצגים, למשל, במסמך כדי שיהיה נגיש. התקן מפרט גם סטנדרטים נדרשים של הנגשה, למשל הרמה של הניגודיות הנדרשת. </w:t>
      </w:r>
    </w:p>
  </w:footnote>
  <w:footnote w:id="65">
    <w:p w:rsidR="00B14302" w:rsidRPr="00B74C6A" w:rsidRDefault="00DF6A0A" w:rsidP="004E7B2D">
      <w:pPr>
        <w:pStyle w:val="736"/>
        <w:rPr>
          <w:rtl/>
        </w:rPr>
      </w:pPr>
      <w:r w:rsidRPr="004E7B2D">
        <w:rPr>
          <w:rStyle w:val="a8"/>
          <w:vertAlign w:val="baseline"/>
        </w:rPr>
        <w:footnoteRef/>
      </w:r>
      <w:r w:rsidRPr="004E7B2D">
        <w:rPr>
          <w:rtl/>
        </w:rPr>
        <w:t xml:space="preserve"> </w:t>
      </w:r>
      <w:r w:rsidRPr="004E7B2D">
        <w:rPr>
          <w:rtl/>
        </w:rPr>
        <w:tab/>
        <w:t>הנגישות</w:t>
      </w:r>
      <w:r w:rsidRPr="00B74C6A">
        <w:rPr>
          <w:rtl/>
        </w:rPr>
        <w:t xml:space="preserve"> של המסמך תהיה לפי הוראות התקן, "וכל עוד אין תקן בעניין, התאמות הנגישות במסמך ייעשו בהתאם לאפשרויות הנגישות הסבירות שניתנו לביצוע במסגרת התוכנה שבה נוצר או נערך המסמך". מדובר במסמכים באתר למעט אלה שנמצאים באזור האישי - אזור לביצוע פעולות על ידי המשתמש. </w:t>
      </w:r>
    </w:p>
  </w:footnote>
  <w:footnote w:id="66">
    <w:p w:rsidR="00B14302" w:rsidRPr="00B74C6A" w:rsidRDefault="00DF6A0A" w:rsidP="005A0A46">
      <w:pPr>
        <w:pStyle w:val="736"/>
        <w:rPr>
          <w:rtl/>
        </w:rPr>
      </w:pPr>
      <w:r w:rsidRPr="005A0A46">
        <w:footnoteRef/>
      </w:r>
      <w:r w:rsidRPr="005A0A46">
        <w:rPr>
          <w:rtl/>
        </w:rPr>
        <w:t xml:space="preserve"> </w:t>
      </w:r>
      <w:r w:rsidRPr="00B74C6A">
        <w:rPr>
          <w:rtl/>
        </w:rPr>
        <w:tab/>
        <w:t>בניתוח נתוני הבדיקה נלקחו בחשבון ממצאים שעלו מבדיקת עמוד הבית בכל אחד מאתרי מרשתת שנבדקו, וכן ממצאים שעלו מבדיקת טופס מקוון, שני מסמכים, סרטונים ורכיבים ויזואליים שבאתר. יצוין כי בבדיקה של אתר מרשתת נכללו גם עמודים נוספים, שלא נכללו בניתוח הממצאים ומה שנמ</w:t>
      </w:r>
      <w:r w:rsidRPr="00B74C6A">
        <w:rPr>
          <w:rtl/>
        </w:rPr>
        <w:t>צא בבדיקה שלהם הועבר גם הוא במהלך הביקורת לכל אחד מהגופים כדי ליידע אותם בדבר כלל הליקויים שעלו, וכדי שהם יוכלו לתקן את מה שנדרש. עוד יצוין כי בבדיקת נגישות של שני מסמכים באתר מרשתת, אם נמצא כי לפחות אחד מהם אינו נגיש, נרשמה התוצאה "לא תקין" בקשר לרכיב זה.</w:t>
      </w:r>
      <w:r w:rsidRPr="00B74C6A">
        <w:rPr>
          <w:rtl/>
        </w:rPr>
        <w:t xml:space="preserve"> </w:t>
      </w:r>
    </w:p>
  </w:footnote>
  <w:footnote w:id="67">
    <w:p w:rsidR="00B14302" w:rsidRPr="005A0A46" w:rsidRDefault="00DF6A0A" w:rsidP="005A0A46">
      <w:pPr>
        <w:pStyle w:val="736"/>
      </w:pPr>
      <w:r w:rsidRPr="005A0A46">
        <w:rPr>
          <w:rStyle w:val="a8"/>
          <w:vertAlign w:val="baseline"/>
        </w:rPr>
        <w:footnoteRef/>
      </w:r>
      <w:r w:rsidRPr="005A0A46">
        <w:rPr>
          <w:rtl/>
        </w:rPr>
        <w:t xml:space="preserve"> </w:t>
      </w:r>
      <w:r w:rsidRPr="005A0A46">
        <w:rPr>
          <w:rtl/>
        </w:rPr>
        <w:tab/>
      </w:r>
      <w:r w:rsidRPr="005A0A46">
        <w:rPr>
          <w:rFonts w:hint="cs"/>
          <w:rtl/>
        </w:rPr>
        <w:t xml:space="preserve">הרכיבים הם הקטגוריות (למשל, מסמכים, טפסים ועוד) בכל רכיב נבדקה הנגישות של פריט או פריטים (טופס מקוון אחד, שני מסמכים וכדומה). </w:t>
      </w:r>
    </w:p>
  </w:footnote>
  <w:footnote w:id="68">
    <w:p w:rsidR="00B14302" w:rsidRPr="005A0A46" w:rsidRDefault="00DF6A0A" w:rsidP="005A0A46">
      <w:pPr>
        <w:pStyle w:val="736"/>
      </w:pPr>
      <w:r w:rsidRPr="005A0A46">
        <w:rPr>
          <w:rStyle w:val="a8"/>
          <w:vertAlign w:val="baseline"/>
        </w:rPr>
        <w:footnoteRef/>
      </w:r>
      <w:r w:rsidRPr="005A0A46">
        <w:rPr>
          <w:rtl/>
        </w:rPr>
        <w:t xml:space="preserve"> </w:t>
      </w:r>
      <w:r w:rsidRPr="005A0A46">
        <w:rPr>
          <w:rtl/>
        </w:rPr>
        <w:tab/>
      </w:r>
      <w:r w:rsidRPr="005A0A46">
        <w:rPr>
          <w:rFonts w:hint="cs"/>
          <w:rtl/>
        </w:rPr>
        <w:t>מסמך נגיש הוא מסמך ש</w:t>
      </w:r>
      <w:r w:rsidRPr="005A0A46">
        <w:rPr>
          <w:rtl/>
        </w:rPr>
        <w:t xml:space="preserve">כל המידע </w:t>
      </w:r>
      <w:r w:rsidRPr="005A0A46">
        <w:rPr>
          <w:rFonts w:hint="cs"/>
          <w:rtl/>
        </w:rPr>
        <w:t xml:space="preserve">בו </w:t>
      </w:r>
      <w:r w:rsidRPr="005A0A46">
        <w:rPr>
          <w:rtl/>
        </w:rPr>
        <w:t>נגיש לקורא מסך</w:t>
      </w:r>
      <w:r w:rsidRPr="005A0A46">
        <w:rPr>
          <w:rFonts w:hint="cs"/>
          <w:rtl/>
        </w:rPr>
        <w:t>, המידע</w:t>
      </w:r>
      <w:r w:rsidRPr="005A0A46">
        <w:rPr>
          <w:rtl/>
        </w:rPr>
        <w:t xml:space="preserve"> </w:t>
      </w:r>
      <w:r w:rsidRPr="005A0A46">
        <w:rPr>
          <w:rFonts w:hint="cs"/>
          <w:rtl/>
        </w:rPr>
        <w:t xml:space="preserve">בו </w:t>
      </w:r>
      <w:r w:rsidRPr="005A0A46">
        <w:rPr>
          <w:rtl/>
        </w:rPr>
        <w:t xml:space="preserve">מוצג בסדר </w:t>
      </w:r>
      <w:r w:rsidRPr="005A0A46">
        <w:rPr>
          <w:rFonts w:hint="cs"/>
          <w:rtl/>
        </w:rPr>
        <w:t xml:space="preserve">נכון מבחינת </w:t>
      </w:r>
      <w:r w:rsidRPr="005A0A46">
        <w:rPr>
          <w:rtl/>
        </w:rPr>
        <w:t>הקריאה</w:t>
      </w:r>
      <w:r w:rsidRPr="005A0A46">
        <w:rPr>
          <w:rFonts w:hint="cs"/>
          <w:rtl/>
        </w:rPr>
        <w:t xml:space="preserve"> ונגיש</w:t>
      </w:r>
      <w:r w:rsidRPr="005A0A46">
        <w:rPr>
          <w:rtl/>
        </w:rPr>
        <w:t xml:space="preserve"> </w:t>
      </w:r>
      <w:r w:rsidRPr="005A0A46">
        <w:rPr>
          <w:rFonts w:hint="cs"/>
          <w:rtl/>
        </w:rPr>
        <w:t xml:space="preserve">גם </w:t>
      </w:r>
      <w:r w:rsidRPr="005A0A46">
        <w:rPr>
          <w:rtl/>
        </w:rPr>
        <w:t>ל</w:t>
      </w:r>
      <w:r w:rsidRPr="005A0A46">
        <w:rPr>
          <w:rFonts w:hint="cs"/>
          <w:rtl/>
        </w:rPr>
        <w:t>מי שמ</w:t>
      </w:r>
      <w:r w:rsidRPr="005A0A46">
        <w:rPr>
          <w:rtl/>
        </w:rPr>
        <w:t xml:space="preserve">נווט </w:t>
      </w:r>
      <w:r w:rsidRPr="005A0A46">
        <w:rPr>
          <w:rFonts w:hint="cs"/>
          <w:rtl/>
        </w:rPr>
        <w:t xml:space="preserve">באמצעות </w:t>
      </w:r>
      <w:r w:rsidRPr="005A0A46">
        <w:rPr>
          <w:rtl/>
        </w:rPr>
        <w:t>מקלדת</w:t>
      </w:r>
      <w:r w:rsidRPr="005A0A46">
        <w:rPr>
          <w:rFonts w:hint="cs"/>
          <w:rtl/>
        </w:rPr>
        <w:t xml:space="preserve"> ב</w:t>
      </w:r>
      <w:r w:rsidRPr="005A0A46">
        <w:rPr>
          <w:rFonts w:hint="cs"/>
          <w:rtl/>
        </w:rPr>
        <w:t>לבד</w:t>
      </w:r>
      <w:r w:rsidRPr="005A0A46">
        <w:rPr>
          <w:rtl/>
        </w:rPr>
        <w:t xml:space="preserve"> </w:t>
      </w:r>
      <w:r w:rsidRPr="005A0A46">
        <w:rPr>
          <w:rFonts w:hint="cs"/>
          <w:rtl/>
        </w:rPr>
        <w:t>ו</w:t>
      </w:r>
      <w:r w:rsidRPr="005A0A46">
        <w:rPr>
          <w:rtl/>
        </w:rPr>
        <w:t>הדף עומד ב</w:t>
      </w:r>
      <w:r w:rsidRPr="005A0A46">
        <w:rPr>
          <w:rFonts w:hint="cs"/>
          <w:rtl/>
        </w:rPr>
        <w:t xml:space="preserve">הוראות הנגישות לעניין </w:t>
      </w:r>
      <w:r w:rsidRPr="005A0A46">
        <w:rPr>
          <w:rtl/>
        </w:rPr>
        <w:t xml:space="preserve">תוכן ועיצוב </w:t>
      </w:r>
      <w:r w:rsidRPr="005A0A46">
        <w:rPr>
          <w:rFonts w:hint="cs"/>
          <w:rtl/>
        </w:rPr>
        <w:t xml:space="preserve">כמו למשל רמת הניגודיות. </w:t>
      </w:r>
    </w:p>
  </w:footnote>
  <w:footnote w:id="69">
    <w:p w:rsidR="00B14302" w:rsidRPr="005A0A46" w:rsidRDefault="00DF6A0A" w:rsidP="005A0A46">
      <w:pPr>
        <w:pStyle w:val="736"/>
      </w:pPr>
      <w:r w:rsidRPr="005A0A46">
        <w:rPr>
          <w:rStyle w:val="a8"/>
          <w:vertAlign w:val="baseline"/>
        </w:rPr>
        <w:footnoteRef/>
      </w:r>
      <w:r w:rsidRPr="005A0A46">
        <w:rPr>
          <w:rtl/>
        </w:rPr>
        <w:t xml:space="preserve"> </w:t>
      </w:r>
      <w:r w:rsidRPr="005A0A46">
        <w:rPr>
          <w:rtl/>
        </w:rPr>
        <w:tab/>
      </w:r>
      <w:r w:rsidRPr="005A0A46">
        <w:rPr>
          <w:rFonts w:hint="cs"/>
          <w:rtl/>
        </w:rPr>
        <w:t xml:space="preserve">כאמור, לצורך בדיקת נגישות מסמכים באתרי המרשתת נבדקו 2 מסמכים בפורמט </w:t>
      </w:r>
      <w:r w:rsidRPr="005A0A46">
        <w:rPr>
          <w:rFonts w:hint="cs"/>
        </w:rPr>
        <w:t>PDF</w:t>
      </w:r>
      <w:r w:rsidRPr="005A0A46">
        <w:rPr>
          <w:rFonts w:hint="cs"/>
          <w:rtl/>
        </w:rPr>
        <w:t xml:space="preserve">. </w:t>
      </w:r>
    </w:p>
  </w:footnote>
  <w:footnote w:id="70">
    <w:p w:rsidR="00B14302" w:rsidRPr="005A0A46" w:rsidRDefault="00DF6A0A" w:rsidP="005A0A46">
      <w:pPr>
        <w:pStyle w:val="736"/>
        <w:rPr>
          <w:rtl/>
        </w:rPr>
      </w:pPr>
      <w:r w:rsidRPr="005A0A46">
        <w:rPr>
          <w:rStyle w:val="a8"/>
          <w:vertAlign w:val="baseline"/>
        </w:rPr>
        <w:footnoteRef/>
      </w:r>
      <w:r w:rsidRPr="005A0A46">
        <w:rPr>
          <w:rtl/>
        </w:rPr>
        <w:t xml:space="preserve"> </w:t>
      </w:r>
      <w:r w:rsidRPr="005A0A46">
        <w:rPr>
          <w:rtl/>
        </w:rPr>
        <w:tab/>
      </w:r>
      <w:r w:rsidRPr="005A0A46">
        <w:rPr>
          <w:rFonts w:hint="cs"/>
          <w:rtl/>
        </w:rPr>
        <w:t xml:space="preserve">הנהלת בתי המשפט אתר </w:t>
      </w:r>
      <w:r w:rsidRPr="005A0A46">
        <w:rPr>
          <w:rtl/>
        </w:rPr>
        <w:t xml:space="preserve">בית המשפט העליון, אתר </w:t>
      </w:r>
      <w:r w:rsidRPr="005A0A46">
        <w:rPr>
          <w:rFonts w:hint="cs"/>
          <w:rtl/>
        </w:rPr>
        <w:t>"</w:t>
      </w:r>
      <w:r w:rsidRPr="005A0A46">
        <w:rPr>
          <w:rtl/>
        </w:rPr>
        <w:t>כל הבריאות</w:t>
      </w:r>
      <w:r w:rsidRPr="005A0A46">
        <w:rPr>
          <w:rFonts w:hint="cs"/>
          <w:rtl/>
        </w:rPr>
        <w:t>"</w:t>
      </w:r>
      <w:r w:rsidRPr="005A0A46">
        <w:rPr>
          <w:rtl/>
        </w:rPr>
        <w:t xml:space="preserve"> שמפעיל משרד הבריאות ואתר של יחידת מיטב של צה"ל</w:t>
      </w:r>
      <w:r w:rsidRPr="005A0A46">
        <w:rPr>
          <w:rFonts w:hint="cs"/>
          <w:rtl/>
        </w:rPr>
        <w:t>.</w:t>
      </w:r>
    </w:p>
  </w:footnote>
  <w:footnote w:id="71">
    <w:p w:rsidR="00B14302" w:rsidRPr="00B74C6A" w:rsidRDefault="00DF6A0A" w:rsidP="005A0A46">
      <w:pPr>
        <w:pStyle w:val="736"/>
        <w:rPr>
          <w:rtl/>
        </w:rPr>
      </w:pPr>
      <w:r w:rsidRPr="005A0A46">
        <w:rPr>
          <w:rStyle w:val="a8"/>
          <w:vertAlign w:val="baseline"/>
        </w:rPr>
        <w:footnoteRef/>
      </w:r>
      <w:r w:rsidRPr="005A0A46">
        <w:rPr>
          <w:rtl/>
        </w:rPr>
        <w:t xml:space="preserve"> </w:t>
      </w:r>
      <w:r w:rsidRPr="005A0A46">
        <w:rPr>
          <w:rtl/>
        </w:rPr>
        <w:tab/>
        <w:t>מדובר בגופים הבאים: המשרד לשירותי דת, ועדת הבחירות המרכזית</w:t>
      </w:r>
      <w:r w:rsidRPr="005A0A46">
        <w:rPr>
          <w:rFonts w:hint="cs"/>
          <w:rtl/>
        </w:rPr>
        <w:t xml:space="preserve">, </w:t>
      </w:r>
      <w:r w:rsidRPr="005A0A46">
        <w:rPr>
          <w:rtl/>
        </w:rPr>
        <w:t>משרד הפנים ורשות האוכלוסין וההגירה. הבדיקה</w:t>
      </w:r>
      <w:r w:rsidRPr="00B74C6A">
        <w:rPr>
          <w:rtl/>
        </w:rPr>
        <w:t xml:space="preserve"> בוצעה כאמור באוגוסט 2022 והיא משקפת את המצב נכון לאותו מועד.</w:t>
      </w:r>
    </w:p>
  </w:footnote>
  <w:footnote w:id="72">
    <w:p w:rsidR="00B14302" w:rsidRPr="00006C1F" w:rsidRDefault="00DF6A0A" w:rsidP="00006C1F">
      <w:pPr>
        <w:pStyle w:val="736"/>
        <w:rPr>
          <w:rtl/>
        </w:rPr>
      </w:pPr>
      <w:r w:rsidRPr="00006C1F">
        <w:rPr>
          <w:rStyle w:val="a8"/>
          <w:vertAlign w:val="baseline"/>
        </w:rPr>
        <w:footnoteRef/>
      </w:r>
      <w:r w:rsidRPr="00006C1F">
        <w:rPr>
          <w:rtl/>
        </w:rPr>
        <w:t xml:space="preserve"> </w:t>
      </w:r>
      <w:r w:rsidRPr="00006C1F">
        <w:rPr>
          <w:rtl/>
        </w:rPr>
        <w:tab/>
        <w:t xml:space="preserve">מערך הדיגיטל מפעיל את האתר הממשלתי האחוד אשר משמש כתשתית להפעלת אתרי </w:t>
      </w:r>
      <w:r w:rsidRPr="00006C1F">
        <w:rPr>
          <w:rFonts w:hint="cs"/>
          <w:rtl/>
        </w:rPr>
        <w:t>ה</w:t>
      </w:r>
      <w:r w:rsidRPr="00006C1F">
        <w:rPr>
          <w:rtl/>
        </w:rPr>
        <w:t xml:space="preserve">מרשתת של רוב </w:t>
      </w:r>
      <w:r w:rsidRPr="00006C1F">
        <w:rPr>
          <w:rtl/>
        </w:rPr>
        <w:t>גופי הממשל (85%). בתשתית האתר האחוד הוטמעו דרישות נגישות כך שגוף ממשל שמשתמש בה יכול להתבסס על</w:t>
      </w:r>
      <w:r w:rsidRPr="00006C1F">
        <w:rPr>
          <w:rFonts w:hint="cs"/>
          <w:rtl/>
        </w:rPr>
        <w:t>יהן (כגון ניגודיות, אפשרות חיבור לאתר באמצעות תוכנת קורא מסך ועוד)</w:t>
      </w:r>
      <w:r w:rsidRPr="00006C1F">
        <w:rPr>
          <w:rtl/>
        </w:rPr>
        <w:t>. עם זאת</w:t>
      </w:r>
      <w:r w:rsidRPr="00006C1F">
        <w:rPr>
          <w:rFonts w:hint="cs"/>
          <w:rtl/>
        </w:rPr>
        <w:t>,</w:t>
      </w:r>
      <w:r w:rsidRPr="00006C1F">
        <w:rPr>
          <w:rtl/>
        </w:rPr>
        <w:t xml:space="preserve"> ישנן </w:t>
      </w:r>
      <w:r w:rsidRPr="00006C1F">
        <w:rPr>
          <w:rFonts w:hint="cs"/>
          <w:rtl/>
        </w:rPr>
        <w:t>התאמות נגישות</w:t>
      </w:r>
      <w:r w:rsidRPr="00006C1F">
        <w:rPr>
          <w:rtl/>
        </w:rPr>
        <w:t xml:space="preserve"> </w:t>
      </w:r>
      <w:r w:rsidRPr="00006C1F">
        <w:rPr>
          <w:rFonts w:hint="cs"/>
          <w:rtl/>
        </w:rPr>
        <w:t>ש</w:t>
      </w:r>
      <w:r w:rsidRPr="00006C1F">
        <w:rPr>
          <w:rtl/>
        </w:rPr>
        <w:t>גוף הממשל נדרש לספק בעצמו כדי שאתר המרשתת שלו יעמוד בדרישות הנגישו</w:t>
      </w:r>
      <w:r w:rsidRPr="00006C1F">
        <w:rPr>
          <w:rtl/>
        </w:rPr>
        <w:t>ת על פי הדין</w:t>
      </w:r>
      <w:r w:rsidRPr="00006C1F">
        <w:rPr>
          <w:rFonts w:hint="cs"/>
          <w:rtl/>
        </w:rPr>
        <w:t>, כגון הנגשת מסמכים, הוספת כתוביות לסרטונים להנגשת הדיבור בהם ועוד</w:t>
      </w:r>
      <w:r w:rsidRPr="00006C1F">
        <w:rPr>
          <w:rtl/>
        </w:rPr>
        <w:t>.</w:t>
      </w:r>
    </w:p>
  </w:footnote>
  <w:footnote w:id="73">
    <w:p w:rsidR="00B14302" w:rsidRPr="00B74C6A" w:rsidRDefault="00DF6A0A" w:rsidP="00006C1F">
      <w:pPr>
        <w:pStyle w:val="736"/>
        <w:rPr>
          <w:rtl/>
        </w:rPr>
      </w:pPr>
      <w:r w:rsidRPr="00006C1F">
        <w:rPr>
          <w:rStyle w:val="a8"/>
          <w:vertAlign w:val="baseline"/>
        </w:rPr>
        <w:footnoteRef/>
      </w:r>
      <w:r w:rsidRPr="00B74C6A">
        <w:rPr>
          <w:rtl/>
        </w:rPr>
        <w:t xml:space="preserve"> </w:t>
      </w:r>
      <w:r w:rsidRPr="00B74C6A">
        <w:rPr>
          <w:rtl/>
        </w:rPr>
        <w:tab/>
        <w:t>בתחתית עמוד הבית של כל אתר מרשתת של גוף ממשל המשתמש בתשתית האתר הממשלתי האחוד ניתן למצוא קישור שכותרתו "נגישות", ולחיצה עליו מפנה להצהרת הנגישות שמפרסם מערך הדיגיטל. להלן הק</w:t>
      </w:r>
      <w:r w:rsidRPr="00B74C6A">
        <w:rPr>
          <w:rtl/>
        </w:rPr>
        <w:t>ישור</w:t>
      </w:r>
      <w:r>
        <w:fldChar w:fldCharType="begin"/>
      </w:r>
      <w:r>
        <w:instrText xml:space="preserve"> HYPERLINK "https://www.gov.il/he/Departments/General/accessibility-statement" </w:instrText>
      </w:r>
      <w:r>
        <w:fldChar w:fldCharType="separate"/>
      </w:r>
      <w:r w:rsidRPr="00006C1F">
        <w:rPr>
          <w:rStyle w:val="73ff2"/>
        </w:rPr>
        <w:t>https://www.gov.il/he/Departments/General/accessibility-statement</w:t>
      </w:r>
      <w:r>
        <w:rPr>
          <w:rStyle w:val="73ff2"/>
        </w:rPr>
        <w:fldChar w:fldCharType="end"/>
      </w:r>
      <w:r w:rsidRPr="00B74C6A">
        <w:t xml:space="preserve"> </w:t>
      </w:r>
    </w:p>
  </w:footnote>
  <w:footnote w:id="74">
    <w:p w:rsidR="00B14302" w:rsidRPr="00731E30" w:rsidRDefault="00DF6A0A" w:rsidP="00731E30">
      <w:pPr>
        <w:pStyle w:val="736"/>
      </w:pPr>
      <w:r w:rsidRPr="00731E30">
        <w:rPr>
          <w:rStyle w:val="a8"/>
          <w:vertAlign w:val="baseline"/>
        </w:rPr>
        <w:footnoteRef/>
      </w:r>
      <w:r w:rsidRPr="00731E30">
        <w:rPr>
          <w:rtl/>
        </w:rPr>
        <w:t xml:space="preserve"> </w:t>
      </w:r>
      <w:r w:rsidRPr="00731E30">
        <w:rPr>
          <w:rtl/>
        </w:rPr>
        <w:tab/>
      </w:r>
      <w:r w:rsidRPr="00731E30">
        <w:rPr>
          <w:rFonts w:hint="cs"/>
          <w:rtl/>
        </w:rPr>
        <w:t>"פריט" לעניין בדיקה זו נכלל בתוך "רכיב" - רכיב מייצג קטגוריה שנבדקה, למשל "מסמכים", ובתוך קטגוריה (ר</w:t>
      </w:r>
      <w:r w:rsidRPr="00731E30">
        <w:rPr>
          <w:rFonts w:hint="cs"/>
          <w:rtl/>
        </w:rPr>
        <w:t xml:space="preserve">כיב) </w:t>
      </w:r>
      <w:r>
        <w:rPr>
          <w:rFonts w:hint="cs"/>
          <w:rtl/>
        </w:rPr>
        <w:t xml:space="preserve">זו למשל, </w:t>
      </w:r>
      <w:r w:rsidRPr="00731E30">
        <w:rPr>
          <w:rFonts w:hint="cs"/>
          <w:rtl/>
        </w:rPr>
        <w:t xml:space="preserve">בדק משרד מבקר המדינה את נגישותם של שני פריטים - שני מסמכים, מבין כלל המסמכים באתר המרשתת של הגוף. </w:t>
      </w:r>
    </w:p>
  </w:footnote>
  <w:footnote w:id="75">
    <w:p w:rsidR="00B14302" w:rsidRPr="00731E30" w:rsidRDefault="00DF6A0A" w:rsidP="00731E30">
      <w:pPr>
        <w:pStyle w:val="736"/>
        <w:rPr>
          <w:rtl/>
        </w:rPr>
      </w:pPr>
      <w:r w:rsidRPr="00731E30">
        <w:rPr>
          <w:rStyle w:val="a8"/>
          <w:vertAlign w:val="baseline"/>
        </w:rPr>
        <w:footnoteRef/>
      </w:r>
      <w:r w:rsidRPr="00731E30">
        <w:rPr>
          <w:rtl/>
        </w:rPr>
        <w:t xml:space="preserve"> </w:t>
      </w:r>
      <w:r w:rsidRPr="00731E30">
        <w:rPr>
          <w:rtl/>
        </w:rPr>
        <w:tab/>
      </w:r>
      <w:r w:rsidRPr="00731E30">
        <w:rPr>
          <w:rFonts w:hint="cs"/>
          <w:rtl/>
        </w:rPr>
        <w:t>לכל אחד מן הגופים שנבדקו הועבר נספח ובו המידע המפורט לגבי הפריטים שנבדקו באתר מרשתת שהוא מפעיל ואשר נבדק על ידי משרד מבקר המדינה והליקויים ש</w:t>
      </w:r>
      <w:r w:rsidRPr="00731E30">
        <w:rPr>
          <w:rFonts w:hint="cs"/>
          <w:rtl/>
        </w:rPr>
        <w:t>נמצאו.</w:t>
      </w:r>
    </w:p>
  </w:footnote>
  <w:footnote w:id="76">
    <w:p w:rsidR="00B14302" w:rsidRPr="00B74C6A" w:rsidRDefault="00DF6A0A" w:rsidP="00731E30">
      <w:pPr>
        <w:pStyle w:val="736"/>
        <w:rPr>
          <w:rtl/>
        </w:rPr>
      </w:pPr>
      <w:r w:rsidRPr="00731E30">
        <w:rPr>
          <w:rStyle w:val="a8"/>
          <w:vertAlign w:val="baseline"/>
        </w:rPr>
        <w:footnoteRef/>
      </w:r>
      <w:r w:rsidRPr="00731E30">
        <w:rPr>
          <w:rtl/>
        </w:rPr>
        <w:t xml:space="preserve"> </w:t>
      </w:r>
      <w:r w:rsidRPr="00731E30">
        <w:rPr>
          <w:rtl/>
        </w:rPr>
        <w:tab/>
      </w:r>
      <w:r w:rsidRPr="00B74C6A">
        <w:rPr>
          <w:rtl/>
        </w:rPr>
        <w:t>באוגוסט 2022, מועד ביצוע בדיקות הנגישות באתרי המרשתת על ידי משרד מבקר המדינה, לא נמצא באתר המרשתת של הוועדה קישור להצהרת נגישות שפרסמה. בעקבות תשובת הוועדה למשרד מבקר המדינה ביצע משרד מבקר המדינה בדיקה נוספת באתר המרשתת של הוועדה ומצא כי באוקטובר</w:t>
      </w:r>
      <w:r w:rsidRPr="00B74C6A">
        <w:rPr>
          <w:rtl/>
        </w:rPr>
        <w:t xml:space="preserve"> 2022 נוסף באתר קישור המוביל להצהרת נגישות שבה פרסמה הוועדה מידע מטעמה בנושא ההנגשה. </w:t>
      </w:r>
    </w:p>
  </w:footnote>
  <w:footnote w:id="77">
    <w:p w:rsidR="00B14302" w:rsidRPr="00B74C6A" w:rsidRDefault="00DF6A0A" w:rsidP="00B74C6A">
      <w:pPr>
        <w:pStyle w:val="736"/>
        <w:rPr>
          <w:rtl/>
        </w:rPr>
      </w:pPr>
      <w:r w:rsidRPr="00731E30">
        <w:footnoteRef/>
      </w:r>
      <w:r w:rsidRPr="00731E30">
        <w:rPr>
          <w:rtl/>
        </w:rPr>
        <w:t xml:space="preserve"> </w:t>
      </w:r>
      <w:r w:rsidRPr="00B74C6A">
        <w:rPr>
          <w:rtl/>
        </w:rPr>
        <w:tab/>
        <w:t>מדובר ב-16 מבין 20 דפי השירות שהיו הנצפים ביותר על ידי הציבור בשבוע מסוים ביוני 2022. ארבעה דפי שירות נוספים לא נבדקו כיוון שלא ניתן היה לבודקם בלי להזין פרטי זיהוי בש</w:t>
      </w:r>
      <w:r w:rsidRPr="00B74C6A">
        <w:rPr>
          <w:rtl/>
        </w:rPr>
        <w:t xml:space="preserve">לב הראשון של התהליך. </w:t>
      </w:r>
    </w:p>
  </w:footnote>
  <w:footnote w:id="78">
    <w:p w:rsidR="00B14302" w:rsidRPr="00B74C6A" w:rsidRDefault="00DF6A0A" w:rsidP="00B74C6A">
      <w:pPr>
        <w:pStyle w:val="736"/>
        <w:rPr>
          <w:rtl/>
        </w:rPr>
      </w:pPr>
      <w:r w:rsidRPr="00B74C6A">
        <w:rPr>
          <w:rStyle w:val="a8"/>
        </w:rPr>
        <w:footnoteRef/>
      </w:r>
      <w:r w:rsidRPr="00B74C6A">
        <w:rPr>
          <w:rtl/>
        </w:rPr>
        <w:t xml:space="preserve"> </w:t>
      </w:r>
      <w:r w:rsidRPr="00B74C6A">
        <w:rPr>
          <w:rtl/>
        </w:rPr>
        <w:tab/>
        <w:t>מספר הרכיבים הלקויים בדף שירות היה בטווח שבין שניים לשישה.</w:t>
      </w:r>
    </w:p>
  </w:footnote>
  <w:footnote w:id="79">
    <w:p w:rsidR="00B14302" w:rsidRPr="00B74C6A" w:rsidRDefault="00DF6A0A" w:rsidP="00B74C6A">
      <w:pPr>
        <w:pStyle w:val="736"/>
      </w:pPr>
      <w:r w:rsidRPr="00B74C6A">
        <w:rPr>
          <w:rStyle w:val="a8"/>
        </w:rPr>
        <w:footnoteRef/>
      </w:r>
      <w:r w:rsidRPr="00B74C6A">
        <w:rPr>
          <w:rtl/>
        </w:rPr>
        <w:t xml:space="preserve"> </w:t>
      </w:r>
      <w:r w:rsidRPr="00B74C6A">
        <w:rPr>
          <w:rtl/>
        </w:rPr>
        <w:tab/>
        <w:t xml:space="preserve">ב-15 מבין 16 דפי השירות שנבדקו היו שני פריטים או יותר שלא היו נגישים לתוכנת קורא מסך. </w:t>
      </w:r>
    </w:p>
  </w:footnote>
  <w:footnote w:id="80">
    <w:p w:rsidR="00B14302" w:rsidRPr="00B74C6A" w:rsidRDefault="00DF6A0A" w:rsidP="00B74C6A">
      <w:pPr>
        <w:pStyle w:val="736"/>
        <w:rPr>
          <w:rtl/>
        </w:rPr>
      </w:pPr>
      <w:r w:rsidRPr="001C3D70">
        <w:footnoteRef/>
      </w:r>
      <w:r w:rsidRPr="001C3D70">
        <w:rPr>
          <w:rtl/>
        </w:rPr>
        <w:t xml:space="preserve"> </w:t>
      </w:r>
      <w:r w:rsidRPr="001C3D70">
        <w:rPr>
          <w:rtl/>
        </w:rPr>
        <w:tab/>
      </w:r>
      <w:r w:rsidRPr="00B74C6A">
        <w:rPr>
          <w:rtl/>
        </w:rPr>
        <w:t xml:space="preserve">הודעה "צפה" היא הודעת "פופ-אפ" המכונה גם הודעה קופצת. </w:t>
      </w:r>
    </w:p>
  </w:footnote>
  <w:footnote w:id="81">
    <w:p w:rsidR="00B14302" w:rsidRPr="00B74C6A" w:rsidRDefault="00DF6A0A" w:rsidP="00B74C6A">
      <w:pPr>
        <w:pStyle w:val="736"/>
      </w:pPr>
      <w:r w:rsidRPr="004B4DC3">
        <w:footnoteRef/>
      </w:r>
      <w:r w:rsidRPr="004B4DC3">
        <w:rPr>
          <w:rtl/>
        </w:rPr>
        <w:t xml:space="preserve"> </w:t>
      </w:r>
      <w:r w:rsidRPr="00B74C6A">
        <w:rPr>
          <w:rtl/>
        </w:rPr>
        <w:tab/>
      </w:r>
      <w:r w:rsidRPr="00B74C6A">
        <w:rPr>
          <w:rtl/>
        </w:rPr>
        <w:t xml:space="preserve">ניגודיות בין צבעי התוכן (מלל או מספרים) לבין צבעי הרקע שעליו הוא מוצג. </w:t>
      </w:r>
    </w:p>
  </w:footnote>
  <w:footnote w:id="82">
    <w:p w:rsidR="00B14302" w:rsidRPr="004B4DC3" w:rsidRDefault="00DF6A0A" w:rsidP="004B4DC3">
      <w:pPr>
        <w:pStyle w:val="73f4"/>
        <w:rPr>
          <w:rtl/>
        </w:rPr>
      </w:pPr>
      <w:r w:rsidRPr="004B4DC3">
        <w:rPr>
          <w:rStyle w:val="a8"/>
          <w:vertAlign w:val="baseline"/>
        </w:rPr>
        <w:footnoteRef/>
      </w:r>
      <w:r w:rsidRPr="004B4DC3">
        <w:rPr>
          <w:rtl/>
        </w:rPr>
        <w:t xml:space="preserve"> </w:t>
      </w:r>
      <w:r w:rsidRPr="004B4DC3">
        <w:rPr>
          <w:rtl/>
        </w:rPr>
        <w:tab/>
      </w:r>
      <w:r>
        <w:rPr>
          <w:rFonts w:hint="cs"/>
          <w:rtl/>
        </w:rPr>
        <w:t xml:space="preserve">בהליך שיתוף הציבור, </w:t>
      </w:r>
      <w:r w:rsidRPr="004B4DC3">
        <w:rPr>
          <w:rFonts w:hint="cs"/>
          <w:rtl/>
        </w:rPr>
        <w:t>השאלות בכללותן נגעו לשירות הדיגיטלי של גופי ממשל. עם זאת, בשאלות שבהן התבקשו המשיבים לציין אם ניסו לקבל שירות דיגיטלי מגוף כלשהו ונתקלו בקשיי נגישות, הוצגה להם ר</w:t>
      </w:r>
      <w:r w:rsidRPr="004B4DC3">
        <w:rPr>
          <w:rFonts w:hint="cs"/>
          <w:rtl/>
        </w:rPr>
        <w:t xml:space="preserve">שימה שמית של חלק מהגופים הממשלתיים, וברשימה זו נכלל גם הפריט ""רשות מקומית". לפיכך, כאשר יוצג ממצא שמקורו בתשובות לשאלה שהתייחסה גם לרשויות המקומיות הדבר יצוין. </w:t>
      </w:r>
    </w:p>
  </w:footnote>
  <w:footnote w:id="83">
    <w:p w:rsidR="00B14302" w:rsidRPr="004B4DC3" w:rsidRDefault="00DF6A0A" w:rsidP="004B4DC3">
      <w:pPr>
        <w:pStyle w:val="73f4"/>
        <w:rPr>
          <w:rtl/>
        </w:rPr>
      </w:pPr>
      <w:r w:rsidRPr="004B4DC3">
        <w:rPr>
          <w:rStyle w:val="a8"/>
          <w:vertAlign w:val="baseline"/>
        </w:rPr>
        <w:footnoteRef/>
      </w:r>
      <w:r w:rsidRPr="004B4DC3">
        <w:rPr>
          <w:rtl/>
        </w:rPr>
        <w:t xml:space="preserve"> </w:t>
      </w:r>
      <w:r w:rsidRPr="004B4DC3">
        <w:rPr>
          <w:rtl/>
        </w:rPr>
        <w:tab/>
      </w:r>
      <w:r w:rsidRPr="004B4DC3">
        <w:rPr>
          <w:rFonts w:hint="cs"/>
          <w:rtl/>
        </w:rPr>
        <w:t xml:space="preserve">שאלות הסקר הוכנו במשרד מבקר המדינה. הפצת הסקר ועיבוד התשובות נעשו על ידי </w:t>
      </w:r>
      <w:r w:rsidRPr="004B4DC3">
        <w:rPr>
          <w:rtl/>
        </w:rPr>
        <w:t>חברה חיצונית</w:t>
      </w:r>
      <w:r w:rsidRPr="004B4DC3">
        <w:rPr>
          <w:rFonts w:hint="cs"/>
          <w:rtl/>
        </w:rPr>
        <w:t xml:space="preserve">. </w:t>
      </w:r>
    </w:p>
  </w:footnote>
  <w:footnote w:id="84">
    <w:p w:rsidR="00B14302" w:rsidRPr="004B4DC3" w:rsidRDefault="00DF6A0A" w:rsidP="004B4DC3">
      <w:pPr>
        <w:pStyle w:val="73f4"/>
      </w:pPr>
      <w:r w:rsidRPr="004B4DC3">
        <w:rPr>
          <w:rStyle w:val="a8"/>
          <w:vertAlign w:val="baseline"/>
        </w:rPr>
        <w:footnoteRef/>
      </w:r>
      <w:r w:rsidRPr="004B4DC3">
        <w:rPr>
          <w:rtl/>
        </w:rPr>
        <w:t xml:space="preserve"> </w:t>
      </w:r>
      <w:r w:rsidRPr="004B4DC3">
        <w:rPr>
          <w:rtl/>
        </w:rPr>
        <w:tab/>
      </w:r>
      <w:r w:rsidRPr="004B4DC3">
        <w:rPr>
          <w:rFonts w:hint="cs"/>
          <w:rtl/>
        </w:rPr>
        <w:t xml:space="preserve">המשיבים מילאו את השאלונים באופן עצמאי בתאריכים 27 - 31 לאוגוסט 2022. טעות הדגימה היא </w:t>
      </w:r>
      <w:r w:rsidRPr="004B4DC3">
        <w:rPr>
          <w:rtl/>
        </w:rPr>
        <w:t>4.4%+</w:t>
      </w:r>
      <w:r w:rsidRPr="004B4DC3">
        <w:rPr>
          <w:rFonts w:hint="cs"/>
          <w:rtl/>
        </w:rPr>
        <w:t xml:space="preserve">. </w:t>
      </w:r>
    </w:p>
  </w:footnote>
  <w:footnote w:id="85">
    <w:p w:rsidR="00B14302" w:rsidRPr="00B74C6A" w:rsidRDefault="00DF6A0A" w:rsidP="004B4DC3">
      <w:pPr>
        <w:pStyle w:val="73f4"/>
      </w:pPr>
      <w:r w:rsidRPr="004B4DC3">
        <w:rPr>
          <w:rStyle w:val="a8"/>
          <w:vertAlign w:val="baseline"/>
        </w:rPr>
        <w:footnoteRef/>
      </w:r>
      <w:r w:rsidRPr="004B4DC3">
        <w:rPr>
          <w:rtl/>
        </w:rPr>
        <w:t xml:space="preserve"> </w:t>
      </w:r>
      <w:r w:rsidRPr="004B4DC3">
        <w:rPr>
          <w:rtl/>
        </w:rPr>
        <w:tab/>
      </w:r>
      <w:r w:rsidRPr="004B4DC3">
        <w:rPr>
          <w:rFonts w:hint="cs"/>
          <w:rtl/>
        </w:rPr>
        <w:t>על פי נתוני ההתפלגות הדמוגרפית של המשיבים, השיבו על הסקר 44% נשים ו-56% גברים, ויש ייצוג בשיעור 15% - 25% לכל אחת מחמש שכבות גיל, החל מגיל 18 ועד גיל 70. 30% מה</w:t>
      </w:r>
      <w:r w:rsidRPr="004B4DC3">
        <w:rPr>
          <w:rFonts w:hint="cs"/>
          <w:rtl/>
        </w:rPr>
        <w:t>משיבים מתגוררים באזור תל אביב וגוש דן, 24%</w:t>
      </w:r>
      <w:r w:rsidRPr="00B74C6A">
        <w:rPr>
          <w:rtl/>
        </w:rPr>
        <w:t xml:space="preserve"> באזור השפלה והדרום, 23% באזור חיפה והצפון, 13% באזור ירושלים ועוד 10% באזור השרון והשומרון. 53% מן המשיבים ציינו שהם חילוניים ויתר המשיבים מסורתיים, דתיים וחרדיים. ל-33% מהמשיבים השכלה תיכונית ומטה וליתר המשיבים ה</w:t>
      </w:r>
      <w:r w:rsidRPr="00B74C6A">
        <w:rPr>
          <w:rtl/>
        </w:rPr>
        <w:t>שכלה על-תיכונית. 28% מהמשיבים ציינו שהם בעלי הכנסה ממוצעת, 30% מתחת לממוצע ו-31% מעל לממוצע. לכל משיב 1.17 מוגבלויות בממוצע, כלומר לחלקם יותר ממגבלה אחת. 60% מהמשיבים ציינו שהם מתמודדים עם מגבלת קשב וריכוז, 31% עם עיוורון או מגבלת ראייה, 12% עם חירשות או כ</w:t>
      </w:r>
      <w:r w:rsidRPr="00B74C6A">
        <w:rPr>
          <w:rtl/>
        </w:rPr>
        <w:t xml:space="preserve">בדות שמיעה, 9% עם נכות בידיים ו-4% ציינו שהם מתמודדים עם מוגבלות קוגניטיבית או עם אוטיזם. </w:t>
      </w:r>
    </w:p>
  </w:footnote>
  <w:footnote w:id="86">
    <w:p w:rsidR="00B14302" w:rsidRPr="00B74C6A" w:rsidRDefault="00DF6A0A" w:rsidP="00B74C6A">
      <w:pPr>
        <w:pStyle w:val="736"/>
      </w:pPr>
      <w:r w:rsidRPr="004D2E83">
        <w:footnoteRef/>
      </w:r>
      <w:r w:rsidRPr="004D2E83">
        <w:rPr>
          <w:rtl/>
        </w:rPr>
        <w:t xml:space="preserve"> </w:t>
      </w:r>
      <w:r w:rsidRPr="00B74C6A">
        <w:rPr>
          <w:rtl/>
        </w:rPr>
        <w:tab/>
        <w:t xml:space="preserve">סיכום השיעורים בתרשים עולה על 100% כיוון שכל משיב לשאלון היה יכול לציין יותר מהנגשה אחת הנחוצה לו. </w:t>
      </w:r>
    </w:p>
  </w:footnote>
  <w:footnote w:id="87">
    <w:p w:rsidR="00B14302" w:rsidRPr="006E5CA2" w:rsidRDefault="00DF6A0A" w:rsidP="006E5CA2">
      <w:pPr>
        <w:pStyle w:val="736"/>
        <w:rPr>
          <w:rtl/>
        </w:rPr>
      </w:pPr>
      <w:r w:rsidRPr="006E5CA2">
        <w:rPr>
          <w:rStyle w:val="a8"/>
          <w:vertAlign w:val="baseline"/>
        </w:rPr>
        <w:footnoteRef/>
      </w:r>
      <w:r w:rsidRPr="006E5CA2">
        <w:rPr>
          <w:rtl/>
        </w:rPr>
        <w:t xml:space="preserve"> </w:t>
      </w:r>
      <w:r w:rsidRPr="006E5CA2">
        <w:rPr>
          <w:rtl/>
        </w:rPr>
        <w:tab/>
      </w:r>
      <w:r w:rsidRPr="006E5CA2">
        <w:rPr>
          <w:rFonts w:hint="cs"/>
          <w:rtl/>
        </w:rPr>
        <w:t>העמודה "כלל המשיבים" בתרשים.</w:t>
      </w:r>
    </w:p>
  </w:footnote>
  <w:footnote w:id="88">
    <w:p w:rsidR="00B14302" w:rsidRPr="00B74C6A" w:rsidRDefault="00DF6A0A" w:rsidP="006E5CA2">
      <w:pPr>
        <w:pStyle w:val="736"/>
        <w:rPr>
          <w:rtl/>
        </w:rPr>
      </w:pPr>
      <w:r w:rsidRPr="006E5CA2">
        <w:rPr>
          <w:rStyle w:val="a8"/>
          <w:vertAlign w:val="baseline"/>
        </w:rPr>
        <w:footnoteRef/>
      </w:r>
      <w:r w:rsidRPr="00B74C6A">
        <w:rPr>
          <w:rtl/>
        </w:rPr>
        <w:t xml:space="preserve"> </w:t>
      </w:r>
      <w:r w:rsidRPr="00B74C6A">
        <w:rPr>
          <w:rtl/>
        </w:rPr>
        <w:tab/>
      </w:r>
      <w:r w:rsidRPr="00B74C6A">
        <w:rPr>
          <w:rtl/>
        </w:rPr>
        <w:t xml:space="preserve">בשל הקושי להציג בפני המשיבים לסקר רשימה שכוללת את שמות כל הגופים הממשלתיים, המונה יותר מ-100 גופים. הוצגה להם רשימה של 17 גופים מרכזיים. הרשימה כללה גם "רשות מקומית". </w:t>
      </w:r>
    </w:p>
  </w:footnote>
  <w:footnote w:id="89">
    <w:p w:rsidR="00B14302" w:rsidRPr="00B74C6A" w:rsidRDefault="00DF6A0A" w:rsidP="00B74C6A">
      <w:pPr>
        <w:pStyle w:val="736"/>
        <w:rPr>
          <w:rtl/>
        </w:rPr>
      </w:pPr>
      <w:r w:rsidRPr="004B203F">
        <w:footnoteRef/>
      </w:r>
      <w:r w:rsidRPr="00B74C6A">
        <w:rPr>
          <w:rtl/>
        </w:rPr>
        <w:t xml:space="preserve"> </w:t>
      </w:r>
      <w:r w:rsidRPr="00B74C6A">
        <w:rPr>
          <w:rtl/>
        </w:rPr>
        <w:tab/>
        <w:t xml:space="preserve">נתון זה עלה מהסקר ולא משתקף בתרשים. </w:t>
      </w:r>
    </w:p>
  </w:footnote>
  <w:footnote w:id="90">
    <w:p w:rsidR="00B14302" w:rsidRPr="004B4DC3" w:rsidRDefault="00DF6A0A" w:rsidP="004B4DC3">
      <w:pPr>
        <w:pStyle w:val="73f4"/>
      </w:pPr>
      <w:r w:rsidRPr="004B4DC3">
        <w:rPr>
          <w:rStyle w:val="a8"/>
          <w:vertAlign w:val="baseline"/>
        </w:rPr>
        <w:footnoteRef/>
      </w:r>
      <w:r w:rsidRPr="004B4DC3">
        <w:rPr>
          <w:rtl/>
        </w:rPr>
        <w:t xml:space="preserve"> </w:t>
      </w:r>
      <w:r w:rsidRPr="004B4DC3">
        <w:rPr>
          <w:rtl/>
        </w:rPr>
        <w:tab/>
      </w:r>
      <w:r w:rsidRPr="004B4DC3">
        <w:rPr>
          <w:rFonts w:hint="cs"/>
          <w:rtl/>
        </w:rPr>
        <w:t>הצורך בהנגשת המעבר בין כותרות או קישורים עולה</w:t>
      </w:r>
      <w:r w:rsidRPr="004B4DC3">
        <w:rPr>
          <w:rFonts w:hint="cs"/>
          <w:rtl/>
        </w:rPr>
        <w:t xml:space="preserve"> למשל כאשר אדם עיוור או כבד ראייה משתמש בתוכנת קורא מסך. </w:t>
      </w:r>
    </w:p>
  </w:footnote>
  <w:footnote w:id="91">
    <w:p w:rsidR="00B14302" w:rsidRPr="00B74C6A" w:rsidRDefault="00DF6A0A" w:rsidP="004B4DC3">
      <w:pPr>
        <w:pStyle w:val="73f4"/>
      </w:pPr>
      <w:r w:rsidRPr="004B4DC3">
        <w:rPr>
          <w:rStyle w:val="a8"/>
          <w:vertAlign w:val="baseline"/>
        </w:rPr>
        <w:footnoteRef/>
      </w:r>
      <w:r w:rsidRPr="004B4DC3">
        <w:rPr>
          <w:rtl/>
        </w:rPr>
        <w:t xml:space="preserve"> </w:t>
      </w:r>
      <w:r w:rsidRPr="004B4DC3">
        <w:rPr>
          <w:rtl/>
        </w:rPr>
        <w:tab/>
      </w:r>
      <w:r w:rsidRPr="00B74C6A">
        <w:rPr>
          <w:rtl/>
        </w:rPr>
        <w:t>הנגשה המאפשרת לבצע את כל הפעולות באתר מרשתת באמצעות המקלדת, ללא צורך להשתמש בעכבר, נדרשת עבור אדם עם מוגבלות מוטורית בידיו.</w:t>
      </w:r>
    </w:p>
  </w:footnote>
  <w:footnote w:id="92">
    <w:p w:rsidR="00B14302" w:rsidRPr="00806DA6" w:rsidRDefault="00DF6A0A" w:rsidP="00806DA6">
      <w:pPr>
        <w:pStyle w:val="73f4"/>
        <w:rPr>
          <w:rtl/>
        </w:rPr>
      </w:pPr>
      <w:r w:rsidRPr="00806DA6">
        <w:rPr>
          <w:rStyle w:val="a8"/>
          <w:vertAlign w:val="baseline"/>
        </w:rPr>
        <w:footnoteRef/>
      </w:r>
      <w:r w:rsidRPr="00806DA6">
        <w:rPr>
          <w:rtl/>
        </w:rPr>
        <w:t xml:space="preserve"> </w:t>
      </w:r>
      <w:r w:rsidRPr="00806DA6">
        <w:rPr>
          <w:rtl/>
        </w:rPr>
        <w:tab/>
      </w:r>
      <w:r w:rsidRPr="00806DA6">
        <w:rPr>
          <w:rFonts w:hint="cs"/>
          <w:rtl/>
        </w:rPr>
        <w:t xml:space="preserve">לעניין הקמת הנציבות לשוויון, ראו בפרק ו' לחוק השוויון. </w:t>
      </w:r>
    </w:p>
  </w:footnote>
  <w:footnote w:id="93">
    <w:p w:rsidR="00B14302" w:rsidRPr="00806DA6" w:rsidRDefault="00DF6A0A" w:rsidP="00806DA6">
      <w:pPr>
        <w:pStyle w:val="73f4"/>
        <w:rPr>
          <w:rtl/>
        </w:rPr>
      </w:pPr>
      <w:r w:rsidRPr="00806DA6">
        <w:rPr>
          <w:rStyle w:val="a8"/>
          <w:vertAlign w:val="baseline"/>
        </w:rPr>
        <w:footnoteRef/>
      </w:r>
      <w:r w:rsidRPr="00806DA6">
        <w:rPr>
          <w:rtl/>
        </w:rPr>
        <w:t xml:space="preserve"> </w:t>
      </w:r>
      <w:r w:rsidRPr="00806DA6">
        <w:rPr>
          <w:rtl/>
        </w:rPr>
        <w:tab/>
      </w:r>
      <w:r w:rsidRPr="00806DA6">
        <w:rPr>
          <w:rFonts w:hint="cs"/>
          <w:rtl/>
        </w:rPr>
        <w:t xml:space="preserve">בתחום התעסוקה למשל, </w:t>
      </w:r>
      <w:r w:rsidRPr="00806DA6">
        <w:rPr>
          <w:rtl/>
        </w:rPr>
        <w:t>רשאית הנציבות לתת ייעוץ וליווי</w:t>
      </w:r>
      <w:r w:rsidRPr="00806DA6">
        <w:rPr>
          <w:rFonts w:hint="cs"/>
          <w:rtl/>
        </w:rPr>
        <w:t xml:space="preserve"> לפרט,</w:t>
      </w:r>
      <w:r w:rsidRPr="00806DA6">
        <w:rPr>
          <w:rtl/>
        </w:rPr>
        <w:t xml:space="preserve"> </w:t>
      </w:r>
      <w:r w:rsidRPr="00806DA6">
        <w:rPr>
          <w:rFonts w:hint="cs"/>
          <w:rtl/>
        </w:rPr>
        <w:t>לייצגו</w:t>
      </w:r>
      <w:r w:rsidRPr="00806DA6">
        <w:rPr>
          <w:rtl/>
        </w:rPr>
        <w:t xml:space="preserve"> (מול מעסיק פרטי וגם מול מעסיק ציבורי ומשרדי ממשלה), </w:t>
      </w:r>
      <w:r w:rsidRPr="00806DA6">
        <w:rPr>
          <w:rFonts w:hint="cs"/>
          <w:rtl/>
        </w:rPr>
        <w:t>ל</w:t>
      </w:r>
      <w:r w:rsidRPr="00806DA6">
        <w:rPr>
          <w:rtl/>
        </w:rPr>
        <w:t>הצטר</w:t>
      </w:r>
      <w:r w:rsidRPr="00806DA6">
        <w:rPr>
          <w:rFonts w:hint="cs"/>
          <w:rtl/>
        </w:rPr>
        <w:t>ף</w:t>
      </w:r>
      <w:r w:rsidRPr="00806DA6">
        <w:rPr>
          <w:rtl/>
        </w:rPr>
        <w:t xml:space="preserve"> לתביעה, </w:t>
      </w:r>
      <w:r w:rsidRPr="00806DA6">
        <w:rPr>
          <w:rFonts w:hint="cs"/>
          <w:rtl/>
        </w:rPr>
        <w:t>לתת</w:t>
      </w:r>
      <w:r w:rsidRPr="00806DA6">
        <w:rPr>
          <w:rtl/>
        </w:rPr>
        <w:t xml:space="preserve"> חוות דעת וכן </w:t>
      </w:r>
      <w:r w:rsidRPr="00806DA6">
        <w:rPr>
          <w:rFonts w:hint="cs"/>
          <w:rtl/>
        </w:rPr>
        <w:t xml:space="preserve">לספק </w:t>
      </w:r>
      <w:r w:rsidRPr="00806DA6">
        <w:rPr>
          <w:rtl/>
        </w:rPr>
        <w:t>מידע לציבור על חובות וזכויות בתחום התעסוקה.</w:t>
      </w:r>
    </w:p>
  </w:footnote>
  <w:footnote w:id="94">
    <w:p w:rsidR="00B14302" w:rsidRPr="00806DA6" w:rsidRDefault="00DF6A0A" w:rsidP="00806DA6">
      <w:pPr>
        <w:pStyle w:val="73f4"/>
        <w:rPr>
          <w:rtl/>
        </w:rPr>
      </w:pPr>
      <w:r w:rsidRPr="00806DA6">
        <w:rPr>
          <w:rStyle w:val="a8"/>
          <w:vertAlign w:val="baseline"/>
        </w:rPr>
        <w:footnoteRef/>
      </w:r>
      <w:r w:rsidRPr="00806DA6">
        <w:rPr>
          <w:rtl/>
        </w:rPr>
        <w:t xml:space="preserve"> </w:t>
      </w:r>
      <w:r w:rsidRPr="00806DA6">
        <w:rPr>
          <w:rtl/>
        </w:rPr>
        <w:tab/>
      </w:r>
      <w:r w:rsidRPr="00806DA6">
        <w:rPr>
          <w:rFonts w:hint="cs"/>
          <w:rtl/>
        </w:rPr>
        <w:t xml:space="preserve">סעיפים 19מג(א) ו-19מח לחוק. </w:t>
      </w:r>
    </w:p>
  </w:footnote>
  <w:footnote w:id="95">
    <w:p w:rsidR="00B14302" w:rsidRPr="00806DA6" w:rsidRDefault="00DF6A0A" w:rsidP="00806DA6">
      <w:pPr>
        <w:pStyle w:val="73f4"/>
      </w:pPr>
      <w:r w:rsidRPr="00806DA6">
        <w:rPr>
          <w:rStyle w:val="a8"/>
          <w:vertAlign w:val="baseline"/>
        </w:rPr>
        <w:footnoteRef/>
      </w:r>
      <w:r w:rsidRPr="00806DA6">
        <w:rPr>
          <w:rtl/>
        </w:rPr>
        <w:t xml:space="preserve"> </w:t>
      </w:r>
      <w:r w:rsidRPr="00806DA6">
        <w:rPr>
          <w:rtl/>
        </w:rPr>
        <w:tab/>
        <w:t>בי</w:t>
      </w:r>
      <w:r w:rsidRPr="00806DA6">
        <w:rPr>
          <w:rFonts w:hint="cs"/>
          <w:rtl/>
        </w:rPr>
        <w:t>ן הפעולות שבהן הייתה מ</w:t>
      </w:r>
      <w:r w:rsidRPr="00806DA6">
        <w:rPr>
          <w:rFonts w:hint="cs"/>
          <w:rtl/>
        </w:rPr>
        <w:t>עורבת הנציבות לשוויון:</w:t>
      </w:r>
      <w:r w:rsidRPr="00806DA6">
        <w:rPr>
          <w:rtl/>
        </w:rPr>
        <w:t xml:space="preserve"> הדרכה בנושא נגישות דיגיטלית בקורס הכשרת רכזי נגישות במשרדי ממשלה</w:t>
      </w:r>
      <w:r w:rsidRPr="00806DA6">
        <w:rPr>
          <w:rFonts w:hint="cs"/>
          <w:rtl/>
        </w:rPr>
        <w:t>,</w:t>
      </w:r>
      <w:r w:rsidRPr="00806DA6">
        <w:rPr>
          <w:rtl/>
        </w:rPr>
        <w:t xml:space="preserve"> הרצאה על תקנות השירות בקורס רפרנטים לנושא מוגבלויות במשרד המשפטים והרצאה על נגישות דיגיטלית למפקחים בזרוע העבודה של משרד הכלכלה.</w:t>
      </w:r>
    </w:p>
  </w:footnote>
  <w:footnote w:id="96">
    <w:p w:rsidR="00B14302" w:rsidRPr="00B74C6A" w:rsidRDefault="00DF6A0A" w:rsidP="00806DA6">
      <w:pPr>
        <w:pStyle w:val="73f4"/>
      </w:pPr>
      <w:r w:rsidRPr="00806DA6">
        <w:rPr>
          <w:rStyle w:val="a8"/>
          <w:vertAlign w:val="baseline"/>
        </w:rPr>
        <w:footnoteRef/>
      </w:r>
      <w:r w:rsidRPr="00806DA6">
        <w:rPr>
          <w:rtl/>
        </w:rPr>
        <w:t xml:space="preserve"> </w:t>
      </w:r>
      <w:r w:rsidRPr="00806DA6">
        <w:rPr>
          <w:rtl/>
        </w:rPr>
        <w:tab/>
        <w:t>משרד המשפטים</w:t>
      </w:r>
      <w:r w:rsidRPr="00B74C6A">
        <w:rPr>
          <w:rtl/>
        </w:rPr>
        <w:t xml:space="preserve">, נציבות שוויון זכויות </w:t>
      </w:r>
      <w:r w:rsidRPr="00B74C6A">
        <w:rPr>
          <w:rtl/>
        </w:rPr>
        <w:t xml:space="preserve">לאנשים עם מוגבלות, סיכום פעילות שנתית 2020 (תש"פ - תשפ"א) (2021). </w:t>
      </w:r>
    </w:p>
  </w:footnote>
  <w:footnote w:id="97">
    <w:p w:rsidR="00B14302" w:rsidRPr="00806DA6" w:rsidRDefault="00DF6A0A" w:rsidP="00806DA6">
      <w:pPr>
        <w:pStyle w:val="736"/>
        <w:rPr>
          <w:rtl/>
        </w:rPr>
      </w:pPr>
      <w:r w:rsidRPr="00806DA6">
        <w:rPr>
          <w:rStyle w:val="a8"/>
          <w:vertAlign w:val="baseline"/>
        </w:rPr>
        <w:footnoteRef/>
      </w:r>
      <w:r w:rsidRPr="00806DA6">
        <w:rPr>
          <w:rtl/>
        </w:rPr>
        <w:t xml:space="preserve"> </w:t>
      </w:r>
      <w:r w:rsidRPr="00806DA6">
        <w:rPr>
          <w:rtl/>
        </w:rPr>
        <w:tab/>
      </w:r>
      <w:r w:rsidRPr="00806DA6">
        <w:rPr>
          <w:rFonts w:hint="cs"/>
          <w:rtl/>
        </w:rPr>
        <w:t>משרד המשפטים, נציבות שוויון זכויות לאנשים עם מוגבלות, "</w:t>
      </w:r>
      <w:r w:rsidRPr="00806DA6">
        <w:rPr>
          <w:rtl/>
        </w:rPr>
        <w:t>סיכום פעילות שנתית</w:t>
      </w:r>
      <w:r w:rsidRPr="00806DA6">
        <w:rPr>
          <w:rFonts w:hint="cs"/>
          <w:rtl/>
        </w:rPr>
        <w:t xml:space="preserve"> </w:t>
      </w:r>
      <w:r w:rsidRPr="00806DA6">
        <w:rPr>
          <w:rtl/>
        </w:rPr>
        <w:t xml:space="preserve">2020 </w:t>
      </w:r>
      <w:r w:rsidRPr="00806DA6">
        <w:rPr>
          <w:rFonts w:hint="cs"/>
          <w:rtl/>
        </w:rPr>
        <w:t>(</w:t>
      </w:r>
      <w:r w:rsidRPr="00806DA6">
        <w:rPr>
          <w:rtl/>
        </w:rPr>
        <w:t>תש"פ-תשפ"א</w:t>
      </w:r>
      <w:r w:rsidRPr="00806DA6">
        <w:rPr>
          <w:rFonts w:hint="cs"/>
          <w:rtl/>
        </w:rPr>
        <w:t>)", (2021), ראו שם בתרשים שכותרתו: "</w:t>
      </w:r>
      <w:r w:rsidRPr="00806DA6">
        <w:rPr>
          <w:rtl/>
        </w:rPr>
        <w:t>פילוח פניות ציבור בתחומי נגישות בשנת 2020</w:t>
      </w:r>
      <w:r w:rsidRPr="00806DA6">
        <w:rPr>
          <w:rFonts w:hint="cs"/>
          <w:rtl/>
        </w:rPr>
        <w:t xml:space="preserve">". </w:t>
      </w:r>
    </w:p>
  </w:footnote>
  <w:footnote w:id="98">
    <w:p w:rsidR="00B14302" w:rsidRPr="00806DA6" w:rsidRDefault="00DF6A0A" w:rsidP="00806DA6">
      <w:pPr>
        <w:pStyle w:val="736"/>
      </w:pPr>
      <w:r w:rsidRPr="00806DA6">
        <w:rPr>
          <w:rStyle w:val="a8"/>
          <w:vertAlign w:val="baseline"/>
        </w:rPr>
        <w:footnoteRef/>
      </w:r>
      <w:r w:rsidRPr="00806DA6">
        <w:rPr>
          <w:rtl/>
        </w:rPr>
        <w:t xml:space="preserve"> </w:t>
      </w:r>
      <w:r w:rsidRPr="00806DA6">
        <w:rPr>
          <w:rtl/>
        </w:rPr>
        <w:tab/>
        <w:t xml:space="preserve">בתרשים: </w:t>
      </w:r>
      <w:r w:rsidRPr="00806DA6">
        <w:rPr>
          <w:rFonts w:hint="cs"/>
          <w:rtl/>
        </w:rPr>
        <w:t>נגיש</w:t>
      </w:r>
      <w:r w:rsidRPr="00806DA6">
        <w:rPr>
          <w:rFonts w:hint="cs"/>
          <w:rtl/>
        </w:rPr>
        <w:t xml:space="preserve">ות דיגיטלית מוגדרת </w:t>
      </w:r>
      <w:r w:rsidRPr="00806DA6">
        <w:rPr>
          <w:rtl/>
        </w:rPr>
        <w:t>"נגישות שירות - אינטרנט</w:t>
      </w:r>
      <w:r w:rsidRPr="00806DA6">
        <w:rPr>
          <w:rFonts w:hint="cs"/>
          <w:rtl/>
        </w:rPr>
        <w:t xml:space="preserve">". </w:t>
      </w:r>
    </w:p>
  </w:footnote>
  <w:footnote w:id="99">
    <w:p w:rsidR="00B14302" w:rsidRPr="00B74C6A" w:rsidRDefault="00DF6A0A" w:rsidP="00806DA6">
      <w:pPr>
        <w:pStyle w:val="736"/>
        <w:rPr>
          <w:rtl/>
        </w:rPr>
      </w:pPr>
      <w:r w:rsidRPr="00806DA6">
        <w:rPr>
          <w:rStyle w:val="a8"/>
          <w:vertAlign w:val="baseline"/>
        </w:rPr>
        <w:footnoteRef/>
      </w:r>
      <w:r w:rsidRPr="00806DA6">
        <w:rPr>
          <w:rtl/>
        </w:rPr>
        <w:t xml:space="preserve"> </w:t>
      </w:r>
      <w:r w:rsidRPr="00806DA6">
        <w:rPr>
          <w:rtl/>
        </w:rPr>
        <w:tab/>
      </w:r>
      <w:r w:rsidRPr="00806DA6">
        <w:rPr>
          <w:rFonts w:hint="cs"/>
          <w:rtl/>
        </w:rPr>
        <w:t xml:space="preserve">יוזכר </w:t>
      </w:r>
      <w:r w:rsidRPr="00806DA6">
        <w:rPr>
          <w:rtl/>
        </w:rPr>
        <w:t xml:space="preserve">בהקשר </w:t>
      </w:r>
      <w:r w:rsidRPr="00806DA6">
        <w:rPr>
          <w:rFonts w:hint="cs"/>
          <w:rtl/>
        </w:rPr>
        <w:t xml:space="preserve">זה </w:t>
      </w:r>
      <w:r w:rsidRPr="00806DA6">
        <w:rPr>
          <w:rtl/>
        </w:rPr>
        <w:t>כי בשנת 2020 פרצה מגפת הקורונה, והציבור הגביר את היקף שימושו במרשתת לצורך תקשורת,</w:t>
      </w:r>
      <w:r w:rsidRPr="00B74C6A">
        <w:rPr>
          <w:rtl/>
        </w:rPr>
        <w:t xml:space="preserve"> קבלת מידע וקבלת שירותים מארגונים ציבוריים וממשלתיים. נתון זה עשוי להסביר, לפחות באופן חלקי, את הסיבה לעלייה במ</w:t>
      </w:r>
      <w:r w:rsidRPr="00B74C6A">
        <w:rPr>
          <w:rtl/>
        </w:rPr>
        <w:t xml:space="preserve">ספר הפניות לנציבות בנושא זה. </w:t>
      </w:r>
    </w:p>
  </w:footnote>
  <w:footnote w:id="100">
    <w:p w:rsidR="00B14302" w:rsidRPr="00806DA6" w:rsidRDefault="00DF6A0A" w:rsidP="00806DA6">
      <w:pPr>
        <w:pStyle w:val="736"/>
      </w:pPr>
      <w:r w:rsidRPr="00806DA6">
        <w:rPr>
          <w:rStyle w:val="a8"/>
          <w:vertAlign w:val="baseline"/>
        </w:rPr>
        <w:footnoteRef/>
      </w:r>
      <w:r w:rsidRPr="00806DA6">
        <w:rPr>
          <w:rtl/>
        </w:rPr>
        <w:t xml:space="preserve"> </w:t>
      </w:r>
      <w:r w:rsidRPr="00806DA6">
        <w:rPr>
          <w:rtl/>
        </w:rPr>
        <w:tab/>
      </w:r>
      <w:r w:rsidRPr="00806DA6">
        <w:rPr>
          <w:rFonts w:hint="cs"/>
          <w:rtl/>
        </w:rPr>
        <w:t xml:space="preserve">על נגישות דיגיטלית ברשויות מקומיות ראו מבקר המדינה, דוחות על ביקורת בשלטון המקומי לשנת 2021 (2021), </w:t>
      </w:r>
      <w:r w:rsidRPr="00806DA6">
        <w:rPr>
          <w:rtl/>
        </w:rPr>
        <w:t>"שירותים מקוונים ברשויות מקומיות בשגרה ובחירום"</w:t>
      </w:r>
      <w:r w:rsidRPr="00806DA6">
        <w:rPr>
          <w:rFonts w:hint="cs"/>
          <w:rtl/>
        </w:rPr>
        <w:t xml:space="preserve">, עמ' 388 - 392. </w:t>
      </w:r>
    </w:p>
  </w:footnote>
  <w:footnote w:id="101">
    <w:p w:rsidR="00B14302" w:rsidRPr="00806DA6" w:rsidRDefault="00DF6A0A" w:rsidP="00806DA6">
      <w:pPr>
        <w:pStyle w:val="736"/>
        <w:rPr>
          <w:rtl/>
        </w:rPr>
      </w:pPr>
      <w:r w:rsidRPr="00806DA6">
        <w:rPr>
          <w:rStyle w:val="a8"/>
          <w:vertAlign w:val="baseline"/>
        </w:rPr>
        <w:footnoteRef/>
      </w:r>
      <w:r w:rsidRPr="00806DA6">
        <w:rPr>
          <w:rtl/>
        </w:rPr>
        <w:t xml:space="preserve"> </w:t>
      </w:r>
      <w:r w:rsidRPr="00806DA6">
        <w:rPr>
          <w:rtl/>
        </w:rPr>
        <w:tab/>
      </w:r>
      <w:r w:rsidRPr="00806DA6">
        <w:rPr>
          <w:rFonts w:hint="cs"/>
          <w:rtl/>
        </w:rPr>
        <w:t>על פי תקנה 35א (ד) (1) ל</w:t>
      </w:r>
      <w:r w:rsidRPr="00806DA6">
        <w:rPr>
          <w:rtl/>
        </w:rPr>
        <w:t>א יראו סטייה מעמידה בהוראות כהפ</w:t>
      </w:r>
      <w:r w:rsidRPr="00806DA6">
        <w:rPr>
          <w:rtl/>
        </w:rPr>
        <w:t>רה של הוראות הנגישות, אלא אם כן נשלחה לחייב הודעה הדורשת ממנו לתקנה והחייב לא תיקנה בתוך זמן סביר אך לא יאוחר מ-60 ימים מיום קבלת ההודעה.</w:t>
      </w:r>
    </w:p>
  </w:footnote>
  <w:footnote w:id="102">
    <w:p w:rsidR="00B14302" w:rsidRPr="00B74C6A" w:rsidRDefault="00DF6A0A" w:rsidP="00806DA6">
      <w:pPr>
        <w:pStyle w:val="736"/>
        <w:rPr>
          <w:rtl/>
        </w:rPr>
      </w:pPr>
      <w:r w:rsidRPr="00806DA6">
        <w:rPr>
          <w:rStyle w:val="a8"/>
          <w:vertAlign w:val="baseline"/>
        </w:rPr>
        <w:footnoteRef/>
      </w:r>
      <w:r w:rsidRPr="00806DA6">
        <w:rPr>
          <w:rtl/>
        </w:rPr>
        <w:t xml:space="preserve"> </w:t>
      </w:r>
      <w:r w:rsidRPr="00806DA6">
        <w:rPr>
          <w:rtl/>
        </w:rPr>
        <w:tab/>
      </w:r>
      <w:r w:rsidRPr="00806DA6">
        <w:rPr>
          <w:rFonts w:hint="cs"/>
          <w:rtl/>
        </w:rPr>
        <w:t>על פי הנתונים שמסרה הנציבות לשוויון למשרד מבקר המדינה, היא ביצעה פעולות פיקוח בקשר לכל אחד מאתרי</w:t>
      </w:r>
      <w:r w:rsidRPr="00B74C6A">
        <w:rPr>
          <w:rtl/>
        </w:rPr>
        <w:t xml:space="preserve"> מרשתת אלה, ובקשר ל</w:t>
      </w:r>
      <w:r w:rsidRPr="00B74C6A">
        <w:rPr>
          <w:rtl/>
        </w:rPr>
        <w:t xml:space="preserve">ארבעה מהם גם התקבלו אצלה תלונות - תלונה על כל אתר, ולכן בדיקותיה בארבעה אתרים היו קשורות גם לבדיקת תלונות. </w:t>
      </w:r>
    </w:p>
  </w:footnote>
  <w:footnote w:id="103">
    <w:p w:rsidR="00B14302" w:rsidRPr="00637A48" w:rsidRDefault="00DF6A0A" w:rsidP="00637A48">
      <w:pPr>
        <w:pStyle w:val="73f4"/>
        <w:rPr>
          <w:rtl/>
        </w:rPr>
      </w:pPr>
      <w:r w:rsidRPr="00637A48">
        <w:rPr>
          <w:rStyle w:val="a8"/>
          <w:vertAlign w:val="baseline"/>
        </w:rPr>
        <w:footnoteRef/>
      </w:r>
      <w:r w:rsidRPr="00637A48">
        <w:rPr>
          <w:rtl/>
        </w:rPr>
        <w:t xml:space="preserve"> </w:t>
      </w:r>
      <w:r w:rsidRPr="00637A48">
        <w:rPr>
          <w:rtl/>
        </w:rPr>
        <w:tab/>
      </w:r>
      <w:r w:rsidRPr="00637A48">
        <w:rPr>
          <w:rFonts w:hint="cs"/>
          <w:rtl/>
        </w:rPr>
        <w:t xml:space="preserve">בנושא האבטלה בתקופת הקורונה, ראו: מבקר המדינה, </w:t>
      </w:r>
      <w:r w:rsidRPr="00BD5EEA">
        <w:rPr>
          <w:rFonts w:hint="cs"/>
          <w:b/>
          <w:bCs/>
          <w:rtl/>
        </w:rPr>
        <w:t>דוח מיוחד: התמודדות מדינת ישראל עם משבר הקורונה</w:t>
      </w:r>
      <w:r w:rsidRPr="00637A48">
        <w:rPr>
          <w:rFonts w:hint="cs"/>
          <w:rtl/>
        </w:rPr>
        <w:t xml:space="preserve">, </w:t>
      </w:r>
      <w:r>
        <w:rPr>
          <w:rFonts w:hint="cs"/>
          <w:rtl/>
        </w:rPr>
        <w:t>(2021)</w:t>
      </w:r>
      <w:r w:rsidRPr="00637A48">
        <w:rPr>
          <w:rFonts w:hint="cs"/>
          <w:rtl/>
        </w:rPr>
        <w:t xml:space="preserve">, </w:t>
      </w:r>
      <w:r w:rsidRPr="00637A48">
        <w:rPr>
          <w:rtl/>
        </w:rPr>
        <w:t>"טיפול הממשלה במובטלים במשבר הקורונה"</w:t>
      </w:r>
      <w:r>
        <w:rPr>
          <w:rFonts w:hint="cs"/>
          <w:rtl/>
        </w:rPr>
        <w:t>.</w:t>
      </w:r>
    </w:p>
  </w:footnote>
  <w:footnote w:id="104">
    <w:p w:rsidR="00B14302" w:rsidRPr="00B74C6A" w:rsidRDefault="00DF6A0A" w:rsidP="00637A48">
      <w:pPr>
        <w:pStyle w:val="73f4"/>
        <w:rPr>
          <w:rtl/>
        </w:rPr>
      </w:pPr>
      <w:r w:rsidRPr="00637A48">
        <w:rPr>
          <w:rStyle w:val="a8"/>
          <w:vertAlign w:val="baseline"/>
        </w:rPr>
        <w:footnoteRef/>
      </w:r>
      <w:r w:rsidRPr="00B74C6A">
        <w:rPr>
          <w:rtl/>
        </w:rPr>
        <w:t xml:space="preserve"> </w:t>
      </w:r>
      <w:r w:rsidRPr="00B74C6A">
        <w:rPr>
          <w:rtl/>
        </w:rPr>
        <w:tab/>
        <w:t>בגוף הרביעי, רשות שדות התעופה</w:t>
      </w:r>
      <w:r>
        <w:rPr>
          <w:rFonts w:hint="cs"/>
          <w:rtl/>
        </w:rPr>
        <w:t>,</w:t>
      </w:r>
      <w:r w:rsidRPr="00B74C6A">
        <w:rPr>
          <w:rtl/>
        </w:rPr>
        <w:t xml:space="preserve"> נמצא כי הליקוי שמצאה הנציבות תוקן. </w:t>
      </w:r>
    </w:p>
  </w:footnote>
  <w:footnote w:id="105">
    <w:p w:rsidR="00B14302" w:rsidRPr="00B74C6A" w:rsidRDefault="00DF6A0A" w:rsidP="00B74C6A">
      <w:pPr>
        <w:pStyle w:val="736"/>
      </w:pPr>
      <w:r w:rsidRPr="00637A48">
        <w:footnoteRef/>
      </w:r>
      <w:r w:rsidRPr="00637A48">
        <w:rPr>
          <w:rtl/>
        </w:rPr>
        <w:t xml:space="preserve"> </w:t>
      </w:r>
      <w:r w:rsidRPr="00B74C6A">
        <w:rPr>
          <w:rtl/>
        </w:rPr>
        <w:tab/>
        <w:t>פורסם ברשומות ב-13.7.2022 וצפוי להיכנס לתוקף ביולי 2023 בכפוף להשלמת התקנות והנהלים הנדרשים לצורך יישום החוק.</w:t>
      </w:r>
    </w:p>
  </w:footnote>
  <w:footnote w:id="106">
    <w:p w:rsidR="00B14302" w:rsidRPr="00B74C6A" w:rsidRDefault="00DF6A0A" w:rsidP="00B74C6A">
      <w:pPr>
        <w:pStyle w:val="736"/>
      </w:pPr>
      <w:r w:rsidRPr="00637A48">
        <w:footnoteRef/>
      </w:r>
      <w:r w:rsidRPr="00637A48">
        <w:rPr>
          <w:rtl/>
        </w:rPr>
        <w:t xml:space="preserve"> </w:t>
      </w:r>
      <w:r w:rsidRPr="00B74C6A">
        <w:rPr>
          <w:rtl/>
        </w:rPr>
        <w:tab/>
        <w:t xml:space="preserve">מדידת איכות השירות הממשלתי לציבור, דוח מסכם לשנת 2020, עמ' 9. </w:t>
      </w:r>
    </w:p>
  </w:footnote>
  <w:footnote w:id="107">
    <w:p w:rsidR="00B14302" w:rsidRPr="00637A48" w:rsidRDefault="00DF6A0A" w:rsidP="00637A48">
      <w:pPr>
        <w:pStyle w:val="73f4"/>
        <w:rPr>
          <w:rtl/>
        </w:rPr>
      </w:pPr>
      <w:r w:rsidRPr="00637A48">
        <w:rPr>
          <w:rStyle w:val="a8"/>
          <w:vertAlign w:val="baseline"/>
        </w:rPr>
        <w:footnoteRef/>
      </w:r>
      <w:r w:rsidRPr="00637A48">
        <w:rPr>
          <w:rtl/>
        </w:rPr>
        <w:t xml:space="preserve"> </w:t>
      </w:r>
      <w:r w:rsidRPr="00637A48">
        <w:rPr>
          <w:rtl/>
        </w:rPr>
        <w:tab/>
      </w:r>
      <w:r w:rsidRPr="00637A48">
        <w:rPr>
          <w:rFonts w:hint="cs"/>
          <w:rtl/>
        </w:rPr>
        <w:t>ראו פי</w:t>
      </w:r>
      <w:r w:rsidRPr="00637A48">
        <w:rPr>
          <w:rFonts w:hint="cs"/>
          <w:rtl/>
        </w:rPr>
        <w:t xml:space="preserve">רוט בפרק המבוא. </w:t>
      </w:r>
    </w:p>
  </w:footnote>
  <w:footnote w:id="108">
    <w:p w:rsidR="00B14302" w:rsidRPr="00637A48" w:rsidRDefault="00DF6A0A" w:rsidP="00637A48">
      <w:pPr>
        <w:pStyle w:val="73f4"/>
      </w:pPr>
      <w:r w:rsidRPr="00637A48">
        <w:rPr>
          <w:rStyle w:val="a8"/>
          <w:vertAlign w:val="baseline"/>
        </w:rPr>
        <w:footnoteRef/>
      </w:r>
      <w:r w:rsidRPr="00637A48">
        <w:rPr>
          <w:rtl/>
        </w:rPr>
        <w:t xml:space="preserve"> </w:t>
      </w:r>
      <w:r w:rsidRPr="00637A48">
        <w:rPr>
          <w:rtl/>
        </w:rPr>
        <w:tab/>
      </w:r>
      <w:r w:rsidRPr="00637A48">
        <w:rPr>
          <w:rFonts w:hint="cs"/>
          <w:rtl/>
        </w:rPr>
        <w:t xml:space="preserve">שירותי בריאות - שירותים שניתנים לציבור על ידי ספקים כגון שירותים של קופות חולים ובתי חולים. </w:t>
      </w:r>
    </w:p>
  </w:footnote>
  <w:footnote w:id="109">
    <w:p w:rsidR="00B14302" w:rsidRPr="00B74C6A" w:rsidRDefault="00DF6A0A" w:rsidP="00637A48">
      <w:pPr>
        <w:pStyle w:val="73f4"/>
      </w:pPr>
      <w:r w:rsidRPr="00637A48">
        <w:rPr>
          <w:rStyle w:val="a8"/>
          <w:vertAlign w:val="baseline"/>
        </w:rPr>
        <w:footnoteRef/>
      </w:r>
      <w:r w:rsidRPr="00637A48">
        <w:rPr>
          <w:rtl/>
        </w:rPr>
        <w:t xml:space="preserve"> </w:t>
      </w:r>
      <w:r w:rsidRPr="00637A48">
        <w:rPr>
          <w:rtl/>
        </w:rPr>
        <w:tab/>
      </w:r>
      <w:r w:rsidRPr="00B74C6A">
        <w:rPr>
          <w:rtl/>
        </w:rPr>
        <w:t>פרק זה עוסק בנושא: "שירות בריאות ומקום ציבורי שבו ניתן שירות בריאות - נגישות".</w:t>
      </w:r>
    </w:p>
  </w:footnote>
  <w:footnote w:id="110">
    <w:p w:rsidR="00B14302" w:rsidRPr="00B74C6A" w:rsidRDefault="00DF6A0A" w:rsidP="00637A48">
      <w:pPr>
        <w:pStyle w:val="73f4"/>
        <w:rPr>
          <w:rtl/>
        </w:rPr>
      </w:pPr>
      <w:r w:rsidRPr="00637A48">
        <w:footnoteRef/>
      </w:r>
      <w:r w:rsidRPr="00637A48">
        <w:rPr>
          <w:rtl/>
        </w:rPr>
        <w:t xml:space="preserve"> </w:t>
      </w:r>
      <w:r w:rsidRPr="00B74C6A">
        <w:rPr>
          <w:rtl/>
        </w:rPr>
        <w:tab/>
        <w:t xml:space="preserve">תקנות אלה כוללות הוראות להנגשת חלק מן המבנים שבהם ניתנים </w:t>
      </w:r>
      <w:r w:rsidRPr="00B74C6A">
        <w:rPr>
          <w:rtl/>
        </w:rPr>
        <w:t>שירותי בריאות ואינן כוללות את נושא נגישות השירות הניתן במרשתת.</w:t>
      </w:r>
    </w:p>
  </w:footnote>
  <w:footnote w:id="111">
    <w:p w:rsidR="00B14302" w:rsidRPr="00B74C6A" w:rsidRDefault="00DF6A0A" w:rsidP="00637A48">
      <w:pPr>
        <w:pStyle w:val="73f4"/>
      </w:pPr>
      <w:r w:rsidRPr="00637A48">
        <w:footnoteRef/>
      </w:r>
      <w:r w:rsidRPr="00637A48">
        <w:rPr>
          <w:rtl/>
        </w:rPr>
        <w:t xml:space="preserve"> </w:t>
      </w:r>
      <w:r w:rsidRPr="00B74C6A">
        <w:rPr>
          <w:rtl/>
        </w:rPr>
        <w:tab/>
        <w:t>פער דיגיטלי הוא מצב שבו ליחידים או לקבוצות שונות באוכלוסייה יש רמות שונות של נגישות לתשתיות דיגיטליות, כגון מחשב, טלפון חכם, תוכנות, יישומים וחיבור למרשתת, או רמות שונות של אוריינות דיגיטלית</w:t>
      </w:r>
      <w:r w:rsidRPr="00B74C6A">
        <w:rPr>
          <w:rtl/>
        </w:rPr>
        <w:t xml:space="preserve"> - מיומנויות וכישורי למידה ועבודה בסביבה ממוחשבת. ראו מרכז המחקר והמידע של הכנסת, </w:t>
      </w:r>
      <w:r w:rsidRPr="00B74C6A">
        <w:rPr>
          <w:b/>
          <w:bCs/>
          <w:rtl/>
        </w:rPr>
        <w:t>הפער הדיגיטלי ויישום המדיניות הממשלתית לצמצומו</w:t>
      </w:r>
      <w:r w:rsidRPr="00B74C6A">
        <w:rPr>
          <w:rtl/>
        </w:rPr>
        <w:t xml:space="preserve"> (2020). </w:t>
      </w:r>
    </w:p>
  </w:footnote>
  <w:footnote w:id="112">
    <w:p w:rsidR="00B14302" w:rsidRPr="00B74C6A" w:rsidRDefault="00DF6A0A" w:rsidP="00637A48">
      <w:pPr>
        <w:pStyle w:val="73f4"/>
        <w:rPr>
          <w:rtl/>
        </w:rPr>
      </w:pPr>
      <w:r w:rsidRPr="00637A48">
        <w:footnoteRef/>
      </w:r>
      <w:r w:rsidRPr="00637A48">
        <w:rPr>
          <w:rtl/>
        </w:rPr>
        <w:t xml:space="preserve"> </w:t>
      </w:r>
      <w:r w:rsidRPr="00B74C6A">
        <w:rPr>
          <w:rtl/>
        </w:rPr>
        <w:tab/>
        <w:t xml:space="preserve">נציבות תלונות הציבור, </w:t>
      </w:r>
      <w:r w:rsidRPr="00B74C6A">
        <w:rPr>
          <w:b/>
          <w:bCs/>
          <w:rtl/>
        </w:rPr>
        <w:t>דוח שנתי 48</w:t>
      </w:r>
      <w:r w:rsidRPr="00B74C6A">
        <w:rPr>
          <w:rtl/>
        </w:rPr>
        <w:t xml:space="preserve"> (2022), שם בעמ' 83 - 89. </w:t>
      </w:r>
    </w:p>
  </w:footnote>
  <w:footnote w:id="113">
    <w:p w:rsidR="00B14302" w:rsidRPr="00637A48" w:rsidRDefault="00DF6A0A" w:rsidP="00637A48">
      <w:pPr>
        <w:pStyle w:val="73f4"/>
      </w:pPr>
      <w:r w:rsidRPr="00637A48">
        <w:rPr>
          <w:rStyle w:val="a8"/>
          <w:vertAlign w:val="baseline"/>
        </w:rPr>
        <w:footnoteRef/>
      </w:r>
      <w:r w:rsidRPr="00637A48">
        <w:rPr>
          <w:rtl/>
        </w:rPr>
        <w:t xml:space="preserve"> </w:t>
      </w:r>
      <w:r w:rsidRPr="00637A48">
        <w:rPr>
          <w:rtl/>
        </w:rPr>
        <w:tab/>
      </w:r>
      <w:r w:rsidRPr="00637A48">
        <w:rPr>
          <w:rFonts w:hint="cs"/>
          <w:rtl/>
        </w:rPr>
        <w:t>נת"צ פנתה לגופים שבהם מדובר כדי שיאפשרו למתלוננים לק</w:t>
      </w:r>
      <w:r w:rsidRPr="00637A48">
        <w:rPr>
          <w:rFonts w:hint="cs"/>
          <w:rtl/>
        </w:rPr>
        <w:t xml:space="preserve">בל את השירות. במקרה של התלונה שהוצגה בעקבות פניית נת"צ לרשות המקומית נמסרו המסמכים בקשר לבקשת ההנחה באופן ידני. </w:t>
      </w:r>
    </w:p>
  </w:footnote>
  <w:footnote w:id="114">
    <w:p w:rsidR="00B14302" w:rsidRPr="00637A48" w:rsidRDefault="00DF6A0A" w:rsidP="00637A48">
      <w:pPr>
        <w:pStyle w:val="73f4"/>
        <w:rPr>
          <w:rtl/>
        </w:rPr>
      </w:pPr>
      <w:r w:rsidRPr="00637A48">
        <w:rPr>
          <w:rStyle w:val="a8"/>
          <w:vertAlign w:val="baseline"/>
        </w:rPr>
        <w:footnoteRef/>
      </w:r>
      <w:r w:rsidRPr="00637A48">
        <w:rPr>
          <w:rtl/>
        </w:rPr>
        <w:t xml:space="preserve"> </w:t>
      </w:r>
      <w:r w:rsidRPr="00637A48">
        <w:rPr>
          <w:rtl/>
        </w:rPr>
        <w:tab/>
        <w:t>שם החוק שונה לחוק תקשורת דיגיטלית עם גופים ציבוריים, התשע"ח-2018</w:t>
      </w:r>
    </w:p>
  </w:footnote>
  <w:footnote w:id="115">
    <w:p w:rsidR="00B14302" w:rsidRPr="00B74C6A" w:rsidRDefault="00DF6A0A" w:rsidP="00637A48">
      <w:pPr>
        <w:pStyle w:val="73f4"/>
        <w:rPr>
          <w:rtl/>
        </w:rPr>
      </w:pPr>
      <w:r w:rsidRPr="00637A48">
        <w:rPr>
          <w:rStyle w:val="a8"/>
          <w:vertAlign w:val="baseline"/>
        </w:rPr>
        <w:footnoteRef/>
      </w:r>
      <w:r w:rsidRPr="00637A48">
        <w:rPr>
          <w:rtl/>
        </w:rPr>
        <w:t xml:space="preserve"> </w:t>
      </w:r>
      <w:r w:rsidRPr="00637A48">
        <w:rPr>
          <w:rtl/>
        </w:rPr>
        <w:tab/>
        <w:t>"אמצעי קשר דיגיטלי" מוגדר בחוק כ</w:t>
      </w:r>
      <w:r w:rsidRPr="00637A48">
        <w:rPr>
          <w:rFonts w:hint="cs"/>
          <w:rtl/>
        </w:rPr>
        <w:t>א</w:t>
      </w:r>
      <w:r w:rsidRPr="00637A48">
        <w:rPr>
          <w:rtl/>
        </w:rPr>
        <w:t>מצעי טכנולוגי שבחר גוף ציבורי, המאפשר ל</w:t>
      </w:r>
      <w:r w:rsidRPr="00637A48">
        <w:rPr>
          <w:rtl/>
        </w:rPr>
        <w:t>ציבור לפנות אליו בפשטות מכל</w:t>
      </w:r>
      <w:r w:rsidRPr="00B74C6A">
        <w:rPr>
          <w:rtl/>
        </w:rPr>
        <w:t xml:space="preserve"> מקום, באמצעות המרשתת, לרבות באמצעות דואר אלקטרוני, וכן לצרף לפנייתו קבצים.</w:t>
      </w:r>
    </w:p>
  </w:footnote>
  <w:footnote w:id="116">
    <w:p w:rsidR="00B14302" w:rsidRPr="00637A48" w:rsidRDefault="00DF6A0A" w:rsidP="00637A48">
      <w:pPr>
        <w:pStyle w:val="73f4"/>
      </w:pPr>
      <w:r w:rsidRPr="00637A48">
        <w:rPr>
          <w:rStyle w:val="a8"/>
          <w:vertAlign w:val="baseline"/>
        </w:rPr>
        <w:footnoteRef/>
      </w:r>
      <w:r w:rsidRPr="00637A48">
        <w:rPr>
          <w:rtl/>
        </w:rPr>
        <w:t xml:space="preserve"> </w:t>
      </w:r>
      <w:r w:rsidRPr="00637A48">
        <w:rPr>
          <w:rtl/>
        </w:rPr>
        <w:tab/>
      </w:r>
      <w:r w:rsidRPr="00637A48">
        <w:rPr>
          <w:rFonts w:hint="cs"/>
          <w:rtl/>
        </w:rPr>
        <w:t>ראו בעניין זה דברי הסבר להצעת החוק שם נכתב: "יובהר, כי ההסדר המוצע נועד להוסיף על דרכי הפנייה המקובלות כיום בקשר בין הציבור ובין הגופים הציבוריים, ולא</w:t>
      </w:r>
      <w:r w:rsidRPr="00637A48">
        <w:rPr>
          <w:rFonts w:hint="cs"/>
          <w:rtl/>
        </w:rPr>
        <w:t xml:space="preserve"> לגרוע מהן". הצעת חוק פנייה לגופים ציבוריים באמצעי קשר דיגיטליים, התשע"ח-2018, ה"ח 140.</w:t>
      </w:r>
    </w:p>
  </w:footnote>
  <w:footnote w:id="117">
    <w:p w:rsidR="00B14302" w:rsidRPr="00637A48" w:rsidRDefault="00DF6A0A" w:rsidP="00637A48">
      <w:pPr>
        <w:pStyle w:val="73f4"/>
      </w:pPr>
      <w:r w:rsidRPr="00637A48">
        <w:rPr>
          <w:rStyle w:val="a8"/>
          <w:vertAlign w:val="baseline"/>
        </w:rPr>
        <w:footnoteRef/>
      </w:r>
      <w:r w:rsidRPr="00637A48">
        <w:rPr>
          <w:rtl/>
        </w:rPr>
        <w:t xml:space="preserve"> </w:t>
      </w:r>
      <w:r w:rsidRPr="00637A48">
        <w:rPr>
          <w:rtl/>
        </w:rPr>
        <w:tab/>
      </w:r>
      <w:r w:rsidRPr="00637A48">
        <w:rPr>
          <w:rFonts w:hint="cs"/>
          <w:rtl/>
        </w:rPr>
        <w:t xml:space="preserve">היועץ המשפטי לממשלה, הנחיה 1.2500 (2019). </w:t>
      </w:r>
    </w:p>
  </w:footnote>
  <w:footnote w:id="118">
    <w:p w:rsidR="00B14302" w:rsidRPr="00B74C6A" w:rsidRDefault="00DF6A0A" w:rsidP="00637A48">
      <w:pPr>
        <w:pStyle w:val="73f4"/>
      </w:pPr>
      <w:r w:rsidRPr="00637A48">
        <w:rPr>
          <w:rStyle w:val="a8"/>
          <w:vertAlign w:val="baseline"/>
        </w:rPr>
        <w:footnoteRef/>
      </w:r>
      <w:r w:rsidRPr="00B74C6A">
        <w:rPr>
          <w:rtl/>
        </w:rPr>
        <w:t xml:space="preserve"> </w:t>
      </w:r>
      <w:r w:rsidRPr="00B74C6A">
        <w:rPr>
          <w:rtl/>
        </w:rPr>
        <w:tab/>
        <w:t xml:space="preserve">נתונים מתוך הסקר החברתי 2021 שהועברו למשרד מבקר המדינה בינואר 2023 וטרם פורסמו באותה עת. </w:t>
      </w:r>
    </w:p>
  </w:footnote>
  <w:footnote w:id="119">
    <w:p w:rsidR="00B14302" w:rsidRPr="00B74C6A" w:rsidRDefault="00DF6A0A" w:rsidP="000C2161">
      <w:pPr>
        <w:pStyle w:val="73f4"/>
        <w:rPr>
          <w:rtl/>
        </w:rPr>
      </w:pPr>
      <w:r w:rsidRPr="000C2161">
        <w:footnoteRef/>
      </w:r>
      <w:r w:rsidRPr="000C2161">
        <w:rPr>
          <w:rtl/>
        </w:rPr>
        <w:t xml:space="preserve"> </w:t>
      </w:r>
      <w:r w:rsidRPr="00B74C6A">
        <w:rPr>
          <w:rtl/>
        </w:rPr>
        <w:tab/>
        <w:t xml:space="preserve">ד"ר אסמאא נ' גנאים, </w:t>
      </w:r>
      <w:r w:rsidRPr="00B74C6A">
        <w:rPr>
          <w:b/>
          <w:bCs/>
          <w:rtl/>
        </w:rPr>
        <w:t>האינטרנט בחברה הערבית בישראל - תמונת מצב ראשונית והמלצות למדיניות</w:t>
      </w:r>
      <w:r w:rsidRPr="00B74C6A">
        <w:rPr>
          <w:rtl/>
        </w:rPr>
        <w:t>, איגוד האינטרנט הישראלי (2018).</w:t>
      </w:r>
    </w:p>
  </w:footnote>
  <w:footnote w:id="120">
    <w:p w:rsidR="00B14302" w:rsidRPr="00B74C6A" w:rsidRDefault="00DF6A0A" w:rsidP="000C2161">
      <w:pPr>
        <w:pStyle w:val="73f4"/>
        <w:rPr>
          <w:rtl/>
        </w:rPr>
      </w:pPr>
      <w:r w:rsidRPr="000C2161">
        <w:footnoteRef/>
      </w:r>
      <w:r w:rsidRPr="000C2161">
        <w:rPr>
          <w:rtl/>
        </w:rPr>
        <w:t xml:space="preserve"> </w:t>
      </w:r>
      <w:r w:rsidRPr="00B74C6A">
        <w:rPr>
          <w:rtl/>
        </w:rPr>
        <w:tab/>
        <w:t xml:space="preserve">הלמ"ס, שם, עמ' 14. </w:t>
      </w:r>
    </w:p>
  </w:footnote>
  <w:footnote w:id="121">
    <w:p w:rsidR="00B14302" w:rsidRPr="000C2161" w:rsidRDefault="00DF6A0A" w:rsidP="000C2161">
      <w:pPr>
        <w:pStyle w:val="736"/>
        <w:rPr>
          <w:rtl/>
        </w:rPr>
      </w:pPr>
      <w:r w:rsidRPr="000C2161">
        <w:rPr>
          <w:rStyle w:val="a8"/>
          <w:vertAlign w:val="baseline"/>
        </w:rPr>
        <w:footnoteRef/>
      </w:r>
      <w:r w:rsidRPr="000C2161">
        <w:rPr>
          <w:rtl/>
        </w:rPr>
        <w:t xml:space="preserve"> </w:t>
      </w:r>
      <w:r w:rsidRPr="000C2161">
        <w:rPr>
          <w:rtl/>
        </w:rPr>
        <w:tab/>
      </w:r>
      <w:r w:rsidRPr="000C2161">
        <w:rPr>
          <w:rFonts w:hint="cs"/>
          <w:rtl/>
        </w:rPr>
        <w:t xml:space="preserve">על פי </w:t>
      </w:r>
      <w:r w:rsidRPr="000C2161">
        <w:rPr>
          <w:rtl/>
        </w:rPr>
        <w:t>נתוני</w:t>
      </w:r>
      <w:r w:rsidRPr="000C2161">
        <w:rPr>
          <w:rFonts w:hint="cs"/>
          <w:rtl/>
        </w:rPr>
        <w:t xml:space="preserve"> הלמ"ס</w:t>
      </w:r>
      <w:r w:rsidRPr="000C2161">
        <w:rPr>
          <w:rtl/>
        </w:rPr>
        <w:t xml:space="preserve"> שהועברו למשרד מבקר המדינה בינואר 2023 ו</w:t>
      </w:r>
      <w:r w:rsidRPr="000C2161">
        <w:rPr>
          <w:rFonts w:hint="cs"/>
          <w:rtl/>
        </w:rPr>
        <w:t xml:space="preserve">חלקם </w:t>
      </w:r>
      <w:r w:rsidRPr="000C2161">
        <w:rPr>
          <w:rtl/>
        </w:rPr>
        <w:t xml:space="preserve">טרם פורסמו באותה עת. </w:t>
      </w:r>
    </w:p>
  </w:footnote>
  <w:footnote w:id="122">
    <w:p w:rsidR="00B14302" w:rsidRPr="000C2161" w:rsidRDefault="00DF6A0A" w:rsidP="000C2161">
      <w:pPr>
        <w:pStyle w:val="736"/>
        <w:rPr>
          <w:rtl/>
        </w:rPr>
      </w:pPr>
      <w:r w:rsidRPr="000C2161">
        <w:rPr>
          <w:rStyle w:val="a8"/>
          <w:vertAlign w:val="baseline"/>
        </w:rPr>
        <w:footnoteRef/>
      </w:r>
      <w:r w:rsidRPr="000C2161">
        <w:rPr>
          <w:rtl/>
        </w:rPr>
        <w:t xml:space="preserve"> </w:t>
      </w:r>
      <w:r w:rsidRPr="000C2161">
        <w:rPr>
          <w:rtl/>
        </w:rPr>
        <w:tab/>
      </w:r>
      <w:r w:rsidRPr="000C2161">
        <w:rPr>
          <w:rFonts w:hint="cs"/>
          <w:rtl/>
        </w:rPr>
        <w:t>שאלות הסקר הוכנו במשרד מבקר המדינה, ואיתור הנ</w:t>
      </w:r>
      <w:r w:rsidRPr="000C2161">
        <w:rPr>
          <w:rFonts w:hint="cs"/>
          <w:rtl/>
        </w:rPr>
        <w:t xml:space="preserve">שאלים, תשאולם וניתוח התוצאות נעשו על ידי חברה חיצונית. התשאול הטלפוני היה בתאריכים 15 - 29 באוגוסט 2022. טעות הדגימה היא </w:t>
      </w:r>
      <w:r w:rsidRPr="000C2161">
        <w:rPr>
          <w:rtl/>
        </w:rPr>
        <w:t>5.8%+ ברמת כלל המדגם</w:t>
      </w:r>
      <w:r w:rsidRPr="000C2161">
        <w:rPr>
          <w:rFonts w:hint="cs"/>
          <w:rtl/>
        </w:rPr>
        <w:t xml:space="preserve"> ו-</w:t>
      </w:r>
      <w:r w:rsidRPr="000C2161">
        <w:rPr>
          <w:rtl/>
        </w:rPr>
        <w:t xml:space="preserve">10% + ברמת </w:t>
      </w:r>
      <w:r w:rsidRPr="000C2161">
        <w:rPr>
          <w:rFonts w:hint="cs"/>
          <w:rtl/>
        </w:rPr>
        <w:t>כל אחת משלוש הקבוצות. לא ניתן לגזור מתוצאות הסקר הטלפוני מסקנות על כל אחת משלוש קבוצות האוכלוסייה. עם</w:t>
      </w:r>
      <w:r w:rsidRPr="000C2161">
        <w:rPr>
          <w:rFonts w:hint="cs"/>
          <w:rtl/>
        </w:rPr>
        <w:t xml:space="preserve"> זאת, התשובות שעלו שופכות אור על הנושא, לרבות על חסמים שעומדים בפני אנשים מכל קבוצה ומקשים עליהם להשתמש במרשתת. </w:t>
      </w:r>
    </w:p>
  </w:footnote>
  <w:footnote w:id="123">
    <w:p w:rsidR="00B14302" w:rsidRPr="000C2161" w:rsidRDefault="00DF6A0A" w:rsidP="000C2161">
      <w:pPr>
        <w:pStyle w:val="736"/>
      </w:pPr>
      <w:r w:rsidRPr="000C2161">
        <w:rPr>
          <w:rStyle w:val="a8"/>
          <w:vertAlign w:val="baseline"/>
        </w:rPr>
        <w:footnoteRef/>
      </w:r>
      <w:r w:rsidRPr="000C2161">
        <w:rPr>
          <w:rtl/>
        </w:rPr>
        <w:t xml:space="preserve"> </w:t>
      </w:r>
      <w:r w:rsidRPr="000C2161">
        <w:rPr>
          <w:rtl/>
        </w:rPr>
        <w:tab/>
      </w:r>
      <w:r w:rsidRPr="000C2161">
        <w:rPr>
          <w:rFonts w:hint="cs"/>
          <w:rtl/>
        </w:rPr>
        <w:t xml:space="preserve">כדי להקל על הסוקרים בטלפון להגיע לאנשים שאינם משתמשים במרשתת הוחלט לכלול בסקר אנשים מגיל 60 ומעלה מהאוכלוסייה הכללית ולא להגביל את ההשתתפות </w:t>
      </w:r>
      <w:r w:rsidRPr="000C2161">
        <w:rPr>
          <w:rFonts w:hint="cs"/>
          <w:rtl/>
        </w:rPr>
        <w:t xml:space="preserve">בו לבני 65 ומעלה. </w:t>
      </w:r>
    </w:p>
  </w:footnote>
  <w:footnote w:id="124">
    <w:p w:rsidR="00B14302" w:rsidRPr="00B74C6A" w:rsidRDefault="00DF6A0A" w:rsidP="000C2161">
      <w:pPr>
        <w:pStyle w:val="736"/>
      </w:pPr>
      <w:r w:rsidRPr="000C2161">
        <w:rPr>
          <w:rStyle w:val="a8"/>
          <w:vertAlign w:val="baseline"/>
        </w:rPr>
        <w:footnoteRef/>
      </w:r>
      <w:r w:rsidRPr="000C2161">
        <w:rPr>
          <w:rtl/>
        </w:rPr>
        <w:t xml:space="preserve"> </w:t>
      </w:r>
      <w:r w:rsidRPr="000C2161">
        <w:rPr>
          <w:rtl/>
        </w:rPr>
        <w:tab/>
      </w:r>
      <w:r w:rsidRPr="000C2161">
        <w:rPr>
          <w:rFonts w:hint="cs"/>
          <w:rtl/>
        </w:rPr>
        <w:t xml:space="preserve">כ-400 איש שנבחרו אקראית </w:t>
      </w:r>
      <w:r w:rsidRPr="000C2161">
        <w:rPr>
          <w:rtl/>
        </w:rPr>
        <w:t>מקבוצות האוכלוסייה שנדגמו</w:t>
      </w:r>
      <w:r w:rsidRPr="000C2161">
        <w:rPr>
          <w:rFonts w:hint="cs"/>
          <w:rtl/>
        </w:rPr>
        <w:t xml:space="preserve"> השיבו לתשאול טלפוני ראשוני. מבין 400 האיש שתושאלו</w:t>
      </w:r>
      <w:r w:rsidRPr="00B74C6A">
        <w:rPr>
          <w:rtl/>
        </w:rPr>
        <w:t xml:space="preserve">, 301 איש ציינו כי הם מעדיפים לצרוך שירותים ממשלתיים בערוצים מסורתיים ולא בערוצים הדיגיטליים, ולפיכך הם אלה שהתבקשו להשיב על הסקר. </w:t>
      </w:r>
    </w:p>
  </w:footnote>
  <w:footnote w:id="125">
    <w:p w:rsidR="00B14302" w:rsidRPr="00B74C6A" w:rsidRDefault="00DF6A0A" w:rsidP="00B74C6A">
      <w:pPr>
        <w:pStyle w:val="736"/>
      </w:pPr>
      <w:r w:rsidRPr="004B203F">
        <w:footnoteRef/>
      </w:r>
      <w:r w:rsidRPr="004B203F">
        <w:rPr>
          <w:rtl/>
        </w:rPr>
        <w:t xml:space="preserve"> </w:t>
      </w:r>
      <w:r w:rsidRPr="004B203F">
        <w:rPr>
          <w:rtl/>
        </w:rPr>
        <w:tab/>
      </w:r>
      <w:r w:rsidRPr="00B74C6A">
        <w:rPr>
          <w:rtl/>
        </w:rPr>
        <w:t xml:space="preserve">סך שיעורי השימוש במרשתת בכל אחת משלוש הקבוצות עולה על 100% כיוון שנשאלים היו יכולים לסמן יותר מדרך שימוש אחת. </w:t>
      </w:r>
    </w:p>
  </w:footnote>
  <w:footnote w:id="126">
    <w:p w:rsidR="00B14302" w:rsidRPr="00B74C6A" w:rsidRDefault="00DF6A0A" w:rsidP="000C2161">
      <w:pPr>
        <w:pStyle w:val="73f4"/>
      </w:pPr>
      <w:r w:rsidRPr="000C2161">
        <w:footnoteRef/>
      </w:r>
      <w:r w:rsidRPr="000C2161">
        <w:rPr>
          <w:rtl/>
        </w:rPr>
        <w:t xml:space="preserve"> </w:t>
      </w:r>
      <w:r w:rsidRPr="00B74C6A">
        <w:rPr>
          <w:rtl/>
        </w:rPr>
        <w:tab/>
        <w:t xml:space="preserve">היו נשאלים שלא ציינו סיבה והיו שציינו יותר מסיבה אחת, ולפיכך השיעורים בכל אחת משלוש הקבוצות היו נמוכים או גבוהים מ-100%. </w:t>
      </w:r>
    </w:p>
  </w:footnote>
  <w:footnote w:id="127">
    <w:p w:rsidR="00B14302" w:rsidRPr="00B74C6A" w:rsidRDefault="00DF6A0A" w:rsidP="000C2161">
      <w:pPr>
        <w:pStyle w:val="73f4"/>
        <w:rPr>
          <w:rtl/>
        </w:rPr>
      </w:pPr>
      <w:r w:rsidRPr="000C2161">
        <w:footnoteRef/>
      </w:r>
      <w:r w:rsidRPr="00B74C6A">
        <w:rPr>
          <w:rtl/>
        </w:rPr>
        <w:t xml:space="preserve"> </w:t>
      </w:r>
      <w:r w:rsidRPr="00B74C6A">
        <w:rPr>
          <w:rtl/>
        </w:rPr>
        <w:tab/>
        <w:t>המשיבים לסקר הטלפ</w:t>
      </w:r>
      <w:r w:rsidRPr="00B74C6A">
        <w:rPr>
          <w:rtl/>
        </w:rPr>
        <w:t xml:space="preserve">וני התבקשו לציין סיבה לאי-השימוש בערוצים הדיגיטליים הממשלתיים. אומנם רק 17% מהמשיבים מן החברה החרדית ציינו את הסיבה "רקע דתי", אך ניתן להניח כי גם אלה שציינו שהסיבה היא היעדר אינטרנט וטלפון חכם בחרו בכך על רקע דתי. </w:t>
      </w:r>
    </w:p>
  </w:footnote>
  <w:footnote w:id="128">
    <w:p w:rsidR="00B14302" w:rsidRPr="00B74C6A" w:rsidRDefault="00DF6A0A" w:rsidP="000C2161">
      <w:pPr>
        <w:pStyle w:val="73f4"/>
        <w:rPr>
          <w:rtl/>
        </w:rPr>
      </w:pPr>
      <w:r w:rsidRPr="000C2161">
        <w:footnoteRef/>
      </w:r>
      <w:r w:rsidRPr="00B74C6A">
        <w:rPr>
          <w:rtl/>
        </w:rPr>
        <w:t xml:space="preserve"> </w:t>
      </w:r>
      <w:r w:rsidRPr="00B74C6A">
        <w:rPr>
          <w:rtl/>
        </w:rPr>
        <w:tab/>
        <w:t>על פעולות מערך הדיגיטל הלאומי בתחום ע</w:t>
      </w:r>
      <w:r w:rsidRPr="00B74C6A">
        <w:rPr>
          <w:rtl/>
        </w:rPr>
        <w:t>מדות השירות הדיגיטליות ראו להלן.</w:t>
      </w:r>
    </w:p>
  </w:footnote>
  <w:footnote w:id="129">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 xml:space="preserve">נתונים דומים על שיעור המשתמשים בכרטיס אשראי בחברה הערבית הם נתוני בנק ישראל לשנת 2020, שלפיהם </w:t>
      </w:r>
      <w:r w:rsidRPr="00B74C6A">
        <w:rPr>
          <w:rtl/>
        </w:rPr>
        <w:t xml:space="preserve">שיעור </w:t>
      </w:r>
      <w:r w:rsidRPr="00B74C6A">
        <w:rPr>
          <w:rFonts w:hint="cs"/>
          <w:rtl/>
        </w:rPr>
        <w:t>ה</w:t>
      </w:r>
      <w:r w:rsidRPr="00B74C6A">
        <w:rPr>
          <w:rtl/>
        </w:rPr>
        <w:t xml:space="preserve">לקוחות בעלי כרטיס </w:t>
      </w:r>
      <w:r w:rsidRPr="00B74C6A">
        <w:rPr>
          <w:rFonts w:hint="cs"/>
          <w:rtl/>
        </w:rPr>
        <w:t>ה</w:t>
      </w:r>
      <w:r w:rsidRPr="00B74C6A">
        <w:rPr>
          <w:rtl/>
        </w:rPr>
        <w:t>אשר</w:t>
      </w:r>
      <w:r w:rsidRPr="00B74C6A">
        <w:rPr>
          <w:rFonts w:hint="cs"/>
          <w:rtl/>
        </w:rPr>
        <w:t>א</w:t>
      </w:r>
      <w:r w:rsidRPr="00B74C6A">
        <w:rPr>
          <w:rtl/>
        </w:rPr>
        <w:t>י מ</w:t>
      </w:r>
      <w:r w:rsidRPr="00B74C6A">
        <w:rPr>
          <w:rFonts w:hint="cs"/>
          <w:rtl/>
        </w:rPr>
        <w:t xml:space="preserve">בין </w:t>
      </w:r>
      <w:r w:rsidRPr="00B74C6A">
        <w:rPr>
          <w:rtl/>
        </w:rPr>
        <w:t xml:space="preserve">סך הלקוחות המדווח למאגר נתוני </w:t>
      </w:r>
      <w:r w:rsidRPr="00B74C6A">
        <w:rPr>
          <w:rFonts w:hint="cs"/>
          <w:rtl/>
        </w:rPr>
        <w:t>ה</w:t>
      </w:r>
      <w:r w:rsidRPr="00B74C6A">
        <w:rPr>
          <w:rtl/>
        </w:rPr>
        <w:t>אשראי</w:t>
      </w:r>
      <w:r w:rsidRPr="00B74C6A">
        <w:rPr>
          <w:rFonts w:hint="cs"/>
          <w:rtl/>
        </w:rPr>
        <w:t xml:space="preserve"> היה 86% בחברה היהודית לעומת 63% בחברה הערבית. ראו </w:t>
      </w:r>
      <w:r w:rsidRPr="00B74C6A">
        <w:rPr>
          <w:rtl/>
        </w:rPr>
        <w:t>בנק ישראל, מצגת של המפקח על הבנקים לדיון בוועדת הכלכלה של הכנסת, "</w:t>
      </w:r>
      <w:r w:rsidRPr="00B74C6A">
        <w:rPr>
          <w:rFonts w:hint="cs"/>
          <w:rtl/>
        </w:rPr>
        <w:t>בנ</w:t>
      </w:r>
      <w:r w:rsidRPr="00B74C6A">
        <w:rPr>
          <w:rtl/>
        </w:rPr>
        <w:t xml:space="preserve">קאות משקי בית בחברה הערבית", </w:t>
      </w:r>
      <w:r w:rsidRPr="00B74C6A">
        <w:rPr>
          <w:rFonts w:hint="cs"/>
          <w:rtl/>
        </w:rPr>
        <w:t>(</w:t>
      </w:r>
      <w:r w:rsidRPr="00B74C6A">
        <w:rPr>
          <w:rtl/>
        </w:rPr>
        <w:t>6 במרץ 2022</w:t>
      </w:r>
      <w:r w:rsidRPr="00B74C6A">
        <w:rPr>
          <w:rFonts w:hint="cs"/>
          <w:rtl/>
        </w:rPr>
        <w:t>). וראו בח</w:t>
      </w:r>
      <w:r w:rsidRPr="00B74C6A">
        <w:rPr>
          <w:rtl/>
        </w:rPr>
        <w:t xml:space="preserve">ומר הרקע לישיבת </w:t>
      </w:r>
      <w:r w:rsidRPr="00B74C6A">
        <w:rPr>
          <w:rFonts w:hint="cs"/>
          <w:rtl/>
        </w:rPr>
        <w:t xml:space="preserve">הוועדה. </w:t>
      </w:r>
      <w:r w:rsidRPr="00B74C6A">
        <w:rPr>
          <w:rtl/>
        </w:rPr>
        <w:tab/>
      </w:r>
    </w:p>
  </w:footnote>
  <w:footnote w:id="130">
    <w:p w:rsidR="00B14302" w:rsidRPr="00B74C6A" w:rsidRDefault="00DF6A0A" w:rsidP="00B74C6A">
      <w:pPr>
        <w:pStyle w:val="73f4"/>
        <w:rPr>
          <w:rtl/>
        </w:rPr>
      </w:pPr>
      <w:r w:rsidRPr="00B74C6A">
        <w:rPr>
          <w:rStyle w:val="a8"/>
          <w:vertAlign w:val="baseline"/>
        </w:rPr>
        <w:footnoteRef/>
      </w:r>
      <w:r w:rsidRPr="00B74C6A">
        <w:rPr>
          <w:rtl/>
        </w:rPr>
        <w:t xml:space="preserve"> </w:t>
      </w:r>
      <w:r w:rsidRPr="00B74C6A">
        <w:rPr>
          <w:rtl/>
        </w:rPr>
        <w:tab/>
      </w:r>
      <w:r w:rsidRPr="00B74C6A">
        <w:rPr>
          <w:rFonts w:hint="cs"/>
          <w:rtl/>
        </w:rPr>
        <w:t>היעדר כרטיס אשראי הוא גורם לקושי שנתקל בו אדם שמגיע ללשכת קבלת קהל, מבקש לשלם אגרת שירות ממשלתית במזומן ונאמ</w:t>
      </w:r>
      <w:r w:rsidRPr="00B74C6A">
        <w:rPr>
          <w:rFonts w:hint="cs"/>
          <w:rtl/>
        </w:rPr>
        <w:t xml:space="preserve">ר לו שהדרך היחידה היא תשלום בכרטיס אשראי. </w:t>
      </w:r>
    </w:p>
  </w:footnote>
  <w:footnote w:id="131">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בסקר הטלפוני נשאל כל משתתף אם ניסה לקבל שירות ממשלתי בטלפון, בקבלת קהל או בדואר ולא קיבל מענה</w:t>
      </w:r>
      <w:r w:rsidRPr="00B74C6A">
        <w:rPr>
          <w:rtl/>
        </w:rPr>
        <w:t xml:space="preserve"> כי חסר לו אחד האמצעים המוצגים בתרשים. למשיבים שלא הבינו את השאלה או ציינו כי נתקלו במצב כזה אך אינם זוכרים באיזה גוף מדובר הוצגו שמות של גופי ממשל לצורך המחשה. לא היה מעשי להעלות בפני המשתתפים את שמות כל גופי הממשל כיוון שמדובר במעל 100 גופים. </w:t>
      </w:r>
    </w:p>
  </w:footnote>
  <w:footnote w:id="132">
    <w:p w:rsidR="00B14302" w:rsidRPr="00B74C6A" w:rsidRDefault="00DF6A0A" w:rsidP="00B74C6A">
      <w:pPr>
        <w:pStyle w:val="73f4"/>
      </w:pPr>
      <w:r w:rsidRPr="00B74C6A">
        <w:footnoteRef/>
      </w:r>
      <w:r w:rsidRPr="00B74C6A">
        <w:rPr>
          <w:rtl/>
        </w:rPr>
        <w:t xml:space="preserve"> </w:t>
      </w:r>
      <w:r w:rsidRPr="00B74C6A">
        <w:rPr>
          <w:rtl/>
        </w:rPr>
        <w:tab/>
        <w:t>ראו לעי</w:t>
      </w:r>
      <w:r w:rsidRPr="00B74C6A">
        <w:rPr>
          <w:rtl/>
        </w:rPr>
        <w:t xml:space="preserve">ל בפרק הקודם את שמות הגופים שהופיעו ברשימה. </w:t>
      </w:r>
    </w:p>
  </w:footnote>
  <w:footnote w:id="133">
    <w:p w:rsidR="00B14302" w:rsidRPr="00B74C6A" w:rsidRDefault="00DF6A0A" w:rsidP="00B74C6A">
      <w:pPr>
        <w:pStyle w:val="73f4"/>
        <w:rPr>
          <w:rtl/>
        </w:rPr>
      </w:pPr>
      <w:r w:rsidRPr="00B74C6A">
        <w:footnoteRef/>
      </w:r>
      <w:r w:rsidRPr="00B74C6A">
        <w:rPr>
          <w:rtl/>
        </w:rPr>
        <w:t xml:space="preserve"> </w:t>
      </w:r>
      <w:r w:rsidRPr="00B74C6A">
        <w:rPr>
          <w:rtl/>
        </w:rPr>
        <w:tab/>
        <w:t>חשוב להבהיר כי הגופים ששמותיהם מוצגים בתרשים לעיל מספקים שירותים רבים גם בערוצים המסורתיים. הממצא שצוין משמעותו שבמסגרת כלל השירותים שהם מספקים לציבור, נתקלו המשיבים בשירות אחד או יותר שניתן באופן בלעדי רק בע</w:t>
      </w:r>
      <w:r w:rsidRPr="00B74C6A">
        <w:rPr>
          <w:rtl/>
        </w:rPr>
        <w:t>רוץ הדיגיטלי.</w:t>
      </w:r>
    </w:p>
  </w:footnote>
  <w:footnote w:id="134">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r>
      <w:r w:rsidRPr="006B6D90">
        <w:rPr>
          <w:rtl/>
        </w:rPr>
        <w:t xml:space="preserve">נתוני הלמ"ס שהוצגו לעיל מציגים נתונים על המספר הכולל של אנשים בשלוש קבוצות אלה כאשר ההתייחסות לבני הגיל השלישי היא לבני 65 ומעלה; יצוין כי בסקר הטלפוני שעשה, משרד מבקר המדינה פנה לבני 60 ומעלה, שהיא מטבע הדברים קבוצת אוכלוסייה הכוללת מספר </w:t>
      </w:r>
      <w:r w:rsidRPr="006B6D90">
        <w:rPr>
          <w:rtl/>
        </w:rPr>
        <w:t>רב יותר של אנשים מקבוצת בני 65 ומעלה</w:t>
      </w:r>
      <w:r w:rsidRPr="00B74C6A">
        <w:rPr>
          <w:rFonts w:hint="cs"/>
          <w:rtl/>
        </w:rPr>
        <w:t xml:space="preserve">. </w:t>
      </w:r>
    </w:p>
  </w:footnote>
  <w:footnote w:id="135">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r>
      <w:r w:rsidRPr="00B74C6A">
        <w:rPr>
          <w:rFonts w:hint="cs"/>
          <w:rtl/>
        </w:rPr>
        <w:t>החלטת</w:t>
      </w:r>
      <w:r w:rsidRPr="00B74C6A">
        <w:rPr>
          <w:rtl/>
        </w:rPr>
        <w:t xml:space="preserve"> הממשלה 2733, "אישור התוכנית הדיגיטלית הלאומית, קידום המיזם הלאומי 'ישראל דיגיטלית' ותיקון החלטות ממשלה" (11.6.2017). </w:t>
      </w:r>
    </w:p>
  </w:footnote>
  <w:footnote w:id="136">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t>המיזם נועד לשפר את התפקוד היו</w:t>
      </w:r>
      <w:r w:rsidRPr="00B74C6A">
        <w:rPr>
          <w:rFonts w:hint="cs"/>
          <w:rtl/>
        </w:rPr>
        <w:t>ם-</w:t>
      </w:r>
      <w:r w:rsidRPr="00B74C6A">
        <w:rPr>
          <w:rtl/>
        </w:rPr>
        <w:t xml:space="preserve">יומי של אזרחים ותיקים בתחומי </w:t>
      </w:r>
      <w:r w:rsidRPr="00B74C6A">
        <w:rPr>
          <w:rFonts w:hint="cs"/>
          <w:rtl/>
        </w:rPr>
        <w:t>ה</w:t>
      </w:r>
      <w:r w:rsidRPr="00B74C6A">
        <w:rPr>
          <w:rtl/>
        </w:rPr>
        <w:t xml:space="preserve">חברה, </w:t>
      </w:r>
      <w:r w:rsidRPr="00B74C6A">
        <w:rPr>
          <w:rFonts w:hint="cs"/>
          <w:rtl/>
        </w:rPr>
        <w:t>ה</w:t>
      </w:r>
      <w:r w:rsidRPr="00B74C6A">
        <w:rPr>
          <w:rtl/>
        </w:rPr>
        <w:t>בריאות ו</w:t>
      </w:r>
      <w:r w:rsidRPr="00B74C6A">
        <w:rPr>
          <w:rFonts w:hint="cs"/>
          <w:rtl/>
        </w:rPr>
        <w:t>ה</w:t>
      </w:r>
      <w:r w:rsidRPr="00B74C6A">
        <w:rPr>
          <w:rtl/>
        </w:rPr>
        <w:t>כלכלה באמצ</w:t>
      </w:r>
      <w:r w:rsidRPr="00B74C6A">
        <w:rPr>
          <w:rtl/>
        </w:rPr>
        <w:t>עות הקניית אוריינות דיגיטלית. הת</w:t>
      </w:r>
      <w:r w:rsidRPr="00B74C6A">
        <w:rPr>
          <w:rFonts w:hint="cs"/>
          <w:rtl/>
        </w:rPr>
        <w:t>ו</w:t>
      </w:r>
      <w:r w:rsidRPr="00B74C6A">
        <w:rPr>
          <w:rtl/>
        </w:rPr>
        <w:t>כנית פועלת ב-13 יישובים</w:t>
      </w:r>
      <w:r w:rsidRPr="00B74C6A">
        <w:rPr>
          <w:rFonts w:hint="cs"/>
          <w:rtl/>
        </w:rPr>
        <w:t>.</w:t>
      </w:r>
      <w:r w:rsidRPr="00B74C6A">
        <w:rPr>
          <w:rtl/>
        </w:rPr>
        <w:t xml:space="preserve"> בשלב </w:t>
      </w:r>
      <w:r w:rsidRPr="00B74C6A">
        <w:rPr>
          <w:rFonts w:hint="cs"/>
          <w:rtl/>
        </w:rPr>
        <w:t>ה</w:t>
      </w:r>
      <w:r w:rsidRPr="00B74C6A">
        <w:rPr>
          <w:rtl/>
        </w:rPr>
        <w:t>ראשון</w:t>
      </w:r>
      <w:r w:rsidRPr="00B74C6A">
        <w:rPr>
          <w:rFonts w:hint="cs"/>
          <w:rtl/>
        </w:rPr>
        <w:t>,</w:t>
      </w:r>
      <w:r w:rsidRPr="00B74C6A">
        <w:rPr>
          <w:rtl/>
        </w:rPr>
        <w:t xml:space="preserve"> בשנים 2018</w:t>
      </w:r>
      <w:r w:rsidRPr="00B74C6A">
        <w:rPr>
          <w:rFonts w:hint="cs"/>
          <w:rtl/>
        </w:rPr>
        <w:t xml:space="preserve"> </w:t>
      </w:r>
      <w:r w:rsidRPr="00B74C6A">
        <w:rPr>
          <w:rtl/>
        </w:rPr>
        <w:t>-</w:t>
      </w:r>
      <w:r w:rsidRPr="00B74C6A">
        <w:rPr>
          <w:rFonts w:hint="cs"/>
          <w:rtl/>
        </w:rPr>
        <w:t xml:space="preserve"> </w:t>
      </w:r>
      <w:r w:rsidRPr="00B74C6A">
        <w:rPr>
          <w:rtl/>
        </w:rPr>
        <w:t xml:space="preserve">2020, השתתפו בה כ-1,200 אנשים, מהם 57 מהחברה הערבית, שהם כ-5% בלבד. בשלב </w:t>
      </w:r>
      <w:r w:rsidRPr="00B74C6A">
        <w:rPr>
          <w:rFonts w:hint="cs"/>
          <w:rtl/>
        </w:rPr>
        <w:t>ה</w:t>
      </w:r>
      <w:r w:rsidRPr="00B74C6A">
        <w:rPr>
          <w:rtl/>
        </w:rPr>
        <w:t>שני</w:t>
      </w:r>
      <w:r w:rsidRPr="00B74C6A">
        <w:rPr>
          <w:rFonts w:hint="cs"/>
          <w:rtl/>
        </w:rPr>
        <w:t>,</w:t>
      </w:r>
      <w:r w:rsidRPr="00B74C6A">
        <w:rPr>
          <w:rtl/>
        </w:rPr>
        <w:t xml:space="preserve"> בשנים 2020</w:t>
      </w:r>
      <w:r w:rsidRPr="00B74C6A">
        <w:rPr>
          <w:rFonts w:hint="cs"/>
          <w:rtl/>
        </w:rPr>
        <w:t xml:space="preserve"> </w:t>
      </w:r>
      <w:r w:rsidRPr="00B74C6A">
        <w:rPr>
          <w:rtl/>
        </w:rPr>
        <w:t>- 2022, השתתפו</w:t>
      </w:r>
      <w:r w:rsidRPr="00B74C6A">
        <w:rPr>
          <w:rFonts w:hint="cs"/>
          <w:rtl/>
        </w:rPr>
        <w:t xml:space="preserve"> בה</w:t>
      </w:r>
      <w:r w:rsidRPr="00B74C6A">
        <w:rPr>
          <w:rtl/>
        </w:rPr>
        <w:t xml:space="preserve"> 2,500 אזרחים ותיקים, מתוכם 50% מהחברה הערבית.</w:t>
      </w:r>
    </w:p>
  </w:footnote>
  <w:footnote w:id="137">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t>המשתתפים בתוכני</w:t>
      </w:r>
      <w:r w:rsidRPr="00B74C6A">
        <w:rPr>
          <w:rtl/>
        </w:rPr>
        <w:t>ת מקבלים הכשרה שתאפשר להם להדריך אנשים נוספים כדי להקנות להם אוריינות דיגיטלית בסיסית, בדגש על שימושים שנוגעים לצריכת שירותים ממשלתיים מקוונים ומיצוי זכויות</w:t>
      </w:r>
      <w:r w:rsidRPr="00B74C6A">
        <w:rPr>
          <w:rFonts w:hint="cs"/>
          <w:rtl/>
        </w:rPr>
        <w:t>.</w:t>
      </w:r>
      <w:r w:rsidRPr="00B74C6A">
        <w:rPr>
          <w:rtl/>
        </w:rPr>
        <w:t xml:space="preserve"> מערך הדיגיטל מסר כי במסגרת מיזם זה הוכשרו מעל 50 שגרירים והם הכשירו מעל ל-700 אנשים חסרי אוריינות דיגיטלית.</w:t>
      </w:r>
    </w:p>
  </w:footnote>
  <w:footnote w:id="138">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t>מטרת</w:t>
      </w:r>
      <w:r w:rsidRPr="00B74C6A">
        <w:rPr>
          <w:rFonts w:hint="cs"/>
          <w:rtl/>
        </w:rPr>
        <w:t xml:space="preserve"> הפרויקט</w:t>
      </w:r>
      <w:r w:rsidRPr="00B74C6A">
        <w:rPr>
          <w:rtl/>
        </w:rPr>
        <w:t xml:space="preserve"> </w:t>
      </w:r>
      <w:r w:rsidRPr="00B74C6A">
        <w:rPr>
          <w:rFonts w:hint="cs"/>
          <w:rtl/>
        </w:rPr>
        <w:t>היא ליצור</w:t>
      </w:r>
      <w:r w:rsidRPr="00B74C6A">
        <w:rPr>
          <w:rtl/>
        </w:rPr>
        <w:t xml:space="preserve"> קפיצת מדרגה טכנולוגית במטרה להביא לשיפור בכלל תחומי החיים ביישוב באמצעות הטמעה ושימוש יעיל בכלים דיגיטליים ובטכנולוגיות מ</w:t>
      </w:r>
      <w:r w:rsidRPr="00B74C6A">
        <w:rPr>
          <w:rtl/>
        </w:rPr>
        <w:t xml:space="preserve">תקדמות. הפעילות </w:t>
      </w:r>
      <w:r w:rsidRPr="00B74C6A">
        <w:rPr>
          <w:rFonts w:hint="cs"/>
          <w:rtl/>
        </w:rPr>
        <w:t>מתנהלת</w:t>
      </w:r>
      <w:r w:rsidRPr="00B74C6A">
        <w:rPr>
          <w:rtl/>
        </w:rPr>
        <w:t xml:space="preserve"> בחינוך הפורמלי והבלתי פורמלי - בהוראה ובעידוד מצוינות </w:t>
      </w:r>
      <w:r w:rsidRPr="00B74C6A">
        <w:rPr>
          <w:rFonts w:hint="cs"/>
          <w:rtl/>
        </w:rPr>
        <w:t xml:space="preserve">וכן </w:t>
      </w:r>
      <w:r w:rsidRPr="00B74C6A">
        <w:rPr>
          <w:rtl/>
        </w:rPr>
        <w:t xml:space="preserve">בקהילה - במסגרת קמפיינים טכנולוגיים </w:t>
      </w:r>
      <w:r w:rsidRPr="00B74C6A">
        <w:rPr>
          <w:rFonts w:hint="cs"/>
          <w:rtl/>
        </w:rPr>
        <w:t>ה</w:t>
      </w:r>
      <w:r w:rsidRPr="00B74C6A">
        <w:rPr>
          <w:rtl/>
        </w:rPr>
        <w:t>פתוחים לציבור. הת</w:t>
      </w:r>
      <w:r w:rsidRPr="00B74C6A">
        <w:rPr>
          <w:rFonts w:hint="cs"/>
          <w:rtl/>
        </w:rPr>
        <w:t>ו</w:t>
      </w:r>
      <w:r w:rsidRPr="00B74C6A">
        <w:rPr>
          <w:rtl/>
        </w:rPr>
        <w:t>כנית פעלה בשנים 2017 - 2019, ועל פי נתוני מערך הדיגיטל השתתפו בה כ-3,470 ילדים ומבוגרים (מעל גיל 15) וניתנו במסגרת</w:t>
      </w:r>
      <w:r w:rsidRPr="00B74C6A">
        <w:rPr>
          <w:rFonts w:hint="cs"/>
          <w:rtl/>
        </w:rPr>
        <w:t>ה</w:t>
      </w:r>
      <w:r w:rsidRPr="00B74C6A">
        <w:rPr>
          <w:rtl/>
        </w:rPr>
        <w:t xml:space="preserve"> 2,91</w:t>
      </w:r>
      <w:r w:rsidRPr="00B74C6A">
        <w:rPr>
          <w:rtl/>
        </w:rPr>
        <w:t>9 שעות הדרכה.</w:t>
      </w:r>
    </w:p>
  </w:footnote>
  <w:footnote w:id="139">
    <w:p w:rsidR="00B14302" w:rsidRPr="00B74C6A" w:rsidRDefault="00DF6A0A" w:rsidP="00B74C6A">
      <w:pPr>
        <w:pStyle w:val="736"/>
      </w:pPr>
      <w:r w:rsidRPr="00B74C6A">
        <w:rPr>
          <w:rStyle w:val="a8"/>
          <w:vertAlign w:val="baseline"/>
        </w:rPr>
        <w:footnoteRef/>
      </w:r>
      <w:r w:rsidRPr="00B74C6A">
        <w:rPr>
          <w:rtl/>
        </w:rPr>
        <w:t xml:space="preserve"> </w:t>
      </w:r>
      <w:r w:rsidRPr="00B74C6A">
        <w:rPr>
          <w:rtl/>
        </w:rPr>
        <w:tab/>
      </w:r>
      <w:r w:rsidRPr="00B74C6A">
        <w:rPr>
          <w:rFonts w:hint="cs"/>
          <w:rtl/>
        </w:rPr>
        <w:t xml:space="preserve">המיזם </w:t>
      </w:r>
      <w:r w:rsidRPr="00B74C6A">
        <w:rPr>
          <w:rtl/>
        </w:rPr>
        <w:t>פועל בשכונות בירושלים לרבות שכונות חרדיות. לניהול המיזם בשכונות ממונים אנשים מתוך הקהילות</w:t>
      </w:r>
      <w:r w:rsidRPr="00B74C6A">
        <w:rPr>
          <w:rFonts w:hint="cs"/>
          <w:rtl/>
        </w:rPr>
        <w:t>.</w:t>
      </w:r>
      <w:r w:rsidRPr="00B74C6A">
        <w:rPr>
          <w:rtl/>
        </w:rPr>
        <w:t xml:space="preserve"> בהתאם לכך מסר מערך הדיגיטל כי לניהול הפעילות בחברה החרדית מונה אדם חרדי. הפעילויות כוללות, בין היתר, סדנאות וקורסים. בשל העובדה שבחברה החרדית </w:t>
      </w:r>
      <w:r w:rsidRPr="00B74C6A">
        <w:rPr>
          <w:rtl/>
        </w:rPr>
        <w:t>יש חסם של מחסור בציוד ותשתיות דיגיטליות במשקי הבית, נעשות פעולות הנגשה ייחודיות</w:t>
      </w:r>
      <w:r w:rsidRPr="00B74C6A">
        <w:rPr>
          <w:rFonts w:hint="cs"/>
          <w:rtl/>
        </w:rPr>
        <w:t>,</w:t>
      </w:r>
      <w:r w:rsidRPr="00B74C6A">
        <w:rPr>
          <w:rtl/>
        </w:rPr>
        <w:t xml:space="preserve"> כגון התקנה של טאבלטים "כשרים" בבתי כנסת וישיבות, </w:t>
      </w:r>
      <w:r w:rsidRPr="00B74C6A">
        <w:rPr>
          <w:rFonts w:hint="cs"/>
          <w:rtl/>
        </w:rPr>
        <w:t>שימוש ב</w:t>
      </w:r>
      <w:r w:rsidRPr="00B74C6A">
        <w:rPr>
          <w:rtl/>
        </w:rPr>
        <w:t>נייד</w:t>
      </w:r>
      <w:r w:rsidRPr="00B74C6A">
        <w:rPr>
          <w:rFonts w:hint="cs"/>
          <w:rtl/>
        </w:rPr>
        <w:t>ו</w:t>
      </w:r>
      <w:r w:rsidRPr="00B74C6A">
        <w:rPr>
          <w:rtl/>
        </w:rPr>
        <w:t>ת שירות דיגיטליות ו</w:t>
      </w:r>
      <w:r w:rsidRPr="00B74C6A">
        <w:rPr>
          <w:rFonts w:hint="cs"/>
          <w:rtl/>
        </w:rPr>
        <w:t xml:space="preserve">העסקת </w:t>
      </w:r>
      <w:r w:rsidRPr="00B74C6A">
        <w:rPr>
          <w:rtl/>
        </w:rPr>
        <w:t>אנשי שירות שמסייעים לתושבים המבקש</w:t>
      </w:r>
      <w:r w:rsidRPr="00B74C6A">
        <w:rPr>
          <w:rFonts w:hint="cs"/>
          <w:rtl/>
        </w:rPr>
        <w:t>ים</w:t>
      </w:r>
      <w:r w:rsidRPr="00B74C6A">
        <w:rPr>
          <w:rtl/>
        </w:rPr>
        <w:t xml:space="preserve"> לצרוך בעמדות </w:t>
      </w:r>
      <w:r w:rsidRPr="00B74C6A">
        <w:rPr>
          <w:rFonts w:hint="cs"/>
          <w:rtl/>
        </w:rPr>
        <w:t>ה</w:t>
      </w:r>
      <w:r w:rsidRPr="00B74C6A">
        <w:rPr>
          <w:rtl/>
        </w:rPr>
        <w:t xml:space="preserve">שירות </w:t>
      </w:r>
      <w:r w:rsidRPr="00B74C6A">
        <w:rPr>
          <w:rFonts w:hint="cs"/>
          <w:rtl/>
        </w:rPr>
        <w:t>ה</w:t>
      </w:r>
      <w:r w:rsidRPr="00B74C6A">
        <w:rPr>
          <w:rtl/>
        </w:rPr>
        <w:t>דיגיטליות שירותים עירוניים וממשל</w:t>
      </w:r>
      <w:r w:rsidRPr="00B74C6A">
        <w:rPr>
          <w:rtl/>
        </w:rPr>
        <w:t>תיים.</w:t>
      </w:r>
    </w:p>
  </w:footnote>
  <w:footnote w:id="140">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r>
      <w:r w:rsidRPr="00B74C6A">
        <w:rPr>
          <w:rFonts w:hint="cs"/>
          <w:rtl/>
        </w:rPr>
        <w:t xml:space="preserve">החלטת ממשלה 550, "התכנית הכלכלית לצמצום פערים בחברה הערבית עד לשנת 2026" (24.10.2021). סעיף 8 בהחלטה התייחס להיבט הדיגיטלי. </w:t>
      </w:r>
    </w:p>
  </w:footnote>
  <w:footnote w:id="141">
    <w:p w:rsidR="00B14302" w:rsidRPr="00B74C6A" w:rsidRDefault="00DF6A0A" w:rsidP="00B74C6A">
      <w:pPr>
        <w:pStyle w:val="736"/>
      </w:pPr>
      <w:r w:rsidRPr="00B74C6A">
        <w:rPr>
          <w:rStyle w:val="a8"/>
          <w:vertAlign w:val="baseline"/>
        </w:rPr>
        <w:footnoteRef/>
      </w:r>
      <w:r w:rsidRPr="00B74C6A">
        <w:rPr>
          <w:rtl/>
        </w:rPr>
        <w:t xml:space="preserve"> </w:t>
      </w:r>
      <w:r w:rsidRPr="00B74C6A">
        <w:rPr>
          <w:rtl/>
        </w:rPr>
        <w:tab/>
      </w:r>
      <w:r w:rsidRPr="00B74C6A">
        <w:rPr>
          <w:rFonts w:hint="cs"/>
          <w:rtl/>
        </w:rPr>
        <w:t>בהחלטה נקבע כי מערך הדיגיטל יקצה לצורך הפעלת המיזם "100 באוריינות דיגיטלית" או מיזמים אחרים ביישובים ערבים 20 מיליון ש"</w:t>
      </w:r>
      <w:r w:rsidRPr="00B74C6A">
        <w:rPr>
          <w:rFonts w:hint="cs"/>
          <w:rtl/>
        </w:rPr>
        <w:t xml:space="preserve">ח ממקורותיו, ומשרד האוצר יקצה לכך 20 מיליון ש"ח נוספים. </w:t>
      </w:r>
    </w:p>
  </w:footnote>
  <w:footnote w:id="142">
    <w:p w:rsidR="00B14302" w:rsidRPr="00B74C6A" w:rsidRDefault="00DF6A0A" w:rsidP="00B74C6A">
      <w:pPr>
        <w:pStyle w:val="736"/>
      </w:pPr>
      <w:r w:rsidRPr="00B74C6A">
        <w:rPr>
          <w:rStyle w:val="a8"/>
          <w:vertAlign w:val="baseline"/>
        </w:rPr>
        <w:footnoteRef/>
      </w:r>
      <w:r w:rsidRPr="00B74C6A">
        <w:rPr>
          <w:rtl/>
        </w:rPr>
        <w:t xml:space="preserve"> </w:t>
      </w:r>
      <w:r w:rsidRPr="00B74C6A">
        <w:rPr>
          <w:rtl/>
        </w:rPr>
        <w:tab/>
      </w:r>
      <w:r w:rsidRPr="00B74C6A">
        <w:rPr>
          <w:rFonts w:hint="cs"/>
          <w:rtl/>
        </w:rPr>
        <w:t>באוקטובר</w:t>
      </w:r>
      <w:r w:rsidRPr="00B74C6A">
        <w:rPr>
          <w:rtl/>
        </w:rPr>
        <w:t xml:space="preserve"> 2022, המיזם עדיין לא החל לפעול. </w:t>
      </w:r>
    </w:p>
  </w:footnote>
  <w:footnote w:id="143">
    <w:p w:rsidR="00B14302" w:rsidRPr="00B74C6A" w:rsidRDefault="00DF6A0A" w:rsidP="00B74C6A">
      <w:pPr>
        <w:pStyle w:val="736"/>
      </w:pPr>
      <w:r w:rsidRPr="00B74C6A">
        <w:rPr>
          <w:rStyle w:val="a8"/>
        </w:rPr>
        <w:footnoteRef/>
      </w:r>
      <w:r w:rsidRPr="00B74C6A">
        <w:rPr>
          <w:rtl/>
        </w:rPr>
        <w:t xml:space="preserve"> </w:t>
      </w:r>
      <w:r w:rsidRPr="00B74C6A">
        <w:rPr>
          <w:rtl/>
        </w:rPr>
        <w:tab/>
        <w:t xml:space="preserve">ראו למשל ביקורת מערכתית של מבקר המדינה שפורסמה </w:t>
      </w:r>
      <w:r w:rsidRPr="00B74C6A">
        <w:rPr>
          <w:b/>
          <w:bCs/>
          <w:rtl/>
        </w:rPr>
        <w:t>בדוח שנתי 71ב</w:t>
      </w:r>
      <w:r w:rsidRPr="00B74C6A">
        <w:rPr>
          <w:rtl/>
        </w:rPr>
        <w:t xml:space="preserve"> (2021), "המוכנות לשוק העבודה המשתנה". במסגרת ביקורת זו נבדקו פעולות של גופים שונים הנוגעים</w:t>
      </w:r>
      <w:r w:rsidRPr="00B74C6A">
        <w:rPr>
          <w:rtl/>
        </w:rPr>
        <w:t xml:space="preserve"> לתעסוקה ולהכשרת תלמידים ומבוגרים לשוק העבודה המשתנה תוך התייחסות לנושא הקניית האוריינות הדיגיטלית. ראו לדוגמה פרק בדוח זה שעסק ב"הקניית אוריינות דיגיטלית לאורך החיים", עמ' 235 - 301. ראו עוד בדוח האמור בפרק "היערכות משרד החינוך לשוק העבודה המשתנה", עמ' 45</w:t>
      </w:r>
      <w:r w:rsidRPr="00B74C6A">
        <w:rPr>
          <w:rtl/>
        </w:rPr>
        <w:t xml:space="preserve"> - 160. ראו גם דוח מבקר המדינה שעסק בביקורת על פעולות הממשלה לקידום האוריינות הדיגיטלית במסגרת פרויקט להב"ה, מבקר המדינה, </w:t>
      </w:r>
      <w:r w:rsidRPr="00B74C6A">
        <w:rPr>
          <w:b/>
          <w:bCs/>
          <w:rtl/>
        </w:rPr>
        <w:t xml:space="preserve">דוח שנתי 64ג </w:t>
      </w:r>
      <w:r w:rsidRPr="00B74C6A">
        <w:rPr>
          <w:rtl/>
        </w:rPr>
        <w:t xml:space="preserve">(2014), "פרויקט להקטנת הפערים הדיגיטליים בחברה הישראלית (להב"ה) - מטה התקשוב הממשלתי - ממצאי מעקב". </w:t>
      </w:r>
    </w:p>
  </w:footnote>
  <w:footnote w:id="144">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 xml:space="preserve">החלטת ממשלה 260, </w:t>
      </w:r>
      <w:r w:rsidRPr="00B74C6A">
        <w:rPr>
          <w:rFonts w:hint="cs"/>
          <w:rtl/>
        </w:rPr>
        <w:t>"</w:t>
      </w:r>
      <w:r w:rsidRPr="00B74C6A">
        <w:rPr>
          <w:rtl/>
        </w:rPr>
        <w:t>תכנית להאצת השירותים הדיגיטליים לציבור ולקידום הלמידה הדיגיטלית ותיקון החלטת ממשלה</w:t>
      </w:r>
      <w:r w:rsidRPr="00B74C6A">
        <w:rPr>
          <w:rFonts w:hint="cs"/>
          <w:rtl/>
        </w:rPr>
        <w:t xml:space="preserve">" (26.7.2020). </w:t>
      </w:r>
    </w:p>
  </w:footnote>
  <w:footnote w:id="145">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 xml:space="preserve">סעיף 13 להחלטה. </w:t>
      </w:r>
    </w:p>
  </w:footnote>
  <w:footnote w:id="146">
    <w:p w:rsidR="00B14302" w:rsidRPr="00B74C6A" w:rsidRDefault="00DF6A0A" w:rsidP="00B74C6A">
      <w:pPr>
        <w:pStyle w:val="73f4"/>
        <w:rPr>
          <w:rtl/>
        </w:rPr>
      </w:pPr>
      <w:r w:rsidRPr="00B74C6A">
        <w:rPr>
          <w:rStyle w:val="a8"/>
          <w:vertAlign w:val="baseline"/>
        </w:rPr>
        <w:footnoteRef/>
      </w:r>
      <w:r w:rsidRPr="00B74C6A">
        <w:rPr>
          <w:rtl/>
        </w:rPr>
        <w:t xml:space="preserve"> </w:t>
      </w:r>
      <w:r w:rsidRPr="00B74C6A">
        <w:rPr>
          <w:rtl/>
        </w:rPr>
        <w:tab/>
      </w:r>
      <w:r w:rsidRPr="00B74C6A">
        <w:rPr>
          <w:rFonts w:hint="cs"/>
          <w:rtl/>
        </w:rPr>
        <w:t xml:space="preserve">באתר </w:t>
      </w:r>
      <w:r w:rsidRPr="00B74C6A">
        <w:t>gov.il</w:t>
      </w:r>
      <w:r w:rsidRPr="00B74C6A">
        <w:rPr>
          <w:rFonts w:hint="cs"/>
          <w:rtl/>
        </w:rPr>
        <w:t xml:space="preserve"> ניתן למצוא מידע על מיקום עמדות השירות ביישובים שונים ועל השירותים שהן מספקות. </w:t>
      </w:r>
    </w:p>
  </w:footnote>
  <w:footnote w:id="147">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על פי המידע שפרסם מערך הדיגיטל הלאומי עמ</w:t>
      </w:r>
      <w:r w:rsidRPr="00B74C6A">
        <w:rPr>
          <w:rFonts w:hint="cs"/>
          <w:rtl/>
        </w:rPr>
        <w:t xml:space="preserve">דות השירות מספקות את המידע והשירות להלן: </w:t>
      </w:r>
      <w:r w:rsidRPr="00B74C6A">
        <w:rPr>
          <w:rtl/>
        </w:rPr>
        <w:t xml:space="preserve">לקבל מידע ושירות בירור מצב נקודות חובה לנהג, גלישה לאתר 'כל זכות', גלישה לאתר </w:t>
      </w:r>
      <w:r w:rsidRPr="00B74C6A">
        <w:t>gov.il</w:t>
      </w:r>
      <w:r w:rsidRPr="00B74C6A">
        <w:rPr>
          <w:rtl/>
        </w:rPr>
        <w:t xml:space="preserve">, היתר נהיגה לנהג חדש, הנפקת אישור שירות אזרחי, הנפקת העתק רישיון כלי ירי, הנפקת ספח תעודת זהות, הנפקת תמצית רישום, הנפקת תעודת </w:t>
      </w:r>
      <w:r w:rsidRPr="00B74C6A">
        <w:rPr>
          <w:rtl/>
        </w:rPr>
        <w:t>קורונה, מידע על רכב, רישיונות נהיגה ורכב, שינוי מען, תשלום אגרת רישיון כלי ירי ותשלום אגרות נוספות, תשלום עבור דרכון ביומטרי וכן תשלום קנסות.</w:t>
      </w:r>
    </w:p>
  </w:footnote>
  <w:footnote w:id="148">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ישנם גופים ששאלה זו לא הייתה רלוונטית אליהם כיוון שבתחום פעילותם השירותים מסופקים רובם ככולם על ידי גופים אחרים</w:t>
      </w:r>
      <w:r w:rsidRPr="00B74C6A">
        <w:rPr>
          <w:rFonts w:hint="cs"/>
          <w:rtl/>
        </w:rPr>
        <w:t xml:space="preserve">, כך למשל, בכל הנוגע למשרד הפנים, הרשויות המקומיות מספקות שירותים לציבור; ובכל הנוגע למשרד הבריאות, שירותים רבים ניתנים לציבור באמצעות קופות חולים. </w:t>
      </w:r>
    </w:p>
  </w:footnote>
  <w:footnote w:id="149">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סעיף</w:t>
      </w:r>
      <w:r w:rsidRPr="00B74C6A">
        <w:rPr>
          <w:rtl/>
        </w:rPr>
        <w:t xml:space="preserve"> 8ג להחלטה. </w:t>
      </w:r>
    </w:p>
  </w:footnote>
  <w:footnote w:id="150">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 xml:space="preserve">הסבר על דף שירות ראו בפרק הקודם בסעיף: נגישות של דפי שירות. </w:t>
      </w:r>
    </w:p>
  </w:footnote>
  <w:footnote w:id="151">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צוות התוכן במערך הדי</w:t>
      </w:r>
      <w:r w:rsidRPr="00B74C6A">
        <w:rPr>
          <w:rFonts w:hint="cs"/>
          <w:rtl/>
        </w:rPr>
        <w:t xml:space="preserve">גיטל הלאומי אמון על עריכת התוכן של דפי השירות ותרגומם כחלק מהשירות שניתן למשרדים המשתמשים באתר הממשלתי האחוד. הצוות אחראי על בניית ארכיטקטורת התוכן בהתאם לאפיון השפה הממשלתי וזאת במטרה ליצור אחידות בשירותים הניתנים לאזרח. </w:t>
      </w:r>
    </w:p>
  </w:footnote>
  <w:footnote w:id="152">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מדובר רק במספר דפי השירות הרלו</w:t>
      </w:r>
      <w:r w:rsidRPr="00B74C6A">
        <w:rPr>
          <w:rFonts w:hint="cs"/>
          <w:rtl/>
        </w:rPr>
        <w:t xml:space="preserve">ונטיים גם לחברה הערבית. כלומר ללא דפים שקשורים למשל לשירותי דת יהודיים. </w:t>
      </w:r>
    </w:p>
  </w:footnote>
  <w:footnote w:id="153">
    <w:p w:rsidR="00B14302" w:rsidRPr="00B74C6A" w:rsidRDefault="00DF6A0A" w:rsidP="00B74C6A">
      <w:pPr>
        <w:pStyle w:val="73f4"/>
      </w:pPr>
      <w:r w:rsidRPr="00B74C6A">
        <w:rPr>
          <w:rStyle w:val="a8"/>
          <w:vertAlign w:val="baseline"/>
        </w:rPr>
        <w:footnoteRef/>
      </w:r>
      <w:r w:rsidRPr="00B74C6A">
        <w:rPr>
          <w:rtl/>
        </w:rPr>
        <w:t xml:space="preserve"> </w:t>
      </w:r>
      <w:r w:rsidRPr="00B74C6A">
        <w:rPr>
          <w:rtl/>
        </w:rPr>
        <w:tab/>
      </w:r>
      <w:r w:rsidRPr="00B74C6A">
        <w:rPr>
          <w:rFonts w:hint="cs"/>
          <w:rtl/>
        </w:rPr>
        <w:t>במקרה שהשירות הוא למשל תשלום אגרה, דף השירות מקשר למסמך לביצוע התשלום; במקרה שצריכת השירות תהיה</w:t>
      </w:r>
      <w:r w:rsidRPr="00B74C6A">
        <w:rPr>
          <w:rtl/>
        </w:rPr>
        <w:t xml:space="preserve"> באמצעות טופס מקוון, דף השירות יקשר לטופס המקוון; יש שירותים שהם לא קשורים לתשלומים א</w:t>
      </w:r>
      <w:r w:rsidRPr="00B74C6A">
        <w:rPr>
          <w:rtl/>
        </w:rPr>
        <w:t xml:space="preserve">ו לטפסים מקוונים, כמו למשל בקשה לרישום חברה, דף ההסבר יקשר אל המסכים שדרכם ניתן לצרוך את השירותים הללו. </w:t>
      </w:r>
    </w:p>
  </w:footnote>
  <w:footnote w:id="154">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r>
      <w:r w:rsidRPr="00B74C6A">
        <w:rPr>
          <w:rFonts w:hint="cs"/>
          <w:rtl/>
        </w:rPr>
        <w:t xml:space="preserve">לאחר קבלת תעודת זהות יש להפעילה באמצעות מסרון שנשלח לטלפון או פעולה באזור האישי. </w:t>
      </w:r>
      <w:r>
        <w:fldChar w:fldCharType="begin"/>
      </w:r>
      <w:r>
        <w:instrText xml:space="preserve"> HYPERLINK "https://www.gov.il/he/service/activation_of_smart_ind</w:instrText>
      </w:r>
      <w:r>
        <w:instrText xml:space="preserve">entification_card" </w:instrText>
      </w:r>
      <w:r>
        <w:fldChar w:fldCharType="separate"/>
      </w:r>
      <w:r w:rsidRPr="00B74C6A">
        <w:rPr>
          <w:rStyle w:val="73ff2"/>
        </w:rPr>
        <w:t>https://www.gov.il/he/service/activation_of_smart_indentification_card</w:t>
      </w:r>
      <w:r>
        <w:rPr>
          <w:rStyle w:val="73ff2"/>
        </w:rPr>
        <w:fldChar w:fldCharType="end"/>
      </w:r>
    </w:p>
  </w:footnote>
  <w:footnote w:id="155">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t>שירות</w:t>
      </w:r>
      <w:r w:rsidRPr="00B74C6A">
        <w:rPr>
          <w:rFonts w:hint="cs"/>
          <w:rtl/>
        </w:rPr>
        <w:t xml:space="preserve"> שנוגע למיסים בעסקאות נדל"ן. הוא</w:t>
      </w:r>
      <w:r w:rsidRPr="00B74C6A">
        <w:rPr>
          <w:rtl/>
        </w:rPr>
        <w:t xml:space="preserve"> מאפשר לעורכי דין המייצגים נישומים בעסקאות נדל"ן מול רשויות המס להיכנס למערכת </w:t>
      </w:r>
      <w:r w:rsidRPr="00B74C6A">
        <w:rPr>
          <w:rFonts w:hint="cs"/>
          <w:rtl/>
        </w:rPr>
        <w:t>הממוחשבת הממשלתית</w:t>
      </w:r>
      <w:r w:rsidRPr="00B74C6A">
        <w:rPr>
          <w:rtl/>
        </w:rPr>
        <w:t>.</w:t>
      </w:r>
    </w:p>
  </w:footnote>
  <w:footnote w:id="156">
    <w:p w:rsidR="00B14302" w:rsidRPr="00B74C6A" w:rsidRDefault="00DF6A0A" w:rsidP="00B74C6A">
      <w:pPr>
        <w:pStyle w:val="736"/>
        <w:rPr>
          <w:rtl/>
        </w:rPr>
      </w:pPr>
      <w:r w:rsidRPr="00B74C6A">
        <w:rPr>
          <w:rStyle w:val="a8"/>
          <w:vertAlign w:val="baseline"/>
        </w:rPr>
        <w:footnoteRef/>
      </w:r>
      <w:r w:rsidRPr="00B74C6A">
        <w:rPr>
          <w:rtl/>
        </w:rPr>
        <w:t xml:space="preserve"> </w:t>
      </w:r>
      <w:r w:rsidRPr="00B74C6A">
        <w:rPr>
          <w:rtl/>
        </w:rPr>
        <w:tab/>
      </w:r>
      <w:r w:rsidRPr="00B74C6A">
        <w:rPr>
          <w:rFonts w:hint="cs"/>
          <w:rtl/>
        </w:rPr>
        <w:t>מערך הדיגיטל מספק תרגום ל</w:t>
      </w:r>
      <w:r w:rsidRPr="00B74C6A">
        <w:rPr>
          <w:rFonts w:hint="cs"/>
          <w:rtl/>
        </w:rPr>
        <w:t>רכיבים שהם נוגעים לכל טופס, לדוגמה הודעה על הצלחה או כישלון של שליחת הטופס</w:t>
      </w:r>
      <w:r w:rsidRPr="00B74C6A">
        <w:rPr>
          <w:rtl/>
        </w:rPr>
        <w:t xml:space="preserve"> או כפתורי הפעלה שונים. </w:t>
      </w:r>
    </w:p>
  </w:footnote>
  <w:footnote w:id="157">
    <w:p w:rsidR="00B14302" w:rsidRPr="00B74C6A" w:rsidRDefault="00DF6A0A" w:rsidP="00B74C6A">
      <w:pPr>
        <w:pStyle w:val="712"/>
      </w:pPr>
      <w:r w:rsidRPr="00B74C6A">
        <w:rPr>
          <w:rStyle w:val="a8"/>
          <w:vertAlign w:val="baseline"/>
        </w:rPr>
        <w:footnoteRef/>
      </w:r>
      <w:r w:rsidRPr="00B74C6A">
        <w:rPr>
          <w:rtl/>
        </w:rPr>
        <w:t xml:space="preserve"> </w:t>
      </w:r>
      <w:r w:rsidRPr="00B74C6A">
        <w:rPr>
          <w:rtl/>
        </w:rPr>
        <w:tab/>
      </w:r>
      <w:r w:rsidRPr="00B74C6A">
        <w:rPr>
          <w:rFonts w:hint="cs"/>
          <w:rtl/>
        </w:rPr>
        <w:t xml:space="preserve">ראו בפרק הקודם על הסקר בקרב גופי ממשל. הסקר נעשה במחצית השנייה של שנת 2022. </w:t>
      </w:r>
    </w:p>
  </w:footnote>
  <w:footnote w:id="158">
    <w:p w:rsidR="00B14302" w:rsidRPr="00B74C6A" w:rsidRDefault="00DF6A0A" w:rsidP="00B74C6A">
      <w:pPr>
        <w:pStyle w:val="712"/>
      </w:pPr>
      <w:r w:rsidRPr="00B74C6A">
        <w:rPr>
          <w:rStyle w:val="a8"/>
          <w:vertAlign w:val="baseline"/>
        </w:rPr>
        <w:footnoteRef/>
      </w:r>
      <w:r w:rsidRPr="00B74C6A">
        <w:rPr>
          <w:rtl/>
        </w:rPr>
        <w:t xml:space="preserve"> </w:t>
      </w:r>
      <w:r w:rsidRPr="00B74C6A">
        <w:rPr>
          <w:rtl/>
        </w:rPr>
        <w:tab/>
      </w:r>
      <w:r w:rsidRPr="006B6D90">
        <w:rPr>
          <w:rtl/>
        </w:rPr>
        <w:t>הגופים שהשיבו לשאלה: הביטוח הלאומי, הנהלת בתי המשפט, הסוכנות לעסקים קטנים ובינוניים במשרד הכלכלה והתעשייה, ועדת הבחירות המרכזית, משטרת ישראל, משרד הבינוי והשיכון, משרד הבריאות, משרד החוץ, משרד החינוך, משרד החקלאות ופיתוח הכפר, משרד המשפטים, משרד הפנים, משר</w:t>
      </w:r>
      <w:r w:rsidRPr="006B6D90">
        <w:rPr>
          <w:rtl/>
        </w:rPr>
        <w:t xml:space="preserve">ד הרווחה והביטחון החברתי, משרד התחבורה, משרד התיירות, רכבת ישראל, רשות האכיפה והגבייה, רשות הטבע והגנים, רשות המיסים, רשות מקרקעי ישראל, ורשות שדות התעופה. השאלה לא הייתה רלוונטית למשרד לשירותי דת כיוון שהוא מספק שירותי דת יהודיים בלבד; גוף ממשל נוסף שלא </w:t>
      </w:r>
      <w:r>
        <w:rPr>
          <w:rFonts w:hint="cs"/>
          <w:rtl/>
        </w:rPr>
        <w:t>נ</w:t>
      </w:r>
      <w:r>
        <w:rPr>
          <w:rFonts w:hint="cs"/>
          <w:rtl/>
        </w:rPr>
        <w:t>כללה</w:t>
      </w:r>
      <w:r w:rsidRPr="006B6D90">
        <w:rPr>
          <w:rtl/>
        </w:rPr>
        <w:t xml:space="preserve"> תשובתו בניתוח הוא הרשות לניירות ערך</w:t>
      </w:r>
      <w:r>
        <w:rPr>
          <w:rFonts w:hint="cs"/>
          <w:rtl/>
        </w:rPr>
        <w:t xml:space="preserve"> </w:t>
      </w:r>
      <w:r w:rsidRPr="00B74C6A">
        <w:rPr>
          <w:rt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B14302"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B14302" w:rsidRDefault="00B14302" w:rsidP="00F2565F">
    <w:pPr>
      <w:pStyle w:val="a4"/>
      <w:tabs>
        <w:tab w:val="clear" w:pos="4153"/>
        <w:tab w:val="clear" w:pos="8306"/>
        <w:tab w:val="left" w:pos="493"/>
        <w:tab w:val="center" w:pos="4111"/>
        <w:tab w:val="right" w:pos="7478"/>
        <w:tab w:val="right" w:pos="8222"/>
      </w:tabs>
      <w:jc w:val="right"/>
      <w:rPr>
        <w:rFonts w:ascii="Tahoma" w:hAnsi="Tahoma" w:cs="Tahoma"/>
        <w:color w:val="002060"/>
        <w:sz w:val="18"/>
        <w:szCs w:val="18"/>
      </w:rPr>
    </w:pPr>
  </w:p>
  <w:p w:rsidR="00B14302" w:rsidRDefault="00B14302"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B14302" w:rsidRDefault="00B14302" w:rsidP="007255AF">
    <w:pPr>
      <w:pStyle w:val="a4"/>
      <w:tabs>
        <w:tab w:val="clear" w:pos="4153"/>
        <w:tab w:val="clear" w:pos="8306"/>
        <w:tab w:val="left" w:pos="493"/>
        <w:tab w:val="center" w:pos="4111"/>
        <w:tab w:val="right" w:pos="7478"/>
        <w:tab w:val="right" w:pos="8222"/>
      </w:tabs>
      <w:jc w:val="left"/>
      <w:rPr>
        <w:rFonts w:ascii="Tahoma" w:hAnsi="Tahoma" w:cs="Tahoma"/>
        <w:color w:val="002060"/>
        <w:sz w:val="18"/>
        <w:szCs w:val="18"/>
      </w:rPr>
    </w:pPr>
  </w:p>
  <w:p w:rsidR="00B14302" w:rsidRDefault="00DF6A0A" w:rsidP="00A33696">
    <w:pPr>
      <w:pStyle w:val="a4"/>
      <w:tabs>
        <w:tab w:val="clear" w:pos="4153"/>
        <w:tab w:val="clear" w:pos="8306"/>
        <w:tab w:val="left" w:pos="493"/>
        <w:tab w:val="left" w:pos="5150"/>
      </w:tabs>
      <w:rPr>
        <w:rtl/>
      </w:rPr>
    </w:pPr>
    <w:r>
      <w:rPr>
        <w:rFonts w:ascii="Tahoma" w:hAnsi="Tahoma" w:cs="Tahoma"/>
        <w:noProof/>
        <w:color w:val="002060"/>
        <w:sz w:val="18"/>
        <w:szCs w:val="18"/>
      </w:rPr>
      <w:drawing>
        <wp:anchor distT="0" distB="0" distL="114300" distR="114300" simplePos="0" relativeHeight="251666432" behindDoc="0" locked="0" layoutInCell="1" allowOverlap="1">
          <wp:simplePos x="0" y="0"/>
          <wp:positionH relativeFrom="column">
            <wp:posOffset>4362450</wp:posOffset>
          </wp:positionH>
          <wp:positionV relativeFrom="paragraph">
            <wp:posOffset>6170</wp:posOffset>
          </wp:positionV>
          <wp:extent cx="248285" cy="298450"/>
          <wp:effectExtent l="0" t="0" r="0" b="6350"/>
          <wp:wrapNone/>
          <wp:docPr id="205277201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sidRPr="006637B9">
      <w:rPr>
        <w:rFonts w:ascii="Tahoma" w:hAnsi="Tahoma" w:cs="Tahoma"/>
        <w:noProof/>
        <w:color w:val="002060"/>
        <w:sz w:val="18"/>
        <w:szCs w:val="18"/>
      </w:rPr>
      <mc:AlternateContent>
        <mc:Choice Requires="wps">
          <w:drawing>
            <wp:inline distT="0" distB="0" distL="0" distR="0">
              <wp:extent cx="3317344" cy="280800"/>
              <wp:effectExtent l="0" t="0" r="0" b="635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44" cy="280800"/>
                      </a:xfrm>
                      <a:prstGeom prst="rect">
                        <a:avLst/>
                      </a:prstGeom>
                      <a:solidFill>
                        <a:srgbClr val="FFFFFF"/>
                      </a:solidFill>
                      <a:ln w="9525">
                        <a:noFill/>
                        <a:miter lim="800000"/>
                        <a:headEnd/>
                        <a:tailEnd/>
                      </a:ln>
                    </wps:spPr>
                    <wps:txbx>
                      <w:txbxContent>
                        <w:p w:rsidR="00B14302" w:rsidRDefault="00DF6A0A"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wps:txbx>
                    <wps:bodyPr rot="0" vert="horz" wrap="square" lIns="91440" tIns="45720" rIns="91440" bIns="45720" anchor="t" anchorCtr="0">
                      <a:spAutoFit/>
                    </wps:bodyPr>
                  </wps:wsp>
                </a:graphicData>
              </a:graphic>
            </wp:inline>
          </w:drawing>
        </mc:Choice>
        <mc:Fallback>
          <w:pict>
            <v:shapetype id="_x0000_t202" coordsize="21600,21600" o:spt="202" path="m,l,21600r21600,l21600,xe">
              <v:stroke joinstyle="miter"/>
              <v:path gradientshapeok="t" o:connecttype="rect"/>
            </v:shapetype>
            <v:shape id="Text Box 2" o:spid="_x0000_i2049" type="#_x0000_t202" style="width:261.2pt;height:22.1pt;mso-left-percent:-10001;mso-position-horizontal-relative:char;mso-position-vertical-relative:line;mso-top-percent:-10001;mso-wrap-style:square;visibility:visible;v-text-anchor:top" stroked="f">
              <v:textbox style="mso-fit-shape-to-text:t">
                <w:txbxContent>
                  <w:p w:rsidR="00B14302" w:rsidP="006637B9">
                    <w:pPr>
                      <w:jc w:val="left"/>
                    </w:pPr>
                    <w:r>
                      <w:rPr>
                        <w:rFonts w:ascii="Tahoma" w:hAnsi="Tahoma" w:cs="Tahoma" w:hint="cs"/>
                        <w:color w:val="002060"/>
                        <w:sz w:val="18"/>
                        <w:szCs w:val="18"/>
                        <w:rtl/>
                      </w:rPr>
                      <w:t xml:space="preserve">         החינוך החרדי והפיקוח עליו</w:t>
                    </w:r>
                    <w:r>
                      <w:rPr>
                        <w:rFonts w:hint="cs"/>
                        <w:rtl/>
                      </w:rPr>
                      <w:t xml:space="preserve">         </w:t>
                    </w:r>
                  </w:p>
                </w:txbxContent>
              </v:textbox>
              <w10:wrap type="none"/>
              <w10:anchorlock/>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-1554480</wp:posOffset>
              </wp:positionH>
              <wp:positionV relativeFrom="paragraph">
                <wp:posOffset>382270</wp:posOffset>
              </wp:positionV>
              <wp:extent cx="7632700" cy="0"/>
              <wp:effectExtent l="0" t="0" r="0" b="0"/>
              <wp:wrapNone/>
              <wp:docPr id="7" name="Straight Connector 7"/>
              <wp:cNvGraphicFramePr/>
              <a:graphic xmlns:a="http://schemas.openxmlformats.org/drawingml/2006/main">
                <a:graphicData uri="http://schemas.microsoft.com/office/word/2010/wordprocessingShape">
                  <wps:wsp>
                    <wps:cNvCnPr/>
                    <wps:spPr>
                      <a:xfrm flipH="1">
                        <a:off x="0" y="0"/>
                        <a:ext cx="7632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2050" style="flip:x;mso-height-percent:0;mso-height-relative:margin;mso-width-percent:0;mso-width-relative:margin;mso-wrap-distance-bottom:0;mso-wrap-distance-left:9pt;mso-wrap-distance-right:9pt;mso-wrap-distance-top:0;mso-wrap-style:square;position:absolute;visibility:visible;z-index:251665408" from="-122.4pt,30.1pt" to="478.6pt,30.1pt" strokecolor="#1cade4"/>
          </w:pict>
        </mc:Fallback>
      </mc:AlternateContent>
    </w:r>
    <w:r>
      <w:rPr>
        <w:rFonts w:ascii="Tahoma" w:hAnsi="Tahoma" w:cs="Tahoma"/>
        <w:color w:val="002060"/>
        <w:sz w:val="18"/>
        <w:szCs w:val="18"/>
      </w:rPr>
      <w:tab/>
    </w:r>
    <w:r>
      <w:rPr>
        <w:rt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DF6A0A" w:rsidP="001526AC">
    <w:pPr>
      <w:pStyle w:val="a4"/>
      <w:tabs>
        <w:tab w:val="clear" w:pos="4153"/>
        <w:tab w:val="clear" w:pos="8306"/>
        <w:tab w:val="left" w:pos="493"/>
        <w:tab w:val="center" w:pos="4111"/>
        <w:tab w:val="right" w:pos="7478"/>
        <w:tab w:val="right" w:pos="8222"/>
      </w:tabs>
      <w:jc w:val="left"/>
      <w:rPr>
        <w:rtl/>
      </w:rPr>
    </w:pPr>
    <w:r>
      <w:rPr>
        <w:noProof/>
      </w:rPr>
      <mc:AlternateContent>
        <mc:Choice Requires="wps">
          <w:drawing>
            <wp:anchor distT="0" distB="0" distL="114300" distR="114300" simplePos="0" relativeHeight="251662336" behindDoc="0" locked="0" layoutInCell="1" allowOverlap="1">
              <wp:simplePos x="0" y="0"/>
              <wp:positionH relativeFrom="column">
                <wp:posOffset>-716280</wp:posOffset>
              </wp:positionH>
              <wp:positionV relativeFrom="paragraph">
                <wp:posOffset>-727710</wp:posOffset>
              </wp:positionV>
              <wp:extent cx="304800" cy="8763000"/>
              <wp:effectExtent l="0" t="0" r="12700" b="12700"/>
              <wp:wrapSquare wrapText="bothSides"/>
              <wp:docPr id="41"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8763000"/>
                      </a:xfrm>
                      <a:prstGeom prst="rect">
                        <a:avLst/>
                      </a:prstGeom>
                      <a:solidFill>
                        <a:srgbClr val="00305F"/>
                      </a:solidFill>
                      <a:ln>
                        <a:solidFill>
                          <a:srgbClr val="00305F"/>
                        </a:solidFill>
                      </a:ln>
                    </wps:spPr>
                    <wps:txbx>
                      <w:txbxContent>
                        <w:p w:rsidR="00B14302" w:rsidRPr="002C3110" w:rsidRDefault="00DF6A0A" w:rsidP="00447427">
                          <w:pPr>
                            <w:pStyle w:val="Bodytext70"/>
                            <w:shd w:val="clear" w:color="auto" w:fill="003060"/>
                            <w:rPr>
                              <w:rFonts w:ascii="Tahoma" w:hAnsi="Tahoma" w:cs="Tahoma"/>
                              <w:b/>
                              <w:bCs/>
                              <w:spacing w:val="-6"/>
                              <w:w w:val="95"/>
                              <w:sz w:val="19"/>
                              <w:szCs w:val="19"/>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Pr>
                              <w:rFonts w:ascii="Tahoma" w:hAnsi="Tahoma" w:cs="Tahoma" w:hint="cs"/>
                              <w:sz w:val="24"/>
                              <w:szCs w:val="24"/>
                              <w:rtl/>
                            </w:rPr>
                            <w:t xml:space="preserve"> </w:t>
                          </w:r>
                          <w:r w:rsidRPr="00565F1B">
                            <w:rPr>
                              <w:rFonts w:ascii="Tahoma" w:hAnsi="Tahoma" w:cs="Tahoma" w:hint="cs"/>
                              <w:rtl/>
                            </w:rPr>
                            <w:t xml:space="preserve"> </w:t>
                          </w:r>
                          <w:r w:rsidRPr="00447427">
                            <w:rPr>
                              <w:rFonts w:ascii="Tahoma" w:hAnsi="Tahoma" w:cs="Tahoma"/>
                              <w:b/>
                              <w:bCs/>
                              <w:sz w:val="20"/>
                              <w:szCs w:val="20"/>
                              <w:rtl/>
                            </w:rPr>
                            <w:t>הנגשת שירותי ממשל בעידן הדיגיטלי לאנשים עם מוגבלות ולציבור שאינו משתמש</w:t>
                          </w:r>
                          <w:r w:rsidRPr="00447427">
                            <w:rPr>
                              <w:rFonts w:ascii="Tahoma" w:hAnsi="Tahoma" w:cs="Tahoma"/>
                              <w:b/>
                              <w:bCs/>
                              <w:sz w:val="20"/>
                              <w:szCs w:val="20"/>
                              <w:rtl/>
                            </w:rPr>
                            <w:t xml:space="preserve"> במדיה הדיגיטלית</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2051" type="#_x0000_t202" style="width:24pt;height:690pt;margin-top:-57.3pt;margin-left:-56.4pt;mso-height-percent:0;mso-height-relative:margin;mso-width-percent:0;mso-width-relative:margin;mso-wrap-distance-bottom:0;mso-wrap-distance-left:9pt;mso-wrap-distance-right:9pt;mso-wrap-distance-top:0;mso-wrap-style:square;position:absolute;visibility:visible;v-text-anchor:top;z-index:251663360" fillcolor="#00305f" strokecolor="#00305f">
              <v:textbox style="layout-flow:vertical;mso-layout-flow-alt:bottom-to-top" inset="0,0,0,0">
                <w:txbxContent>
                  <w:p w:rsidR="00B14302" w:rsidRPr="002C3110" w:rsidP="00447427">
                    <w:pPr>
                      <w:pStyle w:val="Bodytext70"/>
                      <w:shd w:val="clear" w:color="auto" w:fill="003060"/>
                      <w:rPr>
                        <w:rFonts w:ascii="Tahoma" w:hAnsi="Tahoma" w:cs="Tahoma"/>
                        <w:b/>
                        <w:bCs/>
                        <w:spacing w:val="-6"/>
                        <w:w w:val="95"/>
                        <w:sz w:val="19"/>
                        <w:szCs w:val="19"/>
                        <w:rtl/>
                      </w:rPr>
                    </w:pPr>
                    <w:r>
                      <w:rPr>
                        <w:rStyle w:val="Bodytext7NotBoldExact"/>
                        <w:rFonts w:hint="cs"/>
                        <w:rtl/>
                      </w:rPr>
                      <w:t>....ה</w:t>
                    </w:r>
                    <w:r>
                      <w:rPr>
                        <w:rFonts w:hint="cs"/>
                        <w:rtl/>
                      </w:rPr>
                      <w:t xml:space="preserve">                                          </w:t>
                    </w:r>
                    <w:r w:rsidRPr="00565F1B">
                      <w:rPr>
                        <w:rFonts w:ascii="Tahoma" w:hAnsi="Tahoma" w:cs="Tahoma" w:hint="cs"/>
                        <w:sz w:val="24"/>
                        <w:szCs w:val="24"/>
                        <w:rtl/>
                      </w:rPr>
                      <w:t xml:space="preserve">תקציר </w:t>
                    </w:r>
                    <w:r w:rsidRPr="00565F1B">
                      <w:rPr>
                        <w:rFonts w:ascii="Tahoma" w:hAnsi="Tahoma" w:cs="Tahoma" w:hint="cs"/>
                        <w:rtl/>
                      </w:rPr>
                      <w:t xml:space="preserve"> |</w:t>
                    </w:r>
                    <w:r w:rsidRPr="00565F1B">
                      <w:rPr>
                        <w:rFonts w:ascii="Tahoma" w:hAnsi="Tahoma" w:cs="Tahoma" w:hint="cs"/>
                        <w:sz w:val="24"/>
                        <w:szCs w:val="24"/>
                        <w:rtl/>
                      </w:rPr>
                      <w:t xml:space="preserve"> </w:t>
                    </w:r>
                    <w:r w:rsidRPr="00565F1B">
                      <w:rPr>
                        <w:rFonts w:ascii="Tahoma" w:hAnsi="Tahoma" w:cs="Tahoma" w:hint="cs"/>
                        <w:rtl/>
                      </w:rPr>
                      <w:t xml:space="preserve"> </w:t>
                    </w:r>
                    <w:r w:rsidRPr="00447427">
                      <w:rPr>
                        <w:rFonts w:ascii="Tahoma" w:hAnsi="Tahoma" w:cs="Tahoma"/>
                        <w:b/>
                        <w:bCs/>
                        <w:sz w:val="20"/>
                        <w:szCs w:val="20"/>
                        <w:rtl/>
                      </w:rPr>
                      <w:t>הנגשת שירותי ממשל בעידן הדיגיטלי לאנשים עם מוגבלות ולציבור שאינו משתמש במדיה הדיגיטלית</w:t>
                    </w:r>
                  </w:p>
                </w:txbxContent>
              </v:textbox>
              <w10:wrap type="square"/>
            </v:shape>
          </w:pict>
        </mc:Fallback>
      </mc:AlternateContent>
    </w:r>
    <w:r>
      <w:rPr>
        <w:noProof/>
        <w:rtl/>
        <w:lang w:val="he-IL"/>
      </w:rPr>
      <mc:AlternateContent>
        <mc:Choice Requires="wps">
          <w:drawing>
            <wp:anchor distT="0" distB="0" distL="114300" distR="114300" simplePos="0" relativeHeight="251672576"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3"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B14302" w:rsidRPr="00FD02CC" w:rsidRDefault="00B14302"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3" o:spid="_x0000_s2052"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2880" filled="f" strokecolor="#a5a5a5" strokeweight="0.25pt">
              <v:stroke dashstyle="longDash"/>
              <v:textbox>
                <w:txbxContent>
                  <w:p w:rsidR="00B14302" w:rsidRPr="00FD02CC" w:rsidP="006E67D8">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p>
  <w:p w:rsidR="00B14302" w:rsidRDefault="00B14302" w:rsidP="001526AC">
    <w:pPr>
      <w:pStyle w:val="a4"/>
      <w:tabs>
        <w:tab w:val="clear" w:pos="4153"/>
        <w:tab w:val="clear" w:pos="8306"/>
        <w:tab w:val="left" w:pos="493"/>
        <w:tab w:val="center" w:pos="4111"/>
        <w:tab w:val="right" w:pos="7478"/>
        <w:tab w:val="right" w:pos="8222"/>
      </w:tabs>
      <w:jc w:val="left"/>
      <w:rPr>
        <w:rtl/>
      </w:rPr>
    </w:pPr>
  </w:p>
  <w:p w:rsidR="00B14302" w:rsidRPr="001526AC" w:rsidRDefault="00DF6A0A"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58240"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B14302" w:rsidRPr="00136A3E" w:rsidRDefault="00DF6A0A" w:rsidP="00B244B0">
                          <w:pPr>
                            <w:jc w:val="right"/>
                            <w:rPr>
                              <w:color w:val="0D0D0D" w:themeColor="text1" w:themeTint="F2"/>
                              <w:sz w:val="16"/>
                              <w:szCs w:val="16"/>
                            </w:rPr>
                          </w:pPr>
                          <w:r w:rsidRPr="00412552">
                            <w:rPr>
                              <w:rFonts w:ascii="Tahoma" w:hAnsi="Tahoma" w:cs="Tahoma"/>
                              <w:color w:val="0D0D0D"/>
                              <w:sz w:val="16"/>
                              <w:szCs w:val="16"/>
                              <w:rtl/>
                            </w:rPr>
                            <w:t>דוח מבקר המדינה</w:t>
                          </w:r>
                          <w:r>
                            <w:rPr>
                              <w:rFonts w:ascii="Tahoma" w:hAnsi="Tahoma" w:cs="Tahoma" w:hint="cs"/>
                              <w:color w:val="0D0D0D"/>
                              <w:sz w:val="16"/>
                              <w:szCs w:val="16"/>
                              <w:rtl/>
                            </w:rPr>
                            <w:t xml:space="preserve"> -</w:t>
                          </w:r>
                          <w:r w:rsidRPr="00412552">
                            <w:rPr>
                              <w:rFonts w:ascii="Tahoma" w:hAnsi="Tahoma" w:cs="Tahoma"/>
                              <w:color w:val="0D0D0D"/>
                              <w:sz w:val="16"/>
                              <w:szCs w:val="16"/>
                              <w:rtl/>
                            </w:rPr>
                            <w:t xml:space="preserve"> סייבר ומערכות מידע | אייר התשפ"ג | מאי 2023</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3"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59264" strokecolor="white">
              <v:textbox>
                <w:txbxContent>
                  <w:p w:rsidR="00B14302" w:rsidRPr="00136A3E" w:rsidP="00B244B0">
                    <w:pPr>
                      <w:jc w:val="right"/>
                      <w:rPr>
                        <w:color w:val="0D0D0D" w:themeColor="text1" w:themeTint="F2"/>
                        <w:sz w:val="16"/>
                        <w:szCs w:val="16"/>
                      </w:rPr>
                    </w:pPr>
                    <w:r w:rsidRPr="00412552">
                      <w:rPr>
                        <w:rFonts w:ascii="Tahoma" w:hAnsi="Tahoma" w:cs="Tahoma"/>
                        <w:color w:val="0D0D0D"/>
                        <w:sz w:val="16"/>
                        <w:szCs w:val="16"/>
                        <w:rtl/>
                      </w:rPr>
                      <w:t>דוח מבקר המדינה</w:t>
                    </w:r>
                    <w:r>
                      <w:rPr>
                        <w:rFonts w:ascii="Tahoma" w:hAnsi="Tahoma" w:cs="Tahoma" w:hint="cs"/>
                        <w:color w:val="0D0D0D"/>
                        <w:sz w:val="16"/>
                        <w:szCs w:val="16"/>
                        <w:rtl/>
                      </w:rPr>
                      <w:t xml:space="preserve"> -</w:t>
                    </w:r>
                    <w:r w:rsidRPr="00412552">
                      <w:rPr>
                        <w:rFonts w:ascii="Tahoma" w:hAnsi="Tahoma" w:cs="Tahoma"/>
                        <w:color w:val="0D0D0D"/>
                        <w:sz w:val="16"/>
                        <w:szCs w:val="16"/>
                        <w:rtl/>
                      </w:rPr>
                      <w:t xml:space="preserve"> סייבר ומערכות מידע | אייר התשפ"ג | מאי 2023</w:t>
                    </w:r>
                  </w:p>
                </w:txbxContent>
              </v:textbox>
            </v:shape>
          </w:pict>
        </mc:Fallback>
      </mc:AlternateContent>
    </w:r>
    <w:r>
      <w:rPr>
        <w:rFonts w:ascii="Tahoma" w:hAnsi="Tahoma" w:cs="Tahoma"/>
        <w:noProof/>
        <w:sz w:val="22"/>
        <w:szCs w:val="22"/>
        <w:rtl/>
        <w:lang w:val="he-IL"/>
      </w:rPr>
      <w:drawing>
        <wp:anchor distT="0" distB="0" distL="114300" distR="114300" simplePos="0" relativeHeight="251669504"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2052772017"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7"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34"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54" style="flip:x;mso-height-percent:0;mso-height-relative:margin;mso-width-percent:0;mso-width-relative:margin;mso-wrap-distance-bottom:0;mso-wrap-distance-left:9pt;mso-wrap-distance-right:9pt;mso-wrap-distance-top:0;mso-wrap-style:square;position:absolute;visibility:visible;z-index:251661312" from="-4.4pt,50.4pt" to="524.85pt,50.4pt" strokecolor="#0d0d0d" strokeweight="0.2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DF6A0A">
    <w:pPr>
      <w:pStyle w:val="a4"/>
      <w:rPr>
        <w:rtl/>
      </w:rPr>
    </w:pPr>
    <w:r>
      <w:rPr>
        <w:noProof/>
        <w:rtl/>
        <w:lang w:val="he-IL"/>
      </w:rPr>
      <mc:AlternateContent>
        <mc:Choice Requires="wps">
          <w:drawing>
            <wp:anchor distT="0" distB="0" distL="114300" distR="114300" simplePos="0" relativeHeight="251674624"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31"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B14302" w:rsidRPr="00FD02CC" w:rsidRDefault="00B14302" w:rsidP="006E67D8">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2055"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40832" filled="f" strokecolor="#a5a5a5" strokeweight="0.25pt">
              <v:stroke dashstyle="longDash"/>
              <v:textbox>
                <w:txbxContent>
                  <w:p w:rsidR="00B14302" w:rsidRPr="00FD02CC" w:rsidP="006E67D8">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B14302" w:rsidRDefault="00B14302" w:rsidP="00FD02CC">
    <w:pPr>
      <w:pStyle w:val="a4"/>
      <w:ind w:firstLine="720"/>
      <w:rPr>
        <w:rtl/>
      </w:rPr>
    </w:pPr>
  </w:p>
  <w:p w:rsidR="00B14302" w:rsidRDefault="00B14302">
    <w:pPr>
      <w:pStyle w:val="a4"/>
      <w:rPr>
        <w:rtl/>
      </w:rPr>
    </w:pPr>
  </w:p>
  <w:p w:rsidR="00B14302" w:rsidRDefault="00DF6A0A">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670528" behindDoc="0" locked="0" layoutInCell="1" allowOverlap="1">
              <wp:simplePos x="0" y="0"/>
              <wp:positionH relativeFrom="column">
                <wp:posOffset>-106680</wp:posOffset>
              </wp:positionH>
              <wp:positionV relativeFrom="paragraph">
                <wp:posOffset>205105</wp:posOffset>
              </wp:positionV>
              <wp:extent cx="4536440" cy="280670"/>
              <wp:effectExtent l="0" t="0" r="6985" b="698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440" cy="280670"/>
                      </a:xfrm>
                      <a:prstGeom prst="rect">
                        <a:avLst/>
                      </a:prstGeom>
                      <a:solidFill>
                        <a:srgbClr val="FFFFFF"/>
                      </a:solidFill>
                      <a:ln w="9525">
                        <a:noFill/>
                        <a:miter lim="800000"/>
                        <a:headEnd/>
                        <a:tailEnd/>
                      </a:ln>
                    </wps:spPr>
                    <wps:txbx>
                      <w:txbxContent>
                        <w:p w:rsidR="00B14302" w:rsidRPr="003D62C4" w:rsidRDefault="00DF6A0A" w:rsidP="00F559D6">
                          <w:pPr>
                            <w:pStyle w:val="1"/>
                            <w:spacing w:line="269" w:lineRule="auto"/>
                            <w:jc w:val="left"/>
                            <w:rPr>
                              <w:rFonts w:ascii="Tahoma" w:eastAsiaTheme="minorHAnsi" w:hAnsi="Tahoma" w:cs="Tahoma"/>
                              <w:bCs w:val="0"/>
                              <w:color w:val="0D0D0D" w:themeColor="text1" w:themeTint="F2"/>
                              <w:sz w:val="16"/>
                              <w:szCs w:val="16"/>
                              <w:u w:val="none"/>
                            </w:rPr>
                          </w:pPr>
                          <w:r>
                            <w:rPr>
                              <w:rFonts w:ascii="Tahoma" w:eastAsiaTheme="minorHAnsi" w:hAnsi="Tahoma" w:cs="Tahoma" w:hint="cs"/>
                              <w:bCs w:val="0"/>
                              <w:color w:val="0D0D0D" w:themeColor="text1" w:themeTint="F2"/>
                              <w:sz w:val="16"/>
                              <w:szCs w:val="16"/>
                              <w:u w:val="none"/>
                              <w:rtl/>
                            </w:rPr>
                            <w:t>שם של הדוח שם של הדוח</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2056" type="#_x0000_t202" style="width:357.2pt;height:22.1pt;margin-top:16.15pt;margin-left:-8.4pt;mso-width-percent:0;mso-width-relative:margin;mso-wrap-distance-bottom:0;mso-wrap-distance-left:9pt;mso-wrap-distance-right:9pt;mso-wrap-distance-top:0;mso-wrap-style:square;position:absolute;visibility:visible;v-text-anchor:top;z-index:251671552" stroked="f">
              <v:textbox style="mso-fit-shape-to-text:t">
                <w:txbxContent>
                  <w:p w:rsidR="00B14302" w:rsidRPr="003D62C4" w:rsidP="00F559D6">
                    <w:pPr>
                      <w:pStyle w:val="Heading1"/>
                      <w:spacing w:line="269" w:lineRule="auto"/>
                      <w:jc w:val="left"/>
                      <w:rPr>
                        <w:rFonts w:ascii="Tahoma" w:hAnsi="Tahoma" w:eastAsiaTheme="minorHAnsi" w:cs="Tahoma"/>
                        <w:bCs w:val="0"/>
                        <w:color w:val="0D0D0D" w:themeColor="text1" w:themeTint="F2"/>
                        <w:sz w:val="16"/>
                        <w:szCs w:val="16"/>
                        <w:u w:val="none"/>
                      </w:rPr>
                    </w:pPr>
                    <w:r>
                      <w:rPr>
                        <w:rFonts w:ascii="Tahoma" w:hAnsi="Tahoma" w:eastAsiaTheme="minorHAnsi" w:cs="Tahoma" w:hint="cs"/>
                        <w:bCs w:val="0"/>
                        <w:color w:val="0D0D0D" w:themeColor="text1" w:themeTint="F2"/>
                        <w:sz w:val="16"/>
                        <w:szCs w:val="16"/>
                        <w:u w:val="none"/>
                        <w:rtl/>
                      </w:rPr>
                      <w:t>שם של הדוח שם של הדוח</w:t>
                    </w:r>
                  </w:p>
                </w:txbxContent>
              </v:textbox>
              <w10:wrap type="square"/>
            </v:shape>
          </w:pict>
        </mc:Fallback>
      </mc:AlternateContent>
    </w:r>
  </w:p>
  <w:p w:rsidR="00B14302" w:rsidRDefault="00DF6A0A" w:rsidP="009620E7">
    <w:pPr>
      <w:pStyle w:val="a4"/>
      <w:rPr>
        <w:rtl/>
      </w:rPr>
    </w:pPr>
    <w:r>
      <w:rPr>
        <w:rFonts w:ascii="Tahoma" w:hAnsi="Tahoma" w:cs="Tahoma"/>
        <w:noProof/>
        <w:color w:val="002060"/>
        <w:sz w:val="18"/>
        <w:szCs w:val="18"/>
      </w:rPr>
      <w:drawing>
        <wp:anchor distT="0" distB="0" distL="114300" distR="114300" simplePos="0" relativeHeight="25167667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205277201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72018"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0" locked="0" layoutInCell="1" allowOverlap="1">
              <wp:simplePos x="0" y="0"/>
              <wp:positionH relativeFrom="column">
                <wp:posOffset>-1392883</wp:posOffset>
              </wp:positionH>
              <wp:positionV relativeFrom="paragraph">
                <wp:posOffset>352841</wp:posOffset>
              </wp:positionV>
              <wp:extent cx="6065760" cy="0"/>
              <wp:effectExtent l="0" t="0" r="0" b="0"/>
              <wp:wrapNone/>
              <wp:docPr id="34" name="Straight Connector 34"/>
              <wp:cNvGraphicFramePr/>
              <a:graphic xmlns:a="http://schemas.openxmlformats.org/drawingml/2006/main">
                <a:graphicData uri="http://schemas.microsoft.com/office/word/2010/wordprocessingShape">
                  <wps:wsp>
                    <wps:cNvCnPr/>
                    <wps:spPr>
                      <a:xfrm flipH="1">
                        <a:off x="0" y="0"/>
                        <a:ext cx="606576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57" style="flip:x;mso-height-percent:0;mso-height-relative:margin;mso-width-percent:0;mso-width-relative:margin;mso-wrap-distance-bottom:0;mso-wrap-distance-left:9pt;mso-wrap-distance-right:9pt;mso-wrap-distance-top:0;mso-wrap-style:square;position:absolute;visibility:visible;z-index:251668480" from="-109.7pt,27.8pt" to="367.9pt,27.8pt" strokecolor="#0d0d0d" strokeweight="0.25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DF6A0A" w:rsidP="004E71DD">
    <w:pPr>
      <w:pStyle w:val="a4"/>
      <w:rPr>
        <w:rtl/>
      </w:rPr>
    </w:pPr>
    <w:r>
      <w:rPr>
        <w:noProof/>
        <w:rtl/>
        <w:lang w:val="he-IL"/>
      </w:rPr>
      <mc:AlternateContent>
        <mc:Choice Requires="wps">
          <w:drawing>
            <wp:anchor distT="0" distB="0" distL="114300" distR="114300" simplePos="0" relativeHeight="251692032" behindDoc="1" locked="0" layoutInCell="1" allowOverlap="1">
              <wp:simplePos x="0" y="0"/>
              <wp:positionH relativeFrom="margin">
                <wp:posOffset>-954405</wp:posOffset>
              </wp:positionH>
              <wp:positionV relativeFrom="margin">
                <wp:posOffset>-1051560</wp:posOffset>
              </wp:positionV>
              <wp:extent cx="6480000" cy="9000000"/>
              <wp:effectExtent l="0" t="0" r="16510" b="10795"/>
              <wp:wrapNone/>
              <wp:docPr id="43" name="Text Box 31"/>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B14302" w:rsidRPr="00FD02CC" w:rsidRDefault="00B14302" w:rsidP="004E71DD">
                          <w:pPr>
                            <w:rPr>
                              <w:color w:val="FFFFFF" w:themeColor="background1"/>
                              <w14:textOutline w14:w="12700" w14:cap="rnd" w14:cmpd="dbl" w14:algn="ctr">
                                <w14:solidFill>
                                  <w14:srgbClr w14:val="00B050"/>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58" type="#_x0000_t202" style="width:510.25pt;height:708.65pt;margin-top:-82.8pt;margin-left:-75.1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3424" filled="f" strokecolor="#a5a5a5" strokeweight="0.25pt">
              <v:stroke dashstyle="longDash"/>
              <v:textbox>
                <w:txbxContent>
                  <w:p w:rsidR="00B14302" w:rsidRPr="00FD02CC" w:rsidP="004E71DD">
                    <w:pPr>
                      <w:rPr>
                        <w:color w:val="FFFFFF" w:themeColor="background1"/>
                        <w14:textOutline w14:w="12700" w14:cap="rnd" w14:cmpd="dbl">
                          <w14:solidFill>
                            <w14:srgbClr w14:val="00B050"/>
                          </w14:solidFill>
                          <w14:prstDash w14:val="dash"/>
                          <w14:bevel/>
                        </w14:textOutline>
                      </w:rPr>
                    </w:pPr>
                  </w:p>
                </w:txbxContent>
              </v:textbox>
              <w10:wrap anchorx="margin" anchory="margin"/>
            </v:shape>
          </w:pict>
        </mc:Fallback>
      </mc:AlternateContent>
    </w:r>
  </w:p>
  <w:p w:rsidR="00B14302" w:rsidRDefault="00B14302" w:rsidP="004E71DD">
    <w:pPr>
      <w:pStyle w:val="a4"/>
      <w:ind w:firstLine="720"/>
      <w:rPr>
        <w:rtl/>
      </w:rPr>
    </w:pPr>
  </w:p>
  <w:p w:rsidR="00B14302" w:rsidRDefault="00B14302" w:rsidP="004E71DD">
    <w:pPr>
      <w:pStyle w:val="a4"/>
      <w:rPr>
        <w:rtl/>
      </w:rPr>
    </w:pPr>
  </w:p>
  <w:p w:rsidR="00B14302" w:rsidRDefault="00DF6A0A" w:rsidP="004E71DD">
    <w:pPr>
      <w:pStyle w:val="a4"/>
      <w:rPr>
        <w:rtl/>
      </w:rPr>
    </w:pPr>
    <w:r w:rsidRPr="006637B9">
      <w:rPr>
        <w:rFonts w:ascii="Tahoma" w:hAnsi="Tahoma" w:cs="Tahoma"/>
        <w:noProof/>
        <w:color w:val="002060"/>
        <w:sz w:val="18"/>
        <w:szCs w:val="18"/>
      </w:rPr>
      <mc:AlternateContent>
        <mc:Choice Requires="wps">
          <w:drawing>
            <wp:anchor distT="0" distB="0" distL="114300" distR="114300" simplePos="0" relativeHeight="251679744" behindDoc="0" locked="0" layoutInCell="1" allowOverlap="1">
              <wp:simplePos x="0" y="0"/>
              <wp:positionH relativeFrom="column">
                <wp:posOffset>-215265</wp:posOffset>
              </wp:positionH>
              <wp:positionV relativeFrom="paragraph">
                <wp:posOffset>212188</wp:posOffset>
              </wp:positionV>
              <wp:extent cx="4639945" cy="207010"/>
              <wp:effectExtent l="0" t="0" r="0" b="0"/>
              <wp:wrapSquare wrapText="bothSides"/>
              <wp:docPr id="4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207010"/>
                      </a:xfrm>
                      <a:prstGeom prst="rect">
                        <a:avLst/>
                      </a:prstGeom>
                      <a:solidFill>
                        <a:srgbClr val="FFFFFF"/>
                      </a:solidFill>
                      <a:ln w="9525">
                        <a:noFill/>
                        <a:miter lim="800000"/>
                        <a:headEnd/>
                        <a:tailEnd/>
                      </a:ln>
                    </wps:spPr>
                    <wps:txbx>
                      <w:txbxContent>
                        <w:p w:rsidR="00B14302" w:rsidRPr="00447427" w:rsidRDefault="00DF6A0A" w:rsidP="004E71DD">
                          <w:pPr>
                            <w:pStyle w:val="1"/>
                            <w:spacing w:line="269" w:lineRule="auto"/>
                            <w:jc w:val="left"/>
                            <w:rPr>
                              <w:rFonts w:ascii="Tahoma" w:eastAsiaTheme="minorHAnsi" w:hAnsi="Tahoma" w:cs="Tahoma"/>
                              <w:bCs w:val="0"/>
                              <w:color w:val="0D0D0D" w:themeColor="text1" w:themeTint="F2"/>
                              <w:spacing w:val="-2"/>
                              <w:sz w:val="16"/>
                              <w:szCs w:val="16"/>
                              <w:u w:val="none"/>
                            </w:rPr>
                          </w:pPr>
                          <w:r w:rsidRPr="00447427">
                            <w:rPr>
                              <w:rFonts w:ascii="Tahoma" w:eastAsiaTheme="minorHAnsi" w:hAnsi="Tahoma" w:cs="Tahoma"/>
                              <w:bCs w:val="0"/>
                              <w:color w:val="0D0D0D" w:themeColor="text1" w:themeTint="F2"/>
                              <w:spacing w:val="-2"/>
                              <w:sz w:val="16"/>
                              <w:szCs w:val="16"/>
                              <w:u w:val="none"/>
                              <w:rtl/>
                            </w:rPr>
                            <w:t>הנגשת שירותי ממשל בעידן הדיגיטלי לאנשים עם מוגבלות ולציבור שאינו משתמש במדיה הדיגיטלית</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9" type="#_x0000_t202" style="width:365.35pt;height:16.3pt;margin-top:16.7pt;margin-left:-16.95pt;mso-height-percent:0;mso-height-relative:margin;mso-width-percent:0;mso-width-relative:margin;mso-wrap-distance-bottom:0;mso-wrap-distance-left:9pt;mso-wrap-distance-right:9pt;mso-wrap-distance-top:0;mso-wrap-style:square;position:absolute;visibility:visible;v-text-anchor:top;z-index:251680768" stroked="f">
              <v:textbox>
                <w:txbxContent>
                  <w:p w:rsidR="00B14302" w:rsidRPr="00447427" w:rsidP="004E71DD">
                    <w:pPr>
                      <w:pStyle w:val="Heading1"/>
                      <w:spacing w:line="269" w:lineRule="auto"/>
                      <w:jc w:val="left"/>
                      <w:rPr>
                        <w:rFonts w:ascii="Tahoma" w:hAnsi="Tahoma" w:eastAsiaTheme="minorHAnsi" w:cs="Tahoma"/>
                        <w:bCs w:val="0"/>
                        <w:color w:val="0D0D0D" w:themeColor="text1" w:themeTint="F2"/>
                        <w:spacing w:val="-2"/>
                        <w:sz w:val="16"/>
                        <w:szCs w:val="16"/>
                        <w:u w:val="none"/>
                      </w:rPr>
                    </w:pPr>
                    <w:r w:rsidRPr="00447427">
                      <w:rPr>
                        <w:rFonts w:ascii="Tahoma" w:hAnsi="Tahoma" w:eastAsiaTheme="minorHAnsi" w:cs="Tahoma"/>
                        <w:bCs w:val="0"/>
                        <w:color w:val="0D0D0D" w:themeColor="text1" w:themeTint="F2"/>
                        <w:spacing w:val="-2"/>
                        <w:sz w:val="16"/>
                        <w:szCs w:val="16"/>
                        <w:u w:val="none"/>
                        <w:rtl/>
                      </w:rPr>
                      <w:t>הנגשת שירותי ממשל בעידן הדיגיטלי לאנשים עם מוגבלות ולציבור שאינו משתמש במדיה הדיגיטלית</w:t>
                    </w:r>
                  </w:p>
                </w:txbxContent>
              </v:textbox>
              <w10:wrap type="square"/>
            </v:shape>
          </w:pict>
        </mc:Fallback>
      </mc:AlternateContent>
    </w:r>
  </w:p>
  <w:p w:rsidR="00B14302" w:rsidRDefault="00DF6A0A" w:rsidP="004E71DD">
    <w:pPr>
      <w:pStyle w:val="a4"/>
      <w:rPr>
        <w:rtl/>
      </w:rPr>
    </w:pPr>
    <w:r>
      <w:rPr>
        <w:noProof/>
      </w:rPr>
      <mc:AlternateContent>
        <mc:Choice Requires="wps">
          <w:drawing>
            <wp:anchor distT="0" distB="0" distL="114300" distR="114300" simplePos="0" relativeHeight="251677696" behindDoc="0" locked="0" layoutInCell="1" allowOverlap="1">
              <wp:simplePos x="0" y="0"/>
              <wp:positionH relativeFrom="column">
                <wp:posOffset>-1392555</wp:posOffset>
              </wp:positionH>
              <wp:positionV relativeFrom="paragraph">
                <wp:posOffset>375285</wp:posOffset>
              </wp:positionV>
              <wp:extent cx="6065520" cy="0"/>
              <wp:effectExtent l="0" t="0" r="17780" b="12700"/>
              <wp:wrapNone/>
              <wp:docPr id="47" name="Straight Connector 34"/>
              <wp:cNvGraphicFramePr/>
              <a:graphic xmlns:a="http://schemas.openxmlformats.org/drawingml/2006/main">
                <a:graphicData uri="http://schemas.microsoft.com/office/word/2010/wordprocessingShape">
                  <wps:wsp>
                    <wps:cNvCnPr/>
                    <wps:spPr>
                      <a:xfrm flipH="1">
                        <a:off x="0" y="0"/>
                        <a:ext cx="6065520"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4" o:spid="_x0000_s2060" style="flip:x;mso-height-percent:0;mso-height-relative:margin;mso-width-percent:0;mso-width-relative:margin;mso-wrap-distance-bottom:0;mso-wrap-distance-left:9pt;mso-wrap-distance-right:9pt;mso-wrap-distance-top:0;mso-wrap-style:square;position:absolute;visibility:visible;z-index:251678720" from="-109.65pt,29.55pt" to="367.95pt,29.55pt" strokecolor="#0d0d0d" strokeweight="0.25pt"/>
          </w:pict>
        </mc:Fallback>
      </mc:AlternateContent>
    </w:r>
    <w:r>
      <w:rPr>
        <w:rFonts w:ascii="Tahoma" w:hAnsi="Tahoma" w:cs="Tahoma"/>
        <w:noProof/>
        <w:color w:val="002060"/>
        <w:sz w:val="18"/>
        <w:szCs w:val="18"/>
      </w:rPr>
      <w:drawing>
        <wp:anchor distT="0" distB="0" distL="114300" distR="114300" simplePos="0" relativeHeight="251681792" behindDoc="0" locked="0" layoutInCell="1" allowOverlap="1">
          <wp:simplePos x="0" y="0"/>
          <wp:positionH relativeFrom="column">
            <wp:posOffset>4423410</wp:posOffset>
          </wp:positionH>
          <wp:positionV relativeFrom="paragraph">
            <wp:posOffset>19518</wp:posOffset>
          </wp:positionV>
          <wp:extent cx="248285" cy="298450"/>
          <wp:effectExtent l="0" t="0" r="5715" b="6350"/>
          <wp:wrapNone/>
          <wp:docPr id="48"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pic:cNvPicPr/>
                </pic:nvPicPr>
                <pic:blipFill>
                  <a:blip r:embed="rId1">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8285" cy="298450"/>
                  </a:xfrm>
                  <a:prstGeom prst="rect">
                    <a:avLst/>
                  </a:prstGeom>
                </pic:spPr>
              </pic:pic>
            </a:graphicData>
          </a:graphic>
          <wp14:sizeRelH relativeFrom="margin">
            <wp14:pctWidth>0</wp14:pctWidth>
          </wp14:sizeRelH>
          <wp14:sizeRelV relativeFrom="margin">
            <wp14:pctHeight>0</wp14:pctHeight>
          </wp14:sizeRelV>
        </wp:anchor>
      </w:drawing>
    </w:r>
  </w:p>
  <w:p w:rsidR="00B14302" w:rsidRPr="004E71DD" w:rsidRDefault="00B14302" w:rsidP="004E71DD">
    <w:pPr>
      <w:pStyle w:val="a4"/>
      <w:rPr>
        <w:szCs w:val="20"/>
        <w:rt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14302" w:rsidRDefault="00DF6A0A" w:rsidP="001526AC">
    <w:pPr>
      <w:pStyle w:val="a4"/>
      <w:tabs>
        <w:tab w:val="clear" w:pos="4153"/>
        <w:tab w:val="clear" w:pos="8306"/>
        <w:tab w:val="left" w:pos="493"/>
        <w:tab w:val="center" w:pos="4111"/>
        <w:tab w:val="right" w:pos="7478"/>
        <w:tab w:val="right" w:pos="8222"/>
      </w:tabs>
      <w:jc w:val="left"/>
      <w:rPr>
        <w:rtl/>
      </w:rPr>
    </w:pPr>
    <w:r>
      <w:rPr>
        <w:noProof/>
      </w:rPr>
      <mc:AlternateContent>
        <mc:Choice Requires="wps">
          <w:drawing>
            <wp:anchor distT="0" distB="0" distL="114300" distR="114300" simplePos="0" relativeHeight="251686912" behindDoc="0" locked="0" layoutInCell="1" allowOverlap="1">
              <wp:simplePos x="0" y="0"/>
              <wp:positionH relativeFrom="column">
                <wp:posOffset>-714375</wp:posOffset>
              </wp:positionH>
              <wp:positionV relativeFrom="paragraph">
                <wp:posOffset>-728980</wp:posOffset>
              </wp:positionV>
              <wp:extent cx="304800" cy="8144510"/>
              <wp:effectExtent l="0" t="0" r="12700" b="8890"/>
              <wp:wrapSquare wrapText="bothSides"/>
              <wp:docPr id="60"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8144510"/>
                      </a:xfrm>
                      <a:prstGeom prst="rect">
                        <a:avLst/>
                      </a:prstGeom>
                      <a:solidFill>
                        <a:srgbClr val="00305F"/>
                      </a:solidFill>
                      <a:ln>
                        <a:solidFill>
                          <a:srgbClr val="00305F"/>
                        </a:solidFill>
                      </a:ln>
                    </wps:spPr>
                    <wps:txbx>
                      <w:txbxContent>
                        <w:p w:rsidR="00B14302" w:rsidRPr="009B7D1B" w:rsidRDefault="00DF6A0A" w:rsidP="00447427">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447427">
                            <w:rPr>
                              <w:rFonts w:ascii="Tahoma" w:hAnsi="Tahoma" w:cs="Tahoma"/>
                              <w:b/>
                              <w:bCs/>
                              <w:sz w:val="20"/>
                              <w:szCs w:val="20"/>
                              <w:rtl/>
                            </w:rPr>
                            <w:t>הנגשת שירותי ממשל בעידן הדיגיטלי לאנשים עם מוגבלות ולציבור שאינו משתמש במדיה הדיגיטלית</w:t>
                          </w:r>
                        </w:p>
                      </w:txbxContent>
                    </wps:txbx>
                    <wps:bodyPr rot="0" vert="vert270"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1" type="#_x0000_t202" style="width:24pt;height:641.3pt;margin-top:-57.4pt;margin-left:-56.25pt;mso-height-percent:0;mso-height-relative:margin;mso-width-percent:0;mso-width-relative:margin;mso-wrap-distance-bottom:0;mso-wrap-distance-left:9pt;mso-wrap-distance-right:9pt;mso-wrap-distance-top:0;mso-wrap-style:square;position:absolute;visibility:visible;v-text-anchor:top;z-index:251687936" fillcolor="#00305f" strokecolor="#00305f">
              <v:textbox style="layout-flow:vertical;mso-layout-flow-alt:bottom-to-top" inset="0,0,0,0">
                <w:txbxContent>
                  <w:p w:rsidR="00B14302" w:rsidRPr="009B7D1B" w:rsidP="00447427">
                    <w:pPr>
                      <w:pStyle w:val="Bodytext70"/>
                      <w:shd w:val="clear" w:color="auto" w:fill="003060"/>
                      <w:rPr>
                        <w:rFonts w:ascii="Tahoma" w:hAnsi="Tahoma" w:cs="Tahoma"/>
                        <w:b/>
                        <w:bCs/>
                        <w:rtl/>
                      </w:rPr>
                    </w:pPr>
                    <w:r>
                      <w:rPr>
                        <w:rStyle w:val="Bodytext7NotBoldExact"/>
                        <w:rFonts w:hint="cs"/>
                        <w:rtl/>
                      </w:rPr>
                      <w:t>....ה</w:t>
                    </w:r>
                    <w:r>
                      <w:rPr>
                        <w:rFonts w:hint="cs"/>
                        <w:rtl/>
                      </w:rPr>
                      <w:t xml:space="preserve">                                        </w:t>
                    </w:r>
                    <w:r>
                      <w:rPr>
                        <w:rFonts w:ascii="Tahoma" w:hAnsi="Tahoma" w:cs="Tahoma" w:hint="cs"/>
                        <w:sz w:val="24"/>
                        <w:szCs w:val="24"/>
                        <w:rtl/>
                      </w:rPr>
                      <w:t xml:space="preserve">   </w:t>
                    </w:r>
                    <w:r w:rsidRPr="00565F1B">
                      <w:rPr>
                        <w:rFonts w:ascii="Tahoma" w:hAnsi="Tahoma" w:cs="Tahoma" w:hint="cs"/>
                        <w:rtl/>
                      </w:rPr>
                      <w:t>|</w:t>
                    </w:r>
                    <w:r w:rsidRPr="00565F1B">
                      <w:rPr>
                        <w:rFonts w:ascii="Tahoma" w:hAnsi="Tahoma" w:cs="Tahoma" w:hint="cs"/>
                        <w:sz w:val="24"/>
                        <w:szCs w:val="24"/>
                        <w:rtl/>
                      </w:rPr>
                      <w:t xml:space="preserve"> </w:t>
                    </w:r>
                    <w:r w:rsidRPr="00565F1B">
                      <w:rPr>
                        <w:rFonts w:ascii="Tahoma" w:hAnsi="Tahoma" w:cs="Tahoma" w:hint="cs"/>
                        <w:rtl/>
                      </w:rPr>
                      <w:t xml:space="preserve"> </w:t>
                    </w:r>
                    <w:r w:rsidRPr="00447427">
                      <w:rPr>
                        <w:rFonts w:ascii="Tahoma" w:hAnsi="Tahoma" w:cs="Tahoma"/>
                        <w:b/>
                        <w:bCs/>
                        <w:sz w:val="20"/>
                        <w:szCs w:val="20"/>
                        <w:rtl/>
                      </w:rPr>
                      <w:t>הנגשת שירותי ממשל בעידן הדיגיטלי לאנשים עם מוגבלות ולציבור שאינו משתמש במדיה הדיגיטלית</w:t>
                    </w:r>
                  </w:p>
                </w:txbxContent>
              </v:textbox>
              <w10:wrap type="square"/>
            </v:shape>
          </w:pict>
        </mc:Fallback>
      </mc:AlternateContent>
    </w:r>
    <w:r>
      <w:rPr>
        <w:noProof/>
        <w:rtl/>
        <w:lang w:val="he-IL"/>
      </w:rPr>
      <mc:AlternateContent>
        <mc:Choice Requires="wps">
          <w:drawing>
            <wp:anchor distT="0" distB="0" distL="114300" distR="114300" simplePos="0" relativeHeight="251689984" behindDoc="1" locked="0" layoutInCell="1" allowOverlap="1">
              <wp:simplePos x="0" y="0"/>
              <wp:positionH relativeFrom="margin">
                <wp:posOffset>-955675</wp:posOffset>
              </wp:positionH>
              <wp:positionV relativeFrom="margin">
                <wp:posOffset>-1052830</wp:posOffset>
              </wp:positionV>
              <wp:extent cx="6480000" cy="9000000"/>
              <wp:effectExtent l="0" t="0" r="16510" b="10795"/>
              <wp:wrapNone/>
              <wp:docPr id="59" name="Text Box 53"/>
              <wp:cNvGraphicFramePr/>
              <a:graphic xmlns:a="http://schemas.openxmlformats.org/drawingml/2006/main">
                <a:graphicData uri="http://schemas.microsoft.com/office/word/2010/wordprocessingShape">
                  <wps:wsp>
                    <wps:cNvSpPr txBox="1"/>
                    <wps:spPr>
                      <a:xfrm>
                        <a:off x="0" y="0"/>
                        <a:ext cx="6480000" cy="9000000"/>
                      </a:xfrm>
                      <a:prstGeom prst="rect">
                        <a:avLst/>
                      </a:prstGeom>
                      <a:noFill/>
                      <a:ln w="3175">
                        <a:solidFill>
                          <a:schemeClr val="bg1">
                            <a:lumMod val="65000"/>
                          </a:schemeClr>
                        </a:solidFill>
                        <a:prstDash val="lgDash"/>
                      </a:ln>
                    </wps:spPr>
                    <wps:txbx>
                      <w:txbxContent>
                        <w:p w:rsidR="00B14302" w:rsidRPr="00FD02CC" w:rsidRDefault="00B14302" w:rsidP="006E67D8">
                          <w:pPr>
                            <w:rPr>
                              <w:color w:val="FFFFFF" w:themeColor="background1"/>
                              <w14:textOutline w14:w="19050" w14:cap="rnd" w14:cmpd="dbl" w14:algn="ctr">
                                <w14:solidFill>
                                  <w14:schemeClr w14:val="bg1">
                                    <w14:lumMod w14:val="65000"/>
                                  </w14:schemeClr>
                                </w14:solidFill>
                                <w14:prstDash w14:val="dash"/>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2062" type="#_x0000_t202" style="width:510.25pt;height:708.65pt;margin-top:-82.9pt;margin-left:-75.25pt;mso-height-percent:0;mso-height-relative:margin;mso-position-horizontal-relative:margin;mso-position-vertical-relative:margin;mso-width-percent:0;mso-width-relative:margin;mso-wrap-distance-bottom:0;mso-wrap-distance-left:9pt;mso-wrap-distance-right:9pt;mso-wrap-distance-top:0;mso-wrap-style:square;position:absolute;visibility:visible;v-text-anchor:top;z-index:-251625472" filled="f" strokecolor="#a5a5a5" strokeweight="0.25pt">
              <v:stroke dashstyle="longDash"/>
              <v:textbox>
                <w:txbxContent>
                  <w:p w:rsidR="00E97614" w:rsidRPr="00FD02CC" w:rsidP="006E67D8">
                    <w:pPr>
                      <w:rPr>
                        <w:color w:val="FFFFFF" w:themeColor="background1"/>
                        <w14:textOutline w14:w="19050" w14:cap="rnd" w14:cmpd="dbl">
                          <w14:solidFill>
                            <w14:schemeClr w14:val="bg1">
                              <w14:lumMod w14:val="65000"/>
                            </w14:schemeClr>
                          </w14:solidFill>
                          <w14:prstDash w14:val="dash"/>
                          <w14:bevel/>
                        </w14:textOutline>
                      </w:rPr>
                    </w:pPr>
                  </w:p>
                </w:txbxContent>
              </v:textbox>
              <w10:wrap anchorx="margin" anchory="margin"/>
            </v:shape>
          </w:pict>
        </mc:Fallback>
      </mc:AlternateContent>
    </w:r>
  </w:p>
  <w:p w:rsidR="00B14302" w:rsidRDefault="00B14302" w:rsidP="001526AC">
    <w:pPr>
      <w:pStyle w:val="a4"/>
      <w:tabs>
        <w:tab w:val="clear" w:pos="4153"/>
        <w:tab w:val="clear" w:pos="8306"/>
        <w:tab w:val="left" w:pos="493"/>
        <w:tab w:val="center" w:pos="4111"/>
        <w:tab w:val="right" w:pos="7478"/>
        <w:tab w:val="right" w:pos="8222"/>
      </w:tabs>
      <w:jc w:val="left"/>
      <w:rPr>
        <w:rtl/>
      </w:rPr>
    </w:pPr>
  </w:p>
  <w:p w:rsidR="00B14302" w:rsidRPr="001526AC" w:rsidRDefault="00DF6A0A" w:rsidP="00005B23">
    <w:pPr>
      <w:pStyle w:val="a4"/>
      <w:tabs>
        <w:tab w:val="clear" w:pos="4153"/>
        <w:tab w:val="clear" w:pos="8306"/>
        <w:tab w:val="left" w:pos="493"/>
        <w:tab w:val="center" w:pos="4111"/>
        <w:tab w:val="right" w:pos="7478"/>
        <w:tab w:val="right" w:pos="8222"/>
      </w:tabs>
      <w:jc w:val="left"/>
      <w:rPr>
        <w:rtl/>
      </w:rPr>
    </w:pPr>
    <w:r w:rsidRPr="00BB30F3">
      <w:rPr>
        <w:rFonts w:ascii="Tahoma" w:hAnsi="Tahoma" w:cs="Tahoma"/>
        <w:noProof/>
        <w:color w:val="002060"/>
        <w:sz w:val="18"/>
        <w:szCs w:val="18"/>
      </w:rPr>
      <mc:AlternateContent>
        <mc:Choice Requires="wps">
          <w:drawing>
            <wp:anchor distT="45720" distB="45720" distL="114300" distR="114300" simplePos="0" relativeHeight="251682816" behindDoc="0" locked="0" layoutInCell="1" allowOverlap="1">
              <wp:simplePos x="0" y="0"/>
              <wp:positionH relativeFrom="column">
                <wp:posOffset>271888</wp:posOffset>
              </wp:positionH>
              <wp:positionV relativeFrom="paragraph">
                <wp:posOffset>351790</wp:posOffset>
              </wp:positionV>
              <wp:extent cx="4459740" cy="295509"/>
              <wp:effectExtent l="0" t="0" r="10795" b="9525"/>
              <wp:wrapNone/>
              <wp:docPr id="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9740" cy="295509"/>
                      </a:xfrm>
                      <a:prstGeom prst="rect">
                        <a:avLst/>
                      </a:prstGeom>
                      <a:solidFill>
                        <a:srgbClr val="FFFFFF"/>
                      </a:solidFill>
                      <a:ln w="9525">
                        <a:solidFill>
                          <a:schemeClr val="bg1"/>
                        </a:solidFill>
                        <a:miter lim="800000"/>
                        <a:headEnd/>
                        <a:tailEnd/>
                      </a:ln>
                    </wps:spPr>
                    <wps:txbx>
                      <w:txbxContent>
                        <w:p w:rsidR="00B14302" w:rsidRPr="00136A3E" w:rsidRDefault="00DF6A0A" w:rsidP="006D7F1E">
                          <w:pPr>
                            <w:jc w:val="right"/>
                            <w:rPr>
                              <w:color w:val="0D0D0D" w:themeColor="text1" w:themeTint="F2"/>
                              <w:sz w:val="16"/>
                              <w:szCs w:val="16"/>
                            </w:rPr>
                          </w:pPr>
                          <w:r w:rsidRPr="00412552">
                            <w:rPr>
                              <w:rFonts w:ascii="Tahoma" w:hAnsi="Tahoma" w:cs="Tahoma"/>
                              <w:color w:val="0D0D0D"/>
                              <w:sz w:val="16"/>
                              <w:szCs w:val="16"/>
                              <w:rtl/>
                            </w:rPr>
                            <w:t>דוח מבקר המדינה</w:t>
                          </w:r>
                          <w:r>
                            <w:rPr>
                              <w:rFonts w:ascii="Tahoma" w:hAnsi="Tahoma" w:cs="Tahoma" w:hint="cs"/>
                              <w:color w:val="0D0D0D"/>
                              <w:sz w:val="16"/>
                              <w:szCs w:val="16"/>
                              <w:rtl/>
                            </w:rPr>
                            <w:t xml:space="preserve"> -</w:t>
                          </w:r>
                          <w:r w:rsidRPr="00412552">
                            <w:rPr>
                              <w:rFonts w:ascii="Tahoma" w:hAnsi="Tahoma" w:cs="Tahoma"/>
                              <w:color w:val="0D0D0D"/>
                              <w:sz w:val="16"/>
                              <w:szCs w:val="16"/>
                              <w:rtl/>
                            </w:rPr>
                            <w:t xml:space="preserve"> סייבר ומערכות מידע | אייר התשפ"</w:t>
                          </w:r>
                          <w:r w:rsidRPr="00412552">
                            <w:rPr>
                              <w:rFonts w:ascii="Tahoma" w:hAnsi="Tahoma" w:cs="Tahoma"/>
                              <w:color w:val="0D0D0D"/>
                              <w:sz w:val="16"/>
                              <w:szCs w:val="16"/>
                              <w:rtl/>
                            </w:rPr>
                            <w:t>ג | מאי 2023</w:t>
                          </w:r>
                        </w:p>
                        <w:p w:rsidR="00B14302" w:rsidRPr="006D7F1E" w:rsidRDefault="00B14302" w:rsidP="00B244B0">
                          <w:pPr>
                            <w:jc w:val="right"/>
                            <w:rPr>
                              <w:color w:val="0D0D0D" w:themeColor="text1" w:themeTint="F2"/>
                              <w:sz w:val="16"/>
                              <w:szCs w:val="16"/>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3" type="#_x0000_t202" style="width:351.15pt;height:23.25pt;margin-top:27.7pt;margin-left:21.4pt;mso-height-percent:0;mso-height-relative:margin;mso-width-percent:0;mso-width-relative:margin;mso-wrap-distance-bottom:3.6pt;mso-wrap-distance-left:9pt;mso-wrap-distance-right:9pt;mso-wrap-distance-top:3.6pt;mso-wrap-style:square;position:absolute;visibility:visible;v-text-anchor:top;z-index:251683840" strokecolor="white">
              <v:textbox>
                <w:txbxContent>
                  <w:p w:rsidR="00B14302" w:rsidRPr="00136A3E" w:rsidP="006D7F1E">
                    <w:pPr>
                      <w:jc w:val="right"/>
                      <w:rPr>
                        <w:color w:val="0D0D0D" w:themeColor="text1" w:themeTint="F2"/>
                        <w:sz w:val="16"/>
                        <w:szCs w:val="16"/>
                      </w:rPr>
                    </w:pPr>
                    <w:r w:rsidRPr="00412552">
                      <w:rPr>
                        <w:rFonts w:ascii="Tahoma" w:hAnsi="Tahoma" w:cs="Tahoma"/>
                        <w:color w:val="0D0D0D"/>
                        <w:sz w:val="16"/>
                        <w:szCs w:val="16"/>
                        <w:rtl/>
                      </w:rPr>
                      <w:t>דוח מבקר המדינה</w:t>
                    </w:r>
                    <w:r>
                      <w:rPr>
                        <w:rFonts w:ascii="Tahoma" w:hAnsi="Tahoma" w:cs="Tahoma" w:hint="cs"/>
                        <w:color w:val="0D0D0D"/>
                        <w:sz w:val="16"/>
                        <w:szCs w:val="16"/>
                        <w:rtl/>
                      </w:rPr>
                      <w:t xml:space="preserve"> -</w:t>
                    </w:r>
                    <w:r w:rsidRPr="00412552">
                      <w:rPr>
                        <w:rFonts w:ascii="Tahoma" w:hAnsi="Tahoma" w:cs="Tahoma"/>
                        <w:color w:val="0D0D0D"/>
                        <w:sz w:val="16"/>
                        <w:szCs w:val="16"/>
                        <w:rtl/>
                      </w:rPr>
                      <w:t xml:space="preserve"> סייבר ומערכות מידע | אייר התשפ"ג | מאי 2023</w:t>
                    </w:r>
                  </w:p>
                  <w:p w:rsidR="00B14302" w:rsidRPr="006D7F1E" w:rsidP="00B244B0">
                    <w:pPr>
                      <w:jc w:val="right"/>
                      <w:rPr>
                        <w:color w:val="0D0D0D" w:themeColor="text1" w:themeTint="F2"/>
                        <w:sz w:val="16"/>
                        <w:szCs w:val="16"/>
                      </w:rPr>
                    </w:pPr>
                  </w:p>
                </w:txbxContent>
              </v:textbox>
            </v:shape>
          </w:pict>
        </mc:Fallback>
      </mc:AlternateContent>
    </w:r>
    <w:r>
      <w:rPr>
        <w:rFonts w:ascii="Tahoma" w:hAnsi="Tahoma" w:cs="Tahoma"/>
        <w:noProof/>
        <w:sz w:val="22"/>
        <w:szCs w:val="22"/>
        <w:rtl/>
        <w:lang w:val="he-IL"/>
      </w:rPr>
      <w:drawing>
        <wp:anchor distT="0" distB="0" distL="114300" distR="114300" simplePos="0" relativeHeight="251688960" behindDoc="0" locked="0" layoutInCell="1" allowOverlap="1">
          <wp:simplePos x="0" y="0"/>
          <wp:positionH relativeFrom="column">
            <wp:posOffset>-59055</wp:posOffset>
          </wp:positionH>
          <wp:positionV relativeFrom="paragraph">
            <wp:posOffset>345440</wp:posOffset>
          </wp:positionV>
          <wp:extent cx="343535" cy="240030"/>
          <wp:effectExtent l="0" t="0" r="0" b="7620"/>
          <wp:wrapSquare wrapText="bothSides"/>
          <wp:docPr id="1113575872"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75872" name="Picture 10"/>
                  <pic:cNvPicPr/>
                </pic:nvPicPr>
                <pic:blipFill>
                  <a:blip r:embed="rId1" cstate="print">
                    <a:extLst>
                      <a:ext uri="{28A0092B-C50C-407E-A947-70E740481C1C}">
                        <a14:useLocalDpi xmlns:a14="http://schemas.microsoft.com/office/drawing/2010/main" val="0"/>
                      </a:ext>
                    </a:extLst>
                  </a:blip>
                  <a:stretch>
                    <a:fillRect/>
                  </a:stretch>
                </pic:blipFill>
                <pic:spPr>
                  <a:xfrm>
                    <a:off x="0" y="0"/>
                    <a:ext cx="343535" cy="24003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1" allowOverlap="1">
              <wp:simplePos x="0" y="0"/>
              <wp:positionH relativeFrom="column">
                <wp:posOffset>-55880</wp:posOffset>
              </wp:positionH>
              <wp:positionV relativeFrom="paragraph">
                <wp:posOffset>640080</wp:posOffset>
              </wp:positionV>
              <wp:extent cx="6721475" cy="0"/>
              <wp:effectExtent l="0" t="0" r="0" b="0"/>
              <wp:wrapNone/>
              <wp:docPr id="62" name="Straight Connector 634"/>
              <wp:cNvGraphicFramePr/>
              <a:graphic xmlns:a="http://schemas.openxmlformats.org/drawingml/2006/main">
                <a:graphicData uri="http://schemas.microsoft.com/office/word/2010/wordprocessingShape">
                  <wps:wsp>
                    <wps:cNvCnPr/>
                    <wps:spPr>
                      <a:xfrm flipH="1">
                        <a:off x="0" y="0"/>
                        <a:ext cx="6721475" cy="0"/>
                      </a:xfrm>
                      <a:prstGeom prst="line">
                        <a:avLst/>
                      </a:prstGeom>
                      <a:ln w="317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4" o:spid="_x0000_s2064" style="flip:x;mso-height-percent:0;mso-height-relative:margin;mso-width-percent:0;mso-width-relative:margin;mso-wrap-distance-bottom:0;mso-wrap-distance-left:9pt;mso-wrap-distance-right:9pt;mso-wrap-distance-top:0;mso-wrap-style:square;position:absolute;visibility:visible;z-index:251685888" from="-4.4pt,50.4pt" to="524.85pt,50.4pt" strokecolor="#0d0d0d" strokeweight="0.2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02E10D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447C04"/>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07744A4E"/>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F4E4699C"/>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F676B5A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5470E8A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3461EBA"/>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09D8FF26"/>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459786E"/>
    <w:multiLevelType w:val="hybridMultilevel"/>
    <w:tmpl w:val="08BC7CA8"/>
    <w:lvl w:ilvl="0" w:tplc="2B64F3D0">
      <w:start w:val="1"/>
      <w:numFmt w:val="hebrew1"/>
      <w:lvlText w:val="%1."/>
      <w:lvlJc w:val="center"/>
      <w:pPr>
        <w:ind w:left="794" w:hanging="397"/>
      </w:pPr>
      <w:rPr>
        <w:rFonts w:hint="default"/>
        <w:b w:val="0"/>
        <w:bCs w:val="0"/>
      </w:rPr>
    </w:lvl>
    <w:lvl w:ilvl="1" w:tplc="056C4370" w:tentative="1">
      <w:start w:val="1"/>
      <w:numFmt w:val="lowerLetter"/>
      <w:lvlText w:val="%2."/>
      <w:lvlJc w:val="left"/>
      <w:pPr>
        <w:ind w:left="1837" w:hanging="360"/>
      </w:pPr>
    </w:lvl>
    <w:lvl w:ilvl="2" w:tplc="9EB879FA" w:tentative="1">
      <w:start w:val="1"/>
      <w:numFmt w:val="lowerRoman"/>
      <w:lvlText w:val="%3."/>
      <w:lvlJc w:val="right"/>
      <w:pPr>
        <w:ind w:left="2557" w:hanging="180"/>
      </w:pPr>
    </w:lvl>
    <w:lvl w:ilvl="3" w:tplc="EC9A6D86" w:tentative="1">
      <w:start w:val="1"/>
      <w:numFmt w:val="decimal"/>
      <w:lvlText w:val="%4."/>
      <w:lvlJc w:val="left"/>
      <w:pPr>
        <w:ind w:left="3277" w:hanging="360"/>
      </w:pPr>
    </w:lvl>
    <w:lvl w:ilvl="4" w:tplc="09D21F7C" w:tentative="1">
      <w:start w:val="1"/>
      <w:numFmt w:val="lowerLetter"/>
      <w:lvlText w:val="%5."/>
      <w:lvlJc w:val="left"/>
      <w:pPr>
        <w:ind w:left="3997" w:hanging="360"/>
      </w:pPr>
    </w:lvl>
    <w:lvl w:ilvl="5" w:tplc="214E1FFE" w:tentative="1">
      <w:start w:val="1"/>
      <w:numFmt w:val="lowerRoman"/>
      <w:lvlText w:val="%6."/>
      <w:lvlJc w:val="right"/>
      <w:pPr>
        <w:ind w:left="4717" w:hanging="180"/>
      </w:pPr>
    </w:lvl>
    <w:lvl w:ilvl="6" w:tplc="A5005B02" w:tentative="1">
      <w:start w:val="1"/>
      <w:numFmt w:val="decimal"/>
      <w:lvlText w:val="%7."/>
      <w:lvlJc w:val="left"/>
      <w:pPr>
        <w:ind w:left="5437" w:hanging="360"/>
      </w:pPr>
    </w:lvl>
    <w:lvl w:ilvl="7" w:tplc="F786740A" w:tentative="1">
      <w:start w:val="1"/>
      <w:numFmt w:val="lowerLetter"/>
      <w:lvlText w:val="%8."/>
      <w:lvlJc w:val="left"/>
      <w:pPr>
        <w:ind w:left="6157" w:hanging="360"/>
      </w:pPr>
    </w:lvl>
    <w:lvl w:ilvl="8" w:tplc="07E09D80" w:tentative="1">
      <w:start w:val="1"/>
      <w:numFmt w:val="lowerRoman"/>
      <w:lvlText w:val="%9."/>
      <w:lvlJc w:val="right"/>
      <w:pPr>
        <w:ind w:left="6877" w:hanging="180"/>
      </w:pPr>
    </w:lvl>
  </w:abstractNum>
  <w:abstractNum w:abstractNumId="9" w15:restartNumberingAfterBreak="0">
    <w:nsid w:val="07C54509"/>
    <w:multiLevelType w:val="multilevel"/>
    <w:tmpl w:val="3030E6FC"/>
    <w:lvl w:ilvl="0">
      <w:start w:val="1"/>
      <w:numFmt w:val="decimal"/>
      <w:pStyle w:val="73"/>
      <w:lvlText w:val="%1."/>
      <w:lvlJc w:val="left"/>
      <w:pPr>
        <w:ind w:left="340" w:hanging="340"/>
      </w:pPr>
      <w:rPr>
        <w:rFonts w:hint="default"/>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10" w15:restartNumberingAfterBreak="0">
    <w:nsid w:val="0DDA1A01"/>
    <w:multiLevelType w:val="hybridMultilevel"/>
    <w:tmpl w:val="CD76C6BE"/>
    <w:lvl w:ilvl="0" w:tplc="F03CABEE">
      <w:start w:val="1"/>
      <w:numFmt w:val="bullet"/>
      <w:pStyle w:val="73BULLETS"/>
      <w:lvlText w:val=""/>
      <w:lvlJc w:val="left"/>
      <w:pPr>
        <w:ind w:left="720" w:hanging="360"/>
      </w:pPr>
      <w:rPr>
        <w:rFonts w:ascii="Symbol" w:hAnsi="Symbol" w:hint="default"/>
      </w:rPr>
    </w:lvl>
    <w:lvl w:ilvl="1" w:tplc="7A78F0BC" w:tentative="1">
      <w:start w:val="1"/>
      <w:numFmt w:val="bullet"/>
      <w:lvlText w:val="o"/>
      <w:lvlJc w:val="left"/>
      <w:pPr>
        <w:ind w:left="1440" w:hanging="360"/>
      </w:pPr>
      <w:rPr>
        <w:rFonts w:ascii="Courier New" w:hAnsi="Courier New" w:cs="Courier New" w:hint="default"/>
      </w:rPr>
    </w:lvl>
    <w:lvl w:ilvl="2" w:tplc="096E2498" w:tentative="1">
      <w:start w:val="1"/>
      <w:numFmt w:val="bullet"/>
      <w:lvlText w:val=""/>
      <w:lvlJc w:val="left"/>
      <w:pPr>
        <w:ind w:left="2160" w:hanging="360"/>
      </w:pPr>
      <w:rPr>
        <w:rFonts w:ascii="Wingdings" w:hAnsi="Wingdings" w:hint="default"/>
      </w:rPr>
    </w:lvl>
    <w:lvl w:ilvl="3" w:tplc="508C9490" w:tentative="1">
      <w:start w:val="1"/>
      <w:numFmt w:val="bullet"/>
      <w:lvlText w:val=""/>
      <w:lvlJc w:val="left"/>
      <w:pPr>
        <w:ind w:left="2880" w:hanging="360"/>
      </w:pPr>
      <w:rPr>
        <w:rFonts w:ascii="Symbol" w:hAnsi="Symbol" w:hint="default"/>
      </w:rPr>
    </w:lvl>
    <w:lvl w:ilvl="4" w:tplc="D1B21A70" w:tentative="1">
      <w:start w:val="1"/>
      <w:numFmt w:val="bullet"/>
      <w:lvlText w:val="o"/>
      <w:lvlJc w:val="left"/>
      <w:pPr>
        <w:ind w:left="3600" w:hanging="360"/>
      </w:pPr>
      <w:rPr>
        <w:rFonts w:ascii="Courier New" w:hAnsi="Courier New" w:cs="Courier New" w:hint="default"/>
      </w:rPr>
    </w:lvl>
    <w:lvl w:ilvl="5" w:tplc="C04A6DBC" w:tentative="1">
      <w:start w:val="1"/>
      <w:numFmt w:val="bullet"/>
      <w:lvlText w:val=""/>
      <w:lvlJc w:val="left"/>
      <w:pPr>
        <w:ind w:left="4320" w:hanging="360"/>
      </w:pPr>
      <w:rPr>
        <w:rFonts w:ascii="Wingdings" w:hAnsi="Wingdings" w:hint="default"/>
      </w:rPr>
    </w:lvl>
    <w:lvl w:ilvl="6" w:tplc="3B4E8B14" w:tentative="1">
      <w:start w:val="1"/>
      <w:numFmt w:val="bullet"/>
      <w:lvlText w:val=""/>
      <w:lvlJc w:val="left"/>
      <w:pPr>
        <w:ind w:left="5040" w:hanging="360"/>
      </w:pPr>
      <w:rPr>
        <w:rFonts w:ascii="Symbol" w:hAnsi="Symbol" w:hint="default"/>
      </w:rPr>
    </w:lvl>
    <w:lvl w:ilvl="7" w:tplc="E56AD5A8" w:tentative="1">
      <w:start w:val="1"/>
      <w:numFmt w:val="bullet"/>
      <w:lvlText w:val="o"/>
      <w:lvlJc w:val="left"/>
      <w:pPr>
        <w:ind w:left="5760" w:hanging="360"/>
      </w:pPr>
      <w:rPr>
        <w:rFonts w:ascii="Courier New" w:hAnsi="Courier New" w:cs="Courier New" w:hint="default"/>
      </w:rPr>
    </w:lvl>
    <w:lvl w:ilvl="8" w:tplc="2700A9C0" w:tentative="1">
      <w:start w:val="1"/>
      <w:numFmt w:val="bullet"/>
      <w:lvlText w:val=""/>
      <w:lvlJc w:val="left"/>
      <w:pPr>
        <w:ind w:left="6480" w:hanging="360"/>
      </w:pPr>
      <w:rPr>
        <w:rFonts w:ascii="Wingdings" w:hAnsi="Wingdings" w:hint="default"/>
      </w:rPr>
    </w:lvl>
  </w:abstractNum>
  <w:abstractNum w:abstractNumId="11" w15:restartNumberingAfterBreak="0">
    <w:nsid w:val="0E201A09"/>
    <w:multiLevelType w:val="hybridMultilevel"/>
    <w:tmpl w:val="459856BC"/>
    <w:lvl w:ilvl="0" w:tplc="18586580">
      <w:start w:val="1"/>
      <w:numFmt w:val="decimal"/>
      <w:lvlText w:val="%1."/>
      <w:lvlJc w:val="left"/>
      <w:pPr>
        <w:ind w:left="397" w:hanging="397"/>
      </w:pPr>
      <w:rPr>
        <w:rFonts w:hint="default"/>
      </w:rPr>
    </w:lvl>
    <w:lvl w:ilvl="1" w:tplc="7192724A" w:tentative="1">
      <w:start w:val="1"/>
      <w:numFmt w:val="lowerLetter"/>
      <w:lvlText w:val="%2."/>
      <w:lvlJc w:val="left"/>
      <w:pPr>
        <w:ind w:left="1440" w:hanging="360"/>
      </w:pPr>
    </w:lvl>
    <w:lvl w:ilvl="2" w:tplc="1BB65BC6" w:tentative="1">
      <w:start w:val="1"/>
      <w:numFmt w:val="lowerRoman"/>
      <w:lvlText w:val="%3."/>
      <w:lvlJc w:val="right"/>
      <w:pPr>
        <w:ind w:left="2160" w:hanging="180"/>
      </w:pPr>
    </w:lvl>
    <w:lvl w:ilvl="3" w:tplc="1FA8ED76" w:tentative="1">
      <w:start w:val="1"/>
      <w:numFmt w:val="decimal"/>
      <w:lvlText w:val="%4."/>
      <w:lvlJc w:val="left"/>
      <w:pPr>
        <w:ind w:left="2880" w:hanging="360"/>
      </w:pPr>
    </w:lvl>
    <w:lvl w:ilvl="4" w:tplc="7C067062" w:tentative="1">
      <w:start w:val="1"/>
      <w:numFmt w:val="lowerLetter"/>
      <w:lvlText w:val="%5."/>
      <w:lvlJc w:val="left"/>
      <w:pPr>
        <w:ind w:left="3600" w:hanging="360"/>
      </w:pPr>
    </w:lvl>
    <w:lvl w:ilvl="5" w:tplc="F060317C" w:tentative="1">
      <w:start w:val="1"/>
      <w:numFmt w:val="lowerRoman"/>
      <w:lvlText w:val="%6."/>
      <w:lvlJc w:val="right"/>
      <w:pPr>
        <w:ind w:left="4320" w:hanging="180"/>
      </w:pPr>
    </w:lvl>
    <w:lvl w:ilvl="6" w:tplc="E3BADB30" w:tentative="1">
      <w:start w:val="1"/>
      <w:numFmt w:val="decimal"/>
      <w:lvlText w:val="%7."/>
      <w:lvlJc w:val="left"/>
      <w:pPr>
        <w:ind w:left="5040" w:hanging="360"/>
      </w:pPr>
    </w:lvl>
    <w:lvl w:ilvl="7" w:tplc="81FE7798" w:tentative="1">
      <w:start w:val="1"/>
      <w:numFmt w:val="lowerLetter"/>
      <w:lvlText w:val="%8."/>
      <w:lvlJc w:val="left"/>
      <w:pPr>
        <w:ind w:left="5760" w:hanging="360"/>
      </w:pPr>
    </w:lvl>
    <w:lvl w:ilvl="8" w:tplc="6E30910E" w:tentative="1">
      <w:start w:val="1"/>
      <w:numFmt w:val="lowerRoman"/>
      <w:lvlText w:val="%9."/>
      <w:lvlJc w:val="right"/>
      <w:pPr>
        <w:ind w:left="6480" w:hanging="180"/>
      </w:pPr>
    </w:lvl>
  </w:abstractNum>
  <w:abstractNum w:abstractNumId="12" w15:restartNumberingAfterBreak="0">
    <w:nsid w:val="0F4F7218"/>
    <w:multiLevelType w:val="hybridMultilevel"/>
    <w:tmpl w:val="9E9EBD96"/>
    <w:lvl w:ilvl="0" w:tplc="46EC3F06">
      <w:start w:val="3"/>
      <w:numFmt w:val="hebrew1"/>
      <w:lvlText w:val="%1."/>
      <w:lvlJc w:val="left"/>
      <w:pPr>
        <w:ind w:left="1077" w:hanging="397"/>
      </w:pPr>
      <w:rPr>
        <w:rFonts w:hint="default"/>
      </w:rPr>
    </w:lvl>
    <w:lvl w:ilvl="1" w:tplc="2F9E4586" w:tentative="1">
      <w:start w:val="1"/>
      <w:numFmt w:val="lowerLetter"/>
      <w:lvlText w:val="%2."/>
      <w:lvlJc w:val="left"/>
      <w:pPr>
        <w:ind w:left="1789" w:hanging="360"/>
      </w:pPr>
    </w:lvl>
    <w:lvl w:ilvl="2" w:tplc="B9EAE008" w:tentative="1">
      <w:start w:val="1"/>
      <w:numFmt w:val="lowerRoman"/>
      <w:lvlText w:val="%3."/>
      <w:lvlJc w:val="right"/>
      <w:pPr>
        <w:ind w:left="2509" w:hanging="180"/>
      </w:pPr>
    </w:lvl>
    <w:lvl w:ilvl="3" w:tplc="4D24ED30" w:tentative="1">
      <w:start w:val="1"/>
      <w:numFmt w:val="decimal"/>
      <w:lvlText w:val="%4."/>
      <w:lvlJc w:val="left"/>
      <w:pPr>
        <w:ind w:left="3229" w:hanging="360"/>
      </w:pPr>
    </w:lvl>
    <w:lvl w:ilvl="4" w:tplc="F1DE6B62" w:tentative="1">
      <w:start w:val="1"/>
      <w:numFmt w:val="lowerLetter"/>
      <w:lvlText w:val="%5."/>
      <w:lvlJc w:val="left"/>
      <w:pPr>
        <w:ind w:left="3949" w:hanging="360"/>
      </w:pPr>
    </w:lvl>
    <w:lvl w:ilvl="5" w:tplc="2174DAEC" w:tentative="1">
      <w:start w:val="1"/>
      <w:numFmt w:val="lowerRoman"/>
      <w:lvlText w:val="%6."/>
      <w:lvlJc w:val="right"/>
      <w:pPr>
        <w:ind w:left="4669" w:hanging="180"/>
      </w:pPr>
    </w:lvl>
    <w:lvl w:ilvl="6" w:tplc="3B20B962" w:tentative="1">
      <w:start w:val="1"/>
      <w:numFmt w:val="decimal"/>
      <w:lvlText w:val="%7."/>
      <w:lvlJc w:val="left"/>
      <w:pPr>
        <w:ind w:left="5389" w:hanging="360"/>
      </w:pPr>
    </w:lvl>
    <w:lvl w:ilvl="7" w:tplc="5CC0BDD0" w:tentative="1">
      <w:start w:val="1"/>
      <w:numFmt w:val="lowerLetter"/>
      <w:lvlText w:val="%8."/>
      <w:lvlJc w:val="left"/>
      <w:pPr>
        <w:ind w:left="6109" w:hanging="360"/>
      </w:pPr>
    </w:lvl>
    <w:lvl w:ilvl="8" w:tplc="7CF0A5E4" w:tentative="1">
      <w:start w:val="1"/>
      <w:numFmt w:val="lowerRoman"/>
      <w:lvlText w:val="%9."/>
      <w:lvlJc w:val="right"/>
      <w:pPr>
        <w:ind w:left="6829" w:hanging="180"/>
      </w:pPr>
    </w:lvl>
  </w:abstractNum>
  <w:abstractNum w:abstractNumId="13" w15:restartNumberingAfterBreak="0">
    <w:nsid w:val="1139749E"/>
    <w:multiLevelType w:val="multilevel"/>
    <w:tmpl w:val="C602F46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4" w15:restartNumberingAfterBreak="0">
    <w:nsid w:val="12B01AD3"/>
    <w:multiLevelType w:val="hybridMultilevel"/>
    <w:tmpl w:val="00A87886"/>
    <w:lvl w:ilvl="0" w:tplc="571C2DA4">
      <w:start w:val="1"/>
      <w:numFmt w:val="hebrew1"/>
      <w:lvlText w:val="%1."/>
      <w:lvlJc w:val="left"/>
      <w:pPr>
        <w:ind w:left="1077" w:hanging="397"/>
      </w:pPr>
      <w:rPr>
        <w:rFonts w:hint="default"/>
        <w:b w:val="0"/>
        <w:bCs w:val="0"/>
      </w:rPr>
    </w:lvl>
    <w:lvl w:ilvl="1" w:tplc="588C6884" w:tentative="1">
      <w:start w:val="1"/>
      <w:numFmt w:val="lowerLetter"/>
      <w:lvlText w:val="%2."/>
      <w:lvlJc w:val="left"/>
      <w:pPr>
        <w:ind w:left="2160" w:hanging="360"/>
      </w:pPr>
    </w:lvl>
    <w:lvl w:ilvl="2" w:tplc="F1CE3436" w:tentative="1">
      <w:start w:val="1"/>
      <w:numFmt w:val="lowerRoman"/>
      <w:lvlText w:val="%3."/>
      <w:lvlJc w:val="right"/>
      <w:pPr>
        <w:ind w:left="2880" w:hanging="180"/>
      </w:pPr>
    </w:lvl>
    <w:lvl w:ilvl="3" w:tplc="618EF26E" w:tentative="1">
      <w:start w:val="1"/>
      <w:numFmt w:val="decimal"/>
      <w:lvlText w:val="%4."/>
      <w:lvlJc w:val="left"/>
      <w:pPr>
        <w:ind w:left="3600" w:hanging="360"/>
      </w:pPr>
    </w:lvl>
    <w:lvl w:ilvl="4" w:tplc="16008236" w:tentative="1">
      <w:start w:val="1"/>
      <w:numFmt w:val="lowerLetter"/>
      <w:lvlText w:val="%5."/>
      <w:lvlJc w:val="left"/>
      <w:pPr>
        <w:ind w:left="4320" w:hanging="360"/>
      </w:pPr>
    </w:lvl>
    <w:lvl w:ilvl="5" w:tplc="C2DE6A34" w:tentative="1">
      <w:start w:val="1"/>
      <w:numFmt w:val="lowerRoman"/>
      <w:lvlText w:val="%6."/>
      <w:lvlJc w:val="right"/>
      <w:pPr>
        <w:ind w:left="5040" w:hanging="180"/>
      </w:pPr>
    </w:lvl>
    <w:lvl w:ilvl="6" w:tplc="C30E775C" w:tentative="1">
      <w:start w:val="1"/>
      <w:numFmt w:val="decimal"/>
      <w:lvlText w:val="%7."/>
      <w:lvlJc w:val="left"/>
      <w:pPr>
        <w:ind w:left="5760" w:hanging="360"/>
      </w:pPr>
    </w:lvl>
    <w:lvl w:ilvl="7" w:tplc="74147DF0" w:tentative="1">
      <w:start w:val="1"/>
      <w:numFmt w:val="lowerLetter"/>
      <w:lvlText w:val="%8."/>
      <w:lvlJc w:val="left"/>
      <w:pPr>
        <w:ind w:left="6480" w:hanging="360"/>
      </w:pPr>
    </w:lvl>
    <w:lvl w:ilvl="8" w:tplc="F6C44480" w:tentative="1">
      <w:start w:val="1"/>
      <w:numFmt w:val="lowerRoman"/>
      <w:lvlText w:val="%9."/>
      <w:lvlJc w:val="right"/>
      <w:pPr>
        <w:ind w:left="7200" w:hanging="180"/>
      </w:pPr>
    </w:lvl>
  </w:abstractNum>
  <w:abstractNum w:abstractNumId="15" w15:restartNumberingAfterBreak="0">
    <w:nsid w:val="1BAE207E"/>
    <w:multiLevelType w:val="hybridMultilevel"/>
    <w:tmpl w:val="5E4CE8E0"/>
    <w:lvl w:ilvl="0" w:tplc="BA409AB4">
      <w:start w:val="1"/>
      <w:numFmt w:val="decimal"/>
      <w:lvlText w:val="%1."/>
      <w:lvlJc w:val="left"/>
      <w:pPr>
        <w:ind w:left="360" w:hanging="360"/>
      </w:pPr>
    </w:lvl>
    <w:lvl w:ilvl="1" w:tplc="50AAFC7A" w:tentative="1">
      <w:start w:val="1"/>
      <w:numFmt w:val="lowerLetter"/>
      <w:lvlText w:val="%2."/>
      <w:lvlJc w:val="left"/>
      <w:pPr>
        <w:ind w:left="1080" w:hanging="360"/>
      </w:pPr>
    </w:lvl>
    <w:lvl w:ilvl="2" w:tplc="78DAA01C" w:tentative="1">
      <w:start w:val="1"/>
      <w:numFmt w:val="lowerRoman"/>
      <w:lvlText w:val="%3."/>
      <w:lvlJc w:val="right"/>
      <w:pPr>
        <w:ind w:left="1800" w:hanging="180"/>
      </w:pPr>
    </w:lvl>
    <w:lvl w:ilvl="3" w:tplc="EBB40BA4" w:tentative="1">
      <w:start w:val="1"/>
      <w:numFmt w:val="decimal"/>
      <w:lvlText w:val="%4."/>
      <w:lvlJc w:val="left"/>
      <w:pPr>
        <w:ind w:left="2520" w:hanging="360"/>
      </w:pPr>
    </w:lvl>
    <w:lvl w:ilvl="4" w:tplc="FCDADE1A" w:tentative="1">
      <w:start w:val="1"/>
      <w:numFmt w:val="lowerLetter"/>
      <w:lvlText w:val="%5."/>
      <w:lvlJc w:val="left"/>
      <w:pPr>
        <w:ind w:left="3240" w:hanging="360"/>
      </w:pPr>
    </w:lvl>
    <w:lvl w:ilvl="5" w:tplc="181EB194" w:tentative="1">
      <w:start w:val="1"/>
      <w:numFmt w:val="lowerRoman"/>
      <w:lvlText w:val="%6."/>
      <w:lvlJc w:val="right"/>
      <w:pPr>
        <w:ind w:left="3960" w:hanging="180"/>
      </w:pPr>
    </w:lvl>
    <w:lvl w:ilvl="6" w:tplc="15D88674" w:tentative="1">
      <w:start w:val="1"/>
      <w:numFmt w:val="decimal"/>
      <w:lvlText w:val="%7."/>
      <w:lvlJc w:val="left"/>
      <w:pPr>
        <w:ind w:left="4680" w:hanging="360"/>
      </w:pPr>
    </w:lvl>
    <w:lvl w:ilvl="7" w:tplc="B3DA41DE" w:tentative="1">
      <w:start w:val="1"/>
      <w:numFmt w:val="lowerLetter"/>
      <w:lvlText w:val="%8."/>
      <w:lvlJc w:val="left"/>
      <w:pPr>
        <w:ind w:left="5400" w:hanging="360"/>
      </w:pPr>
    </w:lvl>
    <w:lvl w:ilvl="8" w:tplc="51F221E2" w:tentative="1">
      <w:start w:val="1"/>
      <w:numFmt w:val="lowerRoman"/>
      <w:lvlText w:val="%9."/>
      <w:lvlJc w:val="right"/>
      <w:pPr>
        <w:ind w:left="6120" w:hanging="180"/>
      </w:pPr>
    </w:lvl>
  </w:abstractNum>
  <w:abstractNum w:abstractNumId="16" w15:restartNumberingAfterBreak="0">
    <w:nsid w:val="20C602C4"/>
    <w:multiLevelType w:val="multilevel"/>
    <w:tmpl w:val="C602F46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7" w15:restartNumberingAfterBreak="0">
    <w:nsid w:val="2DE56E8C"/>
    <w:multiLevelType w:val="singleLevel"/>
    <w:tmpl w:val="1FD0DF68"/>
    <w:lvl w:ilvl="0">
      <w:start w:val="1"/>
      <w:numFmt w:val="none"/>
      <w:pStyle w:val="BulletList2"/>
      <w:lvlText w:val=""/>
      <w:lvlJc w:val="center"/>
      <w:pPr>
        <w:tabs>
          <w:tab w:val="num" w:pos="1083"/>
        </w:tabs>
        <w:ind w:left="1083" w:hanging="306"/>
      </w:pPr>
      <w:rPr>
        <w:rFonts w:ascii="Symbol" w:hAnsi="Symbol" w:hint="default"/>
      </w:rPr>
    </w:lvl>
  </w:abstractNum>
  <w:abstractNum w:abstractNumId="18" w15:restartNumberingAfterBreak="0">
    <w:nsid w:val="39982E5E"/>
    <w:multiLevelType w:val="multilevel"/>
    <w:tmpl w:val="2FDA2CB4"/>
    <w:lvl w:ilvl="0">
      <w:start w:val="1"/>
      <w:numFmt w:val="decimal"/>
      <w:lvlText w:val="%1."/>
      <w:lvlJc w:val="left"/>
      <w:pPr>
        <w:ind w:left="340" w:hanging="340"/>
      </w:pPr>
    </w:lvl>
    <w:lvl w:ilvl="1">
      <w:start w:val="1"/>
      <w:numFmt w:val="decimal"/>
      <w:lvlText w:val="%2."/>
      <w:lvlJc w:val="left"/>
      <w:pPr>
        <w:ind w:left="680" w:hanging="340"/>
      </w:pPr>
      <w:rPr>
        <w:rFonts w:hint="default"/>
      </w:r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9" w15:restartNumberingAfterBreak="0">
    <w:nsid w:val="3BA731A4"/>
    <w:multiLevelType w:val="multilevel"/>
    <w:tmpl w:val="00DEBF2A"/>
    <w:lvl w:ilvl="0">
      <w:start w:val="1"/>
      <w:numFmt w:val="decimal"/>
      <w:pStyle w:val="Hn1"/>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15:restartNumberingAfterBreak="0">
    <w:nsid w:val="3E464AB8"/>
    <w:multiLevelType w:val="multilevel"/>
    <w:tmpl w:val="C602F46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1" w15:restartNumberingAfterBreak="0">
    <w:nsid w:val="459C2999"/>
    <w:multiLevelType w:val="multilevel"/>
    <w:tmpl w:val="065C52B0"/>
    <w:lvl w:ilvl="0">
      <w:start w:val="1"/>
      <w:numFmt w:val="hebrew1"/>
      <w:pStyle w:val="730"/>
      <w:lvlText w:val="%1."/>
      <w:lvlJc w:val="left"/>
      <w:pPr>
        <w:ind w:left="340" w:hanging="340"/>
      </w:pPr>
      <w:rPr>
        <w:rFonts w:ascii="Tahoma" w:eastAsia="Times New Roman" w:hAnsi="Tahoma" w:cs="Tahoma" w:hint="default"/>
        <w:lang w:bidi="he-IL"/>
      </w:rPr>
    </w:lvl>
    <w:lvl w:ilvl="1">
      <w:start w:val="1"/>
      <w:numFmt w:val="hebrew1"/>
      <w:lvlText w:val="%2."/>
      <w:lvlJc w:val="left"/>
      <w:pPr>
        <w:ind w:left="680" w:hanging="340"/>
      </w:pPr>
      <w:rPr>
        <w:rFonts w:hint="default"/>
      </w:rPr>
    </w:lvl>
    <w:lvl w:ilvl="2">
      <w:start w:val="1"/>
      <w:numFmt w:val="decimal"/>
      <w:lvlText w:val="(%3)"/>
      <w:lvlJc w:val="left"/>
      <w:pPr>
        <w:ind w:left="1077" w:hanging="397"/>
      </w:pPr>
      <w:rPr>
        <w:rFonts w:hint="default"/>
      </w:rPr>
    </w:lvl>
    <w:lvl w:ilvl="3">
      <w:start w:val="1"/>
      <w:numFmt w:val="hebrew1"/>
      <w:lvlText w:val="(%4)"/>
      <w:lvlJc w:val="left"/>
      <w:pPr>
        <w:ind w:left="1474" w:hanging="397"/>
      </w:pPr>
      <w:rPr>
        <w:rFonts w:hint="default"/>
      </w:rPr>
    </w:lvl>
    <w:lvl w:ilvl="4">
      <w:start w:val="1"/>
      <w:numFmt w:val="lowerLetter"/>
      <w:lvlText w:val="(%5)"/>
      <w:lvlJc w:val="left"/>
      <w:pPr>
        <w:ind w:left="1797" w:hanging="357"/>
      </w:pPr>
      <w:rPr>
        <w:rFonts w:hint="default"/>
      </w:rPr>
    </w:lvl>
    <w:lvl w:ilvl="5">
      <w:start w:val="1"/>
      <w:numFmt w:val="lowerRoman"/>
      <w:lvlText w:val="(%6)"/>
      <w:lvlJc w:val="left"/>
      <w:pPr>
        <w:ind w:left="2160" w:hanging="363"/>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3"/>
      </w:pPr>
      <w:rPr>
        <w:rFonts w:hint="default"/>
      </w:rPr>
    </w:lvl>
    <w:lvl w:ilvl="8">
      <w:start w:val="1"/>
      <w:numFmt w:val="lowerRoman"/>
      <w:lvlText w:val="%9."/>
      <w:lvlJc w:val="left"/>
      <w:pPr>
        <w:ind w:left="3237" w:hanging="357"/>
      </w:pPr>
      <w:rPr>
        <w:rFonts w:hint="default"/>
      </w:rPr>
    </w:lvl>
  </w:abstractNum>
  <w:abstractNum w:abstractNumId="22" w15:restartNumberingAfterBreak="0">
    <w:nsid w:val="52A12BAC"/>
    <w:multiLevelType w:val="hybridMultilevel"/>
    <w:tmpl w:val="4D4857C8"/>
    <w:lvl w:ilvl="0" w:tplc="24AC32E0">
      <w:start w:val="1"/>
      <w:numFmt w:val="decimal"/>
      <w:lvlText w:val="%1."/>
      <w:lvlJc w:val="left"/>
      <w:pPr>
        <w:ind w:left="360" w:hanging="360"/>
      </w:pPr>
      <w:rPr>
        <w:rFonts w:hint="default"/>
      </w:rPr>
    </w:lvl>
    <w:lvl w:ilvl="1" w:tplc="075CCBE4" w:tentative="1">
      <w:start w:val="1"/>
      <w:numFmt w:val="lowerLetter"/>
      <w:lvlText w:val="%2."/>
      <w:lvlJc w:val="left"/>
      <w:pPr>
        <w:ind w:left="1080" w:hanging="360"/>
      </w:pPr>
    </w:lvl>
    <w:lvl w:ilvl="2" w:tplc="6366A1AC" w:tentative="1">
      <w:start w:val="1"/>
      <w:numFmt w:val="lowerRoman"/>
      <w:lvlText w:val="%3."/>
      <w:lvlJc w:val="right"/>
      <w:pPr>
        <w:ind w:left="1800" w:hanging="180"/>
      </w:pPr>
    </w:lvl>
    <w:lvl w:ilvl="3" w:tplc="C1927366" w:tentative="1">
      <w:start w:val="1"/>
      <w:numFmt w:val="decimal"/>
      <w:lvlText w:val="%4."/>
      <w:lvlJc w:val="left"/>
      <w:pPr>
        <w:ind w:left="2520" w:hanging="360"/>
      </w:pPr>
    </w:lvl>
    <w:lvl w:ilvl="4" w:tplc="75A473C4" w:tentative="1">
      <w:start w:val="1"/>
      <w:numFmt w:val="lowerLetter"/>
      <w:lvlText w:val="%5."/>
      <w:lvlJc w:val="left"/>
      <w:pPr>
        <w:ind w:left="3240" w:hanging="360"/>
      </w:pPr>
    </w:lvl>
    <w:lvl w:ilvl="5" w:tplc="897E137E" w:tentative="1">
      <w:start w:val="1"/>
      <w:numFmt w:val="lowerRoman"/>
      <w:lvlText w:val="%6."/>
      <w:lvlJc w:val="right"/>
      <w:pPr>
        <w:ind w:left="3960" w:hanging="180"/>
      </w:pPr>
    </w:lvl>
    <w:lvl w:ilvl="6" w:tplc="237EE094" w:tentative="1">
      <w:start w:val="1"/>
      <w:numFmt w:val="decimal"/>
      <w:lvlText w:val="%7."/>
      <w:lvlJc w:val="left"/>
      <w:pPr>
        <w:ind w:left="4680" w:hanging="360"/>
      </w:pPr>
    </w:lvl>
    <w:lvl w:ilvl="7" w:tplc="34FC0ABE" w:tentative="1">
      <w:start w:val="1"/>
      <w:numFmt w:val="lowerLetter"/>
      <w:lvlText w:val="%8."/>
      <w:lvlJc w:val="left"/>
      <w:pPr>
        <w:ind w:left="5400" w:hanging="360"/>
      </w:pPr>
    </w:lvl>
    <w:lvl w:ilvl="8" w:tplc="83F272CC" w:tentative="1">
      <w:start w:val="1"/>
      <w:numFmt w:val="lowerRoman"/>
      <w:lvlText w:val="%9."/>
      <w:lvlJc w:val="right"/>
      <w:pPr>
        <w:ind w:left="6120" w:hanging="180"/>
      </w:pPr>
    </w:lvl>
  </w:abstractNum>
  <w:abstractNum w:abstractNumId="23" w15:restartNumberingAfterBreak="0">
    <w:nsid w:val="5C2D00DD"/>
    <w:multiLevelType w:val="multilevel"/>
    <w:tmpl w:val="CB2CFB36"/>
    <w:styleLink w:val="-"/>
    <w:lvl w:ilvl="0">
      <w:start w:val="1"/>
      <w:numFmt w:val="decimal"/>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24" w15:restartNumberingAfterBreak="0">
    <w:nsid w:val="5CC53D50"/>
    <w:multiLevelType w:val="hybridMultilevel"/>
    <w:tmpl w:val="DE424902"/>
    <w:lvl w:ilvl="0" w:tplc="C8D6429A">
      <w:start w:val="1"/>
      <w:numFmt w:val="hebrew1"/>
      <w:lvlText w:val="%1."/>
      <w:lvlJc w:val="left"/>
      <w:pPr>
        <w:ind w:left="720" w:hanging="360"/>
      </w:pPr>
      <w:rPr>
        <w:rFonts w:hint="default"/>
      </w:rPr>
    </w:lvl>
    <w:lvl w:ilvl="1" w:tplc="95BE1798" w:tentative="1">
      <w:start w:val="1"/>
      <w:numFmt w:val="lowerLetter"/>
      <w:lvlText w:val="%2."/>
      <w:lvlJc w:val="left"/>
      <w:pPr>
        <w:ind w:left="1440" w:hanging="360"/>
      </w:pPr>
    </w:lvl>
    <w:lvl w:ilvl="2" w:tplc="A6BAA27C" w:tentative="1">
      <w:start w:val="1"/>
      <w:numFmt w:val="lowerRoman"/>
      <w:lvlText w:val="%3."/>
      <w:lvlJc w:val="right"/>
      <w:pPr>
        <w:ind w:left="2160" w:hanging="180"/>
      </w:pPr>
    </w:lvl>
    <w:lvl w:ilvl="3" w:tplc="20B8B242" w:tentative="1">
      <w:start w:val="1"/>
      <w:numFmt w:val="decimal"/>
      <w:lvlText w:val="%4."/>
      <w:lvlJc w:val="left"/>
      <w:pPr>
        <w:ind w:left="2880" w:hanging="360"/>
      </w:pPr>
    </w:lvl>
    <w:lvl w:ilvl="4" w:tplc="1BF86A50" w:tentative="1">
      <w:start w:val="1"/>
      <w:numFmt w:val="lowerLetter"/>
      <w:lvlText w:val="%5."/>
      <w:lvlJc w:val="left"/>
      <w:pPr>
        <w:ind w:left="3600" w:hanging="360"/>
      </w:pPr>
    </w:lvl>
    <w:lvl w:ilvl="5" w:tplc="F544C308" w:tentative="1">
      <w:start w:val="1"/>
      <w:numFmt w:val="lowerRoman"/>
      <w:lvlText w:val="%6."/>
      <w:lvlJc w:val="right"/>
      <w:pPr>
        <w:ind w:left="4320" w:hanging="180"/>
      </w:pPr>
    </w:lvl>
    <w:lvl w:ilvl="6" w:tplc="B48A8EBE" w:tentative="1">
      <w:start w:val="1"/>
      <w:numFmt w:val="decimal"/>
      <w:lvlText w:val="%7."/>
      <w:lvlJc w:val="left"/>
      <w:pPr>
        <w:ind w:left="5040" w:hanging="360"/>
      </w:pPr>
    </w:lvl>
    <w:lvl w:ilvl="7" w:tplc="71AAED0A" w:tentative="1">
      <w:start w:val="1"/>
      <w:numFmt w:val="lowerLetter"/>
      <w:lvlText w:val="%8."/>
      <w:lvlJc w:val="left"/>
      <w:pPr>
        <w:ind w:left="5760" w:hanging="360"/>
      </w:pPr>
    </w:lvl>
    <w:lvl w:ilvl="8" w:tplc="5EEE55A6" w:tentative="1">
      <w:start w:val="1"/>
      <w:numFmt w:val="lowerRoman"/>
      <w:lvlText w:val="%9."/>
      <w:lvlJc w:val="right"/>
      <w:pPr>
        <w:ind w:left="6480" w:hanging="180"/>
      </w:pPr>
    </w:lvl>
  </w:abstractNum>
  <w:abstractNum w:abstractNumId="25" w15:restartNumberingAfterBreak="0">
    <w:nsid w:val="5D7F29F7"/>
    <w:multiLevelType w:val="hybridMultilevel"/>
    <w:tmpl w:val="ABFC5A12"/>
    <w:lvl w:ilvl="0" w:tplc="94AC2F6A">
      <w:start w:val="1"/>
      <w:numFmt w:val="hebrew1"/>
      <w:pStyle w:val="7"/>
      <w:lvlText w:val="%1."/>
      <w:lvlJc w:val="left"/>
      <w:pPr>
        <w:ind w:left="794" w:hanging="397"/>
      </w:pPr>
      <w:rPr>
        <w:rFonts w:hint="default"/>
      </w:rPr>
    </w:lvl>
    <w:lvl w:ilvl="1" w:tplc="4B5C85CA" w:tentative="1">
      <w:start w:val="1"/>
      <w:numFmt w:val="lowerLetter"/>
      <w:lvlText w:val="%2."/>
      <w:lvlJc w:val="left"/>
      <w:pPr>
        <w:ind w:left="1440" w:hanging="360"/>
      </w:pPr>
    </w:lvl>
    <w:lvl w:ilvl="2" w:tplc="27C062BA" w:tentative="1">
      <w:start w:val="1"/>
      <w:numFmt w:val="lowerRoman"/>
      <w:lvlText w:val="%3."/>
      <w:lvlJc w:val="right"/>
      <w:pPr>
        <w:ind w:left="2160" w:hanging="180"/>
      </w:pPr>
    </w:lvl>
    <w:lvl w:ilvl="3" w:tplc="DAE881B2" w:tentative="1">
      <w:start w:val="1"/>
      <w:numFmt w:val="decimal"/>
      <w:lvlText w:val="%4."/>
      <w:lvlJc w:val="left"/>
      <w:pPr>
        <w:ind w:left="2880" w:hanging="360"/>
      </w:pPr>
    </w:lvl>
    <w:lvl w:ilvl="4" w:tplc="18CCCC44" w:tentative="1">
      <w:start w:val="1"/>
      <w:numFmt w:val="lowerLetter"/>
      <w:lvlText w:val="%5."/>
      <w:lvlJc w:val="left"/>
      <w:pPr>
        <w:ind w:left="3600" w:hanging="360"/>
      </w:pPr>
    </w:lvl>
    <w:lvl w:ilvl="5" w:tplc="DF9280AC" w:tentative="1">
      <w:start w:val="1"/>
      <w:numFmt w:val="lowerRoman"/>
      <w:lvlText w:val="%6."/>
      <w:lvlJc w:val="right"/>
      <w:pPr>
        <w:ind w:left="4320" w:hanging="180"/>
      </w:pPr>
    </w:lvl>
    <w:lvl w:ilvl="6" w:tplc="E33881FE" w:tentative="1">
      <w:start w:val="1"/>
      <w:numFmt w:val="decimal"/>
      <w:lvlText w:val="%7."/>
      <w:lvlJc w:val="left"/>
      <w:pPr>
        <w:ind w:left="5040" w:hanging="360"/>
      </w:pPr>
    </w:lvl>
    <w:lvl w:ilvl="7" w:tplc="57966864" w:tentative="1">
      <w:start w:val="1"/>
      <w:numFmt w:val="lowerLetter"/>
      <w:lvlText w:val="%8."/>
      <w:lvlJc w:val="left"/>
      <w:pPr>
        <w:ind w:left="5760" w:hanging="360"/>
      </w:pPr>
    </w:lvl>
    <w:lvl w:ilvl="8" w:tplc="2B664D86" w:tentative="1">
      <w:start w:val="1"/>
      <w:numFmt w:val="lowerRoman"/>
      <w:lvlText w:val="%9."/>
      <w:lvlJc w:val="right"/>
      <w:pPr>
        <w:ind w:left="6480" w:hanging="180"/>
      </w:pPr>
    </w:lvl>
  </w:abstractNum>
  <w:abstractNum w:abstractNumId="26" w15:restartNumberingAfterBreak="0">
    <w:nsid w:val="5F743717"/>
    <w:multiLevelType w:val="multilevel"/>
    <w:tmpl w:val="54B40DD4"/>
    <w:lvl w:ilvl="0">
      <w:start w:val="1"/>
      <w:numFmt w:val="decimal"/>
      <w:pStyle w:val="a"/>
      <w:lvlText w:val="%1."/>
      <w:lvlJc w:val="left"/>
      <w:pPr>
        <w:tabs>
          <w:tab w:val="num" w:pos="360"/>
        </w:tabs>
        <w:ind w:left="360" w:hanging="360"/>
      </w:pPr>
      <w:rPr>
        <w:rFonts w:cs="David" w:hint="cs"/>
        <w:szCs w:val="24"/>
      </w:rPr>
    </w:lvl>
    <w:lvl w:ilvl="1">
      <w:start w:val="1"/>
      <w:numFmt w:val="decimal"/>
      <w:lvlText w:val="%1.%2."/>
      <w:lvlJc w:val="left"/>
      <w:pPr>
        <w:tabs>
          <w:tab w:val="num" w:pos="792"/>
        </w:tabs>
        <w:ind w:left="792" w:hanging="432"/>
      </w:pPr>
      <w:rPr>
        <w:rFonts w:cs="David" w:hint="cs"/>
        <w:b w:val="0"/>
        <w:bCs w:val="0"/>
        <w:sz w:val="24"/>
        <w:szCs w:val="24"/>
      </w:rPr>
    </w:lvl>
    <w:lvl w:ilvl="2">
      <w:start w:val="1"/>
      <w:numFmt w:val="decimal"/>
      <w:lvlText w:val="%1.%2.%3."/>
      <w:lvlJc w:val="left"/>
      <w:pPr>
        <w:tabs>
          <w:tab w:val="num" w:pos="1418"/>
        </w:tabs>
        <w:ind w:left="1418" w:hanging="624"/>
      </w:pPr>
      <w:rPr>
        <w:rFonts w:cs="David" w:hint="cs"/>
        <w:b w:val="0"/>
        <w:bCs w:val="0"/>
        <w:szCs w:val="24"/>
      </w:rPr>
    </w:lvl>
    <w:lvl w:ilvl="3">
      <w:start w:val="1"/>
      <w:numFmt w:val="decimal"/>
      <w:lvlText w:val="%1.%2.%3.%4."/>
      <w:lvlJc w:val="left"/>
      <w:pPr>
        <w:tabs>
          <w:tab w:val="num" w:pos="2098"/>
        </w:tabs>
        <w:ind w:left="2098" w:hanging="680"/>
      </w:pPr>
      <w:rPr>
        <w:rFonts w:cs="David" w:hint="cs"/>
        <w:b w:val="0"/>
        <w:bCs w:val="0"/>
        <w:szCs w:val="24"/>
      </w:rPr>
    </w:lvl>
    <w:lvl w:ilvl="4">
      <w:start w:val="1"/>
      <w:numFmt w:val="decimal"/>
      <w:lvlText w:val="%1.%2.%3.%4.%5."/>
      <w:lvlJc w:val="left"/>
      <w:pPr>
        <w:tabs>
          <w:tab w:val="num" w:pos="2325"/>
        </w:tabs>
        <w:ind w:left="2325" w:hanging="227"/>
      </w:pPr>
      <w:rPr>
        <w:rFonts w:cs="David" w:hint="cs"/>
        <w:szCs w:val="24"/>
      </w:rPr>
    </w:lvl>
    <w:lvl w:ilvl="5">
      <w:start w:val="1"/>
      <w:numFmt w:val="decimal"/>
      <w:lvlText w:val="%1.%2.%3.%4.%5.%6."/>
      <w:lvlJc w:val="left"/>
      <w:pPr>
        <w:tabs>
          <w:tab w:val="num" w:pos="2880"/>
        </w:tabs>
        <w:ind w:left="2736" w:hanging="936"/>
      </w:pPr>
      <w:rPr>
        <w:rFonts w:cs="David" w:hint="cs"/>
      </w:rPr>
    </w:lvl>
    <w:lvl w:ilvl="6">
      <w:start w:val="1"/>
      <w:numFmt w:val="decimal"/>
      <w:lvlText w:val="%1.%2.%3.%4.%5.%6.%7."/>
      <w:lvlJc w:val="left"/>
      <w:pPr>
        <w:tabs>
          <w:tab w:val="num" w:pos="3600"/>
        </w:tabs>
        <w:ind w:left="3240" w:hanging="1080"/>
      </w:pPr>
      <w:rPr>
        <w:rFonts w:cs="TypoUpright BT" w:hint="default"/>
      </w:rPr>
    </w:lvl>
    <w:lvl w:ilvl="7">
      <w:start w:val="1"/>
      <w:numFmt w:val="decimal"/>
      <w:lvlText w:val="%1.%2.%3.%4.%5.%6.%7.%8."/>
      <w:lvlJc w:val="left"/>
      <w:pPr>
        <w:tabs>
          <w:tab w:val="num" w:pos="3960"/>
        </w:tabs>
        <w:ind w:left="3744" w:hanging="1224"/>
      </w:pPr>
      <w:rPr>
        <w:rFonts w:cs="TypoUpright BT" w:hint="default"/>
      </w:rPr>
    </w:lvl>
    <w:lvl w:ilvl="8">
      <w:start w:val="1"/>
      <w:numFmt w:val="decimal"/>
      <w:lvlText w:val="%1.%2.%3.%4.%5.%6.%7.%8.%9."/>
      <w:lvlJc w:val="left"/>
      <w:pPr>
        <w:tabs>
          <w:tab w:val="num" w:pos="4680"/>
        </w:tabs>
        <w:ind w:left="4320" w:hanging="1440"/>
      </w:pPr>
      <w:rPr>
        <w:rFonts w:cs="TypoUpright BT" w:hint="default"/>
      </w:rPr>
    </w:lvl>
  </w:abstractNum>
  <w:abstractNum w:abstractNumId="27" w15:restartNumberingAfterBreak="0">
    <w:nsid w:val="6BB66392"/>
    <w:multiLevelType w:val="hybridMultilevel"/>
    <w:tmpl w:val="F40E615C"/>
    <w:lvl w:ilvl="0" w:tplc="6E3EB3C4">
      <w:start w:val="8"/>
      <w:numFmt w:val="decimal"/>
      <w:lvlText w:val="%1."/>
      <w:lvlJc w:val="left"/>
      <w:pPr>
        <w:ind w:left="397" w:hanging="397"/>
      </w:pPr>
      <w:rPr>
        <w:rFonts w:hint="default"/>
        <w:b w:val="0"/>
        <w:bCs w:val="0"/>
      </w:rPr>
    </w:lvl>
    <w:lvl w:ilvl="1" w:tplc="01A20F32" w:tentative="1">
      <w:start w:val="1"/>
      <w:numFmt w:val="lowerLetter"/>
      <w:lvlText w:val="%2."/>
      <w:lvlJc w:val="left"/>
      <w:pPr>
        <w:ind w:left="2160" w:hanging="360"/>
      </w:pPr>
    </w:lvl>
    <w:lvl w:ilvl="2" w:tplc="6AD624BA" w:tentative="1">
      <w:start w:val="1"/>
      <w:numFmt w:val="lowerRoman"/>
      <w:lvlText w:val="%3."/>
      <w:lvlJc w:val="right"/>
      <w:pPr>
        <w:ind w:left="2880" w:hanging="180"/>
      </w:pPr>
    </w:lvl>
    <w:lvl w:ilvl="3" w:tplc="6B40CE9E" w:tentative="1">
      <w:start w:val="1"/>
      <w:numFmt w:val="decimal"/>
      <w:lvlText w:val="%4."/>
      <w:lvlJc w:val="left"/>
      <w:pPr>
        <w:ind w:left="3600" w:hanging="360"/>
      </w:pPr>
    </w:lvl>
    <w:lvl w:ilvl="4" w:tplc="29AE5E2A" w:tentative="1">
      <w:start w:val="1"/>
      <w:numFmt w:val="lowerLetter"/>
      <w:lvlText w:val="%5."/>
      <w:lvlJc w:val="left"/>
      <w:pPr>
        <w:ind w:left="4320" w:hanging="360"/>
      </w:pPr>
    </w:lvl>
    <w:lvl w:ilvl="5" w:tplc="0E841980" w:tentative="1">
      <w:start w:val="1"/>
      <w:numFmt w:val="lowerRoman"/>
      <w:lvlText w:val="%6."/>
      <w:lvlJc w:val="right"/>
      <w:pPr>
        <w:ind w:left="5040" w:hanging="180"/>
      </w:pPr>
    </w:lvl>
    <w:lvl w:ilvl="6" w:tplc="A59249BA" w:tentative="1">
      <w:start w:val="1"/>
      <w:numFmt w:val="decimal"/>
      <w:lvlText w:val="%7."/>
      <w:lvlJc w:val="left"/>
      <w:pPr>
        <w:ind w:left="5760" w:hanging="360"/>
      </w:pPr>
    </w:lvl>
    <w:lvl w:ilvl="7" w:tplc="EFE23140" w:tentative="1">
      <w:start w:val="1"/>
      <w:numFmt w:val="lowerLetter"/>
      <w:lvlText w:val="%8."/>
      <w:lvlJc w:val="left"/>
      <w:pPr>
        <w:ind w:left="6480" w:hanging="360"/>
      </w:pPr>
    </w:lvl>
    <w:lvl w:ilvl="8" w:tplc="F1E45A1E" w:tentative="1">
      <w:start w:val="1"/>
      <w:numFmt w:val="lowerRoman"/>
      <w:lvlText w:val="%9."/>
      <w:lvlJc w:val="right"/>
      <w:pPr>
        <w:ind w:left="7200" w:hanging="180"/>
      </w:pPr>
    </w:lvl>
  </w:abstractNum>
  <w:abstractNum w:abstractNumId="28" w15:restartNumberingAfterBreak="0">
    <w:nsid w:val="72E21210"/>
    <w:multiLevelType w:val="multilevel"/>
    <w:tmpl w:val="C602F46A"/>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9" w15:restartNumberingAfterBreak="0">
    <w:nsid w:val="7C657380"/>
    <w:multiLevelType w:val="hybridMultilevel"/>
    <w:tmpl w:val="49BE8BEE"/>
    <w:lvl w:ilvl="0" w:tplc="A82ABDCA">
      <w:start w:val="1"/>
      <w:numFmt w:val="decimal"/>
      <w:lvlText w:val="(%1)"/>
      <w:lvlJc w:val="left"/>
      <w:pPr>
        <w:ind w:left="397" w:hanging="397"/>
      </w:pPr>
      <w:rPr>
        <w:rFonts w:hint="default"/>
      </w:rPr>
    </w:lvl>
    <w:lvl w:ilvl="1" w:tplc="A2E226F6" w:tentative="1">
      <w:start w:val="1"/>
      <w:numFmt w:val="lowerLetter"/>
      <w:lvlText w:val="%2."/>
      <w:lvlJc w:val="left"/>
      <w:pPr>
        <w:ind w:left="1440" w:hanging="360"/>
      </w:pPr>
    </w:lvl>
    <w:lvl w:ilvl="2" w:tplc="17C43626" w:tentative="1">
      <w:start w:val="1"/>
      <w:numFmt w:val="lowerRoman"/>
      <w:lvlText w:val="%3."/>
      <w:lvlJc w:val="right"/>
      <w:pPr>
        <w:ind w:left="2160" w:hanging="180"/>
      </w:pPr>
    </w:lvl>
    <w:lvl w:ilvl="3" w:tplc="A29CCC5E" w:tentative="1">
      <w:start w:val="1"/>
      <w:numFmt w:val="decimal"/>
      <w:lvlText w:val="%4."/>
      <w:lvlJc w:val="left"/>
      <w:pPr>
        <w:ind w:left="2880" w:hanging="360"/>
      </w:pPr>
    </w:lvl>
    <w:lvl w:ilvl="4" w:tplc="B49EC9F8" w:tentative="1">
      <w:start w:val="1"/>
      <w:numFmt w:val="lowerLetter"/>
      <w:lvlText w:val="%5."/>
      <w:lvlJc w:val="left"/>
      <w:pPr>
        <w:ind w:left="3600" w:hanging="360"/>
      </w:pPr>
    </w:lvl>
    <w:lvl w:ilvl="5" w:tplc="DDEAD52E" w:tentative="1">
      <w:start w:val="1"/>
      <w:numFmt w:val="lowerRoman"/>
      <w:lvlText w:val="%6."/>
      <w:lvlJc w:val="right"/>
      <w:pPr>
        <w:ind w:left="4320" w:hanging="180"/>
      </w:pPr>
    </w:lvl>
    <w:lvl w:ilvl="6" w:tplc="DA1E744A" w:tentative="1">
      <w:start w:val="1"/>
      <w:numFmt w:val="decimal"/>
      <w:lvlText w:val="%7."/>
      <w:lvlJc w:val="left"/>
      <w:pPr>
        <w:ind w:left="5040" w:hanging="360"/>
      </w:pPr>
    </w:lvl>
    <w:lvl w:ilvl="7" w:tplc="B97AFEC6" w:tentative="1">
      <w:start w:val="1"/>
      <w:numFmt w:val="lowerLetter"/>
      <w:lvlText w:val="%8."/>
      <w:lvlJc w:val="left"/>
      <w:pPr>
        <w:ind w:left="5760" w:hanging="360"/>
      </w:pPr>
    </w:lvl>
    <w:lvl w:ilvl="8" w:tplc="BA560914" w:tentative="1">
      <w:start w:val="1"/>
      <w:numFmt w:val="lowerRoman"/>
      <w:lvlText w:val="%9."/>
      <w:lvlJc w:val="right"/>
      <w:pPr>
        <w:ind w:left="6480" w:hanging="180"/>
      </w:pPr>
    </w:lvl>
  </w:abstractNum>
  <w:abstractNum w:abstractNumId="30" w15:restartNumberingAfterBreak="0">
    <w:nsid w:val="7D365B29"/>
    <w:multiLevelType w:val="multilevel"/>
    <w:tmpl w:val="E3AA6D54"/>
    <w:lvl w:ilvl="0">
      <w:start w:val="1"/>
      <w:numFmt w:val="hebrew1"/>
      <w:pStyle w:val="731"/>
      <w:lvlText w:val="%1."/>
      <w:lvlJc w:val="left"/>
      <w:pPr>
        <w:ind w:left="663" w:hanging="340"/>
      </w:pPr>
      <w:rPr>
        <w:rFonts w:ascii="Tahoma" w:eastAsiaTheme="minorHAnsi" w:hAnsi="Tahoma" w:cs="Tahoma" w:hint="default"/>
        <w:b w:val="0"/>
        <w:bCs w:val="0"/>
      </w:rPr>
    </w:lvl>
    <w:lvl w:ilvl="1">
      <w:start w:val="1"/>
      <w:numFmt w:val="hebrew1"/>
      <w:lvlText w:val="%2."/>
      <w:lvlJc w:val="left"/>
      <w:pPr>
        <w:ind w:left="1003" w:hanging="340"/>
      </w:pPr>
    </w:lvl>
    <w:lvl w:ilvl="2">
      <w:start w:val="1"/>
      <w:numFmt w:val="decimal"/>
      <w:lvlText w:val="(%3)"/>
      <w:lvlJc w:val="left"/>
      <w:pPr>
        <w:ind w:left="1400" w:hanging="397"/>
      </w:pPr>
    </w:lvl>
    <w:lvl w:ilvl="3">
      <w:start w:val="1"/>
      <w:numFmt w:val="hebrew1"/>
      <w:lvlText w:val="(%4)"/>
      <w:lvlJc w:val="left"/>
      <w:pPr>
        <w:ind w:left="1797" w:hanging="397"/>
      </w:pPr>
    </w:lvl>
    <w:lvl w:ilvl="4">
      <w:start w:val="1"/>
      <w:numFmt w:val="lowerLetter"/>
      <w:lvlText w:val="(%5)"/>
      <w:lvlJc w:val="left"/>
      <w:pPr>
        <w:ind w:left="2120" w:hanging="357"/>
      </w:pPr>
    </w:lvl>
    <w:lvl w:ilvl="5">
      <w:start w:val="1"/>
      <w:numFmt w:val="lowerRoman"/>
      <w:lvlText w:val="(%6)"/>
      <w:lvlJc w:val="left"/>
      <w:pPr>
        <w:ind w:left="2483" w:hanging="363"/>
      </w:pPr>
    </w:lvl>
    <w:lvl w:ilvl="6">
      <w:start w:val="1"/>
      <w:numFmt w:val="decimal"/>
      <w:lvlText w:val="%7."/>
      <w:lvlJc w:val="left"/>
      <w:pPr>
        <w:ind w:left="2840" w:hanging="357"/>
      </w:pPr>
    </w:lvl>
    <w:lvl w:ilvl="7">
      <w:start w:val="1"/>
      <w:numFmt w:val="lowerLetter"/>
      <w:lvlText w:val="%8."/>
      <w:lvlJc w:val="left"/>
      <w:pPr>
        <w:ind w:left="3203" w:hanging="363"/>
      </w:pPr>
    </w:lvl>
    <w:lvl w:ilvl="8">
      <w:start w:val="1"/>
      <w:numFmt w:val="lowerRoman"/>
      <w:lvlText w:val="%9."/>
      <w:lvlJc w:val="left"/>
      <w:pPr>
        <w:ind w:left="3560" w:hanging="357"/>
      </w:pPr>
    </w:lvl>
  </w:abstractNum>
  <w:num w:numId="1">
    <w:abstractNumId w:val="23"/>
  </w:num>
  <w:num w:numId="2">
    <w:abstractNumId w:val="17"/>
  </w:num>
  <w:num w:numId="3">
    <w:abstractNumId w:val="19"/>
  </w:num>
  <w:num w:numId="4">
    <w:abstractNumId w:val="30"/>
  </w:num>
  <w:num w:numId="5">
    <w:abstractNumId w:val="9"/>
  </w:num>
  <w:num w:numId="6">
    <w:abstractNumId w:val="21"/>
  </w:num>
  <w:num w:numId="7">
    <w:abstractNumId w:val="26"/>
  </w:num>
  <w:num w:numId="8">
    <w:abstractNumId w:val="10"/>
  </w:num>
  <w:num w:numId="9">
    <w:abstractNumId w:val="25"/>
  </w:num>
  <w:num w:numId="10">
    <w:abstractNumId w:val="24"/>
  </w:num>
  <w:num w:numId="11">
    <w:abstractNumId w:val="18"/>
  </w:num>
  <w:num w:numId="12">
    <w:abstractNumId w:val="12"/>
  </w:num>
  <w:num w:numId="13">
    <w:abstractNumId w:val="13"/>
  </w:num>
  <w:num w:numId="14">
    <w:abstractNumId w:val="20"/>
  </w:num>
  <w:num w:numId="15">
    <w:abstractNumId w:val="28"/>
  </w:num>
  <w:num w:numId="16">
    <w:abstractNumId w:val="16"/>
  </w:num>
  <w:num w:numId="17">
    <w:abstractNumId w:val="14"/>
  </w:num>
  <w:num w:numId="18">
    <w:abstractNumId w:val="15"/>
  </w:num>
  <w:num w:numId="19">
    <w:abstractNumId w:val="22"/>
  </w:num>
  <w:num w:numId="20">
    <w:abstractNumId w:val="11"/>
  </w:num>
  <w:num w:numId="21">
    <w:abstractNumId w:val="27"/>
  </w:num>
  <w:num w:numId="22">
    <w:abstractNumId w:val="29"/>
  </w:num>
  <w:num w:numId="23">
    <w:abstractNumId w:val="8"/>
  </w:num>
  <w:num w:numId="24">
    <w:abstractNumId w:val="3"/>
  </w:num>
  <w:num w:numId="25">
    <w:abstractNumId w:val="4"/>
  </w:num>
  <w:num w:numId="26">
    <w:abstractNumId w:val="5"/>
  </w:num>
  <w:num w:numId="27">
    <w:abstractNumId w:val="6"/>
  </w:num>
  <w:num w:numId="28">
    <w:abstractNumId w:val="7"/>
  </w:num>
  <w:num w:numId="29">
    <w:abstractNumId w:val="0"/>
  </w:num>
  <w:num w:numId="30">
    <w:abstractNumId w:val="1"/>
  </w:num>
  <w:num w:numId="31">
    <w:abstractNumId w:val="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gutterAtTop/>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284"/>
  <w:autoHyphenation/>
  <w:evenAndOddHeaders/>
  <w:drawingGridHorizontalSpacing w:val="10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tnwarning" w:val="1"/>
    <w:docVar w:name="sivug" w:val="1"/>
    <w:docVar w:name="space" w:val="1.3"/>
  </w:docVars>
  <w:rsids>
    <w:rsidRoot w:val="009D05CC"/>
    <w:rsid w:val="000001A4"/>
    <w:rsid w:val="0000041E"/>
    <w:rsid w:val="0000085D"/>
    <w:rsid w:val="00001899"/>
    <w:rsid w:val="000018EF"/>
    <w:rsid w:val="00001C6B"/>
    <w:rsid w:val="00001D5A"/>
    <w:rsid w:val="00001EF4"/>
    <w:rsid w:val="00002EF7"/>
    <w:rsid w:val="00003343"/>
    <w:rsid w:val="00003557"/>
    <w:rsid w:val="00003B77"/>
    <w:rsid w:val="00003D51"/>
    <w:rsid w:val="00003EBB"/>
    <w:rsid w:val="00003F96"/>
    <w:rsid w:val="00004277"/>
    <w:rsid w:val="000046D4"/>
    <w:rsid w:val="00004B30"/>
    <w:rsid w:val="000050EC"/>
    <w:rsid w:val="0000520D"/>
    <w:rsid w:val="000054B7"/>
    <w:rsid w:val="00005638"/>
    <w:rsid w:val="00005B23"/>
    <w:rsid w:val="00005EE0"/>
    <w:rsid w:val="00006B59"/>
    <w:rsid w:val="00006C1F"/>
    <w:rsid w:val="00006C34"/>
    <w:rsid w:val="000071AD"/>
    <w:rsid w:val="00007A8E"/>
    <w:rsid w:val="000100D8"/>
    <w:rsid w:val="0001014C"/>
    <w:rsid w:val="000107D8"/>
    <w:rsid w:val="00011BFC"/>
    <w:rsid w:val="00011DF7"/>
    <w:rsid w:val="00012269"/>
    <w:rsid w:val="00012487"/>
    <w:rsid w:val="00012657"/>
    <w:rsid w:val="00013641"/>
    <w:rsid w:val="00013BC3"/>
    <w:rsid w:val="0001431C"/>
    <w:rsid w:val="0001482C"/>
    <w:rsid w:val="00014D29"/>
    <w:rsid w:val="000155F0"/>
    <w:rsid w:val="000157CF"/>
    <w:rsid w:val="00015A22"/>
    <w:rsid w:val="00016541"/>
    <w:rsid w:val="000166CA"/>
    <w:rsid w:val="000168DE"/>
    <w:rsid w:val="0001735B"/>
    <w:rsid w:val="00020441"/>
    <w:rsid w:val="000206F1"/>
    <w:rsid w:val="00021298"/>
    <w:rsid w:val="00021ED5"/>
    <w:rsid w:val="00021FFB"/>
    <w:rsid w:val="000224FF"/>
    <w:rsid w:val="00023E81"/>
    <w:rsid w:val="000246D2"/>
    <w:rsid w:val="00024E0C"/>
    <w:rsid w:val="000251E2"/>
    <w:rsid w:val="0002526A"/>
    <w:rsid w:val="0002582E"/>
    <w:rsid w:val="000259C7"/>
    <w:rsid w:val="00026245"/>
    <w:rsid w:val="00026367"/>
    <w:rsid w:val="000264D7"/>
    <w:rsid w:val="00026738"/>
    <w:rsid w:val="00026ACC"/>
    <w:rsid w:val="0002705C"/>
    <w:rsid w:val="00027522"/>
    <w:rsid w:val="00027B6F"/>
    <w:rsid w:val="00027BF3"/>
    <w:rsid w:val="00027D0B"/>
    <w:rsid w:val="0003001D"/>
    <w:rsid w:val="000303C9"/>
    <w:rsid w:val="00031C68"/>
    <w:rsid w:val="00031C69"/>
    <w:rsid w:val="00031CEB"/>
    <w:rsid w:val="00032932"/>
    <w:rsid w:val="00033124"/>
    <w:rsid w:val="0003410F"/>
    <w:rsid w:val="00034327"/>
    <w:rsid w:val="0003494D"/>
    <w:rsid w:val="00035688"/>
    <w:rsid w:val="00035B80"/>
    <w:rsid w:val="00035C03"/>
    <w:rsid w:val="00036B0F"/>
    <w:rsid w:val="00036EB8"/>
    <w:rsid w:val="000406E3"/>
    <w:rsid w:val="00040918"/>
    <w:rsid w:val="00040C4D"/>
    <w:rsid w:val="000413AB"/>
    <w:rsid w:val="000414A8"/>
    <w:rsid w:val="000419ED"/>
    <w:rsid w:val="00042688"/>
    <w:rsid w:val="00042837"/>
    <w:rsid w:val="0004293F"/>
    <w:rsid w:val="00042BB1"/>
    <w:rsid w:val="00043204"/>
    <w:rsid w:val="000436EC"/>
    <w:rsid w:val="00043931"/>
    <w:rsid w:val="00044686"/>
    <w:rsid w:val="000448BE"/>
    <w:rsid w:val="00045038"/>
    <w:rsid w:val="000456D3"/>
    <w:rsid w:val="00046670"/>
    <w:rsid w:val="000470AE"/>
    <w:rsid w:val="00047976"/>
    <w:rsid w:val="00047A92"/>
    <w:rsid w:val="00047CF6"/>
    <w:rsid w:val="000501A4"/>
    <w:rsid w:val="00050419"/>
    <w:rsid w:val="00050995"/>
    <w:rsid w:val="00050BDE"/>
    <w:rsid w:val="00050DDE"/>
    <w:rsid w:val="0005218A"/>
    <w:rsid w:val="00052281"/>
    <w:rsid w:val="00052AE4"/>
    <w:rsid w:val="00052E94"/>
    <w:rsid w:val="000532AA"/>
    <w:rsid w:val="00053AA7"/>
    <w:rsid w:val="00053D09"/>
    <w:rsid w:val="00054562"/>
    <w:rsid w:val="00054B57"/>
    <w:rsid w:val="0005582D"/>
    <w:rsid w:val="0005596D"/>
    <w:rsid w:val="00055BE3"/>
    <w:rsid w:val="00055CB5"/>
    <w:rsid w:val="00055E07"/>
    <w:rsid w:val="00055E4C"/>
    <w:rsid w:val="00055EC9"/>
    <w:rsid w:val="00056B3E"/>
    <w:rsid w:val="00056D9C"/>
    <w:rsid w:val="000571B9"/>
    <w:rsid w:val="0005725C"/>
    <w:rsid w:val="00057574"/>
    <w:rsid w:val="00057F8D"/>
    <w:rsid w:val="00060045"/>
    <w:rsid w:val="00060178"/>
    <w:rsid w:val="0006038F"/>
    <w:rsid w:val="00061010"/>
    <w:rsid w:val="000611FF"/>
    <w:rsid w:val="00061760"/>
    <w:rsid w:val="0006189A"/>
    <w:rsid w:val="000618D0"/>
    <w:rsid w:val="00061A2F"/>
    <w:rsid w:val="00061D7A"/>
    <w:rsid w:val="00062475"/>
    <w:rsid w:val="00062BF2"/>
    <w:rsid w:val="00063297"/>
    <w:rsid w:val="00063A11"/>
    <w:rsid w:val="00063BDC"/>
    <w:rsid w:val="0006411D"/>
    <w:rsid w:val="000644E4"/>
    <w:rsid w:val="0006456C"/>
    <w:rsid w:val="00064637"/>
    <w:rsid w:val="000651DF"/>
    <w:rsid w:val="00066AF6"/>
    <w:rsid w:val="00066F43"/>
    <w:rsid w:val="0006721D"/>
    <w:rsid w:val="000672AB"/>
    <w:rsid w:val="000675B0"/>
    <w:rsid w:val="00067A5D"/>
    <w:rsid w:val="00067A76"/>
    <w:rsid w:val="00067E32"/>
    <w:rsid w:val="00067F12"/>
    <w:rsid w:val="000706BF"/>
    <w:rsid w:val="000707EE"/>
    <w:rsid w:val="00070E3F"/>
    <w:rsid w:val="000710A8"/>
    <w:rsid w:val="00071DAA"/>
    <w:rsid w:val="00071F2E"/>
    <w:rsid w:val="0007200F"/>
    <w:rsid w:val="00072B83"/>
    <w:rsid w:val="00072FE8"/>
    <w:rsid w:val="000736B3"/>
    <w:rsid w:val="000738F6"/>
    <w:rsid w:val="00073B6B"/>
    <w:rsid w:val="00073D9F"/>
    <w:rsid w:val="0007429C"/>
    <w:rsid w:val="00074533"/>
    <w:rsid w:val="00074F31"/>
    <w:rsid w:val="00076452"/>
    <w:rsid w:val="00076758"/>
    <w:rsid w:val="00076E3A"/>
    <w:rsid w:val="00076ED7"/>
    <w:rsid w:val="0007717F"/>
    <w:rsid w:val="0007762A"/>
    <w:rsid w:val="000779CE"/>
    <w:rsid w:val="00077B79"/>
    <w:rsid w:val="00080072"/>
    <w:rsid w:val="000803F2"/>
    <w:rsid w:val="00080C22"/>
    <w:rsid w:val="000813BA"/>
    <w:rsid w:val="00081D0E"/>
    <w:rsid w:val="000821CA"/>
    <w:rsid w:val="000824F8"/>
    <w:rsid w:val="0008345D"/>
    <w:rsid w:val="00083692"/>
    <w:rsid w:val="000837F2"/>
    <w:rsid w:val="00083FD0"/>
    <w:rsid w:val="00084E3A"/>
    <w:rsid w:val="00085086"/>
    <w:rsid w:val="00085A22"/>
    <w:rsid w:val="00085B99"/>
    <w:rsid w:val="0008625B"/>
    <w:rsid w:val="00086738"/>
    <w:rsid w:val="00086BCD"/>
    <w:rsid w:val="00087176"/>
    <w:rsid w:val="00087686"/>
    <w:rsid w:val="000901C8"/>
    <w:rsid w:val="0009042C"/>
    <w:rsid w:val="00090633"/>
    <w:rsid w:val="000907D0"/>
    <w:rsid w:val="00091397"/>
    <w:rsid w:val="00091811"/>
    <w:rsid w:val="00091A72"/>
    <w:rsid w:val="00092EAB"/>
    <w:rsid w:val="0009349C"/>
    <w:rsid w:val="00093B1C"/>
    <w:rsid w:val="00093E30"/>
    <w:rsid w:val="0009432F"/>
    <w:rsid w:val="00094D5D"/>
    <w:rsid w:val="00094E0C"/>
    <w:rsid w:val="00094F15"/>
    <w:rsid w:val="0009524E"/>
    <w:rsid w:val="000953AB"/>
    <w:rsid w:val="0009559D"/>
    <w:rsid w:val="000963C8"/>
    <w:rsid w:val="00096CF4"/>
    <w:rsid w:val="0009703F"/>
    <w:rsid w:val="00097CDE"/>
    <w:rsid w:val="00097F13"/>
    <w:rsid w:val="000A00AE"/>
    <w:rsid w:val="000A01F2"/>
    <w:rsid w:val="000A0884"/>
    <w:rsid w:val="000A0915"/>
    <w:rsid w:val="000A134E"/>
    <w:rsid w:val="000A1533"/>
    <w:rsid w:val="000A15B1"/>
    <w:rsid w:val="000A1610"/>
    <w:rsid w:val="000A22CF"/>
    <w:rsid w:val="000A26F1"/>
    <w:rsid w:val="000A2BD8"/>
    <w:rsid w:val="000A3690"/>
    <w:rsid w:val="000A3E74"/>
    <w:rsid w:val="000A3ED4"/>
    <w:rsid w:val="000A4686"/>
    <w:rsid w:val="000A5140"/>
    <w:rsid w:val="000A567C"/>
    <w:rsid w:val="000A5B75"/>
    <w:rsid w:val="000A65A9"/>
    <w:rsid w:val="000A69A7"/>
    <w:rsid w:val="000A6D5B"/>
    <w:rsid w:val="000A7431"/>
    <w:rsid w:val="000A7523"/>
    <w:rsid w:val="000B03E7"/>
    <w:rsid w:val="000B0915"/>
    <w:rsid w:val="000B0929"/>
    <w:rsid w:val="000B0AB9"/>
    <w:rsid w:val="000B1102"/>
    <w:rsid w:val="000B153C"/>
    <w:rsid w:val="000B1C94"/>
    <w:rsid w:val="000B2074"/>
    <w:rsid w:val="000B23E8"/>
    <w:rsid w:val="000B2C5B"/>
    <w:rsid w:val="000B2D9C"/>
    <w:rsid w:val="000B2DBE"/>
    <w:rsid w:val="000B3056"/>
    <w:rsid w:val="000B31AA"/>
    <w:rsid w:val="000B3783"/>
    <w:rsid w:val="000B3A23"/>
    <w:rsid w:val="000B4419"/>
    <w:rsid w:val="000B464E"/>
    <w:rsid w:val="000B4F23"/>
    <w:rsid w:val="000B55BB"/>
    <w:rsid w:val="000B597C"/>
    <w:rsid w:val="000B6604"/>
    <w:rsid w:val="000B7912"/>
    <w:rsid w:val="000B7B95"/>
    <w:rsid w:val="000B7D4C"/>
    <w:rsid w:val="000C05CB"/>
    <w:rsid w:val="000C089C"/>
    <w:rsid w:val="000C0B98"/>
    <w:rsid w:val="000C0F17"/>
    <w:rsid w:val="000C0F60"/>
    <w:rsid w:val="000C164B"/>
    <w:rsid w:val="000C16F6"/>
    <w:rsid w:val="000C1D0D"/>
    <w:rsid w:val="000C2161"/>
    <w:rsid w:val="000C27DC"/>
    <w:rsid w:val="000C2AB9"/>
    <w:rsid w:val="000C3BAD"/>
    <w:rsid w:val="000C3EE2"/>
    <w:rsid w:val="000C404B"/>
    <w:rsid w:val="000C43E0"/>
    <w:rsid w:val="000C492E"/>
    <w:rsid w:val="000C50A1"/>
    <w:rsid w:val="000C5E23"/>
    <w:rsid w:val="000C5F85"/>
    <w:rsid w:val="000C6AAF"/>
    <w:rsid w:val="000C7459"/>
    <w:rsid w:val="000D02DC"/>
    <w:rsid w:val="000D04B8"/>
    <w:rsid w:val="000D0837"/>
    <w:rsid w:val="000D11EB"/>
    <w:rsid w:val="000D1714"/>
    <w:rsid w:val="000D2056"/>
    <w:rsid w:val="000D215D"/>
    <w:rsid w:val="000D22F0"/>
    <w:rsid w:val="000D2A57"/>
    <w:rsid w:val="000D2CDA"/>
    <w:rsid w:val="000D2F7F"/>
    <w:rsid w:val="000D2F93"/>
    <w:rsid w:val="000D2FE7"/>
    <w:rsid w:val="000D4B88"/>
    <w:rsid w:val="000D53BB"/>
    <w:rsid w:val="000D543D"/>
    <w:rsid w:val="000D5B81"/>
    <w:rsid w:val="000D5C0B"/>
    <w:rsid w:val="000D63C9"/>
    <w:rsid w:val="000D69F0"/>
    <w:rsid w:val="000D7666"/>
    <w:rsid w:val="000D7EB1"/>
    <w:rsid w:val="000E013E"/>
    <w:rsid w:val="000E0809"/>
    <w:rsid w:val="000E1475"/>
    <w:rsid w:val="000E1FBD"/>
    <w:rsid w:val="000E2359"/>
    <w:rsid w:val="000E23EA"/>
    <w:rsid w:val="000E2715"/>
    <w:rsid w:val="000E2B2C"/>
    <w:rsid w:val="000E3022"/>
    <w:rsid w:val="000E3B68"/>
    <w:rsid w:val="000E3D52"/>
    <w:rsid w:val="000E3DFA"/>
    <w:rsid w:val="000E3F0C"/>
    <w:rsid w:val="000E432E"/>
    <w:rsid w:val="000E44FD"/>
    <w:rsid w:val="000E4CE7"/>
    <w:rsid w:val="000E4D6A"/>
    <w:rsid w:val="000E4DF7"/>
    <w:rsid w:val="000E50E1"/>
    <w:rsid w:val="000E5149"/>
    <w:rsid w:val="000E54D2"/>
    <w:rsid w:val="000E5834"/>
    <w:rsid w:val="000E5ADC"/>
    <w:rsid w:val="000E618D"/>
    <w:rsid w:val="000E6198"/>
    <w:rsid w:val="000E64A1"/>
    <w:rsid w:val="000E6AAF"/>
    <w:rsid w:val="000E6F44"/>
    <w:rsid w:val="000E73AF"/>
    <w:rsid w:val="000E7622"/>
    <w:rsid w:val="000E7B12"/>
    <w:rsid w:val="000F158C"/>
    <w:rsid w:val="000F1DEA"/>
    <w:rsid w:val="000F23C7"/>
    <w:rsid w:val="000F2408"/>
    <w:rsid w:val="000F2A10"/>
    <w:rsid w:val="000F2E36"/>
    <w:rsid w:val="000F2F7E"/>
    <w:rsid w:val="000F3700"/>
    <w:rsid w:val="000F441E"/>
    <w:rsid w:val="000F4578"/>
    <w:rsid w:val="000F4B6E"/>
    <w:rsid w:val="000F4C79"/>
    <w:rsid w:val="000F5023"/>
    <w:rsid w:val="000F53C2"/>
    <w:rsid w:val="000F59F3"/>
    <w:rsid w:val="000F5EDB"/>
    <w:rsid w:val="000F60AB"/>
    <w:rsid w:val="000F62A9"/>
    <w:rsid w:val="000F6DC5"/>
    <w:rsid w:val="000F6F38"/>
    <w:rsid w:val="000F76A8"/>
    <w:rsid w:val="000F7725"/>
    <w:rsid w:val="000F78AE"/>
    <w:rsid w:val="00101157"/>
    <w:rsid w:val="00101681"/>
    <w:rsid w:val="00101BB0"/>
    <w:rsid w:val="00101D0F"/>
    <w:rsid w:val="00102185"/>
    <w:rsid w:val="0010231B"/>
    <w:rsid w:val="0010237C"/>
    <w:rsid w:val="00102E15"/>
    <w:rsid w:val="00103CF1"/>
    <w:rsid w:val="0010413A"/>
    <w:rsid w:val="00104FBC"/>
    <w:rsid w:val="00105970"/>
    <w:rsid w:val="00106A59"/>
    <w:rsid w:val="00107175"/>
    <w:rsid w:val="0010747A"/>
    <w:rsid w:val="00107A35"/>
    <w:rsid w:val="00107D4A"/>
    <w:rsid w:val="00110167"/>
    <w:rsid w:val="0011021D"/>
    <w:rsid w:val="0011146E"/>
    <w:rsid w:val="0011186B"/>
    <w:rsid w:val="00111AD4"/>
    <w:rsid w:val="00111F8A"/>
    <w:rsid w:val="00112134"/>
    <w:rsid w:val="001122C0"/>
    <w:rsid w:val="00112D92"/>
    <w:rsid w:val="00112E28"/>
    <w:rsid w:val="00113A1D"/>
    <w:rsid w:val="00113C2F"/>
    <w:rsid w:val="00113E28"/>
    <w:rsid w:val="00114290"/>
    <w:rsid w:val="00114325"/>
    <w:rsid w:val="0011483D"/>
    <w:rsid w:val="00114C7A"/>
    <w:rsid w:val="00114E4E"/>
    <w:rsid w:val="00115432"/>
    <w:rsid w:val="001157CE"/>
    <w:rsid w:val="00115E66"/>
    <w:rsid w:val="00115EA3"/>
    <w:rsid w:val="00116816"/>
    <w:rsid w:val="00116E1B"/>
    <w:rsid w:val="001172DF"/>
    <w:rsid w:val="00117408"/>
    <w:rsid w:val="001177FE"/>
    <w:rsid w:val="00117C0E"/>
    <w:rsid w:val="00117DC2"/>
    <w:rsid w:val="0012150C"/>
    <w:rsid w:val="00121682"/>
    <w:rsid w:val="00121E7D"/>
    <w:rsid w:val="00121EA1"/>
    <w:rsid w:val="0012279D"/>
    <w:rsid w:val="00122F2F"/>
    <w:rsid w:val="001239A8"/>
    <w:rsid w:val="001239E1"/>
    <w:rsid w:val="001243A4"/>
    <w:rsid w:val="001247BA"/>
    <w:rsid w:val="00124A4F"/>
    <w:rsid w:val="00124DC1"/>
    <w:rsid w:val="00125628"/>
    <w:rsid w:val="00125881"/>
    <w:rsid w:val="001262F9"/>
    <w:rsid w:val="001268C7"/>
    <w:rsid w:val="00127D9D"/>
    <w:rsid w:val="001305E5"/>
    <w:rsid w:val="00131349"/>
    <w:rsid w:val="0013138F"/>
    <w:rsid w:val="00131999"/>
    <w:rsid w:val="00131CCD"/>
    <w:rsid w:val="00132126"/>
    <w:rsid w:val="001321A1"/>
    <w:rsid w:val="0013302E"/>
    <w:rsid w:val="00133710"/>
    <w:rsid w:val="0013406B"/>
    <w:rsid w:val="00134F83"/>
    <w:rsid w:val="001354CB"/>
    <w:rsid w:val="00135695"/>
    <w:rsid w:val="00135742"/>
    <w:rsid w:val="00135A23"/>
    <w:rsid w:val="00135B1B"/>
    <w:rsid w:val="00136479"/>
    <w:rsid w:val="00136496"/>
    <w:rsid w:val="0013664A"/>
    <w:rsid w:val="0013667B"/>
    <w:rsid w:val="0013696C"/>
    <w:rsid w:val="00136A10"/>
    <w:rsid w:val="00136A3E"/>
    <w:rsid w:val="0013702C"/>
    <w:rsid w:val="00137337"/>
    <w:rsid w:val="001378D5"/>
    <w:rsid w:val="00137FF0"/>
    <w:rsid w:val="001400DC"/>
    <w:rsid w:val="00140560"/>
    <w:rsid w:val="00140A5E"/>
    <w:rsid w:val="00140CC4"/>
    <w:rsid w:val="00140CD9"/>
    <w:rsid w:val="00141160"/>
    <w:rsid w:val="00141853"/>
    <w:rsid w:val="00141BD6"/>
    <w:rsid w:val="00141E09"/>
    <w:rsid w:val="00141F98"/>
    <w:rsid w:val="00142206"/>
    <w:rsid w:val="00143176"/>
    <w:rsid w:val="001431D6"/>
    <w:rsid w:val="00143B4D"/>
    <w:rsid w:val="00143FFA"/>
    <w:rsid w:val="0014435E"/>
    <w:rsid w:val="0014465D"/>
    <w:rsid w:val="00144908"/>
    <w:rsid w:val="00144BB3"/>
    <w:rsid w:val="00144C4B"/>
    <w:rsid w:val="001451A4"/>
    <w:rsid w:val="0014551F"/>
    <w:rsid w:val="001460BB"/>
    <w:rsid w:val="001466D7"/>
    <w:rsid w:val="0014691B"/>
    <w:rsid w:val="001469CA"/>
    <w:rsid w:val="00146E34"/>
    <w:rsid w:val="0014715B"/>
    <w:rsid w:val="001475C5"/>
    <w:rsid w:val="00147605"/>
    <w:rsid w:val="00150248"/>
    <w:rsid w:val="00150611"/>
    <w:rsid w:val="00150A48"/>
    <w:rsid w:val="00150BE4"/>
    <w:rsid w:val="00150BE7"/>
    <w:rsid w:val="00150BEB"/>
    <w:rsid w:val="00150CC9"/>
    <w:rsid w:val="00150F89"/>
    <w:rsid w:val="00151B16"/>
    <w:rsid w:val="00152452"/>
    <w:rsid w:val="001526AC"/>
    <w:rsid w:val="001527A0"/>
    <w:rsid w:val="00152C2F"/>
    <w:rsid w:val="00153149"/>
    <w:rsid w:val="00153A60"/>
    <w:rsid w:val="00153D95"/>
    <w:rsid w:val="00154091"/>
    <w:rsid w:val="0015454A"/>
    <w:rsid w:val="00154682"/>
    <w:rsid w:val="00154827"/>
    <w:rsid w:val="00154F60"/>
    <w:rsid w:val="00155501"/>
    <w:rsid w:val="001560B9"/>
    <w:rsid w:val="00156CAA"/>
    <w:rsid w:val="00156DEF"/>
    <w:rsid w:val="0015702B"/>
    <w:rsid w:val="00157577"/>
    <w:rsid w:val="00157D86"/>
    <w:rsid w:val="00160155"/>
    <w:rsid w:val="0016031C"/>
    <w:rsid w:val="00161124"/>
    <w:rsid w:val="00161717"/>
    <w:rsid w:val="00161DA5"/>
    <w:rsid w:val="00161DFE"/>
    <w:rsid w:val="001628FF"/>
    <w:rsid w:val="00162EAF"/>
    <w:rsid w:val="001630E8"/>
    <w:rsid w:val="001637C1"/>
    <w:rsid w:val="001639FB"/>
    <w:rsid w:val="00163D00"/>
    <w:rsid w:val="001643E4"/>
    <w:rsid w:val="00164534"/>
    <w:rsid w:val="001648F4"/>
    <w:rsid w:val="00164B64"/>
    <w:rsid w:val="00164C99"/>
    <w:rsid w:val="00165294"/>
    <w:rsid w:val="00166364"/>
    <w:rsid w:val="00166477"/>
    <w:rsid w:val="0016692C"/>
    <w:rsid w:val="00166D27"/>
    <w:rsid w:val="001672B6"/>
    <w:rsid w:val="001674FF"/>
    <w:rsid w:val="001675AA"/>
    <w:rsid w:val="00167D07"/>
    <w:rsid w:val="00170230"/>
    <w:rsid w:val="00170320"/>
    <w:rsid w:val="00170625"/>
    <w:rsid w:val="0017091D"/>
    <w:rsid w:val="00170DCB"/>
    <w:rsid w:val="0017146B"/>
    <w:rsid w:val="00171552"/>
    <w:rsid w:val="00171B4A"/>
    <w:rsid w:val="00171ECD"/>
    <w:rsid w:val="0017200D"/>
    <w:rsid w:val="0017265F"/>
    <w:rsid w:val="001730B0"/>
    <w:rsid w:val="001739FC"/>
    <w:rsid w:val="00173FDD"/>
    <w:rsid w:val="001747CF"/>
    <w:rsid w:val="00174A21"/>
    <w:rsid w:val="00175053"/>
    <w:rsid w:val="0017513A"/>
    <w:rsid w:val="00175FE2"/>
    <w:rsid w:val="00176411"/>
    <w:rsid w:val="00176911"/>
    <w:rsid w:val="00176B96"/>
    <w:rsid w:val="00177D09"/>
    <w:rsid w:val="00177D2F"/>
    <w:rsid w:val="00180392"/>
    <w:rsid w:val="00180A11"/>
    <w:rsid w:val="001814DD"/>
    <w:rsid w:val="00181A6A"/>
    <w:rsid w:val="001821A3"/>
    <w:rsid w:val="00182D37"/>
    <w:rsid w:val="00182DC0"/>
    <w:rsid w:val="00183085"/>
    <w:rsid w:val="001839FA"/>
    <w:rsid w:val="00183DDC"/>
    <w:rsid w:val="0018505D"/>
    <w:rsid w:val="001850C6"/>
    <w:rsid w:val="0018586A"/>
    <w:rsid w:val="001858E5"/>
    <w:rsid w:val="00185AE7"/>
    <w:rsid w:val="00185B85"/>
    <w:rsid w:val="00185C35"/>
    <w:rsid w:val="00186BD2"/>
    <w:rsid w:val="0018758B"/>
    <w:rsid w:val="00187A91"/>
    <w:rsid w:val="00187D1B"/>
    <w:rsid w:val="001900F7"/>
    <w:rsid w:val="0019015A"/>
    <w:rsid w:val="00190396"/>
    <w:rsid w:val="00190855"/>
    <w:rsid w:val="00190F93"/>
    <w:rsid w:val="001913E4"/>
    <w:rsid w:val="00191D43"/>
    <w:rsid w:val="00191FF6"/>
    <w:rsid w:val="00192E51"/>
    <w:rsid w:val="00192F16"/>
    <w:rsid w:val="00193071"/>
    <w:rsid w:val="0019399F"/>
    <w:rsid w:val="00194286"/>
    <w:rsid w:val="00194332"/>
    <w:rsid w:val="00195732"/>
    <w:rsid w:val="00195BC7"/>
    <w:rsid w:val="00195E40"/>
    <w:rsid w:val="00195EBA"/>
    <w:rsid w:val="001960B4"/>
    <w:rsid w:val="00196FD4"/>
    <w:rsid w:val="0019758B"/>
    <w:rsid w:val="00197B6F"/>
    <w:rsid w:val="00197B8A"/>
    <w:rsid w:val="00197CC1"/>
    <w:rsid w:val="001A0135"/>
    <w:rsid w:val="001A0CA6"/>
    <w:rsid w:val="001A166A"/>
    <w:rsid w:val="001A2081"/>
    <w:rsid w:val="001A2A50"/>
    <w:rsid w:val="001A2F88"/>
    <w:rsid w:val="001A30F6"/>
    <w:rsid w:val="001A325B"/>
    <w:rsid w:val="001A34D7"/>
    <w:rsid w:val="001A385B"/>
    <w:rsid w:val="001A38A7"/>
    <w:rsid w:val="001A3974"/>
    <w:rsid w:val="001A3E92"/>
    <w:rsid w:val="001A40B6"/>
    <w:rsid w:val="001A4B1D"/>
    <w:rsid w:val="001A4C5A"/>
    <w:rsid w:val="001A4FC5"/>
    <w:rsid w:val="001A5D04"/>
    <w:rsid w:val="001A5DF1"/>
    <w:rsid w:val="001A613C"/>
    <w:rsid w:val="001A6276"/>
    <w:rsid w:val="001A72F6"/>
    <w:rsid w:val="001A7D06"/>
    <w:rsid w:val="001A7DFE"/>
    <w:rsid w:val="001B1655"/>
    <w:rsid w:val="001B17FB"/>
    <w:rsid w:val="001B2821"/>
    <w:rsid w:val="001B285C"/>
    <w:rsid w:val="001B2A02"/>
    <w:rsid w:val="001B2ACB"/>
    <w:rsid w:val="001B2D16"/>
    <w:rsid w:val="001B2DBB"/>
    <w:rsid w:val="001B3BE6"/>
    <w:rsid w:val="001B3EFA"/>
    <w:rsid w:val="001B41A2"/>
    <w:rsid w:val="001B49CC"/>
    <w:rsid w:val="001B4B0A"/>
    <w:rsid w:val="001B4E87"/>
    <w:rsid w:val="001B4EA7"/>
    <w:rsid w:val="001B5656"/>
    <w:rsid w:val="001B5DFF"/>
    <w:rsid w:val="001B65B8"/>
    <w:rsid w:val="001B6F86"/>
    <w:rsid w:val="001B70CA"/>
    <w:rsid w:val="001B75F0"/>
    <w:rsid w:val="001C00D8"/>
    <w:rsid w:val="001C057E"/>
    <w:rsid w:val="001C1B42"/>
    <w:rsid w:val="001C2CAD"/>
    <w:rsid w:val="001C308D"/>
    <w:rsid w:val="001C3187"/>
    <w:rsid w:val="001C3232"/>
    <w:rsid w:val="001C34D5"/>
    <w:rsid w:val="001C3D70"/>
    <w:rsid w:val="001C3ED9"/>
    <w:rsid w:val="001C450A"/>
    <w:rsid w:val="001C45D9"/>
    <w:rsid w:val="001C49B8"/>
    <w:rsid w:val="001C5616"/>
    <w:rsid w:val="001C5A02"/>
    <w:rsid w:val="001C5BF5"/>
    <w:rsid w:val="001C5C3E"/>
    <w:rsid w:val="001C5C9D"/>
    <w:rsid w:val="001C5EB7"/>
    <w:rsid w:val="001C5FEF"/>
    <w:rsid w:val="001C6FC8"/>
    <w:rsid w:val="001C72B2"/>
    <w:rsid w:val="001D0073"/>
    <w:rsid w:val="001D0955"/>
    <w:rsid w:val="001D1192"/>
    <w:rsid w:val="001D223A"/>
    <w:rsid w:val="001D2243"/>
    <w:rsid w:val="001D2793"/>
    <w:rsid w:val="001D2F2A"/>
    <w:rsid w:val="001D3679"/>
    <w:rsid w:val="001D3CC2"/>
    <w:rsid w:val="001D4406"/>
    <w:rsid w:val="001D461F"/>
    <w:rsid w:val="001D46D3"/>
    <w:rsid w:val="001D6714"/>
    <w:rsid w:val="001D713E"/>
    <w:rsid w:val="001D77E6"/>
    <w:rsid w:val="001E0306"/>
    <w:rsid w:val="001E09E8"/>
    <w:rsid w:val="001E0A7D"/>
    <w:rsid w:val="001E0D0D"/>
    <w:rsid w:val="001E1049"/>
    <w:rsid w:val="001E1C40"/>
    <w:rsid w:val="001E1EC3"/>
    <w:rsid w:val="001E1FB9"/>
    <w:rsid w:val="001E1FD1"/>
    <w:rsid w:val="001E2246"/>
    <w:rsid w:val="001E23E2"/>
    <w:rsid w:val="001E3778"/>
    <w:rsid w:val="001E3F7F"/>
    <w:rsid w:val="001E462B"/>
    <w:rsid w:val="001E4759"/>
    <w:rsid w:val="001E475C"/>
    <w:rsid w:val="001E527A"/>
    <w:rsid w:val="001E57C2"/>
    <w:rsid w:val="001E59BD"/>
    <w:rsid w:val="001E5C3E"/>
    <w:rsid w:val="001E61C9"/>
    <w:rsid w:val="001E641F"/>
    <w:rsid w:val="001E66A7"/>
    <w:rsid w:val="001E773D"/>
    <w:rsid w:val="001E7FDF"/>
    <w:rsid w:val="001F068F"/>
    <w:rsid w:val="001F0BBB"/>
    <w:rsid w:val="001F0DE8"/>
    <w:rsid w:val="001F2E3B"/>
    <w:rsid w:val="001F3363"/>
    <w:rsid w:val="001F3815"/>
    <w:rsid w:val="001F4057"/>
    <w:rsid w:val="001F407D"/>
    <w:rsid w:val="001F4183"/>
    <w:rsid w:val="001F54B2"/>
    <w:rsid w:val="001F5566"/>
    <w:rsid w:val="001F5736"/>
    <w:rsid w:val="001F589E"/>
    <w:rsid w:val="001F6AE0"/>
    <w:rsid w:val="001F6B1F"/>
    <w:rsid w:val="001F6BA7"/>
    <w:rsid w:val="001F6CBF"/>
    <w:rsid w:val="001F76D7"/>
    <w:rsid w:val="00200434"/>
    <w:rsid w:val="00200E5B"/>
    <w:rsid w:val="00200FE9"/>
    <w:rsid w:val="002014C8"/>
    <w:rsid w:val="00202068"/>
    <w:rsid w:val="00202878"/>
    <w:rsid w:val="00202F24"/>
    <w:rsid w:val="00202F8B"/>
    <w:rsid w:val="00203277"/>
    <w:rsid w:val="00203604"/>
    <w:rsid w:val="00203E25"/>
    <w:rsid w:val="00205724"/>
    <w:rsid w:val="00205C5F"/>
    <w:rsid w:val="002064F7"/>
    <w:rsid w:val="00206509"/>
    <w:rsid w:val="00206BDB"/>
    <w:rsid w:val="00207071"/>
    <w:rsid w:val="00207456"/>
    <w:rsid w:val="0020761B"/>
    <w:rsid w:val="0021058F"/>
    <w:rsid w:val="0021135F"/>
    <w:rsid w:val="0021150C"/>
    <w:rsid w:val="00212144"/>
    <w:rsid w:val="002127FD"/>
    <w:rsid w:val="00212B04"/>
    <w:rsid w:val="00212EEA"/>
    <w:rsid w:val="002130B4"/>
    <w:rsid w:val="0021348C"/>
    <w:rsid w:val="00214BC0"/>
    <w:rsid w:val="00214CAA"/>
    <w:rsid w:val="002154D1"/>
    <w:rsid w:val="00215BEE"/>
    <w:rsid w:val="0021654E"/>
    <w:rsid w:val="00216875"/>
    <w:rsid w:val="00216A19"/>
    <w:rsid w:val="00217AB0"/>
    <w:rsid w:val="00217B31"/>
    <w:rsid w:val="002202E4"/>
    <w:rsid w:val="0022072A"/>
    <w:rsid w:val="00220B3D"/>
    <w:rsid w:val="0022100A"/>
    <w:rsid w:val="00221160"/>
    <w:rsid w:val="002213EE"/>
    <w:rsid w:val="00221922"/>
    <w:rsid w:val="00221B94"/>
    <w:rsid w:val="00221E3A"/>
    <w:rsid w:val="002220AB"/>
    <w:rsid w:val="00222AAD"/>
    <w:rsid w:val="002237A5"/>
    <w:rsid w:val="00224723"/>
    <w:rsid w:val="002248C1"/>
    <w:rsid w:val="00224C04"/>
    <w:rsid w:val="00224EF7"/>
    <w:rsid w:val="002251A4"/>
    <w:rsid w:val="00225489"/>
    <w:rsid w:val="00225718"/>
    <w:rsid w:val="00225CAE"/>
    <w:rsid w:val="0022615B"/>
    <w:rsid w:val="002263E1"/>
    <w:rsid w:val="00226528"/>
    <w:rsid w:val="0022685E"/>
    <w:rsid w:val="00226C31"/>
    <w:rsid w:val="0022705A"/>
    <w:rsid w:val="00227BBA"/>
    <w:rsid w:val="00227E88"/>
    <w:rsid w:val="0023004B"/>
    <w:rsid w:val="002301B6"/>
    <w:rsid w:val="00230630"/>
    <w:rsid w:val="00230B94"/>
    <w:rsid w:val="00230F6F"/>
    <w:rsid w:val="00231C3C"/>
    <w:rsid w:val="00231DC5"/>
    <w:rsid w:val="00232836"/>
    <w:rsid w:val="002338F8"/>
    <w:rsid w:val="00234167"/>
    <w:rsid w:val="00234AB5"/>
    <w:rsid w:val="00234F9B"/>
    <w:rsid w:val="0023589B"/>
    <w:rsid w:val="00235AEE"/>
    <w:rsid w:val="00235D75"/>
    <w:rsid w:val="002366CE"/>
    <w:rsid w:val="00236D0B"/>
    <w:rsid w:val="00236F10"/>
    <w:rsid w:val="002375D3"/>
    <w:rsid w:val="00237F59"/>
    <w:rsid w:val="0024001A"/>
    <w:rsid w:val="00240887"/>
    <w:rsid w:val="00240A1C"/>
    <w:rsid w:val="00241142"/>
    <w:rsid w:val="00241958"/>
    <w:rsid w:val="002419F2"/>
    <w:rsid w:val="00243E20"/>
    <w:rsid w:val="00244096"/>
    <w:rsid w:val="0024417D"/>
    <w:rsid w:val="00244754"/>
    <w:rsid w:val="00244A94"/>
    <w:rsid w:val="00244C55"/>
    <w:rsid w:val="00245470"/>
    <w:rsid w:val="00246CD7"/>
    <w:rsid w:val="00247618"/>
    <w:rsid w:val="00247C83"/>
    <w:rsid w:val="00250370"/>
    <w:rsid w:val="0025068A"/>
    <w:rsid w:val="00250751"/>
    <w:rsid w:val="00250A7F"/>
    <w:rsid w:val="00250C24"/>
    <w:rsid w:val="00250D13"/>
    <w:rsid w:val="002511D9"/>
    <w:rsid w:val="002516DF"/>
    <w:rsid w:val="00251B50"/>
    <w:rsid w:val="002531F9"/>
    <w:rsid w:val="00253952"/>
    <w:rsid w:val="002539B8"/>
    <w:rsid w:val="00254CF4"/>
    <w:rsid w:val="00254EF4"/>
    <w:rsid w:val="00255877"/>
    <w:rsid w:val="0025598F"/>
    <w:rsid w:val="0025701A"/>
    <w:rsid w:val="002575ED"/>
    <w:rsid w:val="002576EB"/>
    <w:rsid w:val="0026008A"/>
    <w:rsid w:val="00260421"/>
    <w:rsid w:val="00260BF5"/>
    <w:rsid w:val="00260D04"/>
    <w:rsid w:val="0026130F"/>
    <w:rsid w:val="00261C84"/>
    <w:rsid w:val="00262130"/>
    <w:rsid w:val="00262A9E"/>
    <w:rsid w:val="00263521"/>
    <w:rsid w:val="00263A1E"/>
    <w:rsid w:val="00263DB7"/>
    <w:rsid w:val="0026431E"/>
    <w:rsid w:val="002643D4"/>
    <w:rsid w:val="00264AC3"/>
    <w:rsid w:val="00264CFB"/>
    <w:rsid w:val="0026519B"/>
    <w:rsid w:val="00265428"/>
    <w:rsid w:val="002654D1"/>
    <w:rsid w:val="0026633D"/>
    <w:rsid w:val="0027101D"/>
    <w:rsid w:val="0027121E"/>
    <w:rsid w:val="0027188F"/>
    <w:rsid w:val="002739B2"/>
    <w:rsid w:val="00273FDF"/>
    <w:rsid w:val="0027424D"/>
    <w:rsid w:val="00275141"/>
    <w:rsid w:val="002753C7"/>
    <w:rsid w:val="00275A79"/>
    <w:rsid w:val="002763F9"/>
    <w:rsid w:val="00276D55"/>
    <w:rsid w:val="00277114"/>
    <w:rsid w:val="002774D4"/>
    <w:rsid w:val="0028138F"/>
    <w:rsid w:val="002813A0"/>
    <w:rsid w:val="002814A7"/>
    <w:rsid w:val="00281F46"/>
    <w:rsid w:val="00282151"/>
    <w:rsid w:val="00282C5A"/>
    <w:rsid w:val="00282D4B"/>
    <w:rsid w:val="00283372"/>
    <w:rsid w:val="00283FFC"/>
    <w:rsid w:val="002841CB"/>
    <w:rsid w:val="00284ABA"/>
    <w:rsid w:val="00284B06"/>
    <w:rsid w:val="00285362"/>
    <w:rsid w:val="00285B61"/>
    <w:rsid w:val="00285EC0"/>
    <w:rsid w:val="0028639A"/>
    <w:rsid w:val="0028686C"/>
    <w:rsid w:val="0028694C"/>
    <w:rsid w:val="002869E1"/>
    <w:rsid w:val="00286A23"/>
    <w:rsid w:val="00286C34"/>
    <w:rsid w:val="002870FF"/>
    <w:rsid w:val="00287385"/>
    <w:rsid w:val="00287BEF"/>
    <w:rsid w:val="00290C01"/>
    <w:rsid w:val="00290D96"/>
    <w:rsid w:val="00291775"/>
    <w:rsid w:val="002920D3"/>
    <w:rsid w:val="002925B8"/>
    <w:rsid w:val="00292791"/>
    <w:rsid w:val="00292A58"/>
    <w:rsid w:val="00293FC3"/>
    <w:rsid w:val="00294150"/>
    <w:rsid w:val="00294251"/>
    <w:rsid w:val="00294784"/>
    <w:rsid w:val="00294AF0"/>
    <w:rsid w:val="00296A9F"/>
    <w:rsid w:val="002970CC"/>
    <w:rsid w:val="00297730"/>
    <w:rsid w:val="00297B77"/>
    <w:rsid w:val="00297FD7"/>
    <w:rsid w:val="002A04CC"/>
    <w:rsid w:val="002A0913"/>
    <w:rsid w:val="002A1117"/>
    <w:rsid w:val="002A18D6"/>
    <w:rsid w:val="002A1999"/>
    <w:rsid w:val="002A2132"/>
    <w:rsid w:val="002A232C"/>
    <w:rsid w:val="002A29AB"/>
    <w:rsid w:val="002A2C5A"/>
    <w:rsid w:val="002A3A3E"/>
    <w:rsid w:val="002A4153"/>
    <w:rsid w:val="002A4460"/>
    <w:rsid w:val="002A4707"/>
    <w:rsid w:val="002A4B57"/>
    <w:rsid w:val="002A4F87"/>
    <w:rsid w:val="002A53E2"/>
    <w:rsid w:val="002A57EB"/>
    <w:rsid w:val="002A598C"/>
    <w:rsid w:val="002A6418"/>
    <w:rsid w:val="002A64F8"/>
    <w:rsid w:val="002A68DE"/>
    <w:rsid w:val="002A6A8F"/>
    <w:rsid w:val="002A6B3B"/>
    <w:rsid w:val="002A7D21"/>
    <w:rsid w:val="002B0115"/>
    <w:rsid w:val="002B08F4"/>
    <w:rsid w:val="002B0C29"/>
    <w:rsid w:val="002B10E8"/>
    <w:rsid w:val="002B12C0"/>
    <w:rsid w:val="002B1394"/>
    <w:rsid w:val="002B30DB"/>
    <w:rsid w:val="002B3A8C"/>
    <w:rsid w:val="002B55FA"/>
    <w:rsid w:val="002B5A1F"/>
    <w:rsid w:val="002B5C10"/>
    <w:rsid w:val="002B5C6F"/>
    <w:rsid w:val="002B5D65"/>
    <w:rsid w:val="002B5EF2"/>
    <w:rsid w:val="002B637F"/>
    <w:rsid w:val="002B65DC"/>
    <w:rsid w:val="002B6803"/>
    <w:rsid w:val="002B6FB4"/>
    <w:rsid w:val="002B730D"/>
    <w:rsid w:val="002C06EB"/>
    <w:rsid w:val="002C1BB5"/>
    <w:rsid w:val="002C1D86"/>
    <w:rsid w:val="002C1EE0"/>
    <w:rsid w:val="002C2234"/>
    <w:rsid w:val="002C247E"/>
    <w:rsid w:val="002C28D3"/>
    <w:rsid w:val="002C2B0E"/>
    <w:rsid w:val="002C3110"/>
    <w:rsid w:val="002C316A"/>
    <w:rsid w:val="002C3B87"/>
    <w:rsid w:val="002C3D55"/>
    <w:rsid w:val="002C4139"/>
    <w:rsid w:val="002C4302"/>
    <w:rsid w:val="002C4F9F"/>
    <w:rsid w:val="002C54FF"/>
    <w:rsid w:val="002C58AD"/>
    <w:rsid w:val="002C6198"/>
    <w:rsid w:val="002C65B3"/>
    <w:rsid w:val="002C6D22"/>
    <w:rsid w:val="002C70A2"/>
    <w:rsid w:val="002C7A5A"/>
    <w:rsid w:val="002C7D35"/>
    <w:rsid w:val="002C7FC3"/>
    <w:rsid w:val="002D083D"/>
    <w:rsid w:val="002D092B"/>
    <w:rsid w:val="002D1688"/>
    <w:rsid w:val="002D2963"/>
    <w:rsid w:val="002D3201"/>
    <w:rsid w:val="002D32B9"/>
    <w:rsid w:val="002D38CB"/>
    <w:rsid w:val="002D3AC8"/>
    <w:rsid w:val="002D45AB"/>
    <w:rsid w:val="002D4617"/>
    <w:rsid w:val="002D4D38"/>
    <w:rsid w:val="002D4E81"/>
    <w:rsid w:val="002D5209"/>
    <w:rsid w:val="002D555F"/>
    <w:rsid w:val="002D572F"/>
    <w:rsid w:val="002D5930"/>
    <w:rsid w:val="002D5D2C"/>
    <w:rsid w:val="002D65CF"/>
    <w:rsid w:val="002D6964"/>
    <w:rsid w:val="002D69A4"/>
    <w:rsid w:val="002D6DBD"/>
    <w:rsid w:val="002D6EF5"/>
    <w:rsid w:val="002D79AA"/>
    <w:rsid w:val="002D79C7"/>
    <w:rsid w:val="002D7F23"/>
    <w:rsid w:val="002E0151"/>
    <w:rsid w:val="002E01CC"/>
    <w:rsid w:val="002E07C7"/>
    <w:rsid w:val="002E0A57"/>
    <w:rsid w:val="002E178D"/>
    <w:rsid w:val="002E188D"/>
    <w:rsid w:val="002E1E1F"/>
    <w:rsid w:val="002E2222"/>
    <w:rsid w:val="002E24BB"/>
    <w:rsid w:val="002E2DB0"/>
    <w:rsid w:val="002E2F27"/>
    <w:rsid w:val="002E3AA6"/>
    <w:rsid w:val="002E424B"/>
    <w:rsid w:val="002E4818"/>
    <w:rsid w:val="002E56EA"/>
    <w:rsid w:val="002E5757"/>
    <w:rsid w:val="002E6467"/>
    <w:rsid w:val="002E68C8"/>
    <w:rsid w:val="002E6B3E"/>
    <w:rsid w:val="002E707E"/>
    <w:rsid w:val="002E70B8"/>
    <w:rsid w:val="002E7528"/>
    <w:rsid w:val="002E76D3"/>
    <w:rsid w:val="002F06E7"/>
    <w:rsid w:val="002F1184"/>
    <w:rsid w:val="002F11D2"/>
    <w:rsid w:val="002F1452"/>
    <w:rsid w:val="002F1610"/>
    <w:rsid w:val="002F2019"/>
    <w:rsid w:val="002F24F0"/>
    <w:rsid w:val="002F29CA"/>
    <w:rsid w:val="002F2C5D"/>
    <w:rsid w:val="002F3162"/>
    <w:rsid w:val="002F3B2B"/>
    <w:rsid w:val="002F3C8A"/>
    <w:rsid w:val="002F42B0"/>
    <w:rsid w:val="002F430E"/>
    <w:rsid w:val="002F44B2"/>
    <w:rsid w:val="002F4761"/>
    <w:rsid w:val="002F5163"/>
    <w:rsid w:val="002F5293"/>
    <w:rsid w:val="002F5628"/>
    <w:rsid w:val="002F5A80"/>
    <w:rsid w:val="002F5B51"/>
    <w:rsid w:val="002F5CEC"/>
    <w:rsid w:val="002F69ED"/>
    <w:rsid w:val="002F6FA5"/>
    <w:rsid w:val="002F724D"/>
    <w:rsid w:val="002F78B6"/>
    <w:rsid w:val="002F7C75"/>
    <w:rsid w:val="002F7D09"/>
    <w:rsid w:val="00300146"/>
    <w:rsid w:val="0030043A"/>
    <w:rsid w:val="00300F74"/>
    <w:rsid w:val="0030114C"/>
    <w:rsid w:val="00301153"/>
    <w:rsid w:val="00301A99"/>
    <w:rsid w:val="00301A9A"/>
    <w:rsid w:val="003020D6"/>
    <w:rsid w:val="00302134"/>
    <w:rsid w:val="003021D8"/>
    <w:rsid w:val="0030285A"/>
    <w:rsid w:val="00302C17"/>
    <w:rsid w:val="00302DC7"/>
    <w:rsid w:val="0030338B"/>
    <w:rsid w:val="003038A7"/>
    <w:rsid w:val="00303B4E"/>
    <w:rsid w:val="0030415A"/>
    <w:rsid w:val="0030451F"/>
    <w:rsid w:val="00304D83"/>
    <w:rsid w:val="00304E57"/>
    <w:rsid w:val="003050D0"/>
    <w:rsid w:val="0030516B"/>
    <w:rsid w:val="00305A00"/>
    <w:rsid w:val="00305E58"/>
    <w:rsid w:val="003063A3"/>
    <w:rsid w:val="003067B1"/>
    <w:rsid w:val="00306A3B"/>
    <w:rsid w:val="00306A59"/>
    <w:rsid w:val="003071E1"/>
    <w:rsid w:val="003073E1"/>
    <w:rsid w:val="00307A51"/>
    <w:rsid w:val="00307FA5"/>
    <w:rsid w:val="003108E3"/>
    <w:rsid w:val="00310C5E"/>
    <w:rsid w:val="00311190"/>
    <w:rsid w:val="0031135A"/>
    <w:rsid w:val="00312590"/>
    <w:rsid w:val="003126B6"/>
    <w:rsid w:val="0031307E"/>
    <w:rsid w:val="0031327E"/>
    <w:rsid w:val="00313D58"/>
    <w:rsid w:val="00313EEC"/>
    <w:rsid w:val="00314144"/>
    <w:rsid w:val="0031431B"/>
    <w:rsid w:val="0031468A"/>
    <w:rsid w:val="003149AC"/>
    <w:rsid w:val="00314F75"/>
    <w:rsid w:val="00315624"/>
    <w:rsid w:val="00315BD6"/>
    <w:rsid w:val="00315D7F"/>
    <w:rsid w:val="00315FF2"/>
    <w:rsid w:val="00316385"/>
    <w:rsid w:val="00316C57"/>
    <w:rsid w:val="00316F0F"/>
    <w:rsid w:val="003177E2"/>
    <w:rsid w:val="00317ADC"/>
    <w:rsid w:val="0032022E"/>
    <w:rsid w:val="00321066"/>
    <w:rsid w:val="0032110F"/>
    <w:rsid w:val="0032289E"/>
    <w:rsid w:val="003228CE"/>
    <w:rsid w:val="00322998"/>
    <w:rsid w:val="00322A81"/>
    <w:rsid w:val="00322D13"/>
    <w:rsid w:val="00323027"/>
    <w:rsid w:val="0032331E"/>
    <w:rsid w:val="003233A8"/>
    <w:rsid w:val="00323874"/>
    <w:rsid w:val="00324236"/>
    <w:rsid w:val="0032448C"/>
    <w:rsid w:val="00324BC1"/>
    <w:rsid w:val="00324C2A"/>
    <w:rsid w:val="00324F0D"/>
    <w:rsid w:val="003255F9"/>
    <w:rsid w:val="003257C6"/>
    <w:rsid w:val="00325F44"/>
    <w:rsid w:val="00326ABF"/>
    <w:rsid w:val="00326C7C"/>
    <w:rsid w:val="00326EF0"/>
    <w:rsid w:val="00326F6A"/>
    <w:rsid w:val="003271AB"/>
    <w:rsid w:val="00327593"/>
    <w:rsid w:val="0032765C"/>
    <w:rsid w:val="00327D99"/>
    <w:rsid w:val="003303FB"/>
    <w:rsid w:val="003318C2"/>
    <w:rsid w:val="00331924"/>
    <w:rsid w:val="00332663"/>
    <w:rsid w:val="00332C43"/>
    <w:rsid w:val="00332F33"/>
    <w:rsid w:val="00333A88"/>
    <w:rsid w:val="00333BC5"/>
    <w:rsid w:val="00334708"/>
    <w:rsid w:val="00334A65"/>
    <w:rsid w:val="00334D20"/>
    <w:rsid w:val="00335267"/>
    <w:rsid w:val="0033564C"/>
    <w:rsid w:val="003356A2"/>
    <w:rsid w:val="0033582C"/>
    <w:rsid w:val="00335A0A"/>
    <w:rsid w:val="00335CDC"/>
    <w:rsid w:val="0033672B"/>
    <w:rsid w:val="00337048"/>
    <w:rsid w:val="003370BA"/>
    <w:rsid w:val="003372D0"/>
    <w:rsid w:val="00337846"/>
    <w:rsid w:val="00337847"/>
    <w:rsid w:val="0033799E"/>
    <w:rsid w:val="00337BB0"/>
    <w:rsid w:val="00337C4E"/>
    <w:rsid w:val="00337EBF"/>
    <w:rsid w:val="0034003B"/>
    <w:rsid w:val="00340353"/>
    <w:rsid w:val="0034038A"/>
    <w:rsid w:val="003405D2"/>
    <w:rsid w:val="003405E7"/>
    <w:rsid w:val="0034070F"/>
    <w:rsid w:val="00340C7C"/>
    <w:rsid w:val="00340D4D"/>
    <w:rsid w:val="0034149F"/>
    <w:rsid w:val="003417BA"/>
    <w:rsid w:val="003419FB"/>
    <w:rsid w:val="00341C37"/>
    <w:rsid w:val="0034221A"/>
    <w:rsid w:val="00343B0B"/>
    <w:rsid w:val="00343D49"/>
    <w:rsid w:val="00344346"/>
    <w:rsid w:val="00344842"/>
    <w:rsid w:val="00344BBF"/>
    <w:rsid w:val="003451F8"/>
    <w:rsid w:val="00345827"/>
    <w:rsid w:val="00345868"/>
    <w:rsid w:val="0034637E"/>
    <w:rsid w:val="003466B0"/>
    <w:rsid w:val="00346930"/>
    <w:rsid w:val="00347011"/>
    <w:rsid w:val="00347612"/>
    <w:rsid w:val="00347800"/>
    <w:rsid w:val="00347942"/>
    <w:rsid w:val="00347A15"/>
    <w:rsid w:val="003509DF"/>
    <w:rsid w:val="00350A76"/>
    <w:rsid w:val="003513C7"/>
    <w:rsid w:val="0035145F"/>
    <w:rsid w:val="00351AD0"/>
    <w:rsid w:val="00351F4E"/>
    <w:rsid w:val="00352339"/>
    <w:rsid w:val="003525D4"/>
    <w:rsid w:val="00352FE4"/>
    <w:rsid w:val="0035300F"/>
    <w:rsid w:val="00353392"/>
    <w:rsid w:val="00354469"/>
    <w:rsid w:val="0035448A"/>
    <w:rsid w:val="003547DE"/>
    <w:rsid w:val="00354F70"/>
    <w:rsid w:val="0035512A"/>
    <w:rsid w:val="00355453"/>
    <w:rsid w:val="003555D2"/>
    <w:rsid w:val="003559A1"/>
    <w:rsid w:val="00355B59"/>
    <w:rsid w:val="00356540"/>
    <w:rsid w:val="003566E6"/>
    <w:rsid w:val="00356926"/>
    <w:rsid w:val="00356C79"/>
    <w:rsid w:val="00356CD5"/>
    <w:rsid w:val="003570AC"/>
    <w:rsid w:val="00357420"/>
    <w:rsid w:val="00357544"/>
    <w:rsid w:val="003577ED"/>
    <w:rsid w:val="003578DC"/>
    <w:rsid w:val="00357C20"/>
    <w:rsid w:val="00360285"/>
    <w:rsid w:val="0036060B"/>
    <w:rsid w:val="003606C0"/>
    <w:rsid w:val="0036097F"/>
    <w:rsid w:val="003609EB"/>
    <w:rsid w:val="00360D47"/>
    <w:rsid w:val="00360FAE"/>
    <w:rsid w:val="00360FD1"/>
    <w:rsid w:val="00361812"/>
    <w:rsid w:val="00361AA2"/>
    <w:rsid w:val="00361C09"/>
    <w:rsid w:val="00361F12"/>
    <w:rsid w:val="00362387"/>
    <w:rsid w:val="00363344"/>
    <w:rsid w:val="003633E1"/>
    <w:rsid w:val="00363DC6"/>
    <w:rsid w:val="00363FE3"/>
    <w:rsid w:val="003640C2"/>
    <w:rsid w:val="00364581"/>
    <w:rsid w:val="00364B53"/>
    <w:rsid w:val="00364BCA"/>
    <w:rsid w:val="003651FF"/>
    <w:rsid w:val="0036568B"/>
    <w:rsid w:val="00365AB9"/>
    <w:rsid w:val="00365C9E"/>
    <w:rsid w:val="00365D63"/>
    <w:rsid w:val="00365DC9"/>
    <w:rsid w:val="00365DE2"/>
    <w:rsid w:val="0036639F"/>
    <w:rsid w:val="003665E9"/>
    <w:rsid w:val="003668A5"/>
    <w:rsid w:val="003671E8"/>
    <w:rsid w:val="003675CC"/>
    <w:rsid w:val="0037090C"/>
    <w:rsid w:val="003709DF"/>
    <w:rsid w:val="0037112B"/>
    <w:rsid w:val="00371181"/>
    <w:rsid w:val="0037128C"/>
    <w:rsid w:val="00371316"/>
    <w:rsid w:val="00371B1D"/>
    <w:rsid w:val="0037230B"/>
    <w:rsid w:val="00372476"/>
    <w:rsid w:val="003724C3"/>
    <w:rsid w:val="0037259B"/>
    <w:rsid w:val="0037289B"/>
    <w:rsid w:val="003729F9"/>
    <w:rsid w:val="003734FE"/>
    <w:rsid w:val="0037370B"/>
    <w:rsid w:val="00373CBE"/>
    <w:rsid w:val="00373CE2"/>
    <w:rsid w:val="00374340"/>
    <w:rsid w:val="003757DE"/>
    <w:rsid w:val="00375AE4"/>
    <w:rsid w:val="00375C87"/>
    <w:rsid w:val="00375F4A"/>
    <w:rsid w:val="00376061"/>
    <w:rsid w:val="003763F2"/>
    <w:rsid w:val="00376551"/>
    <w:rsid w:val="00376625"/>
    <w:rsid w:val="0037752E"/>
    <w:rsid w:val="0037753E"/>
    <w:rsid w:val="00377549"/>
    <w:rsid w:val="00377B33"/>
    <w:rsid w:val="00380052"/>
    <w:rsid w:val="003801D8"/>
    <w:rsid w:val="0038065D"/>
    <w:rsid w:val="003806AE"/>
    <w:rsid w:val="003817EF"/>
    <w:rsid w:val="00381983"/>
    <w:rsid w:val="00382741"/>
    <w:rsid w:val="00382981"/>
    <w:rsid w:val="003839AA"/>
    <w:rsid w:val="003842D1"/>
    <w:rsid w:val="003843E4"/>
    <w:rsid w:val="00384988"/>
    <w:rsid w:val="00384EDD"/>
    <w:rsid w:val="00385426"/>
    <w:rsid w:val="003855E1"/>
    <w:rsid w:val="0038575C"/>
    <w:rsid w:val="00385828"/>
    <w:rsid w:val="00385CBB"/>
    <w:rsid w:val="00385FBB"/>
    <w:rsid w:val="00386498"/>
    <w:rsid w:val="00387351"/>
    <w:rsid w:val="00387987"/>
    <w:rsid w:val="00387E5E"/>
    <w:rsid w:val="003907CF"/>
    <w:rsid w:val="003913D9"/>
    <w:rsid w:val="00391776"/>
    <w:rsid w:val="00391943"/>
    <w:rsid w:val="00391D47"/>
    <w:rsid w:val="00392578"/>
    <w:rsid w:val="003926A8"/>
    <w:rsid w:val="00392806"/>
    <w:rsid w:val="003929A4"/>
    <w:rsid w:val="00392CEC"/>
    <w:rsid w:val="00392E68"/>
    <w:rsid w:val="00392E92"/>
    <w:rsid w:val="00392F5B"/>
    <w:rsid w:val="00393D67"/>
    <w:rsid w:val="003941E1"/>
    <w:rsid w:val="0039455B"/>
    <w:rsid w:val="00394BB1"/>
    <w:rsid w:val="00395511"/>
    <w:rsid w:val="0039563E"/>
    <w:rsid w:val="0039592D"/>
    <w:rsid w:val="00396082"/>
    <w:rsid w:val="00396AAF"/>
    <w:rsid w:val="00396D3F"/>
    <w:rsid w:val="00396EB2"/>
    <w:rsid w:val="00396F8D"/>
    <w:rsid w:val="003971AD"/>
    <w:rsid w:val="00397234"/>
    <w:rsid w:val="00397A72"/>
    <w:rsid w:val="00397B41"/>
    <w:rsid w:val="00397C56"/>
    <w:rsid w:val="003A042B"/>
    <w:rsid w:val="003A0852"/>
    <w:rsid w:val="003A08AE"/>
    <w:rsid w:val="003A22C1"/>
    <w:rsid w:val="003A239E"/>
    <w:rsid w:val="003A26D2"/>
    <w:rsid w:val="003A3978"/>
    <w:rsid w:val="003A3D05"/>
    <w:rsid w:val="003A45E5"/>
    <w:rsid w:val="003A47A9"/>
    <w:rsid w:val="003A5748"/>
    <w:rsid w:val="003A613A"/>
    <w:rsid w:val="003A66EF"/>
    <w:rsid w:val="003A689D"/>
    <w:rsid w:val="003A769E"/>
    <w:rsid w:val="003A76A8"/>
    <w:rsid w:val="003A780A"/>
    <w:rsid w:val="003A7F68"/>
    <w:rsid w:val="003B0B84"/>
    <w:rsid w:val="003B0BB0"/>
    <w:rsid w:val="003B0E50"/>
    <w:rsid w:val="003B1053"/>
    <w:rsid w:val="003B166B"/>
    <w:rsid w:val="003B1F61"/>
    <w:rsid w:val="003B23BE"/>
    <w:rsid w:val="003B30AD"/>
    <w:rsid w:val="003B4CBF"/>
    <w:rsid w:val="003B505F"/>
    <w:rsid w:val="003B51DF"/>
    <w:rsid w:val="003B57EC"/>
    <w:rsid w:val="003B5853"/>
    <w:rsid w:val="003B5A1E"/>
    <w:rsid w:val="003B5E39"/>
    <w:rsid w:val="003B639B"/>
    <w:rsid w:val="003B6576"/>
    <w:rsid w:val="003B6636"/>
    <w:rsid w:val="003B6D05"/>
    <w:rsid w:val="003B6D3B"/>
    <w:rsid w:val="003B71E3"/>
    <w:rsid w:val="003B7A94"/>
    <w:rsid w:val="003B7CBC"/>
    <w:rsid w:val="003C0A02"/>
    <w:rsid w:val="003C2143"/>
    <w:rsid w:val="003C22AC"/>
    <w:rsid w:val="003C2534"/>
    <w:rsid w:val="003C26AC"/>
    <w:rsid w:val="003C2A0B"/>
    <w:rsid w:val="003C2EC6"/>
    <w:rsid w:val="003C32FE"/>
    <w:rsid w:val="003C3358"/>
    <w:rsid w:val="003C3DF6"/>
    <w:rsid w:val="003C41CF"/>
    <w:rsid w:val="003C4F30"/>
    <w:rsid w:val="003C5044"/>
    <w:rsid w:val="003C5153"/>
    <w:rsid w:val="003C5BB1"/>
    <w:rsid w:val="003C5BC7"/>
    <w:rsid w:val="003C5ED9"/>
    <w:rsid w:val="003C6AE0"/>
    <w:rsid w:val="003C6C20"/>
    <w:rsid w:val="003C6C2D"/>
    <w:rsid w:val="003C73F8"/>
    <w:rsid w:val="003C7457"/>
    <w:rsid w:val="003C7AD3"/>
    <w:rsid w:val="003C7B2D"/>
    <w:rsid w:val="003D04DB"/>
    <w:rsid w:val="003D0F6A"/>
    <w:rsid w:val="003D0F91"/>
    <w:rsid w:val="003D130F"/>
    <w:rsid w:val="003D16F2"/>
    <w:rsid w:val="003D1801"/>
    <w:rsid w:val="003D1D5C"/>
    <w:rsid w:val="003D1EB4"/>
    <w:rsid w:val="003D2136"/>
    <w:rsid w:val="003D2796"/>
    <w:rsid w:val="003D29BF"/>
    <w:rsid w:val="003D2AE6"/>
    <w:rsid w:val="003D2C35"/>
    <w:rsid w:val="003D314F"/>
    <w:rsid w:val="003D3533"/>
    <w:rsid w:val="003D3F08"/>
    <w:rsid w:val="003D415E"/>
    <w:rsid w:val="003D4194"/>
    <w:rsid w:val="003D43B8"/>
    <w:rsid w:val="003D5549"/>
    <w:rsid w:val="003D5B8A"/>
    <w:rsid w:val="003D5BAF"/>
    <w:rsid w:val="003D5CAC"/>
    <w:rsid w:val="003D62C4"/>
    <w:rsid w:val="003D6310"/>
    <w:rsid w:val="003D6CAC"/>
    <w:rsid w:val="003D6FE1"/>
    <w:rsid w:val="003D7383"/>
    <w:rsid w:val="003D7489"/>
    <w:rsid w:val="003D7A6A"/>
    <w:rsid w:val="003E000E"/>
    <w:rsid w:val="003E009E"/>
    <w:rsid w:val="003E0ABC"/>
    <w:rsid w:val="003E14F5"/>
    <w:rsid w:val="003E159B"/>
    <w:rsid w:val="003E20EB"/>
    <w:rsid w:val="003E2333"/>
    <w:rsid w:val="003E248F"/>
    <w:rsid w:val="003E26E6"/>
    <w:rsid w:val="003E2F13"/>
    <w:rsid w:val="003E31EE"/>
    <w:rsid w:val="003E364E"/>
    <w:rsid w:val="003E4AD0"/>
    <w:rsid w:val="003E4D21"/>
    <w:rsid w:val="003E4D5A"/>
    <w:rsid w:val="003E58C2"/>
    <w:rsid w:val="003E5FCA"/>
    <w:rsid w:val="003E66A4"/>
    <w:rsid w:val="003E672B"/>
    <w:rsid w:val="003E6F99"/>
    <w:rsid w:val="003E77E9"/>
    <w:rsid w:val="003E798E"/>
    <w:rsid w:val="003E7E55"/>
    <w:rsid w:val="003F0032"/>
    <w:rsid w:val="003F06E0"/>
    <w:rsid w:val="003F0C61"/>
    <w:rsid w:val="003F0D90"/>
    <w:rsid w:val="003F0E51"/>
    <w:rsid w:val="003F2708"/>
    <w:rsid w:val="003F2DBB"/>
    <w:rsid w:val="003F2F7C"/>
    <w:rsid w:val="003F316F"/>
    <w:rsid w:val="003F3D90"/>
    <w:rsid w:val="003F3E9D"/>
    <w:rsid w:val="003F4681"/>
    <w:rsid w:val="003F48CD"/>
    <w:rsid w:val="003F4A41"/>
    <w:rsid w:val="003F5B6A"/>
    <w:rsid w:val="003F5DEF"/>
    <w:rsid w:val="003F6A36"/>
    <w:rsid w:val="003F6CB2"/>
    <w:rsid w:val="003F6D65"/>
    <w:rsid w:val="003F7085"/>
    <w:rsid w:val="003F733D"/>
    <w:rsid w:val="003F782E"/>
    <w:rsid w:val="003F7B2B"/>
    <w:rsid w:val="004002DD"/>
    <w:rsid w:val="00400D5E"/>
    <w:rsid w:val="00401ED1"/>
    <w:rsid w:val="00402817"/>
    <w:rsid w:val="004029F9"/>
    <w:rsid w:val="004031B5"/>
    <w:rsid w:val="00403EED"/>
    <w:rsid w:val="0040422D"/>
    <w:rsid w:val="004045D8"/>
    <w:rsid w:val="0040494A"/>
    <w:rsid w:val="00405277"/>
    <w:rsid w:val="0040531A"/>
    <w:rsid w:val="004064E0"/>
    <w:rsid w:val="00406B63"/>
    <w:rsid w:val="00406E80"/>
    <w:rsid w:val="00406F61"/>
    <w:rsid w:val="00406FEF"/>
    <w:rsid w:val="0040710C"/>
    <w:rsid w:val="004078B5"/>
    <w:rsid w:val="00407B1C"/>
    <w:rsid w:val="00410333"/>
    <w:rsid w:val="0041045D"/>
    <w:rsid w:val="004105DF"/>
    <w:rsid w:val="0041076C"/>
    <w:rsid w:val="00410935"/>
    <w:rsid w:val="00410D67"/>
    <w:rsid w:val="00410D75"/>
    <w:rsid w:val="00410D9E"/>
    <w:rsid w:val="00411396"/>
    <w:rsid w:val="00411659"/>
    <w:rsid w:val="00411671"/>
    <w:rsid w:val="0041171D"/>
    <w:rsid w:val="0041180B"/>
    <w:rsid w:val="00411AFD"/>
    <w:rsid w:val="0041212D"/>
    <w:rsid w:val="00412552"/>
    <w:rsid w:val="0041284E"/>
    <w:rsid w:val="00412889"/>
    <w:rsid w:val="00413464"/>
    <w:rsid w:val="00413826"/>
    <w:rsid w:val="00413C2A"/>
    <w:rsid w:val="004145A2"/>
    <w:rsid w:val="00414A8A"/>
    <w:rsid w:val="004156B7"/>
    <w:rsid w:val="00416D06"/>
    <w:rsid w:val="00417266"/>
    <w:rsid w:val="00417392"/>
    <w:rsid w:val="0041751A"/>
    <w:rsid w:val="004175BE"/>
    <w:rsid w:val="00417D4C"/>
    <w:rsid w:val="00420371"/>
    <w:rsid w:val="00420374"/>
    <w:rsid w:val="004204DC"/>
    <w:rsid w:val="004206BA"/>
    <w:rsid w:val="0042090E"/>
    <w:rsid w:val="0042091E"/>
    <w:rsid w:val="00420DB1"/>
    <w:rsid w:val="0042151A"/>
    <w:rsid w:val="00421D2C"/>
    <w:rsid w:val="0042232C"/>
    <w:rsid w:val="00422BC0"/>
    <w:rsid w:val="0042391F"/>
    <w:rsid w:val="00423EBB"/>
    <w:rsid w:val="00424D94"/>
    <w:rsid w:val="00424DF9"/>
    <w:rsid w:val="004250F4"/>
    <w:rsid w:val="0042545B"/>
    <w:rsid w:val="00425E72"/>
    <w:rsid w:val="00425E85"/>
    <w:rsid w:val="0042649D"/>
    <w:rsid w:val="00426862"/>
    <w:rsid w:val="00426CE7"/>
    <w:rsid w:val="00426D50"/>
    <w:rsid w:val="00427673"/>
    <w:rsid w:val="004276E0"/>
    <w:rsid w:val="00427A72"/>
    <w:rsid w:val="00427D9F"/>
    <w:rsid w:val="00430277"/>
    <w:rsid w:val="00430AA9"/>
    <w:rsid w:val="00431AA5"/>
    <w:rsid w:val="00431C39"/>
    <w:rsid w:val="004323A1"/>
    <w:rsid w:val="00432A56"/>
    <w:rsid w:val="00433D69"/>
    <w:rsid w:val="00433DC5"/>
    <w:rsid w:val="00434C19"/>
    <w:rsid w:val="00435E93"/>
    <w:rsid w:val="0043603B"/>
    <w:rsid w:val="00436048"/>
    <w:rsid w:val="00436479"/>
    <w:rsid w:val="0043662F"/>
    <w:rsid w:val="0043667B"/>
    <w:rsid w:val="00436B23"/>
    <w:rsid w:val="00436B37"/>
    <w:rsid w:val="00436EC1"/>
    <w:rsid w:val="00437586"/>
    <w:rsid w:val="0043791D"/>
    <w:rsid w:val="00437CB8"/>
    <w:rsid w:val="00437D9B"/>
    <w:rsid w:val="00440A6B"/>
    <w:rsid w:val="00440C19"/>
    <w:rsid w:val="004413C7"/>
    <w:rsid w:val="004414E6"/>
    <w:rsid w:val="004417D2"/>
    <w:rsid w:val="00441D68"/>
    <w:rsid w:val="004424B2"/>
    <w:rsid w:val="004428A8"/>
    <w:rsid w:val="00442E2D"/>
    <w:rsid w:val="00442E67"/>
    <w:rsid w:val="0044305F"/>
    <w:rsid w:val="00443D1B"/>
    <w:rsid w:val="0044419E"/>
    <w:rsid w:val="00444597"/>
    <w:rsid w:val="00444692"/>
    <w:rsid w:val="00445263"/>
    <w:rsid w:val="004453BB"/>
    <w:rsid w:val="00445522"/>
    <w:rsid w:val="0044619B"/>
    <w:rsid w:val="00446802"/>
    <w:rsid w:val="004470C5"/>
    <w:rsid w:val="00447106"/>
    <w:rsid w:val="00447427"/>
    <w:rsid w:val="004474BB"/>
    <w:rsid w:val="004475E5"/>
    <w:rsid w:val="004503E1"/>
    <w:rsid w:val="00451A68"/>
    <w:rsid w:val="00451AA2"/>
    <w:rsid w:val="00451E5C"/>
    <w:rsid w:val="0045209D"/>
    <w:rsid w:val="00452950"/>
    <w:rsid w:val="00452FA4"/>
    <w:rsid w:val="00453265"/>
    <w:rsid w:val="00453750"/>
    <w:rsid w:val="004537EC"/>
    <w:rsid w:val="00453CEB"/>
    <w:rsid w:val="00454096"/>
    <w:rsid w:val="004547C8"/>
    <w:rsid w:val="0045495E"/>
    <w:rsid w:val="00454EF7"/>
    <w:rsid w:val="00455BC0"/>
    <w:rsid w:val="00455C7E"/>
    <w:rsid w:val="00455D98"/>
    <w:rsid w:val="004562F8"/>
    <w:rsid w:val="0045637F"/>
    <w:rsid w:val="00456A60"/>
    <w:rsid w:val="00456AD9"/>
    <w:rsid w:val="00456F88"/>
    <w:rsid w:val="00457ADE"/>
    <w:rsid w:val="00460179"/>
    <w:rsid w:val="00460B1C"/>
    <w:rsid w:val="00460FB8"/>
    <w:rsid w:val="004617CF"/>
    <w:rsid w:val="004622BB"/>
    <w:rsid w:val="00462348"/>
    <w:rsid w:val="004626B6"/>
    <w:rsid w:val="00463683"/>
    <w:rsid w:val="00463FD6"/>
    <w:rsid w:val="00464D56"/>
    <w:rsid w:val="00464DF0"/>
    <w:rsid w:val="00465562"/>
    <w:rsid w:val="00465DDF"/>
    <w:rsid w:val="004661DB"/>
    <w:rsid w:val="004663C7"/>
    <w:rsid w:val="00466B28"/>
    <w:rsid w:val="004676B5"/>
    <w:rsid w:val="00467828"/>
    <w:rsid w:val="00467D5E"/>
    <w:rsid w:val="004700FD"/>
    <w:rsid w:val="0047012B"/>
    <w:rsid w:val="004705A4"/>
    <w:rsid w:val="0047076A"/>
    <w:rsid w:val="0047089B"/>
    <w:rsid w:val="00470B26"/>
    <w:rsid w:val="00471164"/>
    <w:rsid w:val="00471238"/>
    <w:rsid w:val="0047126F"/>
    <w:rsid w:val="004712DB"/>
    <w:rsid w:val="00471885"/>
    <w:rsid w:val="00471AA2"/>
    <w:rsid w:val="00471E18"/>
    <w:rsid w:val="00471FC6"/>
    <w:rsid w:val="0047228C"/>
    <w:rsid w:val="004736FF"/>
    <w:rsid w:val="00473871"/>
    <w:rsid w:val="004743DF"/>
    <w:rsid w:val="00474EE3"/>
    <w:rsid w:val="00474EFE"/>
    <w:rsid w:val="0047620F"/>
    <w:rsid w:val="004763DF"/>
    <w:rsid w:val="00476508"/>
    <w:rsid w:val="004767BA"/>
    <w:rsid w:val="00476C99"/>
    <w:rsid w:val="00477447"/>
    <w:rsid w:val="0047794C"/>
    <w:rsid w:val="004779AA"/>
    <w:rsid w:val="00477F44"/>
    <w:rsid w:val="00480011"/>
    <w:rsid w:val="00480107"/>
    <w:rsid w:val="004809CB"/>
    <w:rsid w:val="004816F2"/>
    <w:rsid w:val="00482259"/>
    <w:rsid w:val="00482559"/>
    <w:rsid w:val="0048280E"/>
    <w:rsid w:val="00482C33"/>
    <w:rsid w:val="00482CB5"/>
    <w:rsid w:val="004830BE"/>
    <w:rsid w:val="004833CE"/>
    <w:rsid w:val="00483526"/>
    <w:rsid w:val="004836A0"/>
    <w:rsid w:val="00483BD1"/>
    <w:rsid w:val="00483D0D"/>
    <w:rsid w:val="004845B2"/>
    <w:rsid w:val="00485309"/>
    <w:rsid w:val="00485787"/>
    <w:rsid w:val="00486172"/>
    <w:rsid w:val="004865D8"/>
    <w:rsid w:val="0048673E"/>
    <w:rsid w:val="00486D58"/>
    <w:rsid w:val="00487169"/>
    <w:rsid w:val="004875EB"/>
    <w:rsid w:val="004878FE"/>
    <w:rsid w:val="0049015A"/>
    <w:rsid w:val="004902C9"/>
    <w:rsid w:val="00490D8B"/>
    <w:rsid w:val="00490E40"/>
    <w:rsid w:val="00491199"/>
    <w:rsid w:val="00491607"/>
    <w:rsid w:val="004919A3"/>
    <w:rsid w:val="00491D1E"/>
    <w:rsid w:val="00492A59"/>
    <w:rsid w:val="00492B5D"/>
    <w:rsid w:val="00492D47"/>
    <w:rsid w:val="004930AA"/>
    <w:rsid w:val="004939B6"/>
    <w:rsid w:val="00493AE1"/>
    <w:rsid w:val="00493CBE"/>
    <w:rsid w:val="004945A4"/>
    <w:rsid w:val="00494C49"/>
    <w:rsid w:val="00495214"/>
    <w:rsid w:val="00495276"/>
    <w:rsid w:val="004955D7"/>
    <w:rsid w:val="0049574B"/>
    <w:rsid w:val="00495B2E"/>
    <w:rsid w:val="004964BE"/>
    <w:rsid w:val="004964E5"/>
    <w:rsid w:val="004965B9"/>
    <w:rsid w:val="00497103"/>
    <w:rsid w:val="004976B0"/>
    <w:rsid w:val="00497953"/>
    <w:rsid w:val="00497FC7"/>
    <w:rsid w:val="00497FC9"/>
    <w:rsid w:val="004A0385"/>
    <w:rsid w:val="004A07F3"/>
    <w:rsid w:val="004A0E02"/>
    <w:rsid w:val="004A0E75"/>
    <w:rsid w:val="004A0EEB"/>
    <w:rsid w:val="004A144B"/>
    <w:rsid w:val="004A1462"/>
    <w:rsid w:val="004A1FF4"/>
    <w:rsid w:val="004A234A"/>
    <w:rsid w:val="004A2819"/>
    <w:rsid w:val="004A30DB"/>
    <w:rsid w:val="004A3415"/>
    <w:rsid w:val="004A3A1C"/>
    <w:rsid w:val="004A4591"/>
    <w:rsid w:val="004A4B21"/>
    <w:rsid w:val="004A581E"/>
    <w:rsid w:val="004A5AE0"/>
    <w:rsid w:val="004A5D89"/>
    <w:rsid w:val="004A5FCA"/>
    <w:rsid w:val="004A60D6"/>
    <w:rsid w:val="004A678A"/>
    <w:rsid w:val="004A6B9E"/>
    <w:rsid w:val="004A6C9C"/>
    <w:rsid w:val="004A6CC0"/>
    <w:rsid w:val="004A6FE6"/>
    <w:rsid w:val="004A7203"/>
    <w:rsid w:val="004A7751"/>
    <w:rsid w:val="004A77C4"/>
    <w:rsid w:val="004A7ABE"/>
    <w:rsid w:val="004B0303"/>
    <w:rsid w:val="004B039B"/>
    <w:rsid w:val="004B09A3"/>
    <w:rsid w:val="004B117A"/>
    <w:rsid w:val="004B18AE"/>
    <w:rsid w:val="004B203F"/>
    <w:rsid w:val="004B21B0"/>
    <w:rsid w:val="004B2564"/>
    <w:rsid w:val="004B2D77"/>
    <w:rsid w:val="004B2F85"/>
    <w:rsid w:val="004B3850"/>
    <w:rsid w:val="004B3A7A"/>
    <w:rsid w:val="004B42DF"/>
    <w:rsid w:val="004B4502"/>
    <w:rsid w:val="004B4756"/>
    <w:rsid w:val="004B4DC3"/>
    <w:rsid w:val="004B5F7A"/>
    <w:rsid w:val="004B6164"/>
    <w:rsid w:val="004B63AE"/>
    <w:rsid w:val="004B7A9D"/>
    <w:rsid w:val="004B7C1A"/>
    <w:rsid w:val="004C056A"/>
    <w:rsid w:val="004C0FFF"/>
    <w:rsid w:val="004C1260"/>
    <w:rsid w:val="004C1653"/>
    <w:rsid w:val="004C1BDC"/>
    <w:rsid w:val="004C209B"/>
    <w:rsid w:val="004C2149"/>
    <w:rsid w:val="004C2531"/>
    <w:rsid w:val="004C2B02"/>
    <w:rsid w:val="004C3342"/>
    <w:rsid w:val="004C3429"/>
    <w:rsid w:val="004C3B1F"/>
    <w:rsid w:val="004C4056"/>
    <w:rsid w:val="004C4396"/>
    <w:rsid w:val="004C48AC"/>
    <w:rsid w:val="004C4AF0"/>
    <w:rsid w:val="004C4F65"/>
    <w:rsid w:val="004C52B7"/>
    <w:rsid w:val="004C58B1"/>
    <w:rsid w:val="004C6628"/>
    <w:rsid w:val="004C7A8F"/>
    <w:rsid w:val="004C7D9F"/>
    <w:rsid w:val="004D16BE"/>
    <w:rsid w:val="004D181E"/>
    <w:rsid w:val="004D1983"/>
    <w:rsid w:val="004D1BC8"/>
    <w:rsid w:val="004D1D1F"/>
    <w:rsid w:val="004D2576"/>
    <w:rsid w:val="004D2869"/>
    <w:rsid w:val="004D2D0A"/>
    <w:rsid w:val="004D2E83"/>
    <w:rsid w:val="004D3387"/>
    <w:rsid w:val="004D38B0"/>
    <w:rsid w:val="004D3AAD"/>
    <w:rsid w:val="004D4C8A"/>
    <w:rsid w:val="004D562B"/>
    <w:rsid w:val="004D581B"/>
    <w:rsid w:val="004D5AD1"/>
    <w:rsid w:val="004D708B"/>
    <w:rsid w:val="004D7A95"/>
    <w:rsid w:val="004D7ABD"/>
    <w:rsid w:val="004D7BF2"/>
    <w:rsid w:val="004E0BE3"/>
    <w:rsid w:val="004E0E03"/>
    <w:rsid w:val="004E0F37"/>
    <w:rsid w:val="004E13FA"/>
    <w:rsid w:val="004E1450"/>
    <w:rsid w:val="004E1AA9"/>
    <w:rsid w:val="004E1D0E"/>
    <w:rsid w:val="004E1DB7"/>
    <w:rsid w:val="004E1FE7"/>
    <w:rsid w:val="004E221D"/>
    <w:rsid w:val="004E229B"/>
    <w:rsid w:val="004E2601"/>
    <w:rsid w:val="004E2C89"/>
    <w:rsid w:val="004E3112"/>
    <w:rsid w:val="004E3885"/>
    <w:rsid w:val="004E3B2D"/>
    <w:rsid w:val="004E4096"/>
    <w:rsid w:val="004E5265"/>
    <w:rsid w:val="004E5B3C"/>
    <w:rsid w:val="004E6717"/>
    <w:rsid w:val="004E694F"/>
    <w:rsid w:val="004E6D72"/>
    <w:rsid w:val="004E71DD"/>
    <w:rsid w:val="004E7219"/>
    <w:rsid w:val="004E7332"/>
    <w:rsid w:val="004E776C"/>
    <w:rsid w:val="004E7906"/>
    <w:rsid w:val="004E7A25"/>
    <w:rsid w:val="004E7B2D"/>
    <w:rsid w:val="004E7F0D"/>
    <w:rsid w:val="004E7F15"/>
    <w:rsid w:val="004F01B0"/>
    <w:rsid w:val="004F05C6"/>
    <w:rsid w:val="004F1244"/>
    <w:rsid w:val="004F19E2"/>
    <w:rsid w:val="004F1D1F"/>
    <w:rsid w:val="004F1FFA"/>
    <w:rsid w:val="004F2387"/>
    <w:rsid w:val="004F23B5"/>
    <w:rsid w:val="004F24FD"/>
    <w:rsid w:val="004F2E45"/>
    <w:rsid w:val="004F30E8"/>
    <w:rsid w:val="004F3ECD"/>
    <w:rsid w:val="004F431D"/>
    <w:rsid w:val="004F43AB"/>
    <w:rsid w:val="004F45C7"/>
    <w:rsid w:val="004F4C67"/>
    <w:rsid w:val="004F4F1F"/>
    <w:rsid w:val="004F4F7A"/>
    <w:rsid w:val="004F4F85"/>
    <w:rsid w:val="004F532F"/>
    <w:rsid w:val="004F539A"/>
    <w:rsid w:val="004F5524"/>
    <w:rsid w:val="004F5B56"/>
    <w:rsid w:val="004F679D"/>
    <w:rsid w:val="004F717A"/>
    <w:rsid w:val="0050010C"/>
    <w:rsid w:val="005001D1"/>
    <w:rsid w:val="005001D8"/>
    <w:rsid w:val="005002E1"/>
    <w:rsid w:val="005006C5"/>
    <w:rsid w:val="00500EA7"/>
    <w:rsid w:val="005010B6"/>
    <w:rsid w:val="005011A2"/>
    <w:rsid w:val="00501372"/>
    <w:rsid w:val="0050194A"/>
    <w:rsid w:val="00501D89"/>
    <w:rsid w:val="00501F13"/>
    <w:rsid w:val="0050204B"/>
    <w:rsid w:val="00502507"/>
    <w:rsid w:val="00502920"/>
    <w:rsid w:val="00502A0F"/>
    <w:rsid w:val="00502D33"/>
    <w:rsid w:val="00502FAD"/>
    <w:rsid w:val="00503072"/>
    <w:rsid w:val="0050313A"/>
    <w:rsid w:val="005031BB"/>
    <w:rsid w:val="00503380"/>
    <w:rsid w:val="005038C5"/>
    <w:rsid w:val="00503B67"/>
    <w:rsid w:val="00503C88"/>
    <w:rsid w:val="00503E67"/>
    <w:rsid w:val="00503F81"/>
    <w:rsid w:val="005048AA"/>
    <w:rsid w:val="005048E9"/>
    <w:rsid w:val="00504A34"/>
    <w:rsid w:val="00505366"/>
    <w:rsid w:val="0050657A"/>
    <w:rsid w:val="00507986"/>
    <w:rsid w:val="00510184"/>
    <w:rsid w:val="00510973"/>
    <w:rsid w:val="00510A6C"/>
    <w:rsid w:val="00510D89"/>
    <w:rsid w:val="00511F6D"/>
    <w:rsid w:val="00511FBD"/>
    <w:rsid w:val="005125A5"/>
    <w:rsid w:val="00512DCB"/>
    <w:rsid w:val="005130A4"/>
    <w:rsid w:val="0051326F"/>
    <w:rsid w:val="00513BCD"/>
    <w:rsid w:val="00513F33"/>
    <w:rsid w:val="005147FC"/>
    <w:rsid w:val="00514DC3"/>
    <w:rsid w:val="00514DD2"/>
    <w:rsid w:val="005158BE"/>
    <w:rsid w:val="00515C82"/>
    <w:rsid w:val="005164BC"/>
    <w:rsid w:val="00516835"/>
    <w:rsid w:val="005169B9"/>
    <w:rsid w:val="00516FB8"/>
    <w:rsid w:val="00517613"/>
    <w:rsid w:val="00517AA9"/>
    <w:rsid w:val="00517E6B"/>
    <w:rsid w:val="00517F0D"/>
    <w:rsid w:val="0052031E"/>
    <w:rsid w:val="005204F9"/>
    <w:rsid w:val="00520550"/>
    <w:rsid w:val="00520A36"/>
    <w:rsid w:val="00520B9E"/>
    <w:rsid w:val="00520C3B"/>
    <w:rsid w:val="00520C4B"/>
    <w:rsid w:val="0052156D"/>
    <w:rsid w:val="00521A4E"/>
    <w:rsid w:val="00522475"/>
    <w:rsid w:val="005227A0"/>
    <w:rsid w:val="0052289F"/>
    <w:rsid w:val="00522FC1"/>
    <w:rsid w:val="005232B5"/>
    <w:rsid w:val="005239EA"/>
    <w:rsid w:val="00523C70"/>
    <w:rsid w:val="00524289"/>
    <w:rsid w:val="00524F47"/>
    <w:rsid w:val="005250BC"/>
    <w:rsid w:val="005254F8"/>
    <w:rsid w:val="00525690"/>
    <w:rsid w:val="00525736"/>
    <w:rsid w:val="005259CE"/>
    <w:rsid w:val="00526053"/>
    <w:rsid w:val="005265D4"/>
    <w:rsid w:val="00526812"/>
    <w:rsid w:val="0052721A"/>
    <w:rsid w:val="00527B92"/>
    <w:rsid w:val="00527F31"/>
    <w:rsid w:val="00530147"/>
    <w:rsid w:val="0053022D"/>
    <w:rsid w:val="005308B4"/>
    <w:rsid w:val="00530924"/>
    <w:rsid w:val="005315AB"/>
    <w:rsid w:val="00531D8C"/>
    <w:rsid w:val="00532196"/>
    <w:rsid w:val="005324E4"/>
    <w:rsid w:val="005325F3"/>
    <w:rsid w:val="005326D9"/>
    <w:rsid w:val="00532AFD"/>
    <w:rsid w:val="00533572"/>
    <w:rsid w:val="005338E5"/>
    <w:rsid w:val="00534021"/>
    <w:rsid w:val="005342AA"/>
    <w:rsid w:val="00534623"/>
    <w:rsid w:val="005346A1"/>
    <w:rsid w:val="00534A74"/>
    <w:rsid w:val="00534EB1"/>
    <w:rsid w:val="005352B7"/>
    <w:rsid w:val="00535691"/>
    <w:rsid w:val="00535D72"/>
    <w:rsid w:val="00536216"/>
    <w:rsid w:val="0053634C"/>
    <w:rsid w:val="005364E8"/>
    <w:rsid w:val="005369F8"/>
    <w:rsid w:val="00536D35"/>
    <w:rsid w:val="005372F8"/>
    <w:rsid w:val="005373BF"/>
    <w:rsid w:val="005379CF"/>
    <w:rsid w:val="00537B4A"/>
    <w:rsid w:val="00537D3D"/>
    <w:rsid w:val="00537EE4"/>
    <w:rsid w:val="0054001C"/>
    <w:rsid w:val="005402FF"/>
    <w:rsid w:val="00540551"/>
    <w:rsid w:val="005408D0"/>
    <w:rsid w:val="00540A49"/>
    <w:rsid w:val="00540FF0"/>
    <w:rsid w:val="00541177"/>
    <w:rsid w:val="005413A3"/>
    <w:rsid w:val="00541A40"/>
    <w:rsid w:val="0054203F"/>
    <w:rsid w:val="00542988"/>
    <w:rsid w:val="00542C8D"/>
    <w:rsid w:val="00542CDA"/>
    <w:rsid w:val="00542EA3"/>
    <w:rsid w:val="0054365A"/>
    <w:rsid w:val="00543699"/>
    <w:rsid w:val="00543A22"/>
    <w:rsid w:val="00543F8A"/>
    <w:rsid w:val="0054509A"/>
    <w:rsid w:val="00545557"/>
    <w:rsid w:val="00545927"/>
    <w:rsid w:val="00545989"/>
    <w:rsid w:val="00546559"/>
    <w:rsid w:val="00546B26"/>
    <w:rsid w:val="005474F6"/>
    <w:rsid w:val="00547C0F"/>
    <w:rsid w:val="00547D62"/>
    <w:rsid w:val="005500D2"/>
    <w:rsid w:val="00550A92"/>
    <w:rsid w:val="00550BA0"/>
    <w:rsid w:val="00550E94"/>
    <w:rsid w:val="005511EC"/>
    <w:rsid w:val="00551544"/>
    <w:rsid w:val="00551B42"/>
    <w:rsid w:val="00551DB7"/>
    <w:rsid w:val="00553469"/>
    <w:rsid w:val="00553B66"/>
    <w:rsid w:val="0055459A"/>
    <w:rsid w:val="00554A8A"/>
    <w:rsid w:val="00554AAD"/>
    <w:rsid w:val="005553F0"/>
    <w:rsid w:val="005554C5"/>
    <w:rsid w:val="005556CA"/>
    <w:rsid w:val="005559D1"/>
    <w:rsid w:val="00555CE4"/>
    <w:rsid w:val="00555D63"/>
    <w:rsid w:val="00556192"/>
    <w:rsid w:val="005565B2"/>
    <w:rsid w:val="00556E6F"/>
    <w:rsid w:val="00556F6F"/>
    <w:rsid w:val="00557296"/>
    <w:rsid w:val="00557A6C"/>
    <w:rsid w:val="005608B2"/>
    <w:rsid w:val="0056099A"/>
    <w:rsid w:val="00560A43"/>
    <w:rsid w:val="00560FD3"/>
    <w:rsid w:val="00561000"/>
    <w:rsid w:val="00561471"/>
    <w:rsid w:val="00561733"/>
    <w:rsid w:val="0056270E"/>
    <w:rsid w:val="00562ECE"/>
    <w:rsid w:val="00563749"/>
    <w:rsid w:val="00563C85"/>
    <w:rsid w:val="00563DDB"/>
    <w:rsid w:val="00564813"/>
    <w:rsid w:val="0056546C"/>
    <w:rsid w:val="0056563A"/>
    <w:rsid w:val="00565966"/>
    <w:rsid w:val="00565B05"/>
    <w:rsid w:val="00565BD3"/>
    <w:rsid w:val="00565F1B"/>
    <w:rsid w:val="00566629"/>
    <w:rsid w:val="00566E34"/>
    <w:rsid w:val="005674D2"/>
    <w:rsid w:val="00567686"/>
    <w:rsid w:val="005676DC"/>
    <w:rsid w:val="00567F43"/>
    <w:rsid w:val="005702C5"/>
    <w:rsid w:val="00570460"/>
    <w:rsid w:val="005715C9"/>
    <w:rsid w:val="00571D67"/>
    <w:rsid w:val="00572E2F"/>
    <w:rsid w:val="00572E40"/>
    <w:rsid w:val="00573801"/>
    <w:rsid w:val="00574579"/>
    <w:rsid w:val="00574593"/>
    <w:rsid w:val="00574757"/>
    <w:rsid w:val="0057527E"/>
    <w:rsid w:val="00575554"/>
    <w:rsid w:val="00575A1D"/>
    <w:rsid w:val="00575A7F"/>
    <w:rsid w:val="005764A9"/>
    <w:rsid w:val="00576529"/>
    <w:rsid w:val="00576867"/>
    <w:rsid w:val="00576D2C"/>
    <w:rsid w:val="00576EFD"/>
    <w:rsid w:val="005771BB"/>
    <w:rsid w:val="00577BC4"/>
    <w:rsid w:val="005801AC"/>
    <w:rsid w:val="00580508"/>
    <w:rsid w:val="005806F9"/>
    <w:rsid w:val="00580C5C"/>
    <w:rsid w:val="00580DA8"/>
    <w:rsid w:val="00580F79"/>
    <w:rsid w:val="0058142E"/>
    <w:rsid w:val="005815C2"/>
    <w:rsid w:val="00581795"/>
    <w:rsid w:val="00581FED"/>
    <w:rsid w:val="00582A39"/>
    <w:rsid w:val="00583B95"/>
    <w:rsid w:val="005850FD"/>
    <w:rsid w:val="0058597D"/>
    <w:rsid w:val="00585BB5"/>
    <w:rsid w:val="00585F34"/>
    <w:rsid w:val="00586223"/>
    <w:rsid w:val="00586851"/>
    <w:rsid w:val="00586891"/>
    <w:rsid w:val="00587DC2"/>
    <w:rsid w:val="005906E5"/>
    <w:rsid w:val="005907E3"/>
    <w:rsid w:val="00590AE1"/>
    <w:rsid w:val="00590EBE"/>
    <w:rsid w:val="0059185F"/>
    <w:rsid w:val="00591F15"/>
    <w:rsid w:val="0059260C"/>
    <w:rsid w:val="0059279B"/>
    <w:rsid w:val="00592EBE"/>
    <w:rsid w:val="00593050"/>
    <w:rsid w:val="0059372F"/>
    <w:rsid w:val="0059393A"/>
    <w:rsid w:val="00594112"/>
    <w:rsid w:val="0059466A"/>
    <w:rsid w:val="00594734"/>
    <w:rsid w:val="0059494A"/>
    <w:rsid w:val="005950C8"/>
    <w:rsid w:val="0059531A"/>
    <w:rsid w:val="0059595B"/>
    <w:rsid w:val="00595A3D"/>
    <w:rsid w:val="00595D44"/>
    <w:rsid w:val="0059614A"/>
    <w:rsid w:val="005963B4"/>
    <w:rsid w:val="005967C6"/>
    <w:rsid w:val="00596A06"/>
    <w:rsid w:val="005977BF"/>
    <w:rsid w:val="0059796B"/>
    <w:rsid w:val="00597F43"/>
    <w:rsid w:val="005A021D"/>
    <w:rsid w:val="005A0737"/>
    <w:rsid w:val="005A0A46"/>
    <w:rsid w:val="005A0CEA"/>
    <w:rsid w:val="005A1450"/>
    <w:rsid w:val="005A17FB"/>
    <w:rsid w:val="005A1852"/>
    <w:rsid w:val="005A190A"/>
    <w:rsid w:val="005A1A1B"/>
    <w:rsid w:val="005A20C9"/>
    <w:rsid w:val="005A2216"/>
    <w:rsid w:val="005A24B5"/>
    <w:rsid w:val="005A2CFC"/>
    <w:rsid w:val="005A2F84"/>
    <w:rsid w:val="005A3347"/>
    <w:rsid w:val="005A4042"/>
    <w:rsid w:val="005A40BA"/>
    <w:rsid w:val="005A4228"/>
    <w:rsid w:val="005A504A"/>
    <w:rsid w:val="005A57D6"/>
    <w:rsid w:val="005A5A70"/>
    <w:rsid w:val="005A7389"/>
    <w:rsid w:val="005A78EE"/>
    <w:rsid w:val="005A7CA2"/>
    <w:rsid w:val="005A7E48"/>
    <w:rsid w:val="005A7FD3"/>
    <w:rsid w:val="005B02F2"/>
    <w:rsid w:val="005B095F"/>
    <w:rsid w:val="005B0B51"/>
    <w:rsid w:val="005B1071"/>
    <w:rsid w:val="005B1790"/>
    <w:rsid w:val="005B1A38"/>
    <w:rsid w:val="005B1F44"/>
    <w:rsid w:val="005B20D0"/>
    <w:rsid w:val="005B21E1"/>
    <w:rsid w:val="005B251F"/>
    <w:rsid w:val="005B2AC2"/>
    <w:rsid w:val="005B2BF5"/>
    <w:rsid w:val="005B2DAB"/>
    <w:rsid w:val="005B3945"/>
    <w:rsid w:val="005B3A73"/>
    <w:rsid w:val="005B424D"/>
    <w:rsid w:val="005B4811"/>
    <w:rsid w:val="005B4C75"/>
    <w:rsid w:val="005B529D"/>
    <w:rsid w:val="005B52D1"/>
    <w:rsid w:val="005B53E0"/>
    <w:rsid w:val="005B554D"/>
    <w:rsid w:val="005B5853"/>
    <w:rsid w:val="005B5CF5"/>
    <w:rsid w:val="005B5E6C"/>
    <w:rsid w:val="005B63E4"/>
    <w:rsid w:val="005B69CA"/>
    <w:rsid w:val="005B6AB5"/>
    <w:rsid w:val="005B6CCC"/>
    <w:rsid w:val="005B71CE"/>
    <w:rsid w:val="005B757C"/>
    <w:rsid w:val="005B78A1"/>
    <w:rsid w:val="005B7F43"/>
    <w:rsid w:val="005C02D4"/>
    <w:rsid w:val="005C05FF"/>
    <w:rsid w:val="005C0704"/>
    <w:rsid w:val="005C14A0"/>
    <w:rsid w:val="005C1622"/>
    <w:rsid w:val="005C198B"/>
    <w:rsid w:val="005C23D7"/>
    <w:rsid w:val="005C26CE"/>
    <w:rsid w:val="005C27AB"/>
    <w:rsid w:val="005C2859"/>
    <w:rsid w:val="005C287F"/>
    <w:rsid w:val="005C2947"/>
    <w:rsid w:val="005C2D2D"/>
    <w:rsid w:val="005C2E6A"/>
    <w:rsid w:val="005C36DD"/>
    <w:rsid w:val="005C3857"/>
    <w:rsid w:val="005C4228"/>
    <w:rsid w:val="005C438E"/>
    <w:rsid w:val="005C43F3"/>
    <w:rsid w:val="005C552D"/>
    <w:rsid w:val="005C55B2"/>
    <w:rsid w:val="005C5648"/>
    <w:rsid w:val="005C57A7"/>
    <w:rsid w:val="005C608E"/>
    <w:rsid w:val="005C62D9"/>
    <w:rsid w:val="005C6B05"/>
    <w:rsid w:val="005C6E27"/>
    <w:rsid w:val="005C7994"/>
    <w:rsid w:val="005C7ABF"/>
    <w:rsid w:val="005C7CF3"/>
    <w:rsid w:val="005D00DB"/>
    <w:rsid w:val="005D07D2"/>
    <w:rsid w:val="005D093D"/>
    <w:rsid w:val="005D0F46"/>
    <w:rsid w:val="005D0F8C"/>
    <w:rsid w:val="005D14F8"/>
    <w:rsid w:val="005D1BB8"/>
    <w:rsid w:val="005D1FBA"/>
    <w:rsid w:val="005D2018"/>
    <w:rsid w:val="005D24A9"/>
    <w:rsid w:val="005D25B7"/>
    <w:rsid w:val="005D25BE"/>
    <w:rsid w:val="005D293C"/>
    <w:rsid w:val="005D2A58"/>
    <w:rsid w:val="005D30B8"/>
    <w:rsid w:val="005D3ED4"/>
    <w:rsid w:val="005D3FF2"/>
    <w:rsid w:val="005D48FE"/>
    <w:rsid w:val="005D4DA2"/>
    <w:rsid w:val="005D5504"/>
    <w:rsid w:val="005D5864"/>
    <w:rsid w:val="005D5880"/>
    <w:rsid w:val="005D5DA2"/>
    <w:rsid w:val="005D5EAC"/>
    <w:rsid w:val="005D66B0"/>
    <w:rsid w:val="005D6BA1"/>
    <w:rsid w:val="005D6C63"/>
    <w:rsid w:val="005D6E99"/>
    <w:rsid w:val="005D7598"/>
    <w:rsid w:val="005E009F"/>
    <w:rsid w:val="005E0C21"/>
    <w:rsid w:val="005E1528"/>
    <w:rsid w:val="005E2189"/>
    <w:rsid w:val="005E25F7"/>
    <w:rsid w:val="005E2A5A"/>
    <w:rsid w:val="005E2C15"/>
    <w:rsid w:val="005E35FD"/>
    <w:rsid w:val="005E3674"/>
    <w:rsid w:val="005E3B69"/>
    <w:rsid w:val="005E3DDA"/>
    <w:rsid w:val="005E4583"/>
    <w:rsid w:val="005E4642"/>
    <w:rsid w:val="005E46DC"/>
    <w:rsid w:val="005E4866"/>
    <w:rsid w:val="005E4A51"/>
    <w:rsid w:val="005E4C95"/>
    <w:rsid w:val="005E58A5"/>
    <w:rsid w:val="005E5E61"/>
    <w:rsid w:val="005E6674"/>
    <w:rsid w:val="005E78E7"/>
    <w:rsid w:val="005F00DC"/>
    <w:rsid w:val="005F01BE"/>
    <w:rsid w:val="005F0224"/>
    <w:rsid w:val="005F038B"/>
    <w:rsid w:val="005F049B"/>
    <w:rsid w:val="005F074B"/>
    <w:rsid w:val="005F0908"/>
    <w:rsid w:val="005F0B3C"/>
    <w:rsid w:val="005F0E3E"/>
    <w:rsid w:val="005F14B1"/>
    <w:rsid w:val="005F16C0"/>
    <w:rsid w:val="005F1D95"/>
    <w:rsid w:val="005F1FA4"/>
    <w:rsid w:val="005F2129"/>
    <w:rsid w:val="005F22F1"/>
    <w:rsid w:val="005F27EF"/>
    <w:rsid w:val="005F30B1"/>
    <w:rsid w:val="005F31A8"/>
    <w:rsid w:val="005F3434"/>
    <w:rsid w:val="005F3AEF"/>
    <w:rsid w:val="005F3C03"/>
    <w:rsid w:val="005F3DD2"/>
    <w:rsid w:val="005F4418"/>
    <w:rsid w:val="005F492A"/>
    <w:rsid w:val="005F49D2"/>
    <w:rsid w:val="005F4CED"/>
    <w:rsid w:val="005F5352"/>
    <w:rsid w:val="005F5527"/>
    <w:rsid w:val="005F6B5C"/>
    <w:rsid w:val="005F6BF4"/>
    <w:rsid w:val="005F6D08"/>
    <w:rsid w:val="005F6F91"/>
    <w:rsid w:val="005F7321"/>
    <w:rsid w:val="005F7CC7"/>
    <w:rsid w:val="006001F4"/>
    <w:rsid w:val="00600F74"/>
    <w:rsid w:val="00601269"/>
    <w:rsid w:val="006013B2"/>
    <w:rsid w:val="00601459"/>
    <w:rsid w:val="00601C2F"/>
    <w:rsid w:val="00602BBC"/>
    <w:rsid w:val="00603003"/>
    <w:rsid w:val="00603ABE"/>
    <w:rsid w:val="00603D36"/>
    <w:rsid w:val="00603F19"/>
    <w:rsid w:val="00604D69"/>
    <w:rsid w:val="006052E4"/>
    <w:rsid w:val="00605442"/>
    <w:rsid w:val="0060549B"/>
    <w:rsid w:val="00605538"/>
    <w:rsid w:val="00605776"/>
    <w:rsid w:val="006061F3"/>
    <w:rsid w:val="0060683C"/>
    <w:rsid w:val="00607532"/>
    <w:rsid w:val="00607C9B"/>
    <w:rsid w:val="006104FE"/>
    <w:rsid w:val="00610930"/>
    <w:rsid w:val="00610B37"/>
    <w:rsid w:val="00611216"/>
    <w:rsid w:val="006112E4"/>
    <w:rsid w:val="00611F90"/>
    <w:rsid w:val="0061223F"/>
    <w:rsid w:val="006125B0"/>
    <w:rsid w:val="00612C20"/>
    <w:rsid w:val="00612E61"/>
    <w:rsid w:val="00612FC6"/>
    <w:rsid w:val="00613D28"/>
    <w:rsid w:val="0061404F"/>
    <w:rsid w:val="0061424C"/>
    <w:rsid w:val="00614C2C"/>
    <w:rsid w:val="00614E96"/>
    <w:rsid w:val="00614EA9"/>
    <w:rsid w:val="00615072"/>
    <w:rsid w:val="00615EA0"/>
    <w:rsid w:val="00615F30"/>
    <w:rsid w:val="00616E27"/>
    <w:rsid w:val="00617088"/>
    <w:rsid w:val="00617831"/>
    <w:rsid w:val="0061794C"/>
    <w:rsid w:val="0062007E"/>
    <w:rsid w:val="00620205"/>
    <w:rsid w:val="006202CC"/>
    <w:rsid w:val="0062030A"/>
    <w:rsid w:val="006203E3"/>
    <w:rsid w:val="00620470"/>
    <w:rsid w:val="00620736"/>
    <w:rsid w:val="006212E4"/>
    <w:rsid w:val="00621EF4"/>
    <w:rsid w:val="00622128"/>
    <w:rsid w:val="006229D3"/>
    <w:rsid w:val="006241BE"/>
    <w:rsid w:val="006244E5"/>
    <w:rsid w:val="0062456C"/>
    <w:rsid w:val="00625009"/>
    <w:rsid w:val="0062515E"/>
    <w:rsid w:val="00625523"/>
    <w:rsid w:val="00625759"/>
    <w:rsid w:val="006259EF"/>
    <w:rsid w:val="00625B32"/>
    <w:rsid w:val="00625B8F"/>
    <w:rsid w:val="00626048"/>
    <w:rsid w:val="006260EA"/>
    <w:rsid w:val="006266E5"/>
    <w:rsid w:val="006273CE"/>
    <w:rsid w:val="006278CC"/>
    <w:rsid w:val="00627912"/>
    <w:rsid w:val="00627F05"/>
    <w:rsid w:val="00630332"/>
    <w:rsid w:val="00630F2B"/>
    <w:rsid w:val="006315AC"/>
    <w:rsid w:val="00631621"/>
    <w:rsid w:val="0063189C"/>
    <w:rsid w:val="00632878"/>
    <w:rsid w:val="006329CF"/>
    <w:rsid w:val="00632A7A"/>
    <w:rsid w:val="00632C05"/>
    <w:rsid w:val="006330FA"/>
    <w:rsid w:val="00633595"/>
    <w:rsid w:val="00634521"/>
    <w:rsid w:val="0063468C"/>
    <w:rsid w:val="00634DAD"/>
    <w:rsid w:val="0063546E"/>
    <w:rsid w:val="006356A3"/>
    <w:rsid w:val="006356C7"/>
    <w:rsid w:val="006358A5"/>
    <w:rsid w:val="006359D0"/>
    <w:rsid w:val="00635B2E"/>
    <w:rsid w:val="006364F7"/>
    <w:rsid w:val="00636D65"/>
    <w:rsid w:val="00636EAC"/>
    <w:rsid w:val="0063728E"/>
    <w:rsid w:val="006372F2"/>
    <w:rsid w:val="0063730B"/>
    <w:rsid w:val="006373B0"/>
    <w:rsid w:val="00637630"/>
    <w:rsid w:val="00637810"/>
    <w:rsid w:val="00637918"/>
    <w:rsid w:val="0063799F"/>
    <w:rsid w:val="00637A48"/>
    <w:rsid w:val="00637E30"/>
    <w:rsid w:val="00637E67"/>
    <w:rsid w:val="00640391"/>
    <w:rsid w:val="0064090C"/>
    <w:rsid w:val="00640A83"/>
    <w:rsid w:val="00642D42"/>
    <w:rsid w:val="00642E0E"/>
    <w:rsid w:val="00643044"/>
    <w:rsid w:val="006430ED"/>
    <w:rsid w:val="006434BE"/>
    <w:rsid w:val="00643B35"/>
    <w:rsid w:val="00644879"/>
    <w:rsid w:val="00644C6D"/>
    <w:rsid w:val="0064527F"/>
    <w:rsid w:val="006454AC"/>
    <w:rsid w:val="006457EB"/>
    <w:rsid w:val="00645A81"/>
    <w:rsid w:val="00645CCC"/>
    <w:rsid w:val="00646222"/>
    <w:rsid w:val="0064663D"/>
    <w:rsid w:val="00646CA0"/>
    <w:rsid w:val="00650191"/>
    <w:rsid w:val="00650351"/>
    <w:rsid w:val="006505DC"/>
    <w:rsid w:val="00650899"/>
    <w:rsid w:val="006509BB"/>
    <w:rsid w:val="00650BE0"/>
    <w:rsid w:val="00651032"/>
    <w:rsid w:val="00651361"/>
    <w:rsid w:val="006514C8"/>
    <w:rsid w:val="00651605"/>
    <w:rsid w:val="006516A6"/>
    <w:rsid w:val="00651A21"/>
    <w:rsid w:val="00651FD1"/>
    <w:rsid w:val="006529E9"/>
    <w:rsid w:val="00652C86"/>
    <w:rsid w:val="006531CB"/>
    <w:rsid w:val="00653453"/>
    <w:rsid w:val="00653E4D"/>
    <w:rsid w:val="00653F03"/>
    <w:rsid w:val="006541A6"/>
    <w:rsid w:val="00654347"/>
    <w:rsid w:val="00654926"/>
    <w:rsid w:val="00654C6A"/>
    <w:rsid w:val="00655B41"/>
    <w:rsid w:val="00656821"/>
    <w:rsid w:val="006569B1"/>
    <w:rsid w:val="00656F75"/>
    <w:rsid w:val="006572F6"/>
    <w:rsid w:val="00657379"/>
    <w:rsid w:val="006576D8"/>
    <w:rsid w:val="0065797F"/>
    <w:rsid w:val="00657BBC"/>
    <w:rsid w:val="006600F5"/>
    <w:rsid w:val="0066027D"/>
    <w:rsid w:val="00660609"/>
    <w:rsid w:val="006609B1"/>
    <w:rsid w:val="00660AD1"/>
    <w:rsid w:val="006615C6"/>
    <w:rsid w:val="00661D76"/>
    <w:rsid w:val="00661E8F"/>
    <w:rsid w:val="00662020"/>
    <w:rsid w:val="006623BF"/>
    <w:rsid w:val="006624F0"/>
    <w:rsid w:val="0066294A"/>
    <w:rsid w:val="0066318C"/>
    <w:rsid w:val="006637B9"/>
    <w:rsid w:val="00663AAC"/>
    <w:rsid w:val="00664533"/>
    <w:rsid w:val="0066498E"/>
    <w:rsid w:val="006659DD"/>
    <w:rsid w:val="00665B84"/>
    <w:rsid w:val="006662AD"/>
    <w:rsid w:val="006664A2"/>
    <w:rsid w:val="006668CA"/>
    <w:rsid w:val="00666E99"/>
    <w:rsid w:val="0066760C"/>
    <w:rsid w:val="00667628"/>
    <w:rsid w:val="00667ABB"/>
    <w:rsid w:val="006708C9"/>
    <w:rsid w:val="00670B88"/>
    <w:rsid w:val="00670E84"/>
    <w:rsid w:val="0067240D"/>
    <w:rsid w:val="006726E0"/>
    <w:rsid w:val="006742C5"/>
    <w:rsid w:val="00674766"/>
    <w:rsid w:val="0067481E"/>
    <w:rsid w:val="00674A96"/>
    <w:rsid w:val="00674D18"/>
    <w:rsid w:val="006750F1"/>
    <w:rsid w:val="00675A81"/>
    <w:rsid w:val="0067643D"/>
    <w:rsid w:val="0067675D"/>
    <w:rsid w:val="00677A1C"/>
    <w:rsid w:val="00677C73"/>
    <w:rsid w:val="00677F7C"/>
    <w:rsid w:val="0068074C"/>
    <w:rsid w:val="00681EC1"/>
    <w:rsid w:val="00682FEC"/>
    <w:rsid w:val="006834E5"/>
    <w:rsid w:val="00683564"/>
    <w:rsid w:val="006836FF"/>
    <w:rsid w:val="00683815"/>
    <w:rsid w:val="00683A28"/>
    <w:rsid w:val="00684959"/>
    <w:rsid w:val="00684DEA"/>
    <w:rsid w:val="006854F2"/>
    <w:rsid w:val="0068565C"/>
    <w:rsid w:val="00685CE0"/>
    <w:rsid w:val="0068620A"/>
    <w:rsid w:val="006862BE"/>
    <w:rsid w:val="00686490"/>
    <w:rsid w:val="00686A21"/>
    <w:rsid w:val="00686E12"/>
    <w:rsid w:val="0069093D"/>
    <w:rsid w:val="00690E56"/>
    <w:rsid w:val="00691B4D"/>
    <w:rsid w:val="00692151"/>
    <w:rsid w:val="0069225F"/>
    <w:rsid w:val="006923B1"/>
    <w:rsid w:val="0069249C"/>
    <w:rsid w:val="00692613"/>
    <w:rsid w:val="00692D8D"/>
    <w:rsid w:val="0069335D"/>
    <w:rsid w:val="00694A48"/>
    <w:rsid w:val="00694C3C"/>
    <w:rsid w:val="00696ADE"/>
    <w:rsid w:val="00696C6A"/>
    <w:rsid w:val="0069765A"/>
    <w:rsid w:val="00697E8B"/>
    <w:rsid w:val="006A040F"/>
    <w:rsid w:val="006A0863"/>
    <w:rsid w:val="006A0ACD"/>
    <w:rsid w:val="006A1039"/>
    <w:rsid w:val="006A1B17"/>
    <w:rsid w:val="006A21AF"/>
    <w:rsid w:val="006A2D1D"/>
    <w:rsid w:val="006A49AE"/>
    <w:rsid w:val="006A4C49"/>
    <w:rsid w:val="006A52FF"/>
    <w:rsid w:val="006A5837"/>
    <w:rsid w:val="006A5A4C"/>
    <w:rsid w:val="006A5EE2"/>
    <w:rsid w:val="006A6846"/>
    <w:rsid w:val="006A7121"/>
    <w:rsid w:val="006A75AC"/>
    <w:rsid w:val="006A7632"/>
    <w:rsid w:val="006A7897"/>
    <w:rsid w:val="006A7F23"/>
    <w:rsid w:val="006B0109"/>
    <w:rsid w:val="006B056A"/>
    <w:rsid w:val="006B0630"/>
    <w:rsid w:val="006B0FA2"/>
    <w:rsid w:val="006B1475"/>
    <w:rsid w:val="006B1754"/>
    <w:rsid w:val="006B1A63"/>
    <w:rsid w:val="006B1ED5"/>
    <w:rsid w:val="006B20E7"/>
    <w:rsid w:val="006B2A03"/>
    <w:rsid w:val="006B2ABD"/>
    <w:rsid w:val="006B2E94"/>
    <w:rsid w:val="006B307B"/>
    <w:rsid w:val="006B3858"/>
    <w:rsid w:val="006B424E"/>
    <w:rsid w:val="006B4FA7"/>
    <w:rsid w:val="006B5363"/>
    <w:rsid w:val="006B56D9"/>
    <w:rsid w:val="006B59BE"/>
    <w:rsid w:val="006B61DB"/>
    <w:rsid w:val="006B657B"/>
    <w:rsid w:val="006B6D90"/>
    <w:rsid w:val="006B709C"/>
    <w:rsid w:val="006B7AF5"/>
    <w:rsid w:val="006C01B3"/>
    <w:rsid w:val="006C0671"/>
    <w:rsid w:val="006C0F3D"/>
    <w:rsid w:val="006C0FB3"/>
    <w:rsid w:val="006C150F"/>
    <w:rsid w:val="006C1918"/>
    <w:rsid w:val="006C1ABF"/>
    <w:rsid w:val="006C1BD3"/>
    <w:rsid w:val="006C1C44"/>
    <w:rsid w:val="006C1C92"/>
    <w:rsid w:val="006C1D80"/>
    <w:rsid w:val="006C2017"/>
    <w:rsid w:val="006C2950"/>
    <w:rsid w:val="006C2C47"/>
    <w:rsid w:val="006C34ED"/>
    <w:rsid w:val="006C3A8A"/>
    <w:rsid w:val="006C3B12"/>
    <w:rsid w:val="006C3D2D"/>
    <w:rsid w:val="006C4023"/>
    <w:rsid w:val="006C4287"/>
    <w:rsid w:val="006C431D"/>
    <w:rsid w:val="006C4D54"/>
    <w:rsid w:val="006C58DF"/>
    <w:rsid w:val="006C6452"/>
    <w:rsid w:val="006C6CE3"/>
    <w:rsid w:val="006C6D27"/>
    <w:rsid w:val="006C7199"/>
    <w:rsid w:val="006C7422"/>
    <w:rsid w:val="006D0087"/>
    <w:rsid w:val="006D04D2"/>
    <w:rsid w:val="006D09D9"/>
    <w:rsid w:val="006D167F"/>
    <w:rsid w:val="006D176D"/>
    <w:rsid w:val="006D280F"/>
    <w:rsid w:val="006D32A1"/>
    <w:rsid w:val="006D383A"/>
    <w:rsid w:val="006D4161"/>
    <w:rsid w:val="006D4B9E"/>
    <w:rsid w:val="006D5088"/>
    <w:rsid w:val="006D5CCE"/>
    <w:rsid w:val="006D60EF"/>
    <w:rsid w:val="006D6131"/>
    <w:rsid w:val="006D658E"/>
    <w:rsid w:val="006D66B2"/>
    <w:rsid w:val="006D6C22"/>
    <w:rsid w:val="006D6CC0"/>
    <w:rsid w:val="006D6DC4"/>
    <w:rsid w:val="006D73C8"/>
    <w:rsid w:val="006D76F3"/>
    <w:rsid w:val="006D7869"/>
    <w:rsid w:val="006D786C"/>
    <w:rsid w:val="006D795F"/>
    <w:rsid w:val="006D79E4"/>
    <w:rsid w:val="006D7BA7"/>
    <w:rsid w:val="006D7F1E"/>
    <w:rsid w:val="006E07AA"/>
    <w:rsid w:val="006E08BF"/>
    <w:rsid w:val="006E123A"/>
    <w:rsid w:val="006E160A"/>
    <w:rsid w:val="006E1791"/>
    <w:rsid w:val="006E1B0D"/>
    <w:rsid w:val="006E24C0"/>
    <w:rsid w:val="006E2C4B"/>
    <w:rsid w:val="006E2C56"/>
    <w:rsid w:val="006E3505"/>
    <w:rsid w:val="006E36C3"/>
    <w:rsid w:val="006E3C03"/>
    <w:rsid w:val="006E4010"/>
    <w:rsid w:val="006E4128"/>
    <w:rsid w:val="006E42E4"/>
    <w:rsid w:val="006E45B0"/>
    <w:rsid w:val="006E4684"/>
    <w:rsid w:val="006E4A31"/>
    <w:rsid w:val="006E4ABF"/>
    <w:rsid w:val="006E52CE"/>
    <w:rsid w:val="006E57B4"/>
    <w:rsid w:val="006E585B"/>
    <w:rsid w:val="006E5ADE"/>
    <w:rsid w:val="006E5CA2"/>
    <w:rsid w:val="006E5FB1"/>
    <w:rsid w:val="006E6297"/>
    <w:rsid w:val="006E632D"/>
    <w:rsid w:val="006E6560"/>
    <w:rsid w:val="006E663F"/>
    <w:rsid w:val="006E67D8"/>
    <w:rsid w:val="006E6CC2"/>
    <w:rsid w:val="006E6E66"/>
    <w:rsid w:val="006E70B2"/>
    <w:rsid w:val="006E7235"/>
    <w:rsid w:val="006E787E"/>
    <w:rsid w:val="006E7A1D"/>
    <w:rsid w:val="006F0215"/>
    <w:rsid w:val="006F027E"/>
    <w:rsid w:val="006F10E1"/>
    <w:rsid w:val="006F11DD"/>
    <w:rsid w:val="006F161B"/>
    <w:rsid w:val="006F19AA"/>
    <w:rsid w:val="006F19AB"/>
    <w:rsid w:val="006F1D34"/>
    <w:rsid w:val="006F26FB"/>
    <w:rsid w:val="006F281D"/>
    <w:rsid w:val="006F2840"/>
    <w:rsid w:val="006F285F"/>
    <w:rsid w:val="006F2A71"/>
    <w:rsid w:val="006F3142"/>
    <w:rsid w:val="006F347B"/>
    <w:rsid w:val="006F3536"/>
    <w:rsid w:val="006F3A6E"/>
    <w:rsid w:val="006F4068"/>
    <w:rsid w:val="006F4A1E"/>
    <w:rsid w:val="006F4CA3"/>
    <w:rsid w:val="006F4F50"/>
    <w:rsid w:val="006F66C9"/>
    <w:rsid w:val="006F713A"/>
    <w:rsid w:val="006F78A5"/>
    <w:rsid w:val="00700615"/>
    <w:rsid w:val="00700ABF"/>
    <w:rsid w:val="00700C6D"/>
    <w:rsid w:val="00701441"/>
    <w:rsid w:val="00701458"/>
    <w:rsid w:val="00701F32"/>
    <w:rsid w:val="007021CD"/>
    <w:rsid w:val="00702208"/>
    <w:rsid w:val="00702A1E"/>
    <w:rsid w:val="00702A70"/>
    <w:rsid w:val="00702E9B"/>
    <w:rsid w:val="0070320C"/>
    <w:rsid w:val="007033B5"/>
    <w:rsid w:val="00704670"/>
    <w:rsid w:val="00704B68"/>
    <w:rsid w:val="00704C87"/>
    <w:rsid w:val="00704E3E"/>
    <w:rsid w:val="00705DA7"/>
    <w:rsid w:val="00706096"/>
    <w:rsid w:val="00706400"/>
    <w:rsid w:val="00706474"/>
    <w:rsid w:val="007068AF"/>
    <w:rsid w:val="007069D0"/>
    <w:rsid w:val="0070704B"/>
    <w:rsid w:val="00710AF8"/>
    <w:rsid w:val="00710BF9"/>
    <w:rsid w:val="00710F65"/>
    <w:rsid w:val="00710FFF"/>
    <w:rsid w:val="007123F2"/>
    <w:rsid w:val="00712ACD"/>
    <w:rsid w:val="0071327A"/>
    <w:rsid w:val="00713714"/>
    <w:rsid w:val="0071397B"/>
    <w:rsid w:val="007139D1"/>
    <w:rsid w:val="00713E05"/>
    <w:rsid w:val="007149F9"/>
    <w:rsid w:val="00715002"/>
    <w:rsid w:val="00715440"/>
    <w:rsid w:val="007158E1"/>
    <w:rsid w:val="007159B9"/>
    <w:rsid w:val="00715C7C"/>
    <w:rsid w:val="007163C0"/>
    <w:rsid w:val="007167BA"/>
    <w:rsid w:val="00716B1B"/>
    <w:rsid w:val="007202FA"/>
    <w:rsid w:val="0072059F"/>
    <w:rsid w:val="00720648"/>
    <w:rsid w:val="00720B9C"/>
    <w:rsid w:val="00720C94"/>
    <w:rsid w:val="0072168B"/>
    <w:rsid w:val="007217C3"/>
    <w:rsid w:val="0072199D"/>
    <w:rsid w:val="0072219B"/>
    <w:rsid w:val="00722424"/>
    <w:rsid w:val="0072288D"/>
    <w:rsid w:val="00722DED"/>
    <w:rsid w:val="00722F8A"/>
    <w:rsid w:val="0072357A"/>
    <w:rsid w:val="00723C1D"/>
    <w:rsid w:val="00723CC5"/>
    <w:rsid w:val="007240CE"/>
    <w:rsid w:val="007244C8"/>
    <w:rsid w:val="00724A11"/>
    <w:rsid w:val="00724B22"/>
    <w:rsid w:val="00725154"/>
    <w:rsid w:val="007253B8"/>
    <w:rsid w:val="007255AF"/>
    <w:rsid w:val="007264A6"/>
    <w:rsid w:val="007265DD"/>
    <w:rsid w:val="00726680"/>
    <w:rsid w:val="00726C56"/>
    <w:rsid w:val="00727068"/>
    <w:rsid w:val="007270D6"/>
    <w:rsid w:val="007273AA"/>
    <w:rsid w:val="00727786"/>
    <w:rsid w:val="007278B3"/>
    <w:rsid w:val="00727ADF"/>
    <w:rsid w:val="00727AE5"/>
    <w:rsid w:val="00727BB3"/>
    <w:rsid w:val="00727BCF"/>
    <w:rsid w:val="00727E46"/>
    <w:rsid w:val="00730041"/>
    <w:rsid w:val="0073024E"/>
    <w:rsid w:val="00730B93"/>
    <w:rsid w:val="00730D60"/>
    <w:rsid w:val="00731E30"/>
    <w:rsid w:val="00731EC4"/>
    <w:rsid w:val="00731FA8"/>
    <w:rsid w:val="00732122"/>
    <w:rsid w:val="0073212E"/>
    <w:rsid w:val="007324C6"/>
    <w:rsid w:val="00732E66"/>
    <w:rsid w:val="0073326F"/>
    <w:rsid w:val="0073378E"/>
    <w:rsid w:val="00733F2B"/>
    <w:rsid w:val="007343B1"/>
    <w:rsid w:val="00734516"/>
    <w:rsid w:val="00734D2F"/>
    <w:rsid w:val="00735043"/>
    <w:rsid w:val="007350EE"/>
    <w:rsid w:val="007356CC"/>
    <w:rsid w:val="0073630E"/>
    <w:rsid w:val="00736983"/>
    <w:rsid w:val="007374FB"/>
    <w:rsid w:val="00737520"/>
    <w:rsid w:val="0074067F"/>
    <w:rsid w:val="007406F6"/>
    <w:rsid w:val="00740C3E"/>
    <w:rsid w:val="00740E0F"/>
    <w:rsid w:val="00742601"/>
    <w:rsid w:val="00742E54"/>
    <w:rsid w:val="00742F99"/>
    <w:rsid w:val="00743A72"/>
    <w:rsid w:val="0074450C"/>
    <w:rsid w:val="00744632"/>
    <w:rsid w:val="00744A32"/>
    <w:rsid w:val="00744A94"/>
    <w:rsid w:val="00744C7D"/>
    <w:rsid w:val="007452B3"/>
    <w:rsid w:val="007467DE"/>
    <w:rsid w:val="0074683C"/>
    <w:rsid w:val="00746F21"/>
    <w:rsid w:val="00746F99"/>
    <w:rsid w:val="0074714A"/>
    <w:rsid w:val="007474F0"/>
    <w:rsid w:val="00747AC3"/>
    <w:rsid w:val="00747B67"/>
    <w:rsid w:val="00750052"/>
    <w:rsid w:val="00750E46"/>
    <w:rsid w:val="00750F58"/>
    <w:rsid w:val="0075243C"/>
    <w:rsid w:val="007524DB"/>
    <w:rsid w:val="007526C7"/>
    <w:rsid w:val="00753115"/>
    <w:rsid w:val="007536B9"/>
    <w:rsid w:val="007538C4"/>
    <w:rsid w:val="00753941"/>
    <w:rsid w:val="00753A65"/>
    <w:rsid w:val="00753ADE"/>
    <w:rsid w:val="00754D6C"/>
    <w:rsid w:val="00755056"/>
    <w:rsid w:val="007551D8"/>
    <w:rsid w:val="0075625B"/>
    <w:rsid w:val="00756E22"/>
    <w:rsid w:val="00756E3A"/>
    <w:rsid w:val="0075719C"/>
    <w:rsid w:val="00757B56"/>
    <w:rsid w:val="00760B67"/>
    <w:rsid w:val="00760F3C"/>
    <w:rsid w:val="0076115B"/>
    <w:rsid w:val="00761CE2"/>
    <w:rsid w:val="00761E1F"/>
    <w:rsid w:val="00761E43"/>
    <w:rsid w:val="0076244C"/>
    <w:rsid w:val="007634F8"/>
    <w:rsid w:val="00763CCF"/>
    <w:rsid w:val="00763E35"/>
    <w:rsid w:val="00764C13"/>
    <w:rsid w:val="0076503E"/>
    <w:rsid w:val="00765091"/>
    <w:rsid w:val="007657FC"/>
    <w:rsid w:val="007658A5"/>
    <w:rsid w:val="0076677C"/>
    <w:rsid w:val="00766829"/>
    <w:rsid w:val="00766AEC"/>
    <w:rsid w:val="0076737F"/>
    <w:rsid w:val="007678E6"/>
    <w:rsid w:val="00767B25"/>
    <w:rsid w:val="007702E5"/>
    <w:rsid w:val="007703C9"/>
    <w:rsid w:val="00770AC7"/>
    <w:rsid w:val="0077170D"/>
    <w:rsid w:val="0077176D"/>
    <w:rsid w:val="00771BEC"/>
    <w:rsid w:val="00771C1A"/>
    <w:rsid w:val="00771F85"/>
    <w:rsid w:val="00772487"/>
    <w:rsid w:val="00772730"/>
    <w:rsid w:val="00772A78"/>
    <w:rsid w:val="0077300F"/>
    <w:rsid w:val="00773308"/>
    <w:rsid w:val="0077389E"/>
    <w:rsid w:val="00773F61"/>
    <w:rsid w:val="00774E68"/>
    <w:rsid w:val="00774E93"/>
    <w:rsid w:val="0077505C"/>
    <w:rsid w:val="00775446"/>
    <w:rsid w:val="007758ED"/>
    <w:rsid w:val="0077594D"/>
    <w:rsid w:val="007761EE"/>
    <w:rsid w:val="0077697F"/>
    <w:rsid w:val="00776A46"/>
    <w:rsid w:val="0077727E"/>
    <w:rsid w:val="007772C8"/>
    <w:rsid w:val="00777388"/>
    <w:rsid w:val="0077791E"/>
    <w:rsid w:val="00777BAD"/>
    <w:rsid w:val="00777DAD"/>
    <w:rsid w:val="00780097"/>
    <w:rsid w:val="007809A9"/>
    <w:rsid w:val="00780C36"/>
    <w:rsid w:val="00780D40"/>
    <w:rsid w:val="00781125"/>
    <w:rsid w:val="00781F3B"/>
    <w:rsid w:val="007824AB"/>
    <w:rsid w:val="0078358A"/>
    <w:rsid w:val="00783850"/>
    <w:rsid w:val="00783CD9"/>
    <w:rsid w:val="00784D2F"/>
    <w:rsid w:val="00784F53"/>
    <w:rsid w:val="00785970"/>
    <w:rsid w:val="00785D0A"/>
    <w:rsid w:val="00785D38"/>
    <w:rsid w:val="00786364"/>
    <w:rsid w:val="00787591"/>
    <w:rsid w:val="007876C4"/>
    <w:rsid w:val="007877E8"/>
    <w:rsid w:val="00787AC0"/>
    <w:rsid w:val="00787EAD"/>
    <w:rsid w:val="0079068D"/>
    <w:rsid w:val="00790A1C"/>
    <w:rsid w:val="00790BF1"/>
    <w:rsid w:val="00791581"/>
    <w:rsid w:val="00792AFA"/>
    <w:rsid w:val="00792B80"/>
    <w:rsid w:val="007938BB"/>
    <w:rsid w:val="00795121"/>
    <w:rsid w:val="00795C02"/>
    <w:rsid w:val="00795E68"/>
    <w:rsid w:val="00795F23"/>
    <w:rsid w:val="00796843"/>
    <w:rsid w:val="0079764A"/>
    <w:rsid w:val="00797A48"/>
    <w:rsid w:val="00797D0E"/>
    <w:rsid w:val="00797D14"/>
    <w:rsid w:val="00797DAD"/>
    <w:rsid w:val="007A0926"/>
    <w:rsid w:val="007A107E"/>
    <w:rsid w:val="007A1E36"/>
    <w:rsid w:val="007A2FCF"/>
    <w:rsid w:val="007A3AB1"/>
    <w:rsid w:val="007A3DF5"/>
    <w:rsid w:val="007A3F08"/>
    <w:rsid w:val="007A44B6"/>
    <w:rsid w:val="007A4845"/>
    <w:rsid w:val="007A4DFA"/>
    <w:rsid w:val="007A4EBD"/>
    <w:rsid w:val="007A521B"/>
    <w:rsid w:val="007A54C1"/>
    <w:rsid w:val="007A582C"/>
    <w:rsid w:val="007A6C7D"/>
    <w:rsid w:val="007A6F9A"/>
    <w:rsid w:val="007A70F6"/>
    <w:rsid w:val="007A711B"/>
    <w:rsid w:val="007A744E"/>
    <w:rsid w:val="007A75A0"/>
    <w:rsid w:val="007A7E74"/>
    <w:rsid w:val="007A7F2A"/>
    <w:rsid w:val="007B0184"/>
    <w:rsid w:val="007B06A5"/>
    <w:rsid w:val="007B0A01"/>
    <w:rsid w:val="007B0BE6"/>
    <w:rsid w:val="007B0C46"/>
    <w:rsid w:val="007B112B"/>
    <w:rsid w:val="007B1E28"/>
    <w:rsid w:val="007B21F2"/>
    <w:rsid w:val="007B328D"/>
    <w:rsid w:val="007B3C58"/>
    <w:rsid w:val="007B3D81"/>
    <w:rsid w:val="007B3FAA"/>
    <w:rsid w:val="007B4427"/>
    <w:rsid w:val="007B44BE"/>
    <w:rsid w:val="007B566B"/>
    <w:rsid w:val="007B571D"/>
    <w:rsid w:val="007B5815"/>
    <w:rsid w:val="007B5B26"/>
    <w:rsid w:val="007B619F"/>
    <w:rsid w:val="007B6592"/>
    <w:rsid w:val="007B687A"/>
    <w:rsid w:val="007B691A"/>
    <w:rsid w:val="007B6942"/>
    <w:rsid w:val="007B6CE2"/>
    <w:rsid w:val="007B6D25"/>
    <w:rsid w:val="007B6FD2"/>
    <w:rsid w:val="007B72DD"/>
    <w:rsid w:val="007B78B6"/>
    <w:rsid w:val="007C0288"/>
    <w:rsid w:val="007C07ED"/>
    <w:rsid w:val="007C07F6"/>
    <w:rsid w:val="007C0832"/>
    <w:rsid w:val="007C096F"/>
    <w:rsid w:val="007C09AB"/>
    <w:rsid w:val="007C0EBE"/>
    <w:rsid w:val="007C1372"/>
    <w:rsid w:val="007C17FC"/>
    <w:rsid w:val="007C1C85"/>
    <w:rsid w:val="007C1FF6"/>
    <w:rsid w:val="007C2E02"/>
    <w:rsid w:val="007C2F86"/>
    <w:rsid w:val="007C4108"/>
    <w:rsid w:val="007C45FB"/>
    <w:rsid w:val="007C4A9A"/>
    <w:rsid w:val="007C514B"/>
    <w:rsid w:val="007C553D"/>
    <w:rsid w:val="007C56CB"/>
    <w:rsid w:val="007C5CAC"/>
    <w:rsid w:val="007C6531"/>
    <w:rsid w:val="007C6847"/>
    <w:rsid w:val="007C71D4"/>
    <w:rsid w:val="007C71E2"/>
    <w:rsid w:val="007C76F8"/>
    <w:rsid w:val="007C7734"/>
    <w:rsid w:val="007C7D40"/>
    <w:rsid w:val="007D01B9"/>
    <w:rsid w:val="007D0632"/>
    <w:rsid w:val="007D0E2D"/>
    <w:rsid w:val="007D15AE"/>
    <w:rsid w:val="007D16B5"/>
    <w:rsid w:val="007D189C"/>
    <w:rsid w:val="007D1D12"/>
    <w:rsid w:val="007D1D95"/>
    <w:rsid w:val="007D233B"/>
    <w:rsid w:val="007D29F6"/>
    <w:rsid w:val="007D2A91"/>
    <w:rsid w:val="007D337B"/>
    <w:rsid w:val="007D4382"/>
    <w:rsid w:val="007D4C70"/>
    <w:rsid w:val="007D56D2"/>
    <w:rsid w:val="007D5C93"/>
    <w:rsid w:val="007D5DED"/>
    <w:rsid w:val="007D61B8"/>
    <w:rsid w:val="007D6945"/>
    <w:rsid w:val="007D6C89"/>
    <w:rsid w:val="007D6CF7"/>
    <w:rsid w:val="007D6DE7"/>
    <w:rsid w:val="007D6DEE"/>
    <w:rsid w:val="007D70B5"/>
    <w:rsid w:val="007D70BB"/>
    <w:rsid w:val="007D7181"/>
    <w:rsid w:val="007D7206"/>
    <w:rsid w:val="007D72D2"/>
    <w:rsid w:val="007D760B"/>
    <w:rsid w:val="007D77AF"/>
    <w:rsid w:val="007D7E03"/>
    <w:rsid w:val="007D7EB3"/>
    <w:rsid w:val="007D7FD7"/>
    <w:rsid w:val="007E01DB"/>
    <w:rsid w:val="007E10DE"/>
    <w:rsid w:val="007E128A"/>
    <w:rsid w:val="007E19A6"/>
    <w:rsid w:val="007E2808"/>
    <w:rsid w:val="007E2A38"/>
    <w:rsid w:val="007E3217"/>
    <w:rsid w:val="007E36FC"/>
    <w:rsid w:val="007E3828"/>
    <w:rsid w:val="007E3B2F"/>
    <w:rsid w:val="007E3B77"/>
    <w:rsid w:val="007E3C92"/>
    <w:rsid w:val="007E405F"/>
    <w:rsid w:val="007E4217"/>
    <w:rsid w:val="007E49EE"/>
    <w:rsid w:val="007E5629"/>
    <w:rsid w:val="007E5AD7"/>
    <w:rsid w:val="007E68C3"/>
    <w:rsid w:val="007E69A8"/>
    <w:rsid w:val="007E6E57"/>
    <w:rsid w:val="007E6E5C"/>
    <w:rsid w:val="007E750F"/>
    <w:rsid w:val="007E7CB0"/>
    <w:rsid w:val="007E7D7C"/>
    <w:rsid w:val="007F02E3"/>
    <w:rsid w:val="007F1517"/>
    <w:rsid w:val="007F1621"/>
    <w:rsid w:val="007F16B7"/>
    <w:rsid w:val="007F17F4"/>
    <w:rsid w:val="007F186C"/>
    <w:rsid w:val="007F1D4F"/>
    <w:rsid w:val="007F34DE"/>
    <w:rsid w:val="007F34EB"/>
    <w:rsid w:val="007F3B20"/>
    <w:rsid w:val="007F3B2C"/>
    <w:rsid w:val="007F3C16"/>
    <w:rsid w:val="007F4051"/>
    <w:rsid w:val="007F42D5"/>
    <w:rsid w:val="007F48AD"/>
    <w:rsid w:val="007F4A1B"/>
    <w:rsid w:val="007F4A20"/>
    <w:rsid w:val="007F4AD9"/>
    <w:rsid w:val="007F4C7A"/>
    <w:rsid w:val="007F52E0"/>
    <w:rsid w:val="007F53B3"/>
    <w:rsid w:val="007F572D"/>
    <w:rsid w:val="007F5D02"/>
    <w:rsid w:val="007F6056"/>
    <w:rsid w:val="007F64B4"/>
    <w:rsid w:val="007F7FF2"/>
    <w:rsid w:val="00800889"/>
    <w:rsid w:val="00800A64"/>
    <w:rsid w:val="00800C46"/>
    <w:rsid w:val="0080175F"/>
    <w:rsid w:val="00801C4D"/>
    <w:rsid w:val="00801F46"/>
    <w:rsid w:val="00802129"/>
    <w:rsid w:val="008024D4"/>
    <w:rsid w:val="00802E55"/>
    <w:rsid w:val="00803382"/>
    <w:rsid w:val="00803CE5"/>
    <w:rsid w:val="00804642"/>
    <w:rsid w:val="008050AB"/>
    <w:rsid w:val="0080548B"/>
    <w:rsid w:val="008059B4"/>
    <w:rsid w:val="00805A57"/>
    <w:rsid w:val="00805B42"/>
    <w:rsid w:val="00805E4B"/>
    <w:rsid w:val="00805F58"/>
    <w:rsid w:val="00805F9E"/>
    <w:rsid w:val="00806B42"/>
    <w:rsid w:val="00806D63"/>
    <w:rsid w:val="00806DA6"/>
    <w:rsid w:val="00807409"/>
    <w:rsid w:val="0080798A"/>
    <w:rsid w:val="00807C14"/>
    <w:rsid w:val="0081021F"/>
    <w:rsid w:val="008102AD"/>
    <w:rsid w:val="0081167C"/>
    <w:rsid w:val="00811E96"/>
    <w:rsid w:val="00811EF6"/>
    <w:rsid w:val="008121E6"/>
    <w:rsid w:val="0081268F"/>
    <w:rsid w:val="0081297F"/>
    <w:rsid w:val="008130D2"/>
    <w:rsid w:val="008148B4"/>
    <w:rsid w:val="0081495F"/>
    <w:rsid w:val="008153A7"/>
    <w:rsid w:val="008153B7"/>
    <w:rsid w:val="00815EB6"/>
    <w:rsid w:val="0081653B"/>
    <w:rsid w:val="008166A5"/>
    <w:rsid w:val="008168F8"/>
    <w:rsid w:val="00816F7B"/>
    <w:rsid w:val="00820393"/>
    <w:rsid w:val="008203CF"/>
    <w:rsid w:val="00820603"/>
    <w:rsid w:val="00820F52"/>
    <w:rsid w:val="00822420"/>
    <w:rsid w:val="0082350D"/>
    <w:rsid w:val="00823E80"/>
    <w:rsid w:val="008245D8"/>
    <w:rsid w:val="008246BA"/>
    <w:rsid w:val="00824762"/>
    <w:rsid w:val="00824AA0"/>
    <w:rsid w:val="00824B1A"/>
    <w:rsid w:val="00825A14"/>
    <w:rsid w:val="00825A1B"/>
    <w:rsid w:val="00825AAA"/>
    <w:rsid w:val="00825BC3"/>
    <w:rsid w:val="008303D0"/>
    <w:rsid w:val="00830B48"/>
    <w:rsid w:val="0083121F"/>
    <w:rsid w:val="00831AF4"/>
    <w:rsid w:val="00831C86"/>
    <w:rsid w:val="00831FC6"/>
    <w:rsid w:val="008327D7"/>
    <w:rsid w:val="00832A1F"/>
    <w:rsid w:val="008330E7"/>
    <w:rsid w:val="00833437"/>
    <w:rsid w:val="00833E19"/>
    <w:rsid w:val="00834535"/>
    <w:rsid w:val="00834E18"/>
    <w:rsid w:val="00834E9C"/>
    <w:rsid w:val="00835707"/>
    <w:rsid w:val="00835CAC"/>
    <w:rsid w:val="0083622F"/>
    <w:rsid w:val="00836462"/>
    <w:rsid w:val="0083646C"/>
    <w:rsid w:val="008364D5"/>
    <w:rsid w:val="008368AA"/>
    <w:rsid w:val="0083723D"/>
    <w:rsid w:val="00837276"/>
    <w:rsid w:val="008372A9"/>
    <w:rsid w:val="008375AA"/>
    <w:rsid w:val="00837997"/>
    <w:rsid w:val="00842138"/>
    <w:rsid w:val="00842561"/>
    <w:rsid w:val="00842BBF"/>
    <w:rsid w:val="00842F70"/>
    <w:rsid w:val="00843FE7"/>
    <w:rsid w:val="0084464C"/>
    <w:rsid w:val="00844CA1"/>
    <w:rsid w:val="00844E79"/>
    <w:rsid w:val="00845656"/>
    <w:rsid w:val="00845894"/>
    <w:rsid w:val="008459A9"/>
    <w:rsid w:val="00845E79"/>
    <w:rsid w:val="00845E9A"/>
    <w:rsid w:val="0084668B"/>
    <w:rsid w:val="00846E79"/>
    <w:rsid w:val="008472B9"/>
    <w:rsid w:val="008472FB"/>
    <w:rsid w:val="00847373"/>
    <w:rsid w:val="008474A5"/>
    <w:rsid w:val="008477E8"/>
    <w:rsid w:val="008478AA"/>
    <w:rsid w:val="00847989"/>
    <w:rsid w:val="00847B0A"/>
    <w:rsid w:val="00847B8A"/>
    <w:rsid w:val="00847C79"/>
    <w:rsid w:val="00847C9D"/>
    <w:rsid w:val="00847D4E"/>
    <w:rsid w:val="0085005C"/>
    <w:rsid w:val="00850080"/>
    <w:rsid w:val="00850599"/>
    <w:rsid w:val="0085085C"/>
    <w:rsid w:val="00850910"/>
    <w:rsid w:val="00851076"/>
    <w:rsid w:val="008511EC"/>
    <w:rsid w:val="00851379"/>
    <w:rsid w:val="00851C99"/>
    <w:rsid w:val="00851CD4"/>
    <w:rsid w:val="00851E3E"/>
    <w:rsid w:val="00851F62"/>
    <w:rsid w:val="00851FD3"/>
    <w:rsid w:val="00852213"/>
    <w:rsid w:val="0085238A"/>
    <w:rsid w:val="008524EB"/>
    <w:rsid w:val="00852890"/>
    <w:rsid w:val="00852978"/>
    <w:rsid w:val="00852CAB"/>
    <w:rsid w:val="0085318D"/>
    <w:rsid w:val="008535F5"/>
    <w:rsid w:val="00853A58"/>
    <w:rsid w:val="008547B9"/>
    <w:rsid w:val="00855821"/>
    <w:rsid w:val="008565BC"/>
    <w:rsid w:val="00856648"/>
    <w:rsid w:val="00856A67"/>
    <w:rsid w:val="00856B26"/>
    <w:rsid w:val="00856B71"/>
    <w:rsid w:val="00856C36"/>
    <w:rsid w:val="00856C93"/>
    <w:rsid w:val="008573F9"/>
    <w:rsid w:val="00857D59"/>
    <w:rsid w:val="00861572"/>
    <w:rsid w:val="00861731"/>
    <w:rsid w:val="0086190F"/>
    <w:rsid w:val="00861EB1"/>
    <w:rsid w:val="0086219D"/>
    <w:rsid w:val="00862402"/>
    <w:rsid w:val="00862862"/>
    <w:rsid w:val="00862BAF"/>
    <w:rsid w:val="00862D12"/>
    <w:rsid w:val="00863B4F"/>
    <w:rsid w:val="00864147"/>
    <w:rsid w:val="008642D0"/>
    <w:rsid w:val="0086437F"/>
    <w:rsid w:val="00864795"/>
    <w:rsid w:val="0086575B"/>
    <w:rsid w:val="00865841"/>
    <w:rsid w:val="0086613E"/>
    <w:rsid w:val="008674E7"/>
    <w:rsid w:val="008674FE"/>
    <w:rsid w:val="008676E6"/>
    <w:rsid w:val="00867ECB"/>
    <w:rsid w:val="00867FC5"/>
    <w:rsid w:val="008714DB"/>
    <w:rsid w:val="00871578"/>
    <w:rsid w:val="00871B57"/>
    <w:rsid w:val="00871BB6"/>
    <w:rsid w:val="00871E21"/>
    <w:rsid w:val="0087223D"/>
    <w:rsid w:val="0087267C"/>
    <w:rsid w:val="008736E6"/>
    <w:rsid w:val="008747C9"/>
    <w:rsid w:val="00874EB6"/>
    <w:rsid w:val="00875402"/>
    <w:rsid w:val="00875449"/>
    <w:rsid w:val="00875858"/>
    <w:rsid w:val="00876359"/>
    <w:rsid w:val="00876705"/>
    <w:rsid w:val="00876939"/>
    <w:rsid w:val="00876A88"/>
    <w:rsid w:val="00877544"/>
    <w:rsid w:val="00877E88"/>
    <w:rsid w:val="0088002F"/>
    <w:rsid w:val="008802A2"/>
    <w:rsid w:val="008806EF"/>
    <w:rsid w:val="00880A80"/>
    <w:rsid w:val="00881072"/>
    <w:rsid w:val="008816A3"/>
    <w:rsid w:val="008829F7"/>
    <w:rsid w:val="00882E18"/>
    <w:rsid w:val="00884A24"/>
    <w:rsid w:val="00884B09"/>
    <w:rsid w:val="00884F1E"/>
    <w:rsid w:val="00885345"/>
    <w:rsid w:val="00885469"/>
    <w:rsid w:val="008862D8"/>
    <w:rsid w:val="008865D6"/>
    <w:rsid w:val="008866AA"/>
    <w:rsid w:val="008866DF"/>
    <w:rsid w:val="00886AEF"/>
    <w:rsid w:val="00886BD1"/>
    <w:rsid w:val="00887178"/>
    <w:rsid w:val="00887446"/>
    <w:rsid w:val="0088747B"/>
    <w:rsid w:val="00887648"/>
    <w:rsid w:val="008879D3"/>
    <w:rsid w:val="00887A34"/>
    <w:rsid w:val="00890168"/>
    <w:rsid w:val="008902CA"/>
    <w:rsid w:val="00890A6C"/>
    <w:rsid w:val="00890D9C"/>
    <w:rsid w:val="00891AC5"/>
    <w:rsid w:val="00892310"/>
    <w:rsid w:val="00892F80"/>
    <w:rsid w:val="00893560"/>
    <w:rsid w:val="00893A03"/>
    <w:rsid w:val="00894610"/>
    <w:rsid w:val="00894E27"/>
    <w:rsid w:val="00895566"/>
    <w:rsid w:val="00895572"/>
    <w:rsid w:val="00895AFB"/>
    <w:rsid w:val="00895BAB"/>
    <w:rsid w:val="00895CB8"/>
    <w:rsid w:val="00895E96"/>
    <w:rsid w:val="008961F6"/>
    <w:rsid w:val="00896315"/>
    <w:rsid w:val="0089661E"/>
    <w:rsid w:val="00896C38"/>
    <w:rsid w:val="00897D19"/>
    <w:rsid w:val="00897F55"/>
    <w:rsid w:val="008A0340"/>
    <w:rsid w:val="008A0544"/>
    <w:rsid w:val="008A056C"/>
    <w:rsid w:val="008A099F"/>
    <w:rsid w:val="008A0C03"/>
    <w:rsid w:val="008A0D84"/>
    <w:rsid w:val="008A12D8"/>
    <w:rsid w:val="008A14DB"/>
    <w:rsid w:val="008A16A0"/>
    <w:rsid w:val="008A1870"/>
    <w:rsid w:val="008A1A62"/>
    <w:rsid w:val="008A1D01"/>
    <w:rsid w:val="008A1DEE"/>
    <w:rsid w:val="008A1FFE"/>
    <w:rsid w:val="008A21D4"/>
    <w:rsid w:val="008A2348"/>
    <w:rsid w:val="008A2836"/>
    <w:rsid w:val="008A2C51"/>
    <w:rsid w:val="008A342D"/>
    <w:rsid w:val="008A35F8"/>
    <w:rsid w:val="008A374A"/>
    <w:rsid w:val="008A388C"/>
    <w:rsid w:val="008A3F6F"/>
    <w:rsid w:val="008A45D1"/>
    <w:rsid w:val="008A4609"/>
    <w:rsid w:val="008A4780"/>
    <w:rsid w:val="008A4896"/>
    <w:rsid w:val="008A4C8C"/>
    <w:rsid w:val="008A5963"/>
    <w:rsid w:val="008A5ABF"/>
    <w:rsid w:val="008A5FD4"/>
    <w:rsid w:val="008A60E7"/>
    <w:rsid w:val="008A6E78"/>
    <w:rsid w:val="008A774D"/>
    <w:rsid w:val="008A78F7"/>
    <w:rsid w:val="008B0887"/>
    <w:rsid w:val="008B09E2"/>
    <w:rsid w:val="008B1542"/>
    <w:rsid w:val="008B17A0"/>
    <w:rsid w:val="008B17D6"/>
    <w:rsid w:val="008B22B0"/>
    <w:rsid w:val="008B2C01"/>
    <w:rsid w:val="008B2E28"/>
    <w:rsid w:val="008B31F7"/>
    <w:rsid w:val="008B33C0"/>
    <w:rsid w:val="008B3522"/>
    <w:rsid w:val="008B3869"/>
    <w:rsid w:val="008B3966"/>
    <w:rsid w:val="008B3D4A"/>
    <w:rsid w:val="008B411B"/>
    <w:rsid w:val="008B4256"/>
    <w:rsid w:val="008B468D"/>
    <w:rsid w:val="008B4F41"/>
    <w:rsid w:val="008B5ADA"/>
    <w:rsid w:val="008B5F0A"/>
    <w:rsid w:val="008B694B"/>
    <w:rsid w:val="008B6972"/>
    <w:rsid w:val="008C05F1"/>
    <w:rsid w:val="008C07C7"/>
    <w:rsid w:val="008C097F"/>
    <w:rsid w:val="008C09EB"/>
    <w:rsid w:val="008C0B8B"/>
    <w:rsid w:val="008C0E17"/>
    <w:rsid w:val="008C1006"/>
    <w:rsid w:val="008C2AB9"/>
    <w:rsid w:val="008C329B"/>
    <w:rsid w:val="008C3DBB"/>
    <w:rsid w:val="008C4092"/>
    <w:rsid w:val="008C4722"/>
    <w:rsid w:val="008C4891"/>
    <w:rsid w:val="008C4BB1"/>
    <w:rsid w:val="008C5036"/>
    <w:rsid w:val="008C520D"/>
    <w:rsid w:val="008C57E2"/>
    <w:rsid w:val="008C5D99"/>
    <w:rsid w:val="008C61AE"/>
    <w:rsid w:val="008C6560"/>
    <w:rsid w:val="008C6F75"/>
    <w:rsid w:val="008C7200"/>
    <w:rsid w:val="008C7627"/>
    <w:rsid w:val="008C76BC"/>
    <w:rsid w:val="008D043E"/>
    <w:rsid w:val="008D0443"/>
    <w:rsid w:val="008D0D42"/>
    <w:rsid w:val="008D111E"/>
    <w:rsid w:val="008D12BF"/>
    <w:rsid w:val="008D1B62"/>
    <w:rsid w:val="008D1B9E"/>
    <w:rsid w:val="008D1F9A"/>
    <w:rsid w:val="008D2082"/>
    <w:rsid w:val="008D2388"/>
    <w:rsid w:val="008D24C9"/>
    <w:rsid w:val="008D26B5"/>
    <w:rsid w:val="008D359A"/>
    <w:rsid w:val="008D4146"/>
    <w:rsid w:val="008D42F6"/>
    <w:rsid w:val="008D5013"/>
    <w:rsid w:val="008D59E9"/>
    <w:rsid w:val="008D66CC"/>
    <w:rsid w:val="008D70B6"/>
    <w:rsid w:val="008D7367"/>
    <w:rsid w:val="008D73F0"/>
    <w:rsid w:val="008D750B"/>
    <w:rsid w:val="008D7D2D"/>
    <w:rsid w:val="008E006F"/>
    <w:rsid w:val="008E0B35"/>
    <w:rsid w:val="008E0F0B"/>
    <w:rsid w:val="008E1159"/>
    <w:rsid w:val="008E1580"/>
    <w:rsid w:val="008E1A9C"/>
    <w:rsid w:val="008E20F1"/>
    <w:rsid w:val="008E2F17"/>
    <w:rsid w:val="008E3175"/>
    <w:rsid w:val="008E32CE"/>
    <w:rsid w:val="008E3318"/>
    <w:rsid w:val="008E3CC4"/>
    <w:rsid w:val="008E3DDC"/>
    <w:rsid w:val="008E417F"/>
    <w:rsid w:val="008E4F24"/>
    <w:rsid w:val="008E5512"/>
    <w:rsid w:val="008E566F"/>
    <w:rsid w:val="008E57FE"/>
    <w:rsid w:val="008E59C0"/>
    <w:rsid w:val="008E5F4E"/>
    <w:rsid w:val="008E6511"/>
    <w:rsid w:val="008E6EF3"/>
    <w:rsid w:val="008E75D6"/>
    <w:rsid w:val="008E76F8"/>
    <w:rsid w:val="008F0475"/>
    <w:rsid w:val="008F058D"/>
    <w:rsid w:val="008F080D"/>
    <w:rsid w:val="008F08C3"/>
    <w:rsid w:val="008F1056"/>
    <w:rsid w:val="008F1589"/>
    <w:rsid w:val="008F1873"/>
    <w:rsid w:val="008F18E5"/>
    <w:rsid w:val="008F1E86"/>
    <w:rsid w:val="008F2E02"/>
    <w:rsid w:val="008F3327"/>
    <w:rsid w:val="008F3549"/>
    <w:rsid w:val="008F49E7"/>
    <w:rsid w:val="008F49F7"/>
    <w:rsid w:val="008F4A43"/>
    <w:rsid w:val="008F4BA0"/>
    <w:rsid w:val="008F4D58"/>
    <w:rsid w:val="008F509D"/>
    <w:rsid w:val="008F5110"/>
    <w:rsid w:val="008F51BE"/>
    <w:rsid w:val="008F51FC"/>
    <w:rsid w:val="008F5B13"/>
    <w:rsid w:val="008F5BFB"/>
    <w:rsid w:val="008F6006"/>
    <w:rsid w:val="008F62CE"/>
    <w:rsid w:val="008F71B1"/>
    <w:rsid w:val="008F71BC"/>
    <w:rsid w:val="008F7246"/>
    <w:rsid w:val="008F7DE6"/>
    <w:rsid w:val="00900FAB"/>
    <w:rsid w:val="009015B2"/>
    <w:rsid w:val="00901881"/>
    <w:rsid w:val="00901D1D"/>
    <w:rsid w:val="00901EF9"/>
    <w:rsid w:val="009022AF"/>
    <w:rsid w:val="009022F5"/>
    <w:rsid w:val="00902914"/>
    <w:rsid w:val="00902EB6"/>
    <w:rsid w:val="009033E0"/>
    <w:rsid w:val="00903496"/>
    <w:rsid w:val="009037F5"/>
    <w:rsid w:val="009040D4"/>
    <w:rsid w:val="009044C4"/>
    <w:rsid w:val="00904723"/>
    <w:rsid w:val="00905ACD"/>
    <w:rsid w:val="00905FB1"/>
    <w:rsid w:val="00906209"/>
    <w:rsid w:val="0090659B"/>
    <w:rsid w:val="0090660F"/>
    <w:rsid w:val="00906793"/>
    <w:rsid w:val="009068CE"/>
    <w:rsid w:val="00906D38"/>
    <w:rsid w:val="00906E90"/>
    <w:rsid w:val="00906F53"/>
    <w:rsid w:val="0090752F"/>
    <w:rsid w:val="00907652"/>
    <w:rsid w:val="00907A2C"/>
    <w:rsid w:val="00907C3D"/>
    <w:rsid w:val="0091051D"/>
    <w:rsid w:val="00910533"/>
    <w:rsid w:val="009107DF"/>
    <w:rsid w:val="00910C50"/>
    <w:rsid w:val="00911371"/>
    <w:rsid w:val="009117BF"/>
    <w:rsid w:val="009120C5"/>
    <w:rsid w:val="00912796"/>
    <w:rsid w:val="0091293D"/>
    <w:rsid w:val="00912CB8"/>
    <w:rsid w:val="00912D42"/>
    <w:rsid w:val="00912E59"/>
    <w:rsid w:val="00913863"/>
    <w:rsid w:val="00913B73"/>
    <w:rsid w:val="00913C62"/>
    <w:rsid w:val="0091408A"/>
    <w:rsid w:val="009143C1"/>
    <w:rsid w:val="009147BA"/>
    <w:rsid w:val="00914E96"/>
    <w:rsid w:val="00914ED5"/>
    <w:rsid w:val="009155E5"/>
    <w:rsid w:val="0091566D"/>
    <w:rsid w:val="009160AC"/>
    <w:rsid w:val="00916484"/>
    <w:rsid w:val="00916B7D"/>
    <w:rsid w:val="00916DC6"/>
    <w:rsid w:val="00916F2F"/>
    <w:rsid w:val="00917575"/>
    <w:rsid w:val="009176BF"/>
    <w:rsid w:val="00917ABD"/>
    <w:rsid w:val="00920136"/>
    <w:rsid w:val="00920652"/>
    <w:rsid w:val="00920813"/>
    <w:rsid w:val="009208A1"/>
    <w:rsid w:val="009209E3"/>
    <w:rsid w:val="00921847"/>
    <w:rsid w:val="00921EDE"/>
    <w:rsid w:val="0092228B"/>
    <w:rsid w:val="0092279A"/>
    <w:rsid w:val="00922D87"/>
    <w:rsid w:val="00923216"/>
    <w:rsid w:val="009234D0"/>
    <w:rsid w:val="00923A33"/>
    <w:rsid w:val="00923DB7"/>
    <w:rsid w:val="00923FAE"/>
    <w:rsid w:val="009252F5"/>
    <w:rsid w:val="0092572E"/>
    <w:rsid w:val="009261BF"/>
    <w:rsid w:val="009266A4"/>
    <w:rsid w:val="00926AD5"/>
    <w:rsid w:val="00926EC9"/>
    <w:rsid w:val="009272C6"/>
    <w:rsid w:val="009279B7"/>
    <w:rsid w:val="00930001"/>
    <w:rsid w:val="0093051C"/>
    <w:rsid w:val="00930866"/>
    <w:rsid w:val="0093107E"/>
    <w:rsid w:val="009313EE"/>
    <w:rsid w:val="00931A9D"/>
    <w:rsid w:val="00931E55"/>
    <w:rsid w:val="009328F8"/>
    <w:rsid w:val="00932F82"/>
    <w:rsid w:val="009336A3"/>
    <w:rsid w:val="00933910"/>
    <w:rsid w:val="00933A3E"/>
    <w:rsid w:val="00934D39"/>
    <w:rsid w:val="00934DEB"/>
    <w:rsid w:val="00935456"/>
    <w:rsid w:val="0093548A"/>
    <w:rsid w:val="00935F94"/>
    <w:rsid w:val="00936381"/>
    <w:rsid w:val="00936B1D"/>
    <w:rsid w:val="00936DD1"/>
    <w:rsid w:val="00936F5C"/>
    <w:rsid w:val="00936F84"/>
    <w:rsid w:val="00937056"/>
    <w:rsid w:val="0093709F"/>
    <w:rsid w:val="009376D4"/>
    <w:rsid w:val="009376D7"/>
    <w:rsid w:val="00937A6E"/>
    <w:rsid w:val="00940851"/>
    <w:rsid w:val="00941194"/>
    <w:rsid w:val="0094125B"/>
    <w:rsid w:val="00941352"/>
    <w:rsid w:val="0094160F"/>
    <w:rsid w:val="00941FC5"/>
    <w:rsid w:val="0094229E"/>
    <w:rsid w:val="009422BC"/>
    <w:rsid w:val="0094287F"/>
    <w:rsid w:val="00942B51"/>
    <w:rsid w:val="009430E5"/>
    <w:rsid w:val="0094315F"/>
    <w:rsid w:val="009431A3"/>
    <w:rsid w:val="009432CB"/>
    <w:rsid w:val="0094359E"/>
    <w:rsid w:val="009436D4"/>
    <w:rsid w:val="00943AFE"/>
    <w:rsid w:val="00943BD8"/>
    <w:rsid w:val="00943DE3"/>
    <w:rsid w:val="00943F2E"/>
    <w:rsid w:val="00944192"/>
    <w:rsid w:val="009462A7"/>
    <w:rsid w:val="0094678B"/>
    <w:rsid w:val="00946AB7"/>
    <w:rsid w:val="00946B07"/>
    <w:rsid w:val="00950145"/>
    <w:rsid w:val="009505BB"/>
    <w:rsid w:val="00950DB9"/>
    <w:rsid w:val="00950E72"/>
    <w:rsid w:val="009510AD"/>
    <w:rsid w:val="009513BE"/>
    <w:rsid w:val="00951973"/>
    <w:rsid w:val="00951CEE"/>
    <w:rsid w:val="00951CF7"/>
    <w:rsid w:val="00951DAD"/>
    <w:rsid w:val="00951DBF"/>
    <w:rsid w:val="00951E28"/>
    <w:rsid w:val="00951E93"/>
    <w:rsid w:val="00951EFA"/>
    <w:rsid w:val="00951F9F"/>
    <w:rsid w:val="00952259"/>
    <w:rsid w:val="0095242E"/>
    <w:rsid w:val="009538A9"/>
    <w:rsid w:val="00953B97"/>
    <w:rsid w:val="00954408"/>
    <w:rsid w:val="00954D0E"/>
    <w:rsid w:val="00954FE1"/>
    <w:rsid w:val="0095542B"/>
    <w:rsid w:val="009556AE"/>
    <w:rsid w:val="00955DD9"/>
    <w:rsid w:val="009565BD"/>
    <w:rsid w:val="00956939"/>
    <w:rsid w:val="00956AAC"/>
    <w:rsid w:val="00956AB0"/>
    <w:rsid w:val="00956BC0"/>
    <w:rsid w:val="009578F0"/>
    <w:rsid w:val="0096171C"/>
    <w:rsid w:val="00961878"/>
    <w:rsid w:val="00961B62"/>
    <w:rsid w:val="00961EF6"/>
    <w:rsid w:val="009620E7"/>
    <w:rsid w:val="00962780"/>
    <w:rsid w:val="00962B87"/>
    <w:rsid w:val="00962E13"/>
    <w:rsid w:val="00962FF1"/>
    <w:rsid w:val="009630CE"/>
    <w:rsid w:val="00963209"/>
    <w:rsid w:val="009641AD"/>
    <w:rsid w:val="009642EC"/>
    <w:rsid w:val="009647A2"/>
    <w:rsid w:val="00964E73"/>
    <w:rsid w:val="00965248"/>
    <w:rsid w:val="00965427"/>
    <w:rsid w:val="00965842"/>
    <w:rsid w:val="00966017"/>
    <w:rsid w:val="0096653F"/>
    <w:rsid w:val="009679D9"/>
    <w:rsid w:val="009703F8"/>
    <w:rsid w:val="0097067B"/>
    <w:rsid w:val="009712AE"/>
    <w:rsid w:val="009715BE"/>
    <w:rsid w:val="0097174E"/>
    <w:rsid w:val="00971BE0"/>
    <w:rsid w:val="00971EFA"/>
    <w:rsid w:val="0097253D"/>
    <w:rsid w:val="009725A2"/>
    <w:rsid w:val="00972CE5"/>
    <w:rsid w:val="00973313"/>
    <w:rsid w:val="00973381"/>
    <w:rsid w:val="00973E62"/>
    <w:rsid w:val="00974130"/>
    <w:rsid w:val="00974915"/>
    <w:rsid w:val="009752C7"/>
    <w:rsid w:val="009759F2"/>
    <w:rsid w:val="00976190"/>
    <w:rsid w:val="00976469"/>
    <w:rsid w:val="00976532"/>
    <w:rsid w:val="0097654B"/>
    <w:rsid w:val="00976809"/>
    <w:rsid w:val="00976A43"/>
    <w:rsid w:val="00976B93"/>
    <w:rsid w:val="009770B8"/>
    <w:rsid w:val="00977265"/>
    <w:rsid w:val="00977266"/>
    <w:rsid w:val="009774BD"/>
    <w:rsid w:val="00977BEC"/>
    <w:rsid w:val="00977C6D"/>
    <w:rsid w:val="00977F17"/>
    <w:rsid w:val="00980499"/>
    <w:rsid w:val="00980BF6"/>
    <w:rsid w:val="00981469"/>
    <w:rsid w:val="00981AF3"/>
    <w:rsid w:val="00982497"/>
    <w:rsid w:val="00982885"/>
    <w:rsid w:val="00982C61"/>
    <w:rsid w:val="00982CD1"/>
    <w:rsid w:val="0098342A"/>
    <w:rsid w:val="00983AE1"/>
    <w:rsid w:val="00983E85"/>
    <w:rsid w:val="00984082"/>
    <w:rsid w:val="009854B6"/>
    <w:rsid w:val="00985829"/>
    <w:rsid w:val="00985858"/>
    <w:rsid w:val="00985ACC"/>
    <w:rsid w:val="00985D36"/>
    <w:rsid w:val="00985DBA"/>
    <w:rsid w:val="009865D6"/>
    <w:rsid w:val="00986975"/>
    <w:rsid w:val="0098757B"/>
    <w:rsid w:val="00987708"/>
    <w:rsid w:val="00987CA0"/>
    <w:rsid w:val="00990506"/>
    <w:rsid w:val="00990883"/>
    <w:rsid w:val="00990D9E"/>
    <w:rsid w:val="00990F79"/>
    <w:rsid w:val="009910DC"/>
    <w:rsid w:val="00991584"/>
    <w:rsid w:val="0099172C"/>
    <w:rsid w:val="0099189A"/>
    <w:rsid w:val="00991B19"/>
    <w:rsid w:val="00991F23"/>
    <w:rsid w:val="00992605"/>
    <w:rsid w:val="00992CD6"/>
    <w:rsid w:val="0099339C"/>
    <w:rsid w:val="00993599"/>
    <w:rsid w:val="00994CCA"/>
    <w:rsid w:val="00996FFF"/>
    <w:rsid w:val="009974A8"/>
    <w:rsid w:val="009975C9"/>
    <w:rsid w:val="009A0A09"/>
    <w:rsid w:val="009A0A9F"/>
    <w:rsid w:val="009A1489"/>
    <w:rsid w:val="009A245B"/>
    <w:rsid w:val="009A24A2"/>
    <w:rsid w:val="009A2516"/>
    <w:rsid w:val="009A2845"/>
    <w:rsid w:val="009A2B4B"/>
    <w:rsid w:val="009A2FAA"/>
    <w:rsid w:val="009A3127"/>
    <w:rsid w:val="009A349F"/>
    <w:rsid w:val="009A3852"/>
    <w:rsid w:val="009A3D49"/>
    <w:rsid w:val="009A3E52"/>
    <w:rsid w:val="009A3F2B"/>
    <w:rsid w:val="009A4788"/>
    <w:rsid w:val="009A48B3"/>
    <w:rsid w:val="009A4A6E"/>
    <w:rsid w:val="009A58E6"/>
    <w:rsid w:val="009A5FDB"/>
    <w:rsid w:val="009A6AD9"/>
    <w:rsid w:val="009A6B3F"/>
    <w:rsid w:val="009A721C"/>
    <w:rsid w:val="009A78AB"/>
    <w:rsid w:val="009A7976"/>
    <w:rsid w:val="009B03D5"/>
    <w:rsid w:val="009B0A9C"/>
    <w:rsid w:val="009B10AE"/>
    <w:rsid w:val="009B1240"/>
    <w:rsid w:val="009B1690"/>
    <w:rsid w:val="009B18D7"/>
    <w:rsid w:val="009B1C40"/>
    <w:rsid w:val="009B1FD6"/>
    <w:rsid w:val="009B23EE"/>
    <w:rsid w:val="009B257E"/>
    <w:rsid w:val="009B30DB"/>
    <w:rsid w:val="009B3610"/>
    <w:rsid w:val="009B37D3"/>
    <w:rsid w:val="009B4C61"/>
    <w:rsid w:val="009B4CB0"/>
    <w:rsid w:val="009B4CE0"/>
    <w:rsid w:val="009B54CF"/>
    <w:rsid w:val="009B5A8C"/>
    <w:rsid w:val="009B5C74"/>
    <w:rsid w:val="009B614C"/>
    <w:rsid w:val="009B661E"/>
    <w:rsid w:val="009B68A4"/>
    <w:rsid w:val="009B75F0"/>
    <w:rsid w:val="009B7AD5"/>
    <w:rsid w:val="009B7D1B"/>
    <w:rsid w:val="009C01B9"/>
    <w:rsid w:val="009C0342"/>
    <w:rsid w:val="009C0408"/>
    <w:rsid w:val="009C12CC"/>
    <w:rsid w:val="009C161A"/>
    <w:rsid w:val="009C1DAD"/>
    <w:rsid w:val="009C1E60"/>
    <w:rsid w:val="009C2B2C"/>
    <w:rsid w:val="009C3C12"/>
    <w:rsid w:val="009C4088"/>
    <w:rsid w:val="009C47BA"/>
    <w:rsid w:val="009C4B23"/>
    <w:rsid w:val="009C5D49"/>
    <w:rsid w:val="009C6BE2"/>
    <w:rsid w:val="009C718C"/>
    <w:rsid w:val="009C7342"/>
    <w:rsid w:val="009C7345"/>
    <w:rsid w:val="009C7B24"/>
    <w:rsid w:val="009C7BBD"/>
    <w:rsid w:val="009C7FE0"/>
    <w:rsid w:val="009D05CC"/>
    <w:rsid w:val="009D07DD"/>
    <w:rsid w:val="009D09AE"/>
    <w:rsid w:val="009D0EE8"/>
    <w:rsid w:val="009D10F3"/>
    <w:rsid w:val="009D11AB"/>
    <w:rsid w:val="009D1B21"/>
    <w:rsid w:val="009D2A1F"/>
    <w:rsid w:val="009D2BAC"/>
    <w:rsid w:val="009D33BC"/>
    <w:rsid w:val="009D41AC"/>
    <w:rsid w:val="009D4244"/>
    <w:rsid w:val="009D4D08"/>
    <w:rsid w:val="009D55EE"/>
    <w:rsid w:val="009D58A8"/>
    <w:rsid w:val="009D5970"/>
    <w:rsid w:val="009D59AE"/>
    <w:rsid w:val="009D5C32"/>
    <w:rsid w:val="009D73F5"/>
    <w:rsid w:val="009D740A"/>
    <w:rsid w:val="009D7D93"/>
    <w:rsid w:val="009E040E"/>
    <w:rsid w:val="009E1385"/>
    <w:rsid w:val="009E15ED"/>
    <w:rsid w:val="009E1607"/>
    <w:rsid w:val="009E1A3F"/>
    <w:rsid w:val="009E1D65"/>
    <w:rsid w:val="009E21B7"/>
    <w:rsid w:val="009E22AA"/>
    <w:rsid w:val="009E2CF2"/>
    <w:rsid w:val="009E2EA7"/>
    <w:rsid w:val="009E312B"/>
    <w:rsid w:val="009E3966"/>
    <w:rsid w:val="009E41D0"/>
    <w:rsid w:val="009E4844"/>
    <w:rsid w:val="009E4CC2"/>
    <w:rsid w:val="009E5156"/>
    <w:rsid w:val="009E564F"/>
    <w:rsid w:val="009E58C8"/>
    <w:rsid w:val="009E5E7A"/>
    <w:rsid w:val="009E6184"/>
    <w:rsid w:val="009E6333"/>
    <w:rsid w:val="009E655C"/>
    <w:rsid w:val="009E6F2E"/>
    <w:rsid w:val="009E7475"/>
    <w:rsid w:val="009E74E4"/>
    <w:rsid w:val="009E752B"/>
    <w:rsid w:val="009F0A3A"/>
    <w:rsid w:val="009F0BD3"/>
    <w:rsid w:val="009F1A72"/>
    <w:rsid w:val="009F1A79"/>
    <w:rsid w:val="009F1F49"/>
    <w:rsid w:val="009F254C"/>
    <w:rsid w:val="009F2CB1"/>
    <w:rsid w:val="009F3218"/>
    <w:rsid w:val="009F354F"/>
    <w:rsid w:val="009F394C"/>
    <w:rsid w:val="009F3A44"/>
    <w:rsid w:val="009F4337"/>
    <w:rsid w:val="009F4F93"/>
    <w:rsid w:val="009F556C"/>
    <w:rsid w:val="009F63EE"/>
    <w:rsid w:val="009F711E"/>
    <w:rsid w:val="009F7F2B"/>
    <w:rsid w:val="00A0001D"/>
    <w:rsid w:val="00A01031"/>
    <w:rsid w:val="00A01037"/>
    <w:rsid w:val="00A0119C"/>
    <w:rsid w:val="00A017D4"/>
    <w:rsid w:val="00A01C9C"/>
    <w:rsid w:val="00A01E3D"/>
    <w:rsid w:val="00A01F05"/>
    <w:rsid w:val="00A0287D"/>
    <w:rsid w:val="00A02A97"/>
    <w:rsid w:val="00A03087"/>
    <w:rsid w:val="00A03332"/>
    <w:rsid w:val="00A0369C"/>
    <w:rsid w:val="00A03771"/>
    <w:rsid w:val="00A04024"/>
    <w:rsid w:val="00A04595"/>
    <w:rsid w:val="00A052E4"/>
    <w:rsid w:val="00A0541B"/>
    <w:rsid w:val="00A05DBE"/>
    <w:rsid w:val="00A06208"/>
    <w:rsid w:val="00A0628B"/>
    <w:rsid w:val="00A068D9"/>
    <w:rsid w:val="00A06EB9"/>
    <w:rsid w:val="00A1016F"/>
    <w:rsid w:val="00A105AE"/>
    <w:rsid w:val="00A10848"/>
    <w:rsid w:val="00A10996"/>
    <w:rsid w:val="00A10B74"/>
    <w:rsid w:val="00A10C18"/>
    <w:rsid w:val="00A10EC9"/>
    <w:rsid w:val="00A112D6"/>
    <w:rsid w:val="00A11E8D"/>
    <w:rsid w:val="00A11F7F"/>
    <w:rsid w:val="00A1206E"/>
    <w:rsid w:val="00A12648"/>
    <w:rsid w:val="00A13130"/>
    <w:rsid w:val="00A136A9"/>
    <w:rsid w:val="00A13855"/>
    <w:rsid w:val="00A140A3"/>
    <w:rsid w:val="00A15500"/>
    <w:rsid w:val="00A155A6"/>
    <w:rsid w:val="00A15917"/>
    <w:rsid w:val="00A15B34"/>
    <w:rsid w:val="00A16421"/>
    <w:rsid w:val="00A1647B"/>
    <w:rsid w:val="00A16C95"/>
    <w:rsid w:val="00A177A3"/>
    <w:rsid w:val="00A17907"/>
    <w:rsid w:val="00A2072F"/>
    <w:rsid w:val="00A20EFE"/>
    <w:rsid w:val="00A211BC"/>
    <w:rsid w:val="00A21556"/>
    <w:rsid w:val="00A21903"/>
    <w:rsid w:val="00A2254B"/>
    <w:rsid w:val="00A22AF7"/>
    <w:rsid w:val="00A23211"/>
    <w:rsid w:val="00A23452"/>
    <w:rsid w:val="00A2405B"/>
    <w:rsid w:val="00A241BB"/>
    <w:rsid w:val="00A25467"/>
    <w:rsid w:val="00A2551C"/>
    <w:rsid w:val="00A25767"/>
    <w:rsid w:val="00A258A4"/>
    <w:rsid w:val="00A25C16"/>
    <w:rsid w:val="00A2617B"/>
    <w:rsid w:val="00A264EE"/>
    <w:rsid w:val="00A27672"/>
    <w:rsid w:val="00A27DBB"/>
    <w:rsid w:val="00A27EBC"/>
    <w:rsid w:val="00A27EF7"/>
    <w:rsid w:val="00A30028"/>
    <w:rsid w:val="00A301EF"/>
    <w:rsid w:val="00A3040F"/>
    <w:rsid w:val="00A3123A"/>
    <w:rsid w:val="00A3168A"/>
    <w:rsid w:val="00A31CD2"/>
    <w:rsid w:val="00A32EFA"/>
    <w:rsid w:val="00A335F7"/>
    <w:rsid w:val="00A33696"/>
    <w:rsid w:val="00A339B5"/>
    <w:rsid w:val="00A339FB"/>
    <w:rsid w:val="00A348FE"/>
    <w:rsid w:val="00A34B01"/>
    <w:rsid w:val="00A3521C"/>
    <w:rsid w:val="00A3587A"/>
    <w:rsid w:val="00A35D28"/>
    <w:rsid w:val="00A35E53"/>
    <w:rsid w:val="00A36254"/>
    <w:rsid w:val="00A36325"/>
    <w:rsid w:val="00A3635F"/>
    <w:rsid w:val="00A368B5"/>
    <w:rsid w:val="00A36905"/>
    <w:rsid w:val="00A36916"/>
    <w:rsid w:val="00A36941"/>
    <w:rsid w:val="00A36BA5"/>
    <w:rsid w:val="00A3747B"/>
    <w:rsid w:val="00A37995"/>
    <w:rsid w:val="00A408EB"/>
    <w:rsid w:val="00A4109A"/>
    <w:rsid w:val="00A4123C"/>
    <w:rsid w:val="00A41312"/>
    <w:rsid w:val="00A4133B"/>
    <w:rsid w:val="00A4189A"/>
    <w:rsid w:val="00A41A4E"/>
    <w:rsid w:val="00A42565"/>
    <w:rsid w:val="00A42621"/>
    <w:rsid w:val="00A43165"/>
    <w:rsid w:val="00A436D2"/>
    <w:rsid w:val="00A43752"/>
    <w:rsid w:val="00A4391C"/>
    <w:rsid w:val="00A443B8"/>
    <w:rsid w:val="00A4469D"/>
    <w:rsid w:val="00A4478E"/>
    <w:rsid w:val="00A44AB7"/>
    <w:rsid w:val="00A452B2"/>
    <w:rsid w:val="00A454E3"/>
    <w:rsid w:val="00A463F3"/>
    <w:rsid w:val="00A46A6B"/>
    <w:rsid w:val="00A47100"/>
    <w:rsid w:val="00A472D1"/>
    <w:rsid w:val="00A47335"/>
    <w:rsid w:val="00A47902"/>
    <w:rsid w:val="00A47B8B"/>
    <w:rsid w:val="00A50258"/>
    <w:rsid w:val="00A5085F"/>
    <w:rsid w:val="00A51149"/>
    <w:rsid w:val="00A52796"/>
    <w:rsid w:val="00A53AB4"/>
    <w:rsid w:val="00A53DBB"/>
    <w:rsid w:val="00A53FB6"/>
    <w:rsid w:val="00A5498C"/>
    <w:rsid w:val="00A549E2"/>
    <w:rsid w:val="00A54FE4"/>
    <w:rsid w:val="00A550F2"/>
    <w:rsid w:val="00A5541A"/>
    <w:rsid w:val="00A55DA5"/>
    <w:rsid w:val="00A56092"/>
    <w:rsid w:val="00A567CB"/>
    <w:rsid w:val="00A57263"/>
    <w:rsid w:val="00A57B23"/>
    <w:rsid w:val="00A57DEC"/>
    <w:rsid w:val="00A60C13"/>
    <w:rsid w:val="00A60D23"/>
    <w:rsid w:val="00A615A6"/>
    <w:rsid w:val="00A61AD5"/>
    <w:rsid w:val="00A61C95"/>
    <w:rsid w:val="00A61DFA"/>
    <w:rsid w:val="00A62ADC"/>
    <w:rsid w:val="00A62DEF"/>
    <w:rsid w:val="00A637C6"/>
    <w:rsid w:val="00A63824"/>
    <w:rsid w:val="00A63A5F"/>
    <w:rsid w:val="00A63D9A"/>
    <w:rsid w:val="00A63FAB"/>
    <w:rsid w:val="00A64031"/>
    <w:rsid w:val="00A6458B"/>
    <w:rsid w:val="00A64688"/>
    <w:rsid w:val="00A649B7"/>
    <w:rsid w:val="00A64C0E"/>
    <w:rsid w:val="00A65221"/>
    <w:rsid w:val="00A65327"/>
    <w:rsid w:val="00A6533E"/>
    <w:rsid w:val="00A653AC"/>
    <w:rsid w:val="00A65632"/>
    <w:rsid w:val="00A65BF7"/>
    <w:rsid w:val="00A65DCD"/>
    <w:rsid w:val="00A66506"/>
    <w:rsid w:val="00A66E2A"/>
    <w:rsid w:val="00A6769C"/>
    <w:rsid w:val="00A67C07"/>
    <w:rsid w:val="00A67E65"/>
    <w:rsid w:val="00A67E6C"/>
    <w:rsid w:val="00A67FE1"/>
    <w:rsid w:val="00A70081"/>
    <w:rsid w:val="00A703C1"/>
    <w:rsid w:val="00A70642"/>
    <w:rsid w:val="00A7067D"/>
    <w:rsid w:val="00A70761"/>
    <w:rsid w:val="00A712E0"/>
    <w:rsid w:val="00A7189A"/>
    <w:rsid w:val="00A71C9E"/>
    <w:rsid w:val="00A71DDE"/>
    <w:rsid w:val="00A7228B"/>
    <w:rsid w:val="00A72855"/>
    <w:rsid w:val="00A72A7B"/>
    <w:rsid w:val="00A72B75"/>
    <w:rsid w:val="00A73038"/>
    <w:rsid w:val="00A7328F"/>
    <w:rsid w:val="00A737C5"/>
    <w:rsid w:val="00A73F8D"/>
    <w:rsid w:val="00A74754"/>
    <w:rsid w:val="00A749FD"/>
    <w:rsid w:val="00A74B8A"/>
    <w:rsid w:val="00A74C77"/>
    <w:rsid w:val="00A74D94"/>
    <w:rsid w:val="00A74FBE"/>
    <w:rsid w:val="00A75387"/>
    <w:rsid w:val="00A758BE"/>
    <w:rsid w:val="00A75C2A"/>
    <w:rsid w:val="00A7668A"/>
    <w:rsid w:val="00A76713"/>
    <w:rsid w:val="00A76BC8"/>
    <w:rsid w:val="00A76C99"/>
    <w:rsid w:val="00A76F14"/>
    <w:rsid w:val="00A775D5"/>
    <w:rsid w:val="00A77611"/>
    <w:rsid w:val="00A80012"/>
    <w:rsid w:val="00A800C8"/>
    <w:rsid w:val="00A801F8"/>
    <w:rsid w:val="00A80DC3"/>
    <w:rsid w:val="00A811CB"/>
    <w:rsid w:val="00A81D00"/>
    <w:rsid w:val="00A81D2F"/>
    <w:rsid w:val="00A81E09"/>
    <w:rsid w:val="00A81E59"/>
    <w:rsid w:val="00A81EBE"/>
    <w:rsid w:val="00A826F1"/>
    <w:rsid w:val="00A82712"/>
    <w:rsid w:val="00A82D02"/>
    <w:rsid w:val="00A8304F"/>
    <w:rsid w:val="00A83369"/>
    <w:rsid w:val="00A83A27"/>
    <w:rsid w:val="00A8428C"/>
    <w:rsid w:val="00A84364"/>
    <w:rsid w:val="00A84CD0"/>
    <w:rsid w:val="00A858E9"/>
    <w:rsid w:val="00A85E5B"/>
    <w:rsid w:val="00A85E73"/>
    <w:rsid w:val="00A85EC0"/>
    <w:rsid w:val="00A86ED1"/>
    <w:rsid w:val="00A86F9B"/>
    <w:rsid w:val="00A87A64"/>
    <w:rsid w:val="00A915F4"/>
    <w:rsid w:val="00A916EF"/>
    <w:rsid w:val="00A917A9"/>
    <w:rsid w:val="00A91C36"/>
    <w:rsid w:val="00A91D41"/>
    <w:rsid w:val="00A926F4"/>
    <w:rsid w:val="00A9294A"/>
    <w:rsid w:val="00A93F51"/>
    <w:rsid w:val="00A940CD"/>
    <w:rsid w:val="00A94153"/>
    <w:rsid w:val="00A947D6"/>
    <w:rsid w:val="00A96010"/>
    <w:rsid w:val="00A9684D"/>
    <w:rsid w:val="00A97402"/>
    <w:rsid w:val="00A97873"/>
    <w:rsid w:val="00AA0426"/>
    <w:rsid w:val="00AA0B30"/>
    <w:rsid w:val="00AA0CEA"/>
    <w:rsid w:val="00AA0EFF"/>
    <w:rsid w:val="00AA1D97"/>
    <w:rsid w:val="00AA1E6C"/>
    <w:rsid w:val="00AA1F7F"/>
    <w:rsid w:val="00AA23B0"/>
    <w:rsid w:val="00AA26CD"/>
    <w:rsid w:val="00AA29DC"/>
    <w:rsid w:val="00AA2B4F"/>
    <w:rsid w:val="00AA321D"/>
    <w:rsid w:val="00AA3259"/>
    <w:rsid w:val="00AA383C"/>
    <w:rsid w:val="00AA3C4B"/>
    <w:rsid w:val="00AA44CD"/>
    <w:rsid w:val="00AA4B32"/>
    <w:rsid w:val="00AA4CFF"/>
    <w:rsid w:val="00AA4D52"/>
    <w:rsid w:val="00AA4F04"/>
    <w:rsid w:val="00AA5773"/>
    <w:rsid w:val="00AA60AB"/>
    <w:rsid w:val="00AA6669"/>
    <w:rsid w:val="00AA690A"/>
    <w:rsid w:val="00AA6AB3"/>
    <w:rsid w:val="00AA6D26"/>
    <w:rsid w:val="00AA74C0"/>
    <w:rsid w:val="00AB0541"/>
    <w:rsid w:val="00AB09EE"/>
    <w:rsid w:val="00AB1065"/>
    <w:rsid w:val="00AB1717"/>
    <w:rsid w:val="00AB19B4"/>
    <w:rsid w:val="00AB2400"/>
    <w:rsid w:val="00AB25DF"/>
    <w:rsid w:val="00AB2FCB"/>
    <w:rsid w:val="00AB4DCD"/>
    <w:rsid w:val="00AB4F87"/>
    <w:rsid w:val="00AB5377"/>
    <w:rsid w:val="00AB5B77"/>
    <w:rsid w:val="00AB763D"/>
    <w:rsid w:val="00AB7891"/>
    <w:rsid w:val="00AB7B94"/>
    <w:rsid w:val="00AB7D08"/>
    <w:rsid w:val="00AB7F83"/>
    <w:rsid w:val="00AC0B81"/>
    <w:rsid w:val="00AC1D7C"/>
    <w:rsid w:val="00AC2090"/>
    <w:rsid w:val="00AC2300"/>
    <w:rsid w:val="00AC328A"/>
    <w:rsid w:val="00AC3451"/>
    <w:rsid w:val="00AC3506"/>
    <w:rsid w:val="00AC37C7"/>
    <w:rsid w:val="00AC387E"/>
    <w:rsid w:val="00AC4DD2"/>
    <w:rsid w:val="00AC5210"/>
    <w:rsid w:val="00AC54BD"/>
    <w:rsid w:val="00AC5BDF"/>
    <w:rsid w:val="00AC5DA2"/>
    <w:rsid w:val="00AC662A"/>
    <w:rsid w:val="00AC665E"/>
    <w:rsid w:val="00AC6903"/>
    <w:rsid w:val="00AC6B95"/>
    <w:rsid w:val="00AC722F"/>
    <w:rsid w:val="00AC7290"/>
    <w:rsid w:val="00AC7669"/>
    <w:rsid w:val="00AC79C9"/>
    <w:rsid w:val="00AD03B9"/>
    <w:rsid w:val="00AD0AF6"/>
    <w:rsid w:val="00AD277E"/>
    <w:rsid w:val="00AD343E"/>
    <w:rsid w:val="00AD3A02"/>
    <w:rsid w:val="00AD3B2B"/>
    <w:rsid w:val="00AD40B1"/>
    <w:rsid w:val="00AD4267"/>
    <w:rsid w:val="00AD476A"/>
    <w:rsid w:val="00AD47AA"/>
    <w:rsid w:val="00AD4ABF"/>
    <w:rsid w:val="00AD4C67"/>
    <w:rsid w:val="00AD52D1"/>
    <w:rsid w:val="00AD54E1"/>
    <w:rsid w:val="00AD54E5"/>
    <w:rsid w:val="00AD5632"/>
    <w:rsid w:val="00AD5B3B"/>
    <w:rsid w:val="00AD6222"/>
    <w:rsid w:val="00AD6306"/>
    <w:rsid w:val="00AD6718"/>
    <w:rsid w:val="00AD67DE"/>
    <w:rsid w:val="00AD7076"/>
    <w:rsid w:val="00AD739C"/>
    <w:rsid w:val="00AE070A"/>
    <w:rsid w:val="00AE0712"/>
    <w:rsid w:val="00AE0764"/>
    <w:rsid w:val="00AE0967"/>
    <w:rsid w:val="00AE16D1"/>
    <w:rsid w:val="00AE1BC1"/>
    <w:rsid w:val="00AE1BD1"/>
    <w:rsid w:val="00AE1DBE"/>
    <w:rsid w:val="00AE276C"/>
    <w:rsid w:val="00AE3DF4"/>
    <w:rsid w:val="00AE41D4"/>
    <w:rsid w:val="00AE4788"/>
    <w:rsid w:val="00AE4BEA"/>
    <w:rsid w:val="00AE4C6D"/>
    <w:rsid w:val="00AE4F91"/>
    <w:rsid w:val="00AE50A3"/>
    <w:rsid w:val="00AE54FF"/>
    <w:rsid w:val="00AE563F"/>
    <w:rsid w:val="00AE6595"/>
    <w:rsid w:val="00AE6B0B"/>
    <w:rsid w:val="00AE7185"/>
    <w:rsid w:val="00AE71A8"/>
    <w:rsid w:val="00AE74AF"/>
    <w:rsid w:val="00AE74B3"/>
    <w:rsid w:val="00AE7530"/>
    <w:rsid w:val="00AE7678"/>
    <w:rsid w:val="00AE7891"/>
    <w:rsid w:val="00AF0329"/>
    <w:rsid w:val="00AF0774"/>
    <w:rsid w:val="00AF11B5"/>
    <w:rsid w:val="00AF1F48"/>
    <w:rsid w:val="00AF2007"/>
    <w:rsid w:val="00AF2612"/>
    <w:rsid w:val="00AF2F60"/>
    <w:rsid w:val="00AF3889"/>
    <w:rsid w:val="00AF39DC"/>
    <w:rsid w:val="00AF3BD3"/>
    <w:rsid w:val="00AF3F13"/>
    <w:rsid w:val="00AF3FE3"/>
    <w:rsid w:val="00AF40E6"/>
    <w:rsid w:val="00AF4442"/>
    <w:rsid w:val="00AF4A53"/>
    <w:rsid w:val="00AF4F33"/>
    <w:rsid w:val="00AF52DC"/>
    <w:rsid w:val="00AF5D65"/>
    <w:rsid w:val="00AF6195"/>
    <w:rsid w:val="00AF6305"/>
    <w:rsid w:val="00AF6A68"/>
    <w:rsid w:val="00AF72F9"/>
    <w:rsid w:val="00B001C6"/>
    <w:rsid w:val="00B008DF"/>
    <w:rsid w:val="00B00BB3"/>
    <w:rsid w:val="00B00E5C"/>
    <w:rsid w:val="00B011D8"/>
    <w:rsid w:val="00B0131B"/>
    <w:rsid w:val="00B014AD"/>
    <w:rsid w:val="00B01819"/>
    <w:rsid w:val="00B018F4"/>
    <w:rsid w:val="00B022D8"/>
    <w:rsid w:val="00B02540"/>
    <w:rsid w:val="00B02836"/>
    <w:rsid w:val="00B02E5C"/>
    <w:rsid w:val="00B039AB"/>
    <w:rsid w:val="00B039E9"/>
    <w:rsid w:val="00B03A79"/>
    <w:rsid w:val="00B03B7D"/>
    <w:rsid w:val="00B04129"/>
    <w:rsid w:val="00B04DC3"/>
    <w:rsid w:val="00B04EED"/>
    <w:rsid w:val="00B0529B"/>
    <w:rsid w:val="00B05A57"/>
    <w:rsid w:val="00B05E03"/>
    <w:rsid w:val="00B0644E"/>
    <w:rsid w:val="00B0675C"/>
    <w:rsid w:val="00B10403"/>
    <w:rsid w:val="00B1077D"/>
    <w:rsid w:val="00B107AF"/>
    <w:rsid w:val="00B10841"/>
    <w:rsid w:val="00B10B1F"/>
    <w:rsid w:val="00B11176"/>
    <w:rsid w:val="00B123B7"/>
    <w:rsid w:val="00B1352F"/>
    <w:rsid w:val="00B13CB1"/>
    <w:rsid w:val="00B14302"/>
    <w:rsid w:val="00B14BEA"/>
    <w:rsid w:val="00B167CE"/>
    <w:rsid w:val="00B16B62"/>
    <w:rsid w:val="00B16DD7"/>
    <w:rsid w:val="00B17902"/>
    <w:rsid w:val="00B17A2E"/>
    <w:rsid w:val="00B17C66"/>
    <w:rsid w:val="00B20292"/>
    <w:rsid w:val="00B206B1"/>
    <w:rsid w:val="00B22004"/>
    <w:rsid w:val="00B22C0A"/>
    <w:rsid w:val="00B22F42"/>
    <w:rsid w:val="00B22FF9"/>
    <w:rsid w:val="00B23F87"/>
    <w:rsid w:val="00B24213"/>
    <w:rsid w:val="00B242E1"/>
    <w:rsid w:val="00B244B0"/>
    <w:rsid w:val="00B24980"/>
    <w:rsid w:val="00B250B5"/>
    <w:rsid w:val="00B25B42"/>
    <w:rsid w:val="00B25BD7"/>
    <w:rsid w:val="00B2601C"/>
    <w:rsid w:val="00B2635D"/>
    <w:rsid w:val="00B267F1"/>
    <w:rsid w:val="00B2725F"/>
    <w:rsid w:val="00B27998"/>
    <w:rsid w:val="00B308E1"/>
    <w:rsid w:val="00B30FEF"/>
    <w:rsid w:val="00B31431"/>
    <w:rsid w:val="00B316BA"/>
    <w:rsid w:val="00B31D3D"/>
    <w:rsid w:val="00B32623"/>
    <w:rsid w:val="00B32BC9"/>
    <w:rsid w:val="00B331DC"/>
    <w:rsid w:val="00B33BCF"/>
    <w:rsid w:val="00B3520E"/>
    <w:rsid w:val="00B35546"/>
    <w:rsid w:val="00B3556A"/>
    <w:rsid w:val="00B35594"/>
    <w:rsid w:val="00B3580D"/>
    <w:rsid w:val="00B359BE"/>
    <w:rsid w:val="00B366E5"/>
    <w:rsid w:val="00B36B6D"/>
    <w:rsid w:val="00B3756E"/>
    <w:rsid w:val="00B401AE"/>
    <w:rsid w:val="00B402BB"/>
    <w:rsid w:val="00B403A3"/>
    <w:rsid w:val="00B414AF"/>
    <w:rsid w:val="00B41708"/>
    <w:rsid w:val="00B4206F"/>
    <w:rsid w:val="00B42998"/>
    <w:rsid w:val="00B42DF1"/>
    <w:rsid w:val="00B4301A"/>
    <w:rsid w:val="00B43B6A"/>
    <w:rsid w:val="00B43FF7"/>
    <w:rsid w:val="00B4438B"/>
    <w:rsid w:val="00B450DF"/>
    <w:rsid w:val="00B453BE"/>
    <w:rsid w:val="00B45979"/>
    <w:rsid w:val="00B46241"/>
    <w:rsid w:val="00B46422"/>
    <w:rsid w:val="00B46735"/>
    <w:rsid w:val="00B468A0"/>
    <w:rsid w:val="00B46FDC"/>
    <w:rsid w:val="00B47896"/>
    <w:rsid w:val="00B47C72"/>
    <w:rsid w:val="00B47D36"/>
    <w:rsid w:val="00B507E9"/>
    <w:rsid w:val="00B50878"/>
    <w:rsid w:val="00B50894"/>
    <w:rsid w:val="00B50D0F"/>
    <w:rsid w:val="00B51EF7"/>
    <w:rsid w:val="00B5205A"/>
    <w:rsid w:val="00B52363"/>
    <w:rsid w:val="00B524C0"/>
    <w:rsid w:val="00B52693"/>
    <w:rsid w:val="00B52CF9"/>
    <w:rsid w:val="00B52D9E"/>
    <w:rsid w:val="00B52E12"/>
    <w:rsid w:val="00B530F8"/>
    <w:rsid w:val="00B53C31"/>
    <w:rsid w:val="00B5445A"/>
    <w:rsid w:val="00B555A9"/>
    <w:rsid w:val="00B55A15"/>
    <w:rsid w:val="00B55A1E"/>
    <w:rsid w:val="00B55E82"/>
    <w:rsid w:val="00B563AF"/>
    <w:rsid w:val="00B563E9"/>
    <w:rsid w:val="00B56902"/>
    <w:rsid w:val="00B56922"/>
    <w:rsid w:val="00B56B70"/>
    <w:rsid w:val="00B57983"/>
    <w:rsid w:val="00B57C81"/>
    <w:rsid w:val="00B6036B"/>
    <w:rsid w:val="00B604C8"/>
    <w:rsid w:val="00B60ED0"/>
    <w:rsid w:val="00B61427"/>
    <w:rsid w:val="00B61DD4"/>
    <w:rsid w:val="00B61DE7"/>
    <w:rsid w:val="00B61FBA"/>
    <w:rsid w:val="00B62189"/>
    <w:rsid w:val="00B627E7"/>
    <w:rsid w:val="00B6283F"/>
    <w:rsid w:val="00B62F33"/>
    <w:rsid w:val="00B630AC"/>
    <w:rsid w:val="00B63937"/>
    <w:rsid w:val="00B65028"/>
    <w:rsid w:val="00B65066"/>
    <w:rsid w:val="00B6668D"/>
    <w:rsid w:val="00B666B9"/>
    <w:rsid w:val="00B66A94"/>
    <w:rsid w:val="00B66F81"/>
    <w:rsid w:val="00B67145"/>
    <w:rsid w:val="00B677F1"/>
    <w:rsid w:val="00B67914"/>
    <w:rsid w:val="00B707AF"/>
    <w:rsid w:val="00B70882"/>
    <w:rsid w:val="00B709B8"/>
    <w:rsid w:val="00B71F6B"/>
    <w:rsid w:val="00B72D75"/>
    <w:rsid w:val="00B72F97"/>
    <w:rsid w:val="00B741EF"/>
    <w:rsid w:val="00B747A2"/>
    <w:rsid w:val="00B74C6A"/>
    <w:rsid w:val="00B75001"/>
    <w:rsid w:val="00B75086"/>
    <w:rsid w:val="00B7532D"/>
    <w:rsid w:val="00B75D6E"/>
    <w:rsid w:val="00B75F72"/>
    <w:rsid w:val="00B76DC1"/>
    <w:rsid w:val="00B77CFD"/>
    <w:rsid w:val="00B800B7"/>
    <w:rsid w:val="00B80425"/>
    <w:rsid w:val="00B805C4"/>
    <w:rsid w:val="00B80D1E"/>
    <w:rsid w:val="00B81548"/>
    <w:rsid w:val="00B81633"/>
    <w:rsid w:val="00B81EDF"/>
    <w:rsid w:val="00B81F81"/>
    <w:rsid w:val="00B82FF5"/>
    <w:rsid w:val="00B83A38"/>
    <w:rsid w:val="00B83D46"/>
    <w:rsid w:val="00B84147"/>
    <w:rsid w:val="00B850CE"/>
    <w:rsid w:val="00B85CE0"/>
    <w:rsid w:val="00B862C0"/>
    <w:rsid w:val="00B863D9"/>
    <w:rsid w:val="00B864BA"/>
    <w:rsid w:val="00B86C03"/>
    <w:rsid w:val="00B86E98"/>
    <w:rsid w:val="00B87256"/>
    <w:rsid w:val="00B90192"/>
    <w:rsid w:val="00B90A49"/>
    <w:rsid w:val="00B90B9B"/>
    <w:rsid w:val="00B90C7D"/>
    <w:rsid w:val="00B91455"/>
    <w:rsid w:val="00B919E1"/>
    <w:rsid w:val="00B91AD9"/>
    <w:rsid w:val="00B91E87"/>
    <w:rsid w:val="00B92313"/>
    <w:rsid w:val="00B933BC"/>
    <w:rsid w:val="00B93791"/>
    <w:rsid w:val="00B93921"/>
    <w:rsid w:val="00B93C44"/>
    <w:rsid w:val="00B93C72"/>
    <w:rsid w:val="00B94562"/>
    <w:rsid w:val="00B945A2"/>
    <w:rsid w:val="00B94702"/>
    <w:rsid w:val="00B94A97"/>
    <w:rsid w:val="00B94EE8"/>
    <w:rsid w:val="00B962AB"/>
    <w:rsid w:val="00B966B6"/>
    <w:rsid w:val="00B96717"/>
    <w:rsid w:val="00B968F5"/>
    <w:rsid w:val="00B96C66"/>
    <w:rsid w:val="00B9761E"/>
    <w:rsid w:val="00B97B6F"/>
    <w:rsid w:val="00BA05AF"/>
    <w:rsid w:val="00BA0622"/>
    <w:rsid w:val="00BA096B"/>
    <w:rsid w:val="00BA13D0"/>
    <w:rsid w:val="00BA1C0C"/>
    <w:rsid w:val="00BA1C65"/>
    <w:rsid w:val="00BA1F66"/>
    <w:rsid w:val="00BA23AE"/>
    <w:rsid w:val="00BA260D"/>
    <w:rsid w:val="00BA2A52"/>
    <w:rsid w:val="00BA2F50"/>
    <w:rsid w:val="00BA320A"/>
    <w:rsid w:val="00BA3293"/>
    <w:rsid w:val="00BA3475"/>
    <w:rsid w:val="00BA35C3"/>
    <w:rsid w:val="00BA3C29"/>
    <w:rsid w:val="00BA3F2E"/>
    <w:rsid w:val="00BA403D"/>
    <w:rsid w:val="00BA4357"/>
    <w:rsid w:val="00BA4760"/>
    <w:rsid w:val="00BA4FF0"/>
    <w:rsid w:val="00BA58D9"/>
    <w:rsid w:val="00BA5FB5"/>
    <w:rsid w:val="00BA6DF1"/>
    <w:rsid w:val="00BA6E60"/>
    <w:rsid w:val="00BA7003"/>
    <w:rsid w:val="00BA71ED"/>
    <w:rsid w:val="00BA79D3"/>
    <w:rsid w:val="00BA7CCE"/>
    <w:rsid w:val="00BB0517"/>
    <w:rsid w:val="00BB065D"/>
    <w:rsid w:val="00BB14CF"/>
    <w:rsid w:val="00BB17C8"/>
    <w:rsid w:val="00BB1CF9"/>
    <w:rsid w:val="00BB2101"/>
    <w:rsid w:val="00BB2133"/>
    <w:rsid w:val="00BB26DC"/>
    <w:rsid w:val="00BB27D3"/>
    <w:rsid w:val="00BB2C04"/>
    <w:rsid w:val="00BB30F3"/>
    <w:rsid w:val="00BB315F"/>
    <w:rsid w:val="00BB3186"/>
    <w:rsid w:val="00BB325E"/>
    <w:rsid w:val="00BB3D90"/>
    <w:rsid w:val="00BB48F1"/>
    <w:rsid w:val="00BB5036"/>
    <w:rsid w:val="00BB5BAF"/>
    <w:rsid w:val="00BB5DE5"/>
    <w:rsid w:val="00BB5F46"/>
    <w:rsid w:val="00BB6218"/>
    <w:rsid w:val="00BB6888"/>
    <w:rsid w:val="00BB6EFD"/>
    <w:rsid w:val="00BB75F8"/>
    <w:rsid w:val="00BB7709"/>
    <w:rsid w:val="00BB779D"/>
    <w:rsid w:val="00BB7899"/>
    <w:rsid w:val="00BB789F"/>
    <w:rsid w:val="00BB7A4D"/>
    <w:rsid w:val="00BC068E"/>
    <w:rsid w:val="00BC107E"/>
    <w:rsid w:val="00BC1C7C"/>
    <w:rsid w:val="00BC205F"/>
    <w:rsid w:val="00BC31E2"/>
    <w:rsid w:val="00BC3D44"/>
    <w:rsid w:val="00BC4213"/>
    <w:rsid w:val="00BC4C7F"/>
    <w:rsid w:val="00BC4FF8"/>
    <w:rsid w:val="00BC5103"/>
    <w:rsid w:val="00BC5C80"/>
    <w:rsid w:val="00BC5D5B"/>
    <w:rsid w:val="00BC5F08"/>
    <w:rsid w:val="00BC6161"/>
    <w:rsid w:val="00BC65A4"/>
    <w:rsid w:val="00BC65B2"/>
    <w:rsid w:val="00BC717C"/>
    <w:rsid w:val="00BC75B3"/>
    <w:rsid w:val="00BC7B04"/>
    <w:rsid w:val="00BC7E15"/>
    <w:rsid w:val="00BC7E36"/>
    <w:rsid w:val="00BD020B"/>
    <w:rsid w:val="00BD024E"/>
    <w:rsid w:val="00BD09B1"/>
    <w:rsid w:val="00BD0FE8"/>
    <w:rsid w:val="00BD16D6"/>
    <w:rsid w:val="00BD1B72"/>
    <w:rsid w:val="00BD2606"/>
    <w:rsid w:val="00BD2F78"/>
    <w:rsid w:val="00BD31B3"/>
    <w:rsid w:val="00BD38B1"/>
    <w:rsid w:val="00BD3BB5"/>
    <w:rsid w:val="00BD41C0"/>
    <w:rsid w:val="00BD485C"/>
    <w:rsid w:val="00BD4AA0"/>
    <w:rsid w:val="00BD521B"/>
    <w:rsid w:val="00BD5E89"/>
    <w:rsid w:val="00BD5EEA"/>
    <w:rsid w:val="00BD6053"/>
    <w:rsid w:val="00BD64F9"/>
    <w:rsid w:val="00BD6593"/>
    <w:rsid w:val="00BD66B2"/>
    <w:rsid w:val="00BD71AD"/>
    <w:rsid w:val="00BD7633"/>
    <w:rsid w:val="00BD76B1"/>
    <w:rsid w:val="00BD7720"/>
    <w:rsid w:val="00BD7725"/>
    <w:rsid w:val="00BD782C"/>
    <w:rsid w:val="00BD786C"/>
    <w:rsid w:val="00BD78AD"/>
    <w:rsid w:val="00BD78F4"/>
    <w:rsid w:val="00BD7CDA"/>
    <w:rsid w:val="00BE0154"/>
    <w:rsid w:val="00BE04EC"/>
    <w:rsid w:val="00BE0973"/>
    <w:rsid w:val="00BE0F6C"/>
    <w:rsid w:val="00BE168E"/>
    <w:rsid w:val="00BE1821"/>
    <w:rsid w:val="00BE1BC9"/>
    <w:rsid w:val="00BE1D73"/>
    <w:rsid w:val="00BE1E0F"/>
    <w:rsid w:val="00BE1EC9"/>
    <w:rsid w:val="00BE1F09"/>
    <w:rsid w:val="00BE26F9"/>
    <w:rsid w:val="00BE2DD8"/>
    <w:rsid w:val="00BE301A"/>
    <w:rsid w:val="00BE400A"/>
    <w:rsid w:val="00BE458A"/>
    <w:rsid w:val="00BE4BE8"/>
    <w:rsid w:val="00BE4E51"/>
    <w:rsid w:val="00BE57E3"/>
    <w:rsid w:val="00BE5D07"/>
    <w:rsid w:val="00BE61FC"/>
    <w:rsid w:val="00BE7A1E"/>
    <w:rsid w:val="00BF0159"/>
    <w:rsid w:val="00BF03E8"/>
    <w:rsid w:val="00BF0D84"/>
    <w:rsid w:val="00BF1423"/>
    <w:rsid w:val="00BF18FE"/>
    <w:rsid w:val="00BF1C55"/>
    <w:rsid w:val="00BF1E3B"/>
    <w:rsid w:val="00BF1F5C"/>
    <w:rsid w:val="00BF224A"/>
    <w:rsid w:val="00BF272F"/>
    <w:rsid w:val="00BF28A4"/>
    <w:rsid w:val="00BF37C5"/>
    <w:rsid w:val="00BF3AAA"/>
    <w:rsid w:val="00BF42FD"/>
    <w:rsid w:val="00BF4810"/>
    <w:rsid w:val="00BF497A"/>
    <w:rsid w:val="00BF4AC8"/>
    <w:rsid w:val="00BF4E3E"/>
    <w:rsid w:val="00BF5598"/>
    <w:rsid w:val="00BF5BF6"/>
    <w:rsid w:val="00BF5E37"/>
    <w:rsid w:val="00BF6983"/>
    <w:rsid w:val="00BF70D4"/>
    <w:rsid w:val="00BF71E4"/>
    <w:rsid w:val="00BF7206"/>
    <w:rsid w:val="00BF7831"/>
    <w:rsid w:val="00BF7B13"/>
    <w:rsid w:val="00BF7F37"/>
    <w:rsid w:val="00C000A0"/>
    <w:rsid w:val="00C00865"/>
    <w:rsid w:val="00C010A6"/>
    <w:rsid w:val="00C0153B"/>
    <w:rsid w:val="00C0163D"/>
    <w:rsid w:val="00C017CA"/>
    <w:rsid w:val="00C02152"/>
    <w:rsid w:val="00C0264E"/>
    <w:rsid w:val="00C03CE8"/>
    <w:rsid w:val="00C04252"/>
    <w:rsid w:val="00C0494D"/>
    <w:rsid w:val="00C0531C"/>
    <w:rsid w:val="00C05806"/>
    <w:rsid w:val="00C05E08"/>
    <w:rsid w:val="00C05FA3"/>
    <w:rsid w:val="00C06A1F"/>
    <w:rsid w:val="00C06D0D"/>
    <w:rsid w:val="00C07158"/>
    <w:rsid w:val="00C073A5"/>
    <w:rsid w:val="00C07E3B"/>
    <w:rsid w:val="00C100FD"/>
    <w:rsid w:val="00C108A9"/>
    <w:rsid w:val="00C10D63"/>
    <w:rsid w:val="00C12181"/>
    <w:rsid w:val="00C123A3"/>
    <w:rsid w:val="00C12466"/>
    <w:rsid w:val="00C12553"/>
    <w:rsid w:val="00C13F2B"/>
    <w:rsid w:val="00C141FB"/>
    <w:rsid w:val="00C143BD"/>
    <w:rsid w:val="00C1441B"/>
    <w:rsid w:val="00C14FB5"/>
    <w:rsid w:val="00C151EC"/>
    <w:rsid w:val="00C1544B"/>
    <w:rsid w:val="00C15A04"/>
    <w:rsid w:val="00C15D35"/>
    <w:rsid w:val="00C1656A"/>
    <w:rsid w:val="00C166FD"/>
    <w:rsid w:val="00C16815"/>
    <w:rsid w:val="00C16951"/>
    <w:rsid w:val="00C17D4D"/>
    <w:rsid w:val="00C17E8A"/>
    <w:rsid w:val="00C205F8"/>
    <w:rsid w:val="00C20EBC"/>
    <w:rsid w:val="00C2100C"/>
    <w:rsid w:val="00C2106B"/>
    <w:rsid w:val="00C21175"/>
    <w:rsid w:val="00C226C2"/>
    <w:rsid w:val="00C2297F"/>
    <w:rsid w:val="00C22CC3"/>
    <w:rsid w:val="00C2305A"/>
    <w:rsid w:val="00C23CC9"/>
    <w:rsid w:val="00C24114"/>
    <w:rsid w:val="00C24503"/>
    <w:rsid w:val="00C2450A"/>
    <w:rsid w:val="00C2467C"/>
    <w:rsid w:val="00C248DB"/>
    <w:rsid w:val="00C248DD"/>
    <w:rsid w:val="00C2492B"/>
    <w:rsid w:val="00C2557A"/>
    <w:rsid w:val="00C255F6"/>
    <w:rsid w:val="00C256E7"/>
    <w:rsid w:val="00C25831"/>
    <w:rsid w:val="00C2605E"/>
    <w:rsid w:val="00C26EDD"/>
    <w:rsid w:val="00C27400"/>
    <w:rsid w:val="00C27BF6"/>
    <w:rsid w:val="00C27C80"/>
    <w:rsid w:val="00C27C9C"/>
    <w:rsid w:val="00C30482"/>
    <w:rsid w:val="00C30577"/>
    <w:rsid w:val="00C30B3D"/>
    <w:rsid w:val="00C30BEF"/>
    <w:rsid w:val="00C30D62"/>
    <w:rsid w:val="00C30DC6"/>
    <w:rsid w:val="00C31631"/>
    <w:rsid w:val="00C316BC"/>
    <w:rsid w:val="00C31E72"/>
    <w:rsid w:val="00C32004"/>
    <w:rsid w:val="00C323BD"/>
    <w:rsid w:val="00C32DB9"/>
    <w:rsid w:val="00C33180"/>
    <w:rsid w:val="00C33462"/>
    <w:rsid w:val="00C33AE2"/>
    <w:rsid w:val="00C34138"/>
    <w:rsid w:val="00C34324"/>
    <w:rsid w:val="00C344E9"/>
    <w:rsid w:val="00C34599"/>
    <w:rsid w:val="00C3492B"/>
    <w:rsid w:val="00C34B08"/>
    <w:rsid w:val="00C35315"/>
    <w:rsid w:val="00C35554"/>
    <w:rsid w:val="00C3555A"/>
    <w:rsid w:val="00C3626C"/>
    <w:rsid w:val="00C364C5"/>
    <w:rsid w:val="00C36CE9"/>
    <w:rsid w:val="00C37741"/>
    <w:rsid w:val="00C37E3D"/>
    <w:rsid w:val="00C4041E"/>
    <w:rsid w:val="00C40C64"/>
    <w:rsid w:val="00C41011"/>
    <w:rsid w:val="00C42239"/>
    <w:rsid w:val="00C433C4"/>
    <w:rsid w:val="00C43817"/>
    <w:rsid w:val="00C43B8B"/>
    <w:rsid w:val="00C43FBA"/>
    <w:rsid w:val="00C441CC"/>
    <w:rsid w:val="00C44475"/>
    <w:rsid w:val="00C44F87"/>
    <w:rsid w:val="00C451F2"/>
    <w:rsid w:val="00C45757"/>
    <w:rsid w:val="00C4609E"/>
    <w:rsid w:val="00C46807"/>
    <w:rsid w:val="00C4699B"/>
    <w:rsid w:val="00C47D44"/>
    <w:rsid w:val="00C50B1E"/>
    <w:rsid w:val="00C51C72"/>
    <w:rsid w:val="00C51CB1"/>
    <w:rsid w:val="00C521B4"/>
    <w:rsid w:val="00C52914"/>
    <w:rsid w:val="00C539F2"/>
    <w:rsid w:val="00C544CC"/>
    <w:rsid w:val="00C546E7"/>
    <w:rsid w:val="00C55114"/>
    <w:rsid w:val="00C55DC9"/>
    <w:rsid w:val="00C56262"/>
    <w:rsid w:val="00C5718E"/>
    <w:rsid w:val="00C57198"/>
    <w:rsid w:val="00C578CE"/>
    <w:rsid w:val="00C60CBB"/>
    <w:rsid w:val="00C61597"/>
    <w:rsid w:val="00C617BF"/>
    <w:rsid w:val="00C619CC"/>
    <w:rsid w:val="00C62692"/>
    <w:rsid w:val="00C62791"/>
    <w:rsid w:val="00C62FA1"/>
    <w:rsid w:val="00C632D6"/>
    <w:rsid w:val="00C63D13"/>
    <w:rsid w:val="00C63F9B"/>
    <w:rsid w:val="00C64069"/>
    <w:rsid w:val="00C646AC"/>
    <w:rsid w:val="00C64871"/>
    <w:rsid w:val="00C64B36"/>
    <w:rsid w:val="00C64C87"/>
    <w:rsid w:val="00C64EDD"/>
    <w:rsid w:val="00C653BA"/>
    <w:rsid w:val="00C657B4"/>
    <w:rsid w:val="00C6774F"/>
    <w:rsid w:val="00C677AA"/>
    <w:rsid w:val="00C67EA3"/>
    <w:rsid w:val="00C67F25"/>
    <w:rsid w:val="00C70669"/>
    <w:rsid w:val="00C70A37"/>
    <w:rsid w:val="00C70F72"/>
    <w:rsid w:val="00C713C7"/>
    <w:rsid w:val="00C715CB"/>
    <w:rsid w:val="00C71914"/>
    <w:rsid w:val="00C71A43"/>
    <w:rsid w:val="00C7263B"/>
    <w:rsid w:val="00C727EF"/>
    <w:rsid w:val="00C72D01"/>
    <w:rsid w:val="00C72F2F"/>
    <w:rsid w:val="00C73290"/>
    <w:rsid w:val="00C736A7"/>
    <w:rsid w:val="00C73D50"/>
    <w:rsid w:val="00C74181"/>
    <w:rsid w:val="00C7460F"/>
    <w:rsid w:val="00C74636"/>
    <w:rsid w:val="00C74AF1"/>
    <w:rsid w:val="00C752C9"/>
    <w:rsid w:val="00C759F1"/>
    <w:rsid w:val="00C7613A"/>
    <w:rsid w:val="00C761B9"/>
    <w:rsid w:val="00C76D02"/>
    <w:rsid w:val="00C77315"/>
    <w:rsid w:val="00C77AEB"/>
    <w:rsid w:val="00C77C98"/>
    <w:rsid w:val="00C80069"/>
    <w:rsid w:val="00C805C9"/>
    <w:rsid w:val="00C805DA"/>
    <w:rsid w:val="00C8096C"/>
    <w:rsid w:val="00C80A78"/>
    <w:rsid w:val="00C80B25"/>
    <w:rsid w:val="00C80F33"/>
    <w:rsid w:val="00C80FD0"/>
    <w:rsid w:val="00C8100B"/>
    <w:rsid w:val="00C816BC"/>
    <w:rsid w:val="00C825DD"/>
    <w:rsid w:val="00C82DDB"/>
    <w:rsid w:val="00C8374D"/>
    <w:rsid w:val="00C8460B"/>
    <w:rsid w:val="00C852AC"/>
    <w:rsid w:val="00C8552C"/>
    <w:rsid w:val="00C857F9"/>
    <w:rsid w:val="00C860BC"/>
    <w:rsid w:val="00C86543"/>
    <w:rsid w:val="00C8683F"/>
    <w:rsid w:val="00C86967"/>
    <w:rsid w:val="00C87D19"/>
    <w:rsid w:val="00C9003B"/>
    <w:rsid w:val="00C9085E"/>
    <w:rsid w:val="00C9091D"/>
    <w:rsid w:val="00C90D2F"/>
    <w:rsid w:val="00C90FA2"/>
    <w:rsid w:val="00C91C17"/>
    <w:rsid w:val="00C91CA5"/>
    <w:rsid w:val="00C91D26"/>
    <w:rsid w:val="00C92141"/>
    <w:rsid w:val="00C92267"/>
    <w:rsid w:val="00C92787"/>
    <w:rsid w:val="00C9347F"/>
    <w:rsid w:val="00C93941"/>
    <w:rsid w:val="00C94857"/>
    <w:rsid w:val="00C959C2"/>
    <w:rsid w:val="00C95BC5"/>
    <w:rsid w:val="00C95DEA"/>
    <w:rsid w:val="00C95FCA"/>
    <w:rsid w:val="00C974ED"/>
    <w:rsid w:val="00C976AC"/>
    <w:rsid w:val="00C97A8D"/>
    <w:rsid w:val="00C97E8D"/>
    <w:rsid w:val="00C97F02"/>
    <w:rsid w:val="00CA0083"/>
    <w:rsid w:val="00CA04C0"/>
    <w:rsid w:val="00CA0837"/>
    <w:rsid w:val="00CA0BD9"/>
    <w:rsid w:val="00CA11E9"/>
    <w:rsid w:val="00CA12B2"/>
    <w:rsid w:val="00CA14DD"/>
    <w:rsid w:val="00CA2FBE"/>
    <w:rsid w:val="00CA4064"/>
    <w:rsid w:val="00CA41D2"/>
    <w:rsid w:val="00CA4753"/>
    <w:rsid w:val="00CA4D91"/>
    <w:rsid w:val="00CA4F20"/>
    <w:rsid w:val="00CA5080"/>
    <w:rsid w:val="00CA5908"/>
    <w:rsid w:val="00CA5A5A"/>
    <w:rsid w:val="00CA5D21"/>
    <w:rsid w:val="00CA5D2B"/>
    <w:rsid w:val="00CA5F84"/>
    <w:rsid w:val="00CA6512"/>
    <w:rsid w:val="00CA7A61"/>
    <w:rsid w:val="00CA7BF2"/>
    <w:rsid w:val="00CB0395"/>
    <w:rsid w:val="00CB0A21"/>
    <w:rsid w:val="00CB0C16"/>
    <w:rsid w:val="00CB1327"/>
    <w:rsid w:val="00CB144F"/>
    <w:rsid w:val="00CB149F"/>
    <w:rsid w:val="00CB1EAE"/>
    <w:rsid w:val="00CB1F5B"/>
    <w:rsid w:val="00CB2147"/>
    <w:rsid w:val="00CB2248"/>
    <w:rsid w:val="00CB28EA"/>
    <w:rsid w:val="00CB30F5"/>
    <w:rsid w:val="00CB315D"/>
    <w:rsid w:val="00CB38FE"/>
    <w:rsid w:val="00CB3B4E"/>
    <w:rsid w:val="00CB3EC6"/>
    <w:rsid w:val="00CB3F32"/>
    <w:rsid w:val="00CB4484"/>
    <w:rsid w:val="00CB4BEE"/>
    <w:rsid w:val="00CB4F56"/>
    <w:rsid w:val="00CB598E"/>
    <w:rsid w:val="00CB67F2"/>
    <w:rsid w:val="00CB68CC"/>
    <w:rsid w:val="00CB6BB5"/>
    <w:rsid w:val="00CB6D6A"/>
    <w:rsid w:val="00CB6FB9"/>
    <w:rsid w:val="00CB7873"/>
    <w:rsid w:val="00CC0309"/>
    <w:rsid w:val="00CC06C3"/>
    <w:rsid w:val="00CC07DB"/>
    <w:rsid w:val="00CC0A26"/>
    <w:rsid w:val="00CC0AB1"/>
    <w:rsid w:val="00CC129B"/>
    <w:rsid w:val="00CC1838"/>
    <w:rsid w:val="00CC1C5B"/>
    <w:rsid w:val="00CC31AB"/>
    <w:rsid w:val="00CC341C"/>
    <w:rsid w:val="00CC3645"/>
    <w:rsid w:val="00CC3EAF"/>
    <w:rsid w:val="00CC3F55"/>
    <w:rsid w:val="00CC4116"/>
    <w:rsid w:val="00CC4E15"/>
    <w:rsid w:val="00CC4EEA"/>
    <w:rsid w:val="00CC54B1"/>
    <w:rsid w:val="00CC55AE"/>
    <w:rsid w:val="00CC5B06"/>
    <w:rsid w:val="00CC69DF"/>
    <w:rsid w:val="00CC7253"/>
    <w:rsid w:val="00CC7751"/>
    <w:rsid w:val="00CC79A2"/>
    <w:rsid w:val="00CC7D66"/>
    <w:rsid w:val="00CD0153"/>
    <w:rsid w:val="00CD02C6"/>
    <w:rsid w:val="00CD092E"/>
    <w:rsid w:val="00CD0A75"/>
    <w:rsid w:val="00CD11DE"/>
    <w:rsid w:val="00CD143E"/>
    <w:rsid w:val="00CD1963"/>
    <w:rsid w:val="00CD19CA"/>
    <w:rsid w:val="00CD1AC2"/>
    <w:rsid w:val="00CD224D"/>
    <w:rsid w:val="00CD2331"/>
    <w:rsid w:val="00CD2889"/>
    <w:rsid w:val="00CD34FD"/>
    <w:rsid w:val="00CD35E8"/>
    <w:rsid w:val="00CD3E17"/>
    <w:rsid w:val="00CD3EFC"/>
    <w:rsid w:val="00CD467E"/>
    <w:rsid w:val="00CD46C1"/>
    <w:rsid w:val="00CD4860"/>
    <w:rsid w:val="00CD4B86"/>
    <w:rsid w:val="00CD4E3B"/>
    <w:rsid w:val="00CD50A4"/>
    <w:rsid w:val="00CD51ED"/>
    <w:rsid w:val="00CD5CFC"/>
    <w:rsid w:val="00CD63B2"/>
    <w:rsid w:val="00CD6C4D"/>
    <w:rsid w:val="00CD7357"/>
    <w:rsid w:val="00CD7B3A"/>
    <w:rsid w:val="00CE0199"/>
    <w:rsid w:val="00CE0440"/>
    <w:rsid w:val="00CE05E1"/>
    <w:rsid w:val="00CE0620"/>
    <w:rsid w:val="00CE1146"/>
    <w:rsid w:val="00CE16F2"/>
    <w:rsid w:val="00CE176D"/>
    <w:rsid w:val="00CE178F"/>
    <w:rsid w:val="00CE18AA"/>
    <w:rsid w:val="00CE1CC5"/>
    <w:rsid w:val="00CE1E16"/>
    <w:rsid w:val="00CE253C"/>
    <w:rsid w:val="00CE2619"/>
    <w:rsid w:val="00CE291E"/>
    <w:rsid w:val="00CE2920"/>
    <w:rsid w:val="00CE2EE4"/>
    <w:rsid w:val="00CE3346"/>
    <w:rsid w:val="00CE3797"/>
    <w:rsid w:val="00CE385C"/>
    <w:rsid w:val="00CE393A"/>
    <w:rsid w:val="00CE3ADA"/>
    <w:rsid w:val="00CE3ECD"/>
    <w:rsid w:val="00CE4025"/>
    <w:rsid w:val="00CE41CB"/>
    <w:rsid w:val="00CE48D3"/>
    <w:rsid w:val="00CE498F"/>
    <w:rsid w:val="00CE5079"/>
    <w:rsid w:val="00CE5D42"/>
    <w:rsid w:val="00CE5FE1"/>
    <w:rsid w:val="00CE6803"/>
    <w:rsid w:val="00CE693D"/>
    <w:rsid w:val="00CE6D99"/>
    <w:rsid w:val="00CE7351"/>
    <w:rsid w:val="00CF0777"/>
    <w:rsid w:val="00CF0FF4"/>
    <w:rsid w:val="00CF1622"/>
    <w:rsid w:val="00CF1E5A"/>
    <w:rsid w:val="00CF1EB5"/>
    <w:rsid w:val="00CF26D0"/>
    <w:rsid w:val="00CF34DB"/>
    <w:rsid w:val="00CF368F"/>
    <w:rsid w:val="00CF3CAD"/>
    <w:rsid w:val="00CF3DED"/>
    <w:rsid w:val="00CF3E28"/>
    <w:rsid w:val="00CF425F"/>
    <w:rsid w:val="00CF4635"/>
    <w:rsid w:val="00CF46ED"/>
    <w:rsid w:val="00CF4FEF"/>
    <w:rsid w:val="00CF50CB"/>
    <w:rsid w:val="00CF5173"/>
    <w:rsid w:val="00CF51E8"/>
    <w:rsid w:val="00CF5203"/>
    <w:rsid w:val="00CF5BA3"/>
    <w:rsid w:val="00CF637A"/>
    <w:rsid w:val="00CF7C31"/>
    <w:rsid w:val="00D00450"/>
    <w:rsid w:val="00D00CF6"/>
    <w:rsid w:val="00D013E2"/>
    <w:rsid w:val="00D0152F"/>
    <w:rsid w:val="00D015AB"/>
    <w:rsid w:val="00D01AF8"/>
    <w:rsid w:val="00D01BC6"/>
    <w:rsid w:val="00D01F80"/>
    <w:rsid w:val="00D0208A"/>
    <w:rsid w:val="00D025CC"/>
    <w:rsid w:val="00D028B3"/>
    <w:rsid w:val="00D0293C"/>
    <w:rsid w:val="00D02DA7"/>
    <w:rsid w:val="00D0304E"/>
    <w:rsid w:val="00D03F68"/>
    <w:rsid w:val="00D04031"/>
    <w:rsid w:val="00D044D9"/>
    <w:rsid w:val="00D045D3"/>
    <w:rsid w:val="00D04DF9"/>
    <w:rsid w:val="00D04EC9"/>
    <w:rsid w:val="00D053C2"/>
    <w:rsid w:val="00D05E0E"/>
    <w:rsid w:val="00D06218"/>
    <w:rsid w:val="00D06B40"/>
    <w:rsid w:val="00D077BB"/>
    <w:rsid w:val="00D07BBD"/>
    <w:rsid w:val="00D104AC"/>
    <w:rsid w:val="00D104D2"/>
    <w:rsid w:val="00D10566"/>
    <w:rsid w:val="00D10643"/>
    <w:rsid w:val="00D10F3E"/>
    <w:rsid w:val="00D112CB"/>
    <w:rsid w:val="00D11A57"/>
    <w:rsid w:val="00D11C6E"/>
    <w:rsid w:val="00D1219B"/>
    <w:rsid w:val="00D128F1"/>
    <w:rsid w:val="00D12AD5"/>
    <w:rsid w:val="00D12BD7"/>
    <w:rsid w:val="00D138B4"/>
    <w:rsid w:val="00D13D12"/>
    <w:rsid w:val="00D140C2"/>
    <w:rsid w:val="00D149DF"/>
    <w:rsid w:val="00D152AA"/>
    <w:rsid w:val="00D15500"/>
    <w:rsid w:val="00D15C15"/>
    <w:rsid w:val="00D15E24"/>
    <w:rsid w:val="00D1621C"/>
    <w:rsid w:val="00D16725"/>
    <w:rsid w:val="00D16CB3"/>
    <w:rsid w:val="00D16D23"/>
    <w:rsid w:val="00D17086"/>
    <w:rsid w:val="00D17570"/>
    <w:rsid w:val="00D17643"/>
    <w:rsid w:val="00D17911"/>
    <w:rsid w:val="00D17FB4"/>
    <w:rsid w:val="00D20188"/>
    <w:rsid w:val="00D201E3"/>
    <w:rsid w:val="00D2027A"/>
    <w:rsid w:val="00D20B23"/>
    <w:rsid w:val="00D20B93"/>
    <w:rsid w:val="00D20C94"/>
    <w:rsid w:val="00D20D55"/>
    <w:rsid w:val="00D2140F"/>
    <w:rsid w:val="00D218EF"/>
    <w:rsid w:val="00D22433"/>
    <w:rsid w:val="00D224EF"/>
    <w:rsid w:val="00D22748"/>
    <w:rsid w:val="00D22E55"/>
    <w:rsid w:val="00D232AE"/>
    <w:rsid w:val="00D233E0"/>
    <w:rsid w:val="00D2347F"/>
    <w:rsid w:val="00D23626"/>
    <w:rsid w:val="00D242C0"/>
    <w:rsid w:val="00D242E5"/>
    <w:rsid w:val="00D25371"/>
    <w:rsid w:val="00D2614B"/>
    <w:rsid w:val="00D26918"/>
    <w:rsid w:val="00D26AEF"/>
    <w:rsid w:val="00D2700D"/>
    <w:rsid w:val="00D27734"/>
    <w:rsid w:val="00D27BED"/>
    <w:rsid w:val="00D301F8"/>
    <w:rsid w:val="00D30A43"/>
    <w:rsid w:val="00D3182A"/>
    <w:rsid w:val="00D31D84"/>
    <w:rsid w:val="00D32136"/>
    <w:rsid w:val="00D3222B"/>
    <w:rsid w:val="00D3227D"/>
    <w:rsid w:val="00D323CB"/>
    <w:rsid w:val="00D330D8"/>
    <w:rsid w:val="00D33197"/>
    <w:rsid w:val="00D331C9"/>
    <w:rsid w:val="00D33567"/>
    <w:rsid w:val="00D33EEE"/>
    <w:rsid w:val="00D341A7"/>
    <w:rsid w:val="00D34B4B"/>
    <w:rsid w:val="00D34D16"/>
    <w:rsid w:val="00D35236"/>
    <w:rsid w:val="00D352F1"/>
    <w:rsid w:val="00D35305"/>
    <w:rsid w:val="00D3579C"/>
    <w:rsid w:val="00D37121"/>
    <w:rsid w:val="00D3746F"/>
    <w:rsid w:val="00D376AA"/>
    <w:rsid w:val="00D40043"/>
    <w:rsid w:val="00D40A47"/>
    <w:rsid w:val="00D41051"/>
    <w:rsid w:val="00D410F8"/>
    <w:rsid w:val="00D417AE"/>
    <w:rsid w:val="00D419F5"/>
    <w:rsid w:val="00D41B6F"/>
    <w:rsid w:val="00D41D33"/>
    <w:rsid w:val="00D4265C"/>
    <w:rsid w:val="00D446AE"/>
    <w:rsid w:val="00D457ED"/>
    <w:rsid w:val="00D468B0"/>
    <w:rsid w:val="00D46A9C"/>
    <w:rsid w:val="00D46AEF"/>
    <w:rsid w:val="00D46D32"/>
    <w:rsid w:val="00D46EB7"/>
    <w:rsid w:val="00D46F5B"/>
    <w:rsid w:val="00D46FA2"/>
    <w:rsid w:val="00D476EB"/>
    <w:rsid w:val="00D478AA"/>
    <w:rsid w:val="00D47F55"/>
    <w:rsid w:val="00D50FBA"/>
    <w:rsid w:val="00D51372"/>
    <w:rsid w:val="00D5162F"/>
    <w:rsid w:val="00D51AD6"/>
    <w:rsid w:val="00D51C50"/>
    <w:rsid w:val="00D525C5"/>
    <w:rsid w:val="00D5266D"/>
    <w:rsid w:val="00D52BBA"/>
    <w:rsid w:val="00D52C1C"/>
    <w:rsid w:val="00D53BD6"/>
    <w:rsid w:val="00D5456F"/>
    <w:rsid w:val="00D545DF"/>
    <w:rsid w:val="00D548A9"/>
    <w:rsid w:val="00D54AEA"/>
    <w:rsid w:val="00D54E4B"/>
    <w:rsid w:val="00D55A96"/>
    <w:rsid w:val="00D56796"/>
    <w:rsid w:val="00D56D40"/>
    <w:rsid w:val="00D56D85"/>
    <w:rsid w:val="00D60345"/>
    <w:rsid w:val="00D606FC"/>
    <w:rsid w:val="00D60B6B"/>
    <w:rsid w:val="00D60D72"/>
    <w:rsid w:val="00D60D80"/>
    <w:rsid w:val="00D612ED"/>
    <w:rsid w:val="00D61918"/>
    <w:rsid w:val="00D61CAC"/>
    <w:rsid w:val="00D62F54"/>
    <w:rsid w:val="00D63019"/>
    <w:rsid w:val="00D631BD"/>
    <w:rsid w:val="00D64502"/>
    <w:rsid w:val="00D64812"/>
    <w:rsid w:val="00D64E31"/>
    <w:rsid w:val="00D65360"/>
    <w:rsid w:val="00D65604"/>
    <w:rsid w:val="00D656B6"/>
    <w:rsid w:val="00D65F9D"/>
    <w:rsid w:val="00D666E7"/>
    <w:rsid w:val="00D66C52"/>
    <w:rsid w:val="00D678F8"/>
    <w:rsid w:val="00D67C66"/>
    <w:rsid w:val="00D67E37"/>
    <w:rsid w:val="00D705C5"/>
    <w:rsid w:val="00D706C6"/>
    <w:rsid w:val="00D721EC"/>
    <w:rsid w:val="00D726CE"/>
    <w:rsid w:val="00D72704"/>
    <w:rsid w:val="00D729A2"/>
    <w:rsid w:val="00D73301"/>
    <w:rsid w:val="00D73677"/>
    <w:rsid w:val="00D73943"/>
    <w:rsid w:val="00D73FD4"/>
    <w:rsid w:val="00D74912"/>
    <w:rsid w:val="00D74A6E"/>
    <w:rsid w:val="00D75805"/>
    <w:rsid w:val="00D75B50"/>
    <w:rsid w:val="00D75BE2"/>
    <w:rsid w:val="00D76480"/>
    <w:rsid w:val="00D76CF5"/>
    <w:rsid w:val="00D779F7"/>
    <w:rsid w:val="00D80754"/>
    <w:rsid w:val="00D81F77"/>
    <w:rsid w:val="00D82F54"/>
    <w:rsid w:val="00D83026"/>
    <w:rsid w:val="00D83045"/>
    <w:rsid w:val="00D8314F"/>
    <w:rsid w:val="00D83354"/>
    <w:rsid w:val="00D83B9A"/>
    <w:rsid w:val="00D844D3"/>
    <w:rsid w:val="00D85160"/>
    <w:rsid w:val="00D855A5"/>
    <w:rsid w:val="00D855E1"/>
    <w:rsid w:val="00D857E6"/>
    <w:rsid w:val="00D85885"/>
    <w:rsid w:val="00D8653A"/>
    <w:rsid w:val="00D871CE"/>
    <w:rsid w:val="00D87542"/>
    <w:rsid w:val="00D876D2"/>
    <w:rsid w:val="00D879B1"/>
    <w:rsid w:val="00D87D77"/>
    <w:rsid w:val="00D90174"/>
    <w:rsid w:val="00D916CC"/>
    <w:rsid w:val="00D917C2"/>
    <w:rsid w:val="00D91AF5"/>
    <w:rsid w:val="00D920CA"/>
    <w:rsid w:val="00D927D8"/>
    <w:rsid w:val="00D92BFA"/>
    <w:rsid w:val="00D935D1"/>
    <w:rsid w:val="00D936E6"/>
    <w:rsid w:val="00D9375F"/>
    <w:rsid w:val="00D937F8"/>
    <w:rsid w:val="00D93883"/>
    <w:rsid w:val="00D93A88"/>
    <w:rsid w:val="00D93B43"/>
    <w:rsid w:val="00D93D76"/>
    <w:rsid w:val="00D93D78"/>
    <w:rsid w:val="00D93F6A"/>
    <w:rsid w:val="00D93FAF"/>
    <w:rsid w:val="00D94046"/>
    <w:rsid w:val="00D940D3"/>
    <w:rsid w:val="00D945EB"/>
    <w:rsid w:val="00D9478A"/>
    <w:rsid w:val="00D94876"/>
    <w:rsid w:val="00D94DB5"/>
    <w:rsid w:val="00D95202"/>
    <w:rsid w:val="00D95458"/>
    <w:rsid w:val="00D9598E"/>
    <w:rsid w:val="00D95B44"/>
    <w:rsid w:val="00D95C20"/>
    <w:rsid w:val="00D961B5"/>
    <w:rsid w:val="00D961C7"/>
    <w:rsid w:val="00D96BFE"/>
    <w:rsid w:val="00D96F7E"/>
    <w:rsid w:val="00D9778A"/>
    <w:rsid w:val="00D97B59"/>
    <w:rsid w:val="00D97C16"/>
    <w:rsid w:val="00D97D49"/>
    <w:rsid w:val="00DA022A"/>
    <w:rsid w:val="00DA025F"/>
    <w:rsid w:val="00DA04E9"/>
    <w:rsid w:val="00DA0755"/>
    <w:rsid w:val="00DA07A7"/>
    <w:rsid w:val="00DA08A5"/>
    <w:rsid w:val="00DA1D77"/>
    <w:rsid w:val="00DA209A"/>
    <w:rsid w:val="00DA23AB"/>
    <w:rsid w:val="00DA2B4B"/>
    <w:rsid w:val="00DA4512"/>
    <w:rsid w:val="00DA4A61"/>
    <w:rsid w:val="00DA4D03"/>
    <w:rsid w:val="00DA4EAF"/>
    <w:rsid w:val="00DA5A16"/>
    <w:rsid w:val="00DA6949"/>
    <w:rsid w:val="00DA7D0B"/>
    <w:rsid w:val="00DB07CA"/>
    <w:rsid w:val="00DB0823"/>
    <w:rsid w:val="00DB0A27"/>
    <w:rsid w:val="00DB0E2A"/>
    <w:rsid w:val="00DB111E"/>
    <w:rsid w:val="00DB19F5"/>
    <w:rsid w:val="00DB2629"/>
    <w:rsid w:val="00DB2718"/>
    <w:rsid w:val="00DB2773"/>
    <w:rsid w:val="00DB27E9"/>
    <w:rsid w:val="00DB2A06"/>
    <w:rsid w:val="00DB383F"/>
    <w:rsid w:val="00DB3A50"/>
    <w:rsid w:val="00DB4D6A"/>
    <w:rsid w:val="00DB52B9"/>
    <w:rsid w:val="00DB532F"/>
    <w:rsid w:val="00DB53D6"/>
    <w:rsid w:val="00DB546A"/>
    <w:rsid w:val="00DB5641"/>
    <w:rsid w:val="00DB5CC0"/>
    <w:rsid w:val="00DB5FF0"/>
    <w:rsid w:val="00DB63F1"/>
    <w:rsid w:val="00DB65D7"/>
    <w:rsid w:val="00DB6791"/>
    <w:rsid w:val="00DB6C38"/>
    <w:rsid w:val="00DB6E05"/>
    <w:rsid w:val="00DB6E76"/>
    <w:rsid w:val="00DB72E7"/>
    <w:rsid w:val="00DB736F"/>
    <w:rsid w:val="00DB7445"/>
    <w:rsid w:val="00DB7D53"/>
    <w:rsid w:val="00DB7F62"/>
    <w:rsid w:val="00DC0464"/>
    <w:rsid w:val="00DC0632"/>
    <w:rsid w:val="00DC0787"/>
    <w:rsid w:val="00DC0F18"/>
    <w:rsid w:val="00DC1303"/>
    <w:rsid w:val="00DC1403"/>
    <w:rsid w:val="00DC345A"/>
    <w:rsid w:val="00DC389B"/>
    <w:rsid w:val="00DC3904"/>
    <w:rsid w:val="00DC394C"/>
    <w:rsid w:val="00DC42A4"/>
    <w:rsid w:val="00DC42EA"/>
    <w:rsid w:val="00DC4933"/>
    <w:rsid w:val="00DC558C"/>
    <w:rsid w:val="00DC5ED6"/>
    <w:rsid w:val="00DC5F7A"/>
    <w:rsid w:val="00DC6513"/>
    <w:rsid w:val="00DC693E"/>
    <w:rsid w:val="00DC723A"/>
    <w:rsid w:val="00DC7C31"/>
    <w:rsid w:val="00DD0C3F"/>
    <w:rsid w:val="00DD0FAE"/>
    <w:rsid w:val="00DD1CDA"/>
    <w:rsid w:val="00DD1F41"/>
    <w:rsid w:val="00DD26CC"/>
    <w:rsid w:val="00DD3543"/>
    <w:rsid w:val="00DD3766"/>
    <w:rsid w:val="00DD380F"/>
    <w:rsid w:val="00DD4656"/>
    <w:rsid w:val="00DD503F"/>
    <w:rsid w:val="00DD514C"/>
    <w:rsid w:val="00DD5BE3"/>
    <w:rsid w:val="00DD60E2"/>
    <w:rsid w:val="00DD691A"/>
    <w:rsid w:val="00DD6DE7"/>
    <w:rsid w:val="00DD71D6"/>
    <w:rsid w:val="00DD73A8"/>
    <w:rsid w:val="00DD7687"/>
    <w:rsid w:val="00DD7B55"/>
    <w:rsid w:val="00DE0569"/>
    <w:rsid w:val="00DE0797"/>
    <w:rsid w:val="00DE08C3"/>
    <w:rsid w:val="00DE094A"/>
    <w:rsid w:val="00DE17FA"/>
    <w:rsid w:val="00DE1971"/>
    <w:rsid w:val="00DE1ACD"/>
    <w:rsid w:val="00DE1DAB"/>
    <w:rsid w:val="00DE20A2"/>
    <w:rsid w:val="00DE261E"/>
    <w:rsid w:val="00DE269D"/>
    <w:rsid w:val="00DE2C35"/>
    <w:rsid w:val="00DE30DA"/>
    <w:rsid w:val="00DE3288"/>
    <w:rsid w:val="00DE4BC3"/>
    <w:rsid w:val="00DE4BE6"/>
    <w:rsid w:val="00DE4E52"/>
    <w:rsid w:val="00DE52B7"/>
    <w:rsid w:val="00DE59EE"/>
    <w:rsid w:val="00DE6636"/>
    <w:rsid w:val="00DE6C5F"/>
    <w:rsid w:val="00DE6E8C"/>
    <w:rsid w:val="00DE70EA"/>
    <w:rsid w:val="00DF0175"/>
    <w:rsid w:val="00DF0B89"/>
    <w:rsid w:val="00DF0CFA"/>
    <w:rsid w:val="00DF131B"/>
    <w:rsid w:val="00DF152E"/>
    <w:rsid w:val="00DF164A"/>
    <w:rsid w:val="00DF299E"/>
    <w:rsid w:val="00DF2BC6"/>
    <w:rsid w:val="00DF3044"/>
    <w:rsid w:val="00DF353C"/>
    <w:rsid w:val="00DF3B5D"/>
    <w:rsid w:val="00DF3DF8"/>
    <w:rsid w:val="00DF4216"/>
    <w:rsid w:val="00DF46B7"/>
    <w:rsid w:val="00DF46C8"/>
    <w:rsid w:val="00DF476B"/>
    <w:rsid w:val="00DF4978"/>
    <w:rsid w:val="00DF55D6"/>
    <w:rsid w:val="00DF58F4"/>
    <w:rsid w:val="00DF5AAF"/>
    <w:rsid w:val="00DF6074"/>
    <w:rsid w:val="00DF6A0A"/>
    <w:rsid w:val="00DF6BF4"/>
    <w:rsid w:val="00DF6FD0"/>
    <w:rsid w:val="00DF73B6"/>
    <w:rsid w:val="00DF781C"/>
    <w:rsid w:val="00E00270"/>
    <w:rsid w:val="00E008D8"/>
    <w:rsid w:val="00E00C6B"/>
    <w:rsid w:val="00E00D29"/>
    <w:rsid w:val="00E00E47"/>
    <w:rsid w:val="00E02A3C"/>
    <w:rsid w:val="00E02F70"/>
    <w:rsid w:val="00E032F6"/>
    <w:rsid w:val="00E03C42"/>
    <w:rsid w:val="00E03F4C"/>
    <w:rsid w:val="00E03F4E"/>
    <w:rsid w:val="00E0439C"/>
    <w:rsid w:val="00E049A5"/>
    <w:rsid w:val="00E051FB"/>
    <w:rsid w:val="00E05472"/>
    <w:rsid w:val="00E056B0"/>
    <w:rsid w:val="00E05984"/>
    <w:rsid w:val="00E05C27"/>
    <w:rsid w:val="00E05C4F"/>
    <w:rsid w:val="00E063DE"/>
    <w:rsid w:val="00E0671B"/>
    <w:rsid w:val="00E06E82"/>
    <w:rsid w:val="00E07453"/>
    <w:rsid w:val="00E07DB1"/>
    <w:rsid w:val="00E07E7B"/>
    <w:rsid w:val="00E07F6A"/>
    <w:rsid w:val="00E10117"/>
    <w:rsid w:val="00E10961"/>
    <w:rsid w:val="00E10EA5"/>
    <w:rsid w:val="00E118AB"/>
    <w:rsid w:val="00E11C81"/>
    <w:rsid w:val="00E11E0F"/>
    <w:rsid w:val="00E11E5E"/>
    <w:rsid w:val="00E12077"/>
    <w:rsid w:val="00E121E9"/>
    <w:rsid w:val="00E129D1"/>
    <w:rsid w:val="00E12F2F"/>
    <w:rsid w:val="00E12FBA"/>
    <w:rsid w:val="00E1319F"/>
    <w:rsid w:val="00E13A48"/>
    <w:rsid w:val="00E13FB6"/>
    <w:rsid w:val="00E14ACF"/>
    <w:rsid w:val="00E14BAD"/>
    <w:rsid w:val="00E14D14"/>
    <w:rsid w:val="00E159EC"/>
    <w:rsid w:val="00E15AC4"/>
    <w:rsid w:val="00E15C68"/>
    <w:rsid w:val="00E16E4C"/>
    <w:rsid w:val="00E173EF"/>
    <w:rsid w:val="00E177CD"/>
    <w:rsid w:val="00E20A78"/>
    <w:rsid w:val="00E20B50"/>
    <w:rsid w:val="00E20B5E"/>
    <w:rsid w:val="00E20F69"/>
    <w:rsid w:val="00E20FC3"/>
    <w:rsid w:val="00E21906"/>
    <w:rsid w:val="00E221AF"/>
    <w:rsid w:val="00E224BF"/>
    <w:rsid w:val="00E22732"/>
    <w:rsid w:val="00E22B39"/>
    <w:rsid w:val="00E2398E"/>
    <w:rsid w:val="00E23A5C"/>
    <w:rsid w:val="00E2406F"/>
    <w:rsid w:val="00E24570"/>
    <w:rsid w:val="00E2459F"/>
    <w:rsid w:val="00E24B98"/>
    <w:rsid w:val="00E2527D"/>
    <w:rsid w:val="00E262A9"/>
    <w:rsid w:val="00E2688C"/>
    <w:rsid w:val="00E2693C"/>
    <w:rsid w:val="00E26F87"/>
    <w:rsid w:val="00E2710F"/>
    <w:rsid w:val="00E2715A"/>
    <w:rsid w:val="00E3047D"/>
    <w:rsid w:val="00E3066D"/>
    <w:rsid w:val="00E30AF9"/>
    <w:rsid w:val="00E31FB7"/>
    <w:rsid w:val="00E32363"/>
    <w:rsid w:val="00E32488"/>
    <w:rsid w:val="00E327E4"/>
    <w:rsid w:val="00E32E77"/>
    <w:rsid w:val="00E3313E"/>
    <w:rsid w:val="00E33575"/>
    <w:rsid w:val="00E33758"/>
    <w:rsid w:val="00E34C86"/>
    <w:rsid w:val="00E34DB8"/>
    <w:rsid w:val="00E35369"/>
    <w:rsid w:val="00E355D9"/>
    <w:rsid w:val="00E35682"/>
    <w:rsid w:val="00E356B6"/>
    <w:rsid w:val="00E35DF9"/>
    <w:rsid w:val="00E3649B"/>
    <w:rsid w:val="00E3697A"/>
    <w:rsid w:val="00E3745E"/>
    <w:rsid w:val="00E37A35"/>
    <w:rsid w:val="00E37B12"/>
    <w:rsid w:val="00E37BEF"/>
    <w:rsid w:val="00E37D65"/>
    <w:rsid w:val="00E403C7"/>
    <w:rsid w:val="00E40A27"/>
    <w:rsid w:val="00E41042"/>
    <w:rsid w:val="00E41074"/>
    <w:rsid w:val="00E4127C"/>
    <w:rsid w:val="00E41B14"/>
    <w:rsid w:val="00E41DD4"/>
    <w:rsid w:val="00E4219A"/>
    <w:rsid w:val="00E42241"/>
    <w:rsid w:val="00E424A0"/>
    <w:rsid w:val="00E425C4"/>
    <w:rsid w:val="00E42698"/>
    <w:rsid w:val="00E426C9"/>
    <w:rsid w:val="00E4274A"/>
    <w:rsid w:val="00E433FB"/>
    <w:rsid w:val="00E4381F"/>
    <w:rsid w:val="00E43B12"/>
    <w:rsid w:val="00E43E66"/>
    <w:rsid w:val="00E443AB"/>
    <w:rsid w:val="00E444BC"/>
    <w:rsid w:val="00E44EF0"/>
    <w:rsid w:val="00E4510E"/>
    <w:rsid w:val="00E45294"/>
    <w:rsid w:val="00E458E7"/>
    <w:rsid w:val="00E46906"/>
    <w:rsid w:val="00E4697F"/>
    <w:rsid w:val="00E46A8F"/>
    <w:rsid w:val="00E46B21"/>
    <w:rsid w:val="00E46DEC"/>
    <w:rsid w:val="00E46EA3"/>
    <w:rsid w:val="00E46ED7"/>
    <w:rsid w:val="00E47D3D"/>
    <w:rsid w:val="00E47E7C"/>
    <w:rsid w:val="00E50223"/>
    <w:rsid w:val="00E5059B"/>
    <w:rsid w:val="00E50F61"/>
    <w:rsid w:val="00E51502"/>
    <w:rsid w:val="00E51789"/>
    <w:rsid w:val="00E51C1B"/>
    <w:rsid w:val="00E52143"/>
    <w:rsid w:val="00E52D13"/>
    <w:rsid w:val="00E52FD1"/>
    <w:rsid w:val="00E5332C"/>
    <w:rsid w:val="00E53353"/>
    <w:rsid w:val="00E535A6"/>
    <w:rsid w:val="00E53C45"/>
    <w:rsid w:val="00E53CE0"/>
    <w:rsid w:val="00E53DA7"/>
    <w:rsid w:val="00E540FC"/>
    <w:rsid w:val="00E54C11"/>
    <w:rsid w:val="00E55DB0"/>
    <w:rsid w:val="00E56721"/>
    <w:rsid w:val="00E5703B"/>
    <w:rsid w:val="00E577EC"/>
    <w:rsid w:val="00E57C4D"/>
    <w:rsid w:val="00E602BD"/>
    <w:rsid w:val="00E61279"/>
    <w:rsid w:val="00E61A8D"/>
    <w:rsid w:val="00E62337"/>
    <w:rsid w:val="00E62809"/>
    <w:rsid w:val="00E63321"/>
    <w:rsid w:val="00E634AD"/>
    <w:rsid w:val="00E635BD"/>
    <w:rsid w:val="00E63675"/>
    <w:rsid w:val="00E638A7"/>
    <w:rsid w:val="00E63FAC"/>
    <w:rsid w:val="00E64141"/>
    <w:rsid w:val="00E645E9"/>
    <w:rsid w:val="00E646D8"/>
    <w:rsid w:val="00E64C9D"/>
    <w:rsid w:val="00E64F6C"/>
    <w:rsid w:val="00E6537A"/>
    <w:rsid w:val="00E65567"/>
    <w:rsid w:val="00E65B31"/>
    <w:rsid w:val="00E65B3E"/>
    <w:rsid w:val="00E65C0B"/>
    <w:rsid w:val="00E65F2E"/>
    <w:rsid w:val="00E65FF3"/>
    <w:rsid w:val="00E660EC"/>
    <w:rsid w:val="00E6618A"/>
    <w:rsid w:val="00E66BA9"/>
    <w:rsid w:val="00E67470"/>
    <w:rsid w:val="00E67A24"/>
    <w:rsid w:val="00E67C62"/>
    <w:rsid w:val="00E67D62"/>
    <w:rsid w:val="00E7025B"/>
    <w:rsid w:val="00E70552"/>
    <w:rsid w:val="00E712A0"/>
    <w:rsid w:val="00E712F8"/>
    <w:rsid w:val="00E71416"/>
    <w:rsid w:val="00E7174D"/>
    <w:rsid w:val="00E7235E"/>
    <w:rsid w:val="00E72B05"/>
    <w:rsid w:val="00E72E0E"/>
    <w:rsid w:val="00E72FE7"/>
    <w:rsid w:val="00E73D0E"/>
    <w:rsid w:val="00E74A39"/>
    <w:rsid w:val="00E75609"/>
    <w:rsid w:val="00E75790"/>
    <w:rsid w:val="00E75BCD"/>
    <w:rsid w:val="00E76031"/>
    <w:rsid w:val="00E76714"/>
    <w:rsid w:val="00E80437"/>
    <w:rsid w:val="00E80FBC"/>
    <w:rsid w:val="00E81031"/>
    <w:rsid w:val="00E81525"/>
    <w:rsid w:val="00E8184C"/>
    <w:rsid w:val="00E81B55"/>
    <w:rsid w:val="00E823A0"/>
    <w:rsid w:val="00E824EF"/>
    <w:rsid w:val="00E82AF9"/>
    <w:rsid w:val="00E82CEF"/>
    <w:rsid w:val="00E82FF2"/>
    <w:rsid w:val="00E83A79"/>
    <w:rsid w:val="00E83B1E"/>
    <w:rsid w:val="00E83D05"/>
    <w:rsid w:val="00E83DC4"/>
    <w:rsid w:val="00E83DCE"/>
    <w:rsid w:val="00E842A8"/>
    <w:rsid w:val="00E84360"/>
    <w:rsid w:val="00E84746"/>
    <w:rsid w:val="00E847B3"/>
    <w:rsid w:val="00E84E89"/>
    <w:rsid w:val="00E859DB"/>
    <w:rsid w:val="00E85AEE"/>
    <w:rsid w:val="00E86400"/>
    <w:rsid w:val="00E86804"/>
    <w:rsid w:val="00E86871"/>
    <w:rsid w:val="00E870BF"/>
    <w:rsid w:val="00E871BC"/>
    <w:rsid w:val="00E87A23"/>
    <w:rsid w:val="00E90229"/>
    <w:rsid w:val="00E90ABA"/>
    <w:rsid w:val="00E9108A"/>
    <w:rsid w:val="00E9166A"/>
    <w:rsid w:val="00E91899"/>
    <w:rsid w:val="00E91B74"/>
    <w:rsid w:val="00E92268"/>
    <w:rsid w:val="00E9246B"/>
    <w:rsid w:val="00E92604"/>
    <w:rsid w:val="00E927A2"/>
    <w:rsid w:val="00E928ED"/>
    <w:rsid w:val="00E936C2"/>
    <w:rsid w:val="00E93B8A"/>
    <w:rsid w:val="00E942AE"/>
    <w:rsid w:val="00E949C6"/>
    <w:rsid w:val="00E94CDE"/>
    <w:rsid w:val="00E96274"/>
    <w:rsid w:val="00E96B3D"/>
    <w:rsid w:val="00E96D36"/>
    <w:rsid w:val="00E97421"/>
    <w:rsid w:val="00E974B7"/>
    <w:rsid w:val="00E97614"/>
    <w:rsid w:val="00E97DD3"/>
    <w:rsid w:val="00EA00A6"/>
    <w:rsid w:val="00EA1134"/>
    <w:rsid w:val="00EA1489"/>
    <w:rsid w:val="00EA148E"/>
    <w:rsid w:val="00EA1A6D"/>
    <w:rsid w:val="00EA21DA"/>
    <w:rsid w:val="00EA2447"/>
    <w:rsid w:val="00EA28D1"/>
    <w:rsid w:val="00EA2AE4"/>
    <w:rsid w:val="00EA335A"/>
    <w:rsid w:val="00EA3D63"/>
    <w:rsid w:val="00EA4DF2"/>
    <w:rsid w:val="00EA4F3D"/>
    <w:rsid w:val="00EA5342"/>
    <w:rsid w:val="00EA55C1"/>
    <w:rsid w:val="00EA5AC0"/>
    <w:rsid w:val="00EA61F0"/>
    <w:rsid w:val="00EA6854"/>
    <w:rsid w:val="00EA7391"/>
    <w:rsid w:val="00EA7DEF"/>
    <w:rsid w:val="00EB0265"/>
    <w:rsid w:val="00EB05FE"/>
    <w:rsid w:val="00EB0AA6"/>
    <w:rsid w:val="00EB1273"/>
    <w:rsid w:val="00EB1636"/>
    <w:rsid w:val="00EB16A8"/>
    <w:rsid w:val="00EB1C22"/>
    <w:rsid w:val="00EB1ED2"/>
    <w:rsid w:val="00EB22C0"/>
    <w:rsid w:val="00EB2F4C"/>
    <w:rsid w:val="00EB396F"/>
    <w:rsid w:val="00EB400B"/>
    <w:rsid w:val="00EB4B77"/>
    <w:rsid w:val="00EB4F3B"/>
    <w:rsid w:val="00EB50F0"/>
    <w:rsid w:val="00EB5C40"/>
    <w:rsid w:val="00EB5DB5"/>
    <w:rsid w:val="00EB600D"/>
    <w:rsid w:val="00EB6A2C"/>
    <w:rsid w:val="00EB6B83"/>
    <w:rsid w:val="00EB6DA9"/>
    <w:rsid w:val="00EB7804"/>
    <w:rsid w:val="00EC0343"/>
    <w:rsid w:val="00EC08AD"/>
    <w:rsid w:val="00EC0F29"/>
    <w:rsid w:val="00EC1828"/>
    <w:rsid w:val="00EC1B2E"/>
    <w:rsid w:val="00EC2514"/>
    <w:rsid w:val="00EC25C1"/>
    <w:rsid w:val="00EC287C"/>
    <w:rsid w:val="00EC2AB4"/>
    <w:rsid w:val="00EC2B87"/>
    <w:rsid w:val="00EC3089"/>
    <w:rsid w:val="00EC4214"/>
    <w:rsid w:val="00EC4338"/>
    <w:rsid w:val="00EC45B6"/>
    <w:rsid w:val="00EC4966"/>
    <w:rsid w:val="00EC4ABA"/>
    <w:rsid w:val="00EC4FF0"/>
    <w:rsid w:val="00EC5263"/>
    <w:rsid w:val="00EC59EB"/>
    <w:rsid w:val="00EC6229"/>
    <w:rsid w:val="00EC6B44"/>
    <w:rsid w:val="00EC73C2"/>
    <w:rsid w:val="00EC749B"/>
    <w:rsid w:val="00EC760C"/>
    <w:rsid w:val="00EC7CED"/>
    <w:rsid w:val="00ED025B"/>
    <w:rsid w:val="00ED0417"/>
    <w:rsid w:val="00ED0541"/>
    <w:rsid w:val="00ED0A14"/>
    <w:rsid w:val="00ED0D39"/>
    <w:rsid w:val="00ED0EA7"/>
    <w:rsid w:val="00ED172E"/>
    <w:rsid w:val="00ED179E"/>
    <w:rsid w:val="00ED19D4"/>
    <w:rsid w:val="00ED1F4F"/>
    <w:rsid w:val="00ED33A3"/>
    <w:rsid w:val="00ED33F5"/>
    <w:rsid w:val="00ED353C"/>
    <w:rsid w:val="00ED36F0"/>
    <w:rsid w:val="00ED3E4C"/>
    <w:rsid w:val="00ED41B5"/>
    <w:rsid w:val="00ED41CA"/>
    <w:rsid w:val="00ED41DC"/>
    <w:rsid w:val="00ED42A0"/>
    <w:rsid w:val="00ED4972"/>
    <w:rsid w:val="00ED52E8"/>
    <w:rsid w:val="00ED5433"/>
    <w:rsid w:val="00ED5746"/>
    <w:rsid w:val="00ED63D1"/>
    <w:rsid w:val="00ED6D2B"/>
    <w:rsid w:val="00ED78DB"/>
    <w:rsid w:val="00ED7DE0"/>
    <w:rsid w:val="00EE0119"/>
    <w:rsid w:val="00EE0BC0"/>
    <w:rsid w:val="00EE0E63"/>
    <w:rsid w:val="00EE11C7"/>
    <w:rsid w:val="00EE123E"/>
    <w:rsid w:val="00EE1558"/>
    <w:rsid w:val="00EE298D"/>
    <w:rsid w:val="00EE2ABF"/>
    <w:rsid w:val="00EE2B5D"/>
    <w:rsid w:val="00EE2BB3"/>
    <w:rsid w:val="00EE3291"/>
    <w:rsid w:val="00EE343A"/>
    <w:rsid w:val="00EE37A3"/>
    <w:rsid w:val="00EE3E91"/>
    <w:rsid w:val="00EE4E61"/>
    <w:rsid w:val="00EE4F91"/>
    <w:rsid w:val="00EE6737"/>
    <w:rsid w:val="00EE6D5C"/>
    <w:rsid w:val="00EE7093"/>
    <w:rsid w:val="00EE70C3"/>
    <w:rsid w:val="00EE7375"/>
    <w:rsid w:val="00EE7465"/>
    <w:rsid w:val="00EE75B5"/>
    <w:rsid w:val="00EE7E8F"/>
    <w:rsid w:val="00EF03CC"/>
    <w:rsid w:val="00EF2215"/>
    <w:rsid w:val="00EF2CC6"/>
    <w:rsid w:val="00EF302F"/>
    <w:rsid w:val="00EF3061"/>
    <w:rsid w:val="00EF3B49"/>
    <w:rsid w:val="00EF45CF"/>
    <w:rsid w:val="00EF4B52"/>
    <w:rsid w:val="00EF5517"/>
    <w:rsid w:val="00EF596F"/>
    <w:rsid w:val="00EF5CDA"/>
    <w:rsid w:val="00EF63E5"/>
    <w:rsid w:val="00EF6DC4"/>
    <w:rsid w:val="00EF70BA"/>
    <w:rsid w:val="00F0000A"/>
    <w:rsid w:val="00F002A4"/>
    <w:rsid w:val="00F0031B"/>
    <w:rsid w:val="00F003CD"/>
    <w:rsid w:val="00F005E5"/>
    <w:rsid w:val="00F0071E"/>
    <w:rsid w:val="00F00B5D"/>
    <w:rsid w:val="00F00BE5"/>
    <w:rsid w:val="00F00CF5"/>
    <w:rsid w:val="00F013CB"/>
    <w:rsid w:val="00F018BF"/>
    <w:rsid w:val="00F01B1E"/>
    <w:rsid w:val="00F01B25"/>
    <w:rsid w:val="00F01FA5"/>
    <w:rsid w:val="00F02214"/>
    <w:rsid w:val="00F02230"/>
    <w:rsid w:val="00F0267C"/>
    <w:rsid w:val="00F03379"/>
    <w:rsid w:val="00F03425"/>
    <w:rsid w:val="00F0345E"/>
    <w:rsid w:val="00F036C6"/>
    <w:rsid w:val="00F03CE6"/>
    <w:rsid w:val="00F03FC4"/>
    <w:rsid w:val="00F03FF1"/>
    <w:rsid w:val="00F04BF2"/>
    <w:rsid w:val="00F05790"/>
    <w:rsid w:val="00F05CF9"/>
    <w:rsid w:val="00F06960"/>
    <w:rsid w:val="00F06967"/>
    <w:rsid w:val="00F07390"/>
    <w:rsid w:val="00F0755E"/>
    <w:rsid w:val="00F07E52"/>
    <w:rsid w:val="00F07E70"/>
    <w:rsid w:val="00F1061F"/>
    <w:rsid w:val="00F106E4"/>
    <w:rsid w:val="00F10B1D"/>
    <w:rsid w:val="00F10ECA"/>
    <w:rsid w:val="00F11011"/>
    <w:rsid w:val="00F1103C"/>
    <w:rsid w:val="00F115D6"/>
    <w:rsid w:val="00F1171C"/>
    <w:rsid w:val="00F119FB"/>
    <w:rsid w:val="00F11F70"/>
    <w:rsid w:val="00F12333"/>
    <w:rsid w:val="00F1255D"/>
    <w:rsid w:val="00F12F5F"/>
    <w:rsid w:val="00F137C0"/>
    <w:rsid w:val="00F13FB6"/>
    <w:rsid w:val="00F145D4"/>
    <w:rsid w:val="00F14AEC"/>
    <w:rsid w:val="00F14ED0"/>
    <w:rsid w:val="00F15ED6"/>
    <w:rsid w:val="00F15F5B"/>
    <w:rsid w:val="00F16210"/>
    <w:rsid w:val="00F164D5"/>
    <w:rsid w:val="00F1792F"/>
    <w:rsid w:val="00F17A56"/>
    <w:rsid w:val="00F20151"/>
    <w:rsid w:val="00F20474"/>
    <w:rsid w:val="00F209A2"/>
    <w:rsid w:val="00F20E9E"/>
    <w:rsid w:val="00F21AB6"/>
    <w:rsid w:val="00F223D4"/>
    <w:rsid w:val="00F223D5"/>
    <w:rsid w:val="00F2283A"/>
    <w:rsid w:val="00F22A84"/>
    <w:rsid w:val="00F22A8F"/>
    <w:rsid w:val="00F22ED6"/>
    <w:rsid w:val="00F23EB4"/>
    <w:rsid w:val="00F24BD2"/>
    <w:rsid w:val="00F2529A"/>
    <w:rsid w:val="00F25333"/>
    <w:rsid w:val="00F2565F"/>
    <w:rsid w:val="00F25780"/>
    <w:rsid w:val="00F25A72"/>
    <w:rsid w:val="00F25BCF"/>
    <w:rsid w:val="00F25F5E"/>
    <w:rsid w:val="00F260CB"/>
    <w:rsid w:val="00F26C19"/>
    <w:rsid w:val="00F27649"/>
    <w:rsid w:val="00F27A70"/>
    <w:rsid w:val="00F27B0A"/>
    <w:rsid w:val="00F30F64"/>
    <w:rsid w:val="00F3192A"/>
    <w:rsid w:val="00F31E2D"/>
    <w:rsid w:val="00F322C3"/>
    <w:rsid w:val="00F32553"/>
    <w:rsid w:val="00F32690"/>
    <w:rsid w:val="00F327CE"/>
    <w:rsid w:val="00F328CA"/>
    <w:rsid w:val="00F32E61"/>
    <w:rsid w:val="00F332ED"/>
    <w:rsid w:val="00F33552"/>
    <w:rsid w:val="00F335AB"/>
    <w:rsid w:val="00F33C8D"/>
    <w:rsid w:val="00F342BD"/>
    <w:rsid w:val="00F3444F"/>
    <w:rsid w:val="00F348D1"/>
    <w:rsid w:val="00F35955"/>
    <w:rsid w:val="00F35B8C"/>
    <w:rsid w:val="00F36249"/>
    <w:rsid w:val="00F3669D"/>
    <w:rsid w:val="00F36C33"/>
    <w:rsid w:val="00F37660"/>
    <w:rsid w:val="00F378C1"/>
    <w:rsid w:val="00F40730"/>
    <w:rsid w:val="00F40CC5"/>
    <w:rsid w:val="00F40E48"/>
    <w:rsid w:val="00F410B5"/>
    <w:rsid w:val="00F413C7"/>
    <w:rsid w:val="00F417BB"/>
    <w:rsid w:val="00F41836"/>
    <w:rsid w:val="00F41A8A"/>
    <w:rsid w:val="00F41AF4"/>
    <w:rsid w:val="00F41DE0"/>
    <w:rsid w:val="00F425B9"/>
    <w:rsid w:val="00F42FBC"/>
    <w:rsid w:val="00F4385E"/>
    <w:rsid w:val="00F438A5"/>
    <w:rsid w:val="00F43B0D"/>
    <w:rsid w:val="00F43BFB"/>
    <w:rsid w:val="00F43DB2"/>
    <w:rsid w:val="00F43F5D"/>
    <w:rsid w:val="00F4401D"/>
    <w:rsid w:val="00F44398"/>
    <w:rsid w:val="00F44758"/>
    <w:rsid w:val="00F448C3"/>
    <w:rsid w:val="00F44C53"/>
    <w:rsid w:val="00F45085"/>
    <w:rsid w:val="00F450F4"/>
    <w:rsid w:val="00F45564"/>
    <w:rsid w:val="00F4632F"/>
    <w:rsid w:val="00F463F1"/>
    <w:rsid w:val="00F465DF"/>
    <w:rsid w:val="00F46892"/>
    <w:rsid w:val="00F469B2"/>
    <w:rsid w:val="00F47200"/>
    <w:rsid w:val="00F47953"/>
    <w:rsid w:val="00F502B2"/>
    <w:rsid w:val="00F50572"/>
    <w:rsid w:val="00F505BC"/>
    <w:rsid w:val="00F507D5"/>
    <w:rsid w:val="00F50E5A"/>
    <w:rsid w:val="00F50EC6"/>
    <w:rsid w:val="00F511FB"/>
    <w:rsid w:val="00F51333"/>
    <w:rsid w:val="00F52456"/>
    <w:rsid w:val="00F5281E"/>
    <w:rsid w:val="00F531AA"/>
    <w:rsid w:val="00F536B7"/>
    <w:rsid w:val="00F537AD"/>
    <w:rsid w:val="00F53BDD"/>
    <w:rsid w:val="00F53FEE"/>
    <w:rsid w:val="00F54DAB"/>
    <w:rsid w:val="00F559D6"/>
    <w:rsid w:val="00F55A97"/>
    <w:rsid w:val="00F55CC6"/>
    <w:rsid w:val="00F55CDC"/>
    <w:rsid w:val="00F56161"/>
    <w:rsid w:val="00F561CC"/>
    <w:rsid w:val="00F563CD"/>
    <w:rsid w:val="00F56862"/>
    <w:rsid w:val="00F56FE5"/>
    <w:rsid w:val="00F575AF"/>
    <w:rsid w:val="00F57925"/>
    <w:rsid w:val="00F57A83"/>
    <w:rsid w:val="00F604F4"/>
    <w:rsid w:val="00F60A0D"/>
    <w:rsid w:val="00F60AFA"/>
    <w:rsid w:val="00F61098"/>
    <w:rsid w:val="00F6112B"/>
    <w:rsid w:val="00F62588"/>
    <w:rsid w:val="00F627EB"/>
    <w:rsid w:val="00F629BF"/>
    <w:rsid w:val="00F632EA"/>
    <w:rsid w:val="00F633D8"/>
    <w:rsid w:val="00F6431B"/>
    <w:rsid w:val="00F64B3B"/>
    <w:rsid w:val="00F64BF7"/>
    <w:rsid w:val="00F64C76"/>
    <w:rsid w:val="00F64CCC"/>
    <w:rsid w:val="00F64ED6"/>
    <w:rsid w:val="00F650D5"/>
    <w:rsid w:val="00F65747"/>
    <w:rsid w:val="00F65AD5"/>
    <w:rsid w:val="00F65F15"/>
    <w:rsid w:val="00F66072"/>
    <w:rsid w:val="00F660D2"/>
    <w:rsid w:val="00F660F7"/>
    <w:rsid w:val="00F6638A"/>
    <w:rsid w:val="00F66673"/>
    <w:rsid w:val="00F6692A"/>
    <w:rsid w:val="00F66E97"/>
    <w:rsid w:val="00F6754F"/>
    <w:rsid w:val="00F6755D"/>
    <w:rsid w:val="00F675B0"/>
    <w:rsid w:val="00F679A8"/>
    <w:rsid w:val="00F67AB4"/>
    <w:rsid w:val="00F67C61"/>
    <w:rsid w:val="00F70564"/>
    <w:rsid w:val="00F7076A"/>
    <w:rsid w:val="00F707C9"/>
    <w:rsid w:val="00F70DE9"/>
    <w:rsid w:val="00F70E58"/>
    <w:rsid w:val="00F710FE"/>
    <w:rsid w:val="00F719B2"/>
    <w:rsid w:val="00F71BEA"/>
    <w:rsid w:val="00F73DA6"/>
    <w:rsid w:val="00F73E69"/>
    <w:rsid w:val="00F73EE0"/>
    <w:rsid w:val="00F74196"/>
    <w:rsid w:val="00F744F4"/>
    <w:rsid w:val="00F74887"/>
    <w:rsid w:val="00F74A01"/>
    <w:rsid w:val="00F74A84"/>
    <w:rsid w:val="00F74AA8"/>
    <w:rsid w:val="00F74F89"/>
    <w:rsid w:val="00F75A10"/>
    <w:rsid w:val="00F75D9F"/>
    <w:rsid w:val="00F76063"/>
    <w:rsid w:val="00F76D11"/>
    <w:rsid w:val="00F77276"/>
    <w:rsid w:val="00F77A8D"/>
    <w:rsid w:val="00F77D27"/>
    <w:rsid w:val="00F77E98"/>
    <w:rsid w:val="00F80013"/>
    <w:rsid w:val="00F8095A"/>
    <w:rsid w:val="00F81308"/>
    <w:rsid w:val="00F8143C"/>
    <w:rsid w:val="00F81441"/>
    <w:rsid w:val="00F81476"/>
    <w:rsid w:val="00F81681"/>
    <w:rsid w:val="00F81731"/>
    <w:rsid w:val="00F81E11"/>
    <w:rsid w:val="00F8260F"/>
    <w:rsid w:val="00F831F9"/>
    <w:rsid w:val="00F83228"/>
    <w:rsid w:val="00F834A7"/>
    <w:rsid w:val="00F847A0"/>
    <w:rsid w:val="00F85ABF"/>
    <w:rsid w:val="00F85D19"/>
    <w:rsid w:val="00F860A3"/>
    <w:rsid w:val="00F864FC"/>
    <w:rsid w:val="00F86808"/>
    <w:rsid w:val="00F87387"/>
    <w:rsid w:val="00F8741E"/>
    <w:rsid w:val="00F8760E"/>
    <w:rsid w:val="00F87620"/>
    <w:rsid w:val="00F8773E"/>
    <w:rsid w:val="00F9082B"/>
    <w:rsid w:val="00F90A1D"/>
    <w:rsid w:val="00F9142D"/>
    <w:rsid w:val="00F915A4"/>
    <w:rsid w:val="00F91EF0"/>
    <w:rsid w:val="00F92104"/>
    <w:rsid w:val="00F9227B"/>
    <w:rsid w:val="00F925CC"/>
    <w:rsid w:val="00F92733"/>
    <w:rsid w:val="00F92E2B"/>
    <w:rsid w:val="00F93676"/>
    <w:rsid w:val="00F93A3D"/>
    <w:rsid w:val="00F93C72"/>
    <w:rsid w:val="00F93C99"/>
    <w:rsid w:val="00F93DCD"/>
    <w:rsid w:val="00F93EC3"/>
    <w:rsid w:val="00F94009"/>
    <w:rsid w:val="00F9412A"/>
    <w:rsid w:val="00F941A5"/>
    <w:rsid w:val="00F9466A"/>
    <w:rsid w:val="00F94C16"/>
    <w:rsid w:val="00F94D3F"/>
    <w:rsid w:val="00F94EB4"/>
    <w:rsid w:val="00F9591A"/>
    <w:rsid w:val="00F9689E"/>
    <w:rsid w:val="00F96F26"/>
    <w:rsid w:val="00F970A3"/>
    <w:rsid w:val="00F97F91"/>
    <w:rsid w:val="00FA03A6"/>
    <w:rsid w:val="00FA03D6"/>
    <w:rsid w:val="00FA066D"/>
    <w:rsid w:val="00FA0956"/>
    <w:rsid w:val="00FA0FB3"/>
    <w:rsid w:val="00FA1118"/>
    <w:rsid w:val="00FA1126"/>
    <w:rsid w:val="00FA1816"/>
    <w:rsid w:val="00FA1B03"/>
    <w:rsid w:val="00FA24F3"/>
    <w:rsid w:val="00FA263E"/>
    <w:rsid w:val="00FA2798"/>
    <w:rsid w:val="00FA3679"/>
    <w:rsid w:val="00FA3A4D"/>
    <w:rsid w:val="00FA41F1"/>
    <w:rsid w:val="00FA42BC"/>
    <w:rsid w:val="00FA4635"/>
    <w:rsid w:val="00FA509C"/>
    <w:rsid w:val="00FA5180"/>
    <w:rsid w:val="00FA58CA"/>
    <w:rsid w:val="00FA5C21"/>
    <w:rsid w:val="00FA5FCE"/>
    <w:rsid w:val="00FA655C"/>
    <w:rsid w:val="00FA6B30"/>
    <w:rsid w:val="00FA6C13"/>
    <w:rsid w:val="00FA761A"/>
    <w:rsid w:val="00FA76A5"/>
    <w:rsid w:val="00FA786A"/>
    <w:rsid w:val="00FA7DA0"/>
    <w:rsid w:val="00FB0515"/>
    <w:rsid w:val="00FB0EE9"/>
    <w:rsid w:val="00FB0EFB"/>
    <w:rsid w:val="00FB0F8A"/>
    <w:rsid w:val="00FB11F1"/>
    <w:rsid w:val="00FB1300"/>
    <w:rsid w:val="00FB19BF"/>
    <w:rsid w:val="00FB20F3"/>
    <w:rsid w:val="00FB252E"/>
    <w:rsid w:val="00FB2EB5"/>
    <w:rsid w:val="00FB2ED0"/>
    <w:rsid w:val="00FB30F6"/>
    <w:rsid w:val="00FB34E4"/>
    <w:rsid w:val="00FB38ED"/>
    <w:rsid w:val="00FB3DE3"/>
    <w:rsid w:val="00FB3F26"/>
    <w:rsid w:val="00FB4C8E"/>
    <w:rsid w:val="00FB4D15"/>
    <w:rsid w:val="00FB4D9E"/>
    <w:rsid w:val="00FB4E84"/>
    <w:rsid w:val="00FB588A"/>
    <w:rsid w:val="00FB6302"/>
    <w:rsid w:val="00FB68DD"/>
    <w:rsid w:val="00FB7718"/>
    <w:rsid w:val="00FB7F99"/>
    <w:rsid w:val="00FC02F4"/>
    <w:rsid w:val="00FC1419"/>
    <w:rsid w:val="00FC2683"/>
    <w:rsid w:val="00FC2810"/>
    <w:rsid w:val="00FC299F"/>
    <w:rsid w:val="00FC3213"/>
    <w:rsid w:val="00FC3455"/>
    <w:rsid w:val="00FC3C6C"/>
    <w:rsid w:val="00FC48C6"/>
    <w:rsid w:val="00FC4A91"/>
    <w:rsid w:val="00FC4E0B"/>
    <w:rsid w:val="00FC5B7C"/>
    <w:rsid w:val="00FC6141"/>
    <w:rsid w:val="00FC623A"/>
    <w:rsid w:val="00FC646D"/>
    <w:rsid w:val="00FC65E5"/>
    <w:rsid w:val="00FC665B"/>
    <w:rsid w:val="00FC6C78"/>
    <w:rsid w:val="00FC6CEF"/>
    <w:rsid w:val="00FC6E1D"/>
    <w:rsid w:val="00FC740E"/>
    <w:rsid w:val="00FD02CC"/>
    <w:rsid w:val="00FD1685"/>
    <w:rsid w:val="00FD1AA4"/>
    <w:rsid w:val="00FD1BD4"/>
    <w:rsid w:val="00FD1EA8"/>
    <w:rsid w:val="00FD2DBC"/>
    <w:rsid w:val="00FD2FA7"/>
    <w:rsid w:val="00FD3B87"/>
    <w:rsid w:val="00FD4B79"/>
    <w:rsid w:val="00FD5465"/>
    <w:rsid w:val="00FD58EF"/>
    <w:rsid w:val="00FD5BC9"/>
    <w:rsid w:val="00FD620D"/>
    <w:rsid w:val="00FD64B8"/>
    <w:rsid w:val="00FD667B"/>
    <w:rsid w:val="00FD7165"/>
    <w:rsid w:val="00FE00CF"/>
    <w:rsid w:val="00FE013B"/>
    <w:rsid w:val="00FE0207"/>
    <w:rsid w:val="00FE1303"/>
    <w:rsid w:val="00FE1ABB"/>
    <w:rsid w:val="00FE291B"/>
    <w:rsid w:val="00FE330C"/>
    <w:rsid w:val="00FE3B4E"/>
    <w:rsid w:val="00FE40C1"/>
    <w:rsid w:val="00FE410C"/>
    <w:rsid w:val="00FE4DBC"/>
    <w:rsid w:val="00FE50B4"/>
    <w:rsid w:val="00FE546C"/>
    <w:rsid w:val="00FE54AE"/>
    <w:rsid w:val="00FE5671"/>
    <w:rsid w:val="00FE59BB"/>
    <w:rsid w:val="00FE5D2A"/>
    <w:rsid w:val="00FE5E25"/>
    <w:rsid w:val="00FE6AE8"/>
    <w:rsid w:val="00FE70D5"/>
    <w:rsid w:val="00FE7127"/>
    <w:rsid w:val="00FE7FB9"/>
    <w:rsid w:val="00FF041F"/>
    <w:rsid w:val="00FF0C67"/>
    <w:rsid w:val="00FF0E6A"/>
    <w:rsid w:val="00FF0F69"/>
    <w:rsid w:val="00FF1623"/>
    <w:rsid w:val="00FF1E96"/>
    <w:rsid w:val="00FF21EF"/>
    <w:rsid w:val="00FF2A34"/>
    <w:rsid w:val="00FF2BA8"/>
    <w:rsid w:val="00FF364B"/>
    <w:rsid w:val="00FF3803"/>
    <w:rsid w:val="00FF4871"/>
    <w:rsid w:val="00FF4A4D"/>
    <w:rsid w:val="00FF556E"/>
    <w:rsid w:val="00FF5630"/>
    <w:rsid w:val="00FF5813"/>
    <w:rsid w:val="00FF5E54"/>
    <w:rsid w:val="00FF5E85"/>
    <w:rsid w:val="00FF680F"/>
    <w:rsid w:val="00FF68D3"/>
    <w:rsid w:val="00FF69CB"/>
    <w:rsid w:val="00FF6AD9"/>
    <w:rsid w:val="00FF6B4E"/>
    <w:rsid w:val="00FF7C7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2F9390-8713-499C-A610-9FFE0F697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0"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CE2619"/>
    <w:pPr>
      <w:bidi/>
      <w:spacing w:after="0" w:line="312" w:lineRule="auto"/>
    </w:pPr>
  </w:style>
  <w:style w:type="paragraph" w:styleId="1">
    <w:name w:val="heading 1"/>
    <w:basedOn w:val="a0"/>
    <w:next w:val="a0"/>
    <w:link w:val="11"/>
    <w:uiPriority w:val="1"/>
    <w:qFormat/>
    <w:rsid w:val="00F41DE0"/>
    <w:pPr>
      <w:keepNext/>
      <w:keepLines/>
      <w:jc w:val="center"/>
      <w:outlineLvl w:val="0"/>
    </w:pPr>
    <w:rPr>
      <w:rFonts w:eastAsiaTheme="majorEastAsia"/>
      <w:bCs/>
      <w:szCs w:val="36"/>
      <w:u w:val="single"/>
    </w:rPr>
  </w:style>
  <w:style w:type="paragraph" w:styleId="2">
    <w:name w:val="heading 2"/>
    <w:basedOn w:val="a0"/>
    <w:next w:val="a0"/>
    <w:link w:val="22"/>
    <w:qFormat/>
    <w:rsid w:val="00F41DE0"/>
    <w:pPr>
      <w:keepNext/>
      <w:keepLines/>
      <w:spacing w:before="480"/>
      <w:jc w:val="center"/>
      <w:outlineLvl w:val="1"/>
    </w:pPr>
    <w:rPr>
      <w:rFonts w:eastAsiaTheme="majorEastAsia"/>
      <w:bCs/>
      <w:szCs w:val="32"/>
    </w:rPr>
  </w:style>
  <w:style w:type="paragraph" w:styleId="3">
    <w:name w:val="heading 3"/>
    <w:basedOn w:val="a0"/>
    <w:next w:val="a0"/>
    <w:link w:val="32"/>
    <w:uiPriority w:val="1"/>
    <w:qFormat/>
    <w:rsid w:val="00F41DE0"/>
    <w:pPr>
      <w:keepNext/>
      <w:keepLines/>
      <w:spacing w:before="240"/>
      <w:outlineLvl w:val="2"/>
    </w:pPr>
    <w:rPr>
      <w:rFonts w:eastAsiaTheme="majorEastAsia"/>
      <w:bCs/>
      <w:szCs w:val="28"/>
      <w:u w:val="single"/>
    </w:rPr>
  </w:style>
  <w:style w:type="paragraph" w:styleId="4">
    <w:name w:val="heading 4"/>
    <w:basedOn w:val="a0"/>
    <w:next w:val="a0"/>
    <w:link w:val="41"/>
    <w:uiPriority w:val="1"/>
    <w:qFormat/>
    <w:rsid w:val="00F41DE0"/>
    <w:pPr>
      <w:keepNext/>
      <w:keepLines/>
      <w:spacing w:before="240"/>
      <w:outlineLvl w:val="3"/>
    </w:pPr>
    <w:rPr>
      <w:rFonts w:eastAsiaTheme="majorEastAsia"/>
      <w:bCs/>
      <w:szCs w:val="26"/>
    </w:rPr>
  </w:style>
  <w:style w:type="paragraph" w:styleId="5">
    <w:name w:val="heading 5"/>
    <w:basedOn w:val="a0"/>
    <w:next w:val="a0"/>
    <w:link w:val="51"/>
    <w:uiPriority w:val="1"/>
    <w:qFormat/>
    <w:rsid w:val="00F41DE0"/>
    <w:pPr>
      <w:keepNext/>
      <w:keepLines/>
      <w:outlineLvl w:val="4"/>
    </w:pPr>
    <w:rPr>
      <w:rFonts w:eastAsiaTheme="majorEastAsia"/>
      <w:bCs/>
      <w:spacing w:val="40"/>
    </w:rPr>
  </w:style>
  <w:style w:type="paragraph" w:styleId="6">
    <w:name w:val="heading 6"/>
    <w:basedOn w:val="a0"/>
    <w:next w:val="a0"/>
    <w:link w:val="61"/>
    <w:uiPriority w:val="1"/>
    <w:qFormat/>
    <w:rsid w:val="00F41DE0"/>
    <w:pPr>
      <w:keepNext/>
      <w:keepLines/>
      <w:outlineLvl w:val="5"/>
    </w:pPr>
    <w:rPr>
      <w:rFonts w:eastAsiaTheme="majorEastAsia"/>
      <w:spacing w:val="40"/>
    </w:rPr>
  </w:style>
  <w:style w:type="paragraph" w:styleId="70">
    <w:name w:val="heading 7"/>
    <w:basedOn w:val="a0"/>
    <w:next w:val="a0"/>
    <w:link w:val="71"/>
    <w:uiPriority w:val="1"/>
    <w:qFormat/>
    <w:rsid w:val="00F41DE0"/>
    <w:pPr>
      <w:keepNext/>
      <w:keepLines/>
      <w:outlineLvl w:val="6"/>
    </w:pPr>
    <w:rPr>
      <w:rFonts w:eastAsiaTheme="majorEastAsia"/>
      <w:bCs/>
      <w:spacing w:val="40"/>
    </w:rPr>
  </w:style>
  <w:style w:type="paragraph" w:styleId="8">
    <w:name w:val="heading 8"/>
    <w:basedOn w:val="a0"/>
    <w:next w:val="a0"/>
    <w:link w:val="81"/>
    <w:uiPriority w:val="1"/>
    <w:qFormat/>
    <w:rsid w:val="00F41DE0"/>
    <w:pPr>
      <w:keepNext/>
      <w:keepLines/>
      <w:outlineLvl w:val="7"/>
    </w:pPr>
    <w:rPr>
      <w:rFonts w:eastAsiaTheme="majorEastAsia"/>
      <w:spacing w:val="40"/>
    </w:rPr>
  </w:style>
  <w:style w:type="paragraph" w:styleId="9">
    <w:name w:val="heading 9"/>
    <w:basedOn w:val="a0"/>
    <w:next w:val="a0"/>
    <w:link w:val="92"/>
    <w:uiPriority w:val="9"/>
    <w:semiHidden/>
    <w:unhideWhenUsed/>
    <w:rsid w:val="00BA23A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כותרת 1 תו1"/>
    <w:basedOn w:val="a1"/>
    <w:link w:val="1"/>
    <w:uiPriority w:val="1"/>
    <w:rsid w:val="00F41DE0"/>
    <w:rPr>
      <w:rFonts w:eastAsiaTheme="majorEastAsia"/>
      <w:bCs/>
      <w:szCs w:val="36"/>
      <w:u w:val="single"/>
    </w:rPr>
  </w:style>
  <w:style w:type="character" w:customStyle="1" w:styleId="22">
    <w:name w:val="כותרת 2 תו2"/>
    <w:basedOn w:val="a1"/>
    <w:link w:val="2"/>
    <w:uiPriority w:val="1"/>
    <w:rsid w:val="00F41DE0"/>
    <w:rPr>
      <w:rFonts w:eastAsiaTheme="majorEastAsia"/>
      <w:bCs/>
      <w:szCs w:val="32"/>
    </w:rPr>
  </w:style>
  <w:style w:type="character" w:customStyle="1" w:styleId="32">
    <w:name w:val="כותרת 3 תו2"/>
    <w:basedOn w:val="a1"/>
    <w:link w:val="3"/>
    <w:uiPriority w:val="1"/>
    <w:rsid w:val="00F41DE0"/>
    <w:rPr>
      <w:rFonts w:eastAsiaTheme="majorEastAsia"/>
      <w:bCs/>
      <w:szCs w:val="28"/>
      <w:u w:val="single"/>
    </w:rPr>
  </w:style>
  <w:style w:type="character" w:customStyle="1" w:styleId="41">
    <w:name w:val="כותרת 4 תו1"/>
    <w:basedOn w:val="a1"/>
    <w:link w:val="4"/>
    <w:uiPriority w:val="1"/>
    <w:rsid w:val="00F41DE0"/>
    <w:rPr>
      <w:rFonts w:eastAsiaTheme="majorEastAsia"/>
      <w:bCs/>
      <w:szCs w:val="26"/>
    </w:rPr>
  </w:style>
  <w:style w:type="character" w:customStyle="1" w:styleId="51">
    <w:name w:val="כותרת 5 תו1"/>
    <w:basedOn w:val="a1"/>
    <w:link w:val="5"/>
    <w:uiPriority w:val="1"/>
    <w:rsid w:val="00F41DE0"/>
    <w:rPr>
      <w:rFonts w:eastAsiaTheme="majorEastAsia"/>
      <w:bCs/>
      <w:spacing w:val="40"/>
    </w:rPr>
  </w:style>
  <w:style w:type="character" w:customStyle="1" w:styleId="61">
    <w:name w:val="כותרת 6 תו1"/>
    <w:basedOn w:val="a1"/>
    <w:link w:val="6"/>
    <w:uiPriority w:val="1"/>
    <w:rsid w:val="00F41DE0"/>
    <w:rPr>
      <w:rFonts w:eastAsiaTheme="majorEastAsia"/>
      <w:spacing w:val="40"/>
    </w:rPr>
  </w:style>
  <w:style w:type="character" w:customStyle="1" w:styleId="71">
    <w:name w:val="כותרת 7 תו1"/>
    <w:basedOn w:val="a1"/>
    <w:link w:val="70"/>
    <w:uiPriority w:val="1"/>
    <w:rsid w:val="00F41DE0"/>
    <w:rPr>
      <w:rFonts w:eastAsiaTheme="majorEastAsia"/>
      <w:bCs/>
      <w:spacing w:val="40"/>
    </w:rPr>
  </w:style>
  <w:style w:type="character" w:customStyle="1" w:styleId="81">
    <w:name w:val="כותרת 8 תו1"/>
    <w:basedOn w:val="a1"/>
    <w:link w:val="8"/>
    <w:uiPriority w:val="1"/>
    <w:rsid w:val="00F41DE0"/>
    <w:rPr>
      <w:rFonts w:eastAsiaTheme="majorEastAsia"/>
      <w:spacing w:val="40"/>
    </w:rPr>
  </w:style>
  <w:style w:type="paragraph" w:styleId="a4">
    <w:name w:val="header"/>
    <w:basedOn w:val="a0"/>
    <w:link w:val="10"/>
    <w:uiPriority w:val="99"/>
    <w:unhideWhenUsed/>
    <w:rsid w:val="000501A4"/>
    <w:pPr>
      <w:tabs>
        <w:tab w:val="center" w:pos="4153"/>
        <w:tab w:val="right" w:pos="8306"/>
      </w:tabs>
      <w:spacing w:line="240" w:lineRule="auto"/>
    </w:pPr>
  </w:style>
  <w:style w:type="character" w:customStyle="1" w:styleId="10">
    <w:name w:val="כותרת עליונה תו1"/>
    <w:basedOn w:val="a1"/>
    <w:link w:val="a4"/>
    <w:uiPriority w:val="99"/>
    <w:rsid w:val="000501A4"/>
  </w:style>
  <w:style w:type="paragraph" w:styleId="a5">
    <w:name w:val="footer"/>
    <w:aliases w:val="כותרת תחתונה תו תו תו,כותרת תחתונה תו תו תו תו תו"/>
    <w:basedOn w:val="a0"/>
    <w:link w:val="20"/>
    <w:uiPriority w:val="99"/>
    <w:unhideWhenUsed/>
    <w:qFormat/>
    <w:rsid w:val="000501A4"/>
    <w:pPr>
      <w:tabs>
        <w:tab w:val="center" w:pos="4153"/>
        <w:tab w:val="right" w:pos="8306"/>
      </w:tabs>
      <w:spacing w:line="240" w:lineRule="auto"/>
    </w:pPr>
  </w:style>
  <w:style w:type="character" w:customStyle="1" w:styleId="20">
    <w:name w:val="כותרת תחתונה תו2"/>
    <w:aliases w:val="כותרת תחתונה תו תו תו תו,כותרת תחתונה תו תו תו תו תו תו"/>
    <w:basedOn w:val="a1"/>
    <w:link w:val="a5"/>
    <w:uiPriority w:val="99"/>
    <w:rsid w:val="000501A4"/>
  </w:style>
  <w:style w:type="paragraph" w:styleId="a6">
    <w:name w:val="Date"/>
    <w:basedOn w:val="a0"/>
    <w:next w:val="a0"/>
    <w:link w:val="21"/>
    <w:uiPriority w:val="99"/>
    <w:unhideWhenUsed/>
    <w:rsid w:val="000501A4"/>
    <w:pPr>
      <w:spacing w:before="120" w:line="240" w:lineRule="auto"/>
    </w:pPr>
  </w:style>
  <w:style w:type="character" w:customStyle="1" w:styleId="21">
    <w:name w:val="תאריך תו2"/>
    <w:basedOn w:val="a1"/>
    <w:link w:val="a6"/>
    <w:uiPriority w:val="99"/>
    <w:rsid w:val="000501A4"/>
  </w:style>
  <w:style w:type="paragraph" w:styleId="a7">
    <w:name w:val="footnote text"/>
    <w:aliases w:val=" Char,FOOTNOTES,Footnote Text - Sharp,Footnote Text - Sharp Char,Footnote Text - Sharp Char Char,Footnote Text Char Char Char Char Char,Footnote reference,Sharp - Footnote Text,Sharp - Footnote Text1 Char,fn,footnote text,single space"/>
    <w:basedOn w:val="a0"/>
    <w:link w:val="30"/>
    <w:uiPriority w:val="99"/>
    <w:qFormat/>
    <w:rsid w:val="00574579"/>
    <w:pPr>
      <w:spacing w:line="240" w:lineRule="auto"/>
      <w:ind w:left="720" w:hanging="720"/>
    </w:pPr>
    <w:rPr>
      <w:szCs w:val="20"/>
    </w:rPr>
  </w:style>
  <w:style w:type="character" w:customStyle="1" w:styleId="30">
    <w:name w:val="טקסט הערת שוליים תו3"/>
    <w:aliases w:val=" Char תו1,FOOTNOTES תו1,Footnote Text - Sharp תו1,Footnote Text - Sharp Char תו1,Footnote Text - Sharp Char Char תו1,Footnote Text Char Char Char Char Char תו1,Footnote reference תו1,Sharp - Footnote Text תו1,fn תו1,footnote text תו"/>
    <w:basedOn w:val="a1"/>
    <w:link w:val="a7"/>
    <w:uiPriority w:val="99"/>
    <w:rsid w:val="00574579"/>
    <w:rPr>
      <w:szCs w:val="20"/>
    </w:rPr>
  </w:style>
  <w:style w:type="character" w:styleId="a8">
    <w:name w:val="footnote reference"/>
    <w:aliases w:val="Footnote Reference_0,Footnote Reference_0_0,Footnote Reference_0_0_0,Footnote Reference_1,Footnote Reference_1_0,Footnote Reference_2,Footnote Reference_2_0,Footnote Reference_3,Footnote Reference_4,fr,הפניה להערת שוליים חדש,מ"/>
    <w:basedOn w:val="a1"/>
    <w:uiPriority w:val="99"/>
    <w:unhideWhenUsed/>
    <w:rsid w:val="00566629"/>
    <w:rPr>
      <w:vertAlign w:val="superscript"/>
    </w:rPr>
  </w:style>
  <w:style w:type="table" w:styleId="a9">
    <w:name w:val="Table Grid"/>
    <w:basedOn w:val="a2"/>
    <w:uiPriority w:val="59"/>
    <w:rsid w:val="00F4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1">
    <w:name w:val="Grid Table 2 Accent 1"/>
    <w:basedOn w:val="a2"/>
    <w:uiPriority w:val="47"/>
    <w:rsid w:val="006A5837"/>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a">
    <w:name w:val="Balloon Text"/>
    <w:basedOn w:val="a0"/>
    <w:link w:val="12"/>
    <w:uiPriority w:val="99"/>
    <w:unhideWhenUsed/>
    <w:rsid w:val="00AF6305"/>
    <w:pPr>
      <w:spacing w:line="240" w:lineRule="auto"/>
    </w:pPr>
    <w:rPr>
      <w:rFonts w:ascii="Tahoma" w:hAnsi="Tahoma" w:cs="Tahoma"/>
      <w:sz w:val="18"/>
      <w:szCs w:val="18"/>
    </w:rPr>
  </w:style>
  <w:style w:type="character" w:customStyle="1" w:styleId="12">
    <w:name w:val="טקסט בלונים תו1"/>
    <w:basedOn w:val="a1"/>
    <w:link w:val="aa"/>
    <w:uiPriority w:val="99"/>
    <w:rsid w:val="00AF6305"/>
    <w:rPr>
      <w:rFonts w:ascii="Tahoma" w:hAnsi="Tahoma" w:cs="Tahoma"/>
      <w:sz w:val="18"/>
      <w:szCs w:val="18"/>
    </w:rPr>
  </w:style>
  <w:style w:type="character" w:styleId="ab">
    <w:name w:val="annotation reference"/>
    <w:basedOn w:val="a1"/>
    <w:uiPriority w:val="99"/>
    <w:unhideWhenUsed/>
    <w:rsid w:val="005F492A"/>
    <w:rPr>
      <w:sz w:val="16"/>
      <w:szCs w:val="16"/>
    </w:rPr>
  </w:style>
  <w:style w:type="paragraph" w:styleId="ac">
    <w:name w:val="annotation text"/>
    <w:basedOn w:val="a0"/>
    <w:link w:val="13"/>
    <w:uiPriority w:val="99"/>
    <w:unhideWhenUsed/>
    <w:rsid w:val="005F492A"/>
    <w:pPr>
      <w:spacing w:line="240" w:lineRule="auto"/>
    </w:pPr>
    <w:rPr>
      <w:szCs w:val="20"/>
    </w:rPr>
  </w:style>
  <w:style w:type="character" w:customStyle="1" w:styleId="13">
    <w:name w:val="טקסט הערה תו1"/>
    <w:basedOn w:val="a1"/>
    <w:link w:val="ac"/>
    <w:uiPriority w:val="99"/>
    <w:rsid w:val="005F492A"/>
    <w:rPr>
      <w:szCs w:val="20"/>
    </w:rPr>
  </w:style>
  <w:style w:type="paragraph" w:styleId="ad">
    <w:name w:val="annotation subject"/>
    <w:basedOn w:val="ac"/>
    <w:next w:val="ac"/>
    <w:link w:val="23"/>
    <w:uiPriority w:val="99"/>
    <w:unhideWhenUsed/>
    <w:rsid w:val="005F492A"/>
    <w:rPr>
      <w:b/>
      <w:bCs/>
    </w:rPr>
  </w:style>
  <w:style w:type="character" w:customStyle="1" w:styleId="23">
    <w:name w:val="נושא הערה תו2"/>
    <w:basedOn w:val="13"/>
    <w:link w:val="ad"/>
    <w:uiPriority w:val="99"/>
    <w:rsid w:val="005F492A"/>
    <w:rPr>
      <w:b/>
      <w:bCs/>
      <w:szCs w:val="20"/>
    </w:rPr>
  </w:style>
  <w:style w:type="paragraph" w:styleId="ae">
    <w:name w:val="List Paragraph"/>
    <w:aliases w:val="Bullet List,FooterText,LP1,List Paragraph1,List Paragraph_0,List Paragraph_1,List Paragraph_2,Paragraphe de liste1,lp1,numbered,style 2,פיסקת bullets"/>
    <w:basedOn w:val="a0"/>
    <w:link w:val="af"/>
    <w:uiPriority w:val="34"/>
    <w:qFormat/>
    <w:rsid w:val="003F6D65"/>
    <w:pPr>
      <w:ind w:left="720"/>
      <w:contextualSpacing/>
    </w:pPr>
  </w:style>
  <w:style w:type="paragraph" w:customStyle="1" w:styleId="7310">
    <w:name w:val="73א כותרת 1"/>
    <w:qFormat/>
    <w:rsid w:val="0078358A"/>
    <w:pPr>
      <w:keepNext/>
      <w:keepLines/>
      <w:pageBreakBefore/>
      <w:widowControl w:val="0"/>
      <w:spacing w:before="360" w:after="240" w:line="440" w:lineRule="exact"/>
      <w:jc w:val="center"/>
      <w:outlineLvl w:val="0"/>
    </w:pPr>
    <w:rPr>
      <w:rFonts w:ascii="Tahoma" w:hAnsi="Tahoma" w:cs="Tahoma"/>
      <w:b/>
      <w:bCs/>
      <w:noProof/>
      <w:color w:val="00305F"/>
      <w:sz w:val="40"/>
      <w:szCs w:val="36"/>
    </w:rPr>
  </w:style>
  <w:style w:type="paragraph" w:customStyle="1" w:styleId="732">
    <w:name w:val="73א פעולות ביקורת"/>
    <w:basedOn w:val="210"/>
    <w:qFormat/>
    <w:rsid w:val="00F07E70"/>
    <w:pPr>
      <w:pBdr>
        <w:top w:val="double" w:sz="12" w:space="5" w:color="auto"/>
      </w:pBdr>
      <w:spacing w:before="360"/>
      <w:outlineLvl w:val="9"/>
    </w:pPr>
    <w:rPr>
      <w:b/>
      <w:noProof/>
      <w:sz w:val="31"/>
      <w:szCs w:val="31"/>
      <w:lang w:val="he-IL"/>
    </w:rPr>
  </w:style>
  <w:style w:type="character" w:styleId="Hyperlink">
    <w:name w:val="Hyperlink"/>
    <w:basedOn w:val="a1"/>
    <w:uiPriority w:val="99"/>
    <w:unhideWhenUsed/>
    <w:rsid w:val="005A4042"/>
    <w:rPr>
      <w:color w:val="6B9F25" w:themeColor="hyperlink"/>
      <w:u w:val="single"/>
    </w:rPr>
  </w:style>
  <w:style w:type="paragraph" w:customStyle="1" w:styleId="p00">
    <w:name w:val="p00"/>
    <w:basedOn w:val="a0"/>
    <w:rsid w:val="00C24503"/>
    <w:pPr>
      <w:bidi w:val="0"/>
      <w:spacing w:before="100" w:beforeAutospacing="1" w:after="100" w:afterAutospacing="1" w:line="240" w:lineRule="auto"/>
      <w:jc w:val="left"/>
    </w:pPr>
    <w:rPr>
      <w:rFonts w:eastAsia="Times New Roman" w:cs="Times New Roman"/>
      <w:sz w:val="24"/>
    </w:rPr>
  </w:style>
  <w:style w:type="paragraph" w:styleId="af0">
    <w:name w:val="Revision"/>
    <w:hidden/>
    <w:uiPriority w:val="99"/>
    <w:semiHidden/>
    <w:rsid w:val="00AF6A68"/>
    <w:pPr>
      <w:spacing w:after="0" w:line="240" w:lineRule="auto"/>
      <w:jc w:val="left"/>
    </w:pPr>
  </w:style>
  <w:style w:type="character" w:customStyle="1" w:styleId="default">
    <w:name w:val="default"/>
    <w:basedOn w:val="a1"/>
    <w:rsid w:val="00C24503"/>
  </w:style>
  <w:style w:type="paragraph" w:customStyle="1" w:styleId="NAME">
    <w:name w:val="NAME"/>
    <w:basedOn w:val="a0"/>
    <w:rsid w:val="00D5266D"/>
    <w:pPr>
      <w:spacing w:before="2000" w:after="120"/>
      <w:jc w:val="center"/>
      <w:outlineLvl w:val="0"/>
    </w:pPr>
    <w:rPr>
      <w:rFonts w:ascii="Tahoma" w:eastAsia="Times New Roman" w:hAnsi="Tahoma" w:cs="Tahoma"/>
      <w:color w:val="2A2AA6"/>
      <w:sz w:val="42"/>
      <w:szCs w:val="42"/>
      <w:lang w:eastAsia="he-IL"/>
    </w:rPr>
  </w:style>
  <w:style w:type="paragraph" w:customStyle="1" w:styleId="P000">
    <w:name w:val="P00"/>
    <w:link w:val="P001"/>
    <w:rsid w:val="00C24503"/>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pPr>
    <w:rPr>
      <w:rFonts w:eastAsia="Times New Roman" w:cs="Times New Roman"/>
      <w:noProof/>
      <w:szCs w:val="26"/>
      <w:lang w:eastAsia="he-IL"/>
    </w:rPr>
  </w:style>
  <w:style w:type="character" w:customStyle="1" w:styleId="733">
    <w:name w:val="כותרת 7 תו3"/>
    <w:basedOn w:val="a1"/>
    <w:uiPriority w:val="1"/>
    <w:rsid w:val="00456AD9"/>
    <w:rPr>
      <w:rFonts w:asciiTheme="majorHAnsi" w:eastAsiaTheme="majorEastAsia" w:hAnsiTheme="majorHAnsi" w:cstheme="majorBidi"/>
      <w:b/>
      <w:bCs/>
      <w:color w:val="134163" w:themeColor="accent2" w:themeShade="80"/>
      <w:sz w:val="22"/>
      <w:szCs w:val="22"/>
    </w:rPr>
  </w:style>
  <w:style w:type="character" w:customStyle="1" w:styleId="P001">
    <w:name w:val="P00 תו"/>
    <w:link w:val="P000"/>
    <w:rsid w:val="00C24503"/>
    <w:rPr>
      <w:rFonts w:eastAsia="Times New Roman" w:cs="Times New Roman"/>
      <w:noProof/>
      <w:szCs w:val="26"/>
      <w:lang w:eastAsia="he-IL"/>
    </w:rPr>
  </w:style>
  <w:style w:type="character" w:customStyle="1" w:styleId="734">
    <w:name w:val="73א קוביה רצה תו"/>
    <w:basedOn w:val="a1"/>
    <w:link w:val="735"/>
    <w:rsid w:val="004B039B"/>
    <w:rPr>
      <w:rFonts w:ascii="Tahoma" w:eastAsia="Times New Roman" w:hAnsi="Tahoma" w:cs="Tahoma"/>
      <w:color w:val="0D0D0D" w:themeColor="text1" w:themeTint="F2"/>
      <w:sz w:val="18"/>
      <w:szCs w:val="18"/>
      <w:shd w:val="solid" w:color="CEEAF5" w:fill="auto"/>
      <w:lang w:eastAsia="he-IL"/>
    </w:rPr>
  </w:style>
  <w:style w:type="table" w:customStyle="1" w:styleId="14">
    <w:name w:val="רשת טבלה1"/>
    <w:basedOn w:val="a2"/>
    <w:next w:val="a9"/>
    <w:uiPriority w:val="59"/>
    <w:rsid w:val="008B17A0"/>
    <w:pPr>
      <w:spacing w:after="0" w:line="240" w:lineRule="auto"/>
      <w:jc w:val="left"/>
    </w:pPr>
    <w:rPr>
      <w:rFonts w:eastAsia="Times New Roman"/>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EW-BlueTable">
    <w:name w:val="NEW-Blue Table"/>
    <w:basedOn w:val="4-1"/>
    <w:uiPriority w:val="99"/>
    <w:rsid w:val="00DC345A"/>
    <w:pPr>
      <w:spacing w:before="120" w:after="120"/>
      <w:jc w:val="left"/>
    </w:pPr>
    <w:rPr>
      <w:rFonts w:ascii="Almoni ML Regular AAA" w:eastAsia="Almoni ML Regular AAA" w:hAnsi="Almoni ML Regular AAA" w:cs="Almoni ML Regular AAA"/>
      <w:sz w:val="18"/>
      <w:szCs w:val="18"/>
    </w:rPr>
    <w:tblPr>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pPr>
        <w:jc w:val="left"/>
      </w:pPr>
      <w:rPr>
        <w:rFonts w:ascii="Almoni ML Regular AAA" w:eastAsia="Almoni ML Regular AAA" w:hAnsi="Almoni ML Regular AAA" w:cs="Almoni ML Regular AAA"/>
        <w:b/>
        <w:bCs/>
        <w:iCs w:val="0"/>
        <w:color w:val="auto"/>
        <w:sz w:val="18"/>
        <w:szCs w:val="18"/>
      </w:rPr>
      <w:tblPr/>
      <w:tcPr>
        <w:tcBorders>
          <w:top w:val="nil"/>
          <w:left w:val="single" w:sz="4" w:space="0" w:color="auto"/>
          <w:bottom w:val="nil"/>
          <w:right w:val="single" w:sz="4" w:space="0" w:color="auto"/>
          <w:insideH w:val="nil"/>
          <w:insideV w:val="single" w:sz="4" w:space="0" w:color="auto"/>
          <w:tl2br w:val="nil"/>
          <w:tr2bl w:val="nil"/>
        </w:tcBorders>
        <w:shd w:val="clear" w:color="auto" w:fill="C6DCE4"/>
      </w:tcPr>
    </w:tblStylePr>
    <w:tblStylePr w:type="lastRow">
      <w:rPr>
        <w:rFonts w:ascii="Almoni ML Regular AAA" w:eastAsia="Almoni ML Regular AAA" w:hAnsi="Almoni ML Regular AAA" w:cs="Almoni ML Regular AAA"/>
        <w:b w:val="0"/>
        <w:bCs/>
        <w:i w:val="0"/>
        <w:iCs w:val="0"/>
        <w:color w:val="auto"/>
        <w:sz w:val="18"/>
        <w:szCs w:val="18"/>
      </w:rPr>
      <w:tblPr/>
      <w:tcPr>
        <w:tcBorders>
          <w:top w:val="double" w:sz="4" w:space="0" w:color="1CADE4" w:themeColor="accent1"/>
        </w:tcBorders>
        <w:shd w:val="clear" w:color="auto" w:fill="C6DCE4"/>
      </w:tcPr>
    </w:tblStylePr>
    <w:tblStylePr w:type="firstCol">
      <w:rPr>
        <w:rFonts w:ascii="Almoni ML Regular AAA" w:eastAsia="Almoni ML Regular AAA" w:hAnsi="Almoni ML Regular AAA" w:cs="Almoni ML Regular AAA"/>
        <w:b/>
        <w:bCs w:val="0"/>
        <w:sz w:val="18"/>
        <w:szCs w:val="18"/>
      </w:rPr>
    </w:tblStylePr>
    <w:tblStylePr w:type="lastCol">
      <w:rPr>
        <w:rFonts w:ascii="Almoni ML Regular AAA" w:eastAsia="Almoni ML Regular AAA" w:hAnsi="Almoni ML Regular AAA" w:cs="Almoni ML Regular AAA"/>
        <w:b w:val="0"/>
        <w:bCs w:val="0"/>
        <w:i w:val="0"/>
        <w:iCs w:val="0"/>
        <w:sz w:val="18"/>
        <w:szCs w:val="18"/>
      </w:rPr>
    </w:tblStylePr>
    <w:tblStylePr w:type="band1Vert">
      <w:rPr>
        <w:rFonts w:cs="Almoni ML Regular AAA"/>
        <w:bCs w:val="0"/>
        <w:iCs w:val="0"/>
        <w:sz w:val="18"/>
        <w:szCs w:val="18"/>
      </w:rPr>
      <w:tblPr/>
      <w:tcPr>
        <w:shd w:val="clear" w:color="auto" w:fill="D1EEF9" w:themeFill="accent1" w:themeFillTint="33"/>
      </w:tcPr>
    </w:tblStylePr>
    <w:tblStylePr w:type="band2Vert">
      <w:rPr>
        <w:rFonts w:cs="Almoni ML Regular AAA"/>
        <w:bCs w:val="0"/>
        <w:sz w:val="18"/>
        <w:szCs w:val="18"/>
      </w:rPr>
    </w:tblStylePr>
    <w:tblStylePr w:type="band1Horz">
      <w:rPr>
        <w:rFonts w:cs="Almoni ML Regular AAA"/>
        <w:bCs w:val="0"/>
        <w:sz w:val="18"/>
        <w:szCs w:val="18"/>
      </w:rPr>
      <w:tblPr/>
      <w:tcPr>
        <w:shd w:val="clear" w:color="auto" w:fill="DBE8EE"/>
      </w:tcPr>
    </w:tblStylePr>
    <w:tblStylePr w:type="band2Horz">
      <w:rPr>
        <w:rFonts w:cs="Almoni ML Regular AAA"/>
        <w:bCs w:val="0"/>
        <w:sz w:val="18"/>
        <w:szCs w:val="18"/>
      </w:rPr>
      <w:tblPr/>
      <w:tcPr>
        <w:shd w:val="clear" w:color="auto" w:fill="ECF4F5"/>
      </w:tcPr>
    </w:tblStylePr>
    <w:tblStylePr w:type="neCell">
      <w:rPr>
        <w:rFonts w:cs="Almoni ML Regular AAA"/>
        <w:sz w:val="18"/>
        <w:szCs w:val="18"/>
      </w:rPr>
    </w:tblStylePr>
    <w:tblStylePr w:type="nwCell">
      <w:rPr>
        <w:rFonts w:cs="Almoni ML Regular AAA"/>
        <w:sz w:val="18"/>
        <w:szCs w:val="18"/>
      </w:rPr>
    </w:tblStylePr>
    <w:tblStylePr w:type="seCell">
      <w:rPr>
        <w:rFonts w:cs="Almoni ML Regular AAA"/>
        <w:sz w:val="18"/>
        <w:szCs w:val="18"/>
      </w:rPr>
    </w:tblStylePr>
    <w:tblStylePr w:type="swCell">
      <w:rPr>
        <w:rFonts w:cs="Almoni ML Regular AAA"/>
        <w:sz w:val="18"/>
        <w:szCs w:val="18"/>
      </w:rPr>
    </w:tblStylePr>
  </w:style>
  <w:style w:type="table" w:customStyle="1" w:styleId="1-41">
    <w:name w:val="טבלת רשת 1 בהירה - הדגשה 41"/>
    <w:basedOn w:val="a2"/>
    <w:uiPriority w:val="46"/>
    <w:rsid w:val="00444597"/>
    <w:pPr>
      <w:spacing w:after="0" w:line="240" w:lineRule="auto"/>
    </w:pPr>
    <w:tblPr>
      <w:tblStyleRowBandSize w:val="1"/>
      <w:tblStyleColBandSize w:val="1"/>
      <w:tblBorders>
        <w:top w:val="single" w:sz="4" w:space="0" w:color="B2E4D5" w:themeColor="accent4" w:themeTint="66"/>
        <w:left w:val="single" w:sz="4" w:space="0" w:color="B2E4D5" w:themeColor="accent4" w:themeTint="66"/>
        <w:bottom w:val="single" w:sz="4" w:space="0" w:color="B2E4D5" w:themeColor="accent4" w:themeTint="66"/>
        <w:right w:val="single" w:sz="4" w:space="0" w:color="B2E4D5" w:themeColor="accent4" w:themeTint="66"/>
        <w:insideH w:val="single" w:sz="4" w:space="0" w:color="B2E4D5" w:themeColor="accent4" w:themeTint="66"/>
        <w:insideV w:val="single" w:sz="4" w:space="0" w:color="B2E4D5" w:themeColor="accent4" w:themeTint="66"/>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2" w:space="0" w:color="8CD6C0" w:themeColor="accent4" w:themeTint="99"/>
        </w:tcBorders>
      </w:tcPr>
    </w:tblStylePr>
    <w:tblStylePr w:type="firstCol">
      <w:rPr>
        <w:b/>
        <w:bCs/>
      </w:rPr>
    </w:tblStylePr>
    <w:tblStylePr w:type="lastCol">
      <w:rPr>
        <w:b/>
        <w:bCs/>
      </w:rPr>
    </w:tblStylePr>
  </w:style>
  <w:style w:type="character" w:styleId="af1">
    <w:name w:val="Strong"/>
    <w:basedOn w:val="a1"/>
    <w:uiPriority w:val="22"/>
    <w:qFormat/>
    <w:rsid w:val="00444597"/>
    <w:rPr>
      <w:b/>
      <w:bCs/>
    </w:rPr>
  </w:style>
  <w:style w:type="paragraph" w:customStyle="1" w:styleId="rtejustify">
    <w:name w:val="rtejustify"/>
    <w:basedOn w:val="a0"/>
    <w:rsid w:val="00444597"/>
    <w:pPr>
      <w:bidi w:val="0"/>
      <w:spacing w:before="100" w:beforeAutospacing="1" w:after="100" w:afterAutospacing="1" w:line="240" w:lineRule="auto"/>
      <w:jc w:val="left"/>
    </w:pPr>
    <w:rPr>
      <w:rFonts w:eastAsia="Times New Roman" w:cs="Times New Roman"/>
      <w:sz w:val="24"/>
    </w:rPr>
  </w:style>
  <w:style w:type="table" w:styleId="4-1">
    <w:name w:val="Grid Table 4 Accent 1"/>
    <w:basedOn w:val="a2"/>
    <w:uiPriority w:val="49"/>
    <w:rsid w:val="00EE343A"/>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paragraph" w:styleId="af2">
    <w:name w:val="caption"/>
    <w:basedOn w:val="a0"/>
    <w:next w:val="a0"/>
    <w:uiPriority w:val="35"/>
    <w:unhideWhenUsed/>
    <w:qFormat/>
    <w:rsid w:val="00444597"/>
    <w:pPr>
      <w:spacing w:after="200" w:line="240" w:lineRule="auto"/>
    </w:pPr>
    <w:rPr>
      <w:i/>
      <w:iCs/>
      <w:color w:val="335B74" w:themeColor="text2"/>
      <w:sz w:val="18"/>
      <w:szCs w:val="18"/>
    </w:rPr>
  </w:style>
  <w:style w:type="character" w:customStyle="1" w:styleId="Bodytext2">
    <w:name w:val="Body text (2)_"/>
    <w:basedOn w:val="a1"/>
    <w:link w:val="Bodytext20"/>
    <w:rsid w:val="00444597"/>
    <w:rPr>
      <w:rFonts w:eastAsia="Times New Roman" w:cs="Times New Roman"/>
      <w:sz w:val="22"/>
      <w:szCs w:val="22"/>
      <w:shd w:val="clear" w:color="auto" w:fill="FFFFFF"/>
    </w:rPr>
  </w:style>
  <w:style w:type="paragraph" w:customStyle="1" w:styleId="Bodytext20">
    <w:name w:val="Body text (2)"/>
    <w:basedOn w:val="a0"/>
    <w:link w:val="Bodytext2"/>
    <w:rsid w:val="00444597"/>
    <w:pPr>
      <w:widowControl w:val="0"/>
      <w:shd w:val="clear" w:color="auto" w:fill="FFFFFF"/>
      <w:spacing w:line="259" w:lineRule="exact"/>
    </w:pPr>
    <w:rPr>
      <w:rFonts w:eastAsia="Times New Roman" w:cs="Times New Roman"/>
      <w:sz w:val="22"/>
      <w:szCs w:val="22"/>
    </w:rPr>
  </w:style>
  <w:style w:type="character" w:customStyle="1" w:styleId="Bodytext7">
    <w:name w:val="Body text (7)_"/>
    <w:basedOn w:val="a1"/>
    <w:link w:val="Bodytext70"/>
    <w:rsid w:val="00444597"/>
    <w:rPr>
      <w:rFonts w:eastAsia="Times New Roman" w:cs="Times New Roman"/>
      <w:sz w:val="22"/>
      <w:szCs w:val="22"/>
      <w:shd w:val="clear" w:color="auto" w:fill="FFFFFF"/>
    </w:rPr>
  </w:style>
  <w:style w:type="paragraph" w:customStyle="1" w:styleId="Bodytext70">
    <w:name w:val="Body text (7)"/>
    <w:basedOn w:val="a0"/>
    <w:link w:val="Bodytext7"/>
    <w:rsid w:val="00444597"/>
    <w:pPr>
      <w:widowControl w:val="0"/>
      <w:shd w:val="clear" w:color="auto" w:fill="FFFFFF"/>
      <w:spacing w:line="384" w:lineRule="exact"/>
      <w:ind w:hanging="360"/>
    </w:pPr>
    <w:rPr>
      <w:rFonts w:eastAsia="Times New Roman" w:cs="Times New Roman"/>
      <w:sz w:val="22"/>
      <w:szCs w:val="22"/>
    </w:rPr>
  </w:style>
  <w:style w:type="character" w:customStyle="1" w:styleId="Bodytext2Bold">
    <w:name w:val="Body text (2) + Bold"/>
    <w:basedOn w:val="Bodytext2"/>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character" w:customStyle="1" w:styleId="Bodytext3">
    <w:name w:val="Body text (3)_"/>
    <w:basedOn w:val="a1"/>
    <w:rsid w:val="00444597"/>
    <w:rPr>
      <w:rFonts w:ascii="Lucida Sans Unicode" w:eastAsia="Lucida Sans Unicode" w:hAnsi="Lucida Sans Unicode" w:cs="Lucida Sans Unicode"/>
      <w:b w:val="0"/>
      <w:bCs w:val="0"/>
      <w:i w:val="0"/>
      <w:iCs w:val="0"/>
      <w:smallCaps w:val="0"/>
      <w:strike w:val="0"/>
      <w:sz w:val="16"/>
      <w:szCs w:val="16"/>
      <w:u w:val="none"/>
    </w:rPr>
  </w:style>
  <w:style w:type="character" w:customStyle="1" w:styleId="Bodytext30">
    <w:name w:val="Body text (3)"/>
    <w:basedOn w:val="Bodytext3"/>
    <w:rsid w:val="00444597"/>
    <w:rPr>
      <w:rFonts w:ascii="Lucida Sans Unicode" w:eastAsia="Lucida Sans Unicode" w:hAnsi="Lucida Sans Unicode" w:cs="Lucida Sans Unicode"/>
      <w:b w:val="0"/>
      <w:bCs w:val="0"/>
      <w:i w:val="0"/>
      <w:iCs w:val="0"/>
      <w:smallCaps w:val="0"/>
      <w:strike w:val="0"/>
      <w:color w:val="000000"/>
      <w:spacing w:val="0"/>
      <w:w w:val="100"/>
      <w:position w:val="0"/>
      <w:sz w:val="16"/>
      <w:szCs w:val="16"/>
      <w:u w:val="none"/>
      <w:lang w:val="he-IL" w:eastAsia="he-IL" w:bidi="he-IL"/>
    </w:rPr>
  </w:style>
  <w:style w:type="character" w:customStyle="1" w:styleId="Bodytext2Spacing-1pt">
    <w:name w:val="Body text (2) + Spacing -1 pt"/>
    <w:basedOn w:val="Bodytext2"/>
    <w:rsid w:val="00444597"/>
    <w:rPr>
      <w:rFonts w:ascii="Lucida Sans Unicode" w:eastAsia="Lucida Sans Unicode" w:hAnsi="Lucida Sans Unicode" w:cs="Lucida Sans Unicode"/>
      <w:b w:val="0"/>
      <w:bCs w:val="0"/>
      <w:i w:val="0"/>
      <w:iCs w:val="0"/>
      <w:smallCaps w:val="0"/>
      <w:strike w:val="0"/>
      <w:color w:val="000000"/>
      <w:spacing w:val="-30"/>
      <w:w w:val="100"/>
      <w:position w:val="0"/>
      <w:sz w:val="20"/>
      <w:szCs w:val="20"/>
      <w:u w:val="none"/>
      <w:shd w:val="clear" w:color="auto" w:fill="FFFFFF"/>
      <w:lang w:val="en-US" w:eastAsia="en-US" w:bidi="en-US"/>
    </w:rPr>
  </w:style>
  <w:style w:type="character" w:customStyle="1" w:styleId="Bodytext6">
    <w:name w:val="Body text (6)_"/>
    <w:basedOn w:val="a1"/>
    <w:link w:val="Bodytext60"/>
    <w:rsid w:val="00444597"/>
    <w:rPr>
      <w:rFonts w:ascii="Lucida Sans Unicode" w:eastAsia="Lucida Sans Unicode" w:hAnsi="Lucida Sans Unicode" w:cs="Lucida Sans Unicode"/>
      <w:b/>
      <w:bCs/>
      <w:szCs w:val="20"/>
      <w:shd w:val="clear" w:color="auto" w:fill="FFFFFF"/>
    </w:rPr>
  </w:style>
  <w:style w:type="paragraph" w:customStyle="1" w:styleId="Bodytext60">
    <w:name w:val="Body text (6)"/>
    <w:basedOn w:val="a0"/>
    <w:link w:val="Bodytext6"/>
    <w:rsid w:val="00444597"/>
    <w:pPr>
      <w:widowControl w:val="0"/>
      <w:shd w:val="clear" w:color="auto" w:fill="FFFFFF"/>
      <w:spacing w:line="370" w:lineRule="exact"/>
    </w:pPr>
    <w:rPr>
      <w:rFonts w:ascii="Lucida Sans Unicode" w:eastAsia="Lucida Sans Unicode" w:hAnsi="Lucida Sans Unicode" w:cs="Lucida Sans Unicode"/>
      <w:b/>
      <w:bCs/>
      <w:szCs w:val="20"/>
    </w:rPr>
  </w:style>
  <w:style w:type="character" w:customStyle="1" w:styleId="Bodytext6NotBold">
    <w:name w:val="Body text (6) + Not Bold"/>
    <w:aliases w:val="Spacing -1 pt"/>
    <w:basedOn w:val="Bodytext6"/>
    <w:rsid w:val="00444597"/>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he-IL" w:eastAsia="he-IL" w:bidi="he-IL"/>
    </w:rPr>
  </w:style>
  <w:style w:type="paragraph" w:styleId="af3">
    <w:name w:val="Body Text Indent"/>
    <w:basedOn w:val="a0"/>
    <w:link w:val="af4"/>
    <w:uiPriority w:val="99"/>
    <w:unhideWhenUsed/>
    <w:rsid w:val="0006189A"/>
    <w:pPr>
      <w:spacing w:after="120"/>
      <w:ind w:left="340"/>
    </w:pPr>
    <w:rPr>
      <w:rFonts w:ascii="Tahoma" w:hAnsi="Tahoma" w:cs="Tahoma"/>
      <w:sz w:val="16"/>
      <w:szCs w:val="20"/>
    </w:rPr>
  </w:style>
  <w:style w:type="character" w:customStyle="1" w:styleId="af4">
    <w:name w:val="כניסה בגוף טקסט תו"/>
    <w:basedOn w:val="a1"/>
    <w:link w:val="af3"/>
    <w:uiPriority w:val="99"/>
    <w:rsid w:val="0006189A"/>
    <w:rPr>
      <w:rFonts w:ascii="Tahoma" w:hAnsi="Tahoma" w:cs="Tahoma"/>
      <w:sz w:val="16"/>
      <w:szCs w:val="20"/>
    </w:rPr>
  </w:style>
  <w:style w:type="paragraph" w:customStyle="1" w:styleId="121">
    <w:name w:val="כותרת 1_21"/>
    <w:basedOn w:val="a0"/>
    <w:link w:val="121Char"/>
    <w:qFormat/>
    <w:rsid w:val="00454096"/>
    <w:pPr>
      <w:spacing w:before="1440"/>
      <w:jc w:val="center"/>
      <w:outlineLvl w:val="0"/>
    </w:pPr>
    <w:rPr>
      <w:rFonts w:ascii="Tahoma" w:eastAsiaTheme="minorEastAsia" w:hAnsi="Tahoma" w:cs="Tahoma"/>
      <w:color w:val="2A2AA6"/>
      <w:sz w:val="42"/>
      <w:szCs w:val="42"/>
    </w:rPr>
  </w:style>
  <w:style w:type="character" w:customStyle="1" w:styleId="alink">
    <w:name w:val="a_link"/>
    <w:basedOn w:val="a1"/>
    <w:rsid w:val="00417266"/>
    <w:rPr>
      <w:color w:val="0000FF"/>
    </w:rPr>
  </w:style>
  <w:style w:type="paragraph" w:customStyle="1" w:styleId="af5">
    <w:name w:val="תואר"/>
    <w:basedOn w:val="a0"/>
    <w:link w:val="af6"/>
    <w:qFormat/>
    <w:rsid w:val="00417266"/>
    <w:pPr>
      <w:spacing w:line="240" w:lineRule="auto"/>
      <w:jc w:val="center"/>
    </w:pPr>
    <w:rPr>
      <w:rFonts w:eastAsia="Times New Roman" w:cs="Times New Roman"/>
      <w:b/>
      <w:bCs/>
      <w:sz w:val="32"/>
      <w:szCs w:val="32"/>
      <w:lang w:eastAsia="he-IL"/>
    </w:rPr>
  </w:style>
  <w:style w:type="character" w:customStyle="1" w:styleId="af6">
    <w:name w:val="תואר תו"/>
    <w:link w:val="af5"/>
    <w:locked/>
    <w:rsid w:val="00417266"/>
    <w:rPr>
      <w:rFonts w:eastAsia="Times New Roman" w:cs="Times New Roman"/>
      <w:b/>
      <w:bCs/>
      <w:sz w:val="32"/>
      <w:szCs w:val="32"/>
      <w:lang w:eastAsia="he-IL"/>
    </w:rPr>
  </w:style>
  <w:style w:type="character" w:styleId="af7">
    <w:name w:val="Emphasis"/>
    <w:basedOn w:val="a1"/>
    <w:uiPriority w:val="20"/>
    <w:qFormat/>
    <w:rsid w:val="00417266"/>
    <w:rPr>
      <w:i/>
      <w:iCs/>
    </w:rPr>
  </w:style>
  <w:style w:type="character" w:customStyle="1" w:styleId="24">
    <w:name w:val="טקסט הערת שוליים תו2"/>
    <w:uiPriority w:val="99"/>
    <w:rsid w:val="00417266"/>
    <w:rPr>
      <w:rFonts w:cs="David"/>
    </w:rPr>
  </w:style>
  <w:style w:type="paragraph" w:styleId="af8">
    <w:name w:val="TOC Heading"/>
    <w:basedOn w:val="1"/>
    <w:next w:val="a0"/>
    <w:uiPriority w:val="39"/>
    <w:unhideWhenUsed/>
    <w:qFormat/>
    <w:rsid w:val="00417266"/>
    <w:pPr>
      <w:spacing w:before="240" w:line="259" w:lineRule="auto"/>
      <w:jc w:val="left"/>
      <w:outlineLvl w:val="9"/>
    </w:pPr>
    <w:rPr>
      <w:rFonts w:asciiTheme="majorHAnsi" w:hAnsiTheme="majorHAnsi" w:cstheme="majorBidi"/>
      <w:bCs w:val="0"/>
      <w:color w:val="1481AB" w:themeColor="accent1" w:themeShade="BF"/>
      <w:sz w:val="32"/>
      <w:szCs w:val="32"/>
      <w:u w:val="none"/>
      <w:rtl/>
      <w:cs/>
    </w:rPr>
  </w:style>
  <w:style w:type="character" w:customStyle="1" w:styleId="highlightspan">
    <w:name w:val="highlightspan"/>
    <w:basedOn w:val="a1"/>
    <w:rsid w:val="00417266"/>
  </w:style>
  <w:style w:type="character" w:customStyle="1" w:styleId="15">
    <w:name w:val="נושא הערה תו1"/>
    <w:basedOn w:val="13"/>
    <w:uiPriority w:val="99"/>
    <w:semiHidden/>
    <w:rsid w:val="00417266"/>
    <w:rPr>
      <w:b/>
      <w:bCs/>
      <w:szCs w:val="20"/>
    </w:rPr>
  </w:style>
  <w:style w:type="character" w:styleId="FollowedHyperlink">
    <w:name w:val="FollowedHyperlink"/>
    <w:basedOn w:val="a1"/>
    <w:uiPriority w:val="99"/>
    <w:semiHidden/>
    <w:unhideWhenUsed/>
    <w:rsid w:val="00417266"/>
    <w:rPr>
      <w:color w:val="B26B02" w:themeColor="followedHyperlink"/>
      <w:u w:val="single"/>
    </w:rPr>
  </w:style>
  <w:style w:type="paragraph" w:styleId="af9">
    <w:name w:val="table of figures"/>
    <w:basedOn w:val="a0"/>
    <w:next w:val="a0"/>
    <w:uiPriority w:val="99"/>
    <w:semiHidden/>
    <w:unhideWhenUsed/>
    <w:rsid w:val="00417266"/>
  </w:style>
  <w:style w:type="character" w:styleId="afa">
    <w:name w:val="Placeholder Text"/>
    <w:basedOn w:val="a1"/>
    <w:uiPriority w:val="99"/>
    <w:semiHidden/>
    <w:rsid w:val="00417266"/>
    <w:rPr>
      <w:color w:val="808080"/>
    </w:rPr>
  </w:style>
  <w:style w:type="paragraph" w:customStyle="1" w:styleId="733155">
    <w:name w:val="73א כותרת 3_15.5"/>
    <w:basedOn w:val="3"/>
    <w:link w:val="7331550"/>
    <w:qFormat/>
    <w:rsid w:val="00092EAB"/>
    <w:pPr>
      <w:spacing w:before="360" w:after="180" w:line="240" w:lineRule="atLeast"/>
      <w:jc w:val="left"/>
    </w:pPr>
    <w:rPr>
      <w:rFonts w:ascii="Tahoma" w:eastAsia="Times New Roman" w:hAnsi="Tahoma" w:cs="Tahoma"/>
      <w:b/>
      <w:color w:val="00305F"/>
      <w:sz w:val="31"/>
      <w:szCs w:val="31"/>
      <w:u w:val="none"/>
    </w:rPr>
  </w:style>
  <w:style w:type="paragraph" w:customStyle="1" w:styleId="100">
    <w:name w:val="טקסט רץ 10"/>
    <w:basedOn w:val="a0"/>
    <w:link w:val="10Char"/>
    <w:qFormat/>
    <w:rsid w:val="00705DA7"/>
    <w:pPr>
      <w:spacing w:after="120"/>
    </w:pPr>
    <w:rPr>
      <w:rFonts w:ascii="Tahoma" w:hAnsi="Tahoma" w:cs="Tahoma"/>
      <w:szCs w:val="20"/>
    </w:rPr>
  </w:style>
  <w:style w:type="character" w:customStyle="1" w:styleId="7331550">
    <w:name w:val="73א כותרת 3_15.5 תו"/>
    <w:basedOn w:val="32"/>
    <w:link w:val="733155"/>
    <w:rsid w:val="00092EAB"/>
    <w:rPr>
      <w:rFonts w:ascii="Tahoma" w:eastAsia="Times New Roman" w:hAnsi="Tahoma" w:cs="Tahoma"/>
      <w:b/>
      <w:bCs/>
      <w:color w:val="00305F"/>
      <w:sz w:val="31"/>
      <w:szCs w:val="31"/>
      <w:u w:val="single"/>
    </w:rPr>
  </w:style>
  <w:style w:type="paragraph" w:customStyle="1" w:styleId="736">
    <w:name w:val="73א הערות שוליים"/>
    <w:basedOn w:val="a7"/>
    <w:link w:val="737"/>
    <w:qFormat/>
    <w:rsid w:val="0078358A"/>
    <w:pPr>
      <w:spacing w:after="60" w:line="220" w:lineRule="exact"/>
      <w:ind w:left="397" w:hanging="397"/>
    </w:pPr>
    <w:rPr>
      <w:rFonts w:ascii="Tahoma" w:hAnsi="Tahoma" w:cs="Tahoma"/>
      <w:color w:val="0D0D0D" w:themeColor="text1" w:themeTint="F2"/>
      <w:sz w:val="14"/>
      <w:szCs w:val="14"/>
    </w:rPr>
  </w:style>
  <w:style w:type="paragraph" w:customStyle="1" w:styleId="738">
    <w:name w:val="73א לוחות/תרשימים/תמונות/אינפוגרפיקה/מפות"/>
    <w:basedOn w:val="a0"/>
    <w:qFormat/>
    <w:rsid w:val="004B039B"/>
    <w:pPr>
      <w:keepNext/>
      <w:keepLines/>
      <w:widowControl w:val="0"/>
      <w:spacing w:before="240" w:after="240" w:line="260" w:lineRule="exact"/>
      <w:jc w:val="center"/>
      <w:outlineLvl w:val="6"/>
    </w:pPr>
    <w:rPr>
      <w:rFonts w:ascii="Tahoma" w:eastAsiaTheme="minorEastAsia" w:hAnsi="Tahoma" w:cs="Tahoma"/>
      <w:b/>
      <w:bCs/>
      <w:color w:val="0D0D0D" w:themeColor="text1" w:themeTint="F2"/>
      <w:szCs w:val="20"/>
    </w:rPr>
  </w:style>
  <w:style w:type="paragraph" w:customStyle="1" w:styleId="218">
    <w:name w:val="כותרת 2_18"/>
    <w:basedOn w:val="2"/>
    <w:link w:val="218Char"/>
    <w:qFormat/>
    <w:rsid w:val="00635B2E"/>
    <w:pPr>
      <w:keepLines w:val="0"/>
      <w:spacing w:before="600" w:after="120"/>
      <w:jc w:val="left"/>
    </w:pPr>
    <w:rPr>
      <w:rFonts w:ascii="Arial Bold" w:eastAsia="Times New Roman" w:hAnsi="Arial Bold" w:cs="Tahoma"/>
      <w:bCs w:val="0"/>
      <w:color w:val="365F91"/>
      <w:sz w:val="36"/>
      <w:szCs w:val="36"/>
    </w:rPr>
  </w:style>
  <w:style w:type="character" w:customStyle="1" w:styleId="218Char">
    <w:name w:val="כותרת 2_18 Char"/>
    <w:link w:val="218"/>
    <w:rsid w:val="00635B2E"/>
    <w:rPr>
      <w:rFonts w:ascii="Arial Bold" w:eastAsia="Times New Roman" w:hAnsi="Arial Bold" w:cs="Tahoma"/>
      <w:color w:val="365F91"/>
      <w:sz w:val="36"/>
      <w:szCs w:val="36"/>
    </w:rPr>
  </w:style>
  <w:style w:type="character" w:customStyle="1" w:styleId="af">
    <w:name w:val="פיסקת רשימה תו"/>
    <w:aliases w:val="Bullet List תו,FooterText תו,LP1 תו,List Paragraph1 תו,List Paragraph_0 תו,List Paragraph_1 תו,List Paragraph_2 תו,Paragraphe de liste1 תו,lp1 תו,numbered תו,style 2 תו,פיסקת bullets תו"/>
    <w:link w:val="ae"/>
    <w:uiPriority w:val="34"/>
    <w:rsid w:val="00DD7B55"/>
  </w:style>
  <w:style w:type="paragraph" w:customStyle="1" w:styleId="739">
    <w:name w:val="73א הזחה ראשונה מספר"/>
    <w:basedOn w:val="ae"/>
    <w:link w:val="73a"/>
    <w:qFormat/>
    <w:rsid w:val="007C76F8"/>
    <w:pPr>
      <w:spacing w:after="180" w:line="260" w:lineRule="exact"/>
      <w:ind w:left="0"/>
      <w:contextualSpacing w:val="0"/>
    </w:pPr>
    <w:rPr>
      <w:rFonts w:ascii="Tahoma" w:hAnsi="Tahoma" w:cs="Tahoma"/>
      <w:color w:val="0D0D0D" w:themeColor="text1" w:themeTint="F2"/>
      <w:sz w:val="18"/>
      <w:szCs w:val="18"/>
    </w:rPr>
  </w:style>
  <w:style w:type="paragraph" w:customStyle="1" w:styleId="73b">
    <w:name w:val="73א הזחה שנייה ריק"/>
    <w:basedOn w:val="af3"/>
    <w:link w:val="73c"/>
    <w:qFormat/>
    <w:rsid w:val="0074714A"/>
    <w:pPr>
      <w:spacing w:after="180" w:line="260" w:lineRule="exact"/>
      <w:ind w:left="794"/>
    </w:pPr>
    <w:rPr>
      <w:color w:val="0D0D0D" w:themeColor="text1" w:themeTint="F2"/>
      <w:sz w:val="18"/>
      <w:szCs w:val="18"/>
    </w:rPr>
  </w:style>
  <w:style w:type="paragraph" w:customStyle="1" w:styleId="73d">
    <w:name w:val="73א הזחה שנייה אותיות"/>
    <w:basedOn w:val="ae"/>
    <w:qFormat/>
    <w:rsid w:val="00591F15"/>
    <w:pPr>
      <w:spacing w:after="180" w:line="260" w:lineRule="exact"/>
      <w:ind w:left="0"/>
    </w:pPr>
    <w:rPr>
      <w:rFonts w:ascii="Tahoma" w:hAnsi="Tahoma" w:cs="Tahoma"/>
      <w:color w:val="0D0D0D" w:themeColor="text1" w:themeTint="F2"/>
      <w:sz w:val="18"/>
      <w:szCs w:val="18"/>
    </w:rPr>
  </w:style>
  <w:style w:type="paragraph" w:customStyle="1" w:styleId="73e">
    <w:name w:val="73א מקרא+הערות לתרשים/לוח/תמונה"/>
    <w:basedOn w:val="736"/>
    <w:link w:val="73f"/>
    <w:qFormat/>
    <w:rsid w:val="004B039B"/>
    <w:pPr>
      <w:widowControl w:val="0"/>
      <w:spacing w:before="120" w:after="240" w:line="260" w:lineRule="exact"/>
      <w:ind w:left="0" w:firstLine="0"/>
    </w:pPr>
    <w:rPr>
      <w:sz w:val="16"/>
      <w:szCs w:val="16"/>
    </w:rPr>
  </w:style>
  <w:style w:type="paragraph" w:customStyle="1" w:styleId="73f0">
    <w:name w:val="73א קוביה כחולה הזחה שנייה"/>
    <w:basedOn w:val="a0"/>
    <w:qFormat/>
    <w:rsid w:val="00FF6AD9"/>
    <w:pPr>
      <w:keepLines/>
      <w:pBdr>
        <w:top w:val="single" w:sz="18" w:space="4" w:color="CEEAF6"/>
        <w:left w:val="single" w:sz="18" w:space="11" w:color="CEEAF6"/>
        <w:bottom w:val="single" w:sz="18" w:space="6" w:color="CEEAF6"/>
        <w:right w:val="single" w:sz="18" w:space="11" w:color="CEEAF6"/>
      </w:pBdr>
      <w:shd w:val="solid" w:color="CEEAF6" w:fill="auto"/>
      <w:tabs>
        <w:tab w:val="left" w:pos="624"/>
      </w:tabs>
      <w:spacing w:after="180" w:line="260" w:lineRule="exact"/>
      <w:ind w:left="1077" w:right="284"/>
    </w:pPr>
    <w:rPr>
      <w:rFonts w:ascii="Tahoma" w:eastAsia="Times New Roman" w:hAnsi="Tahoma" w:cs="Tahoma"/>
      <w:color w:val="0D0D0D" w:themeColor="text1" w:themeTint="F2"/>
      <w:sz w:val="18"/>
      <w:szCs w:val="18"/>
      <w:lang w:eastAsia="he-IL"/>
    </w:rPr>
  </w:style>
  <w:style w:type="paragraph" w:customStyle="1" w:styleId="73f1">
    <w:name w:val="73א קוביה כחולה בתוך הזחה ראשונה"/>
    <w:basedOn w:val="73f0"/>
    <w:qFormat/>
    <w:rsid w:val="00003557"/>
    <w:pPr>
      <w:pBdr>
        <w:top w:val="single" w:sz="18" w:space="4" w:color="CEEAF5"/>
        <w:left w:val="single" w:sz="18" w:space="11" w:color="CEEAF5"/>
        <w:bottom w:val="single" w:sz="18" w:space="6" w:color="CEEAF5"/>
        <w:right w:val="single" w:sz="18" w:space="11" w:color="CEEAF5"/>
      </w:pBdr>
      <w:shd w:val="solid" w:color="CEEAF5" w:fill="auto"/>
      <w:spacing w:after="120"/>
      <w:ind w:left="680" w:right="227"/>
    </w:pPr>
  </w:style>
  <w:style w:type="paragraph" w:customStyle="1" w:styleId="73f2">
    <w:name w:val="73א הזחה שנייה ללא מספר"/>
    <w:basedOn w:val="73b"/>
    <w:link w:val="73f3"/>
    <w:qFormat/>
    <w:rsid w:val="00543F8A"/>
  </w:style>
  <w:style w:type="character" w:customStyle="1" w:styleId="73c">
    <w:name w:val="73א הזחה שנייה ריק תו"/>
    <w:basedOn w:val="af4"/>
    <w:link w:val="73b"/>
    <w:rsid w:val="0074714A"/>
    <w:rPr>
      <w:rFonts w:ascii="Tahoma" w:hAnsi="Tahoma" w:cs="Tahoma"/>
      <w:color w:val="0D0D0D" w:themeColor="text1" w:themeTint="F2"/>
      <w:sz w:val="18"/>
      <w:szCs w:val="18"/>
    </w:rPr>
  </w:style>
  <w:style w:type="character" w:customStyle="1" w:styleId="73f3">
    <w:name w:val="73א הזחה שנייה ללא מספר תו"/>
    <w:basedOn w:val="73c"/>
    <w:link w:val="73f2"/>
    <w:rsid w:val="00543F8A"/>
    <w:rPr>
      <w:rFonts w:ascii="Tahoma" w:hAnsi="Tahoma" w:cs="Tahoma"/>
      <w:color w:val="0D0D0D" w:themeColor="text1" w:themeTint="F2"/>
      <w:sz w:val="18"/>
      <w:szCs w:val="18"/>
    </w:rPr>
  </w:style>
  <w:style w:type="paragraph" w:customStyle="1" w:styleId="73f4">
    <w:name w:val="73א מספור הערות שוליים"/>
    <w:basedOn w:val="736"/>
    <w:qFormat/>
    <w:rsid w:val="003B639B"/>
  </w:style>
  <w:style w:type="paragraph" w:customStyle="1" w:styleId="73R">
    <w:name w:val="73א טבלה טקסט R"/>
    <w:basedOn w:val="a0"/>
    <w:qFormat/>
    <w:rsid w:val="00520550"/>
    <w:pPr>
      <w:spacing w:before="120" w:after="120" w:line="180" w:lineRule="exact"/>
      <w:jc w:val="left"/>
    </w:pPr>
    <w:rPr>
      <w:rFonts w:ascii="Tahoma" w:eastAsiaTheme="minorEastAsia" w:hAnsi="Tahoma" w:cs="Tahoma"/>
      <w:sz w:val="16"/>
      <w:szCs w:val="16"/>
    </w:rPr>
  </w:style>
  <w:style w:type="paragraph" w:customStyle="1" w:styleId="73B0">
    <w:name w:val="73א טבלה טקסט B"/>
    <w:basedOn w:val="a0"/>
    <w:qFormat/>
    <w:rsid w:val="00520550"/>
    <w:pPr>
      <w:spacing w:before="120" w:after="120" w:line="180" w:lineRule="exact"/>
      <w:jc w:val="left"/>
    </w:pPr>
    <w:rPr>
      <w:rFonts w:ascii="Tahoma" w:eastAsiaTheme="minorEastAsia" w:hAnsi="Tahoma" w:cs="Tahoma"/>
      <w:b/>
      <w:bCs/>
      <w:sz w:val="16"/>
      <w:szCs w:val="16"/>
    </w:rPr>
  </w:style>
  <w:style w:type="paragraph" w:customStyle="1" w:styleId="73HEADER">
    <w:name w:val="73א טבלה HEADER"/>
    <w:basedOn w:val="a0"/>
    <w:qFormat/>
    <w:rsid w:val="00520550"/>
    <w:pPr>
      <w:spacing w:before="120" w:after="120" w:line="180" w:lineRule="exact"/>
      <w:jc w:val="left"/>
    </w:pPr>
    <w:rPr>
      <w:rFonts w:ascii="Tahoma" w:eastAsiaTheme="minorEastAsia" w:hAnsi="Tahoma" w:cs="Tahoma"/>
      <w:b/>
      <w:color w:val="0D0D0D" w:themeColor="text1" w:themeTint="F2"/>
      <w:sz w:val="16"/>
      <w:szCs w:val="16"/>
    </w:rPr>
  </w:style>
  <w:style w:type="paragraph" w:customStyle="1" w:styleId="afb">
    <w:name w:val="כניסה שלישית"/>
    <w:basedOn w:val="ae"/>
    <w:qFormat/>
    <w:rsid w:val="008E5512"/>
    <w:pPr>
      <w:spacing w:after="120"/>
      <w:ind w:left="0"/>
    </w:pPr>
    <w:rPr>
      <w:rFonts w:ascii="Tahoma" w:hAnsi="Tahoma" w:cs="Tahoma"/>
      <w:szCs w:val="20"/>
    </w:rPr>
  </w:style>
  <w:style w:type="paragraph" w:customStyle="1" w:styleId="73f5">
    <w:name w:val="73א הזחה שלישית"/>
    <w:basedOn w:val="73f2"/>
    <w:qFormat/>
    <w:rsid w:val="00591F15"/>
    <w:pPr>
      <w:ind w:left="1191"/>
    </w:pPr>
  </w:style>
  <w:style w:type="paragraph" w:customStyle="1" w:styleId="73f6">
    <w:name w:val="73א קוביה כחולה הזחה שלישית"/>
    <w:basedOn w:val="73f0"/>
    <w:qFormat/>
    <w:rsid w:val="00FF6AD9"/>
    <w:pPr>
      <w:framePr w:wrap="around" w:vAnchor="text" w:hAnchor="text" w:y="1"/>
      <w:shd w:val="solid" w:color="CEEAF6" w:fill="CEEAF6"/>
      <w:spacing w:after="120"/>
      <w:ind w:left="1474"/>
    </w:pPr>
  </w:style>
  <w:style w:type="paragraph" w:customStyle="1" w:styleId="16">
    <w:name w:val="קוביה הזחה 1"/>
    <w:basedOn w:val="73f0"/>
    <w:qFormat/>
    <w:rsid w:val="005C2859"/>
    <w:pPr>
      <w:ind w:left="680"/>
    </w:pPr>
  </w:style>
  <w:style w:type="paragraph" w:customStyle="1" w:styleId="73f7">
    <w:name w:val="73א הזחה ראשונה ללא מספר"/>
    <w:basedOn w:val="73f2"/>
    <w:qFormat/>
    <w:rsid w:val="003570AC"/>
    <w:pPr>
      <w:ind w:left="397"/>
    </w:pPr>
  </w:style>
  <w:style w:type="paragraph" w:customStyle="1" w:styleId="735">
    <w:name w:val="73א קוביה רצה"/>
    <w:basedOn w:val="73f1"/>
    <w:link w:val="734"/>
    <w:qFormat/>
    <w:rsid w:val="004B039B"/>
    <w:pPr>
      <w:ind w:left="227"/>
    </w:pPr>
  </w:style>
  <w:style w:type="paragraph" w:customStyle="1" w:styleId="73414">
    <w:name w:val="73א כותרת 4_14"/>
    <w:basedOn w:val="4"/>
    <w:qFormat/>
    <w:rsid w:val="0078358A"/>
    <w:pPr>
      <w:spacing w:after="180" w:line="240" w:lineRule="atLeast"/>
      <w:jc w:val="left"/>
    </w:pPr>
    <w:rPr>
      <w:rFonts w:ascii="Tahoma" w:hAnsi="Tahoma" w:cs="Tahoma"/>
      <w:b/>
      <w:color w:val="00305F"/>
      <w:sz w:val="28"/>
      <w:szCs w:val="28"/>
    </w:rPr>
  </w:style>
  <w:style w:type="paragraph" w:customStyle="1" w:styleId="73f8">
    <w:name w:val="73א הזחה בתוך קוביה"/>
    <w:basedOn w:val="735"/>
    <w:qFormat/>
    <w:rsid w:val="009D0EE8"/>
    <w:pPr>
      <w:ind w:left="0"/>
    </w:pPr>
  </w:style>
  <w:style w:type="paragraph" w:customStyle="1" w:styleId="73512">
    <w:name w:val="73א כותרת 5_12"/>
    <w:basedOn w:val="100"/>
    <w:qFormat/>
    <w:rsid w:val="0078358A"/>
    <w:pPr>
      <w:keepNext/>
      <w:keepLines/>
      <w:spacing w:before="240" w:after="180" w:line="240" w:lineRule="atLeast"/>
      <w:jc w:val="left"/>
      <w:outlineLvl w:val="4"/>
    </w:pPr>
    <w:rPr>
      <w:b/>
      <w:bCs/>
      <w:color w:val="00305F"/>
      <w:sz w:val="24"/>
      <w:szCs w:val="24"/>
    </w:rPr>
  </w:style>
  <w:style w:type="paragraph" w:customStyle="1" w:styleId="73f9">
    <w:name w:val="73א מספרים בתוך קוביה"/>
    <w:basedOn w:val="73f8"/>
    <w:rsid w:val="00520550"/>
  </w:style>
  <w:style w:type="paragraph" w:customStyle="1" w:styleId="7311">
    <w:name w:val="73א אותיות בתוך קוביה 1"/>
    <w:basedOn w:val="73f9"/>
    <w:qFormat/>
    <w:rsid w:val="00B30FEF"/>
  </w:style>
  <w:style w:type="numbering" w:customStyle="1" w:styleId="-">
    <w:name w:val="משרד האוצר - מדורג"/>
    <w:uiPriority w:val="99"/>
    <w:rsid w:val="006D5CCE"/>
    <w:pPr>
      <w:numPr>
        <w:numId w:val="1"/>
      </w:numPr>
    </w:pPr>
  </w:style>
  <w:style w:type="paragraph" w:customStyle="1" w:styleId="gmail-msolistparagraph">
    <w:name w:val="gmail-msolistparagraph"/>
    <w:basedOn w:val="a0"/>
    <w:uiPriority w:val="99"/>
    <w:rsid w:val="006D5CCE"/>
    <w:pPr>
      <w:bidi w:val="0"/>
      <w:spacing w:before="100" w:beforeAutospacing="1" w:after="100" w:afterAutospacing="1" w:line="240" w:lineRule="auto"/>
      <w:jc w:val="left"/>
    </w:pPr>
    <w:rPr>
      <w:rFonts w:cs="Times New Roman"/>
      <w:sz w:val="24"/>
    </w:rPr>
  </w:style>
  <w:style w:type="paragraph" w:styleId="afc">
    <w:name w:val="Plain Text"/>
    <w:basedOn w:val="a0"/>
    <w:link w:val="afd"/>
    <w:uiPriority w:val="99"/>
    <w:unhideWhenUsed/>
    <w:rsid w:val="006D5CCE"/>
    <w:pPr>
      <w:spacing w:line="240" w:lineRule="auto"/>
      <w:jc w:val="left"/>
    </w:pPr>
    <w:rPr>
      <w:rFonts w:ascii="Calibri" w:hAnsi="Calibri" w:cstheme="minorBidi"/>
      <w:sz w:val="22"/>
      <w:szCs w:val="21"/>
    </w:rPr>
  </w:style>
  <w:style w:type="character" w:customStyle="1" w:styleId="afd">
    <w:name w:val="טקסט רגיל תו"/>
    <w:basedOn w:val="a1"/>
    <w:link w:val="afc"/>
    <w:uiPriority w:val="99"/>
    <w:rsid w:val="006D5CCE"/>
    <w:rPr>
      <w:rFonts w:ascii="Calibri" w:hAnsi="Calibri" w:cstheme="minorBidi"/>
      <w:sz w:val="22"/>
      <w:szCs w:val="21"/>
    </w:rPr>
  </w:style>
  <w:style w:type="table" w:customStyle="1" w:styleId="25">
    <w:name w:val="רשת טבלה2"/>
    <w:basedOn w:val="a2"/>
    <w:next w:val="a9"/>
    <w:uiPriority w:val="59"/>
    <w:rsid w:val="006D5CCE"/>
    <w:pPr>
      <w:spacing w:after="0" w:line="240" w:lineRule="auto"/>
      <w:jc w:val="left"/>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endnote text"/>
    <w:basedOn w:val="a0"/>
    <w:link w:val="aff"/>
    <w:uiPriority w:val="99"/>
    <w:semiHidden/>
    <w:unhideWhenUsed/>
    <w:rsid w:val="006D5CCE"/>
    <w:pPr>
      <w:spacing w:line="240" w:lineRule="auto"/>
    </w:pPr>
    <w:rPr>
      <w:szCs w:val="20"/>
    </w:rPr>
  </w:style>
  <w:style w:type="character" w:customStyle="1" w:styleId="aff">
    <w:name w:val="טקסט הערת סיום תו"/>
    <w:basedOn w:val="a1"/>
    <w:link w:val="afe"/>
    <w:uiPriority w:val="99"/>
    <w:semiHidden/>
    <w:rsid w:val="006D5CCE"/>
    <w:rPr>
      <w:szCs w:val="20"/>
    </w:rPr>
  </w:style>
  <w:style w:type="character" w:styleId="aff0">
    <w:name w:val="endnote reference"/>
    <w:basedOn w:val="a1"/>
    <w:uiPriority w:val="99"/>
    <w:semiHidden/>
    <w:unhideWhenUsed/>
    <w:rsid w:val="006D5CCE"/>
    <w:rPr>
      <w:vertAlign w:val="superscript"/>
    </w:rPr>
  </w:style>
  <w:style w:type="paragraph" w:customStyle="1" w:styleId="110">
    <w:name w:val="כותרת 11"/>
    <w:basedOn w:val="a0"/>
    <w:next w:val="a0"/>
    <w:link w:val="17"/>
    <w:uiPriority w:val="1"/>
    <w:qFormat/>
    <w:rsid w:val="002516DF"/>
    <w:pPr>
      <w:keepNext/>
      <w:keepLines/>
      <w:jc w:val="center"/>
      <w:outlineLvl w:val="0"/>
    </w:pPr>
    <w:rPr>
      <w:rFonts w:eastAsia="Times New Roman"/>
      <w:bCs/>
      <w:szCs w:val="36"/>
      <w:u w:val="single"/>
    </w:rPr>
  </w:style>
  <w:style w:type="paragraph" w:customStyle="1" w:styleId="211">
    <w:name w:val="כותרת 21"/>
    <w:basedOn w:val="a0"/>
    <w:next w:val="a0"/>
    <w:link w:val="26"/>
    <w:uiPriority w:val="1"/>
    <w:qFormat/>
    <w:rsid w:val="002516DF"/>
    <w:pPr>
      <w:keepNext/>
      <w:keepLines/>
      <w:spacing w:before="480"/>
      <w:jc w:val="center"/>
      <w:outlineLvl w:val="1"/>
    </w:pPr>
    <w:rPr>
      <w:rFonts w:eastAsia="Times New Roman"/>
      <w:bCs/>
      <w:szCs w:val="32"/>
    </w:rPr>
  </w:style>
  <w:style w:type="paragraph" w:customStyle="1" w:styleId="31">
    <w:name w:val="כותרת 31"/>
    <w:basedOn w:val="a0"/>
    <w:next w:val="a0"/>
    <w:link w:val="33"/>
    <w:uiPriority w:val="1"/>
    <w:qFormat/>
    <w:rsid w:val="002516DF"/>
    <w:pPr>
      <w:keepNext/>
      <w:keepLines/>
      <w:spacing w:before="120"/>
      <w:outlineLvl w:val="2"/>
    </w:pPr>
    <w:rPr>
      <w:rFonts w:eastAsia="Times New Roman"/>
      <w:bCs/>
      <w:szCs w:val="28"/>
      <w:u w:val="single"/>
    </w:rPr>
  </w:style>
  <w:style w:type="paragraph" w:customStyle="1" w:styleId="410">
    <w:name w:val="כותרת 41"/>
    <w:basedOn w:val="a0"/>
    <w:next w:val="a0"/>
    <w:link w:val="40"/>
    <w:uiPriority w:val="1"/>
    <w:qFormat/>
    <w:rsid w:val="002516DF"/>
    <w:pPr>
      <w:keepNext/>
      <w:keepLines/>
      <w:spacing w:before="120"/>
      <w:outlineLvl w:val="3"/>
    </w:pPr>
    <w:rPr>
      <w:rFonts w:eastAsia="Times New Roman"/>
      <w:bCs/>
      <w:szCs w:val="26"/>
    </w:rPr>
  </w:style>
  <w:style w:type="paragraph" w:customStyle="1" w:styleId="510">
    <w:name w:val="כותרת 51"/>
    <w:basedOn w:val="a0"/>
    <w:next w:val="a0"/>
    <w:link w:val="50"/>
    <w:uiPriority w:val="1"/>
    <w:qFormat/>
    <w:rsid w:val="002516DF"/>
    <w:pPr>
      <w:keepNext/>
      <w:keepLines/>
      <w:outlineLvl w:val="4"/>
    </w:pPr>
    <w:rPr>
      <w:rFonts w:eastAsia="Times New Roman"/>
      <w:bCs/>
      <w:spacing w:val="40"/>
    </w:rPr>
  </w:style>
  <w:style w:type="paragraph" w:customStyle="1" w:styleId="610">
    <w:name w:val="כותרת 61"/>
    <w:basedOn w:val="a0"/>
    <w:next w:val="a0"/>
    <w:link w:val="60"/>
    <w:uiPriority w:val="1"/>
    <w:qFormat/>
    <w:rsid w:val="002516DF"/>
    <w:pPr>
      <w:keepNext/>
      <w:keepLines/>
      <w:outlineLvl w:val="5"/>
    </w:pPr>
    <w:rPr>
      <w:rFonts w:eastAsia="Times New Roman"/>
      <w:spacing w:val="40"/>
    </w:rPr>
  </w:style>
  <w:style w:type="paragraph" w:customStyle="1" w:styleId="710">
    <w:name w:val="כותרת 71"/>
    <w:basedOn w:val="a0"/>
    <w:next w:val="a0"/>
    <w:link w:val="72"/>
    <w:uiPriority w:val="1"/>
    <w:qFormat/>
    <w:rsid w:val="002516DF"/>
    <w:pPr>
      <w:keepNext/>
      <w:keepLines/>
      <w:outlineLvl w:val="6"/>
    </w:pPr>
    <w:rPr>
      <w:rFonts w:eastAsia="Times New Roman"/>
      <w:bCs/>
      <w:spacing w:val="40"/>
    </w:rPr>
  </w:style>
  <w:style w:type="paragraph" w:customStyle="1" w:styleId="810">
    <w:name w:val="כותרת 81"/>
    <w:basedOn w:val="a0"/>
    <w:next w:val="a0"/>
    <w:link w:val="80"/>
    <w:uiPriority w:val="1"/>
    <w:qFormat/>
    <w:rsid w:val="002516DF"/>
    <w:pPr>
      <w:keepNext/>
      <w:keepLines/>
      <w:outlineLvl w:val="7"/>
    </w:pPr>
    <w:rPr>
      <w:rFonts w:eastAsia="Times New Roman"/>
      <w:spacing w:val="40"/>
    </w:rPr>
  </w:style>
  <w:style w:type="character" w:customStyle="1" w:styleId="17">
    <w:name w:val="כותרת 1 תו"/>
    <w:link w:val="110"/>
    <w:uiPriority w:val="1"/>
    <w:rsid w:val="002516DF"/>
    <w:rPr>
      <w:rFonts w:eastAsia="Times New Roman"/>
      <w:bCs/>
      <w:szCs w:val="36"/>
      <w:u w:val="single"/>
    </w:rPr>
  </w:style>
  <w:style w:type="character" w:customStyle="1" w:styleId="26">
    <w:name w:val="כותרת 2 תו"/>
    <w:link w:val="211"/>
    <w:rsid w:val="002516DF"/>
    <w:rPr>
      <w:rFonts w:eastAsia="Times New Roman"/>
      <w:bCs/>
      <w:szCs w:val="32"/>
    </w:rPr>
  </w:style>
  <w:style w:type="character" w:customStyle="1" w:styleId="33">
    <w:name w:val="כותרת 3 תו"/>
    <w:link w:val="31"/>
    <w:uiPriority w:val="1"/>
    <w:rsid w:val="002516DF"/>
    <w:rPr>
      <w:rFonts w:eastAsia="Times New Roman"/>
      <w:bCs/>
      <w:szCs w:val="28"/>
      <w:u w:val="single"/>
    </w:rPr>
  </w:style>
  <w:style w:type="character" w:customStyle="1" w:styleId="40">
    <w:name w:val="כותרת 4 תו"/>
    <w:link w:val="410"/>
    <w:uiPriority w:val="1"/>
    <w:rsid w:val="002516DF"/>
    <w:rPr>
      <w:rFonts w:eastAsia="Times New Roman"/>
      <w:bCs/>
      <w:szCs w:val="26"/>
    </w:rPr>
  </w:style>
  <w:style w:type="character" w:customStyle="1" w:styleId="50">
    <w:name w:val="כותרת 5 תו"/>
    <w:link w:val="510"/>
    <w:uiPriority w:val="1"/>
    <w:rsid w:val="002516DF"/>
    <w:rPr>
      <w:rFonts w:eastAsia="Times New Roman"/>
      <w:bCs/>
      <w:spacing w:val="40"/>
    </w:rPr>
  </w:style>
  <w:style w:type="character" w:customStyle="1" w:styleId="60">
    <w:name w:val="כותרת 6 תו"/>
    <w:link w:val="610"/>
    <w:uiPriority w:val="1"/>
    <w:rsid w:val="002516DF"/>
    <w:rPr>
      <w:rFonts w:eastAsia="Times New Roman"/>
      <w:spacing w:val="40"/>
    </w:rPr>
  </w:style>
  <w:style w:type="character" w:customStyle="1" w:styleId="72">
    <w:name w:val="כותרת 7 תו"/>
    <w:link w:val="710"/>
    <w:uiPriority w:val="1"/>
    <w:rsid w:val="002516DF"/>
    <w:rPr>
      <w:rFonts w:eastAsia="Times New Roman"/>
      <w:bCs/>
      <w:spacing w:val="40"/>
    </w:rPr>
  </w:style>
  <w:style w:type="character" w:customStyle="1" w:styleId="80">
    <w:name w:val="כותרת 8 תו"/>
    <w:link w:val="810"/>
    <w:uiPriority w:val="1"/>
    <w:rsid w:val="002516DF"/>
    <w:rPr>
      <w:rFonts w:eastAsia="Times New Roman"/>
      <w:spacing w:val="40"/>
    </w:rPr>
  </w:style>
  <w:style w:type="paragraph" w:customStyle="1" w:styleId="18">
    <w:name w:val="כותרת עליונה1"/>
    <w:basedOn w:val="a0"/>
    <w:link w:val="aff1"/>
    <w:uiPriority w:val="99"/>
    <w:unhideWhenUsed/>
    <w:rsid w:val="002516DF"/>
    <w:pPr>
      <w:tabs>
        <w:tab w:val="center" w:pos="4153"/>
        <w:tab w:val="right" w:pos="8306"/>
      </w:tabs>
      <w:spacing w:line="240" w:lineRule="auto"/>
    </w:pPr>
    <w:rPr>
      <w:rFonts w:eastAsia="Calibri"/>
    </w:rPr>
  </w:style>
  <w:style w:type="character" w:customStyle="1" w:styleId="aff1">
    <w:name w:val="כותרת עליונה תו"/>
    <w:basedOn w:val="a1"/>
    <w:link w:val="18"/>
    <w:uiPriority w:val="99"/>
    <w:rsid w:val="002516DF"/>
    <w:rPr>
      <w:rFonts w:eastAsia="Calibri"/>
    </w:rPr>
  </w:style>
  <w:style w:type="paragraph" w:customStyle="1" w:styleId="19">
    <w:name w:val="כותרת תחתונה1"/>
    <w:basedOn w:val="a0"/>
    <w:link w:val="aff2"/>
    <w:uiPriority w:val="99"/>
    <w:unhideWhenUsed/>
    <w:rsid w:val="002516DF"/>
    <w:pPr>
      <w:tabs>
        <w:tab w:val="center" w:pos="4153"/>
        <w:tab w:val="right" w:pos="8306"/>
      </w:tabs>
      <w:spacing w:line="240" w:lineRule="auto"/>
    </w:pPr>
    <w:rPr>
      <w:rFonts w:eastAsia="Calibri"/>
    </w:rPr>
  </w:style>
  <w:style w:type="character" w:customStyle="1" w:styleId="aff2">
    <w:name w:val="כותרת תחתונה תו"/>
    <w:basedOn w:val="a1"/>
    <w:link w:val="19"/>
    <w:uiPriority w:val="99"/>
    <w:rsid w:val="002516DF"/>
    <w:rPr>
      <w:rFonts w:eastAsia="Calibri"/>
    </w:rPr>
  </w:style>
  <w:style w:type="paragraph" w:customStyle="1" w:styleId="1a">
    <w:name w:val="תאריך1"/>
    <w:basedOn w:val="a0"/>
    <w:next w:val="a0"/>
    <w:link w:val="aff3"/>
    <w:uiPriority w:val="99"/>
    <w:unhideWhenUsed/>
    <w:rsid w:val="002516DF"/>
    <w:pPr>
      <w:spacing w:before="120" w:line="240" w:lineRule="auto"/>
    </w:pPr>
    <w:rPr>
      <w:rFonts w:eastAsia="Calibri"/>
    </w:rPr>
  </w:style>
  <w:style w:type="character" w:customStyle="1" w:styleId="aff3">
    <w:name w:val="תאריך תו"/>
    <w:basedOn w:val="a1"/>
    <w:link w:val="1a"/>
    <w:uiPriority w:val="99"/>
    <w:rsid w:val="002516DF"/>
    <w:rPr>
      <w:rFonts w:eastAsia="Calibri"/>
    </w:rPr>
  </w:style>
  <w:style w:type="character" w:customStyle="1" w:styleId="aff4">
    <w:name w:val="טקסט הערת שוליים תו"/>
    <w:aliases w:val=" Char תו,Char תו,FOOTNOTES תו,Footnote Text - Sharp Char Char תו,Footnote Text - Sharp Char תו,Footnote Text - Sharp תו,Footnote Text Char Char Char Char Char תו,Footnote Text תו,Footnote reference תו,Sharp - Footnote Text תו,fn תו"/>
    <w:uiPriority w:val="99"/>
    <w:rsid w:val="002516DF"/>
    <w:rPr>
      <w:szCs w:val="20"/>
    </w:rPr>
  </w:style>
  <w:style w:type="character" w:customStyle="1" w:styleId="1b">
    <w:name w:val="הפניה להערת שוליים1"/>
    <w:unhideWhenUsed/>
    <w:rsid w:val="002516DF"/>
    <w:rPr>
      <w:vertAlign w:val="superscript"/>
    </w:rPr>
  </w:style>
  <w:style w:type="paragraph" w:customStyle="1" w:styleId="1c">
    <w:name w:val="פיסקת רשימה1"/>
    <w:basedOn w:val="a0"/>
    <w:uiPriority w:val="34"/>
    <w:qFormat/>
    <w:rsid w:val="002516DF"/>
    <w:pPr>
      <w:ind w:left="720"/>
      <w:contextualSpacing/>
    </w:pPr>
    <w:rPr>
      <w:rFonts w:eastAsia="Calibri"/>
    </w:rPr>
  </w:style>
  <w:style w:type="paragraph" w:customStyle="1" w:styleId="aff5">
    <w:name w:val="סגנון רגיל +"/>
    <w:basedOn w:val="a0"/>
    <w:rsid w:val="002516DF"/>
    <w:pPr>
      <w:overflowPunct w:val="0"/>
      <w:autoSpaceDE w:val="0"/>
      <w:autoSpaceDN w:val="0"/>
      <w:adjustRightInd w:val="0"/>
      <w:spacing w:line="240" w:lineRule="auto"/>
      <w:jc w:val="left"/>
      <w:textAlignment w:val="baseline"/>
    </w:pPr>
    <w:rPr>
      <w:rFonts w:ascii="Arial" w:eastAsia="Times New Roman" w:hAnsi="Arial" w:cs="Arial"/>
      <w:sz w:val="22"/>
      <w:szCs w:val="22"/>
      <w:lang w:eastAsia="he-IL"/>
    </w:rPr>
  </w:style>
  <w:style w:type="paragraph" w:customStyle="1" w:styleId="1d">
    <w:name w:val="טקסט בלונים1"/>
    <w:basedOn w:val="a0"/>
    <w:link w:val="aff6"/>
    <w:uiPriority w:val="99"/>
    <w:semiHidden/>
    <w:unhideWhenUsed/>
    <w:rsid w:val="002516DF"/>
    <w:pPr>
      <w:spacing w:line="240" w:lineRule="auto"/>
    </w:pPr>
    <w:rPr>
      <w:rFonts w:ascii="Tahoma" w:eastAsia="Calibri" w:hAnsi="Tahoma" w:cs="Tahoma"/>
      <w:sz w:val="18"/>
      <w:szCs w:val="18"/>
    </w:rPr>
  </w:style>
  <w:style w:type="character" w:customStyle="1" w:styleId="aff6">
    <w:name w:val="טקסט בלונים תו"/>
    <w:link w:val="1d"/>
    <w:uiPriority w:val="99"/>
    <w:semiHidden/>
    <w:rsid w:val="002516DF"/>
    <w:rPr>
      <w:rFonts w:ascii="Tahoma" w:eastAsia="Calibri" w:hAnsi="Tahoma" w:cs="Tahoma"/>
      <w:sz w:val="18"/>
      <w:szCs w:val="18"/>
    </w:rPr>
  </w:style>
  <w:style w:type="paragraph" w:customStyle="1" w:styleId="1e">
    <w:name w:val="גוף טקסט1"/>
    <w:basedOn w:val="a0"/>
    <w:link w:val="1f"/>
    <w:uiPriority w:val="99"/>
    <w:rsid w:val="002516DF"/>
    <w:pPr>
      <w:spacing w:before="180" w:after="120" w:line="230" w:lineRule="exact"/>
    </w:pPr>
    <w:rPr>
      <w:rFonts w:eastAsia="Times New Roman" w:cs="FrankRuehl"/>
      <w:sz w:val="22"/>
      <w:szCs w:val="22"/>
    </w:rPr>
  </w:style>
  <w:style w:type="character" w:customStyle="1" w:styleId="aff7">
    <w:name w:val="גוף טקסט תו"/>
    <w:basedOn w:val="a1"/>
    <w:rsid w:val="002516DF"/>
  </w:style>
  <w:style w:type="character" w:customStyle="1" w:styleId="1f">
    <w:name w:val="גוף טקסט תו1"/>
    <w:link w:val="1e"/>
    <w:uiPriority w:val="99"/>
    <w:rsid w:val="002516DF"/>
    <w:rPr>
      <w:rFonts w:eastAsia="Times New Roman" w:cs="FrankRuehl"/>
      <w:sz w:val="22"/>
      <w:szCs w:val="22"/>
    </w:rPr>
  </w:style>
  <w:style w:type="character" w:customStyle="1" w:styleId="1f0">
    <w:name w:val="כותרת תחתונה תו1"/>
    <w:uiPriority w:val="99"/>
    <w:rsid w:val="002516DF"/>
    <w:rPr>
      <w:rFonts w:cs="David"/>
      <w:sz w:val="24"/>
      <w:szCs w:val="24"/>
    </w:rPr>
  </w:style>
  <w:style w:type="character" w:customStyle="1" w:styleId="1f1">
    <w:name w:val="טקסט הערת שוליים תו1"/>
    <w:aliases w:val="Sharp - Footnote Text1 Char תו"/>
    <w:locked/>
    <w:rsid w:val="002516DF"/>
    <w:rPr>
      <w:rFonts w:cs="David"/>
      <w:sz w:val="20"/>
      <w:szCs w:val="20"/>
      <w:lang w:bidi="he-IL"/>
    </w:rPr>
  </w:style>
  <w:style w:type="character" w:customStyle="1" w:styleId="90">
    <w:name w:val="כותרת 9 תו"/>
    <w:locked/>
    <w:rsid w:val="002516DF"/>
    <w:rPr>
      <w:rFonts w:ascii="Cambria" w:hAnsi="Cambria" w:cs="Times New Roman"/>
    </w:rPr>
  </w:style>
  <w:style w:type="paragraph" w:customStyle="1" w:styleId="BulletList2">
    <w:name w:val="Bullet List 2"/>
    <w:basedOn w:val="a0"/>
    <w:link w:val="BulletList20"/>
    <w:rsid w:val="002516DF"/>
    <w:pPr>
      <w:numPr>
        <w:numId w:val="2"/>
      </w:numPr>
      <w:snapToGrid w:val="0"/>
      <w:spacing w:before="120" w:line="320" w:lineRule="exact"/>
    </w:pPr>
    <w:rPr>
      <w:rFonts w:eastAsia="Times New Roman"/>
      <w:sz w:val="22"/>
      <w:szCs w:val="28"/>
      <w:lang w:eastAsia="he-IL"/>
    </w:rPr>
  </w:style>
  <w:style w:type="paragraph" w:customStyle="1" w:styleId="Hn1">
    <w:name w:val="Hn1"/>
    <w:basedOn w:val="a0"/>
    <w:next w:val="a0"/>
    <w:rsid w:val="002516DF"/>
    <w:pPr>
      <w:keepNext/>
      <w:numPr>
        <w:numId w:val="3"/>
      </w:numPr>
      <w:snapToGrid w:val="0"/>
      <w:spacing w:before="240" w:after="120" w:line="320" w:lineRule="exact"/>
      <w:outlineLvl w:val="0"/>
    </w:pPr>
    <w:rPr>
      <w:rFonts w:eastAsia="Times New Roman"/>
      <w:b/>
      <w:bCs/>
      <w:kern w:val="32"/>
      <w:sz w:val="28"/>
      <w:szCs w:val="32"/>
      <w:lang w:val="pl-PL" w:eastAsia="he-IL"/>
    </w:rPr>
  </w:style>
  <w:style w:type="character" w:customStyle="1" w:styleId="BulletList20">
    <w:name w:val="Bullet List 2 תו"/>
    <w:link w:val="BulletList2"/>
    <w:rsid w:val="002516DF"/>
    <w:rPr>
      <w:rFonts w:eastAsia="Times New Roman"/>
      <w:sz w:val="22"/>
      <w:szCs w:val="28"/>
      <w:lang w:eastAsia="he-IL"/>
    </w:rPr>
  </w:style>
  <w:style w:type="table" w:customStyle="1" w:styleId="5-11">
    <w:name w:val="טבלת רשת 5 כהה - הדגשה 11"/>
    <w:basedOn w:val="a2"/>
    <w:uiPriority w:val="50"/>
    <w:rsid w:val="002516DF"/>
    <w:pPr>
      <w:spacing w:after="0" w:line="240" w:lineRule="auto"/>
      <w:jc w:val="left"/>
    </w:pPr>
    <w:rPr>
      <w:rFonts w:eastAsia="Calibri"/>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3-11">
    <w:name w:val="טבלת רשימה 3 - הדגשה 11"/>
    <w:basedOn w:val="a2"/>
    <w:uiPriority w:val="48"/>
    <w:rsid w:val="002516DF"/>
    <w:pPr>
      <w:spacing w:after="0" w:line="240" w:lineRule="auto"/>
      <w:jc w:val="left"/>
    </w:pPr>
    <w:rPr>
      <w:rFonts w:eastAsia="Calibri"/>
      <w:szCs w:val="20"/>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310">
    <w:name w:val="טבלת רשימה 31"/>
    <w:basedOn w:val="a2"/>
    <w:uiPriority w:val="48"/>
    <w:rsid w:val="002516DF"/>
    <w:pPr>
      <w:spacing w:after="0" w:line="240" w:lineRule="auto"/>
      <w:jc w:val="left"/>
    </w:pPr>
    <w:rPr>
      <w:rFonts w:eastAsia="Calibri"/>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1f2">
    <w:name w:val="רשת טבלה בהירה1"/>
    <w:basedOn w:val="a2"/>
    <w:uiPriority w:val="40"/>
    <w:rsid w:val="002516DF"/>
    <w:pPr>
      <w:spacing w:after="0" w:line="240" w:lineRule="auto"/>
      <w:jc w:val="left"/>
    </w:pPr>
    <w:rPr>
      <w:rFonts w:eastAsia="Calibri"/>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1f3">
    <w:name w:val="הפניה להערה1"/>
    <w:uiPriority w:val="99"/>
    <w:semiHidden/>
    <w:unhideWhenUsed/>
    <w:rsid w:val="002516DF"/>
    <w:rPr>
      <w:sz w:val="16"/>
      <w:szCs w:val="16"/>
    </w:rPr>
  </w:style>
  <w:style w:type="paragraph" w:customStyle="1" w:styleId="1f4">
    <w:name w:val="טקסט הערה1"/>
    <w:basedOn w:val="a0"/>
    <w:link w:val="aff8"/>
    <w:uiPriority w:val="99"/>
    <w:unhideWhenUsed/>
    <w:rsid w:val="002516DF"/>
    <w:pPr>
      <w:spacing w:line="240" w:lineRule="auto"/>
    </w:pPr>
    <w:rPr>
      <w:rFonts w:eastAsia="Calibri"/>
      <w:szCs w:val="20"/>
    </w:rPr>
  </w:style>
  <w:style w:type="character" w:customStyle="1" w:styleId="aff8">
    <w:name w:val="טקסט הערה תו"/>
    <w:link w:val="1f4"/>
    <w:uiPriority w:val="99"/>
    <w:rsid w:val="002516DF"/>
    <w:rPr>
      <w:rFonts w:eastAsia="Calibri"/>
      <w:szCs w:val="20"/>
    </w:rPr>
  </w:style>
  <w:style w:type="paragraph" w:customStyle="1" w:styleId="1f5">
    <w:name w:val="נושא הערה1"/>
    <w:basedOn w:val="1f4"/>
    <w:next w:val="1f4"/>
    <w:link w:val="aff9"/>
    <w:uiPriority w:val="99"/>
    <w:semiHidden/>
    <w:unhideWhenUsed/>
    <w:rsid w:val="002516DF"/>
    <w:rPr>
      <w:b/>
      <w:bCs/>
    </w:rPr>
  </w:style>
  <w:style w:type="character" w:customStyle="1" w:styleId="aff9">
    <w:name w:val="נושא הערה תו"/>
    <w:link w:val="1f5"/>
    <w:uiPriority w:val="99"/>
    <w:semiHidden/>
    <w:rsid w:val="002516DF"/>
    <w:rPr>
      <w:rFonts w:eastAsia="Calibri"/>
      <w:b/>
      <w:bCs/>
      <w:szCs w:val="20"/>
    </w:rPr>
  </w:style>
  <w:style w:type="character" w:customStyle="1" w:styleId="212">
    <w:name w:val="כותרת 2 תו1"/>
    <w:basedOn w:val="a1"/>
    <w:uiPriority w:val="1"/>
    <w:rsid w:val="002516DF"/>
    <w:rPr>
      <w:rFonts w:asciiTheme="majorHAnsi" w:eastAsiaTheme="majorEastAsia" w:hAnsiTheme="majorHAnsi" w:cstheme="majorBidi"/>
      <w:color w:val="1481AB" w:themeColor="accent1" w:themeShade="BF"/>
      <w:sz w:val="26"/>
      <w:szCs w:val="26"/>
    </w:rPr>
  </w:style>
  <w:style w:type="character" w:customStyle="1" w:styleId="311">
    <w:name w:val="כותרת 3 תו1"/>
    <w:basedOn w:val="a1"/>
    <w:uiPriority w:val="1"/>
    <w:rsid w:val="002516DF"/>
    <w:rPr>
      <w:rFonts w:asciiTheme="majorHAnsi" w:eastAsiaTheme="majorEastAsia" w:hAnsiTheme="majorHAnsi" w:cstheme="majorBidi"/>
      <w:color w:val="0D5571" w:themeColor="accent1" w:themeShade="7F"/>
      <w:sz w:val="24"/>
      <w:szCs w:val="24"/>
    </w:rPr>
  </w:style>
  <w:style w:type="character" w:customStyle="1" w:styleId="1f6">
    <w:name w:val="תאריך תו1"/>
    <w:basedOn w:val="a1"/>
    <w:uiPriority w:val="99"/>
    <w:semiHidden/>
    <w:rsid w:val="002516DF"/>
    <w:rPr>
      <w:szCs w:val="24"/>
    </w:rPr>
  </w:style>
  <w:style w:type="character" w:customStyle="1" w:styleId="170">
    <w:name w:val="תו תו17"/>
    <w:semiHidden/>
    <w:locked/>
    <w:rsid w:val="002516DF"/>
    <w:rPr>
      <w:b/>
      <w:spacing w:val="40"/>
      <w:sz w:val="24"/>
      <w:lang w:val="en-US" w:eastAsia="he-IL" w:bidi="he-IL"/>
    </w:rPr>
  </w:style>
  <w:style w:type="character" w:customStyle="1" w:styleId="big-number">
    <w:name w:val="big-number"/>
    <w:basedOn w:val="a1"/>
    <w:rsid w:val="00387987"/>
  </w:style>
  <w:style w:type="paragraph" w:customStyle="1" w:styleId="p22">
    <w:name w:val="p22"/>
    <w:basedOn w:val="a0"/>
    <w:rsid w:val="00387987"/>
    <w:pPr>
      <w:bidi w:val="0"/>
      <w:spacing w:before="100" w:beforeAutospacing="1" w:after="100" w:afterAutospacing="1" w:line="240" w:lineRule="auto"/>
      <w:jc w:val="left"/>
    </w:pPr>
    <w:rPr>
      <w:rFonts w:eastAsia="Times New Roman" w:cs="Times New Roman"/>
      <w:sz w:val="24"/>
    </w:rPr>
  </w:style>
  <w:style w:type="paragraph" w:customStyle="1" w:styleId="p11">
    <w:name w:val="p11"/>
    <w:basedOn w:val="a0"/>
    <w:rsid w:val="00387987"/>
    <w:pPr>
      <w:bidi w:val="0"/>
      <w:spacing w:before="100" w:beforeAutospacing="1" w:after="100" w:afterAutospacing="1" w:line="240" w:lineRule="auto"/>
      <w:jc w:val="left"/>
    </w:pPr>
    <w:rPr>
      <w:rFonts w:eastAsia="Times New Roman" w:cs="Times New Roman"/>
      <w:sz w:val="24"/>
    </w:rPr>
  </w:style>
  <w:style w:type="table" w:customStyle="1" w:styleId="4-41">
    <w:name w:val="טבלת רשת 4 - הדגשה 41"/>
    <w:basedOn w:val="a2"/>
    <w:uiPriority w:val="49"/>
    <w:rsid w:val="00387987"/>
    <w:pPr>
      <w:spacing w:after="0" w:line="240" w:lineRule="auto"/>
    </w:p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color w:val="FFFFFF" w:themeColor="background1"/>
      </w:rPr>
      <w:tblPr/>
      <w:tcPr>
        <w:tcBorders>
          <w:top w:val="single" w:sz="4" w:space="0" w:color="42BA97" w:themeColor="accent4"/>
          <w:left w:val="single" w:sz="4" w:space="0" w:color="42BA97" w:themeColor="accent4"/>
          <w:bottom w:val="single" w:sz="4" w:space="0" w:color="42BA97" w:themeColor="accent4"/>
          <w:right w:val="single" w:sz="4" w:space="0" w:color="42BA97" w:themeColor="accent4"/>
          <w:insideH w:val="nil"/>
          <w:insideV w:val="nil"/>
        </w:tcBorders>
        <w:shd w:val="clear" w:color="auto" w:fill="42BA97" w:themeFill="accent4"/>
      </w:tcPr>
    </w:tblStylePr>
    <w:tblStylePr w:type="lastRow">
      <w:rPr>
        <w:b/>
        <w:bCs/>
      </w:rPr>
      <w:tblPr/>
      <w:tcPr>
        <w:tcBorders>
          <w:top w:val="double" w:sz="4" w:space="0" w:color="42BA97" w:themeColor="accent4"/>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1-11">
    <w:name w:val="טבלת רשת 1 בהירה - הדגשה 11"/>
    <w:basedOn w:val="a2"/>
    <w:uiPriority w:val="46"/>
    <w:rsid w:val="00387987"/>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customStyle="1" w:styleId="1-31">
    <w:name w:val="טבלת רשת 1 בהירה - הדגשה 31"/>
    <w:basedOn w:val="a2"/>
    <w:uiPriority w:val="46"/>
    <w:rsid w:val="00387987"/>
    <w:pPr>
      <w:spacing w:after="0" w:line="240" w:lineRule="auto"/>
    </w:pPr>
    <w:tblPr>
      <w:tblStyleRowBandSize w:val="1"/>
      <w:tblStyleColBandSize w:val="1"/>
      <w:tblBorders>
        <w:top w:val="single" w:sz="4" w:space="0" w:color="A8EBEF" w:themeColor="accent3" w:themeTint="66"/>
        <w:left w:val="single" w:sz="4" w:space="0" w:color="A8EBEF" w:themeColor="accent3" w:themeTint="66"/>
        <w:bottom w:val="single" w:sz="4" w:space="0" w:color="A8EBEF" w:themeColor="accent3" w:themeTint="66"/>
        <w:right w:val="single" w:sz="4" w:space="0" w:color="A8EBEF" w:themeColor="accent3" w:themeTint="66"/>
        <w:insideH w:val="single" w:sz="4" w:space="0" w:color="A8EBEF" w:themeColor="accent3" w:themeTint="66"/>
        <w:insideV w:val="single" w:sz="4" w:space="0" w:color="A8EBEF" w:themeColor="accent3" w:themeTint="66"/>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2" w:space="0" w:color="7CE1E7" w:themeColor="accent3" w:themeTint="99"/>
        </w:tcBorders>
      </w:tcPr>
    </w:tblStylePr>
    <w:tblStylePr w:type="firstCol">
      <w:rPr>
        <w:b/>
        <w:bCs/>
      </w:rPr>
    </w:tblStylePr>
    <w:tblStylePr w:type="lastCol">
      <w:rPr>
        <w:b/>
        <w:bCs/>
      </w:rPr>
    </w:tblStylePr>
  </w:style>
  <w:style w:type="table" w:customStyle="1" w:styleId="4-11">
    <w:name w:val="טבלת רשת 4 - הדגשה 11"/>
    <w:basedOn w:val="a2"/>
    <w:uiPriority w:val="49"/>
    <w:rsid w:val="00387987"/>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insideV w:val="nil"/>
        </w:tcBorders>
        <w:shd w:val="clear" w:color="auto" w:fill="1CADE4" w:themeFill="accent1"/>
      </w:tcPr>
    </w:tblStylePr>
    <w:tblStylePr w:type="lastRow">
      <w:rPr>
        <w:b/>
        <w:bCs/>
      </w:rPr>
      <w:tblPr/>
      <w:tcPr>
        <w:tcBorders>
          <w:top w:val="double" w:sz="4" w:space="0" w:color="1CADE4" w:themeColor="accent1"/>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111">
    <w:name w:val="טבלת רשת 1 בהירה1"/>
    <w:basedOn w:val="a2"/>
    <w:uiPriority w:val="46"/>
    <w:rsid w:val="003879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511">
    <w:name w:val="טבלה רגילה 51"/>
    <w:basedOn w:val="a2"/>
    <w:uiPriority w:val="45"/>
    <w:rsid w:val="003879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51">
    <w:name w:val="טבלת רשת 5 כהה - הדגשה 51"/>
    <w:basedOn w:val="a2"/>
    <w:uiPriority w:val="50"/>
    <w:rsid w:val="003879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paragraph" w:customStyle="1" w:styleId="73fa">
    <w:name w:val="73א כוכבית טקסט רץ"/>
    <w:basedOn w:val="a0"/>
    <w:qFormat/>
    <w:rsid w:val="00A6769C"/>
    <w:pPr>
      <w:spacing w:after="180" w:line="260" w:lineRule="exact"/>
      <w:jc w:val="center"/>
    </w:pPr>
    <w:rPr>
      <w:rFonts w:ascii="Segoe UI Symbol" w:hAnsi="Segoe UI Symbol" w:cs="Segoe UI Symbol"/>
      <w:color w:val="0D0D0D" w:themeColor="text1" w:themeTint="F2"/>
      <w:sz w:val="18"/>
      <w:szCs w:val="18"/>
    </w:rPr>
  </w:style>
  <w:style w:type="paragraph" w:customStyle="1" w:styleId="73fb">
    <w:name w:val="73א כוכבית בתוך קוביה"/>
    <w:basedOn w:val="735"/>
    <w:qFormat/>
    <w:rsid w:val="001F0DE8"/>
    <w:pPr>
      <w:jc w:val="center"/>
    </w:pPr>
    <w:rPr>
      <w:rFonts w:ascii="Segoe UI Symbol" w:hAnsi="Segoe UI Symbol" w:cs="Segoe UI Symbol"/>
    </w:rPr>
  </w:style>
  <w:style w:type="paragraph" w:customStyle="1" w:styleId="731">
    <w:name w:val="73א הזחה אותיות"/>
    <w:basedOn w:val="ae"/>
    <w:qFormat/>
    <w:rsid w:val="0086219D"/>
    <w:pPr>
      <w:numPr>
        <w:numId w:val="4"/>
      </w:numPr>
      <w:spacing w:after="180" w:line="260" w:lineRule="exact"/>
      <w:ind w:left="794" w:hanging="397"/>
    </w:pPr>
    <w:rPr>
      <w:rFonts w:ascii="Tahoma" w:hAnsi="Tahoma" w:cs="Tahoma"/>
      <w:color w:val="0D0D0D" w:themeColor="text1" w:themeTint="F2"/>
      <w:sz w:val="18"/>
      <w:szCs w:val="18"/>
    </w:rPr>
  </w:style>
  <w:style w:type="paragraph" w:customStyle="1" w:styleId="73">
    <w:name w:val="73א מספור בתוך קוביה"/>
    <w:basedOn w:val="ae"/>
    <w:qFormat/>
    <w:rsid w:val="00520550"/>
    <w:pPr>
      <w:numPr>
        <w:numId w:val="5"/>
      </w:numPr>
      <w:pBdr>
        <w:top w:val="single" w:sz="18" w:space="4" w:color="CEEAF6"/>
        <w:left w:val="single" w:sz="18" w:space="11" w:color="CEEAF6"/>
        <w:bottom w:val="single" w:sz="18" w:space="6" w:color="CEEAF6"/>
        <w:right w:val="single" w:sz="18" w:space="11" w:color="CEEAF6"/>
      </w:pBdr>
      <w:shd w:val="solid" w:color="CEEAF6" w:fill="CEEAF6"/>
      <w:spacing w:after="120" w:line="260" w:lineRule="exact"/>
      <w:ind w:left="1077" w:right="227" w:hanging="397"/>
      <w:contextualSpacing w:val="0"/>
    </w:pPr>
    <w:rPr>
      <w:rFonts w:ascii="Tahoma" w:hAnsi="Tahoma" w:cs="Tahoma"/>
      <w:color w:val="0D0D0D" w:themeColor="text1" w:themeTint="F2"/>
      <w:sz w:val="18"/>
      <w:szCs w:val="18"/>
    </w:rPr>
  </w:style>
  <w:style w:type="paragraph" w:customStyle="1" w:styleId="affa">
    <w:name w:val="נבנצלים"/>
    <w:basedOn w:val="a0"/>
    <w:next w:val="a0"/>
    <w:rsid w:val="00114E4E"/>
    <w:pPr>
      <w:widowControl w:val="0"/>
      <w:ind w:left="-567"/>
    </w:pPr>
    <w:rPr>
      <w:rFonts w:eastAsia="Times New Roman"/>
      <w:sz w:val="24"/>
      <w:szCs w:val="20"/>
      <w:lang w:eastAsia="he-IL"/>
    </w:rPr>
  </w:style>
  <w:style w:type="paragraph" w:styleId="affb">
    <w:name w:val="Body Text"/>
    <w:basedOn w:val="a0"/>
    <w:link w:val="27"/>
    <w:unhideWhenUsed/>
    <w:rsid w:val="00114E4E"/>
    <w:pPr>
      <w:spacing w:after="120"/>
    </w:pPr>
  </w:style>
  <w:style w:type="character" w:customStyle="1" w:styleId="27">
    <w:name w:val="גוף טקסט תו2"/>
    <w:basedOn w:val="a1"/>
    <w:link w:val="affb"/>
    <w:uiPriority w:val="99"/>
    <w:rsid w:val="00114E4E"/>
  </w:style>
  <w:style w:type="character" w:customStyle="1" w:styleId="Bodytext5">
    <w:name w:val="Body text (5)_"/>
    <w:basedOn w:val="a1"/>
    <w:link w:val="Bodytext50"/>
    <w:rsid w:val="00114E4E"/>
    <w:rPr>
      <w:rFonts w:ascii="David" w:eastAsia="David" w:hAnsi="David"/>
      <w:sz w:val="21"/>
      <w:szCs w:val="21"/>
      <w:shd w:val="clear" w:color="auto" w:fill="FFFFFF"/>
    </w:rPr>
  </w:style>
  <w:style w:type="paragraph" w:customStyle="1" w:styleId="Bodytext50">
    <w:name w:val="Body text (5)"/>
    <w:basedOn w:val="a0"/>
    <w:link w:val="Bodytext5"/>
    <w:rsid w:val="00114E4E"/>
    <w:pPr>
      <w:widowControl w:val="0"/>
      <w:shd w:val="clear" w:color="auto" w:fill="FFFFFF"/>
      <w:spacing w:before="480" w:line="234" w:lineRule="exact"/>
      <w:ind w:hanging="5440"/>
      <w:jc w:val="left"/>
    </w:pPr>
    <w:rPr>
      <w:rFonts w:ascii="David" w:eastAsia="David" w:hAnsi="David"/>
      <w:sz w:val="21"/>
      <w:szCs w:val="21"/>
    </w:rPr>
  </w:style>
  <w:style w:type="paragraph" w:styleId="affc">
    <w:name w:val="Subtitle"/>
    <w:basedOn w:val="a0"/>
    <w:next w:val="a0"/>
    <w:link w:val="affd"/>
    <w:qFormat/>
    <w:rsid w:val="00114E4E"/>
    <w:pPr>
      <w:spacing w:after="60" w:line="240" w:lineRule="auto"/>
      <w:jc w:val="center"/>
      <w:outlineLvl w:val="1"/>
    </w:pPr>
    <w:rPr>
      <w:rFonts w:ascii="Cambria" w:eastAsia="Times New Roman" w:hAnsi="Cambria" w:cs="Times New Roman"/>
      <w:sz w:val="24"/>
      <w:lang w:val="x-none" w:eastAsia="x-none"/>
    </w:rPr>
  </w:style>
  <w:style w:type="character" w:customStyle="1" w:styleId="affd">
    <w:name w:val="כותרת משנה תו"/>
    <w:basedOn w:val="a1"/>
    <w:link w:val="affc"/>
    <w:rsid w:val="00114E4E"/>
    <w:rPr>
      <w:rFonts w:ascii="Cambria" w:eastAsia="Times New Roman" w:hAnsi="Cambria" w:cs="Times New Roman"/>
      <w:sz w:val="24"/>
      <w:lang w:val="x-none" w:eastAsia="x-none"/>
    </w:rPr>
  </w:style>
  <w:style w:type="paragraph" w:styleId="z-">
    <w:name w:val="HTML Top of Form"/>
    <w:basedOn w:val="a0"/>
    <w:next w:val="a0"/>
    <w:link w:val="z-0"/>
    <w:hidden/>
    <w:uiPriority w:val="99"/>
    <w:semiHidden/>
    <w:unhideWhenUsed/>
    <w:rsid w:val="00114E4E"/>
    <w:pPr>
      <w:pBdr>
        <w:bottom w:val="single" w:sz="6" w:space="1" w:color="auto"/>
      </w:pBdr>
      <w:bidi w:val="0"/>
      <w:spacing w:line="240" w:lineRule="auto"/>
      <w:jc w:val="center"/>
    </w:pPr>
    <w:rPr>
      <w:rFonts w:ascii="Arial" w:eastAsia="Times New Roman" w:hAnsi="Arial" w:cs="Arial"/>
      <w:vanish/>
      <w:sz w:val="16"/>
      <w:szCs w:val="16"/>
    </w:rPr>
  </w:style>
  <w:style w:type="character" w:customStyle="1" w:styleId="z-0">
    <w:name w:val="z-ראש טופס תו"/>
    <w:basedOn w:val="a1"/>
    <w:link w:val="z-"/>
    <w:uiPriority w:val="99"/>
    <w:semiHidden/>
    <w:rsid w:val="00114E4E"/>
    <w:rPr>
      <w:rFonts w:ascii="Arial" w:eastAsia="Times New Roman" w:hAnsi="Arial" w:cs="Arial"/>
      <w:vanish/>
      <w:sz w:val="16"/>
      <w:szCs w:val="16"/>
    </w:rPr>
  </w:style>
  <w:style w:type="character" w:customStyle="1" w:styleId="92">
    <w:name w:val="כותרת 9 תו2"/>
    <w:basedOn w:val="a1"/>
    <w:link w:val="9"/>
    <w:uiPriority w:val="9"/>
    <w:semiHidden/>
    <w:rsid w:val="00BA23AE"/>
    <w:rPr>
      <w:rFonts w:asciiTheme="majorHAnsi" w:eastAsiaTheme="majorEastAsia" w:hAnsiTheme="majorHAnsi" w:cstheme="majorBidi"/>
      <w:i/>
      <w:iCs/>
      <w:color w:val="272727" w:themeColor="text1" w:themeTint="D8"/>
      <w:sz w:val="21"/>
      <w:szCs w:val="21"/>
    </w:rPr>
  </w:style>
  <w:style w:type="paragraph" w:customStyle="1" w:styleId="font2">
    <w:name w:val="font_2"/>
    <w:basedOn w:val="a0"/>
    <w:rsid w:val="00BA23AE"/>
    <w:pPr>
      <w:bidi w:val="0"/>
      <w:spacing w:before="100" w:beforeAutospacing="1" w:after="100" w:afterAutospacing="1" w:line="240" w:lineRule="auto"/>
      <w:jc w:val="left"/>
    </w:pPr>
    <w:rPr>
      <w:rFonts w:eastAsia="Times New Roman" w:cs="Times New Roman"/>
      <w:sz w:val="24"/>
    </w:rPr>
  </w:style>
  <w:style w:type="table" w:customStyle="1" w:styleId="4-61">
    <w:name w:val="טבלת רשת 4 - הדגשה 61"/>
    <w:basedOn w:val="a2"/>
    <w:uiPriority w:val="49"/>
    <w:rsid w:val="00BA23AE"/>
    <w:pPr>
      <w:spacing w:after="0" w:line="240" w:lineRule="auto"/>
    </w:pPr>
    <w:tblPr>
      <w:tblStyleRowBandSize w:val="1"/>
      <w:tblStyleColBandSize w:val="1"/>
      <w:tblBorders>
        <w:top w:val="single" w:sz="4" w:space="0" w:color="A0C7C5" w:themeColor="accent6" w:themeTint="99"/>
        <w:left w:val="single" w:sz="4" w:space="0" w:color="A0C7C5" w:themeColor="accent6" w:themeTint="99"/>
        <w:bottom w:val="single" w:sz="4" w:space="0" w:color="A0C7C5" w:themeColor="accent6" w:themeTint="99"/>
        <w:right w:val="single" w:sz="4" w:space="0" w:color="A0C7C5" w:themeColor="accent6" w:themeTint="99"/>
        <w:insideH w:val="single" w:sz="4" w:space="0" w:color="A0C7C5" w:themeColor="accent6" w:themeTint="99"/>
        <w:insideV w:val="single" w:sz="4" w:space="0" w:color="A0C7C5" w:themeColor="accent6" w:themeTint="99"/>
      </w:tblBorders>
    </w:tblPr>
    <w:tblStylePr w:type="firstRow">
      <w:rPr>
        <w:b/>
        <w:bCs/>
        <w:color w:val="FFFFFF" w:themeColor="background1"/>
      </w:rPr>
      <w:tblPr/>
      <w:tcPr>
        <w:tcBorders>
          <w:top w:val="single" w:sz="4" w:space="0" w:color="62A39F" w:themeColor="accent6"/>
          <w:left w:val="single" w:sz="4" w:space="0" w:color="62A39F" w:themeColor="accent6"/>
          <w:bottom w:val="single" w:sz="4" w:space="0" w:color="62A39F" w:themeColor="accent6"/>
          <w:right w:val="single" w:sz="4" w:space="0" w:color="62A39F" w:themeColor="accent6"/>
          <w:insideH w:val="nil"/>
          <w:insideV w:val="nil"/>
        </w:tcBorders>
        <w:shd w:val="clear" w:color="auto" w:fill="62A39F" w:themeFill="accent6"/>
      </w:tcPr>
    </w:tblStylePr>
    <w:tblStylePr w:type="lastRow">
      <w:rPr>
        <w:b/>
        <w:bCs/>
      </w:rPr>
      <w:tblPr/>
      <w:tcPr>
        <w:tcBorders>
          <w:top w:val="double" w:sz="4" w:space="0" w:color="62A39F" w:themeColor="accent6"/>
        </w:tcBorders>
      </w:tcPr>
    </w:tblStylePr>
    <w:tblStylePr w:type="firstCol">
      <w:rPr>
        <w:b/>
        <w:bCs/>
      </w:rPr>
    </w:tblStylePr>
    <w:tblStylePr w:type="lastCol">
      <w:rPr>
        <w:b/>
        <w:bCs/>
      </w:rPr>
    </w:tblStylePr>
    <w:tblStylePr w:type="band1Vert">
      <w:tblPr/>
      <w:tcPr>
        <w:shd w:val="clear" w:color="auto" w:fill="DFECEB" w:themeFill="accent6" w:themeFillTint="33"/>
      </w:tcPr>
    </w:tblStylePr>
    <w:tblStylePr w:type="band1Horz">
      <w:tblPr/>
      <w:tcPr>
        <w:shd w:val="clear" w:color="auto" w:fill="DFECEB" w:themeFill="accent6" w:themeFillTint="33"/>
      </w:tcPr>
    </w:tblStylePr>
  </w:style>
  <w:style w:type="table" w:customStyle="1" w:styleId="312">
    <w:name w:val="טבלת רשת 31"/>
    <w:basedOn w:val="a2"/>
    <w:uiPriority w:val="48"/>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P220">
    <w:name w:val="P22"/>
    <w:basedOn w:val="a0"/>
    <w:rsid w:val="00454096"/>
    <w:pPr>
      <w:widowControl w:val="0"/>
      <w:tabs>
        <w:tab w:val="left" w:pos="1474"/>
        <w:tab w:val="left" w:pos="1928"/>
        <w:tab w:val="left" w:pos="2381"/>
        <w:tab w:val="left" w:pos="2835"/>
        <w:tab w:val="right" w:leader="dot" w:pos="6259"/>
      </w:tabs>
      <w:suppressAutoHyphens/>
      <w:autoSpaceDE w:val="0"/>
      <w:autoSpaceDN w:val="0"/>
      <w:spacing w:before="60" w:line="240" w:lineRule="auto"/>
      <w:ind w:left="2835" w:right="1021"/>
    </w:pPr>
    <w:rPr>
      <w:rFonts w:eastAsia="Times New Roman" w:cs="FrankRuehl"/>
      <w:noProof/>
      <w:szCs w:val="26"/>
      <w:lang w:eastAsia="he-IL"/>
    </w:rPr>
  </w:style>
  <w:style w:type="paragraph" w:customStyle="1" w:styleId="P33">
    <w:name w:val="P33"/>
    <w:basedOn w:val="a0"/>
    <w:rsid w:val="00454096"/>
    <w:pPr>
      <w:widowControl w:val="0"/>
      <w:tabs>
        <w:tab w:val="left" w:pos="1928"/>
        <w:tab w:val="left" w:pos="2381"/>
        <w:tab w:val="left" w:pos="2835"/>
        <w:tab w:val="right" w:leader="dot" w:pos="6259"/>
      </w:tabs>
      <w:suppressAutoHyphens/>
      <w:autoSpaceDE w:val="0"/>
      <w:autoSpaceDN w:val="0"/>
      <w:spacing w:before="60" w:line="240" w:lineRule="auto"/>
      <w:ind w:left="2835" w:right="1474"/>
    </w:pPr>
    <w:rPr>
      <w:rFonts w:eastAsia="Times New Roman" w:cs="FrankRuehl"/>
      <w:noProof/>
      <w:szCs w:val="26"/>
      <w:lang w:eastAsia="he-IL"/>
    </w:rPr>
  </w:style>
  <w:style w:type="table" w:customStyle="1" w:styleId="6-31">
    <w:name w:val="טבלת רשת 6 צבעונית - הדגשה 31"/>
    <w:basedOn w:val="a2"/>
    <w:uiPriority w:val="51"/>
    <w:rsid w:val="00BA23A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paragraph" w:styleId="affe">
    <w:name w:val="No Spacing"/>
    <w:link w:val="afff"/>
    <w:uiPriority w:val="1"/>
    <w:qFormat/>
    <w:rsid w:val="00BA23AE"/>
    <w:pPr>
      <w:bidi/>
      <w:spacing w:after="0" w:line="240" w:lineRule="auto"/>
      <w:jc w:val="left"/>
    </w:pPr>
    <w:rPr>
      <w:rFonts w:asciiTheme="minorHAnsi" w:eastAsiaTheme="minorEastAsia" w:hAnsiTheme="minorHAnsi" w:cstheme="minorBidi"/>
      <w:sz w:val="22"/>
      <w:szCs w:val="22"/>
    </w:rPr>
  </w:style>
  <w:style w:type="character" w:customStyle="1" w:styleId="afff">
    <w:name w:val="ללא מרווח תו"/>
    <w:basedOn w:val="a1"/>
    <w:link w:val="affe"/>
    <w:uiPriority w:val="1"/>
    <w:rsid w:val="00BA23AE"/>
    <w:rPr>
      <w:rFonts w:asciiTheme="minorHAnsi" w:eastAsiaTheme="minorEastAsia" w:hAnsiTheme="minorHAnsi" w:cstheme="minorBidi"/>
      <w:sz w:val="22"/>
      <w:szCs w:val="22"/>
    </w:rPr>
  </w:style>
  <w:style w:type="paragraph" w:customStyle="1" w:styleId="CharChar">
    <w:name w:val="גופן ברירת המחדל של קטע פסקה תו Char תו Char תו"/>
    <w:basedOn w:val="a0"/>
    <w:rsid w:val="00BA23AE"/>
    <w:pPr>
      <w:keepLines/>
      <w:tabs>
        <w:tab w:val="left" w:pos="397"/>
        <w:tab w:val="left" w:pos="794"/>
        <w:tab w:val="left" w:pos="1191"/>
        <w:tab w:val="left" w:pos="1588"/>
        <w:tab w:val="left" w:pos="1985"/>
        <w:tab w:val="left" w:pos="2381"/>
        <w:tab w:val="left" w:pos="2778"/>
        <w:tab w:val="left" w:pos="3175"/>
        <w:tab w:val="left" w:pos="3572"/>
      </w:tabs>
      <w:spacing w:line="240" w:lineRule="auto"/>
    </w:pPr>
    <w:rPr>
      <w:rFonts w:ascii="Arial" w:eastAsia="Times New Roman" w:hAnsi="Arial"/>
      <w:noProof/>
      <w:sz w:val="24"/>
      <w:szCs w:val="28"/>
      <w:lang w:eastAsia="he-IL"/>
    </w:rPr>
  </w:style>
  <w:style w:type="character" w:customStyle="1" w:styleId="91">
    <w:name w:val="כותרת 9 תו1"/>
    <w:basedOn w:val="a1"/>
    <w:uiPriority w:val="9"/>
    <w:rsid w:val="00BA23AE"/>
    <w:rPr>
      <w:rFonts w:asciiTheme="majorHAnsi" w:eastAsiaTheme="majorEastAsia" w:hAnsiTheme="majorHAnsi" w:cstheme="majorBidi"/>
      <w:i/>
      <w:iCs/>
      <w:color w:val="134163" w:themeColor="accent2" w:themeShade="80"/>
      <w:sz w:val="22"/>
      <w:szCs w:val="22"/>
    </w:rPr>
  </w:style>
  <w:style w:type="table" w:customStyle="1" w:styleId="411">
    <w:name w:val="טבלת רשת 41"/>
    <w:basedOn w:val="a2"/>
    <w:uiPriority w:val="49"/>
    <w:rsid w:val="00BA23A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3">
    <w:name w:val="טבלת רשת 21"/>
    <w:basedOn w:val="a2"/>
    <w:uiPriority w:val="47"/>
    <w:rsid w:val="00BA23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afff0">
    <w:name w:val="טבלה הערות מתחת"/>
    <w:basedOn w:val="736"/>
    <w:qFormat/>
    <w:rsid w:val="00771BEC"/>
    <w:pPr>
      <w:spacing w:before="120"/>
    </w:pPr>
  </w:style>
  <w:style w:type="paragraph" w:customStyle="1" w:styleId="730">
    <w:name w:val="73א אותיות רשימה א"/>
    <w:aliases w:val="ב"/>
    <w:basedOn w:val="ae"/>
    <w:qFormat/>
    <w:rsid w:val="00A858E9"/>
    <w:pPr>
      <w:widowControl w:val="0"/>
      <w:numPr>
        <w:numId w:val="6"/>
      </w:numPr>
      <w:spacing w:after="180" w:line="260" w:lineRule="exact"/>
    </w:pPr>
    <w:rPr>
      <w:rFonts w:ascii="Tahoma" w:hAnsi="Tahoma" w:cs="Tahoma"/>
      <w:color w:val="0D0D0D" w:themeColor="text1" w:themeTint="F2"/>
      <w:sz w:val="18"/>
      <w:szCs w:val="18"/>
    </w:rPr>
  </w:style>
  <w:style w:type="paragraph" w:customStyle="1" w:styleId="afff1">
    <w:name w:val="אורח"/>
    <w:basedOn w:val="a0"/>
    <w:next w:val="a0"/>
    <w:rsid w:val="00CF1EB5"/>
    <w:pPr>
      <w:spacing w:line="240" w:lineRule="exact"/>
    </w:pPr>
    <w:rPr>
      <w:rFonts w:ascii="David" w:eastAsia="Times New Roman" w:hAnsi="David"/>
      <w:sz w:val="24"/>
      <w:u w:val="single"/>
    </w:rPr>
  </w:style>
  <w:style w:type="paragraph" w:customStyle="1" w:styleId="afff2">
    <w:name w:val="קריאות"/>
    <w:basedOn w:val="a0"/>
    <w:next w:val="a0"/>
    <w:rsid w:val="00CF1EB5"/>
    <w:pPr>
      <w:spacing w:line="240" w:lineRule="exact"/>
    </w:pPr>
    <w:rPr>
      <w:rFonts w:ascii="David" w:eastAsia="Times New Roman" w:hAnsi="David"/>
      <w:sz w:val="24"/>
      <w:u w:val="single"/>
      <w:lang w:eastAsia="he-IL"/>
    </w:rPr>
  </w:style>
  <w:style w:type="paragraph" w:customStyle="1" w:styleId="-0">
    <w:name w:val="דובר-המשך"/>
    <w:basedOn w:val="a0"/>
    <w:next w:val="a0"/>
    <w:rsid w:val="00CF1EB5"/>
    <w:pPr>
      <w:spacing w:line="240" w:lineRule="exact"/>
    </w:pPr>
    <w:rPr>
      <w:rFonts w:ascii="David" w:eastAsia="Times New Roman" w:hAnsi="David"/>
      <w:sz w:val="24"/>
      <w:u w:val="single"/>
      <w:lang w:eastAsia="he-IL"/>
    </w:rPr>
  </w:style>
  <w:style w:type="paragraph" w:customStyle="1" w:styleId="afff3">
    <w:name w:val="יור"/>
    <w:basedOn w:val="a0"/>
    <w:next w:val="a0"/>
    <w:rsid w:val="00CF1EB5"/>
    <w:pPr>
      <w:spacing w:line="240" w:lineRule="exact"/>
    </w:pPr>
    <w:rPr>
      <w:rFonts w:ascii="David" w:eastAsia="Times New Roman" w:hAnsi="David"/>
      <w:sz w:val="24"/>
      <w:u w:val="single"/>
      <w:lang w:eastAsia="he-IL"/>
    </w:rPr>
  </w:style>
  <w:style w:type="character" w:customStyle="1" w:styleId="Char">
    <w:name w:val="ציטוט בג&quot;צ Char"/>
    <w:link w:val="afff4"/>
    <w:locked/>
    <w:rsid w:val="00CF1EB5"/>
    <w:rPr>
      <w:bCs/>
      <w:noProof/>
      <w:sz w:val="24"/>
      <w:lang w:eastAsia="he-IL"/>
    </w:rPr>
  </w:style>
  <w:style w:type="paragraph" w:customStyle="1" w:styleId="afff4">
    <w:name w:val="ציטוט בג&quot;צ"/>
    <w:basedOn w:val="a0"/>
    <w:link w:val="Char"/>
    <w:qFormat/>
    <w:rsid w:val="00CF1EB5"/>
    <w:pPr>
      <w:spacing w:line="240" w:lineRule="auto"/>
      <w:ind w:left="1440" w:right="1440"/>
    </w:pPr>
    <w:rPr>
      <w:bCs/>
      <w:noProof/>
      <w:sz w:val="24"/>
      <w:lang w:eastAsia="he-IL"/>
    </w:rPr>
  </w:style>
  <w:style w:type="paragraph" w:customStyle="1" w:styleId="7380">
    <w:name w:val="73א כותרת 8"/>
    <w:basedOn w:val="8"/>
    <w:qFormat/>
    <w:rsid w:val="003855E1"/>
    <w:pPr>
      <w:spacing w:after="120"/>
    </w:pPr>
    <w:rPr>
      <w:rFonts w:ascii="Tahoma" w:hAnsi="Tahoma" w:cs="Tahoma"/>
      <w:color w:val="00305F"/>
      <w:spacing w:val="20"/>
      <w:sz w:val="19"/>
      <w:szCs w:val="19"/>
    </w:rPr>
  </w:style>
  <w:style w:type="paragraph" w:customStyle="1" w:styleId="73610">
    <w:name w:val="73א כותרת 6_10"/>
    <w:basedOn w:val="73512"/>
    <w:link w:val="736100"/>
    <w:qFormat/>
    <w:rsid w:val="0078358A"/>
    <w:pPr>
      <w:outlineLvl w:val="5"/>
    </w:pPr>
    <w:rPr>
      <w:sz w:val="20"/>
      <w:szCs w:val="20"/>
    </w:rPr>
  </w:style>
  <w:style w:type="table" w:customStyle="1" w:styleId="5-31">
    <w:name w:val="טבלת רשת 5 כהה - הדגשה 31"/>
    <w:basedOn w:val="a2"/>
    <w:uiPriority w:val="50"/>
    <w:rsid w:val="00E73D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5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CED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CED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CED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CED7" w:themeFill="accent3"/>
      </w:tcPr>
    </w:tblStylePr>
    <w:tblStylePr w:type="band1Vert">
      <w:tblPr/>
      <w:tcPr>
        <w:shd w:val="clear" w:color="auto" w:fill="A8EBEF" w:themeFill="accent3" w:themeFillTint="66"/>
      </w:tcPr>
    </w:tblStylePr>
    <w:tblStylePr w:type="band1Horz">
      <w:tblPr/>
      <w:tcPr>
        <w:shd w:val="clear" w:color="auto" w:fill="A8EBEF" w:themeFill="accent3" w:themeFillTint="66"/>
      </w:tcPr>
    </w:tblStylePr>
  </w:style>
  <w:style w:type="table" w:customStyle="1" w:styleId="2-11">
    <w:name w:val="טבלת רשת 2 - הדגשה 11"/>
    <w:basedOn w:val="a2"/>
    <w:uiPriority w:val="47"/>
    <w:rsid w:val="00E73D0E"/>
    <w:pPr>
      <w:spacing w:after="0" w:line="240" w:lineRule="auto"/>
    </w:pPr>
    <w:tblPr>
      <w:tblStyleRowBandSize w:val="1"/>
      <w:tblStyleColBandSize w:val="1"/>
      <w:tblBorders>
        <w:top w:val="single" w:sz="2" w:space="0" w:color="76CDEE" w:themeColor="accent1" w:themeTint="99"/>
        <w:bottom w:val="single" w:sz="2" w:space="0" w:color="76CDEE" w:themeColor="accent1" w:themeTint="99"/>
        <w:insideH w:val="single" w:sz="2" w:space="0" w:color="76CDEE" w:themeColor="accent1" w:themeTint="99"/>
        <w:insideV w:val="single" w:sz="2" w:space="0" w:color="76CDEE" w:themeColor="accent1" w:themeTint="99"/>
      </w:tblBorders>
    </w:tblPr>
    <w:tblStylePr w:type="firstRow">
      <w:rPr>
        <w:b/>
        <w:bCs/>
      </w:rPr>
      <w:tblPr/>
      <w:tcPr>
        <w:tcBorders>
          <w:top w:val="nil"/>
          <w:bottom w:val="single" w:sz="12" w:space="0" w:color="76CDEE" w:themeColor="accent1" w:themeTint="99"/>
          <w:insideH w:val="nil"/>
          <w:insideV w:val="nil"/>
        </w:tcBorders>
        <w:shd w:val="clear" w:color="auto" w:fill="FFFFFF" w:themeFill="background1"/>
      </w:tcPr>
    </w:tblStylePr>
    <w:tblStylePr w:type="lastRow">
      <w:rPr>
        <w:b/>
        <w:bCs/>
      </w:rPr>
      <w:tblPr/>
      <w:tcPr>
        <w:tcBorders>
          <w:top w:val="double" w:sz="2" w:space="0" w:color="76CDE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4-110">
    <w:name w:val="טבלת רשימה 4 - הדגשה 11"/>
    <w:basedOn w:val="a2"/>
    <w:uiPriority w:val="49"/>
    <w:rsid w:val="00E73D0E"/>
    <w:pPr>
      <w:spacing w:after="0" w:line="240" w:lineRule="auto"/>
    </w:p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tblBorders>
    </w:tblPr>
    <w:tblStylePr w:type="firstRow">
      <w:rPr>
        <w:b/>
        <w:bCs/>
        <w:color w:val="FFFFFF" w:themeColor="background1"/>
      </w:rPr>
      <w:tblPr/>
      <w:tcPr>
        <w:tcBorders>
          <w:top w:val="single" w:sz="4" w:space="0" w:color="1CADE4" w:themeColor="accent1"/>
          <w:left w:val="single" w:sz="4" w:space="0" w:color="1CADE4" w:themeColor="accent1"/>
          <w:bottom w:val="single" w:sz="4" w:space="0" w:color="1CADE4" w:themeColor="accent1"/>
          <w:right w:val="single" w:sz="4" w:space="0" w:color="1CADE4" w:themeColor="accent1"/>
          <w:insideH w:val="nil"/>
        </w:tcBorders>
        <w:shd w:val="clear" w:color="auto" w:fill="1CADE4" w:themeFill="accent1"/>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customStyle="1" w:styleId="6-11">
    <w:name w:val="טבלת רשת 6 צבעונית - הדגשה 11"/>
    <w:basedOn w:val="a2"/>
    <w:uiPriority w:val="51"/>
    <w:rsid w:val="00E73D0E"/>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character" w:customStyle="1" w:styleId="1f7">
    <w:name w:val="כותרת טקסט1"/>
    <w:basedOn w:val="a1"/>
    <w:rsid w:val="00D81F77"/>
  </w:style>
  <w:style w:type="paragraph" w:customStyle="1" w:styleId="a">
    <w:name w:val="כותרת סעיף"/>
    <w:basedOn w:val="a0"/>
    <w:rsid w:val="005F7321"/>
    <w:pPr>
      <w:numPr>
        <w:numId w:val="7"/>
      </w:numPr>
      <w:spacing w:before="240" w:line="360" w:lineRule="auto"/>
    </w:pPr>
    <w:rPr>
      <w:rFonts w:ascii="Arial" w:eastAsia="Times New Roman" w:hAnsi="Arial" w:cs="Arial"/>
      <w:b/>
      <w:bCs/>
      <w:color w:val="1B3461"/>
      <w:sz w:val="22"/>
      <w:szCs w:val="22"/>
    </w:rPr>
  </w:style>
  <w:style w:type="paragraph" w:customStyle="1" w:styleId="73BULLETS">
    <w:name w:val="73א בולטים BULLETS ריק"/>
    <w:basedOn w:val="ae"/>
    <w:qFormat/>
    <w:rsid w:val="00497FC7"/>
    <w:pPr>
      <w:widowControl w:val="0"/>
      <w:numPr>
        <w:numId w:val="8"/>
      </w:numPr>
      <w:spacing w:after="180" w:line="260" w:lineRule="exact"/>
      <w:ind w:left="397" w:hanging="397"/>
      <w:contextualSpacing w:val="0"/>
    </w:pPr>
    <w:rPr>
      <w:rFonts w:ascii="Tahoma" w:eastAsia="Times New Roman" w:hAnsi="Tahoma" w:cs="Tahoma"/>
      <w:color w:val="0D0D0D" w:themeColor="text1" w:themeTint="F2"/>
      <w:sz w:val="18"/>
      <w:szCs w:val="18"/>
      <w:lang w:eastAsia="he-IL"/>
    </w:rPr>
  </w:style>
  <w:style w:type="paragraph" w:customStyle="1" w:styleId="73BULLETS07">
    <w:name w:val="73א בולטים BULLETS ריק הזחה 0.7"/>
    <w:basedOn w:val="73BULLETS"/>
    <w:qFormat/>
    <w:rsid w:val="00AA4F04"/>
    <w:pPr>
      <w:ind w:left="794"/>
    </w:pPr>
  </w:style>
  <w:style w:type="character" w:customStyle="1" w:styleId="EndnoteTextChar1">
    <w:name w:val="Endnote Text Char1"/>
    <w:basedOn w:val="a1"/>
    <w:uiPriority w:val="99"/>
    <w:semiHidden/>
    <w:rsid w:val="00DF2BC6"/>
    <w:rPr>
      <w:szCs w:val="20"/>
    </w:rPr>
  </w:style>
  <w:style w:type="character" w:customStyle="1" w:styleId="UnresolvedMention1">
    <w:name w:val="Unresolved Mention1"/>
    <w:basedOn w:val="a1"/>
    <w:uiPriority w:val="99"/>
    <w:semiHidden/>
    <w:unhideWhenUsed/>
    <w:rsid w:val="00B24213"/>
    <w:rPr>
      <w:color w:val="605E5C"/>
      <w:shd w:val="clear" w:color="auto" w:fill="E1DFDD"/>
    </w:rPr>
  </w:style>
  <w:style w:type="character" w:customStyle="1" w:styleId="Bodytext4">
    <w:name w:val="Body text (4)_"/>
    <w:basedOn w:val="a1"/>
    <w:link w:val="Bodytext40"/>
    <w:rsid w:val="008C0B8B"/>
    <w:rPr>
      <w:rFonts w:ascii="David" w:eastAsia="David" w:hAnsi="David"/>
      <w:b/>
      <w:bCs/>
      <w:sz w:val="22"/>
      <w:szCs w:val="22"/>
      <w:shd w:val="clear" w:color="auto" w:fill="FFFFFF"/>
    </w:rPr>
  </w:style>
  <w:style w:type="paragraph" w:customStyle="1" w:styleId="Bodytext40">
    <w:name w:val="Body text (4)"/>
    <w:basedOn w:val="a0"/>
    <w:link w:val="Bodytext4"/>
    <w:rsid w:val="008C0B8B"/>
    <w:pPr>
      <w:widowControl w:val="0"/>
      <w:shd w:val="clear" w:color="auto" w:fill="FFFFFF"/>
      <w:adjustRightInd w:val="0"/>
      <w:spacing w:before="480" w:after="60" w:line="0" w:lineRule="atLeast"/>
      <w:ind w:hanging="360"/>
      <w:jc w:val="center"/>
      <w:textAlignment w:val="baseline"/>
    </w:pPr>
    <w:rPr>
      <w:rFonts w:ascii="David" w:eastAsia="David" w:hAnsi="David"/>
      <w:b/>
      <w:bCs/>
      <w:sz w:val="22"/>
      <w:szCs w:val="22"/>
    </w:rPr>
  </w:style>
  <w:style w:type="character" w:customStyle="1" w:styleId="Bodytext6NotItalic">
    <w:name w:val="Body text (6) + Not Italic"/>
    <w:basedOn w:val="a1"/>
    <w:rsid w:val="008C0B8B"/>
    <w:rPr>
      <w:rFonts w:ascii="David" w:eastAsia="David" w:hAnsi="David" w:cs="David"/>
      <w:b w:val="0"/>
      <w:bCs w:val="0"/>
      <w:i/>
      <w:iCs/>
      <w:smallCaps w:val="0"/>
      <w:strike w:val="0"/>
      <w:color w:val="000000"/>
      <w:spacing w:val="0"/>
      <w:w w:val="100"/>
      <w:position w:val="0"/>
      <w:sz w:val="22"/>
      <w:szCs w:val="22"/>
      <w:u w:val="none"/>
      <w:lang w:val="he-IL" w:eastAsia="he-IL" w:bidi="he-IL"/>
    </w:rPr>
  </w:style>
  <w:style w:type="paragraph" w:customStyle="1" w:styleId="big-header">
    <w:name w:val="big-header"/>
    <w:basedOn w:val="a0"/>
    <w:rsid w:val="00205724"/>
    <w:pPr>
      <w:keepNext/>
      <w:keepLines/>
      <w:widowControl w:val="0"/>
      <w:tabs>
        <w:tab w:val="left" w:pos="624"/>
        <w:tab w:val="left" w:pos="1021"/>
        <w:tab w:val="left" w:pos="1474"/>
        <w:tab w:val="left" w:pos="1928"/>
        <w:tab w:val="left" w:pos="2381"/>
        <w:tab w:val="left" w:pos="2835"/>
      </w:tabs>
      <w:suppressAutoHyphens/>
      <w:autoSpaceDE w:val="0"/>
      <w:autoSpaceDN w:val="0"/>
      <w:spacing w:before="440" w:after="120" w:line="240" w:lineRule="auto"/>
      <w:ind w:left="2835"/>
      <w:jc w:val="center"/>
    </w:pPr>
    <w:rPr>
      <w:rFonts w:eastAsia="Times New Roman" w:cs="FrankRuehl"/>
      <w:noProof/>
      <w:szCs w:val="32"/>
      <w:lang w:eastAsia="he-IL"/>
    </w:rPr>
  </w:style>
  <w:style w:type="character" w:customStyle="1" w:styleId="UnresolvedMention11">
    <w:name w:val="Unresolved Mention11"/>
    <w:basedOn w:val="a1"/>
    <w:uiPriority w:val="99"/>
    <w:semiHidden/>
    <w:unhideWhenUsed/>
    <w:rsid w:val="00205724"/>
    <w:rPr>
      <w:color w:val="605E5C"/>
      <w:shd w:val="clear" w:color="auto" w:fill="E1DFDD"/>
    </w:rPr>
  </w:style>
  <w:style w:type="character" w:customStyle="1" w:styleId="Bodytext7Exact">
    <w:name w:val="Body text (7)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NotBoldExact">
    <w:name w:val="Body text (7) + Not Bold Exact"/>
    <w:basedOn w:val="Bodytext7"/>
    <w:rsid w:val="003B6D05"/>
    <w:rPr>
      <w:rFonts w:ascii="Tahoma" w:eastAsia="Tahoma" w:hAnsi="Tahoma" w:cs="Tahoma"/>
      <w:b/>
      <w:bCs/>
      <w:i w:val="0"/>
      <w:iCs w:val="0"/>
      <w:smallCaps w:val="0"/>
      <w:strike w:val="0"/>
      <w:color w:val="FFFFFF"/>
      <w:sz w:val="22"/>
      <w:szCs w:val="22"/>
      <w:u w:val="none"/>
      <w:shd w:val="clear" w:color="auto" w:fill="FFFFFF"/>
    </w:rPr>
  </w:style>
  <w:style w:type="character" w:customStyle="1" w:styleId="Bodytext713pt">
    <w:name w:val="Body text (7) + 13 pt"/>
    <w:aliases w:val="Not Bold Exact"/>
    <w:basedOn w:val="Bodytext7"/>
    <w:rsid w:val="003B6D05"/>
    <w:rPr>
      <w:rFonts w:ascii="Tahoma" w:eastAsia="Tahoma" w:hAnsi="Tahoma" w:cs="Tahoma"/>
      <w:b/>
      <w:bCs/>
      <w:i w:val="0"/>
      <w:iCs w:val="0"/>
      <w:smallCaps w:val="0"/>
      <w:strike w:val="0"/>
      <w:color w:val="FFFFFF"/>
      <w:sz w:val="26"/>
      <w:szCs w:val="26"/>
      <w:u w:val="none"/>
      <w:shd w:val="clear" w:color="auto" w:fill="FFFFFF"/>
    </w:rPr>
  </w:style>
  <w:style w:type="paragraph" w:customStyle="1" w:styleId="afff5">
    <w:name w:val="טקסט רץ"/>
    <w:basedOn w:val="100"/>
    <w:link w:val="Char0"/>
    <w:qFormat/>
    <w:rsid w:val="00D17911"/>
    <w:pPr>
      <w:spacing w:after="180" w:line="260" w:lineRule="exact"/>
    </w:pPr>
    <w:rPr>
      <w:color w:val="0D0D0D"/>
      <w:szCs w:val="18"/>
    </w:rPr>
  </w:style>
  <w:style w:type="paragraph" w:customStyle="1" w:styleId="214">
    <w:name w:val="הערות שוליים 21"/>
    <w:basedOn w:val="a7"/>
    <w:link w:val="21Char"/>
    <w:qFormat/>
    <w:rsid w:val="001D2243"/>
    <w:pPr>
      <w:spacing w:after="60" w:line="220" w:lineRule="exact"/>
      <w:ind w:left="397" w:hanging="397"/>
    </w:pPr>
    <w:rPr>
      <w:rFonts w:ascii="Tahoma" w:hAnsi="Tahoma" w:cs="Tahoma"/>
      <w:color w:val="0D0D0D" w:themeColor="text1" w:themeTint="F2"/>
      <w:sz w:val="14"/>
      <w:szCs w:val="14"/>
    </w:rPr>
  </w:style>
  <w:style w:type="character" w:customStyle="1" w:styleId="10Char">
    <w:name w:val="טקסט רץ 10 Char"/>
    <w:basedOn w:val="a1"/>
    <w:link w:val="100"/>
    <w:rsid w:val="00D17911"/>
    <w:rPr>
      <w:rFonts w:ascii="Tahoma" w:hAnsi="Tahoma" w:cs="Tahoma"/>
      <w:szCs w:val="20"/>
    </w:rPr>
  </w:style>
  <w:style w:type="character" w:customStyle="1" w:styleId="Char0">
    <w:name w:val="טקסט רץ Char"/>
    <w:basedOn w:val="10Char"/>
    <w:link w:val="afff5"/>
    <w:rsid w:val="00D17911"/>
    <w:rPr>
      <w:rFonts w:ascii="Tahoma" w:hAnsi="Tahoma" w:cs="Tahoma"/>
      <w:color w:val="0D0D0D"/>
      <w:szCs w:val="18"/>
    </w:rPr>
  </w:style>
  <w:style w:type="character" w:customStyle="1" w:styleId="21Char">
    <w:name w:val="הערות שוליים 21 Char"/>
    <w:basedOn w:val="30"/>
    <w:link w:val="214"/>
    <w:rsid w:val="001D2243"/>
    <w:rPr>
      <w:rFonts w:ascii="Tahoma" w:hAnsi="Tahoma" w:cs="Tahoma"/>
      <w:color w:val="0D0D0D" w:themeColor="text1" w:themeTint="F2"/>
      <w:sz w:val="14"/>
      <w:szCs w:val="14"/>
    </w:rPr>
  </w:style>
  <w:style w:type="paragraph" w:customStyle="1" w:styleId="22021">
    <w:name w:val="כותרת 2 תקציר 2021"/>
    <w:basedOn w:val="121"/>
    <w:link w:val="22021Char"/>
    <w:qFormat/>
    <w:rsid w:val="00E64141"/>
    <w:pPr>
      <w:spacing w:before="360" w:after="240" w:line="440" w:lineRule="exact"/>
      <w:jc w:val="left"/>
      <w:outlineLvl w:val="1"/>
    </w:pPr>
    <w:rPr>
      <w:b/>
      <w:bCs/>
      <w:color w:val="00305F"/>
      <w:sz w:val="34"/>
      <w:szCs w:val="34"/>
    </w:rPr>
  </w:style>
  <w:style w:type="paragraph" w:customStyle="1" w:styleId="afff6">
    <w:name w:val="אייקון טורקיז רקע"/>
    <w:basedOn w:val="121"/>
    <w:link w:val="Char1"/>
    <w:qFormat/>
    <w:rsid w:val="00C51CB1"/>
    <w:pPr>
      <w:spacing w:before="360" w:after="240" w:line="440" w:lineRule="exact"/>
      <w:jc w:val="left"/>
      <w:outlineLvl w:val="1"/>
    </w:pPr>
    <w:rPr>
      <w:b/>
      <w:bCs/>
      <w:noProof/>
      <w:color w:val="00305F"/>
      <w:sz w:val="22"/>
      <w:szCs w:val="22"/>
      <w:lang w:val="he-IL"/>
    </w:rPr>
  </w:style>
  <w:style w:type="character" w:customStyle="1" w:styleId="121Char">
    <w:name w:val="כותרת 1_21 Char"/>
    <w:basedOn w:val="a1"/>
    <w:link w:val="121"/>
    <w:rsid w:val="00454096"/>
    <w:rPr>
      <w:rFonts w:ascii="Tahoma" w:eastAsiaTheme="minorEastAsia" w:hAnsi="Tahoma" w:cs="Tahoma"/>
      <w:color w:val="2A2AA6"/>
      <w:sz w:val="42"/>
      <w:szCs w:val="42"/>
    </w:rPr>
  </w:style>
  <w:style w:type="character" w:customStyle="1" w:styleId="22021Char">
    <w:name w:val="כותרת 2 תקציר 2021 Char"/>
    <w:basedOn w:val="121Char"/>
    <w:link w:val="22021"/>
    <w:rsid w:val="00E64141"/>
    <w:rPr>
      <w:rFonts w:ascii="Tahoma" w:eastAsiaTheme="minorEastAsia" w:hAnsi="Tahoma" w:cs="Tahoma"/>
      <w:b/>
      <w:bCs/>
      <w:color w:val="00305F"/>
      <w:sz w:val="34"/>
      <w:szCs w:val="34"/>
    </w:rPr>
  </w:style>
  <w:style w:type="paragraph" w:customStyle="1" w:styleId="12021">
    <w:name w:val="כותרת 1   2021"/>
    <w:basedOn w:val="121"/>
    <w:link w:val="12021Char"/>
    <w:qFormat/>
    <w:rsid w:val="008D750B"/>
    <w:pPr>
      <w:spacing w:before="360" w:after="180" w:line="440" w:lineRule="exact"/>
    </w:pPr>
    <w:rPr>
      <w:b/>
      <w:bCs/>
      <w:color w:val="00305F"/>
      <w:sz w:val="34"/>
      <w:szCs w:val="34"/>
    </w:rPr>
  </w:style>
  <w:style w:type="character" w:customStyle="1" w:styleId="Char1">
    <w:name w:val="אייקון טורקיז רקע Char"/>
    <w:basedOn w:val="121Char"/>
    <w:link w:val="afff6"/>
    <w:rsid w:val="00C51CB1"/>
    <w:rPr>
      <w:rFonts w:ascii="Tahoma" w:eastAsiaTheme="minorEastAsia" w:hAnsi="Tahoma" w:cs="Tahoma"/>
      <w:b/>
      <w:bCs/>
      <w:noProof/>
      <w:color w:val="00305F"/>
      <w:sz w:val="22"/>
      <w:szCs w:val="22"/>
      <w:lang w:val="he-IL"/>
    </w:rPr>
  </w:style>
  <w:style w:type="paragraph" w:customStyle="1" w:styleId="2021">
    <w:name w:val="מספרים גדולים בטבלת תקציר 2021"/>
    <w:basedOn w:val="121"/>
    <w:link w:val="2021Char"/>
    <w:qFormat/>
    <w:rsid w:val="00C27BF6"/>
    <w:pPr>
      <w:spacing w:before="120" w:line="240" w:lineRule="auto"/>
      <w:jc w:val="left"/>
    </w:pPr>
    <w:rPr>
      <w:b/>
      <w:bCs/>
      <w:color w:val="0D0D0D" w:themeColor="text1" w:themeTint="F2"/>
      <w:sz w:val="36"/>
      <w:szCs w:val="36"/>
    </w:rPr>
  </w:style>
  <w:style w:type="character" w:customStyle="1" w:styleId="12021Char">
    <w:name w:val="כותרת 1   2021 Char"/>
    <w:basedOn w:val="121Char"/>
    <w:link w:val="12021"/>
    <w:rsid w:val="008D750B"/>
    <w:rPr>
      <w:rFonts w:ascii="Tahoma" w:eastAsiaTheme="minorEastAsia" w:hAnsi="Tahoma" w:cs="Tahoma"/>
      <w:b/>
      <w:bCs/>
      <w:color w:val="00305F"/>
      <w:sz w:val="34"/>
      <w:szCs w:val="34"/>
    </w:rPr>
  </w:style>
  <w:style w:type="paragraph" w:customStyle="1" w:styleId="20210">
    <w:name w:val="ערכים בלוח התקציר 2021"/>
    <w:basedOn w:val="121"/>
    <w:link w:val="2021Char0"/>
    <w:qFormat/>
    <w:rsid w:val="00C27BF6"/>
    <w:pPr>
      <w:spacing w:before="0" w:after="180" w:line="240" w:lineRule="auto"/>
      <w:jc w:val="left"/>
    </w:pPr>
    <w:rPr>
      <w:color w:val="0D0D0D" w:themeColor="text1" w:themeTint="F2"/>
      <w:w w:val="90"/>
      <w:sz w:val="18"/>
      <w:szCs w:val="18"/>
    </w:rPr>
  </w:style>
  <w:style w:type="character" w:customStyle="1" w:styleId="2021Char">
    <w:name w:val="מספרים גדולים בטבלת תקציר 2021 Char"/>
    <w:basedOn w:val="121Char"/>
    <w:link w:val="2021"/>
    <w:rsid w:val="00C27BF6"/>
    <w:rPr>
      <w:rFonts w:ascii="Tahoma" w:eastAsiaTheme="minorEastAsia" w:hAnsi="Tahoma" w:cs="Tahoma"/>
      <w:b/>
      <w:bCs/>
      <w:color w:val="0D0D0D" w:themeColor="text1" w:themeTint="F2"/>
      <w:sz w:val="36"/>
      <w:szCs w:val="36"/>
    </w:rPr>
  </w:style>
  <w:style w:type="paragraph" w:customStyle="1" w:styleId="732021">
    <w:name w:val="73א כיתוב בתוך טבלת תקציר 2021"/>
    <w:basedOn w:val="20210"/>
    <w:link w:val="7320210"/>
    <w:qFormat/>
    <w:rsid w:val="00662020"/>
    <w:pPr>
      <w:keepNext/>
      <w:spacing w:before="60" w:line="260" w:lineRule="exact"/>
    </w:pPr>
  </w:style>
  <w:style w:type="character" w:customStyle="1" w:styleId="2021Char0">
    <w:name w:val="ערכים בלוח התקציר 2021 Char"/>
    <w:basedOn w:val="121Char"/>
    <w:link w:val="20210"/>
    <w:rsid w:val="00C27BF6"/>
    <w:rPr>
      <w:rFonts w:ascii="Tahoma" w:eastAsiaTheme="minorEastAsia" w:hAnsi="Tahoma" w:cs="Tahoma"/>
      <w:color w:val="0D0D0D" w:themeColor="text1" w:themeTint="F2"/>
      <w:w w:val="90"/>
      <w:sz w:val="18"/>
      <w:szCs w:val="18"/>
    </w:rPr>
  </w:style>
  <w:style w:type="character" w:customStyle="1" w:styleId="7320210">
    <w:name w:val="73א כיתוב בתוך טבלת תקציר 2021 תו"/>
    <w:basedOn w:val="2021Char0"/>
    <w:link w:val="732021"/>
    <w:rsid w:val="00662020"/>
    <w:rPr>
      <w:rFonts w:ascii="Tahoma" w:eastAsiaTheme="minorEastAsia" w:hAnsi="Tahoma" w:cs="Tahoma"/>
      <w:color w:val="0D0D0D" w:themeColor="text1" w:themeTint="F2"/>
      <w:w w:val="90"/>
      <w:sz w:val="18"/>
      <w:szCs w:val="18"/>
    </w:rPr>
  </w:style>
  <w:style w:type="paragraph" w:customStyle="1" w:styleId="215">
    <w:name w:val="סיכום תקציר 21"/>
    <w:basedOn w:val="a0"/>
    <w:link w:val="21Char0"/>
    <w:qFormat/>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216">
    <w:name w:val="עיקרי המלצות הביקורת 21"/>
    <w:basedOn w:val="a0"/>
    <w:link w:val="21Char1"/>
    <w:qFormat/>
    <w:rsid w:val="00454096"/>
    <w:pPr>
      <w:spacing w:after="180" w:line="240" w:lineRule="atLeast"/>
      <w:jc w:val="left"/>
      <w:outlineLvl w:val="1"/>
    </w:pPr>
    <w:rPr>
      <w:rFonts w:ascii="Tahoma" w:eastAsiaTheme="minorEastAsia" w:hAnsi="Tahoma" w:cs="Tahoma"/>
      <w:b/>
      <w:bCs/>
      <w:color w:val="002E5F"/>
      <w:sz w:val="34"/>
      <w:szCs w:val="32"/>
    </w:rPr>
  </w:style>
  <w:style w:type="character" w:customStyle="1" w:styleId="21Char0">
    <w:name w:val="סיכום תקציר 21 Char"/>
    <w:basedOn w:val="a1"/>
    <w:link w:val="215"/>
    <w:rsid w:val="00454096"/>
    <w:rPr>
      <w:rFonts w:ascii="Tahoma" w:eastAsiaTheme="minorEastAsia" w:hAnsi="Tahoma" w:cs="Tahoma"/>
      <w:b/>
      <w:bCs/>
      <w:color w:val="00305F"/>
      <w:sz w:val="34"/>
      <w:szCs w:val="32"/>
    </w:rPr>
  </w:style>
  <w:style w:type="paragraph" w:customStyle="1" w:styleId="210">
    <w:name w:val="פעולות הביקורת 21"/>
    <w:basedOn w:val="a0"/>
    <w:link w:val="21Char2"/>
    <w:qFormat/>
    <w:rsid w:val="00454096"/>
    <w:pPr>
      <w:spacing w:after="180" w:line="240" w:lineRule="atLeast"/>
      <w:jc w:val="left"/>
      <w:outlineLvl w:val="1"/>
    </w:pPr>
    <w:rPr>
      <w:rFonts w:ascii="Tahoma" w:eastAsiaTheme="minorEastAsia" w:hAnsi="Tahoma" w:cs="Tahoma"/>
      <w:bCs/>
      <w:color w:val="00305F"/>
      <w:sz w:val="32"/>
      <w:szCs w:val="32"/>
    </w:rPr>
  </w:style>
  <w:style w:type="character" w:customStyle="1" w:styleId="21Char1">
    <w:name w:val="עיקרי המלצות הביקורת 21 Char"/>
    <w:basedOn w:val="a1"/>
    <w:link w:val="216"/>
    <w:rsid w:val="00454096"/>
    <w:rPr>
      <w:rFonts w:ascii="Tahoma" w:eastAsiaTheme="minorEastAsia" w:hAnsi="Tahoma" w:cs="Tahoma"/>
      <w:b/>
      <w:bCs/>
      <w:color w:val="002E5F"/>
      <w:sz w:val="34"/>
      <w:szCs w:val="32"/>
    </w:rPr>
  </w:style>
  <w:style w:type="character" w:customStyle="1" w:styleId="21Char2">
    <w:name w:val="פעולות הביקורת 21 Char"/>
    <w:basedOn w:val="a1"/>
    <w:link w:val="210"/>
    <w:rsid w:val="00454096"/>
    <w:rPr>
      <w:rFonts w:ascii="Tahoma" w:eastAsiaTheme="minorEastAsia" w:hAnsi="Tahoma" w:cs="Tahoma"/>
      <w:b w:val="0"/>
      <w:bCs/>
      <w:color w:val="00305F"/>
      <w:sz w:val="32"/>
      <w:szCs w:val="32"/>
    </w:rPr>
  </w:style>
  <w:style w:type="paragraph" w:customStyle="1" w:styleId="217">
    <w:name w:val="פעולות הביקורת21"/>
    <w:basedOn w:val="a0"/>
    <w:link w:val="21Char3"/>
    <w:qFormat/>
    <w:rsid w:val="001F3363"/>
    <w:pPr>
      <w:spacing w:after="180" w:line="260" w:lineRule="exact"/>
      <w:ind w:left="-1"/>
    </w:pPr>
    <w:rPr>
      <w:rFonts w:ascii="Tahoma" w:hAnsi="Tahoma" w:cs="Tahoma"/>
      <w:sz w:val="18"/>
      <w:szCs w:val="18"/>
    </w:rPr>
  </w:style>
  <w:style w:type="paragraph" w:customStyle="1" w:styleId="20211">
    <w:name w:val="טקסט רץ 2021"/>
    <w:basedOn w:val="a0"/>
    <w:rsid w:val="00454096"/>
    <w:pPr>
      <w:spacing w:after="180" w:line="240" w:lineRule="atLeast"/>
      <w:jc w:val="left"/>
      <w:outlineLvl w:val="1"/>
    </w:pPr>
    <w:rPr>
      <w:rFonts w:ascii="Tahoma" w:eastAsiaTheme="minorEastAsia" w:hAnsi="Tahoma" w:cs="Tahoma"/>
      <w:b/>
      <w:bCs/>
      <w:color w:val="00305F"/>
      <w:sz w:val="34"/>
      <w:szCs w:val="32"/>
    </w:rPr>
  </w:style>
  <w:style w:type="paragraph" w:customStyle="1" w:styleId="afff7">
    <w:name w:val="לוחות/תרשימים/תמונות/אינפוגרפיקה/מפות"/>
    <w:basedOn w:val="a0"/>
    <w:qFormat/>
    <w:rsid w:val="00A93F51"/>
    <w:pPr>
      <w:keepNext/>
      <w:spacing w:after="200"/>
      <w:jc w:val="center"/>
    </w:pPr>
    <w:rPr>
      <w:rFonts w:ascii="Tahoma" w:eastAsiaTheme="minorEastAsia" w:hAnsi="Tahoma" w:cs="Tahoma"/>
      <w:color w:val="1481AB" w:themeColor="accent1" w:themeShade="BF"/>
      <w:szCs w:val="20"/>
    </w:rPr>
  </w:style>
  <w:style w:type="paragraph" w:customStyle="1" w:styleId="73fc">
    <w:name w:val="73א כותרת סיכום"/>
    <w:basedOn w:val="733155"/>
    <w:qFormat/>
    <w:rsid w:val="00662020"/>
    <w:rPr>
      <w:b w:val="0"/>
    </w:rPr>
  </w:style>
  <w:style w:type="paragraph" w:customStyle="1" w:styleId="73fd">
    <w:name w:val="73א תמונת המצב העולה מן הביקורת"/>
    <w:basedOn w:val="210"/>
    <w:link w:val="73fe"/>
    <w:qFormat/>
    <w:rsid w:val="00F07E70"/>
    <w:pPr>
      <w:keepNext/>
      <w:keepLines/>
      <w:pBdr>
        <w:top w:val="single" w:sz="12" w:space="5" w:color="auto"/>
      </w:pBdr>
      <w:spacing w:before="360"/>
      <w:outlineLvl w:val="9"/>
    </w:pPr>
    <w:rPr>
      <w:sz w:val="31"/>
      <w:szCs w:val="31"/>
    </w:rPr>
  </w:style>
  <w:style w:type="character" w:customStyle="1" w:styleId="73fe">
    <w:name w:val="73א תמונת המצב העולה מן הביקורת תו"/>
    <w:basedOn w:val="21Char2"/>
    <w:link w:val="73fd"/>
    <w:rsid w:val="00F07E70"/>
    <w:rPr>
      <w:rFonts w:ascii="Tahoma" w:eastAsiaTheme="minorEastAsia" w:hAnsi="Tahoma" w:cs="Tahoma"/>
      <w:b w:val="0"/>
      <w:bCs/>
      <w:color w:val="00305F"/>
      <w:sz w:val="31"/>
      <w:szCs w:val="31"/>
    </w:rPr>
  </w:style>
  <w:style w:type="paragraph" w:customStyle="1" w:styleId="7320">
    <w:name w:val="73א כותרת 2"/>
    <w:link w:val="7321"/>
    <w:qFormat/>
    <w:rsid w:val="00BB0517"/>
    <w:pPr>
      <w:keepNext/>
      <w:keepLines/>
      <w:bidi/>
      <w:spacing w:before="360" w:after="240" w:line="240" w:lineRule="atLeast"/>
      <w:jc w:val="left"/>
      <w:outlineLvl w:val="1"/>
    </w:pPr>
    <w:rPr>
      <w:rFonts w:ascii="Tahoma" w:hAnsi="Tahoma" w:cs="Tahoma"/>
      <w:b/>
      <w:bCs/>
      <w:color w:val="00305F"/>
      <w:sz w:val="34"/>
      <w:szCs w:val="34"/>
    </w:rPr>
  </w:style>
  <w:style w:type="character" w:customStyle="1" w:styleId="7321">
    <w:name w:val="73א כותרת 2 תו"/>
    <w:basedOn w:val="a1"/>
    <w:link w:val="7320"/>
    <w:rsid w:val="00BB0517"/>
    <w:rPr>
      <w:rFonts w:ascii="Tahoma" w:hAnsi="Tahoma" w:cs="Tahoma"/>
      <w:b/>
      <w:bCs/>
      <w:color w:val="00305F"/>
      <w:sz w:val="34"/>
      <w:szCs w:val="34"/>
    </w:rPr>
  </w:style>
  <w:style w:type="character" w:customStyle="1" w:styleId="737">
    <w:name w:val="73א הערות שוליים תו"/>
    <w:basedOn w:val="30"/>
    <w:link w:val="736"/>
    <w:rsid w:val="0078358A"/>
    <w:rPr>
      <w:rFonts w:ascii="Tahoma" w:hAnsi="Tahoma" w:cs="Tahoma"/>
      <w:color w:val="0D0D0D" w:themeColor="text1" w:themeTint="F2"/>
      <w:sz w:val="14"/>
      <w:szCs w:val="14"/>
    </w:rPr>
  </w:style>
  <w:style w:type="paragraph" w:customStyle="1" w:styleId="7300">
    <w:name w:val="73א מקרא לתרשים תמונה לוח רווח אחרי 0"/>
    <w:basedOn w:val="73e"/>
    <w:link w:val="7301"/>
    <w:qFormat/>
    <w:rsid w:val="00050995"/>
    <w:pPr>
      <w:spacing w:after="0"/>
    </w:pPr>
  </w:style>
  <w:style w:type="character" w:customStyle="1" w:styleId="73f">
    <w:name w:val="73א מקרא+הערות לתרשים/לוח/תמונה תו"/>
    <w:basedOn w:val="737"/>
    <w:link w:val="73e"/>
    <w:rsid w:val="004B039B"/>
    <w:rPr>
      <w:rFonts w:ascii="Tahoma" w:hAnsi="Tahoma" w:cs="Tahoma"/>
      <w:color w:val="0D0D0D" w:themeColor="text1" w:themeTint="F2"/>
      <w:sz w:val="16"/>
      <w:szCs w:val="16"/>
    </w:rPr>
  </w:style>
  <w:style w:type="character" w:customStyle="1" w:styleId="7301">
    <w:name w:val="73א מקרא לתרשים תמונה לוח רווח אחרי 0 תו"/>
    <w:basedOn w:val="73f"/>
    <w:link w:val="7300"/>
    <w:rsid w:val="00050995"/>
    <w:rPr>
      <w:rFonts w:ascii="Tahoma" w:hAnsi="Tahoma" w:cs="Tahoma"/>
      <w:color w:val="0D0D0D" w:themeColor="text1" w:themeTint="F2"/>
      <w:sz w:val="16"/>
      <w:szCs w:val="16"/>
    </w:rPr>
  </w:style>
  <w:style w:type="paragraph" w:customStyle="1" w:styleId="7390">
    <w:name w:val="73א בולד 9 בתוך שורה"/>
    <w:basedOn w:val="217"/>
    <w:link w:val="7391"/>
    <w:qFormat/>
    <w:rsid w:val="00FF6AD9"/>
    <w:pPr>
      <w:ind w:left="397"/>
    </w:pPr>
    <w:rPr>
      <w:bCs/>
      <w:noProof/>
      <w:color w:val="0D0D0D" w:themeColor="text1" w:themeTint="F2"/>
      <w:lang w:val="he-IL"/>
    </w:rPr>
  </w:style>
  <w:style w:type="character" w:customStyle="1" w:styleId="21Char3">
    <w:name w:val="פעולות הביקורת21 Char"/>
    <w:basedOn w:val="a1"/>
    <w:link w:val="217"/>
    <w:rsid w:val="001F3363"/>
    <w:rPr>
      <w:rFonts w:ascii="Tahoma" w:hAnsi="Tahoma" w:cs="Tahoma"/>
      <w:color w:val="0D0D0D" w:themeColor="text1" w:themeTint="F2"/>
      <w:sz w:val="18"/>
      <w:szCs w:val="18"/>
    </w:rPr>
  </w:style>
  <w:style w:type="character" w:customStyle="1" w:styleId="7391">
    <w:name w:val="73א בולד 9 בתוך שורה תו"/>
    <w:basedOn w:val="21Char3"/>
    <w:link w:val="7390"/>
    <w:rsid w:val="00FF6AD9"/>
    <w:rPr>
      <w:rFonts w:ascii="Tahoma" w:hAnsi="Tahoma" w:cs="Tahoma"/>
      <w:bCs/>
      <w:noProof/>
      <w:color w:val="0D0D0D" w:themeColor="text1" w:themeTint="F2"/>
      <w:sz w:val="18"/>
      <w:szCs w:val="18"/>
      <w:lang w:val="he-IL"/>
    </w:rPr>
  </w:style>
  <w:style w:type="paragraph" w:customStyle="1" w:styleId="34">
    <w:name w:val="שורת רווח לפני כותרת 3 בטקסט רץ"/>
    <w:basedOn w:val="a0"/>
    <w:link w:val="3Char"/>
    <w:qFormat/>
    <w:rsid w:val="001F3363"/>
    <w:pPr>
      <w:spacing w:after="180" w:line="260" w:lineRule="exact"/>
      <w:outlineLvl w:val="2"/>
    </w:pPr>
    <w:rPr>
      <w:rFonts w:ascii="Tahoma" w:hAnsi="Tahoma" w:cs="Tahoma"/>
      <w:color w:val="0D0D0D" w:themeColor="text1" w:themeTint="F2"/>
      <w:sz w:val="18"/>
      <w:szCs w:val="18"/>
    </w:rPr>
  </w:style>
  <w:style w:type="character" w:customStyle="1" w:styleId="3Char">
    <w:name w:val="שורת רווח לפני כותרת 3 בטקסט רץ Char"/>
    <w:basedOn w:val="a1"/>
    <w:link w:val="34"/>
    <w:rsid w:val="001F3363"/>
    <w:rPr>
      <w:rFonts w:ascii="Tahoma" w:hAnsi="Tahoma" w:cs="Tahoma"/>
      <w:color w:val="0D0D0D" w:themeColor="text1" w:themeTint="F2"/>
      <w:sz w:val="18"/>
      <w:szCs w:val="18"/>
    </w:rPr>
  </w:style>
  <w:style w:type="paragraph" w:customStyle="1" w:styleId="7312">
    <w:name w:val="73א מרווח של 1 בטקס רץ"/>
    <w:basedOn w:val="a0"/>
    <w:link w:val="7313"/>
    <w:qFormat/>
    <w:rsid w:val="001F3363"/>
    <w:pPr>
      <w:spacing w:after="180" w:line="260" w:lineRule="exact"/>
    </w:pPr>
    <w:rPr>
      <w:rFonts w:ascii="Tahoma" w:hAnsi="Tahoma" w:cs="Tahoma"/>
      <w:color w:val="0D0D0D" w:themeColor="text1" w:themeTint="F2"/>
      <w:spacing w:val="20"/>
      <w:sz w:val="18"/>
      <w:szCs w:val="18"/>
    </w:rPr>
  </w:style>
  <w:style w:type="character" w:customStyle="1" w:styleId="7313">
    <w:name w:val="73א מרווח של 1 בטקס רץ תו"/>
    <w:basedOn w:val="a1"/>
    <w:link w:val="7312"/>
    <w:rsid w:val="001F3363"/>
    <w:rPr>
      <w:rFonts w:ascii="Tahoma" w:hAnsi="Tahoma" w:cs="Tahoma"/>
      <w:color w:val="0D0D0D" w:themeColor="text1" w:themeTint="F2"/>
      <w:spacing w:val="20"/>
      <w:sz w:val="18"/>
      <w:szCs w:val="18"/>
    </w:rPr>
  </w:style>
  <w:style w:type="paragraph" w:customStyle="1" w:styleId="afff8">
    <w:name w:val="כותרת לבנה בתוך תבנית אדומה בתקציר"/>
    <w:basedOn w:val="a0"/>
    <w:link w:val="Char2"/>
    <w:qFormat/>
    <w:rsid w:val="009D41AC"/>
    <w:pPr>
      <w:spacing w:before="120" w:line="240" w:lineRule="atLeast"/>
      <w:ind w:left="170" w:right="113"/>
      <w:jc w:val="left"/>
    </w:pPr>
    <w:rPr>
      <w:rFonts w:ascii="Tahoma" w:hAnsi="Tahoma" w:cs="Tahoma"/>
      <w:b/>
      <w:bCs/>
      <w:color w:val="FFFFFF" w:themeColor="background1"/>
      <w:sz w:val="22"/>
      <w:szCs w:val="22"/>
    </w:rPr>
  </w:style>
  <w:style w:type="paragraph" w:customStyle="1" w:styleId="73ff">
    <w:name w:val="73א כותרת לבנה בתוך תבנית אדומה בתקציר"/>
    <w:basedOn w:val="afff8"/>
    <w:link w:val="73ff0"/>
    <w:qFormat/>
    <w:rsid w:val="009D41AC"/>
  </w:style>
  <w:style w:type="character" w:customStyle="1" w:styleId="Char2">
    <w:name w:val="כותרת לבנה בתוך תבנית אדומה בתקציר Char"/>
    <w:basedOn w:val="a1"/>
    <w:link w:val="afff8"/>
    <w:rsid w:val="009D41AC"/>
    <w:rPr>
      <w:rFonts w:ascii="Tahoma" w:hAnsi="Tahoma" w:cs="Tahoma"/>
      <w:b/>
      <w:bCs/>
      <w:color w:val="FFFFFF" w:themeColor="background1"/>
      <w:sz w:val="22"/>
      <w:szCs w:val="22"/>
    </w:rPr>
  </w:style>
  <w:style w:type="character" w:customStyle="1" w:styleId="73ff0">
    <w:name w:val="73א כותרת לבנה בתוך תבנית אדומה בתקציר תו"/>
    <w:basedOn w:val="Char2"/>
    <w:link w:val="73ff"/>
    <w:rsid w:val="009D41AC"/>
    <w:rPr>
      <w:rFonts w:ascii="Tahoma" w:hAnsi="Tahoma" w:cs="Tahoma"/>
      <w:b/>
      <w:bCs/>
      <w:color w:val="FFFFFF" w:themeColor="background1"/>
      <w:sz w:val="22"/>
      <w:szCs w:val="22"/>
    </w:rPr>
  </w:style>
  <w:style w:type="paragraph" w:customStyle="1" w:styleId="7314">
    <w:name w:val="73א רשימה ממספר 1"/>
    <w:qFormat/>
    <w:rsid w:val="00662020"/>
    <w:pPr>
      <w:pBdr>
        <w:top w:val="single" w:sz="18" w:space="4" w:color="CEEAF5"/>
        <w:left w:val="single" w:sz="18" w:space="11" w:color="CEEAF5"/>
        <w:bottom w:val="single" w:sz="18" w:space="6" w:color="CEEAF5"/>
        <w:right w:val="single" w:sz="18" w:space="11" w:color="CEEAF5"/>
      </w:pBdr>
      <w:shd w:val="solid" w:color="CEEAF5" w:fill="auto"/>
      <w:spacing w:after="120"/>
      <w:ind w:left="397" w:hanging="397"/>
    </w:pPr>
    <w:rPr>
      <w:rFonts w:ascii="Tahoma" w:hAnsi="Tahoma" w:cs="Tahoma"/>
      <w:color w:val="0D0D0D" w:themeColor="text1" w:themeTint="F2"/>
      <w:sz w:val="18"/>
      <w:szCs w:val="18"/>
    </w:rPr>
  </w:style>
  <w:style w:type="table" w:styleId="5-1">
    <w:name w:val="Grid Table 5 Dark Accent 1"/>
    <w:basedOn w:val="a2"/>
    <w:uiPriority w:val="50"/>
    <w:rsid w:val="00E425C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E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ADE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ADE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ADE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ADE4" w:themeFill="accent1"/>
      </w:tcPr>
    </w:tblStylePr>
    <w:tblStylePr w:type="band1Vert">
      <w:tblPr/>
      <w:tcPr>
        <w:shd w:val="clear" w:color="auto" w:fill="A4DDF4" w:themeFill="accent1" w:themeFillTint="66"/>
      </w:tcPr>
    </w:tblStylePr>
    <w:tblStylePr w:type="band1Horz">
      <w:tblPr/>
      <w:tcPr>
        <w:shd w:val="clear" w:color="auto" w:fill="A4DDF4" w:themeFill="accent1" w:themeFillTint="66"/>
      </w:tcPr>
    </w:tblStylePr>
  </w:style>
  <w:style w:type="character" w:styleId="afff9">
    <w:name w:val="Unresolved Mention"/>
    <w:basedOn w:val="a1"/>
    <w:uiPriority w:val="99"/>
    <w:semiHidden/>
    <w:unhideWhenUsed/>
    <w:rsid w:val="00965248"/>
    <w:rPr>
      <w:color w:val="605E5C"/>
      <w:shd w:val="clear" w:color="auto" w:fill="E1DFDD"/>
    </w:rPr>
  </w:style>
  <w:style w:type="paragraph" w:customStyle="1" w:styleId="73ff1">
    <w:name w:val="73א היפרלינק"/>
    <w:basedOn w:val="736"/>
    <w:link w:val="73ff2"/>
    <w:qFormat/>
    <w:rsid w:val="009578F0"/>
    <w:pPr>
      <w:bidi w:val="0"/>
    </w:pPr>
    <w:rPr>
      <w:color w:val="6090CC"/>
      <w:u w:val="single"/>
    </w:rPr>
  </w:style>
  <w:style w:type="character" w:customStyle="1" w:styleId="73ff2">
    <w:name w:val="73א היפרלינק תו"/>
    <w:basedOn w:val="737"/>
    <w:link w:val="73ff1"/>
    <w:rsid w:val="009578F0"/>
    <w:rPr>
      <w:rFonts w:ascii="Tahoma" w:hAnsi="Tahoma" w:cs="Tahoma"/>
      <w:color w:val="6090CC"/>
      <w:sz w:val="14"/>
      <w:szCs w:val="14"/>
      <w:u w:val="single"/>
    </w:rPr>
  </w:style>
  <w:style w:type="paragraph" w:customStyle="1" w:styleId="73ff3">
    <w:name w:val="73א קוביה כחולה עם מספר מוזח"/>
    <w:basedOn w:val="739"/>
    <w:link w:val="73ff4"/>
    <w:qFormat/>
    <w:rsid w:val="00FF6AD9"/>
    <w:pPr>
      <w:pBdr>
        <w:top w:val="single" w:sz="18" w:space="4" w:color="CEEAF6"/>
        <w:left w:val="single" w:sz="18" w:space="11" w:color="CEEAF6"/>
        <w:bottom w:val="single" w:sz="18" w:space="6" w:color="CEEAF6"/>
        <w:right w:val="single" w:sz="18" w:space="11" w:color="CEEAF6"/>
      </w:pBdr>
      <w:shd w:val="clear" w:color="auto" w:fill="CEEAF6"/>
    </w:pPr>
  </w:style>
  <w:style w:type="character" w:customStyle="1" w:styleId="73a">
    <w:name w:val="73א הזחה ראשונה מספר תו"/>
    <w:basedOn w:val="af"/>
    <w:link w:val="739"/>
    <w:rsid w:val="00BE57E3"/>
    <w:rPr>
      <w:rFonts w:ascii="Tahoma" w:hAnsi="Tahoma" w:cs="Tahoma"/>
      <w:color w:val="0D0D0D" w:themeColor="text1" w:themeTint="F2"/>
      <w:sz w:val="18"/>
      <w:szCs w:val="18"/>
    </w:rPr>
  </w:style>
  <w:style w:type="character" w:customStyle="1" w:styleId="73ff4">
    <w:name w:val="73א קוביה כחולה עם מספר מוזח תו"/>
    <w:basedOn w:val="73a"/>
    <w:link w:val="73ff3"/>
    <w:rsid w:val="00FF6AD9"/>
    <w:rPr>
      <w:rFonts w:ascii="Tahoma" w:hAnsi="Tahoma" w:cs="Tahoma"/>
      <w:color w:val="0D0D0D" w:themeColor="text1" w:themeTint="F2"/>
      <w:sz w:val="18"/>
      <w:szCs w:val="18"/>
      <w:shd w:val="clear" w:color="auto" w:fill="CEEAF6"/>
    </w:rPr>
  </w:style>
  <w:style w:type="paragraph" w:customStyle="1" w:styleId="73ff5">
    <w:name w:val="73א כותרת טקסט רץ מודגשת"/>
    <w:basedOn w:val="a0"/>
    <w:link w:val="73ff6"/>
    <w:qFormat/>
    <w:rsid w:val="001F3363"/>
    <w:pPr>
      <w:spacing w:after="180" w:line="260" w:lineRule="exact"/>
    </w:pPr>
    <w:rPr>
      <w:rFonts w:ascii="Tahoma" w:hAnsi="Tahoma" w:cs="Tahoma"/>
      <w:b/>
      <w:bCs/>
      <w:color w:val="0D0D0D" w:themeColor="text1" w:themeTint="F2"/>
      <w:sz w:val="18"/>
      <w:szCs w:val="18"/>
    </w:rPr>
  </w:style>
  <w:style w:type="character" w:customStyle="1" w:styleId="73ff6">
    <w:name w:val="73א כותרת טקסט רץ מודגשת תו"/>
    <w:basedOn w:val="a1"/>
    <w:link w:val="73ff5"/>
    <w:rsid w:val="001F3363"/>
    <w:rPr>
      <w:rFonts w:ascii="Tahoma" w:hAnsi="Tahoma" w:cs="Tahoma"/>
      <w:b/>
      <w:bCs/>
      <w:color w:val="0D0D0D" w:themeColor="text1" w:themeTint="F2"/>
      <w:sz w:val="18"/>
      <w:szCs w:val="18"/>
    </w:rPr>
  </w:style>
  <w:style w:type="paragraph" w:customStyle="1" w:styleId="7370">
    <w:name w:val="73א כותרת 7 בתוך טקסט"/>
    <w:basedOn w:val="7392"/>
    <w:link w:val="7371"/>
    <w:qFormat/>
    <w:rsid w:val="0078358A"/>
    <w:rPr>
      <w:bCs/>
    </w:rPr>
  </w:style>
  <w:style w:type="character" w:customStyle="1" w:styleId="7371">
    <w:name w:val="73א כותרת 7 בתוך טקסט תו"/>
    <w:basedOn w:val="73a"/>
    <w:link w:val="7370"/>
    <w:rsid w:val="0078358A"/>
    <w:rPr>
      <w:rFonts w:ascii="Tahoma" w:hAnsi="Tahoma" w:cs="Tahoma"/>
      <w:bCs/>
      <w:color w:val="0D0D0D" w:themeColor="text1" w:themeTint="F2"/>
      <w:sz w:val="18"/>
      <w:szCs w:val="18"/>
    </w:rPr>
  </w:style>
  <w:style w:type="paragraph" w:customStyle="1" w:styleId="P110">
    <w:name w:val="P11"/>
    <w:basedOn w:val="a0"/>
    <w:rsid w:val="00454096"/>
    <w:pPr>
      <w:widowControl w:val="0"/>
      <w:tabs>
        <w:tab w:val="left" w:pos="1021"/>
        <w:tab w:val="left" w:pos="1474"/>
        <w:tab w:val="left" w:pos="1928"/>
        <w:tab w:val="left" w:pos="2381"/>
        <w:tab w:val="left" w:pos="2835"/>
        <w:tab w:val="right" w:leader="dot" w:pos="6259"/>
      </w:tabs>
      <w:suppressAutoHyphens/>
      <w:autoSpaceDE w:val="0"/>
      <w:autoSpaceDN w:val="0"/>
      <w:spacing w:before="60" w:line="240" w:lineRule="auto"/>
      <w:ind w:left="2835" w:right="624"/>
    </w:pPr>
    <w:rPr>
      <w:rFonts w:eastAsia="Times New Roman" w:cs="Times New Roman"/>
      <w:noProof/>
      <w:szCs w:val="26"/>
      <w:lang w:eastAsia="he-IL"/>
    </w:rPr>
  </w:style>
  <w:style w:type="paragraph" w:customStyle="1" w:styleId="afffa">
    <w:name w:val="מלל מוצלל"/>
    <w:basedOn w:val="a0"/>
    <w:rsid w:val="00901D1D"/>
    <w:pPr>
      <w:pBdr>
        <w:top w:val="single" w:sz="4" w:space="8" w:color="FFFFFF"/>
        <w:left w:val="single" w:sz="4" w:space="12" w:color="FFFFFF"/>
        <w:bottom w:val="single" w:sz="4" w:space="8" w:color="FFFFFF"/>
        <w:right w:val="single" w:sz="4" w:space="12" w:color="FFFFFF"/>
      </w:pBdr>
      <w:shd w:val="pct10" w:color="auto" w:fill="FFFFFF"/>
      <w:spacing w:line="288" w:lineRule="auto"/>
      <w:ind w:left="305" w:right="284"/>
    </w:pPr>
    <w:rPr>
      <w:rFonts w:eastAsia="Times New Roman" w:cs="Times New Roman"/>
      <w:sz w:val="24"/>
      <w:lang w:eastAsia="he-IL"/>
    </w:rPr>
  </w:style>
  <w:style w:type="paragraph" w:styleId="HTML">
    <w:name w:val="HTML Preformatted"/>
    <w:basedOn w:val="a0"/>
    <w:link w:val="HTML0"/>
    <w:uiPriority w:val="99"/>
    <w:semiHidden/>
    <w:unhideWhenUsed/>
    <w:rsid w:val="00901D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line="240" w:lineRule="auto"/>
      <w:jc w:val="left"/>
    </w:pPr>
    <w:rPr>
      <w:rFonts w:ascii="Courier New" w:eastAsia="Times New Roman" w:hAnsi="Courier New" w:cs="Courier New"/>
      <w:szCs w:val="20"/>
    </w:rPr>
  </w:style>
  <w:style w:type="character" w:customStyle="1" w:styleId="HTML0">
    <w:name w:val="HTML מעוצב מראש תו"/>
    <w:basedOn w:val="a1"/>
    <w:link w:val="HTML"/>
    <w:uiPriority w:val="99"/>
    <w:semiHidden/>
    <w:rsid w:val="00901D1D"/>
    <w:rPr>
      <w:rFonts w:ascii="Courier New" w:eastAsia="Times New Roman" w:hAnsi="Courier New" w:cs="Courier New"/>
      <w:szCs w:val="20"/>
    </w:rPr>
  </w:style>
  <w:style w:type="paragraph" w:customStyle="1" w:styleId="Default0">
    <w:name w:val="Default"/>
    <w:rsid w:val="00901D1D"/>
    <w:pPr>
      <w:autoSpaceDE w:val="0"/>
      <w:autoSpaceDN w:val="0"/>
      <w:adjustRightInd w:val="0"/>
      <w:spacing w:after="0" w:line="240" w:lineRule="auto"/>
      <w:jc w:val="left"/>
    </w:pPr>
    <w:rPr>
      <w:rFonts w:ascii="Gotham Narrow Light" w:hAnsi="Gotham Narrow Light" w:cs="Gotham Narrow Light"/>
      <w:color w:val="000000"/>
      <w:sz w:val="24"/>
    </w:rPr>
  </w:style>
  <w:style w:type="paragraph" w:customStyle="1" w:styleId="Pa14">
    <w:name w:val="Pa14"/>
    <w:basedOn w:val="Default0"/>
    <w:next w:val="Default0"/>
    <w:uiPriority w:val="99"/>
    <w:rsid w:val="00901D1D"/>
    <w:pPr>
      <w:spacing w:line="180" w:lineRule="atLeast"/>
    </w:pPr>
    <w:rPr>
      <w:rFonts w:cs="David"/>
      <w:color w:val="auto"/>
    </w:rPr>
  </w:style>
  <w:style w:type="table" w:styleId="5-5">
    <w:name w:val="Grid Table 5 Dark Accent 5"/>
    <w:basedOn w:val="a2"/>
    <w:uiPriority w:val="50"/>
    <w:rsid w:val="00901D1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BDA"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E885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E885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E885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E8853" w:themeFill="accent5"/>
      </w:tcPr>
    </w:tblStylePr>
    <w:tblStylePr w:type="band1Vert">
      <w:tblPr/>
      <w:tcPr>
        <w:shd w:val="clear" w:color="auto" w:fill="A9D7B6" w:themeFill="accent5" w:themeFillTint="66"/>
      </w:tcPr>
    </w:tblStylePr>
    <w:tblStylePr w:type="band1Horz">
      <w:tblPr/>
      <w:tcPr>
        <w:shd w:val="clear" w:color="auto" w:fill="A9D7B6" w:themeFill="accent5" w:themeFillTint="66"/>
      </w:tcPr>
    </w:tblStylePr>
  </w:style>
  <w:style w:type="character" w:customStyle="1" w:styleId="afffb">
    <w:name w:val="נבנצאל תו"/>
    <w:basedOn w:val="a1"/>
    <w:link w:val="afffc"/>
    <w:uiPriority w:val="99"/>
    <w:locked/>
    <w:rsid w:val="00905FB1"/>
    <w:rPr>
      <w:szCs w:val="20"/>
    </w:rPr>
  </w:style>
  <w:style w:type="paragraph" w:customStyle="1" w:styleId="afffc">
    <w:name w:val="נבנצאל"/>
    <w:basedOn w:val="a0"/>
    <w:next w:val="a0"/>
    <w:link w:val="afffb"/>
    <w:uiPriority w:val="99"/>
    <w:rsid w:val="00905FB1"/>
    <w:pPr>
      <w:ind w:left="-567"/>
    </w:pPr>
    <w:rPr>
      <w:szCs w:val="20"/>
    </w:rPr>
  </w:style>
  <w:style w:type="paragraph" w:styleId="afffd">
    <w:name w:val="Document Map"/>
    <w:basedOn w:val="a0"/>
    <w:link w:val="afffe"/>
    <w:uiPriority w:val="99"/>
    <w:semiHidden/>
    <w:unhideWhenUsed/>
    <w:rsid w:val="0030451F"/>
    <w:pPr>
      <w:spacing w:line="240" w:lineRule="auto"/>
    </w:pPr>
    <w:rPr>
      <w:rFonts w:ascii="Tahoma" w:hAnsi="Tahoma" w:cs="Tahoma"/>
      <w:sz w:val="16"/>
      <w:szCs w:val="16"/>
    </w:rPr>
  </w:style>
  <w:style w:type="character" w:customStyle="1" w:styleId="afffe">
    <w:name w:val="מפת מסמך תו"/>
    <w:basedOn w:val="a1"/>
    <w:link w:val="afffd"/>
    <w:uiPriority w:val="99"/>
    <w:semiHidden/>
    <w:rsid w:val="0030451F"/>
    <w:rPr>
      <w:rFonts w:ascii="Tahoma" w:hAnsi="Tahoma" w:cs="Tahoma"/>
      <w:sz w:val="16"/>
      <w:szCs w:val="16"/>
    </w:rPr>
  </w:style>
  <w:style w:type="paragraph" w:customStyle="1" w:styleId="1f8">
    <w:name w:val="סגנון1"/>
    <w:basedOn w:val="af2"/>
    <w:qFormat/>
    <w:rsid w:val="0030451F"/>
    <w:pPr>
      <w:jc w:val="center"/>
    </w:pPr>
    <w:rPr>
      <w:b/>
      <w:bCs/>
      <w:iCs w:val="0"/>
      <w:color w:val="000000" w:themeColor="text1"/>
      <w:sz w:val="24"/>
      <w:szCs w:val="24"/>
    </w:rPr>
  </w:style>
  <w:style w:type="paragraph" w:customStyle="1" w:styleId="28">
    <w:name w:val="סגנון2"/>
    <w:basedOn w:val="af2"/>
    <w:autoRedefine/>
    <w:qFormat/>
    <w:rsid w:val="0030451F"/>
    <w:pPr>
      <w:jc w:val="center"/>
    </w:pPr>
    <w:rPr>
      <w:b/>
      <w:bCs/>
      <w:iCs w:val="0"/>
      <w:color w:val="000000" w:themeColor="text1"/>
      <w:sz w:val="24"/>
      <w:szCs w:val="24"/>
    </w:rPr>
  </w:style>
  <w:style w:type="paragraph" w:customStyle="1" w:styleId="35">
    <w:name w:val="סגנון3"/>
    <w:basedOn w:val="af2"/>
    <w:autoRedefine/>
    <w:qFormat/>
    <w:rsid w:val="0030451F"/>
    <w:pPr>
      <w:jc w:val="center"/>
    </w:pPr>
    <w:rPr>
      <w:b/>
      <w:bCs/>
      <w:iCs w:val="0"/>
      <w:color w:val="000000" w:themeColor="text1"/>
      <w:sz w:val="24"/>
      <w:szCs w:val="24"/>
    </w:rPr>
  </w:style>
  <w:style w:type="paragraph" w:customStyle="1" w:styleId="42">
    <w:name w:val="סגנון4"/>
    <w:basedOn w:val="af2"/>
    <w:autoRedefine/>
    <w:qFormat/>
    <w:rsid w:val="0030451F"/>
    <w:pPr>
      <w:jc w:val="center"/>
    </w:pPr>
    <w:rPr>
      <w:b/>
      <w:bCs/>
      <w:iCs w:val="0"/>
      <w:color w:val="000000" w:themeColor="text1"/>
      <w:sz w:val="24"/>
      <w:szCs w:val="24"/>
    </w:rPr>
  </w:style>
  <w:style w:type="paragraph" w:customStyle="1" w:styleId="affff">
    <w:name w:val="סגנון כיתוב + לא מודגש לא נטוי"/>
    <w:basedOn w:val="af2"/>
    <w:rsid w:val="0030451F"/>
    <w:pPr>
      <w:spacing w:after="0"/>
    </w:pPr>
    <w:rPr>
      <w:i w:val="0"/>
      <w:color w:val="auto"/>
      <w:sz w:val="20"/>
      <w:szCs w:val="24"/>
    </w:rPr>
  </w:style>
  <w:style w:type="paragraph" w:customStyle="1" w:styleId="-8">
    <w:name w:val="רשויות מקומיות - כותרת 8 בתוך טקסט"/>
    <w:basedOn w:val="a0"/>
    <w:link w:val="-8Char"/>
    <w:qFormat/>
    <w:rsid w:val="001F3363"/>
    <w:pPr>
      <w:spacing w:after="180" w:line="260" w:lineRule="exact"/>
    </w:pPr>
    <w:rPr>
      <w:rFonts w:ascii="Tahoma" w:hAnsi="Tahoma" w:cs="Tahoma"/>
      <w:color w:val="00305F"/>
      <w:spacing w:val="20"/>
      <w:sz w:val="18"/>
      <w:szCs w:val="18"/>
    </w:rPr>
  </w:style>
  <w:style w:type="character" w:customStyle="1" w:styleId="-8Char">
    <w:name w:val="רשויות מקומיות - כותרת 8 בתוך טקסט Char"/>
    <w:basedOn w:val="a1"/>
    <w:link w:val="-8"/>
    <w:rsid w:val="001F3363"/>
    <w:rPr>
      <w:rFonts w:ascii="Tahoma" w:hAnsi="Tahoma" w:cs="Tahoma"/>
      <w:color w:val="00305F"/>
      <w:spacing w:val="20"/>
      <w:sz w:val="18"/>
      <w:szCs w:val="18"/>
    </w:rPr>
  </w:style>
  <w:style w:type="paragraph" w:customStyle="1" w:styleId="7350">
    <w:name w:val="73א כותרת 5 בתוך טקסט מודגש"/>
    <w:basedOn w:val="a0"/>
    <w:link w:val="7351"/>
    <w:qFormat/>
    <w:rsid w:val="001F3363"/>
    <w:pPr>
      <w:spacing w:after="180" w:line="260" w:lineRule="exact"/>
    </w:pPr>
    <w:rPr>
      <w:rFonts w:ascii="Tahoma" w:hAnsi="Tahoma" w:cs="Tahoma"/>
      <w:bCs/>
      <w:color w:val="00305F"/>
      <w:sz w:val="18"/>
      <w:szCs w:val="18"/>
    </w:rPr>
  </w:style>
  <w:style w:type="character" w:customStyle="1" w:styleId="7351">
    <w:name w:val="73א כותרת 5 בתוך טקסט מודגש תו"/>
    <w:basedOn w:val="a1"/>
    <w:link w:val="7350"/>
    <w:rsid w:val="001F3363"/>
    <w:rPr>
      <w:rFonts w:ascii="Tahoma" w:hAnsi="Tahoma" w:cs="Tahoma"/>
      <w:bCs/>
      <w:color w:val="00305F"/>
      <w:sz w:val="18"/>
      <w:szCs w:val="18"/>
    </w:rPr>
  </w:style>
  <w:style w:type="paragraph" w:customStyle="1" w:styleId="7381">
    <w:name w:val="73א כותרת 8 בתוך טקסט"/>
    <w:basedOn w:val="a0"/>
    <w:link w:val="7382"/>
    <w:qFormat/>
    <w:rsid w:val="0078358A"/>
    <w:pPr>
      <w:spacing w:after="180" w:line="260" w:lineRule="exact"/>
    </w:pPr>
    <w:rPr>
      <w:rFonts w:ascii="Tahoma" w:hAnsi="Tahoma" w:cs="Tahoma"/>
      <w:color w:val="0D0D0D" w:themeColor="text1" w:themeTint="F2"/>
      <w:spacing w:val="20"/>
      <w:sz w:val="19"/>
      <w:szCs w:val="18"/>
    </w:rPr>
  </w:style>
  <w:style w:type="character" w:customStyle="1" w:styleId="7382">
    <w:name w:val="73א כותרת 8 בתוך טקסט תו"/>
    <w:basedOn w:val="a1"/>
    <w:link w:val="7381"/>
    <w:rsid w:val="0078358A"/>
    <w:rPr>
      <w:rFonts w:ascii="Tahoma" w:hAnsi="Tahoma" w:cs="Tahoma"/>
      <w:color w:val="0D0D0D" w:themeColor="text1" w:themeTint="F2"/>
      <w:spacing w:val="20"/>
      <w:sz w:val="19"/>
      <w:szCs w:val="18"/>
    </w:rPr>
  </w:style>
  <w:style w:type="paragraph" w:styleId="NormalWeb">
    <w:name w:val="Normal (Web)"/>
    <w:basedOn w:val="a0"/>
    <w:uiPriority w:val="99"/>
    <w:unhideWhenUsed/>
    <w:rsid w:val="007A3AB1"/>
    <w:pPr>
      <w:bidi w:val="0"/>
      <w:spacing w:before="100" w:beforeAutospacing="1" w:after="100" w:afterAutospacing="1" w:line="240" w:lineRule="auto"/>
      <w:jc w:val="left"/>
    </w:pPr>
    <w:rPr>
      <w:rFonts w:eastAsia="Times New Roman" w:cs="Times New Roman"/>
      <w:color w:val="000000" w:themeColor="text1"/>
      <w:sz w:val="24"/>
      <w:szCs w:val="18"/>
    </w:rPr>
  </w:style>
  <w:style w:type="paragraph" w:customStyle="1" w:styleId="73ff7">
    <w:name w:val="73א מקרא+הערות לתרשים/לוח/תמונה כוכבית"/>
    <w:basedOn w:val="73e"/>
    <w:qFormat/>
    <w:rsid w:val="002F430E"/>
    <w:pPr>
      <w:framePr w:wrap="around" w:vAnchor="text" w:hAnchor="text" w:y="1"/>
    </w:pPr>
  </w:style>
  <w:style w:type="paragraph" w:customStyle="1" w:styleId="affff0">
    <w:name w:val="הערות לתרשימים"/>
    <w:basedOn w:val="73e"/>
    <w:next w:val="736"/>
    <w:qFormat/>
    <w:rsid w:val="007A3AB1"/>
    <w:pPr>
      <w:framePr w:wrap="around" w:vAnchor="text" w:hAnchor="text" w:y="1"/>
      <w:spacing w:after="0"/>
    </w:pPr>
  </w:style>
  <w:style w:type="paragraph" w:customStyle="1" w:styleId="93">
    <w:name w:val="טקסט רץ 9 מודגש חדש"/>
    <w:basedOn w:val="a0"/>
    <w:qFormat/>
    <w:rsid w:val="001F3363"/>
    <w:pPr>
      <w:spacing w:after="180" w:line="260" w:lineRule="exact"/>
    </w:pPr>
    <w:rPr>
      <w:rFonts w:ascii="Tahoma" w:hAnsi="Tahoma" w:cs="Tahoma"/>
      <w:b/>
      <w:bCs/>
      <w:color w:val="0D0D0D" w:themeColor="text1" w:themeTint="F2"/>
      <w:sz w:val="18"/>
      <w:szCs w:val="18"/>
    </w:rPr>
  </w:style>
  <w:style w:type="character" w:customStyle="1" w:styleId="7372">
    <w:name w:val="73א כותרת 7 הדגשת קטע בטקסט רץ תו"/>
    <w:basedOn w:val="a1"/>
    <w:link w:val="7373"/>
    <w:rsid w:val="001F3363"/>
    <w:rPr>
      <w:rFonts w:ascii="Tahoma" w:hAnsi="Tahoma" w:cs="Tahoma"/>
      <w:bCs/>
      <w:color w:val="0D0D0D" w:themeColor="text1" w:themeTint="F2"/>
      <w:sz w:val="18"/>
      <w:szCs w:val="18"/>
    </w:rPr>
  </w:style>
  <w:style w:type="paragraph" w:customStyle="1" w:styleId="7373">
    <w:name w:val="73א כותרת 7 הדגשת קטע בטקסט רץ"/>
    <w:basedOn w:val="7392"/>
    <w:link w:val="7372"/>
    <w:qFormat/>
    <w:rsid w:val="001F3363"/>
    <w:rPr>
      <w:bCs/>
    </w:rPr>
  </w:style>
  <w:style w:type="paragraph" w:customStyle="1" w:styleId="-1">
    <w:name w:val="מבקר המדינה - עמוד שער(לבן)"/>
    <w:basedOn w:val="a0"/>
    <w:qFormat/>
    <w:rsid w:val="003570AC"/>
    <w:pPr>
      <w:ind w:left="2268"/>
    </w:pPr>
    <w:rPr>
      <w:rFonts w:ascii="Tahoma" w:hAnsi="Tahoma" w:cs="Tahoma"/>
      <w:sz w:val="18"/>
      <w:szCs w:val="18"/>
    </w:rPr>
  </w:style>
  <w:style w:type="paragraph" w:customStyle="1" w:styleId="-2">
    <w:name w:val="עמוד שער פנימי - שם החטיבה"/>
    <w:basedOn w:val="a0"/>
    <w:qFormat/>
    <w:rsid w:val="003570AC"/>
    <w:pPr>
      <w:ind w:left="2268"/>
      <w:jc w:val="left"/>
    </w:pPr>
    <w:rPr>
      <w:rFonts w:ascii="Tahoma" w:eastAsiaTheme="minorEastAsia" w:hAnsi="Tahoma" w:cs="Tahoma"/>
      <w:color w:val="FFFFFF" w:themeColor="background1"/>
      <w:sz w:val="28"/>
      <w:szCs w:val="28"/>
    </w:rPr>
  </w:style>
  <w:style w:type="paragraph" w:customStyle="1" w:styleId="-3">
    <w:name w:val="עמוד שער פנימי - שם הכתבה"/>
    <w:basedOn w:val="a0"/>
    <w:qFormat/>
    <w:rsid w:val="003570AC"/>
    <w:pPr>
      <w:spacing w:before="360" w:line="600" w:lineRule="exact"/>
      <w:ind w:left="2268"/>
      <w:jc w:val="left"/>
    </w:pPr>
    <w:rPr>
      <w:rFonts w:ascii="Tahoma" w:hAnsi="Tahoma" w:cs="Tahoma"/>
      <w:b/>
      <w:bCs/>
      <w:sz w:val="40"/>
      <w:szCs w:val="40"/>
    </w:rPr>
  </w:style>
  <w:style w:type="paragraph" w:customStyle="1" w:styleId="affff1">
    <w:name w:val="מספרים גדולים בנתוני מפתח"/>
    <w:basedOn w:val="a0"/>
    <w:qFormat/>
    <w:rsid w:val="002D4D38"/>
    <w:pPr>
      <w:spacing w:before="120" w:line="240" w:lineRule="auto"/>
      <w:jc w:val="center"/>
    </w:pPr>
    <w:rPr>
      <w:rFonts w:ascii="Tahoma" w:hAnsi="Tahoma" w:cs="Tahoma"/>
      <w:b/>
      <w:bCs/>
      <w:spacing w:val="-28"/>
      <w:sz w:val="36"/>
      <w:szCs w:val="36"/>
    </w:rPr>
  </w:style>
  <w:style w:type="paragraph" w:styleId="36">
    <w:name w:val="List Number 3"/>
    <w:basedOn w:val="a0"/>
    <w:unhideWhenUsed/>
    <w:rsid w:val="00920813"/>
    <w:pPr>
      <w:overflowPunct w:val="0"/>
      <w:autoSpaceDE w:val="0"/>
      <w:autoSpaceDN w:val="0"/>
      <w:adjustRightInd w:val="0"/>
      <w:spacing w:after="120" w:line="360" w:lineRule="auto"/>
      <w:ind w:left="849" w:hanging="283"/>
      <w:textAlignment w:val="baseline"/>
    </w:pPr>
    <w:rPr>
      <w:rFonts w:ascii="David" w:eastAsia="Times New Roman" w:hAnsi="David"/>
      <w:sz w:val="24"/>
    </w:rPr>
  </w:style>
  <w:style w:type="table" w:styleId="5-10">
    <w:name w:val="List Table 5 Dark Accent 1"/>
    <w:basedOn w:val="a2"/>
    <w:uiPriority w:val="50"/>
    <w:rsid w:val="00920813"/>
    <w:pPr>
      <w:spacing w:after="0" w:line="240" w:lineRule="auto"/>
    </w:pPr>
    <w:rPr>
      <w:color w:val="FFFFFF" w:themeColor="background1"/>
    </w:rPr>
    <w:tblPr>
      <w:tblStyleRowBandSize w:val="1"/>
      <w:tblStyleColBandSize w:val="1"/>
      <w:tblBorders>
        <w:top w:val="single" w:sz="24" w:space="0" w:color="1CADE4" w:themeColor="accent1"/>
        <w:left w:val="single" w:sz="24" w:space="0" w:color="1CADE4" w:themeColor="accent1"/>
        <w:bottom w:val="single" w:sz="24" w:space="0" w:color="1CADE4" w:themeColor="accent1"/>
        <w:right w:val="single" w:sz="24" w:space="0" w:color="1CADE4" w:themeColor="accent1"/>
      </w:tblBorders>
    </w:tblPr>
    <w:tcPr>
      <w:shd w:val="clear" w:color="auto" w:fill="1CADE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7-4">
    <w:name w:val="List Table 7 Colorful Accent 4"/>
    <w:basedOn w:val="a2"/>
    <w:uiPriority w:val="52"/>
    <w:rsid w:val="00920813"/>
    <w:pPr>
      <w:spacing w:after="0" w:line="240" w:lineRule="auto"/>
    </w:pPr>
    <w:rPr>
      <w:color w:val="318B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BA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BA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BA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BA97" w:themeColor="accent4"/>
        </w:tcBorders>
        <w:shd w:val="clear" w:color="auto" w:fill="FFFFFF" w:themeFill="background1"/>
      </w:tcPr>
    </w:tblStylePr>
    <w:tblStylePr w:type="band1Vert">
      <w:tblPr/>
      <w:tcPr>
        <w:shd w:val="clear" w:color="auto" w:fill="D8F1EA" w:themeFill="accent4" w:themeFillTint="33"/>
      </w:tcPr>
    </w:tblStylePr>
    <w:tblStylePr w:type="band1Horz">
      <w:tblPr/>
      <w:tcPr>
        <w:shd w:val="clear" w:color="auto" w:fill="D8F1EA"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7392">
    <w:name w:val="73א טקסט רץ 9"/>
    <w:basedOn w:val="afff5"/>
    <w:link w:val="7393"/>
    <w:qFormat/>
    <w:rsid w:val="0078358A"/>
    <w:rPr>
      <w:color w:val="0D0D0D" w:themeColor="text1" w:themeTint="F2"/>
      <w:sz w:val="18"/>
    </w:rPr>
  </w:style>
  <w:style w:type="character" w:customStyle="1" w:styleId="7393">
    <w:name w:val="73א טקסט רץ 9 תו"/>
    <w:basedOn w:val="Char0"/>
    <w:link w:val="7392"/>
    <w:rsid w:val="0078358A"/>
    <w:rPr>
      <w:rFonts w:ascii="Tahoma" w:hAnsi="Tahoma" w:cs="Tahoma"/>
      <w:color w:val="0D0D0D" w:themeColor="text1" w:themeTint="F2"/>
      <w:sz w:val="18"/>
      <w:szCs w:val="18"/>
    </w:rPr>
  </w:style>
  <w:style w:type="character" w:styleId="affff2">
    <w:name w:val="Subtle Reference"/>
    <w:basedOn w:val="a1"/>
    <w:uiPriority w:val="31"/>
    <w:rsid w:val="003B23BE"/>
    <w:rPr>
      <w:smallCaps/>
      <w:color w:val="5A5A5A" w:themeColor="text1" w:themeTint="A5"/>
    </w:rPr>
  </w:style>
  <w:style w:type="paragraph" w:customStyle="1" w:styleId="RESHET">
    <w:name w:val="RESHET"/>
    <w:basedOn w:val="a0"/>
    <w:rsid w:val="001A4FC5"/>
    <w:pPr>
      <w:keepLines/>
      <w:pBdr>
        <w:top w:val="single" w:sz="12" w:space="4" w:color="CEEAF5"/>
        <w:left w:val="single" w:sz="12" w:space="11" w:color="CEEAF5"/>
        <w:bottom w:val="single" w:sz="12" w:space="6" w:color="CEEAF5"/>
        <w:right w:val="single" w:sz="12" w:space="11" w:color="CEEAF5"/>
      </w:pBdr>
      <w:shd w:val="solid" w:color="CEEAF5" w:fill="auto"/>
      <w:tabs>
        <w:tab w:val="left" w:pos="624"/>
      </w:tabs>
      <w:spacing w:after="120" w:line="240" w:lineRule="exact"/>
      <w:ind w:left="227" w:right="2495"/>
    </w:pPr>
    <w:rPr>
      <w:rFonts w:ascii="Tahoma" w:eastAsia="Times New Roman" w:hAnsi="Tahoma" w:cs="Tahoma"/>
      <w:sz w:val="17"/>
      <w:szCs w:val="18"/>
      <w:lang w:eastAsia="he-IL"/>
    </w:rPr>
  </w:style>
  <w:style w:type="paragraph" w:customStyle="1" w:styleId="tab-name">
    <w:name w:val="tab-name"/>
    <w:basedOn w:val="a0"/>
    <w:qFormat/>
    <w:rsid w:val="001A4FC5"/>
    <w:pPr>
      <w:keepNext/>
      <w:spacing w:before="120" w:after="120" w:line="320" w:lineRule="exact"/>
      <w:ind w:right="2268"/>
      <w:jc w:val="left"/>
    </w:pPr>
    <w:rPr>
      <w:rFonts w:ascii="Tahoma" w:eastAsiaTheme="minorEastAsia" w:hAnsi="Tahoma" w:cs="Tahoma"/>
      <w:color w:val="1481AB" w:themeColor="accent1" w:themeShade="BF"/>
      <w:sz w:val="18"/>
      <w:szCs w:val="18"/>
    </w:rPr>
  </w:style>
  <w:style w:type="paragraph" w:customStyle="1" w:styleId="running-text">
    <w:name w:val="running-text"/>
    <w:qFormat/>
    <w:rsid w:val="001A4FC5"/>
    <w:pPr>
      <w:spacing w:after="120" w:line="240" w:lineRule="exact"/>
      <w:ind w:right="2268"/>
    </w:pPr>
    <w:rPr>
      <w:rFonts w:ascii="Tahoma" w:eastAsiaTheme="minorEastAsia" w:hAnsi="Tahoma" w:cs="Tahoma"/>
      <w:sz w:val="17"/>
      <w:szCs w:val="18"/>
    </w:rPr>
  </w:style>
  <w:style w:type="paragraph" w:customStyle="1" w:styleId="text-source">
    <w:name w:val="text-source"/>
    <w:basedOn w:val="a0"/>
    <w:next w:val="a0"/>
    <w:qFormat/>
    <w:rsid w:val="001A4FC5"/>
    <w:pPr>
      <w:shd w:val="clear" w:color="auto" w:fill="FFFFFF"/>
      <w:spacing w:before="120" w:after="240" w:line="200" w:lineRule="exact"/>
      <w:ind w:right="2268"/>
      <w:jc w:val="left"/>
    </w:pPr>
    <w:rPr>
      <w:rFonts w:ascii="Tahoma" w:eastAsia="Times New Roman" w:hAnsi="Tahoma" w:cs="Tahoma"/>
      <w:color w:val="222222"/>
      <w:sz w:val="14"/>
      <w:szCs w:val="14"/>
    </w:rPr>
  </w:style>
  <w:style w:type="character" w:customStyle="1" w:styleId="Heading2">
    <w:name w:val="Heading #2_"/>
    <w:basedOn w:val="a1"/>
    <w:link w:val="Heading20"/>
    <w:rsid w:val="001A4FC5"/>
    <w:rPr>
      <w:rFonts w:ascii="David" w:eastAsia="David" w:hAnsi="David"/>
      <w:b/>
      <w:bCs/>
      <w:szCs w:val="20"/>
      <w:shd w:val="clear" w:color="auto" w:fill="FFFFFF"/>
    </w:rPr>
  </w:style>
  <w:style w:type="character" w:customStyle="1" w:styleId="Heading2NotBold">
    <w:name w:val="Heading #2 + Not Bold"/>
    <w:basedOn w:val="Heading2"/>
    <w:rsid w:val="001A4FC5"/>
    <w:rPr>
      <w:rFonts w:ascii="David" w:eastAsia="David" w:hAnsi="David"/>
      <w:b/>
      <w:bCs/>
      <w:color w:val="000000"/>
      <w:spacing w:val="0"/>
      <w:w w:val="100"/>
      <w:position w:val="0"/>
      <w:szCs w:val="20"/>
      <w:shd w:val="clear" w:color="auto" w:fill="FFFFFF"/>
      <w:lang w:val="he-IL" w:eastAsia="he-IL" w:bidi="he-IL"/>
    </w:rPr>
  </w:style>
  <w:style w:type="paragraph" w:customStyle="1" w:styleId="Heading20">
    <w:name w:val="Heading #2"/>
    <w:basedOn w:val="a0"/>
    <w:link w:val="Heading2"/>
    <w:rsid w:val="001A4FC5"/>
    <w:pPr>
      <w:widowControl w:val="0"/>
      <w:shd w:val="clear" w:color="auto" w:fill="FFFFFF"/>
      <w:spacing w:before="360" w:after="180" w:line="0" w:lineRule="atLeast"/>
      <w:jc w:val="left"/>
      <w:outlineLvl w:val="1"/>
    </w:pPr>
    <w:rPr>
      <w:rFonts w:ascii="David" w:eastAsia="David" w:hAnsi="David"/>
      <w:b/>
      <w:bCs/>
      <w:szCs w:val="20"/>
    </w:rPr>
  </w:style>
  <w:style w:type="paragraph" w:customStyle="1" w:styleId="6-">
    <w:name w:val="כותרת 6 -דוח קורונה"/>
    <w:basedOn w:val="a0"/>
    <w:qFormat/>
    <w:rsid w:val="001F3363"/>
    <w:pPr>
      <w:keepNext/>
      <w:keepLines/>
      <w:spacing w:before="240" w:after="180" w:line="240" w:lineRule="atLeast"/>
      <w:jc w:val="left"/>
    </w:pPr>
    <w:rPr>
      <w:rFonts w:ascii="Tahoma" w:hAnsi="Tahoma" w:cs="Tahoma"/>
      <w:color w:val="00305F"/>
      <w:sz w:val="18"/>
      <w:szCs w:val="20"/>
    </w:rPr>
  </w:style>
  <w:style w:type="paragraph" w:styleId="TOC2">
    <w:name w:val="toc 2"/>
    <w:basedOn w:val="a0"/>
    <w:next w:val="a0"/>
    <w:autoRedefine/>
    <w:uiPriority w:val="39"/>
    <w:unhideWhenUsed/>
    <w:qFormat/>
    <w:rsid w:val="00C9003B"/>
    <w:pPr>
      <w:tabs>
        <w:tab w:val="right" w:leader="dot" w:pos="8211"/>
      </w:tabs>
      <w:spacing w:after="100"/>
      <w:ind w:left="200"/>
    </w:pPr>
  </w:style>
  <w:style w:type="paragraph" w:styleId="TOC3">
    <w:name w:val="toc 3"/>
    <w:basedOn w:val="a0"/>
    <w:next w:val="a0"/>
    <w:autoRedefine/>
    <w:uiPriority w:val="39"/>
    <w:unhideWhenUsed/>
    <w:qFormat/>
    <w:rsid w:val="00C9003B"/>
    <w:pPr>
      <w:spacing w:after="100"/>
      <w:ind w:left="400"/>
    </w:pPr>
  </w:style>
  <w:style w:type="paragraph" w:styleId="TOC1">
    <w:name w:val="toc 1"/>
    <w:basedOn w:val="a0"/>
    <w:next w:val="a0"/>
    <w:autoRedefine/>
    <w:uiPriority w:val="39"/>
    <w:unhideWhenUsed/>
    <w:qFormat/>
    <w:rsid w:val="00C9003B"/>
    <w:pPr>
      <w:spacing w:after="100" w:line="259" w:lineRule="auto"/>
      <w:jc w:val="left"/>
    </w:pPr>
    <w:rPr>
      <w:rFonts w:asciiTheme="minorHAnsi" w:eastAsiaTheme="minorEastAsia" w:hAnsiTheme="minorHAnsi" w:cs="Times New Roman"/>
      <w:sz w:val="22"/>
      <w:szCs w:val="22"/>
      <w:rtl/>
      <w:cs/>
    </w:rPr>
  </w:style>
  <w:style w:type="paragraph" w:styleId="TOC4">
    <w:name w:val="toc 4"/>
    <w:basedOn w:val="a0"/>
    <w:next w:val="a0"/>
    <w:autoRedefine/>
    <w:uiPriority w:val="39"/>
    <w:unhideWhenUsed/>
    <w:rsid w:val="00C9003B"/>
    <w:pPr>
      <w:spacing w:after="100"/>
      <w:ind w:left="600"/>
    </w:pPr>
  </w:style>
  <w:style w:type="paragraph" w:styleId="TOC6">
    <w:name w:val="toc 6"/>
    <w:basedOn w:val="a0"/>
    <w:next w:val="a0"/>
    <w:autoRedefine/>
    <w:uiPriority w:val="39"/>
    <w:unhideWhenUsed/>
    <w:rsid w:val="00C9003B"/>
    <w:pPr>
      <w:spacing w:after="100"/>
      <w:ind w:left="1000"/>
    </w:pPr>
  </w:style>
  <w:style w:type="paragraph" w:styleId="TOC5">
    <w:name w:val="toc 5"/>
    <w:basedOn w:val="a0"/>
    <w:next w:val="a0"/>
    <w:autoRedefine/>
    <w:uiPriority w:val="39"/>
    <w:unhideWhenUsed/>
    <w:rsid w:val="00C9003B"/>
    <w:pPr>
      <w:spacing w:after="100"/>
      <w:ind w:left="800"/>
    </w:pPr>
  </w:style>
  <w:style w:type="paragraph" w:customStyle="1" w:styleId="ruller41">
    <w:name w:val="ruller41"/>
    <w:basedOn w:val="a0"/>
    <w:rsid w:val="00C9003B"/>
    <w:pPr>
      <w:bidi w:val="0"/>
      <w:spacing w:before="100" w:beforeAutospacing="1" w:after="100" w:afterAutospacing="1" w:line="240" w:lineRule="auto"/>
      <w:jc w:val="left"/>
    </w:pPr>
    <w:rPr>
      <w:rFonts w:eastAsia="Times New Roman" w:cs="Times New Roman"/>
      <w:sz w:val="24"/>
    </w:rPr>
  </w:style>
  <w:style w:type="character" w:customStyle="1" w:styleId="736100">
    <w:name w:val="73א כותרת 6_10 תו"/>
    <w:basedOn w:val="a1"/>
    <w:link w:val="73610"/>
    <w:rsid w:val="0078358A"/>
    <w:rPr>
      <w:rFonts w:ascii="Tahoma" w:hAnsi="Tahoma" w:cs="Tahoma"/>
      <w:b/>
      <w:bCs/>
      <w:color w:val="00305F"/>
      <w:szCs w:val="20"/>
    </w:rPr>
  </w:style>
  <w:style w:type="paragraph" w:customStyle="1" w:styleId="msonormal0">
    <w:name w:val="msonormal"/>
    <w:basedOn w:val="a0"/>
    <w:rsid w:val="007324C6"/>
    <w:pPr>
      <w:bidi w:val="0"/>
      <w:spacing w:before="100" w:beforeAutospacing="1" w:after="100" w:afterAutospacing="1" w:line="240" w:lineRule="auto"/>
      <w:jc w:val="left"/>
    </w:pPr>
    <w:rPr>
      <w:rFonts w:eastAsia="Times New Roman" w:cs="Times New Roman"/>
      <w:sz w:val="24"/>
    </w:rPr>
  </w:style>
  <w:style w:type="paragraph" w:styleId="TOC7">
    <w:name w:val="toc 7"/>
    <w:basedOn w:val="a0"/>
    <w:next w:val="a0"/>
    <w:autoRedefine/>
    <w:uiPriority w:val="39"/>
    <w:unhideWhenUsed/>
    <w:rsid w:val="007324C6"/>
    <w:pPr>
      <w:spacing w:after="100" w:line="259" w:lineRule="auto"/>
      <w:ind w:left="1320"/>
      <w:jc w:val="left"/>
    </w:pPr>
    <w:rPr>
      <w:rFonts w:asciiTheme="minorHAnsi" w:hAnsiTheme="minorHAnsi" w:cstheme="minorBidi"/>
      <w:sz w:val="22"/>
      <w:szCs w:val="22"/>
    </w:rPr>
  </w:style>
  <w:style w:type="paragraph" w:customStyle="1" w:styleId="ruller4">
    <w:name w:val="ruller4"/>
    <w:basedOn w:val="a0"/>
    <w:rsid w:val="007324C6"/>
    <w:pPr>
      <w:bidi w:val="0"/>
      <w:spacing w:before="100" w:beforeAutospacing="1" w:after="100" w:afterAutospacing="1" w:line="240" w:lineRule="auto"/>
      <w:jc w:val="left"/>
    </w:pPr>
    <w:rPr>
      <w:rFonts w:eastAsia="Times New Roman" w:cs="Times New Roman"/>
      <w:sz w:val="24"/>
    </w:rPr>
  </w:style>
  <w:style w:type="table" w:styleId="1-5">
    <w:name w:val="Grid Table 1 Light Accent 5"/>
    <w:basedOn w:val="a2"/>
    <w:uiPriority w:val="46"/>
    <w:rsid w:val="005D0F8C"/>
    <w:pPr>
      <w:bidi/>
      <w:spacing w:after="0" w:line="240" w:lineRule="auto"/>
      <w:ind w:left="720" w:hanging="720"/>
    </w:pPr>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6-5">
    <w:name w:val="Grid Table 6 Colorful Accent 5"/>
    <w:basedOn w:val="a2"/>
    <w:uiPriority w:val="51"/>
    <w:rsid w:val="005D0F8C"/>
    <w:pPr>
      <w:bidi/>
      <w:spacing w:after="0" w:line="240" w:lineRule="auto"/>
      <w:ind w:left="720" w:hanging="720"/>
    </w:pPr>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4-5">
    <w:name w:val="Grid Table 4 Accent 5"/>
    <w:basedOn w:val="a2"/>
    <w:uiPriority w:val="49"/>
    <w:rsid w:val="005D0F8C"/>
    <w:pPr>
      <w:bidi/>
      <w:spacing w:after="0" w:line="240" w:lineRule="auto"/>
      <w:ind w:left="720" w:hanging="720"/>
    </w:p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color w:val="FFFFFF" w:themeColor="background1"/>
      </w:rPr>
      <w:tblPr/>
      <w:tcPr>
        <w:tcBorders>
          <w:top w:val="single" w:sz="4" w:space="0" w:color="3E8853" w:themeColor="accent5"/>
          <w:left w:val="single" w:sz="4" w:space="0" w:color="3E8853" w:themeColor="accent5"/>
          <w:bottom w:val="single" w:sz="4" w:space="0" w:color="3E8853" w:themeColor="accent5"/>
          <w:right w:val="single" w:sz="4" w:space="0" w:color="3E8853" w:themeColor="accent5"/>
          <w:insideH w:val="nil"/>
          <w:insideV w:val="nil"/>
        </w:tcBorders>
        <w:shd w:val="clear" w:color="auto" w:fill="3E8853" w:themeFill="accent5"/>
      </w:tcPr>
    </w:tblStylePr>
    <w:tblStylePr w:type="lastRow">
      <w:rPr>
        <w:b/>
        <w:bCs/>
      </w:rPr>
      <w:tblPr/>
      <w:tcPr>
        <w:tcBorders>
          <w:top w:val="double" w:sz="4" w:space="0" w:color="3E8853" w:themeColor="accent5"/>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paragraph" w:customStyle="1" w:styleId="52">
    <w:name w:val="סגנון5"/>
    <w:basedOn w:val="73f0"/>
    <w:qFormat/>
    <w:rsid w:val="005D0F8C"/>
    <w:pPr>
      <w:pBdr>
        <w:top w:val="single" w:sz="18" w:space="4" w:color="CFEBF6"/>
        <w:left w:val="single" w:sz="18" w:space="11" w:color="CFEBF6"/>
        <w:bottom w:val="single" w:sz="18" w:space="6" w:color="CFEBF6"/>
        <w:right w:val="single" w:sz="18" w:space="11" w:color="CFEBF6"/>
      </w:pBdr>
      <w:shd w:val="solid" w:color="DBE4FA" w:fill="auto"/>
    </w:pPr>
  </w:style>
  <w:style w:type="paragraph" w:customStyle="1" w:styleId="62">
    <w:name w:val="סגנון6"/>
    <w:basedOn w:val="73f6"/>
    <w:qFormat/>
    <w:rsid w:val="005D0F8C"/>
    <w:pPr>
      <w:framePr w:wrap="around"/>
      <w:pBdr>
        <w:top w:val="single" w:sz="18" w:space="4" w:color="CFEBF6"/>
        <w:left w:val="single" w:sz="18" w:space="11" w:color="CFEBF6"/>
        <w:bottom w:val="single" w:sz="18" w:space="6" w:color="CFEBF6"/>
        <w:right w:val="single" w:sz="18" w:space="11" w:color="CFEBF6"/>
      </w:pBdr>
      <w:shd w:val="solid" w:color="DBE4FA" w:fill="auto"/>
      <w:spacing w:after="240"/>
      <w:ind w:left="1417"/>
    </w:pPr>
    <w:rPr>
      <w:rFonts w:eastAsiaTheme="minorHAnsi"/>
    </w:rPr>
  </w:style>
  <w:style w:type="table" w:customStyle="1" w:styleId="Table3">
    <w:name w:val="Table3"/>
    <w:basedOn w:val="a2"/>
    <w:rsid w:val="00B91AD9"/>
    <w:pPr>
      <w:bidi/>
      <w:jc w:val="left"/>
    </w:pPr>
    <w:rPr>
      <w:rFonts w:ascii="Calibri" w:eastAsia="Calibri" w:hAnsi="Calibri" w:cs="Calibri"/>
      <w:sz w:val="22"/>
      <w:szCs w:val="22"/>
    </w:rPr>
    <w:tblPr>
      <w:tblStyleRowBandSize w:val="1"/>
      <w:tblStyleColBandSize w:val="1"/>
      <w:tblCellMar>
        <w:left w:w="115" w:type="dxa"/>
        <w:right w:w="115" w:type="dxa"/>
      </w:tblCellMar>
    </w:tblPr>
  </w:style>
  <w:style w:type="paragraph" w:styleId="TOC8">
    <w:name w:val="toc 8"/>
    <w:basedOn w:val="a0"/>
    <w:next w:val="a0"/>
    <w:autoRedefine/>
    <w:uiPriority w:val="39"/>
    <w:unhideWhenUsed/>
    <w:rsid w:val="00B91AD9"/>
    <w:pPr>
      <w:spacing w:after="100" w:line="259" w:lineRule="auto"/>
      <w:ind w:left="1540"/>
      <w:jc w:val="left"/>
    </w:pPr>
    <w:rPr>
      <w:rFonts w:asciiTheme="minorHAnsi" w:eastAsiaTheme="minorEastAsia" w:hAnsiTheme="minorHAnsi" w:cstheme="minorBidi"/>
      <w:sz w:val="22"/>
      <w:szCs w:val="22"/>
    </w:rPr>
  </w:style>
  <w:style w:type="paragraph" w:styleId="TOC9">
    <w:name w:val="toc 9"/>
    <w:basedOn w:val="a0"/>
    <w:next w:val="a0"/>
    <w:autoRedefine/>
    <w:uiPriority w:val="39"/>
    <w:unhideWhenUsed/>
    <w:rsid w:val="00B91AD9"/>
    <w:pPr>
      <w:spacing w:after="100" w:line="259" w:lineRule="auto"/>
      <w:ind w:left="1760"/>
      <w:jc w:val="left"/>
    </w:pPr>
    <w:rPr>
      <w:rFonts w:asciiTheme="minorHAnsi" w:eastAsiaTheme="minorEastAsia" w:hAnsiTheme="minorHAnsi" w:cstheme="minorBidi"/>
      <w:sz w:val="22"/>
      <w:szCs w:val="22"/>
    </w:rPr>
  </w:style>
  <w:style w:type="character" w:styleId="affff3">
    <w:name w:val="page number"/>
    <w:basedOn w:val="a1"/>
    <w:uiPriority w:val="99"/>
    <w:semiHidden/>
    <w:unhideWhenUsed/>
    <w:rsid w:val="005B2BF5"/>
  </w:style>
  <w:style w:type="table" w:customStyle="1" w:styleId="1f9">
    <w:name w:val="טבלת רשת1"/>
    <w:basedOn w:val="a2"/>
    <w:next w:val="a9"/>
    <w:uiPriority w:val="59"/>
    <w:rsid w:val="005B2BF5"/>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4">
    <w:name w:val="List Number"/>
    <w:basedOn w:val="a0"/>
    <w:uiPriority w:val="99"/>
    <w:semiHidden/>
    <w:unhideWhenUsed/>
    <w:rsid w:val="005B2BF5"/>
    <w:pPr>
      <w:tabs>
        <w:tab w:val="num" w:pos="360"/>
      </w:tabs>
      <w:spacing w:line="360" w:lineRule="auto"/>
      <w:ind w:left="360" w:hanging="360"/>
      <w:contextualSpacing/>
    </w:pPr>
    <w:rPr>
      <w:sz w:val="24"/>
    </w:rPr>
  </w:style>
  <w:style w:type="character" w:customStyle="1" w:styleId="Bodytext2105pt">
    <w:name w:val="Body text (2) + 10.5 pt"/>
    <w:basedOn w:val="a1"/>
    <w:rsid w:val="005B2BF5"/>
    <w:rPr>
      <w:rFonts w:ascii="David" w:eastAsia="David" w:hAnsi="David" w:cs="David"/>
      <w:b w:val="0"/>
      <w:bCs w:val="0"/>
      <w:i w:val="0"/>
      <w:iCs w:val="0"/>
      <w:smallCaps w:val="0"/>
      <w:strike w:val="0"/>
      <w:color w:val="000000"/>
      <w:spacing w:val="0"/>
      <w:w w:val="100"/>
      <w:position w:val="0"/>
      <w:sz w:val="21"/>
      <w:szCs w:val="21"/>
      <w:u w:val="none"/>
      <w:lang w:val="he-IL" w:eastAsia="he-IL" w:bidi="he-IL"/>
    </w:rPr>
  </w:style>
  <w:style w:type="character" w:customStyle="1" w:styleId="Bodytext6Bold">
    <w:name w:val="Body text (6) + Bold"/>
    <w:basedOn w:val="Bodytext6"/>
    <w:rsid w:val="005B2BF5"/>
    <w:rPr>
      <w:rFonts w:ascii="Lucida Sans Unicode" w:eastAsia="Lucida Sans Unicode" w:hAnsi="Lucida Sans Unicode" w:cs="Lucida Sans Unicode"/>
      <w:b/>
      <w:bCs/>
      <w:i w:val="0"/>
      <w:iCs w:val="0"/>
      <w:smallCaps w:val="0"/>
      <w:strike w:val="0"/>
      <w:color w:val="000000"/>
      <w:spacing w:val="0"/>
      <w:w w:val="100"/>
      <w:position w:val="0"/>
      <w:sz w:val="19"/>
      <w:szCs w:val="19"/>
      <w:u w:val="none"/>
      <w:shd w:val="clear" w:color="auto" w:fill="FFFFFF"/>
      <w:lang w:val="he-IL" w:eastAsia="he-IL" w:bidi="he-IL"/>
    </w:rPr>
  </w:style>
  <w:style w:type="character" w:customStyle="1" w:styleId="Bodytext69pt1">
    <w:name w:val="Body text (6) + 9 pt1"/>
    <w:basedOn w:val="Bodytext6"/>
    <w:rsid w:val="005B2BF5"/>
    <w:rPr>
      <w:rFonts w:ascii="Lucida Sans Unicode" w:eastAsia="Lucida Sans Unicode" w:hAnsi="Lucida Sans Unicode" w:cs="Lucida Sans Unicode"/>
      <w:b w:val="0"/>
      <w:bCs w:val="0"/>
      <w:i w:val="0"/>
      <w:iCs w:val="0"/>
      <w:smallCaps w:val="0"/>
      <w:strike w:val="0"/>
      <w:color w:val="000000"/>
      <w:spacing w:val="0"/>
      <w:w w:val="100"/>
      <w:position w:val="0"/>
      <w:sz w:val="18"/>
      <w:szCs w:val="18"/>
      <w:u w:val="none"/>
      <w:shd w:val="clear" w:color="auto" w:fill="FFFFFF"/>
      <w:lang w:val="he-IL" w:eastAsia="he-IL" w:bidi="he-IL"/>
    </w:rPr>
  </w:style>
  <w:style w:type="character" w:customStyle="1" w:styleId="Heading1">
    <w:name w:val="Heading #1_"/>
    <w:basedOn w:val="a1"/>
    <w:link w:val="Heading10"/>
    <w:rsid w:val="005B2BF5"/>
    <w:rPr>
      <w:rFonts w:ascii="David" w:eastAsia="David" w:hAnsi="David"/>
      <w:b/>
      <w:bCs/>
      <w:sz w:val="54"/>
      <w:szCs w:val="54"/>
      <w:shd w:val="clear" w:color="auto" w:fill="FFFFFF"/>
    </w:rPr>
  </w:style>
  <w:style w:type="character" w:customStyle="1" w:styleId="Heading1Italic">
    <w:name w:val="Heading #1 + Italic"/>
    <w:basedOn w:val="Heading1"/>
    <w:rsid w:val="005B2BF5"/>
    <w:rPr>
      <w:rFonts w:ascii="David" w:eastAsia="David" w:hAnsi="David"/>
      <w:b/>
      <w:bCs/>
      <w:i/>
      <w:iCs/>
      <w:color w:val="000000"/>
      <w:spacing w:val="0"/>
      <w:w w:val="100"/>
      <w:position w:val="0"/>
      <w:sz w:val="54"/>
      <w:szCs w:val="54"/>
      <w:shd w:val="clear" w:color="auto" w:fill="FFFFFF"/>
      <w:lang w:val="he-IL" w:eastAsia="he-IL" w:bidi="he-IL"/>
    </w:rPr>
  </w:style>
  <w:style w:type="paragraph" w:customStyle="1" w:styleId="Heading10">
    <w:name w:val="Heading #1"/>
    <w:basedOn w:val="a0"/>
    <w:link w:val="Heading1"/>
    <w:rsid w:val="005B2BF5"/>
    <w:pPr>
      <w:widowControl w:val="0"/>
      <w:shd w:val="clear" w:color="auto" w:fill="FFFFFF"/>
      <w:spacing w:before="4260" w:after="360" w:line="0" w:lineRule="atLeast"/>
      <w:jc w:val="left"/>
      <w:outlineLvl w:val="0"/>
    </w:pPr>
    <w:rPr>
      <w:rFonts w:ascii="David" w:eastAsia="David" w:hAnsi="David"/>
      <w:b/>
      <w:bCs/>
      <w:sz w:val="54"/>
      <w:szCs w:val="54"/>
    </w:rPr>
  </w:style>
  <w:style w:type="character" w:customStyle="1" w:styleId="Bodytext28pt">
    <w:name w:val="Body text (2) + 8 pt"/>
    <w:basedOn w:val="Bodytext2"/>
    <w:rsid w:val="005B2BF5"/>
    <w:rPr>
      <w:rFonts w:ascii="Lucida Sans Unicode" w:eastAsia="Lucida Sans Unicode" w:hAnsi="Lucida Sans Unicode" w:cs="Lucida Sans Unicode"/>
      <w:color w:val="000000"/>
      <w:spacing w:val="0"/>
      <w:w w:val="100"/>
      <w:position w:val="0"/>
      <w:sz w:val="16"/>
      <w:szCs w:val="16"/>
      <w:shd w:val="clear" w:color="auto" w:fill="FFFFFF"/>
      <w:lang w:val="he-IL" w:eastAsia="he-IL" w:bidi="he-IL"/>
    </w:rPr>
  </w:style>
  <w:style w:type="paragraph" w:customStyle="1" w:styleId="Bodytext21">
    <w:name w:val="Body text (2)1"/>
    <w:basedOn w:val="a0"/>
    <w:rsid w:val="005B2BF5"/>
    <w:pPr>
      <w:widowControl w:val="0"/>
      <w:shd w:val="clear" w:color="auto" w:fill="FFFFFF"/>
      <w:spacing w:line="371" w:lineRule="exact"/>
      <w:ind w:hanging="740"/>
    </w:pPr>
    <w:rPr>
      <w:rFonts w:ascii="David" w:eastAsia="David" w:hAnsi="David"/>
      <w:sz w:val="22"/>
      <w:szCs w:val="22"/>
    </w:rPr>
  </w:style>
  <w:style w:type="paragraph" w:customStyle="1" w:styleId="affff5">
    <w:name w:val="כותרת ראשית לדוח"/>
    <w:qFormat/>
    <w:rsid w:val="000F5023"/>
    <w:pPr>
      <w:spacing w:before="360" w:line="600" w:lineRule="exact"/>
      <w:ind w:left="2268"/>
      <w:jc w:val="left"/>
    </w:pPr>
    <w:rPr>
      <w:rFonts w:ascii="Tahoma" w:hAnsi="Tahoma" w:cs="Tahoma"/>
      <w:b/>
      <w:bCs/>
      <w:sz w:val="44"/>
      <w:szCs w:val="44"/>
    </w:rPr>
  </w:style>
  <w:style w:type="paragraph" w:customStyle="1" w:styleId="affff6">
    <w:name w:val="תאריך הדוח"/>
    <w:qFormat/>
    <w:rsid w:val="000F5023"/>
    <w:pPr>
      <w:ind w:left="2268"/>
      <w:jc w:val="left"/>
    </w:pPr>
    <w:rPr>
      <w:rFonts w:ascii="Tahoma" w:hAnsi="Tahoma" w:cs="Tahoma"/>
      <w:sz w:val="18"/>
      <w:szCs w:val="18"/>
    </w:rPr>
  </w:style>
  <w:style w:type="paragraph" w:customStyle="1" w:styleId="7">
    <w:name w:val="סגנון7"/>
    <w:basedOn w:val="73ff3"/>
    <w:qFormat/>
    <w:rsid w:val="00F1103C"/>
    <w:pPr>
      <w:numPr>
        <w:numId w:val="9"/>
      </w:numPr>
      <w:ind w:left="850" w:right="284" w:hanging="425"/>
    </w:pPr>
    <w:rPr>
      <w:noProof/>
      <w:lang w:val="he-IL"/>
    </w:rPr>
  </w:style>
  <w:style w:type="paragraph" w:customStyle="1" w:styleId="711">
    <w:name w:val="71ג קוביה כחולה עם מספרים מוזחים"/>
    <w:basedOn w:val="a0"/>
    <w:qFormat/>
    <w:rsid w:val="00B85CE0"/>
    <w:pPr>
      <w:pBdr>
        <w:top w:val="single" w:sz="4" w:space="4" w:color="CEEAF5"/>
        <w:left w:val="single" w:sz="4" w:space="11" w:color="CEEAF5"/>
        <w:bottom w:val="single" w:sz="4" w:space="6" w:color="CEEAF5"/>
        <w:right w:val="single" w:sz="4" w:space="11" w:color="CEEAF5"/>
      </w:pBdr>
      <w:shd w:val="clear" w:color="auto" w:fill="CEEAF5"/>
      <w:spacing w:after="180" w:line="260" w:lineRule="exact"/>
      <w:ind w:left="681" w:right="227" w:hanging="397"/>
    </w:pPr>
    <w:rPr>
      <w:rFonts w:ascii="Tahoma" w:hAnsi="Tahoma" w:cs="Tahoma"/>
      <w:color w:val="0D0D0D" w:themeColor="text1" w:themeTint="F2"/>
      <w:sz w:val="18"/>
      <w:szCs w:val="18"/>
    </w:rPr>
  </w:style>
  <w:style w:type="paragraph" w:customStyle="1" w:styleId="712">
    <w:name w:val="71ג הערות שוליים"/>
    <w:basedOn w:val="a7"/>
    <w:link w:val="71Char"/>
    <w:qFormat/>
    <w:rsid w:val="00437586"/>
    <w:pPr>
      <w:spacing w:after="60" w:line="220" w:lineRule="exact"/>
      <w:ind w:left="397" w:hanging="397"/>
    </w:pPr>
    <w:rPr>
      <w:rFonts w:ascii="Tahoma" w:hAnsi="Tahoma" w:cs="Tahoma"/>
      <w:color w:val="0D0D0D" w:themeColor="text1" w:themeTint="F2"/>
      <w:sz w:val="14"/>
      <w:szCs w:val="14"/>
    </w:rPr>
  </w:style>
  <w:style w:type="character" w:customStyle="1" w:styleId="71Char">
    <w:name w:val="71ג הערות שוליים Char"/>
    <w:basedOn w:val="30"/>
    <w:link w:val="712"/>
    <w:rsid w:val="00437586"/>
    <w:rPr>
      <w:rFonts w:ascii="Tahoma" w:hAnsi="Tahoma" w:cs="Tahoma"/>
      <w:color w:val="0D0D0D" w:themeColor="text1" w:themeTint="F2"/>
      <w:sz w:val="14"/>
      <w:szCs w:val="14"/>
    </w:rPr>
  </w:style>
  <w:style w:type="paragraph" w:customStyle="1" w:styleId="713">
    <w:name w:val="71ג הזחה מספר בסוגריים"/>
    <w:basedOn w:val="ae"/>
    <w:qFormat/>
    <w:rsid w:val="00437586"/>
    <w:pPr>
      <w:spacing w:after="180" w:line="260" w:lineRule="exact"/>
      <w:ind w:left="0"/>
      <w:contextualSpacing w:val="0"/>
    </w:pPr>
    <w:rPr>
      <w:rFonts w:ascii="Tahoma" w:hAnsi="Tahoma" w:cs="Tahoma"/>
      <w:sz w:val="18"/>
      <w:szCs w:val="18"/>
    </w:rPr>
  </w:style>
  <w:style w:type="paragraph" w:customStyle="1" w:styleId="7120">
    <w:name w:val="71ג אותות בתוך קוביה 2"/>
    <w:basedOn w:val="a0"/>
    <w:qFormat/>
    <w:rsid w:val="008E566F"/>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80" w:line="260" w:lineRule="exact"/>
      <w:ind w:right="227"/>
    </w:pPr>
    <w:rPr>
      <w:rFonts w:ascii="Tahoma" w:eastAsia="Times New Roman" w:hAnsi="Tahoma" w:cs="Tahoma"/>
      <w:color w:val="0D0D0D" w:themeColor="text1" w:themeTint="F2"/>
      <w:sz w:val="18"/>
      <w:szCs w:val="18"/>
      <w:lang w:eastAsia="he-IL"/>
    </w:rPr>
  </w:style>
  <w:style w:type="paragraph" w:customStyle="1" w:styleId="73ff8">
    <w:name w:val="73 הביקורת הנוכחית"/>
    <w:qFormat/>
    <w:rsid w:val="009B1FD6"/>
    <w:pPr>
      <w:spacing w:before="240" w:after="180" w:line="240" w:lineRule="atLeast"/>
      <w:outlineLvl w:val="4"/>
    </w:pPr>
    <w:rPr>
      <w:rFonts w:ascii="Tahoma" w:eastAsia="Times New Roman" w:hAnsi="Tahoma" w:cs="Tahoma"/>
      <w:b/>
      <w:bCs/>
      <w:color w:val="00305F"/>
      <w:spacing w:val="20"/>
      <w:sz w:val="26"/>
      <w:szCs w:val="26"/>
    </w:rPr>
  </w:style>
  <w:style w:type="table" w:customStyle="1" w:styleId="4-51">
    <w:name w:val="טבלת רשת 4 - הדגשה 51"/>
    <w:basedOn w:val="a2"/>
    <w:next w:val="4-5"/>
    <w:uiPriority w:val="49"/>
    <w:rsid w:val="00BF1E3B"/>
    <w:pPr>
      <w:spacing w:after="0" w:line="240" w:lineRule="auto"/>
    </w:pPr>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insideV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insideV w:val="nil"/>
        </w:tcBorders>
        <w:shd w:val="clear" w:color="auto" w:fill="4AB5C4"/>
      </w:tcPr>
    </w:tblStylePr>
    <w:tblStylePr w:type="lastRow">
      <w:rPr>
        <w:b/>
        <w:bCs/>
      </w:rPr>
      <w:tblPr/>
      <w:tcPr>
        <w:tcBorders>
          <w:top w:val="double" w:sz="4" w:space="0" w:color="4AB5C4"/>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paragraph" w:customStyle="1" w:styleId="a00">
    <w:name w:val="a0"/>
    <w:basedOn w:val="a0"/>
    <w:rsid w:val="00BF1E3B"/>
    <w:pPr>
      <w:bidi w:val="0"/>
      <w:spacing w:before="100" w:beforeAutospacing="1" w:after="100" w:afterAutospacing="1" w:line="240" w:lineRule="auto"/>
      <w:jc w:val="left"/>
    </w:pPr>
    <w:rPr>
      <w:rFonts w:eastAsia="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emf"/><Relationship Id="rId42" Type="http://schemas.openxmlformats.org/officeDocument/2006/relationships/hyperlink" Target="http://www.nevo.co.il/law/122506" TargetMode="External"/><Relationship Id="rId47" Type="http://schemas.openxmlformats.org/officeDocument/2006/relationships/hyperlink" Target="https://www.gov.il/he/service/land_registration_extract" TargetMode="External"/><Relationship Id="rId63" Type="http://schemas.openxmlformats.org/officeDocument/2006/relationships/image" Target="media/image28.jpeg"/><Relationship Id="rId68" Type="http://schemas.openxmlformats.org/officeDocument/2006/relationships/image" Target="media/image33.emf"/><Relationship Id="rId84" Type="http://schemas.openxmlformats.org/officeDocument/2006/relationships/theme" Target="theme/theme1.xml"/><Relationship Id="rId16" Type="http://schemas.openxmlformats.org/officeDocument/2006/relationships/header" Target="header3.xml"/><Relationship Id="rId11" Type="http://schemas.openxmlformats.org/officeDocument/2006/relationships/image" Target="media/image1.jpeg"/><Relationship Id="rId32" Type="http://schemas.openxmlformats.org/officeDocument/2006/relationships/image" Target="media/image19.emf"/><Relationship Id="rId37" Type="http://schemas.openxmlformats.org/officeDocument/2006/relationships/image" Target="media/image22.emf"/><Relationship Id="rId53" Type="http://schemas.openxmlformats.org/officeDocument/2006/relationships/hyperlink" Target="https://www.gov.il/he/service/driving_license_renewal" TargetMode="External"/><Relationship Id="rId58" Type="http://schemas.openxmlformats.org/officeDocument/2006/relationships/hyperlink" Target="https://www.gov.il/he/service/check-status-for-job-grant" TargetMode="External"/><Relationship Id="rId74" Type="http://schemas.openxmlformats.org/officeDocument/2006/relationships/image" Target="media/image39.emf"/><Relationship Id="rId79" Type="http://schemas.openxmlformats.org/officeDocument/2006/relationships/image" Target="media/image44.emf"/><Relationship Id="rId5" Type="http://schemas.openxmlformats.org/officeDocument/2006/relationships/numbering" Target="numbering.xml"/><Relationship Id="rId61" Type="http://schemas.openxmlformats.org/officeDocument/2006/relationships/hyperlink" Target="https://www.gov.il/he/service/real_estate_information" TargetMode="External"/><Relationship Id="rId82" Type="http://schemas.openxmlformats.org/officeDocument/2006/relationships/header" Target="header5.xml"/><Relationship Id="rId19" Type="http://schemas.openxmlformats.org/officeDocument/2006/relationships/image" Target="media/image7.jpeg"/><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header" Target="header4.xml"/><Relationship Id="rId43" Type="http://schemas.openxmlformats.org/officeDocument/2006/relationships/image" Target="media/image24.jpeg"/><Relationship Id="rId48" Type="http://schemas.openxmlformats.org/officeDocument/2006/relationships/hyperlink" Target="https://www.gov.il/he/service/police_fine_payment" TargetMode="External"/><Relationship Id="rId56" Type="http://schemas.openxmlformats.org/officeDocument/2006/relationships/hyperlink" Target="https://www.gov.il/he/service/biometric_smart_id_request" TargetMode="External"/><Relationship Id="rId64" Type="http://schemas.openxmlformats.org/officeDocument/2006/relationships/image" Target="media/image29.jpeg"/><Relationship Id="rId69" Type="http://schemas.openxmlformats.org/officeDocument/2006/relationships/image" Target="media/image34.emf"/><Relationship Id="rId77" Type="http://schemas.openxmlformats.org/officeDocument/2006/relationships/image" Target="media/image42.jpeg"/><Relationship Id="rId8" Type="http://schemas.openxmlformats.org/officeDocument/2006/relationships/webSettings" Target="webSettings.xml"/><Relationship Id="rId51" Type="http://schemas.openxmlformats.org/officeDocument/2006/relationships/hyperlink" Target="https://www.gov.il/he/service/disability_parking_badge" TargetMode="External"/><Relationship Id="rId72" Type="http://schemas.openxmlformats.org/officeDocument/2006/relationships/image" Target="media/image37.emf"/><Relationship Id="rId80" Type="http://schemas.openxmlformats.org/officeDocument/2006/relationships/image" Target="media/image45.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image" Target="media/image23.jpeg"/><Relationship Id="rId46" Type="http://schemas.openxmlformats.org/officeDocument/2006/relationships/image" Target="media/image27.jpeg"/><Relationship Id="rId59" Type="http://schemas.openxmlformats.org/officeDocument/2006/relationships/hyperlink" Target="https://www.gov.il/he/service/submitting-an-online-claim-for-job-grant" TargetMode="External"/><Relationship Id="rId67" Type="http://schemas.openxmlformats.org/officeDocument/2006/relationships/image" Target="media/image32.emf"/><Relationship Id="rId20" Type="http://schemas.openxmlformats.org/officeDocument/2006/relationships/image" Target="media/image7.emf"/><Relationship Id="rId41" Type="http://schemas.openxmlformats.org/officeDocument/2006/relationships/hyperlink" Target="http://www.nevo.co.il/law/122506" TargetMode="External"/><Relationship Id="rId54" Type="http://schemas.openxmlformats.org/officeDocument/2006/relationships/hyperlink" Target="https://www.gov.il/he/service/ownership-vehicles-transfer" TargetMode="External"/><Relationship Id="rId62" Type="http://schemas.openxmlformats.org/officeDocument/2006/relationships/hyperlink" Target="https://www.gov.il/he/service/my-ramitech" TargetMode="External"/><Relationship Id="rId70" Type="http://schemas.openxmlformats.org/officeDocument/2006/relationships/image" Target="media/image35.emf"/><Relationship Id="rId75" Type="http://schemas.openxmlformats.org/officeDocument/2006/relationships/image" Target="media/image40.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footer" Target="footer2.xml"/><Relationship Id="rId49" Type="http://schemas.openxmlformats.org/officeDocument/2006/relationships/hyperlink" Target="https://www.gov.il/he/service/request-entry-to-israel-covid19" TargetMode="External"/><Relationship Id="rId57" Type="http://schemas.openxmlformats.org/officeDocument/2006/relationships/hyperlink" Target="https://www.gov.il/he/service/itc-gmishurim" TargetMode="External"/><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25.jpeg"/><Relationship Id="rId52" Type="http://schemas.openxmlformats.org/officeDocument/2006/relationships/hyperlink" Target="https://www.gov.il/he/service/apply_for_new_driver_drivers_license" TargetMode="External"/><Relationship Id="rId60" Type="http://schemas.openxmlformats.org/officeDocument/2006/relationships/hyperlink" Target="https://www.gov.il/he/service/tax-coordination-online" TargetMode="External"/><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emf"/><Relationship Id="rId81"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6.jpeg"/><Relationship Id="rId39" Type="http://schemas.openxmlformats.org/officeDocument/2006/relationships/hyperlink" Target="http://www.nevo.co.il/law/5019/2" TargetMode="External"/><Relationship Id="rId34" Type="http://schemas.openxmlformats.org/officeDocument/2006/relationships/image" Target="media/image21.emf"/><Relationship Id="rId50" Type="http://schemas.openxmlformats.org/officeDocument/2006/relationships/hyperlink" Target="https://www.gov.il/he/service/car_licence_renewal" TargetMode="External"/><Relationship Id="rId55" Type="http://schemas.openxmlformats.org/officeDocument/2006/relationships/hyperlink" Target="https://www.gov.il/he/service/application_for_biometric_passport2" TargetMode="External"/><Relationship Id="rId76" Type="http://schemas.openxmlformats.org/officeDocument/2006/relationships/image" Target="media/image41.jpeg"/><Relationship Id="rId7" Type="http://schemas.openxmlformats.org/officeDocument/2006/relationships/settings" Target="settings.xml"/><Relationship Id="rId71" Type="http://schemas.openxmlformats.org/officeDocument/2006/relationships/image" Target="media/image36.jpeg"/><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jpeg"/><Relationship Id="rId40" Type="http://schemas.openxmlformats.org/officeDocument/2006/relationships/hyperlink" Target="http://www.nevo.co.il/law/122506/cS" TargetMode="External"/><Relationship Id="rId45" Type="http://schemas.openxmlformats.org/officeDocument/2006/relationships/image" Target="media/image26.emf"/><Relationship Id="rId66" Type="http://schemas.openxmlformats.org/officeDocument/2006/relationships/image" Target="media/image31.emf"/></Relationships>
</file>

<file path=word/_rels/footnotes.xml.rels><?xml version="1.0" encoding="UTF-8" standalone="yes"?>
<Relationships xmlns="http://schemas.openxmlformats.org/package/2006/relationships"><Relationship Id="rId1" Type="http://schemas.openxmlformats.org/officeDocument/2006/relationships/hyperlink" Target="https://www.mitgaisim.idf.i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theme/_rels/theme1.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אינטגרל">
  <a:themeElements>
    <a:clrScheme name="אינטגרל">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אינטגרל">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אינטגרל">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b3d791f89300efca45be244c8ab8eee">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3f32651d6f91e9dea68c269a9733e2c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4C8F3-99B9-42DE-920E-5707BD78BD9B}">
  <ds:schemaRefs>
    <ds:schemaRef ds:uri="http://schemas.microsoft.com/sharepoint/v3/contenttype/forms"/>
  </ds:schemaRefs>
</ds:datastoreItem>
</file>

<file path=customXml/itemProps2.xml><?xml version="1.0" encoding="utf-8"?>
<ds:datastoreItem xmlns:ds="http://schemas.openxmlformats.org/officeDocument/2006/customXml" ds:itemID="{800D67BE-5CBC-491E-93AA-9638FC0B2514}"/>
</file>

<file path=customXml/itemProps3.xml><?xml version="1.0" encoding="utf-8"?>
<ds:datastoreItem xmlns:ds="http://schemas.openxmlformats.org/officeDocument/2006/customXml" ds:itemID="{F7603606-5E1C-4A20-A662-7530344C0C79}">
  <ds:schemaRefs>
    <ds:schemaRef ds:uri="http://schemas.openxmlformats.org/package/2006/metadata/core-properties"/>
    <ds:schemaRef ds:uri="http://schemas.microsoft.com/sharepoint/v3"/>
    <ds:schemaRef ds:uri="http://purl.org/dc/elements/1.1/"/>
    <ds:schemaRef ds:uri="http://schemas.microsoft.com/office/infopath/2007/PartnerControls"/>
    <ds:schemaRef ds:uri="http://www.w3.org/XML/1998/namespace"/>
    <ds:schemaRef ds:uri="http://schemas.microsoft.com/office/2006/documentManagement/types"/>
    <ds:schemaRef ds:uri="http://purl.org/dc/term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BD05B4D9-DFEC-410D-92EE-67EED2BC6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102</Pages>
  <Words>22178</Words>
  <Characters>110895</Characters>
  <Application>Microsoft Office Word</Application>
  <DocSecurity>4</DocSecurity>
  <Lines>924</Lines>
  <Paragraphs>265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132808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מיכל גולדשטיין</dc:creator>
  <cp:lastModifiedBy>גיתית עטר</cp:lastModifiedBy>
  <cp:revision>2</cp:revision>
  <dcterms:created xsi:type="dcterms:W3CDTF">2023-11-28T07:37:00Z</dcterms:created>
  <dcterms:modified xsi:type="dcterms:W3CDTF">2023-11-28T07:37:00Z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