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ackground w:color="ffffff">
    <v:background id="_x0000_s1025" filled="t"/>
  </w:background>
  <w:body>
    <w:bookmarkStart w:id="0" w:name="_Hlk63775048"/>
    <w:bookmarkEnd w:id="0"/>
    <w:p w:rsidR="008B2E28" w:rsidP="001F3363" w14:paraId="1815C0C8" w14:textId="21250BD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style="width:0.75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P="005169B9" w14:paraId="25435DCB" w14:textId="77777777">
      <w:pPr>
        <w:rPr>
          <w:rtl/>
        </w:rPr>
      </w:pPr>
    </w:p>
    <w:p w:rsidR="008B2E28" w:rsidP="008D2388" w14:paraId="09862827" w14:textId="38BAB0E9">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xmlns:wps="http://schemas.microsoft.com/office/word/2010/wordprocessingShape">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P="008D2388" w14:paraId="1061471B" w14:textId="4127C7C1">
      <w:pPr>
        <w:spacing w:line="240" w:lineRule="atLeast"/>
        <w:jc w:val="center"/>
        <w:rPr>
          <w:rFonts w:ascii="Tahoma" w:hAnsi="Tahoma" w:cs="Tahoma"/>
          <w:sz w:val="22"/>
          <w:szCs w:val="22"/>
          <w:rtl/>
        </w:rPr>
      </w:pPr>
    </w:p>
    <w:p w:rsidR="008B2E28" w:rsidP="008D2388" w14:paraId="40B3A360" w14:textId="3F96A396">
      <w:pPr>
        <w:spacing w:line="240" w:lineRule="atLeast"/>
        <w:jc w:val="center"/>
        <w:rPr>
          <w:rFonts w:ascii="Tahoma" w:hAnsi="Tahoma" w:cs="Tahoma"/>
          <w:sz w:val="22"/>
          <w:szCs w:val="22"/>
          <w:rtl/>
        </w:rPr>
      </w:pPr>
    </w:p>
    <w:p w:rsidR="003C32FE" w:rsidRPr="00170230" w:rsidP="003C32FE" w14:paraId="665C333F" w14:textId="7B704871">
      <w:pPr>
        <w:spacing w:line="240" w:lineRule="atLeast"/>
        <w:jc w:val="center"/>
        <w:rPr>
          <w:rFonts w:ascii="Tahoma" w:hAnsi="Tahoma" w:cs="Tahoma"/>
          <w:szCs w:val="18"/>
          <w:rtl/>
        </w:rPr>
      </w:pPr>
    </w:p>
    <w:p w:rsidR="003C32FE" w:rsidP="003C32FE" w14:paraId="7A26D94A" w14:textId="4318DB48">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3065780</wp:posOffset>
                </wp:positionH>
                <wp:positionV relativeFrom="paragraph">
                  <wp:posOffset>260985</wp:posOffset>
                </wp:positionV>
                <wp:extent cx="0" cy="3863340"/>
                <wp:effectExtent l="25400" t="0" r="25400" b="3556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a:off x="0" y="0"/>
                          <a:ext cx="0" cy="386334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mso-height-percent:0;mso-height-relative:margin;mso-width-percent:0;mso-width-relative:margin;mso-wrap-distance-bottom:0;mso-wrap-distance-left:9pt;mso-wrap-distance-right:9pt;mso-wrap-distance-top:0;mso-wrap-style:square;position:absolute;visibility:visible;z-index:251667456" from="241.4pt,20.55pt" to="241.4pt,324.75pt" strokecolor="white" strokeweight="4pt"/>
            </w:pict>
          </mc:Fallback>
        </mc:AlternateContent>
      </w:r>
      <w:r w:rsidR="00BE2032">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170815</wp:posOffset>
                </wp:positionH>
                <wp:positionV relativeFrom="paragraph">
                  <wp:posOffset>2033807</wp:posOffset>
                </wp:positionV>
                <wp:extent cx="2773045" cy="0"/>
                <wp:effectExtent l="12700" t="12700" r="8255" b="12700"/>
                <wp:wrapNone/>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flipH="1">
                          <a:off x="0" y="0"/>
                          <a:ext cx="27730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0" style="flip:x;mso-height-percent:0;mso-height-relative:margin;mso-width-percent:0;mso-width-relative:margin;mso-wrap-distance-bottom:0;mso-wrap-distance-left:9pt;mso-wrap-distance-right:9pt;mso-wrap-distance-top:0;mso-wrap-style:square;position:absolute;visibility:visible;z-index:251669504" from="13.45pt,160.15pt" to="231.8pt,160.15pt" strokecolor="white" strokeweight="1.5pt"/>
            </w:pict>
          </mc:Fallback>
        </mc:AlternateContent>
      </w:r>
      <w:r w:rsidRPr="0030415A" w:rsidR="00C55DC9">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172720</wp:posOffset>
                </wp:positionH>
                <wp:positionV relativeFrom="paragraph">
                  <wp:posOffset>346075</wp:posOffset>
                </wp:positionV>
                <wp:extent cx="4297680" cy="4273550"/>
                <wp:effectExtent l="0" t="0" r="0" b="635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7680" cy="4273550"/>
                        </a:xfrm>
                        <a:prstGeom prst="rect">
                          <a:avLst/>
                        </a:prstGeom>
                        <a:solidFill>
                          <a:srgbClr val="00305F"/>
                        </a:solidFill>
                        <a:ln w="9525">
                          <a:noFill/>
                          <a:miter lim="800000"/>
                          <a:headEnd/>
                          <a:tailEnd/>
                        </a:ln>
                      </wps:spPr>
                      <wps:txbx>
                        <w:txbxContent>
                          <w:p w:rsidR="00F73EE0" w:rsidP="0052031E" w14:textId="77777777">
                            <w:pPr>
                              <w:ind w:left="2268"/>
                              <w:rPr>
                                <w:rFonts w:ascii="Tahoma" w:hAnsi="Tahoma" w:cs="Tahoma"/>
                                <w:sz w:val="18"/>
                                <w:szCs w:val="18"/>
                                <w:rtl/>
                              </w:rPr>
                            </w:pPr>
                          </w:p>
                          <w:p w:rsidR="00F73EE0" w:rsidP="0052031E" w14:textId="77777777">
                            <w:pPr>
                              <w:ind w:left="2268"/>
                              <w:rPr>
                                <w:rFonts w:ascii="Tahoma" w:hAnsi="Tahoma" w:cs="Tahoma"/>
                                <w:sz w:val="18"/>
                                <w:szCs w:val="18"/>
                                <w:rtl/>
                              </w:rPr>
                            </w:pPr>
                          </w:p>
                          <w:p w:rsidR="00BE2032" w:rsidP="00BE2032" w14:textId="77777777">
                            <w:pPr>
                              <w:ind w:left="2268"/>
                              <w:jc w:val="left"/>
                            </w:pPr>
                            <w:r w:rsidRPr="00AB407E">
                              <w:rPr>
                                <w:rFonts w:ascii="Tahoma" w:hAnsi="Tahoma" w:cs="Tahoma"/>
                                <w:sz w:val="18"/>
                                <w:szCs w:val="18"/>
                                <w:rtl/>
                              </w:rPr>
                              <w:t>דוח מבקר המדינה</w:t>
                            </w:r>
                            <w:r>
                              <w:rPr>
                                <w:rFonts w:ascii="Tahoma" w:hAnsi="Tahoma" w:cs="Tahoma" w:hint="cs"/>
                                <w:sz w:val="18"/>
                                <w:szCs w:val="18"/>
                                <w:rtl/>
                              </w:rPr>
                              <w:t xml:space="preserve"> -</w:t>
                            </w:r>
                            <w:r w:rsidRPr="00AB407E">
                              <w:rPr>
                                <w:rFonts w:ascii="Tahoma" w:hAnsi="Tahoma" w:cs="Tahoma"/>
                                <w:sz w:val="18"/>
                                <w:szCs w:val="18"/>
                                <w:rtl/>
                              </w:rPr>
                              <w:t xml:space="preserve"> סייבר ומערכות מידע </w:t>
                            </w:r>
                            <w:r>
                              <w:rPr>
                                <w:rFonts w:ascii="Tahoma" w:hAnsi="Tahoma" w:cs="Tahoma"/>
                                <w:sz w:val="18"/>
                                <w:szCs w:val="18"/>
                                <w:rtl/>
                              </w:rPr>
                              <w:br/>
                            </w:r>
                            <w:r w:rsidRPr="00AB407E">
                              <w:rPr>
                                <w:rFonts w:ascii="Tahoma" w:hAnsi="Tahoma" w:cs="Tahoma"/>
                                <w:sz w:val="18"/>
                                <w:szCs w:val="18"/>
                                <w:rtl/>
                              </w:rPr>
                              <w:t xml:space="preserve">אייר </w:t>
                            </w:r>
                            <w:r w:rsidRPr="00AB407E">
                              <w:rPr>
                                <w:rFonts w:ascii="Tahoma" w:hAnsi="Tahoma" w:cs="Tahoma"/>
                                <w:sz w:val="18"/>
                                <w:szCs w:val="18"/>
                                <w:rtl/>
                              </w:rPr>
                              <w:t>התשפ"ג</w:t>
                            </w:r>
                            <w:r w:rsidRPr="00AB407E">
                              <w:rPr>
                                <w:rFonts w:ascii="Tahoma" w:hAnsi="Tahoma" w:cs="Tahoma"/>
                                <w:sz w:val="18"/>
                                <w:szCs w:val="18"/>
                                <w:rtl/>
                              </w:rPr>
                              <w:t xml:space="preserve"> | מאי 2023</w:t>
                            </w:r>
                          </w:p>
                          <w:p w:rsidR="00F73EE0" w:rsidRPr="00BE2032" w:rsidP="0052031E" w14:textId="4F5A48BD">
                            <w:pPr>
                              <w:ind w:left="2268"/>
                              <w:rPr>
                                <w:rtl/>
                              </w:rPr>
                            </w:pPr>
                          </w:p>
                          <w:p w:rsidR="00E56721" w:rsidP="0052031E" w14:textId="77777777">
                            <w:pPr>
                              <w:ind w:left="2268"/>
                              <w:rPr>
                                <w:rtl/>
                              </w:rPr>
                            </w:pPr>
                          </w:p>
                          <w:p w:rsidR="00F73EE0" w:rsidP="0052031E" w14:textId="77777777">
                            <w:pPr>
                              <w:ind w:left="2268"/>
                              <w:rPr>
                                <w:rtl/>
                              </w:rPr>
                            </w:pPr>
                          </w:p>
                          <w:p w:rsidR="005D0F8C" w:rsidRPr="000A3ED4" w:rsidP="000F5023" w14:textId="6276308A">
                            <w:pPr>
                              <w:pStyle w:val="-2"/>
                              <w:rPr>
                                <w:rtl/>
                              </w:rPr>
                            </w:pPr>
                            <w:r>
                              <w:rPr>
                                <w:rFonts w:hint="cs"/>
                                <w:rtl/>
                              </w:rPr>
                              <w:t xml:space="preserve">משרד </w:t>
                            </w:r>
                            <w:r w:rsidR="00535352">
                              <w:rPr>
                                <w:rFonts w:hint="cs"/>
                                <w:rtl/>
                              </w:rPr>
                              <w:t>הפנים</w:t>
                            </w:r>
                          </w:p>
                          <w:p w:rsidR="00F73EE0" w:rsidRPr="000F5023" w:rsidP="0072357A" w14:textId="3DC20FD2">
                            <w:pPr>
                              <w:pStyle w:val="a35"/>
                              <w:bidi/>
                              <w:spacing w:before="120"/>
                              <w:rPr>
                                <w:rtl/>
                              </w:rPr>
                            </w:pPr>
                            <w:r w:rsidRPr="00535352">
                              <w:rPr>
                                <w:rtl/>
                              </w:rPr>
                              <w:t xml:space="preserve">שימוש במסמכי זיהוי ביומטריים - תעודות זהות ודרכונים </w:t>
                            </w:r>
                          </w:p>
                          <w:p w:rsidR="00C30482" w:rsidRPr="000F5023" w:rsidP="000F5023" w14:textId="77777777">
                            <w:pPr>
                              <w:pStyle w:val="a35"/>
                              <w:bidi/>
                              <w:rPr>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width:338.4pt;height:336.5pt;margin-top:27.25pt;margin-left:13.6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BE2032" w:rsidP="00BE2032" w14:paraId="6BC5D6B8" w14:textId="77777777">
                      <w:pPr>
                        <w:ind w:left="2268"/>
                        <w:jc w:val="left"/>
                      </w:pPr>
                      <w:r w:rsidRPr="00AB407E">
                        <w:rPr>
                          <w:rFonts w:ascii="Tahoma" w:hAnsi="Tahoma" w:cs="Tahoma"/>
                          <w:sz w:val="18"/>
                          <w:szCs w:val="18"/>
                          <w:rtl/>
                        </w:rPr>
                        <w:t>דוח מבקר המדינה</w:t>
                      </w:r>
                      <w:r>
                        <w:rPr>
                          <w:rFonts w:ascii="Tahoma" w:hAnsi="Tahoma" w:cs="Tahoma" w:hint="cs"/>
                          <w:sz w:val="18"/>
                          <w:szCs w:val="18"/>
                          <w:rtl/>
                        </w:rPr>
                        <w:t xml:space="preserve"> -</w:t>
                      </w:r>
                      <w:r w:rsidRPr="00AB407E">
                        <w:rPr>
                          <w:rFonts w:ascii="Tahoma" w:hAnsi="Tahoma" w:cs="Tahoma"/>
                          <w:sz w:val="18"/>
                          <w:szCs w:val="18"/>
                          <w:rtl/>
                        </w:rPr>
                        <w:t xml:space="preserve"> סייבר ומערכות מידע </w:t>
                      </w:r>
                      <w:r>
                        <w:rPr>
                          <w:rFonts w:ascii="Tahoma" w:hAnsi="Tahoma" w:cs="Tahoma"/>
                          <w:sz w:val="18"/>
                          <w:szCs w:val="18"/>
                          <w:rtl/>
                        </w:rPr>
                        <w:br/>
                      </w:r>
                      <w:r w:rsidRPr="00AB407E">
                        <w:rPr>
                          <w:rFonts w:ascii="Tahoma" w:hAnsi="Tahoma" w:cs="Tahoma"/>
                          <w:sz w:val="18"/>
                          <w:szCs w:val="18"/>
                          <w:rtl/>
                        </w:rPr>
                        <w:t xml:space="preserve">אייר </w:t>
                      </w:r>
                      <w:r w:rsidRPr="00AB407E">
                        <w:rPr>
                          <w:rFonts w:ascii="Tahoma" w:hAnsi="Tahoma" w:cs="Tahoma"/>
                          <w:sz w:val="18"/>
                          <w:szCs w:val="18"/>
                          <w:rtl/>
                        </w:rPr>
                        <w:t>התשפ"ג</w:t>
                      </w:r>
                      <w:r w:rsidRPr="00AB407E">
                        <w:rPr>
                          <w:rFonts w:ascii="Tahoma" w:hAnsi="Tahoma" w:cs="Tahoma"/>
                          <w:sz w:val="18"/>
                          <w:szCs w:val="18"/>
                          <w:rtl/>
                        </w:rPr>
                        <w:t xml:space="preserve"> | מאי 2023</w:t>
                      </w:r>
                    </w:p>
                    <w:p w:rsidR="00F73EE0" w:rsidRPr="00BE2032" w:rsidP="0052031E" w14:paraId="7A4F68DA" w14:textId="4F5A48BD">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6276308A">
                      <w:pPr>
                        <w:pStyle w:val="-2"/>
                        <w:rPr>
                          <w:rtl/>
                        </w:rPr>
                      </w:pPr>
                      <w:r>
                        <w:rPr>
                          <w:rFonts w:hint="cs"/>
                          <w:rtl/>
                        </w:rPr>
                        <w:t xml:space="preserve">משרד </w:t>
                      </w:r>
                      <w:r w:rsidR="00535352">
                        <w:rPr>
                          <w:rFonts w:hint="cs"/>
                          <w:rtl/>
                        </w:rPr>
                        <w:t>הפנים</w:t>
                      </w:r>
                    </w:p>
                    <w:p w:rsidR="00F73EE0" w:rsidRPr="000F5023" w:rsidP="0072357A" w14:paraId="5464BE8D" w14:textId="3DC20FD2">
                      <w:pPr>
                        <w:pStyle w:val="a35"/>
                        <w:bidi/>
                        <w:spacing w:before="120"/>
                        <w:rPr>
                          <w:rtl/>
                        </w:rPr>
                      </w:pPr>
                      <w:r w:rsidRPr="00535352">
                        <w:rPr>
                          <w:rtl/>
                        </w:rPr>
                        <w:t xml:space="preserve">שימוש במסמכי זיהוי ביומטריים - תעודות זהות ודרכונים </w:t>
                      </w:r>
                    </w:p>
                    <w:p w:rsidR="00C30482" w:rsidRPr="000F5023" w:rsidP="000F5023" w14:paraId="5BE5E625" w14:textId="77777777">
                      <w:pPr>
                        <w:pStyle w:val="a35"/>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P="003C32FE" w14:paraId="3F6AF12E" w14:textId="4A1467E9">
      <w:pPr>
        <w:spacing w:line="240" w:lineRule="atLeast"/>
        <w:jc w:val="center"/>
        <w:rPr>
          <w:rFonts w:ascii="Tahoma" w:hAnsi="Tahoma" w:cs="Tahoma"/>
          <w:sz w:val="22"/>
          <w:szCs w:val="22"/>
          <w:rtl/>
        </w:rPr>
      </w:pPr>
    </w:p>
    <w:p w:rsidR="00E35DF9" w:rsidRPr="00406E80" w:rsidP="008D2388" w14:paraId="5F398D7B" w14:textId="4F30E2B5">
      <w:pPr>
        <w:spacing w:line="240" w:lineRule="atLeast"/>
        <w:jc w:val="center"/>
        <w:rPr>
          <w:rFonts w:ascii="Tahoma" w:hAnsi="Tahoma" w:cs="Tahoma"/>
          <w:color w:val="C6D9F1"/>
          <w:sz w:val="22"/>
          <w:szCs w:val="22"/>
          <w:rtl/>
        </w:rPr>
      </w:pPr>
    </w:p>
    <w:p w:rsidR="008C0B8B" w:rsidP="008D2388" w14:paraId="1D311F15" w14:textId="47FC2C8F">
      <w:pPr>
        <w:spacing w:line="240" w:lineRule="atLeast"/>
        <w:jc w:val="center"/>
        <w:rPr>
          <w:rFonts w:ascii="Tahoma" w:hAnsi="Tahoma" w:cs="Tahoma"/>
          <w:sz w:val="22"/>
          <w:szCs w:val="22"/>
          <w:rtl/>
        </w:rPr>
      </w:pPr>
    </w:p>
    <w:p w:rsidR="008C0B8B" w:rsidP="008D2388" w14:paraId="1AC7C61F" w14:textId="7EB27B86">
      <w:pPr>
        <w:spacing w:line="240" w:lineRule="atLeast"/>
        <w:jc w:val="center"/>
        <w:rPr>
          <w:rFonts w:ascii="Tahoma" w:hAnsi="Tahoma" w:cs="Tahoma"/>
          <w:sz w:val="22"/>
          <w:szCs w:val="22"/>
          <w:rtl/>
        </w:rPr>
      </w:pPr>
    </w:p>
    <w:p w:rsidR="00E35DF9" w:rsidP="008D2388" w14:paraId="1081EBD1" w14:textId="1102587C">
      <w:pPr>
        <w:spacing w:line="240" w:lineRule="atLeast"/>
        <w:jc w:val="center"/>
        <w:rPr>
          <w:rFonts w:ascii="Tahoma" w:hAnsi="Tahoma" w:cs="Tahoma"/>
          <w:sz w:val="22"/>
          <w:szCs w:val="22"/>
          <w:rtl/>
        </w:rPr>
      </w:pPr>
    </w:p>
    <w:p w:rsidR="00035688" w:rsidP="008D2388" w14:paraId="4090303B" w14:textId="24E90DE2">
      <w:pPr>
        <w:spacing w:line="240" w:lineRule="atLeast"/>
        <w:jc w:val="center"/>
        <w:rPr>
          <w:rFonts w:ascii="Tahoma" w:hAnsi="Tahoma" w:cs="Tahoma"/>
          <w:sz w:val="22"/>
          <w:szCs w:val="22"/>
          <w:rtl/>
        </w:rPr>
        <w:sectPr w:rsidSect="002970CC">
          <w:headerReference w:type="even" r:id="rId12"/>
          <w:headerReference w:type="default" r:id="rId13"/>
          <w:footerReference w:type="even" r:id="rId14"/>
          <w:footerReference w:type="default" r:id="rId15"/>
          <w:headerReference w:type="first" r:id="rId16"/>
          <w:footerReference w:type="first" r:id="rId17"/>
          <w:pgSz w:w="11906" w:h="16838" w:code="9"/>
          <w:pgMar w:top="3062" w:right="2268" w:bottom="2552" w:left="2268" w:header="1134" w:footer="1361" w:gutter="0"/>
          <w:cols w:space="720"/>
          <w:titlePg/>
          <w:bidi/>
          <w:rtlGutter/>
          <w:docGrid w:linePitch="272"/>
        </w:sectPr>
      </w:pPr>
    </w:p>
    <w:p w:rsidR="00BF5BF6" w:rsidP="000E64A1" w14:paraId="67CE1943" w14:textId="0F8F3485">
      <w:pPr>
        <w:spacing w:line="240" w:lineRule="atLeast"/>
        <w:jc w:val="left"/>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P="000E64A1" w14:paraId="291315C1" w14:textId="514133F9">
      <w:pPr>
        <w:jc w:val="left"/>
        <w:rPr>
          <w:rFonts w:ascii="Tahoma" w:hAnsi="Tahoma" w:cs="Tahoma"/>
          <w:sz w:val="22"/>
          <w:szCs w:val="22"/>
          <w:rtl/>
        </w:rPr>
        <w:sectPr w:rsidSect="00DA022A">
          <w:headerReference w:type="even" r:id="rId18"/>
          <w:pgSz w:w="11906" w:h="16838" w:code="9"/>
          <w:pgMar w:top="3062" w:right="2268" w:bottom="2552" w:left="2268" w:header="709" w:footer="709" w:gutter="0"/>
          <w:pgNumType w:start="2"/>
          <w:cols w:space="720"/>
          <w:bidi/>
          <w:rtlGutter/>
          <w:docGrid w:linePitch="272"/>
        </w:sectPr>
      </w:pPr>
    </w:p>
    <w:p w:rsidR="00B93C72" w:rsidRPr="001F3363" w:rsidP="00BB0517" w14:paraId="4ED3AA37" w14:textId="0E549F13">
      <w:pPr>
        <w:pStyle w:val="7329"/>
        <w:rPr>
          <w:rtl/>
        </w:rPr>
      </w:pPr>
      <w:r w:rsidRPr="001F3363">
        <w:rPr>
          <w:noProof/>
          <w:rtl/>
        </w:rPr>
        <mc:AlternateContent>
          <mc:Choice Requires="wps">
            <w:drawing>
              <wp:anchor distT="0" distB="0" distL="114300" distR="114300" simplePos="0" relativeHeight="251675648" behindDoc="0" locked="0" layoutInCell="1" allowOverlap="1">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xmlns:wps="http://schemas.microsoft.com/office/word/2010/wordprocessingShape">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15.3pt;height:446.2pt;margin-top:17.9pt;margin-left:-51.6pt;flip:y;mso-height-percent:0;mso-height-relative:margin;mso-width-percent:0;mso-width-relative:margin;mso-wrap-distance-bottom:0;mso-wrap-distance-left:9pt;mso-wrap-distance-right:9pt;mso-wrap-distance-top:0;mso-wrap-style:square;position:absolute;visibility:visible;v-text-anchor:middle;z-index:251676672" fillcolor="#00305f" stroked="f" strokeweight="1.25pt"/>
            </w:pict>
          </mc:Fallback>
        </mc:AlternateContent>
      </w:r>
      <w:r w:rsidRPr="001F3363" w:rsidR="001F3363">
        <w:rPr>
          <w:noProof/>
          <w:rtl/>
        </w:rPr>
        <w:drawing>
          <wp:anchor distT="0" distB="0" distL="114300" distR="114300" simplePos="0" relativeHeight="251674624" behindDoc="0" locked="0" layoutInCell="1" allowOverlap="1">
            <wp:simplePos x="0" y="0"/>
            <wp:positionH relativeFrom="column">
              <wp:posOffset>3298190</wp:posOffset>
            </wp:positionH>
            <wp:positionV relativeFrom="paragraph">
              <wp:posOffset>879084</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Pr="00BE2032" w:rsidR="00BE2032">
        <w:rPr>
          <w:noProof/>
          <w:rtl/>
        </w:rPr>
        <w:t>שימוש במסמכי זיהוי ביומטריים - תעודות זהות ודרכונים</w:t>
      </w:r>
      <w:r w:rsidR="00BE2032">
        <w:rPr>
          <w:noProof/>
        </w:rPr>
        <w:t xml:space="preserve"> </w:t>
      </w:r>
    </w:p>
    <w:p w:rsidR="00846627" w:rsidP="007F4A20" w14:paraId="0B41EED6" w14:textId="093E452A">
      <w:pPr>
        <w:pStyle w:val="7392"/>
        <w:spacing w:before="360"/>
        <w:rPr>
          <w:rtl/>
        </w:rPr>
      </w:pPr>
      <w:r w:rsidRPr="00215F78">
        <w:rPr>
          <w:rtl/>
        </w:rPr>
        <w:t>מסמכי זיהוי של תושבי מדינה ושל זרים הנכנסים אליה, כגון תעודות זהות ודרכונים, משמשים תשתית לניהול המדינה ולשמירה על ביטחונה.</w:t>
      </w:r>
      <w:r w:rsidRPr="00AF239E">
        <w:rPr>
          <w:rtl/>
        </w:rPr>
        <w:t xml:space="preserve"> </w:t>
      </w:r>
      <w:r w:rsidRPr="00215F78">
        <w:rPr>
          <w:rtl/>
        </w:rPr>
        <w:t>מסמכי הזיהוי שהונפקו בישראל במשך שנים נחשבו קלים לזיוף (תעודות זהות או דרכונים מהסוג הישן). לנוכח זאת החל משרד הפנים לקדם פרויקט להנפקת מסמכי זיהוי שיהיה קשה לזייפם, שישפרו את מהימנות ההזדהות ויאפשרו מתן שירותים מתקדמים לציבור. בשנת 2008 החליטה הממשלה על החלפת מסמכי הזיהוי במסמכי זיהוי חכמים, הכוללים אמצעי זיהוי ביומטריים, ועל שמירת המידע הביומטרי במאגר ביומטרי לאומי.</w:t>
      </w:r>
      <w:r w:rsidRPr="00AF239E">
        <w:rPr>
          <w:rtl/>
        </w:rPr>
        <w:t xml:space="preserve"> </w:t>
      </w:r>
      <w:r w:rsidRPr="00215F78">
        <w:rPr>
          <w:rtl/>
        </w:rPr>
        <w:t>תכליות המעבר למסמכי זיהוי ביומטריים מוצגות בתרשים שלהלן</w:t>
      </w:r>
      <w:r>
        <w:rPr>
          <w:rFonts w:hint="cs"/>
          <w:rtl/>
        </w:rPr>
        <w:t>:</w:t>
      </w:r>
      <w:r w:rsidRPr="001F3363" w:rsidR="00B61DE7">
        <w:rPr>
          <w:rtl/>
        </w:rPr>
        <w:t xml:space="preserve"> </w:t>
      </w:r>
    </w:p>
    <w:p w:rsidR="00846627" w14:paraId="52EA6727" w14:textId="438D3755">
      <w:pPr>
        <w:bidi w:val="0"/>
        <w:spacing w:after="200" w:line="276" w:lineRule="auto"/>
        <w:rPr>
          <w:rFonts w:ascii="Tahoma" w:hAnsi="Tahoma" w:cs="Tahoma"/>
          <w:color w:val="0D0D0D" w:themeColor="text1" w:themeTint="F2"/>
          <w:sz w:val="18"/>
          <w:szCs w:val="18"/>
          <w:rtl/>
        </w:rPr>
      </w:pPr>
      <w:r>
        <w:rPr>
          <w:rtl/>
        </w:rPr>
        <w:br w:type="page"/>
      </w:r>
    </w:p>
    <w:p w:rsidR="00535352" w:rsidP="00846627" w14:paraId="091EF04A" w14:textId="503D4AD8">
      <w:pPr>
        <w:pStyle w:val="7392"/>
        <w:spacing w:before="360"/>
        <w:rPr>
          <w:rtl/>
        </w:rPr>
      </w:pPr>
      <w:r w:rsidRPr="00D527BD">
        <w:rPr>
          <w:noProof/>
          <w:szCs w:val="20"/>
          <w:rtl/>
        </w:rPr>
        <w:drawing>
          <wp:anchor distT="0" distB="0" distL="114300" distR="114300" simplePos="0" relativeHeight="251698176" behindDoc="0" locked="0" layoutInCell="1" allowOverlap="1">
            <wp:simplePos x="0" y="0"/>
            <wp:positionH relativeFrom="column">
              <wp:posOffset>-175260</wp:posOffset>
            </wp:positionH>
            <wp:positionV relativeFrom="paragraph">
              <wp:posOffset>-69850</wp:posOffset>
            </wp:positionV>
            <wp:extent cx="4840605" cy="632460"/>
            <wp:effectExtent l="0" t="0" r="0" b="0"/>
            <wp:wrapNone/>
            <wp:docPr id="1085200134" name="תמונה 1085200134" descr="תמונה שמכילה מ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00134" name="תמונה 1085200134" descr="תמונה שמכילה מלבן&#10;&#10;התיאור נוצר באופן אוטומטי"/>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40605" cy="632460"/>
                    </a:xfrm>
                    <a:prstGeom prst="rect">
                      <a:avLst/>
                    </a:prstGeom>
                  </pic:spPr>
                </pic:pic>
              </a:graphicData>
            </a:graphic>
            <wp14:sizeRelH relativeFrom="margin">
              <wp14:pctWidth>0</wp14:pctWidth>
            </wp14:sizeRelH>
            <wp14:sizeRelV relativeFrom="margin">
              <wp14:pctHeight>0</wp14:pctHeight>
            </wp14:sizeRelV>
          </wp:anchor>
        </w:drawing>
      </w:r>
      <w:r w:rsidRPr="00D527BD">
        <w:rPr>
          <w:noProof/>
          <w:szCs w:val="20"/>
          <w:rtl/>
        </w:rPr>
        <mc:AlternateContent>
          <mc:Choice Requires="wps">
            <w:drawing>
              <wp:anchor distT="0" distB="0" distL="114300" distR="114300" simplePos="0" relativeHeight="251699200" behindDoc="0" locked="0" layoutInCell="1" allowOverlap="1">
                <wp:simplePos x="0" y="0"/>
                <wp:positionH relativeFrom="column">
                  <wp:posOffset>83820</wp:posOffset>
                </wp:positionH>
                <wp:positionV relativeFrom="paragraph">
                  <wp:posOffset>41911</wp:posOffset>
                </wp:positionV>
                <wp:extent cx="4436745" cy="297180"/>
                <wp:effectExtent l="0" t="0" r="0" b="0"/>
                <wp:wrapNone/>
                <wp:docPr id="194860066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297180"/>
                        </a:xfrm>
                        <a:prstGeom prst="rect">
                          <a:avLst/>
                        </a:prstGeom>
                        <a:solidFill>
                          <a:srgbClr val="F05260"/>
                        </a:solidFill>
                        <a:ln w="9525">
                          <a:noFill/>
                          <a:miter lim="800000"/>
                          <a:headEnd/>
                          <a:tailEnd/>
                        </a:ln>
                      </wps:spPr>
                      <wps:txbx>
                        <w:txbxContent>
                          <w:p w:rsidR="00535352" w:rsidRPr="005C7ABF" w:rsidP="00535352" w14:textId="7AFCBD80">
                            <w:pPr>
                              <w:spacing w:line="240" w:lineRule="auto"/>
                              <w:ind w:right="113"/>
                              <w:suppressOverlap/>
                              <w:jc w:val="left"/>
                              <w:rPr>
                                <w:rFonts w:ascii="Tahoma" w:hAnsi="Tahoma" w:cs="Tahoma"/>
                                <w:b/>
                                <w:bCs/>
                                <w:color w:val="FFFFFF" w:themeColor="background1"/>
                                <w:spacing w:val="-4"/>
                                <w:sz w:val="22"/>
                                <w:szCs w:val="22"/>
                                <w:rtl/>
                              </w:rPr>
                            </w:pPr>
                            <w:r w:rsidRPr="00846627">
                              <w:rPr>
                                <w:rFonts w:ascii="Tahoma" w:hAnsi="Tahoma" w:cs="Tahoma"/>
                                <w:b/>
                                <w:bCs/>
                                <w:color w:val="FFFFFF" w:themeColor="background1"/>
                                <w:spacing w:val="-4"/>
                                <w:sz w:val="22"/>
                                <w:szCs w:val="22"/>
                                <w:rtl/>
                              </w:rPr>
                              <w:t>תכליות המעבר למסמכי זיהוי ביומטריים ומרכיביו</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23.4pt;margin-top:3.3pt;margin-left:6.6pt;mso-height-percent:0;mso-height-relative:margin;mso-width-percent:0;mso-width-relative:margin;mso-wrap-distance-bottom:0;mso-wrap-distance-left:9pt;mso-wrap-distance-right:9pt;mso-wrap-distance-top:0;mso-wrap-style:square;position:absolute;visibility:visible;v-text-anchor:middle;z-index:251700224" fillcolor="#f05260" stroked="f">
                <v:textbox>
                  <w:txbxContent>
                    <w:p w:rsidR="00535352" w:rsidRPr="005C7ABF" w:rsidP="00535352" w14:paraId="65225C7B" w14:textId="7AFCBD80">
                      <w:pPr>
                        <w:spacing w:line="240" w:lineRule="auto"/>
                        <w:ind w:right="113"/>
                        <w:suppressOverlap/>
                        <w:jc w:val="left"/>
                        <w:rPr>
                          <w:rFonts w:ascii="Tahoma" w:hAnsi="Tahoma" w:cs="Tahoma"/>
                          <w:b/>
                          <w:bCs/>
                          <w:color w:val="FFFFFF" w:themeColor="background1"/>
                          <w:spacing w:val="-4"/>
                          <w:sz w:val="22"/>
                          <w:szCs w:val="22"/>
                          <w:rtl/>
                        </w:rPr>
                      </w:pPr>
                      <w:r w:rsidRPr="00846627">
                        <w:rPr>
                          <w:rFonts w:ascii="Tahoma" w:hAnsi="Tahoma" w:cs="Tahoma"/>
                          <w:b/>
                          <w:bCs/>
                          <w:color w:val="FFFFFF" w:themeColor="background1"/>
                          <w:spacing w:val="-4"/>
                          <w:sz w:val="22"/>
                          <w:szCs w:val="22"/>
                          <w:rtl/>
                        </w:rPr>
                        <w:t>תכליות המעבר למסמכי זיהוי ביומטריים ומרכיביו</w:t>
                      </w:r>
                    </w:p>
                  </w:txbxContent>
                </v:textbox>
              </v:shape>
            </w:pict>
          </mc:Fallback>
        </mc:AlternateContent>
      </w:r>
      <w:r>
        <w:rPr>
          <w:rtl/>
        </w:rPr>
        <w:t xml:space="preserve"> </w:t>
      </w:r>
    </w:p>
    <w:p w:rsidR="00535352" w:rsidP="00535352" w14:paraId="02F4F112" w14:textId="038B0C7A">
      <w:pPr>
        <w:pStyle w:val="7317"/>
        <w:rPr>
          <w:rtl/>
        </w:rPr>
      </w:pPr>
      <w:r>
        <w:rPr>
          <w:noProof/>
          <w:sz w:val="19"/>
          <w:szCs w:val="19"/>
        </w:rPr>
        <w:drawing>
          <wp:anchor distT="0" distB="0" distL="114300" distR="114300" simplePos="0" relativeHeight="251701248" behindDoc="0" locked="0" layoutInCell="1" allowOverlap="1">
            <wp:simplePos x="0" y="0"/>
            <wp:positionH relativeFrom="column">
              <wp:posOffset>-30480</wp:posOffset>
            </wp:positionH>
            <wp:positionV relativeFrom="paragraph">
              <wp:posOffset>359410</wp:posOffset>
            </wp:positionV>
            <wp:extent cx="4549140" cy="4566920"/>
            <wp:effectExtent l="0" t="0" r="0" b="5080"/>
            <wp:wrapTopAndBottom/>
            <wp:docPr id="938615818" name="תמונה 938615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15818" name="תמונה 938615818"/>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49140" cy="4566920"/>
                    </a:xfrm>
                    <a:prstGeom prst="rect">
                      <a:avLst/>
                    </a:prstGeom>
                    <a:noFill/>
                  </pic:spPr>
                </pic:pic>
              </a:graphicData>
            </a:graphic>
            <wp14:sizeRelH relativeFrom="page">
              <wp14:pctWidth>0</wp14:pctWidth>
            </wp14:sizeRelH>
            <wp14:sizeRelV relativeFrom="page">
              <wp14:pctHeight>0</wp14:pctHeight>
            </wp14:sizeRelV>
          </wp:anchor>
        </w:drawing>
      </w:r>
    </w:p>
    <w:p w:rsidR="00846627" w:rsidRPr="00846627" w:rsidP="00846627" w14:paraId="7A3FE5A0" w14:textId="2066DC39">
      <w:pPr>
        <w:pStyle w:val="738"/>
        <w:spacing w:before="360"/>
        <w:ind w:left="282" w:hanging="282"/>
        <w:rPr>
          <w:rtl/>
        </w:rPr>
      </w:pPr>
      <w:r w:rsidRPr="00846627">
        <w:rPr>
          <w:rtl/>
        </w:rPr>
        <w:t xml:space="preserve">* </w:t>
      </w:r>
      <w:r>
        <w:rPr>
          <w:rtl/>
        </w:rPr>
        <w:tab/>
      </w:r>
      <w:r w:rsidRPr="00846627">
        <w:rPr>
          <w:rtl/>
        </w:rPr>
        <w:t>הרכשה כפולה - מצב שבו אדם מתחזה לאחר ומקבל מסמך זיהוי ששמו של אחר מצוין בו אך המאפיינים הביומטריים הכלולים בו הם של המתחזה. באופן זה אדם יכול להחזיק בכמה זהויות.</w:t>
      </w:r>
    </w:p>
    <w:p w:rsidR="00535352" w:rsidRPr="00535352" w:rsidP="007F4A20" w14:paraId="1BECC3DB" w14:textId="77777777">
      <w:pPr>
        <w:pStyle w:val="7392"/>
        <w:spacing w:before="360"/>
        <w:rPr>
          <w:rtl/>
        </w:rPr>
      </w:pPr>
    </w:p>
    <w:p w:rsidR="007F4A20" w14:paraId="37B9E65E" w14:textId="77777777">
      <w:pPr>
        <w:bidi w:val="0"/>
        <w:spacing w:after="200" w:line="276" w:lineRule="auto"/>
        <w:rPr>
          <w:rFonts w:ascii="Tahoma" w:hAnsi="Tahoma" w:cs="Tahoma"/>
          <w:color w:val="0D0D0D" w:themeColor="text1" w:themeTint="F2"/>
          <w:sz w:val="18"/>
          <w:szCs w:val="18"/>
          <w:rtl/>
        </w:rPr>
      </w:pPr>
      <w:r>
        <w:rPr>
          <w:rtl/>
        </w:rPr>
        <w:br w:type="page"/>
      </w:r>
    </w:p>
    <w:p w:rsidR="005D0F8C" w:rsidP="007F4A20" w14:paraId="087C7BAD" w14:textId="0A8743A0">
      <w:pPr>
        <w:pStyle w:val="7392"/>
        <w:spacing w:before="360"/>
        <w:rPr>
          <w:b/>
          <w:bCs/>
          <w:color w:val="00305F"/>
          <w:sz w:val="32"/>
          <w:szCs w:val="32"/>
          <w:rtl/>
        </w:rPr>
      </w:pPr>
      <w:r w:rsidRPr="001F3363">
        <w:rPr>
          <w:noProof/>
          <w:rtl/>
        </w:rPr>
        <w:drawing>
          <wp:anchor distT="0" distB="0" distL="114300" distR="114300" simplePos="0" relativeHeight="251677696" behindDoc="0" locked="0" layoutInCell="1" allowOverlap="1">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P="007F4A20" w14:paraId="2AA141C4" w14:textId="77777777">
      <w:pPr>
        <w:pStyle w:val="100"/>
        <w:tabs>
          <w:tab w:val="center" w:pos="3685"/>
        </w:tabs>
        <w:spacing w:before="360" w:after="0" w:line="240" w:lineRule="exact"/>
        <w:rPr>
          <w:b/>
          <w:bCs/>
          <w:color w:val="00305F"/>
          <w:sz w:val="32"/>
          <w:szCs w:val="32"/>
          <w:rtl/>
        </w:rPr>
      </w:pP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16"/>
        <w:gridCol w:w="237"/>
        <w:gridCol w:w="1530"/>
        <w:gridCol w:w="237"/>
        <w:gridCol w:w="1697"/>
        <w:gridCol w:w="268"/>
        <w:gridCol w:w="1685"/>
      </w:tblGrid>
      <w:tr w14:paraId="58B4726B" w14:textId="77777777" w:rsidTr="0084662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64" w:type="pct"/>
            <w:tcBorders>
              <w:bottom w:val="single" w:sz="12" w:space="0" w:color="000000" w:themeColor="text1"/>
            </w:tcBorders>
            <w:vAlign w:val="bottom"/>
          </w:tcPr>
          <w:p w:rsidR="00420374" w:rsidRPr="004562F8" w:rsidP="00937056" w14:paraId="23EB689E" w14:textId="5BD60DAC">
            <w:pPr>
              <w:spacing w:after="60" w:line="240" w:lineRule="auto"/>
              <w:rPr>
                <w:b/>
                <w:bCs/>
                <w:spacing w:val="-28"/>
                <w:rtl/>
              </w:rPr>
            </w:pPr>
            <w:r>
              <w:rPr>
                <w:rFonts w:ascii="Tahoma" w:hAnsi="Tahoma" w:eastAsiaTheme="minorEastAsia" w:cs="Tahoma" w:hint="cs"/>
                <w:b/>
                <w:bCs/>
                <w:color w:val="0D0D0D" w:themeColor="text1" w:themeTint="F2"/>
                <w:spacing w:val="-10"/>
                <w:sz w:val="36"/>
                <w:szCs w:val="36"/>
                <w:rtl/>
              </w:rPr>
              <w:t>935</w:t>
            </w:r>
            <w:r>
              <w:rPr>
                <w:rFonts w:ascii="Tahoma" w:hAnsi="Tahoma" w:eastAsiaTheme="minorEastAsia" w:cs="Tahoma" w:hint="cs"/>
                <w:b/>
                <w:bCs/>
                <w:color w:val="0D0D0D" w:themeColor="text1" w:themeTint="F2"/>
                <w:spacing w:val="-10"/>
                <w:sz w:val="36"/>
                <w:szCs w:val="36"/>
                <w:rtl/>
              </w:rPr>
              <w:t xml:space="preserve"> </w:t>
            </w:r>
            <w:r>
              <w:rPr>
                <w:rFonts w:ascii="Tahoma" w:hAnsi="Tahoma" w:eastAsiaTheme="minorEastAsia" w:cs="Tahoma"/>
                <w:b/>
                <w:bCs/>
                <w:color w:val="0D0D0D" w:themeColor="text1" w:themeTint="F2"/>
                <w:spacing w:val="-10"/>
                <w:sz w:val="26"/>
                <w:szCs w:val="26"/>
                <w:rtl/>
              </w:rPr>
              <w:br/>
            </w:r>
            <w:r>
              <w:rPr>
                <w:rFonts w:ascii="Tahoma" w:hAnsi="Tahoma" w:eastAsiaTheme="minorEastAsia" w:cs="Tahoma" w:hint="cs"/>
                <w:b/>
                <w:bCs/>
                <w:color w:val="0D0D0D" w:themeColor="text1" w:themeTint="F2"/>
                <w:spacing w:val="-10"/>
                <w:sz w:val="26"/>
                <w:szCs w:val="26"/>
                <w:rtl/>
              </w:rPr>
              <w:t>מיליון ש״ח</w:t>
            </w:r>
          </w:p>
        </w:tc>
        <w:tc>
          <w:tcPr>
            <w:tcW w:w="161" w:type="pct"/>
            <w:vAlign w:val="bottom"/>
          </w:tcPr>
          <w:p w:rsidR="00420374" w:rsidP="00937056" w14:paraId="19192EA5" w14:textId="77777777">
            <w:pPr>
              <w:spacing w:before="120" w:after="60" w:line="240" w:lineRule="auto"/>
              <w:rPr>
                <w:rtl/>
              </w:rPr>
            </w:pPr>
          </w:p>
        </w:tc>
        <w:tc>
          <w:tcPr>
            <w:tcW w:w="1038" w:type="pct"/>
            <w:tcBorders>
              <w:bottom w:val="single" w:sz="12" w:space="0" w:color="000000" w:themeColor="text1"/>
            </w:tcBorders>
            <w:vAlign w:val="bottom"/>
          </w:tcPr>
          <w:p w:rsidR="00420374" w:rsidRPr="005C7ABF" w:rsidP="00937056" w14:paraId="761F4116" w14:textId="7B4B5BC4">
            <w:pPr>
              <w:pStyle w:val="2021"/>
              <w:spacing w:before="0" w:after="60"/>
              <w:rPr>
                <w:spacing w:val="-10"/>
                <w:rtl/>
              </w:rPr>
            </w:pPr>
            <w:r>
              <w:rPr>
                <w:rFonts w:hint="cs"/>
                <w:spacing w:val="-10"/>
                <w:rtl/>
              </w:rPr>
              <w:t>45%</w:t>
            </w:r>
            <w:r w:rsidR="00AD1000">
              <w:rPr>
                <w:rFonts w:hint="cs"/>
                <w:spacing w:val="-10"/>
                <w:rtl/>
              </w:rPr>
              <w:t xml:space="preserve"> </w:t>
            </w:r>
          </w:p>
        </w:tc>
        <w:tc>
          <w:tcPr>
            <w:tcW w:w="161" w:type="pct"/>
            <w:vAlign w:val="bottom"/>
          </w:tcPr>
          <w:p w:rsidR="00420374" w:rsidP="00937056" w14:paraId="2810DE55" w14:textId="77777777">
            <w:pPr>
              <w:spacing w:before="120" w:after="60" w:line="240" w:lineRule="auto"/>
              <w:rPr>
                <w:rtl/>
              </w:rPr>
            </w:pPr>
          </w:p>
        </w:tc>
        <w:tc>
          <w:tcPr>
            <w:tcW w:w="1151" w:type="pct"/>
            <w:tcBorders>
              <w:bottom w:val="single" w:sz="12" w:space="0" w:color="000000" w:themeColor="text1"/>
            </w:tcBorders>
            <w:vAlign w:val="bottom"/>
          </w:tcPr>
          <w:p w:rsidR="00420374" w:rsidRPr="00340353" w:rsidP="00937056" w14:paraId="2A2E27BD" w14:textId="19FFB967">
            <w:pPr>
              <w:pStyle w:val="2021"/>
              <w:spacing w:before="0" w:after="60"/>
              <w:rPr>
                <w:b w:val="0"/>
                <w:bCs w:val="0"/>
                <w:spacing w:val="-20"/>
                <w:sz w:val="24"/>
                <w:rtl/>
              </w:rPr>
            </w:pPr>
            <w:r>
              <w:rPr>
                <w:rFonts w:hint="cs"/>
                <w:spacing w:val="-10"/>
                <w:rtl/>
              </w:rPr>
              <w:t>37%</w:t>
            </w:r>
            <w:r>
              <w:rPr>
                <w:rFonts w:hint="cs"/>
                <w:spacing w:val="-10"/>
                <w:rtl/>
              </w:rPr>
              <w:t xml:space="preserve"> </w:t>
            </w:r>
          </w:p>
        </w:tc>
        <w:tc>
          <w:tcPr>
            <w:tcW w:w="182" w:type="pct"/>
          </w:tcPr>
          <w:p w:rsidR="00420374" w:rsidP="00937056" w14:paraId="47B754BA" w14:textId="77777777">
            <w:pPr>
              <w:pStyle w:val="2021"/>
              <w:spacing w:before="0" w:after="60"/>
              <w:rPr>
                <w:spacing w:val="-10"/>
                <w:rtl/>
              </w:rPr>
            </w:pPr>
          </w:p>
        </w:tc>
        <w:tc>
          <w:tcPr>
            <w:tcW w:w="1143" w:type="pct"/>
            <w:tcBorders>
              <w:bottom w:val="single" w:sz="12" w:space="0" w:color="000000" w:themeColor="text1"/>
            </w:tcBorders>
            <w:vAlign w:val="bottom"/>
          </w:tcPr>
          <w:p w:rsidR="00420374" w:rsidP="00937056" w14:paraId="5F3A3FF5" w14:textId="35DE67E4">
            <w:pPr>
              <w:pStyle w:val="2021"/>
              <w:spacing w:before="0" w:after="60"/>
              <w:rPr>
                <w:spacing w:val="-10"/>
                <w:rtl/>
              </w:rPr>
            </w:pPr>
            <w:r>
              <w:rPr>
                <w:rFonts w:hint="cs"/>
                <w:spacing w:val="-10"/>
                <w:rtl/>
              </w:rPr>
              <w:t>400</w:t>
            </w:r>
            <w:r>
              <w:rPr>
                <w:rFonts w:hint="cs"/>
                <w:spacing w:val="-10"/>
                <w:rtl/>
              </w:rPr>
              <w:t xml:space="preserve"> </w:t>
            </w:r>
          </w:p>
        </w:tc>
      </w:tr>
      <w:tr w14:paraId="6DFAF81C" w14:textId="77777777" w:rsidTr="00846627">
        <w:tblPrEx>
          <w:tblW w:w="5000" w:type="pct"/>
          <w:tblLook w:val="04A0"/>
        </w:tblPrEx>
        <w:tc>
          <w:tcPr>
            <w:tcW w:w="1164" w:type="pct"/>
            <w:tcBorders>
              <w:top w:val="single" w:sz="12" w:space="0" w:color="000000" w:themeColor="text1"/>
            </w:tcBorders>
          </w:tcPr>
          <w:p w:rsidR="00846627" w:rsidRPr="00E52143" w:rsidP="00846627" w14:paraId="1D96599A" w14:textId="4CB3F57A">
            <w:pPr>
              <w:pStyle w:val="732021"/>
              <w:spacing w:before="0"/>
              <w:rPr>
                <w:rtl/>
              </w:rPr>
            </w:pPr>
            <w:r w:rsidRPr="00215F78">
              <w:rPr>
                <w:rtl/>
              </w:rPr>
              <w:t>עלות המעבר להנפקת מסמכי זיהוי ביומטריים</w:t>
            </w:r>
            <w:r w:rsidRPr="00AF239E">
              <w:rPr>
                <w:rtl/>
              </w:rPr>
              <w:t xml:space="preserve"> </w:t>
            </w:r>
            <w:r w:rsidRPr="00215F78">
              <w:rPr>
                <w:rtl/>
              </w:rPr>
              <w:t>בשנים 2009 - 2021</w:t>
            </w:r>
          </w:p>
        </w:tc>
        <w:tc>
          <w:tcPr>
            <w:tcW w:w="161" w:type="pct"/>
          </w:tcPr>
          <w:p w:rsidR="00846627" w:rsidRPr="00E52143" w:rsidP="00846627" w14:paraId="2BF81D8C" w14:textId="77777777">
            <w:pPr>
              <w:pStyle w:val="732021"/>
              <w:spacing w:before="0"/>
              <w:rPr>
                <w:rtl/>
              </w:rPr>
            </w:pPr>
          </w:p>
        </w:tc>
        <w:tc>
          <w:tcPr>
            <w:tcW w:w="1038" w:type="pct"/>
            <w:tcBorders>
              <w:top w:val="single" w:sz="12" w:space="0" w:color="000000" w:themeColor="text1"/>
            </w:tcBorders>
          </w:tcPr>
          <w:p w:rsidR="00846627" w:rsidRPr="00E52143" w:rsidP="00846627" w14:paraId="68924AF7" w14:textId="76AB95C4">
            <w:pPr>
              <w:pStyle w:val="732021"/>
              <w:spacing w:before="0"/>
              <w:rPr>
                <w:rtl/>
              </w:rPr>
            </w:pPr>
            <w:r w:rsidRPr="00215F78">
              <w:rPr>
                <w:rtl/>
              </w:rPr>
              <w:t xml:space="preserve">מבעלי תעודות הזהות (כ-3.2 מיליון תושבים) עדיין מחזיקים בתעודת זהות מהסוג הישן, נכון ליולי 2022 </w:t>
            </w:r>
          </w:p>
        </w:tc>
        <w:tc>
          <w:tcPr>
            <w:tcW w:w="161" w:type="pct"/>
          </w:tcPr>
          <w:p w:rsidR="00846627" w:rsidRPr="00E52143" w:rsidP="00846627" w14:paraId="4F52CE08" w14:textId="77777777">
            <w:pPr>
              <w:pStyle w:val="732021"/>
              <w:spacing w:before="0"/>
              <w:rPr>
                <w:rtl/>
              </w:rPr>
            </w:pPr>
          </w:p>
        </w:tc>
        <w:tc>
          <w:tcPr>
            <w:tcW w:w="1151" w:type="pct"/>
            <w:tcBorders>
              <w:top w:val="single" w:sz="12" w:space="0" w:color="000000" w:themeColor="text1"/>
            </w:tcBorders>
          </w:tcPr>
          <w:p w:rsidR="00846627" w:rsidRPr="00E52143" w:rsidP="00846627" w14:paraId="203F9568" w14:textId="5310923A">
            <w:pPr>
              <w:pStyle w:val="732021"/>
              <w:spacing w:before="0"/>
              <w:rPr>
                <w:rtl/>
              </w:rPr>
            </w:pPr>
            <w:r w:rsidRPr="00215F78">
              <w:rPr>
                <w:rtl/>
              </w:rPr>
              <w:t xml:space="preserve">מבעלי הדרכונים </w:t>
            </w:r>
            <w:r w:rsidRPr="00215F78">
              <w:rPr>
                <w:rtl/>
              </w:rPr>
              <w:br/>
              <w:t>(כ-2.9 מיליון תושבים) עדיין מחזיקים בדרכונים מהסוג הישן, הקלים לזיוף, נכון ליולי 2022</w:t>
            </w:r>
          </w:p>
        </w:tc>
        <w:tc>
          <w:tcPr>
            <w:tcW w:w="182" w:type="pct"/>
          </w:tcPr>
          <w:p w:rsidR="00846627" w:rsidRPr="00E52143" w:rsidP="00846627" w14:paraId="42538096" w14:textId="77777777">
            <w:pPr>
              <w:pStyle w:val="732021"/>
              <w:spacing w:before="0"/>
              <w:rPr>
                <w:rtl/>
              </w:rPr>
            </w:pPr>
          </w:p>
        </w:tc>
        <w:tc>
          <w:tcPr>
            <w:tcW w:w="1143" w:type="pct"/>
            <w:tcBorders>
              <w:top w:val="single" w:sz="12" w:space="0" w:color="000000" w:themeColor="text1"/>
            </w:tcBorders>
          </w:tcPr>
          <w:p w:rsidR="00846627" w:rsidRPr="00E52143" w:rsidP="00846627" w14:paraId="1878D11D" w14:textId="6C8C1EA3">
            <w:pPr>
              <w:pStyle w:val="732021"/>
              <w:spacing w:before="0"/>
              <w:rPr>
                <w:rtl/>
              </w:rPr>
            </w:pPr>
            <w:r w:rsidRPr="00215F78">
              <w:rPr>
                <w:rtl/>
              </w:rPr>
              <w:t>ניסיונות כניסה לארץ באמצעות מסמכי זיהוי מזויפים אירעו במעברים שעליהם אמונה רשות המעברים היבשתיים בחציון הראשון של שנת 2022</w:t>
            </w:r>
          </w:p>
        </w:tc>
      </w:tr>
      <w:tr w14:paraId="1BD5A20C" w14:textId="77777777" w:rsidTr="00846627">
        <w:tblPrEx>
          <w:tblW w:w="5000" w:type="pct"/>
          <w:tblLook w:val="04A0"/>
        </w:tblPrEx>
        <w:tc>
          <w:tcPr>
            <w:tcW w:w="1164" w:type="pct"/>
            <w:tcBorders>
              <w:bottom w:val="single" w:sz="12" w:space="0" w:color="000000" w:themeColor="text1"/>
            </w:tcBorders>
            <w:vAlign w:val="bottom"/>
          </w:tcPr>
          <w:p w:rsidR="00420374" w:rsidRPr="00411396" w:rsidP="00846627" w14:paraId="500D3B50" w14:textId="35CAFD58">
            <w:pPr>
              <w:spacing w:after="60" w:line="240" w:lineRule="auto"/>
              <w:jc w:val="left"/>
              <w:rPr>
                <w:rFonts w:ascii="Tahoma" w:hAnsi="Tahoma" w:eastAsiaTheme="minorEastAsia" w:cs="Tahoma"/>
                <w:b/>
                <w:bCs/>
                <w:color w:val="0D0D0D" w:themeColor="text1" w:themeTint="F2"/>
                <w:spacing w:val="-10"/>
                <w:sz w:val="36"/>
                <w:szCs w:val="36"/>
                <w:rtl/>
              </w:rPr>
            </w:pPr>
            <w:r w:rsidRPr="00846627">
              <w:rPr>
                <w:rFonts w:ascii="Tahoma" w:hAnsi="Tahoma" w:eastAsiaTheme="minorEastAsia" w:cs="Tahoma" w:hint="cs"/>
                <w:b/>
                <w:bCs/>
                <w:color w:val="0D0D0D" w:themeColor="text1" w:themeTint="F2"/>
                <w:spacing w:val="-10"/>
                <w:sz w:val="26"/>
                <w:szCs w:val="26"/>
                <w:rtl/>
              </w:rPr>
              <w:t>פחות מ-</w:t>
            </w:r>
            <w:r>
              <w:rPr>
                <w:rFonts w:ascii="Tahoma" w:hAnsi="Tahoma" w:eastAsiaTheme="minorEastAsia" w:cs="Tahoma" w:hint="cs"/>
                <w:b/>
                <w:bCs/>
                <w:color w:val="0D0D0D" w:themeColor="text1" w:themeTint="F2"/>
                <w:spacing w:val="-10"/>
                <w:sz w:val="36"/>
                <w:szCs w:val="36"/>
                <w:rtl/>
              </w:rPr>
              <w:t>1%</w:t>
            </w:r>
          </w:p>
        </w:tc>
        <w:tc>
          <w:tcPr>
            <w:tcW w:w="161" w:type="pct"/>
            <w:vAlign w:val="bottom"/>
          </w:tcPr>
          <w:p w:rsidR="00420374" w:rsidRPr="00E52143" w:rsidP="00846627" w14:paraId="26A950B1" w14:textId="77777777">
            <w:pPr>
              <w:spacing w:after="60"/>
              <w:jc w:val="left"/>
              <w:rPr>
                <w:rFonts w:ascii="Tahoma" w:hAnsi="Tahoma" w:eastAsiaTheme="minorEastAsia" w:cs="Tahoma"/>
                <w:b/>
                <w:bCs/>
                <w:color w:val="0D0D0D" w:themeColor="text1" w:themeTint="F2"/>
                <w:spacing w:val="-10"/>
                <w:sz w:val="36"/>
                <w:szCs w:val="36"/>
                <w:rtl/>
              </w:rPr>
            </w:pPr>
          </w:p>
        </w:tc>
        <w:tc>
          <w:tcPr>
            <w:tcW w:w="1038" w:type="pct"/>
            <w:tcBorders>
              <w:bottom w:val="single" w:sz="12" w:space="0" w:color="000000" w:themeColor="text1"/>
            </w:tcBorders>
            <w:vAlign w:val="bottom"/>
          </w:tcPr>
          <w:p w:rsidR="00420374" w:rsidRPr="008D750B" w:rsidP="00846627" w14:paraId="48896DF7" w14:textId="69690271">
            <w:pPr>
              <w:pStyle w:val="2021"/>
              <w:spacing w:before="0" w:after="60"/>
              <w:rPr>
                <w:spacing w:val="-10"/>
                <w:rtl/>
              </w:rPr>
            </w:pPr>
            <w:r>
              <w:rPr>
                <w:rFonts w:hint="cs"/>
                <w:spacing w:val="-10"/>
                <w:rtl/>
              </w:rPr>
              <w:t>92</w:t>
            </w:r>
            <w:r w:rsidRPr="008D750B">
              <w:rPr>
                <w:spacing w:val="-10"/>
                <w:rtl/>
              </w:rPr>
              <w:t>%</w:t>
            </w:r>
          </w:p>
        </w:tc>
        <w:tc>
          <w:tcPr>
            <w:tcW w:w="161" w:type="pct"/>
            <w:vAlign w:val="bottom"/>
          </w:tcPr>
          <w:p w:rsidR="00420374" w:rsidP="00846627" w14:paraId="5B4C8A80" w14:textId="77777777">
            <w:pPr>
              <w:spacing w:after="60" w:line="240" w:lineRule="auto"/>
              <w:jc w:val="left"/>
              <w:rPr>
                <w:rtl/>
              </w:rPr>
            </w:pPr>
          </w:p>
        </w:tc>
        <w:tc>
          <w:tcPr>
            <w:tcW w:w="1151" w:type="pct"/>
            <w:tcBorders>
              <w:bottom w:val="single" w:sz="12" w:space="0" w:color="000000" w:themeColor="text1"/>
            </w:tcBorders>
            <w:vAlign w:val="bottom"/>
          </w:tcPr>
          <w:p w:rsidR="00420374" w:rsidRPr="0062456C" w:rsidP="00846627" w14:paraId="226A2E50" w14:textId="4196E395">
            <w:pPr>
              <w:spacing w:after="60" w:line="192"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70</w:t>
            </w:r>
            <w:r>
              <w:rPr>
                <w:rFonts w:ascii="Tahoma" w:hAnsi="Tahoma" w:eastAsiaTheme="minorEastAsia" w:cs="Tahoma" w:hint="cs"/>
                <w:b/>
                <w:bCs/>
                <w:color w:val="0D0D0D" w:themeColor="text1" w:themeTint="F2"/>
                <w:spacing w:val="-10"/>
                <w:sz w:val="36"/>
                <w:szCs w:val="36"/>
                <w:rtl/>
              </w:rPr>
              <w:t>%</w:t>
            </w:r>
          </w:p>
        </w:tc>
        <w:tc>
          <w:tcPr>
            <w:tcW w:w="182" w:type="pct"/>
          </w:tcPr>
          <w:p w:rsidR="00420374" w:rsidP="00846627" w14:paraId="5E7F766C" w14:textId="77777777">
            <w:pPr>
              <w:spacing w:after="60" w:line="240" w:lineRule="auto"/>
              <w:rPr>
                <w:rFonts w:ascii="Tahoma" w:hAnsi="Tahoma" w:eastAsiaTheme="minorEastAsia" w:cs="Tahoma"/>
                <w:b/>
                <w:bCs/>
                <w:color w:val="0D0D0D" w:themeColor="text1" w:themeTint="F2"/>
                <w:spacing w:val="-10"/>
                <w:sz w:val="36"/>
                <w:szCs w:val="36"/>
                <w:rtl/>
              </w:rPr>
            </w:pPr>
          </w:p>
        </w:tc>
        <w:tc>
          <w:tcPr>
            <w:tcW w:w="1143" w:type="pct"/>
            <w:tcBorders>
              <w:bottom w:val="single" w:sz="12" w:space="0" w:color="000000" w:themeColor="text1"/>
            </w:tcBorders>
            <w:vAlign w:val="bottom"/>
          </w:tcPr>
          <w:p w:rsidR="00420374" w:rsidP="00846627" w14:paraId="5AEEF263" w14:textId="5E584A79">
            <w:pPr>
              <w:spacing w:after="60" w:line="240" w:lineRule="auto"/>
              <w:rPr>
                <w:rFonts w:ascii="Tahoma" w:hAnsi="Tahoma" w:eastAsiaTheme="minorEastAsia" w:cs="Tahoma"/>
                <w:b/>
                <w:bCs/>
                <w:color w:val="0D0D0D" w:themeColor="text1" w:themeTint="F2"/>
                <w:spacing w:val="-10"/>
                <w:sz w:val="36"/>
                <w:szCs w:val="36"/>
                <w:rtl/>
              </w:rPr>
            </w:pPr>
            <w:r>
              <w:rPr>
                <w:rFonts w:ascii="Tahoma" w:hAnsi="Tahoma" w:eastAsiaTheme="minorEastAsia" w:cs="Tahoma" w:hint="cs"/>
                <w:b/>
                <w:bCs/>
                <w:color w:val="0D0D0D" w:themeColor="text1" w:themeTint="F2"/>
                <w:spacing w:val="-10"/>
                <w:sz w:val="36"/>
                <w:szCs w:val="36"/>
                <w:rtl/>
              </w:rPr>
              <w:t>30%</w:t>
            </w:r>
          </w:p>
        </w:tc>
      </w:tr>
      <w:tr w14:paraId="54154FA5" w14:textId="77777777" w:rsidTr="00846627">
        <w:tblPrEx>
          <w:tblW w:w="5000" w:type="pct"/>
          <w:tblLook w:val="04A0"/>
        </w:tblPrEx>
        <w:tc>
          <w:tcPr>
            <w:tcW w:w="1164" w:type="pct"/>
            <w:tcBorders>
              <w:top w:val="single" w:sz="12" w:space="0" w:color="000000" w:themeColor="text1"/>
            </w:tcBorders>
          </w:tcPr>
          <w:p w:rsidR="00846627" w:rsidRPr="004562F8" w:rsidP="00846627" w14:paraId="6DB67748" w14:textId="376C9815">
            <w:pPr>
              <w:pStyle w:val="732021"/>
              <w:spacing w:before="0" w:after="0"/>
              <w:rPr>
                <w:rtl/>
              </w:rPr>
            </w:pPr>
            <w:r w:rsidRPr="00215F78">
              <w:rPr>
                <w:rtl/>
              </w:rPr>
              <w:t>מהתושבים שנכנסו למערכת ההזדהות הלאומית השתמשו בתעודת הזהות החכמה כדי לקבל שירותים דיגיטליים ממשלתיים מרחוק</w:t>
            </w:r>
          </w:p>
        </w:tc>
        <w:tc>
          <w:tcPr>
            <w:tcW w:w="161" w:type="pct"/>
          </w:tcPr>
          <w:p w:rsidR="00846627" w:rsidRPr="008D750B" w:rsidP="00846627" w14:paraId="0C0AE598" w14:textId="77777777">
            <w:pPr>
              <w:pStyle w:val="732021"/>
              <w:spacing w:before="0" w:after="0"/>
              <w:rPr>
                <w:rtl/>
              </w:rPr>
            </w:pPr>
          </w:p>
        </w:tc>
        <w:tc>
          <w:tcPr>
            <w:tcW w:w="1038" w:type="pct"/>
            <w:tcBorders>
              <w:top w:val="single" w:sz="12" w:space="0" w:color="000000" w:themeColor="text1"/>
            </w:tcBorders>
          </w:tcPr>
          <w:p w:rsidR="00846627" w:rsidRPr="004562F8" w:rsidP="00846627" w14:paraId="1916A301" w14:textId="68A2A3FF">
            <w:pPr>
              <w:pStyle w:val="732021"/>
              <w:spacing w:before="0" w:after="0"/>
              <w:rPr>
                <w:rtl/>
              </w:rPr>
            </w:pPr>
            <w:r w:rsidRPr="00215F78">
              <w:rPr>
                <w:rtl/>
              </w:rPr>
              <w:t>מהתושבים המחזיקים בתעודות זהות חכמות (כ-3.5 מיליון תושבים) מחזיקים בתעודה ששימוש בה דורש קורא כרטיסים, דבר המהווה חסם לשימוש בהן</w:t>
            </w:r>
          </w:p>
        </w:tc>
        <w:tc>
          <w:tcPr>
            <w:tcW w:w="161" w:type="pct"/>
          </w:tcPr>
          <w:p w:rsidR="00846627" w:rsidP="00846627" w14:paraId="14782C57" w14:textId="77777777">
            <w:pPr>
              <w:pStyle w:val="732021"/>
              <w:spacing w:before="0" w:after="0"/>
              <w:rPr>
                <w:rtl/>
              </w:rPr>
            </w:pPr>
          </w:p>
        </w:tc>
        <w:tc>
          <w:tcPr>
            <w:tcW w:w="1151" w:type="pct"/>
            <w:tcBorders>
              <w:top w:val="single" w:sz="12" w:space="0" w:color="000000" w:themeColor="text1"/>
            </w:tcBorders>
          </w:tcPr>
          <w:p w:rsidR="00846627" w:rsidRPr="0062456C" w:rsidP="00846627" w14:paraId="6149CA50" w14:textId="6AA167A2">
            <w:pPr>
              <w:pStyle w:val="732021"/>
              <w:spacing w:before="0" w:after="0"/>
              <w:rPr>
                <w:rtl/>
              </w:rPr>
            </w:pPr>
            <w:r w:rsidRPr="00215F78">
              <w:rPr>
                <w:rtl/>
              </w:rPr>
              <w:t>מ-3,834 התושבים שדיווחו על אובדן או גניבה של תעודת זהות חכמה שלוש פעמים ויותר הם  בעלי רישום פלילי או משטרתי</w:t>
            </w:r>
          </w:p>
        </w:tc>
        <w:tc>
          <w:tcPr>
            <w:tcW w:w="182" w:type="pct"/>
          </w:tcPr>
          <w:p w:rsidR="00846627" w:rsidRPr="00C92141" w:rsidP="00846627" w14:paraId="66E34E8E" w14:textId="77777777">
            <w:pPr>
              <w:pStyle w:val="732021"/>
              <w:spacing w:before="0" w:after="0"/>
              <w:rPr>
                <w:rtl/>
              </w:rPr>
            </w:pPr>
          </w:p>
        </w:tc>
        <w:tc>
          <w:tcPr>
            <w:tcW w:w="1143" w:type="pct"/>
            <w:tcBorders>
              <w:top w:val="single" w:sz="12" w:space="0" w:color="000000" w:themeColor="text1"/>
            </w:tcBorders>
          </w:tcPr>
          <w:p w:rsidR="00846627" w:rsidRPr="00C92141" w:rsidP="00846627" w14:paraId="39498237" w14:textId="38A10F03">
            <w:pPr>
              <w:pStyle w:val="732021"/>
              <w:spacing w:before="0" w:after="0"/>
              <w:rPr>
                <w:rtl/>
              </w:rPr>
            </w:pPr>
            <w:r w:rsidRPr="00215F78">
              <w:rPr>
                <w:rtl/>
              </w:rPr>
              <w:t>מהישראלים העוברים בעמדות האוטומטיות בנתב"ג, המיועדות למעבר באמצעות דרכונים ביומטריים, עוברים בהן באמצעות דרכון מהסוג הישן</w:t>
            </w:r>
          </w:p>
        </w:tc>
      </w:tr>
      <w:tr w14:paraId="12A3D1EE" w14:textId="77777777" w:rsidTr="00846627">
        <w:tblPrEx>
          <w:tblW w:w="5000" w:type="pct"/>
          <w:tblLook w:val="04A0"/>
        </w:tblPrEx>
        <w:tc>
          <w:tcPr>
            <w:tcW w:w="1164" w:type="pct"/>
            <w:tcBorders>
              <w:bottom w:val="single" w:sz="12" w:space="0" w:color="000000" w:themeColor="text1"/>
            </w:tcBorders>
            <w:vAlign w:val="bottom"/>
          </w:tcPr>
          <w:p w:rsidR="00846627" w:rsidRPr="00846627" w:rsidP="00846627" w14:paraId="56AE66FE" w14:textId="69E87FB0">
            <w:pPr>
              <w:pStyle w:val="732021"/>
              <w:spacing w:before="360" w:after="60"/>
              <w:rPr>
                <w:spacing w:val="-10"/>
                <w:w w:val="100"/>
                <w:sz w:val="36"/>
                <w:szCs w:val="36"/>
                <w:rtl/>
              </w:rPr>
            </w:pPr>
            <w:r w:rsidRPr="00846627">
              <w:rPr>
                <w:rFonts w:hint="cs"/>
                <w:b/>
                <w:bCs/>
                <w:spacing w:val="-10"/>
                <w:w w:val="100"/>
                <w:sz w:val="36"/>
                <w:szCs w:val="36"/>
                <w:rtl/>
              </w:rPr>
              <w:t>17%</w:t>
            </w:r>
          </w:p>
        </w:tc>
        <w:tc>
          <w:tcPr>
            <w:tcW w:w="161" w:type="pct"/>
            <w:vAlign w:val="bottom"/>
          </w:tcPr>
          <w:p w:rsidR="00846627" w:rsidRPr="00846627" w:rsidP="00846627" w14:paraId="7BB20EBD" w14:textId="77777777">
            <w:pPr>
              <w:pStyle w:val="732021"/>
              <w:spacing w:before="360" w:after="60"/>
              <w:rPr>
                <w:spacing w:val="-10"/>
                <w:w w:val="100"/>
                <w:rtl/>
              </w:rPr>
            </w:pPr>
          </w:p>
        </w:tc>
        <w:tc>
          <w:tcPr>
            <w:tcW w:w="1038" w:type="pct"/>
            <w:tcBorders>
              <w:bottom w:val="single" w:sz="12" w:space="0" w:color="000000" w:themeColor="text1"/>
            </w:tcBorders>
            <w:vAlign w:val="bottom"/>
          </w:tcPr>
          <w:p w:rsidR="00846627" w:rsidRPr="00846627" w:rsidP="00846627" w14:paraId="78EC5B26" w14:textId="7930A577">
            <w:pPr>
              <w:pStyle w:val="732021"/>
              <w:spacing w:before="360" w:after="60"/>
              <w:rPr>
                <w:spacing w:val="-10"/>
                <w:w w:val="100"/>
                <w:rtl/>
              </w:rPr>
            </w:pPr>
            <w:r>
              <w:rPr>
                <w:rFonts w:hint="cs"/>
                <w:b/>
                <w:bCs/>
                <w:spacing w:val="-10"/>
                <w:w w:val="100"/>
                <w:sz w:val="36"/>
                <w:szCs w:val="36"/>
                <w:rtl/>
              </w:rPr>
              <w:t>65,000</w:t>
            </w:r>
          </w:p>
        </w:tc>
        <w:tc>
          <w:tcPr>
            <w:tcW w:w="161" w:type="pct"/>
            <w:vAlign w:val="bottom"/>
          </w:tcPr>
          <w:p w:rsidR="00846627" w:rsidRPr="00846627" w:rsidP="00846627" w14:paraId="1E71AFA0" w14:textId="77777777">
            <w:pPr>
              <w:pStyle w:val="732021"/>
              <w:spacing w:before="360" w:after="60"/>
              <w:rPr>
                <w:spacing w:val="-10"/>
                <w:w w:val="100"/>
                <w:rtl/>
              </w:rPr>
            </w:pPr>
          </w:p>
        </w:tc>
        <w:tc>
          <w:tcPr>
            <w:tcW w:w="1151" w:type="pct"/>
            <w:tcBorders>
              <w:bottom w:val="single" w:sz="12" w:space="0" w:color="000000" w:themeColor="text1"/>
            </w:tcBorders>
            <w:vAlign w:val="bottom"/>
          </w:tcPr>
          <w:p w:rsidR="00846627" w:rsidRPr="00846627" w:rsidP="00846627" w14:paraId="0A6B597B" w14:textId="2DEF570E">
            <w:pPr>
              <w:pStyle w:val="732021"/>
              <w:spacing w:before="360" w:after="60"/>
              <w:rPr>
                <w:spacing w:val="-10"/>
                <w:w w:val="100"/>
                <w:rtl/>
              </w:rPr>
            </w:pPr>
            <w:r>
              <w:rPr>
                <w:rFonts w:hint="cs"/>
                <w:b/>
                <w:bCs/>
                <w:spacing w:val="-10"/>
                <w:w w:val="100"/>
                <w:sz w:val="36"/>
                <w:szCs w:val="36"/>
                <w:rtl/>
              </w:rPr>
              <w:t xml:space="preserve">6 </w:t>
            </w:r>
            <w:r w:rsidRPr="00846627">
              <w:rPr>
                <w:rFonts w:hint="cs"/>
                <w:b/>
                <w:bCs/>
                <w:spacing w:val="-10"/>
                <w:w w:val="100"/>
                <w:sz w:val="26"/>
                <w:szCs w:val="26"/>
                <w:rtl/>
              </w:rPr>
              <w:t xml:space="preserve">שבועות </w:t>
            </w:r>
          </w:p>
        </w:tc>
        <w:tc>
          <w:tcPr>
            <w:tcW w:w="182" w:type="pct"/>
          </w:tcPr>
          <w:p w:rsidR="00846627" w:rsidRPr="00846627" w:rsidP="00846627" w14:paraId="53547AAE" w14:textId="77777777">
            <w:pPr>
              <w:pStyle w:val="732021"/>
              <w:spacing w:before="360" w:after="60"/>
              <w:rPr>
                <w:spacing w:val="-10"/>
                <w:w w:val="100"/>
                <w:rtl/>
              </w:rPr>
            </w:pPr>
          </w:p>
        </w:tc>
        <w:tc>
          <w:tcPr>
            <w:tcW w:w="1143" w:type="pct"/>
            <w:tcBorders>
              <w:bottom w:val="single" w:sz="12" w:space="0" w:color="000000" w:themeColor="text1"/>
            </w:tcBorders>
            <w:vAlign w:val="bottom"/>
          </w:tcPr>
          <w:p w:rsidR="00846627" w:rsidRPr="00846627" w:rsidP="00846627" w14:paraId="6AF34B7C" w14:textId="4FF303E0">
            <w:pPr>
              <w:pStyle w:val="732021"/>
              <w:spacing w:before="360" w:after="60"/>
              <w:rPr>
                <w:spacing w:val="-10"/>
                <w:w w:val="100"/>
                <w:rtl/>
              </w:rPr>
            </w:pPr>
            <w:r>
              <w:rPr>
                <w:rFonts w:hint="cs"/>
                <w:b/>
                <w:bCs/>
                <w:spacing w:val="-10"/>
                <w:w w:val="100"/>
                <w:sz w:val="36"/>
                <w:szCs w:val="36"/>
                <w:rtl/>
              </w:rPr>
              <w:t xml:space="preserve">3.6 </w:t>
            </w:r>
            <w:r w:rsidRPr="00846627">
              <w:rPr>
                <w:rFonts w:hint="cs"/>
                <w:b/>
                <w:bCs/>
                <w:spacing w:val="-10"/>
                <w:w w:val="100"/>
                <w:sz w:val="26"/>
                <w:szCs w:val="26"/>
                <w:rtl/>
              </w:rPr>
              <w:t xml:space="preserve">מיליון </w:t>
            </w:r>
          </w:p>
        </w:tc>
      </w:tr>
      <w:tr w14:paraId="311390FF" w14:textId="77777777" w:rsidTr="00B41D00">
        <w:tblPrEx>
          <w:tblW w:w="5000" w:type="pct"/>
          <w:tblLook w:val="04A0"/>
        </w:tblPrEx>
        <w:tc>
          <w:tcPr>
            <w:tcW w:w="1164" w:type="pct"/>
            <w:tcBorders>
              <w:top w:val="single" w:sz="12" w:space="0" w:color="000000" w:themeColor="text1"/>
            </w:tcBorders>
          </w:tcPr>
          <w:p w:rsidR="00846627" w:rsidRPr="00215F78" w:rsidP="00846627" w14:paraId="435CB225" w14:textId="77777777">
            <w:pPr>
              <w:pStyle w:val="732021"/>
              <w:spacing w:before="0"/>
              <w:rPr>
                <w:rtl/>
              </w:rPr>
            </w:pPr>
            <w:r w:rsidRPr="00215F78">
              <w:rPr>
                <w:rtl/>
              </w:rPr>
              <w:t>מהדרכונים שהונפקו בחציון הראשון של שנת 2022 הם דרכונים מהסוג הישן</w:t>
            </w:r>
          </w:p>
          <w:p w:rsidR="00846627" w:rsidRPr="00215F78" w:rsidP="00846627" w14:paraId="7768B054" w14:textId="77777777">
            <w:pPr>
              <w:pStyle w:val="732021"/>
              <w:spacing w:before="0" w:after="0"/>
              <w:rPr>
                <w:rtl/>
              </w:rPr>
            </w:pPr>
          </w:p>
        </w:tc>
        <w:tc>
          <w:tcPr>
            <w:tcW w:w="161" w:type="pct"/>
          </w:tcPr>
          <w:p w:rsidR="00846627" w:rsidRPr="008D750B" w:rsidP="00846627" w14:paraId="0641703E" w14:textId="77777777">
            <w:pPr>
              <w:pStyle w:val="732021"/>
              <w:spacing w:before="0" w:after="0"/>
              <w:rPr>
                <w:rtl/>
              </w:rPr>
            </w:pPr>
          </w:p>
        </w:tc>
        <w:tc>
          <w:tcPr>
            <w:tcW w:w="1038" w:type="pct"/>
            <w:tcBorders>
              <w:top w:val="single" w:sz="12" w:space="0" w:color="000000" w:themeColor="text1"/>
            </w:tcBorders>
          </w:tcPr>
          <w:p w:rsidR="00846627" w:rsidRPr="00215F78" w:rsidP="00846627" w14:paraId="177BB964" w14:textId="562B0816">
            <w:pPr>
              <w:pStyle w:val="732021"/>
              <w:spacing w:before="0" w:after="0"/>
              <w:rPr>
                <w:rtl/>
              </w:rPr>
            </w:pPr>
            <w:r w:rsidRPr="00215F78">
              <w:rPr>
                <w:rtl/>
              </w:rPr>
              <w:t>דרכונים זמניים (מהסוג הישן) הונפקו במרכז הדרכונים הזמניים מסוף מאי 2022 ועד לסוף אוגוסט 2022</w:t>
            </w:r>
          </w:p>
        </w:tc>
        <w:tc>
          <w:tcPr>
            <w:tcW w:w="161" w:type="pct"/>
          </w:tcPr>
          <w:p w:rsidR="00846627" w:rsidP="00846627" w14:paraId="0083F405" w14:textId="77777777">
            <w:pPr>
              <w:pStyle w:val="732021"/>
              <w:spacing w:before="0" w:after="0"/>
              <w:rPr>
                <w:rtl/>
              </w:rPr>
            </w:pPr>
          </w:p>
        </w:tc>
        <w:tc>
          <w:tcPr>
            <w:tcW w:w="1151" w:type="pct"/>
            <w:tcBorders>
              <w:top w:val="single" w:sz="12" w:space="0" w:color="000000" w:themeColor="text1"/>
            </w:tcBorders>
          </w:tcPr>
          <w:p w:rsidR="00846627" w:rsidRPr="00215F78" w:rsidP="00846627" w14:paraId="61350A41" w14:textId="4BE21B3E">
            <w:pPr>
              <w:pStyle w:val="732021"/>
              <w:spacing w:before="0" w:after="0"/>
              <w:rPr>
                <w:rtl/>
              </w:rPr>
            </w:pPr>
            <w:r w:rsidRPr="00215F78">
              <w:rPr>
                <w:rtl/>
              </w:rPr>
              <w:t>פרק הזמן שבו התחייבה רשות האוכלוסין לשלוח לתושב את הדרכון הוארך משלושה שבועות לשישה שבועות</w:t>
            </w:r>
          </w:p>
        </w:tc>
        <w:tc>
          <w:tcPr>
            <w:tcW w:w="182" w:type="pct"/>
          </w:tcPr>
          <w:p w:rsidR="00846627" w:rsidRPr="00C92141" w:rsidP="00846627" w14:paraId="4AD7406C" w14:textId="77777777">
            <w:pPr>
              <w:pStyle w:val="732021"/>
              <w:spacing w:before="0" w:after="0"/>
              <w:rPr>
                <w:rtl/>
              </w:rPr>
            </w:pPr>
          </w:p>
        </w:tc>
        <w:tc>
          <w:tcPr>
            <w:tcW w:w="1143" w:type="pct"/>
            <w:tcBorders>
              <w:top w:val="single" w:sz="12" w:space="0" w:color="000000" w:themeColor="text1"/>
            </w:tcBorders>
            <w:vAlign w:val="center"/>
          </w:tcPr>
          <w:p w:rsidR="00846627" w:rsidRPr="00215F78" w:rsidP="00846627" w14:paraId="3ECF4840" w14:textId="3C3BFEE7">
            <w:pPr>
              <w:pStyle w:val="732021"/>
              <w:spacing w:before="0" w:after="0"/>
              <w:rPr>
                <w:rtl/>
              </w:rPr>
            </w:pPr>
            <w:r w:rsidRPr="00215F78">
              <w:rPr>
                <w:rtl/>
              </w:rPr>
              <w:t>תושבים הם בעלי תעודת זהות שתוקפה צפוי לפוג בשנים 2024-2023, והם צפויים להגיע ללשכות רשות האוכלוסין על מנת להנפיק תעודה חדשה</w:t>
            </w:r>
          </w:p>
        </w:tc>
      </w:tr>
    </w:tbl>
    <w:p w:rsidR="00846627" w14:paraId="76A70CB5" w14:textId="24377064"/>
    <w:tbl>
      <w:tblPr>
        <w:tblStyle w:val="TableGrid"/>
        <w:bidiVisual/>
        <w:tblW w:w="3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0"/>
        <w:gridCol w:w="236"/>
        <w:gridCol w:w="1530"/>
        <w:gridCol w:w="236"/>
        <w:gridCol w:w="1698"/>
        <w:gridCol w:w="265"/>
      </w:tblGrid>
      <w:tr w14:paraId="14E6735A" w14:textId="77777777" w:rsidTr="00340CFC">
        <w:tblPrEx>
          <w:tblW w:w="38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12" w:type="pct"/>
            <w:tcBorders>
              <w:bottom w:val="single" w:sz="12" w:space="0" w:color="000000" w:themeColor="text1"/>
            </w:tcBorders>
            <w:vAlign w:val="bottom"/>
          </w:tcPr>
          <w:p w:rsidR="00340CFC" w:rsidRPr="00846627" w:rsidP="00846627" w14:paraId="4B8CBD59" w14:textId="75BBD4F3">
            <w:pPr>
              <w:pStyle w:val="732021"/>
              <w:spacing w:before="240" w:after="60"/>
              <w:rPr>
                <w:w w:val="100"/>
                <w:rtl/>
              </w:rPr>
            </w:pPr>
            <w:r>
              <w:rPr>
                <w:rFonts w:hint="cs"/>
                <w:b/>
                <w:bCs/>
                <w:spacing w:val="-10"/>
                <w:w w:val="100"/>
                <w:sz w:val="36"/>
                <w:szCs w:val="36"/>
                <w:rtl/>
              </w:rPr>
              <w:t>מיליוני</w:t>
            </w:r>
          </w:p>
        </w:tc>
        <w:tc>
          <w:tcPr>
            <w:tcW w:w="208" w:type="pct"/>
            <w:vAlign w:val="bottom"/>
          </w:tcPr>
          <w:p w:rsidR="00340CFC" w:rsidRPr="00846627" w:rsidP="00846627" w14:paraId="7148D439" w14:textId="77777777">
            <w:pPr>
              <w:pStyle w:val="732021"/>
              <w:spacing w:before="240" w:after="60"/>
              <w:rPr>
                <w:w w:val="100"/>
                <w:rtl/>
              </w:rPr>
            </w:pPr>
          </w:p>
        </w:tc>
        <w:tc>
          <w:tcPr>
            <w:tcW w:w="1346" w:type="pct"/>
            <w:tcBorders>
              <w:bottom w:val="single" w:sz="12" w:space="0" w:color="000000" w:themeColor="text1"/>
            </w:tcBorders>
            <w:vAlign w:val="bottom"/>
          </w:tcPr>
          <w:p w:rsidR="00340CFC" w:rsidRPr="00846627" w:rsidP="00846627" w14:paraId="12028732" w14:textId="524CAB2F">
            <w:pPr>
              <w:pStyle w:val="732021"/>
              <w:spacing w:before="240" w:after="60"/>
              <w:rPr>
                <w:b/>
                <w:bCs/>
                <w:spacing w:val="-10"/>
                <w:w w:val="100"/>
                <w:sz w:val="36"/>
                <w:szCs w:val="36"/>
                <w:rtl/>
              </w:rPr>
            </w:pPr>
            <w:r>
              <w:rPr>
                <w:rFonts w:hint="cs"/>
                <w:b/>
                <w:bCs/>
                <w:spacing w:val="-10"/>
                <w:w w:val="100"/>
                <w:sz w:val="36"/>
                <w:szCs w:val="36"/>
                <w:rtl/>
              </w:rPr>
              <w:t>מיליוני</w:t>
            </w:r>
          </w:p>
        </w:tc>
        <w:tc>
          <w:tcPr>
            <w:tcW w:w="208" w:type="pct"/>
            <w:vAlign w:val="bottom"/>
          </w:tcPr>
          <w:p w:rsidR="00340CFC" w:rsidRPr="00846627" w:rsidP="00846627" w14:paraId="06093FA4" w14:textId="77777777">
            <w:pPr>
              <w:pStyle w:val="732021"/>
              <w:spacing w:before="240" w:after="60"/>
              <w:rPr>
                <w:b/>
                <w:bCs/>
                <w:spacing w:val="-10"/>
                <w:w w:val="100"/>
                <w:sz w:val="36"/>
                <w:szCs w:val="36"/>
                <w:rtl/>
              </w:rPr>
            </w:pPr>
          </w:p>
        </w:tc>
        <w:tc>
          <w:tcPr>
            <w:tcW w:w="1493" w:type="pct"/>
            <w:tcBorders>
              <w:bottom w:val="single" w:sz="12" w:space="0" w:color="000000" w:themeColor="text1"/>
            </w:tcBorders>
            <w:vAlign w:val="bottom"/>
          </w:tcPr>
          <w:p w:rsidR="00340CFC" w:rsidP="00340CFC" w14:paraId="44EC3DC5" w14:textId="77777777">
            <w:pPr>
              <w:pStyle w:val="732021"/>
              <w:spacing w:before="240" w:after="0"/>
              <w:rPr>
                <w:b/>
                <w:bCs/>
                <w:spacing w:val="-10"/>
                <w:w w:val="100"/>
                <w:sz w:val="26"/>
                <w:szCs w:val="26"/>
                <w:rtl/>
              </w:rPr>
            </w:pPr>
            <w:r w:rsidRPr="00340CFC">
              <w:rPr>
                <w:rFonts w:hint="cs"/>
                <w:b/>
                <w:bCs/>
                <w:spacing w:val="-10"/>
                <w:w w:val="100"/>
                <w:sz w:val="26"/>
                <w:szCs w:val="26"/>
                <w:rtl/>
              </w:rPr>
              <w:t>פחות מ-</w:t>
            </w:r>
          </w:p>
          <w:p w:rsidR="00340CFC" w:rsidRPr="00846627" w:rsidP="00340CFC" w14:paraId="2BDB2C14" w14:textId="44171778">
            <w:pPr>
              <w:pStyle w:val="732021"/>
              <w:spacing w:before="120" w:after="60"/>
              <w:rPr>
                <w:b/>
                <w:bCs/>
                <w:spacing w:val="-10"/>
                <w:w w:val="100"/>
                <w:sz w:val="36"/>
                <w:szCs w:val="36"/>
                <w:rtl/>
              </w:rPr>
            </w:pPr>
            <w:r>
              <w:rPr>
                <w:rFonts w:hint="cs"/>
                <w:b/>
                <w:bCs/>
                <w:spacing w:val="-10"/>
                <w:w w:val="100"/>
                <w:sz w:val="36"/>
                <w:szCs w:val="36"/>
                <w:rtl/>
              </w:rPr>
              <w:t>1%</w:t>
            </w:r>
          </w:p>
        </w:tc>
        <w:tc>
          <w:tcPr>
            <w:tcW w:w="234" w:type="pct"/>
          </w:tcPr>
          <w:p w:rsidR="00340CFC" w:rsidRPr="00846627" w:rsidP="00846627" w14:paraId="1236C945" w14:textId="77777777">
            <w:pPr>
              <w:pStyle w:val="732021"/>
              <w:spacing w:before="240" w:after="60"/>
              <w:rPr>
                <w:b/>
                <w:bCs/>
                <w:spacing w:val="-10"/>
                <w:w w:val="100"/>
                <w:sz w:val="36"/>
                <w:szCs w:val="36"/>
                <w:rtl/>
              </w:rPr>
            </w:pPr>
          </w:p>
        </w:tc>
      </w:tr>
      <w:tr w14:paraId="43316173" w14:textId="77777777" w:rsidTr="00340CFC">
        <w:tblPrEx>
          <w:tblW w:w="3857" w:type="pct"/>
          <w:tblLook w:val="04A0"/>
        </w:tblPrEx>
        <w:tc>
          <w:tcPr>
            <w:tcW w:w="1512" w:type="pct"/>
            <w:tcBorders>
              <w:top w:val="single" w:sz="12" w:space="0" w:color="000000" w:themeColor="text1"/>
            </w:tcBorders>
          </w:tcPr>
          <w:p w:rsidR="00340CFC" w:rsidP="00340CFC" w14:paraId="67E3FD17" w14:textId="2A8D3AD7">
            <w:pPr>
              <w:pStyle w:val="732021"/>
              <w:spacing w:before="0" w:after="0"/>
              <w:rPr>
                <w:rtl/>
              </w:rPr>
            </w:pPr>
            <w:r w:rsidRPr="00215F78">
              <w:rPr>
                <w:rtl/>
              </w:rPr>
              <w:t>תמונות של ישראלים שמורות במערכת "אביב" (המערכת שבה מנוהל מרשם האוכלוסין)</w:t>
            </w:r>
          </w:p>
        </w:tc>
        <w:tc>
          <w:tcPr>
            <w:tcW w:w="208" w:type="pct"/>
          </w:tcPr>
          <w:p w:rsidR="00340CFC" w:rsidRPr="008D750B" w:rsidP="00340CFC" w14:paraId="30713A71" w14:textId="77777777">
            <w:pPr>
              <w:pStyle w:val="732021"/>
              <w:spacing w:before="0" w:after="0"/>
              <w:rPr>
                <w:rtl/>
              </w:rPr>
            </w:pPr>
          </w:p>
        </w:tc>
        <w:tc>
          <w:tcPr>
            <w:tcW w:w="1346" w:type="pct"/>
            <w:tcBorders>
              <w:top w:val="single" w:sz="12" w:space="0" w:color="000000" w:themeColor="text1"/>
            </w:tcBorders>
          </w:tcPr>
          <w:p w:rsidR="00340CFC" w:rsidP="00340CFC" w14:paraId="02DBC7CA" w14:textId="19F3B8D1">
            <w:pPr>
              <w:pStyle w:val="732021"/>
              <w:spacing w:before="0" w:after="0"/>
              <w:rPr>
                <w:rtl/>
              </w:rPr>
            </w:pPr>
            <w:r w:rsidRPr="00215F78">
              <w:rPr>
                <w:rtl/>
              </w:rPr>
              <w:t>תמונות</w:t>
            </w:r>
            <w:r w:rsidRPr="00215F78">
              <w:rPr>
                <w:rFonts w:hint="cs"/>
                <w:rtl/>
              </w:rPr>
              <w:t xml:space="preserve"> של </w:t>
            </w:r>
            <w:r w:rsidRPr="00215F78">
              <w:rPr>
                <w:rtl/>
              </w:rPr>
              <w:t>ישראלים וזרים שמורות במערכת "רותם" (המערכת הממוחשבת של ביקורת הגבולות)</w:t>
            </w:r>
          </w:p>
        </w:tc>
        <w:tc>
          <w:tcPr>
            <w:tcW w:w="208" w:type="pct"/>
          </w:tcPr>
          <w:p w:rsidR="00340CFC" w:rsidP="00340CFC" w14:paraId="448C2F7A" w14:textId="77777777">
            <w:pPr>
              <w:pStyle w:val="732021"/>
              <w:spacing w:before="0" w:after="0"/>
              <w:rPr>
                <w:rtl/>
              </w:rPr>
            </w:pPr>
          </w:p>
        </w:tc>
        <w:tc>
          <w:tcPr>
            <w:tcW w:w="1493" w:type="pct"/>
            <w:tcBorders>
              <w:top w:val="single" w:sz="12" w:space="0" w:color="000000" w:themeColor="text1"/>
            </w:tcBorders>
          </w:tcPr>
          <w:p w:rsidR="00340CFC" w:rsidP="00340CFC" w14:paraId="510643C6" w14:textId="1E38D9FC">
            <w:pPr>
              <w:pStyle w:val="732021"/>
              <w:spacing w:before="0" w:after="0"/>
              <w:rPr>
                <w:rtl/>
              </w:rPr>
            </w:pPr>
            <w:r w:rsidRPr="00215F78">
              <w:rPr>
                <w:rtl/>
              </w:rPr>
              <w:t>מהמבקשים להנפיק מסמכי זיהוי ביומטריים בחודשים אוגוסט-אוקטובר 2022 ביקשו שטביעות האצבע שלהם יישמרו במאגר הביומטרי הלאומי (197 מתוך 276,000 תושבים)</w:t>
            </w:r>
          </w:p>
        </w:tc>
        <w:tc>
          <w:tcPr>
            <w:tcW w:w="234" w:type="pct"/>
          </w:tcPr>
          <w:p w:rsidR="00340CFC" w:rsidRPr="00C92141" w:rsidP="00340CFC" w14:paraId="7862D559" w14:textId="77777777">
            <w:pPr>
              <w:pStyle w:val="732021"/>
              <w:spacing w:before="0" w:after="0"/>
              <w:rPr>
                <w:rtl/>
              </w:rPr>
            </w:pPr>
          </w:p>
        </w:tc>
      </w:tr>
    </w:tbl>
    <w:p w:rsidR="00420374" w:rsidP="00420374" w14:paraId="509D5AB6" w14:textId="77777777">
      <w:pPr>
        <w:pStyle w:val="7317"/>
        <w:spacing w:after="0"/>
        <w:rPr>
          <w:sz w:val="10"/>
          <w:szCs w:val="10"/>
          <w:rtl/>
        </w:rPr>
      </w:pPr>
    </w:p>
    <w:p w:rsidR="00420374" w:rsidRPr="00C62692" w:rsidP="00420374" w14:paraId="3FADD5EE" w14:textId="77777777">
      <w:pPr>
        <w:pStyle w:val="73"/>
        <w:rPr>
          <w:rtl/>
        </w:rPr>
      </w:pPr>
      <w:r w:rsidRPr="00C62692">
        <w:rPr>
          <w:rtl/>
        </w:rPr>
        <w:t>פעולות הביקורת</w:t>
      </w:r>
    </w:p>
    <w:p w:rsidR="00340CFC" w:rsidP="00420374" w14:paraId="339CE658" w14:textId="7CE36304">
      <w:pPr>
        <w:pStyle w:val="7317"/>
        <w:rPr>
          <w:noProof/>
          <w:rtl/>
        </w:rPr>
      </w:pPr>
      <w:r w:rsidRPr="001F3363">
        <w:rPr>
          <w:noProof/>
        </w:rPr>
        <w:drawing>
          <wp:anchor distT="0" distB="0" distL="114300" distR="114300" simplePos="0" relativeHeight="251682816" behindDoc="0" locked="0" layoutInCell="1" allowOverlap="1">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5F78">
        <w:rPr>
          <w:noProof/>
          <w:rtl/>
        </w:rPr>
        <w:t xml:space="preserve">בחודשים אפריל עד אוקטובר 2022 בדק משרד מבקר המדינה היבטים הנוגעים למעבר למסמכי זיהוי ביומטריים ולשימוש בהם. בכלל זה נבדקו המעבר לשימוש בתעודות זהות חכמות והחסמים לשימוש בהן; המעבר לשימוש בדרכון ביומטרי </w:t>
      </w:r>
      <w:r w:rsidRPr="00AF239E">
        <w:rPr>
          <w:noProof/>
          <w:rtl/>
        </w:rPr>
        <w:t>ו</w:t>
      </w:r>
      <w:r w:rsidRPr="00215F78">
        <w:rPr>
          <w:noProof/>
          <w:rtl/>
        </w:rPr>
        <w:t>מעבר ישראלים וזרים בנתב"ג; התמודדות רשות האוכלוסין עם העלייה בביקוש למסמכי זיהוי ביומטריים וקיומם של מאגרי תמונות פנים ביומטריים ברשות האוכלוסין. הבדיקה בוצעה ברשות האוכלוסין וההגירה (רשות האוכלוסין), במשרד הפנים, ברשות המאגר הביומטרי הלאומי וביחידת הממונה על היישומים הביומטריים שבמערך הסייבר הלאומי. בדיקות השלמה בוצעו במשרד החוץ, במשטרת ישראל, במערך הסייבר הלאומי (מערך הסייבר), בשירות הביטחון הכללי (שב"כ), במשרד המשפטים, לרבות ברשות להגנת הפרטיות שבו, ברשות המעברים שבמשרד הביטחון, במטה לביטחון הלאומי (משרד ראש הממשלה), במערך הדיגיטל הלאומי, בבנק ישראל, במוסד למודיעין ותפקידים מיוחדים (המוסד) וברשות שדות התעופה. נוסף על כך התקיימו סיורים בנמל התעופה בן גוריון ובמעבר קלנדיה, וכן במפעלי הנפקת מסמכי הזיהוי הביומטריים</w:t>
      </w:r>
      <w:r>
        <w:rPr>
          <w:rFonts w:hint="cs"/>
          <w:noProof/>
          <w:rtl/>
        </w:rPr>
        <w:t>.</w:t>
      </w:r>
    </w:p>
    <w:p w:rsidR="00340CFC" w:rsidP="00420374" w14:paraId="0AF4CED3" w14:textId="085F17A5">
      <w:pPr>
        <w:pStyle w:val="7317"/>
        <w:rPr>
          <w:rtl/>
        </w:rPr>
      </w:pPr>
      <w:r w:rsidRPr="00215F78">
        <w:rPr>
          <w:rFonts w:hint="cs"/>
          <w:noProof/>
          <w:rtl/>
        </w:rPr>
        <w:t>ועדת המשנה של הוועדה לענייני ביקורת המדינה של הכנסת החליטה שלא להניח דוח זה במלואו על שולחן הכנסת, אלא לפרסם רק חלקים ממנו, זאת לשם שמירה על ביטחון המדינה, בהתאם לסעיף 17 לחוק מבקר המדינה, התשי"ח-1958 [נוסח משולב]</w:t>
      </w:r>
      <w:r w:rsidR="00420374">
        <w:rPr>
          <w:rFonts w:hint="cs"/>
          <w:rtl/>
        </w:rPr>
        <w:t>.</w:t>
      </w:r>
      <w:r w:rsidRPr="001F3363" w:rsidR="00420374">
        <w:rPr>
          <w:rFonts w:hint="cs"/>
          <w:rtl/>
        </w:rPr>
        <w:t xml:space="preserve"> </w:t>
      </w:r>
    </w:p>
    <w:p w:rsidR="00340CFC" w14:paraId="431ACD23" w14:textId="77777777">
      <w:pPr>
        <w:bidi w:val="0"/>
        <w:spacing w:after="200" w:line="276" w:lineRule="auto"/>
        <w:rPr>
          <w:rFonts w:ascii="Tahoma" w:hAnsi="Tahoma" w:cs="Tahoma"/>
          <w:color w:val="0D0D0D" w:themeColor="text1" w:themeTint="F2"/>
          <w:sz w:val="18"/>
          <w:szCs w:val="18"/>
          <w:rtl/>
        </w:rPr>
      </w:pPr>
      <w:r>
        <w:rPr>
          <w:rtl/>
        </w:rPr>
        <w:br w:type="page"/>
      </w:r>
    </w:p>
    <w:p w:rsidR="002753C7" w:rsidRPr="00662020" w:rsidP="002753C7" w14:paraId="690F076D" w14:textId="33A4D518">
      <w:pPr>
        <w:pStyle w:val="7327"/>
        <w:rPr>
          <w:rtl/>
        </w:rPr>
      </w:pPr>
      <w:r w:rsidRPr="00662020">
        <w:rPr>
          <w:rFonts w:hint="cs"/>
          <w:rtl/>
        </w:rPr>
        <w:t>תמונת המצב העולה מן הביקורת</w:t>
      </w:r>
    </w:p>
    <w:p w:rsidR="002753C7" w:rsidRPr="001F3363" w:rsidP="00420374" w14:paraId="0B2F822B" w14:textId="558FD1C2">
      <w:pPr>
        <w:pStyle w:val="7317"/>
        <w:rPr>
          <w:rtl/>
        </w:rPr>
      </w:pPr>
      <w:r w:rsidRPr="00362C00">
        <w:rPr>
          <w:noProof/>
          <w:rtl/>
        </w:rPr>
        <w:drawing>
          <wp:anchor distT="0" distB="0" distL="114300" distR="114300" simplePos="0" relativeHeight="251683840" behindDoc="0" locked="0" layoutInCell="1" allowOverlap="1">
            <wp:simplePos x="0" y="0"/>
            <wp:positionH relativeFrom="column">
              <wp:posOffset>2540000</wp:posOffset>
            </wp:positionH>
            <wp:positionV relativeFrom="paragraph">
              <wp:posOffset>36830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rsidR="00420374" w:rsidRPr="00303B4E" w:rsidP="00303B4E" w14:paraId="18555822" w14:textId="5B90D2A9">
      <w:pPr>
        <w:pStyle w:val="7317"/>
        <w:rPr>
          <w:rtl/>
        </w:rPr>
      </w:pPr>
      <w:r w:rsidRPr="00303B4E">
        <w:rPr>
          <w:rFonts w:hint="cs"/>
          <w:noProof/>
          <w:rtl/>
        </w:rPr>
        <w:drawing>
          <wp:anchor distT="0" distB="0" distL="71755" distR="0" simplePos="0" relativeHeight="2516848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340CFC">
        <w:rPr>
          <w:b/>
          <w:bCs/>
          <w:rtl/>
        </w:rPr>
        <w:t xml:space="preserve">המעבר לתעודת הזהות החכמה </w:t>
      </w:r>
      <w:r w:rsidRPr="009376C0" w:rsidR="00340CFC">
        <w:rPr>
          <w:rtl/>
        </w:rPr>
        <w:t>- אף שהמעבר לתעודות זהות חכמות החל כבר לפני כעשור, ביוני 2013, לתושבים שהביעו רצון בכך, ובאופן מחייב לכלל התושבים ביולי 2017, והושקעו עד כה כ-430 מיליון ש"ח בהנפקתן, נכון ליולי 2022, כ-45% מהמחזיקים בתעודות זהות (כ-3.2 מיליון תושבים) מחזיקים בתעודה מהסוג הישן, הקלה לזיוף. להמשך השימוש בתעודות אלה השלכות בהיבטים פליליים וביטחוניים. בכלל זה, בחציון הראשון של שנת 2022 נרשמו במעברים שעליהם אמונה רשות המעברים היבשתיים כ-400 ניסיונות כניסה לארץ באמצעות מסמכי זיהוי מזויפים</w:t>
      </w:r>
      <w:r w:rsidRPr="00303B4E">
        <w:rPr>
          <w:rtl/>
        </w:rPr>
        <w:t>.</w:t>
      </w:r>
    </w:p>
    <w:p w:rsidR="00420374" w:rsidRPr="0093709F" w:rsidP="00DA022A" w14:paraId="1D22E15A" w14:textId="17E393D4">
      <w:pPr>
        <w:pStyle w:val="7392"/>
        <w:ind w:left="424"/>
      </w:pPr>
      <w:r w:rsidRPr="00B02658">
        <w:rPr>
          <w:rFonts w:hint="cs"/>
          <w:b/>
          <w:bCs/>
          <w:noProof/>
          <w:rtl/>
        </w:rPr>
        <w:drawing>
          <wp:anchor distT="0" distB="720090" distL="114300" distR="114300" simplePos="0" relativeHeight="2516858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340CFC">
        <w:rPr>
          <w:b/>
          <w:bCs/>
          <w:rtl/>
        </w:rPr>
        <w:t>מתאם בין בקשות חוזרות להנפקת תעודת זהות חכמה למעורבות בפלילים</w:t>
      </w:r>
      <w:r w:rsidRPr="009376C0" w:rsidR="00340CFC">
        <w:rPr>
          <w:rtl/>
        </w:rPr>
        <w:t xml:space="preserve"> </w:t>
      </w:r>
      <w:r w:rsidRPr="00AF239E" w:rsidR="00340CFC">
        <w:rPr>
          <w:rtl/>
        </w:rPr>
        <w:t>-</w:t>
      </w:r>
      <w:r w:rsidRPr="009376C0" w:rsidR="00340CFC">
        <w:rPr>
          <w:rtl/>
        </w:rPr>
        <w:t xml:space="preserve"> הועלה מתאם בין מספר הפעמים שבהם אזרחים דיווחו על אובדן או גניבה של תעודות זהות חכמות וביקשו להנפיק תעודות חדשות לבין הרישום הפלילי או המשטרתי של אזרחים אלו. מאז החלה הנפקת תעודות הזהות החכמות ביוני 2013 - 3,834 תושבים דיווחו על אובדן או גניבה של תעודת זהות חכמה שלוש פעמים ויותר, ו-70% מהם הם בעלי רישום משטרתי או פלילי. בקרב מי שהגיש בקשה כאמור שמונה פעמים או יותר, שיעור זה היה </w:t>
      </w:r>
      <w:r w:rsidR="00340CFC">
        <w:rPr>
          <w:rFonts w:hint="cs"/>
          <w:rtl/>
        </w:rPr>
        <w:t>100%</w:t>
      </w:r>
      <w:r w:rsidRPr="0093709F">
        <w:rPr>
          <w:rFonts w:hint="cs"/>
          <w:rtl/>
        </w:rPr>
        <w:t xml:space="preserve">. </w:t>
      </w:r>
    </w:p>
    <w:p w:rsidR="00420374" w:rsidRPr="0093709F" w:rsidP="00DA022A" w14:paraId="5E2BFABB" w14:textId="2CA19F7A">
      <w:pPr>
        <w:pStyle w:val="7392"/>
        <w:ind w:left="424"/>
        <w:rPr>
          <w:rtl/>
        </w:rPr>
      </w:pPr>
      <w:r w:rsidRPr="00B02658">
        <w:rPr>
          <w:rFonts w:hint="cs"/>
          <w:b/>
          <w:bCs/>
          <w:noProof/>
          <w:rtl/>
        </w:rPr>
        <w:drawing>
          <wp:anchor distT="0" distB="720090" distL="114300" distR="114300" simplePos="0" relativeHeight="2516869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340CFC">
        <w:rPr>
          <w:b/>
          <w:bCs/>
          <w:rtl/>
        </w:rPr>
        <w:t>היקף השימוש בתעודת הזהות החכמה לקבלת שירותים ממשלתיים</w:t>
      </w:r>
      <w:r w:rsidRPr="009376C0" w:rsidR="00340CFC">
        <w:rPr>
          <w:rtl/>
        </w:rPr>
        <w:t xml:space="preserve"> - בשל חסמים, ובהם הצורך בקורא כרטיסים וזכירת הסיסמה, השימוש בתעודת הזהות החכמה לצורך אימות זהות וקבלת שירותים ממשלתיים דיגיטליים מצומצם ביותר עד אפסי - פחות מאחוז מהתושבים השתמשו בה לצורך קבלת שירותים במערכת ההזדהות הלאומית. זאת אף שההזדהות באמצעותה בטוחה יותר. משום כך גם לא הושגה אחת מהתכליות של המעבר לתעודת זהות חכמה - מתן שירותים מתקדמים לציבור תוך שימוש בה</w:t>
      </w:r>
      <w:r w:rsidRPr="0093709F">
        <w:rPr>
          <w:rFonts w:hint="cs"/>
          <w:rtl/>
        </w:rPr>
        <w:t>.</w:t>
      </w:r>
    </w:p>
    <w:p w:rsidR="00420374" w:rsidRPr="0093709F" w:rsidP="00DA022A" w14:paraId="583ECB3F" w14:textId="2E696816">
      <w:pPr>
        <w:pStyle w:val="7392"/>
        <w:ind w:left="424"/>
      </w:pPr>
      <w:r w:rsidRPr="00B02658">
        <w:rPr>
          <w:rFonts w:hint="cs"/>
          <w:b/>
          <w:bCs/>
          <w:noProof/>
          <w:rtl/>
        </w:rPr>
        <w:drawing>
          <wp:anchor distT="0" distB="720090" distL="114300" distR="114300" simplePos="0" relativeHeight="25168793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340CFC">
        <w:rPr>
          <w:b/>
          <w:bCs/>
          <w:rtl/>
        </w:rPr>
        <w:t>אימות זהות ביומטרי באמצעות תעודת הזהות החכמה</w:t>
      </w:r>
      <w:r w:rsidRPr="009376C0" w:rsidR="00340CFC">
        <w:rPr>
          <w:rtl/>
        </w:rPr>
        <w:t xml:space="preserve"> - נכון לספטמבר 2022 רשות האוכלוסין היא הגוף היחיד מבין גורמי האכיפה והגורמים הממשלתיים שהוסמכו לכך בחוק</w:t>
      </w:r>
      <w:r>
        <w:rPr>
          <w:vertAlign w:val="superscript"/>
          <w:rtl/>
        </w:rPr>
        <w:footnoteReference w:id="2"/>
      </w:r>
      <w:r w:rsidRPr="009376C0" w:rsidR="00340CFC">
        <w:rPr>
          <w:rtl/>
        </w:rPr>
        <w:t xml:space="preserve"> המשתמש ברובד הביומטרי של תעודת הזהות לצורך אימות זהות של אדם (1:1)</w:t>
      </w:r>
      <w:r>
        <w:rPr>
          <w:vertAlign w:val="superscript"/>
          <w:rtl/>
        </w:rPr>
        <w:footnoteReference w:id="3"/>
      </w:r>
      <w:r w:rsidRPr="009376C0" w:rsidR="00340CFC">
        <w:rPr>
          <w:rtl/>
        </w:rPr>
        <w:t>, ואף היא עושה זאת באופן מוגבל, רק בעת שבעל תעודת הזהות החכמה מגיע פיזית לקבל שירות בלשכת הרשות. עלה כי המשטרה, וכן משרדי הממשלה, אינם משתמשים ברובד הביומטרי של תעודת הזהות החכמה</w:t>
      </w:r>
      <w:r w:rsidRPr="0093709F">
        <w:rPr>
          <w:rFonts w:hint="cs"/>
          <w:rtl/>
        </w:rPr>
        <w:t xml:space="preserve">. </w:t>
      </w:r>
    </w:p>
    <w:p w:rsidR="00420374" w:rsidRPr="0093709F" w:rsidP="00DA022A" w14:paraId="7C081EA1" w14:textId="75F40A85">
      <w:pPr>
        <w:pStyle w:val="7392"/>
        <w:ind w:left="424"/>
      </w:pPr>
      <w:r w:rsidRPr="00B02658">
        <w:rPr>
          <w:rFonts w:hint="cs"/>
          <w:b/>
          <w:bCs/>
          <w:noProof/>
          <w:rtl/>
        </w:rPr>
        <w:drawing>
          <wp:anchor distT="0" distB="720090" distL="114300" distR="114300" simplePos="0" relativeHeight="25168896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340CFC">
        <w:rPr>
          <w:b/>
          <w:bCs/>
          <w:rtl/>
        </w:rPr>
        <w:t>חסמים המקשים על ביצוע ההזדהות הביומטרית באמצעות תעודת הזהות החכמה</w:t>
      </w:r>
      <w:r w:rsidRPr="009376C0" w:rsidR="00340CFC">
        <w:rPr>
          <w:rtl/>
        </w:rPr>
        <w:t xml:space="preserve"> - בשל חסמים משפטיים וטכנולוגיים הנוגעים לבקרת הגישה לתמונת הפנים שבשבב תעודת הזהות החכמה, האפשרות לבצע באמצעותה אימות זיהוי ביומטרי מוגבלת. נכון ליולי 2022 כ-3.8 מיליון תושבים החזיקו בתעודת זהות חכמה. מאחר שלא ניתן לשנות בדיעבד את בקרת הגישה בתעודות שכבר הונפקו - גם כאשר חסמים אלה יוסרו תושבים אלה לא יוכלו להשתמש בהן לצורך קבלת חלק ניכר מהשירותים הדורשים אימות זהות </w:t>
      </w:r>
      <w:r w:rsidRPr="009376C0" w:rsidR="00340CFC">
        <w:rPr>
          <w:rtl/>
        </w:rPr>
        <w:t>ביומטרי. זאת ועוד, הועלה כי ב-580,000 תעודות זהות חכמות הוטבע שבב בעל נפח זיכרון קטן, ובעליהן כלל לא יוכלו להשתמש בתעודת הזהות שברשותם לשם קבלת שירותים הדורשים אימות זהות ביומטרי</w:t>
      </w:r>
      <w:r w:rsidRPr="0093709F">
        <w:rPr>
          <w:rFonts w:hint="cs"/>
          <w:rtl/>
        </w:rPr>
        <w:t xml:space="preserve">. </w:t>
      </w:r>
    </w:p>
    <w:p w:rsidR="00420374" w:rsidRPr="0093709F" w:rsidP="00DA022A" w14:paraId="5E8BF229" w14:textId="6F95FCC4">
      <w:pPr>
        <w:pStyle w:val="7392"/>
        <w:ind w:left="424"/>
        <w:rPr>
          <w:rtl/>
        </w:rPr>
      </w:pPr>
      <w:r w:rsidRPr="00B02658">
        <w:rPr>
          <w:rFonts w:hint="cs"/>
          <w:b/>
          <w:bCs/>
          <w:noProof/>
          <w:rtl/>
        </w:rPr>
        <w:drawing>
          <wp:anchor distT="0" distB="720090" distL="114300" distR="114300" simplePos="0" relativeHeight="251689984" behindDoc="1" locked="0" layoutInCell="1" allowOverlap="1">
            <wp:simplePos x="0" y="0"/>
            <wp:positionH relativeFrom="column">
              <wp:posOffset>4526280</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340CFC">
        <w:rPr>
          <w:b/>
          <w:bCs/>
          <w:rtl/>
        </w:rPr>
        <w:t>חתימה אלקטרונית מאושרת על גבי תעודת הזהות החכמה</w:t>
      </w:r>
      <w:r w:rsidRPr="009376C0" w:rsidR="00340CFC">
        <w:rPr>
          <w:rtl/>
        </w:rPr>
        <w:t xml:space="preserve"> - במועד סיום הביקורת, כ-13 שנים לאחר שנקבע בחוק שתעודת הזהות החכמה תאפשר לתושב המעוניין בכך לכלול בה חתימה אלקטרונית מאושרת, אפשרות זו איננה ממומשת, שכן רשות האוכלוסין לא השלימה את ההיערכות הנדרשת לצורך עמידה בדרישות הרשות להגנת הפרטיות (רשם הגורמים המאשרים). עקב כך, תושבים הנדרשים לבצע פעולות הטעונות חתימה אלקטרונית מאושרת נאלצים לשלם לגורמים מסחריים עבור שירות זה או לחלופין להגיע ללשכת שירות לצורך ביצוע פעולות הדורשות חתימה</w:t>
      </w:r>
      <w:r w:rsidRPr="0093709F">
        <w:rPr>
          <w:rFonts w:hint="cs"/>
          <w:rtl/>
        </w:rPr>
        <w:t>.</w:t>
      </w:r>
    </w:p>
    <w:p w:rsidR="00420374" w:rsidP="00DA022A" w14:paraId="39D5E97C" w14:textId="7A2671D2">
      <w:pPr>
        <w:pStyle w:val="7392"/>
        <w:ind w:left="424"/>
        <w:rPr>
          <w:noProof/>
          <w:rtl/>
        </w:rPr>
      </w:pPr>
      <w:r w:rsidRPr="00B02658">
        <w:rPr>
          <w:rFonts w:hint="cs"/>
          <w:b/>
          <w:bCs/>
          <w:noProof/>
          <w:rtl/>
        </w:rPr>
        <w:drawing>
          <wp:anchor distT="0" distB="720090" distL="114300" distR="114300" simplePos="0" relativeHeight="251691008" behindDoc="1" locked="0" layoutInCell="1" allowOverlap="1">
            <wp:simplePos x="0" y="0"/>
            <wp:positionH relativeFrom="column">
              <wp:posOffset>4526280</wp:posOffset>
            </wp:positionH>
            <wp:positionV relativeFrom="paragraph">
              <wp:posOffset>30317</wp:posOffset>
            </wp:positionV>
            <wp:extent cx="161925" cy="161925"/>
            <wp:effectExtent l="0" t="0" r="3175" b="3175"/>
            <wp:wrapTight wrapText="bothSides">
              <wp:wrapPolygon>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9376C0" w:rsidR="00340CFC">
        <w:rPr>
          <w:b/>
          <w:bCs/>
          <w:rtl/>
        </w:rPr>
        <w:t>המעבר לדרכון ביומטרי</w:t>
      </w:r>
      <w:r w:rsidRPr="009376C0" w:rsidR="00340CFC">
        <w:rPr>
          <w:rtl/>
        </w:rPr>
        <w:t xml:space="preserve"> - במועד סיום הביקורת, כעשור לאחר שהחלה הנפקת הדרכונים הביומטריים (ביוני 2013) לתושבים שהביעו רצון בכך, ובאופן מחייב לכלל התושבים ביולי 2017, כ-2.9 מיליון תושבים, ששיעורם כ-37% מכלל המחזיקים בדרכונים, עדיין מחזיקים בדרכונים מהסוג הישן, הקלים לזיוף</w:t>
      </w:r>
      <w:r w:rsidRPr="0093709F">
        <w:rPr>
          <w:rFonts w:hint="cs"/>
          <w:rtl/>
        </w:rPr>
        <w:t xml:space="preserve">. </w:t>
      </w:r>
    </w:p>
    <w:p w:rsidR="00340CFC" w:rsidRPr="009376C0" w:rsidP="00340CFC" w14:paraId="21EFEABF" w14:textId="6D835E5E">
      <w:pPr>
        <w:pStyle w:val="7317"/>
        <w:rPr>
          <w:b/>
          <w:bCs/>
          <w:rtl/>
        </w:rPr>
      </w:pPr>
      <w:r w:rsidRPr="00303B4E">
        <w:rPr>
          <w:rFonts w:hint="cs"/>
          <w:noProof/>
          <w:rtl/>
        </w:rPr>
        <w:drawing>
          <wp:anchor distT="0" distB="0" distL="71755" distR="0" simplePos="0" relativeHeight="25170227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199038748" name="תמונה 1199038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38748"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מעבר ישראלים בנתב"ג</w:t>
      </w:r>
      <w:r w:rsidRPr="009376C0">
        <w:rPr>
          <w:rFonts w:hint="cs"/>
          <w:b/>
          <w:bCs/>
          <w:rtl/>
        </w:rPr>
        <w:t xml:space="preserve"> </w:t>
      </w:r>
    </w:p>
    <w:p w:rsidR="00340CFC" w:rsidRPr="009376C0" w:rsidP="00D55BE1" w14:paraId="0C0D76E2" w14:textId="77777777">
      <w:pPr>
        <w:pStyle w:val="7317"/>
        <w:numPr>
          <w:ilvl w:val="0"/>
          <w:numId w:val="20"/>
        </w:numPr>
      </w:pPr>
      <w:bookmarkStart w:id="1" w:name="_Hlk130906907"/>
      <w:r w:rsidRPr="009376C0">
        <w:rPr>
          <w:rFonts w:hint="cs"/>
          <w:rtl/>
        </w:rPr>
        <w:t xml:space="preserve">ממסמכי רשות האוכלוסין, כמו גם מסיורים, תצפיות וניסיון מעבר בביקורת הגבולות שערכו נציגי משרד מבקר המדינה עלו פערים בהתנהלות </w:t>
      </w:r>
      <w:r w:rsidRPr="009376C0">
        <w:rPr>
          <w:rtl/>
        </w:rPr>
        <w:t xml:space="preserve">רשות האוכלוסין </w:t>
      </w:r>
      <w:r w:rsidRPr="009376C0">
        <w:rPr>
          <w:rFonts w:hint="cs"/>
          <w:rtl/>
        </w:rPr>
        <w:t xml:space="preserve">במימוש </w:t>
      </w:r>
      <w:r w:rsidRPr="009376C0">
        <w:rPr>
          <w:rtl/>
        </w:rPr>
        <w:t>נוהל שקבעה במטרה לחסום פרצה העלולה לאפשר לגורמי פשיעה וטרור זרים וישראלים להיכנס לארץ ולצאת ממנה</w:t>
      </w:r>
      <w:r w:rsidRPr="009376C0">
        <w:rPr>
          <w:rFonts w:hint="cs"/>
          <w:rtl/>
        </w:rPr>
        <w:t xml:space="preserve">. </w:t>
      </w:r>
      <w:r w:rsidRPr="009376C0">
        <w:rPr>
          <w:rtl/>
        </w:rPr>
        <w:t xml:space="preserve">מדובר בפרצה של ממש בביקורת הגבולות.     </w:t>
      </w:r>
    </w:p>
    <w:p w:rsidR="00340CFC" w:rsidRPr="009376C0" w:rsidP="00D55BE1" w14:paraId="7B96793D" w14:textId="680FCA7D">
      <w:pPr>
        <w:pStyle w:val="7317"/>
        <w:numPr>
          <w:ilvl w:val="0"/>
          <w:numId w:val="20"/>
        </w:numPr>
        <w:rPr>
          <w:rtl/>
        </w:rPr>
      </w:pPr>
      <w:r w:rsidRPr="009376C0">
        <w:rPr>
          <w:rFonts w:hint="cs"/>
          <w:rtl/>
        </w:rPr>
        <w:t xml:space="preserve">הביקורת העלתה כי מדובר בסיכון שהתממש, ובדוח הועלו כמה דוגמאות למקרים שבהם גורמים שונים נכנסו לארץ או יצאו ממנה תוך ניצול החולשה האמורה בביקורת הגבולות. </w:t>
      </w:r>
      <w:r w:rsidRPr="009376C0">
        <w:rPr>
          <w:rtl/>
        </w:rPr>
        <w:t xml:space="preserve">יודגש כי </w:t>
      </w:r>
      <w:r w:rsidRPr="009376C0">
        <w:rPr>
          <w:rFonts w:hint="cs"/>
          <w:rtl/>
        </w:rPr>
        <w:t xml:space="preserve">דוגמאות אלה </w:t>
      </w:r>
      <w:r w:rsidRPr="009376C0">
        <w:rPr>
          <w:rtl/>
        </w:rPr>
        <w:t>אינ</w:t>
      </w:r>
      <w:r w:rsidRPr="009376C0">
        <w:rPr>
          <w:rFonts w:hint="cs"/>
          <w:rtl/>
        </w:rPr>
        <w:t>ן</w:t>
      </w:r>
      <w:r w:rsidRPr="009376C0">
        <w:rPr>
          <w:rtl/>
        </w:rPr>
        <w:t xml:space="preserve"> מייצג</w:t>
      </w:r>
      <w:r w:rsidRPr="009376C0">
        <w:rPr>
          <w:rFonts w:hint="cs"/>
          <w:rtl/>
        </w:rPr>
        <w:t>ות</w:t>
      </w:r>
      <w:r w:rsidRPr="009376C0">
        <w:rPr>
          <w:rtl/>
        </w:rPr>
        <w:t xml:space="preserve"> את היקף </w:t>
      </w:r>
      <w:r w:rsidRPr="009376C0">
        <w:rPr>
          <w:rFonts w:hint="cs"/>
          <w:rtl/>
        </w:rPr>
        <w:t>ניצולה של חולשה זו</w:t>
      </w:r>
      <w:r w:rsidRPr="009376C0">
        <w:rPr>
          <w:rtl/>
        </w:rPr>
        <w:t xml:space="preserve">, משום שמדובר רק במקרים שנתפסו. עם זאת, במקרים אלו ובניסיון המעבר של </w:t>
      </w:r>
      <w:r w:rsidRPr="009376C0">
        <w:rPr>
          <w:rFonts w:hint="cs"/>
          <w:rtl/>
        </w:rPr>
        <w:t>נציגי</w:t>
      </w:r>
      <w:r w:rsidRPr="009376C0">
        <w:rPr>
          <w:rtl/>
        </w:rPr>
        <w:t xml:space="preserve"> משרד מבקר המדינה </w:t>
      </w:r>
      <w:r w:rsidRPr="009376C0">
        <w:rPr>
          <w:rFonts w:hint="cs"/>
          <w:rtl/>
        </w:rPr>
        <w:t xml:space="preserve">תוך ניצול החולשה האמורה </w:t>
      </w:r>
      <w:r w:rsidRPr="009376C0">
        <w:rPr>
          <w:rtl/>
        </w:rPr>
        <w:t xml:space="preserve">(ניסיון שצלח) - יש כדי להמחיש את </w:t>
      </w:r>
      <w:r w:rsidRPr="009376C0">
        <w:rPr>
          <w:rFonts w:hint="cs"/>
          <w:rtl/>
        </w:rPr>
        <w:t xml:space="preserve">הסיכון ולהבהיר </w:t>
      </w:r>
      <w:r w:rsidRPr="009376C0">
        <w:rPr>
          <w:rtl/>
        </w:rPr>
        <w:t xml:space="preserve">כי הוא ממשי וידוע היטב לרשות האוכלוסין. זאת ועוד, מקרים אלה מעלים חשש </w:t>
      </w:r>
      <w:r w:rsidRPr="009376C0">
        <w:rPr>
          <w:rFonts w:hint="cs"/>
          <w:rtl/>
        </w:rPr>
        <w:t xml:space="preserve">שחולשה זו </w:t>
      </w:r>
      <w:r w:rsidRPr="009376C0">
        <w:rPr>
          <w:rtl/>
        </w:rPr>
        <w:t xml:space="preserve">מוכרת וידועה גם לגורמים המבקשים להשתמש </w:t>
      </w:r>
      <w:r w:rsidR="0090698F">
        <w:rPr>
          <w:rFonts w:hint="cs"/>
          <w:rtl/>
        </w:rPr>
        <w:t>בה</w:t>
      </w:r>
      <w:r w:rsidRPr="009376C0">
        <w:rPr>
          <w:rtl/>
        </w:rPr>
        <w:t xml:space="preserve"> לרעה. לא ניתן לדעת כמה מקרים כאלה אירעו עד כה, מה היא זהותם של האנשים שיצאו מהארץ או נכנסו אליה ומדוע עברו</w:t>
      </w:r>
      <w:r w:rsidRPr="009376C0">
        <w:rPr>
          <w:rFonts w:hint="cs"/>
          <w:rtl/>
        </w:rPr>
        <w:t xml:space="preserve"> תוך ניצול חולשה זו. </w:t>
      </w:r>
    </w:p>
    <w:bookmarkEnd w:id="1"/>
    <w:p w:rsidR="00340CFC" w:rsidRPr="00303B4E" w:rsidP="00C572C8" w14:paraId="1A94681E" w14:textId="77CCF565">
      <w:pPr>
        <w:pStyle w:val="7317"/>
        <w:rPr>
          <w:rtl/>
        </w:rPr>
      </w:pPr>
      <w:r w:rsidRPr="00340CFC">
        <w:rPr>
          <w:rFonts w:hint="cs"/>
          <w:b/>
          <w:bCs/>
          <w:noProof/>
          <w:rtl/>
        </w:rPr>
        <w:drawing>
          <wp:anchor distT="0" distB="0" distL="71755" distR="0" simplePos="0" relativeHeight="25170329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787668505" name="תמונה 787668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68505"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340CFC">
        <w:rPr>
          <w:b/>
          <w:bCs/>
          <w:rtl/>
        </w:rPr>
        <w:t>כניסת זרים לישראל</w:t>
      </w:r>
      <w:r w:rsidRPr="00340CFC">
        <w:rPr>
          <w:rFonts w:hint="cs"/>
          <w:b/>
          <w:bCs/>
          <w:rtl/>
        </w:rPr>
        <w:t xml:space="preserve"> </w:t>
      </w:r>
      <w:r w:rsidRPr="009376C0">
        <w:rPr>
          <w:rFonts w:hint="cs"/>
          <w:rtl/>
        </w:rPr>
        <w:t xml:space="preserve">- ממצאים שעלו מניתוח נתוני ביקורת הגבולות וכן תצפיות </w:t>
      </w:r>
      <w:r w:rsidRPr="009376C0">
        <w:rPr>
          <w:rtl/>
        </w:rPr>
        <w:t>שעשו נציגי משרד מבקר המדינה</w:t>
      </w:r>
      <w:r w:rsidRPr="009376C0">
        <w:rPr>
          <w:rFonts w:hint="cs"/>
          <w:rtl/>
        </w:rPr>
        <w:t xml:space="preserve"> כמו גם שורה של מקרים שבהם זרים נכנסו לארץ מבלי שנבדקו כנדרש, העלו כי שיטת העבודה בביקורת הגבולות של זרים בנתב"ג </w:t>
      </w:r>
      <w:r w:rsidRPr="009376C0">
        <w:rPr>
          <w:rtl/>
        </w:rPr>
        <w:t>אינ</w:t>
      </w:r>
      <w:r w:rsidRPr="009376C0">
        <w:rPr>
          <w:rFonts w:hint="cs"/>
          <w:rtl/>
        </w:rPr>
        <w:t>ה</w:t>
      </w:r>
      <w:r w:rsidRPr="009376C0">
        <w:rPr>
          <w:rtl/>
        </w:rPr>
        <w:t xml:space="preserve"> עו</w:t>
      </w:r>
      <w:r w:rsidRPr="009376C0">
        <w:rPr>
          <w:rFonts w:hint="cs"/>
          <w:rtl/>
        </w:rPr>
        <w:t>לה</w:t>
      </w:r>
      <w:r w:rsidRPr="009376C0">
        <w:rPr>
          <w:rtl/>
        </w:rPr>
        <w:t xml:space="preserve"> בקנה אחד עם הנחיות </w:t>
      </w:r>
      <w:r w:rsidRPr="009376C0">
        <w:rPr>
          <w:rtl/>
        </w:rPr>
        <w:t>מינהל</w:t>
      </w:r>
      <w:r w:rsidRPr="009376C0">
        <w:rPr>
          <w:rtl/>
        </w:rPr>
        <w:t xml:space="preserve"> ביקורת גבולות ופותח</w:t>
      </w:r>
      <w:r w:rsidRPr="009376C0">
        <w:rPr>
          <w:rFonts w:hint="cs"/>
          <w:rtl/>
        </w:rPr>
        <w:t>ת</w:t>
      </w:r>
      <w:r w:rsidRPr="009376C0">
        <w:rPr>
          <w:rtl/>
        </w:rPr>
        <w:t xml:space="preserve"> פתח לכניסתם של זרים, ללא וידוא שיש מקום לאשר את כניסתם לארץ.</w:t>
      </w:r>
      <w:r w:rsidRPr="009376C0">
        <w:rPr>
          <w:rFonts w:hint="cs"/>
          <w:rtl/>
        </w:rPr>
        <w:t xml:space="preserve"> דוח זה חושף אפוא </w:t>
      </w:r>
      <w:r w:rsidRPr="009376C0">
        <w:rPr>
          <w:rtl/>
        </w:rPr>
        <w:t>פרצות ממשיות בכניסה של זרים דרך נתב"ג</w:t>
      </w:r>
      <w:r w:rsidRPr="00303B4E">
        <w:rPr>
          <w:rtl/>
        </w:rPr>
        <w:t>.</w:t>
      </w:r>
    </w:p>
    <w:p w:rsidR="00340CFC" w:rsidRPr="00303B4E" w:rsidP="00340CFC" w14:paraId="2FCB1A5E" w14:textId="54A7689D">
      <w:pPr>
        <w:pStyle w:val="7317"/>
        <w:rPr>
          <w:rtl/>
        </w:rPr>
      </w:pPr>
      <w:r w:rsidRPr="00303B4E">
        <w:rPr>
          <w:rFonts w:hint="cs"/>
          <w:noProof/>
          <w:rtl/>
        </w:rPr>
        <w:drawing>
          <wp:anchor distT="0" distB="0" distL="71755" distR="0" simplePos="0" relativeHeight="25170432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881645227" name="תמונה 88164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45227"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המשך הנפקת דרכונים מהסוג הישן, הקלים לזיוף</w:t>
      </w:r>
      <w:r w:rsidRPr="009376C0">
        <w:rPr>
          <w:rtl/>
        </w:rPr>
        <w:t xml:space="preserve"> - מתום תקופת המבחן ביוני 2017 ועד לסוף יוני 2022 הונפקו חצי מיליון דרכונים מהסוג הישן, ששיעורם כ-10% מכלל הדרכונים שהונפקו בתקופה זו; בחציון הראשון של שנת 2022 חל גידול בשיעור הדרכונים מהסוג הישן שהונפקו, ושיעורם הסתכם בכ-17%. המשך הנפקת דרכונים מהסוג הישן (דרכונים זמניים ודרכונים המונפקים בנציגויות ישראל בחו"ל) אינו עולה בקנה אחד עם </w:t>
      </w:r>
      <w:r w:rsidRPr="009376C0">
        <w:rPr>
          <w:rtl/>
        </w:rPr>
        <w:t>תכליות המעבר לתיעוד ביומטרי, והוא אף מגדיל את הסיכון שגורמים בלתי מורשים, ובהם גורמים פליליים וגורמי טרור, ינסו לצאת מהארץ ולהיכנס אליה תוך שימוש בדרכון ישראלי מזויף</w:t>
      </w:r>
      <w:r w:rsidRPr="00303B4E">
        <w:rPr>
          <w:rtl/>
        </w:rPr>
        <w:t>.</w:t>
      </w:r>
    </w:p>
    <w:p w:rsidR="00340CFC" w:rsidRPr="00303B4E" w:rsidP="00340CFC" w14:paraId="3231089F" w14:textId="2FCCFBBB">
      <w:pPr>
        <w:pStyle w:val="7317"/>
        <w:rPr>
          <w:rtl/>
        </w:rPr>
      </w:pPr>
      <w:r w:rsidRPr="00303B4E">
        <w:rPr>
          <w:rFonts w:hint="cs"/>
          <w:noProof/>
          <w:rtl/>
        </w:rPr>
        <w:drawing>
          <wp:anchor distT="0" distB="0" distL="71755" distR="0" simplePos="0" relativeHeight="25170534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056546524" name="תמונה 205654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46524"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הנפקת דרכונים בנציגויות ישראל בחו"ל</w:t>
      </w:r>
      <w:r w:rsidRPr="009376C0">
        <w:rPr>
          <w:rtl/>
        </w:rPr>
        <w:t xml:space="preserve"> - מתווה הפרויקט להנפקת דרכונים ביומטריים בידי נציגויות ישראל בחו"ל גובש עוד בשנת 2015, אך במשך שבע שנים, עד לשנת 2022, לא החלה הנפקתם, ומדי שנה מונפקים בהן עשרות אלפי דרכונים מהסוג הישן, הקלים לזיוף</w:t>
      </w:r>
      <w:r w:rsidRPr="00303B4E">
        <w:rPr>
          <w:rtl/>
        </w:rPr>
        <w:t>.</w:t>
      </w:r>
    </w:p>
    <w:p w:rsidR="00340CFC" w:rsidRPr="00303B4E" w:rsidP="00340CFC" w14:paraId="5664FD3B" w14:textId="546EBB87">
      <w:pPr>
        <w:pStyle w:val="7317"/>
        <w:rPr>
          <w:rtl/>
        </w:rPr>
      </w:pPr>
      <w:r w:rsidRPr="00303B4E">
        <w:rPr>
          <w:rFonts w:hint="cs"/>
          <w:noProof/>
          <w:rtl/>
        </w:rPr>
        <w:drawing>
          <wp:anchor distT="0" distB="0" distL="71755" distR="0" simplePos="0" relativeHeight="25170636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671055609" name="תמונה 1671055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55609"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היערכות רשות האוכלוסין לעומסים בתקופה שלאחר מגפת הקורונה</w:t>
      </w:r>
      <w:r w:rsidRPr="009376C0">
        <w:rPr>
          <w:rtl/>
        </w:rPr>
        <w:t xml:space="preserve"> – בתקופת מגפת הקורונה הצטבר פער בהנפקת כמיליון דרכונים יחסית להיקף ההנפקה בשנת 2019: בסוף שנת 2019, לפני פרוץ מגפת הקורונה, שיעור הישראלים שהחזיקו בדרכון תקף היה יותר מ-75%, ואילו בסוף מאי 2022 הסתכם שיעור זה בכ-63% בלבד. דבר זה גרם להיווצרות עומסים כבדים ברשות האוכלוסין, לרבות לקושי בקביעת תורים. יש לציין את הפעולות שנקטה רשות האוכלוסין לשם התמודדות עם הביקוש העולה לדרכונים בתקופה שלאחר הקורונה, ובכלל זאת - פתיחת מרכז להנפקת דרכונים זמניים, הרחבת שעות פעילות מפעל ייצור הדרכונים והלשכות וגיוס כוח אדם לשם כך. עם זאת, לחלק מהפעולות השלכות המתבטאות בעיכוב השלמת המעבר לתיעוד הלאומי הביומטרי (דחיית מועד פקיעת תוקפן של תעודות הזהות מהסוג הישן בשנתיים, הגדלת היקף הדרכונים הזמניים והארכת תוקפם), ולחלקן השלכות על פעילותה של הרשות (כגון הסטת כוח אדם והפחתת פעולות האכיפה של הרשות</w:t>
      </w:r>
      <w:r>
        <w:rPr>
          <w:rFonts w:hint="cs"/>
          <w:rtl/>
        </w:rPr>
        <w:t>)</w:t>
      </w:r>
      <w:r w:rsidRPr="00303B4E">
        <w:rPr>
          <w:rtl/>
        </w:rPr>
        <w:t>.</w:t>
      </w:r>
    </w:p>
    <w:p w:rsidR="00340CFC" w:rsidRPr="00303B4E" w:rsidP="00340CFC" w14:paraId="4C51ABFB" w14:textId="46F57173">
      <w:pPr>
        <w:pStyle w:val="7317"/>
        <w:rPr>
          <w:rtl/>
        </w:rPr>
      </w:pPr>
      <w:r w:rsidRPr="00303B4E">
        <w:rPr>
          <w:rFonts w:hint="cs"/>
          <w:noProof/>
          <w:rtl/>
        </w:rPr>
        <w:drawing>
          <wp:anchor distT="0" distB="0" distL="71755" distR="0" simplePos="0" relativeHeight="25170739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299881730" name="תמונה 129988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881730"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הארכת משך הזמן להנפקת דרכונים</w:t>
      </w:r>
      <w:r w:rsidRPr="009376C0">
        <w:rPr>
          <w:rtl/>
        </w:rPr>
        <w:t xml:space="preserve"> - הועלה כי לנוכח העלייה בביקוש לדרכונים בתקופה שלאחר הקורונה, פרק הזמן שבו התחייבה רשות האוכלוסין לשלוח את הדרכון הוארך משלושה שבועות לשישה שבועות. עוד הועלה כי</w:t>
      </w:r>
      <w:r w:rsidRPr="00AF239E">
        <w:rPr>
          <w:rtl/>
        </w:rPr>
        <w:t xml:space="preserve"> </w:t>
      </w:r>
      <w:r w:rsidRPr="009376C0">
        <w:rPr>
          <w:rtl/>
        </w:rPr>
        <w:t>מפעל הדרכונים של רשות האוכלוסין מצויד במדפסות מיושנות להנפקת דרכונים ביומטריים, והייצור התלוי בהן אינו נותן מענה על הביקוש לדרכונים ביומטריים בתקופות שבהן יש גידול בביקוש. בנובמבר 2018 החלה רשות האוכלוסין בהליכים לבחינת רכש של מדפסות מתקדמות, כדי להגדיל את מספר הדרכונים המיוצר ולעמוד בביקוש של האוכלוסייה לאספקתם. נמצא כי כעבור ארבע שנים (נכון לספטמבר 2022) רשות האוכלוסין עדיין לא סיימה את תהליך החלפת המדפסות שבמפעל הנפקת הדרכונים למדפסות מתקדמות.</w:t>
      </w:r>
      <w:r w:rsidRPr="00AF239E">
        <w:rPr>
          <w:rtl/>
        </w:rPr>
        <w:t xml:space="preserve"> </w:t>
      </w:r>
      <w:r w:rsidRPr="009376C0">
        <w:rPr>
          <w:rtl/>
        </w:rPr>
        <w:t>בנוסף, לרשות אין מדפסות באתר הגיבוי להדפסת דרכונים ביומטריים במקרה של השבתת מפעל ההנפקה. משמעות הדבר כי לא תהיה יכולת להנפיק דרכונים ביומטריים אם יושבת מפעל ההנפקה</w:t>
      </w:r>
      <w:r w:rsidRPr="00303B4E">
        <w:rPr>
          <w:rtl/>
        </w:rPr>
        <w:t>.</w:t>
      </w:r>
    </w:p>
    <w:p w:rsidR="00340CFC" w:rsidRPr="00303B4E" w:rsidP="00340CFC" w14:paraId="21219FF3" w14:textId="4911ED8B">
      <w:pPr>
        <w:pStyle w:val="7317"/>
        <w:rPr>
          <w:rtl/>
        </w:rPr>
      </w:pPr>
      <w:r w:rsidRPr="00303B4E">
        <w:rPr>
          <w:rFonts w:hint="cs"/>
          <w:noProof/>
          <w:rtl/>
        </w:rPr>
        <w:drawing>
          <wp:anchor distT="0" distB="0" distL="71755" distR="0" simplePos="0" relativeHeight="251708416"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924965718" name="תמונה 192496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65718"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היערכות רשות האוכלוסין לעומסים עתידיים בלשכות</w:t>
      </w:r>
      <w:r w:rsidRPr="009376C0">
        <w:rPr>
          <w:rtl/>
        </w:rPr>
        <w:t xml:space="preserve"> - בשנתיים הקרובות (2024-2023) צפוי לפוג תוקף תעודות הזהות של 3.6 מיליון תושבים (תעודות זהות מהסוג הישן ותעודות זהות ביומטריות שתוקפן צפוי לפוג). המחזיקים בתעודות אלו צפויים להגיע ללשכות רשות האוכלוסין על מנת להנפיק מסמכי זיהוי חדשים. זאת נוסף על הפניות השוטפות ללשכות הרשות. דהיינו מדובר בתוספת חודשית ממוצעת של כ-150,000 פניות על כ-200,000 הפניות שהיו בממוצע בחודש בשנת 2019 (גידול חודשי ממוצע בשיעור של כ-75%). גם בהנחה שיש חפיפה מסוימת בין שיעור התושבים המגיעים באופן שוטף ללשכות לבין אלה הצפויים להגיע ללשכות בשנתיים הקרובות לצורך הנפקת תעודות זהות חדשות, מדובר בגידול ניכר, המחייב היערכות מוקדמת. עלה כי המענה שגיבשה הרשות בעניין עומס הפניות הצפויות בלשכותיה בשנים הבאות - הצבת עמדות שירות עצמי - ייתן </w:t>
      </w:r>
      <w:r w:rsidRPr="009376C0">
        <w:rPr>
          <w:rtl/>
        </w:rPr>
        <w:t>מענה חלקי: העמדות לא ייתנו מענה ל-3.9 מיליון מהתושבים אשר נכון לספטמבר 2022 אין בידם מסמכי זיהוי ביומטריים (דרכון ביומטרי או תעודת זהות חכמה); כמו כן, בשלב זה העמדות אינן מתוכננות לתת שירות לקטינים בעלי מסמכי זיהוי ביומטריים</w:t>
      </w:r>
      <w:r w:rsidRPr="00303B4E">
        <w:rPr>
          <w:rtl/>
        </w:rPr>
        <w:t>.</w:t>
      </w:r>
    </w:p>
    <w:p w:rsidR="00340CFC" w:rsidRPr="00303B4E" w:rsidP="00340CFC" w14:paraId="6E35793F" w14:textId="2E8890B0">
      <w:pPr>
        <w:pStyle w:val="7317"/>
        <w:rPr>
          <w:rtl/>
        </w:rPr>
      </w:pPr>
      <w:r w:rsidRPr="00303B4E">
        <w:rPr>
          <w:rFonts w:hint="cs"/>
          <w:noProof/>
          <w:rtl/>
        </w:rPr>
        <w:drawing>
          <wp:anchor distT="0" distB="0" distL="71755" distR="0" simplePos="0" relativeHeight="251709440"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393780737" name="תמונה 393780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80737"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מאגרי תמונות הפנים ברשות האוכלוסין</w:t>
      </w:r>
      <w:r w:rsidRPr="009376C0">
        <w:rPr>
          <w:rtl/>
        </w:rPr>
        <w:t xml:space="preserve"> - לצד המאגר הביומטרי הלאומי, רשות האוכלוסין מחזיקה במערכות המידע שלה</w:t>
      </w:r>
      <w:r w:rsidRPr="009376C0">
        <w:rPr>
          <w:rFonts w:hint="cs"/>
          <w:rtl/>
        </w:rPr>
        <w:t xml:space="preserve"> </w:t>
      </w:r>
      <w:r w:rsidRPr="009376C0">
        <w:rPr>
          <w:rtl/>
        </w:rPr>
        <w:t>מאגרי תמונות פנים של מיליוני תושבים</w:t>
      </w:r>
      <w:r w:rsidRPr="009376C0">
        <w:rPr>
          <w:rFonts w:hint="cs"/>
          <w:rtl/>
        </w:rPr>
        <w:t xml:space="preserve">. </w:t>
      </w:r>
      <w:r w:rsidRPr="009376C0">
        <w:rPr>
          <w:rtl/>
        </w:rPr>
        <w:t>בשל ההתפתחות הטכנולוגית, תמונות הפנים הן באיכות ביומטרית, ועל כן החזקת המאגרים אינה עולה בקנה אחד עם הוראות החוק. כמו כן, רמת ההגנה על מאגרים אלו פחותה מזו של המאגר הביומטרי הלאומי. נמצא כי נכון לאוקטובר 2022, כשלוש שנים לאחר שהממונה על היישומים הביומטריים התריע לראשונה על סוגיה זו, הרשות לא גיבשה פתרון לנושא</w:t>
      </w:r>
      <w:r w:rsidRPr="00303B4E">
        <w:rPr>
          <w:rtl/>
        </w:rPr>
        <w:t>.</w:t>
      </w:r>
    </w:p>
    <w:p w:rsidR="00340CFC" w:rsidRPr="00303B4E" w:rsidP="00340CFC" w14:paraId="1149C137" w14:textId="0ECFBB23">
      <w:pPr>
        <w:pStyle w:val="7317"/>
        <w:rPr>
          <w:rtl/>
        </w:rPr>
      </w:pPr>
      <w:r w:rsidRPr="00303B4E">
        <w:rPr>
          <w:rFonts w:hint="cs"/>
          <w:noProof/>
          <w:rtl/>
        </w:rPr>
        <w:drawing>
          <wp:anchor distT="0" distB="0" distL="71755" distR="0" simplePos="0" relativeHeight="251710464"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337899627" name="תמונה 1337899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899627"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היערכות לרכש האמצעים הטכנולוגיים הנדרשים למעבר למאגר המבוסס על תמונת פנים בלבד</w:t>
      </w:r>
      <w:r w:rsidRPr="009376C0">
        <w:rPr>
          <w:rtl/>
        </w:rPr>
        <w:t xml:space="preserve"> - על מנת שרשות המאגר הביומטרי הלאומי תוכל לממש את תפקידה - מניעה של זיוף זהות והרכשה כפולה - עליה להיות מצוידת במערכת השוואה ביומטרית. בשנת 2017 נקבע בחוק כי בתום הוראת השעה</w:t>
      </w:r>
      <w:r>
        <w:rPr>
          <w:vertAlign w:val="superscript"/>
          <w:rtl/>
        </w:rPr>
        <w:footnoteReference w:id="4"/>
      </w:r>
      <w:r w:rsidRPr="009376C0">
        <w:rPr>
          <w:rtl/>
        </w:rPr>
        <w:t xml:space="preserve">, המאגר הביומטרי יבוסס על תמונות פנים בלבד וטביעות האצבע שבו יימחקו, אולם התברר כי מערכת ההשוואה הביומטרית הקיימת אינה מתאימה לשם כך. חרף העובדה שבשנת 2020 קבע ראש מערך הסייבר כי קיימים אמצעים טכנולוגיים המתאימים לשם ביסוס המאגר על תמונות פנים בלבד, רק בדצמבר 2022 רשות המאגר הביומטרי הלאומי פרסמה את השלב הראשון במכרז לרכישת מערכת השוואה ביומטרית המתאימה לשם כך. לדברי משרד הפנים, המערכת צפויה להיות </w:t>
      </w:r>
      <w:r w:rsidRPr="00A85FAB" w:rsidR="00A85FAB">
        <w:rPr>
          <w:rtl/>
        </w:rPr>
        <w:t>מוטמעת</w:t>
      </w:r>
      <w:r w:rsidRPr="009376C0">
        <w:rPr>
          <w:rtl/>
        </w:rPr>
        <w:t xml:space="preserve"> לקראת הרבעון הרביעי בשנת 2024</w:t>
      </w:r>
      <w:r w:rsidRPr="00303B4E">
        <w:rPr>
          <w:rtl/>
        </w:rPr>
        <w:t>.</w:t>
      </w:r>
    </w:p>
    <w:p w:rsidR="00340CFC" w:rsidRPr="00303B4E" w:rsidP="00340CFC" w14:paraId="5392F672" w14:textId="2B7962D8">
      <w:pPr>
        <w:pStyle w:val="7317"/>
        <w:rPr>
          <w:rtl/>
        </w:rPr>
      </w:pPr>
      <w:r w:rsidRPr="00303B4E">
        <w:rPr>
          <w:rFonts w:hint="cs"/>
          <w:noProof/>
          <w:rtl/>
        </w:rPr>
        <w:drawing>
          <wp:anchor distT="0" distB="0" distL="71755" distR="0" simplePos="0" relativeHeight="251711488"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1566438812" name="תמונה 1566438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38812"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שמירת טביעות האצבע לצורך זיהוי קורבנות באירוע רב נפגעים</w:t>
      </w:r>
      <w:r w:rsidRPr="009376C0">
        <w:rPr>
          <w:rtl/>
        </w:rPr>
        <w:t xml:space="preserve"> - לצד הקביעה בחוק בשנת 2017 כי המאגר הביומטרי </w:t>
      </w:r>
      <w:r w:rsidRPr="009376C0" w:rsidR="002E4C92">
        <w:rPr>
          <w:rtl/>
        </w:rPr>
        <w:t xml:space="preserve">הלאומי </w:t>
      </w:r>
      <w:r w:rsidRPr="009376C0">
        <w:rPr>
          <w:rtl/>
        </w:rPr>
        <w:t>יבוסס על תמונות פנים וטביעות האצבע שבו יימחקו, החל מספטמבר 2020 ביקשו שרי הפנים לבחון אם יש צורך לשמור את טביעות האצבע שבמאגר כדי לאפשר לעשות בהן שימוש משני שנקבע בחוק - זיהוי קורבנות באירוע רב נפגעים. ואולם נכון לנובמבר 2022, כשנתיים לאחר שהועלה הצורך בבחינת עניין השימוש המשני בטביעות האצבע, משרד הפנים לא קיבל החלטה בנושא השימוש בטביעות האצבע, שנכון לדצמבר 2022 עדיין שמורות במאגר הביומטרי הלאומי</w:t>
      </w:r>
      <w:r w:rsidRPr="00303B4E">
        <w:rPr>
          <w:rtl/>
        </w:rPr>
        <w:t>.</w:t>
      </w:r>
    </w:p>
    <w:p w:rsidR="00340CFC" w:rsidRPr="00303B4E" w:rsidP="00340CFC" w14:paraId="20374523" w14:textId="63C83156">
      <w:pPr>
        <w:pStyle w:val="7317"/>
        <w:spacing w:after="240"/>
        <w:rPr>
          <w:rtl/>
        </w:rPr>
      </w:pPr>
      <w:r w:rsidRPr="00303B4E">
        <w:rPr>
          <w:rFonts w:hint="cs"/>
          <w:noProof/>
          <w:rtl/>
        </w:rPr>
        <w:drawing>
          <wp:anchor distT="0" distB="0" distL="71755" distR="0" simplePos="0" relativeHeight="251712512" behindDoc="1" locked="0" layoutInCell="1" allowOverlap="1">
            <wp:simplePos x="0" y="0"/>
            <wp:positionH relativeFrom="column">
              <wp:posOffset>4526915</wp:posOffset>
            </wp:positionH>
            <wp:positionV relativeFrom="paragraph">
              <wp:posOffset>30317</wp:posOffset>
            </wp:positionV>
            <wp:extent cx="162000" cy="162000"/>
            <wp:effectExtent l="0" t="0" r="3175" b="3175"/>
            <wp:wrapTight wrapText="bothSides">
              <wp:wrapPolygon>
                <wp:start x="0" y="0"/>
                <wp:lineTo x="0" y="15247"/>
                <wp:lineTo x="5082" y="20329"/>
                <wp:lineTo x="15247" y="20329"/>
                <wp:lineTo x="20329" y="15247"/>
                <wp:lineTo x="20329" y="0"/>
                <wp:lineTo x="0" y="0"/>
              </wp:wrapPolygon>
            </wp:wrapTight>
            <wp:docPr id="240808862" name="תמונה 240808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808862" name="Picture 46"/>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9376C0">
        <w:rPr>
          <w:b/>
          <w:bCs/>
          <w:rtl/>
        </w:rPr>
        <w:t>עדכון תורת ההפעלה</w:t>
      </w:r>
      <w:r w:rsidRPr="009376C0">
        <w:rPr>
          <w:rtl/>
        </w:rPr>
        <w:t xml:space="preserve"> - בשנת 2008 גובשה תורת ההפעלה לפרויקט התיעוד הלאומי הביומטרי, בהנחה שהיא תהיה תקפה במשך כעשור. במועד סיום הביקורת, כ-15 שנה לאחר מכן, נמצא כי משרד הפנים לא עדכן אותה. זאת על אף שינויים מרחיקי לכת שחלו בהיבטים יסודיים המשפיעים על הפרויקט, ובכלל זה: הפצה נרחבת של תמונות פנים ברשתות החברתיות; שיפור ניכר ביכולות הטכנולוגיה לזיהוי פנים, לרבות שימוש באלגוריתמים המבוססים על בינה מלאכותית; הרחבת השירותים המקוונים הדורשים הזדהות בטוחה מרחוק; התרת מעבר באמצעות דרכונים ביומטריים בעמדות אוטומטיות במעברי גבול; קיומם של חסמים משמעותיים לשימוש בתעודת הזהות החכמה; תיקון החוק </w:t>
      </w:r>
      <w:r w:rsidRPr="009376C0">
        <w:rPr>
          <w:rtl/>
        </w:rPr>
        <w:t xml:space="preserve">באופן שנקבע בו כי המאגר הביומטרי הלאומי יכלול תמונות פנים בלבד; וקיום מאגרים </w:t>
      </w:r>
      <w:r w:rsidRPr="00B4206F">
        <w:rPr>
          <w:rStyle w:val="7371"/>
          <w:rFonts w:hint="cs"/>
          <w:noProof/>
          <w:rtl/>
        </w:rPr>
        <w:drawing>
          <wp:anchor distT="0" distB="0" distL="114300" distR="114300" simplePos="0" relativeHeight="251713536" behindDoc="0" locked="0" layoutInCell="1" allowOverlap="1">
            <wp:simplePos x="0" y="0"/>
            <wp:positionH relativeFrom="column">
              <wp:posOffset>2534920</wp:posOffset>
            </wp:positionH>
            <wp:positionV relativeFrom="paragraph">
              <wp:posOffset>508000</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Pr="009376C0">
        <w:rPr>
          <w:rtl/>
        </w:rPr>
        <w:t>ביומטריים של תמונות פנים בידי רשות האוכלוסין</w:t>
      </w:r>
      <w:r w:rsidRPr="00303B4E">
        <w:rPr>
          <w:rtl/>
        </w:rPr>
        <w:t>.</w:t>
      </w:r>
    </w:p>
    <w:p w:rsidR="00420374" w:rsidP="00340CFC" w14:paraId="4A9F3764" w14:textId="59ABD823">
      <w:pPr>
        <w:pStyle w:val="7317"/>
        <w:spacing w:before="360"/>
        <w:rPr>
          <w:rtl/>
        </w:rPr>
      </w:pPr>
      <w:r w:rsidRPr="009376C0">
        <w:rPr>
          <w:b/>
          <w:bCs/>
          <w:rtl/>
        </w:rPr>
        <w:t>פעולות למינוף השימוש בתעודת הזהות החכמה</w:t>
      </w:r>
      <w:r w:rsidRPr="009376C0">
        <w:rPr>
          <w:rtl/>
        </w:rPr>
        <w:t xml:space="preserve"> - על מנת לנסות למנף את השימוש בתעודת הזהות החכמה ולהסיר את החסמים המקשים את השימוש בה, הוחלט ברשות האוכלוסין על מעבר לתעודת זהות דור ב' (שהשבב שבהן ניתן לגישה באמצעות התקן </w:t>
      </w:r>
      <w:r w:rsidRPr="009376C0">
        <w:t>NFC</w:t>
      </w:r>
      <w:r>
        <w:rPr>
          <w:vertAlign w:val="superscript"/>
          <w:rtl/>
        </w:rPr>
        <w:footnoteReference w:id="5"/>
      </w:r>
      <w:r w:rsidRPr="009376C0">
        <w:rPr>
          <w:rtl/>
        </w:rPr>
        <w:t xml:space="preserve"> ועל כן לא נדרש קורא כרטיסים לצורך שימוש בהן). כמו כן, פיתחה יחידת הממונה על היישומים הביומטריים, בשיתוף עם רשות האוכלוסין, אב טיפוס המכונה "שומר זה"ב", המאפשר אימות של זהות התושב באמצעות תעודת הזהות החכמה</w:t>
      </w:r>
      <w:r>
        <w:rPr>
          <w:vertAlign w:val="superscript"/>
          <w:rtl/>
        </w:rPr>
        <w:footnoteReference w:id="6"/>
      </w:r>
      <w:r w:rsidRPr="009376C0">
        <w:rPr>
          <w:rtl/>
        </w:rPr>
        <w:t>. הפיתוח נועד לאפשר לגורמים המוסמכים על פי החוק לבצע אימות זהות ביומטרי של אדם מול תעודתו באופן לא מקוון (כגון בעמדות לשירות עצמי - "קיוסקים")</w:t>
      </w:r>
      <w:r w:rsidRPr="00411396">
        <w:rPr>
          <w:rFonts w:hint="cs"/>
          <w:rtl/>
        </w:rPr>
        <w:t>.</w:t>
      </w:r>
    </w:p>
    <w:p w:rsidR="00AD1000" w:rsidRPr="00411396" w:rsidP="00340CFC" w14:paraId="1E8FF4A6" w14:textId="7A172DFF">
      <w:pPr>
        <w:pStyle w:val="7392"/>
        <w:ind w:left="397"/>
        <w:rPr>
          <w:rtl/>
        </w:rPr>
      </w:pPr>
      <w:r w:rsidRPr="009376C0">
        <w:rPr>
          <w:b/>
          <w:bCs/>
          <w:rtl/>
        </w:rPr>
        <w:t>פיקוח על יישום הוראות חוק הכללת אמצעי זיהוי ביומטריים</w:t>
      </w:r>
      <w:r w:rsidRPr="009376C0">
        <w:rPr>
          <w:rtl/>
        </w:rPr>
        <w:t xml:space="preserve"> - הממונה על היישומים הביומטריים נקבע בחוק כגורם פיקוח על יישום הוראותיו. הפיקוח שערך הממונה על היישומים הביומטריים העלה פערים בכמה נושאים ופערים אלה שוקפו לציבור בדוחות עיתיים שאותם פרסם הממונה, והדבר הביא לקידום פרויקט חשוב זה</w:t>
      </w:r>
      <w:r>
        <w:rPr>
          <w:rFonts w:hint="cs"/>
          <w:rtl/>
        </w:rPr>
        <w:t>.</w:t>
      </w:r>
    </w:p>
    <w:p w:rsidR="002753C7" w:rsidRPr="00662020" w:rsidP="002753C7" w14:paraId="7C748CCB" w14:textId="7A75E04D">
      <w:pPr>
        <w:pStyle w:val="7327"/>
        <w:spacing w:before="480"/>
        <w:rPr>
          <w:rtl/>
        </w:rPr>
      </w:pPr>
      <w:r w:rsidRPr="00662020">
        <w:rPr>
          <w:rFonts w:hint="cs"/>
          <w:rtl/>
        </w:rPr>
        <w:t>עיקרי המלצות הביקורת</w:t>
      </w:r>
    </w:p>
    <w:p w:rsidR="0093709F" w:rsidRPr="007C7D40" w:rsidP="007C7D40" w14:paraId="0466320B" w14:textId="40D7FD18">
      <w:pPr>
        <w:pStyle w:val="7317"/>
      </w:pPr>
      <w:r w:rsidRPr="007C7D40">
        <w:rPr>
          <w:rFonts w:hint="cs"/>
          <w:noProof/>
          <w:rtl/>
        </w:rPr>
        <w:drawing>
          <wp:anchor distT="0" distB="1440180" distL="107950" distR="114300" simplePos="0" relativeHeight="251692032"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sidR="00B024D2">
        <w:rPr>
          <w:rtl/>
        </w:rPr>
        <w:t xml:space="preserve">מומלץ כי רשות האוכלוסין תנקוט פעולות לעידוד הציבור להחליף את מסמכי הזיהוי מהסוג הישן שברשותו גם לפני פקיעת תוקפם, וכי היא תסביר לציבור את הסיכון הטמון בהמשך </w:t>
      </w:r>
      <w:r w:rsidR="0090698F">
        <w:rPr>
          <w:rFonts w:hint="cs"/>
          <w:rtl/>
        </w:rPr>
        <w:t>ה</w:t>
      </w:r>
      <w:r w:rsidRPr="009376C0" w:rsidR="00B024D2">
        <w:rPr>
          <w:rtl/>
        </w:rPr>
        <w:t>שימוש בהם בהיותם קלים לזיוף</w:t>
      </w:r>
      <w:r w:rsidRPr="007C7D40" w:rsidR="005D0F8C">
        <w:rPr>
          <w:rFonts w:hint="cs"/>
          <w:rtl/>
        </w:rPr>
        <w:t xml:space="preserve">. </w:t>
      </w:r>
    </w:p>
    <w:p w:rsidR="005D0F8C" w:rsidRPr="007C7D40" w:rsidP="007C7D40" w14:paraId="6C626C68" w14:textId="2627EB23">
      <w:pPr>
        <w:pStyle w:val="7317"/>
      </w:pPr>
      <w:r w:rsidRPr="007C7D40">
        <w:rPr>
          <w:rFonts w:hint="cs"/>
          <w:noProof/>
          <w:rtl/>
        </w:rPr>
        <w:drawing>
          <wp:anchor distT="0" distB="1440180" distL="107950" distR="114300" simplePos="0" relativeHeight="251693056"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B024D2">
        <w:rPr>
          <w:rtl/>
        </w:rPr>
        <w:t xml:space="preserve">על רשות האוכלוסין, בשיתוף מערך </w:t>
      </w:r>
      <w:r w:rsidRPr="009376C0" w:rsidR="00B024D2">
        <w:rPr>
          <w:rtl/>
        </w:rPr>
        <w:t>הדיגיטל</w:t>
      </w:r>
      <w:r w:rsidRPr="009376C0" w:rsidR="00B024D2">
        <w:rPr>
          <w:rtl/>
        </w:rPr>
        <w:t xml:space="preserve"> הלאומי, משרד המשפטים והממונה על היישומים הביומטריים במערך הסייבר הלאומי, לפעול בדחיפות להסרת החסמים המשפטיים והטכנולוגיים המקשים את השימוש בתעודת הזהות החכמה, ובראשם בקרת הגישה המחמירה. הסרת החסמים והגדלת מספר הגורמים המוסמכים לבצע אימות זהות ביומטרי למול תעודת הזהות החכמה, עשויות לטייב במידה ניכרת את תהליכי ההזדהות ולאפשר לממש את הפוטנציאל הגלום בה</w:t>
      </w:r>
      <w:r w:rsidRPr="007C7D40">
        <w:rPr>
          <w:rtl/>
        </w:rPr>
        <w:t xml:space="preserve">. </w:t>
      </w:r>
    </w:p>
    <w:p w:rsidR="005D0F8C" w:rsidRPr="007C7D40" w:rsidP="007C7D40" w14:paraId="16E5BFEE" w14:textId="061164C6">
      <w:pPr>
        <w:pStyle w:val="7317"/>
        <w:rPr>
          <w:rtl/>
        </w:rPr>
      </w:pPr>
      <w:r w:rsidRPr="007C7D40">
        <w:rPr>
          <w:rFonts w:hint="cs"/>
          <w:noProof/>
          <w:rtl/>
        </w:rPr>
        <w:drawing>
          <wp:anchor distT="0" distB="1440180" distL="107950" distR="114300" simplePos="0" relativeHeight="25169408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B024D2">
        <w:rPr>
          <w:rtl/>
        </w:rPr>
        <w:t>על רשות האוכלוסין לפעול בהתאם לנוהל שקבעה</w:t>
      </w:r>
      <w:r w:rsidRPr="009376C0" w:rsidR="00B024D2">
        <w:rPr>
          <w:rFonts w:hint="cs"/>
          <w:rtl/>
        </w:rPr>
        <w:t>, שמטרתו לתת מענה לחולשה בביקורת הגבולות המוצגת בדוח ביחס למעבר באמצעות דרכונים ישראלים.</w:t>
      </w:r>
      <w:r w:rsidRPr="009376C0" w:rsidR="00B024D2">
        <w:rPr>
          <w:rtl/>
        </w:rPr>
        <w:t xml:space="preserve"> </w:t>
      </w:r>
      <w:r w:rsidRPr="009376C0" w:rsidR="00B024D2">
        <w:rPr>
          <w:rFonts w:hint="cs"/>
          <w:rtl/>
        </w:rPr>
        <w:t xml:space="preserve">עם זאת, </w:t>
      </w:r>
      <w:r w:rsidRPr="009376C0" w:rsidR="00B024D2">
        <w:rPr>
          <w:rtl/>
        </w:rPr>
        <w:t xml:space="preserve">לנוכח התרעת </w:t>
      </w:r>
      <w:r w:rsidRPr="009376C0" w:rsidR="00B024D2">
        <w:rPr>
          <w:rFonts w:hint="cs"/>
          <w:rtl/>
        </w:rPr>
        <w:t>חלק מ</w:t>
      </w:r>
      <w:r w:rsidRPr="009376C0" w:rsidR="00B024D2">
        <w:rPr>
          <w:rtl/>
        </w:rPr>
        <w:t xml:space="preserve">גורמי המקצוע של הרשות כי גם </w:t>
      </w:r>
      <w:r w:rsidRPr="009376C0" w:rsidR="00B024D2">
        <w:rPr>
          <w:rFonts w:hint="cs"/>
          <w:rtl/>
        </w:rPr>
        <w:t>הפתרון שבנוהל אינו</w:t>
      </w:r>
      <w:r w:rsidRPr="009376C0" w:rsidR="00B024D2">
        <w:rPr>
          <w:rtl/>
        </w:rPr>
        <w:t xml:space="preserve"> נות</w:t>
      </w:r>
      <w:r w:rsidRPr="009376C0" w:rsidR="00B024D2">
        <w:rPr>
          <w:rFonts w:hint="cs"/>
          <w:rtl/>
        </w:rPr>
        <w:t>ן</w:t>
      </w:r>
      <w:r w:rsidRPr="009376C0" w:rsidR="00B024D2">
        <w:rPr>
          <w:rtl/>
        </w:rPr>
        <w:t xml:space="preserve"> מענה מספק לסיכון, על הרשות לחזור ולוודא ללא דיחוי שביקורת הגבולות בנתב"ג תהיה אפקטיבית ותהלום את הסיכונים הכרוכים </w:t>
      </w:r>
      <w:r w:rsidR="0035663B">
        <w:rPr>
          <w:rFonts w:hint="cs"/>
          <w:rtl/>
        </w:rPr>
        <w:t xml:space="preserve">במעבר </w:t>
      </w:r>
      <w:r w:rsidR="004F6026">
        <w:rPr>
          <w:rFonts w:hint="cs"/>
          <w:rtl/>
        </w:rPr>
        <w:t>במעברי הגבול</w:t>
      </w:r>
      <w:r w:rsidRPr="009376C0" w:rsidR="00B024D2">
        <w:rPr>
          <w:rtl/>
        </w:rPr>
        <w:t xml:space="preserve">. למול שיקולי העומס </w:t>
      </w:r>
      <w:r w:rsidRPr="009376C0" w:rsidR="00B024D2">
        <w:rPr>
          <w:rtl/>
        </w:rPr>
        <w:t>והתורים, יש לתת את המשקל הראוי לשיקולי ביטחון הציבור והצורך במניעת כניסה ויציאה של גורמים בלתי מורשים</w:t>
      </w:r>
      <w:r w:rsidRPr="007C7D40">
        <w:rPr>
          <w:rFonts w:hint="cs"/>
          <w:rtl/>
        </w:rPr>
        <w:t>.</w:t>
      </w:r>
    </w:p>
    <w:p w:rsidR="00706096" w:rsidRPr="007C7D40" w:rsidP="007C7D40" w14:paraId="3F6A2BE4" w14:textId="3EC9628C">
      <w:pPr>
        <w:pStyle w:val="7317"/>
        <w:rPr>
          <w:rtl/>
        </w:rPr>
      </w:pPr>
      <w:r w:rsidRPr="007C7D40">
        <w:rPr>
          <w:rFonts w:hint="cs"/>
          <w:noProof/>
          <w:rtl/>
        </w:rPr>
        <w:drawing>
          <wp:anchor distT="0" distB="1440180" distL="107950" distR="114300" simplePos="0" relativeHeight="251695104"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B024D2">
        <w:rPr>
          <w:rtl/>
        </w:rPr>
        <w:t xml:space="preserve">על רשות האוכלוסין בשיתוף שב"כ לפעול ללא דיחוי לתיקון המצב </w:t>
      </w:r>
      <w:r w:rsidRPr="009376C0" w:rsidR="00B024D2">
        <w:rPr>
          <w:rFonts w:hint="cs"/>
          <w:rtl/>
        </w:rPr>
        <w:t>המתואר בדוח</w:t>
      </w:r>
      <w:r w:rsidRPr="009376C0" w:rsidR="00B024D2">
        <w:rPr>
          <w:rtl/>
        </w:rPr>
        <w:t xml:space="preserve">, המאפשר כניסת זרים בלתי מורשים לישראל בנתב"ג, ולהבטיח כי תהליך ביקורת הגבולות ישיג את מטרותיו. מומלץ שהרשות תגבש הליך מעודכן של ביקורת הגבולות בנתב"ג בכל הנוגע לזרים העוברים בו, תעגן את ההליך שייקבע בנהליה ותוודא שכלל הגורמים יפעלו בהתאם לכך. </w:t>
      </w:r>
      <w:r w:rsidRPr="009376C0" w:rsidR="00B024D2">
        <w:rPr>
          <w:rFonts w:hint="cs"/>
          <w:rtl/>
        </w:rPr>
        <w:t xml:space="preserve">כמו כן </w:t>
      </w:r>
      <w:r w:rsidRPr="009376C0" w:rsidR="00B024D2">
        <w:rPr>
          <w:rtl/>
        </w:rPr>
        <w:t xml:space="preserve">מומלץ כי רשות האוכלוסין תבקר את פעילות </w:t>
      </w:r>
      <w:r w:rsidRPr="009376C0" w:rsidR="00B024D2">
        <w:rPr>
          <w:rtl/>
        </w:rPr>
        <w:t>מינהל</w:t>
      </w:r>
      <w:r w:rsidRPr="009376C0" w:rsidR="00B024D2">
        <w:rPr>
          <w:rtl/>
        </w:rPr>
        <w:t xml:space="preserve"> ביקורת גבולות, כדי לוודא שהוא פועל בהתאם לכללים שקבעה</w:t>
      </w:r>
      <w:r w:rsidRPr="007C7D40">
        <w:rPr>
          <w:rFonts w:hint="cs"/>
          <w:rtl/>
        </w:rPr>
        <w:t>.</w:t>
      </w:r>
    </w:p>
    <w:p w:rsidR="00706096" w:rsidRPr="007C7D40" w:rsidP="007C7D40" w14:paraId="36B4D251" w14:textId="37234F97">
      <w:pPr>
        <w:pStyle w:val="7317"/>
      </w:pPr>
      <w:r w:rsidRPr="007C7D40">
        <w:rPr>
          <w:rFonts w:hint="cs"/>
          <w:noProof/>
          <w:rtl/>
        </w:rPr>
        <w:drawing>
          <wp:anchor distT="0" distB="1440180" distL="107950" distR="114300" simplePos="0" relativeHeight="251696128"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sidR="00B024D2">
        <w:rPr>
          <w:rtl/>
        </w:rPr>
        <w:t>נוכח תפקידו של שב"כ בכל הנוגע להגנה מפני איומי טרור, ונוכח הסיכון הנשקף מפני כניסה לארץ של גורמי טרור זרים במעברי הגבול, ולנוכח ממצאי הביקורת בדבר חולשות בביקורת הגבולות בנתב"ג, מומלץ כי לאחר ביצוע ניתוח סיכונים עדכני, שב"כ יבחן, בהתייעצות עם רשות האוכלוסין, אם יש מקום לבצע תיקון חקיקה כדי שביקורת הגבולות תיכלל בתוספת הראשונה לחוק הסדרת הביטחון בגופים ציבוריים, התשנ"ח-1998, ותונחה בידי שב"כ</w:t>
      </w:r>
      <w:r>
        <w:rPr>
          <w:vertAlign w:val="superscript"/>
          <w:rtl/>
        </w:rPr>
        <w:footnoteReference w:id="7"/>
      </w:r>
      <w:r w:rsidRPr="009376C0" w:rsidR="00B024D2">
        <w:rPr>
          <w:rtl/>
        </w:rPr>
        <w:t>. זאת תוך מתן הדעת על מכלול הסיכונים הביטחוניים במישור הלאומי</w:t>
      </w:r>
      <w:r w:rsidRPr="007C7D40">
        <w:rPr>
          <w:rFonts w:hint="cs"/>
          <w:rtl/>
        </w:rPr>
        <w:t>.</w:t>
      </w:r>
    </w:p>
    <w:p w:rsidR="00706096" w:rsidP="007C7D40" w14:paraId="30F30DD7" w14:textId="496107B8">
      <w:pPr>
        <w:pStyle w:val="7317"/>
        <w:rPr>
          <w:rtl/>
        </w:rPr>
      </w:pPr>
      <w:r w:rsidRPr="007C7D40">
        <w:rPr>
          <w:rFonts w:hint="cs"/>
          <w:noProof/>
          <w:rtl/>
        </w:rPr>
        <w:drawing>
          <wp:anchor distT="0" distB="1440180" distL="107950" distR="114300" simplePos="0" relativeHeight="251697152"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9376C0" w:rsidR="00B024D2">
        <w:rPr>
          <w:rtl/>
        </w:rPr>
        <w:t>מומלץ שרשות האוכלוסין תגבש תוכנית עבודה מפורטת להתמודדות עם עומסים על לשכות הרשות, על בסיס נתונים בדבר הבקשות הצפויות (בהן 3.6 מיליון בקשות לתעודות זהות חכמות במקום תעודות שתוקפן צפוי לפוג בשנתיים הקרובות) לעומת יכולות הטיפול של הלשכות ותוודא שהפתרונות המתוכננים צפויים לתת מענה לבקשות מן הציבור, ברמת שירות מספקת. בכלל זה מומלץ כי רשות האוכלוסין תשלח למחזיקים במסמכי זיהוי שתוקפם צפוי לפוג הודעה על כך, על מנת שיוכלו לקבוע תור ללשכות מבעוד מועד; וכי היא תפעל לאחד את מועדי החידוש של שני מסמכי הזיהוי הביומטריים - תעודת זהות ודרכון. זאת על מנת להקל את העומסים העתידיים ולשפר את השירות לציבור באופן שיידרש להגיע פעם אחת בלבד לחידוש מסמכי הזיהוי</w:t>
      </w:r>
      <w:r w:rsidRPr="008E57FE">
        <w:rPr>
          <w:rFonts w:hint="cs"/>
          <w:rtl/>
        </w:rPr>
        <w:t>.</w:t>
      </w:r>
    </w:p>
    <w:p w:rsidR="00B024D2" w:rsidRPr="007C7D40" w:rsidP="00B024D2" w14:paraId="6F899915" w14:textId="5C94004D">
      <w:pPr>
        <w:pStyle w:val="7317"/>
      </w:pPr>
      <w:r w:rsidRPr="007C7D40">
        <w:rPr>
          <w:rFonts w:hint="cs"/>
          <w:noProof/>
          <w:rtl/>
        </w:rPr>
        <w:drawing>
          <wp:anchor distT="0" distB="1440180" distL="107950" distR="114300" simplePos="0" relativeHeight="25171456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208029" name="תמונה 20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9"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Pr>
          <w:rtl/>
        </w:rPr>
        <w:t xml:space="preserve">על מנת להבטיח את המענה לביקוש להנפקת דרכונים ביומטריים </w:t>
      </w:r>
      <w:r w:rsidRPr="009376C0">
        <w:rPr>
          <w:rtl/>
        </w:rPr>
        <w:t>בעיתות</w:t>
      </w:r>
      <w:r w:rsidRPr="009376C0">
        <w:rPr>
          <w:rtl/>
        </w:rPr>
        <w:t xml:space="preserve"> עומס ולשפר את השירות לציבור, מומלץ שרשות האוכלוסין תפעל להשלמת רכישת המדפסות המתקדמות למפעל הנפקת הדרכונים הביומטריים ולהטמעת השימוש בהן. כמו כן, מומלץ כי רשות האוכלוסין תפעל להצבת מדפסות גם באתר הגיבוי, כדי להבטיח רציפות תפקודית אם יושבת מפעל ההנפקה</w:t>
      </w:r>
      <w:r w:rsidRPr="007C7D40">
        <w:rPr>
          <w:rFonts w:hint="cs"/>
          <w:rtl/>
        </w:rPr>
        <w:t>.</w:t>
      </w:r>
    </w:p>
    <w:p w:rsidR="00B024D2" w:rsidRPr="007C7D40" w:rsidP="00B024D2" w14:paraId="2D75FE28" w14:textId="23E7CCA9">
      <w:pPr>
        <w:pStyle w:val="7317"/>
      </w:pPr>
      <w:r w:rsidRPr="007C7D40">
        <w:rPr>
          <w:rFonts w:hint="cs"/>
          <w:noProof/>
          <w:rtl/>
        </w:rPr>
        <w:drawing>
          <wp:anchor distT="0" distB="1440180" distL="107950" distR="114300" simplePos="0" relativeHeight="25171558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929917116" name="תמונה 192991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17116"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Pr>
          <w:rtl/>
        </w:rPr>
        <w:t>על רשות האוכלוסין, בסיוע משרד המשפטים, להסדיר את החזקת מאגרי תמונות הפנים הביומטריות שברשותו בהיבט המשפטי, או לחלופין עליה למחוק את המאגרים, תוך התמודדות עם הצורך שהעלתה הרשות לזהות את מבקשי השירות, למשל באמצעות קידום המתווה שיאפשר הסתמכות על המידע השמור במאגר הביומטרי הלאומי. זאת בכפוף לשמירה על היבטי הגנת הפרטיות ואבטחת מידע. כמו כן, על רשות האוכלוסין לפעול להגנה על המאגרים האמורים שברשותה, בהתאם למידת רגישותם</w:t>
      </w:r>
      <w:r w:rsidRPr="007C7D40">
        <w:rPr>
          <w:rFonts w:hint="cs"/>
          <w:rtl/>
        </w:rPr>
        <w:t>.</w:t>
      </w:r>
    </w:p>
    <w:p w:rsidR="00B024D2" w:rsidRPr="007C7D40" w:rsidP="00B024D2" w14:paraId="7612FF4E" w14:textId="694CE350">
      <w:pPr>
        <w:pStyle w:val="7317"/>
      </w:pPr>
      <w:r w:rsidRPr="007C7D40">
        <w:rPr>
          <w:rFonts w:hint="cs"/>
          <w:noProof/>
          <w:rtl/>
        </w:rPr>
        <w:drawing>
          <wp:anchor distT="0" distB="1440180" distL="107950" distR="114300" simplePos="0" relativeHeight="251716608"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170676909" name="תמונה 117067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76909"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Pr>
          <w:rtl/>
        </w:rPr>
        <w:t xml:space="preserve">כיוון שבחוק נקבע כי המאגר הביומטרי הלאומי יתבסס על תמונות פנים בלבד, טביעות האצבע שבמאגר הן בגדר "מידע עודף". בבואו של משרד הפנים לגבש החלטה בדבר </w:t>
      </w:r>
      <w:r w:rsidRPr="009376C0">
        <w:rPr>
          <w:rtl/>
        </w:rPr>
        <w:t>הצורך בהמשך שמירת טביעות האצבע שבמאגר הביומטרי לצורך זיהוי קורבנות באירוע רב נפגעים, נדרש שייוועץ עם כלל הגורמים הרלוונטיים לעניין המאגר הביומטרי הלאומי וייתן את הדעת על ההיבטים האלה: האם ניתן להותיר את טביעות האצבע שבמאגר לצורך שימוש משני בלבד משעה שנקבע כי אין צורך בטביעות האצבע לשם השגת התכלית המרכזית של החוק - מניעת התחזות והרכשה כפולה; מהו הערך המוסף של השימוש בטביעות האצבע שבמאגר על פני השימוש בתמונות הפנים הקיימות בו; ובפרט בהתחשב בכך כי מדובר בשתי טביעות אצבע בלבד, וכי הן ניטלות במנח מסוים, שעלול להשפיע על היכולת להשתמש בהן (מנח ישר ולא מגולגל); מאז תיקון הוראות החוק (ביולי 2022) פחות מאחוז מהמבקשים להנפיק מסמכי זיהוי ביומטריים ביקשו שטביעות האצבע שלהם יישמרו במאגר (בחודשים אוגוסט-אוקטובר 2022 הועברו לשמירה במאגר טביעות האצבע של 197 תושבים מתוך כ-276,000 תושבים); והאם נאספות טביעות אצבע לצורך זה במקומות נוספים בעולם. זאת ועוד, לנוכח הרגישות הציבורית הנוגעת לעצם קיומו של המאגר הביומטרי הלאומי, מומלץ כי החלטת משרד הפנים והשיקולים המשפטיים והמקצועיים שבבסיסה ישוקפו לציבור</w:t>
      </w:r>
      <w:r w:rsidRPr="007C7D40">
        <w:rPr>
          <w:rFonts w:hint="cs"/>
          <w:rtl/>
        </w:rPr>
        <w:t>.</w:t>
      </w:r>
    </w:p>
    <w:p w:rsidR="00B024D2" w:rsidRPr="007C7D40" w:rsidP="00B024D2" w14:paraId="2BFCA585" w14:textId="5A00D468">
      <w:pPr>
        <w:pStyle w:val="7317"/>
      </w:pPr>
      <w:r w:rsidRPr="007C7D40">
        <w:rPr>
          <w:rFonts w:hint="cs"/>
          <w:noProof/>
          <w:rtl/>
        </w:rPr>
        <w:drawing>
          <wp:anchor distT="0" distB="1440180" distL="107950" distR="114300" simplePos="0" relativeHeight="251717632"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566357056" name="תמונה 156635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57056"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Pr>
          <w:rtl/>
        </w:rPr>
        <w:t>מומלץ כי משרד הפנים, ובכלל זה רשות המאגר הביומטרי הלאומי, יפעלו לקידום הפעולות הנדרשות על מנת לוודא כי המעבר למערכת ההשוואה הביומטרית שתאפשר לבסס את המאגר על תמונות פנים בלבד יתבצע בהקדם האפשרי. עוד מומלץ כי במידת הצורך משרד הפנים והרשות ייזמו פנייה מבעוד מועד לוועדת הכנסת המשותפת</w:t>
      </w:r>
      <w:r>
        <w:rPr>
          <w:vertAlign w:val="superscript"/>
          <w:rtl/>
        </w:rPr>
        <w:footnoteReference w:id="8"/>
      </w:r>
      <w:r w:rsidRPr="009376C0">
        <w:rPr>
          <w:rtl/>
        </w:rPr>
        <w:t xml:space="preserve"> כדי לבקש ארכה נוספת להוראת השעה. הצורך בקידום הפעולות הנדרשות מתחדד לנוכח ניסיון העבר בנוגע למערכת ההשוואה הביומטרית הקיימת, שחלו עיכובים ניכרים הן בהליך </w:t>
      </w:r>
      <w:r w:rsidRPr="009376C0">
        <w:rPr>
          <w:rtl/>
        </w:rPr>
        <w:t>המכרזי</w:t>
      </w:r>
      <w:r w:rsidRPr="009376C0">
        <w:rPr>
          <w:rtl/>
        </w:rPr>
        <w:t xml:space="preserve"> לרכישתה והן בהטמעתה - חלפו ארבע שנים ממועד ההתקשרות ועד להפיכתה למבצעית</w:t>
      </w:r>
      <w:r w:rsidRPr="007C7D40">
        <w:rPr>
          <w:rFonts w:hint="cs"/>
          <w:rtl/>
        </w:rPr>
        <w:t>.</w:t>
      </w:r>
    </w:p>
    <w:p w:rsidR="00B024D2" w:rsidRPr="007C7D40" w:rsidP="00B024D2" w14:paraId="40379D91" w14:textId="5D2F3A19">
      <w:pPr>
        <w:pStyle w:val="7317"/>
      </w:pPr>
      <w:r w:rsidRPr="007C7D40">
        <w:rPr>
          <w:rFonts w:hint="cs"/>
          <w:noProof/>
          <w:rtl/>
        </w:rPr>
        <w:drawing>
          <wp:anchor distT="0" distB="1440180" distL="107950" distR="114300" simplePos="0" relativeHeight="251718656"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535235091" name="תמונה 53523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35091"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Pr>
          <w:rtl/>
        </w:rPr>
        <w:t>ככל שמשרד הפנים יחליט להרחיב את סמכויות רשות המאגר הביומטרי הלאומי, מומלץ כי הוא ישתף בהליכי גיבוש הצעת החלטת הממשלה ותיקוני החקיקה את הרשות להגנת הפרטיות, את מערך הסייבר הלאומי ואת הממונה על היישומים הביומטריים. זאת על מנת לוודא כי פעילות הרשות תתבצע בשים לב לצורך בשמירה על היבטי אבטחת המידע והגנת הפרטיות. כמו כן, מומלץ כי הרחבת סמכויות רשות המאגר הביומטרי הלאומי, ככל שיוחלט עליה, תיעשה בפיקוח של הממונה על היישומים הביומטריים, שמתפקידו לפקח על יישום הוראות החוק ועל הובלת המדיניות הלאומית בנושא יישומים ביומטריים והזדהות בטוחה</w:t>
      </w:r>
      <w:r w:rsidRPr="007C7D40">
        <w:rPr>
          <w:rFonts w:hint="cs"/>
          <w:rtl/>
        </w:rPr>
        <w:t>.</w:t>
      </w:r>
    </w:p>
    <w:p w:rsidR="00B024D2" w:rsidRPr="007C7D40" w:rsidP="00B024D2" w14:paraId="202589F7" w14:textId="4B696B35">
      <w:pPr>
        <w:pStyle w:val="7317"/>
      </w:pPr>
      <w:r w:rsidRPr="007C7D40">
        <w:rPr>
          <w:rFonts w:hint="cs"/>
          <w:noProof/>
          <w:rtl/>
        </w:rPr>
        <w:drawing>
          <wp:anchor distT="0" distB="1440180" distL="107950" distR="114300" simplePos="0" relativeHeight="251719680"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wp:start x="3823" y="0"/>
                <wp:lineTo x="0" y="1694"/>
                <wp:lineTo x="0" y="13553"/>
                <wp:lineTo x="1912" y="20329"/>
                <wp:lineTo x="15292" y="20329"/>
                <wp:lineTo x="19115" y="16941"/>
                <wp:lineTo x="19115" y="1694"/>
                <wp:lineTo x="15292" y="0"/>
                <wp:lineTo x="3823" y="0"/>
              </wp:wrapPolygon>
            </wp:wrapTight>
            <wp:docPr id="1273439061" name="תמונה 127343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39061" name="Picture 59"/>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Pr="009376C0">
        <w:rPr>
          <w:rtl/>
        </w:rPr>
        <w:t xml:space="preserve">פרויקט התיעוד הלאומי הביומטרי נוגע לגופים שונים, בהם רשות האוכלוסין (לרבות לשכות רשות האוכלוסין </w:t>
      </w:r>
      <w:r w:rsidRPr="009376C0">
        <w:rPr>
          <w:rtl/>
        </w:rPr>
        <w:t>ומינהל</w:t>
      </w:r>
      <w:r w:rsidRPr="009376C0">
        <w:rPr>
          <w:rtl/>
        </w:rPr>
        <w:t xml:space="preserve"> ביקורת הגבולות), רשות המאגר הביומטרי הלאומי ומפעלי הנפקת מסמכי הזיהוי הביומטריים. מומלץ כי משרד הפנים יפעל לכתיבת תורת הפעלה מעודכנת שתעסוק בכלל ההיבטים הנוגעים לתיעוד הלאומי הביומטרי מקצה לקצה ותוך שיתוף כלל הגורמים המעורבים בתהליך, וכן בסיכונים ובחולשות שהועלו בדוח ביקורת זה</w:t>
      </w:r>
      <w:r w:rsidRPr="007C7D40">
        <w:rPr>
          <w:rFonts w:hint="cs"/>
          <w:rtl/>
        </w:rPr>
        <w:t>.</w:t>
      </w:r>
    </w:p>
    <w:p w:rsidR="00B024D2" w:rsidRPr="00B024D2" w:rsidP="007C7D40" w14:paraId="24D3E1C9" w14:textId="77777777">
      <w:pPr>
        <w:pStyle w:val="7317"/>
        <w:rPr>
          <w:rtl/>
        </w:rPr>
      </w:pPr>
    </w:p>
    <w:p w:rsidR="005D0F8C" w:rsidP="004E71DD" w14:paraId="6DC28C4F" w14:textId="18D27432">
      <w:pPr>
        <w:tabs>
          <w:tab w:val="right" w:pos="7370"/>
        </w:tabs>
        <w:bidi w:val="0"/>
        <w:spacing w:after="200" w:line="276" w:lineRule="auto"/>
        <w:rPr>
          <w:rtl/>
        </w:rPr>
      </w:pPr>
      <w:r w:rsidRPr="00D527BD">
        <w:rPr>
          <w:noProof/>
          <w:szCs w:val="20"/>
          <w:rtl/>
        </w:rPr>
        <w:drawing>
          <wp:anchor distT="0" distB="0" distL="114300" distR="114300" simplePos="0" relativeHeight="251678720" behindDoc="0" locked="0" layoutInCell="1" allowOverlap="1">
            <wp:simplePos x="0" y="0"/>
            <wp:positionH relativeFrom="column">
              <wp:posOffset>-106680</wp:posOffset>
            </wp:positionH>
            <wp:positionV relativeFrom="paragraph">
              <wp:posOffset>-53975</wp:posOffset>
            </wp:positionV>
            <wp:extent cx="4731385" cy="632460"/>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21"/>
                    <pic:cNvPicPr>
                      <a:picLocks noChangeAspect="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31385" cy="632460"/>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1679744" behindDoc="0" locked="0" layoutInCell="1" allowOverlap="1">
                <wp:simplePos x="0" y="0"/>
                <wp:positionH relativeFrom="column">
                  <wp:posOffset>83820</wp:posOffset>
                </wp:positionH>
                <wp:positionV relativeFrom="paragraph">
                  <wp:posOffset>44451</wp:posOffset>
                </wp:positionV>
                <wp:extent cx="4436745" cy="297180"/>
                <wp:effectExtent l="0" t="0" r="0" b="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36745" cy="297180"/>
                        </a:xfrm>
                        <a:prstGeom prst="rect">
                          <a:avLst/>
                        </a:prstGeom>
                        <a:solidFill>
                          <a:srgbClr val="F05260"/>
                        </a:solidFill>
                        <a:ln w="9525">
                          <a:noFill/>
                          <a:miter lim="800000"/>
                          <a:headEnd/>
                          <a:tailEnd/>
                        </a:ln>
                      </wps:spPr>
                      <wps:txbx>
                        <w:txbxContent>
                          <w:p w:rsidR="005D0F8C" w:rsidRPr="005C7ABF" w:rsidP="00662020" w14:textId="4D5AE23A">
                            <w:pPr>
                              <w:spacing w:line="240" w:lineRule="auto"/>
                              <w:ind w:right="113"/>
                              <w:suppressOverlap/>
                              <w:jc w:val="left"/>
                              <w:rPr>
                                <w:rFonts w:ascii="Tahoma" w:hAnsi="Tahoma" w:cs="Tahoma"/>
                                <w:b/>
                                <w:bCs/>
                                <w:color w:val="FFFFFF" w:themeColor="background1"/>
                                <w:spacing w:val="-4"/>
                                <w:sz w:val="22"/>
                                <w:szCs w:val="22"/>
                                <w:rtl/>
                              </w:rPr>
                            </w:pPr>
                            <w:r w:rsidRPr="00B024D2">
                              <w:rPr>
                                <w:rFonts w:ascii="Tahoma" w:hAnsi="Tahoma" w:cs="Tahoma"/>
                                <w:b/>
                                <w:bCs/>
                                <w:color w:val="FFFFFF" w:themeColor="background1"/>
                                <w:spacing w:val="-4"/>
                                <w:sz w:val="22"/>
                                <w:szCs w:val="22"/>
                                <w:rtl/>
                              </w:rPr>
                              <w:t>השימוש ברובדי תעודת הזהות החכמה לצורך הזדהות</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5" type="#_x0000_t202" style="width:349.35pt;height:23.4pt;margin-top:3.5pt;margin-left:6.6pt;mso-height-percent:0;mso-height-relative:margin;mso-width-percent:0;mso-width-relative:margin;mso-wrap-distance-bottom:0;mso-wrap-distance-left:9pt;mso-wrap-distance-right:9pt;mso-wrap-distance-top:0;mso-wrap-style:square;position:absolute;visibility:visible;v-text-anchor:middle;z-index:251680768" fillcolor="#f05260" stroked="f">
                <v:textbox>
                  <w:txbxContent>
                    <w:p w:rsidR="005D0F8C" w:rsidRPr="005C7ABF" w:rsidP="00662020" w14:paraId="1D5D7976" w14:textId="4D5AE23A">
                      <w:pPr>
                        <w:spacing w:line="240" w:lineRule="auto"/>
                        <w:ind w:right="113"/>
                        <w:suppressOverlap/>
                        <w:jc w:val="left"/>
                        <w:rPr>
                          <w:rFonts w:ascii="Tahoma" w:hAnsi="Tahoma" w:cs="Tahoma"/>
                          <w:b/>
                          <w:bCs/>
                          <w:color w:val="FFFFFF" w:themeColor="background1"/>
                          <w:spacing w:val="-4"/>
                          <w:sz w:val="22"/>
                          <w:szCs w:val="22"/>
                          <w:rtl/>
                        </w:rPr>
                      </w:pPr>
                      <w:r w:rsidRPr="00B024D2">
                        <w:rPr>
                          <w:rFonts w:ascii="Tahoma" w:hAnsi="Tahoma" w:cs="Tahoma"/>
                          <w:b/>
                          <w:bCs/>
                          <w:color w:val="FFFFFF" w:themeColor="background1"/>
                          <w:spacing w:val="-4"/>
                          <w:sz w:val="22"/>
                          <w:szCs w:val="22"/>
                          <w:rtl/>
                        </w:rPr>
                        <w:t>השימוש ברובדי תעודת הזהות החכמה לצורך הזדהות</w:t>
                      </w:r>
                    </w:p>
                  </w:txbxContent>
                </v:textbox>
              </v:shape>
            </w:pict>
          </mc:Fallback>
        </mc:AlternateContent>
      </w:r>
      <w:r>
        <w:rPr>
          <w:rtl/>
        </w:rPr>
        <w:t xml:space="preserve"> </w:t>
      </w:r>
    </w:p>
    <w:p w:rsidR="005D0F8C" w:rsidP="005D0F8C" w14:paraId="5B8DB107" w14:textId="703278B6">
      <w:pPr>
        <w:pStyle w:val="7317"/>
        <w:rPr>
          <w:rtl/>
        </w:rPr>
      </w:pPr>
      <w:r>
        <w:rPr>
          <w:noProof/>
          <w:sz w:val="19"/>
          <w:szCs w:val="19"/>
        </w:rPr>
        <w:drawing>
          <wp:anchor distT="0" distB="0" distL="114300" distR="114300" simplePos="0" relativeHeight="251681792" behindDoc="0" locked="0" layoutInCell="1" allowOverlap="1">
            <wp:simplePos x="0" y="0"/>
            <wp:positionH relativeFrom="column">
              <wp:posOffset>59055</wp:posOffset>
            </wp:positionH>
            <wp:positionV relativeFrom="paragraph">
              <wp:posOffset>384810</wp:posOffset>
            </wp:positionV>
            <wp:extent cx="4519930" cy="2674620"/>
            <wp:effectExtent l="0" t="0" r="1270" b="5080"/>
            <wp:wrapTopAndBottom/>
            <wp:docPr id="2052772050" name="תמונה 205277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50" name="תמונה 2052772050"/>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19930" cy="2674620"/>
                    </a:xfrm>
                    <a:prstGeom prst="rect">
                      <a:avLst/>
                    </a:prstGeom>
                    <a:noFill/>
                  </pic:spPr>
                </pic:pic>
              </a:graphicData>
            </a:graphic>
            <wp14:sizeRelH relativeFrom="page">
              <wp14:pctWidth>0</wp14:pctWidth>
            </wp14:sizeRelH>
            <wp14:sizeRelV relativeFrom="page">
              <wp14:pctHeight>0</wp14:pctHeight>
            </wp14:sizeRelV>
          </wp:anchor>
        </w:drawing>
      </w:r>
    </w:p>
    <w:p w:rsidR="00B024D2" w14:paraId="1F00A976" w14:textId="77777777">
      <w:pPr>
        <w:bidi w:val="0"/>
        <w:spacing w:after="200" w:line="276" w:lineRule="auto"/>
        <w:rPr>
          <w:rtl/>
        </w:rPr>
      </w:pPr>
    </w:p>
    <w:p w:rsidR="004E71DD" w:rsidP="00B024D2" w14:paraId="7757BE7E" w14:textId="504916E8">
      <w:pPr>
        <w:bidi w:val="0"/>
        <w:spacing w:after="200" w:line="276" w:lineRule="auto"/>
        <w:rPr>
          <w:rFonts w:ascii="Tahoma" w:hAnsi="Tahoma" w:cs="Tahoma"/>
          <w:color w:val="0D0D0D" w:themeColor="text1" w:themeTint="F2"/>
          <w:sz w:val="18"/>
          <w:szCs w:val="18"/>
          <w:rtl/>
        </w:rPr>
      </w:pPr>
      <w:r>
        <w:rPr>
          <w:rtl/>
        </w:rPr>
        <w:br w:type="page"/>
      </w:r>
    </w:p>
    <w:p w:rsidR="004E71DD" w:rsidP="004E71DD" w14:paraId="7C33D7DD" w14:textId="77777777">
      <w:pPr>
        <w:pStyle w:val="73"/>
        <w:rPr>
          <w:rtl/>
        </w:rPr>
      </w:pPr>
      <w:r w:rsidRPr="00EF3061">
        <w:rPr>
          <w:rFonts w:hint="cs"/>
          <w:rtl/>
        </w:rPr>
        <w:t>סיכום</w:t>
      </w:r>
    </w:p>
    <w:p w:rsidR="00B024D2" w:rsidRPr="00E005FD" w:rsidP="00B024D2" w14:paraId="5C182028" w14:textId="77777777">
      <w:pPr>
        <w:widowControl w:val="0"/>
        <w:tabs>
          <w:tab w:val="left" w:pos="9604"/>
        </w:tabs>
        <w:spacing w:before="240" w:line="276" w:lineRule="auto"/>
        <w:ind w:left="-1"/>
        <w:rPr>
          <w:rFonts w:ascii="Tahoma" w:hAnsi="Tahoma" w:cs="Tahoma"/>
          <w:sz w:val="18"/>
          <w:szCs w:val="18"/>
          <w:rtl/>
        </w:rPr>
      </w:pPr>
      <w:r w:rsidRPr="00E005FD">
        <w:rPr>
          <w:rFonts w:ascii="Tahoma" w:hAnsi="Tahoma" w:cs="Tahoma"/>
          <w:sz w:val="18"/>
          <w:szCs w:val="18"/>
          <w:rtl/>
        </w:rPr>
        <w:t>מסמכי זיהוי אמינים משמשים מפתח למגוון רחב של פעולות במגזר הממשלתי והעסקי. כעשור לפני מועד סיום הביקורת, בשנת 2013, החל בישראל מעבר למסמכי זיהוי ביומטריים, שיאפשרו הזדהות בטוחה, לרבות מרחוק. מסמכי הזיהוי הביומטריים אמורים להחליף את מסמכי הזיהוי מהסוג הישן, אשר נחשבים קלים לזיוף, ועלולים לשמש גורמי טרור או פשיעה וכן עלולים לשמש לצורכי הגירה בלתי חוקית. תקופת מגפת הקורונה, שבמהלכה חל גידול ניכר בשימוש בערוצים הדיגיטליים גם לצורך קבלת שירותים מזרועות הממשלה, חידדה את חשיבות ההזדהות הבטוחה במרחב המקוון.</w:t>
      </w:r>
    </w:p>
    <w:p w:rsidR="00B024D2" w:rsidRPr="00E005FD" w:rsidP="00B024D2" w14:paraId="24968064" w14:textId="71D2FFC2">
      <w:pPr>
        <w:widowControl w:val="0"/>
        <w:tabs>
          <w:tab w:val="left" w:pos="9604"/>
        </w:tabs>
        <w:spacing w:before="240" w:line="276" w:lineRule="auto"/>
        <w:ind w:left="-1"/>
        <w:rPr>
          <w:rFonts w:ascii="Tahoma" w:hAnsi="Tahoma" w:cs="Tahoma"/>
          <w:sz w:val="18"/>
          <w:szCs w:val="18"/>
          <w:rtl/>
        </w:rPr>
      </w:pPr>
      <w:r w:rsidRPr="00E005FD">
        <w:rPr>
          <w:rFonts w:ascii="Tahoma" w:hAnsi="Tahoma" w:cs="Tahoma"/>
          <w:sz w:val="18"/>
          <w:szCs w:val="18"/>
          <w:rtl/>
        </w:rPr>
        <w:t xml:space="preserve">ממצאיו של דוח זה מעלים ליקויים מהותיים בכמה תחומים עיקריים: עיכוב משמעותי במעבר לתיעוד לאומי ביומטרי והיעדר שימוש בו; קיומן של פרצות ממשיות בכניסה וביציאה של ישראלים וזרים דרך נתב"ג; </w:t>
      </w:r>
      <w:r w:rsidR="004F6026">
        <w:rPr>
          <w:rFonts w:ascii="Tahoma" w:hAnsi="Tahoma" w:cs="Tahoma" w:hint="cs"/>
          <w:sz w:val="18"/>
          <w:szCs w:val="18"/>
          <w:rtl/>
        </w:rPr>
        <w:t xml:space="preserve">פערים </w:t>
      </w:r>
      <w:r w:rsidRPr="00E005FD">
        <w:rPr>
          <w:rFonts w:ascii="Tahoma" w:hAnsi="Tahoma" w:cs="Tahoma"/>
          <w:sz w:val="18"/>
          <w:szCs w:val="18"/>
          <w:rtl/>
        </w:rPr>
        <w:t>בשמירה על נתונים ביומטריים; וקושי בהתמודדות עם הגידול בביקוש להנפקת מסמכי זיהוי ביומטריים.</w:t>
      </w:r>
    </w:p>
    <w:p w:rsidR="00B024D2" w:rsidRPr="00E005FD" w:rsidP="00B024D2" w14:paraId="3CC83859" w14:textId="77777777">
      <w:pPr>
        <w:widowControl w:val="0"/>
        <w:tabs>
          <w:tab w:val="left" w:pos="9604"/>
        </w:tabs>
        <w:spacing w:before="240" w:line="276" w:lineRule="auto"/>
        <w:ind w:left="-1"/>
        <w:rPr>
          <w:rFonts w:ascii="Tahoma" w:hAnsi="Tahoma" w:cs="Tahoma"/>
          <w:sz w:val="18"/>
          <w:szCs w:val="18"/>
          <w:rtl/>
        </w:rPr>
      </w:pPr>
      <w:r w:rsidRPr="00E005FD">
        <w:rPr>
          <w:rFonts w:ascii="Tahoma" w:hAnsi="Tahoma" w:cs="Tahoma"/>
          <w:sz w:val="18"/>
          <w:szCs w:val="18"/>
          <w:rtl/>
        </w:rPr>
        <w:t xml:space="preserve">רשות האוכלוסין ציינה בהתייחס לפרצות במעבר זרים וישראלים בנתב"ג כי אכן לא הייתה הקפדה מלאה בנתב"ג על עבודה על פי הנהלים והוחלט על מספר צעדים כדי להתמודד עם הנושא. </w:t>
      </w:r>
    </w:p>
    <w:p w:rsidR="00B024D2" w:rsidRPr="00E005FD" w:rsidP="00B024D2" w14:paraId="682674C3" w14:textId="77777777">
      <w:pPr>
        <w:widowControl w:val="0"/>
        <w:tabs>
          <w:tab w:val="left" w:pos="9604"/>
        </w:tabs>
        <w:spacing w:before="240" w:line="276" w:lineRule="auto"/>
        <w:ind w:left="-1"/>
        <w:rPr>
          <w:rFonts w:ascii="Tahoma" w:hAnsi="Tahoma" w:cs="Tahoma"/>
          <w:sz w:val="18"/>
          <w:szCs w:val="18"/>
          <w:rtl/>
        </w:rPr>
      </w:pPr>
      <w:r w:rsidRPr="00E005FD">
        <w:rPr>
          <w:rFonts w:ascii="Tahoma" w:hAnsi="Tahoma" w:cs="Tahoma"/>
          <w:sz w:val="18"/>
          <w:szCs w:val="18"/>
          <w:rtl/>
        </w:rPr>
        <w:t xml:space="preserve">נוכח חומרת ממצאי הביקורת, מומלץ כי רשות האוכלוסין תפעל לתיקון הליקויים שהועלו בדוח, וכי שר הפנים יוודא שנעשות פעולות לתיקון הליקויים בתחומים האמורים, ובכלל זאת יוודא כי ליקויים בתחום הביטחון וההגנה על המידע יתוקנו בתיאום עם הגורמים המקצועיים האמונים על כך: השב"כ, המשטרה ומערך הסייבר הלאומי. </w:t>
      </w:r>
    </w:p>
    <w:p w:rsidR="00B024D2" w:rsidRPr="00E005FD" w:rsidP="00B024D2" w14:paraId="265A5327" w14:textId="03243199">
      <w:pPr>
        <w:widowControl w:val="0"/>
        <w:tabs>
          <w:tab w:val="left" w:pos="9604"/>
        </w:tabs>
        <w:spacing w:before="240" w:line="276" w:lineRule="auto"/>
        <w:ind w:left="-1"/>
        <w:rPr>
          <w:rFonts w:ascii="Tahoma" w:hAnsi="Tahoma" w:cs="Tahoma"/>
          <w:sz w:val="18"/>
          <w:szCs w:val="18"/>
          <w:rtl/>
        </w:rPr>
      </w:pPr>
      <w:r w:rsidRPr="00E005FD">
        <w:rPr>
          <w:rFonts w:ascii="Tahoma" w:hAnsi="Tahoma" w:cs="Tahoma"/>
          <w:sz w:val="18"/>
          <w:szCs w:val="18"/>
          <w:rtl/>
        </w:rPr>
        <w:t xml:space="preserve">בשנים האחרונות חלו שינויים מרחיקי לכת בהיבטים הנוגעים לפרויקט הלאומי הביומטרי. בכלל זה חל שיפור ניכר ביכולות הטכנולוגיות בתחום </w:t>
      </w:r>
      <w:r w:rsidRPr="00E005FD">
        <w:rPr>
          <w:rFonts w:ascii="Tahoma" w:hAnsi="Tahoma" w:cs="Tahoma"/>
          <w:sz w:val="18"/>
          <w:szCs w:val="18"/>
          <w:rtl/>
        </w:rPr>
        <w:t>ה</w:t>
      </w:r>
      <w:r w:rsidR="008E00BC">
        <w:rPr>
          <w:rFonts w:ascii="Tahoma" w:hAnsi="Tahoma" w:cs="Tahoma"/>
          <w:sz w:val="18"/>
          <w:szCs w:val="18"/>
          <w:rtl/>
        </w:rPr>
        <w:t>ביומטרייה</w:t>
      </w:r>
      <w:r w:rsidRPr="00E005FD">
        <w:rPr>
          <w:rFonts w:ascii="Tahoma" w:hAnsi="Tahoma" w:cs="Tahoma"/>
          <w:sz w:val="18"/>
          <w:szCs w:val="18"/>
          <w:rtl/>
        </w:rPr>
        <w:t xml:space="preserve">; והיקף השימוש בשירותים מקוונים הדורשים הזדהות בטוחה גדל במידה רבה. השלמת המעבר לתיעוד לאומי ביומטרי, תוך הסרת החסמים המשפטיים והטכנולוגיים המקשים את השימוש בו, </w:t>
      </w:r>
      <w:r w:rsidR="0090698F">
        <w:rPr>
          <w:rFonts w:ascii="Tahoma" w:hAnsi="Tahoma" w:cs="Tahoma" w:hint="cs"/>
          <w:sz w:val="18"/>
          <w:szCs w:val="18"/>
          <w:rtl/>
        </w:rPr>
        <w:t>ו</w:t>
      </w:r>
      <w:r w:rsidRPr="00E005FD">
        <w:rPr>
          <w:rFonts w:ascii="Tahoma" w:hAnsi="Tahoma" w:cs="Tahoma"/>
          <w:sz w:val="18"/>
          <w:szCs w:val="18"/>
          <w:rtl/>
        </w:rPr>
        <w:t xml:space="preserve">תוך התאמת הפרויקט לשינויים שחלו בשנים האחרונות, עשויה למנף את השימוש במסמכי הזיהוי הביומטריים וצפויה להביא לתועלות ניכרות בהיבטי הביטחון, הכלכלה והשירות לציבור.  </w:t>
      </w:r>
    </w:p>
    <w:p w:rsidR="00E56721" w:rsidP="004E71DD" w14:paraId="07B9312D" w14:textId="77777777">
      <w:pPr>
        <w:widowControl w:val="0"/>
        <w:tabs>
          <w:tab w:val="left" w:pos="9604"/>
        </w:tabs>
        <w:spacing w:before="240" w:line="276" w:lineRule="auto"/>
        <w:ind w:left="-1"/>
        <w:rPr>
          <w:rFonts w:ascii="Tahoma" w:hAnsi="Tahoma" w:cs="Tahoma"/>
          <w:sz w:val="18"/>
          <w:szCs w:val="18"/>
          <w:rtl/>
        </w:rPr>
      </w:pPr>
    </w:p>
    <w:p w:rsidR="00B024D2" w:rsidP="004E71DD" w14:paraId="1B37DAFD" w14:textId="77777777">
      <w:pPr>
        <w:widowControl w:val="0"/>
        <w:tabs>
          <w:tab w:val="left" w:pos="9604"/>
        </w:tabs>
        <w:spacing w:before="240" w:line="276" w:lineRule="auto"/>
        <w:ind w:left="-1"/>
        <w:rPr>
          <w:rFonts w:ascii="Tahoma" w:hAnsi="Tahoma" w:cs="Tahoma"/>
          <w:sz w:val="18"/>
          <w:szCs w:val="18"/>
          <w:rtl/>
        </w:rPr>
        <w:sectPr w:rsidSect="009F4A31">
          <w:headerReference w:type="even" r:id="rId29"/>
          <w:footerReference w:type="even" r:id="rId30"/>
          <w:pgSz w:w="11906" w:h="16838" w:code="9"/>
          <w:pgMar w:top="3062" w:right="2268" w:bottom="2552" w:left="2268" w:header="1134" w:footer="1361" w:gutter="0"/>
          <w:pgNumType w:start="51"/>
          <w:cols w:space="708"/>
          <w:bidi/>
          <w:rtlGutter/>
          <w:docGrid w:linePitch="360"/>
        </w:sectPr>
      </w:pPr>
    </w:p>
    <w:p w:rsidR="005B2BF5" w:rsidRPr="00BE2032" w:rsidP="00BE2032" w14:paraId="25DABC77" w14:textId="1B655E8C">
      <w:pPr>
        <w:pStyle w:val="7392"/>
        <w:rPr>
          <w:rtl/>
        </w:rPr>
      </w:pPr>
      <w:r>
        <w:rPr>
          <w:noProof/>
          <w:rtl/>
          <w:lang w:val="he-IL"/>
        </w:rPr>
        <mc:AlternateContent>
          <mc:Choice Requires="wps">
            <w:drawing>
              <wp:anchor distT="0" distB="0" distL="114300" distR="114300" simplePos="0" relativeHeight="251720704" behindDoc="0" locked="0" layoutInCell="1" allowOverlap="1">
                <wp:simplePos x="0" y="0"/>
                <wp:positionH relativeFrom="column">
                  <wp:posOffset>4198619</wp:posOffset>
                </wp:positionH>
                <wp:positionV relativeFrom="paragraph">
                  <wp:posOffset>6932930</wp:posOffset>
                </wp:positionV>
                <wp:extent cx="1095375" cy="922020"/>
                <wp:effectExtent l="0" t="0" r="0" b="5080"/>
                <wp:wrapNone/>
                <wp:docPr id="146035790" name="מלבן 3"/>
                <wp:cNvGraphicFramePr/>
                <a:graphic xmlns:a="http://schemas.openxmlformats.org/drawingml/2006/main">
                  <a:graphicData uri="http://schemas.microsoft.com/office/word/2010/wordprocessingShape">
                    <wps:wsp xmlns:wps="http://schemas.microsoft.com/office/word/2010/wordprocessingShape">
                      <wps:cNvSpPr/>
                      <wps:spPr>
                        <a:xfrm>
                          <a:off x="0" y="0"/>
                          <a:ext cx="1095375" cy="9220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anchor>
            </w:drawing>
          </mc:Choice>
          <mc:Fallback>
            <w:pict>
              <v:rect id="מלבן 3" o:spid="_x0000_s1036" style="width:86.25pt;height:72.6pt;margin-top:545.9pt;margin-left:330.6pt;mso-width-percent:0;mso-width-relative:margin;mso-wrap-distance-bottom:0;mso-wrap-distance-left:9pt;mso-wrap-distance-right:9pt;mso-wrap-distance-top:0;mso-wrap-style:square;position:absolute;visibility:visible;v-text-anchor:middle;z-index:251721728" fillcolor="white" stroked="f" strokeweight="1.25pt"/>
            </w:pict>
          </mc:Fallback>
        </mc:AlternateContent>
      </w:r>
      <w:r>
        <w:rPr>
          <w:noProof/>
          <w:rtl/>
          <w:lang w:val="he-IL"/>
        </w:rPr>
        <mc:AlternateContent>
          <mc:Choice Requires="wps">
            <w:drawing>
              <wp:anchor distT="0" distB="0" distL="114300" distR="114300" simplePos="0" relativeHeight="251722752" behindDoc="0" locked="0" layoutInCell="1" allowOverlap="1">
                <wp:simplePos x="0" y="0"/>
                <wp:positionH relativeFrom="column">
                  <wp:posOffset>-1392555</wp:posOffset>
                </wp:positionH>
                <wp:positionV relativeFrom="paragraph">
                  <wp:posOffset>-914400</wp:posOffset>
                </wp:positionV>
                <wp:extent cx="6200775" cy="1228725"/>
                <wp:effectExtent l="0" t="0" r="0" b="3175"/>
                <wp:wrapNone/>
                <wp:docPr id="763255034"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200775" cy="1228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37" style="width:488.25pt;height:96.75pt;margin-top:-1in;margin-left:-109.65pt;mso-wrap-distance-bottom:0;mso-wrap-distance-left:9pt;mso-wrap-distance-right:9pt;mso-wrap-distance-top:0;mso-wrap-style:square;position:absolute;visibility:visible;v-text-anchor:middle;z-index:251723776" fillcolor="white" stroked="f" strokeweight="1.25pt"/>
            </w:pict>
          </mc:Fallback>
        </mc:AlternateContent>
      </w:r>
    </w:p>
    <w:sectPr w:rsidSect="00F35B8C">
      <w:headerReference w:type="default" r:id="rId31"/>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856E90" w14:paraId="06A023B6" w14:textId="77777777">
      <w:pPr>
        <w:spacing w:line="240" w:lineRule="auto"/>
      </w:pPr>
      <w:r>
        <w:separator/>
      </w:r>
    </w:p>
    <w:p w:rsidR="00856E90" w14:paraId="4886A581" w14:textId="77777777"/>
    <w:p w:rsidR="00856E90" w14:paraId="70881C07" w14:textId="77777777"/>
    <w:p w:rsidR="00856E90" w14:paraId="30A83467" w14:textId="77777777"/>
  </w:endnote>
  <w:endnote w:type="continuationSeparator" w:id="1">
    <w:p w:rsidR="00856E90" w14:paraId="515E000D" w14:textId="77777777">
      <w:pPr>
        <w:spacing w:line="240" w:lineRule="auto"/>
      </w:pPr>
      <w:r>
        <w:continuationSeparator/>
      </w:r>
    </w:p>
    <w:p w:rsidR="00856E90" w14:paraId="1E34CD77" w14:textId="77777777"/>
    <w:p w:rsidR="00856E90" w14:paraId="6ABB006E" w14:textId="77777777"/>
    <w:p w:rsidR="00856E90" w14:paraId="230C70A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698F" w14:paraId="5D6D2A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AC37C7" w14:paraId="0C89F632" w14:textId="07717369">
    <w:pPr>
      <w:pStyle w:val="Footer"/>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P="00AC37C7" w14:paraId="26654934" w14:textId="77777777">
    <w:pPr>
      <w:pStyle w:val="Footer"/>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698F" w14:paraId="00A4F64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64C3D7BF" w14:textId="77777777">
    <w:pPr>
      <w:pStyle w:val="Footer"/>
      <w:spacing w:after="120" w:line="312" w:lineRule="auto"/>
      <w:ind w:left="-510"/>
      <w:jc w:val="left"/>
      <w:rPr>
        <w:rFonts w:ascii="Tahoma" w:hAnsi="Tahoma" w:cs="Tahoma"/>
        <w:sz w:val="18"/>
        <w:szCs w:val="18"/>
        <w:rtl/>
      </w:rPr>
    </w:pPr>
  </w:p>
  <w:p w:rsidR="004E71DD" w:rsidP="004E71DD" w14:paraId="4838AE27" w14:textId="77777777">
    <w:pPr>
      <w:pStyle w:val="Footer"/>
      <w:tabs>
        <w:tab w:val="left" w:pos="488"/>
        <w:tab w:val="left" w:pos="522"/>
        <w:tab w:val="clear" w:pos="4153"/>
        <w:tab w:val="clear" w:pos="8306"/>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8B694B" w:rsidRPr="004E71DD" w:rsidP="004E71DD" w14:paraId="71472E75" w14:textId="77777777">
    <w:pPr>
      <w:pStyle w:val="Footer"/>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6E90" w:rsidP="00E7235E" w14:paraId="6079ABD4" w14:textId="77777777">
      <w:pPr>
        <w:spacing w:line="240" w:lineRule="auto"/>
      </w:pPr>
      <w:r>
        <w:separator/>
      </w:r>
    </w:p>
  </w:footnote>
  <w:footnote w:type="continuationSeparator" w:id="1">
    <w:p w:rsidR="00856E90" w:rsidP="00C23CC9" w14:paraId="44942A17" w14:textId="77777777">
      <w:pPr>
        <w:spacing w:line="240" w:lineRule="auto"/>
      </w:pPr>
      <w:r>
        <w:continuationSeparator/>
      </w:r>
    </w:p>
    <w:p w:rsidR="00856E90" w14:paraId="031F7FF6" w14:textId="77777777"/>
    <w:p w:rsidR="00856E90" w14:paraId="6A7CBE68" w14:textId="77777777"/>
    <w:p w:rsidR="00856E90" w14:paraId="4EA184E8" w14:textId="77777777"/>
  </w:footnote>
  <w:footnote w:id="2">
    <w:p w:rsidR="00340CFC" w:rsidRPr="00340CFC" w:rsidP="00340CFC" w14:paraId="1CCADAF4" w14:textId="77777777">
      <w:pPr>
        <w:pStyle w:val="7314"/>
      </w:pPr>
      <w:r w:rsidRPr="00340CFC">
        <w:rPr>
          <w:rStyle w:val="FootnoteReference0"/>
          <w:vertAlign w:val="baseline"/>
        </w:rPr>
        <w:footnoteRef/>
      </w:r>
      <w:r w:rsidRPr="00340CFC">
        <w:rPr>
          <w:rtl/>
        </w:rPr>
        <w:t xml:space="preserve"> </w:t>
      </w:r>
      <w:r w:rsidRPr="00340CFC">
        <w:rPr>
          <w:rtl/>
        </w:rPr>
        <w:tab/>
        <w:t>חוק הכללת אמצעי זיהוי ביומטריים ונתוני זיהוי ביומטריים במסמכי זיהוי ובמאגר מידע, התש"ע-2009 (חוק הכללת אמצעי זיהוי ביומטריים).</w:t>
      </w:r>
    </w:p>
  </w:footnote>
  <w:footnote w:id="3">
    <w:p w:rsidR="00340CFC" w:rsidRPr="00340CFC" w:rsidP="00340CFC" w14:paraId="2D3E76A4" w14:textId="77777777">
      <w:pPr>
        <w:pStyle w:val="7314"/>
        <w:rPr>
          <w:rtl/>
        </w:rPr>
      </w:pPr>
      <w:r w:rsidRPr="00340CFC">
        <w:rPr>
          <w:rStyle w:val="FootnoteReference0"/>
          <w:vertAlign w:val="baseline"/>
        </w:rPr>
        <w:footnoteRef/>
      </w:r>
      <w:r w:rsidRPr="00340CFC">
        <w:rPr>
          <w:rtl/>
        </w:rPr>
        <w:t xml:space="preserve"> </w:t>
      </w:r>
      <w:r w:rsidRPr="00340CFC">
        <w:rPr>
          <w:rtl/>
        </w:rPr>
        <w:tab/>
        <w:t>השוואת אמצעי הזיהוי הביומטרי שניטל לדגימה שנשמרה קודם לכן.</w:t>
      </w:r>
    </w:p>
  </w:footnote>
  <w:footnote w:id="4">
    <w:p w:rsidR="00340CFC" w:rsidRPr="003C0C7A" w:rsidP="003C0C7A" w14:paraId="2B6EC35E" w14:textId="77777777">
      <w:pPr>
        <w:pStyle w:val="7314"/>
      </w:pPr>
      <w:r w:rsidRPr="003C0C7A">
        <w:rPr>
          <w:rStyle w:val="FootnoteReference0"/>
          <w:vertAlign w:val="baseline"/>
        </w:rPr>
        <w:footnoteRef/>
      </w:r>
      <w:r w:rsidRPr="003C0C7A">
        <w:rPr>
          <w:rtl/>
        </w:rPr>
        <w:t xml:space="preserve"> </w:t>
      </w:r>
      <w:r w:rsidRPr="003C0C7A">
        <w:rPr>
          <w:rtl/>
        </w:rPr>
        <w:tab/>
        <w:t>תחילה נקבע שהוראת השעה תהיה תקפה עד מאי 2022, ולאחר מכן הוארך תוקפה עד יוני 2023.</w:t>
      </w:r>
    </w:p>
  </w:footnote>
  <w:footnote w:id="5">
    <w:p w:rsidR="00340CFC" w:rsidRPr="003C0C7A" w:rsidP="003C0C7A" w14:paraId="49EB63A0" w14:textId="12198D62">
      <w:pPr>
        <w:pStyle w:val="7314"/>
        <w:rPr>
          <w:rtl/>
        </w:rPr>
      </w:pPr>
      <w:r w:rsidRPr="003C0C7A">
        <w:rPr>
          <w:rStyle w:val="FootnoteReference0"/>
          <w:vertAlign w:val="baseline"/>
        </w:rPr>
        <w:footnoteRef/>
      </w:r>
      <w:r w:rsidRPr="003C0C7A">
        <w:rPr>
          <w:rtl/>
        </w:rPr>
        <w:t xml:space="preserve"> </w:t>
      </w:r>
      <w:r w:rsidRPr="003C0C7A">
        <w:rPr>
          <w:rtl/>
        </w:rPr>
        <w:tab/>
      </w:r>
      <w:r w:rsidRPr="003C0C7A">
        <w:t>NFC - Near-field Communication</w:t>
      </w:r>
    </w:p>
  </w:footnote>
  <w:footnote w:id="6">
    <w:p w:rsidR="00340CFC" w:rsidRPr="003C0C7A" w:rsidP="003C0C7A" w14:paraId="6659C232" w14:textId="77777777">
      <w:pPr>
        <w:pStyle w:val="7314"/>
      </w:pPr>
      <w:r w:rsidRPr="003C0C7A">
        <w:rPr>
          <w:rStyle w:val="FootnoteReference0"/>
          <w:vertAlign w:val="baseline"/>
        </w:rPr>
        <w:footnoteRef/>
      </w:r>
      <w:r w:rsidRPr="003C0C7A">
        <w:rPr>
          <w:rtl/>
        </w:rPr>
        <w:t xml:space="preserve"> </w:t>
      </w:r>
      <w:r w:rsidRPr="003C0C7A">
        <w:rPr>
          <w:rtl/>
        </w:rPr>
        <w:tab/>
        <w:t>מערכת ייעודית חיצונית למערכות רשות האוכלוסין המאפשרת אימות 1:1 של התושב על ידי קריאת השבב והנתונים המוצפנים בתעודת הזהות והשוואה בינם לבין הנתונים הביומטריים הניטלים ממנו.</w:t>
      </w:r>
    </w:p>
  </w:footnote>
  <w:footnote w:id="7">
    <w:p w:rsidR="00B024D2" w:rsidRPr="00B024D2" w:rsidP="00B024D2" w14:paraId="60B12EF7" w14:textId="77777777">
      <w:pPr>
        <w:pStyle w:val="7314"/>
        <w:rPr>
          <w:rtl/>
        </w:rPr>
      </w:pPr>
      <w:r w:rsidRPr="00B024D2">
        <w:rPr>
          <w:rStyle w:val="FootnoteReference0"/>
          <w:vertAlign w:val="baseline"/>
        </w:rPr>
        <w:footnoteRef/>
      </w:r>
      <w:r w:rsidRPr="00B024D2">
        <w:rPr>
          <w:rtl/>
        </w:rPr>
        <w:t xml:space="preserve"> </w:t>
      </w:r>
      <w:r w:rsidRPr="00B024D2">
        <w:rPr>
          <w:rtl/>
        </w:rPr>
        <w:tab/>
        <w:t xml:space="preserve">זאת נוסף על הנחיית מערך הסייבר את רשות האוכלוסין, הקבועה בתוספת החמישית לחוק להסדרת הביטחון בגופים ציבוריים, תשנ"ח - 1998. </w:t>
      </w:r>
    </w:p>
  </w:footnote>
  <w:footnote w:id="8">
    <w:p w:rsidR="00B024D2" w:rsidRPr="00B024D2" w:rsidP="00B024D2" w14:paraId="6CE17F9B" w14:textId="77777777">
      <w:pPr>
        <w:pStyle w:val="7314"/>
        <w:rPr>
          <w:rtl/>
        </w:rPr>
      </w:pPr>
      <w:r w:rsidRPr="00B024D2">
        <w:rPr>
          <w:rStyle w:val="FootnoteReference0"/>
          <w:vertAlign w:val="baseline"/>
        </w:rPr>
        <w:footnoteRef/>
      </w:r>
      <w:r w:rsidRPr="00B024D2">
        <w:rPr>
          <w:rtl/>
        </w:rPr>
        <w:t xml:space="preserve"> </w:t>
      </w:r>
      <w:r w:rsidRPr="00B024D2">
        <w:rPr>
          <w:rtl/>
        </w:rPr>
        <w:tab/>
        <w:t>ועדת הכנסת המשותפת של ועדת החוקה חוק ומשפט, ועדת הפנים והגנת הסביבה וועדת המדע בהתאם לחוק הכללת אמצעי זיהוי ביומטריים ונתוני זיהוי ביומטריים במסמכי זיהוי ובמאגר מידע (ועדת הכנסת המשותפת).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7255AF" w14:paraId="5CDEE855" w14:textId="7B9EDBB5">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F2565F" w14:paraId="5465C61E" w14:textId="4E2E39C0">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F73EE0" w:rsidP="007255AF" w14:paraId="268AFC17" w14:textId="6F16F421">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7255AF" w14:paraId="3BA5282B" w14:textId="0DF822A9">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F73EE0" w:rsidP="00A33696" w14:paraId="0929BB0C" w14:textId="43D2B28E">
    <w:pPr>
      <w:pStyle w:val="Header"/>
      <w:tabs>
        <w:tab w:val="left" w:pos="493"/>
        <w:tab w:val="clear" w:pos="4153"/>
        <w:tab w:val="left" w:pos="5150"/>
        <w:tab w:val="clear" w:pos="8306"/>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P="006637B9"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DD687FA">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type="none"/>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rsidP="001526AC" w14:paraId="1C6E1265" w14:textId="57D3164D">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008297F6">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P="00BE2032" w14:textId="6978CA7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BE2032" w:rsidR="00BE2032">
                            <w:rPr>
                              <w:rFonts w:ascii="Tahoma" w:hAnsi="Tahoma" w:cs="Tahoma"/>
                              <w:b/>
                              <w:bCs/>
                              <w:rtl/>
                            </w:rPr>
                            <w:t>שימוש במסמכי זיהוי ביומטריים - תעודות זהות ודרכונים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BE2032" w14:paraId="77809697" w14:textId="6978CA7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Pr="00BE2032" w:rsidR="00BE2032">
                      <w:rPr>
                        <w:rFonts w:ascii="Tahoma" w:hAnsi="Tahoma" w:cs="Tahoma"/>
                        <w:b/>
                        <w:bCs/>
                        <w:rtl/>
                      </w:rPr>
                      <w:t>שימוש במסמכי זיהוי ביומטריים - תעודות זהות ודרכונים</w:t>
                    </w:r>
                  </w:p>
                </w:txbxContent>
              </v:textbox>
              <w10:wrap type="square"/>
            </v:shape>
          </w:pict>
        </mc:Fallback>
      </mc:AlternateContent>
    </w:r>
  </w:p>
  <w:p w:rsidR="00F73EE0" w:rsidP="001526AC" w14:paraId="18DE0C7A" w14:textId="26DB997D">
    <w:pPr>
      <w:pStyle w:val="Header"/>
      <w:tabs>
        <w:tab w:val="left" w:pos="493"/>
        <w:tab w:val="center" w:pos="4111"/>
        <w:tab w:val="clear" w:pos="4153"/>
        <w:tab w:val="right" w:pos="7478"/>
        <w:tab w:val="right" w:pos="8222"/>
        <w:tab w:val="clear" w:pos="8306"/>
      </w:tabs>
      <w:jc w:val="left"/>
      <w:rPr>
        <w:rtl/>
      </w:rPr>
    </w:pPr>
  </w:p>
  <w:p w:rsidR="00F73EE0" w:rsidRPr="001526AC" w:rsidP="00005B23" w14:paraId="1172F310" w14:textId="5FF71C21">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BE2032" w:rsidRPr="00136A3E" w:rsidP="00BE2032" w14:textId="77777777">
                          <w:pPr>
                            <w:jc w:val="right"/>
                            <w:rPr>
                              <w:color w:val="0D0D0D" w:themeColor="text1" w:themeTint="F2"/>
                              <w:sz w:val="16"/>
                              <w:szCs w:val="16"/>
                            </w:rPr>
                          </w:pPr>
                          <w:r w:rsidRPr="00AB407E">
                            <w:rPr>
                              <w:rFonts w:ascii="Tahoma" w:hAnsi="Tahoma" w:cs="Tahoma"/>
                              <w:color w:val="0D0D0D"/>
                              <w:sz w:val="16"/>
                              <w:szCs w:val="16"/>
                              <w:rtl/>
                            </w:rPr>
                            <w:t>דוח מבקר המדינה</w:t>
                          </w:r>
                          <w:r>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p w:rsidR="00F73EE0" w:rsidRPr="00BE2032" w:rsidP="00B244B0" w14:textId="34B6912D">
                          <w:pPr>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BE2032" w:rsidRPr="00136A3E" w:rsidP="00BE2032" w14:paraId="0C58CFCA" w14:textId="77777777">
                    <w:pPr>
                      <w:jc w:val="right"/>
                      <w:rPr>
                        <w:color w:val="0D0D0D" w:themeColor="text1" w:themeTint="F2"/>
                        <w:sz w:val="16"/>
                        <w:szCs w:val="16"/>
                      </w:rPr>
                    </w:pPr>
                    <w:r w:rsidRPr="00AB407E">
                      <w:rPr>
                        <w:rFonts w:ascii="Tahoma" w:hAnsi="Tahoma" w:cs="Tahoma"/>
                        <w:color w:val="0D0D0D"/>
                        <w:sz w:val="16"/>
                        <w:szCs w:val="16"/>
                        <w:rtl/>
                      </w:rPr>
                      <w:t>דוח מבקר המדינה</w:t>
                    </w:r>
                    <w:r>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p w:rsidR="00F73EE0" w:rsidRPr="00BE2032" w:rsidP="00B244B0" w14:paraId="1CF273F4" w14:textId="34B6912D">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658E" w14:paraId="12276F70"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3EE0" w14:paraId="1D98C7A5" w14:textId="721B4D03">
    <w:pPr>
      <w:pStyle w:val="Header"/>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P="006E67D8"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P="00FD02CC" w14:paraId="7E43B0CF" w14:textId="63DDFE97">
    <w:pPr>
      <w:pStyle w:val="Header"/>
      <w:ind w:firstLine="720"/>
      <w:rPr>
        <w:rtl/>
      </w:rPr>
    </w:pPr>
  </w:p>
  <w:p w:rsidR="00F73EE0" w14:paraId="09A29170" w14:textId="077B7887">
    <w:pPr>
      <w:pStyle w:val="Header"/>
      <w:rPr>
        <w:rtl/>
      </w:rPr>
    </w:pPr>
  </w:p>
  <w:p w:rsidR="00F73EE0" w14:paraId="1CB0A19A" w14:textId="7E7CB891">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P="00F559D6"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F456D59">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שם של הדוח שם של הדוח</w:t>
                    </w:r>
                  </w:p>
                </w:txbxContent>
              </v:textbox>
              <w10:wrap type="square"/>
            </v:shape>
          </w:pict>
        </mc:Fallback>
      </mc:AlternateContent>
    </w:r>
  </w:p>
  <w:p w:rsidR="00F73EE0" w:rsidP="009620E7" w14:paraId="53F52C1C" w14:textId="15562247">
    <w:pPr>
      <w:pStyle w:val="Header"/>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71DD" w:rsidP="004E71DD" w14:paraId="0388F2AD" w14:textId="77777777">
    <w:pPr>
      <w:pStyle w:val="Header"/>
      <w:rPr>
        <w:rtl/>
      </w:rPr>
    </w:pPr>
    <w:r>
      <w:rPr>
        <w:noProof/>
        <w:rtl/>
        <w:lang w:val="he-IL"/>
      </w:rPr>
      <mc:AlternateContent>
        <mc:Choice Requires="wps">
          <w:drawing>
            <wp:anchor distT="0" distB="0" distL="114300" distR="114300" simplePos="0" relativeHeight="251677696"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4E71DD" w:rsidRPr="00FD02CC" w:rsidP="004E71DD" w14:textId="77777777">
                          <w:pPr>
                            <w:rPr>
                              <w:color w:val="FFFFFF" w:themeColor="background1"/>
                              <w14:textOutline w14:w="12700" w14:cap="rnd" w14:cmpd="dbl">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7760" filled="f" strokecolor="#a5a5a5" strokeweight="0.25pt">
              <v:stroke dashstyle="longDash"/>
              <v:textbox>
                <w:txbxContent>
                  <w:p w:rsidR="004E71DD" w:rsidRPr="00FD02CC" w:rsidP="004E71DD" w14:paraId="6FF7767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4E71DD" w:rsidP="004E71DD" w14:paraId="79E8F3BE" w14:textId="77777777">
    <w:pPr>
      <w:pStyle w:val="Header"/>
      <w:ind w:firstLine="720"/>
      <w:rPr>
        <w:rtl/>
      </w:rPr>
    </w:pPr>
  </w:p>
  <w:p w:rsidR="004E71DD" w:rsidP="004E71DD" w14:paraId="78DBB37C" w14:textId="77777777">
    <w:pPr>
      <w:pStyle w:val="Header"/>
      <w:rPr>
        <w:rtl/>
      </w:rPr>
    </w:pPr>
  </w:p>
  <w:p w:rsidR="004E71DD" w:rsidP="004E71DD" w14:paraId="1F8198CE" w14:textId="77777777">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81792"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4E71DD" w:rsidRPr="003D62C4" w:rsidP="004E71DD" w14:textId="13B3136C">
                          <w:pPr>
                            <w:pStyle w:val="Heading1"/>
                            <w:spacing w:line="269" w:lineRule="auto"/>
                            <w:jc w:val="left"/>
                            <w:rPr>
                              <w:rFonts w:ascii="Tahoma" w:hAnsi="Tahoma" w:eastAsiaTheme="minorHAnsi" w:cs="Tahoma"/>
                              <w:bCs w:val="0"/>
                              <w:color w:val="0D0D0D" w:themeColor="text1" w:themeTint="F2"/>
                              <w:sz w:val="16"/>
                              <w:szCs w:val="16"/>
                              <w:u w:val="none"/>
                            </w:rPr>
                          </w:pPr>
                          <w:r w:rsidRPr="00BE2032">
                            <w:rPr>
                              <w:rFonts w:ascii="Tahoma" w:hAnsi="Tahoma" w:eastAsiaTheme="minorHAnsi" w:cs="Tahoma"/>
                              <w:bCs w:val="0"/>
                              <w:color w:val="0D0D0D" w:themeColor="text1" w:themeTint="F2"/>
                              <w:sz w:val="16"/>
                              <w:szCs w:val="16"/>
                              <w:u w:val="none"/>
                              <w:rtl/>
                            </w:rPr>
                            <w:t>שימוש במסמכי זיהוי ביומטריים - תעודות זהות ודרכונים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9" type="#_x0000_t202" style="width:357.2pt;height:22.1pt;margin-top:16.15pt;margin-left:-8.4pt;mso-width-percent:0;mso-width-relative:margin;mso-wrap-distance-bottom:0;mso-wrap-distance-left:9pt;mso-wrap-distance-right:9pt;mso-wrap-distance-top:0;mso-wrap-style:square;position:absolute;visibility:visible;v-text-anchor:top;z-index:251682816" stroked="f">
              <v:textbox style="mso-fit-shape-to-text:t">
                <w:txbxContent>
                  <w:p w:rsidR="004E71DD" w:rsidRPr="003D62C4" w:rsidP="004E71DD" w14:paraId="66EBAA16" w14:textId="13B3136C">
                    <w:pPr>
                      <w:pStyle w:val="Heading1"/>
                      <w:spacing w:line="269" w:lineRule="auto"/>
                      <w:jc w:val="left"/>
                      <w:rPr>
                        <w:rFonts w:ascii="Tahoma" w:hAnsi="Tahoma" w:eastAsiaTheme="minorHAnsi" w:cs="Tahoma"/>
                        <w:bCs w:val="0"/>
                        <w:color w:val="0D0D0D" w:themeColor="text1" w:themeTint="F2"/>
                        <w:sz w:val="16"/>
                        <w:szCs w:val="16"/>
                        <w:u w:val="none"/>
                      </w:rPr>
                    </w:pPr>
                    <w:r w:rsidRPr="00BE2032">
                      <w:rPr>
                        <w:rFonts w:ascii="Tahoma" w:hAnsi="Tahoma" w:eastAsiaTheme="minorHAnsi" w:cs="Tahoma"/>
                        <w:bCs w:val="0"/>
                        <w:color w:val="0D0D0D" w:themeColor="text1" w:themeTint="F2"/>
                        <w:sz w:val="16"/>
                        <w:szCs w:val="16"/>
                        <w:u w:val="none"/>
                        <w:rtl/>
                      </w:rPr>
                      <w:t>שימוש במסמכי זיהוי ביומטריים - תעודות זהות ודרכונים</w:t>
                    </w:r>
                  </w:p>
                </w:txbxContent>
              </v:textbox>
              <w10:wrap type="square"/>
            </v:shape>
          </w:pict>
        </mc:Fallback>
      </mc:AlternateContent>
    </w:r>
  </w:p>
  <w:p w:rsidR="004E71DD" w:rsidP="004E71DD" w14:paraId="49CFDAF2" w14:textId="77777777">
    <w:pPr>
      <w:pStyle w:val="Header"/>
      <w:rPr>
        <w:rtl/>
      </w:rPr>
    </w:pPr>
    <w:r>
      <w:rPr>
        <w:rFonts w:ascii="Tahoma" w:hAnsi="Tahoma" w:cs="Tahoma"/>
        <w:noProof/>
        <w:color w:val="002060"/>
        <w:sz w:val="18"/>
        <w:szCs w:val="18"/>
      </w:rPr>
      <w:drawing>
        <wp:anchor distT="0" distB="0" distL="114300" distR="114300" simplePos="0" relativeHeight="251683840"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6"/>
                  <pic:cNvPicPr/>
                </pic:nvPicPr>
                <pic:blipFill>
                  <a:blip xmlns:r="http://schemas.openxmlformats.org/officeDocument/2006/relationships" r:embed="rId1">
                    <a:duotone>
                      <a:schemeClr val="accent2">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0" style="flip:x;mso-height-percent:0;mso-height-relative:margin;mso-width-percent:0;mso-width-relative:margin;mso-wrap-distance-bottom:0;mso-wrap-distance-left:9pt;mso-wrap-distance-right:9pt;mso-wrap-distance-top:0;mso-wrap-style:square;position:absolute;visibility:visible;z-index:251680768" from="-109.7pt,27.8pt" to="367.9pt,27.8pt" strokecolor="#0d0d0d" strokeweight="0.25pt"/>
          </w:pict>
        </mc:Fallback>
      </mc:AlternateContent>
    </w:r>
  </w:p>
  <w:p w:rsidR="008B694B" w:rsidRPr="004E71DD" w:rsidP="004E71DD" w14:paraId="4E47EA6D" w14:textId="324E80B4">
    <w:pPr>
      <w:pStyle w:val="Header"/>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6721" w:rsidP="001526AC" w14:paraId="1AA96B7A"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92032"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P="006E67D8" w14:textId="77777777">
                          <w:pPr>
                            <w:rPr>
                              <w:color w:val="FFFFFF" w:themeColor="background1"/>
                              <w14:textOutline w14:w="19050" w14:cap="rnd" w14:cmpd="dbl">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3424"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P="00BE2032" w14:textId="44D8030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BE2032" w:rsidR="00BE2032">
                            <w:rPr>
                              <w:rFonts w:ascii="Tahoma" w:hAnsi="Tahoma" w:cs="Tahoma"/>
                              <w:b/>
                              <w:bCs/>
                              <w:rtl/>
                            </w:rPr>
                            <w:t>שימוש במסמכי זיהוי ביומטריים - תעודות זהות ודרכונים</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2" type="#_x0000_t202"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9984" fillcolor="#00305f" strokecolor="#00305f">
              <v:textbox style="layout-flow:vertical;mso-layout-flow-alt:bottom-to-top" inset="0,0,0,0">
                <w:txbxContent>
                  <w:p w:rsidR="00E56721" w:rsidRPr="009B7D1B" w:rsidP="00BE2032" w14:paraId="3B4CCAD6" w14:textId="44D8030D">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BE2032" w:rsidR="00BE2032">
                      <w:rPr>
                        <w:rFonts w:ascii="Tahoma" w:hAnsi="Tahoma" w:cs="Tahoma"/>
                        <w:b/>
                        <w:bCs/>
                        <w:rtl/>
                      </w:rPr>
                      <w:t>שימוש במסמכי זיהוי ביומטריים - תעודות זהות ודרכונים</w:t>
                    </w:r>
                  </w:p>
                </w:txbxContent>
              </v:textbox>
              <w10:wrap type="square"/>
            </v:shape>
          </w:pict>
        </mc:Fallback>
      </mc:AlternateContent>
    </w:r>
  </w:p>
  <w:p w:rsidR="00E56721" w:rsidP="001526AC" w14:paraId="708CEE93" w14:textId="77777777">
    <w:pPr>
      <w:pStyle w:val="Header"/>
      <w:tabs>
        <w:tab w:val="left" w:pos="493"/>
        <w:tab w:val="center" w:pos="4111"/>
        <w:tab w:val="clear" w:pos="4153"/>
        <w:tab w:val="right" w:pos="7478"/>
        <w:tab w:val="right" w:pos="8222"/>
        <w:tab w:val="clear" w:pos="8306"/>
      </w:tabs>
      <w:jc w:val="left"/>
      <w:rPr>
        <w:rtl/>
      </w:rPr>
    </w:pPr>
  </w:p>
  <w:p w:rsidR="00E56721" w:rsidRPr="001526AC" w:rsidP="00005B23" w14:paraId="69A973A3" w14:textId="77777777">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84864" behindDoc="0" locked="0" layoutInCell="1" allowOverlap="1">
              <wp:simplePos x="0" y="0"/>
              <wp:positionH relativeFrom="column">
                <wp:posOffset>275498</wp:posOffset>
              </wp:positionH>
              <wp:positionV relativeFrom="paragraph">
                <wp:posOffset>356504</wp:posOffset>
              </wp:positionV>
              <wp:extent cx="4459740" cy="230604"/>
              <wp:effectExtent l="0" t="0" r="10795" b="10795"/>
              <wp:wrapNone/>
              <wp:docPr id="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9740" cy="230604"/>
                      </a:xfrm>
                      <a:prstGeom prst="rect">
                        <a:avLst/>
                      </a:prstGeom>
                      <a:solidFill>
                        <a:srgbClr val="FFFFFF"/>
                      </a:solidFill>
                      <a:ln w="9525">
                        <a:solidFill>
                          <a:schemeClr val="bg1"/>
                        </a:solidFill>
                        <a:miter lim="800000"/>
                        <a:headEnd/>
                        <a:tailEnd/>
                      </a:ln>
                    </wps:spPr>
                    <wps:txbx>
                      <w:txbxContent>
                        <w:p w:rsidR="00E56721" w:rsidRPr="00BE2032" w:rsidP="00BE2032" w14:textId="19362312">
                          <w:pPr>
                            <w:jc w:val="right"/>
                            <w:rPr>
                              <w:color w:val="0D0D0D" w:themeColor="text1" w:themeTint="F2"/>
                              <w:sz w:val="16"/>
                              <w:szCs w:val="16"/>
                            </w:rPr>
                          </w:pPr>
                          <w:r w:rsidRPr="00AB407E">
                            <w:rPr>
                              <w:rFonts w:ascii="Tahoma" w:hAnsi="Tahoma" w:cs="Tahoma"/>
                              <w:color w:val="0D0D0D"/>
                              <w:sz w:val="16"/>
                              <w:szCs w:val="16"/>
                              <w:rtl/>
                            </w:rPr>
                            <w:t>דוח מבקר המדינה</w:t>
                          </w:r>
                          <w:r>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3" type="#_x0000_t202" style="width:351.15pt;height:18.15pt;margin-top:28.05pt;margin-left:21.7pt;mso-height-percent:0;mso-height-relative:margin;mso-width-percent:0;mso-width-relative:margin;mso-wrap-distance-bottom:3.6pt;mso-wrap-distance-left:9pt;mso-wrap-distance-right:9pt;mso-wrap-distance-top:3.6pt;mso-wrap-style:square;position:absolute;visibility:visible;v-text-anchor:top;z-index:251685888" strokecolor="white">
              <v:textbox>
                <w:txbxContent>
                  <w:p w:rsidR="00E56721" w:rsidRPr="00BE2032" w:rsidP="00BE2032" w14:paraId="0C0E463E" w14:textId="19362312">
                    <w:pPr>
                      <w:jc w:val="right"/>
                      <w:rPr>
                        <w:color w:val="0D0D0D" w:themeColor="text1" w:themeTint="F2"/>
                        <w:sz w:val="16"/>
                        <w:szCs w:val="16"/>
                      </w:rPr>
                    </w:pPr>
                    <w:r w:rsidRPr="00AB407E">
                      <w:rPr>
                        <w:rFonts w:ascii="Tahoma" w:hAnsi="Tahoma" w:cs="Tahoma"/>
                        <w:color w:val="0D0D0D"/>
                        <w:sz w:val="16"/>
                        <w:szCs w:val="16"/>
                        <w:rtl/>
                      </w:rPr>
                      <w:t>דוח מבקר המדינה</w:t>
                    </w:r>
                    <w:r>
                      <w:rPr>
                        <w:rFonts w:ascii="Tahoma" w:hAnsi="Tahoma" w:cs="Tahoma" w:hint="cs"/>
                        <w:color w:val="0D0D0D"/>
                        <w:sz w:val="16"/>
                        <w:szCs w:val="16"/>
                        <w:rtl/>
                      </w:rPr>
                      <w:t xml:space="preserve"> -</w:t>
                    </w:r>
                    <w:r w:rsidRPr="00AB407E">
                      <w:rPr>
                        <w:rFonts w:ascii="Tahoma" w:hAnsi="Tahoma" w:cs="Tahoma"/>
                        <w:color w:val="0D0D0D"/>
                        <w:sz w:val="16"/>
                        <w:szCs w:val="16"/>
                        <w:rtl/>
                      </w:rPr>
                      <w:t xml:space="preserve"> סייבר ומערכות מידע | אייר </w:t>
                    </w:r>
                    <w:r w:rsidRPr="00AB407E">
                      <w:rPr>
                        <w:rFonts w:ascii="Tahoma" w:hAnsi="Tahoma" w:cs="Tahoma"/>
                        <w:color w:val="0D0D0D"/>
                        <w:sz w:val="16"/>
                        <w:szCs w:val="16"/>
                        <w:rtl/>
                      </w:rPr>
                      <w:t>התשפ"ג</w:t>
                    </w:r>
                    <w:r w:rsidRPr="00AB407E">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91008"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4" style="flip:x;mso-height-percent:0;mso-height-relative:margin;mso-width-percent:0;mso-width-relative:margin;mso-wrap-distance-bottom:0;mso-wrap-distance-left:9pt;mso-wrap-distance-right:9pt;mso-wrap-distance-top:0;mso-wrap-style:square;position:absolute;visibility:visible;z-index:251687936"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5B8A2280"/>
    <w:lvl w:ilvl="0">
      <w:start w:val="1"/>
      <w:numFmt w:val="decimal"/>
      <w:lvlText w:val="%1."/>
      <w:lvlJc w:val="left"/>
      <w:pPr>
        <w:tabs>
          <w:tab w:val="num" w:pos="1492"/>
        </w:tabs>
        <w:ind w:left="1492" w:hanging="360"/>
      </w:pPr>
    </w:lvl>
  </w:abstractNum>
  <w:abstractNum w:abstractNumId="1">
    <w:nsid w:val="FFFFFF7D"/>
    <w:multiLevelType w:val="singleLevel"/>
    <w:tmpl w:val="B266A9F6"/>
    <w:lvl w:ilvl="0">
      <w:start w:val="1"/>
      <w:numFmt w:val="decimal"/>
      <w:lvlText w:val="%1."/>
      <w:lvlJc w:val="left"/>
      <w:pPr>
        <w:tabs>
          <w:tab w:val="num" w:pos="1209"/>
        </w:tabs>
        <w:ind w:left="1209" w:hanging="360"/>
      </w:pPr>
    </w:lvl>
  </w:abstractNum>
  <w:abstractNum w:abstractNumId="2">
    <w:nsid w:val="FFFFFF7F"/>
    <w:multiLevelType w:val="singleLevel"/>
    <w:tmpl w:val="BE7AC05A"/>
    <w:lvl w:ilvl="0">
      <w:start w:val="1"/>
      <w:numFmt w:val="decimal"/>
      <w:lvlText w:val="%1."/>
      <w:lvlJc w:val="left"/>
      <w:pPr>
        <w:tabs>
          <w:tab w:val="num" w:pos="643"/>
        </w:tabs>
        <w:ind w:left="643" w:hanging="360"/>
      </w:pPr>
    </w:lvl>
  </w:abstractNum>
  <w:abstractNum w:abstractNumId="3">
    <w:nsid w:val="FFFFFF80"/>
    <w:multiLevelType w:val="singleLevel"/>
    <w:tmpl w:val="1ED8A2F2"/>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2AAC68B4"/>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050CEC9A"/>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009490AA"/>
    <w:lvl w:ilvl="0">
      <w:start w:val="1"/>
      <w:numFmt w:val="bullet"/>
      <w:lvlText w:val=""/>
      <w:lvlJc w:val="left"/>
      <w:pPr>
        <w:tabs>
          <w:tab w:val="num" w:pos="643"/>
        </w:tabs>
        <w:ind w:left="643" w:hanging="360"/>
      </w:pPr>
      <w:rPr>
        <w:rFonts w:ascii="Symbol" w:hAnsi="Symbol" w:hint="default"/>
      </w:rPr>
    </w:lvl>
  </w:abstractNum>
  <w:abstractNum w:abstractNumId="7">
    <w:nsid w:val="FFFFFF89"/>
    <w:multiLevelType w:val="singleLevel"/>
    <w:tmpl w:val="B0789C7E"/>
    <w:lvl w:ilvl="0">
      <w:start w:val="1"/>
      <w:numFmt w:val="bullet"/>
      <w:lvlText w:val=""/>
      <w:lvlJc w:val="left"/>
      <w:pPr>
        <w:tabs>
          <w:tab w:val="num" w:pos="360"/>
        </w:tabs>
        <w:ind w:left="360" w:hanging="360"/>
      </w:pPr>
      <w:rPr>
        <w:rFonts w:ascii="Symbol" w:hAnsi="Symbol" w:hint="default"/>
      </w:rPr>
    </w:lvl>
  </w:abstractNum>
  <w:abstractNum w:abstractNumId="8">
    <w:nsid w:val="07C54509"/>
    <w:multiLevelType w:val="multilevel"/>
    <w:tmpl w:val="3030E6FC"/>
    <w:lvl w:ilvl="0">
      <w:start w:val="1"/>
      <w:numFmt w:val="decimal"/>
      <w:pStyle w:val="7324"/>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9">
    <w:nsid w:val="0DDA1A01"/>
    <w:multiLevelType w:val="hybridMultilevel"/>
    <w:tmpl w:val="CD76C6BE"/>
    <w:lvl w:ilvl="0">
      <w:start w:val="1"/>
      <w:numFmt w:val="bullet"/>
      <w:pStyle w:val="73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EB6DC4"/>
    <w:multiLevelType w:val="hybridMultilevel"/>
    <w:tmpl w:val="D41AA13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09D0F4B"/>
    <w:multiLevelType w:val="hybridMultilevel"/>
    <w:tmpl w:val="91BA1746"/>
    <w:lvl w:ilvl="0">
      <w:start w:val="1"/>
      <w:numFmt w:val="decimal"/>
      <w:lvlText w:val="%1."/>
      <w:lvlJc w:val="left"/>
      <w:pPr>
        <w:ind w:left="720" w:hanging="360"/>
      </w:pPr>
      <w:rPr>
        <w:rFonts w:ascii="Times New Roman" w:hAnsi="Times New Roman"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1DD6BCC"/>
    <w:multiLevelType w:val="hybridMultilevel"/>
    <w:tmpl w:val="6FA222FA"/>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2E3981"/>
    <w:multiLevelType w:val="hybridMultilevel"/>
    <w:tmpl w:val="C5829B76"/>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5">
    <w:nsid w:val="354305D8"/>
    <w:multiLevelType w:val="hybridMultilevel"/>
    <w:tmpl w:val="42E6D0DC"/>
    <w:lvl w:ilvl="0">
      <w:start w:val="2"/>
      <w:numFmt w:val="decimal"/>
      <w:lvlText w:val="%1."/>
      <w:lvlJc w:val="left"/>
      <w:pPr>
        <w:ind w:left="397" w:hanging="397"/>
      </w:pPr>
      <w:rPr>
        <w:rFonts w:ascii="Times New Roman" w:hAnsi="Times New Roman"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AC35AA"/>
    <w:multiLevelType w:val="hybridMultilevel"/>
    <w:tmpl w:val="F564C396"/>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59C2999"/>
    <w:multiLevelType w:val="multilevel"/>
    <w:tmpl w:val="065C52B0"/>
    <w:lvl w:ilvl="0">
      <w:start w:val="1"/>
      <w:numFmt w:val="hebrew1"/>
      <w:pStyle w:val="7325"/>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9">
    <w:nsid w:val="4FA661A4"/>
    <w:multiLevelType w:val="hybridMultilevel"/>
    <w:tmpl w:val="27E4AEF2"/>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CC4ABE"/>
    <w:multiLevelType w:val="hybridMultilevel"/>
    <w:tmpl w:val="99942CC6"/>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2">
    <w:nsid w:val="5D7F29F7"/>
    <w:multiLevelType w:val="hybridMultilevel"/>
    <w:tmpl w:val="ABFC5A12"/>
    <w:lvl w:ilvl="0">
      <w:start w:val="1"/>
      <w:numFmt w:val="hebrew1"/>
      <w:pStyle w:val="70"/>
      <w:lvlText w:val="%1."/>
      <w:lvlJc w:val="left"/>
      <w:pPr>
        <w:ind w:left="794"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4">
    <w:nsid w:val="61262FC9"/>
    <w:multiLevelType w:val="hybridMultilevel"/>
    <w:tmpl w:val="8E2A6662"/>
    <w:lvl w:ilvl="0">
      <w:start w:val="1"/>
      <w:numFmt w:val="bullet"/>
      <w:lvlText w:val=""/>
      <w:lvlJc w:val="left"/>
      <w:pPr>
        <w:ind w:left="794" w:hanging="397"/>
      </w:pPr>
      <w:rPr>
        <w:rFonts w:ascii="Symbol" w:hAnsi="Symbol" w:cs="Symbol" w:hint="default"/>
        <w:b/>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5">
    <w:nsid w:val="660E7658"/>
    <w:multiLevelType w:val="hybridMultilevel"/>
    <w:tmpl w:val="802811E6"/>
    <w:lvl w:ilvl="0">
      <w:start w:val="1"/>
      <w:numFmt w:val="decimal"/>
      <w:lvlText w:val="%1."/>
      <w:lvlJc w:val="left"/>
      <w:pPr>
        <w:ind w:left="397" w:hanging="397"/>
      </w:pPr>
      <w:rPr>
        <w:rFonts w:ascii="Times New Roman" w:hAnsi="Times New Roman" w:eastAsiaTheme="majorEastAsia"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A27A92"/>
    <w:multiLevelType w:val="hybridMultilevel"/>
    <w:tmpl w:val="B5F89A8A"/>
    <w:lvl w:ilvl="0">
      <w:start w:val="1"/>
      <w:numFmt w:val="decimal"/>
      <w:lvlText w:val="%1."/>
      <w:lvlJc w:val="left"/>
      <w:pPr>
        <w:ind w:left="360" w:hanging="36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7D365B29"/>
    <w:multiLevelType w:val="multilevel"/>
    <w:tmpl w:val="E3AA6D54"/>
    <w:lvl w:ilvl="0">
      <w:start w:val="1"/>
      <w:numFmt w:val="hebrew1"/>
      <w:pStyle w:val="7323"/>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21"/>
  </w:num>
  <w:num w:numId="2">
    <w:abstractNumId w:val="14"/>
  </w:num>
  <w:num w:numId="3">
    <w:abstractNumId w:val="17"/>
  </w:num>
  <w:num w:numId="4">
    <w:abstractNumId w:val="27"/>
  </w:num>
  <w:num w:numId="5">
    <w:abstractNumId w:val="8"/>
  </w:num>
  <w:num w:numId="6">
    <w:abstractNumId w:val="18"/>
  </w:num>
  <w:num w:numId="7">
    <w:abstractNumId w:val="23"/>
  </w:num>
  <w:num w:numId="8">
    <w:abstractNumId w:val="9"/>
  </w:num>
  <w:num w:numId="9">
    <w:abstractNumId w:val="22"/>
  </w:num>
  <w:num w:numId="10">
    <w:abstractNumId w:val="10"/>
  </w:num>
  <w:num w:numId="11">
    <w:abstractNumId w:val="13"/>
  </w:num>
  <w:num w:numId="12">
    <w:abstractNumId w:val="11"/>
  </w:num>
  <w:num w:numId="13">
    <w:abstractNumId w:val="26"/>
  </w:num>
  <w:num w:numId="14">
    <w:abstractNumId w:val="20"/>
  </w:num>
  <w:num w:numId="15">
    <w:abstractNumId w:val="16"/>
  </w:num>
  <w:num w:numId="16">
    <w:abstractNumId w:val="19"/>
  </w:num>
  <w:num w:numId="17">
    <w:abstractNumId w:val="12"/>
  </w:num>
  <w:num w:numId="18">
    <w:abstractNumId w:val="25"/>
  </w:num>
  <w:num w:numId="19">
    <w:abstractNumId w:val="15"/>
  </w:num>
  <w:num w:numId="20">
    <w:abstractNumId w:val="24"/>
  </w:num>
  <w:num w:numId="21">
    <w:abstractNumId w:val="3"/>
  </w:num>
  <w:num w:numId="22">
    <w:abstractNumId w:val="4"/>
  </w:num>
  <w:num w:numId="23">
    <w:abstractNumId w:val="5"/>
  </w:num>
  <w:num w:numId="24">
    <w:abstractNumId w:val="6"/>
  </w:num>
  <w:num w:numId="25">
    <w:abstractNumId w:val="7"/>
  </w:num>
  <w:num w:numId="26">
    <w:abstractNumId w:val="0"/>
  </w:num>
  <w:num w:numId="27">
    <w:abstractNumId w:val="1"/>
  </w:num>
  <w:num w:numId="2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5"/>
  <w:displayBackgroundShape/>
  <w:gutterAtTop/>
  <w:proofState w:spelling="clean" w:grammar="clean"/>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autoHyphenation/>
  <w:evenAndOddHeaders/>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708"/>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17691"/>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2EA3"/>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5F78"/>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1EB0"/>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4C92"/>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53"/>
    <w:rsid w:val="0034038A"/>
    <w:rsid w:val="003405D2"/>
    <w:rsid w:val="003405E7"/>
    <w:rsid w:val="0034070F"/>
    <w:rsid w:val="00340C7C"/>
    <w:rsid w:val="00340CF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3B"/>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173D"/>
    <w:rsid w:val="003A22C1"/>
    <w:rsid w:val="003A239E"/>
    <w:rsid w:val="003A26D2"/>
    <w:rsid w:val="003A2AD0"/>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0C7A"/>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396"/>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02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352"/>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9D5"/>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6F9"/>
    <w:rsid w:val="005C6B05"/>
    <w:rsid w:val="005C6E27"/>
    <w:rsid w:val="005C7994"/>
    <w:rsid w:val="005C7ABF"/>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5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5D13"/>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AF"/>
    <w:rsid w:val="007069D0"/>
    <w:rsid w:val="0070704B"/>
    <w:rsid w:val="007074FC"/>
    <w:rsid w:val="00710AF8"/>
    <w:rsid w:val="00710BF9"/>
    <w:rsid w:val="00710F65"/>
    <w:rsid w:val="007123F2"/>
    <w:rsid w:val="00712ACD"/>
    <w:rsid w:val="0071327A"/>
    <w:rsid w:val="00713714"/>
    <w:rsid w:val="0071397B"/>
    <w:rsid w:val="007139D1"/>
    <w:rsid w:val="00713E05"/>
    <w:rsid w:val="007145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824"/>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27"/>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6E90"/>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0BC"/>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E7E96"/>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095"/>
    <w:rsid w:val="00906209"/>
    <w:rsid w:val="0090659B"/>
    <w:rsid w:val="0090660F"/>
    <w:rsid w:val="00906793"/>
    <w:rsid w:val="009068CE"/>
    <w:rsid w:val="0090698F"/>
    <w:rsid w:val="00906D38"/>
    <w:rsid w:val="00906E90"/>
    <w:rsid w:val="00906F53"/>
    <w:rsid w:val="0090752F"/>
    <w:rsid w:val="00907652"/>
    <w:rsid w:val="00907A2C"/>
    <w:rsid w:val="00907C3D"/>
    <w:rsid w:val="0091051D"/>
    <w:rsid w:val="00910533"/>
    <w:rsid w:val="00910C50"/>
    <w:rsid w:val="00911371"/>
    <w:rsid w:val="009117BF"/>
    <w:rsid w:val="00911A60"/>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4DF1"/>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56"/>
    <w:rsid w:val="0093709F"/>
    <w:rsid w:val="009376C0"/>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62E"/>
    <w:rsid w:val="0097174E"/>
    <w:rsid w:val="00971BE0"/>
    <w:rsid w:val="00971EFA"/>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A31"/>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5FAB"/>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091"/>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07E"/>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6F7"/>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39E"/>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4D2"/>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AA7"/>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032"/>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2C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5C14"/>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5BE1"/>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215"/>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5FD"/>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37C"/>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1F4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BFE"/>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BF7"/>
    <w:rsid w:val="00FF0C67"/>
    <w:rsid w:val="00FF0E6A"/>
    <w:rsid w:val="00FF0F69"/>
    <w:rsid w:val="00FF1623"/>
    <w:rsid w:val="00FF1E96"/>
    <w:rsid w:val="00FF21EF"/>
    <w:rsid w:val="00FF264B"/>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619"/>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1,Footnote Reference_1_0,Footnote Reference_2,Footnote Reference_2_0,Footnote Reference_3,Footnote Reference_4,fr,הפניה להערת שוליים חדש,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iPriority w:val="99"/>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נספח 2 מתוקן,פיסקת bullets"/>
    <w:basedOn w:val="Normal"/>
    <w:link w:val="a2"/>
    <w:uiPriority w:val="34"/>
    <w:qFormat/>
    <w:rsid w:val="003F6D65"/>
    <w:pPr>
      <w:ind w:left="720"/>
      <w:contextualSpacing/>
    </w:pPr>
  </w:style>
  <w:style w:type="paragraph" w:customStyle="1" w:styleId="731">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
    <w:name w:val="73א פעולות ביקורת"/>
    <w:basedOn w:val="217"/>
    <w:qFormat/>
    <w:rsid w:val="00F07E70"/>
    <w:pPr>
      <w:pBdr>
        <w:top w:val="double" w:sz="12" w:space="5" w:color="auto"/>
      </w:pBdr>
      <w:spacing w:before="360"/>
      <w:outlineLvl w:val="9"/>
    </w:pPr>
    <w:rPr>
      <w:b/>
      <w:noProof/>
      <w:sz w:val="31"/>
      <w:szCs w:val="31"/>
      <w:lang w:val="he-IL"/>
    </w:rPr>
  </w:style>
  <w:style w:type="character" w:styleId="Hyperlink">
    <w:name w:val="Hyperlink"/>
    <w:basedOn w:val="DefaultParagraphFont"/>
    <w:uiPriority w:val="99"/>
    <w:unhideWhenUsed/>
    <w:rsid w:val="005A4042"/>
    <w:rPr>
      <w:color w:val="6B9F25" w:themeColor="hyperlink"/>
      <w:u w:val="single"/>
    </w:rPr>
  </w:style>
  <w:style w:type="paragraph" w:customStyle="1" w:styleId="p00">
    <w:name w:val="p00"/>
    <w:basedOn w:val="Normal"/>
    <w:rsid w:val="00C24503"/>
    <w:pPr>
      <w:bidi w:val="0"/>
      <w:spacing w:before="100" w:beforeAutospacing="1" w:after="100" w:afterAutospacing="1" w:line="240" w:lineRule="auto"/>
      <w:jc w:val="left"/>
    </w:pPr>
    <w:rPr>
      <w:rFonts w:eastAsia="Times New Roman" w:cs="Times New Roman"/>
      <w:sz w:val="24"/>
    </w:rPr>
  </w:style>
  <w:style w:type="paragraph" w:styleId="Revision">
    <w:name w:val="Revision"/>
    <w:hidden/>
    <w:uiPriority w:val="99"/>
    <w:semiHidden/>
    <w:rsid w:val="00AF6A68"/>
    <w:pPr>
      <w:spacing w:after="0" w:line="240" w:lineRule="auto"/>
      <w:jc w:val="left"/>
    </w:pPr>
  </w:style>
  <w:style w:type="character" w:customStyle="1" w:styleId="default">
    <w:name w:val="default"/>
    <w:basedOn w:val="DefaultParagraphFont"/>
    <w:rsid w:val="00C24503"/>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0">
    <w:name w:val="כותרת 7 תו3"/>
    <w:basedOn w:val="DefaultParagraphFont"/>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2">
    <w:name w:val="73א קוביה רצה תו"/>
    <w:basedOn w:val="DefaultParagraphFont"/>
    <w:link w:val="7318"/>
    <w:rsid w:val="004B039B"/>
    <w:rPr>
      <w:rFonts w:ascii="Tahoma" w:eastAsia="Times New Roman" w:hAnsi="Tahoma" w:cs="Tahoma"/>
      <w:color w:val="0D0D0D" w:themeColor="text1" w:themeTint="F2"/>
      <w:sz w:val="18"/>
      <w:szCs w:val="18"/>
      <w:shd w:val="solid" w:color="CEEAF5" w:fill="auto"/>
      <w:lang w:eastAsia="he-IL"/>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GridTable4Accent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table" w:styleId="GridTable4Accent1">
    <w:name w:val="Grid Table 4 Accent 1"/>
    <w:basedOn w:val="TableNormal"/>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Caption">
    <w:name w:val="caption"/>
    <w:basedOn w:val="Normal"/>
    <w:next w:val="Normal"/>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Normal"/>
    <w:link w:val="121Char"/>
    <w:qFormat/>
    <w:rsid w:val="00454096"/>
    <w:pPr>
      <w:spacing w:before="1440"/>
      <w:jc w:val="center"/>
      <w:outlineLvl w:val="0"/>
    </w:pPr>
    <w:rPr>
      <w:rFonts w:ascii="Tahoma" w:hAnsi="Tahoma" w:eastAsiaTheme="minorEastAsia" w:cs="Tahoma"/>
      <w:color w:val="2A2AA6"/>
      <w:sz w:val="42"/>
      <w:szCs w:val="42"/>
    </w:rPr>
  </w:style>
  <w:style w:type="character" w:customStyle="1" w:styleId="alink">
    <w:name w:val="a_link"/>
    <w:basedOn w:val="DefaultParagraphFont"/>
    <w:rsid w:val="00417266"/>
    <w:rPr>
      <w:color w:val="0000FF"/>
    </w:rPr>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character" w:styleId="Emphasis">
    <w:name w:val="Emphasis"/>
    <w:basedOn w:val="DefaultParagraphFont"/>
    <w:uiPriority w:val="20"/>
    <w:qFormat/>
    <w:rsid w:val="00417266"/>
    <w:rPr>
      <w:i/>
      <w:iCs/>
    </w:rPr>
  </w:style>
  <w:style w:type="character" w:customStyle="1" w:styleId="26">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B26B02"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33155">
    <w:name w:val="73א כותרת 3_15.5"/>
    <w:basedOn w:val="Heading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3">
    <w:name w:val="73א הערות שוליים"/>
    <w:basedOn w:val="FootnoteText"/>
    <w:link w:val="7330"/>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4">
    <w:name w:val="73א לוחות/תרשימים/תמונות/אינפוגרפיקה/מפות"/>
    <w:basedOn w:val="Normal"/>
    <w:qFormat/>
    <w:rsid w:val="004B039B"/>
    <w:pPr>
      <w:keepNext/>
      <w:keepLines/>
      <w:widowControl w:val="0"/>
      <w:spacing w:before="240" w:after="240" w:line="260" w:lineRule="exact"/>
      <w:jc w:val="center"/>
      <w:outlineLvl w:val="6"/>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נספח 2 מתוקן תו,פיסקת bullets תו"/>
    <w:link w:val="ListParagraph"/>
    <w:uiPriority w:val="34"/>
    <w:rsid w:val="00DD7B55"/>
  </w:style>
  <w:style w:type="paragraph" w:customStyle="1" w:styleId="735">
    <w:name w:val="73א הזחה ראשונה מספר"/>
    <w:basedOn w:val="ListParagraph"/>
    <w:link w:val="7337"/>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6">
    <w:name w:val="73א הזחה שנייה ריק"/>
    <w:basedOn w:val="BodyTextIndent"/>
    <w:link w:val="7312"/>
    <w:qFormat/>
    <w:rsid w:val="0074714A"/>
    <w:pPr>
      <w:spacing w:after="180" w:line="260" w:lineRule="exact"/>
      <w:ind w:left="794"/>
    </w:pPr>
    <w:rPr>
      <w:color w:val="0D0D0D" w:themeColor="text1" w:themeTint="F2"/>
      <w:sz w:val="18"/>
      <w:szCs w:val="18"/>
    </w:rPr>
  </w:style>
  <w:style w:type="paragraph" w:customStyle="1" w:styleId="737">
    <w:name w:val="73א הזחה שנייה אותיות"/>
    <w:basedOn w:val="ListParagraph"/>
    <w:qFormat/>
    <w:rsid w:val="00591F15"/>
    <w:pPr>
      <w:spacing w:after="180" w:line="260" w:lineRule="exact"/>
      <w:ind w:left="0"/>
    </w:pPr>
    <w:rPr>
      <w:rFonts w:ascii="Tahoma" w:hAnsi="Tahoma" w:cs="Tahoma"/>
      <w:color w:val="0D0D0D" w:themeColor="text1" w:themeTint="F2"/>
      <w:sz w:val="18"/>
      <w:szCs w:val="18"/>
    </w:rPr>
  </w:style>
  <w:style w:type="paragraph" w:customStyle="1" w:styleId="738">
    <w:name w:val="73א מקרא+הערות לתרשים/לוח/תמונה"/>
    <w:basedOn w:val="733"/>
    <w:link w:val="7331"/>
    <w:qFormat/>
    <w:rsid w:val="004B039B"/>
    <w:pPr>
      <w:widowControl w:val="0"/>
      <w:spacing w:before="120" w:after="240" w:line="260" w:lineRule="exact"/>
      <w:ind w:left="0" w:firstLine="0"/>
    </w:pPr>
    <w:rPr>
      <w:sz w:val="16"/>
      <w:szCs w:val="16"/>
    </w:rPr>
  </w:style>
  <w:style w:type="paragraph" w:customStyle="1" w:styleId="739">
    <w:name w:val="73א קוביה כחולה הזחה שנייה"/>
    <w:basedOn w:val="Normal"/>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10">
    <w:name w:val="73א קוביה כחולה בתוך הזחה ראשונה"/>
    <w:basedOn w:val="739"/>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11">
    <w:name w:val="73א הזחה שנייה ללא מספר"/>
    <w:basedOn w:val="736"/>
    <w:link w:val="7313"/>
    <w:qFormat/>
    <w:rsid w:val="00543F8A"/>
  </w:style>
  <w:style w:type="character" w:customStyle="1" w:styleId="7312">
    <w:name w:val="73א הזחה שנייה ריק תו"/>
    <w:basedOn w:val="a"/>
    <w:link w:val="736"/>
    <w:rsid w:val="0074714A"/>
    <w:rPr>
      <w:rFonts w:ascii="Tahoma" w:hAnsi="Tahoma" w:cs="Tahoma"/>
      <w:color w:val="0D0D0D" w:themeColor="text1" w:themeTint="F2"/>
      <w:sz w:val="18"/>
      <w:szCs w:val="18"/>
    </w:rPr>
  </w:style>
  <w:style w:type="character" w:customStyle="1" w:styleId="7313">
    <w:name w:val="73א הזחה שנייה ללא מספר תו"/>
    <w:basedOn w:val="7312"/>
    <w:link w:val="7311"/>
    <w:rsid w:val="00543F8A"/>
    <w:rPr>
      <w:rFonts w:ascii="Tahoma" w:hAnsi="Tahoma" w:cs="Tahoma"/>
      <w:color w:val="0D0D0D" w:themeColor="text1" w:themeTint="F2"/>
      <w:sz w:val="18"/>
      <w:szCs w:val="18"/>
    </w:rPr>
  </w:style>
  <w:style w:type="paragraph" w:customStyle="1" w:styleId="7314">
    <w:name w:val="73א מספור הערות שוליים"/>
    <w:basedOn w:val="733"/>
    <w:qFormat/>
    <w:rsid w:val="003B639B"/>
  </w:style>
  <w:style w:type="paragraph" w:customStyle="1" w:styleId="73R">
    <w:name w:val="73א טבלה טקסט R"/>
    <w:basedOn w:val="Normal"/>
    <w:qFormat/>
    <w:rsid w:val="00520550"/>
    <w:pPr>
      <w:spacing w:before="120" w:after="120" w:line="180" w:lineRule="exact"/>
      <w:jc w:val="left"/>
    </w:pPr>
    <w:rPr>
      <w:rFonts w:ascii="Tahoma" w:hAnsi="Tahoma" w:eastAsiaTheme="minorEastAsia" w:cs="Tahoma"/>
      <w:sz w:val="16"/>
      <w:szCs w:val="16"/>
    </w:rPr>
  </w:style>
  <w:style w:type="paragraph" w:customStyle="1" w:styleId="73B">
    <w:name w:val="73א טבלה טקסט B"/>
    <w:basedOn w:val="Normal"/>
    <w:qFormat/>
    <w:rsid w:val="00520550"/>
    <w:pPr>
      <w:spacing w:before="120" w:after="120" w:line="180" w:lineRule="exact"/>
      <w:jc w:val="left"/>
    </w:pPr>
    <w:rPr>
      <w:rFonts w:ascii="Tahoma" w:hAnsi="Tahoma" w:eastAsiaTheme="minorEastAsia" w:cs="Tahoma"/>
      <w:b/>
      <w:bCs/>
      <w:sz w:val="16"/>
      <w:szCs w:val="16"/>
    </w:rPr>
  </w:style>
  <w:style w:type="paragraph" w:customStyle="1" w:styleId="73HEADER">
    <w:name w:val="73א טבלה HEADER"/>
    <w:basedOn w:val="Normal"/>
    <w:qFormat/>
    <w:rsid w:val="00520550"/>
    <w:pPr>
      <w:spacing w:before="120" w:after="120" w:line="180" w:lineRule="exact"/>
      <w:jc w:val="left"/>
    </w:pPr>
    <w:rPr>
      <w:rFonts w:ascii="Tahoma" w:hAnsi="Tahoma" w:eastAsiaTheme="minorEastAsia" w:cs="Tahoma"/>
      <w:b/>
      <w:color w:val="0D0D0D" w:themeColor="text1" w:themeTint="F2"/>
      <w:sz w:val="16"/>
      <w:szCs w:val="16"/>
    </w:rPr>
  </w:style>
  <w:style w:type="paragraph" w:customStyle="1" w:styleId="a3">
    <w:name w:val="כניסה שלישית"/>
    <w:basedOn w:val="ListParagraph"/>
    <w:qFormat/>
    <w:rsid w:val="008E5512"/>
    <w:pPr>
      <w:spacing w:after="120"/>
      <w:ind w:left="0"/>
    </w:pPr>
    <w:rPr>
      <w:rFonts w:ascii="Tahoma" w:hAnsi="Tahoma" w:cs="Tahoma"/>
      <w:szCs w:val="20"/>
    </w:rPr>
  </w:style>
  <w:style w:type="paragraph" w:customStyle="1" w:styleId="7315">
    <w:name w:val="73א הזחה שלישית"/>
    <w:basedOn w:val="7311"/>
    <w:qFormat/>
    <w:rsid w:val="00591F15"/>
    <w:pPr>
      <w:ind w:left="1191"/>
    </w:pPr>
  </w:style>
  <w:style w:type="paragraph" w:customStyle="1" w:styleId="7316">
    <w:name w:val="73א קוביה כחולה הזחה שלישית"/>
    <w:basedOn w:val="739"/>
    <w:qFormat/>
    <w:rsid w:val="00FF6AD9"/>
    <w:pPr>
      <w:framePr w:wrap="around" w:vAnchor="text" w:hAnchor="text" w:y="1"/>
      <w:shd w:val="solid" w:color="CEEAF6" w:fill="CEEAF6"/>
      <w:spacing w:after="120"/>
      <w:ind w:left="1474"/>
    </w:pPr>
  </w:style>
  <w:style w:type="paragraph" w:customStyle="1" w:styleId="15">
    <w:name w:val="קוביה הזחה 1"/>
    <w:basedOn w:val="739"/>
    <w:qFormat/>
    <w:rsid w:val="005C2859"/>
    <w:pPr>
      <w:ind w:left="680"/>
    </w:pPr>
  </w:style>
  <w:style w:type="paragraph" w:customStyle="1" w:styleId="7317">
    <w:name w:val="73א הזחה ראשונה ללא מספר"/>
    <w:basedOn w:val="7311"/>
    <w:qFormat/>
    <w:rsid w:val="003570AC"/>
    <w:pPr>
      <w:ind w:left="397"/>
    </w:pPr>
  </w:style>
  <w:style w:type="paragraph" w:customStyle="1" w:styleId="7318">
    <w:name w:val="73א קוביה רצה"/>
    <w:basedOn w:val="7310"/>
    <w:link w:val="732"/>
    <w:qFormat/>
    <w:rsid w:val="004B039B"/>
    <w:pPr>
      <w:ind w:left="227"/>
    </w:pPr>
  </w:style>
  <w:style w:type="paragraph" w:customStyle="1" w:styleId="73414">
    <w:name w:val="73א כותרת 4_14"/>
    <w:basedOn w:val="Heading4"/>
    <w:qFormat/>
    <w:rsid w:val="0078358A"/>
    <w:pPr>
      <w:spacing w:after="180" w:line="240" w:lineRule="atLeast"/>
      <w:jc w:val="left"/>
    </w:pPr>
    <w:rPr>
      <w:rFonts w:ascii="Tahoma" w:hAnsi="Tahoma" w:cs="Tahoma"/>
      <w:b/>
      <w:color w:val="00305F"/>
      <w:sz w:val="28"/>
      <w:szCs w:val="28"/>
    </w:rPr>
  </w:style>
  <w:style w:type="paragraph" w:customStyle="1" w:styleId="7319">
    <w:name w:val="73א הזחה בתוך קוביה"/>
    <w:basedOn w:val="7318"/>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20">
    <w:name w:val="73א מספרים בתוך קוביה"/>
    <w:basedOn w:val="7319"/>
    <w:rsid w:val="00520550"/>
  </w:style>
  <w:style w:type="paragraph" w:customStyle="1" w:styleId="73110">
    <w:name w:val="73א אותיות בתוך קוביה 1"/>
    <w:basedOn w:val="7320"/>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8">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semiHidden/>
    <w:unhideWhenUsed/>
    <w:rsid w:val="006D5CCE"/>
    <w:pPr>
      <w:spacing w:line="240" w:lineRule="auto"/>
    </w:pPr>
    <w:rPr>
      <w:szCs w:val="20"/>
    </w:rPr>
  </w:style>
  <w:style w:type="character" w:customStyle="1" w:styleId="a5">
    <w:name w:val="טקסט הערת סיום תו"/>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6"/>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9"/>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0">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6">
    <w:name w:val="כותרת 1 תו"/>
    <w:link w:val="110"/>
    <w:uiPriority w:val="1"/>
    <w:rsid w:val="002516DF"/>
    <w:rPr>
      <w:rFonts w:eastAsia="Times New Roman"/>
      <w:bCs/>
      <w:szCs w:val="36"/>
      <w:u w:val="single"/>
    </w:rPr>
  </w:style>
  <w:style w:type="character" w:customStyle="1" w:styleId="29">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0"/>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7">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7"/>
    <w:uiPriority w:val="99"/>
    <w:rsid w:val="002516DF"/>
    <w:rPr>
      <w:rFonts w:eastAsia="Calibri"/>
    </w:rPr>
  </w:style>
  <w:style w:type="paragraph" w:customStyle="1" w:styleId="18">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8"/>
    <w:uiPriority w:val="99"/>
    <w:rsid w:val="002516DF"/>
    <w:rPr>
      <w:rFonts w:eastAsia="Calibri"/>
    </w:rPr>
  </w:style>
  <w:style w:type="paragraph" w:customStyle="1" w:styleId="19">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9"/>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1">
    <w:name w:val="הפניה להערת שוליים1"/>
    <w:unhideWhenUsed/>
    <w:rsid w:val="002516DF"/>
    <w:rPr>
      <w:vertAlign w:val="superscript"/>
    </w:rPr>
  </w:style>
  <w:style w:type="paragraph" w:customStyle="1" w:styleId="112">
    <w:name w:val="פיסקת רשימה1"/>
    <w:basedOn w:val="Normal"/>
    <w:uiPriority w:val="34"/>
    <w:qFormat/>
    <w:rsid w:val="002516DF"/>
    <w:pPr>
      <w:ind w:left="720"/>
      <w:contextualSpacing/>
    </w:pPr>
    <w:rPr>
      <w:rFonts w:eastAsia="Calibri"/>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3">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3"/>
    <w:uiPriority w:val="99"/>
    <w:semiHidden/>
    <w:rsid w:val="002516DF"/>
    <w:rPr>
      <w:rFonts w:ascii="Tahoma" w:eastAsia="Calibri" w:hAnsi="Tahoma" w:cs="Tahoma"/>
      <w:sz w:val="18"/>
      <w:szCs w:val="18"/>
    </w:rPr>
  </w:style>
  <w:style w:type="paragraph" w:customStyle="1" w:styleId="114">
    <w:name w:val="גוף טקסט1"/>
    <w:basedOn w:val="Normal"/>
    <w:link w:val="115"/>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rsid w:val="002516DF"/>
  </w:style>
  <w:style w:type="character" w:customStyle="1" w:styleId="115">
    <w:name w:val="גוף טקסט תו1"/>
    <w:link w:val="114"/>
    <w:uiPriority w:val="99"/>
    <w:rsid w:val="002516DF"/>
    <w:rPr>
      <w:rFonts w:eastAsia="Times New Roman" w:cs="FrankRuehl"/>
      <w:sz w:val="22"/>
      <w:szCs w:val="22"/>
    </w:rPr>
  </w:style>
  <w:style w:type="character" w:customStyle="1" w:styleId="116">
    <w:name w:val="כותרת תחתונה תו1"/>
    <w:uiPriority w:val="99"/>
    <w:rsid w:val="002516DF"/>
    <w:rPr>
      <w:rFonts w:cs="David"/>
      <w:sz w:val="24"/>
      <w:szCs w:val="24"/>
    </w:rPr>
  </w:style>
  <w:style w:type="character" w:customStyle="1" w:styleId="117">
    <w:name w:val="טקסט הערת שוליים תו1"/>
    <w:aliases w:val="Sharp - Footnote Text1 Char תו"/>
    <w:locked/>
    <w:rsid w:val="002516DF"/>
    <w:rPr>
      <w:rFonts w:cs="David"/>
      <w:sz w:val="20"/>
      <w:szCs w:val="20"/>
      <w:lang w:bidi="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18">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19">
    <w:name w:val="הפניה להערה1"/>
    <w:uiPriority w:val="99"/>
    <w:semiHidden/>
    <w:unhideWhenUsed/>
    <w:rsid w:val="002516DF"/>
    <w:rPr>
      <w:sz w:val="16"/>
      <w:szCs w:val="16"/>
    </w:rPr>
  </w:style>
  <w:style w:type="paragraph" w:customStyle="1" w:styleId="120">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0"/>
    <w:uiPriority w:val="99"/>
    <w:rsid w:val="002516DF"/>
    <w:rPr>
      <w:rFonts w:eastAsia="Calibri"/>
      <w:szCs w:val="20"/>
    </w:rPr>
  </w:style>
  <w:style w:type="paragraph" w:customStyle="1" w:styleId="122">
    <w:name w:val="נושא הערה1"/>
    <w:basedOn w:val="120"/>
    <w:next w:val="120"/>
    <w:link w:val="a14"/>
    <w:uiPriority w:val="99"/>
    <w:semiHidden/>
    <w:unhideWhenUsed/>
    <w:rsid w:val="002516DF"/>
    <w:rPr>
      <w:b/>
      <w:bCs/>
    </w:rPr>
  </w:style>
  <w:style w:type="character" w:customStyle="1" w:styleId="a14">
    <w:name w:val="נושא הערה תו"/>
    <w:link w:val="122"/>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0D5571" w:themeColor="accent1" w:themeShade="7F"/>
      <w:sz w:val="24"/>
      <w:szCs w:val="24"/>
    </w:rPr>
  </w:style>
  <w:style w:type="character" w:customStyle="1" w:styleId="123">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DefaultParagraphFont"/>
    <w:rsid w:val="00387987"/>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21">
    <w:name w:val="73א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22">
    <w:name w:val="73א כוכבית בתוך קוביה"/>
    <w:basedOn w:val="7318"/>
    <w:qFormat/>
    <w:rsid w:val="001F0DE8"/>
    <w:pPr>
      <w:jc w:val="center"/>
    </w:pPr>
    <w:rPr>
      <w:rFonts w:ascii="Segoe UI Symbol" w:hAnsi="Segoe UI Symbol" w:cs="Segoe UI Symbol"/>
    </w:rPr>
  </w:style>
  <w:style w:type="paragraph" w:customStyle="1" w:styleId="7323">
    <w:name w:val="73א הזחה אותיות"/>
    <w:basedOn w:val="ListParagraph"/>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24">
    <w:name w:val="73א מספור בתוך קוביה"/>
    <w:basedOn w:val="ListParagraph"/>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12"/>
    <w:unhideWhenUsed/>
    <w:rsid w:val="00114E4E"/>
    <w:pPr>
      <w:spacing w:after="120"/>
    </w:pPr>
  </w:style>
  <w:style w:type="character" w:customStyle="1" w:styleId="212">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Normal"/>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Normal"/>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TableNormal"/>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18">
    <w:name w:val="טבלה הערות מתחת"/>
    <w:basedOn w:val="733"/>
    <w:qFormat/>
    <w:rsid w:val="00771BEC"/>
    <w:pPr>
      <w:spacing w:before="120"/>
    </w:pPr>
  </w:style>
  <w:style w:type="paragraph" w:customStyle="1" w:styleId="7325">
    <w:name w:val="73א אותיות רשימה א"/>
    <w:aliases w:val="ב"/>
    <w:basedOn w:val="ListParagraph"/>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paragraph" w:customStyle="1" w:styleId="7380">
    <w:name w:val="73א כותרת 8"/>
    <w:basedOn w:val="Heading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4">
    <w:name w:val="כותרת טקסט1"/>
    <w:basedOn w:val="DefaultParagraphFont"/>
    <w:rsid w:val="00D81F77"/>
  </w:style>
  <w:style w:type="paragraph" w:customStyle="1" w:styleId="a23">
    <w:name w:val="כותרת סעיף"/>
    <w:basedOn w:val="Normal"/>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ListParagraph"/>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4">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character" w:customStyle="1" w:styleId="21Char">
    <w:name w:val="הערות שוליים 21 Char"/>
    <w:basedOn w:val="3"/>
    <w:link w:val="214"/>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DefaultParagraphFont"/>
    <w:link w:val="121"/>
    <w:rsid w:val="00454096"/>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hAnsi="Tahoma" w:eastAsiaTheme="minorEastAsia" w:cs="Tahoma"/>
      <w:color w:val="0D0D0D" w:themeColor="text1" w:themeTint="F2"/>
      <w:w w:val="90"/>
      <w:sz w:val="18"/>
      <w:szCs w:val="18"/>
    </w:rPr>
  </w:style>
  <w:style w:type="paragraph" w:customStyle="1" w:styleId="215">
    <w:name w:val="סיכום תקציר 21"/>
    <w:basedOn w:val="Normal"/>
    <w:link w:val="21Char0"/>
    <w:qFormat/>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216">
    <w:name w:val="עיקרי המלצות הביקורת 21"/>
    <w:basedOn w:val="Normal"/>
    <w:link w:val="21Char1"/>
    <w:qFormat/>
    <w:rsid w:val="00454096"/>
    <w:pPr>
      <w:spacing w:after="180" w:line="240" w:lineRule="atLeast"/>
      <w:jc w:val="left"/>
      <w:outlineLvl w:val="1"/>
    </w:pPr>
    <w:rPr>
      <w:rFonts w:ascii="Tahoma" w:hAnsi="Tahoma" w:eastAsiaTheme="minorEastAsia" w:cs="Tahoma"/>
      <w:b/>
      <w:bCs/>
      <w:color w:val="002E5F"/>
      <w:sz w:val="34"/>
      <w:szCs w:val="32"/>
    </w:rPr>
  </w:style>
  <w:style w:type="character" w:customStyle="1" w:styleId="21Char0">
    <w:name w:val="סיכום תקציר 21 Char"/>
    <w:basedOn w:val="DefaultParagraphFont"/>
    <w:link w:val="215"/>
    <w:rsid w:val="00454096"/>
    <w:rPr>
      <w:rFonts w:ascii="Tahoma" w:hAnsi="Tahoma" w:eastAsiaTheme="minorEastAsia" w:cs="Tahoma"/>
      <w:b/>
      <w:bCs/>
      <w:color w:val="00305F"/>
      <w:sz w:val="34"/>
      <w:szCs w:val="32"/>
    </w:rPr>
  </w:style>
  <w:style w:type="paragraph" w:customStyle="1" w:styleId="217">
    <w:name w:val="פעולות הביקורת 21"/>
    <w:basedOn w:val="Normal"/>
    <w:link w:val="21Char2"/>
    <w:qFormat/>
    <w:rsid w:val="00454096"/>
    <w:pPr>
      <w:spacing w:after="180" w:line="240" w:lineRule="atLeast"/>
      <w:jc w:val="left"/>
      <w:outlineLvl w:val="1"/>
    </w:pPr>
    <w:rPr>
      <w:rFonts w:ascii="Tahoma" w:hAnsi="Tahoma" w:eastAsiaTheme="minorEastAsia" w:cs="Tahoma"/>
      <w:bCs/>
      <w:color w:val="00305F"/>
      <w:sz w:val="32"/>
      <w:szCs w:val="32"/>
    </w:rPr>
  </w:style>
  <w:style w:type="character" w:customStyle="1" w:styleId="21Char1">
    <w:name w:val="עיקרי המלצות הביקורת 21 Char"/>
    <w:basedOn w:val="DefaultParagraphFont"/>
    <w:link w:val="216"/>
    <w:rsid w:val="00454096"/>
    <w:rPr>
      <w:rFonts w:ascii="Tahoma" w:hAnsi="Tahoma" w:eastAsiaTheme="minorEastAsia" w:cs="Tahoma"/>
      <w:b/>
      <w:bCs/>
      <w:color w:val="002E5F"/>
      <w:sz w:val="34"/>
      <w:szCs w:val="32"/>
    </w:rPr>
  </w:style>
  <w:style w:type="character" w:customStyle="1" w:styleId="21Char2">
    <w:name w:val="פעולות הביקורת 21 Char"/>
    <w:basedOn w:val="DefaultParagraphFont"/>
    <w:link w:val="217"/>
    <w:rsid w:val="00454096"/>
    <w:rPr>
      <w:rFonts w:ascii="Tahoma" w:hAnsi="Tahoma" w:eastAsiaTheme="minorEastAsia" w:cs="Tahoma"/>
      <w:b w:val="0"/>
      <w:bCs/>
      <w:color w:val="00305F"/>
      <w:sz w:val="32"/>
      <w:szCs w:val="32"/>
    </w:rPr>
  </w:style>
  <w:style w:type="paragraph" w:customStyle="1" w:styleId="219">
    <w:name w:val="פעולות הביקורת21"/>
    <w:basedOn w:val="Normal"/>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Normal"/>
    <w:rsid w:val="00454096"/>
    <w:pPr>
      <w:spacing w:after="180" w:line="240" w:lineRule="atLeast"/>
      <w:jc w:val="left"/>
      <w:outlineLvl w:val="1"/>
    </w:pPr>
    <w:rPr>
      <w:rFonts w:ascii="Tahoma" w:hAnsi="Tahoma" w:eastAsiaTheme="minorEastAsia" w:cs="Tahoma"/>
      <w:b/>
      <w:bCs/>
      <w:color w:val="00305F"/>
      <w:sz w:val="34"/>
      <w:szCs w:val="32"/>
    </w:rPr>
  </w:style>
  <w:style w:type="paragraph" w:customStyle="1" w:styleId="a26">
    <w:name w:val="לוחות/תרשימים/תמונות/אינפוגרפיקה/מפות"/>
    <w:basedOn w:val="Normal"/>
    <w:qFormat/>
    <w:rsid w:val="00A93F51"/>
    <w:pPr>
      <w:keepNext/>
      <w:spacing w:after="200"/>
      <w:jc w:val="center"/>
    </w:pPr>
    <w:rPr>
      <w:rFonts w:ascii="Tahoma" w:hAnsi="Tahoma" w:eastAsiaTheme="minorEastAsia" w:cs="Tahoma"/>
      <w:color w:val="1481AB" w:themeColor="accent1" w:themeShade="BF"/>
      <w:szCs w:val="20"/>
    </w:rPr>
  </w:style>
  <w:style w:type="paragraph" w:customStyle="1" w:styleId="7326">
    <w:name w:val="73א כותרת סיכום"/>
    <w:basedOn w:val="733155"/>
    <w:qFormat/>
    <w:rsid w:val="00662020"/>
    <w:rPr>
      <w:b w:val="0"/>
    </w:rPr>
  </w:style>
  <w:style w:type="paragraph" w:customStyle="1" w:styleId="7327">
    <w:name w:val="73א תמונת המצב העולה מן הביקורת"/>
    <w:basedOn w:val="217"/>
    <w:link w:val="7328"/>
    <w:qFormat/>
    <w:rsid w:val="00F07E70"/>
    <w:pPr>
      <w:keepNext/>
      <w:keepLines/>
      <w:pBdr>
        <w:top w:val="single" w:sz="12" w:space="5" w:color="auto"/>
      </w:pBdr>
      <w:spacing w:before="360"/>
      <w:outlineLvl w:val="9"/>
    </w:pPr>
    <w:rPr>
      <w:sz w:val="31"/>
      <w:szCs w:val="31"/>
    </w:rPr>
  </w:style>
  <w:style w:type="character" w:customStyle="1" w:styleId="7328">
    <w:name w:val="73א תמונת המצב העולה מן הביקורת תו"/>
    <w:basedOn w:val="21Char2"/>
    <w:link w:val="7327"/>
    <w:rsid w:val="00F07E70"/>
    <w:rPr>
      <w:rFonts w:ascii="Tahoma" w:hAnsi="Tahoma" w:eastAsiaTheme="minorEastAsia" w:cs="Tahoma"/>
      <w:b w:val="0"/>
      <w:bCs/>
      <w:color w:val="00305F"/>
      <w:sz w:val="31"/>
      <w:szCs w:val="31"/>
    </w:rPr>
  </w:style>
  <w:style w:type="paragraph" w:customStyle="1" w:styleId="7329">
    <w:name w:val="73א כותרת 2"/>
    <w:link w:val="73210"/>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0">
    <w:name w:val="73א כותרת 2 תו"/>
    <w:basedOn w:val="DefaultParagraphFont"/>
    <w:link w:val="7329"/>
    <w:rsid w:val="00BB0517"/>
    <w:rPr>
      <w:rFonts w:ascii="Tahoma" w:hAnsi="Tahoma" w:cs="Tahoma"/>
      <w:b/>
      <w:bCs/>
      <w:color w:val="00305F"/>
      <w:sz w:val="34"/>
      <w:szCs w:val="34"/>
    </w:rPr>
  </w:style>
  <w:style w:type="character" w:customStyle="1" w:styleId="7330">
    <w:name w:val="73א הערות שוליים תו"/>
    <w:basedOn w:val="3"/>
    <w:link w:val="733"/>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8"/>
    <w:link w:val="7301"/>
    <w:qFormat/>
    <w:rsid w:val="00050995"/>
    <w:pPr>
      <w:spacing w:after="0"/>
    </w:pPr>
  </w:style>
  <w:style w:type="character" w:customStyle="1" w:styleId="7331">
    <w:name w:val="73א מקרא+הערות לתרשים/לוח/תמונה תו"/>
    <w:basedOn w:val="7330"/>
    <w:link w:val="738"/>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31"/>
    <w:link w:val="7300"/>
    <w:rsid w:val="00050995"/>
    <w:rPr>
      <w:rFonts w:ascii="Tahoma" w:hAnsi="Tahoma" w:cs="Tahoma"/>
      <w:color w:val="0D0D0D" w:themeColor="text1" w:themeTint="F2"/>
      <w:sz w:val="16"/>
      <w:szCs w:val="16"/>
    </w:rPr>
  </w:style>
  <w:style w:type="paragraph" w:customStyle="1" w:styleId="7390">
    <w:name w:val="73א בולד 9 בתוך שורה"/>
    <w:basedOn w:val="219"/>
    <w:link w:val="7391"/>
    <w:qFormat/>
    <w:rsid w:val="00FF6AD9"/>
    <w:pPr>
      <w:ind w:left="397"/>
    </w:pPr>
    <w:rPr>
      <w:bCs/>
      <w:noProof/>
      <w:color w:val="0D0D0D" w:themeColor="text1" w:themeTint="F2"/>
      <w:lang w:val="he-IL"/>
    </w:rPr>
  </w:style>
  <w:style w:type="character" w:customStyle="1" w:styleId="21Char3">
    <w:name w:val="פעולות הביקורת21 Char"/>
    <w:basedOn w:val="DefaultParagraphFont"/>
    <w:link w:val="219"/>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3">
    <w:name w:val="שורת רווח לפני כותרת 3 בטקסט רץ"/>
    <w:basedOn w:val="Normal"/>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DefaultParagraphFont"/>
    <w:link w:val="33"/>
    <w:rsid w:val="001F3363"/>
    <w:rPr>
      <w:rFonts w:ascii="Tahoma" w:hAnsi="Tahoma" w:cs="Tahoma"/>
      <w:color w:val="0D0D0D" w:themeColor="text1" w:themeTint="F2"/>
      <w:sz w:val="18"/>
      <w:szCs w:val="18"/>
    </w:rPr>
  </w:style>
  <w:style w:type="paragraph" w:customStyle="1" w:styleId="73111">
    <w:name w:val="73א מרווח של 1 בטקס רץ"/>
    <w:basedOn w:val="Normal"/>
    <w:link w:val="73112"/>
    <w:qFormat/>
    <w:rsid w:val="001F3363"/>
    <w:pPr>
      <w:spacing w:after="180" w:line="260" w:lineRule="exact"/>
    </w:pPr>
    <w:rPr>
      <w:rFonts w:ascii="Tahoma" w:hAnsi="Tahoma" w:cs="Tahoma"/>
      <w:color w:val="0D0D0D" w:themeColor="text1" w:themeTint="F2"/>
      <w:spacing w:val="20"/>
      <w:sz w:val="18"/>
      <w:szCs w:val="18"/>
    </w:rPr>
  </w:style>
  <w:style w:type="character" w:customStyle="1" w:styleId="73112">
    <w:name w:val="73א מרווח של 1 בטקס רץ תו"/>
    <w:basedOn w:val="DefaultParagraphFont"/>
    <w:link w:val="73111"/>
    <w:rsid w:val="001F3363"/>
    <w:rPr>
      <w:rFonts w:ascii="Tahoma" w:hAnsi="Tahoma" w:cs="Tahoma"/>
      <w:color w:val="0D0D0D" w:themeColor="text1" w:themeTint="F2"/>
      <w:spacing w:val="20"/>
      <w:sz w:val="18"/>
      <w:szCs w:val="18"/>
    </w:rPr>
  </w:style>
  <w:style w:type="paragraph" w:customStyle="1" w:styleId="a27">
    <w:name w:val="כותרת לבנה בתוך תבנית אדומה בתקציר"/>
    <w:basedOn w:val="Normal"/>
    <w:link w:val="Char6"/>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32">
    <w:name w:val="73א כותרת לבנה בתוך תבנית אדומה בתקציר"/>
    <w:basedOn w:val="a27"/>
    <w:link w:val="7333"/>
    <w:qFormat/>
    <w:rsid w:val="009D41AC"/>
  </w:style>
  <w:style w:type="character" w:customStyle="1" w:styleId="Char6">
    <w:name w:val="כותרת לבנה בתוך תבנית אדומה בתקציר Char"/>
    <w:basedOn w:val="DefaultParagraphFont"/>
    <w:link w:val="a27"/>
    <w:rsid w:val="009D41AC"/>
    <w:rPr>
      <w:rFonts w:ascii="Tahoma" w:hAnsi="Tahoma" w:cs="Tahoma"/>
      <w:b/>
      <w:bCs/>
      <w:color w:val="FFFFFF" w:themeColor="background1"/>
      <w:sz w:val="22"/>
      <w:szCs w:val="22"/>
    </w:rPr>
  </w:style>
  <w:style w:type="character" w:customStyle="1" w:styleId="7333">
    <w:name w:val="73א כותרת לבנה בתוך תבנית אדומה בתקציר תו"/>
    <w:basedOn w:val="Char6"/>
    <w:link w:val="7332"/>
    <w:rsid w:val="009D41AC"/>
    <w:rPr>
      <w:rFonts w:ascii="Tahoma" w:hAnsi="Tahoma" w:cs="Tahoma"/>
      <w:b/>
      <w:bCs/>
      <w:color w:val="FFFFFF" w:themeColor="background1"/>
      <w:sz w:val="22"/>
      <w:szCs w:val="22"/>
    </w:rPr>
  </w:style>
  <w:style w:type="paragraph" w:customStyle="1" w:styleId="73113">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334">
    <w:name w:val="73א היפרלינק"/>
    <w:basedOn w:val="733"/>
    <w:link w:val="7335"/>
    <w:qFormat/>
    <w:rsid w:val="009578F0"/>
    <w:pPr>
      <w:bidi w:val="0"/>
    </w:pPr>
    <w:rPr>
      <w:color w:val="6090CC"/>
      <w:u w:val="single"/>
    </w:rPr>
  </w:style>
  <w:style w:type="character" w:customStyle="1" w:styleId="7335">
    <w:name w:val="73א היפרלינק תו"/>
    <w:basedOn w:val="7330"/>
    <w:link w:val="7334"/>
    <w:rsid w:val="009578F0"/>
    <w:rPr>
      <w:rFonts w:ascii="Tahoma" w:hAnsi="Tahoma" w:cs="Tahoma"/>
      <w:color w:val="6090CC"/>
      <w:sz w:val="14"/>
      <w:szCs w:val="14"/>
      <w:u w:val="single"/>
    </w:rPr>
  </w:style>
  <w:style w:type="paragraph" w:customStyle="1" w:styleId="7336">
    <w:name w:val="73א קוביה כחולה עם מספר מוזח"/>
    <w:basedOn w:val="735"/>
    <w:link w:val="7338"/>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37">
    <w:name w:val="73א הזחה ראשונה מספר תו"/>
    <w:basedOn w:val="a2"/>
    <w:link w:val="735"/>
    <w:rsid w:val="00BE57E3"/>
    <w:rPr>
      <w:rFonts w:ascii="Tahoma" w:hAnsi="Tahoma" w:cs="Tahoma"/>
      <w:color w:val="0D0D0D" w:themeColor="text1" w:themeTint="F2"/>
      <w:sz w:val="18"/>
      <w:szCs w:val="18"/>
    </w:rPr>
  </w:style>
  <w:style w:type="character" w:customStyle="1" w:styleId="7338">
    <w:name w:val="73א קוביה כחולה עם מספר מוזח תו"/>
    <w:basedOn w:val="7337"/>
    <w:link w:val="7336"/>
    <w:rsid w:val="00FF6AD9"/>
    <w:rPr>
      <w:rFonts w:ascii="Tahoma" w:hAnsi="Tahoma" w:cs="Tahoma"/>
      <w:color w:val="0D0D0D" w:themeColor="text1" w:themeTint="F2"/>
      <w:sz w:val="18"/>
      <w:szCs w:val="18"/>
      <w:shd w:val="clear" w:color="auto" w:fill="CEEAF6"/>
    </w:rPr>
  </w:style>
  <w:style w:type="paragraph" w:customStyle="1" w:styleId="7339">
    <w:name w:val="73א כותרת טקסט רץ מודגשת"/>
    <w:basedOn w:val="Normal"/>
    <w:link w:val="7340"/>
    <w:qFormat/>
    <w:rsid w:val="001F3363"/>
    <w:pPr>
      <w:spacing w:after="180" w:line="260" w:lineRule="exact"/>
    </w:pPr>
    <w:rPr>
      <w:rFonts w:ascii="Tahoma" w:hAnsi="Tahoma" w:cs="Tahoma"/>
      <w:b/>
      <w:bCs/>
      <w:color w:val="0D0D0D" w:themeColor="text1" w:themeTint="F2"/>
      <w:sz w:val="18"/>
      <w:szCs w:val="18"/>
    </w:rPr>
  </w:style>
  <w:style w:type="character" w:customStyle="1" w:styleId="7340">
    <w:name w:val="73א כותרת טקסט רץ מודגשת תו"/>
    <w:basedOn w:val="DefaultParagraphFont"/>
    <w:link w:val="7339"/>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37"/>
    <w:link w:val="7370"/>
    <w:rsid w:val="0078358A"/>
    <w:rPr>
      <w:rFonts w:ascii="Tahoma" w:hAnsi="Tahoma" w:cs="Tahoma"/>
      <w:bCs/>
      <w:color w:val="0D0D0D" w:themeColor="text1" w:themeTint="F2"/>
      <w:sz w:val="18"/>
      <w:szCs w:val="18"/>
    </w:rPr>
  </w:style>
  <w:style w:type="paragraph" w:customStyle="1" w:styleId="P110">
    <w:name w:val="P11"/>
    <w:basedOn w:val="Normal"/>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2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29">
    <w:name w:val="נבנצאל תו"/>
    <w:basedOn w:val="DefaultParagraphFont"/>
    <w:link w:val="a30"/>
    <w:uiPriority w:val="99"/>
    <w:locked/>
    <w:rsid w:val="00905FB1"/>
    <w:rPr>
      <w:szCs w:val="20"/>
    </w:rPr>
  </w:style>
  <w:style w:type="paragraph" w:customStyle="1" w:styleId="a30">
    <w:name w:val="נבנצאל"/>
    <w:basedOn w:val="Normal"/>
    <w:next w:val="Normal"/>
    <w:link w:val="a29"/>
    <w:uiPriority w:val="99"/>
    <w:rsid w:val="00905FB1"/>
    <w:pPr>
      <w:ind w:left="-567"/>
    </w:pPr>
    <w:rPr>
      <w:szCs w:val="20"/>
    </w:rPr>
  </w:style>
  <w:style w:type="paragraph" w:styleId="DocumentMap">
    <w:name w:val="Document Map"/>
    <w:basedOn w:val="Normal"/>
    <w:link w:val="a31"/>
    <w:uiPriority w:val="99"/>
    <w:semiHidden/>
    <w:unhideWhenUsed/>
    <w:rsid w:val="0030451F"/>
    <w:pPr>
      <w:spacing w:line="240" w:lineRule="auto"/>
    </w:pPr>
    <w:rPr>
      <w:rFonts w:ascii="Tahoma" w:hAnsi="Tahoma" w:cs="Tahoma"/>
      <w:sz w:val="16"/>
      <w:szCs w:val="16"/>
    </w:rPr>
  </w:style>
  <w:style w:type="character" w:customStyle="1" w:styleId="a31">
    <w:name w:val="מפת מסמך תו"/>
    <w:basedOn w:val="DefaultParagraphFont"/>
    <w:link w:val="DocumentMap"/>
    <w:uiPriority w:val="99"/>
    <w:semiHidden/>
    <w:rsid w:val="0030451F"/>
    <w:rPr>
      <w:rFonts w:ascii="Tahoma" w:hAnsi="Tahoma" w:cs="Tahoma"/>
      <w:sz w:val="16"/>
      <w:szCs w:val="16"/>
    </w:rPr>
  </w:style>
  <w:style w:type="paragraph" w:customStyle="1" w:styleId="125">
    <w:name w:val="סגנון1"/>
    <w:basedOn w:val="Caption"/>
    <w:qFormat/>
    <w:rsid w:val="0030451F"/>
    <w:pPr>
      <w:jc w:val="center"/>
    </w:pPr>
    <w:rPr>
      <w:b/>
      <w:bCs/>
      <w:iCs w:val="0"/>
      <w:color w:val="000000" w:themeColor="text1"/>
      <w:sz w:val="24"/>
      <w:szCs w:val="24"/>
    </w:rPr>
  </w:style>
  <w:style w:type="paragraph" w:customStyle="1" w:styleId="220">
    <w:name w:val="סגנון2"/>
    <w:basedOn w:val="Caption"/>
    <w:autoRedefine/>
    <w:qFormat/>
    <w:rsid w:val="0030451F"/>
    <w:pPr>
      <w:jc w:val="center"/>
    </w:pPr>
    <w:rPr>
      <w:b/>
      <w:bCs/>
      <w:iCs w:val="0"/>
      <w:color w:val="000000" w:themeColor="text1"/>
      <w:sz w:val="24"/>
      <w:szCs w:val="24"/>
    </w:rPr>
  </w:style>
  <w:style w:type="paragraph" w:customStyle="1" w:styleId="34">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32">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Normal"/>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DefaultParagraphFont"/>
    <w:link w:val="-8"/>
    <w:rsid w:val="001F3363"/>
    <w:rPr>
      <w:rFonts w:ascii="Tahoma" w:hAnsi="Tahoma" w:cs="Tahoma"/>
      <w:color w:val="00305F"/>
      <w:spacing w:val="20"/>
      <w:sz w:val="18"/>
      <w:szCs w:val="18"/>
    </w:rPr>
  </w:style>
  <w:style w:type="paragraph" w:customStyle="1" w:styleId="7350">
    <w:name w:val="73א כותרת 5 בתוך טקסט מודגש"/>
    <w:basedOn w:val="Normal"/>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DefaultParagraphFont"/>
    <w:link w:val="7350"/>
    <w:rsid w:val="001F3363"/>
    <w:rPr>
      <w:rFonts w:ascii="Tahoma" w:hAnsi="Tahoma" w:cs="Tahoma"/>
      <w:bCs/>
      <w:color w:val="00305F"/>
      <w:sz w:val="18"/>
      <w:szCs w:val="18"/>
    </w:rPr>
  </w:style>
  <w:style w:type="paragraph" w:customStyle="1" w:styleId="7381">
    <w:name w:val="73א כותרת 8 בתוך טקסט"/>
    <w:basedOn w:val="Normal"/>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DefaultParagraphFont"/>
    <w:link w:val="7381"/>
    <w:rsid w:val="0078358A"/>
    <w:rPr>
      <w:rFonts w:ascii="Tahoma" w:hAnsi="Tahoma" w:cs="Tahoma"/>
      <w:color w:val="0D0D0D" w:themeColor="text1" w:themeTint="F2"/>
      <w:spacing w:val="20"/>
      <w:sz w:val="19"/>
      <w:szCs w:val="18"/>
    </w:rPr>
  </w:style>
  <w:style w:type="paragraph" w:styleId="NormalWeb">
    <w:name w:val="Normal (Web)"/>
    <w:basedOn w:val="Normal"/>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41">
    <w:name w:val="73א מקרא+הערות לתרשים/לוח/תמונה כוכבית"/>
    <w:basedOn w:val="738"/>
    <w:qFormat/>
    <w:rsid w:val="002F430E"/>
    <w:pPr>
      <w:framePr w:wrap="around" w:vAnchor="text" w:hAnchor="text" w:y="1"/>
    </w:pPr>
  </w:style>
  <w:style w:type="paragraph" w:customStyle="1" w:styleId="a33">
    <w:name w:val="הערות לתרשימים"/>
    <w:basedOn w:val="738"/>
    <w:next w:val="733"/>
    <w:qFormat/>
    <w:rsid w:val="007A3AB1"/>
    <w:pPr>
      <w:framePr w:wrap="around" w:vAnchor="text" w:hAnchor="text" w:y="1"/>
      <w:spacing w:after="0"/>
    </w:pPr>
  </w:style>
  <w:style w:type="paragraph" w:customStyle="1" w:styleId="90">
    <w:name w:val="טקסט רץ 9 מודגש חדש"/>
    <w:basedOn w:val="Normal"/>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DefaultParagraphFont"/>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Normal"/>
    <w:qFormat/>
    <w:rsid w:val="003570AC"/>
    <w:pPr>
      <w:ind w:left="2268"/>
    </w:pPr>
    <w:rPr>
      <w:rFonts w:ascii="Tahoma" w:hAnsi="Tahoma" w:cs="Tahoma"/>
      <w:sz w:val="18"/>
      <w:szCs w:val="18"/>
    </w:rPr>
  </w:style>
  <w:style w:type="paragraph" w:customStyle="1" w:styleId="-2">
    <w:name w:val="עמוד שער פנימי - שם החטיבה"/>
    <w:basedOn w:val="Normal"/>
    <w:qFormat/>
    <w:rsid w:val="003570AC"/>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3570AC"/>
    <w:pPr>
      <w:spacing w:before="360" w:line="600" w:lineRule="exact"/>
      <w:ind w:left="2268"/>
      <w:jc w:val="left"/>
    </w:pPr>
    <w:rPr>
      <w:rFonts w:ascii="Tahoma" w:hAnsi="Tahoma" w:cs="Tahoma"/>
      <w:b/>
      <w:bCs/>
      <w:sz w:val="40"/>
      <w:szCs w:val="40"/>
    </w:rPr>
  </w:style>
  <w:style w:type="paragraph" w:customStyle="1" w:styleId="a34">
    <w:name w:val="מספרים גדולים בנתוני מפתח"/>
    <w:basedOn w:val="Normal"/>
    <w:qFormat/>
    <w:rsid w:val="002D4D38"/>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24"/>
    <w:link w:val="7393"/>
    <w:qFormat/>
    <w:rsid w:val="0078358A"/>
    <w:rPr>
      <w:color w:val="0D0D0D" w:themeColor="text1" w:themeTint="F2"/>
      <w:sz w:val="18"/>
    </w:rPr>
  </w:style>
  <w:style w:type="character" w:customStyle="1" w:styleId="7393">
    <w:name w:val="73א טקסט רץ 9 תו"/>
    <w:basedOn w:val="Char4"/>
    <w:link w:val="7392"/>
    <w:rsid w:val="0078358A"/>
    <w:rPr>
      <w:rFonts w:ascii="Tahoma" w:hAnsi="Tahoma" w:cs="Tahoma"/>
      <w:color w:val="0D0D0D" w:themeColor="text1" w:themeTint="F2"/>
      <w:sz w:val="18"/>
      <w:szCs w:val="18"/>
    </w:rPr>
  </w:style>
  <w:style w:type="character" w:styleId="SubtleReference">
    <w:name w:val="Subtle Reference"/>
    <w:basedOn w:val="DefaultParagraphFont"/>
    <w:uiPriority w:val="31"/>
    <w:rsid w:val="003B23BE"/>
    <w:rPr>
      <w:smallCaps/>
      <w:color w:val="5A5A5A" w:themeColor="text1" w:themeTint="A5"/>
    </w:rPr>
  </w:style>
  <w:style w:type="paragraph" w:customStyle="1" w:styleId="RESHET">
    <w:name w:val="RESHET"/>
    <w:basedOn w:val="Normal"/>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Normal"/>
    <w:qFormat/>
    <w:rsid w:val="001A4FC5"/>
    <w:pPr>
      <w:keepNext/>
      <w:spacing w:before="120" w:after="120" w:line="320" w:lineRule="exact"/>
      <w:ind w:right="2268"/>
      <w:jc w:val="left"/>
    </w:pPr>
    <w:rPr>
      <w:rFonts w:ascii="Tahoma" w:hAnsi="Tahoma" w:eastAsiaTheme="minorEastAsi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hAnsi="Tahoma" w:eastAsiaTheme="minorEastAsia" w:cs="Tahoma"/>
      <w:sz w:val="17"/>
      <w:szCs w:val="18"/>
    </w:rPr>
  </w:style>
  <w:style w:type="paragraph" w:customStyle="1" w:styleId="text-source">
    <w:name w:val="text-source"/>
    <w:basedOn w:val="Normal"/>
    <w:next w:val="Normal"/>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0">
    <w:name w:val="Heading #2_"/>
    <w:basedOn w:val="DefaultParagraphFont"/>
    <w:link w:val="Heading21"/>
    <w:rsid w:val="001A4FC5"/>
    <w:rPr>
      <w:rFonts w:ascii="David" w:eastAsia="David" w:hAnsi="David"/>
      <w:b/>
      <w:bCs/>
      <w:szCs w:val="20"/>
      <w:shd w:val="clear" w:color="auto" w:fill="FFFFFF"/>
    </w:rPr>
  </w:style>
  <w:style w:type="character" w:customStyle="1" w:styleId="Heading2NotBold">
    <w:name w:val="Heading #2 + Not Bold"/>
    <w:basedOn w:val="Heading20"/>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1">
    <w:name w:val="Heading #2"/>
    <w:basedOn w:val="Normal"/>
    <w:link w:val="Heading20"/>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Normal"/>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Normal"/>
    <w:next w:val="Normal"/>
    <w:autoRedefine/>
    <w:uiPriority w:val="39"/>
    <w:unhideWhenUsed/>
    <w:qFormat/>
    <w:rsid w:val="00C9003B"/>
    <w:pPr>
      <w:tabs>
        <w:tab w:val="right" w:leader="dot" w:pos="8211"/>
      </w:tabs>
      <w:spacing w:after="100"/>
      <w:ind w:left="200"/>
    </w:pPr>
  </w:style>
  <w:style w:type="paragraph" w:styleId="TOC3">
    <w:name w:val="toc 3"/>
    <w:basedOn w:val="Normal"/>
    <w:next w:val="Normal"/>
    <w:autoRedefine/>
    <w:uiPriority w:val="39"/>
    <w:unhideWhenUsed/>
    <w:qFormat/>
    <w:rsid w:val="00C9003B"/>
    <w:pPr>
      <w:spacing w:after="100"/>
      <w:ind w:left="400"/>
    </w:pPr>
  </w:style>
  <w:style w:type="paragraph" w:styleId="TOC1">
    <w:name w:val="toc 1"/>
    <w:basedOn w:val="Normal"/>
    <w:next w:val="Normal"/>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Normal"/>
    <w:next w:val="Normal"/>
    <w:autoRedefine/>
    <w:uiPriority w:val="39"/>
    <w:unhideWhenUsed/>
    <w:rsid w:val="00C9003B"/>
    <w:pPr>
      <w:spacing w:after="100"/>
      <w:ind w:left="600"/>
    </w:pPr>
  </w:style>
  <w:style w:type="paragraph" w:styleId="TOC6">
    <w:name w:val="toc 6"/>
    <w:basedOn w:val="Normal"/>
    <w:next w:val="Normal"/>
    <w:autoRedefine/>
    <w:uiPriority w:val="39"/>
    <w:unhideWhenUsed/>
    <w:rsid w:val="00C9003B"/>
    <w:pPr>
      <w:spacing w:after="100"/>
      <w:ind w:left="1000"/>
    </w:pPr>
  </w:style>
  <w:style w:type="paragraph" w:styleId="TOC5">
    <w:name w:val="toc 5"/>
    <w:basedOn w:val="Normal"/>
    <w:next w:val="Normal"/>
    <w:autoRedefine/>
    <w:uiPriority w:val="39"/>
    <w:unhideWhenUsed/>
    <w:rsid w:val="00C9003B"/>
    <w:pPr>
      <w:spacing w:after="100"/>
      <w:ind w:left="800"/>
    </w:pPr>
  </w:style>
  <w:style w:type="paragraph" w:customStyle="1" w:styleId="ruller41">
    <w:name w:val="ruller41"/>
    <w:basedOn w:val="Normal"/>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DefaultParagraphFont"/>
    <w:link w:val="73610"/>
    <w:rsid w:val="0078358A"/>
    <w:rPr>
      <w:rFonts w:ascii="Tahoma" w:hAnsi="Tahoma" w:cs="Tahoma"/>
      <w:b/>
      <w:bCs/>
      <w:color w:val="00305F"/>
      <w:szCs w:val="20"/>
    </w:rPr>
  </w:style>
  <w:style w:type="paragraph" w:customStyle="1" w:styleId="msonormal">
    <w:name w:val="msonormal"/>
    <w:basedOn w:val="Normal"/>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Normal"/>
    <w:next w:val="Normal"/>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Normal"/>
    <w:rsid w:val="007324C6"/>
    <w:pPr>
      <w:bidi w:val="0"/>
      <w:spacing w:before="100" w:beforeAutospacing="1" w:after="100" w:afterAutospacing="1" w:line="240" w:lineRule="auto"/>
      <w:jc w:val="left"/>
    </w:pPr>
    <w:rPr>
      <w:rFonts w:eastAsia="Times New Roman" w:cs="Times New Roman"/>
      <w:sz w:val="24"/>
    </w:rPr>
  </w:style>
  <w:style w:type="table" w:styleId="GridTable1LightAccent5">
    <w:name w:val="Grid Table 1 Light Accent 5"/>
    <w:basedOn w:val="TableNormal"/>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5">
    <w:name w:val="Grid Table 4 Accent 5"/>
    <w:basedOn w:val="TableNormal"/>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0">
    <w:name w:val="סגנון5"/>
    <w:basedOn w:val="739"/>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31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TableNormal"/>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Normal"/>
    <w:next w:val="Normal"/>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PageNumber">
    <w:name w:val="page number"/>
    <w:basedOn w:val="DefaultParagraphFont"/>
    <w:uiPriority w:val="99"/>
    <w:semiHidden/>
    <w:unhideWhenUsed/>
    <w:rsid w:val="005B2BF5"/>
  </w:style>
  <w:style w:type="table" w:customStyle="1" w:styleId="126">
    <w:name w:val="טבלת רשת1"/>
    <w:basedOn w:val="TableNormal"/>
    <w:next w:val="TableGrid"/>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DefaultParagraphFont"/>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0">
    <w:name w:val="Heading #1_"/>
    <w:basedOn w:val="DefaultParagraphFont"/>
    <w:link w:val="Heading11"/>
    <w:rsid w:val="005B2BF5"/>
    <w:rPr>
      <w:rFonts w:ascii="David" w:eastAsia="David" w:hAnsi="David"/>
      <w:b/>
      <w:bCs/>
      <w:sz w:val="54"/>
      <w:szCs w:val="54"/>
      <w:shd w:val="clear" w:color="auto" w:fill="FFFFFF"/>
    </w:rPr>
  </w:style>
  <w:style w:type="character" w:customStyle="1" w:styleId="Heading1Italic">
    <w:name w:val="Heading #1 + Italic"/>
    <w:basedOn w:val="Heading10"/>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1">
    <w:name w:val="Heading #1"/>
    <w:basedOn w:val="Normal"/>
    <w:link w:val="Heading10"/>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Normal"/>
    <w:rsid w:val="005B2BF5"/>
    <w:pPr>
      <w:widowControl w:val="0"/>
      <w:shd w:val="clear" w:color="auto" w:fill="FFFFFF"/>
      <w:spacing w:line="371" w:lineRule="exact"/>
      <w:ind w:hanging="740"/>
    </w:pPr>
    <w:rPr>
      <w:rFonts w:ascii="David" w:eastAsia="David" w:hAnsi="David"/>
      <w:sz w:val="22"/>
      <w:szCs w:val="22"/>
    </w:rPr>
  </w:style>
  <w:style w:type="paragraph" w:customStyle="1" w:styleId="a35">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36">
    <w:name w:val="תאריך הדוח"/>
    <w:qFormat/>
    <w:rsid w:val="000F5023"/>
    <w:pPr>
      <w:ind w:left="2268"/>
      <w:jc w:val="left"/>
    </w:pPr>
    <w:rPr>
      <w:rFonts w:ascii="Tahoma" w:hAnsi="Tahoma" w:cs="Tahoma"/>
      <w:sz w:val="18"/>
      <w:szCs w:val="18"/>
    </w:rPr>
  </w:style>
  <w:style w:type="paragraph" w:customStyle="1" w:styleId="70">
    <w:name w:val="סגנון7"/>
    <w:basedOn w:val="7336"/>
    <w:qFormat/>
    <w:rsid w:val="00F1103C"/>
    <w:pPr>
      <w:numPr>
        <w:numId w:val="9"/>
      </w:numPr>
      <w:ind w:left="850" w:right="284" w:hanging="425"/>
    </w:pPr>
    <w:rPr>
      <w:noProof/>
      <w:lang w:val="he-IL"/>
    </w:rPr>
  </w:style>
  <w:style w:type="paragraph" w:customStyle="1" w:styleId="711">
    <w:name w:val="71ג קוביה כחולה עם מספרים מוזחים"/>
    <w:basedOn w:val="Normal"/>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FootnoteText"/>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
    <w:link w:val="712"/>
    <w:rsid w:val="00437586"/>
    <w:rPr>
      <w:rFonts w:ascii="Tahoma" w:hAnsi="Tahoma" w:cs="Tahoma"/>
      <w:color w:val="0D0D0D" w:themeColor="text1" w:themeTint="F2"/>
      <w:sz w:val="14"/>
      <w:szCs w:val="14"/>
    </w:rPr>
  </w:style>
  <w:style w:type="paragraph" w:customStyle="1" w:styleId="713">
    <w:name w:val="71ג הזחה מספר בסוגריים"/>
    <w:basedOn w:val="ListParagraph"/>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Normal"/>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42">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 w:type="paragraph" w:customStyle="1" w:styleId="ms-rteelement-modtext">
    <w:name w:val="ms-rteelement-modtext"/>
    <w:basedOn w:val="Normal"/>
    <w:rsid w:val="00BE2032"/>
    <w:pPr>
      <w:bidi w:val="0"/>
      <w:spacing w:before="100" w:beforeAutospacing="1" w:after="100" w:afterAutospacing="1" w:line="240" w:lineRule="auto"/>
      <w:jc w:val="left"/>
    </w:pPr>
    <w:rPr>
      <w:rFonts w:eastAsia="Times New Roman" w:cs="Times New Roman"/>
      <w:sz w:val="24"/>
    </w:rPr>
  </w:style>
  <w:style w:type="paragraph" w:customStyle="1" w:styleId="a37">
    <w:name w:val="הערות שוליים"/>
    <w:basedOn w:val="FootnoteText"/>
    <w:qFormat/>
    <w:rsid w:val="00BE2032"/>
    <w:pPr>
      <w:spacing w:after="60" w:line="312" w:lineRule="auto"/>
      <w:ind w:left="397" w:hanging="397"/>
    </w:pPr>
    <w:rPr>
      <w:rFonts w:ascii="Tahoma" w:hAnsi="Tahoma" w:cs="Tahoma"/>
      <w:sz w:val="16"/>
      <w:szCs w:val="16"/>
    </w:rPr>
  </w:style>
  <w:style w:type="paragraph" w:customStyle="1" w:styleId="a38">
    <w:name w:val="הזחה ראשונה מספר"/>
    <w:basedOn w:val="ListParagraph"/>
    <w:qFormat/>
    <w:rsid w:val="00BE2032"/>
    <w:pPr>
      <w:spacing w:after="120"/>
      <w:ind w:left="397" w:hanging="397"/>
      <w:contextualSpacing w:val="0"/>
    </w:pPr>
    <w:rPr>
      <w:rFonts w:ascii="Tahoma" w:hAnsi="Tahoma" w:cs="Tahoma"/>
      <w:szCs w:val="20"/>
    </w:rPr>
  </w:style>
  <w:style w:type="paragraph" w:customStyle="1" w:styleId="127">
    <w:name w:val="אותיות בתוך קוביה 1"/>
    <w:basedOn w:val="Normal"/>
    <w:qFormat/>
    <w:rsid w:val="00BE2032"/>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60"/>
      <w:ind w:left="765" w:right="227" w:hanging="340"/>
    </w:pPr>
    <w:rPr>
      <w:rFonts w:ascii="Tahoma" w:eastAsia="Times New Roman" w:hAnsi="Tahoma" w:cs="Tahoma"/>
      <w:szCs w:val="20"/>
      <w:lang w:eastAsia="he-IL"/>
    </w:rPr>
  </w:style>
  <w:style w:type="table" w:styleId="GridTable1LightAccent1">
    <w:name w:val="Grid Table 1 Light Accent 1"/>
    <w:basedOn w:val="TableNormal"/>
    <w:uiPriority w:val="46"/>
    <w:rsid w:val="00BE2032"/>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customStyle="1" w:styleId="5115">
    <w:name w:val="כותרת 5_11.5"/>
    <w:basedOn w:val="Normal"/>
    <w:qFormat/>
    <w:rsid w:val="00BE2032"/>
    <w:pPr>
      <w:spacing w:before="240" w:after="120" w:line="269" w:lineRule="auto"/>
      <w:jc w:val="left"/>
    </w:pPr>
    <w:rPr>
      <w:rFonts w:ascii="Tahoma" w:hAnsi="Tahoma" w:cs="Tahoma"/>
      <w:color w:val="387026"/>
      <w:sz w:val="23"/>
      <w:szCs w:val="23"/>
    </w:rPr>
  </w:style>
  <w:style w:type="paragraph" w:customStyle="1" w:styleId="714">
    <w:name w:val="71ג מספור הערות שוליים"/>
    <w:basedOn w:val="Normal"/>
    <w:qFormat/>
    <w:rsid w:val="00BE2032"/>
    <w:pPr>
      <w:spacing w:after="60" w:line="220" w:lineRule="exact"/>
      <w:ind w:left="397" w:hanging="397"/>
    </w:pPr>
    <w:rPr>
      <w:rFonts w:ascii="Tahoma" w:hAnsi="Tahoma" w:cs="Tahoma"/>
      <w:color w:val="0D0D0D" w:themeColor="text1" w:themeTint="F2"/>
      <w:sz w:val="14"/>
      <w:szCs w:val="14"/>
    </w:rPr>
  </w:style>
  <w:style w:type="paragraph" w:customStyle="1" w:styleId="719">
    <w:name w:val="71ג׳ טקסט רץ 9"/>
    <w:basedOn w:val="Normal"/>
    <w:link w:val="7190"/>
    <w:qFormat/>
    <w:rsid w:val="00BE2032"/>
    <w:pPr>
      <w:spacing w:after="180" w:line="260" w:lineRule="exact"/>
    </w:pPr>
    <w:rPr>
      <w:rFonts w:ascii="Tahoma" w:hAnsi="Tahoma" w:cs="Tahoma"/>
      <w:color w:val="0D0D0D" w:themeColor="text1" w:themeTint="F2"/>
      <w:sz w:val="18"/>
      <w:szCs w:val="18"/>
    </w:rPr>
  </w:style>
  <w:style w:type="character" w:customStyle="1" w:styleId="7190">
    <w:name w:val="71ג׳ טקסט רץ 9 תו"/>
    <w:basedOn w:val="DefaultParagraphFont"/>
    <w:link w:val="719"/>
    <w:rsid w:val="00BE2032"/>
    <w:rPr>
      <w:rFonts w:ascii="Tahoma" w:hAnsi="Tahoma" w:cs="Tahoma"/>
      <w:color w:val="0D0D0D" w:themeColor="text1" w:themeTint="F2"/>
      <w:sz w:val="18"/>
      <w:szCs w:val="18"/>
    </w:rPr>
  </w:style>
  <w:style w:type="character" w:customStyle="1" w:styleId="71Char0">
    <w:name w:val="71ג קוביה רצה Char"/>
    <w:basedOn w:val="DefaultParagraphFont"/>
    <w:link w:val="715"/>
    <w:rsid w:val="00BE2032"/>
    <w:rPr>
      <w:rFonts w:ascii="Tahoma" w:eastAsia="Times New Roman" w:hAnsi="Tahoma" w:cs="Tahoma"/>
      <w:color w:val="0D0D0D" w:themeColor="text1" w:themeTint="F2"/>
      <w:sz w:val="18"/>
      <w:szCs w:val="18"/>
      <w:shd w:val="solid" w:color="CEEAF5" w:fill="auto"/>
      <w:lang w:eastAsia="he-IL"/>
    </w:rPr>
  </w:style>
  <w:style w:type="paragraph" w:customStyle="1" w:styleId="715">
    <w:name w:val="71ג קוביה רצה"/>
    <w:basedOn w:val="Normal"/>
    <w:link w:val="71Char0"/>
    <w:qFormat/>
    <w:rsid w:val="00BE2032"/>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84" w:right="227"/>
    </w:pPr>
    <w:rPr>
      <w:rFonts w:ascii="Tahoma" w:eastAsia="Times New Roman" w:hAnsi="Tahoma" w:cs="Tahoma"/>
      <w:color w:val="0D0D0D" w:themeColor="text1" w:themeTint="F2"/>
      <w:sz w:val="18"/>
      <w:szCs w:val="18"/>
      <w:lang w:eastAsia="he-IL"/>
    </w:rPr>
  </w:style>
  <w:style w:type="table" w:styleId="GridTable4">
    <w:name w:val="Grid Table 4"/>
    <w:basedOn w:val="TableNormal"/>
    <w:uiPriority w:val="49"/>
    <w:rsid w:val="00BE2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E2032"/>
    <w:pPr>
      <w:spacing w:after="0" w:line="240" w:lineRule="auto"/>
    </w:pPr>
    <w:rPr>
      <w:color w:val="1481AB" w:themeColor="accent1" w:themeShade="BF"/>
    </w:rPr>
    <w:tblPr>
      <w:tblStyleRowBandSize w:val="1"/>
      <w:tblStyleColBandSize w:val="1"/>
      <w:tblBorders>
        <w:top w:val="single" w:sz="4" w:space="0" w:color="1CADE4" w:themeColor="accent1"/>
        <w:bottom w:val="single" w:sz="4" w:space="0" w:color="1CADE4" w:themeColor="accent1"/>
      </w:tblBorders>
    </w:tblPr>
    <w:tblStylePr w:type="firstRow">
      <w:rPr>
        <w:b/>
        <w:bCs/>
      </w:rPr>
      <w:tblPr/>
      <w:tcPr>
        <w:tcBorders>
          <w:bottom w:val="single" w:sz="4" w:space="0" w:color="1CADE4" w:themeColor="accent1"/>
        </w:tcBorders>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7ColorfulAccent1">
    <w:name w:val="Grid Table 7 Colorful Accent 1"/>
    <w:basedOn w:val="TableNormal"/>
    <w:uiPriority w:val="52"/>
    <w:rsid w:val="00BE2032"/>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6Colorful">
    <w:name w:val="Grid Table 6 Colorful"/>
    <w:basedOn w:val="TableNormal"/>
    <w:uiPriority w:val="51"/>
    <w:rsid w:val="00BE20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E2032"/>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28">
    <w:name w:val="אזכור לא מזוהה1"/>
    <w:basedOn w:val="DefaultParagraphFont"/>
    <w:uiPriority w:val="99"/>
    <w:semiHidden/>
    <w:unhideWhenUsed/>
    <w:rsid w:val="00BE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image" Target="media/image2.jpe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image" Target="media/image4.jpeg" /><Relationship Id="rId2" Type="http://schemas.openxmlformats.org/officeDocument/2006/relationships/endnotes" Target="endnote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header" Target="header5.xml" /><Relationship Id="rId3" Type="http://schemas.openxmlformats.org/officeDocument/2006/relationships/settings" Target="settings.xml" /><Relationship Id="rId30" Type="http://schemas.openxmlformats.org/officeDocument/2006/relationships/footer" Target="footer4.xml" /><Relationship Id="rId31" Type="http://schemas.openxmlformats.org/officeDocument/2006/relationships/header" Target="header6.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4.xml.rels><?xml version="1.0" encoding="utf-8" standalone="yes"?><Relationships xmlns="http://schemas.openxmlformats.org/package/2006/relationships"><Relationship Id="rId1" Type="http://schemas.openxmlformats.org/officeDocument/2006/relationships/image" Target="media/image3.jpeg" /></Relationships>
</file>

<file path=word/_rels/header5.xml.rels><?xml version="1.0" encoding="utf-8" standalone="yes"?><Relationships xmlns="http://schemas.openxmlformats.org/package/2006/relationships"><Relationship Id="rId1" Type="http://schemas.openxmlformats.org/officeDocument/2006/relationships/image" Target="media/image3.jpeg" /></Relationships>
</file>

<file path=word/_rels/header6.xml.rels><?xml version="1.0" encoding="utf-8" standalone="yes"?><Relationships xmlns="http://schemas.openxmlformats.org/package/2006/relationships"><Relationship Id="rId1"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_rels/theme1.xml.rels><?xml version="1.0" encoding="utf-8" standalone="yes"?><Relationships xmlns="http://schemas.openxmlformats.org/package/2006/relationships"><Relationship Id="rId1" Type="http://schemas.openxmlformats.org/officeDocument/2006/relationships/image" Target="../media/image14.jpeg" /></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47E82957-F032-481C-A87E-464C34FA9401}"/>
</file>

<file path=customXml/itemProps4.xml><?xml version="1.0" encoding="utf-8"?>
<ds:datastoreItem xmlns:ds="http://schemas.openxmlformats.org/officeDocument/2006/customXml" ds:itemID="{EF14C8F3-99B9-42DE-920E-5707BD78BD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