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604B0BD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454608</wp:posOffset>
                </wp:positionH>
                <wp:positionV relativeFrom="paragraph">
                  <wp:posOffset>2195260</wp:posOffset>
                </wp:positionV>
                <wp:extent cx="2496728" cy="0"/>
                <wp:effectExtent l="12700" t="12700" r="571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496728"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35.8pt,172.85pt" to="232.4pt,172.85pt" strokecolor="white" strokeweight="1.5pt"/>
            </w:pict>
          </mc:Fallback>
        </mc:AlternateContent>
      </w: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3072379</wp:posOffset>
                </wp:positionH>
                <wp:positionV relativeFrom="paragraph">
                  <wp:posOffset>268919</wp:posOffset>
                </wp:positionV>
                <wp:extent cx="0" cy="5062194"/>
                <wp:effectExtent l="25400" t="0" r="25400" b="3111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5062194"/>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9pt,21.15pt" to="241.9pt,419.75pt" strokecolor="white" strokeweight="4pt"/>
            </w:pict>
          </mc:Fallback>
        </mc:AlternateContent>
      </w:r>
      <w:r w:rsidRPr="0030415A" w:rsidR="000B1E89">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-10795</wp:posOffset>
                </wp:positionH>
                <wp:positionV relativeFrom="paragraph">
                  <wp:posOffset>343535</wp:posOffset>
                </wp:positionV>
                <wp:extent cx="4482465" cy="4629785"/>
                <wp:effectExtent l="0" t="0" r="635" b="5715"/>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2465" cy="4629785"/>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F73EE0" w:rsidP="001A6129" w14:textId="04F3FFE7">
                            <w:pPr>
                              <w:ind w:left="2268"/>
                              <w:jc w:val="left"/>
                            </w:pPr>
                            <w:r w:rsidRPr="00AB407E">
                              <w:rPr>
                                <w:rFonts w:ascii="Tahoma" w:hAnsi="Tahoma" w:cs="Tahoma"/>
                                <w:sz w:val="18"/>
                                <w:szCs w:val="18"/>
                                <w:rtl/>
                              </w:rPr>
                              <w:t>דוח מבקר המדינה</w:t>
                            </w:r>
                            <w:r w:rsidR="006A3BB0">
                              <w:rPr>
                                <w:rFonts w:ascii="Tahoma" w:hAnsi="Tahoma" w:cs="Tahoma" w:hint="cs"/>
                                <w:sz w:val="18"/>
                                <w:szCs w:val="18"/>
                                <w:rtl/>
                              </w:rPr>
                              <w:t xml:space="preserve"> -</w:t>
                            </w:r>
                            <w:r w:rsidRPr="00AB407E">
                              <w:rPr>
                                <w:rFonts w:ascii="Tahoma" w:hAnsi="Tahoma" w:cs="Tahoma"/>
                                <w:sz w:val="18"/>
                                <w:szCs w:val="18"/>
                                <w:rtl/>
                              </w:rPr>
                              <w:t xml:space="preserve"> סייבר ומערכות מידע </w:t>
                            </w:r>
                            <w:r w:rsidR="001A6129">
                              <w:rPr>
                                <w:rFonts w:ascii="Tahoma" w:hAnsi="Tahoma" w:cs="Tahoma"/>
                                <w:sz w:val="18"/>
                                <w:szCs w:val="18"/>
                                <w:rtl/>
                              </w:rPr>
                              <w:br/>
                            </w:r>
                            <w:r w:rsidRPr="00AB407E">
                              <w:rPr>
                                <w:rFonts w:ascii="Tahoma" w:hAnsi="Tahoma" w:cs="Tahoma"/>
                                <w:sz w:val="18"/>
                                <w:szCs w:val="18"/>
                                <w:rtl/>
                              </w:rPr>
                              <w:t xml:space="preserve">אייר </w:t>
                            </w:r>
                            <w:r w:rsidRPr="00AB407E">
                              <w:rPr>
                                <w:rFonts w:ascii="Tahoma" w:hAnsi="Tahoma" w:cs="Tahoma"/>
                                <w:sz w:val="18"/>
                                <w:szCs w:val="18"/>
                                <w:rtl/>
                              </w:rPr>
                              <w:t>התשפ"ג</w:t>
                            </w:r>
                            <w:r w:rsidRPr="00AB407E">
                              <w:rPr>
                                <w:rFonts w:ascii="Tahoma" w:hAnsi="Tahoma" w:cs="Tahoma"/>
                                <w:sz w:val="18"/>
                                <w:szCs w:val="18"/>
                                <w:rtl/>
                              </w:rPr>
                              <w:t xml:space="preserve"> | מאי 2023</w:t>
                            </w:r>
                          </w:p>
                          <w:p w:rsidR="001D07F0" w:rsidRPr="001D07F0" w:rsidP="0052031E" w14:textId="77777777">
                            <w:pPr>
                              <w:ind w:left="2268"/>
                              <w:rPr>
                                <w:rtl/>
                              </w:rPr>
                            </w:pPr>
                          </w:p>
                          <w:p w:rsidR="00E56721" w:rsidP="0052031E" w14:textId="77777777">
                            <w:pPr>
                              <w:ind w:left="2268"/>
                              <w:rPr>
                                <w:rtl/>
                              </w:rPr>
                            </w:pPr>
                          </w:p>
                          <w:p w:rsidR="00F73EE0" w:rsidP="0052031E" w14:textId="77777777">
                            <w:pPr>
                              <w:ind w:left="2268"/>
                              <w:rPr>
                                <w:rtl/>
                              </w:rPr>
                            </w:pPr>
                          </w:p>
                          <w:p w:rsidR="005D0F8C" w:rsidRPr="000A3ED4" w:rsidP="00AC1C21" w14:textId="3993032F">
                            <w:pPr>
                              <w:pStyle w:val="-2"/>
                              <w:spacing w:line="240" w:lineRule="auto"/>
                              <w:rPr>
                                <w:rtl/>
                              </w:rPr>
                            </w:pPr>
                            <w:r>
                              <w:rPr>
                                <w:rFonts w:hint="cs"/>
                                <w:rtl/>
                              </w:rPr>
                              <w:t xml:space="preserve">משרד </w:t>
                            </w:r>
                            <w:r w:rsidR="006A23AF">
                              <w:rPr>
                                <w:rFonts w:hint="cs"/>
                                <w:rtl/>
                              </w:rPr>
                              <w:t>המשפטים</w:t>
                            </w:r>
                            <w:r w:rsidR="00C30482">
                              <w:rPr>
                                <w:rFonts w:hint="cs"/>
                                <w:rtl/>
                              </w:rPr>
                              <w:t xml:space="preserve"> </w:t>
                            </w:r>
                            <w:r w:rsidR="007E0D0C">
                              <w:rPr>
                                <w:rFonts w:hint="cs"/>
                                <w:rtl/>
                              </w:rPr>
                              <w:t>-</w:t>
                            </w:r>
                            <w:r>
                              <w:rPr>
                                <w:rtl/>
                              </w:rPr>
                              <w:br/>
                            </w:r>
                            <w:r w:rsidR="006A23AF">
                              <w:rPr>
                                <w:rFonts w:hint="cs"/>
                                <w:rtl/>
                              </w:rPr>
                              <w:t>רשות האכיפה והגבייה</w:t>
                            </w:r>
                          </w:p>
                          <w:p w:rsidR="00F73EE0" w:rsidRPr="000F5023" w:rsidP="0072357A" w14:textId="37C671AE">
                            <w:pPr>
                              <w:pStyle w:val="a35"/>
                              <w:bidi/>
                              <w:spacing w:before="120"/>
                              <w:rPr>
                                <w:rtl/>
                              </w:rPr>
                            </w:pPr>
                            <w:r w:rsidRPr="00EF7FE0">
                              <w:rPr>
                                <w:rtl/>
                              </w:rPr>
                              <w:t>הגנת הפרטיות ואבטחת המידע במערכות המרכז לגביית קנסות, אגרות והוצאות ברשות האכיפה והגבייה</w:t>
                            </w:r>
                            <w:r>
                              <w:rPr>
                                <w:rFonts w:hint="cs"/>
                                <w:rtl/>
                              </w:rPr>
                              <w:t xml:space="preserve"> </w:t>
                            </w:r>
                          </w:p>
                          <w:p w:rsidR="00C30482" w:rsidRPr="000F5023" w:rsidP="000F5023" w14:textId="77777777">
                            <w:pPr>
                              <w:pStyle w:val="a3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width:352.95pt;height:364.55pt;margin-top:27.05pt;margin-left:-0.85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F73EE0" w:rsidP="001A6129" w14:paraId="7A4F68DA" w14:textId="04F3FFE7">
                      <w:pPr>
                        <w:ind w:left="2268"/>
                        <w:jc w:val="left"/>
                      </w:pPr>
                      <w:r w:rsidRPr="00AB407E">
                        <w:rPr>
                          <w:rFonts w:ascii="Tahoma" w:hAnsi="Tahoma" w:cs="Tahoma"/>
                          <w:sz w:val="18"/>
                          <w:szCs w:val="18"/>
                          <w:rtl/>
                        </w:rPr>
                        <w:t>דוח מבקר המדינה</w:t>
                      </w:r>
                      <w:r w:rsidR="006A3BB0">
                        <w:rPr>
                          <w:rFonts w:ascii="Tahoma" w:hAnsi="Tahoma" w:cs="Tahoma" w:hint="cs"/>
                          <w:sz w:val="18"/>
                          <w:szCs w:val="18"/>
                          <w:rtl/>
                        </w:rPr>
                        <w:t xml:space="preserve"> -</w:t>
                      </w:r>
                      <w:r w:rsidRPr="00AB407E">
                        <w:rPr>
                          <w:rFonts w:ascii="Tahoma" w:hAnsi="Tahoma" w:cs="Tahoma"/>
                          <w:sz w:val="18"/>
                          <w:szCs w:val="18"/>
                          <w:rtl/>
                        </w:rPr>
                        <w:t xml:space="preserve"> סייבר ומערכות מידע </w:t>
                      </w:r>
                      <w:r w:rsidR="001A6129">
                        <w:rPr>
                          <w:rFonts w:ascii="Tahoma" w:hAnsi="Tahoma" w:cs="Tahoma"/>
                          <w:sz w:val="18"/>
                          <w:szCs w:val="18"/>
                          <w:rtl/>
                        </w:rPr>
                        <w:br/>
                      </w:r>
                      <w:r w:rsidRPr="00AB407E">
                        <w:rPr>
                          <w:rFonts w:ascii="Tahoma" w:hAnsi="Tahoma" w:cs="Tahoma"/>
                          <w:sz w:val="18"/>
                          <w:szCs w:val="18"/>
                          <w:rtl/>
                        </w:rPr>
                        <w:t xml:space="preserve">אייר </w:t>
                      </w:r>
                      <w:r w:rsidRPr="00AB407E">
                        <w:rPr>
                          <w:rFonts w:ascii="Tahoma" w:hAnsi="Tahoma" w:cs="Tahoma"/>
                          <w:sz w:val="18"/>
                          <w:szCs w:val="18"/>
                          <w:rtl/>
                        </w:rPr>
                        <w:t>התשפ"ג</w:t>
                      </w:r>
                      <w:r w:rsidRPr="00AB407E">
                        <w:rPr>
                          <w:rFonts w:ascii="Tahoma" w:hAnsi="Tahoma" w:cs="Tahoma"/>
                          <w:sz w:val="18"/>
                          <w:szCs w:val="18"/>
                          <w:rtl/>
                        </w:rPr>
                        <w:t xml:space="preserve"> | מאי 2023</w:t>
                      </w:r>
                    </w:p>
                    <w:p w:rsidR="001D07F0" w:rsidRPr="001D07F0" w:rsidP="0052031E" w14:paraId="01AC744F"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AC1C21" w14:paraId="361EED1E" w14:textId="3993032F">
                      <w:pPr>
                        <w:pStyle w:val="-2"/>
                        <w:spacing w:line="240" w:lineRule="auto"/>
                        <w:rPr>
                          <w:rtl/>
                        </w:rPr>
                      </w:pPr>
                      <w:r>
                        <w:rPr>
                          <w:rFonts w:hint="cs"/>
                          <w:rtl/>
                        </w:rPr>
                        <w:t xml:space="preserve">משרד </w:t>
                      </w:r>
                      <w:r w:rsidR="006A23AF">
                        <w:rPr>
                          <w:rFonts w:hint="cs"/>
                          <w:rtl/>
                        </w:rPr>
                        <w:t>המשפטים</w:t>
                      </w:r>
                      <w:r w:rsidR="00C30482">
                        <w:rPr>
                          <w:rFonts w:hint="cs"/>
                          <w:rtl/>
                        </w:rPr>
                        <w:t xml:space="preserve"> </w:t>
                      </w:r>
                      <w:r w:rsidR="007E0D0C">
                        <w:rPr>
                          <w:rFonts w:hint="cs"/>
                          <w:rtl/>
                        </w:rPr>
                        <w:t>-</w:t>
                      </w:r>
                      <w:r>
                        <w:rPr>
                          <w:rtl/>
                        </w:rPr>
                        <w:br/>
                      </w:r>
                      <w:r w:rsidR="006A23AF">
                        <w:rPr>
                          <w:rFonts w:hint="cs"/>
                          <w:rtl/>
                        </w:rPr>
                        <w:t>רשות האכיפה והגבייה</w:t>
                      </w:r>
                    </w:p>
                    <w:p w:rsidR="00F73EE0" w:rsidRPr="000F5023" w:rsidP="0072357A" w14:paraId="5464BE8D" w14:textId="37C671AE">
                      <w:pPr>
                        <w:pStyle w:val="a35"/>
                        <w:bidi/>
                        <w:spacing w:before="120"/>
                        <w:rPr>
                          <w:rtl/>
                        </w:rPr>
                      </w:pPr>
                      <w:r w:rsidRPr="00EF7FE0">
                        <w:rPr>
                          <w:rtl/>
                        </w:rPr>
                        <w:t>הגנת הפרטיות ואבטחת המידע במערכות המרכז לגביית קנסות, אגרות והוצאות ברשות האכיפה והגבייה</w:t>
                      </w:r>
                      <w:r>
                        <w:rPr>
                          <w:rFonts w:hint="cs"/>
                          <w:rtl/>
                        </w:rPr>
                        <w:t xml:space="preserve"> </w:t>
                      </w:r>
                    </w:p>
                    <w:p w:rsidR="00C30482" w:rsidRPr="000F5023" w:rsidP="000F5023" w14:paraId="5BE5E625" w14:textId="77777777">
                      <w:pPr>
                        <w:pStyle w:val="a35"/>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A1467E9">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RPr="001F3363" w:rsidP="00BB0517" w14:paraId="4ED3AA37" w14:textId="2FA59FE7">
      <w:pPr>
        <w:pStyle w:val="7329"/>
        <w:rPr>
          <w:rtl/>
        </w:rPr>
      </w:pPr>
      <w:r w:rsidRPr="001F3363">
        <w:rPr>
          <w:noProof/>
          <w:rtl/>
        </w:rPr>
        <mc:AlternateContent>
          <mc:Choice Requires="wps">
            <w:drawing>
              <wp:anchor distT="0" distB="0" distL="114300" distR="114300" simplePos="0" relativeHeight="251675648" behindDoc="0" locked="0" layoutInCell="1" allowOverlap="1">
                <wp:simplePos x="0" y="0"/>
                <wp:positionH relativeFrom="column">
                  <wp:posOffset>-658403</wp:posOffset>
                </wp:positionH>
                <wp:positionV relativeFrom="paragraph">
                  <wp:posOffset>226457</wp:posOffset>
                </wp:positionV>
                <wp:extent cx="194310" cy="6554364"/>
                <wp:effectExtent l="0" t="0" r="0" b="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6554364"/>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516.1pt;margin-top:17.85pt;margin-left:-51.85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1F3363">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1081265</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EF7FE0">
        <w:rPr>
          <w:noProof/>
          <w:rtl/>
        </w:rPr>
        <w:t>הגנת הפרטיות ואבטחת המידע במערכות המרכז לגביית קנסות, אגרות והוצאות ברשות האכיפה והגבייה</w:t>
      </w:r>
      <w:r>
        <w:rPr>
          <w:rFonts w:hint="cs"/>
          <w:noProof/>
          <w:rtl/>
        </w:rPr>
        <w:t xml:space="preserve"> </w:t>
      </w:r>
    </w:p>
    <w:p w:rsidR="00EF7FE0" w:rsidRPr="00EF6255" w:rsidP="00EF7FE0" w14:paraId="034D58C0" w14:textId="556ABA3C">
      <w:pPr>
        <w:pStyle w:val="7392"/>
        <w:spacing w:before="360"/>
        <w:rPr>
          <w:rtl/>
        </w:rPr>
      </w:pPr>
      <w:r w:rsidRPr="00EF6255">
        <w:rPr>
          <w:rtl/>
        </w:rPr>
        <w:t>המרכז לגביית קנסות, אגרות והוצאות ברשות האכיפה והגבייה (</w:t>
      </w:r>
      <w:r w:rsidRPr="00EF6255">
        <w:rPr>
          <w:rtl/>
        </w:rPr>
        <w:t>המג"ק</w:t>
      </w:r>
      <w:r w:rsidRPr="00EF6255">
        <w:rPr>
          <w:rtl/>
        </w:rPr>
        <w:t xml:space="preserve">) הוא הגוף שתפקידו לגבות חובות לטובתם של אוצר המדינה וגופים ציבוריים </w:t>
      </w:r>
      <w:bookmarkStart w:id="1" w:name="_Hlk127354804"/>
      <w:r w:rsidRPr="00EF6255">
        <w:rPr>
          <w:rtl/>
        </w:rPr>
        <w:t>וכן לגבות פיצויים שנפסקו לנפגעי עבירה בהליכים פליליים</w:t>
      </w:r>
      <w:bookmarkEnd w:id="1"/>
      <w:r w:rsidRPr="00EF6255">
        <w:rPr>
          <w:rtl/>
        </w:rPr>
        <w:t xml:space="preserve">. </w:t>
      </w:r>
      <w:r w:rsidRPr="00EF6255">
        <w:rPr>
          <w:rFonts w:hint="cs"/>
          <w:rtl/>
        </w:rPr>
        <w:t xml:space="preserve">נכון לפברואר 2023 </w:t>
      </w:r>
      <w:r w:rsidRPr="00EF6255">
        <w:rPr>
          <w:rtl/>
        </w:rPr>
        <w:t xml:space="preserve">יתרת החוב בתיקים הפתוחים </w:t>
      </w:r>
      <w:r w:rsidRPr="00EF6255">
        <w:rPr>
          <w:rtl/>
        </w:rPr>
        <w:t>במג"ק</w:t>
      </w:r>
      <w:r w:rsidRPr="00EF6255">
        <w:rPr>
          <w:rtl/>
        </w:rPr>
        <w:t xml:space="preserve"> מסתכמת בכ-6.8 מיליארד ש"ח</w:t>
      </w:r>
      <w:r w:rsidRPr="00EF6255">
        <w:rPr>
          <w:rFonts w:hint="cs"/>
          <w:rtl/>
        </w:rPr>
        <w:t>.</w:t>
      </w:r>
      <w:r w:rsidRPr="00EF6255">
        <w:rPr>
          <w:rtl/>
        </w:rPr>
        <w:t xml:space="preserve"> לצורך גביית החובות הוענקו </w:t>
      </w:r>
      <w:r w:rsidRPr="00EF6255">
        <w:rPr>
          <w:rtl/>
        </w:rPr>
        <w:t>למג"ק</w:t>
      </w:r>
      <w:r w:rsidRPr="00EF6255">
        <w:rPr>
          <w:rtl/>
        </w:rPr>
        <w:t xml:space="preserve"> סמכויות גבייה</w:t>
      </w:r>
      <w:r w:rsidRPr="00EF6255">
        <w:rPr>
          <w:rFonts w:hint="cs"/>
          <w:rtl/>
        </w:rPr>
        <w:t xml:space="preserve"> וביניהן </w:t>
      </w:r>
      <w:r w:rsidRPr="00EF6255">
        <w:rPr>
          <w:rtl/>
        </w:rPr>
        <w:t>דרישת מידע על החייב מגוף ציבורי.</w:t>
      </w:r>
      <w:r w:rsidRPr="00EF6255">
        <w:rPr>
          <w:rFonts w:hint="cs"/>
          <w:rtl/>
        </w:rPr>
        <w:t xml:space="preserve"> על מנת לפעול לגביית החובות ביעילות מנוהלת עבודת </w:t>
      </w:r>
      <w:r w:rsidRPr="00EF6255">
        <w:rPr>
          <w:rFonts w:hint="cs"/>
          <w:rtl/>
        </w:rPr>
        <w:t>המג"ק</w:t>
      </w:r>
      <w:r w:rsidRPr="00EF6255">
        <w:rPr>
          <w:rFonts w:hint="cs"/>
          <w:rtl/>
        </w:rPr>
        <w:t xml:space="preserve"> באמצעות מערכת ממוחשבת המכילה מאגר מידע רחב היקף בנוגע </w:t>
      </w:r>
      <w:r w:rsidRPr="00EF6255">
        <w:rPr>
          <w:rFonts w:hint="eastAsia"/>
          <w:rtl/>
        </w:rPr>
        <w:t>לכ</w:t>
      </w:r>
      <w:r w:rsidRPr="00EF6255">
        <w:rPr>
          <w:rtl/>
        </w:rPr>
        <w:t xml:space="preserve">-3 </w:t>
      </w:r>
      <w:r w:rsidRPr="00EF6255">
        <w:rPr>
          <w:rFonts w:hint="cs"/>
          <w:rtl/>
        </w:rPr>
        <w:t>מיליון חייבים, וכוללת בין היתר שמות, מספרי זהות, כתובות מגורים, מספרי טלפון, פרטים על נכסים שברשות החייבים, מידע מהמוסד לביטוח לאומי, מאגף הרישוי שבמשרד התחבורה ומרשויות אחרות.</w:t>
      </w:r>
    </w:p>
    <w:p w:rsidR="007F4A20" w:rsidRPr="00EF7FE0" w:rsidP="00EF7FE0" w14:paraId="0B41EED6" w14:textId="495273A0">
      <w:pPr>
        <w:pStyle w:val="7392"/>
        <w:rPr>
          <w:rtl/>
        </w:rPr>
      </w:pPr>
      <w:r w:rsidRPr="00EF7FE0">
        <w:rPr>
          <w:rFonts w:hint="cs"/>
          <w:rtl/>
        </w:rPr>
        <w:t xml:space="preserve">בכל הנוגע להגנת הפרטיות ולאבטחת מידע נדרש </w:t>
      </w:r>
      <w:r w:rsidRPr="00EF7FE0">
        <w:rPr>
          <w:rFonts w:hint="cs"/>
          <w:rtl/>
        </w:rPr>
        <w:t>המג"ק</w:t>
      </w:r>
      <w:r w:rsidRPr="00EF7FE0">
        <w:rPr>
          <w:rFonts w:hint="cs"/>
          <w:rtl/>
        </w:rPr>
        <w:t xml:space="preserve"> לפעול בהתאם להוראות הדין, ובהן חוק הגנת הפרטיות, התשמ"א-1981 והתקנות על פיו, להחלטות ממשלה ולנהלים והנחיות הגופים </w:t>
      </w:r>
      <w:r w:rsidRPr="00EF7FE0">
        <w:rPr>
          <w:rFonts w:hint="cs"/>
          <w:rtl/>
        </w:rPr>
        <w:t>המאסדרים</w:t>
      </w:r>
      <w:r w:rsidRPr="00EF7FE0">
        <w:rPr>
          <w:rFonts w:hint="cs"/>
          <w:rtl/>
        </w:rPr>
        <w:t xml:space="preserve"> את הנושא ובהם היחידה להגנת הסייבר בממשלה (להלן - </w:t>
      </w:r>
      <w:r w:rsidRPr="00EF7FE0">
        <w:rPr>
          <w:rFonts w:hint="cs"/>
          <w:rtl/>
        </w:rPr>
        <w:t>יה"ב</w:t>
      </w:r>
      <w:r w:rsidRPr="00EF7FE0">
        <w:rPr>
          <w:rFonts w:hint="cs"/>
          <w:rtl/>
        </w:rPr>
        <w:t>), המהווה גורם מנחה מקצועית בתחום הגנת הסייבר</w:t>
      </w:r>
      <w:r w:rsidRPr="00EF7FE0" w:rsidR="0036097F">
        <w:rPr>
          <w:rFonts w:hint="cs"/>
          <w:rtl/>
        </w:rPr>
        <w:t>.</w:t>
      </w:r>
      <w:r w:rsidRPr="00EF7FE0"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323"/>
        <w:gridCol w:w="2081"/>
        <w:gridCol w:w="323"/>
        <w:gridCol w:w="2308"/>
      </w:tblGrid>
      <w:tr w14:paraId="58B4726B" w14:textId="77777777" w:rsidTr="00EF7FE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84" w:type="pct"/>
            <w:tcBorders>
              <w:bottom w:val="single" w:sz="12" w:space="0" w:color="000000" w:themeColor="text1"/>
            </w:tcBorders>
            <w:vAlign w:val="bottom"/>
          </w:tcPr>
          <w:p w:rsidR="00EF7FE0" w:rsidRPr="004562F8" w:rsidP="00937056" w14:paraId="23EB689E" w14:textId="2631D14E">
            <w:pPr>
              <w:spacing w:after="60" w:line="240" w:lineRule="auto"/>
              <w:rPr>
                <w:b/>
                <w:bCs/>
                <w:spacing w:val="-28"/>
                <w:rtl/>
              </w:rPr>
            </w:pPr>
            <w:r>
              <w:rPr>
                <w:rFonts w:ascii="Tahoma" w:hAnsi="Tahoma" w:eastAsiaTheme="minorEastAsia" w:cs="Tahoma" w:hint="cs"/>
                <w:b/>
                <w:bCs/>
                <w:color w:val="0D0D0D" w:themeColor="text1" w:themeTint="F2"/>
                <w:spacing w:val="-10"/>
                <w:sz w:val="36"/>
                <w:szCs w:val="36"/>
                <w:rtl/>
              </w:rPr>
              <w:t xml:space="preserve">3 </w:t>
            </w:r>
            <w:r>
              <w:rPr>
                <w:rFonts w:ascii="Tahoma" w:hAnsi="Tahoma" w:eastAsiaTheme="minorEastAsia" w:cs="Tahoma" w:hint="cs"/>
                <w:b/>
                <w:bCs/>
                <w:color w:val="0D0D0D" w:themeColor="text1" w:themeTint="F2"/>
                <w:spacing w:val="-10"/>
                <w:sz w:val="26"/>
                <w:szCs w:val="26"/>
                <w:rtl/>
              </w:rPr>
              <w:t>מיליון</w:t>
            </w:r>
          </w:p>
        </w:tc>
        <w:tc>
          <w:tcPr>
            <w:tcW w:w="219" w:type="pct"/>
            <w:vAlign w:val="bottom"/>
          </w:tcPr>
          <w:p w:rsidR="00EF7FE0" w:rsidP="00937056" w14:paraId="19192EA5" w14:textId="77777777">
            <w:pPr>
              <w:spacing w:before="120" w:after="60" w:line="240" w:lineRule="auto"/>
              <w:rPr>
                <w:rtl/>
              </w:rPr>
            </w:pPr>
          </w:p>
        </w:tc>
        <w:tc>
          <w:tcPr>
            <w:tcW w:w="1412" w:type="pct"/>
            <w:tcBorders>
              <w:bottom w:val="single" w:sz="12" w:space="0" w:color="000000" w:themeColor="text1"/>
            </w:tcBorders>
            <w:vAlign w:val="bottom"/>
          </w:tcPr>
          <w:p w:rsidR="00EF7FE0" w:rsidRPr="005C7ABF" w:rsidP="00937056" w14:paraId="761F4116" w14:textId="7A777027">
            <w:pPr>
              <w:pStyle w:val="2021"/>
              <w:spacing w:before="0" w:after="60"/>
              <w:rPr>
                <w:spacing w:val="-10"/>
                <w:rtl/>
              </w:rPr>
            </w:pPr>
            <w:r w:rsidRPr="00EF7FE0">
              <w:rPr>
                <w:rFonts w:hint="cs"/>
                <w:spacing w:val="-10"/>
                <w:sz w:val="26"/>
                <w:szCs w:val="26"/>
                <w:rtl/>
              </w:rPr>
              <w:t>כ-</w:t>
            </w:r>
            <w:r>
              <w:rPr>
                <w:rFonts w:hint="cs"/>
                <w:spacing w:val="-10"/>
                <w:rtl/>
              </w:rPr>
              <w:t>6</w:t>
            </w:r>
            <w:r w:rsidR="00245139">
              <w:rPr>
                <w:rFonts w:hint="cs"/>
                <w:spacing w:val="-10"/>
                <w:rtl/>
              </w:rPr>
              <w:t>.</w:t>
            </w:r>
            <w:r>
              <w:rPr>
                <w:rFonts w:hint="cs"/>
                <w:spacing w:val="-10"/>
                <w:rtl/>
              </w:rPr>
              <w:t xml:space="preserve">8 </w:t>
            </w:r>
            <w:r>
              <w:rPr>
                <w:spacing w:val="-10"/>
                <w:sz w:val="26"/>
                <w:szCs w:val="26"/>
                <w:rtl/>
              </w:rPr>
              <w:br/>
            </w:r>
            <w:r>
              <w:rPr>
                <w:rFonts w:hint="cs"/>
                <w:spacing w:val="-10"/>
                <w:sz w:val="26"/>
                <w:szCs w:val="26"/>
                <w:rtl/>
              </w:rPr>
              <w:t>מיליארד ש״ח</w:t>
            </w:r>
          </w:p>
        </w:tc>
        <w:tc>
          <w:tcPr>
            <w:tcW w:w="219" w:type="pct"/>
            <w:vAlign w:val="bottom"/>
          </w:tcPr>
          <w:p w:rsidR="00EF7FE0" w:rsidP="00937056" w14:paraId="2810DE55" w14:textId="77777777">
            <w:pPr>
              <w:spacing w:before="120" w:after="60" w:line="240" w:lineRule="auto"/>
              <w:rPr>
                <w:rtl/>
              </w:rPr>
            </w:pPr>
          </w:p>
        </w:tc>
        <w:tc>
          <w:tcPr>
            <w:tcW w:w="1566" w:type="pct"/>
            <w:tcBorders>
              <w:bottom w:val="single" w:sz="12" w:space="0" w:color="000000" w:themeColor="text1"/>
            </w:tcBorders>
            <w:vAlign w:val="bottom"/>
          </w:tcPr>
          <w:p w:rsidR="00EF7FE0" w:rsidRPr="00340353" w:rsidP="00937056" w14:paraId="2A2E27BD" w14:textId="646F34FB">
            <w:pPr>
              <w:pStyle w:val="2021"/>
              <w:spacing w:before="0" w:after="60"/>
              <w:rPr>
                <w:b w:val="0"/>
                <w:bCs w:val="0"/>
                <w:spacing w:val="-20"/>
                <w:sz w:val="24"/>
                <w:rtl/>
              </w:rPr>
            </w:pPr>
            <w:r>
              <w:rPr>
                <w:rFonts w:hint="cs"/>
                <w:spacing w:val="-10"/>
                <w:rtl/>
              </w:rPr>
              <w:t xml:space="preserve">7% </w:t>
            </w:r>
            <w:r w:rsidRPr="00EF7FE0">
              <w:rPr>
                <w:rFonts w:hint="cs"/>
                <w:spacing w:val="-20"/>
                <w:sz w:val="26"/>
                <w:szCs w:val="26"/>
                <w:rtl/>
              </w:rPr>
              <w:t>בלבד</w:t>
            </w:r>
          </w:p>
        </w:tc>
      </w:tr>
      <w:tr w14:paraId="6DFAF81C" w14:textId="77777777" w:rsidTr="00EF7FE0">
        <w:tblPrEx>
          <w:tblW w:w="5000" w:type="pct"/>
          <w:tblLook w:val="04A0"/>
        </w:tblPrEx>
        <w:tc>
          <w:tcPr>
            <w:tcW w:w="1584" w:type="pct"/>
            <w:tcBorders>
              <w:top w:val="single" w:sz="12" w:space="0" w:color="000000" w:themeColor="text1"/>
            </w:tcBorders>
          </w:tcPr>
          <w:p w:rsidR="00EF7FE0" w:rsidRPr="00E52143" w:rsidP="00EF7FE0" w14:paraId="1D96599A" w14:textId="289731ED">
            <w:pPr>
              <w:pStyle w:val="732021"/>
              <w:spacing w:before="0"/>
              <w:rPr>
                <w:rtl/>
              </w:rPr>
            </w:pPr>
            <w:r w:rsidRPr="00EF6255">
              <w:rPr>
                <w:rFonts w:hint="eastAsia"/>
                <w:rtl/>
              </w:rPr>
              <w:t>מ</w:t>
            </w:r>
            <w:r w:rsidR="005D1262">
              <w:rPr>
                <w:rFonts w:hint="cs"/>
                <w:rtl/>
              </w:rPr>
              <w:t>ספר</w:t>
            </w:r>
            <w:r w:rsidRPr="00EF6255">
              <w:rPr>
                <w:rtl/>
              </w:rPr>
              <w:t xml:space="preserve"> החייבים </w:t>
            </w:r>
            <w:r w:rsidRPr="00EF6255">
              <w:rPr>
                <w:rFonts w:hint="cs"/>
                <w:rtl/>
              </w:rPr>
              <w:t xml:space="preserve">שפרטיהם נכללים במאגרי המידע של </w:t>
            </w:r>
            <w:r w:rsidRPr="00EF6255">
              <w:rPr>
                <w:rFonts w:hint="cs"/>
                <w:rtl/>
              </w:rPr>
              <w:t>המג"ק</w:t>
            </w:r>
          </w:p>
        </w:tc>
        <w:tc>
          <w:tcPr>
            <w:tcW w:w="219" w:type="pct"/>
          </w:tcPr>
          <w:p w:rsidR="00EF7FE0" w:rsidRPr="00E52143" w:rsidP="00EF7FE0" w14:paraId="2BF81D8C" w14:textId="77777777">
            <w:pPr>
              <w:pStyle w:val="732021"/>
              <w:spacing w:before="0"/>
              <w:rPr>
                <w:rtl/>
              </w:rPr>
            </w:pPr>
          </w:p>
        </w:tc>
        <w:tc>
          <w:tcPr>
            <w:tcW w:w="1412" w:type="pct"/>
            <w:tcBorders>
              <w:top w:val="single" w:sz="12" w:space="0" w:color="000000" w:themeColor="text1"/>
            </w:tcBorders>
          </w:tcPr>
          <w:p w:rsidR="00EF7FE0" w:rsidRPr="00E52143" w:rsidP="00EF7FE0" w14:paraId="68924AF7" w14:textId="56858539">
            <w:pPr>
              <w:pStyle w:val="732021"/>
              <w:spacing w:before="0"/>
              <w:rPr>
                <w:rtl/>
              </w:rPr>
            </w:pPr>
            <w:r w:rsidRPr="00EF6255">
              <w:rPr>
                <w:rFonts w:hint="cs"/>
                <w:rtl/>
              </w:rPr>
              <w:t xml:space="preserve">סך יתרת החוב בתיקים הפתוחים </w:t>
            </w:r>
            <w:r w:rsidRPr="00EF6255">
              <w:rPr>
                <w:rFonts w:hint="cs"/>
                <w:rtl/>
              </w:rPr>
              <w:t>במג"ק</w:t>
            </w:r>
          </w:p>
        </w:tc>
        <w:tc>
          <w:tcPr>
            <w:tcW w:w="219" w:type="pct"/>
          </w:tcPr>
          <w:p w:rsidR="00EF7FE0" w:rsidRPr="00E52143" w:rsidP="00EF7FE0" w14:paraId="4F52CE08" w14:textId="77777777">
            <w:pPr>
              <w:pStyle w:val="732021"/>
              <w:spacing w:before="0"/>
              <w:rPr>
                <w:rtl/>
              </w:rPr>
            </w:pPr>
          </w:p>
        </w:tc>
        <w:tc>
          <w:tcPr>
            <w:tcW w:w="1566" w:type="pct"/>
            <w:tcBorders>
              <w:top w:val="single" w:sz="12" w:space="0" w:color="000000" w:themeColor="text1"/>
            </w:tcBorders>
          </w:tcPr>
          <w:p w:rsidR="00EF7FE0" w:rsidRPr="00E52143" w:rsidP="00EF7FE0" w14:paraId="203F9568" w14:textId="22C8269A">
            <w:pPr>
              <w:pStyle w:val="732021"/>
              <w:spacing w:before="0"/>
              <w:rPr>
                <w:rtl/>
              </w:rPr>
            </w:pPr>
            <w:r w:rsidRPr="00EF6255">
              <w:rPr>
                <w:rFonts w:hint="cs"/>
                <w:rtl/>
              </w:rPr>
              <w:t>שיעור</w:t>
            </w:r>
            <w:r w:rsidRPr="00EF6255">
              <w:rPr>
                <w:rtl/>
              </w:rPr>
              <w:t xml:space="preserve"> האירועים החריגים</w:t>
            </w:r>
            <w:r>
              <w:rPr>
                <w:vertAlign w:val="superscript"/>
                <w:rtl/>
              </w:rPr>
              <w:footnoteReference w:id="2"/>
            </w:r>
            <w:r w:rsidRPr="00EF6255">
              <w:rPr>
                <w:rtl/>
              </w:rPr>
              <w:t xml:space="preserve"> (99 מתוך 1,391) שהתרחשו </w:t>
            </w:r>
            <w:r w:rsidRPr="00EF6255">
              <w:rPr>
                <w:rFonts w:hint="eastAsia"/>
                <w:rtl/>
              </w:rPr>
              <w:t>ב</w:t>
            </w:r>
            <w:r w:rsidRPr="00EF6255">
              <w:rPr>
                <w:rtl/>
              </w:rPr>
              <w:t xml:space="preserve">ספטמבר 2022 ונבדקו על ידי גורמי הבקרה </w:t>
            </w:r>
            <w:r w:rsidRPr="00EF6255">
              <w:rPr>
                <w:rtl/>
              </w:rPr>
              <w:t>במג"</w:t>
            </w:r>
            <w:r w:rsidRPr="00EF6255">
              <w:rPr>
                <w:rFonts w:hint="cs"/>
                <w:rtl/>
              </w:rPr>
              <w:t>ק</w:t>
            </w:r>
          </w:p>
        </w:tc>
      </w:tr>
      <w:tr w14:paraId="1BD5A20C" w14:textId="77777777" w:rsidTr="00EF7FE0">
        <w:tblPrEx>
          <w:tblW w:w="5000" w:type="pct"/>
          <w:tblLook w:val="04A0"/>
        </w:tblPrEx>
        <w:tc>
          <w:tcPr>
            <w:tcW w:w="1584" w:type="pct"/>
            <w:tcBorders>
              <w:bottom w:val="single" w:sz="12" w:space="0" w:color="000000" w:themeColor="text1"/>
            </w:tcBorders>
            <w:vAlign w:val="bottom"/>
          </w:tcPr>
          <w:p w:rsidR="00EF7FE0" w:rsidRPr="00411396" w:rsidP="00937056" w14:paraId="500D3B50" w14:textId="25465DAB">
            <w:pPr>
              <w:spacing w:line="240"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52%</w:t>
            </w:r>
          </w:p>
        </w:tc>
        <w:tc>
          <w:tcPr>
            <w:tcW w:w="219" w:type="pct"/>
            <w:vAlign w:val="bottom"/>
          </w:tcPr>
          <w:p w:rsidR="00EF7FE0" w:rsidRPr="00E52143" w:rsidP="00937056" w14:paraId="26A950B1" w14:textId="77777777">
            <w:pPr>
              <w:spacing w:after="120"/>
              <w:jc w:val="left"/>
              <w:rPr>
                <w:rFonts w:ascii="Tahoma" w:hAnsi="Tahoma" w:eastAsiaTheme="minorEastAsia" w:cs="Tahoma"/>
                <w:b/>
                <w:bCs/>
                <w:color w:val="0D0D0D" w:themeColor="text1" w:themeTint="F2"/>
                <w:spacing w:val="-10"/>
                <w:sz w:val="36"/>
                <w:szCs w:val="36"/>
                <w:rtl/>
              </w:rPr>
            </w:pPr>
          </w:p>
        </w:tc>
        <w:tc>
          <w:tcPr>
            <w:tcW w:w="1412" w:type="pct"/>
            <w:tcBorders>
              <w:bottom w:val="single" w:sz="12" w:space="0" w:color="000000" w:themeColor="text1"/>
            </w:tcBorders>
            <w:vAlign w:val="bottom"/>
          </w:tcPr>
          <w:p w:rsidR="00EF7FE0" w:rsidRPr="008D750B" w:rsidP="00937056" w14:paraId="48896DF7" w14:textId="510BE7D7">
            <w:pPr>
              <w:pStyle w:val="2021"/>
              <w:spacing w:before="0" w:after="60"/>
              <w:rPr>
                <w:spacing w:val="-10"/>
                <w:rtl/>
              </w:rPr>
            </w:pPr>
            <w:r>
              <w:rPr>
                <w:rFonts w:hint="cs"/>
                <w:spacing w:val="-10"/>
                <w:rtl/>
              </w:rPr>
              <w:t xml:space="preserve">14 </w:t>
            </w:r>
            <w:r w:rsidRPr="00EF7FE0">
              <w:rPr>
                <w:rFonts w:hint="cs"/>
                <w:spacing w:val="-10"/>
                <w:sz w:val="26"/>
                <w:szCs w:val="26"/>
                <w:rtl/>
              </w:rPr>
              <w:t>הרשאות</w:t>
            </w:r>
          </w:p>
        </w:tc>
        <w:tc>
          <w:tcPr>
            <w:tcW w:w="219" w:type="pct"/>
            <w:vAlign w:val="bottom"/>
          </w:tcPr>
          <w:p w:rsidR="00EF7FE0" w:rsidP="00937056" w14:paraId="5B4C8A80" w14:textId="77777777">
            <w:pPr>
              <w:spacing w:after="120" w:line="240" w:lineRule="auto"/>
              <w:jc w:val="left"/>
              <w:rPr>
                <w:rtl/>
              </w:rPr>
            </w:pPr>
          </w:p>
        </w:tc>
        <w:tc>
          <w:tcPr>
            <w:tcW w:w="1566" w:type="pct"/>
            <w:tcBorders>
              <w:bottom w:val="single" w:sz="12" w:space="0" w:color="000000" w:themeColor="text1"/>
            </w:tcBorders>
            <w:vAlign w:val="bottom"/>
          </w:tcPr>
          <w:p w:rsidR="00EF7FE0" w:rsidRPr="0062456C" w:rsidP="00937056" w14:paraId="226A2E50" w14:textId="7081367F">
            <w:pPr>
              <w:spacing w:after="60" w:line="192"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21%</w:t>
            </w:r>
          </w:p>
        </w:tc>
      </w:tr>
      <w:tr w14:paraId="54154FA5" w14:textId="77777777" w:rsidTr="00EF7FE0">
        <w:tblPrEx>
          <w:tblW w:w="5000" w:type="pct"/>
          <w:tblLook w:val="04A0"/>
        </w:tblPrEx>
        <w:tc>
          <w:tcPr>
            <w:tcW w:w="1584" w:type="pct"/>
            <w:tcBorders>
              <w:top w:val="single" w:sz="12" w:space="0" w:color="000000" w:themeColor="text1"/>
            </w:tcBorders>
          </w:tcPr>
          <w:p w:rsidR="00EF7FE0" w:rsidRPr="004562F8" w:rsidP="00EF7FE0" w14:paraId="6DB67748" w14:textId="4DDBED5A">
            <w:pPr>
              <w:pStyle w:val="732021"/>
              <w:spacing w:before="0" w:after="0"/>
              <w:rPr>
                <w:rtl/>
              </w:rPr>
            </w:pPr>
            <w:r w:rsidRPr="00EF6255">
              <w:rPr>
                <w:rFonts w:hint="cs"/>
                <w:rtl/>
              </w:rPr>
              <w:t xml:space="preserve">שיעור </w:t>
            </w:r>
            <w:r w:rsidRPr="00EF6255">
              <w:rPr>
                <w:rtl/>
              </w:rPr>
              <w:t>ההרשאות (23 מתוך 44) שנפתחו במערכת</w:t>
            </w:r>
            <w:r w:rsidRPr="00EF6255">
              <w:rPr>
                <w:rFonts w:hint="cs"/>
                <w:rtl/>
              </w:rPr>
              <w:t xml:space="preserve"> התפעולית של </w:t>
            </w:r>
            <w:r w:rsidRPr="00EF6255">
              <w:rPr>
                <w:rFonts w:hint="cs"/>
                <w:rtl/>
              </w:rPr>
              <w:t>המג"ק</w:t>
            </w:r>
            <w:r w:rsidRPr="00EF6255">
              <w:rPr>
                <w:rtl/>
              </w:rPr>
              <w:t xml:space="preserve"> בלי </w:t>
            </w:r>
            <w:r w:rsidRPr="00EF6255">
              <w:rPr>
                <w:rFonts w:hint="eastAsia"/>
                <w:rtl/>
              </w:rPr>
              <w:t>ש</w:t>
            </w:r>
            <w:r w:rsidRPr="00EF6255">
              <w:rPr>
                <w:rtl/>
              </w:rPr>
              <w:t>מינהלן</w:t>
            </w:r>
            <w:r w:rsidRPr="00EF6255">
              <w:rPr>
                <w:rtl/>
              </w:rPr>
              <w:t xml:space="preserve"> ההרשאות ברשות האכיפה והגבייה </w:t>
            </w:r>
            <w:r w:rsidRPr="00EF6255">
              <w:rPr>
                <w:rFonts w:hint="eastAsia"/>
                <w:rtl/>
              </w:rPr>
              <w:t>התבקש</w:t>
            </w:r>
            <w:r w:rsidRPr="00EF6255">
              <w:rPr>
                <w:rtl/>
              </w:rPr>
              <w:t xml:space="preserve"> </w:t>
            </w:r>
            <w:r w:rsidRPr="00EF6255">
              <w:rPr>
                <w:rFonts w:hint="eastAsia"/>
                <w:rtl/>
              </w:rPr>
              <w:t>לאשרן</w:t>
            </w:r>
          </w:p>
        </w:tc>
        <w:tc>
          <w:tcPr>
            <w:tcW w:w="219" w:type="pct"/>
          </w:tcPr>
          <w:p w:rsidR="00EF7FE0" w:rsidRPr="008D750B" w:rsidP="00EF7FE0" w14:paraId="0C0AE598" w14:textId="77777777">
            <w:pPr>
              <w:pStyle w:val="732021"/>
              <w:spacing w:before="0" w:after="0"/>
              <w:rPr>
                <w:rtl/>
              </w:rPr>
            </w:pPr>
          </w:p>
        </w:tc>
        <w:tc>
          <w:tcPr>
            <w:tcW w:w="1412" w:type="pct"/>
            <w:tcBorders>
              <w:top w:val="single" w:sz="12" w:space="0" w:color="000000" w:themeColor="text1"/>
            </w:tcBorders>
          </w:tcPr>
          <w:p w:rsidR="00EF7FE0" w:rsidRPr="004562F8" w:rsidP="00EF7FE0" w14:paraId="1916A301" w14:textId="31501318">
            <w:pPr>
              <w:pStyle w:val="732021"/>
              <w:spacing w:before="0" w:after="0"/>
              <w:rPr>
                <w:rtl/>
              </w:rPr>
            </w:pPr>
            <w:r w:rsidRPr="00EF6255">
              <w:rPr>
                <w:rtl/>
              </w:rPr>
              <w:t xml:space="preserve">של עובדי מוקד המידע הטלפוני למאגר המידע של </w:t>
            </w:r>
            <w:r w:rsidRPr="00EF6255">
              <w:rPr>
                <w:rtl/>
              </w:rPr>
              <w:t>המג"ק</w:t>
            </w:r>
            <w:r w:rsidRPr="00EF6255">
              <w:rPr>
                <w:rtl/>
              </w:rPr>
              <w:t xml:space="preserve"> לא הוסרו חרף סיום עבודתם</w:t>
            </w:r>
            <w:r w:rsidRPr="00EF6255">
              <w:rPr>
                <w:rFonts w:hint="cs"/>
                <w:rtl/>
              </w:rPr>
              <w:t xml:space="preserve"> בטווח של חודש עד 13 חודשים לפני מועד הביקורת</w:t>
            </w:r>
          </w:p>
        </w:tc>
        <w:tc>
          <w:tcPr>
            <w:tcW w:w="219" w:type="pct"/>
          </w:tcPr>
          <w:p w:rsidR="00EF7FE0" w:rsidP="00EF7FE0" w14:paraId="14782C57" w14:textId="77777777">
            <w:pPr>
              <w:pStyle w:val="732021"/>
              <w:spacing w:before="0" w:after="0"/>
              <w:rPr>
                <w:rtl/>
              </w:rPr>
            </w:pPr>
          </w:p>
        </w:tc>
        <w:tc>
          <w:tcPr>
            <w:tcW w:w="1566" w:type="pct"/>
            <w:tcBorders>
              <w:top w:val="single" w:sz="12" w:space="0" w:color="000000" w:themeColor="text1"/>
            </w:tcBorders>
          </w:tcPr>
          <w:p w:rsidR="00EF7FE0" w:rsidRPr="0062456C" w:rsidP="00EF7FE0" w14:paraId="6149CA50" w14:textId="638BD904">
            <w:pPr>
              <w:pStyle w:val="732021"/>
              <w:spacing w:before="0" w:after="0"/>
              <w:rPr>
                <w:rtl/>
              </w:rPr>
            </w:pPr>
            <w:r w:rsidRPr="00EF6255">
              <w:rPr>
                <w:rFonts w:hint="eastAsia"/>
                <w:rtl/>
              </w:rPr>
              <w:t>שיעור</w:t>
            </w:r>
            <w:r w:rsidRPr="00EF6255">
              <w:rPr>
                <w:rtl/>
              </w:rPr>
              <w:t xml:space="preserve"> עובדי מוקד המידע הטלפוני (20 מתוך 94) </w:t>
            </w:r>
            <w:r w:rsidRPr="00EF6255">
              <w:rPr>
                <w:rFonts w:hint="cs"/>
                <w:rtl/>
              </w:rPr>
              <w:t>שהשתמשו</w:t>
            </w:r>
            <w:r w:rsidRPr="00EF6255">
              <w:rPr>
                <w:rtl/>
              </w:rPr>
              <w:t xml:space="preserve"> במערכת ללא כרטיס חכם המשויך להם</w:t>
            </w: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EF7FE0" w:rsidP="00420374" w14:paraId="71312AE9" w14:textId="531678A2">
      <w:pPr>
        <w:pStyle w:val="7317"/>
        <w:rPr>
          <w:noProof/>
          <w:rtl/>
        </w:rPr>
      </w:pPr>
      <w:r w:rsidRPr="001F3363">
        <w:rPr>
          <w:noProof/>
        </w:rPr>
        <w:drawing>
          <wp:anchor distT="0" distB="0" distL="114300" distR="114300" simplePos="0" relativeHeight="251681792"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6255">
        <w:rPr>
          <w:noProof/>
          <w:rtl/>
        </w:rPr>
        <w:t xml:space="preserve">בחודשים </w:t>
      </w:r>
      <w:r w:rsidRPr="00EF6255">
        <w:rPr>
          <w:rFonts w:hint="cs"/>
          <w:noProof/>
          <w:rtl/>
        </w:rPr>
        <w:t xml:space="preserve">ספטמבר 2021 </w:t>
      </w:r>
      <w:r w:rsidRPr="00EF6255">
        <w:rPr>
          <w:noProof/>
          <w:rtl/>
        </w:rPr>
        <w:t>-</w:t>
      </w:r>
      <w:r w:rsidRPr="00EF6255">
        <w:rPr>
          <w:rFonts w:hint="cs"/>
          <w:noProof/>
          <w:rtl/>
        </w:rPr>
        <w:t xml:space="preserve"> אוקטובר 2022 בדק </w:t>
      </w:r>
      <w:r w:rsidRPr="00EF6255">
        <w:rPr>
          <w:noProof/>
          <w:rtl/>
        </w:rPr>
        <w:t xml:space="preserve">משרד מבקר המדינה </w:t>
      </w:r>
      <w:r w:rsidRPr="00EF6255">
        <w:rPr>
          <w:rFonts w:hint="cs"/>
          <w:noProof/>
          <w:rtl/>
        </w:rPr>
        <w:t xml:space="preserve">היבטים בתחום ההגנה על הפרטיות ואבטחת </w:t>
      </w:r>
      <w:r w:rsidR="00245139">
        <w:rPr>
          <w:rFonts w:hint="cs"/>
          <w:noProof/>
          <w:rtl/>
        </w:rPr>
        <w:t>ה</w:t>
      </w:r>
      <w:r w:rsidRPr="00EF6255">
        <w:rPr>
          <w:rFonts w:hint="cs"/>
          <w:noProof/>
          <w:rtl/>
        </w:rPr>
        <w:t xml:space="preserve">מידע במערכות המג"ק. </w:t>
      </w:r>
      <w:r w:rsidRPr="00EF6255">
        <w:rPr>
          <w:noProof/>
          <w:rtl/>
        </w:rPr>
        <w:t xml:space="preserve">בביקורת נבדקו </w:t>
      </w:r>
      <w:r w:rsidRPr="00EF6255">
        <w:rPr>
          <w:rFonts w:hint="eastAsia"/>
          <w:noProof/>
          <w:rtl/>
        </w:rPr>
        <w:t>אופן</w:t>
      </w:r>
      <w:r w:rsidRPr="00EF6255">
        <w:rPr>
          <w:noProof/>
          <w:rtl/>
        </w:rPr>
        <w:t xml:space="preserve"> תיעוד הגישה, השימוש במערכות המידע במג"ק</w:t>
      </w:r>
      <w:r w:rsidRPr="00EF6255">
        <w:rPr>
          <w:rFonts w:hint="cs"/>
          <w:noProof/>
          <w:rtl/>
        </w:rPr>
        <w:t xml:space="preserve"> </w:t>
      </w:r>
      <w:r w:rsidRPr="00EF6255">
        <w:rPr>
          <w:rFonts w:hint="eastAsia"/>
          <w:noProof/>
          <w:rtl/>
        </w:rPr>
        <w:t>והשינויים</w:t>
      </w:r>
      <w:r w:rsidRPr="00EF6255">
        <w:rPr>
          <w:noProof/>
          <w:rtl/>
        </w:rPr>
        <w:t xml:space="preserve"> </w:t>
      </w:r>
      <w:r w:rsidRPr="00EF6255">
        <w:rPr>
          <w:rFonts w:hint="eastAsia"/>
          <w:noProof/>
          <w:rtl/>
        </w:rPr>
        <w:t>בהן</w:t>
      </w:r>
      <w:r w:rsidRPr="00EF6255">
        <w:rPr>
          <w:noProof/>
          <w:rtl/>
        </w:rPr>
        <w:t xml:space="preserve">, מערך ההרשאות למערכות המידע במג"ק וההתמודדות עם סכנת חדירה למערכות המידע. </w:t>
      </w:r>
      <w:r w:rsidRPr="00EF6255">
        <w:rPr>
          <w:rFonts w:hint="cs"/>
          <w:noProof/>
          <w:rtl/>
        </w:rPr>
        <w:t xml:space="preserve">בדיקות השלמה בוצעו </w:t>
      </w:r>
      <w:r w:rsidRPr="00EF6255">
        <w:rPr>
          <w:rFonts w:hint="eastAsia"/>
          <w:noProof/>
          <w:rtl/>
        </w:rPr>
        <w:t>ב</w:t>
      </w:r>
      <w:r w:rsidRPr="00EF6255">
        <w:rPr>
          <w:rFonts w:hint="cs"/>
          <w:noProof/>
          <w:rtl/>
        </w:rPr>
        <w:t>חודשים ינואר ופברואר 2023</w:t>
      </w:r>
      <w:r>
        <w:rPr>
          <w:rFonts w:hint="cs"/>
          <w:noProof/>
          <w:rtl/>
        </w:rPr>
        <w:t>.</w:t>
      </w:r>
    </w:p>
    <w:p w:rsidR="00EF7FE0" w:rsidP="00420374" w14:paraId="136D99C9" w14:textId="3D5381F8">
      <w:pPr>
        <w:pStyle w:val="7317"/>
        <w:rPr>
          <w:noProof/>
          <w:rtl/>
        </w:rPr>
      </w:pPr>
      <w:r w:rsidRPr="00EF6255">
        <w:rPr>
          <w:noProof/>
          <w:rtl/>
        </w:rPr>
        <w:t xml:space="preserve">הביקורת נעשתה במרכז לגביית קנסות שברשות האכיפה והגבייה ובמטה הרשות. בדיקות השלמה נערכו ברשות להגנת הפרטיות במשרד המשפטים וביחידה להגנת הסייבר בממשלה (יה"ב) </w:t>
      </w:r>
      <w:r w:rsidRPr="00245139" w:rsidR="00245139">
        <w:rPr>
          <w:noProof/>
          <w:rtl/>
        </w:rPr>
        <w:t>במערך הדיגיטל הלאומי</w:t>
      </w:r>
      <w:r>
        <w:rPr>
          <w:rFonts w:hint="cs"/>
          <w:noProof/>
          <w:rtl/>
        </w:rPr>
        <w:t>.</w:t>
      </w:r>
    </w:p>
    <w:p w:rsidR="00EF7FE0" w:rsidP="00420374" w14:paraId="4967C80A" w14:textId="07312D58">
      <w:pPr>
        <w:pStyle w:val="7317"/>
        <w:rPr>
          <w:noProof/>
          <w:rtl/>
        </w:rPr>
      </w:pPr>
      <w:r w:rsidRPr="00EF6255">
        <w:rPr>
          <w:noProof/>
          <w:rtl/>
        </w:rPr>
        <w:t xml:space="preserve">משרד מבקר המדינה בחן </w:t>
      </w:r>
      <w:r w:rsidRPr="00EF6255">
        <w:rPr>
          <w:rFonts w:hint="cs"/>
          <w:noProof/>
          <w:rtl/>
        </w:rPr>
        <w:t>במקביל</w:t>
      </w:r>
      <w:r w:rsidRPr="00EF6255">
        <w:rPr>
          <w:noProof/>
          <w:rtl/>
        </w:rPr>
        <w:t xml:space="preserve"> היבטים נוספים בפעילות המרכז לגביית קנסות - ניהול תהליך גביית החוב משלב קליטת התיק, משלוח דרישות תשלום ונקיטת הליכי גבייה שונים; מנגנוני פריסת החוב, הפחתות תוספות הפיגורים ומחיקת חובות במג"ק; ניהול </w:t>
      </w:r>
      <w:r w:rsidRPr="00EF6255">
        <w:rPr>
          <w:noProof/>
          <w:rtl/>
        </w:rPr>
        <w:t>תהליך גביית חובות מסוג פיצויים לנפגעי עבירה והקשר עם נפגעי העבירה. ממצאי ביקורת</w:t>
      </w:r>
      <w:r w:rsidRPr="00EF6255">
        <w:rPr>
          <w:rFonts w:hint="cs"/>
          <w:noProof/>
          <w:rtl/>
        </w:rPr>
        <w:t xml:space="preserve"> אלו </w:t>
      </w:r>
      <w:r w:rsidRPr="00EF6255">
        <w:rPr>
          <w:noProof/>
          <w:rtl/>
        </w:rPr>
        <w:t xml:space="preserve">פורסמו בדוח מבקר המדינה </w:t>
      </w:r>
      <w:r w:rsidRPr="00EF6255">
        <w:rPr>
          <w:rFonts w:hint="cs"/>
          <w:noProof/>
          <w:rtl/>
        </w:rPr>
        <w:t>ממאי 2023</w:t>
      </w:r>
      <w:r>
        <w:rPr>
          <w:noProof/>
          <w:vertAlign w:val="superscript"/>
          <w:rtl/>
        </w:rPr>
        <w:footnoteReference w:id="3"/>
      </w:r>
      <w:r>
        <w:rPr>
          <w:rFonts w:hint="cs"/>
          <w:noProof/>
          <w:rtl/>
        </w:rPr>
        <w:t>.</w:t>
      </w:r>
    </w:p>
    <w:p w:rsidR="00420374" w:rsidP="00420374" w14:paraId="0AF4CED3" w14:textId="384CDB3C">
      <w:pPr>
        <w:pStyle w:val="7317"/>
        <w:rPr>
          <w:rtl/>
        </w:rPr>
      </w:pPr>
      <w:r w:rsidRPr="00EF6255">
        <w:rPr>
          <w:rFonts w:hint="cs"/>
          <w:noProof/>
          <w:rtl/>
        </w:rPr>
        <w:t>ועדת המשנה של הוועדה לענייני ביקורת המדינה של הכנסת החליטה שלא להניח דוח זה במלואו על שולחן הכנסת אלא לפרסם רק חלקים ממנו, זאת לשם שמירה על ביטחון המדינה, בהתאם לסעיף 17 לחוק מבקר המדינה, התשי"ח-1958 [נוסח משולב]</w:t>
      </w:r>
      <w:r>
        <w:rPr>
          <w:rFonts w:hint="cs"/>
          <w:rtl/>
        </w:rPr>
        <w:t>.</w:t>
      </w:r>
      <w:r w:rsidRPr="001F3363">
        <w:rPr>
          <w:rFonts w:hint="cs"/>
          <w:rtl/>
        </w:rPr>
        <w:t xml:space="preserve"> </w:t>
      </w:r>
    </w:p>
    <w:p w:rsidR="002753C7" w:rsidRPr="00662020" w:rsidP="002753C7" w14:paraId="690F076D" w14:textId="20124327">
      <w:pPr>
        <w:pStyle w:val="7327"/>
        <w:rPr>
          <w:rtl/>
        </w:rPr>
      </w:pPr>
      <w:r w:rsidRPr="00362C00">
        <w:rPr>
          <w:noProof/>
          <w:rtl/>
        </w:rPr>
        <w:drawing>
          <wp:anchor distT="0" distB="0" distL="114300" distR="114300" simplePos="0" relativeHeight="251682816" behindDoc="0" locked="0" layoutInCell="1" allowOverlap="1">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rsidR="002753C7" w:rsidRPr="001F3363" w:rsidP="00420374" w14:paraId="0B2F822B" w14:textId="27DE8E9F">
      <w:pPr>
        <w:pStyle w:val="7317"/>
        <w:rPr>
          <w:rtl/>
        </w:rPr>
      </w:pPr>
    </w:p>
    <w:p w:rsidR="00420374" w:rsidRPr="00303B4E" w:rsidP="00303B4E" w14:paraId="18555822" w14:textId="521F091A">
      <w:pPr>
        <w:pStyle w:val="7317"/>
        <w:rPr>
          <w:rtl/>
        </w:rPr>
      </w:pPr>
      <w:r w:rsidRPr="00EF7FE0">
        <w:rPr>
          <w:rFonts w:hint="cs"/>
          <w:b/>
          <w:bCs/>
          <w:noProof/>
          <w:rtl/>
        </w:rPr>
        <w:drawing>
          <wp:anchor distT="0" distB="0" distL="71755" distR="0" simplePos="0" relativeHeight="25168384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sidR="00EF7FE0">
        <w:rPr>
          <w:b/>
          <w:bCs/>
          <w:rtl/>
        </w:rPr>
        <w:t>תיעוד של ה</w:t>
      </w:r>
      <w:r w:rsidRPr="00EF7FE0" w:rsidR="00EF7FE0">
        <w:rPr>
          <w:rFonts w:hint="cs"/>
          <w:b/>
          <w:bCs/>
          <w:rtl/>
        </w:rPr>
        <w:t>גישה</w:t>
      </w:r>
      <w:r w:rsidRPr="00EF7FE0" w:rsidR="00EF7FE0">
        <w:rPr>
          <w:b/>
          <w:bCs/>
          <w:rtl/>
        </w:rPr>
        <w:t xml:space="preserve"> </w:t>
      </w:r>
      <w:r w:rsidRPr="00EF7FE0" w:rsidR="00EF7FE0">
        <w:rPr>
          <w:rFonts w:hint="cs"/>
          <w:b/>
          <w:bCs/>
          <w:rtl/>
        </w:rPr>
        <w:t xml:space="preserve">למידע </w:t>
      </w:r>
      <w:r w:rsidRPr="00EF7FE0" w:rsidR="00EF7FE0">
        <w:rPr>
          <w:b/>
          <w:bCs/>
          <w:rtl/>
        </w:rPr>
        <w:t xml:space="preserve">במערכות המידע </w:t>
      </w:r>
      <w:r w:rsidRPr="00EF7FE0" w:rsidR="00EF7FE0">
        <w:rPr>
          <w:b/>
          <w:bCs/>
          <w:rtl/>
        </w:rPr>
        <w:t>במג"ק</w:t>
      </w:r>
      <w:r w:rsidRPr="00EF7FE0" w:rsidR="00EF7FE0">
        <w:rPr>
          <w:b/>
          <w:bCs/>
          <w:rtl/>
        </w:rPr>
        <w:t xml:space="preserve"> ובקרה על כך</w:t>
      </w:r>
      <w:r w:rsidRPr="00EF6255" w:rsidR="00EF7FE0">
        <w:rPr>
          <w:rtl/>
        </w:rPr>
        <w:t xml:space="preserve"> - </w:t>
      </w:r>
      <w:r w:rsidRPr="00EF6255" w:rsidR="00EF7FE0">
        <w:rPr>
          <w:rtl/>
        </w:rPr>
        <w:t>המג"ק</w:t>
      </w:r>
      <w:r w:rsidRPr="00EF6255" w:rsidR="00EF7FE0">
        <w:rPr>
          <w:rtl/>
        </w:rPr>
        <w:t xml:space="preserve"> אינו מתעד את הגישה של משתמשי המערכת </w:t>
      </w:r>
      <w:r w:rsidRPr="00EF6255" w:rsidR="00EF7FE0">
        <w:rPr>
          <w:rtl/>
        </w:rPr>
        <w:t>במג"ק</w:t>
      </w:r>
      <w:r w:rsidRPr="00EF6255" w:rsidR="00EF7FE0">
        <w:rPr>
          <w:rtl/>
        </w:rPr>
        <w:t xml:space="preserve"> למידע הרב והרגיש שקיים בה ואינו מבצע בקרה עליה. במצב דברים זה, גם אם קיימות חריגות של משתמשים, אין אפשרות לאתרן ולהפסיקן</w:t>
      </w:r>
      <w:r w:rsidRPr="00303B4E">
        <w:rPr>
          <w:rtl/>
        </w:rPr>
        <w:t>.</w:t>
      </w:r>
    </w:p>
    <w:p w:rsidR="00420374" w:rsidRPr="0093709F" w:rsidP="00DA022A" w14:paraId="1D22E15A" w14:textId="221874B1">
      <w:pPr>
        <w:pStyle w:val="7392"/>
        <w:ind w:left="424"/>
      </w:pPr>
      <w:r w:rsidRPr="00EF7FE0">
        <w:rPr>
          <w:rFonts w:hint="cs"/>
          <w:b/>
          <w:bCs/>
          <w:noProof/>
          <w:rtl/>
        </w:rPr>
        <w:drawing>
          <wp:anchor distT="0" distB="720090" distL="114300" distR="114300" simplePos="0" relativeHeight="2516848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sidR="00EF7FE0">
        <w:rPr>
          <w:rFonts w:hint="cs"/>
          <w:b/>
          <w:bCs/>
          <w:rtl/>
        </w:rPr>
        <w:t>בדיקת אירועים חריגים במערכת</w:t>
      </w:r>
      <w:r w:rsidRPr="00EF6255" w:rsidR="00EF7FE0">
        <w:rPr>
          <w:rFonts w:hint="cs"/>
          <w:rtl/>
        </w:rPr>
        <w:t xml:space="preserve"> - </w:t>
      </w:r>
      <w:r w:rsidRPr="00EF6255" w:rsidR="00EF7FE0">
        <w:rPr>
          <w:rFonts w:hint="eastAsia"/>
          <w:rtl/>
        </w:rPr>
        <w:t>אף</w:t>
      </w:r>
      <w:r w:rsidRPr="00EF6255" w:rsidR="00EF7FE0">
        <w:rPr>
          <w:rtl/>
        </w:rPr>
        <w:t xml:space="preserve"> </w:t>
      </w:r>
      <w:r w:rsidRPr="00EF6255" w:rsidR="00EF7FE0">
        <w:rPr>
          <w:rFonts w:hint="cs"/>
          <w:rtl/>
        </w:rPr>
        <w:t>שהמג"ק</w:t>
      </w:r>
      <w:r w:rsidRPr="00EF6255" w:rsidR="00EF7FE0">
        <w:rPr>
          <w:rFonts w:hint="cs"/>
          <w:rtl/>
        </w:rPr>
        <w:t xml:space="preserve"> הגדיר בשנת 2016 רשימה של 13 אירועים עסקיים חריגים הדורשים בחינה </w:t>
      </w:r>
      <w:r w:rsidRPr="00EF6255" w:rsidR="00EF7FE0">
        <w:rPr>
          <w:rFonts w:hint="eastAsia"/>
          <w:rtl/>
        </w:rPr>
        <w:t>פרטנית</w:t>
      </w:r>
      <w:r w:rsidRPr="00EF6255" w:rsidR="00EF7FE0">
        <w:rPr>
          <w:rtl/>
        </w:rPr>
        <w:t xml:space="preserve"> </w:t>
      </w:r>
      <w:r w:rsidRPr="00EF6255" w:rsidR="00EF7FE0">
        <w:rPr>
          <w:rFonts w:hint="cs"/>
          <w:rtl/>
        </w:rPr>
        <w:t xml:space="preserve">אם היו מוצדקים, </w:t>
      </w:r>
      <w:r w:rsidRPr="00EF6255" w:rsidR="00EF7FE0">
        <w:rPr>
          <w:rFonts w:hint="eastAsia"/>
          <w:rtl/>
        </w:rPr>
        <w:t>ב</w:t>
      </w:r>
      <w:r w:rsidRPr="00EF6255" w:rsidR="00EF7FE0">
        <w:rPr>
          <w:rFonts w:hint="cs"/>
          <w:rtl/>
        </w:rPr>
        <w:t xml:space="preserve">ספטמבר 2022 תועדו 1,391 אירועים חריגים, מהם נבדקו 99 </w:t>
      </w:r>
      <w:r w:rsidRPr="00EF6255" w:rsidR="00EF7FE0">
        <w:rPr>
          <w:rtl/>
        </w:rPr>
        <w:t>(7%)</w:t>
      </w:r>
      <w:r w:rsidRPr="00EF6255" w:rsidR="00EF7FE0">
        <w:rPr>
          <w:rFonts w:hint="cs"/>
          <w:rtl/>
        </w:rPr>
        <w:t xml:space="preserve"> אירועים בלבד. נוסף על כך, </w:t>
      </w:r>
      <w:r w:rsidRPr="00EF6255" w:rsidR="00EF7FE0">
        <w:rPr>
          <w:rFonts w:hint="cs"/>
          <w:rtl/>
        </w:rPr>
        <w:t>המג"ק</w:t>
      </w:r>
      <w:r w:rsidRPr="00EF6255" w:rsidR="00EF7FE0">
        <w:rPr>
          <w:rFonts w:hint="cs"/>
          <w:rtl/>
        </w:rPr>
        <w:t xml:space="preserve"> לא עדכן את רשימת האירועים החריגים במערכת משנת 2016</w:t>
      </w:r>
      <w:r w:rsidRPr="0093709F">
        <w:rPr>
          <w:rFonts w:hint="cs"/>
          <w:rtl/>
        </w:rPr>
        <w:t xml:space="preserve">. </w:t>
      </w:r>
    </w:p>
    <w:p w:rsidR="00420374" w:rsidRPr="0093709F" w:rsidP="00DA022A" w14:paraId="5E2BFABB" w14:textId="2998E687">
      <w:pPr>
        <w:pStyle w:val="7392"/>
        <w:ind w:left="424"/>
        <w:rPr>
          <w:rtl/>
        </w:rPr>
      </w:pPr>
      <w:r w:rsidRPr="00EF7FE0">
        <w:rPr>
          <w:rFonts w:hint="cs"/>
          <w:b/>
          <w:bCs/>
          <w:noProof/>
          <w:rtl/>
        </w:rPr>
        <w:drawing>
          <wp:anchor distT="0" distB="720090" distL="114300" distR="11430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sidR="00EF7FE0">
        <w:rPr>
          <w:b/>
          <w:bCs/>
          <w:rtl/>
        </w:rPr>
        <w:t xml:space="preserve">ניהול הרשאות הגישה למערכות </w:t>
      </w:r>
      <w:r w:rsidRPr="00EF7FE0" w:rsidR="00EF7FE0">
        <w:rPr>
          <w:b/>
          <w:bCs/>
          <w:rtl/>
        </w:rPr>
        <w:t>המג"ק</w:t>
      </w:r>
      <w:r w:rsidRPr="00EF6255" w:rsidR="00EF7FE0">
        <w:rPr>
          <w:rtl/>
        </w:rPr>
        <w:t xml:space="preserve"> - מתוך 44 הרשאות למשתמשים שנפתחו במערכת הממוחשבת הייעודית לכך (מערכת </w:t>
      </w:r>
      <w:r w:rsidRPr="00EF6255" w:rsidR="00EF7FE0">
        <w:rPr>
          <w:rFonts w:hint="cs"/>
          <w:rtl/>
        </w:rPr>
        <w:t>ב</w:t>
      </w:r>
      <w:r w:rsidRPr="00EF6255" w:rsidR="00245139">
        <w:rPr>
          <w:rFonts w:hint="cs"/>
          <w:rtl/>
        </w:rPr>
        <w:t>'</w:t>
      </w:r>
      <w:r w:rsidRPr="00EF6255" w:rsidR="00EF7FE0">
        <w:rPr>
          <w:rtl/>
        </w:rPr>
        <w:t xml:space="preserve">) בשנת 2021, 23 הרשאות (52%) נפתחו בלי שהתבקש עבורן אישור </w:t>
      </w:r>
      <w:r w:rsidRPr="00EF6255" w:rsidR="00EF7FE0">
        <w:rPr>
          <w:rtl/>
        </w:rPr>
        <w:t>ממינהלן</w:t>
      </w:r>
      <w:r w:rsidRPr="00EF6255" w:rsidR="00EF7FE0">
        <w:rPr>
          <w:rtl/>
        </w:rPr>
        <w:t xml:space="preserve"> ההרשאות, כנדרש בנוהל </w:t>
      </w:r>
      <w:r w:rsidRPr="00EF6255" w:rsidR="00EF7FE0">
        <w:rPr>
          <w:rFonts w:hint="cs"/>
          <w:rtl/>
        </w:rPr>
        <w:t>ה</w:t>
      </w:r>
      <w:r w:rsidRPr="00EF6255" w:rsidR="00EF7FE0">
        <w:rPr>
          <w:rtl/>
        </w:rPr>
        <w:t>מג"ק</w:t>
      </w:r>
      <w:r w:rsidRPr="0093709F">
        <w:rPr>
          <w:rFonts w:hint="cs"/>
          <w:rtl/>
        </w:rPr>
        <w:t>.</w:t>
      </w:r>
    </w:p>
    <w:p w:rsidR="00420374" w:rsidRPr="0093709F" w:rsidP="00DA022A" w14:paraId="583ECB3F" w14:textId="62554A10">
      <w:pPr>
        <w:pStyle w:val="7392"/>
        <w:ind w:left="424"/>
      </w:pPr>
      <w:r w:rsidRPr="00EF7FE0">
        <w:rPr>
          <w:rFonts w:hint="cs"/>
          <w:b/>
          <w:bCs/>
          <w:noProof/>
          <w:rtl/>
        </w:rPr>
        <w:drawing>
          <wp:anchor distT="0" distB="720090" distL="114300" distR="11430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sidR="00EF7FE0">
        <w:rPr>
          <w:b/>
          <w:bCs/>
          <w:rtl/>
        </w:rPr>
        <w:t xml:space="preserve">בקרה על ההרשאות הפעילות במערכת </w:t>
      </w:r>
      <w:r w:rsidRPr="00EF7FE0" w:rsidR="00EF7FE0">
        <w:rPr>
          <w:rFonts w:hint="cs"/>
          <w:b/>
          <w:bCs/>
          <w:rtl/>
        </w:rPr>
        <w:t xml:space="preserve">התפעולית של </w:t>
      </w:r>
      <w:r w:rsidRPr="00EF7FE0" w:rsidR="00EF7FE0">
        <w:rPr>
          <w:rFonts w:hint="cs"/>
          <w:b/>
          <w:bCs/>
          <w:rtl/>
        </w:rPr>
        <w:t>המג"ק</w:t>
      </w:r>
      <w:r w:rsidRPr="00EF7FE0" w:rsidR="00EF7FE0">
        <w:rPr>
          <w:b/>
          <w:bCs/>
          <w:rtl/>
        </w:rPr>
        <w:t xml:space="preserve"> ועל היקפן</w:t>
      </w:r>
      <w:r w:rsidRPr="00EF6255" w:rsidR="00EF7FE0">
        <w:rPr>
          <w:rtl/>
        </w:rPr>
        <w:t xml:space="preserve"> - החל ביולי 2020, מועד תחילת עבודת </w:t>
      </w:r>
      <w:r w:rsidRPr="00EF6255" w:rsidR="00EF7FE0">
        <w:rPr>
          <w:rtl/>
        </w:rPr>
        <w:t>המג"ק</w:t>
      </w:r>
      <w:r w:rsidRPr="00EF6255" w:rsidR="00EF7FE0">
        <w:rPr>
          <w:rtl/>
        </w:rPr>
        <w:t xml:space="preserve"> באמצעות מערכת </w:t>
      </w:r>
      <w:r w:rsidRPr="00EF6255" w:rsidR="00EF7FE0">
        <w:rPr>
          <w:rFonts w:hint="cs"/>
          <w:rtl/>
        </w:rPr>
        <w:t>ב'</w:t>
      </w:r>
      <w:r w:rsidRPr="00EF6255" w:rsidR="00EF7FE0">
        <w:rPr>
          <w:rtl/>
        </w:rPr>
        <w:t>, ועד מועד סיום הביקורת באוקטובר 2022, לא בוצעה בקרה על ההרשאות שנפתחו במערכת, וכן לא נבדק אם יש צורך בהסרת הרשאות (נוכח אי-התאמה למהות התפקיד או עקב מעבר תפקיד</w:t>
      </w:r>
      <w:r w:rsidR="00EF7FE0">
        <w:rPr>
          <w:rFonts w:hint="cs"/>
          <w:rtl/>
        </w:rPr>
        <w:t>)</w:t>
      </w:r>
      <w:r w:rsidRPr="0093709F">
        <w:rPr>
          <w:rFonts w:hint="cs"/>
          <w:rtl/>
        </w:rPr>
        <w:t xml:space="preserve">. </w:t>
      </w:r>
    </w:p>
    <w:p w:rsidR="00420374" w:rsidRPr="0093709F" w:rsidP="00DA022A" w14:paraId="7C081EA1" w14:textId="37D9D11A">
      <w:pPr>
        <w:pStyle w:val="7392"/>
        <w:ind w:left="424"/>
      </w:pPr>
      <w:r w:rsidRPr="00EF7FE0">
        <w:rPr>
          <w:rFonts w:hint="cs"/>
          <w:b/>
          <w:b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sidR="00EF7FE0">
        <w:rPr>
          <w:rFonts w:hint="cs"/>
          <w:b/>
          <w:bCs/>
          <w:rtl/>
        </w:rPr>
        <w:t xml:space="preserve">היקף הרשאות הגישה למערכת התפעולית של </w:t>
      </w:r>
      <w:r w:rsidRPr="00EF7FE0" w:rsidR="00EF7FE0">
        <w:rPr>
          <w:rFonts w:hint="cs"/>
          <w:b/>
          <w:bCs/>
          <w:rtl/>
        </w:rPr>
        <w:t>המג"ק</w:t>
      </w:r>
      <w:r w:rsidRPr="00EF6255" w:rsidR="00EF7FE0">
        <w:rPr>
          <w:rFonts w:hint="cs"/>
          <w:rtl/>
        </w:rPr>
        <w:t xml:space="preserve"> - </w:t>
      </w:r>
      <w:r w:rsidRPr="00EF6255" w:rsidR="00EF7FE0">
        <w:rPr>
          <w:rtl/>
        </w:rPr>
        <w:t xml:space="preserve">כל עובדי </w:t>
      </w:r>
      <w:r w:rsidRPr="00EF6255" w:rsidR="00EF7FE0">
        <w:rPr>
          <w:rtl/>
        </w:rPr>
        <w:t>המג"ק</w:t>
      </w:r>
      <w:r w:rsidRPr="00EF6255" w:rsidR="00EF7FE0">
        <w:rPr>
          <w:rtl/>
        </w:rPr>
        <w:t xml:space="preserve"> </w:t>
      </w:r>
      <w:r w:rsidRPr="00EF6255" w:rsidR="00EF7FE0">
        <w:rPr>
          <w:rFonts w:hint="cs"/>
          <w:rtl/>
        </w:rPr>
        <w:t xml:space="preserve">וכן עובדי מוקד המידע הטלפוני שהם עובדים המועסקים במיקור חוץ, </w:t>
      </w:r>
      <w:r w:rsidRPr="00EF6255" w:rsidR="00EF7FE0">
        <w:rPr>
          <w:rtl/>
        </w:rPr>
        <w:t>הם בעלי גישה למלוא המידע ב</w:t>
      </w:r>
      <w:r w:rsidRPr="00EF6255" w:rsidR="00EF7FE0">
        <w:rPr>
          <w:rFonts w:hint="cs"/>
          <w:rtl/>
        </w:rPr>
        <w:t xml:space="preserve">מערכת התפעולית של </w:t>
      </w:r>
      <w:r w:rsidRPr="00EF6255" w:rsidR="00EF7FE0">
        <w:rPr>
          <w:rFonts w:hint="cs"/>
          <w:rtl/>
        </w:rPr>
        <w:t>המג"ק</w:t>
      </w:r>
      <w:r w:rsidRPr="00EF6255" w:rsidR="00EF7FE0">
        <w:rPr>
          <w:rtl/>
        </w:rPr>
        <w:t xml:space="preserve"> על אודות מיליוני החייבים שנתוניהם שמורים במערכת, בלי שנבחן אם היקף הגישה למידע נחוץ על פי הגדרת תפקידם</w:t>
      </w:r>
      <w:r w:rsidRPr="0093709F">
        <w:rPr>
          <w:rFonts w:hint="cs"/>
          <w:rtl/>
        </w:rPr>
        <w:t xml:space="preserve">. </w:t>
      </w:r>
    </w:p>
    <w:p w:rsidR="00420374" w:rsidP="00DA022A" w14:paraId="5E8BF229" w14:textId="138C0EF8">
      <w:pPr>
        <w:pStyle w:val="7392"/>
        <w:ind w:left="424"/>
        <w:rPr>
          <w:rtl/>
        </w:rPr>
      </w:pPr>
      <w:r w:rsidRPr="00EF7FE0">
        <w:rPr>
          <w:rFonts w:hint="cs"/>
          <w:b/>
          <w:bCs/>
          <w:noProof/>
          <w:rtl/>
        </w:rPr>
        <w:drawing>
          <wp:anchor distT="0" distB="720090" distL="114300" distR="114300" simplePos="0" relativeHeight="251688960"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sidR="00EF7FE0">
        <w:rPr>
          <w:b/>
          <w:bCs/>
          <w:rtl/>
        </w:rPr>
        <w:t>ניהול ההרשאות של עובדי מוקד המידע הטלפוני</w:t>
      </w:r>
      <w:r w:rsidRPr="00EF6255" w:rsidR="00EF7FE0">
        <w:rPr>
          <w:rtl/>
        </w:rPr>
        <w:t xml:space="preserve"> - ההרשאות של 14 עובדי מוקד לשעבר למערכת </w:t>
      </w:r>
      <w:r w:rsidRPr="00EF6255" w:rsidR="00EF7FE0">
        <w:rPr>
          <w:rFonts w:hint="cs"/>
          <w:rtl/>
        </w:rPr>
        <w:t xml:space="preserve">התפעולית של </w:t>
      </w:r>
      <w:r w:rsidRPr="00EF6255" w:rsidR="00EF7FE0">
        <w:rPr>
          <w:rFonts w:hint="cs"/>
          <w:rtl/>
        </w:rPr>
        <w:t>המג"ק</w:t>
      </w:r>
      <w:r w:rsidRPr="00EF6255" w:rsidR="00EF7FE0">
        <w:rPr>
          <w:rtl/>
        </w:rPr>
        <w:t xml:space="preserve"> לא הוסרו חרף </w:t>
      </w:r>
      <w:r w:rsidRPr="00EF6255" w:rsidR="00EF7FE0">
        <w:rPr>
          <w:rFonts w:hint="cs"/>
          <w:rtl/>
        </w:rPr>
        <w:t>סיום עבודתם בטווח של חודש עד 13 חודשים לפני מועד הביקורת</w:t>
      </w:r>
      <w:r w:rsidRPr="00EF6255" w:rsidR="00EF7FE0">
        <w:rPr>
          <w:rtl/>
        </w:rPr>
        <w:t xml:space="preserve">. כמו כן, </w:t>
      </w:r>
      <w:r w:rsidRPr="00EF6255" w:rsidR="00EF7FE0">
        <w:rPr>
          <w:rtl/>
        </w:rPr>
        <w:t>המג"ק</w:t>
      </w:r>
      <w:r w:rsidRPr="00EF6255" w:rsidR="00EF7FE0">
        <w:rPr>
          <w:rtl/>
        </w:rPr>
        <w:t xml:space="preserve"> לא פעל לחסימת כרטיסים חכמים של עובדים שסיימו את עבודתם במוקד, ובפועל צוות המוקד משתמש בכרטיסים ובסיסמאות של עובדים אלה במקרים שונים</w:t>
      </w:r>
      <w:r w:rsidRPr="0093709F">
        <w:rPr>
          <w:rFonts w:hint="cs"/>
          <w:rtl/>
        </w:rPr>
        <w:t>.</w:t>
      </w:r>
    </w:p>
    <w:p w:rsidR="00EF7FE0" w:rsidRPr="0093709F" w:rsidP="00EF7FE0" w14:paraId="44969B9D" w14:textId="5E0AAD2D">
      <w:pPr>
        <w:pStyle w:val="7392"/>
        <w:ind w:left="424"/>
        <w:rPr>
          <w:rtl/>
        </w:rPr>
      </w:pPr>
      <w:r w:rsidRPr="00EF7FE0">
        <w:rPr>
          <w:rFonts w:hint="cs"/>
          <w:b/>
          <w:bCs/>
          <w:noProof/>
          <w:rtl/>
        </w:rPr>
        <w:drawing>
          <wp:anchor distT="0" distB="720090" distL="114300" distR="114300" simplePos="0" relativeHeight="251697152"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44831827" name="תמונה 104483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18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Pr>
          <w:rFonts w:hint="cs"/>
          <w:b/>
          <w:bCs/>
          <w:rtl/>
        </w:rPr>
        <w:t>ניהול הרשאות הגישה למערכת ג'</w:t>
      </w:r>
      <w:r w:rsidRPr="00EF6255">
        <w:rPr>
          <w:rFonts w:hint="cs"/>
          <w:rtl/>
        </w:rPr>
        <w:t xml:space="preserve"> - הרשאות למערכת ג', המאפשרת להפיק דוחות רוחביים על פעילות </w:t>
      </w:r>
      <w:r w:rsidRPr="00EF6255">
        <w:rPr>
          <w:rFonts w:hint="cs"/>
          <w:rtl/>
        </w:rPr>
        <w:t>המג"ק</w:t>
      </w:r>
      <w:r w:rsidRPr="00EF6255">
        <w:rPr>
          <w:rFonts w:hint="cs"/>
          <w:rtl/>
        </w:rPr>
        <w:t xml:space="preserve"> ומידע פרטני על תיקים, ניתנו לעובדים שאופי תפקידם אינו מצריך גישה למידע שבמערכת. ואכן</w:t>
      </w:r>
      <w:r w:rsidRPr="00EF6255">
        <w:rPr>
          <w:rtl/>
        </w:rPr>
        <w:t>,</w:t>
      </w:r>
      <w:r w:rsidRPr="00EF6255">
        <w:rPr>
          <w:rFonts w:hint="cs"/>
          <w:rtl/>
        </w:rPr>
        <w:t xml:space="preserve"> קרוב ל-40% מבעלי ההרשאות למערכת ג' (20 מתוך 52) לא </w:t>
      </w:r>
      <w:r w:rsidRPr="00EF6255">
        <w:rPr>
          <w:rFonts w:hint="eastAsia"/>
          <w:rtl/>
        </w:rPr>
        <w:t>השתמשו</w:t>
      </w:r>
      <w:r w:rsidRPr="00EF6255">
        <w:rPr>
          <w:rtl/>
        </w:rPr>
        <w:t xml:space="preserve"> </w:t>
      </w:r>
      <w:r w:rsidRPr="00EF6255">
        <w:rPr>
          <w:rFonts w:hint="cs"/>
          <w:rtl/>
        </w:rPr>
        <w:t>ב</w:t>
      </w:r>
      <w:r w:rsidRPr="00EF6255">
        <w:rPr>
          <w:rFonts w:hint="eastAsia"/>
          <w:rtl/>
        </w:rPr>
        <w:t>מערכת</w:t>
      </w:r>
      <w:r w:rsidRPr="00EF6255">
        <w:rPr>
          <w:rtl/>
        </w:rPr>
        <w:t xml:space="preserve"> </w:t>
      </w:r>
      <w:r w:rsidRPr="00EF6255">
        <w:rPr>
          <w:rFonts w:hint="cs"/>
          <w:rtl/>
        </w:rPr>
        <w:t>ג' לכל הפחות החל משנת 2021</w:t>
      </w:r>
      <w:r w:rsidRPr="0093709F">
        <w:rPr>
          <w:rFonts w:hint="cs"/>
          <w:rtl/>
        </w:rPr>
        <w:t>.</w:t>
      </w:r>
    </w:p>
    <w:p w:rsidR="00420374" w:rsidP="00DA022A" w14:paraId="39D5E97C" w14:textId="40E7B776">
      <w:pPr>
        <w:pStyle w:val="7392"/>
        <w:ind w:left="424"/>
        <w:rPr>
          <w:noProof/>
          <w:rtl/>
        </w:rPr>
      </w:pPr>
      <w:r w:rsidRPr="00EF7FE0">
        <w:rPr>
          <w:rFonts w:hint="cs"/>
          <w:b/>
          <w:bCs/>
          <w:noProof/>
          <w:rtl/>
        </w:rPr>
        <w:drawing>
          <wp:anchor distT="0" distB="720090" distL="114300" distR="114300" simplePos="0" relativeHeight="251689984"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EF7FE0" w:rsidR="00EF7FE0">
        <w:rPr>
          <w:b/>
          <w:bCs/>
          <w:rtl/>
        </w:rPr>
        <w:t xml:space="preserve">התמודדות רשות האכיפה והגבייה עם סכנת חדירה למערכת </w:t>
      </w:r>
      <w:r w:rsidRPr="00EF7FE0" w:rsidR="00EF7FE0">
        <w:rPr>
          <w:rFonts w:hint="cs"/>
          <w:b/>
          <w:bCs/>
          <w:rtl/>
        </w:rPr>
        <w:t xml:space="preserve">התפעולית של </w:t>
      </w:r>
      <w:r w:rsidRPr="00EF7FE0" w:rsidR="00EF7FE0">
        <w:rPr>
          <w:rFonts w:hint="cs"/>
          <w:b/>
          <w:bCs/>
          <w:rtl/>
        </w:rPr>
        <w:t>המג"ק</w:t>
      </w:r>
      <w:r w:rsidRPr="00EF6255" w:rsidR="00EF7FE0">
        <w:rPr>
          <w:rtl/>
        </w:rPr>
        <w:t xml:space="preserve"> - במבדק חדירות שביצעה </w:t>
      </w:r>
      <w:r w:rsidRPr="00EF6255" w:rsidR="00EF7FE0">
        <w:rPr>
          <w:rtl/>
        </w:rPr>
        <w:t>יה"ב</w:t>
      </w:r>
      <w:r w:rsidRPr="00EF6255" w:rsidR="00EF7FE0">
        <w:rPr>
          <w:rtl/>
        </w:rPr>
        <w:t xml:space="preserve"> </w:t>
      </w:r>
      <w:r w:rsidRPr="00EF6255" w:rsidR="00EF7FE0">
        <w:rPr>
          <w:rFonts w:hint="cs"/>
          <w:rtl/>
        </w:rPr>
        <w:t>נמצאו ליקויים ברמת התשתית שיכולים להוות סיכון משמעותי אם תתרחש חדירה לרשת הארגון</w:t>
      </w:r>
      <w:r w:rsidRPr="00EF6255" w:rsidR="00EF7FE0">
        <w:rPr>
          <w:rtl/>
        </w:rPr>
        <w:t>.</w:t>
      </w:r>
      <w:r w:rsidRPr="00EF6255" w:rsidR="00EF7FE0">
        <w:rPr>
          <w:rFonts w:hint="cs"/>
          <w:rtl/>
        </w:rPr>
        <w:t xml:space="preserve"> </w:t>
      </w:r>
      <w:r w:rsidRPr="00EF6255" w:rsidR="00EF7FE0">
        <w:rPr>
          <w:rtl/>
        </w:rPr>
        <w:t>בביקורת נמצא כי על אף ממצאי מבדק החדירות</w:t>
      </w:r>
      <w:r w:rsidRPr="00EF6255" w:rsidR="00EF7FE0">
        <w:rPr>
          <w:rFonts w:hint="cs"/>
          <w:rtl/>
        </w:rPr>
        <w:t>,</w:t>
      </w:r>
      <w:r w:rsidRPr="00EF6255" w:rsidR="00EF7FE0">
        <w:rPr>
          <w:rtl/>
        </w:rPr>
        <w:t xml:space="preserve"> רשות האכיפה והגבייה לא הטמיעה במערכותיה, ובכלל זה במערכת </w:t>
      </w:r>
      <w:r w:rsidRPr="00EF6255" w:rsidR="00EF7FE0">
        <w:rPr>
          <w:rFonts w:hint="cs"/>
          <w:rtl/>
        </w:rPr>
        <w:t xml:space="preserve">התפעולית של </w:t>
      </w:r>
      <w:r w:rsidRPr="00EF6255" w:rsidR="00EF7FE0">
        <w:rPr>
          <w:rFonts w:hint="cs"/>
          <w:rtl/>
        </w:rPr>
        <w:t>המג"ק</w:t>
      </w:r>
      <w:r w:rsidRPr="00EF6255" w:rsidR="00EF7FE0">
        <w:rPr>
          <w:rFonts w:hint="cs"/>
          <w:rtl/>
        </w:rPr>
        <w:t xml:space="preserve">, </w:t>
      </w:r>
      <w:r w:rsidRPr="00EF6255" w:rsidR="00EF7FE0">
        <w:rPr>
          <w:rtl/>
        </w:rPr>
        <w:t xml:space="preserve">פתרון </w:t>
      </w:r>
      <w:r w:rsidRPr="00EF6255" w:rsidR="00EF7FE0">
        <w:rPr>
          <w:rFonts w:hint="cs"/>
          <w:rtl/>
        </w:rPr>
        <w:t>אבטחתי טכנולוגי ייעודי מסוים</w:t>
      </w:r>
      <w:r w:rsidRPr="0093709F">
        <w:rPr>
          <w:rFonts w:hint="cs"/>
          <w:rtl/>
        </w:rPr>
        <w:t xml:space="preserve">. </w:t>
      </w:r>
    </w:p>
    <w:p w:rsidR="002753C7" w:rsidRPr="00662020" w:rsidP="002753C7" w14:paraId="7C748CCB" w14:textId="7A75E04D">
      <w:pPr>
        <w:pStyle w:val="7327"/>
        <w:spacing w:before="480"/>
        <w:rPr>
          <w:rtl/>
        </w:rPr>
      </w:pPr>
      <w:r w:rsidRPr="00662020">
        <w:rPr>
          <w:rFonts w:hint="cs"/>
          <w:rtl/>
        </w:rPr>
        <w:t>עיקרי המלצות הביקורת</w:t>
      </w:r>
    </w:p>
    <w:p w:rsidR="0093709F" w:rsidRPr="007C7D40" w:rsidP="007C7D40" w14:paraId="0466320B" w14:textId="0EBDACA9">
      <w:pPr>
        <w:pStyle w:val="7317"/>
      </w:pPr>
      <w:r w:rsidRPr="007C7D40">
        <w:rPr>
          <w:rFonts w:hint="cs"/>
          <w:noProof/>
          <w:rtl/>
        </w:rPr>
        <w:drawing>
          <wp:anchor distT="0" distB="1440180" distL="107950" distR="114300" simplePos="0" relativeHeight="25169100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EF6255" w:rsidR="00EF7FE0">
        <w:rPr>
          <w:rtl/>
        </w:rPr>
        <w:t xml:space="preserve">על </w:t>
      </w:r>
      <w:r w:rsidRPr="00EF6255" w:rsidR="00EF7FE0">
        <w:rPr>
          <w:rtl/>
        </w:rPr>
        <w:t>המג"ק</w:t>
      </w:r>
      <w:r w:rsidRPr="00EF6255" w:rsidR="00EF7FE0">
        <w:rPr>
          <w:rtl/>
        </w:rPr>
        <w:t xml:space="preserve"> להקים מערכת לתיעוד הגישה של משתמשי</w:t>
      </w:r>
      <w:r w:rsidRPr="00EF6255" w:rsidR="00EF7FE0">
        <w:rPr>
          <w:rFonts w:hint="cs"/>
          <w:rtl/>
        </w:rPr>
        <w:t xml:space="preserve"> המערכת התפעולית</w:t>
      </w:r>
      <w:r w:rsidRPr="00EF6255" w:rsidR="00EF7FE0">
        <w:rPr>
          <w:rtl/>
        </w:rPr>
        <w:t xml:space="preserve"> למידע במערכת ולבצע בקרה עיתית על הגישה למידע, על פי הוראות תקנות אבטחת המידע ותקן </w:t>
      </w:r>
      <w:r w:rsidRPr="00EF6255" w:rsidR="00EF7FE0">
        <w:t>ISO 27001</w:t>
      </w:r>
      <w:r w:rsidRPr="00EF6255" w:rsidR="00EF7FE0">
        <w:rPr>
          <w:rFonts w:hint="cs"/>
          <w:rtl/>
        </w:rPr>
        <w:t xml:space="preserve"> (</w:t>
      </w:r>
      <w:r w:rsidRPr="00EF6255" w:rsidR="00EF7FE0">
        <w:rPr>
          <w:rtl/>
        </w:rPr>
        <w:t>שהוא תקן בין-לאומי העוסק במיסוד מערכת לניהול אבטחת מידע ארגונית ובתהליך השוטף של ניהול המערכת ושיפורה</w:t>
      </w:r>
      <w:r w:rsidR="00EF7FE0">
        <w:rPr>
          <w:rFonts w:hint="cs"/>
          <w:rtl/>
        </w:rPr>
        <w:t>)</w:t>
      </w:r>
      <w:r w:rsidRPr="007C7D40" w:rsidR="005D0F8C">
        <w:rPr>
          <w:rFonts w:hint="cs"/>
          <w:rtl/>
        </w:rPr>
        <w:t xml:space="preserve">. </w:t>
      </w:r>
    </w:p>
    <w:p w:rsidR="005D0F8C" w:rsidRPr="007C7D40" w:rsidP="007C7D40" w14:paraId="6C626C68" w14:textId="22E8F4F9">
      <w:pPr>
        <w:pStyle w:val="7317"/>
      </w:pPr>
      <w:r w:rsidRPr="007C7D40">
        <w:rPr>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EF6255" w:rsidR="00EF7FE0">
        <w:rPr>
          <w:rFonts w:hint="cs"/>
          <w:rtl/>
        </w:rPr>
        <w:t xml:space="preserve">על </w:t>
      </w:r>
      <w:r w:rsidRPr="00EF6255" w:rsidR="00EF7FE0">
        <w:rPr>
          <w:rFonts w:hint="cs"/>
          <w:rtl/>
        </w:rPr>
        <w:t>המג"ק</w:t>
      </w:r>
      <w:r w:rsidRPr="00EF6255" w:rsidR="00EF7FE0">
        <w:rPr>
          <w:rFonts w:hint="cs"/>
          <w:rtl/>
        </w:rPr>
        <w:t xml:space="preserve"> לבצע בקרה איכותית ושוטפת על האירועים החריגים. כן מומלץ לבחון את הצורך לטייב את רשימת האירועים החריגים במערכת</w:t>
      </w:r>
      <w:r w:rsidRPr="007C7D40">
        <w:rPr>
          <w:rtl/>
        </w:rPr>
        <w:t xml:space="preserve">. </w:t>
      </w:r>
    </w:p>
    <w:p w:rsidR="005D0F8C" w:rsidRPr="007C7D40" w:rsidP="007C7D40" w14:paraId="16E5BFEE" w14:textId="7C3F0D2D">
      <w:pPr>
        <w:pStyle w:val="7317"/>
        <w:rPr>
          <w:rtl/>
        </w:rPr>
      </w:pPr>
      <w:r w:rsidRPr="007C7D40">
        <w:rPr>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EF6255" w:rsidR="00EF7FE0">
        <w:rPr>
          <w:rtl/>
        </w:rPr>
        <w:t xml:space="preserve">על מרכז ההרשאות </w:t>
      </w:r>
      <w:r w:rsidRPr="00EF6255" w:rsidR="00EF7FE0">
        <w:rPr>
          <w:rtl/>
        </w:rPr>
        <w:t>במג"ק</w:t>
      </w:r>
      <w:r w:rsidRPr="00EF6255" w:rsidR="00EF7FE0">
        <w:rPr>
          <w:rtl/>
        </w:rPr>
        <w:t xml:space="preserve"> להקפיד שלא לפתוח הרשאות אם </w:t>
      </w:r>
      <w:r w:rsidRPr="00EF6255" w:rsidR="00EF7FE0">
        <w:rPr>
          <w:rtl/>
        </w:rPr>
        <w:t>מינהלן</w:t>
      </w:r>
      <w:r w:rsidRPr="00EF6255" w:rsidR="00EF7FE0">
        <w:rPr>
          <w:rtl/>
        </w:rPr>
        <w:t xml:space="preserve"> ההרשאות לא אישר את פתיחתן</w:t>
      </w:r>
      <w:r w:rsidRPr="007C7D40">
        <w:rPr>
          <w:rFonts w:hint="cs"/>
          <w:rtl/>
        </w:rPr>
        <w:t>.</w:t>
      </w:r>
    </w:p>
    <w:p w:rsidR="00706096" w:rsidRPr="007C7D40" w:rsidP="007C7D40" w14:paraId="3F6A2BE4" w14:textId="257FA9E6">
      <w:pPr>
        <w:pStyle w:val="7317"/>
        <w:rPr>
          <w:rtl/>
        </w:rPr>
      </w:pPr>
      <w:r w:rsidRPr="007C7D40">
        <w:rPr>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EF6255" w:rsidR="00EF7FE0">
        <w:rPr>
          <w:rtl/>
        </w:rPr>
        <w:t>על רשות האכיפה והגבייה</w:t>
      </w:r>
      <w:r w:rsidRPr="00EF6255" w:rsidR="00EF7FE0">
        <w:rPr>
          <w:rFonts w:hint="cs"/>
          <w:rtl/>
        </w:rPr>
        <w:t xml:space="preserve"> לבצע בחינה של היקף הרשאות הגישה למערכת התפעולית של </w:t>
      </w:r>
      <w:r w:rsidRPr="00EF6255" w:rsidR="00EF7FE0">
        <w:rPr>
          <w:rFonts w:hint="cs"/>
          <w:rtl/>
        </w:rPr>
        <w:t>המג"ק</w:t>
      </w:r>
      <w:r w:rsidRPr="00EF6255" w:rsidR="00EF7FE0">
        <w:rPr>
          <w:rFonts w:hint="cs"/>
          <w:rtl/>
        </w:rPr>
        <w:t xml:space="preserve"> של עובדים בתפקידים השונים, ו</w:t>
      </w:r>
      <w:r w:rsidRPr="00EF6255" w:rsidR="00EF7FE0">
        <w:rPr>
          <w:rtl/>
        </w:rPr>
        <w:t xml:space="preserve">לבצע בקרות עיתיות על מערך ההרשאות, בהתאם להנחיית </w:t>
      </w:r>
      <w:r w:rsidRPr="00EF6255" w:rsidR="00EF7FE0">
        <w:rPr>
          <w:rtl/>
        </w:rPr>
        <w:t>יה"ב</w:t>
      </w:r>
      <w:r w:rsidRPr="00EF6255" w:rsidR="00EF7FE0">
        <w:rPr>
          <w:rtl/>
        </w:rPr>
        <w:t xml:space="preserve"> ולנוהלי רשות האכיפה והגבייה</w:t>
      </w:r>
      <w:r w:rsidRPr="007C7D40">
        <w:rPr>
          <w:rFonts w:hint="cs"/>
          <w:rtl/>
        </w:rPr>
        <w:t>.</w:t>
      </w:r>
    </w:p>
    <w:p w:rsidR="00706096" w:rsidRPr="007C7D40" w:rsidP="007C7D40" w14:paraId="36B4D251" w14:textId="441542DC">
      <w:pPr>
        <w:pStyle w:val="7317"/>
      </w:pPr>
      <w:r w:rsidRPr="007C7D40">
        <w:rPr>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EF6255" w:rsidR="00EF7FE0">
        <w:rPr>
          <w:rFonts w:hint="cs"/>
          <w:rtl/>
        </w:rPr>
        <w:t>מוצע כי</w:t>
      </w:r>
      <w:r w:rsidRPr="00EF6255" w:rsidR="00EF7FE0">
        <w:rPr>
          <w:rtl/>
        </w:rPr>
        <w:t xml:space="preserve"> </w:t>
      </w:r>
      <w:r w:rsidRPr="00EF6255" w:rsidR="00EF7FE0">
        <w:rPr>
          <w:rtl/>
        </w:rPr>
        <w:t>המג"ק</w:t>
      </w:r>
      <w:r w:rsidRPr="00EF6255" w:rsidR="00EF7FE0">
        <w:rPr>
          <w:rtl/>
        </w:rPr>
        <w:t xml:space="preserve"> </w:t>
      </w:r>
      <w:r w:rsidRPr="00EF6255" w:rsidR="00EF7FE0">
        <w:rPr>
          <w:rFonts w:hint="cs"/>
          <w:rtl/>
        </w:rPr>
        <w:t xml:space="preserve">יבחן אם יש מקום להגביל את אפשרויות הגישה של עובדי מוקד המידע הטלפוני למערכת התפעולית של </w:t>
      </w:r>
      <w:r w:rsidRPr="00EF6255" w:rsidR="00EF7FE0">
        <w:rPr>
          <w:rFonts w:hint="cs"/>
          <w:rtl/>
        </w:rPr>
        <w:t>המג"ק</w:t>
      </w:r>
      <w:r w:rsidRPr="00EF6255" w:rsidR="00EF7FE0">
        <w:rPr>
          <w:rFonts w:hint="cs"/>
          <w:rtl/>
        </w:rPr>
        <w:t xml:space="preserve"> על בסיס הפניות המתקבלות במוקד. </w:t>
      </w:r>
      <w:r w:rsidRPr="00EF6255" w:rsidR="00EF7FE0">
        <w:rPr>
          <w:rFonts w:hint="eastAsia"/>
          <w:rtl/>
        </w:rPr>
        <w:t>כמו</w:t>
      </w:r>
      <w:r w:rsidRPr="00EF6255" w:rsidR="00EF7FE0">
        <w:rPr>
          <w:rtl/>
        </w:rPr>
        <w:t xml:space="preserve"> </w:t>
      </w:r>
      <w:r w:rsidRPr="00EF6255" w:rsidR="00EF7FE0">
        <w:rPr>
          <w:rFonts w:hint="cs"/>
          <w:rtl/>
        </w:rPr>
        <w:t>כן עליו</w:t>
      </w:r>
      <w:r w:rsidRPr="00EF6255" w:rsidR="00EF7FE0">
        <w:rPr>
          <w:rtl/>
        </w:rPr>
        <w:t xml:space="preserve"> לבצע בקרה עיתית על הרשאות עובדי המוקד הטלפוני ולהימנע מלהשתמש בהרשאות הגישה למערכת של עובדים שאינם מועסקים במוקד או מהעברת כרטיסים חכמים מעובד אחד למשנהו</w:t>
      </w:r>
      <w:r w:rsidRPr="007C7D40">
        <w:rPr>
          <w:rFonts w:hint="cs"/>
          <w:rtl/>
        </w:rPr>
        <w:t>.</w:t>
      </w:r>
    </w:p>
    <w:p w:rsidR="00706096" w:rsidP="007C7D40" w14:paraId="30F30DD7" w14:textId="4B59E768">
      <w:pPr>
        <w:pStyle w:val="7317"/>
        <w:rPr>
          <w:rtl/>
        </w:rPr>
      </w:pPr>
      <w:r w:rsidRPr="007C7D40">
        <w:rPr>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EF6255" w:rsidR="00EF7FE0">
        <w:rPr>
          <w:rFonts w:hint="cs"/>
          <w:rtl/>
        </w:rPr>
        <w:t>מומלץ כי רשות האכיפה והגבייה תבחן באופן פרטני את ההרשאות שניתנו למערכת ג' בהתאם לצורך ו</w:t>
      </w:r>
      <w:r w:rsidRPr="00EF6255" w:rsidR="00EF7FE0">
        <w:rPr>
          <w:rFonts w:hint="eastAsia"/>
          <w:rtl/>
        </w:rPr>
        <w:t>ל</w:t>
      </w:r>
      <w:r w:rsidRPr="00EF6255" w:rsidR="00EF7FE0">
        <w:rPr>
          <w:rFonts w:hint="cs"/>
          <w:rtl/>
        </w:rPr>
        <w:t>זיקה לתפקיד של בעל ההרשאה, כדי לצמצם את היקף בעלי ההרשאות למערכת למינימום ההכרחי</w:t>
      </w:r>
      <w:r w:rsidRPr="008E57FE">
        <w:rPr>
          <w:rFonts w:hint="cs"/>
          <w:rtl/>
        </w:rPr>
        <w:t>.</w:t>
      </w:r>
    </w:p>
    <w:p w:rsidR="00EF7FE0" w:rsidP="00EF7FE0" w14:paraId="070B41D1" w14:textId="12990AEE">
      <w:pPr>
        <w:pStyle w:val="7317"/>
        <w:rPr>
          <w:rtl/>
        </w:rPr>
      </w:pPr>
      <w:r w:rsidRPr="007C7D40">
        <w:rPr>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891044" name="תמונה 14589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1044" name="Picture 5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EF6255">
        <w:rPr>
          <w:rtl/>
        </w:rPr>
        <w:t xml:space="preserve">על רשות האכיפה והגבייה לקדם את ההליך </w:t>
      </w:r>
      <w:r w:rsidRPr="00EF6255">
        <w:rPr>
          <w:rtl/>
        </w:rPr>
        <w:t>המכרזי</w:t>
      </w:r>
      <w:r w:rsidRPr="00EF6255">
        <w:rPr>
          <w:rtl/>
        </w:rPr>
        <w:t xml:space="preserve"> ולהטמיע </w:t>
      </w:r>
      <w:r w:rsidRPr="00EF6255">
        <w:rPr>
          <w:rFonts w:hint="cs"/>
          <w:rtl/>
        </w:rPr>
        <w:t>פתרון אבטחתי טכנולוגי ייעודי מסוים</w:t>
      </w:r>
      <w:r w:rsidRPr="00EF6255">
        <w:rPr>
          <w:rtl/>
        </w:rPr>
        <w:t>, ש</w:t>
      </w:r>
      <w:r w:rsidRPr="00EF6255">
        <w:rPr>
          <w:rFonts w:hint="cs"/>
          <w:rtl/>
        </w:rPr>
        <w:t>י</w:t>
      </w:r>
      <w:r w:rsidRPr="00EF6255">
        <w:rPr>
          <w:rtl/>
        </w:rPr>
        <w:t xml:space="preserve">בטיח הגנה מרבית על נכסי המידע של רשות האכיפה והגבייה, בהתאם להנחיית </w:t>
      </w:r>
      <w:r w:rsidRPr="00EF6255">
        <w:rPr>
          <w:rtl/>
        </w:rPr>
        <w:t>יה"ב</w:t>
      </w:r>
      <w:r w:rsidRPr="008E57FE">
        <w:rPr>
          <w:rFonts w:hint="cs"/>
          <w:rtl/>
        </w:rPr>
        <w:t>.</w:t>
      </w:r>
    </w:p>
    <w:p w:rsidR="00EF7FE0" w:rsidP="007C7D40" w14:paraId="46CECFEB" w14:textId="77777777">
      <w:pPr>
        <w:pStyle w:val="7317"/>
        <w:rPr>
          <w:rtl/>
        </w:rPr>
      </w:pPr>
    </w:p>
    <w:p w:rsidR="005D0F8C" w:rsidP="004E71DD" w14:paraId="6DC28C4F" w14:textId="4F2221B1">
      <w:pPr>
        <w:tabs>
          <w:tab w:val="right" w:pos="7370"/>
        </w:tabs>
        <w:bidi w:val="0"/>
        <w:spacing w:after="200" w:line="276" w:lineRule="auto"/>
        <w:rPr>
          <w:rtl/>
        </w:rPr>
      </w:pPr>
      <w:r w:rsidRPr="00D527BD">
        <w:rPr>
          <w:noProof/>
          <w:szCs w:val="20"/>
          <w:rtl/>
        </w:rPr>
        <w:drawing>
          <wp:anchor distT="0" distB="0" distL="114300" distR="114300" simplePos="0" relativeHeight="251678720" behindDoc="0" locked="0" layoutInCell="1" allowOverlap="1">
            <wp:simplePos x="0" y="0"/>
            <wp:positionH relativeFrom="column">
              <wp:posOffset>-107950</wp:posOffset>
            </wp:positionH>
            <wp:positionV relativeFrom="paragraph">
              <wp:posOffset>-50165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P="00662020" w14:textId="130AA674">
                            <w:pPr>
                              <w:spacing w:line="240" w:lineRule="auto"/>
                              <w:ind w:right="113"/>
                              <w:suppressOverlap/>
                              <w:jc w:val="left"/>
                              <w:rPr>
                                <w:rFonts w:ascii="Tahoma" w:hAnsi="Tahoma" w:cs="Tahoma"/>
                                <w:b/>
                                <w:bCs/>
                                <w:color w:val="FFFFFF" w:themeColor="background1"/>
                                <w:spacing w:val="-4"/>
                                <w:sz w:val="22"/>
                                <w:szCs w:val="22"/>
                                <w:rtl/>
                              </w:rPr>
                            </w:pPr>
                            <w:r w:rsidRPr="001A14B7">
                              <w:rPr>
                                <w:rFonts w:ascii="Tahoma" w:hAnsi="Tahoma" w:cs="Tahoma"/>
                                <w:b/>
                                <w:bCs/>
                                <w:color w:val="FFFFFF" w:themeColor="background1"/>
                                <w:spacing w:val="-4"/>
                                <w:sz w:val="22"/>
                                <w:szCs w:val="22"/>
                                <w:rtl/>
                              </w:rPr>
                              <w:t xml:space="preserve">תהליך מתן ההרשאות בפועל למערכת התפעולית של </w:t>
                            </w:r>
                            <w:r w:rsidRPr="001A14B7">
                              <w:rPr>
                                <w:rFonts w:ascii="Tahoma" w:hAnsi="Tahoma" w:cs="Tahoma"/>
                                <w:b/>
                                <w:bCs/>
                                <w:color w:val="FFFFFF" w:themeColor="background1"/>
                                <w:spacing w:val="-4"/>
                                <w:sz w:val="22"/>
                                <w:szCs w:val="22"/>
                                <w:rtl/>
                              </w:rPr>
                              <w:t>המג"ק</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3.55pt;margin-left:6.85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5C7ABF" w:rsidP="00662020" w14:paraId="1D5D7976" w14:textId="130AA674">
                      <w:pPr>
                        <w:spacing w:line="240" w:lineRule="auto"/>
                        <w:ind w:right="113"/>
                        <w:suppressOverlap/>
                        <w:jc w:val="left"/>
                        <w:rPr>
                          <w:rFonts w:ascii="Tahoma" w:hAnsi="Tahoma" w:cs="Tahoma"/>
                          <w:b/>
                          <w:bCs/>
                          <w:color w:val="FFFFFF" w:themeColor="background1"/>
                          <w:spacing w:val="-4"/>
                          <w:sz w:val="22"/>
                          <w:szCs w:val="22"/>
                          <w:rtl/>
                        </w:rPr>
                      </w:pPr>
                      <w:r w:rsidRPr="001A14B7">
                        <w:rPr>
                          <w:rFonts w:ascii="Tahoma" w:hAnsi="Tahoma" w:cs="Tahoma"/>
                          <w:b/>
                          <w:bCs/>
                          <w:color w:val="FFFFFF" w:themeColor="background1"/>
                          <w:spacing w:val="-4"/>
                          <w:sz w:val="22"/>
                          <w:szCs w:val="22"/>
                          <w:rtl/>
                        </w:rPr>
                        <w:t xml:space="preserve">תהליך מתן ההרשאות בפועל למערכת התפעולית של </w:t>
                      </w:r>
                      <w:r w:rsidRPr="001A14B7">
                        <w:rPr>
                          <w:rFonts w:ascii="Tahoma" w:hAnsi="Tahoma" w:cs="Tahoma"/>
                          <w:b/>
                          <w:bCs/>
                          <w:color w:val="FFFFFF" w:themeColor="background1"/>
                          <w:spacing w:val="-4"/>
                          <w:sz w:val="22"/>
                          <w:szCs w:val="22"/>
                          <w:rtl/>
                        </w:rPr>
                        <w:t>המג"ק</w:t>
                      </w:r>
                    </w:p>
                  </w:txbxContent>
                </v:textbox>
              </v:shape>
            </w:pict>
          </mc:Fallback>
        </mc:AlternateContent>
      </w:r>
      <w:r>
        <w:rPr>
          <w:rtl/>
        </w:rPr>
        <w:t xml:space="preserve"> </w:t>
      </w:r>
    </w:p>
    <w:p w:rsidR="005D0F8C" w:rsidP="005D0F8C" w14:paraId="5B8DB107" w14:textId="3F88C3AC">
      <w:pPr>
        <w:pStyle w:val="7317"/>
        <w:rPr>
          <w:rtl/>
        </w:rPr>
      </w:pPr>
      <w:r>
        <w:rPr>
          <w:noProof/>
          <w:sz w:val="19"/>
          <w:szCs w:val="19"/>
          <w:rtl/>
        </w:rPr>
        <w:drawing>
          <wp:anchor distT="0" distB="0" distL="114300" distR="114300" simplePos="0" relativeHeight="251699200" behindDoc="0" locked="0" layoutInCell="1" allowOverlap="1">
            <wp:simplePos x="0" y="0"/>
            <wp:positionH relativeFrom="column">
              <wp:posOffset>271780</wp:posOffset>
            </wp:positionH>
            <wp:positionV relativeFrom="paragraph">
              <wp:posOffset>421153</wp:posOffset>
            </wp:positionV>
            <wp:extent cx="4124325" cy="6112510"/>
            <wp:effectExtent l="0" t="0" r="0" b="0"/>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t="1" r="-3959" b="-1489"/>
                    <a:stretch>
                      <a:fillRect/>
                    </a:stretch>
                  </pic:blipFill>
                  <pic:spPr bwMode="auto">
                    <a:xfrm>
                      <a:off x="0" y="0"/>
                      <a:ext cx="4124325" cy="61125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0F8C" w:rsidRPr="001A14B7" w:rsidP="001A14B7" w14:paraId="0DA8F7B9" w14:textId="6B80E7E7">
      <w:pPr>
        <w:pStyle w:val="738"/>
      </w:pPr>
      <w:r w:rsidRPr="001A14B7">
        <w:rPr>
          <w:rFonts w:hint="cs"/>
          <w:rtl/>
        </w:rPr>
        <w:t xml:space="preserve">על פי נתוני </w:t>
      </w:r>
      <w:r w:rsidRPr="001A14B7">
        <w:rPr>
          <w:rFonts w:hint="cs"/>
          <w:rtl/>
        </w:rPr>
        <w:t>המג"ק</w:t>
      </w:r>
      <w:r w:rsidRPr="001A14B7">
        <w:rPr>
          <w:rFonts w:hint="cs"/>
          <w:rtl/>
        </w:rPr>
        <w:t>, בעיבוד משרד מבקר המדינה</w:t>
      </w:r>
      <w:r w:rsidRPr="001A14B7">
        <w:rPr>
          <w:rFonts w:hint="cs"/>
          <w:rtl/>
        </w:rPr>
        <w:t>.</w:t>
      </w:r>
    </w:p>
    <w:p w:rsidR="004E71DD" w:rsidP="004E71DD" w14:paraId="7C33D7DD" w14:textId="77777777">
      <w:pPr>
        <w:pStyle w:val="73"/>
        <w:rPr>
          <w:rtl/>
        </w:rPr>
      </w:pPr>
      <w:r w:rsidRPr="00EF3061">
        <w:rPr>
          <w:rFonts w:hint="cs"/>
          <w:rtl/>
        </w:rPr>
        <w:t>סיכום</w:t>
      </w:r>
    </w:p>
    <w:p w:rsidR="001A14B7" w:rsidRPr="00862EA2" w:rsidP="001A14B7" w14:paraId="0945B1F2" w14:textId="77777777">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 xml:space="preserve">דוח זה מעלה ליקויים בתחום הגנת הפרטיות ואבטחת המידע במערכות המידע </w:t>
      </w:r>
      <w:r w:rsidRPr="00862EA2">
        <w:rPr>
          <w:rFonts w:ascii="Tahoma" w:hAnsi="Tahoma" w:cs="Tahoma" w:hint="cs"/>
          <w:sz w:val="18"/>
          <w:szCs w:val="18"/>
          <w:rtl/>
        </w:rPr>
        <w:t>ב</w:t>
      </w:r>
      <w:r w:rsidRPr="00862EA2">
        <w:rPr>
          <w:rFonts w:ascii="Tahoma" w:hAnsi="Tahoma" w:cs="Tahoma"/>
          <w:sz w:val="18"/>
          <w:szCs w:val="18"/>
          <w:rtl/>
        </w:rPr>
        <w:t xml:space="preserve">מרכז לגביית קנסות שברשות האכיפה והגבייה, וביניהם: היעדר תיעוד של הגישה של משתמשי </w:t>
      </w:r>
      <w:r w:rsidRPr="00862EA2">
        <w:rPr>
          <w:rFonts w:ascii="Tahoma" w:hAnsi="Tahoma" w:cs="Tahoma" w:hint="cs"/>
          <w:sz w:val="18"/>
          <w:szCs w:val="18"/>
          <w:rtl/>
        </w:rPr>
        <w:t>ה</w:t>
      </w:r>
      <w:r w:rsidRPr="00862EA2">
        <w:rPr>
          <w:rFonts w:ascii="Tahoma" w:hAnsi="Tahoma" w:cs="Tahoma"/>
          <w:sz w:val="18"/>
          <w:szCs w:val="18"/>
          <w:rtl/>
        </w:rPr>
        <w:t xml:space="preserve">מערכת </w:t>
      </w:r>
      <w:r w:rsidRPr="00862EA2">
        <w:rPr>
          <w:rFonts w:ascii="Tahoma" w:hAnsi="Tahoma" w:cs="Tahoma" w:hint="cs"/>
          <w:sz w:val="18"/>
          <w:szCs w:val="18"/>
          <w:rtl/>
        </w:rPr>
        <w:t xml:space="preserve">התפעולית של </w:t>
      </w:r>
      <w:r w:rsidRPr="00862EA2">
        <w:rPr>
          <w:rFonts w:ascii="Tahoma" w:hAnsi="Tahoma" w:cs="Tahoma" w:hint="cs"/>
          <w:sz w:val="18"/>
          <w:szCs w:val="18"/>
          <w:rtl/>
        </w:rPr>
        <w:t>המג"ק</w:t>
      </w:r>
      <w:r w:rsidRPr="00862EA2">
        <w:rPr>
          <w:rFonts w:ascii="Tahoma" w:hAnsi="Tahoma" w:cs="Tahoma"/>
          <w:sz w:val="18"/>
          <w:szCs w:val="18"/>
          <w:rtl/>
        </w:rPr>
        <w:t xml:space="preserve"> למידע המצוי במערכת וכפועל יוצא מכך היעדר בקרה על אותה גישה; אי-ביצוע מעקב הולם אחר אירועים חריגים המתרחשים במערכת; ניהול לקוי של תהליך מתן ההרשאות למערכת </w:t>
      </w:r>
      <w:r w:rsidRPr="00862EA2">
        <w:rPr>
          <w:rFonts w:ascii="Tahoma" w:hAnsi="Tahoma" w:cs="Tahoma" w:hint="cs"/>
          <w:sz w:val="18"/>
          <w:szCs w:val="18"/>
          <w:rtl/>
        </w:rPr>
        <w:t xml:space="preserve">התפעולית של </w:t>
      </w:r>
      <w:r w:rsidRPr="00862EA2">
        <w:rPr>
          <w:rFonts w:ascii="Tahoma" w:hAnsi="Tahoma" w:cs="Tahoma" w:hint="cs"/>
          <w:sz w:val="18"/>
          <w:szCs w:val="18"/>
          <w:rtl/>
        </w:rPr>
        <w:t>המג"ק</w:t>
      </w:r>
      <w:r w:rsidRPr="00862EA2">
        <w:rPr>
          <w:rFonts w:ascii="Tahoma" w:hAnsi="Tahoma" w:cs="Tahoma"/>
          <w:sz w:val="18"/>
          <w:szCs w:val="18"/>
          <w:rtl/>
        </w:rPr>
        <w:t xml:space="preserve"> ושל הפיקוח והבקרה עליהן; היקף גישה בלתי-מוגבל של משתמשי המערכת למידע המצוי במערכת; ניהול לקוי של הרשאות עובדי מוקד המידע הטלפוני למערכת; וכן סיכון לחדירת תוקפים חיצוניים למערכות </w:t>
      </w:r>
      <w:r w:rsidRPr="00862EA2">
        <w:rPr>
          <w:rFonts w:ascii="Tahoma" w:hAnsi="Tahoma" w:cs="Tahoma"/>
          <w:sz w:val="18"/>
          <w:szCs w:val="18"/>
          <w:rtl/>
        </w:rPr>
        <w:t>המג"ק</w:t>
      </w:r>
      <w:r w:rsidRPr="00862EA2">
        <w:rPr>
          <w:rFonts w:ascii="Tahoma" w:hAnsi="Tahoma" w:cs="Tahoma"/>
          <w:sz w:val="18"/>
          <w:szCs w:val="18"/>
          <w:rtl/>
        </w:rPr>
        <w:t>.</w:t>
      </w:r>
    </w:p>
    <w:p w:rsidR="001A14B7" w:rsidRPr="00862EA2" w:rsidP="001A14B7" w14:paraId="51C8546C" w14:textId="77777777">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 xml:space="preserve">ליקויים אלה אינם עולים בקנה אחד עם הוראות הדין, ובהן חוק הגנת הפרטיות והתקנות על פיו, החלטות הממשלה הרלוונטיות והנחיות הגופים </w:t>
      </w:r>
      <w:r w:rsidRPr="00862EA2">
        <w:rPr>
          <w:rFonts w:ascii="Tahoma" w:hAnsi="Tahoma" w:cs="Tahoma"/>
          <w:sz w:val="18"/>
          <w:szCs w:val="18"/>
          <w:rtl/>
        </w:rPr>
        <w:t>המאסדרים</w:t>
      </w:r>
      <w:r w:rsidRPr="00862EA2">
        <w:rPr>
          <w:rFonts w:ascii="Tahoma" w:hAnsi="Tahoma" w:cs="Tahoma"/>
          <w:sz w:val="18"/>
          <w:szCs w:val="18"/>
          <w:rtl/>
        </w:rPr>
        <w:t xml:space="preserve"> את הנושא. הדברים מקבלים משנה תוקף נוכח העובדה שעל פי הוראות תקנות אבטחת מידע מסווגות </w:t>
      </w:r>
      <w:r w:rsidRPr="00862EA2">
        <w:rPr>
          <w:rFonts w:ascii="Tahoma" w:hAnsi="Tahoma" w:cs="Tahoma" w:hint="cs"/>
          <w:sz w:val="18"/>
          <w:szCs w:val="18"/>
          <w:rtl/>
        </w:rPr>
        <w:t>ה</w:t>
      </w:r>
      <w:r w:rsidRPr="00862EA2">
        <w:rPr>
          <w:rFonts w:ascii="Tahoma" w:hAnsi="Tahoma" w:cs="Tahoma"/>
          <w:sz w:val="18"/>
          <w:szCs w:val="18"/>
          <w:rtl/>
        </w:rPr>
        <w:t xml:space="preserve">מערכת </w:t>
      </w:r>
      <w:r w:rsidRPr="00862EA2">
        <w:rPr>
          <w:rFonts w:ascii="Tahoma" w:hAnsi="Tahoma" w:cs="Tahoma" w:hint="cs"/>
          <w:sz w:val="18"/>
          <w:szCs w:val="18"/>
          <w:rtl/>
        </w:rPr>
        <w:t xml:space="preserve">התפעולית של </w:t>
      </w:r>
      <w:r w:rsidRPr="00862EA2">
        <w:rPr>
          <w:rFonts w:ascii="Tahoma" w:hAnsi="Tahoma" w:cs="Tahoma" w:hint="cs"/>
          <w:sz w:val="18"/>
          <w:szCs w:val="18"/>
          <w:rtl/>
        </w:rPr>
        <w:t>המג"ק</w:t>
      </w:r>
      <w:r w:rsidRPr="00862EA2">
        <w:rPr>
          <w:rFonts w:ascii="Tahoma" w:hAnsi="Tahoma" w:cs="Tahoma"/>
          <w:sz w:val="18"/>
          <w:szCs w:val="18"/>
          <w:rtl/>
        </w:rPr>
        <w:t xml:space="preserve"> כמאגר שמחייב רמת אבטחה גבוהה. </w:t>
      </w:r>
    </w:p>
    <w:p w:rsidR="001A14B7" w:rsidRPr="00862EA2" w:rsidP="001A14B7" w14:paraId="0D5BA654" w14:textId="08214F0D">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 xml:space="preserve">על רשות האכיפה והגבייה </w:t>
      </w:r>
      <w:r w:rsidRPr="00862EA2">
        <w:rPr>
          <w:rFonts w:ascii="Tahoma" w:hAnsi="Tahoma" w:cs="Tahoma"/>
          <w:sz w:val="18"/>
          <w:szCs w:val="18"/>
          <w:rtl/>
        </w:rPr>
        <w:t>והמג"ק</w:t>
      </w:r>
      <w:r w:rsidRPr="00862EA2">
        <w:rPr>
          <w:rFonts w:ascii="Tahoma" w:hAnsi="Tahoma" w:cs="Tahoma"/>
          <w:sz w:val="18"/>
          <w:szCs w:val="18"/>
          <w:rtl/>
        </w:rPr>
        <w:t xml:space="preserve"> לפעול בהקדם על פי הנחיות הגופים הרלוונטיים למניעת דליפת מידע מהארגון ולשמירה על שלמותו. בכלל זה עליה</w:t>
      </w:r>
      <w:r w:rsidRPr="00862EA2">
        <w:rPr>
          <w:rFonts w:ascii="Tahoma" w:hAnsi="Tahoma" w:cs="Tahoma" w:hint="cs"/>
          <w:sz w:val="18"/>
          <w:szCs w:val="18"/>
          <w:rtl/>
        </w:rPr>
        <w:t>ם</w:t>
      </w:r>
      <w:r w:rsidRPr="00862EA2">
        <w:rPr>
          <w:rFonts w:ascii="Tahoma" w:hAnsi="Tahoma" w:cs="Tahoma"/>
          <w:sz w:val="18"/>
          <w:szCs w:val="18"/>
          <w:rtl/>
        </w:rPr>
        <w:t xml:space="preserve"> להקים מערך לתיעוד ובקרה בעניין השימוש במערכות המידע של </w:t>
      </w:r>
      <w:r w:rsidRPr="00862EA2">
        <w:rPr>
          <w:rFonts w:ascii="Tahoma" w:hAnsi="Tahoma" w:cs="Tahoma"/>
          <w:sz w:val="18"/>
          <w:szCs w:val="18"/>
          <w:rtl/>
        </w:rPr>
        <w:t>המג"ק</w:t>
      </w:r>
      <w:r w:rsidRPr="00862EA2">
        <w:rPr>
          <w:rFonts w:ascii="Tahoma" w:hAnsi="Tahoma" w:cs="Tahoma"/>
          <w:sz w:val="18"/>
          <w:szCs w:val="18"/>
          <w:rtl/>
        </w:rPr>
        <w:t>. כן עליה</w:t>
      </w:r>
      <w:r w:rsidRPr="00862EA2">
        <w:rPr>
          <w:rFonts w:ascii="Tahoma" w:hAnsi="Tahoma" w:cs="Tahoma" w:hint="cs"/>
          <w:sz w:val="18"/>
          <w:szCs w:val="18"/>
          <w:rtl/>
        </w:rPr>
        <w:t>ם</w:t>
      </w:r>
      <w:r w:rsidRPr="00862EA2">
        <w:rPr>
          <w:rFonts w:ascii="Tahoma" w:hAnsi="Tahoma" w:cs="Tahoma"/>
          <w:sz w:val="18"/>
          <w:szCs w:val="18"/>
          <w:rtl/>
        </w:rPr>
        <w:t xml:space="preserve"> לבצע בקרות עיתיות על מערך ההרשאות של עובדי </w:t>
      </w:r>
      <w:r w:rsidRPr="00862EA2">
        <w:rPr>
          <w:rFonts w:ascii="Tahoma" w:hAnsi="Tahoma" w:cs="Tahoma"/>
          <w:sz w:val="18"/>
          <w:szCs w:val="18"/>
          <w:rtl/>
        </w:rPr>
        <w:t>המג"ק</w:t>
      </w:r>
      <w:r w:rsidRPr="00862EA2">
        <w:rPr>
          <w:rFonts w:ascii="Tahoma" w:hAnsi="Tahoma" w:cs="Tahoma"/>
          <w:sz w:val="18"/>
          <w:szCs w:val="18"/>
          <w:rtl/>
        </w:rPr>
        <w:t xml:space="preserve"> ואף לבצע בחינה של היקף הרשאות הגישה </w:t>
      </w:r>
      <w:r w:rsidRPr="00862EA2">
        <w:rPr>
          <w:rFonts w:ascii="Tahoma" w:hAnsi="Tahoma" w:cs="Tahoma" w:hint="cs"/>
          <w:sz w:val="18"/>
          <w:szCs w:val="18"/>
          <w:rtl/>
        </w:rPr>
        <w:t xml:space="preserve">למערכת התפעולית של </w:t>
      </w:r>
      <w:r w:rsidRPr="00862EA2">
        <w:rPr>
          <w:rFonts w:ascii="Tahoma" w:hAnsi="Tahoma" w:cs="Tahoma" w:hint="cs"/>
          <w:sz w:val="18"/>
          <w:szCs w:val="18"/>
          <w:rtl/>
        </w:rPr>
        <w:t>המג"ק</w:t>
      </w:r>
      <w:r w:rsidRPr="00862EA2">
        <w:rPr>
          <w:rFonts w:ascii="Tahoma" w:hAnsi="Tahoma" w:cs="Tahoma"/>
          <w:sz w:val="18"/>
          <w:szCs w:val="18"/>
          <w:rtl/>
        </w:rPr>
        <w:t xml:space="preserve"> לעובדים בתפקידים השונים. נוסף על כך עליה</w:t>
      </w:r>
      <w:r w:rsidRPr="00862EA2">
        <w:rPr>
          <w:rFonts w:ascii="Tahoma" w:hAnsi="Tahoma" w:cs="Tahoma" w:hint="cs"/>
          <w:sz w:val="18"/>
          <w:szCs w:val="18"/>
          <w:rtl/>
        </w:rPr>
        <w:t>ם</w:t>
      </w:r>
      <w:r w:rsidRPr="00862EA2">
        <w:rPr>
          <w:rFonts w:ascii="Tahoma" w:hAnsi="Tahoma" w:cs="Tahoma"/>
          <w:sz w:val="18"/>
          <w:szCs w:val="18"/>
          <w:rtl/>
        </w:rPr>
        <w:t xml:space="preserve"> לבצע בקרה על הרשאות עובדי המוקד ומוצע כי </w:t>
      </w:r>
      <w:r w:rsidRPr="00862EA2">
        <w:rPr>
          <w:rFonts w:ascii="Tahoma" w:hAnsi="Tahoma" w:cs="Tahoma"/>
          <w:sz w:val="18"/>
          <w:szCs w:val="18"/>
          <w:rtl/>
        </w:rPr>
        <w:t>המג"ק</w:t>
      </w:r>
      <w:r w:rsidRPr="00862EA2">
        <w:rPr>
          <w:rFonts w:ascii="Tahoma" w:hAnsi="Tahoma" w:cs="Tahoma"/>
          <w:sz w:val="18"/>
          <w:szCs w:val="18"/>
          <w:rtl/>
        </w:rPr>
        <w:t xml:space="preserve"> יבחן האם יש מקום להגביל את אפשרויות הגישה של עובדי מוקד המידע הטלפוני ל</w:t>
      </w:r>
      <w:r w:rsidRPr="00862EA2">
        <w:rPr>
          <w:rFonts w:ascii="Tahoma" w:hAnsi="Tahoma" w:cs="Tahoma" w:hint="cs"/>
          <w:sz w:val="18"/>
          <w:szCs w:val="18"/>
          <w:rtl/>
        </w:rPr>
        <w:t>מערכת התפעולית שלו</w:t>
      </w:r>
      <w:r w:rsidRPr="00862EA2">
        <w:rPr>
          <w:rFonts w:ascii="Tahoma" w:hAnsi="Tahoma" w:cs="Tahoma"/>
          <w:sz w:val="18"/>
          <w:szCs w:val="18"/>
          <w:rtl/>
        </w:rPr>
        <w:t xml:space="preserve">. נוסף על כך על רשות האכיפה והגבייה לקדם את ההליך </w:t>
      </w:r>
      <w:r w:rsidRPr="00862EA2">
        <w:rPr>
          <w:rFonts w:ascii="Tahoma" w:hAnsi="Tahoma" w:cs="Tahoma"/>
          <w:sz w:val="18"/>
          <w:szCs w:val="18"/>
          <w:rtl/>
        </w:rPr>
        <w:t>המכרזי</w:t>
      </w:r>
      <w:r w:rsidRPr="00862EA2">
        <w:rPr>
          <w:rFonts w:ascii="Tahoma" w:hAnsi="Tahoma" w:cs="Tahoma"/>
          <w:sz w:val="18"/>
          <w:szCs w:val="18"/>
          <w:rtl/>
        </w:rPr>
        <w:t xml:space="preserve"> ולהטמיע </w:t>
      </w:r>
      <w:r w:rsidRPr="00862EA2">
        <w:rPr>
          <w:rFonts w:ascii="Tahoma" w:hAnsi="Tahoma" w:cs="Tahoma" w:hint="cs"/>
          <w:sz w:val="18"/>
          <w:szCs w:val="18"/>
          <w:rtl/>
        </w:rPr>
        <w:t>במערכותיה פתרון אבטחתי טכנולוגי ייעודי מסוים</w:t>
      </w:r>
      <w:r w:rsidRPr="00862EA2">
        <w:rPr>
          <w:rFonts w:ascii="Tahoma" w:hAnsi="Tahoma" w:cs="Tahoma"/>
          <w:sz w:val="18"/>
          <w:szCs w:val="18"/>
          <w:rtl/>
        </w:rPr>
        <w:t>, ש</w:t>
      </w:r>
      <w:r w:rsidRPr="00862EA2">
        <w:rPr>
          <w:rFonts w:ascii="Tahoma" w:hAnsi="Tahoma" w:cs="Tahoma" w:hint="cs"/>
          <w:sz w:val="18"/>
          <w:szCs w:val="18"/>
          <w:rtl/>
        </w:rPr>
        <w:t>י</w:t>
      </w:r>
      <w:r w:rsidRPr="00862EA2">
        <w:rPr>
          <w:rFonts w:ascii="Tahoma" w:hAnsi="Tahoma" w:cs="Tahoma"/>
          <w:sz w:val="18"/>
          <w:szCs w:val="18"/>
          <w:rtl/>
        </w:rPr>
        <w:t>בטיח הגנה מרבית על נכסי המידע שלה</w:t>
      </w:r>
      <w:r w:rsidRPr="00862EA2">
        <w:rPr>
          <w:rFonts w:ascii="Tahoma" w:hAnsi="Tahoma" w:cs="Tahoma" w:hint="cs"/>
          <w:sz w:val="18"/>
          <w:szCs w:val="18"/>
          <w:rtl/>
        </w:rPr>
        <w:t>.</w:t>
      </w:r>
    </w:p>
    <w:p w:rsidR="001A14B7" w:rsidRPr="00862EA2" w:rsidP="001A14B7" w14:paraId="100897FF" w14:textId="77777777">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 xml:space="preserve">מאגר המידע של </w:t>
      </w:r>
      <w:r w:rsidRPr="00862EA2">
        <w:rPr>
          <w:rFonts w:ascii="Tahoma" w:hAnsi="Tahoma" w:cs="Tahoma"/>
          <w:sz w:val="18"/>
          <w:szCs w:val="18"/>
          <w:rtl/>
        </w:rPr>
        <w:t>המג"ק</w:t>
      </w:r>
      <w:r w:rsidRPr="00862EA2">
        <w:rPr>
          <w:rFonts w:ascii="Tahoma" w:hAnsi="Tahoma" w:cs="Tahoma"/>
          <w:sz w:val="18"/>
          <w:szCs w:val="18"/>
          <w:rtl/>
        </w:rPr>
        <w:t xml:space="preserve"> הוא רחב היקף וכולל מידע רגיש בנוגע לכ-3 מיליון חייבים. סכומי החוב שבטיפול </w:t>
      </w:r>
      <w:r w:rsidRPr="00862EA2">
        <w:rPr>
          <w:rFonts w:ascii="Tahoma" w:hAnsi="Tahoma" w:cs="Tahoma"/>
          <w:sz w:val="18"/>
          <w:szCs w:val="18"/>
          <w:rtl/>
        </w:rPr>
        <w:t>המג"ק</w:t>
      </w:r>
      <w:r w:rsidRPr="00862EA2">
        <w:rPr>
          <w:rFonts w:ascii="Tahoma" w:hAnsi="Tahoma" w:cs="Tahoma" w:hint="cs"/>
          <w:sz w:val="18"/>
          <w:szCs w:val="18"/>
          <w:rtl/>
        </w:rPr>
        <w:t xml:space="preserve"> נכון למועד הביקורת</w:t>
      </w:r>
      <w:r w:rsidRPr="00862EA2">
        <w:rPr>
          <w:rFonts w:ascii="Tahoma" w:hAnsi="Tahoma" w:cs="Tahoma"/>
          <w:sz w:val="18"/>
          <w:szCs w:val="18"/>
          <w:rtl/>
        </w:rPr>
        <w:t xml:space="preserve"> מסתכמים בכ-6.8 מיליארד ש"ח. מכאן נובע הצורך לשמור על מערכות המידע למניעת פגיעה בשלמות המידע וברציפות התפקודית של </w:t>
      </w:r>
      <w:r w:rsidRPr="00862EA2">
        <w:rPr>
          <w:rFonts w:ascii="Tahoma" w:hAnsi="Tahoma" w:cs="Tahoma"/>
          <w:sz w:val="18"/>
          <w:szCs w:val="18"/>
          <w:rtl/>
        </w:rPr>
        <w:t>המג"ק</w:t>
      </w:r>
      <w:r w:rsidRPr="00862EA2">
        <w:rPr>
          <w:rFonts w:ascii="Tahoma" w:hAnsi="Tahoma" w:cs="Tahoma"/>
          <w:sz w:val="18"/>
          <w:szCs w:val="18"/>
          <w:rtl/>
        </w:rPr>
        <w:t xml:space="preserve"> במתן שירותים, וכן כדי למנוע דליפה של נתונים ומידע ממאגר המידע או למנוע את חשיפתם לגורמים שאינם מורשים לכך. </w:t>
      </w:r>
    </w:p>
    <w:p w:rsidR="00E56721" w:rsidP="004E71DD" w14:paraId="22BFC4F2" w14:textId="77777777">
      <w:pPr>
        <w:widowControl w:val="0"/>
        <w:tabs>
          <w:tab w:val="left" w:pos="9604"/>
        </w:tabs>
        <w:spacing w:before="240" w:line="276" w:lineRule="auto"/>
        <w:ind w:left="-1"/>
        <w:rPr>
          <w:rFonts w:ascii="Tahoma" w:hAnsi="Tahoma" w:cs="Tahoma"/>
          <w:sz w:val="18"/>
          <w:szCs w:val="18"/>
          <w:rtl/>
        </w:rPr>
      </w:pPr>
    </w:p>
    <w:p w:rsidR="001A14B7" w:rsidP="004E71DD" w14:paraId="1B37DAFD" w14:textId="77777777">
      <w:pPr>
        <w:widowControl w:val="0"/>
        <w:tabs>
          <w:tab w:val="left" w:pos="9604"/>
        </w:tabs>
        <w:spacing w:before="240" w:line="276" w:lineRule="auto"/>
        <w:ind w:left="-1"/>
        <w:rPr>
          <w:rFonts w:ascii="Tahoma" w:hAnsi="Tahoma" w:cs="Tahoma"/>
          <w:sz w:val="18"/>
          <w:szCs w:val="18"/>
          <w:rtl/>
        </w:rPr>
        <w:sectPr w:rsidSect="0024574E">
          <w:headerReference w:type="even" r:id="rId27"/>
          <w:footerReference w:type="even" r:id="rId28"/>
          <w:pgSz w:w="11906" w:h="16838" w:code="9"/>
          <w:pgMar w:top="3062" w:right="2268" w:bottom="2552" w:left="2268" w:header="1134" w:footer="1361" w:gutter="0"/>
          <w:pgNumType w:start="83"/>
          <w:cols w:space="708"/>
          <w:bidi/>
          <w:rtlGutter/>
          <w:docGrid w:linePitch="360"/>
        </w:sectPr>
      </w:pPr>
    </w:p>
    <w:p w:rsidR="005B2BF5" w:rsidRPr="00246CED" w:rsidP="00246CED" w14:paraId="4E9E45BD" w14:textId="60167446">
      <w:pPr>
        <w:rPr>
          <w:rtl/>
        </w:rPr>
      </w:pPr>
      <w:r w:rsidRPr="00246CED">
        <w:rPr>
          <w:rFonts w:hint="cs"/>
          <w:rtl/>
        </w:rPr>
        <w:t xml:space="preserve"> </w:t>
      </w:r>
    </w:p>
    <w:sectPr w:rsidSect="00F35B8C">
      <w:headerReference w:type="default" r:id="rId29"/>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60208" w14:paraId="1D364E3F" w14:textId="77777777">
      <w:pPr>
        <w:spacing w:line="240" w:lineRule="auto"/>
      </w:pPr>
      <w:r>
        <w:separator/>
      </w:r>
    </w:p>
    <w:p w:rsidR="00260208" w14:paraId="47648560" w14:textId="77777777"/>
    <w:p w:rsidR="00260208" w14:paraId="765DA071" w14:textId="77777777"/>
    <w:p w:rsidR="00260208" w14:paraId="00E116D3" w14:textId="77777777"/>
  </w:endnote>
  <w:endnote w:type="continuationSeparator" w:id="1">
    <w:p w:rsidR="00260208" w14:paraId="57134ADE" w14:textId="77777777">
      <w:pPr>
        <w:spacing w:line="240" w:lineRule="auto"/>
      </w:pPr>
      <w:r>
        <w:continuationSeparator/>
      </w:r>
    </w:p>
    <w:p w:rsidR="00260208" w14:paraId="1A2BFFD1" w14:textId="77777777"/>
    <w:p w:rsidR="00260208" w14:paraId="2501AE3F" w14:textId="77777777"/>
    <w:p w:rsidR="00260208" w14:paraId="4C867F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3" w:usb1="00000000" w:usb2="00000000" w:usb3="00000000" w:csb0="00000003" w:csb1="00000000"/>
  </w:font>
  <w:font w:name="David">
    <w:panose1 w:val="020E05020604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ypoUpright BT">
    <w:panose1 w:val="020B0604020202020204"/>
    <w:charset w:val="00"/>
    <w:family w:val="script"/>
    <w:pitch w:val="variable"/>
    <w:sig w:usb0="00000087" w:usb1="00000000" w:usb2="00000000" w:usb3="00000000" w:csb0="0000001B" w:csb1="00000000"/>
  </w:font>
  <w:font w:name="Segoe MDL2 Assets">
    <w:altName w:val="Segoe UI"/>
    <w:panose1 w:val="020B0604020202020204"/>
    <w:charset w:val="00"/>
    <w:family w:val="roman"/>
    <w:pitch w:val="variable"/>
    <w:sig w:usb0="00000003" w:usb1="10000000" w:usb2="00000000" w:usb3="00000000" w:csb0="00000001"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574E" w14:paraId="10900B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574E" w14:paraId="604C1B1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0208" w:rsidP="00E7235E" w14:paraId="0E64C0DD" w14:textId="77777777">
      <w:pPr>
        <w:spacing w:line="240" w:lineRule="auto"/>
      </w:pPr>
      <w:r>
        <w:separator/>
      </w:r>
    </w:p>
  </w:footnote>
  <w:footnote w:type="continuationSeparator" w:id="1">
    <w:p w:rsidR="00260208" w:rsidP="00C23CC9" w14:paraId="37CC61B6" w14:textId="77777777">
      <w:pPr>
        <w:spacing w:line="240" w:lineRule="auto"/>
      </w:pPr>
      <w:r>
        <w:continuationSeparator/>
      </w:r>
    </w:p>
    <w:p w:rsidR="00260208" w14:paraId="36CD6174" w14:textId="77777777"/>
    <w:p w:rsidR="00260208" w14:paraId="00206CEC" w14:textId="77777777"/>
    <w:p w:rsidR="00260208" w14:paraId="76FF3BAD" w14:textId="77777777"/>
  </w:footnote>
  <w:footnote w:id="2">
    <w:p w:rsidR="00EF7FE0" w:rsidRPr="00ED11DF" w:rsidP="00ED11DF" w14:paraId="737DA454" w14:textId="4B630912">
      <w:pPr>
        <w:pStyle w:val="733"/>
        <w:rPr>
          <w:rtl/>
        </w:rPr>
      </w:pPr>
      <w:r w:rsidRPr="00ED11DF">
        <w:rPr>
          <w:rStyle w:val="FootnoteReference0"/>
          <w:vertAlign w:val="baseline"/>
        </w:rPr>
        <w:footnoteRef/>
      </w:r>
      <w:r w:rsidRPr="00ED11DF">
        <w:rPr>
          <w:rtl/>
        </w:rPr>
        <w:t xml:space="preserve"> </w:t>
      </w:r>
      <w:r w:rsidRPr="00ED11DF">
        <w:rPr>
          <w:rtl/>
        </w:rPr>
        <w:tab/>
        <w:t>אירועים עסקיים שהוגדרו כאירועים חריגים במערכת</w:t>
      </w:r>
      <w:r w:rsidRPr="00ED11DF">
        <w:rPr>
          <w:rFonts w:hint="cs"/>
          <w:rtl/>
        </w:rPr>
        <w:t xml:space="preserve"> התפעולית של </w:t>
      </w:r>
      <w:r w:rsidRPr="00ED11DF">
        <w:rPr>
          <w:rFonts w:hint="cs"/>
          <w:rtl/>
        </w:rPr>
        <w:t>המג"ק</w:t>
      </w:r>
      <w:r w:rsidRPr="00ED11DF">
        <w:rPr>
          <w:rtl/>
        </w:rPr>
        <w:t xml:space="preserve"> ומצדיקים בחינה פרטנית אם היו מוצדקים</w:t>
      </w:r>
      <w:r w:rsidRPr="00ED11DF">
        <w:rPr>
          <w:rFonts w:hint="cs"/>
          <w:rtl/>
        </w:rPr>
        <w:t xml:space="preserve"> כגון סגירת תיק חוב מעל סכום מסוים ללא תשלום.</w:t>
      </w:r>
    </w:p>
  </w:footnote>
  <w:footnote w:id="3">
    <w:p w:rsidR="00EF7FE0" w:rsidRPr="00ED11DF" w:rsidP="00ED11DF" w14:paraId="04A53628" w14:textId="644D6CC6">
      <w:pPr>
        <w:pStyle w:val="733"/>
        <w:rPr>
          <w:rtl/>
        </w:rPr>
      </w:pPr>
      <w:r w:rsidRPr="00ED11DF">
        <w:rPr>
          <w:rStyle w:val="FootnoteReference0"/>
          <w:vertAlign w:val="baseline"/>
        </w:rPr>
        <w:footnoteRef/>
      </w:r>
      <w:r w:rsidRPr="00ED11DF">
        <w:rPr>
          <w:rtl/>
        </w:rPr>
        <w:t xml:space="preserve"> </w:t>
      </w:r>
      <w:r w:rsidRPr="00ED11DF">
        <w:rPr>
          <w:rtl/>
        </w:rPr>
        <w:tab/>
      </w:r>
      <w:r w:rsidRPr="00D90549" w:rsidR="005411AA">
        <w:rPr>
          <w:spacing w:val="-4"/>
          <w:rtl/>
        </w:rPr>
        <w:t xml:space="preserve">מבקר המדינה, </w:t>
      </w:r>
      <w:r w:rsidRPr="00D90549" w:rsidR="005411AA">
        <w:rPr>
          <w:b/>
          <w:bCs/>
          <w:spacing w:val="-4"/>
          <w:rtl/>
        </w:rPr>
        <w:t>דוח שנתי של מבקר המדינה - מאי 2023</w:t>
      </w:r>
      <w:r w:rsidRPr="00D90549" w:rsidR="005411AA">
        <w:rPr>
          <w:spacing w:val="-4"/>
          <w:rtl/>
        </w:rPr>
        <w:t>, "המרכז לגביית קנסות ברשות האכיפה והגבייה", עמ' 1723</w:t>
      </w:r>
      <w:r w:rsidR="005411A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1439604723" name="תמונה 143960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04723"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11EEF2BF">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62336" behindDoc="0" locked="0" layoutInCell="1" allowOverlap="1">
              <wp:simplePos x="0" y="0"/>
              <wp:positionH relativeFrom="column">
                <wp:posOffset>-714375</wp:posOffset>
              </wp:positionH>
              <wp:positionV relativeFrom="paragraph">
                <wp:posOffset>-726440</wp:posOffset>
              </wp:positionV>
              <wp:extent cx="304800" cy="8787765"/>
              <wp:effectExtent l="0" t="0" r="12700" b="1333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787765"/>
                      </a:xfrm>
                      <a:prstGeom prst="rect">
                        <a:avLst/>
                      </a:prstGeom>
                      <a:solidFill>
                        <a:srgbClr val="00305F"/>
                      </a:solidFill>
                      <a:ln>
                        <a:solidFill>
                          <a:srgbClr val="00305F"/>
                        </a:solidFill>
                      </a:ln>
                    </wps:spPr>
                    <wps:txbx>
                      <w:txbxContent>
                        <w:p w:rsidR="00F73EE0" w:rsidRPr="009B7D1B" w:rsidP="00EF7FE0" w14:textId="4D2EAFA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EF7FE0" w:rsidR="00EF7FE0">
                            <w:rPr>
                              <w:rFonts w:ascii="Tahoma" w:hAnsi="Tahoma" w:cs="Tahoma"/>
                              <w:b/>
                              <w:bCs/>
                              <w:w w:val="90"/>
                              <w:rtl/>
                            </w:rPr>
                            <w:t>הגנת הפרטיות ואבטחת המידע במערכות המרכז לגביית קנסות, אגרות והוצאות ברשות האכיפה והגבייה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24pt;height:691.95pt;margin-top:-57.2pt;margin-left:-56.25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EF7FE0" w14:paraId="77809697" w14:textId="4D2EAFA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EF7FE0" w:rsidR="00EF7FE0">
                      <w:rPr>
                        <w:rFonts w:ascii="Tahoma" w:hAnsi="Tahoma" w:cs="Tahoma"/>
                        <w:b/>
                        <w:bCs/>
                        <w:w w:val="90"/>
                        <w:rtl/>
                      </w:rPr>
                      <w:t>הגנת הפרטיות ואבטחת המידע במערכות המרכז לגביית קנסות, אגרות והוצאות ברשות האכיפה והגבייה</w:t>
                    </w:r>
                  </w:p>
                </w:txbxContent>
              </v:textbox>
              <w10:wrap type="square"/>
            </v:shape>
          </w:pict>
        </mc:Fallback>
      </mc:AlternateContent>
    </w: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2A263A6B">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2A263A6B">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417987040" name="תמונה 141798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87040"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436865587" name="תמונה 143686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65587"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-177165</wp:posOffset>
              </wp:positionH>
              <wp:positionV relativeFrom="paragraph">
                <wp:posOffset>205105</wp:posOffset>
              </wp:positionV>
              <wp:extent cx="4605655" cy="280670"/>
              <wp:effectExtent l="0" t="0" r="4445" b="3810"/>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05655" cy="280670"/>
                      </a:xfrm>
                      <a:prstGeom prst="rect">
                        <a:avLst/>
                      </a:prstGeom>
                      <a:solidFill>
                        <a:srgbClr val="FFFFFF"/>
                      </a:solidFill>
                      <a:ln w="9525">
                        <a:noFill/>
                        <a:miter lim="800000"/>
                        <a:headEnd/>
                        <a:tailEnd/>
                      </a:ln>
                    </wps:spPr>
                    <wps:txbx>
                      <w:txbxContent>
                        <w:p w:rsidR="004E71DD" w:rsidRPr="00EF7FE0" w:rsidP="004E71DD" w14:textId="7ED3734F">
                          <w:pPr>
                            <w:pStyle w:val="Heading1"/>
                            <w:spacing w:line="269" w:lineRule="auto"/>
                            <w:jc w:val="left"/>
                            <w:rPr>
                              <w:rFonts w:ascii="Tahoma" w:hAnsi="Tahoma" w:eastAsiaTheme="minorHAnsi" w:cs="Tahoma"/>
                              <w:bCs w:val="0"/>
                              <w:color w:val="0D0D0D" w:themeColor="text1" w:themeTint="F2"/>
                              <w:spacing w:val="-4"/>
                              <w:sz w:val="16"/>
                              <w:szCs w:val="16"/>
                              <w:u w:val="none"/>
                            </w:rPr>
                          </w:pPr>
                          <w:r w:rsidRPr="00EF7FE0">
                            <w:rPr>
                              <w:rFonts w:ascii="Tahoma" w:hAnsi="Tahoma" w:eastAsiaTheme="minorHAnsi" w:cs="Tahoma"/>
                              <w:bCs w:val="0"/>
                              <w:color w:val="0D0D0D" w:themeColor="text1" w:themeTint="F2"/>
                              <w:spacing w:val="-4"/>
                              <w:sz w:val="16"/>
                              <w:szCs w:val="16"/>
                              <w:u w:val="none"/>
                              <w:rtl/>
                            </w:rPr>
                            <w:t>הגנת הפרטיות ואבטחת המידע במערכות המרכז לגביית קנסות, אגרות והוצאות ברשות האכיפה והגבייה</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62.65pt;height:22.1pt;margin-top:16.15pt;margin-left:-13.95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EF7FE0" w:rsidP="004E71DD" w14:paraId="66EBAA16" w14:textId="7ED3734F">
                    <w:pPr>
                      <w:pStyle w:val="Heading1"/>
                      <w:spacing w:line="269" w:lineRule="auto"/>
                      <w:jc w:val="left"/>
                      <w:rPr>
                        <w:rFonts w:ascii="Tahoma" w:hAnsi="Tahoma" w:eastAsiaTheme="minorHAnsi" w:cs="Tahoma"/>
                        <w:bCs w:val="0"/>
                        <w:color w:val="0D0D0D" w:themeColor="text1" w:themeTint="F2"/>
                        <w:spacing w:val="-4"/>
                        <w:sz w:val="16"/>
                        <w:szCs w:val="16"/>
                        <w:u w:val="none"/>
                      </w:rPr>
                    </w:pPr>
                    <w:r w:rsidRPr="00EF7FE0">
                      <w:rPr>
                        <w:rFonts w:ascii="Tahoma" w:hAnsi="Tahoma" w:eastAsiaTheme="minorHAnsi" w:cs="Tahoma"/>
                        <w:bCs w:val="0"/>
                        <w:color w:val="0D0D0D" w:themeColor="text1" w:themeTint="F2"/>
                        <w:spacing w:val="-4"/>
                        <w:sz w:val="16"/>
                        <w:szCs w:val="16"/>
                        <w:u w:val="none"/>
                        <w:rtl/>
                      </w:rPr>
                      <w:t>הגנת הפרטיות ואבטחת המידע במערכות המרכז לגביית קנסות, אגרות והוצאות ברשות האכיפה והגבייה</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100672886" name="תמונה 210067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72886"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F207220">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88960" behindDoc="0" locked="0" layoutInCell="1" allowOverlap="1">
              <wp:simplePos x="0" y="0"/>
              <wp:positionH relativeFrom="column">
                <wp:posOffset>-714375</wp:posOffset>
              </wp:positionH>
              <wp:positionV relativeFrom="paragraph">
                <wp:posOffset>-726440</wp:posOffset>
              </wp:positionV>
              <wp:extent cx="304800" cy="8333740"/>
              <wp:effectExtent l="0" t="0" r="12700" b="10160"/>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333740"/>
                      </a:xfrm>
                      <a:prstGeom prst="rect">
                        <a:avLst/>
                      </a:prstGeom>
                      <a:solidFill>
                        <a:srgbClr val="00305F"/>
                      </a:solidFill>
                      <a:ln>
                        <a:solidFill>
                          <a:srgbClr val="00305F"/>
                        </a:solidFill>
                      </a:ln>
                    </wps:spPr>
                    <wps:txbx>
                      <w:txbxContent>
                        <w:p w:rsidR="00EF7FE0" w:rsidRPr="009B7D1B" w:rsidP="00EF7FE0"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F7FE0">
                            <w:rPr>
                              <w:rFonts w:ascii="Tahoma" w:hAnsi="Tahoma" w:cs="Tahoma"/>
                              <w:b/>
                              <w:bCs/>
                              <w:w w:val="90"/>
                              <w:rtl/>
                            </w:rPr>
                            <w:t>הגנת הפרטיות ואבטחת המידע במערכות המרכז לגביית קנסות, אגרות והוצאות ברשות האכיפה והגבייה</w:t>
                          </w:r>
                        </w:p>
                        <w:p w:rsidR="00E56721" w:rsidRPr="009B7D1B" w:rsidP="00EF7FE0" w14:textId="38149500">
                          <w:pPr>
                            <w:pStyle w:val="Bodytext70"/>
                            <w:shd w:val="clear" w:color="auto" w:fill="003060"/>
                            <w:rPr>
                              <w:rFonts w:ascii="Tahoma" w:hAnsi="Tahoma" w:cs="Tahoma"/>
                              <w:b/>
                              <w:bCs/>
                              <w:rtl/>
                            </w:rPr>
                          </w:pP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24pt;height:656.2pt;margin-top:-57.2pt;margin-left:-56.25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F7FE0" w:rsidRPr="009B7D1B" w:rsidP="00EF7FE0" w14:paraId="72CCDBAE" w14:textId="7777777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F7FE0">
                      <w:rPr>
                        <w:rFonts w:ascii="Tahoma" w:hAnsi="Tahoma" w:cs="Tahoma"/>
                        <w:b/>
                        <w:bCs/>
                        <w:w w:val="90"/>
                        <w:rtl/>
                      </w:rPr>
                      <w:t>הגנת הפרטיות ואבטחת המידע במערכות המרכז לגביית קנסות, אגרות והוצאות ברשות האכיפה והגבייה</w:t>
                    </w:r>
                  </w:p>
                  <w:p w:rsidR="00E56721" w:rsidRPr="009B7D1B" w:rsidP="00EF7FE0" w14:paraId="3B4CCAD6" w14:textId="38149500">
                    <w:pPr>
                      <w:pStyle w:val="Bodytext70"/>
                      <w:shd w:val="clear" w:color="auto" w:fill="003060"/>
                      <w:rPr>
                        <w:rFonts w:ascii="Tahoma" w:hAnsi="Tahoma" w:cs="Tahoma"/>
                        <w:b/>
                        <w:bCs/>
                        <w:rtl/>
                      </w:rPr>
                    </w:pPr>
                  </w:p>
                </w:txbxContent>
              </v:textbox>
              <w10:wrap type="square"/>
            </v:shape>
          </w:pict>
        </mc:Fallback>
      </mc:AlternateContent>
    </w: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5016F4B1">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5016F4B1">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F90CEC6"/>
    <w:lvl w:ilvl="0">
      <w:start w:val="1"/>
      <w:numFmt w:val="decimal"/>
      <w:lvlText w:val="%1."/>
      <w:lvlJc w:val="left"/>
      <w:pPr>
        <w:tabs>
          <w:tab w:val="num" w:pos="1492"/>
        </w:tabs>
        <w:ind w:left="1492" w:hanging="360"/>
      </w:pPr>
    </w:lvl>
  </w:abstractNum>
  <w:abstractNum w:abstractNumId="1">
    <w:nsid w:val="FFFFFF7D"/>
    <w:multiLevelType w:val="singleLevel"/>
    <w:tmpl w:val="E9168364"/>
    <w:lvl w:ilvl="0">
      <w:start w:val="1"/>
      <w:numFmt w:val="decimal"/>
      <w:lvlText w:val="%1."/>
      <w:lvlJc w:val="left"/>
      <w:pPr>
        <w:tabs>
          <w:tab w:val="num" w:pos="1209"/>
        </w:tabs>
        <w:ind w:left="1209" w:hanging="360"/>
      </w:pPr>
    </w:lvl>
  </w:abstractNum>
  <w:abstractNum w:abstractNumId="2">
    <w:nsid w:val="FFFFFF7F"/>
    <w:multiLevelType w:val="singleLevel"/>
    <w:tmpl w:val="78E0ABDC"/>
    <w:lvl w:ilvl="0">
      <w:start w:val="1"/>
      <w:numFmt w:val="decimal"/>
      <w:lvlText w:val="%1."/>
      <w:lvlJc w:val="left"/>
      <w:pPr>
        <w:tabs>
          <w:tab w:val="num" w:pos="643"/>
        </w:tabs>
        <w:ind w:left="643" w:hanging="360"/>
      </w:pPr>
    </w:lvl>
  </w:abstractNum>
  <w:abstractNum w:abstractNumId="3">
    <w:nsid w:val="FFFFFF80"/>
    <w:multiLevelType w:val="singleLevel"/>
    <w:tmpl w:val="9EF0FA2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ADA0872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F3D260F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11AA666"/>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62E0A046"/>
    <w:lvl w:ilvl="0">
      <w:start w:val="1"/>
      <w:numFmt w:val="bullet"/>
      <w:lvlText w:val=""/>
      <w:lvlJc w:val="left"/>
      <w:pPr>
        <w:tabs>
          <w:tab w:val="num" w:pos="360"/>
        </w:tabs>
        <w:ind w:left="360" w:hanging="360"/>
      </w:pPr>
      <w:rPr>
        <w:rFonts w:ascii="Symbol" w:hAnsi="Symbol" w:hint="default"/>
      </w:rPr>
    </w:lvl>
  </w:abstractNum>
  <w:abstractNum w:abstractNumId="8">
    <w:nsid w:val="01332649"/>
    <w:multiLevelType w:val="hybridMultilevel"/>
    <w:tmpl w:val="00A4F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2643EE"/>
    <w:multiLevelType w:val="hybridMultilevel"/>
    <w:tmpl w:val="A00C5A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FF3294"/>
    <w:multiLevelType w:val="hybridMultilevel"/>
    <w:tmpl w:val="F4AC1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2">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0B0276EB"/>
    <w:multiLevelType w:val="hybridMultilevel"/>
    <w:tmpl w:val="E12E5B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AC4C94"/>
    <w:multiLevelType w:val="hybridMultilevel"/>
    <w:tmpl w:val="24EA7DE2"/>
    <w:lvl w:ilvl="0">
      <w:start w:val="2"/>
      <w:numFmt w:val="decimal"/>
      <w:lvlText w:val="%1."/>
      <w:lvlJc w:val="left"/>
      <w:pPr>
        <w:ind w:left="794" w:hanging="5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DC7423"/>
    <w:multiLevelType w:val="hybridMultilevel"/>
    <w:tmpl w:val="4BD6E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46F67F4"/>
    <w:multiLevelType w:val="hybridMultilevel"/>
    <w:tmpl w:val="A6EE8C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D32DC9"/>
    <w:multiLevelType w:val="hybridMultilevel"/>
    <w:tmpl w:val="CE8C6170"/>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1">
    <w:nsid w:val="2E2A2B93"/>
    <w:multiLevelType w:val="hybridMultilevel"/>
    <w:tmpl w:val="988002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047D7C"/>
    <w:multiLevelType w:val="hybridMultilevel"/>
    <w:tmpl w:val="D33E9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F345ED"/>
    <w:multiLevelType w:val="hybridMultilevel"/>
    <w:tmpl w:val="A2D65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44D6171A"/>
    <w:multiLevelType w:val="hybridMultilevel"/>
    <w:tmpl w:val="9168C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9">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0">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511073"/>
    <w:multiLevelType w:val="hybridMultilevel"/>
    <w:tmpl w:val="3E4408B4"/>
    <w:lvl w:ilvl="0">
      <w:start w:val="0"/>
      <w:numFmt w:val="bullet"/>
      <w:lvlText w:val=""/>
      <w:lvlJc w:val="left"/>
      <w:pPr>
        <w:ind w:left="720" w:hanging="360"/>
      </w:pPr>
      <w:rPr>
        <w:rFonts w:ascii="Symbol" w:hAnsi="Symbol"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CE393B"/>
    <w:multiLevelType w:val="hybridMultilevel"/>
    <w:tmpl w:val="6BF078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841F64"/>
    <w:multiLevelType w:val="hybridMultilevel"/>
    <w:tmpl w:val="70D04E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5">
    <w:nsid w:val="5D072DFE"/>
    <w:multiLevelType w:val="hybridMultilevel"/>
    <w:tmpl w:val="3EB87D54"/>
    <w:lvl w:ilvl="0">
      <w:start w:val="1"/>
      <w:numFmt w:val="decimal"/>
      <w:lvlText w:val="%1."/>
      <w:lvlJc w:val="left"/>
      <w:pPr>
        <w:ind w:left="-491" w:hanging="360"/>
      </w:pPr>
      <w:rPr>
        <w:rFonts w:hint="default"/>
      </w:rPr>
    </w:lvl>
    <w:lvl w:ilvl="1" w:tentative="1">
      <w:start w:val="1"/>
      <w:numFmt w:val="lowerLetter"/>
      <w:lvlText w:val="%2."/>
      <w:lvlJc w:val="left"/>
      <w:pPr>
        <w:ind w:left="229" w:hanging="360"/>
      </w:pPr>
    </w:lvl>
    <w:lvl w:ilvl="2" w:tentative="1">
      <w:start w:val="1"/>
      <w:numFmt w:val="lowerRoman"/>
      <w:lvlText w:val="%3."/>
      <w:lvlJc w:val="right"/>
      <w:pPr>
        <w:ind w:left="949" w:hanging="180"/>
      </w:pPr>
    </w:lvl>
    <w:lvl w:ilvl="3" w:tentative="1">
      <w:start w:val="1"/>
      <w:numFmt w:val="decimal"/>
      <w:lvlText w:val="%4."/>
      <w:lvlJc w:val="left"/>
      <w:pPr>
        <w:ind w:left="1669" w:hanging="360"/>
      </w:pPr>
    </w:lvl>
    <w:lvl w:ilvl="4" w:tentative="1">
      <w:start w:val="1"/>
      <w:numFmt w:val="lowerLetter"/>
      <w:lvlText w:val="%5."/>
      <w:lvlJc w:val="left"/>
      <w:pPr>
        <w:ind w:left="2389" w:hanging="360"/>
      </w:pPr>
    </w:lvl>
    <w:lvl w:ilvl="5" w:tentative="1">
      <w:start w:val="1"/>
      <w:numFmt w:val="lowerRoman"/>
      <w:lvlText w:val="%6."/>
      <w:lvlJc w:val="right"/>
      <w:pPr>
        <w:ind w:left="3109" w:hanging="180"/>
      </w:pPr>
    </w:lvl>
    <w:lvl w:ilvl="6" w:tentative="1">
      <w:start w:val="1"/>
      <w:numFmt w:val="decimal"/>
      <w:lvlText w:val="%7."/>
      <w:lvlJc w:val="left"/>
      <w:pPr>
        <w:ind w:left="3829" w:hanging="360"/>
      </w:pPr>
    </w:lvl>
    <w:lvl w:ilvl="7" w:tentative="1">
      <w:start w:val="1"/>
      <w:numFmt w:val="lowerLetter"/>
      <w:lvlText w:val="%8."/>
      <w:lvlJc w:val="left"/>
      <w:pPr>
        <w:ind w:left="4549" w:hanging="360"/>
      </w:pPr>
    </w:lvl>
    <w:lvl w:ilvl="8" w:tentative="1">
      <w:start w:val="1"/>
      <w:numFmt w:val="lowerRoman"/>
      <w:lvlText w:val="%9."/>
      <w:lvlJc w:val="right"/>
      <w:pPr>
        <w:ind w:left="5269" w:hanging="180"/>
      </w:pPr>
    </w:lvl>
  </w:abstractNum>
  <w:abstractNum w:abstractNumId="36">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5C253A"/>
    <w:multiLevelType w:val="hybridMultilevel"/>
    <w:tmpl w:val="B4EC5EA2"/>
    <w:lvl w:ilvl="0">
      <w:start w:val="0"/>
      <w:numFmt w:val="bullet"/>
      <w:lvlText w:val="-"/>
      <w:lvlJc w:val="left"/>
      <w:pPr>
        <w:ind w:left="885" w:hanging="360"/>
      </w:pPr>
      <w:rPr>
        <w:rFonts w:ascii="Arial" w:eastAsia="Calibri" w:hAnsi="Arial" w:cs="Arial" w:hint="default"/>
      </w:rPr>
    </w:lvl>
    <w:lvl w:ilvl="1">
      <w:start w:val="1"/>
      <w:numFmt w:val="bullet"/>
      <w:lvlText w:val="o"/>
      <w:lvlJc w:val="left"/>
      <w:pPr>
        <w:ind w:left="1605" w:hanging="360"/>
      </w:pPr>
      <w:rPr>
        <w:rFonts w:ascii="Courier New" w:hAnsi="Courier New" w:cs="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cs="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cs="Courier New" w:hint="default"/>
      </w:rPr>
    </w:lvl>
    <w:lvl w:ilvl="8">
      <w:start w:val="1"/>
      <w:numFmt w:val="bullet"/>
      <w:lvlText w:val=""/>
      <w:lvlJc w:val="left"/>
      <w:pPr>
        <w:ind w:left="6645" w:hanging="360"/>
      </w:pPr>
      <w:rPr>
        <w:rFonts w:ascii="Wingdings" w:hAnsi="Wingdings" w:hint="default"/>
      </w:rPr>
    </w:lvl>
  </w:abstractNum>
  <w:abstractNum w:abstractNumId="38">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2506C74"/>
    <w:multiLevelType w:val="hybridMultilevel"/>
    <w:tmpl w:val="69F69E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5F04B4"/>
    <w:multiLevelType w:val="hybridMultilevel"/>
    <w:tmpl w:val="BF744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E6E460A"/>
    <w:multiLevelType w:val="hybridMultilevel"/>
    <w:tmpl w:val="9F96C2F2"/>
    <w:lvl w:ilvl="0">
      <w:start w:val="0"/>
      <w:numFmt w:val="bullet"/>
      <w:lvlText w:val=""/>
      <w:lvlJc w:val="left"/>
      <w:pPr>
        <w:ind w:left="720" w:hanging="360"/>
      </w:pPr>
      <w:rPr>
        <w:rFonts w:ascii="Symbol" w:hAnsi="Symbol"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3260BD"/>
    <w:multiLevelType w:val="hybridMultilevel"/>
    <w:tmpl w:val="47A057FE"/>
    <w:lvl w:ilvl="0">
      <w:start w:val="1"/>
      <w:numFmt w:val="hebrew1"/>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46">
    <w:nsid w:val="7193719F"/>
    <w:multiLevelType w:val="hybridMultilevel"/>
    <w:tmpl w:val="FF5AD226"/>
    <w:lvl w:ilvl="0">
      <w:start w:val="6"/>
      <w:numFmt w:val="decimal"/>
      <w:lvlText w:val="%1."/>
      <w:lvlJc w:val="left"/>
      <w:pPr>
        <w:ind w:left="680" w:hanging="39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68777A4"/>
    <w:multiLevelType w:val="hybridMultilevel"/>
    <w:tmpl w:val="1AE06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C9496A"/>
    <w:multiLevelType w:val="hybridMultilevel"/>
    <w:tmpl w:val="4EFE00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702EA7"/>
    <w:multiLevelType w:val="hybridMultilevel"/>
    <w:tmpl w:val="EB68871A"/>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34"/>
  </w:num>
  <w:num w:numId="2">
    <w:abstractNumId w:val="20"/>
  </w:num>
  <w:num w:numId="3">
    <w:abstractNumId w:val="26"/>
  </w:num>
  <w:num w:numId="4">
    <w:abstractNumId w:val="52"/>
  </w:num>
  <w:num w:numId="5">
    <w:abstractNumId w:val="12"/>
  </w:num>
  <w:num w:numId="6">
    <w:abstractNumId w:val="28"/>
  </w:num>
  <w:num w:numId="7">
    <w:abstractNumId w:val="38"/>
  </w:num>
  <w:num w:numId="8">
    <w:abstractNumId w:val="15"/>
  </w:num>
  <w:num w:numId="9">
    <w:abstractNumId w:val="14"/>
  </w:num>
  <w:num w:numId="10">
    <w:abstractNumId w:val="11"/>
  </w:num>
  <w:num w:numId="11">
    <w:abstractNumId w:val="29"/>
  </w:num>
  <w:num w:numId="12">
    <w:abstractNumId w:val="36"/>
  </w:num>
  <w:num w:numId="13">
    <w:abstractNumId w:val="46"/>
  </w:num>
  <w:num w:numId="14">
    <w:abstractNumId w:val="30"/>
  </w:num>
  <w:num w:numId="15">
    <w:abstractNumId w:val="47"/>
  </w:num>
  <w:num w:numId="16">
    <w:abstractNumId w:val="16"/>
  </w:num>
  <w:num w:numId="17">
    <w:abstractNumId w:val="51"/>
  </w:num>
  <w:num w:numId="18">
    <w:abstractNumId w:val="42"/>
  </w:num>
  <w:num w:numId="19">
    <w:abstractNumId w:val="23"/>
  </w:num>
  <w:num w:numId="20">
    <w:abstractNumId w:val="22"/>
  </w:num>
  <w:num w:numId="21">
    <w:abstractNumId w:val="3"/>
  </w:num>
  <w:num w:numId="22">
    <w:abstractNumId w:val="4"/>
  </w:num>
  <w:num w:numId="23">
    <w:abstractNumId w:val="5"/>
  </w:num>
  <w:num w:numId="24">
    <w:abstractNumId w:val="6"/>
  </w:num>
  <w:num w:numId="25">
    <w:abstractNumId w:val="7"/>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0"/>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0"/>
  </w:num>
  <w:num w:numId="51">
    <w:abstractNumId w:val="1"/>
  </w:num>
  <w:num w:numId="52">
    <w:abstractNumId w:val="2"/>
  </w:num>
  <w:num w:numId="53">
    <w:abstractNumId w:val="3"/>
  </w:num>
  <w:num w:numId="54">
    <w:abstractNumId w:val="4"/>
  </w:num>
  <w:num w:numId="55">
    <w:abstractNumId w:val="5"/>
  </w:num>
  <w:num w:numId="56">
    <w:abstractNumId w:val="6"/>
  </w:num>
  <w:num w:numId="57">
    <w:abstractNumId w:val="7"/>
  </w:num>
  <w:num w:numId="58">
    <w:abstractNumId w:val="0"/>
  </w:num>
  <w:num w:numId="59">
    <w:abstractNumId w:val="1"/>
  </w:num>
  <w:num w:numId="60">
    <w:abstractNumId w:val="2"/>
  </w:num>
  <w:num w:numId="61">
    <w:abstractNumId w:val="3"/>
  </w:num>
  <w:num w:numId="62">
    <w:abstractNumId w:val="4"/>
  </w:num>
  <w:num w:numId="63">
    <w:abstractNumId w:val="5"/>
  </w:num>
  <w:num w:numId="64">
    <w:abstractNumId w:val="6"/>
  </w:num>
  <w:num w:numId="65">
    <w:abstractNumId w:val="7"/>
  </w:num>
  <w:num w:numId="66">
    <w:abstractNumId w:val="0"/>
  </w:num>
  <w:num w:numId="67">
    <w:abstractNumId w:val="1"/>
  </w:num>
  <w:num w:numId="68">
    <w:abstractNumId w:val="2"/>
  </w:num>
  <w:num w:numId="69">
    <w:abstractNumId w:val="3"/>
  </w:num>
  <w:num w:numId="70">
    <w:abstractNumId w:val="4"/>
  </w:num>
  <w:num w:numId="71">
    <w:abstractNumId w:val="5"/>
  </w:num>
  <w:num w:numId="72">
    <w:abstractNumId w:val="6"/>
  </w:num>
  <w:num w:numId="73">
    <w:abstractNumId w:val="7"/>
  </w:num>
  <w:num w:numId="74">
    <w:abstractNumId w:val="0"/>
  </w:num>
  <w:num w:numId="75">
    <w:abstractNumId w:val="1"/>
  </w:num>
  <w:num w:numId="76">
    <w:abstractNumId w:val="2"/>
  </w:num>
  <w:num w:numId="77">
    <w:abstractNumId w:val="3"/>
  </w:num>
  <w:num w:numId="78">
    <w:abstractNumId w:val="4"/>
  </w:num>
  <w:num w:numId="79">
    <w:abstractNumId w:val="5"/>
  </w:num>
  <w:num w:numId="80">
    <w:abstractNumId w:val="6"/>
  </w:num>
  <w:num w:numId="81">
    <w:abstractNumId w:val="7"/>
  </w:num>
  <w:num w:numId="82">
    <w:abstractNumId w:val="0"/>
  </w:num>
  <w:num w:numId="83">
    <w:abstractNumId w:val="1"/>
  </w:num>
  <w:num w:numId="84">
    <w:abstractNumId w:val="2"/>
  </w:num>
  <w:num w:numId="85">
    <w:abstractNumId w:val="3"/>
  </w:num>
  <w:num w:numId="86">
    <w:abstractNumId w:val="4"/>
  </w:num>
  <w:num w:numId="87">
    <w:abstractNumId w:val="5"/>
  </w:num>
  <w:num w:numId="88">
    <w:abstractNumId w:val="6"/>
  </w:num>
  <w:num w:numId="89">
    <w:abstractNumId w:val="7"/>
  </w:num>
  <w:num w:numId="90">
    <w:abstractNumId w:val="0"/>
  </w:num>
  <w:num w:numId="91">
    <w:abstractNumId w:val="1"/>
  </w:num>
  <w:num w:numId="92">
    <w:abstractNumId w:val="2"/>
  </w:num>
  <w:num w:numId="93">
    <w:abstractNumId w:val="3"/>
  </w:num>
  <w:num w:numId="94">
    <w:abstractNumId w:val="4"/>
  </w:num>
  <w:num w:numId="95">
    <w:abstractNumId w:val="5"/>
  </w:num>
  <w:num w:numId="96">
    <w:abstractNumId w:val="6"/>
  </w:num>
  <w:num w:numId="97">
    <w:abstractNumId w:val="7"/>
  </w:num>
  <w:num w:numId="98">
    <w:abstractNumId w:val="0"/>
  </w:num>
  <w:num w:numId="99">
    <w:abstractNumId w:val="1"/>
  </w:num>
  <w:num w:numId="100">
    <w:abstractNumId w:val="2"/>
  </w:num>
  <w:num w:numId="101">
    <w:abstractNumId w:val="3"/>
  </w:num>
  <w:num w:numId="102">
    <w:abstractNumId w:val="4"/>
  </w:num>
  <w:num w:numId="103">
    <w:abstractNumId w:val="5"/>
  </w:num>
  <w:num w:numId="104">
    <w:abstractNumId w:val="6"/>
  </w:num>
  <w:num w:numId="105">
    <w:abstractNumId w:val="7"/>
  </w:num>
  <w:num w:numId="106">
    <w:abstractNumId w:val="0"/>
  </w:num>
  <w:num w:numId="107">
    <w:abstractNumId w:val="1"/>
  </w:num>
  <w:num w:numId="108">
    <w:abstractNumId w:val="2"/>
  </w:num>
  <w:num w:numId="109">
    <w:abstractNumId w:val="3"/>
  </w:num>
  <w:num w:numId="110">
    <w:abstractNumId w:val="4"/>
  </w:num>
  <w:num w:numId="111">
    <w:abstractNumId w:val="5"/>
  </w:num>
  <w:num w:numId="112">
    <w:abstractNumId w:val="6"/>
  </w:num>
  <w:num w:numId="113">
    <w:abstractNumId w:val="7"/>
  </w:num>
  <w:num w:numId="114">
    <w:abstractNumId w:val="0"/>
  </w:num>
  <w:num w:numId="115">
    <w:abstractNumId w:val="1"/>
  </w:num>
  <w:num w:numId="116">
    <w:abstractNumId w:val="2"/>
  </w:num>
  <w:num w:numId="117">
    <w:abstractNumId w:val="3"/>
  </w:num>
  <w:num w:numId="118">
    <w:abstractNumId w:val="4"/>
  </w:num>
  <w:num w:numId="119">
    <w:abstractNumId w:val="5"/>
  </w:num>
  <w:num w:numId="120">
    <w:abstractNumId w:val="6"/>
  </w:num>
  <w:num w:numId="121">
    <w:abstractNumId w:val="7"/>
  </w:num>
  <w:num w:numId="122">
    <w:abstractNumId w:val="0"/>
  </w:num>
  <w:num w:numId="123">
    <w:abstractNumId w:val="1"/>
  </w:num>
  <w:num w:numId="124">
    <w:abstractNumId w:val="2"/>
  </w:num>
  <w:num w:numId="125">
    <w:abstractNumId w:val="3"/>
  </w:num>
  <w:num w:numId="126">
    <w:abstractNumId w:val="4"/>
  </w:num>
  <w:num w:numId="127">
    <w:abstractNumId w:val="5"/>
  </w:num>
  <w:num w:numId="128">
    <w:abstractNumId w:val="6"/>
  </w:num>
  <w:num w:numId="129">
    <w:abstractNumId w:val="7"/>
  </w:num>
  <w:num w:numId="130">
    <w:abstractNumId w:val="0"/>
  </w:num>
  <w:num w:numId="131">
    <w:abstractNumId w:val="1"/>
  </w:num>
  <w:num w:numId="132">
    <w:abstractNumId w:val="2"/>
  </w:num>
  <w:num w:numId="133">
    <w:abstractNumId w:val="3"/>
  </w:num>
  <w:num w:numId="134">
    <w:abstractNumId w:val="4"/>
  </w:num>
  <w:num w:numId="135">
    <w:abstractNumId w:val="5"/>
  </w:num>
  <w:num w:numId="136">
    <w:abstractNumId w:val="6"/>
  </w:num>
  <w:num w:numId="137">
    <w:abstractNumId w:val="7"/>
  </w:num>
  <w:num w:numId="138">
    <w:abstractNumId w:val="0"/>
  </w:num>
  <w:num w:numId="139">
    <w:abstractNumId w:val="1"/>
  </w:num>
  <w:num w:numId="140">
    <w:abstractNumId w:val="2"/>
  </w:num>
  <w:num w:numId="141">
    <w:abstractNumId w:val="3"/>
  </w:num>
  <w:num w:numId="142">
    <w:abstractNumId w:val="4"/>
  </w:num>
  <w:num w:numId="143">
    <w:abstractNumId w:val="5"/>
  </w:num>
  <w:num w:numId="144">
    <w:abstractNumId w:val="6"/>
  </w:num>
  <w:num w:numId="145">
    <w:abstractNumId w:val="7"/>
  </w:num>
  <w:num w:numId="146">
    <w:abstractNumId w:val="0"/>
  </w:num>
  <w:num w:numId="147">
    <w:abstractNumId w:val="1"/>
  </w:num>
  <w:num w:numId="148">
    <w:abstractNumId w:val="2"/>
  </w:num>
  <w:num w:numId="149">
    <w:abstractNumId w:val="3"/>
  </w:num>
  <w:num w:numId="150">
    <w:abstractNumId w:val="4"/>
  </w:num>
  <w:num w:numId="151">
    <w:abstractNumId w:val="5"/>
  </w:num>
  <w:num w:numId="152">
    <w:abstractNumId w:val="6"/>
  </w:num>
  <w:num w:numId="153">
    <w:abstractNumId w:val="7"/>
  </w:num>
  <w:num w:numId="154">
    <w:abstractNumId w:val="0"/>
  </w:num>
  <w:num w:numId="155">
    <w:abstractNumId w:val="1"/>
  </w:num>
  <w:num w:numId="156">
    <w:abstractNumId w:val="2"/>
  </w:num>
  <w:num w:numId="157">
    <w:abstractNumId w:val="3"/>
  </w:num>
  <w:num w:numId="158">
    <w:abstractNumId w:val="4"/>
  </w:num>
  <w:num w:numId="159">
    <w:abstractNumId w:val="5"/>
  </w:num>
  <w:num w:numId="160">
    <w:abstractNumId w:val="6"/>
  </w:num>
  <w:num w:numId="161">
    <w:abstractNumId w:val="7"/>
  </w:num>
  <w:num w:numId="162">
    <w:abstractNumId w:val="0"/>
  </w:num>
  <w:num w:numId="163">
    <w:abstractNumId w:val="1"/>
  </w:num>
  <w:num w:numId="164">
    <w:abstractNumId w:val="2"/>
  </w:num>
  <w:num w:numId="165">
    <w:abstractNumId w:val="3"/>
  </w:num>
  <w:num w:numId="166">
    <w:abstractNumId w:val="4"/>
  </w:num>
  <w:num w:numId="167">
    <w:abstractNumId w:val="5"/>
  </w:num>
  <w:num w:numId="168">
    <w:abstractNumId w:val="6"/>
  </w:num>
  <w:num w:numId="169">
    <w:abstractNumId w:val="7"/>
  </w:num>
  <w:num w:numId="170">
    <w:abstractNumId w:val="0"/>
  </w:num>
  <w:num w:numId="171">
    <w:abstractNumId w:val="1"/>
  </w:num>
  <w:num w:numId="172">
    <w:abstractNumId w:val="2"/>
  </w:num>
  <w:num w:numId="173">
    <w:abstractNumId w:val="9"/>
  </w:num>
  <w:num w:numId="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5"/>
  </w:num>
  <w:num w:numId="176">
    <w:abstractNumId w:val="25"/>
  </w:num>
  <w:num w:numId="177">
    <w:abstractNumId w:val="27"/>
  </w:num>
  <w:num w:numId="178">
    <w:abstractNumId w:val="17"/>
  </w:num>
  <w:num w:numId="179">
    <w:abstractNumId w:val="21"/>
  </w:num>
  <w:num w:numId="180">
    <w:abstractNumId w:val="32"/>
  </w:num>
  <w:num w:numId="181">
    <w:abstractNumId w:val="40"/>
  </w:num>
  <w:num w:numId="182">
    <w:abstractNumId w:val="37"/>
  </w:num>
  <w:num w:numId="183">
    <w:abstractNumId w:val="18"/>
  </w:num>
  <w:num w:numId="184">
    <w:abstractNumId w:val="8"/>
  </w:num>
  <w:num w:numId="185">
    <w:abstractNumId w:val="10"/>
  </w:num>
  <w:num w:numId="186">
    <w:abstractNumId w:val="49"/>
  </w:num>
  <w:num w:numId="187">
    <w:abstractNumId w:val="48"/>
  </w:num>
  <w:num w:numId="188">
    <w:abstractNumId w:val="44"/>
  </w:num>
  <w:num w:numId="189">
    <w:abstractNumId w:val="41"/>
  </w:num>
  <w:num w:numId="190">
    <w:abstractNumId w:val="24"/>
  </w:num>
  <w:num w:numId="191">
    <w:abstractNumId w:val="31"/>
  </w:num>
  <w:num w:numId="192">
    <w:abstractNumId w:val="43"/>
  </w:num>
  <w:num w:numId="193">
    <w:abstractNumId w:val="39"/>
  </w:num>
  <w:num w:numId="194">
    <w:abstractNumId w:val="33"/>
  </w:num>
  <w:num w:numId="195">
    <w:abstractNumId w:val="19"/>
  </w:num>
  <w:num w:numId="196">
    <w:abstractNumId w:val="50"/>
  </w:num>
  <w:num w:numId="197">
    <w:abstractNumId w:val="35"/>
  </w:num>
  <w:num w:numId="198">
    <w:abstractNumId w:val="3"/>
  </w:num>
  <w:num w:numId="199">
    <w:abstractNumId w:val="4"/>
  </w:num>
  <w:num w:numId="200">
    <w:abstractNumId w:val="5"/>
  </w:num>
  <w:num w:numId="201">
    <w:abstractNumId w:val="6"/>
  </w:num>
  <w:num w:numId="202">
    <w:abstractNumId w:val="7"/>
  </w:num>
  <w:num w:numId="203">
    <w:abstractNumId w:val="0"/>
  </w:num>
  <w:num w:numId="204">
    <w:abstractNumId w:val="1"/>
  </w:num>
  <w:num w:numId="205">
    <w:abstractNumId w:val="2"/>
  </w:num>
  <w:num w:numId="206">
    <w:abstractNumId w:val="3"/>
  </w:num>
  <w:num w:numId="207">
    <w:abstractNumId w:val="4"/>
  </w:num>
  <w:num w:numId="208">
    <w:abstractNumId w:val="5"/>
  </w:num>
  <w:num w:numId="209">
    <w:abstractNumId w:val="6"/>
  </w:num>
  <w:num w:numId="210">
    <w:abstractNumId w:val="7"/>
  </w:num>
  <w:num w:numId="211">
    <w:abstractNumId w:val="0"/>
  </w:num>
  <w:num w:numId="212">
    <w:abstractNumId w:val="1"/>
  </w:num>
  <w:num w:numId="213">
    <w:abstractNumId w:val="2"/>
  </w:num>
  <w:num w:numId="214">
    <w:abstractNumId w:val="3"/>
  </w:num>
  <w:num w:numId="215">
    <w:abstractNumId w:val="4"/>
  </w:num>
  <w:num w:numId="216">
    <w:abstractNumId w:val="5"/>
  </w:num>
  <w:num w:numId="217">
    <w:abstractNumId w:val="6"/>
  </w:num>
  <w:num w:numId="218">
    <w:abstractNumId w:val="7"/>
  </w:num>
  <w:num w:numId="219">
    <w:abstractNumId w:val="0"/>
  </w:num>
  <w:num w:numId="220">
    <w:abstractNumId w:val="1"/>
  </w:num>
  <w:num w:numId="221">
    <w:abstractNumId w:val="2"/>
  </w:num>
  <w:num w:numId="222">
    <w:abstractNumId w:val="3"/>
  </w:num>
  <w:num w:numId="223">
    <w:abstractNumId w:val="4"/>
  </w:num>
  <w:num w:numId="224">
    <w:abstractNumId w:val="5"/>
  </w:num>
  <w:num w:numId="225">
    <w:abstractNumId w:val="6"/>
  </w:num>
  <w:num w:numId="226">
    <w:abstractNumId w:val="7"/>
  </w:num>
  <w:num w:numId="227">
    <w:abstractNumId w:val="0"/>
  </w:num>
  <w:num w:numId="228">
    <w:abstractNumId w:val="1"/>
  </w:num>
  <w:num w:numId="229">
    <w:abstractNumId w:val="2"/>
  </w:num>
  <w:num w:numId="230">
    <w:abstractNumId w:val="3"/>
  </w:num>
  <w:num w:numId="231">
    <w:abstractNumId w:val="4"/>
  </w:num>
  <w:num w:numId="232">
    <w:abstractNumId w:val="5"/>
  </w:num>
  <w:num w:numId="233">
    <w:abstractNumId w:val="6"/>
  </w:num>
  <w:num w:numId="234">
    <w:abstractNumId w:val="7"/>
  </w:num>
  <w:num w:numId="235">
    <w:abstractNumId w:val="0"/>
  </w:num>
  <w:num w:numId="236">
    <w:abstractNumId w:val="1"/>
  </w:num>
  <w:num w:numId="237">
    <w:abstractNumId w:val="2"/>
  </w:num>
  <w:num w:numId="238">
    <w:abstractNumId w:val="3"/>
  </w:num>
  <w:num w:numId="239">
    <w:abstractNumId w:val="4"/>
  </w:num>
  <w:num w:numId="240">
    <w:abstractNumId w:val="5"/>
  </w:num>
  <w:num w:numId="241">
    <w:abstractNumId w:val="6"/>
  </w:num>
  <w:num w:numId="242">
    <w:abstractNumId w:val="7"/>
  </w:num>
  <w:num w:numId="243">
    <w:abstractNumId w:val="0"/>
  </w:num>
  <w:num w:numId="244">
    <w:abstractNumId w:val="1"/>
  </w:num>
  <w:num w:numId="245">
    <w:abstractNumId w:val="2"/>
  </w:num>
  <w:num w:numId="246">
    <w:abstractNumId w:val="3"/>
  </w:num>
  <w:num w:numId="247">
    <w:abstractNumId w:val="4"/>
  </w:num>
  <w:num w:numId="248">
    <w:abstractNumId w:val="5"/>
  </w:num>
  <w:num w:numId="249">
    <w:abstractNumId w:val="6"/>
  </w:num>
  <w:num w:numId="250">
    <w:abstractNumId w:val="7"/>
  </w:num>
  <w:num w:numId="251">
    <w:abstractNumId w:val="0"/>
  </w:num>
  <w:num w:numId="252">
    <w:abstractNumId w:val="1"/>
  </w:num>
  <w:num w:numId="253">
    <w:abstractNumId w:val="2"/>
  </w:num>
  <w:num w:numId="254">
    <w:abstractNumId w:val="3"/>
  </w:num>
  <w:num w:numId="255">
    <w:abstractNumId w:val="4"/>
  </w:num>
  <w:num w:numId="256">
    <w:abstractNumId w:val="5"/>
  </w:num>
  <w:num w:numId="257">
    <w:abstractNumId w:val="6"/>
  </w:num>
  <w:num w:numId="258">
    <w:abstractNumId w:val="7"/>
  </w:num>
  <w:num w:numId="259">
    <w:abstractNumId w:val="0"/>
  </w:num>
  <w:num w:numId="260">
    <w:abstractNumId w:val="1"/>
  </w:num>
  <w:num w:numId="261">
    <w:abstractNumId w:val="2"/>
  </w:num>
  <w:num w:numId="262">
    <w:abstractNumId w:val="3"/>
  </w:num>
  <w:num w:numId="263">
    <w:abstractNumId w:val="4"/>
  </w:num>
  <w:num w:numId="264">
    <w:abstractNumId w:val="5"/>
  </w:num>
  <w:num w:numId="265">
    <w:abstractNumId w:val="6"/>
  </w:num>
  <w:num w:numId="266">
    <w:abstractNumId w:val="7"/>
  </w:num>
  <w:num w:numId="267">
    <w:abstractNumId w:val="0"/>
  </w:num>
  <w:num w:numId="268">
    <w:abstractNumId w:val="1"/>
  </w:num>
  <w:num w:numId="269">
    <w:abstractNumId w:val="2"/>
  </w:num>
  <w:num w:numId="270">
    <w:abstractNumId w:val="3"/>
  </w:num>
  <w:num w:numId="271">
    <w:abstractNumId w:val="4"/>
  </w:num>
  <w:num w:numId="272">
    <w:abstractNumId w:val="5"/>
  </w:num>
  <w:num w:numId="273">
    <w:abstractNumId w:val="6"/>
  </w:num>
  <w:num w:numId="274">
    <w:abstractNumId w:val="7"/>
  </w:num>
  <w:num w:numId="275">
    <w:abstractNumId w:val="0"/>
  </w:num>
  <w:num w:numId="276">
    <w:abstractNumId w:val="1"/>
  </w:num>
  <w:num w:numId="277">
    <w:abstractNumId w:val="2"/>
  </w:num>
  <w:num w:numId="278">
    <w:abstractNumId w:val="3"/>
  </w:num>
  <w:num w:numId="279">
    <w:abstractNumId w:val="4"/>
  </w:num>
  <w:num w:numId="280">
    <w:abstractNumId w:val="5"/>
  </w:num>
  <w:num w:numId="281">
    <w:abstractNumId w:val="6"/>
  </w:num>
  <w:num w:numId="282">
    <w:abstractNumId w:val="7"/>
  </w:num>
  <w:num w:numId="283">
    <w:abstractNumId w:val="0"/>
  </w:num>
  <w:num w:numId="284">
    <w:abstractNumId w:val="1"/>
  </w:num>
  <w:num w:numId="285">
    <w:abstractNumId w:val="2"/>
  </w:num>
  <w:num w:numId="286">
    <w:abstractNumId w:val="3"/>
  </w:num>
  <w:num w:numId="287">
    <w:abstractNumId w:val="4"/>
  </w:num>
  <w:num w:numId="288">
    <w:abstractNumId w:val="5"/>
  </w:num>
  <w:num w:numId="289">
    <w:abstractNumId w:val="6"/>
  </w:num>
  <w:num w:numId="290">
    <w:abstractNumId w:val="7"/>
  </w:num>
  <w:num w:numId="291">
    <w:abstractNumId w:val="0"/>
  </w:num>
  <w:num w:numId="292">
    <w:abstractNumId w:val="1"/>
  </w:num>
  <w:num w:numId="293">
    <w:abstractNumId w:val="2"/>
  </w:num>
  <w:num w:numId="294">
    <w:abstractNumId w:val="3"/>
  </w:num>
  <w:num w:numId="295">
    <w:abstractNumId w:val="4"/>
  </w:num>
  <w:num w:numId="296">
    <w:abstractNumId w:val="5"/>
  </w:num>
  <w:num w:numId="297">
    <w:abstractNumId w:val="6"/>
  </w:num>
  <w:num w:numId="298">
    <w:abstractNumId w:val="7"/>
  </w:num>
  <w:num w:numId="299">
    <w:abstractNumId w:val="0"/>
  </w:num>
  <w:num w:numId="300">
    <w:abstractNumId w:val="1"/>
  </w:num>
  <w:num w:numId="301">
    <w:abstractNumId w:val="2"/>
  </w:num>
  <w:num w:numId="302">
    <w:abstractNumId w:val="3"/>
  </w:num>
  <w:num w:numId="303">
    <w:abstractNumId w:val="4"/>
  </w:num>
  <w:num w:numId="304">
    <w:abstractNumId w:val="5"/>
  </w:num>
  <w:num w:numId="305">
    <w:abstractNumId w:val="6"/>
  </w:num>
  <w:num w:numId="306">
    <w:abstractNumId w:val="7"/>
  </w:num>
  <w:num w:numId="307">
    <w:abstractNumId w:val="0"/>
  </w:num>
  <w:num w:numId="308">
    <w:abstractNumId w:val="1"/>
  </w:num>
  <w:num w:numId="309">
    <w:abstractNumId w:val="2"/>
  </w:num>
  <w:num w:numId="310">
    <w:abstractNumId w:val="3"/>
  </w:num>
  <w:num w:numId="311">
    <w:abstractNumId w:val="4"/>
  </w:num>
  <w:num w:numId="312">
    <w:abstractNumId w:val="5"/>
  </w:num>
  <w:num w:numId="313">
    <w:abstractNumId w:val="6"/>
  </w:num>
  <w:num w:numId="314">
    <w:abstractNumId w:val="7"/>
  </w:num>
  <w:num w:numId="315">
    <w:abstractNumId w:val="0"/>
  </w:num>
  <w:num w:numId="316">
    <w:abstractNumId w:val="1"/>
  </w:num>
  <w:num w:numId="317">
    <w:abstractNumId w:val="2"/>
  </w:num>
  <w:num w:numId="318">
    <w:abstractNumId w:val="3"/>
  </w:num>
  <w:num w:numId="319">
    <w:abstractNumId w:val="4"/>
  </w:num>
  <w:num w:numId="320">
    <w:abstractNumId w:val="5"/>
  </w:num>
  <w:num w:numId="321">
    <w:abstractNumId w:val="6"/>
  </w:num>
  <w:num w:numId="322">
    <w:abstractNumId w:val="7"/>
  </w:num>
  <w:num w:numId="323">
    <w:abstractNumId w:val="0"/>
  </w:num>
  <w:num w:numId="324">
    <w:abstractNumId w:val="1"/>
  </w:num>
  <w:num w:numId="325">
    <w:abstractNumId w:val="2"/>
  </w:num>
  <w:num w:numId="326">
    <w:abstractNumId w:val="3"/>
  </w:num>
  <w:num w:numId="327">
    <w:abstractNumId w:val="4"/>
  </w:num>
  <w:num w:numId="328">
    <w:abstractNumId w:val="5"/>
  </w:num>
  <w:num w:numId="329">
    <w:abstractNumId w:val="6"/>
  </w:num>
  <w:num w:numId="330">
    <w:abstractNumId w:val="7"/>
  </w:num>
  <w:num w:numId="331">
    <w:abstractNumId w:val="0"/>
  </w:num>
  <w:num w:numId="332">
    <w:abstractNumId w:val="1"/>
  </w:num>
  <w:num w:numId="333">
    <w:abstractNumId w:val="2"/>
  </w:num>
  <w:num w:numId="334">
    <w:abstractNumId w:val="3"/>
  </w:num>
  <w:num w:numId="335">
    <w:abstractNumId w:val="4"/>
  </w:num>
  <w:num w:numId="336">
    <w:abstractNumId w:val="5"/>
  </w:num>
  <w:num w:numId="337">
    <w:abstractNumId w:val="6"/>
  </w:num>
  <w:num w:numId="338">
    <w:abstractNumId w:val="7"/>
  </w:num>
  <w:num w:numId="339">
    <w:abstractNumId w:val="0"/>
  </w:num>
  <w:num w:numId="340">
    <w:abstractNumId w:val="1"/>
  </w:num>
  <w:num w:numId="341">
    <w:abstractNumId w:val="2"/>
  </w:num>
  <w:num w:numId="342">
    <w:abstractNumId w:val="3"/>
  </w:num>
  <w:num w:numId="343">
    <w:abstractNumId w:val="4"/>
  </w:num>
  <w:num w:numId="344">
    <w:abstractNumId w:val="5"/>
  </w:num>
  <w:num w:numId="345">
    <w:abstractNumId w:val="6"/>
  </w:num>
  <w:num w:numId="346">
    <w:abstractNumId w:val="7"/>
  </w:num>
  <w:num w:numId="347">
    <w:abstractNumId w:val="0"/>
  </w:num>
  <w:num w:numId="348">
    <w:abstractNumId w:val="1"/>
  </w:num>
  <w:num w:numId="349">
    <w:abstractNumId w:val="2"/>
  </w:num>
  <w:num w:numId="350">
    <w:abstractNumId w:val="3"/>
  </w:num>
  <w:num w:numId="351">
    <w:abstractNumId w:val="4"/>
  </w:num>
  <w:num w:numId="352">
    <w:abstractNumId w:val="5"/>
  </w:num>
  <w:num w:numId="353">
    <w:abstractNumId w:val="6"/>
  </w:num>
  <w:num w:numId="354">
    <w:abstractNumId w:val="7"/>
  </w:num>
  <w:num w:numId="355">
    <w:abstractNumId w:val="0"/>
  </w:num>
  <w:num w:numId="356">
    <w:abstractNumId w:val="1"/>
  </w:num>
  <w:num w:numId="357">
    <w:abstractNumId w:val="2"/>
  </w:num>
  <w:num w:numId="358">
    <w:abstractNumId w:val="3"/>
  </w:num>
  <w:num w:numId="359">
    <w:abstractNumId w:val="4"/>
  </w:num>
  <w:num w:numId="360">
    <w:abstractNumId w:val="5"/>
  </w:num>
  <w:num w:numId="361">
    <w:abstractNumId w:val="6"/>
  </w:num>
  <w:num w:numId="362">
    <w:abstractNumId w:val="7"/>
  </w:num>
  <w:num w:numId="363">
    <w:abstractNumId w:val="0"/>
  </w:num>
  <w:num w:numId="364">
    <w:abstractNumId w:val="1"/>
  </w:num>
  <w:num w:numId="365">
    <w:abstractNumId w:val="2"/>
  </w:num>
  <w:num w:numId="366">
    <w:abstractNumId w:val="3"/>
  </w:num>
  <w:num w:numId="367">
    <w:abstractNumId w:val="4"/>
  </w:num>
  <w:num w:numId="368">
    <w:abstractNumId w:val="5"/>
  </w:num>
  <w:num w:numId="369">
    <w:abstractNumId w:val="6"/>
  </w:num>
  <w:num w:numId="370">
    <w:abstractNumId w:val="7"/>
  </w:num>
  <w:num w:numId="371">
    <w:abstractNumId w:val="0"/>
  </w:num>
  <w:num w:numId="372">
    <w:abstractNumId w:val="1"/>
  </w:num>
  <w:num w:numId="373">
    <w:abstractNumId w:val="2"/>
  </w:num>
  <w:num w:numId="374">
    <w:abstractNumId w:val="3"/>
  </w:num>
  <w:num w:numId="375">
    <w:abstractNumId w:val="4"/>
  </w:num>
  <w:num w:numId="376">
    <w:abstractNumId w:val="5"/>
  </w:num>
  <w:num w:numId="377">
    <w:abstractNumId w:val="6"/>
  </w:num>
  <w:num w:numId="378">
    <w:abstractNumId w:val="7"/>
  </w:num>
  <w:num w:numId="379">
    <w:abstractNumId w:val="0"/>
  </w:num>
  <w:num w:numId="380">
    <w:abstractNumId w:val="1"/>
  </w:num>
  <w:num w:numId="381">
    <w:abstractNumId w:val="2"/>
  </w:num>
  <w:num w:numId="382">
    <w:abstractNumId w:val="3"/>
  </w:num>
  <w:num w:numId="383">
    <w:abstractNumId w:val="4"/>
  </w:num>
  <w:num w:numId="384">
    <w:abstractNumId w:val="5"/>
  </w:num>
  <w:num w:numId="385">
    <w:abstractNumId w:val="6"/>
  </w:num>
  <w:num w:numId="386">
    <w:abstractNumId w:val="7"/>
  </w:num>
  <w:num w:numId="387">
    <w:abstractNumId w:val="0"/>
  </w:num>
  <w:num w:numId="388">
    <w:abstractNumId w:val="1"/>
  </w:num>
  <w:num w:numId="389">
    <w:abstractNumId w:val="2"/>
  </w:num>
  <w:num w:numId="390">
    <w:abstractNumId w:val="3"/>
  </w:num>
  <w:num w:numId="391">
    <w:abstractNumId w:val="4"/>
  </w:num>
  <w:num w:numId="392">
    <w:abstractNumId w:val="5"/>
  </w:num>
  <w:num w:numId="393">
    <w:abstractNumId w:val="6"/>
  </w:num>
  <w:num w:numId="394">
    <w:abstractNumId w:val="7"/>
  </w:num>
  <w:num w:numId="395">
    <w:abstractNumId w:val="0"/>
  </w:num>
  <w:num w:numId="396">
    <w:abstractNumId w:val="1"/>
  </w:num>
  <w:num w:numId="397">
    <w:abstractNumId w:val="2"/>
  </w:num>
  <w:num w:numId="398">
    <w:abstractNumId w:val="3"/>
  </w:num>
  <w:num w:numId="399">
    <w:abstractNumId w:val="4"/>
  </w:num>
  <w:num w:numId="400">
    <w:abstractNumId w:val="5"/>
  </w:num>
  <w:num w:numId="401">
    <w:abstractNumId w:val="6"/>
  </w:num>
  <w:num w:numId="402">
    <w:abstractNumId w:val="7"/>
  </w:num>
  <w:num w:numId="403">
    <w:abstractNumId w:val="0"/>
  </w:num>
  <w:num w:numId="404">
    <w:abstractNumId w:val="1"/>
  </w:num>
  <w:num w:numId="405">
    <w:abstractNumId w:val="2"/>
  </w:num>
  <w:num w:numId="406">
    <w:abstractNumId w:val="3"/>
  </w:num>
  <w:num w:numId="407">
    <w:abstractNumId w:val="4"/>
  </w:num>
  <w:num w:numId="408">
    <w:abstractNumId w:val="5"/>
  </w:num>
  <w:num w:numId="409">
    <w:abstractNumId w:val="6"/>
  </w:num>
  <w:num w:numId="410">
    <w:abstractNumId w:val="7"/>
  </w:num>
  <w:num w:numId="411">
    <w:abstractNumId w:val="0"/>
  </w:num>
  <w:num w:numId="412">
    <w:abstractNumId w:val="1"/>
  </w:num>
  <w:num w:numId="413">
    <w:abstractNumId w:val="2"/>
  </w:num>
  <w:num w:numId="414">
    <w:abstractNumId w:val="3"/>
  </w:num>
  <w:num w:numId="415">
    <w:abstractNumId w:val="4"/>
  </w:num>
  <w:num w:numId="416">
    <w:abstractNumId w:val="5"/>
  </w:num>
  <w:num w:numId="417">
    <w:abstractNumId w:val="6"/>
  </w:num>
  <w:num w:numId="418">
    <w:abstractNumId w:val="7"/>
  </w:num>
  <w:num w:numId="419">
    <w:abstractNumId w:val="0"/>
  </w:num>
  <w:num w:numId="420">
    <w:abstractNumId w:val="1"/>
  </w:num>
  <w:num w:numId="421">
    <w:abstractNumId w:val="2"/>
  </w:num>
  <w:num w:numId="422">
    <w:abstractNumId w:val="3"/>
  </w:num>
  <w:num w:numId="423">
    <w:abstractNumId w:val="4"/>
  </w:num>
  <w:num w:numId="424">
    <w:abstractNumId w:val="5"/>
  </w:num>
  <w:num w:numId="425">
    <w:abstractNumId w:val="6"/>
  </w:num>
  <w:num w:numId="426">
    <w:abstractNumId w:val="7"/>
  </w:num>
  <w:num w:numId="427">
    <w:abstractNumId w:val="0"/>
  </w:num>
  <w:num w:numId="428">
    <w:abstractNumId w:val="1"/>
  </w:num>
  <w:num w:numId="429">
    <w:abstractNumId w:val="2"/>
  </w:num>
  <w:num w:numId="430">
    <w:abstractNumId w:val="3"/>
  </w:num>
  <w:num w:numId="431">
    <w:abstractNumId w:val="4"/>
  </w:num>
  <w:num w:numId="432">
    <w:abstractNumId w:val="5"/>
  </w:num>
  <w:num w:numId="433">
    <w:abstractNumId w:val="6"/>
  </w:num>
  <w:num w:numId="434">
    <w:abstractNumId w:val="7"/>
  </w:num>
  <w:num w:numId="435">
    <w:abstractNumId w:val="0"/>
  </w:num>
  <w:num w:numId="436">
    <w:abstractNumId w:val="1"/>
  </w:num>
  <w:num w:numId="437">
    <w:abstractNumId w:val="2"/>
  </w:num>
  <w:num w:numId="438">
    <w:abstractNumId w:val="3"/>
  </w:num>
  <w:num w:numId="439">
    <w:abstractNumId w:val="4"/>
  </w:num>
  <w:num w:numId="440">
    <w:abstractNumId w:val="5"/>
  </w:num>
  <w:num w:numId="441">
    <w:abstractNumId w:val="6"/>
  </w:num>
  <w:num w:numId="442">
    <w:abstractNumId w:val="7"/>
  </w:num>
  <w:num w:numId="443">
    <w:abstractNumId w:val="0"/>
  </w:num>
  <w:num w:numId="444">
    <w:abstractNumId w:val="1"/>
  </w:num>
  <w:num w:numId="445">
    <w:abstractNumId w:val="2"/>
  </w:num>
  <w:num w:numId="446">
    <w:abstractNumId w:val="3"/>
  </w:num>
  <w:num w:numId="447">
    <w:abstractNumId w:val="4"/>
  </w:num>
  <w:num w:numId="448">
    <w:abstractNumId w:val="5"/>
  </w:num>
  <w:num w:numId="449">
    <w:abstractNumId w:val="6"/>
  </w:num>
  <w:num w:numId="450">
    <w:abstractNumId w:val="7"/>
  </w:num>
  <w:num w:numId="451">
    <w:abstractNumId w:val="0"/>
  </w:num>
  <w:num w:numId="452">
    <w:abstractNumId w:val="1"/>
  </w:num>
  <w:num w:numId="453">
    <w:abstractNumId w:val="2"/>
  </w:num>
  <w:num w:numId="454">
    <w:abstractNumId w:val="3"/>
  </w:num>
  <w:num w:numId="455">
    <w:abstractNumId w:val="4"/>
  </w:num>
  <w:num w:numId="456">
    <w:abstractNumId w:val="5"/>
  </w:num>
  <w:num w:numId="457">
    <w:abstractNumId w:val="6"/>
  </w:num>
  <w:num w:numId="458">
    <w:abstractNumId w:val="7"/>
  </w:num>
  <w:num w:numId="459">
    <w:abstractNumId w:val="0"/>
  </w:num>
  <w:num w:numId="460">
    <w:abstractNumId w:val="1"/>
  </w:num>
  <w:num w:numId="461">
    <w:abstractNumId w:val="2"/>
  </w:num>
  <w:num w:numId="462">
    <w:abstractNumId w:val="3"/>
  </w:num>
  <w:num w:numId="463">
    <w:abstractNumId w:val="4"/>
  </w:num>
  <w:num w:numId="464">
    <w:abstractNumId w:val="5"/>
  </w:num>
  <w:num w:numId="465">
    <w:abstractNumId w:val="6"/>
  </w:num>
  <w:num w:numId="466">
    <w:abstractNumId w:val="7"/>
  </w:num>
  <w:num w:numId="467">
    <w:abstractNumId w:val="0"/>
  </w:num>
  <w:num w:numId="468">
    <w:abstractNumId w:val="1"/>
  </w:num>
  <w:num w:numId="469">
    <w:abstractNumId w:val="2"/>
  </w:num>
  <w:num w:numId="470">
    <w:abstractNumId w:val="3"/>
  </w:num>
  <w:num w:numId="471">
    <w:abstractNumId w:val="4"/>
  </w:num>
  <w:num w:numId="472">
    <w:abstractNumId w:val="5"/>
  </w:num>
  <w:num w:numId="473">
    <w:abstractNumId w:val="6"/>
  </w:num>
  <w:num w:numId="474">
    <w:abstractNumId w:val="7"/>
  </w:num>
  <w:num w:numId="475">
    <w:abstractNumId w:val="0"/>
  </w:num>
  <w:num w:numId="476">
    <w:abstractNumId w:val="1"/>
  </w:num>
  <w:num w:numId="477">
    <w:abstractNumId w:val="2"/>
  </w:num>
  <w:num w:numId="478">
    <w:abstractNumId w:val="3"/>
  </w:num>
  <w:num w:numId="479">
    <w:abstractNumId w:val="4"/>
  </w:num>
  <w:num w:numId="480">
    <w:abstractNumId w:val="5"/>
  </w:num>
  <w:num w:numId="481">
    <w:abstractNumId w:val="6"/>
  </w:num>
  <w:num w:numId="482">
    <w:abstractNumId w:val="7"/>
  </w:num>
  <w:num w:numId="483">
    <w:abstractNumId w:val="0"/>
  </w:num>
  <w:num w:numId="484">
    <w:abstractNumId w:val="1"/>
  </w:num>
  <w:num w:numId="485">
    <w:abstractNumId w:val="2"/>
  </w:num>
  <w:num w:numId="486">
    <w:abstractNumId w:val="3"/>
  </w:num>
  <w:num w:numId="487">
    <w:abstractNumId w:val="4"/>
  </w:num>
  <w:num w:numId="488">
    <w:abstractNumId w:val="5"/>
  </w:num>
  <w:num w:numId="489">
    <w:abstractNumId w:val="6"/>
  </w:num>
  <w:num w:numId="490">
    <w:abstractNumId w:val="7"/>
  </w:num>
  <w:num w:numId="491">
    <w:abstractNumId w:val="0"/>
  </w:num>
  <w:num w:numId="492">
    <w:abstractNumId w:val="1"/>
  </w:num>
  <w:num w:numId="493">
    <w:abstractNumId w:val="2"/>
  </w:num>
  <w:num w:numId="494">
    <w:abstractNumId w:val="3"/>
  </w:num>
  <w:num w:numId="495">
    <w:abstractNumId w:val="4"/>
  </w:num>
  <w:num w:numId="496">
    <w:abstractNumId w:val="5"/>
  </w:num>
  <w:num w:numId="497">
    <w:abstractNumId w:val="6"/>
  </w:num>
  <w:num w:numId="498">
    <w:abstractNumId w:val="7"/>
  </w:num>
  <w:num w:numId="499">
    <w:abstractNumId w:val="0"/>
  </w:num>
  <w:num w:numId="500">
    <w:abstractNumId w:val="1"/>
  </w:num>
  <w:num w:numId="501">
    <w:abstractNumId w:val="2"/>
  </w:num>
  <w:num w:numId="502">
    <w:abstractNumId w:val="3"/>
  </w:num>
  <w:num w:numId="503">
    <w:abstractNumId w:val="4"/>
  </w:num>
  <w:num w:numId="504">
    <w:abstractNumId w:val="5"/>
  </w:num>
  <w:num w:numId="505">
    <w:abstractNumId w:val="6"/>
  </w:num>
  <w:num w:numId="506">
    <w:abstractNumId w:val="7"/>
  </w:num>
  <w:num w:numId="507">
    <w:abstractNumId w:val="0"/>
  </w:num>
  <w:num w:numId="508">
    <w:abstractNumId w:val="1"/>
  </w:num>
  <w:num w:numId="509">
    <w:abstractNumId w:val="2"/>
  </w:num>
  <w:num w:numId="510">
    <w:abstractNumId w:val="3"/>
  </w:num>
  <w:num w:numId="511">
    <w:abstractNumId w:val="4"/>
  </w:num>
  <w:num w:numId="512">
    <w:abstractNumId w:val="5"/>
  </w:num>
  <w:num w:numId="513">
    <w:abstractNumId w:val="6"/>
  </w:num>
  <w:num w:numId="514">
    <w:abstractNumId w:val="7"/>
  </w:num>
  <w:num w:numId="515">
    <w:abstractNumId w:val="0"/>
  </w:num>
  <w:num w:numId="516">
    <w:abstractNumId w:val="1"/>
  </w:num>
  <w:num w:numId="517">
    <w:abstractNumId w:val="2"/>
  </w:num>
  <w:num w:numId="518">
    <w:abstractNumId w:val="3"/>
  </w:num>
  <w:num w:numId="519">
    <w:abstractNumId w:val="4"/>
  </w:num>
  <w:num w:numId="520">
    <w:abstractNumId w:val="5"/>
  </w:num>
  <w:num w:numId="521">
    <w:abstractNumId w:val="6"/>
  </w:num>
  <w:num w:numId="522">
    <w:abstractNumId w:val="7"/>
  </w:num>
  <w:num w:numId="523">
    <w:abstractNumId w:val="0"/>
  </w:num>
  <w:num w:numId="524">
    <w:abstractNumId w:val="1"/>
  </w:num>
  <w:num w:numId="525">
    <w:abstractNumId w:val="2"/>
  </w:num>
  <w:num w:numId="526">
    <w:abstractNumId w:val="3"/>
  </w:num>
  <w:num w:numId="527">
    <w:abstractNumId w:val="4"/>
  </w:num>
  <w:num w:numId="528">
    <w:abstractNumId w:val="5"/>
  </w:num>
  <w:num w:numId="529">
    <w:abstractNumId w:val="6"/>
  </w:num>
  <w:num w:numId="530">
    <w:abstractNumId w:val="7"/>
  </w:num>
  <w:num w:numId="531">
    <w:abstractNumId w:val="0"/>
  </w:num>
  <w:num w:numId="532">
    <w:abstractNumId w:val="1"/>
  </w:num>
  <w:num w:numId="533">
    <w:abstractNumId w:val="2"/>
  </w:num>
  <w:num w:numId="534">
    <w:abstractNumId w:val="3"/>
  </w:num>
  <w:num w:numId="535">
    <w:abstractNumId w:val="4"/>
  </w:num>
  <w:num w:numId="536">
    <w:abstractNumId w:val="5"/>
  </w:num>
  <w:num w:numId="537">
    <w:abstractNumId w:val="6"/>
  </w:num>
  <w:num w:numId="538">
    <w:abstractNumId w:val="7"/>
  </w:num>
  <w:num w:numId="539">
    <w:abstractNumId w:val="0"/>
  </w:num>
  <w:num w:numId="540">
    <w:abstractNumId w:val="1"/>
  </w:num>
  <w:num w:numId="541">
    <w:abstractNumId w:val="2"/>
  </w:num>
  <w:num w:numId="542">
    <w:abstractNumId w:val="3"/>
  </w:num>
  <w:num w:numId="543">
    <w:abstractNumId w:val="4"/>
  </w:num>
  <w:num w:numId="544">
    <w:abstractNumId w:val="5"/>
  </w:num>
  <w:num w:numId="545">
    <w:abstractNumId w:val="6"/>
  </w:num>
  <w:num w:numId="546">
    <w:abstractNumId w:val="7"/>
  </w:num>
  <w:num w:numId="547">
    <w:abstractNumId w:val="0"/>
  </w:num>
  <w:num w:numId="548">
    <w:abstractNumId w:val="1"/>
  </w:num>
  <w:num w:numId="549">
    <w:abstractNumId w:val="2"/>
  </w:num>
  <w:num w:numId="550">
    <w:abstractNumId w:val="3"/>
  </w:num>
  <w:num w:numId="551">
    <w:abstractNumId w:val="4"/>
  </w:num>
  <w:num w:numId="552">
    <w:abstractNumId w:val="5"/>
  </w:num>
  <w:num w:numId="553">
    <w:abstractNumId w:val="6"/>
  </w:num>
  <w:num w:numId="554">
    <w:abstractNumId w:val="7"/>
  </w:num>
  <w:num w:numId="555">
    <w:abstractNumId w:val="0"/>
  </w:num>
  <w:num w:numId="556">
    <w:abstractNumId w:val="1"/>
  </w:num>
  <w:num w:numId="557">
    <w:abstractNumId w:val="2"/>
  </w:num>
  <w:num w:numId="558">
    <w:abstractNumId w:val="3"/>
  </w:num>
  <w:num w:numId="559">
    <w:abstractNumId w:val="4"/>
  </w:num>
  <w:num w:numId="560">
    <w:abstractNumId w:val="5"/>
  </w:num>
  <w:num w:numId="561">
    <w:abstractNumId w:val="6"/>
  </w:num>
  <w:num w:numId="562">
    <w:abstractNumId w:val="7"/>
  </w:num>
  <w:num w:numId="563">
    <w:abstractNumId w:val="0"/>
  </w:num>
  <w:num w:numId="564">
    <w:abstractNumId w:val="1"/>
  </w:num>
  <w:num w:numId="565">
    <w:abstractNumId w:val="2"/>
  </w:num>
  <w:num w:numId="566">
    <w:abstractNumId w:val="3"/>
  </w:num>
  <w:num w:numId="567">
    <w:abstractNumId w:val="4"/>
  </w:num>
  <w:num w:numId="568">
    <w:abstractNumId w:val="5"/>
  </w:num>
  <w:num w:numId="569">
    <w:abstractNumId w:val="6"/>
  </w:num>
  <w:num w:numId="570">
    <w:abstractNumId w:val="7"/>
  </w:num>
  <w:num w:numId="571">
    <w:abstractNumId w:val="0"/>
  </w:num>
  <w:num w:numId="572">
    <w:abstractNumId w:val="1"/>
  </w:num>
  <w:num w:numId="573">
    <w:abstractNumId w:val="2"/>
  </w:num>
  <w:num w:numId="574">
    <w:abstractNumId w:val="3"/>
  </w:num>
  <w:num w:numId="575">
    <w:abstractNumId w:val="4"/>
  </w:num>
  <w:num w:numId="576">
    <w:abstractNumId w:val="5"/>
  </w:num>
  <w:num w:numId="577">
    <w:abstractNumId w:val="6"/>
  </w:num>
  <w:num w:numId="578">
    <w:abstractNumId w:val="7"/>
  </w:num>
  <w:num w:numId="579">
    <w:abstractNumId w:val="0"/>
  </w:num>
  <w:num w:numId="580">
    <w:abstractNumId w:val="1"/>
  </w:num>
  <w:num w:numId="581">
    <w:abstractNumId w:val="2"/>
  </w:num>
  <w:num w:numId="582">
    <w:abstractNumId w:val="3"/>
  </w:num>
  <w:num w:numId="583">
    <w:abstractNumId w:val="4"/>
  </w:num>
  <w:num w:numId="584">
    <w:abstractNumId w:val="5"/>
  </w:num>
  <w:num w:numId="585">
    <w:abstractNumId w:val="6"/>
  </w:num>
  <w:num w:numId="586">
    <w:abstractNumId w:val="7"/>
  </w:num>
  <w:num w:numId="587">
    <w:abstractNumId w:val="0"/>
  </w:num>
  <w:num w:numId="588">
    <w:abstractNumId w:val="1"/>
  </w:num>
  <w:num w:numId="589">
    <w:abstractNumId w:val="2"/>
  </w:num>
  <w:num w:numId="590">
    <w:abstractNumId w:val="3"/>
  </w:num>
  <w:num w:numId="591">
    <w:abstractNumId w:val="4"/>
  </w:num>
  <w:num w:numId="592">
    <w:abstractNumId w:val="5"/>
  </w:num>
  <w:num w:numId="593">
    <w:abstractNumId w:val="6"/>
  </w:num>
  <w:num w:numId="594">
    <w:abstractNumId w:val="7"/>
  </w:num>
  <w:num w:numId="595">
    <w:abstractNumId w:val="0"/>
  </w:num>
  <w:num w:numId="596">
    <w:abstractNumId w:val="1"/>
  </w:num>
  <w:num w:numId="597">
    <w:abstractNumId w:val="2"/>
  </w:num>
  <w:num w:numId="598">
    <w:abstractNumId w:val="3"/>
  </w:num>
  <w:num w:numId="599">
    <w:abstractNumId w:val="4"/>
  </w:num>
  <w:num w:numId="600">
    <w:abstractNumId w:val="5"/>
  </w:num>
  <w:num w:numId="601">
    <w:abstractNumId w:val="6"/>
  </w:num>
  <w:num w:numId="602">
    <w:abstractNumId w:val="7"/>
  </w:num>
  <w:num w:numId="603">
    <w:abstractNumId w:val="0"/>
  </w:num>
  <w:num w:numId="604">
    <w:abstractNumId w:val="1"/>
  </w:num>
  <w:num w:numId="605">
    <w:abstractNumId w:val="2"/>
  </w:num>
  <w:num w:numId="606">
    <w:abstractNumId w:val="3"/>
  </w:num>
  <w:num w:numId="607">
    <w:abstractNumId w:val="4"/>
  </w:num>
  <w:num w:numId="608">
    <w:abstractNumId w:val="5"/>
  </w:num>
  <w:num w:numId="609">
    <w:abstractNumId w:val="6"/>
  </w:num>
  <w:num w:numId="610">
    <w:abstractNumId w:val="7"/>
  </w:num>
  <w:num w:numId="611">
    <w:abstractNumId w:val="0"/>
  </w:num>
  <w:num w:numId="612">
    <w:abstractNumId w:val="1"/>
  </w:num>
  <w:num w:numId="613">
    <w:abstractNumId w:val="2"/>
  </w:num>
  <w:num w:numId="614">
    <w:abstractNumId w:val="3"/>
  </w:num>
  <w:num w:numId="615">
    <w:abstractNumId w:val="4"/>
  </w:num>
  <w:num w:numId="616">
    <w:abstractNumId w:val="5"/>
  </w:num>
  <w:num w:numId="617">
    <w:abstractNumId w:val="6"/>
  </w:num>
  <w:num w:numId="618">
    <w:abstractNumId w:val="7"/>
  </w:num>
  <w:num w:numId="619">
    <w:abstractNumId w:val="0"/>
  </w:num>
  <w:num w:numId="620">
    <w:abstractNumId w:val="1"/>
  </w:num>
  <w:num w:numId="621">
    <w:abstractNumId w:val="2"/>
  </w:num>
  <w:num w:numId="622">
    <w:abstractNumId w:val="3"/>
  </w:num>
  <w:num w:numId="623">
    <w:abstractNumId w:val="4"/>
  </w:num>
  <w:num w:numId="624">
    <w:abstractNumId w:val="5"/>
  </w:num>
  <w:num w:numId="625">
    <w:abstractNumId w:val="6"/>
  </w:num>
  <w:num w:numId="626">
    <w:abstractNumId w:val="7"/>
  </w:num>
  <w:num w:numId="627">
    <w:abstractNumId w:val="0"/>
  </w:num>
  <w:num w:numId="628">
    <w:abstractNumId w:val="1"/>
  </w:num>
  <w:num w:numId="629">
    <w:abstractNumId w:val="2"/>
  </w:num>
  <w:num w:numId="630">
    <w:abstractNumId w:val="3"/>
  </w:num>
  <w:num w:numId="631">
    <w:abstractNumId w:val="4"/>
  </w:num>
  <w:num w:numId="632">
    <w:abstractNumId w:val="5"/>
  </w:num>
  <w:num w:numId="633">
    <w:abstractNumId w:val="6"/>
  </w:num>
  <w:num w:numId="634">
    <w:abstractNumId w:val="7"/>
  </w:num>
  <w:num w:numId="635">
    <w:abstractNumId w:val="0"/>
  </w:num>
  <w:num w:numId="636">
    <w:abstractNumId w:val="1"/>
  </w:num>
  <w:num w:numId="637">
    <w:abstractNumId w:val="2"/>
  </w:num>
  <w:num w:numId="638">
    <w:abstractNumId w:val="3"/>
  </w:num>
  <w:num w:numId="639">
    <w:abstractNumId w:val="4"/>
  </w:num>
  <w:num w:numId="640">
    <w:abstractNumId w:val="5"/>
  </w:num>
  <w:num w:numId="641">
    <w:abstractNumId w:val="6"/>
  </w:num>
  <w:num w:numId="642">
    <w:abstractNumId w:val="7"/>
  </w:num>
  <w:num w:numId="643">
    <w:abstractNumId w:val="0"/>
  </w:num>
  <w:num w:numId="644">
    <w:abstractNumId w:val="1"/>
  </w:num>
  <w:num w:numId="645">
    <w:abstractNumId w:val="2"/>
  </w:num>
  <w:num w:numId="646">
    <w:abstractNumId w:val="3"/>
  </w:num>
  <w:num w:numId="647">
    <w:abstractNumId w:val="4"/>
  </w:num>
  <w:num w:numId="648">
    <w:abstractNumId w:val="5"/>
  </w:num>
  <w:num w:numId="649">
    <w:abstractNumId w:val="6"/>
  </w:num>
  <w:num w:numId="650">
    <w:abstractNumId w:val="7"/>
  </w:num>
  <w:num w:numId="651">
    <w:abstractNumId w:val="0"/>
  </w:num>
  <w:num w:numId="652">
    <w:abstractNumId w:val="1"/>
  </w:num>
  <w:num w:numId="653">
    <w:abstractNumId w:val="2"/>
  </w:num>
  <w:num w:numId="654">
    <w:abstractNumId w:val="3"/>
  </w:num>
  <w:num w:numId="655">
    <w:abstractNumId w:val="4"/>
  </w:num>
  <w:num w:numId="656">
    <w:abstractNumId w:val="5"/>
  </w:num>
  <w:num w:numId="657">
    <w:abstractNumId w:val="6"/>
  </w:num>
  <w:num w:numId="658">
    <w:abstractNumId w:val="7"/>
  </w:num>
  <w:num w:numId="659">
    <w:abstractNumId w:val="0"/>
  </w:num>
  <w:num w:numId="660">
    <w:abstractNumId w:val="1"/>
  </w:num>
  <w:num w:numId="661">
    <w:abstractNumId w:val="2"/>
  </w:num>
  <w:num w:numId="662">
    <w:abstractNumId w:val="3"/>
  </w:num>
  <w:num w:numId="663">
    <w:abstractNumId w:val="4"/>
  </w:num>
  <w:num w:numId="664">
    <w:abstractNumId w:val="5"/>
  </w:num>
  <w:num w:numId="665">
    <w:abstractNumId w:val="6"/>
  </w:num>
  <w:num w:numId="666">
    <w:abstractNumId w:val="7"/>
  </w:num>
  <w:num w:numId="667">
    <w:abstractNumId w:val="0"/>
  </w:num>
  <w:num w:numId="668">
    <w:abstractNumId w:val="1"/>
  </w:num>
  <w:num w:numId="669">
    <w:abstractNumId w:val="2"/>
  </w:num>
  <w:num w:numId="670">
    <w:abstractNumId w:val="3"/>
  </w:num>
  <w:num w:numId="671">
    <w:abstractNumId w:val="4"/>
  </w:num>
  <w:num w:numId="672">
    <w:abstractNumId w:val="5"/>
  </w:num>
  <w:num w:numId="673">
    <w:abstractNumId w:val="6"/>
  </w:num>
  <w:num w:numId="674">
    <w:abstractNumId w:val="7"/>
  </w:num>
  <w:num w:numId="675">
    <w:abstractNumId w:val="0"/>
  </w:num>
  <w:num w:numId="676">
    <w:abstractNumId w:val="1"/>
  </w:num>
  <w:num w:numId="677">
    <w:abstractNumId w:val="2"/>
  </w:num>
  <w:num w:numId="678">
    <w:abstractNumId w:val="3"/>
  </w:num>
  <w:num w:numId="679">
    <w:abstractNumId w:val="4"/>
  </w:num>
  <w:num w:numId="680">
    <w:abstractNumId w:val="5"/>
  </w:num>
  <w:num w:numId="681">
    <w:abstractNumId w:val="6"/>
  </w:num>
  <w:num w:numId="682">
    <w:abstractNumId w:val="7"/>
  </w:num>
  <w:num w:numId="683">
    <w:abstractNumId w:val="0"/>
  </w:num>
  <w:num w:numId="684">
    <w:abstractNumId w:val="1"/>
  </w:num>
  <w:num w:numId="685">
    <w:abstractNumId w:val="2"/>
  </w:num>
  <w:num w:numId="686">
    <w:abstractNumId w:val="3"/>
  </w:num>
  <w:num w:numId="687">
    <w:abstractNumId w:val="4"/>
  </w:num>
  <w:num w:numId="688">
    <w:abstractNumId w:val="5"/>
  </w:num>
  <w:num w:numId="689">
    <w:abstractNumId w:val="6"/>
  </w:num>
  <w:num w:numId="690">
    <w:abstractNumId w:val="7"/>
  </w:num>
  <w:num w:numId="691">
    <w:abstractNumId w:val="0"/>
  </w:num>
  <w:num w:numId="692">
    <w:abstractNumId w:val="1"/>
  </w:num>
  <w:num w:numId="693">
    <w:abstractNumId w:val="2"/>
  </w:num>
  <w:num w:numId="694">
    <w:abstractNumId w:val="3"/>
  </w:num>
  <w:num w:numId="695">
    <w:abstractNumId w:val="4"/>
  </w:num>
  <w:num w:numId="696">
    <w:abstractNumId w:val="5"/>
  </w:num>
  <w:num w:numId="697">
    <w:abstractNumId w:val="6"/>
  </w:num>
  <w:num w:numId="698">
    <w:abstractNumId w:val="7"/>
  </w:num>
  <w:num w:numId="699">
    <w:abstractNumId w:val="0"/>
  </w:num>
  <w:num w:numId="700">
    <w:abstractNumId w:val="1"/>
  </w:num>
  <w:num w:numId="701">
    <w:abstractNumId w:val="2"/>
  </w:num>
  <w:num w:numId="702">
    <w:abstractNumId w:val="3"/>
  </w:num>
  <w:num w:numId="703">
    <w:abstractNumId w:val="4"/>
  </w:num>
  <w:num w:numId="704">
    <w:abstractNumId w:val="5"/>
  </w:num>
  <w:num w:numId="705">
    <w:abstractNumId w:val="6"/>
  </w:num>
  <w:num w:numId="706">
    <w:abstractNumId w:val="7"/>
  </w:num>
  <w:num w:numId="707">
    <w:abstractNumId w:val="0"/>
  </w:num>
  <w:num w:numId="708">
    <w:abstractNumId w:val="1"/>
  </w:num>
  <w:num w:numId="709">
    <w:abstractNumId w:val="2"/>
  </w:num>
  <w:num w:numId="710">
    <w:abstractNumId w:val="3"/>
  </w:num>
  <w:num w:numId="711">
    <w:abstractNumId w:val="4"/>
  </w:num>
  <w:num w:numId="712">
    <w:abstractNumId w:val="5"/>
  </w:num>
  <w:num w:numId="713">
    <w:abstractNumId w:val="6"/>
  </w:num>
  <w:num w:numId="714">
    <w:abstractNumId w:val="7"/>
  </w:num>
  <w:num w:numId="715">
    <w:abstractNumId w:val="0"/>
  </w:num>
  <w:num w:numId="716">
    <w:abstractNumId w:val="1"/>
  </w:num>
  <w:num w:numId="717">
    <w:abstractNumId w:val="2"/>
  </w:num>
  <w:num w:numId="718">
    <w:abstractNumId w:val="3"/>
  </w:num>
  <w:num w:numId="719">
    <w:abstractNumId w:val="4"/>
  </w:num>
  <w:num w:numId="720">
    <w:abstractNumId w:val="5"/>
  </w:num>
  <w:num w:numId="721">
    <w:abstractNumId w:val="6"/>
  </w:num>
  <w:num w:numId="722">
    <w:abstractNumId w:val="7"/>
  </w:num>
  <w:num w:numId="723">
    <w:abstractNumId w:val="0"/>
  </w:num>
  <w:num w:numId="724">
    <w:abstractNumId w:val="1"/>
  </w:num>
  <w:num w:numId="725">
    <w:abstractNumId w:val="2"/>
  </w:num>
  <w:num w:numId="726">
    <w:abstractNumId w:val="3"/>
  </w:num>
  <w:num w:numId="727">
    <w:abstractNumId w:val="4"/>
  </w:num>
  <w:num w:numId="728">
    <w:abstractNumId w:val="5"/>
  </w:num>
  <w:num w:numId="729">
    <w:abstractNumId w:val="6"/>
  </w:num>
  <w:num w:numId="730">
    <w:abstractNumId w:val="7"/>
  </w:num>
  <w:num w:numId="731">
    <w:abstractNumId w:val="0"/>
  </w:num>
  <w:num w:numId="732">
    <w:abstractNumId w:val="1"/>
  </w:num>
  <w:num w:numId="733">
    <w:abstractNumId w:val="2"/>
  </w:num>
  <w:num w:numId="734">
    <w:abstractNumId w:val="3"/>
  </w:num>
  <w:num w:numId="735">
    <w:abstractNumId w:val="4"/>
  </w:num>
  <w:num w:numId="736">
    <w:abstractNumId w:val="5"/>
  </w:num>
  <w:num w:numId="737">
    <w:abstractNumId w:val="6"/>
  </w:num>
  <w:num w:numId="738">
    <w:abstractNumId w:val="7"/>
  </w:num>
  <w:num w:numId="739">
    <w:abstractNumId w:val="0"/>
  </w:num>
  <w:num w:numId="740">
    <w:abstractNumId w:val="1"/>
  </w:num>
  <w:num w:numId="741">
    <w:abstractNumId w:val="2"/>
  </w:num>
  <w:num w:numId="742">
    <w:abstractNumId w:val="3"/>
  </w:num>
  <w:num w:numId="743">
    <w:abstractNumId w:val="4"/>
  </w:num>
  <w:num w:numId="744">
    <w:abstractNumId w:val="5"/>
  </w:num>
  <w:num w:numId="745">
    <w:abstractNumId w:val="6"/>
  </w:num>
  <w:num w:numId="746">
    <w:abstractNumId w:val="7"/>
  </w:num>
  <w:num w:numId="747">
    <w:abstractNumId w:val="0"/>
  </w:num>
  <w:num w:numId="748">
    <w:abstractNumId w:val="1"/>
  </w:num>
  <w:num w:numId="749">
    <w:abstractNumId w:val="2"/>
  </w:num>
  <w:num w:numId="750">
    <w:abstractNumId w:val="3"/>
  </w:num>
  <w:num w:numId="751">
    <w:abstractNumId w:val="4"/>
  </w:num>
  <w:num w:numId="752">
    <w:abstractNumId w:val="5"/>
  </w:num>
  <w:num w:numId="753">
    <w:abstractNumId w:val="6"/>
  </w:num>
  <w:num w:numId="754">
    <w:abstractNumId w:val="7"/>
  </w:num>
  <w:num w:numId="755">
    <w:abstractNumId w:val="0"/>
  </w:num>
  <w:num w:numId="756">
    <w:abstractNumId w:val="1"/>
  </w:num>
  <w:num w:numId="757">
    <w:abstractNumId w:val="2"/>
  </w:num>
  <w:num w:numId="758">
    <w:abstractNumId w:val="3"/>
  </w:num>
  <w:num w:numId="759">
    <w:abstractNumId w:val="4"/>
  </w:num>
  <w:num w:numId="760">
    <w:abstractNumId w:val="5"/>
  </w:num>
  <w:num w:numId="761">
    <w:abstractNumId w:val="6"/>
  </w:num>
  <w:num w:numId="762">
    <w:abstractNumId w:val="7"/>
  </w:num>
  <w:num w:numId="763">
    <w:abstractNumId w:val="0"/>
  </w:num>
  <w:num w:numId="764">
    <w:abstractNumId w:val="1"/>
  </w:num>
  <w:num w:numId="765">
    <w:abstractNumId w:val="2"/>
  </w:num>
  <w:num w:numId="766">
    <w:abstractNumId w:val="3"/>
  </w:num>
  <w:num w:numId="767">
    <w:abstractNumId w:val="4"/>
  </w:num>
  <w:num w:numId="768">
    <w:abstractNumId w:val="5"/>
  </w:num>
  <w:num w:numId="769">
    <w:abstractNumId w:val="6"/>
  </w:num>
  <w:num w:numId="770">
    <w:abstractNumId w:val="7"/>
  </w:num>
  <w:num w:numId="771">
    <w:abstractNumId w:val="0"/>
  </w:num>
  <w:num w:numId="772">
    <w:abstractNumId w:val="1"/>
  </w:num>
  <w:num w:numId="773">
    <w:abstractNumId w:val="2"/>
  </w:num>
  <w:num w:numId="774">
    <w:abstractNumId w:val="3"/>
  </w:num>
  <w:num w:numId="775">
    <w:abstractNumId w:val="4"/>
  </w:num>
  <w:num w:numId="776">
    <w:abstractNumId w:val="5"/>
  </w:num>
  <w:num w:numId="777">
    <w:abstractNumId w:val="6"/>
  </w:num>
  <w:num w:numId="778">
    <w:abstractNumId w:val="7"/>
  </w:num>
  <w:num w:numId="779">
    <w:abstractNumId w:val="0"/>
  </w:num>
  <w:num w:numId="780">
    <w:abstractNumId w:val="1"/>
  </w:num>
  <w:num w:numId="781">
    <w:abstractNumId w:val="2"/>
  </w:num>
  <w:num w:numId="782">
    <w:abstractNumId w:val="3"/>
  </w:num>
  <w:num w:numId="783">
    <w:abstractNumId w:val="4"/>
  </w:num>
  <w:num w:numId="784">
    <w:abstractNumId w:val="5"/>
  </w:num>
  <w:num w:numId="785">
    <w:abstractNumId w:val="6"/>
  </w:num>
  <w:num w:numId="786">
    <w:abstractNumId w:val="7"/>
  </w:num>
  <w:num w:numId="787">
    <w:abstractNumId w:val="0"/>
  </w:num>
  <w:num w:numId="788">
    <w:abstractNumId w:val="1"/>
  </w:num>
  <w:num w:numId="789">
    <w:abstractNumId w:val="2"/>
  </w:num>
  <w:num w:numId="790">
    <w:abstractNumId w:val="3"/>
  </w:num>
  <w:num w:numId="791">
    <w:abstractNumId w:val="4"/>
  </w:num>
  <w:num w:numId="792">
    <w:abstractNumId w:val="5"/>
  </w:num>
  <w:num w:numId="793">
    <w:abstractNumId w:val="6"/>
  </w:num>
  <w:num w:numId="794">
    <w:abstractNumId w:val="7"/>
  </w:num>
  <w:num w:numId="795">
    <w:abstractNumId w:val="0"/>
  </w:num>
  <w:num w:numId="796">
    <w:abstractNumId w:val="1"/>
  </w:num>
  <w:num w:numId="797">
    <w:abstractNumId w:val="2"/>
  </w:num>
  <w:num w:numId="798">
    <w:abstractNumId w:val="3"/>
  </w:num>
  <w:num w:numId="799">
    <w:abstractNumId w:val="4"/>
  </w:num>
  <w:num w:numId="800">
    <w:abstractNumId w:val="5"/>
  </w:num>
  <w:num w:numId="801">
    <w:abstractNumId w:val="6"/>
  </w:num>
  <w:num w:numId="802">
    <w:abstractNumId w:val="7"/>
  </w:num>
  <w:num w:numId="803">
    <w:abstractNumId w:val="0"/>
  </w:num>
  <w:num w:numId="804">
    <w:abstractNumId w:val="1"/>
  </w:num>
  <w:num w:numId="805">
    <w:abstractNumId w:val="2"/>
  </w:num>
  <w:num w:numId="806">
    <w:abstractNumId w:val="3"/>
  </w:num>
  <w:num w:numId="807">
    <w:abstractNumId w:val="4"/>
  </w:num>
  <w:num w:numId="808">
    <w:abstractNumId w:val="5"/>
  </w:num>
  <w:num w:numId="809">
    <w:abstractNumId w:val="6"/>
  </w:num>
  <w:num w:numId="810">
    <w:abstractNumId w:val="7"/>
  </w:num>
  <w:num w:numId="811">
    <w:abstractNumId w:val="0"/>
  </w:num>
  <w:num w:numId="812">
    <w:abstractNumId w:val="1"/>
  </w:num>
  <w:num w:numId="813">
    <w:abstractNumId w:val="2"/>
  </w:num>
  <w:num w:numId="814">
    <w:abstractNumId w:val="3"/>
  </w:num>
  <w:num w:numId="815">
    <w:abstractNumId w:val="4"/>
  </w:num>
  <w:num w:numId="816">
    <w:abstractNumId w:val="5"/>
  </w:num>
  <w:num w:numId="817">
    <w:abstractNumId w:val="6"/>
  </w:num>
  <w:num w:numId="818">
    <w:abstractNumId w:val="7"/>
  </w:num>
  <w:num w:numId="819">
    <w:abstractNumId w:val="0"/>
  </w:num>
  <w:num w:numId="820">
    <w:abstractNumId w:val="1"/>
  </w:num>
  <w:num w:numId="821">
    <w:abstractNumId w:val="2"/>
  </w:num>
  <w:num w:numId="822">
    <w:abstractNumId w:val="3"/>
  </w:num>
  <w:num w:numId="823">
    <w:abstractNumId w:val="4"/>
  </w:num>
  <w:num w:numId="824">
    <w:abstractNumId w:val="5"/>
  </w:num>
  <w:num w:numId="825">
    <w:abstractNumId w:val="6"/>
  </w:num>
  <w:num w:numId="826">
    <w:abstractNumId w:val="7"/>
  </w:num>
  <w:num w:numId="827">
    <w:abstractNumId w:val="0"/>
  </w:num>
  <w:num w:numId="828">
    <w:abstractNumId w:val="1"/>
  </w:num>
  <w:num w:numId="829">
    <w:abstractNumId w:val="2"/>
  </w:num>
  <w:num w:numId="830">
    <w:abstractNumId w:val="3"/>
  </w:num>
  <w:num w:numId="831">
    <w:abstractNumId w:val="4"/>
  </w:num>
  <w:num w:numId="832">
    <w:abstractNumId w:val="5"/>
  </w:num>
  <w:num w:numId="833">
    <w:abstractNumId w:val="6"/>
  </w:num>
  <w:num w:numId="834">
    <w:abstractNumId w:val="7"/>
  </w:num>
  <w:num w:numId="835">
    <w:abstractNumId w:val="0"/>
  </w:num>
  <w:num w:numId="836">
    <w:abstractNumId w:val="1"/>
  </w:num>
  <w:num w:numId="837">
    <w:abstractNumId w:val="2"/>
  </w:num>
  <w:num w:numId="838">
    <w:abstractNumId w:val="3"/>
  </w:num>
  <w:num w:numId="839">
    <w:abstractNumId w:val="4"/>
  </w:num>
  <w:num w:numId="840">
    <w:abstractNumId w:val="5"/>
  </w:num>
  <w:num w:numId="841">
    <w:abstractNumId w:val="6"/>
  </w:num>
  <w:num w:numId="842">
    <w:abstractNumId w:val="7"/>
  </w:num>
  <w:num w:numId="843">
    <w:abstractNumId w:val="0"/>
  </w:num>
  <w:num w:numId="844">
    <w:abstractNumId w:val="1"/>
  </w:num>
  <w:num w:numId="845">
    <w:abstractNumId w:val="2"/>
  </w:num>
  <w:num w:numId="846">
    <w:abstractNumId w:val="3"/>
  </w:num>
  <w:num w:numId="847">
    <w:abstractNumId w:val="4"/>
  </w:num>
  <w:num w:numId="848">
    <w:abstractNumId w:val="5"/>
  </w:num>
  <w:num w:numId="849">
    <w:abstractNumId w:val="6"/>
  </w:num>
  <w:num w:numId="850">
    <w:abstractNumId w:val="7"/>
  </w:num>
  <w:num w:numId="851">
    <w:abstractNumId w:val="0"/>
  </w:num>
  <w:num w:numId="852">
    <w:abstractNumId w:val="1"/>
  </w:num>
  <w:num w:numId="853">
    <w:abstractNumId w:val="2"/>
  </w:num>
  <w:num w:numId="854">
    <w:abstractNumId w:val="3"/>
  </w:num>
  <w:num w:numId="855">
    <w:abstractNumId w:val="4"/>
  </w:num>
  <w:num w:numId="856">
    <w:abstractNumId w:val="5"/>
  </w:num>
  <w:num w:numId="857">
    <w:abstractNumId w:val="6"/>
  </w:num>
  <w:num w:numId="858">
    <w:abstractNumId w:val="7"/>
  </w:num>
  <w:num w:numId="859">
    <w:abstractNumId w:val="0"/>
  </w:num>
  <w:num w:numId="860">
    <w:abstractNumId w:val="1"/>
  </w:num>
  <w:num w:numId="861">
    <w:abstractNumId w:val="2"/>
  </w:num>
  <w:num w:numId="862">
    <w:abstractNumId w:val="3"/>
  </w:num>
  <w:num w:numId="863">
    <w:abstractNumId w:val="4"/>
  </w:num>
  <w:num w:numId="864">
    <w:abstractNumId w:val="5"/>
  </w:num>
  <w:num w:numId="865">
    <w:abstractNumId w:val="6"/>
  </w:num>
  <w:num w:numId="866">
    <w:abstractNumId w:val="7"/>
  </w:num>
  <w:num w:numId="867">
    <w:abstractNumId w:val="0"/>
  </w:num>
  <w:num w:numId="868">
    <w:abstractNumId w:val="1"/>
  </w:num>
  <w:num w:numId="869">
    <w:abstractNumId w:val="2"/>
  </w:num>
  <w:num w:numId="870">
    <w:abstractNumId w:val="3"/>
  </w:num>
  <w:num w:numId="871">
    <w:abstractNumId w:val="4"/>
  </w:num>
  <w:num w:numId="872">
    <w:abstractNumId w:val="5"/>
  </w:num>
  <w:num w:numId="873">
    <w:abstractNumId w:val="6"/>
  </w:num>
  <w:num w:numId="874">
    <w:abstractNumId w:val="7"/>
  </w:num>
  <w:num w:numId="875">
    <w:abstractNumId w:val="0"/>
  </w:num>
  <w:num w:numId="876">
    <w:abstractNumId w:val="1"/>
  </w:num>
  <w:num w:numId="877">
    <w:abstractNumId w:val="2"/>
  </w:num>
  <w:num w:numId="878">
    <w:abstractNumId w:val="3"/>
  </w:num>
  <w:num w:numId="879">
    <w:abstractNumId w:val="4"/>
  </w:num>
  <w:num w:numId="880">
    <w:abstractNumId w:val="5"/>
  </w:num>
  <w:num w:numId="881">
    <w:abstractNumId w:val="6"/>
  </w:num>
  <w:num w:numId="882">
    <w:abstractNumId w:val="7"/>
  </w:num>
  <w:num w:numId="883">
    <w:abstractNumId w:val="0"/>
  </w:num>
  <w:num w:numId="884">
    <w:abstractNumId w:val="1"/>
  </w:num>
  <w:num w:numId="885">
    <w:abstractNumId w:val="2"/>
  </w:num>
  <w:num w:numId="886">
    <w:abstractNumId w:val="3"/>
  </w:num>
  <w:num w:numId="887">
    <w:abstractNumId w:val="4"/>
  </w:num>
  <w:num w:numId="888">
    <w:abstractNumId w:val="5"/>
  </w:num>
  <w:num w:numId="889">
    <w:abstractNumId w:val="6"/>
  </w:num>
  <w:num w:numId="890">
    <w:abstractNumId w:val="7"/>
  </w:num>
  <w:num w:numId="891">
    <w:abstractNumId w:val="0"/>
  </w:num>
  <w:num w:numId="892">
    <w:abstractNumId w:val="1"/>
  </w:num>
  <w:num w:numId="893">
    <w:abstractNumId w:val="2"/>
  </w:num>
  <w:num w:numId="894">
    <w:abstractNumId w:val="3"/>
  </w:num>
  <w:num w:numId="895">
    <w:abstractNumId w:val="4"/>
  </w:num>
  <w:num w:numId="896">
    <w:abstractNumId w:val="5"/>
  </w:num>
  <w:num w:numId="897">
    <w:abstractNumId w:val="6"/>
  </w:num>
  <w:num w:numId="898">
    <w:abstractNumId w:val="7"/>
  </w:num>
  <w:num w:numId="899">
    <w:abstractNumId w:val="0"/>
  </w:num>
  <w:num w:numId="900">
    <w:abstractNumId w:val="1"/>
  </w:num>
  <w:num w:numId="901">
    <w:abstractNumId w:val="2"/>
  </w:num>
  <w:num w:numId="902">
    <w:abstractNumId w:val="3"/>
  </w:num>
  <w:num w:numId="903">
    <w:abstractNumId w:val="4"/>
  </w:num>
  <w:num w:numId="904">
    <w:abstractNumId w:val="5"/>
  </w:num>
  <w:num w:numId="905">
    <w:abstractNumId w:val="6"/>
  </w:num>
  <w:num w:numId="906">
    <w:abstractNumId w:val="7"/>
  </w:num>
  <w:num w:numId="907">
    <w:abstractNumId w:val="0"/>
  </w:num>
  <w:num w:numId="908">
    <w:abstractNumId w:val="1"/>
  </w:num>
  <w:num w:numId="909">
    <w:abstractNumId w:val="2"/>
  </w:num>
  <w:num w:numId="910">
    <w:abstractNumId w:val="3"/>
  </w:num>
  <w:num w:numId="911">
    <w:abstractNumId w:val="4"/>
  </w:num>
  <w:num w:numId="912">
    <w:abstractNumId w:val="5"/>
  </w:num>
  <w:num w:numId="913">
    <w:abstractNumId w:val="6"/>
  </w:num>
  <w:num w:numId="914">
    <w:abstractNumId w:val="7"/>
  </w:num>
  <w:num w:numId="915">
    <w:abstractNumId w:val="0"/>
  </w:num>
  <w:num w:numId="916">
    <w:abstractNumId w:val="1"/>
  </w:num>
  <w:num w:numId="917">
    <w:abstractNumId w:val="2"/>
  </w:num>
  <w:num w:numId="918">
    <w:abstractNumId w:val="3"/>
  </w:num>
  <w:num w:numId="919">
    <w:abstractNumId w:val="4"/>
  </w:num>
  <w:num w:numId="920">
    <w:abstractNumId w:val="5"/>
  </w:num>
  <w:num w:numId="921">
    <w:abstractNumId w:val="6"/>
  </w:num>
  <w:num w:numId="922">
    <w:abstractNumId w:val="7"/>
  </w:num>
  <w:num w:numId="923">
    <w:abstractNumId w:val="0"/>
  </w:num>
  <w:num w:numId="924">
    <w:abstractNumId w:val="1"/>
  </w:num>
  <w:num w:numId="925">
    <w:abstractNumId w:val="2"/>
  </w:num>
  <w:num w:numId="926">
    <w:abstractNumId w:val="3"/>
  </w:num>
  <w:num w:numId="927">
    <w:abstractNumId w:val="4"/>
  </w:num>
  <w:num w:numId="928">
    <w:abstractNumId w:val="5"/>
  </w:num>
  <w:num w:numId="929">
    <w:abstractNumId w:val="6"/>
  </w:num>
  <w:num w:numId="930">
    <w:abstractNumId w:val="7"/>
  </w:num>
  <w:num w:numId="931">
    <w:abstractNumId w:val="0"/>
  </w:num>
  <w:num w:numId="932">
    <w:abstractNumId w:val="1"/>
  </w:num>
  <w:num w:numId="933">
    <w:abstractNumId w:val="2"/>
  </w:num>
  <w:num w:numId="934">
    <w:abstractNumId w:val="3"/>
  </w:num>
  <w:num w:numId="935">
    <w:abstractNumId w:val="4"/>
  </w:num>
  <w:num w:numId="936">
    <w:abstractNumId w:val="5"/>
  </w:num>
  <w:num w:numId="937">
    <w:abstractNumId w:val="6"/>
  </w:num>
  <w:num w:numId="938">
    <w:abstractNumId w:val="7"/>
  </w:num>
  <w:num w:numId="939">
    <w:abstractNumId w:val="0"/>
  </w:num>
  <w:num w:numId="940">
    <w:abstractNumId w:val="1"/>
  </w:num>
  <w:num w:numId="941">
    <w:abstractNumId w:val="2"/>
  </w:num>
  <w:num w:numId="942">
    <w:abstractNumId w:val="3"/>
  </w:num>
  <w:num w:numId="943">
    <w:abstractNumId w:val="4"/>
  </w:num>
  <w:num w:numId="944">
    <w:abstractNumId w:val="5"/>
  </w:num>
  <w:num w:numId="945">
    <w:abstractNumId w:val="6"/>
  </w:num>
  <w:num w:numId="946">
    <w:abstractNumId w:val="7"/>
  </w:num>
  <w:num w:numId="947">
    <w:abstractNumId w:val="0"/>
  </w:num>
  <w:num w:numId="948">
    <w:abstractNumId w:val="1"/>
  </w:num>
  <w:num w:numId="949">
    <w:abstractNumId w:val="2"/>
  </w:num>
  <w:num w:numId="950">
    <w:abstractNumId w:val="3"/>
  </w:num>
  <w:num w:numId="951">
    <w:abstractNumId w:val="4"/>
  </w:num>
  <w:num w:numId="952">
    <w:abstractNumId w:val="5"/>
  </w:num>
  <w:num w:numId="953">
    <w:abstractNumId w:val="6"/>
  </w:num>
  <w:num w:numId="954">
    <w:abstractNumId w:val="7"/>
  </w:num>
  <w:num w:numId="955">
    <w:abstractNumId w:val="0"/>
  </w:num>
  <w:num w:numId="956">
    <w:abstractNumId w:val="1"/>
  </w:num>
  <w:num w:numId="957">
    <w:abstractNumId w:val="2"/>
  </w:num>
  <w:num w:numId="958">
    <w:abstractNumId w:val="3"/>
  </w:num>
  <w:num w:numId="959">
    <w:abstractNumId w:val="4"/>
  </w:num>
  <w:num w:numId="960">
    <w:abstractNumId w:val="5"/>
  </w:num>
  <w:num w:numId="961">
    <w:abstractNumId w:val="6"/>
  </w:num>
  <w:num w:numId="962">
    <w:abstractNumId w:val="7"/>
  </w:num>
  <w:num w:numId="963">
    <w:abstractNumId w:val="0"/>
  </w:num>
  <w:num w:numId="964">
    <w:abstractNumId w:val="1"/>
  </w:num>
  <w:num w:numId="965">
    <w:abstractNumId w:val="2"/>
  </w:num>
  <w:num w:numId="966">
    <w:abstractNumId w:val="3"/>
  </w:num>
  <w:num w:numId="967">
    <w:abstractNumId w:val="4"/>
  </w:num>
  <w:num w:numId="968">
    <w:abstractNumId w:val="5"/>
  </w:num>
  <w:num w:numId="969">
    <w:abstractNumId w:val="6"/>
  </w:num>
  <w:num w:numId="970">
    <w:abstractNumId w:val="7"/>
  </w:num>
  <w:num w:numId="971">
    <w:abstractNumId w:val="0"/>
  </w:num>
  <w:num w:numId="972">
    <w:abstractNumId w:val="1"/>
  </w:num>
  <w:num w:numId="973">
    <w:abstractNumId w:val="2"/>
  </w:num>
  <w:num w:numId="974">
    <w:abstractNumId w:val="3"/>
  </w:num>
  <w:num w:numId="975">
    <w:abstractNumId w:val="4"/>
  </w:num>
  <w:num w:numId="976">
    <w:abstractNumId w:val="5"/>
  </w:num>
  <w:num w:numId="977">
    <w:abstractNumId w:val="6"/>
  </w:num>
  <w:num w:numId="978">
    <w:abstractNumId w:val="7"/>
  </w:num>
  <w:num w:numId="979">
    <w:abstractNumId w:val="0"/>
  </w:num>
  <w:num w:numId="980">
    <w:abstractNumId w:val="1"/>
  </w:num>
  <w:num w:numId="981">
    <w:abstractNumId w:val="2"/>
  </w:num>
  <w:num w:numId="982">
    <w:abstractNumId w:val="3"/>
  </w:num>
  <w:num w:numId="983">
    <w:abstractNumId w:val="4"/>
  </w:num>
  <w:num w:numId="984">
    <w:abstractNumId w:val="5"/>
  </w:num>
  <w:num w:numId="985">
    <w:abstractNumId w:val="6"/>
  </w:num>
  <w:num w:numId="986">
    <w:abstractNumId w:val="7"/>
  </w:num>
  <w:num w:numId="987">
    <w:abstractNumId w:val="0"/>
  </w:num>
  <w:num w:numId="988">
    <w:abstractNumId w:val="1"/>
  </w:num>
  <w:num w:numId="989">
    <w:abstractNumId w:val="2"/>
  </w:num>
  <w:num w:numId="990">
    <w:abstractNumId w:val="3"/>
  </w:num>
  <w:num w:numId="991">
    <w:abstractNumId w:val="4"/>
  </w:num>
  <w:num w:numId="992">
    <w:abstractNumId w:val="5"/>
  </w:num>
  <w:num w:numId="993">
    <w:abstractNumId w:val="6"/>
  </w:num>
  <w:num w:numId="994">
    <w:abstractNumId w:val="7"/>
  </w:num>
  <w:num w:numId="995">
    <w:abstractNumId w:val="0"/>
  </w:num>
  <w:num w:numId="996">
    <w:abstractNumId w:val="1"/>
  </w:num>
  <w:num w:numId="997">
    <w:abstractNumId w:val="2"/>
  </w:num>
  <w:num w:numId="998">
    <w:abstractNumId w:val="3"/>
  </w:num>
  <w:num w:numId="999">
    <w:abstractNumId w:val="4"/>
  </w:num>
  <w:num w:numId="1000">
    <w:abstractNumId w:val="5"/>
  </w:num>
  <w:num w:numId="1001">
    <w:abstractNumId w:val="6"/>
  </w:num>
  <w:num w:numId="1002">
    <w:abstractNumId w:val="7"/>
  </w:num>
  <w:num w:numId="1003">
    <w:abstractNumId w:val="0"/>
  </w:num>
  <w:num w:numId="1004">
    <w:abstractNumId w:val="1"/>
  </w:num>
  <w:num w:numId="1005">
    <w:abstractNumId w:val="2"/>
  </w:num>
  <w:num w:numId="1006">
    <w:abstractNumId w:val="3"/>
  </w:num>
  <w:num w:numId="1007">
    <w:abstractNumId w:val="4"/>
  </w:num>
  <w:num w:numId="1008">
    <w:abstractNumId w:val="5"/>
  </w:num>
  <w:num w:numId="1009">
    <w:abstractNumId w:val="6"/>
  </w:num>
  <w:num w:numId="1010">
    <w:abstractNumId w:val="7"/>
  </w:num>
  <w:num w:numId="1011">
    <w:abstractNumId w:val="0"/>
  </w:num>
  <w:num w:numId="1012">
    <w:abstractNumId w:val="1"/>
  </w:num>
  <w:num w:numId="1013">
    <w:abstractNumId w:val="2"/>
  </w:num>
  <w:num w:numId="1014">
    <w:abstractNumId w:val="3"/>
  </w:num>
  <w:num w:numId="1015">
    <w:abstractNumId w:val="4"/>
  </w:num>
  <w:num w:numId="1016">
    <w:abstractNumId w:val="5"/>
  </w:num>
  <w:num w:numId="1017">
    <w:abstractNumId w:val="6"/>
  </w:num>
  <w:num w:numId="1018">
    <w:abstractNumId w:val="7"/>
  </w:num>
  <w:num w:numId="1019">
    <w:abstractNumId w:val="0"/>
  </w:num>
  <w:num w:numId="1020">
    <w:abstractNumId w:val="1"/>
  </w:num>
  <w:num w:numId="1021">
    <w:abstractNumId w:val="2"/>
  </w:num>
  <w:num w:numId="1022">
    <w:abstractNumId w:val="3"/>
  </w:num>
  <w:num w:numId="1023">
    <w:abstractNumId w:val="4"/>
  </w:num>
  <w:num w:numId="1024">
    <w:abstractNumId w:val="5"/>
  </w:num>
  <w:num w:numId="1025">
    <w:abstractNumId w:val="6"/>
  </w:num>
  <w:num w:numId="1026">
    <w:abstractNumId w:val="7"/>
  </w:num>
  <w:num w:numId="1027">
    <w:abstractNumId w:val="0"/>
  </w:num>
  <w:num w:numId="1028">
    <w:abstractNumId w:val="1"/>
  </w:num>
  <w:num w:numId="1029">
    <w:abstractNumId w:val="2"/>
  </w:num>
  <w:num w:numId="1030">
    <w:abstractNumId w:val="3"/>
  </w:num>
  <w:num w:numId="1031">
    <w:abstractNumId w:val="4"/>
  </w:num>
  <w:num w:numId="1032">
    <w:abstractNumId w:val="5"/>
  </w:num>
  <w:num w:numId="1033">
    <w:abstractNumId w:val="6"/>
  </w:num>
  <w:num w:numId="1034">
    <w:abstractNumId w:val="7"/>
  </w:num>
  <w:num w:numId="1035">
    <w:abstractNumId w:val="0"/>
  </w:num>
  <w:num w:numId="1036">
    <w:abstractNumId w:val="1"/>
  </w:num>
  <w:num w:numId="1037">
    <w:abstractNumId w:val="2"/>
  </w:num>
  <w:num w:numId="1038">
    <w:abstractNumId w:val="3"/>
  </w:num>
  <w:num w:numId="1039">
    <w:abstractNumId w:val="4"/>
  </w:num>
  <w:num w:numId="1040">
    <w:abstractNumId w:val="5"/>
  </w:num>
  <w:num w:numId="1041">
    <w:abstractNumId w:val="6"/>
  </w:num>
  <w:num w:numId="1042">
    <w:abstractNumId w:val="7"/>
  </w:num>
  <w:num w:numId="1043">
    <w:abstractNumId w:val="0"/>
  </w:num>
  <w:num w:numId="1044">
    <w:abstractNumId w:val="1"/>
  </w:num>
  <w:num w:numId="1045">
    <w:abstractNumId w:val="2"/>
  </w:num>
  <w:num w:numId="1046">
    <w:abstractNumId w:val="3"/>
  </w:num>
  <w:num w:numId="1047">
    <w:abstractNumId w:val="4"/>
  </w:num>
  <w:num w:numId="1048">
    <w:abstractNumId w:val="5"/>
  </w:num>
  <w:num w:numId="1049">
    <w:abstractNumId w:val="6"/>
  </w:num>
  <w:num w:numId="1050">
    <w:abstractNumId w:val="7"/>
  </w:num>
  <w:num w:numId="1051">
    <w:abstractNumId w:val="0"/>
  </w:num>
  <w:num w:numId="1052">
    <w:abstractNumId w:val="1"/>
  </w:num>
  <w:num w:numId="1053">
    <w:abstractNumId w:val="2"/>
  </w:num>
  <w:num w:numId="1054">
    <w:abstractNumId w:val="3"/>
  </w:num>
  <w:num w:numId="1055">
    <w:abstractNumId w:val="4"/>
  </w:num>
  <w:num w:numId="1056">
    <w:abstractNumId w:val="5"/>
  </w:num>
  <w:num w:numId="1057">
    <w:abstractNumId w:val="6"/>
  </w:num>
  <w:num w:numId="1058">
    <w:abstractNumId w:val="7"/>
  </w:num>
  <w:num w:numId="1059">
    <w:abstractNumId w:val="0"/>
  </w:num>
  <w:num w:numId="1060">
    <w:abstractNumId w:val="1"/>
  </w:num>
  <w:num w:numId="106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5"/>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6C57"/>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075"/>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1E89"/>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51B"/>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60"/>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309"/>
    <w:rsid w:val="0019758B"/>
    <w:rsid w:val="00197B6F"/>
    <w:rsid w:val="00197B8A"/>
    <w:rsid w:val="00197CC1"/>
    <w:rsid w:val="001A0135"/>
    <w:rsid w:val="001A0CA6"/>
    <w:rsid w:val="001A14B7"/>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29"/>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7F0"/>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139"/>
    <w:rsid w:val="00245470"/>
    <w:rsid w:val="0024574E"/>
    <w:rsid w:val="00246CD7"/>
    <w:rsid w:val="00246CED"/>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208"/>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C4"/>
    <w:rsid w:val="002F11D2"/>
    <w:rsid w:val="002F1452"/>
    <w:rsid w:val="002F1610"/>
    <w:rsid w:val="002F2019"/>
    <w:rsid w:val="002F24F0"/>
    <w:rsid w:val="002F29CA"/>
    <w:rsid w:val="002F2C5D"/>
    <w:rsid w:val="002F3162"/>
    <w:rsid w:val="002F3B2B"/>
    <w:rsid w:val="002F3C8A"/>
    <w:rsid w:val="002F42B0"/>
    <w:rsid w:val="002F430E"/>
    <w:rsid w:val="002F44B2"/>
    <w:rsid w:val="002F4570"/>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32D"/>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1AA"/>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1E"/>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262"/>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3C8"/>
    <w:rsid w:val="00686490"/>
    <w:rsid w:val="00686E12"/>
    <w:rsid w:val="0069093D"/>
    <w:rsid w:val="00690E56"/>
    <w:rsid w:val="006914CB"/>
    <w:rsid w:val="00691B4D"/>
    <w:rsid w:val="00692151"/>
    <w:rsid w:val="0069225F"/>
    <w:rsid w:val="006923B1"/>
    <w:rsid w:val="0069249C"/>
    <w:rsid w:val="00692613"/>
    <w:rsid w:val="00692D8D"/>
    <w:rsid w:val="0069335D"/>
    <w:rsid w:val="00693ADA"/>
    <w:rsid w:val="00694A48"/>
    <w:rsid w:val="00694C3C"/>
    <w:rsid w:val="00696ADE"/>
    <w:rsid w:val="0069765A"/>
    <w:rsid w:val="00697E8B"/>
    <w:rsid w:val="006A040F"/>
    <w:rsid w:val="006A0863"/>
    <w:rsid w:val="006A1039"/>
    <w:rsid w:val="006A1B17"/>
    <w:rsid w:val="006A21AF"/>
    <w:rsid w:val="006A23AF"/>
    <w:rsid w:val="006A2D1D"/>
    <w:rsid w:val="006A3BB0"/>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0B0A"/>
    <w:rsid w:val="006F10E1"/>
    <w:rsid w:val="006F11DD"/>
    <w:rsid w:val="006F161B"/>
    <w:rsid w:val="006F19AA"/>
    <w:rsid w:val="006F19AB"/>
    <w:rsid w:val="006F23F9"/>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539"/>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0D0C"/>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0F81"/>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0DC"/>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2EA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1BCC"/>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995"/>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56"/>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07E"/>
    <w:rsid w:val="00AB4DCD"/>
    <w:rsid w:val="00AB4F87"/>
    <w:rsid w:val="00AB5377"/>
    <w:rsid w:val="00AB5B77"/>
    <w:rsid w:val="00AB763D"/>
    <w:rsid w:val="00AB7891"/>
    <w:rsid w:val="00AB7B94"/>
    <w:rsid w:val="00AB7D08"/>
    <w:rsid w:val="00AB7F83"/>
    <w:rsid w:val="00AC0B81"/>
    <w:rsid w:val="00AC1C2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0D2E"/>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4B02"/>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37F"/>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7A3"/>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1F5B"/>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0F49"/>
    <w:rsid w:val="00D2140F"/>
    <w:rsid w:val="00D218EF"/>
    <w:rsid w:val="00D22433"/>
    <w:rsid w:val="00D224EF"/>
    <w:rsid w:val="00D22748"/>
    <w:rsid w:val="00D22E55"/>
    <w:rsid w:val="00D232AE"/>
    <w:rsid w:val="00D233E0"/>
    <w:rsid w:val="00D2347F"/>
    <w:rsid w:val="00D23626"/>
    <w:rsid w:val="00D242C0"/>
    <w:rsid w:val="00D242E5"/>
    <w:rsid w:val="00D24F4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0549"/>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493"/>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43D"/>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1DF"/>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255"/>
    <w:rsid w:val="00EF63E5"/>
    <w:rsid w:val="00EF6DC4"/>
    <w:rsid w:val="00EF70BA"/>
    <w:rsid w:val="00EF7FE0"/>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99"/>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6"/>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uiPriority w:val="99"/>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aliases w:val="רשימת תרשימים"/>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99"/>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semiHidden/>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Char תו1,Sharp - Footnote Text1 Char תו"/>
    <w:uiPriority w:val="99"/>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8">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9">
    <w:name w:val="הפניה להערה1"/>
    <w:uiPriority w:val="99"/>
    <w:semiHidden/>
    <w:unhideWhenUsed/>
    <w:rsid w:val="002516DF"/>
    <w:rPr>
      <w:sz w:val="16"/>
      <w:szCs w:val="16"/>
    </w:rPr>
  </w:style>
  <w:style w:type="paragraph" w:customStyle="1" w:styleId="120">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0"/>
    <w:uiPriority w:val="99"/>
    <w:rsid w:val="002516DF"/>
    <w:rPr>
      <w:rFonts w:eastAsia="Calibri"/>
      <w:szCs w:val="20"/>
    </w:rPr>
  </w:style>
  <w:style w:type="paragraph" w:customStyle="1" w:styleId="122">
    <w:name w:val="נושא הערה1"/>
    <w:basedOn w:val="120"/>
    <w:next w:val="120"/>
    <w:link w:val="a14"/>
    <w:uiPriority w:val="99"/>
    <w:semiHidden/>
    <w:unhideWhenUsed/>
    <w:rsid w:val="002516DF"/>
    <w:rPr>
      <w:b/>
      <w:bCs/>
    </w:rPr>
  </w:style>
  <w:style w:type="character" w:customStyle="1" w:styleId="a14">
    <w:name w:val="נושא הערה תו"/>
    <w:link w:val="122"/>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3">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uiPriority w:val="99"/>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כותרת טקסט1"/>
    <w:basedOn w:val="DefaultParagraphFont"/>
    <w:rsid w:val="00D81F77"/>
  </w:style>
  <w:style w:type="paragraph" w:customStyle="1" w:styleId="a23">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4">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5">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4"/>
    <w:rsid w:val="00454096"/>
    <w:rPr>
      <w:rFonts w:ascii="Tahoma" w:hAnsi="Tahoma" w:eastAsiaTheme="minorEastAsia" w:cs="Tahoma"/>
      <w:b/>
      <w:bCs/>
      <w:color w:val="00305F"/>
      <w:sz w:val="34"/>
      <w:szCs w:val="32"/>
    </w:rPr>
  </w:style>
  <w:style w:type="paragraph" w:customStyle="1" w:styleId="216">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5"/>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6"/>
    <w:rsid w:val="00454096"/>
    <w:rPr>
      <w:rFonts w:ascii="Tahoma" w:hAnsi="Tahoma" w:eastAsiaTheme="minorEastAsia" w:cs="Tahoma"/>
      <w:b w:val="0"/>
      <w:bCs/>
      <w:color w:val="00305F"/>
      <w:sz w:val="32"/>
      <w:szCs w:val="32"/>
    </w:rPr>
  </w:style>
  <w:style w:type="paragraph" w:customStyle="1" w:styleId="217">
    <w:name w:val="פעולות הביקורת21"/>
    <w:basedOn w:val="Normal"/>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6"/>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2"/>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DefaultParagraphFont"/>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7"/>
    <w:link w:val="7333"/>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6"/>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5">
    <w:name w:val="סגנון1"/>
    <w:basedOn w:val="Caption"/>
    <w:qFormat/>
    <w:rsid w:val="0030451F"/>
    <w:pPr>
      <w:jc w:val="center"/>
    </w:pPr>
    <w:rPr>
      <w:b/>
      <w:bCs/>
      <w:iCs w:val="0"/>
      <w:color w:val="000000" w:themeColor="text1"/>
      <w:sz w:val="24"/>
      <w:szCs w:val="24"/>
    </w:rPr>
  </w:style>
  <w:style w:type="paragraph" w:customStyle="1" w:styleId="29">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3">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4"/>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uiPriority w:val="99"/>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6">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6">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42">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 w:type="table" w:styleId="ListTable4Accent1">
    <w:name w:val="List Table 4 Accent 1"/>
    <w:basedOn w:val="TableNormal"/>
    <w:uiPriority w:val="49"/>
    <w:rsid w:val="00D20F49"/>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7">
    <w:name w:val="אזכור לא מזוהה1"/>
    <w:basedOn w:val="DefaultParagraphFont"/>
    <w:uiPriority w:val="99"/>
    <w:semiHidden/>
    <w:unhideWhenUsed/>
    <w:rsid w:val="00D20F49"/>
    <w:rPr>
      <w:color w:val="605E5C"/>
      <w:shd w:val="clear" w:color="auto" w:fill="E1DFDD"/>
    </w:rPr>
  </w:style>
  <w:style w:type="character" w:customStyle="1" w:styleId="219">
    <w:name w:val="אזכור לא מזוהה2"/>
    <w:basedOn w:val="DefaultParagraphFont"/>
    <w:uiPriority w:val="99"/>
    <w:semiHidden/>
    <w:unhideWhenUsed/>
    <w:rsid w:val="00D20F49"/>
    <w:rPr>
      <w:color w:val="605E5C"/>
      <w:shd w:val="clear" w:color="auto" w:fill="E1DFDD"/>
    </w:rPr>
  </w:style>
  <w:style w:type="character" w:customStyle="1" w:styleId="35">
    <w:name w:val="אזכור לא מזוהה3"/>
    <w:basedOn w:val="DefaultParagraphFont"/>
    <w:uiPriority w:val="99"/>
    <w:semiHidden/>
    <w:unhideWhenUsed/>
    <w:rsid w:val="00D20F49"/>
    <w:rPr>
      <w:color w:val="605E5C"/>
      <w:shd w:val="clear" w:color="auto" w:fill="E1DFDD"/>
    </w:rPr>
  </w:style>
  <w:style w:type="character" w:customStyle="1" w:styleId="42">
    <w:name w:val="אזכור לא מזוהה4"/>
    <w:basedOn w:val="DefaultParagraphFont"/>
    <w:uiPriority w:val="99"/>
    <w:semiHidden/>
    <w:unhideWhenUsed/>
    <w:rsid w:val="00D20F49"/>
    <w:rPr>
      <w:color w:val="605E5C"/>
      <w:shd w:val="clear" w:color="auto" w:fill="E1DFDD"/>
    </w:rPr>
  </w:style>
  <w:style w:type="character" w:customStyle="1" w:styleId="52">
    <w:name w:val="אזכור לא מזוהה5"/>
    <w:basedOn w:val="DefaultParagraphFont"/>
    <w:uiPriority w:val="99"/>
    <w:semiHidden/>
    <w:unhideWhenUsed/>
    <w:rsid w:val="00D20F49"/>
    <w:rPr>
      <w:color w:val="605E5C"/>
      <w:shd w:val="clear" w:color="auto" w:fill="E1DFDD"/>
    </w:rPr>
  </w:style>
  <w:style w:type="character" w:customStyle="1" w:styleId="62">
    <w:name w:val="אזכור לא מזוהה6"/>
    <w:basedOn w:val="DefaultParagraphFont"/>
    <w:uiPriority w:val="99"/>
    <w:semiHidden/>
    <w:unhideWhenUsed/>
    <w:rsid w:val="00D20F49"/>
    <w:rPr>
      <w:color w:val="605E5C"/>
      <w:shd w:val="clear" w:color="auto" w:fill="E1DFDD"/>
    </w:rPr>
  </w:style>
  <w:style w:type="character" w:customStyle="1" w:styleId="72">
    <w:name w:val="אזכור לא מזוהה7"/>
    <w:basedOn w:val="DefaultParagraphFont"/>
    <w:uiPriority w:val="99"/>
    <w:semiHidden/>
    <w:unhideWhenUsed/>
    <w:rsid w:val="00D20F49"/>
    <w:rPr>
      <w:color w:val="605E5C"/>
      <w:shd w:val="clear" w:color="auto" w:fill="E1DFDD"/>
    </w:rPr>
  </w:style>
  <w:style w:type="character" w:customStyle="1" w:styleId="80">
    <w:name w:val="אזכור לא מזוהה8"/>
    <w:basedOn w:val="DefaultParagraphFont"/>
    <w:uiPriority w:val="99"/>
    <w:semiHidden/>
    <w:unhideWhenUsed/>
    <w:rsid w:val="00D20F49"/>
    <w:rPr>
      <w:color w:val="605E5C"/>
      <w:shd w:val="clear" w:color="auto" w:fill="E1DFDD"/>
    </w:rPr>
  </w:style>
  <w:style w:type="paragraph" w:customStyle="1" w:styleId="p330">
    <w:name w:val="p33"/>
    <w:basedOn w:val="Normal"/>
    <w:uiPriority w:val="99"/>
    <w:rsid w:val="00D20F49"/>
    <w:pPr>
      <w:bidi w:val="0"/>
      <w:spacing w:before="100" w:beforeAutospacing="1" w:after="100" w:afterAutospacing="1" w:line="240" w:lineRule="auto"/>
      <w:jc w:val="left"/>
    </w:pPr>
    <w:rPr>
      <w:rFonts w:eastAsia="Times New Roman" w:cs="Times New Roman"/>
      <w:sz w:val="24"/>
    </w:rPr>
  </w:style>
  <w:style w:type="character" w:customStyle="1" w:styleId="719Char">
    <w:name w:val="71ג טקסט רץ 9 Char"/>
    <w:basedOn w:val="DefaultParagraphFont"/>
    <w:link w:val="719"/>
    <w:locked/>
    <w:rsid w:val="00D20F49"/>
    <w:rPr>
      <w:rFonts w:ascii="Tahoma" w:hAnsi="Tahoma" w:cs="Tahoma"/>
      <w:color w:val="0D0D0D"/>
      <w:sz w:val="18"/>
      <w:szCs w:val="18"/>
    </w:rPr>
  </w:style>
  <w:style w:type="paragraph" w:customStyle="1" w:styleId="719">
    <w:name w:val="71ג טקסט רץ 9"/>
    <w:basedOn w:val="Normal"/>
    <w:link w:val="719Char"/>
    <w:qFormat/>
    <w:rsid w:val="00D20F49"/>
    <w:pPr>
      <w:spacing w:after="180" w:line="260" w:lineRule="exact"/>
      <w:outlineLvl w:val="3"/>
    </w:pPr>
    <w:rPr>
      <w:rFonts w:ascii="Tahoma" w:hAnsi="Tahoma" w:cs="Tahoma"/>
      <w:color w:val="0D0D0D"/>
      <w:sz w:val="18"/>
      <w:szCs w:val="18"/>
    </w:rPr>
  </w:style>
  <w:style w:type="character" w:customStyle="1" w:styleId="93">
    <w:name w:val="אזכור לא מזוהה9"/>
    <w:basedOn w:val="DefaultParagraphFont"/>
    <w:uiPriority w:val="99"/>
    <w:semiHidden/>
    <w:unhideWhenUsed/>
    <w:rsid w:val="00D20F49"/>
    <w:rPr>
      <w:color w:val="605E5C"/>
      <w:shd w:val="clear" w:color="auto" w:fill="E1DFDD"/>
    </w:rPr>
  </w:style>
  <w:style w:type="character" w:customStyle="1" w:styleId="101">
    <w:name w:val="אזכור לא מזוהה10"/>
    <w:basedOn w:val="DefaultParagraphFont"/>
    <w:uiPriority w:val="99"/>
    <w:semiHidden/>
    <w:unhideWhenUsed/>
    <w:rsid w:val="00D20F49"/>
    <w:rPr>
      <w:color w:val="605E5C"/>
      <w:shd w:val="clear" w:color="auto" w:fill="E1DFDD"/>
    </w:rPr>
  </w:style>
  <w:style w:type="character" w:customStyle="1" w:styleId="1111">
    <w:name w:val="אזכור לא מזוהה11"/>
    <w:basedOn w:val="DefaultParagraphFont"/>
    <w:uiPriority w:val="99"/>
    <w:semiHidden/>
    <w:unhideWhenUsed/>
    <w:rsid w:val="00D20F49"/>
    <w:rPr>
      <w:color w:val="605E5C"/>
      <w:shd w:val="clear" w:color="auto" w:fill="E1DFDD"/>
    </w:rPr>
  </w:style>
  <w:style w:type="character" w:customStyle="1" w:styleId="128">
    <w:name w:val="אזכור לא מזוהה12"/>
    <w:basedOn w:val="DefaultParagraphFont"/>
    <w:uiPriority w:val="99"/>
    <w:semiHidden/>
    <w:unhideWhenUsed/>
    <w:rsid w:val="00D20F49"/>
    <w:rPr>
      <w:color w:val="605E5C"/>
      <w:shd w:val="clear" w:color="auto" w:fill="E1DFDD"/>
    </w:rPr>
  </w:style>
  <w:style w:type="numbering" w:customStyle="1" w:styleId="129">
    <w:name w:val="ללא רשימה1"/>
    <w:next w:val="NoList"/>
    <w:uiPriority w:val="99"/>
    <w:semiHidden/>
    <w:unhideWhenUsed/>
    <w:rsid w:val="00D20F49"/>
  </w:style>
  <w:style w:type="paragraph" w:customStyle="1" w:styleId="220">
    <w:name w:val="סעיף רמה 2"/>
    <w:basedOn w:val="Normal"/>
    <w:uiPriority w:val="99"/>
    <w:semiHidden/>
    <w:qFormat/>
    <w:rsid w:val="00D20F49"/>
    <w:pPr>
      <w:spacing w:line="360" w:lineRule="auto"/>
      <w:ind w:left="567" w:hanging="567"/>
    </w:pPr>
    <w:rPr>
      <w:rFonts w:ascii="Arial" w:eastAsia="Times New Roman" w:hAnsi="Arial" w:cs="Arial"/>
      <w:sz w:val="22"/>
      <w:szCs w:val="22"/>
    </w:rPr>
  </w:style>
  <w:style w:type="paragraph" w:customStyle="1" w:styleId="36">
    <w:name w:val="סעיף רמה 3"/>
    <w:basedOn w:val="Normal"/>
    <w:uiPriority w:val="99"/>
    <w:semiHidden/>
    <w:qFormat/>
    <w:rsid w:val="00D20F49"/>
    <w:pPr>
      <w:tabs>
        <w:tab w:val="left" w:pos="1371"/>
      </w:tabs>
      <w:spacing w:line="360" w:lineRule="auto"/>
      <w:ind w:left="1371" w:hanging="804"/>
    </w:pPr>
    <w:rPr>
      <w:rFonts w:ascii="Arial" w:eastAsia="Times New Roman" w:hAnsi="Arial" w:cs="Arial"/>
      <w:sz w:val="22"/>
      <w:szCs w:val="22"/>
    </w:rPr>
  </w:style>
  <w:style w:type="paragraph" w:customStyle="1" w:styleId="43">
    <w:name w:val="סעיף רמה 4"/>
    <w:basedOn w:val="36"/>
    <w:uiPriority w:val="99"/>
    <w:semiHidden/>
    <w:qFormat/>
    <w:rsid w:val="00D20F49"/>
    <w:pPr>
      <w:tabs>
        <w:tab w:val="clear" w:pos="1371"/>
        <w:tab w:val="left" w:pos="1513"/>
        <w:tab w:val="left" w:pos="2268"/>
      </w:tabs>
      <w:ind w:left="2268" w:hanging="897"/>
    </w:pPr>
  </w:style>
  <w:style w:type="character" w:customStyle="1" w:styleId="53">
    <w:name w:val="סעיף רמה 5 תו"/>
    <w:basedOn w:val="DefaultParagraphFont"/>
    <w:link w:val="54"/>
    <w:uiPriority w:val="99"/>
    <w:semiHidden/>
    <w:locked/>
    <w:rsid w:val="00D20F49"/>
    <w:rPr>
      <w:rFonts w:ascii="Arial" w:eastAsia="Times New Roman" w:hAnsi="Arial" w:cs="Arial"/>
      <w:sz w:val="22"/>
      <w:szCs w:val="22"/>
    </w:rPr>
  </w:style>
  <w:style w:type="paragraph" w:customStyle="1" w:styleId="54">
    <w:name w:val="סעיף רמה 5"/>
    <w:basedOn w:val="43"/>
    <w:link w:val="53"/>
    <w:uiPriority w:val="99"/>
    <w:semiHidden/>
    <w:qFormat/>
    <w:rsid w:val="00D20F49"/>
    <w:pPr>
      <w:tabs>
        <w:tab w:val="clear" w:pos="2268"/>
        <w:tab w:val="left" w:pos="3402"/>
      </w:tabs>
      <w:ind w:left="3402" w:hanging="1134"/>
    </w:pPr>
  </w:style>
  <w:style w:type="paragraph" w:customStyle="1" w:styleId="63">
    <w:name w:val="סעיף רמה 6"/>
    <w:basedOn w:val="54"/>
    <w:uiPriority w:val="99"/>
    <w:semiHidden/>
    <w:qFormat/>
    <w:rsid w:val="00D20F49"/>
    <w:pPr>
      <w:ind w:left="4820" w:hanging="1418"/>
    </w:pPr>
  </w:style>
  <w:style w:type="character" w:customStyle="1" w:styleId="130">
    <w:name w:val="אזכור לא מזוהה13"/>
    <w:basedOn w:val="DefaultParagraphFont"/>
    <w:uiPriority w:val="99"/>
    <w:semiHidden/>
    <w:rsid w:val="00D20F49"/>
    <w:rPr>
      <w:color w:val="605E5C"/>
      <w:shd w:val="clear" w:color="auto" w:fill="E1DFDD"/>
    </w:rPr>
  </w:style>
  <w:style w:type="character" w:customStyle="1" w:styleId="140">
    <w:name w:val="אזכור לא מזוהה14"/>
    <w:basedOn w:val="DefaultParagraphFont"/>
    <w:uiPriority w:val="99"/>
    <w:semiHidden/>
    <w:rsid w:val="00D20F49"/>
    <w:rPr>
      <w:color w:val="605E5C"/>
      <w:shd w:val="clear" w:color="auto" w:fill="E1DFDD"/>
    </w:rPr>
  </w:style>
  <w:style w:type="character" w:customStyle="1" w:styleId="150">
    <w:name w:val="אזכור לא מזוהה15"/>
    <w:basedOn w:val="DefaultParagraphFont"/>
    <w:uiPriority w:val="99"/>
    <w:semiHidden/>
    <w:rsid w:val="00D20F49"/>
    <w:rPr>
      <w:color w:val="605E5C"/>
      <w:shd w:val="clear" w:color="auto" w:fill="E1DFDD"/>
    </w:rPr>
  </w:style>
  <w:style w:type="table" w:customStyle="1" w:styleId="4-12">
    <w:name w:val="טבלת רשת 4 - הדגשה 12"/>
    <w:basedOn w:val="TableNormal"/>
    <w:next w:val="GridTable4Accent1"/>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5-12">
    <w:name w:val="טבלת רשת 5 כהה - הדגשה 12"/>
    <w:basedOn w:val="TableNormal"/>
    <w:next w:val="GridTable5DarkAccent1"/>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customStyle="1" w:styleId="5-52">
    <w:name w:val="טבלת רשת 5 כהה - הדגשה 52"/>
    <w:basedOn w:val="TableNormal"/>
    <w:next w:val="GridTable5DarkAccent5"/>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customStyle="1" w:styleId="4-120">
    <w:name w:val="טבלת רשימה 4 - הדגשה 12"/>
    <w:basedOn w:val="TableNormal"/>
    <w:next w:val="ListTable4Accent1"/>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1">
    <w:name w:val="טבלת רשת 4 - הדגשה 111"/>
    <w:basedOn w:val="TableNormal"/>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5-511">
    <w:name w:val="טבלת רשת 5 כהה - הדגשה 511"/>
    <w:basedOn w:val="TableNormal"/>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customStyle="1" w:styleId="4-1110">
    <w:name w:val="טבלת רשימה 4 - הדגשה 111"/>
    <w:basedOn w:val="TableNormal"/>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5-111">
    <w:name w:val="טבלת רשת 5 כהה - הדגשה 111"/>
    <w:basedOn w:val="TableNormal"/>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customStyle="1" w:styleId="160">
    <w:name w:val="אזכור לא מזוהה16"/>
    <w:basedOn w:val="DefaultParagraphFont"/>
    <w:uiPriority w:val="99"/>
    <w:semiHidden/>
    <w:unhideWhenUsed/>
    <w:rsid w:val="00D20F49"/>
    <w:rPr>
      <w:color w:val="605E5C"/>
      <w:shd w:val="clear" w:color="auto" w:fill="E1DFDD"/>
    </w:rPr>
  </w:style>
  <w:style w:type="character" w:customStyle="1" w:styleId="171">
    <w:name w:val="אזכור לא מזוהה17"/>
    <w:basedOn w:val="DefaultParagraphFont"/>
    <w:uiPriority w:val="99"/>
    <w:semiHidden/>
    <w:unhideWhenUsed/>
    <w:rsid w:val="00D20F49"/>
    <w:rPr>
      <w:color w:val="605E5C"/>
      <w:shd w:val="clear" w:color="auto" w:fill="E1DFDD"/>
    </w:rPr>
  </w:style>
  <w:style w:type="character" w:customStyle="1" w:styleId="180">
    <w:name w:val="אזכור לא מזוהה18"/>
    <w:basedOn w:val="DefaultParagraphFont"/>
    <w:uiPriority w:val="99"/>
    <w:semiHidden/>
    <w:unhideWhenUsed/>
    <w:rsid w:val="00D2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header" Target="header5.xml" /><Relationship Id="rId28" Type="http://schemas.openxmlformats.org/officeDocument/2006/relationships/footer" Target="footer4.xm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2.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E5350472-F840-47AA-BE79-7DFB2455AFA9}"/>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