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8C707B"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EE37DA">
        <w:t xml:space="preserve"> </w:t>
      </w:r>
      <w:r w:rsidR="008B694B">
        <w:rPr>
          <w:rtl/>
        </w:rPr>
        <w:tab/>
      </w:r>
    </w:p>
    <w:p w:rsidR="008B694B" w:rsidRDefault="008B694B" w:rsidP="005169B9">
      <w:pPr>
        <w:rPr>
          <w:rtl/>
        </w:rPr>
      </w:pPr>
    </w:p>
    <w:p w:rsidR="008B2E28" w:rsidRDefault="008C707B"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8C707B"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511167</wp:posOffset>
                </wp:positionH>
                <wp:positionV relativeFrom="paragraph">
                  <wp:posOffset>2044432</wp:posOffset>
                </wp:positionV>
                <wp:extent cx="2436954" cy="0"/>
                <wp:effectExtent l="12700" t="12700" r="190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436954"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1B4C2" id="Straight Connector 8"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161pt" to="232.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DqOgIAANYEAAAOAAAAZHJzL2Uyb0RvYy54bWysVE2P2yAQvVfqf0DcEzvfjhVntUma9lC1&#10;Ubf9AQRDjIQBAY0TVf3vHXDs7G4vbdVDCAwzb96bYbx6uNQSnZl1QqsCj4YpRkxRXQp1KvC3r/tB&#10;hpHzRJVEasUKfGUOP6zfvlk1JmdjXWlZMosARLm8MQWuvDd5kjhasZq4oTZMwSXXtiYejvaUlJY0&#10;gF7LZJym86TRtjRWU+YcWHftJV5HfM4Z9Z85d8wjWWDg5uNq43oMa7JekfxkiakEvdEg/8CiJkJB&#10;0h5qRzxB3634DaoW1GqnuR9SXSeac0FZ1ABqRukrNU8VMSxqgeI405fJ/T9Y+ul8sEiUBYZGKVJD&#10;i568JeJUebTVSkEBtUVZ1MYu/qPzQSXsWnU/tqNsslvs54PNdJkNppPNZLCcZpvBaDHONrPx4+P8&#10;3fRniC4ZzeGnLfHizLpSg+XPtNy6Hqq0SO44GJ0JdHYU+phEXt1/ZJo0xuVRYngQcbtVBwvO4eTM&#10;wQY1F25rxKUwHwJSsEBf0CU+kmv/SIJmCsbxdDJfzqYY0e4OEgeIEGis8++ZrlHYFFgKFfpHcnIG&#10;Pi3HziWYpUIN5FymszS6OS1FuRdShss4A2wrbavxeOpUPvOC1FKB5LucuPNXyVr8L4xDd4F2K+wV&#10;JqGUKd/hSgXeIYwDgz7wxiwM5J3My8Cbfwhlceb+JriPiJm18n1wLZS2bV1eZveXjjJv/bsKtLpD&#10;CY66vMZGx9LA8MR3cRv0MJ3PzzH8/jla/wIAAP//AwBQSwMEFAAGAAgAAAAhAAMQX83fAAAACgEA&#10;AA8AAABkcnMvZG93bnJldi54bWxMj01Lw0AQhu+C/2EZwZvdNI0lpNkUUTz0UEqjB4/b7OSDZmdj&#10;dpvGf+8Igh5n5uGd5823s+3FhKPvHClYLiIQSJUzHTUK3t9eH1IQPmgyuneECr7Qw7a4vcl1ZtyV&#10;jjiVoREcQj7TCtoQhkxKX7VotV+4AYlvtRutDjyOjTSjvnK47WUcRWtpdUf8odUDPrdYncuLVfBZ&#10;l3WVHl4+drvloZ4Stw/Hea/U/d38tAERcA5/MPzoszoU7HRyFzJe9ArS6JFJBas45k4MJOtkBeL0&#10;u5FFLv9XKL4BAAD//wMAUEsBAi0AFAAGAAgAAAAhALaDOJL+AAAA4QEAABMAAAAAAAAAAAAAAAAA&#10;AAAAAFtDb250ZW50X1R5cGVzXS54bWxQSwECLQAUAAYACAAAACEAOP0h/9YAAACUAQAACwAAAAAA&#10;AAAAAAAAAAAvAQAAX3JlbHMvLnJlbHNQSwECLQAUAAYACAAAACEACXog6joCAADWBAAADgAAAAAA&#10;AAAAAAAAAAAuAgAAZHJzL2Uyb0RvYy54bWxQSwECLQAUAAYACAAAACEAAxBfzd8AAAAKAQAADwAA&#10;AAAAAAAAAAAAAACUBAAAZHJzL2Rvd25yZXYueG1sUEsFBgAAAAAEAAQA8wAAAKAFAAAAAA==&#10;" strokecolor="white [3212]" strokeweight="1.5pt"/>
            </w:pict>
          </mc:Fallback>
        </mc:AlternateContent>
      </w:r>
      <w:r w:rsidR="00437083"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-59055</wp:posOffset>
                </wp:positionH>
                <wp:positionV relativeFrom="paragraph">
                  <wp:posOffset>343535</wp:posOffset>
                </wp:positionV>
                <wp:extent cx="4530090" cy="4273550"/>
                <wp:effectExtent l="0" t="0" r="3810" b="6350"/>
                <wp:wrapSquare wrapText="bothSides"/>
                <wp:docPr id="13" name="Text Box 2" descr="דוח מבקר המדינה - סייבר ומערכות מידע אייר התשפ''ג מאי 2023&#10;המוסד לביטוח לאומי&#10;אסדרת הגנת הסייבר במוסד לביטוח לאומ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F73EE0" w:rsidRDefault="008C707B" w:rsidP="00437083">
                            <w:pPr>
                              <w:ind w:left="2268"/>
                              <w:jc w:val="left"/>
                              <w:rPr>
                                <w:rtl/>
                              </w:rPr>
                            </w:pPr>
                            <w:r w:rsidRPr="00437083">
                              <w:rPr>
                                <w:rFonts w:ascii="Tahoma" w:hAnsi="Tahoma" w:cs="Tahoma"/>
                                <w:sz w:val="18"/>
                                <w:szCs w:val="18"/>
                                <w:rtl/>
                              </w:rPr>
                              <w:t>דוח מבקר המדינה</w:t>
                            </w:r>
                            <w:r w:rsidR="006E3FE7">
                              <w:rPr>
                                <w:rFonts w:ascii="Tahoma" w:hAnsi="Tahoma" w:cs="Tahoma" w:hint="cs"/>
                                <w:sz w:val="18"/>
                                <w:szCs w:val="18"/>
                                <w:rtl/>
                              </w:rPr>
                              <w:t xml:space="preserve"> -</w:t>
                            </w:r>
                            <w:r w:rsidRPr="00437083">
                              <w:rPr>
                                <w:rFonts w:ascii="Tahoma" w:hAnsi="Tahoma" w:cs="Tahoma"/>
                                <w:sz w:val="18"/>
                                <w:szCs w:val="18"/>
                                <w:rtl/>
                              </w:rPr>
                              <w:t xml:space="preserve"> סייבר ומערכות מידע </w:t>
                            </w:r>
                            <w:r w:rsidR="00AB65D1">
                              <w:rPr>
                                <w:rFonts w:ascii="Tahoma" w:hAnsi="Tahoma" w:cs="Tahoma"/>
                                <w:sz w:val="18"/>
                                <w:szCs w:val="18"/>
                                <w:rtl/>
                              </w:rPr>
                              <w:br/>
                            </w:r>
                            <w:r w:rsidRPr="00437083">
                              <w:rPr>
                                <w:rFonts w:ascii="Tahoma" w:hAnsi="Tahoma" w:cs="Tahoma"/>
                                <w:sz w:val="18"/>
                                <w:szCs w:val="18"/>
                                <w:rtl/>
                              </w:rPr>
                              <w:t>אייר התשפ"ג | מאי 2023</w:t>
                            </w:r>
                          </w:p>
                          <w:p w:rsidR="00E56721" w:rsidRDefault="00E56721" w:rsidP="0052031E">
                            <w:pPr>
                              <w:ind w:left="2268"/>
                            </w:pPr>
                          </w:p>
                          <w:p w:rsidR="007038E6" w:rsidRDefault="007038E6" w:rsidP="0052031E">
                            <w:pPr>
                              <w:ind w:left="2268"/>
                              <w:rPr>
                                <w:rtl/>
                              </w:rPr>
                            </w:pPr>
                          </w:p>
                          <w:p w:rsidR="00F73EE0" w:rsidRDefault="00F73EE0" w:rsidP="0052031E">
                            <w:pPr>
                              <w:ind w:left="2268"/>
                              <w:rPr>
                                <w:rtl/>
                              </w:rPr>
                            </w:pPr>
                          </w:p>
                          <w:p w:rsidR="005D0F8C" w:rsidRPr="000A3ED4" w:rsidRDefault="008C707B" w:rsidP="000F5023">
                            <w:pPr>
                              <w:pStyle w:val="-2"/>
                              <w:rPr>
                                <w:rtl/>
                              </w:rPr>
                            </w:pPr>
                            <w:r>
                              <w:rPr>
                                <w:rFonts w:hint="cs"/>
                                <w:rtl/>
                              </w:rPr>
                              <w:t>המוסד לביטוח לאומי</w:t>
                            </w:r>
                            <w:r w:rsidR="00C30482">
                              <w:rPr>
                                <w:rFonts w:hint="cs"/>
                                <w:rtl/>
                              </w:rPr>
                              <w:t xml:space="preserve"> </w:t>
                            </w:r>
                          </w:p>
                          <w:p w:rsidR="00F73EE0" w:rsidRPr="000F5023" w:rsidRDefault="008C707B" w:rsidP="0072357A">
                            <w:pPr>
                              <w:pStyle w:val="affff5"/>
                              <w:bidi/>
                              <w:spacing w:before="120"/>
                              <w:rPr>
                                <w:rtl/>
                              </w:rPr>
                            </w:pPr>
                            <w:r w:rsidRPr="000A1625">
                              <w:rPr>
                                <w:rtl/>
                              </w:rPr>
                              <w:t xml:space="preserve">אסדרת הגנת הסייבר במוסד לביטוח לאומי </w:t>
                            </w:r>
                          </w:p>
                          <w:p w:rsidR="00C30482" w:rsidRPr="000F5023" w:rsidRDefault="00C30482" w:rsidP="000F5023">
                            <w:pPr>
                              <w:pStyle w:val="affff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alt="דוח מבקר המדינה - סייבר ומערכות מידע אייר התשפ''ג מאי 2023&#10;המוסד לביטוח לאומי&#10;אסדרת הגנת הסייבר במוסד לביטוח לאומי" style="position:absolute;left:0;text-align:left;margin-left:-4.65pt;margin-top:27.05pt;width:356.7pt;height:3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MQqAIAAN4EAAAOAAAAZHJzL2Uyb0RvYy54bWysVNtu1DAQfUfiHywj0adustkNbUOzVWkp&#10;QioXqeUDvI6ziXDsYLubtF/R2wpWVAgqJEp/yL/D2GnLqkg8IPJgjT0zZ2aOfbK+0VYcTZnSpRQp&#10;7vdCjJigMivFJMXv9neWVzHShoiMcClYig+Zxhujhw/WmzphkSwkz5hCACJ00tQpLoypkyDQtGAV&#10;0T1ZMwHOXKqKGNiqSZAp0gB6xYMoDJ8EjVRZrSRlWsPpdufEI4+f54yaN3mumUE8xdCb8avy69it&#10;wWidJBNF6qKkN22Qf+iiIqWAondQ28QQdKDKP6CqkiqpZW56VFaBzPOSMj8DTNMP702zV5Ca+VmA&#10;HF3f0aT/Hyx9PX2rUJnB3Q0wEqSCO9pnrUHPZIsijDKmKdBlz+zMfkT2iz2xP+wVsudgntm5/WrP&#10;0TKy38Ccgw88M/Bc2iv7GaxrlzGHwEtkj32IT722P+33pSV76txwjqIwGjx+1G4+9bgzgDtD9gLw&#10;5vZTV/gC4hzyvAs7diFQBAqc21PowhsLXZxA7F9x3M03tU6AgL0aKDAtTAws+FvU9a6k7zUScqsg&#10;YsI2lZJNwUgGzPddZrCQ2uFoBzJuXskMGCQHRnqgNleVexZw0QjQ4QUe3r06xzKFw2E8CMM1cFHw&#10;DaOVQRz7dxmQ5Da9Vtq8YLJCzkixgmft4cl0VxvXDkluQ1w1LXmZ7ZSc+42ajLe4QlPiJBAOwnjH&#10;T3AvjAvUpHgtjmKPLKTL9+qoSgMS5WWV4tXQfZ1oHB3PReZDDCl5Z0MnXNzw4yjpyDHtuIVAR9pY&#10;ZofAlJKdFOHXAUYh1RFGDcgwxfrDAVEMI/5SANtr/eHQ6dZvhvFKBBu16BkveoigAJVig1Fnbhmv&#10;dUeRKw4i8mTdCN6pdHHvo37/lka/AAAA//8DAFBLAwQUAAYACAAAACEAYWmVe+EAAAAJAQAADwAA&#10;AGRycy9kb3ducmV2LnhtbEyPS0/DMBCE70j8B2uRuKDWSXikhDgVVK3EAQ59SHB04yWJiNdp7Dbh&#10;37M9wW1WM5r9Jp+PthUn7H3jSEE8jUAglc40VCnYbVeTGQgfNBndOkIFP+hhXlxe5DozbqA1njah&#10;ElxCPtMK6hC6TEpf1mi1n7oOib0v11sd+OwraXo9cLltZRJFD9LqhvhDrTtc1Fh+b45WwUsyfK6w&#10;7N4Pyw86LNeL2c1r+qbU9dX4/AQi4Bj+wnDGZ3QomGnvjmS8aBVMHm85qeD+LgbBfhqdxZ5FksYg&#10;i1z+X1D8AgAA//8DAFBLAQItABQABgAIAAAAIQC2gziS/gAAAOEBAAATAAAAAAAAAAAAAAAAAAAA&#10;AABbQ29udGVudF9UeXBlc10ueG1sUEsBAi0AFAAGAAgAAAAhADj9If/WAAAAlAEAAAsAAAAAAAAA&#10;AAAAAAAALwEAAF9yZWxzLy5yZWxzUEsBAi0AFAAGAAgAAAAhAMmmYxCoAgAA3gQAAA4AAAAAAAAA&#10;AAAAAAAALgIAAGRycy9lMm9Eb2MueG1sUEsBAi0AFAAGAAgAAAAhAGFplXvhAAAACQEAAA8AAAAA&#10;AAAAAAAAAAAAAgUAAGRycy9kb3ducmV2LnhtbFBLBQYAAAAABAAEAPMAAAAQBgAAAAA=&#10;" fillcolor="#00305f" stroked="f">
                <v:textbo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F73EE0" w:rsidRDefault="008C707B" w:rsidP="00437083">
                      <w:pPr>
                        <w:ind w:left="2268"/>
                        <w:jc w:val="left"/>
                        <w:rPr>
                          <w:rtl/>
                        </w:rPr>
                      </w:pPr>
                      <w:r w:rsidRPr="00437083">
                        <w:rPr>
                          <w:rFonts w:ascii="Tahoma" w:hAnsi="Tahoma" w:cs="Tahoma"/>
                          <w:sz w:val="18"/>
                          <w:szCs w:val="18"/>
                          <w:rtl/>
                        </w:rPr>
                        <w:t>דוח מבקר המדינה</w:t>
                      </w:r>
                      <w:r w:rsidR="006E3FE7">
                        <w:rPr>
                          <w:rFonts w:ascii="Tahoma" w:hAnsi="Tahoma" w:cs="Tahoma" w:hint="cs"/>
                          <w:sz w:val="18"/>
                          <w:szCs w:val="18"/>
                          <w:rtl/>
                        </w:rPr>
                        <w:t xml:space="preserve"> -</w:t>
                      </w:r>
                      <w:r w:rsidRPr="00437083">
                        <w:rPr>
                          <w:rFonts w:ascii="Tahoma" w:hAnsi="Tahoma" w:cs="Tahoma"/>
                          <w:sz w:val="18"/>
                          <w:szCs w:val="18"/>
                          <w:rtl/>
                        </w:rPr>
                        <w:t xml:space="preserve"> סייבר ומערכות מידע </w:t>
                      </w:r>
                      <w:r w:rsidR="00AB65D1">
                        <w:rPr>
                          <w:rFonts w:ascii="Tahoma" w:hAnsi="Tahoma" w:cs="Tahoma"/>
                          <w:sz w:val="18"/>
                          <w:szCs w:val="18"/>
                          <w:rtl/>
                        </w:rPr>
                        <w:br/>
                      </w:r>
                      <w:r w:rsidRPr="00437083">
                        <w:rPr>
                          <w:rFonts w:ascii="Tahoma" w:hAnsi="Tahoma" w:cs="Tahoma"/>
                          <w:sz w:val="18"/>
                          <w:szCs w:val="18"/>
                          <w:rtl/>
                        </w:rPr>
                        <w:t>אייר התשפ"ג | מאי 2023</w:t>
                      </w:r>
                    </w:p>
                    <w:p w:rsidR="00E56721" w:rsidRDefault="00E56721" w:rsidP="0052031E">
                      <w:pPr>
                        <w:ind w:left="2268"/>
                      </w:pPr>
                    </w:p>
                    <w:p w:rsidR="007038E6" w:rsidRDefault="007038E6" w:rsidP="0052031E">
                      <w:pPr>
                        <w:ind w:left="2268"/>
                        <w:rPr>
                          <w:rtl/>
                        </w:rPr>
                      </w:pPr>
                    </w:p>
                    <w:p w:rsidR="00F73EE0" w:rsidRDefault="00F73EE0" w:rsidP="0052031E">
                      <w:pPr>
                        <w:ind w:left="2268"/>
                        <w:rPr>
                          <w:rtl/>
                        </w:rPr>
                      </w:pPr>
                    </w:p>
                    <w:p w:rsidR="005D0F8C" w:rsidRPr="000A3ED4" w:rsidRDefault="008C707B" w:rsidP="000F5023">
                      <w:pPr>
                        <w:pStyle w:val="-2"/>
                        <w:rPr>
                          <w:rtl/>
                        </w:rPr>
                      </w:pPr>
                      <w:r>
                        <w:rPr>
                          <w:rFonts w:hint="cs"/>
                          <w:rtl/>
                        </w:rPr>
                        <w:t>המוסד לביטוח לאומי</w:t>
                      </w:r>
                      <w:r w:rsidR="00C30482">
                        <w:rPr>
                          <w:rFonts w:hint="cs"/>
                          <w:rtl/>
                        </w:rPr>
                        <w:t xml:space="preserve"> </w:t>
                      </w:r>
                    </w:p>
                    <w:p w:rsidR="00F73EE0" w:rsidRPr="000F5023" w:rsidRDefault="008C707B" w:rsidP="0072357A">
                      <w:pPr>
                        <w:pStyle w:val="affff5"/>
                        <w:bidi/>
                        <w:spacing w:before="120"/>
                        <w:rPr>
                          <w:rtl/>
                        </w:rPr>
                      </w:pPr>
                      <w:r w:rsidRPr="000A1625">
                        <w:rPr>
                          <w:rtl/>
                        </w:rPr>
                        <w:t xml:space="preserve">אסדרת הגנת הסייבר במוסד לביטוח לאומי </w:t>
                      </w:r>
                    </w:p>
                    <w:p w:rsidR="00C30482" w:rsidRPr="000F5023" w:rsidRDefault="00C30482" w:rsidP="000F5023">
                      <w:pPr>
                        <w:pStyle w:val="affff5"/>
                        <w:bidi/>
                        <w:rPr>
                          <w:rtl/>
                        </w:rPr>
                      </w:pPr>
                    </w:p>
                  </w:txbxContent>
                </v:textbox>
                <w10:wrap type="square"/>
              </v:shape>
            </w:pict>
          </mc:Fallback>
        </mc:AlternateContent>
      </w:r>
      <w:r w:rsidR="006A1B1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3070134</wp:posOffset>
                </wp:positionH>
                <wp:positionV relativeFrom="paragraph">
                  <wp:posOffset>264251</wp:posOffset>
                </wp:positionV>
                <wp:extent cx="0" cy="3439885"/>
                <wp:effectExtent l="25400" t="0" r="25400" b="2730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3988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94238" id="Straight Connector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20.8pt" to="241.7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2LwIAAMwEAAAOAAAAZHJzL2Uyb0RvYy54bWysVNuO2yAQfa/Uf0C8J7Zzdaw4q03S9KVq&#10;o273AwiGGAmDBTROVPXfO+BLVm21aqs+BMMwczhnLlk/XCuJLsxYoVWOk3GMEVNUF0Kdc/z85TBK&#10;MbKOqIJIrViOb8zih83bN+umzthEl1oWzCAAUTZr6hyXztVZFFlasorYsa6ZgkuuTUUcHM05Kgxp&#10;AL2S0SSOF1GjTVEbTZm1YN23l3gT8Dln1H3i3DKHZI6BmwurCevJr9FmTbKzIXUpaEeD/AOLiggF&#10;jw5Qe+II+mrEL1CVoEZbzd2Y6irSnAvKggZQk8Q/qXkqSc2CFkiOrYc02f8HSz9ejgaJIsdzjBSp&#10;oERPzhBxLh3aaaUggdqgedDGru6DdV4l7Fp133ZJOt0vD4vRdrZKR7PpdjpazdLtKFlO0u188vi4&#10;eDf77qMLRjP4aUOcuLA+1WD5My1d1X2WltEdB6MLgcomvo5R4NV/A9OoqW0WJPqGCNudOhpw9idb&#10;H41Xc+Wm8l+oBrqG1rgNreGV0tZIwTqdTVdpOu+e6wNrY917pivkNzmWQvmqkYxcgEXLrHfxZqlQ&#10;A/mO0zgOblZLURyElP4ydD7bSdMqO517bS+8QKlUIPQuIuzcTbIW/zPjUFOgnbQP+Gm6YxJKmXI9&#10;rlTg7cM4MBgCO2avBXb+PpSFSfub4CEivKyVG4IrobT5HW137Snz1r/PQKvbp+Cki1sob0gNjEzo&#10;hm68/Uy+PIfw+5/Q5gcAAAD//wMAUEsDBBQABgAIAAAAIQCnebKo3gAAAAoBAAAPAAAAZHJzL2Rv&#10;d25yZXYueG1sTI89T8MwEIZ3JP6DdUhs1ClpoyiNU6EiBhZKA0PHa3yNQ/0RYqcN/x4jBtju49F7&#10;z5XryWh2psF3zgqYzxJgZBsnO9sKeH97usuB+YBWonaWBHyRh3V1fVViId3F7uhch5bFEOsLFKBC&#10;6AvOfaPIoJ+5nmzcHd1gMMR2aLkc8BLDjeb3SZJxg52NFxT2tFHUnOrRCHipUT+PanH8eNy87rfZ&#10;yYXtpxPi9mZ6WAELNIU/GH70ozpU0engRis90wIWebqMaCzmGbAI/A4OApZ5mgKvSv7/heobAAD/&#10;/wMAUEsBAi0AFAAGAAgAAAAhALaDOJL+AAAA4QEAABMAAAAAAAAAAAAAAAAAAAAAAFtDb250ZW50&#10;X1R5cGVzXS54bWxQSwECLQAUAAYACAAAACEAOP0h/9YAAACUAQAACwAAAAAAAAAAAAAAAAAvAQAA&#10;X3JlbHMvLnJlbHNQSwECLQAUAAYACAAAACEAV/kpNi8CAADMBAAADgAAAAAAAAAAAAAAAAAuAgAA&#10;ZHJzL2Uyb0RvYy54bWxQSwECLQAUAAYACAAAACEAp3myqN4AAAAKAQAADwAAAAAAAAAAAAAAAACJ&#10;BAAAZHJzL2Rvd25yZXYueG1sUEsFBgAAAAAEAAQA8wAAAJQFAAAAAA==&#10;" strokecolor="white [3212]"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8C707B"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B93C72" w:rsidRPr="001F3363" w:rsidRDefault="008C707B" w:rsidP="00BB0517">
      <w:pPr>
        <w:pStyle w:val="7320"/>
        <w:rPr>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3298190</wp:posOffset>
            </wp:positionH>
            <wp:positionV relativeFrom="paragraph">
              <wp:posOffset>608874</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1F3363">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14F180" id="Rectangle 24" o:spid="_x0000_s1026" style="position:absolute;left:0;text-align:left;margin-left:-51.6pt;margin-top:17.9pt;width:15.3pt;height:446.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rI7wIAAEIGAAAOAAAAZHJzL2Uyb0RvYy54bWysVG1v2yAQ/j5p/wHxPfVLnFfVqZJ0mSZV&#10;bdV262eCcWIJAwMaJ5v233eA7XZdNU3TIgVzcPfcPXfHnV8ca44OTJtKihwnZzFGTFBZVGKX488P&#10;m8EUI2OJKAiXguX4xAy+WLx/d96oOUvlXvKCaQQgwswbleO9tWoeRYbuWU3MmVRMwGUpdU0siHoX&#10;FZo0gF7zKI3jcdRIXSgtKTMGTi/DJV54/LJk1N6UpWEW8RxDbNav2q9bt0aLczLfaaL2FW3DIP8Q&#10;RU0qAU57qEtiCXrS1W9QdUW1NLK0Z1TWkSzLijLPAdgk8Ss293uimOcCyTGqT5P5f7D0+nCrUVXk&#10;OE0wEqSGGt1B1ojYcYbSzJNiR3tlrKMHu0Dr+zqZDi8nm/Fglc2mg2y4Gg5m2XQ1SCbpdDVKl8vx&#10;h+yHsy4YncNfamKrA+tyDCd/R6Itt0vPJHrGwehAoKSJK2Dk4+q+PtKoUWbuublO8Nt7datB2UkG&#10;to7NsdQ1KnmlvjgkdwIFQUffHae+OxxnCofJLBsm0EMUrkbj8XiS+fYB7w7HWStt7Ecma+Q2OdaQ&#10;R49KDhBUCLRTcepG8qrYVJx7Qe+2a64DrTgexqNNy+0XNS6cspDOLCC6E083sPL87Ikzp8fFHSuh&#10;uhB96iPx74r1fgilTNhA3eyhVMH9KIZf5929RGfh8+sBHXIJ/nvsFqDTDCAddoiy1XemzD/L3jj+&#10;U2DBuLfwnqWwvXFdCanfAuDAqvUc9LskhdS4LG1lcYLe1zIMBaPopoK6XRFjb4mGKQC1hslmb2Ap&#10;uWxyLNsdRnupv7117vShr+EWowamSo7N1yeiGUb8k4BnO0sy6BpkvZCNJikI+uXN9uWNeKrX0nc5&#10;guj81ulb3p2WWtaPMACXzitcEUHBd46p1Z2wtmHawQilbLn0ajB6FLFX4l7BIwzFc335cHwkWrXN&#10;a6Htr2U3gcj8VQ8H3TapIZOtAIPKt0o7VN0kfCl7refRv/gJAAD//wMAUEsDBBQABgAIAAAAIQAR&#10;gpSv4AAAAAsBAAAPAAAAZHJzL2Rvd25yZXYueG1sTI9BTsMwEEX3SNzBGiR2qR1XLSWNUyFQWSGk&#10;thxgGg9x2tgOsduE22NWsBzN0//vl5vJduxKQ2i9U5DPBDBytdetaxR8HLbZCliI6DR23pGCbwqw&#10;qW5vSiy0H92OrvvYsBTiQoEKTIx9wXmoDVkMM9+TS79PP1iM6RwargccU7jtuBRiyS22LjUY7OnZ&#10;UH3eX6yCdoH87Ws8vPLhxaA+nfPpXWyVur+bntbAIk3xD4Zf/aQOVXI6+ovTgXUKslzMZWIVzBdp&#10;QyKyB7kEdlTwKFcSeFXy/xuqHwAAAP//AwBQSwECLQAUAAYACAAAACEAtoM4kv4AAADhAQAAEwAA&#10;AAAAAAAAAAAAAAAAAAAAW0NvbnRlbnRfVHlwZXNdLnhtbFBLAQItABQABgAIAAAAIQA4/SH/1gAA&#10;AJQBAAALAAAAAAAAAAAAAAAAAC8BAABfcmVscy8ucmVsc1BLAQItABQABgAIAAAAIQAm4qrI7wIA&#10;AEIGAAAOAAAAAAAAAAAAAAAAAC4CAABkcnMvZTJvRG9jLnhtbFBLAQItABQABgAIAAAAIQARgpSv&#10;4AAAAAsBAAAPAAAAAAAAAAAAAAAAAEkFAABkcnMvZG93bnJldi54bWxQSwUGAAAAAAQABADzAAAA&#10;VgYAAAAA&#10;" fillcolor="#00305f" stroked="f" strokeweight="1.25pt"/>
            </w:pict>
          </mc:Fallback>
        </mc:AlternateContent>
      </w:r>
      <w:r w:rsidRPr="000A1625">
        <w:rPr>
          <w:noProof/>
          <w:rtl/>
        </w:rPr>
        <w:t xml:space="preserve">אסדרת הגנת הסייבר במוסד לביטוח לאומי </w:t>
      </w:r>
    </w:p>
    <w:p w:rsidR="003901DA" w:rsidRPr="00D00868" w:rsidRDefault="008C707B" w:rsidP="003901DA">
      <w:pPr>
        <w:pStyle w:val="7392"/>
        <w:spacing w:before="360"/>
        <w:rPr>
          <w:rtl/>
        </w:rPr>
      </w:pPr>
      <w:r w:rsidRPr="00D00868">
        <w:rPr>
          <w:rFonts w:hint="cs"/>
          <w:rtl/>
        </w:rPr>
        <w:t>בשנת 2021 הודלפו בעולם יותר מ-22 מיליארד רשומות עקב תקיפות סייבר</w:t>
      </w:r>
      <w:r>
        <w:rPr>
          <w:vertAlign w:val="superscript"/>
          <w:rtl/>
        </w:rPr>
        <w:footnoteReference w:id="1"/>
      </w:r>
      <w:r w:rsidRPr="00D00868">
        <w:rPr>
          <w:rFonts w:hint="cs"/>
          <w:rtl/>
        </w:rPr>
        <w:t xml:space="preserve">. </w:t>
      </w:r>
      <w:r w:rsidRPr="00D00868">
        <w:rPr>
          <w:rFonts w:hint="eastAsia"/>
          <w:rtl/>
        </w:rPr>
        <w:t>שמות</w:t>
      </w:r>
      <w:r w:rsidRPr="00D00868">
        <w:rPr>
          <w:rtl/>
        </w:rPr>
        <w:t xml:space="preserve"> של אנשים ומספר ביטוח לאומי (ובהם </w:t>
      </w:r>
      <w:r w:rsidRPr="00D00868">
        <w:t>SSN</w:t>
      </w:r>
      <w:r>
        <w:rPr>
          <w:vertAlign w:val="superscript"/>
          <w:rtl/>
        </w:rPr>
        <w:footnoteReference w:id="2"/>
      </w:r>
      <w:r w:rsidRPr="00D00868">
        <w:rPr>
          <w:rFonts w:hint="cs"/>
          <w:rtl/>
        </w:rPr>
        <w:t>)</w:t>
      </w:r>
      <w:r w:rsidRPr="00D00868">
        <w:rPr>
          <w:rtl/>
        </w:rPr>
        <w:t xml:space="preserve"> </w:t>
      </w:r>
      <w:r w:rsidRPr="00D00868">
        <w:rPr>
          <w:rFonts w:hint="eastAsia"/>
          <w:rtl/>
        </w:rPr>
        <w:t>היו</w:t>
      </w:r>
      <w:r w:rsidRPr="00D00868">
        <w:rPr>
          <w:rtl/>
        </w:rPr>
        <w:t xml:space="preserve"> </w:t>
      </w:r>
      <w:r w:rsidRPr="00D00868">
        <w:rPr>
          <w:rFonts w:hint="eastAsia"/>
          <w:rtl/>
        </w:rPr>
        <w:t>שני</w:t>
      </w:r>
      <w:r w:rsidRPr="00D00868">
        <w:rPr>
          <w:rtl/>
        </w:rPr>
        <w:t xml:space="preserve"> </w:t>
      </w:r>
      <w:r w:rsidRPr="00D00868">
        <w:rPr>
          <w:rFonts w:hint="eastAsia"/>
          <w:rtl/>
        </w:rPr>
        <w:t>סוגי</w:t>
      </w:r>
      <w:r w:rsidRPr="00D00868">
        <w:rPr>
          <w:rtl/>
        </w:rPr>
        <w:t xml:space="preserve"> </w:t>
      </w:r>
      <w:r w:rsidRPr="00D00868">
        <w:rPr>
          <w:rFonts w:hint="eastAsia"/>
          <w:rtl/>
        </w:rPr>
        <w:t>הנתונים</w:t>
      </w:r>
      <w:r w:rsidRPr="00D00868">
        <w:rPr>
          <w:rtl/>
        </w:rPr>
        <w:t xml:space="preserve"> </w:t>
      </w:r>
      <w:r w:rsidRPr="00D00868">
        <w:rPr>
          <w:rFonts w:hint="eastAsia"/>
          <w:rtl/>
        </w:rPr>
        <w:t>שדלפו</w:t>
      </w:r>
      <w:r w:rsidRPr="00D00868">
        <w:rPr>
          <w:rtl/>
        </w:rPr>
        <w:t xml:space="preserve"> </w:t>
      </w:r>
      <w:r w:rsidRPr="00D00868">
        <w:rPr>
          <w:rFonts w:hint="eastAsia"/>
          <w:rtl/>
        </w:rPr>
        <w:t>יותר</w:t>
      </w:r>
      <w:r w:rsidRPr="00D00868">
        <w:rPr>
          <w:rtl/>
        </w:rPr>
        <w:t xml:space="preserve"> </w:t>
      </w:r>
      <w:r w:rsidRPr="00D00868">
        <w:rPr>
          <w:rFonts w:hint="eastAsia"/>
          <w:rtl/>
        </w:rPr>
        <w:t>מכל</w:t>
      </w:r>
      <w:r w:rsidRPr="00D00868">
        <w:rPr>
          <w:rtl/>
        </w:rPr>
        <w:t xml:space="preserve"> </w:t>
      </w:r>
      <w:r w:rsidRPr="00D00868">
        <w:rPr>
          <w:rFonts w:hint="eastAsia"/>
          <w:rtl/>
        </w:rPr>
        <w:t>נתון</w:t>
      </w:r>
      <w:r w:rsidRPr="00D00868">
        <w:rPr>
          <w:rtl/>
        </w:rPr>
        <w:t xml:space="preserve"> </w:t>
      </w:r>
      <w:r w:rsidRPr="00D00868">
        <w:rPr>
          <w:rFonts w:hint="eastAsia"/>
          <w:rtl/>
        </w:rPr>
        <w:t>אחר</w:t>
      </w:r>
      <w:r w:rsidRPr="00D00868">
        <w:rPr>
          <w:rtl/>
        </w:rPr>
        <w:t>.</w:t>
      </w:r>
      <w:r w:rsidRPr="00D00868">
        <w:rPr>
          <w:rFonts w:hint="cs"/>
          <w:rtl/>
        </w:rPr>
        <w:t xml:space="preserve"> נכון לנובמבר 2022, במוסד לביטוח לאומי (בט"ל) מתבצעות בכל יום כ-2.9 מיליון תקיפות סייבר בממוצע, ומהן כ-66,000 תקיפות עם פוטנציאל נזק</w:t>
      </w:r>
      <w:r>
        <w:rPr>
          <w:rFonts w:hint="cs"/>
          <w:rtl/>
        </w:rPr>
        <w:t>.</w:t>
      </w:r>
      <w:r w:rsidRPr="00D00868">
        <w:rPr>
          <w:rFonts w:hint="cs"/>
          <w:rtl/>
        </w:rPr>
        <w:t xml:space="preserve"> </w:t>
      </w:r>
    </w:p>
    <w:p w:rsidR="007F4A20" w:rsidRPr="003901DA" w:rsidRDefault="008C707B" w:rsidP="003901DA">
      <w:pPr>
        <w:pStyle w:val="7392"/>
        <w:rPr>
          <w:rtl/>
        </w:rPr>
      </w:pPr>
      <w:r w:rsidRPr="003901DA">
        <w:rPr>
          <w:rFonts w:hint="cs"/>
          <w:rtl/>
        </w:rPr>
        <w:t xml:space="preserve">בט"ל </w:t>
      </w:r>
      <w:r w:rsidRPr="003901DA">
        <w:rPr>
          <w:rtl/>
        </w:rPr>
        <w:t>מעניק מגוון שירותים רחב למבוטחיו - תושבי מדינת ישראל - מהלידה עד הפטירה</w:t>
      </w:r>
      <w:r w:rsidRPr="003901DA">
        <w:rPr>
          <w:rFonts w:hint="cs"/>
          <w:rtl/>
        </w:rPr>
        <w:t>, ולפיכך</w:t>
      </w:r>
      <w:r w:rsidRPr="003901DA">
        <w:rPr>
          <w:rtl/>
        </w:rPr>
        <w:t xml:space="preserve"> למאגרי המידע של בט"ל רגישות מיוחדת הן בשל היקפם העצום </w:t>
      </w:r>
      <w:r w:rsidRPr="003901DA">
        <w:rPr>
          <w:rFonts w:hint="cs"/>
          <w:rtl/>
        </w:rPr>
        <w:t>ו</w:t>
      </w:r>
      <w:r w:rsidRPr="003901DA">
        <w:rPr>
          <w:rtl/>
        </w:rPr>
        <w:t>הן מפני שהמאגרים מתממשקים לגורמים שמחוץ לבט"ל</w:t>
      </w:r>
      <w:r w:rsidRPr="003901DA">
        <w:rPr>
          <w:rFonts w:hint="cs"/>
          <w:rtl/>
        </w:rPr>
        <w:t xml:space="preserve">. להלן האסדרה הנורמטיבית העיקרית בנוגע להגנת הסייבר ואבטחת מידע: חוק הגנת הפרטיות, </w:t>
      </w:r>
      <w:r w:rsidRPr="003901DA">
        <w:rPr>
          <w:rtl/>
        </w:rPr>
        <w:t>התשמ"א-1981</w:t>
      </w:r>
      <w:r w:rsidRPr="003901DA">
        <w:rPr>
          <w:rFonts w:hint="cs"/>
          <w:rtl/>
        </w:rPr>
        <w:t>,</w:t>
      </w:r>
      <w:r w:rsidRPr="003901DA">
        <w:rPr>
          <w:rtl/>
        </w:rPr>
        <w:t xml:space="preserve"> </w:t>
      </w:r>
      <w:r w:rsidRPr="003901DA">
        <w:rPr>
          <w:rFonts w:hint="cs"/>
          <w:rtl/>
        </w:rPr>
        <w:t xml:space="preserve">אשר </w:t>
      </w:r>
      <w:r w:rsidRPr="003901DA">
        <w:rPr>
          <w:rtl/>
        </w:rPr>
        <w:t>מגדיר את החובות של בעל מאגר מידע, מחזיק מאגר מידע או מנהל מאגר מידע כהגדרתו בחוק, לאבטחת המידע שבו</w:t>
      </w:r>
      <w:r w:rsidRPr="003901DA">
        <w:rPr>
          <w:rFonts w:hint="cs"/>
          <w:rtl/>
        </w:rPr>
        <w:t>; תקנות הגנת הפרטיות (אבטחת מידע) התשע"ז-2017; וחוק להסדרת הבטחון בגופים ציבוריים, התשנ"ח-1998 (החוק להסדרת הביטחון), אשר קובע סמכויות ואחריות לאבטחה פיזית, אבטחת מידע ואבטחת מערכות מחשוב חיוניות של גופים ציבוריים שונים בתוכם, הן גופי ממשלה והן גופים בבעלות פרטית</w:t>
      </w:r>
      <w:r w:rsidR="0036097F" w:rsidRPr="003901DA">
        <w:rPr>
          <w:rFonts w:hint="cs"/>
          <w:rtl/>
        </w:rPr>
        <w:t>.</w:t>
      </w:r>
      <w:r w:rsidR="00B61DE7" w:rsidRPr="003901DA">
        <w:rPr>
          <w:rtl/>
        </w:rPr>
        <w:t xml:space="preserve"> </w:t>
      </w:r>
    </w:p>
    <w:p w:rsidR="007F4A20" w:rsidRDefault="008C707B">
      <w:pPr>
        <w:bidi w:val="0"/>
        <w:spacing w:after="200" w:line="276" w:lineRule="auto"/>
        <w:rPr>
          <w:rFonts w:ascii="Tahoma" w:hAnsi="Tahoma" w:cs="Tahoma"/>
          <w:color w:val="0D0D0D" w:themeColor="text1" w:themeTint="F2"/>
          <w:sz w:val="18"/>
          <w:szCs w:val="18"/>
          <w:rtl/>
        </w:rPr>
      </w:pPr>
      <w:r>
        <w:rPr>
          <w:rtl/>
        </w:rPr>
        <w:br w:type="page"/>
      </w:r>
    </w:p>
    <w:p w:rsidR="005D0F8C" w:rsidRDefault="008C707B"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EA14FF" w:rsidTr="003901DA">
        <w:tc>
          <w:tcPr>
            <w:tcW w:w="1164" w:type="pct"/>
            <w:tcBorders>
              <w:bottom w:val="single" w:sz="12" w:space="0" w:color="000000" w:themeColor="text1"/>
            </w:tcBorders>
            <w:vAlign w:val="bottom"/>
          </w:tcPr>
          <w:p w:rsidR="00420374" w:rsidRPr="004562F8" w:rsidRDefault="008C707B" w:rsidP="00937056">
            <w:pPr>
              <w:spacing w:after="60" w:line="240" w:lineRule="auto"/>
              <w:rPr>
                <w:b/>
                <w:bCs/>
                <w:spacing w:val="-28"/>
                <w:rtl/>
              </w:rPr>
            </w:pPr>
            <w:r>
              <w:rPr>
                <w:rFonts w:ascii="Tahoma" w:eastAsiaTheme="minorEastAsia" w:hAnsi="Tahoma" w:cs="Tahoma" w:hint="cs"/>
                <w:b/>
                <w:bCs/>
                <w:color w:val="0D0D0D" w:themeColor="text1" w:themeTint="F2"/>
                <w:spacing w:val="-10"/>
                <w:sz w:val="36"/>
                <w:szCs w:val="36"/>
                <w:rtl/>
              </w:rPr>
              <w:t xml:space="preserve">22 </w:t>
            </w:r>
            <w:r>
              <w:rPr>
                <w:rFonts w:ascii="Tahoma" w:eastAsiaTheme="minorEastAsia" w:hAnsi="Tahoma" w:cs="Tahoma" w:hint="cs"/>
                <w:b/>
                <w:bCs/>
                <w:color w:val="0D0D0D" w:themeColor="text1" w:themeTint="F2"/>
                <w:spacing w:val="-10"/>
                <w:sz w:val="26"/>
                <w:szCs w:val="26"/>
                <w:rtl/>
              </w:rPr>
              <w:t>מיליארד רשומות</w:t>
            </w:r>
          </w:p>
        </w:tc>
        <w:tc>
          <w:tcPr>
            <w:tcW w:w="161" w:type="pct"/>
            <w:vAlign w:val="bottom"/>
          </w:tcPr>
          <w:p w:rsidR="00420374" w:rsidRDefault="00420374" w:rsidP="00937056">
            <w:pPr>
              <w:spacing w:before="120" w:after="60" w:line="240" w:lineRule="auto"/>
              <w:rPr>
                <w:rtl/>
              </w:rPr>
            </w:pPr>
          </w:p>
        </w:tc>
        <w:tc>
          <w:tcPr>
            <w:tcW w:w="1038" w:type="pct"/>
            <w:tcBorders>
              <w:bottom w:val="single" w:sz="12" w:space="0" w:color="000000" w:themeColor="text1"/>
            </w:tcBorders>
            <w:vAlign w:val="bottom"/>
          </w:tcPr>
          <w:p w:rsidR="00420374" w:rsidRPr="005C7ABF" w:rsidRDefault="008C707B" w:rsidP="00937056">
            <w:pPr>
              <w:pStyle w:val="2021"/>
              <w:spacing w:before="0" w:after="60"/>
              <w:rPr>
                <w:spacing w:val="-10"/>
                <w:rtl/>
              </w:rPr>
            </w:pPr>
            <w:r>
              <w:rPr>
                <w:rFonts w:hint="cs"/>
                <w:spacing w:val="-10"/>
                <w:rtl/>
              </w:rPr>
              <w:t>כ-2.9</w:t>
            </w:r>
            <w:r w:rsidR="00AD1000">
              <w:rPr>
                <w:rFonts w:hint="cs"/>
                <w:spacing w:val="-10"/>
                <w:rtl/>
              </w:rPr>
              <w:t xml:space="preserve"> </w:t>
            </w:r>
            <w:r>
              <w:rPr>
                <w:rFonts w:hint="cs"/>
                <w:spacing w:val="-10"/>
                <w:sz w:val="26"/>
                <w:szCs w:val="26"/>
                <w:rtl/>
              </w:rPr>
              <w:t>מיליון</w:t>
            </w:r>
          </w:p>
        </w:tc>
        <w:tc>
          <w:tcPr>
            <w:tcW w:w="161" w:type="pct"/>
            <w:vAlign w:val="bottom"/>
          </w:tcPr>
          <w:p w:rsidR="00420374" w:rsidRDefault="00420374" w:rsidP="00937056">
            <w:pPr>
              <w:spacing w:before="120" w:after="60" w:line="240" w:lineRule="auto"/>
              <w:rPr>
                <w:rtl/>
              </w:rPr>
            </w:pPr>
          </w:p>
        </w:tc>
        <w:tc>
          <w:tcPr>
            <w:tcW w:w="1151" w:type="pct"/>
            <w:tcBorders>
              <w:bottom w:val="single" w:sz="12" w:space="0" w:color="000000" w:themeColor="text1"/>
            </w:tcBorders>
            <w:vAlign w:val="bottom"/>
          </w:tcPr>
          <w:p w:rsidR="00420374" w:rsidRPr="00340353" w:rsidRDefault="008C707B" w:rsidP="00937056">
            <w:pPr>
              <w:pStyle w:val="2021"/>
              <w:spacing w:before="0" w:after="60"/>
              <w:rPr>
                <w:b w:val="0"/>
                <w:bCs w:val="0"/>
                <w:spacing w:val="-20"/>
                <w:sz w:val="24"/>
                <w:rtl/>
              </w:rPr>
            </w:pPr>
            <w:r>
              <w:rPr>
                <w:rFonts w:hint="cs"/>
                <w:spacing w:val="-10"/>
                <w:rtl/>
              </w:rPr>
              <w:t xml:space="preserve">מאות </w:t>
            </w:r>
            <w:r w:rsidRPr="003901DA">
              <w:rPr>
                <w:rFonts w:hint="cs"/>
                <w:spacing w:val="-10"/>
                <w:sz w:val="26"/>
                <w:szCs w:val="26"/>
                <w:rtl/>
              </w:rPr>
              <w:t>טרה בייט (</w:t>
            </w:r>
            <w:r w:rsidRPr="003901DA">
              <w:rPr>
                <w:rFonts w:hint="cs"/>
                <w:spacing w:val="-10"/>
                <w:sz w:val="26"/>
                <w:szCs w:val="26"/>
              </w:rPr>
              <w:t>TB</w:t>
            </w:r>
            <w:r w:rsidRPr="003901DA">
              <w:rPr>
                <w:rFonts w:hint="cs"/>
                <w:spacing w:val="-10"/>
                <w:sz w:val="26"/>
                <w:szCs w:val="26"/>
                <w:rtl/>
              </w:rPr>
              <w:t>)</w:t>
            </w:r>
          </w:p>
        </w:tc>
        <w:tc>
          <w:tcPr>
            <w:tcW w:w="182" w:type="pct"/>
          </w:tcPr>
          <w:p w:rsidR="00420374" w:rsidRDefault="00420374" w:rsidP="00937056">
            <w:pPr>
              <w:pStyle w:val="2021"/>
              <w:spacing w:before="0" w:after="60"/>
              <w:rPr>
                <w:spacing w:val="-10"/>
                <w:rtl/>
              </w:rPr>
            </w:pPr>
          </w:p>
        </w:tc>
        <w:tc>
          <w:tcPr>
            <w:tcW w:w="1143" w:type="pct"/>
            <w:tcBorders>
              <w:bottom w:val="single" w:sz="12" w:space="0" w:color="000000" w:themeColor="text1"/>
            </w:tcBorders>
            <w:vAlign w:val="bottom"/>
          </w:tcPr>
          <w:p w:rsidR="00420374" w:rsidRDefault="008C707B" w:rsidP="00937056">
            <w:pPr>
              <w:pStyle w:val="2021"/>
              <w:spacing w:before="0" w:after="60"/>
              <w:rPr>
                <w:spacing w:val="-10"/>
                <w:rtl/>
              </w:rPr>
            </w:pPr>
            <w:r>
              <w:rPr>
                <w:rFonts w:hint="cs"/>
                <w:spacing w:val="-10"/>
                <w:rtl/>
              </w:rPr>
              <w:t xml:space="preserve">20 </w:t>
            </w:r>
            <w:r w:rsidRPr="003901DA">
              <w:rPr>
                <w:rFonts w:hint="cs"/>
                <w:spacing w:val="-10"/>
                <w:sz w:val="26"/>
                <w:szCs w:val="26"/>
                <w:rtl/>
              </w:rPr>
              <w:t>עובדים</w:t>
            </w:r>
            <w:r>
              <w:rPr>
                <w:rFonts w:hint="cs"/>
                <w:spacing w:val="-10"/>
                <w:rtl/>
              </w:rPr>
              <w:t xml:space="preserve"> </w:t>
            </w:r>
          </w:p>
        </w:tc>
      </w:tr>
      <w:tr w:rsidR="00EA14FF" w:rsidTr="003901DA">
        <w:tc>
          <w:tcPr>
            <w:tcW w:w="1164" w:type="pct"/>
            <w:tcBorders>
              <w:top w:val="single" w:sz="12" w:space="0" w:color="000000" w:themeColor="text1"/>
            </w:tcBorders>
          </w:tcPr>
          <w:p w:rsidR="003901DA" w:rsidRPr="00E52143" w:rsidRDefault="008C707B" w:rsidP="003901DA">
            <w:pPr>
              <w:pStyle w:val="732021"/>
              <w:spacing w:before="0"/>
              <w:rPr>
                <w:rtl/>
              </w:rPr>
            </w:pPr>
            <w:r w:rsidRPr="00D00868">
              <w:rPr>
                <w:rFonts w:hint="eastAsia"/>
                <w:rtl/>
              </w:rPr>
              <w:t>דלפו</w:t>
            </w:r>
            <w:r w:rsidRPr="00D00868">
              <w:rPr>
                <w:rtl/>
              </w:rPr>
              <w:t xml:space="preserve"> </w:t>
            </w:r>
            <w:r w:rsidRPr="00D00868">
              <w:rPr>
                <w:rFonts w:hint="eastAsia"/>
                <w:rtl/>
              </w:rPr>
              <w:t>בעולם</w:t>
            </w:r>
            <w:r w:rsidRPr="00D00868">
              <w:rPr>
                <w:rtl/>
              </w:rPr>
              <w:t xml:space="preserve"> </w:t>
            </w:r>
            <w:r w:rsidRPr="00D00868">
              <w:rPr>
                <w:rFonts w:hint="eastAsia"/>
                <w:rtl/>
              </w:rPr>
              <w:t>בשנת</w:t>
            </w:r>
            <w:r w:rsidRPr="00D00868">
              <w:rPr>
                <w:rtl/>
              </w:rPr>
              <w:t xml:space="preserve"> 2021 </w:t>
            </w:r>
            <w:r w:rsidRPr="00D00868">
              <w:rPr>
                <w:rFonts w:hint="eastAsia"/>
                <w:rtl/>
              </w:rPr>
              <w:t>עקב</w:t>
            </w:r>
            <w:r w:rsidRPr="00D00868">
              <w:rPr>
                <w:rtl/>
              </w:rPr>
              <w:t xml:space="preserve"> </w:t>
            </w:r>
            <w:r w:rsidRPr="00D00868">
              <w:rPr>
                <w:rFonts w:hint="eastAsia"/>
                <w:rtl/>
              </w:rPr>
              <w:t>תקיפות</w:t>
            </w:r>
            <w:r w:rsidRPr="00D00868">
              <w:rPr>
                <w:rtl/>
              </w:rPr>
              <w:t xml:space="preserve"> </w:t>
            </w:r>
            <w:r w:rsidRPr="00D00868">
              <w:rPr>
                <w:rFonts w:hint="eastAsia"/>
                <w:rtl/>
              </w:rPr>
              <w:t>סייבר</w:t>
            </w:r>
          </w:p>
        </w:tc>
        <w:tc>
          <w:tcPr>
            <w:tcW w:w="161" w:type="pct"/>
          </w:tcPr>
          <w:p w:rsidR="003901DA" w:rsidRPr="00E52143" w:rsidRDefault="003901DA" w:rsidP="003901DA">
            <w:pPr>
              <w:pStyle w:val="732021"/>
              <w:spacing w:before="0"/>
              <w:rPr>
                <w:rtl/>
              </w:rPr>
            </w:pPr>
          </w:p>
        </w:tc>
        <w:tc>
          <w:tcPr>
            <w:tcW w:w="1038" w:type="pct"/>
            <w:tcBorders>
              <w:top w:val="single" w:sz="12" w:space="0" w:color="000000" w:themeColor="text1"/>
            </w:tcBorders>
          </w:tcPr>
          <w:p w:rsidR="003901DA" w:rsidRPr="00D00868" w:rsidRDefault="008C707B" w:rsidP="003901DA">
            <w:pPr>
              <w:pStyle w:val="732021"/>
              <w:spacing w:before="0"/>
              <w:rPr>
                <w:rtl/>
              </w:rPr>
            </w:pPr>
            <w:r w:rsidRPr="00D00868">
              <w:rPr>
                <w:rFonts w:hint="cs"/>
                <w:rtl/>
              </w:rPr>
              <w:t>הממוצע היומי של תקיפות הסייבר על בט"ל</w:t>
            </w:r>
          </w:p>
          <w:p w:rsidR="003901DA" w:rsidRPr="00E52143" w:rsidRDefault="003901DA" w:rsidP="003901DA">
            <w:pPr>
              <w:pStyle w:val="732021"/>
              <w:spacing w:before="0"/>
              <w:rPr>
                <w:rtl/>
              </w:rPr>
            </w:pPr>
          </w:p>
        </w:tc>
        <w:tc>
          <w:tcPr>
            <w:tcW w:w="161" w:type="pct"/>
          </w:tcPr>
          <w:p w:rsidR="003901DA" w:rsidRPr="00E52143" w:rsidRDefault="003901DA" w:rsidP="003901DA">
            <w:pPr>
              <w:pStyle w:val="732021"/>
              <w:spacing w:before="0"/>
              <w:rPr>
                <w:rtl/>
              </w:rPr>
            </w:pPr>
          </w:p>
        </w:tc>
        <w:tc>
          <w:tcPr>
            <w:tcW w:w="1151" w:type="pct"/>
            <w:tcBorders>
              <w:top w:val="single" w:sz="12" w:space="0" w:color="000000" w:themeColor="text1"/>
            </w:tcBorders>
          </w:tcPr>
          <w:p w:rsidR="003901DA" w:rsidRPr="00E52143" w:rsidRDefault="008C707B" w:rsidP="003901DA">
            <w:pPr>
              <w:pStyle w:val="732021"/>
              <w:spacing w:before="0"/>
              <w:rPr>
                <w:rtl/>
              </w:rPr>
            </w:pPr>
            <w:r w:rsidRPr="00D00868">
              <w:rPr>
                <w:rFonts w:hint="cs"/>
                <w:rtl/>
              </w:rPr>
              <w:t xml:space="preserve">גודל  בסיס הנתונים </w:t>
            </w:r>
            <w:r w:rsidRPr="00D00868">
              <w:rPr>
                <w:rFonts w:hint="eastAsia"/>
                <w:rtl/>
              </w:rPr>
              <w:t>של</w:t>
            </w:r>
            <w:r w:rsidRPr="00D00868">
              <w:rPr>
                <w:rtl/>
              </w:rPr>
              <w:t xml:space="preserve"> </w:t>
            </w:r>
            <w:r w:rsidRPr="00D00868">
              <w:rPr>
                <w:rFonts w:hint="eastAsia"/>
                <w:rtl/>
              </w:rPr>
              <w:t>בט</w:t>
            </w:r>
            <w:r w:rsidRPr="00D00868">
              <w:rPr>
                <w:rtl/>
              </w:rPr>
              <w:t>"ל</w:t>
            </w:r>
            <w:r w:rsidRPr="00D00868">
              <w:rPr>
                <w:rFonts w:hint="cs"/>
                <w:rtl/>
              </w:rPr>
              <w:t xml:space="preserve"> הכולל שדות על הנתונים האישיים של כ-9.5 מיליון  מבוטחים </w:t>
            </w:r>
            <w:r w:rsidRPr="00D00868">
              <w:rPr>
                <w:rFonts w:hint="eastAsia"/>
                <w:rtl/>
              </w:rPr>
              <w:t>בישראל</w:t>
            </w:r>
          </w:p>
        </w:tc>
        <w:tc>
          <w:tcPr>
            <w:tcW w:w="182" w:type="pct"/>
          </w:tcPr>
          <w:p w:rsidR="003901DA" w:rsidRPr="00E52143" w:rsidRDefault="003901DA" w:rsidP="003901DA">
            <w:pPr>
              <w:pStyle w:val="732021"/>
              <w:spacing w:before="0"/>
              <w:rPr>
                <w:rtl/>
              </w:rPr>
            </w:pPr>
          </w:p>
        </w:tc>
        <w:tc>
          <w:tcPr>
            <w:tcW w:w="1143" w:type="pct"/>
            <w:tcBorders>
              <w:top w:val="single" w:sz="12" w:space="0" w:color="000000" w:themeColor="text1"/>
            </w:tcBorders>
          </w:tcPr>
          <w:p w:rsidR="003901DA" w:rsidRPr="00E52143" w:rsidRDefault="008C707B" w:rsidP="003901DA">
            <w:pPr>
              <w:pStyle w:val="732021"/>
              <w:spacing w:before="0"/>
              <w:rPr>
                <w:rtl/>
              </w:rPr>
            </w:pPr>
            <w:r w:rsidRPr="00D00868">
              <w:rPr>
                <w:rFonts w:hint="cs"/>
                <w:rtl/>
              </w:rPr>
              <w:t xml:space="preserve"> בבט"ל (מהם 6 סטודנטים)</w:t>
            </w:r>
            <w:r>
              <w:rPr>
                <w:rtl/>
              </w:rPr>
              <w:br/>
            </w:r>
            <w:r w:rsidRPr="00D00868">
              <w:rPr>
                <w:rFonts w:hint="cs"/>
                <w:rtl/>
              </w:rPr>
              <w:t xml:space="preserve">מבצעים את הפיקוח על אבטחת המידע במערכות הממוחשבות שלו. </w:t>
            </w:r>
            <w:r>
              <w:rPr>
                <w:rtl/>
              </w:rPr>
              <w:br/>
            </w:r>
            <w:r w:rsidRPr="00D00868">
              <w:rPr>
                <w:rFonts w:hint="cs"/>
                <w:rtl/>
              </w:rPr>
              <w:t xml:space="preserve">לשם ההשוואה, לצה"ל המבצע גם הוא פיקוח עצמי </w:t>
            </w:r>
            <w:r w:rsidRPr="00D00868">
              <w:rPr>
                <w:rtl/>
              </w:rPr>
              <w:t xml:space="preserve"> יש אגף תקשוב וההגנה </w:t>
            </w:r>
            <w:r w:rsidRPr="00D00868">
              <w:rPr>
                <w:rFonts w:hint="eastAsia"/>
                <w:rtl/>
              </w:rPr>
              <w:t>בסב</w:t>
            </w:r>
            <w:r w:rsidRPr="00D00868">
              <w:rPr>
                <w:rtl/>
              </w:rPr>
              <w:t>"ר (סביבת רשת) ב</w:t>
            </w:r>
            <w:r w:rsidRPr="00D00868">
              <w:rPr>
                <w:rFonts w:hint="cs"/>
                <w:rtl/>
              </w:rPr>
              <w:t>פיקוד</w:t>
            </w:r>
            <w:r w:rsidRPr="00D00868">
              <w:rPr>
                <w:rtl/>
              </w:rPr>
              <w:t xml:space="preserve"> קצין בדרגת אלוף</w:t>
            </w:r>
          </w:p>
        </w:tc>
      </w:tr>
    </w:tbl>
    <w:p w:rsidR="00420374" w:rsidRPr="00C62692" w:rsidRDefault="008C707B" w:rsidP="00420374">
      <w:pPr>
        <w:pStyle w:val="732"/>
        <w:rPr>
          <w:rtl/>
        </w:rPr>
      </w:pPr>
      <w:r w:rsidRPr="00C62692">
        <w:rPr>
          <w:rtl/>
        </w:rPr>
        <w:t>פעולות הביקורת</w:t>
      </w:r>
    </w:p>
    <w:p w:rsidR="00EC5A96" w:rsidRDefault="008C707B" w:rsidP="00420374">
      <w:pPr>
        <w:pStyle w:val="73f7"/>
        <w:rPr>
          <w:rtl/>
        </w:rPr>
      </w:pPr>
      <w:r w:rsidRPr="001F3363">
        <w:rPr>
          <w:noProof/>
        </w:rPr>
        <w:drawing>
          <wp:anchor distT="0" distB="0" distL="114300" distR="114300" simplePos="0" relativeHeight="25168281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01DA" w:rsidRPr="00D00868">
        <w:rPr>
          <w:rFonts w:hint="cs"/>
          <w:noProof/>
          <w:rtl/>
        </w:rPr>
        <w:t>בחודשים אוקטובר - דצמבר 2022 בדק משרד מבקר המדינה את נושא אסדרת הגנת הסייבר בבט"ל. הבדיקה כללה מיפוי של הגופים המאסדרים את בט"ל כיום, בחינת הנזק האפשרי מהיעדר גורם מאסדר קבוע ובחינת הצורך בשינוי גורמי האסדרה. הביקורת נערכה בבט"ל, במערך הסייבר הלאומי, בשירות הביטחון הכללי וברשות להגנת הפרטיות במשרד המשפטים.</w:t>
      </w:r>
      <w:r w:rsidR="003901DA">
        <w:rPr>
          <w:noProof/>
          <w:rtl/>
        </w:rPr>
        <w:t xml:space="preserve"> </w:t>
      </w:r>
      <w:r w:rsidR="003901DA" w:rsidRPr="00D00868">
        <w:rPr>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Pr>
          <w:rFonts w:hint="cs"/>
          <w:rtl/>
        </w:rPr>
        <w:t>.</w:t>
      </w:r>
      <w:r w:rsidRPr="001F3363">
        <w:rPr>
          <w:rFonts w:hint="cs"/>
          <w:rtl/>
        </w:rPr>
        <w:t xml:space="preserve"> </w:t>
      </w:r>
    </w:p>
    <w:p w:rsidR="00EC5A96" w:rsidRDefault="008C707B">
      <w:pPr>
        <w:bidi w:val="0"/>
        <w:spacing w:after="200" w:line="276" w:lineRule="auto"/>
        <w:rPr>
          <w:rFonts w:ascii="Tahoma" w:hAnsi="Tahoma" w:cs="Tahoma"/>
          <w:color w:val="0D0D0D" w:themeColor="text1" w:themeTint="F2"/>
          <w:sz w:val="18"/>
          <w:szCs w:val="18"/>
          <w:rtl/>
        </w:rPr>
      </w:pPr>
      <w:r>
        <w:rPr>
          <w:rtl/>
        </w:rPr>
        <w:br w:type="page"/>
      </w:r>
    </w:p>
    <w:p w:rsidR="002753C7" w:rsidRPr="00662020" w:rsidRDefault="008C707B" w:rsidP="002753C7">
      <w:pPr>
        <w:pStyle w:val="73fd"/>
        <w:rPr>
          <w:rtl/>
        </w:rPr>
      </w:pPr>
      <w:r w:rsidRPr="00662020">
        <w:rPr>
          <w:rFonts w:hint="cs"/>
          <w:rtl/>
        </w:rPr>
        <w:lastRenderedPageBreak/>
        <w:t>תמונת המצב העולה מן הביקורת</w:t>
      </w:r>
    </w:p>
    <w:p w:rsidR="002753C7" w:rsidRPr="001F3363" w:rsidRDefault="008C707B" w:rsidP="00420374">
      <w:pPr>
        <w:pStyle w:val="73f7"/>
        <w:rPr>
          <w:rtl/>
        </w:rPr>
      </w:pPr>
      <w:r w:rsidRPr="00362C00">
        <w:rPr>
          <w:noProof/>
          <w:rtl/>
        </w:rPr>
        <w:drawing>
          <wp:anchor distT="0" distB="0" distL="114300" distR="114300" simplePos="0" relativeHeight="251683840" behindDoc="0" locked="0" layoutInCell="1" allowOverlap="1">
            <wp:simplePos x="0" y="0"/>
            <wp:positionH relativeFrom="column">
              <wp:posOffset>2590444</wp:posOffset>
            </wp:positionH>
            <wp:positionV relativeFrom="paragraph">
              <wp:posOffset>45974</wp:posOffset>
            </wp:positionV>
            <wp:extent cx="2101215" cy="172085"/>
            <wp:effectExtent l="0" t="0" r="0" b="5715"/>
            <wp:wrapSquare wrapText="bothSides"/>
            <wp:docPr id="15" name="תמונה 2" descr="ממצאים שליל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303B4E" w:rsidRDefault="008C707B" w:rsidP="00303B4E">
      <w:pPr>
        <w:pStyle w:val="73f7"/>
        <w:rPr>
          <w:rtl/>
        </w:rPr>
      </w:pPr>
      <w:r w:rsidRPr="003901DA">
        <w:rPr>
          <w:rStyle w:val="7371"/>
          <w:rFonts w:hint="cs"/>
          <w:noProof/>
          <w:rtl/>
        </w:rPr>
        <w:drawing>
          <wp:anchor distT="0" distB="0" distL="71755" distR="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901DA" w:rsidRPr="003901DA">
        <w:rPr>
          <w:rStyle w:val="7371"/>
          <w:rFonts w:hint="cs"/>
          <w:rtl/>
        </w:rPr>
        <w:t>האסדרה של הרשות להגנת הפרטיות מול המוסד לביטוח לאומי</w:t>
      </w:r>
      <w:r w:rsidR="003901DA" w:rsidRPr="00D00868">
        <w:rPr>
          <w:rFonts w:hint="cs"/>
          <w:rtl/>
        </w:rPr>
        <w:t xml:space="preserve"> - </w:t>
      </w:r>
      <w:r w:rsidR="003901DA" w:rsidRPr="00D00868">
        <w:rPr>
          <w:rtl/>
        </w:rPr>
        <w:t>בביקורת עלה כי מאז הקמת הרשות להגנת הפרטיות</w:t>
      </w:r>
      <w:r w:rsidR="003901DA" w:rsidRPr="00D00868">
        <w:rPr>
          <w:rFonts w:hint="cs"/>
          <w:rtl/>
        </w:rPr>
        <w:t xml:space="preserve"> </w:t>
      </w:r>
      <w:r w:rsidR="003901DA" w:rsidRPr="00D00868">
        <w:rPr>
          <w:rtl/>
        </w:rPr>
        <w:t>בשנת 2006</w:t>
      </w:r>
      <w:r w:rsidR="003901DA" w:rsidRPr="00D00868">
        <w:rPr>
          <w:rFonts w:hint="cs"/>
          <w:rtl/>
        </w:rPr>
        <w:t xml:space="preserve"> </w:t>
      </w:r>
      <w:r w:rsidR="003901DA" w:rsidRPr="00D00868">
        <w:rPr>
          <w:rtl/>
        </w:rPr>
        <w:t>ועד מועד סיום הביקורת (</w:t>
      </w:r>
      <w:r w:rsidR="003901DA" w:rsidRPr="00D00868">
        <w:rPr>
          <w:rFonts w:hint="cs"/>
          <w:rtl/>
        </w:rPr>
        <w:t>יותר</w:t>
      </w:r>
      <w:r w:rsidR="003901DA" w:rsidRPr="00D00868">
        <w:rPr>
          <w:rtl/>
        </w:rPr>
        <w:t xml:space="preserve"> מ-16 שנה) ביצעה הרשות </w:t>
      </w:r>
      <w:r w:rsidR="003901DA" w:rsidRPr="00D00868">
        <w:rPr>
          <w:rFonts w:hint="eastAsia"/>
          <w:rtl/>
        </w:rPr>
        <w:t>להגנת</w:t>
      </w:r>
      <w:r w:rsidR="003901DA" w:rsidRPr="00D00868">
        <w:rPr>
          <w:rtl/>
        </w:rPr>
        <w:t xml:space="preserve"> </w:t>
      </w:r>
      <w:r w:rsidR="003901DA" w:rsidRPr="00D00868">
        <w:rPr>
          <w:rFonts w:hint="eastAsia"/>
          <w:rtl/>
        </w:rPr>
        <w:t>הפרטיות</w:t>
      </w:r>
      <w:r w:rsidR="003901DA" w:rsidRPr="00D00868">
        <w:rPr>
          <w:rFonts w:hint="cs"/>
          <w:rtl/>
        </w:rPr>
        <w:t xml:space="preserve"> שישה </w:t>
      </w:r>
      <w:r w:rsidR="003901DA" w:rsidRPr="00D00868">
        <w:rPr>
          <w:rtl/>
        </w:rPr>
        <w:t>הליכים</w:t>
      </w:r>
      <w:r w:rsidR="003901DA" w:rsidRPr="00D00868">
        <w:rPr>
          <w:rFonts w:hint="cs"/>
          <w:rtl/>
        </w:rPr>
        <w:t xml:space="preserve"> </w:t>
      </w:r>
      <w:r w:rsidR="003901DA" w:rsidRPr="00D00868">
        <w:rPr>
          <w:rFonts w:hint="eastAsia"/>
          <w:rtl/>
        </w:rPr>
        <w:t>מינהליים</w:t>
      </w:r>
      <w:r w:rsidR="003901DA" w:rsidRPr="00D00868">
        <w:rPr>
          <w:rtl/>
        </w:rPr>
        <w:t xml:space="preserve"> </w:t>
      </w:r>
      <w:r w:rsidR="003901DA" w:rsidRPr="00D00868">
        <w:rPr>
          <w:rFonts w:hint="cs"/>
          <w:rtl/>
        </w:rPr>
        <w:t>בנושא אבטחת מידע בבט"ל. אשר לפיקוח רוחב, רק באוגוסט 2022 החלה הרשות להגנת הפרטיות לבצע בפעם הראשונה פיקוח רוחב בבט"ל</w:t>
      </w:r>
      <w:r w:rsidRPr="00303B4E">
        <w:rPr>
          <w:rtl/>
        </w:rPr>
        <w:t>.</w:t>
      </w:r>
    </w:p>
    <w:p w:rsidR="00420374" w:rsidRPr="0093709F" w:rsidRDefault="008C707B" w:rsidP="00DA022A">
      <w:pPr>
        <w:pStyle w:val="7392"/>
        <w:ind w:left="424"/>
      </w:pPr>
      <w:r w:rsidRPr="003901DA">
        <w:rPr>
          <w:rStyle w:val="7371"/>
          <w:rFonts w:hint="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901DA" w:rsidRPr="003901DA">
        <w:rPr>
          <w:rStyle w:val="7371"/>
          <w:rFonts w:hint="cs"/>
          <w:rtl/>
        </w:rPr>
        <w:t>האסדרה של</w:t>
      </w:r>
      <w:r w:rsidR="003901DA" w:rsidRPr="003901DA">
        <w:rPr>
          <w:rStyle w:val="7371"/>
          <w:rtl/>
        </w:rPr>
        <w:t xml:space="preserve"> </w:t>
      </w:r>
      <w:r w:rsidR="003901DA" w:rsidRPr="003901DA">
        <w:rPr>
          <w:rStyle w:val="7371"/>
          <w:rFonts w:hint="eastAsia"/>
          <w:rtl/>
        </w:rPr>
        <w:t>שירות</w:t>
      </w:r>
      <w:r w:rsidR="003901DA" w:rsidRPr="003901DA">
        <w:rPr>
          <w:rStyle w:val="7371"/>
          <w:rtl/>
        </w:rPr>
        <w:t xml:space="preserve"> </w:t>
      </w:r>
      <w:r w:rsidR="003901DA" w:rsidRPr="003901DA">
        <w:rPr>
          <w:rStyle w:val="7371"/>
          <w:rFonts w:hint="eastAsia"/>
          <w:rtl/>
        </w:rPr>
        <w:t>הביטחון</w:t>
      </w:r>
      <w:r w:rsidR="003901DA" w:rsidRPr="003901DA">
        <w:rPr>
          <w:rStyle w:val="7371"/>
          <w:rtl/>
        </w:rPr>
        <w:t xml:space="preserve"> </w:t>
      </w:r>
      <w:r w:rsidR="003901DA" w:rsidRPr="003901DA">
        <w:rPr>
          <w:rStyle w:val="7371"/>
          <w:rFonts w:hint="eastAsia"/>
          <w:rtl/>
        </w:rPr>
        <w:t>הכללי</w:t>
      </w:r>
      <w:r w:rsidR="003901DA" w:rsidRPr="003901DA">
        <w:rPr>
          <w:rStyle w:val="7371"/>
          <w:rtl/>
        </w:rPr>
        <w:t xml:space="preserve"> </w:t>
      </w:r>
      <w:r w:rsidR="003901DA" w:rsidRPr="003901DA">
        <w:rPr>
          <w:rStyle w:val="7371"/>
          <w:rFonts w:hint="eastAsia"/>
          <w:rtl/>
        </w:rPr>
        <w:t>ו</w:t>
      </w:r>
      <w:r w:rsidR="003901DA" w:rsidRPr="003901DA">
        <w:rPr>
          <w:rStyle w:val="7371"/>
          <w:rFonts w:hint="cs"/>
          <w:rtl/>
        </w:rPr>
        <w:t xml:space="preserve">הממשק של </w:t>
      </w:r>
      <w:r w:rsidR="003901DA" w:rsidRPr="003901DA">
        <w:rPr>
          <w:rStyle w:val="7371"/>
          <w:rFonts w:hint="eastAsia"/>
          <w:rtl/>
        </w:rPr>
        <w:t>מערך</w:t>
      </w:r>
      <w:r w:rsidR="003901DA" w:rsidRPr="003901DA">
        <w:rPr>
          <w:rStyle w:val="7371"/>
          <w:rtl/>
        </w:rPr>
        <w:t xml:space="preserve"> </w:t>
      </w:r>
      <w:r w:rsidR="003901DA" w:rsidRPr="003901DA">
        <w:rPr>
          <w:rStyle w:val="7371"/>
          <w:rFonts w:hint="eastAsia"/>
          <w:rtl/>
        </w:rPr>
        <w:t>הסייבר</w:t>
      </w:r>
      <w:r w:rsidR="003901DA" w:rsidRPr="003901DA">
        <w:rPr>
          <w:rStyle w:val="7371"/>
          <w:rtl/>
        </w:rPr>
        <w:t xml:space="preserve"> </w:t>
      </w:r>
      <w:r w:rsidR="003901DA" w:rsidRPr="003901DA">
        <w:rPr>
          <w:rStyle w:val="7371"/>
          <w:rFonts w:hint="eastAsia"/>
          <w:rtl/>
        </w:rPr>
        <w:t>הלאומי</w:t>
      </w:r>
      <w:r w:rsidR="003901DA" w:rsidRPr="003901DA">
        <w:rPr>
          <w:rStyle w:val="7371"/>
          <w:rtl/>
        </w:rPr>
        <w:t xml:space="preserve"> </w:t>
      </w:r>
      <w:r w:rsidR="003901DA" w:rsidRPr="003901DA">
        <w:rPr>
          <w:rStyle w:val="7371"/>
          <w:rFonts w:hint="eastAsia"/>
          <w:rtl/>
        </w:rPr>
        <w:t>מול</w:t>
      </w:r>
      <w:r w:rsidR="003901DA" w:rsidRPr="003901DA">
        <w:rPr>
          <w:rStyle w:val="7371"/>
          <w:rtl/>
        </w:rPr>
        <w:t xml:space="preserve"> </w:t>
      </w:r>
      <w:r w:rsidR="003901DA" w:rsidRPr="003901DA">
        <w:rPr>
          <w:rStyle w:val="7371"/>
          <w:rFonts w:hint="eastAsia"/>
          <w:rtl/>
        </w:rPr>
        <w:t>המוסד</w:t>
      </w:r>
      <w:r w:rsidR="003901DA" w:rsidRPr="003901DA">
        <w:rPr>
          <w:rStyle w:val="7371"/>
          <w:rtl/>
        </w:rPr>
        <w:t xml:space="preserve"> </w:t>
      </w:r>
      <w:r w:rsidR="003901DA" w:rsidRPr="003901DA">
        <w:rPr>
          <w:rStyle w:val="7371"/>
          <w:rFonts w:hint="eastAsia"/>
          <w:rtl/>
        </w:rPr>
        <w:t>לביטוח</w:t>
      </w:r>
      <w:r w:rsidR="003901DA" w:rsidRPr="003901DA">
        <w:rPr>
          <w:rStyle w:val="7371"/>
          <w:rtl/>
        </w:rPr>
        <w:t xml:space="preserve"> </w:t>
      </w:r>
      <w:r w:rsidR="003901DA" w:rsidRPr="003901DA">
        <w:rPr>
          <w:rStyle w:val="7371"/>
          <w:rFonts w:hint="eastAsia"/>
          <w:rtl/>
        </w:rPr>
        <w:t>לאומי</w:t>
      </w:r>
      <w:r w:rsidR="003901DA" w:rsidRPr="00D00868">
        <w:rPr>
          <w:rFonts w:hint="cs"/>
          <w:rtl/>
        </w:rPr>
        <w:t xml:space="preserve"> - </w:t>
      </w:r>
      <w:r w:rsidR="003901DA" w:rsidRPr="00D00868">
        <w:rPr>
          <w:rtl/>
        </w:rPr>
        <w:t xml:space="preserve">בתוספת השנייה לחוק להסדרת הביטחון מופיעים הגופים הנדרשים להנחיה בנוגע לנושאים </w:t>
      </w:r>
      <w:r w:rsidR="003901DA" w:rsidRPr="00D00868">
        <w:rPr>
          <w:rFonts w:hint="cs"/>
          <w:rtl/>
        </w:rPr>
        <w:t>ש</w:t>
      </w:r>
      <w:r w:rsidR="003901DA" w:rsidRPr="00D00868">
        <w:rPr>
          <w:rtl/>
        </w:rPr>
        <w:t>ס</w:t>
      </w:r>
      <w:r w:rsidR="003901DA" w:rsidRPr="00D00868">
        <w:rPr>
          <w:rFonts w:hint="cs"/>
          <w:rtl/>
        </w:rPr>
        <w:t>י</w:t>
      </w:r>
      <w:r w:rsidR="003901DA" w:rsidRPr="00D00868">
        <w:rPr>
          <w:rtl/>
        </w:rPr>
        <w:t>ווגם שמור עד סודי ביותר</w:t>
      </w:r>
      <w:r w:rsidR="003901DA" w:rsidRPr="00D00868">
        <w:rPr>
          <w:rFonts w:hint="cs"/>
          <w:rtl/>
        </w:rPr>
        <w:t>. גופים אלו מבצעים פיקוח עצמי, ויש בהם יחידות ייעודיות שמטרתן הגנה על מרחב הסייבר</w:t>
      </w:r>
      <w:r w:rsidR="003901DA" w:rsidRPr="00D00868">
        <w:rPr>
          <w:rtl/>
        </w:rPr>
        <w:t>. בתוספת החמישית לחוק להסדרת הביטחון מופיעים הגופים המוגדרים בעלי תשתיות מידע קריטיות</w:t>
      </w:r>
      <w:r w:rsidR="003901DA" w:rsidRPr="00D00868">
        <w:rPr>
          <w:rFonts w:hint="cs"/>
          <w:rtl/>
        </w:rPr>
        <w:t xml:space="preserve"> (תמ"ק) גופים אלו מונחים על ידי מערך הסייבר הלאומי (מס"ל)</w:t>
      </w:r>
      <w:r w:rsidR="003901DA" w:rsidRPr="00D00868">
        <w:rPr>
          <w:rtl/>
        </w:rPr>
        <w:t>.</w:t>
      </w:r>
      <w:r w:rsidR="003901DA" w:rsidRPr="00D00868">
        <w:rPr>
          <w:rFonts w:hint="cs"/>
          <w:rtl/>
        </w:rPr>
        <w:t xml:space="preserve"> עלה כי בט"ל </w:t>
      </w:r>
      <w:r w:rsidR="003901DA" w:rsidRPr="00D00868">
        <w:rPr>
          <w:rFonts w:hint="eastAsia"/>
          <w:rtl/>
        </w:rPr>
        <w:t>א</w:t>
      </w:r>
      <w:r w:rsidR="003901DA" w:rsidRPr="00D00868">
        <w:rPr>
          <w:rFonts w:hint="cs"/>
          <w:rtl/>
        </w:rPr>
        <w:t>ו</w:t>
      </w:r>
      <w:r w:rsidR="003901DA" w:rsidRPr="00D00868">
        <w:rPr>
          <w:rFonts w:hint="eastAsia"/>
          <w:rtl/>
        </w:rPr>
        <w:t>מנם</w:t>
      </w:r>
      <w:r w:rsidR="003901DA" w:rsidRPr="00D00868">
        <w:rPr>
          <w:rFonts w:hint="cs"/>
          <w:rtl/>
        </w:rPr>
        <w:t xml:space="preserve"> מופיע בתוספת השנייה </w:t>
      </w:r>
      <w:r w:rsidR="003901DA" w:rsidRPr="00D00868">
        <w:rPr>
          <w:rFonts w:hint="eastAsia"/>
          <w:rtl/>
        </w:rPr>
        <w:t>אך</w:t>
      </w:r>
      <w:r w:rsidR="003901DA" w:rsidRPr="00D00868">
        <w:rPr>
          <w:rtl/>
        </w:rPr>
        <w:t xml:space="preserve"> </w:t>
      </w:r>
      <w:r w:rsidR="003901DA" w:rsidRPr="00D00868">
        <w:rPr>
          <w:rFonts w:hint="cs"/>
          <w:rtl/>
        </w:rPr>
        <w:t>אינו מוגדר בתוספת החמישית לחוק להסדרת הביטחון אף שהוא גוף שמחזיק במאגר מידע על תושבי מדינת ישראל. לפיכך, בט"ל מקבל הנחיה משב"כ בנוגע לנושאים המסווגים בלבד אך אינו נדרש להנחיה קבועה ממס"ל</w:t>
      </w:r>
      <w:r w:rsidRPr="0093709F">
        <w:rPr>
          <w:rFonts w:hint="cs"/>
          <w:rtl/>
        </w:rPr>
        <w:t xml:space="preserve">. </w:t>
      </w:r>
    </w:p>
    <w:p w:rsidR="00420374" w:rsidRPr="0093709F" w:rsidRDefault="008C707B" w:rsidP="00DA022A">
      <w:pPr>
        <w:pStyle w:val="7392"/>
        <w:ind w:left="424"/>
        <w:rPr>
          <w:rtl/>
        </w:rPr>
      </w:pPr>
      <w:r w:rsidRPr="003901DA">
        <w:rPr>
          <w:rStyle w:val="7371"/>
          <w:rFonts w:hint="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901DA" w:rsidRPr="003901DA">
        <w:rPr>
          <w:rStyle w:val="7371"/>
          <w:rFonts w:hint="eastAsia"/>
          <w:rtl/>
        </w:rPr>
        <w:t>תהליך</w:t>
      </w:r>
      <w:r w:rsidR="003901DA" w:rsidRPr="003901DA">
        <w:rPr>
          <w:rStyle w:val="7371"/>
          <w:rtl/>
        </w:rPr>
        <w:t xml:space="preserve"> </w:t>
      </w:r>
      <w:r w:rsidR="003901DA" w:rsidRPr="003901DA">
        <w:rPr>
          <w:rStyle w:val="7371"/>
          <w:rFonts w:hint="eastAsia"/>
          <w:rtl/>
        </w:rPr>
        <w:t>ה</w:t>
      </w:r>
      <w:r w:rsidR="003901DA" w:rsidRPr="003901DA">
        <w:rPr>
          <w:rStyle w:val="7371"/>
          <w:rtl/>
        </w:rPr>
        <w:t xml:space="preserve">"הנחיה </w:t>
      </w:r>
      <w:r w:rsidR="003901DA" w:rsidRPr="003901DA">
        <w:rPr>
          <w:rStyle w:val="7371"/>
          <w:rFonts w:hint="eastAsia"/>
          <w:rtl/>
        </w:rPr>
        <w:t>מרצון</w:t>
      </w:r>
      <w:r w:rsidR="003901DA" w:rsidRPr="003901DA">
        <w:rPr>
          <w:rStyle w:val="7371"/>
          <w:rtl/>
        </w:rPr>
        <w:t xml:space="preserve">" </w:t>
      </w:r>
      <w:r w:rsidR="003901DA" w:rsidRPr="003901DA">
        <w:rPr>
          <w:rStyle w:val="7371"/>
          <w:rFonts w:hint="eastAsia"/>
          <w:rtl/>
        </w:rPr>
        <w:t>של</w:t>
      </w:r>
      <w:r w:rsidR="003901DA" w:rsidRPr="003901DA">
        <w:rPr>
          <w:rStyle w:val="7371"/>
          <w:rtl/>
        </w:rPr>
        <w:t xml:space="preserve"> </w:t>
      </w:r>
      <w:r w:rsidR="003901DA" w:rsidRPr="003901DA">
        <w:rPr>
          <w:rStyle w:val="7371"/>
          <w:rFonts w:hint="eastAsia"/>
          <w:rtl/>
        </w:rPr>
        <w:t>מערך</w:t>
      </w:r>
      <w:r w:rsidR="003901DA" w:rsidRPr="003901DA">
        <w:rPr>
          <w:rStyle w:val="7371"/>
          <w:rtl/>
        </w:rPr>
        <w:t xml:space="preserve"> </w:t>
      </w:r>
      <w:r w:rsidR="003901DA" w:rsidRPr="003901DA">
        <w:rPr>
          <w:rStyle w:val="7371"/>
          <w:rFonts w:hint="eastAsia"/>
          <w:rtl/>
        </w:rPr>
        <w:t>הסייבר</w:t>
      </w:r>
      <w:r w:rsidR="003901DA" w:rsidRPr="003901DA">
        <w:rPr>
          <w:rStyle w:val="7371"/>
          <w:rtl/>
        </w:rPr>
        <w:t xml:space="preserve"> </w:t>
      </w:r>
      <w:r w:rsidR="003901DA" w:rsidRPr="003901DA">
        <w:rPr>
          <w:rStyle w:val="7371"/>
          <w:rFonts w:hint="eastAsia"/>
          <w:rtl/>
        </w:rPr>
        <w:t>הלאומי</w:t>
      </w:r>
      <w:r w:rsidR="003901DA" w:rsidRPr="00D00868">
        <w:rPr>
          <w:rFonts w:hint="cs"/>
          <w:rtl/>
        </w:rPr>
        <w:t xml:space="preserve"> - החל בשנת 2016 החל מס"ל להנחות את בט"ל "הנחיה מרצון". משמעות הדבר היא שמס"ל מנחה את בט"ל כפי שהוא מנחה את גופי התמ"ק אולם לבט"ל אין חובה ליישם את ההנחיות. </w:t>
      </w:r>
      <w:r w:rsidR="003901DA" w:rsidRPr="00D00868">
        <w:rPr>
          <w:rtl/>
        </w:rPr>
        <w:t xml:space="preserve">משיחות של צוות הביקורת עם בט"ל התברר כי רמת המעורבות של מס"ל לאורך השנים הלכה ופחתה: משנת 2016 עד 2020 ה"הנחיה מרצון" הייתה צמודה וכללה התייעצות שוטפת על בסיס יום-יומי; מסוף 2020 התחלפו שלושה מנחים וההנחיה הייתה </w:t>
      </w:r>
      <w:r w:rsidR="003901DA" w:rsidRPr="00D00868">
        <w:rPr>
          <w:rFonts w:hint="eastAsia"/>
          <w:rtl/>
        </w:rPr>
        <w:t>מועטה</w:t>
      </w:r>
      <w:r w:rsidR="003901DA" w:rsidRPr="00D00868">
        <w:rPr>
          <w:rtl/>
        </w:rPr>
        <w:t xml:space="preserve"> ולא קבועה</w:t>
      </w:r>
      <w:r w:rsidR="003901DA" w:rsidRPr="00D00868">
        <w:rPr>
          <w:rFonts w:hint="cs"/>
          <w:rtl/>
        </w:rPr>
        <w:t>;</w:t>
      </w:r>
      <w:r w:rsidR="003901DA" w:rsidRPr="00D00868">
        <w:rPr>
          <w:rtl/>
        </w:rPr>
        <w:t xml:space="preserve"> ובמועד סיום הביקורת אין מנחה מטעם מס"ל אלא הקשר מתבצע באמצעות המוקד של </w:t>
      </w:r>
      <w:r w:rsidR="003901DA" w:rsidRPr="00D00868">
        <w:rPr>
          <w:rFonts w:hint="eastAsia"/>
          <w:rtl/>
        </w:rPr>
        <w:t>מס</w:t>
      </w:r>
      <w:r w:rsidR="003901DA" w:rsidRPr="00D00868">
        <w:rPr>
          <w:rtl/>
        </w:rPr>
        <w:t>"ל (</w:t>
      </w:r>
      <w:r w:rsidR="003901DA" w:rsidRPr="00D00868">
        <w:t>CERT</w:t>
      </w:r>
      <w:r w:rsidR="003901DA" w:rsidRPr="00D00868">
        <w:rPr>
          <w:rtl/>
        </w:rPr>
        <w:t xml:space="preserve">) המטפל בכלל אירועי הסייבר בישראל. לפיכך לבט"ל אין מענה שוטף </w:t>
      </w:r>
      <w:r w:rsidR="003901DA" w:rsidRPr="00D00868">
        <w:rPr>
          <w:rFonts w:hint="cs"/>
          <w:rtl/>
        </w:rPr>
        <w:t xml:space="preserve">ומערכתי </w:t>
      </w:r>
      <w:r w:rsidR="003901DA" w:rsidRPr="00D00868">
        <w:rPr>
          <w:rtl/>
        </w:rPr>
        <w:t xml:space="preserve">לטיפול </w:t>
      </w:r>
      <w:r w:rsidR="003901DA" w:rsidRPr="00D00868">
        <w:rPr>
          <w:rFonts w:hint="cs"/>
          <w:rtl/>
        </w:rPr>
        <w:t xml:space="preserve">בכלל </w:t>
      </w:r>
      <w:r w:rsidR="003901DA" w:rsidRPr="00D00868">
        <w:rPr>
          <w:rtl/>
        </w:rPr>
        <w:t>אירועי אבטחת מידע</w:t>
      </w:r>
      <w:r w:rsidRPr="0093709F">
        <w:rPr>
          <w:rFonts w:hint="cs"/>
          <w:rtl/>
        </w:rPr>
        <w:t>.</w:t>
      </w:r>
    </w:p>
    <w:p w:rsidR="003901DA" w:rsidRDefault="008C707B" w:rsidP="003901DA">
      <w:pPr>
        <w:pStyle w:val="7392"/>
        <w:ind w:left="424"/>
        <w:rPr>
          <w:rtl/>
        </w:rPr>
      </w:pPr>
      <w:r w:rsidRPr="003901DA">
        <w:rPr>
          <w:rStyle w:val="7371"/>
          <w:rFonts w:hint="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01DA">
        <w:rPr>
          <w:rStyle w:val="7371"/>
          <w:rFonts w:hint="cs"/>
          <w:rtl/>
        </w:rPr>
        <w:t>ה</w:t>
      </w:r>
      <w:r w:rsidRPr="003901DA">
        <w:rPr>
          <w:rStyle w:val="7371"/>
          <w:rFonts w:hint="eastAsia"/>
          <w:rtl/>
        </w:rPr>
        <w:t>ניסיון</w:t>
      </w:r>
      <w:r w:rsidRPr="003901DA">
        <w:rPr>
          <w:rStyle w:val="7371"/>
          <w:rtl/>
        </w:rPr>
        <w:t xml:space="preserve"> </w:t>
      </w:r>
      <w:r w:rsidRPr="003901DA">
        <w:rPr>
          <w:rStyle w:val="7371"/>
          <w:rFonts w:hint="cs"/>
          <w:rtl/>
        </w:rPr>
        <w:t>להגדיר</w:t>
      </w:r>
      <w:r w:rsidRPr="003901DA">
        <w:rPr>
          <w:rStyle w:val="7371"/>
          <w:rtl/>
        </w:rPr>
        <w:t xml:space="preserve"> </w:t>
      </w:r>
      <w:r w:rsidRPr="003901DA">
        <w:rPr>
          <w:rStyle w:val="7371"/>
          <w:rFonts w:hint="eastAsia"/>
          <w:rtl/>
        </w:rPr>
        <w:t>את</w:t>
      </w:r>
      <w:r w:rsidRPr="003901DA">
        <w:rPr>
          <w:rStyle w:val="7371"/>
          <w:rtl/>
        </w:rPr>
        <w:t xml:space="preserve"> </w:t>
      </w:r>
      <w:r w:rsidRPr="003901DA">
        <w:rPr>
          <w:rStyle w:val="7371"/>
          <w:rFonts w:hint="cs"/>
          <w:rtl/>
        </w:rPr>
        <w:t>בט"ל</w:t>
      </w:r>
      <w:r w:rsidRPr="003901DA">
        <w:rPr>
          <w:rStyle w:val="7371"/>
          <w:rtl/>
        </w:rPr>
        <w:t xml:space="preserve"> </w:t>
      </w:r>
      <w:r w:rsidRPr="003901DA">
        <w:rPr>
          <w:rStyle w:val="7371"/>
          <w:rFonts w:hint="eastAsia"/>
          <w:rtl/>
        </w:rPr>
        <w:t>כגוף</w:t>
      </w:r>
      <w:r w:rsidRPr="003901DA">
        <w:rPr>
          <w:rStyle w:val="7371"/>
          <w:rtl/>
        </w:rPr>
        <w:t xml:space="preserve"> </w:t>
      </w:r>
      <w:r w:rsidRPr="003901DA">
        <w:rPr>
          <w:rStyle w:val="7371"/>
          <w:rFonts w:hint="eastAsia"/>
          <w:rtl/>
        </w:rPr>
        <w:t>תשתיות</w:t>
      </w:r>
      <w:r w:rsidRPr="003901DA">
        <w:rPr>
          <w:rStyle w:val="7371"/>
          <w:rtl/>
        </w:rPr>
        <w:t xml:space="preserve"> </w:t>
      </w:r>
      <w:r w:rsidRPr="003901DA">
        <w:rPr>
          <w:rStyle w:val="7371"/>
          <w:rFonts w:hint="eastAsia"/>
          <w:rtl/>
        </w:rPr>
        <w:t>קריטי</w:t>
      </w:r>
      <w:r w:rsidRPr="003901DA">
        <w:rPr>
          <w:rStyle w:val="7371"/>
          <w:rtl/>
        </w:rPr>
        <w:t xml:space="preserve"> (</w:t>
      </w:r>
      <w:r w:rsidRPr="003901DA">
        <w:rPr>
          <w:rStyle w:val="7371"/>
          <w:rFonts w:hint="eastAsia"/>
          <w:rtl/>
        </w:rPr>
        <w:t>תמ</w:t>
      </w:r>
      <w:r w:rsidRPr="003901DA">
        <w:rPr>
          <w:rStyle w:val="7371"/>
          <w:rtl/>
        </w:rPr>
        <w:t>"ק)</w:t>
      </w:r>
      <w:r w:rsidRPr="00D00868">
        <w:rPr>
          <w:rFonts w:hint="cs"/>
          <w:rtl/>
        </w:rPr>
        <w:t xml:space="preserve"> - </w:t>
      </w:r>
      <w:r w:rsidRPr="00D00868">
        <w:rPr>
          <w:rtl/>
        </w:rPr>
        <w:t>בהחלטת הממשלה 84/ב משנת 2002 נקבע כי יש להקים ועדת היגוי עליונה</w:t>
      </w:r>
      <w:r>
        <w:rPr>
          <w:vertAlign w:val="superscript"/>
          <w:rtl/>
        </w:rPr>
        <w:footnoteReference w:id="3"/>
      </w:r>
      <w:r w:rsidRPr="00D00868">
        <w:rPr>
          <w:rFonts w:hint="cs"/>
          <w:rtl/>
        </w:rPr>
        <w:t xml:space="preserve"> </w:t>
      </w:r>
      <w:r w:rsidRPr="00D00868">
        <w:rPr>
          <w:rtl/>
        </w:rPr>
        <w:t xml:space="preserve">שתפקידה לבחון אילו גופים מוגדרים חיוניים ולכן זקוקים להגנה קיברנטית. נמצא כי נכון למועד סיום הביקורת - כשנתיים לאחר דיון בוועדת ההיגוי </w:t>
      </w:r>
      <w:r w:rsidRPr="00D00868">
        <w:rPr>
          <w:rFonts w:hint="cs"/>
          <w:rtl/>
        </w:rPr>
        <w:t xml:space="preserve">להגנה על מערכות ממוחשבות חיוניות שבו הוחלט להתחיל בחינה של בט"ל כגוף תמ"ק, </w:t>
      </w:r>
      <w:r w:rsidRPr="00D00868">
        <w:rPr>
          <w:rtl/>
        </w:rPr>
        <w:t>מס"ל לא החל בהליך הבחינה. בבירור של צוות הביקורת במס"ל הועלה כי בכוונת</w:t>
      </w:r>
      <w:r w:rsidRPr="00D00868">
        <w:rPr>
          <w:rFonts w:hint="cs"/>
          <w:rtl/>
        </w:rPr>
        <w:t xml:space="preserve"> מס"ל</w:t>
      </w:r>
      <w:r w:rsidRPr="00D00868">
        <w:rPr>
          <w:rtl/>
        </w:rPr>
        <w:t xml:space="preserve"> להתחיל בתהליך הבחינה של בט"ל כגוף תמ"ק ברבעון הראשון של שנת 2023. משמעות הדבר היא שבמועד סיום הביקורת בט"ל, המנהל </w:t>
      </w:r>
      <w:r w:rsidRPr="00D00868">
        <w:rPr>
          <w:rFonts w:hint="cs"/>
          <w:rtl/>
        </w:rPr>
        <w:t>מאגר מידע,</w:t>
      </w:r>
      <w:r w:rsidRPr="00D00868">
        <w:rPr>
          <w:rtl/>
        </w:rPr>
        <w:t xml:space="preserve"> אינו מונחה מקצועית באופן שוטף ומחייב, דבר העלול ליצור סיכון</w:t>
      </w:r>
      <w:r w:rsidR="00420374" w:rsidRPr="0093709F">
        <w:rPr>
          <w:rFonts w:hint="cs"/>
          <w:rtl/>
        </w:rPr>
        <w:t xml:space="preserve">. </w:t>
      </w:r>
    </w:p>
    <w:p w:rsidR="003901DA" w:rsidRDefault="008C707B">
      <w:pPr>
        <w:bidi w:val="0"/>
        <w:spacing w:after="200" w:line="276" w:lineRule="auto"/>
        <w:rPr>
          <w:rFonts w:ascii="Tahoma" w:hAnsi="Tahoma" w:cs="Tahoma"/>
          <w:color w:val="0D0D0D" w:themeColor="text1" w:themeTint="F2"/>
          <w:sz w:val="18"/>
          <w:szCs w:val="18"/>
          <w:rtl/>
        </w:rPr>
      </w:pPr>
      <w:r>
        <w:rPr>
          <w:rtl/>
        </w:rPr>
        <w:br w:type="page"/>
      </w:r>
    </w:p>
    <w:p w:rsidR="002753C7" w:rsidRPr="00662020" w:rsidRDefault="008C707B" w:rsidP="002753C7">
      <w:pPr>
        <w:pStyle w:val="73fd"/>
        <w:spacing w:before="480"/>
        <w:rPr>
          <w:rtl/>
        </w:rPr>
      </w:pPr>
      <w:r w:rsidRPr="00662020">
        <w:rPr>
          <w:rFonts w:hint="cs"/>
          <w:rtl/>
        </w:rPr>
        <w:lastRenderedPageBreak/>
        <w:t>עיקרי המלצות הביקורת</w:t>
      </w:r>
    </w:p>
    <w:p w:rsidR="0093709F" w:rsidRPr="007C7D40" w:rsidRDefault="008C707B" w:rsidP="007C7D40">
      <w:pPr>
        <w:pStyle w:val="73f7"/>
      </w:pPr>
      <w:r w:rsidRPr="007C7D40">
        <w:rPr>
          <w:rFonts w:hint="cs"/>
          <w:noProof/>
          <w:rtl/>
        </w:rPr>
        <w:drawing>
          <wp:anchor distT="0" distB="1440180" distL="107950" distR="114300" simplePos="0" relativeHeight="25168896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3901DA" w:rsidRPr="00D00868">
        <w:rPr>
          <w:rFonts w:hint="cs"/>
          <w:rtl/>
        </w:rPr>
        <w:t>מ</w:t>
      </w:r>
      <w:r w:rsidR="003901DA" w:rsidRPr="00D00868">
        <w:rPr>
          <w:rtl/>
        </w:rPr>
        <w:t xml:space="preserve">ומלץ כי ועדת ההיגוי </w:t>
      </w:r>
      <w:r w:rsidR="003901DA" w:rsidRPr="00D00868">
        <w:rPr>
          <w:rFonts w:hint="cs"/>
          <w:rtl/>
        </w:rPr>
        <w:t xml:space="preserve">להגנה על מערכות ממוחשבות חיוניות </w:t>
      </w:r>
      <w:r w:rsidR="003901DA" w:rsidRPr="00D00868">
        <w:rPr>
          <w:rtl/>
        </w:rPr>
        <w:t>תקדם את הבחינה של בט"ל כגוף תמ"ק נוכח היקפי המידע השמורים ב</w:t>
      </w:r>
      <w:r w:rsidR="003901DA" w:rsidRPr="00D00868">
        <w:rPr>
          <w:rFonts w:hint="cs"/>
          <w:rtl/>
        </w:rPr>
        <w:t>ו</w:t>
      </w:r>
      <w:r w:rsidR="003901DA" w:rsidRPr="00D00868">
        <w:rPr>
          <w:rtl/>
        </w:rPr>
        <w:t xml:space="preserve"> והסיכונים</w:t>
      </w:r>
      <w:r w:rsidR="003901DA" w:rsidRPr="00D00868">
        <w:rPr>
          <w:rFonts w:hint="cs"/>
          <w:rtl/>
        </w:rPr>
        <w:t xml:space="preserve"> </w:t>
      </w:r>
      <w:r w:rsidR="003901DA" w:rsidRPr="00D00868">
        <w:rPr>
          <w:rtl/>
        </w:rPr>
        <w:t>לדליפתו</w:t>
      </w:r>
      <w:r w:rsidR="005D0F8C" w:rsidRPr="007C7D40">
        <w:rPr>
          <w:rFonts w:hint="cs"/>
          <w:rtl/>
        </w:rPr>
        <w:t xml:space="preserve">. </w:t>
      </w:r>
    </w:p>
    <w:p w:rsidR="005D0F8C" w:rsidRPr="007C7D40" w:rsidRDefault="008C707B" w:rsidP="007C7D40">
      <w:pPr>
        <w:pStyle w:val="73f7"/>
      </w:pPr>
      <w:r w:rsidRPr="007C7D40">
        <w:rPr>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3901DA" w:rsidRPr="00D00868">
        <w:rPr>
          <w:rtl/>
        </w:rPr>
        <w:t>מומלץ כי עד סיום הבחינה</w:t>
      </w:r>
      <w:r w:rsidR="003901DA" w:rsidRPr="00D00868">
        <w:rPr>
          <w:rFonts w:hint="cs"/>
          <w:rtl/>
        </w:rPr>
        <w:t xml:space="preserve"> של ועדת ההיגוי להגנה על מערכות ממוחשבות</w:t>
      </w:r>
      <w:r w:rsidR="003901DA" w:rsidRPr="00D00868">
        <w:rPr>
          <w:rtl/>
        </w:rPr>
        <w:t xml:space="preserve"> יוסדר ממשק מקצועי בין מס"ל לבט"ל לצורך מתן מענה ישיר, העברת דיווחים, בקרה על תיקון הליקויים וכיו"ב</w:t>
      </w:r>
      <w:r w:rsidRPr="007C7D40">
        <w:rPr>
          <w:rtl/>
        </w:rPr>
        <w:t xml:space="preserve">. </w:t>
      </w:r>
    </w:p>
    <w:p w:rsidR="005D0F8C" w:rsidRPr="007C7D40" w:rsidRDefault="008C707B" w:rsidP="007C7D40">
      <w:pPr>
        <w:pStyle w:val="73f7"/>
        <w:rPr>
          <w:rtl/>
        </w:rPr>
      </w:pPr>
      <w:r w:rsidRPr="007C7D40">
        <w:rPr>
          <w:rFonts w:hint="cs"/>
          <w:noProof/>
          <w:rtl/>
        </w:rPr>
        <w:drawing>
          <wp:anchor distT="0" distB="1440180" distL="107950" distR="114300" simplePos="0" relativeHeight="25169100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3901DA" w:rsidRPr="00D00868">
        <w:rPr>
          <w:rtl/>
        </w:rPr>
        <w:t>מומלץ כי ועדת ההיגוי</w:t>
      </w:r>
      <w:r w:rsidR="003901DA" w:rsidRPr="00D00868">
        <w:rPr>
          <w:rFonts w:hint="cs"/>
          <w:rtl/>
        </w:rPr>
        <w:t xml:space="preserve"> להגנה על מערכות ממוחשבות</w:t>
      </w:r>
      <w:r w:rsidR="003901DA" w:rsidRPr="00D00868">
        <w:rPr>
          <w:rtl/>
        </w:rPr>
        <w:t xml:space="preserve"> תבחן אם יש עוד גופים בעלי מאגרי מידע בהיקפים הדומים לבט"ל שיש לבחון את הגדרתם כגופי תמ"ק, ובכך תשפר את ההגנה על התשתיות החיוניות של מדינת ישראל</w:t>
      </w:r>
      <w:r w:rsidRPr="007C7D40">
        <w:rPr>
          <w:rFonts w:hint="cs"/>
          <w:rtl/>
        </w:rPr>
        <w:t>.</w:t>
      </w:r>
    </w:p>
    <w:p w:rsidR="004E71DD" w:rsidRDefault="008C707B" w:rsidP="005D0F8C">
      <w:pPr>
        <w:pStyle w:val="73f7"/>
        <w:rPr>
          <w:rtl/>
        </w:rPr>
      </w:pPr>
      <w:r w:rsidRPr="00D527BD">
        <w:rPr>
          <w:noProof/>
          <w:szCs w:val="20"/>
          <w:rtl/>
        </w:rPr>
        <w:drawing>
          <wp:anchor distT="0" distB="0" distL="114300" distR="114300" simplePos="0" relativeHeight="251678720" behindDoc="0" locked="0" layoutInCell="1" allowOverlap="1">
            <wp:simplePos x="0" y="0"/>
            <wp:positionH relativeFrom="column">
              <wp:posOffset>-107769</wp:posOffset>
            </wp:positionH>
            <wp:positionV relativeFrom="paragraph">
              <wp:posOffset>231322</wp:posOffset>
            </wp:positionV>
            <wp:extent cx="4731385" cy="627018"/>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53836" cy="629993"/>
                    </a:xfrm>
                    <a:prstGeom prst="rect">
                      <a:avLst/>
                    </a:prstGeom>
                  </pic:spPr>
                </pic:pic>
              </a:graphicData>
            </a:graphic>
            <wp14:sizeRelV relativeFrom="margin">
              <wp14:pctHeight>0</wp14:pctHeight>
            </wp14:sizeRelV>
          </wp:anchor>
        </w:drawing>
      </w:r>
    </w:p>
    <w:p w:rsidR="005D0F8C" w:rsidRDefault="008C707B" w:rsidP="004E71DD">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83820</wp:posOffset>
                </wp:positionH>
                <wp:positionV relativeFrom="paragraph">
                  <wp:posOffset>47717</wp:posOffset>
                </wp:positionV>
                <wp:extent cx="4436745" cy="313508"/>
                <wp:effectExtent l="0" t="0" r="0" b="4445"/>
                <wp:wrapNone/>
                <wp:docPr id="1451066629" name="Text Box 2" descr="גורמי האסדרה בתחום אבטחת המידע בבט&quot;ל"/>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313508"/>
                        </a:xfrm>
                        <a:prstGeom prst="rect">
                          <a:avLst/>
                        </a:prstGeom>
                        <a:solidFill>
                          <a:srgbClr val="F05260"/>
                        </a:solidFill>
                        <a:ln w="9525">
                          <a:noFill/>
                          <a:miter lim="800000"/>
                          <a:headEnd/>
                          <a:tailEnd/>
                        </a:ln>
                      </wps:spPr>
                      <wps:txbx>
                        <w:txbxContent>
                          <w:p w:rsidR="005D0F8C" w:rsidRPr="005C7ABF" w:rsidRDefault="008C707B" w:rsidP="00662020">
                            <w:pPr>
                              <w:spacing w:line="240" w:lineRule="auto"/>
                              <w:ind w:right="113"/>
                              <w:suppressOverlap/>
                              <w:jc w:val="left"/>
                              <w:rPr>
                                <w:rFonts w:ascii="Tahoma" w:hAnsi="Tahoma" w:cs="Tahoma"/>
                                <w:b/>
                                <w:bCs/>
                                <w:color w:val="FFFFFF" w:themeColor="background1"/>
                                <w:spacing w:val="-4"/>
                                <w:sz w:val="22"/>
                                <w:szCs w:val="22"/>
                                <w:rtl/>
                              </w:rPr>
                            </w:pPr>
                            <w:r w:rsidRPr="00FD70D7">
                              <w:rPr>
                                <w:rFonts w:ascii="Tahoma" w:hAnsi="Tahoma" w:cs="Tahoma"/>
                                <w:b/>
                                <w:bCs/>
                                <w:color w:val="FFFFFF" w:themeColor="background1"/>
                                <w:spacing w:val="-4"/>
                                <w:sz w:val="22"/>
                                <w:szCs w:val="22"/>
                                <w:rtl/>
                              </w:rPr>
                              <w:t>גורמי האסדרה בתחום אבטחת המידע בבט"ל</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7" type="#_x0000_t202" alt="גורמי האסדרה בתחום אבטחת המידע בבט&quot;ל" style="position:absolute;left:0;text-align:left;margin-left:6.6pt;margin-top:3.75pt;width:349.35pt;height:2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r5bgIAAGMEAAAOAAAAZHJzL2Uyb0RvYy54bWysVM1u1DAQviPxDpYP3GiyabJtQ7MVFIqQ&#10;yo/U8gBex9lEOJ7U9m5SnoJCESABEpxQX8ivw9jplgVuiBwsj2fmm5lvZrJ/MLSSrIQ2DaiCTrZi&#10;SoTiUDZqUdCXp0d3dykxlqmSSVCioOfC0IPZ7Vv7fZeLBGqQpdAEQZTJ+66gtbVdHkWG16JlZgs6&#10;oVBZgW6ZRVEvolKzHtFbGSVxPI160GWngQtj8PXhqKSzgF9VgtvnVWWEJbKgmJsNpw7n3J/RbJ/l&#10;C826uuHXabB/yKJljcKgN1APmWVkqZu/oNqGazBQ2S0ObQRV1XARasBqJvEf1ZzUrBOhFiTHdDc0&#10;mf8Hy5+tXmjSlNi7NJvE0+k02aNEsRZ7dSoGSx7AQBJKSmE40ubeuvfuh/vqPhF36d64b+4dipfE&#10;Xbgr9wF1Xwi+XriPKFx5E7REk+/eAF/vnC3B3nOfPe19Z3KMftJhfDtgGEwhUGi6Y+CvDFFwWDO1&#10;EPe1hr4WrMSyJ94z2nAdcYwHmfdPocS02dJCABoq3fqeIMsE0bH95zct96VxfEzT7elOmlHCUbc9&#10;2c7i3RCC5WvvThv7WEBL/KWgGkcqoLPVsbE+G5avTXwwA7Ipjxopg6AX80OpyYrh+B3FWTINE4cu&#10;v5lJRfqC7mVJFpAVeP8wmW1jcT1k0xZ0N/bfOLCejUeqDCaWNXK8I6xU1/R4RkZu7DAfxgavWZ9D&#10;eY58aRi3AbcXLzXo15T0uAkFNWdLpgUl8olCzvcmaepXJwhptpOgoDc1800NUxyhCsqtpmQUDm1Y&#10;uHXncJIDa9db51dlUw4F/Po3zH4CAAD//wMAUEsDBBQABgAIAAAAIQALdP/F3gAAAAcBAAAPAAAA&#10;ZHJzL2Rvd25yZXYueG1sTI7BTsMwEETvSPyDtUhcEHXSqg0NcaoUQS89IAri7MRLYhGvo9htA1/P&#10;coLjaEZvXrGZXC9OOAbrSUE6S0AgNd5YahW8vT7d3oEIUZPRvSdU8IUBNuXlRaFz48/0gqdDbAVD&#10;KORaQRfjkEsZmg6dDjM/IHH34UenI8exlWbUZ4a7Xs6TZCWdtsQPnR7wocPm83B0Cp4rbXe1v0n2&#10;i+/MPm6377tq75S6vpqqexARp/g3hl99VoeSnWp/JBNEz3kx56WCbAmC6yxN1yBqBcvVGmRZyP/+&#10;5Q8AAAD//wMAUEsBAi0AFAAGAAgAAAAhALaDOJL+AAAA4QEAABMAAAAAAAAAAAAAAAAAAAAAAFtD&#10;b250ZW50X1R5cGVzXS54bWxQSwECLQAUAAYACAAAACEAOP0h/9YAAACUAQAACwAAAAAAAAAAAAAA&#10;AAAvAQAAX3JlbHMvLnJlbHNQSwECLQAUAAYACAAAACEAbAAa+W4CAABjBAAADgAAAAAAAAAAAAAA&#10;AAAuAgAAZHJzL2Uyb0RvYy54bWxQSwECLQAUAAYACAAAACEAC3T/xd4AAAAHAQAADwAAAAAAAAAA&#10;AAAAAADIBAAAZHJzL2Rvd25yZXYueG1sUEsFBgAAAAAEAAQA8wAAANMFAAAAAA==&#10;" fillcolor="#f05260" stroked="f">
                <v:textbox>
                  <w:txbxContent>
                    <w:p w:rsidR="005D0F8C" w:rsidRPr="005C7ABF" w:rsidRDefault="008C707B" w:rsidP="00662020">
                      <w:pPr>
                        <w:spacing w:line="240" w:lineRule="auto"/>
                        <w:ind w:right="113"/>
                        <w:suppressOverlap/>
                        <w:jc w:val="left"/>
                        <w:rPr>
                          <w:rFonts w:ascii="Tahoma" w:hAnsi="Tahoma" w:cs="Tahoma"/>
                          <w:b/>
                          <w:bCs/>
                          <w:color w:val="FFFFFF" w:themeColor="background1"/>
                          <w:spacing w:val="-4"/>
                          <w:sz w:val="22"/>
                          <w:szCs w:val="22"/>
                          <w:rtl/>
                        </w:rPr>
                      </w:pPr>
                      <w:r w:rsidRPr="00FD70D7">
                        <w:rPr>
                          <w:rFonts w:ascii="Tahoma" w:hAnsi="Tahoma" w:cs="Tahoma"/>
                          <w:b/>
                          <w:bCs/>
                          <w:color w:val="FFFFFF" w:themeColor="background1"/>
                          <w:spacing w:val="-4"/>
                          <w:sz w:val="22"/>
                          <w:szCs w:val="22"/>
                          <w:rtl/>
                        </w:rPr>
                        <w:t>גורמי האסדרה בתחום אבטחת המידע בבט"ל</w:t>
                      </w:r>
                    </w:p>
                  </w:txbxContent>
                </v:textbox>
              </v:shape>
            </w:pict>
          </mc:Fallback>
        </mc:AlternateContent>
      </w:r>
      <w:r>
        <w:rPr>
          <w:rtl/>
        </w:rPr>
        <w:t xml:space="preserve"> </w:t>
      </w:r>
    </w:p>
    <w:p w:rsidR="005D0F8C" w:rsidRDefault="008C707B" w:rsidP="005D0F8C">
      <w:pPr>
        <w:pStyle w:val="73f7"/>
        <w:rPr>
          <w:rtl/>
        </w:rPr>
      </w:pPr>
      <w:r>
        <w:rPr>
          <w:noProof/>
          <w:sz w:val="19"/>
          <w:szCs w:val="19"/>
        </w:rPr>
        <w:drawing>
          <wp:anchor distT="0" distB="0" distL="114300" distR="114300" simplePos="0" relativeHeight="251681792" behindDoc="0" locked="0" layoutInCell="1" allowOverlap="1">
            <wp:simplePos x="0" y="0"/>
            <wp:positionH relativeFrom="column">
              <wp:posOffset>255905</wp:posOffset>
            </wp:positionH>
            <wp:positionV relativeFrom="paragraph">
              <wp:posOffset>327025</wp:posOffset>
            </wp:positionV>
            <wp:extent cx="4005580" cy="4005580"/>
            <wp:effectExtent l="0" t="0" r="0" b="0"/>
            <wp:wrapTopAndBottom/>
            <wp:docPr id="2052772050" name="תמונה 2052772050" descr="תיאור תרשים זה זהה לתיאור תרשים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4005580" cy="4005580"/>
                    </a:xfrm>
                    <a:prstGeom prst="rect">
                      <a:avLst/>
                    </a:prstGeom>
                    <a:noFill/>
                  </pic:spPr>
                </pic:pic>
              </a:graphicData>
            </a:graphic>
            <wp14:sizeRelH relativeFrom="page">
              <wp14:pctWidth>0</wp14:pctWidth>
            </wp14:sizeRelH>
            <wp14:sizeRelV relativeFrom="page">
              <wp14:pctHeight>0</wp14:pctHeight>
            </wp14:sizeRelV>
          </wp:anchor>
        </w:drawing>
      </w:r>
    </w:p>
    <w:p w:rsidR="004E71DD" w:rsidRDefault="008C707B" w:rsidP="004E71DD">
      <w:pPr>
        <w:pStyle w:val="732"/>
        <w:rPr>
          <w:rtl/>
        </w:rPr>
      </w:pPr>
      <w:r w:rsidRPr="00EF3061">
        <w:rPr>
          <w:rFonts w:hint="cs"/>
          <w:rtl/>
        </w:rPr>
        <w:lastRenderedPageBreak/>
        <w:t>סיכום</w:t>
      </w:r>
    </w:p>
    <w:p w:rsidR="00FD70D7" w:rsidRDefault="008C707B" w:rsidP="004E71DD">
      <w:pPr>
        <w:widowControl w:val="0"/>
        <w:tabs>
          <w:tab w:val="left" w:pos="9604"/>
        </w:tabs>
        <w:spacing w:before="240" w:line="276" w:lineRule="auto"/>
        <w:ind w:left="-1"/>
        <w:rPr>
          <w:rFonts w:ascii="Tahoma" w:hAnsi="Tahoma" w:cs="Tahoma"/>
          <w:sz w:val="18"/>
          <w:szCs w:val="18"/>
          <w:rtl/>
        </w:rPr>
      </w:pPr>
      <w:r w:rsidRPr="00262F39">
        <w:rPr>
          <w:rFonts w:ascii="Tahoma" w:hAnsi="Tahoma" w:cs="Tahoma" w:hint="cs"/>
          <w:sz w:val="18"/>
          <w:szCs w:val="18"/>
          <w:rtl/>
        </w:rPr>
        <w:t xml:space="preserve">בדומה למדינות אחרות, ישראל חשופה לתקיפות סייבר לצורכי כופר וגניבת מידע. מלבד זאת, נוכח האקלים הגיאו-פוליטי המורכב ביטחונית, ישראל משמשת </w:t>
      </w:r>
      <w:r w:rsidRPr="00262F39">
        <w:rPr>
          <w:rFonts w:ascii="Tahoma" w:hAnsi="Tahoma" w:cs="Tahoma"/>
          <w:sz w:val="18"/>
          <w:szCs w:val="18"/>
          <w:rtl/>
        </w:rPr>
        <w:t>כר מטרות נרחב לתוקף הקיברנטי הפוטנציאלי,</w:t>
      </w:r>
      <w:r w:rsidRPr="00262F39">
        <w:rPr>
          <w:rFonts w:ascii="Tahoma" w:hAnsi="Tahoma" w:cs="Tahoma" w:hint="cs"/>
          <w:sz w:val="18"/>
          <w:szCs w:val="18"/>
          <w:rtl/>
        </w:rPr>
        <w:t xml:space="preserve"> </w:t>
      </w:r>
      <w:r w:rsidRPr="00262F39">
        <w:rPr>
          <w:rFonts w:ascii="Tahoma" w:hAnsi="Tahoma" w:cs="Tahoma"/>
          <w:sz w:val="18"/>
          <w:szCs w:val="18"/>
          <w:rtl/>
        </w:rPr>
        <w:t xml:space="preserve">המעוניין לפגוע בחוסנה ובביטחון הלאומי שלה. גוף כדוגמת בט"ל, מחייב </w:t>
      </w:r>
      <w:r w:rsidRPr="00262F39">
        <w:rPr>
          <w:rFonts w:ascii="Tahoma" w:hAnsi="Tahoma" w:cs="Tahoma" w:hint="cs"/>
          <w:sz w:val="18"/>
          <w:szCs w:val="18"/>
          <w:rtl/>
        </w:rPr>
        <w:t xml:space="preserve">שיגובש עבורו </w:t>
      </w:r>
      <w:r w:rsidRPr="00262F39">
        <w:rPr>
          <w:rFonts w:ascii="Tahoma" w:hAnsi="Tahoma" w:cs="Tahoma"/>
          <w:sz w:val="18"/>
          <w:szCs w:val="18"/>
          <w:rtl/>
        </w:rPr>
        <w:t>מענה אסדרתי מספק הכולל הנחיה של מערך הסייבר הלאומי, הנחיה של הרשות להגנת הפרטיות ותיאום בין שניהם כדי להבטיח את ההגנה המיטבית.</w:t>
      </w:r>
      <w:r w:rsidRPr="00262F39">
        <w:rPr>
          <w:rFonts w:ascii="Tahoma" w:hAnsi="Tahoma" w:cs="Tahoma" w:hint="cs"/>
          <w:sz w:val="18"/>
          <w:szCs w:val="18"/>
          <w:rtl/>
        </w:rPr>
        <w:t xml:space="preserve"> </w:t>
      </w:r>
      <w:r w:rsidRPr="00262F39">
        <w:rPr>
          <w:rFonts w:ascii="Tahoma" w:hAnsi="Tahoma" w:cs="Tahoma"/>
          <w:sz w:val="18"/>
          <w:szCs w:val="18"/>
          <w:rtl/>
        </w:rPr>
        <w:t>נוכח היקפי המידע השמורים בבט"ל והסיכונים לדליפתו מומלץ כי ועדת ההיגוי תקדם את הבחינה של בט"ל כגוף תמ"ק. מומלץ כי עד סיום הבחינה יוסדר ממשק מקצועי בין מס"ל לבט"ל לצורך מתן מענה ישיר, העברת דיווחים, בקרה על תיקון הליקויים וכיו"ב. כמו כן מומלץ כי ועדת ההיגוי תבחן אם יש עוד גופים בעלי מאגרי מידע בהיקפים הדומים לבט"ל שיש לבחון את הגדרתם כגופי תמ"ק, ובכך תשפר את ההגנה על התשתיות החיוניות של מדינת ישראל</w:t>
      </w:r>
      <w:r>
        <w:rPr>
          <w:rFonts w:ascii="Tahoma" w:hAnsi="Tahoma" w:cs="Tahoma" w:hint="cs"/>
          <w:sz w:val="18"/>
          <w:szCs w:val="18"/>
          <w:rtl/>
        </w:rPr>
        <w:t>.</w:t>
      </w:r>
    </w:p>
    <w:p w:rsidR="00E56721" w:rsidRDefault="00E56721" w:rsidP="004E71DD">
      <w:pPr>
        <w:widowControl w:val="0"/>
        <w:tabs>
          <w:tab w:val="left" w:pos="9604"/>
        </w:tabs>
        <w:spacing w:before="240" w:line="276" w:lineRule="auto"/>
        <w:ind w:left="-1"/>
        <w:rPr>
          <w:rFonts w:ascii="Tahoma" w:hAnsi="Tahoma" w:cs="Tahoma"/>
          <w:sz w:val="18"/>
          <w:szCs w:val="18"/>
          <w:rtl/>
        </w:rPr>
      </w:pPr>
    </w:p>
    <w:p w:rsidR="00FD70D7" w:rsidRDefault="00FD70D7" w:rsidP="004E71DD">
      <w:pPr>
        <w:widowControl w:val="0"/>
        <w:tabs>
          <w:tab w:val="left" w:pos="9604"/>
        </w:tabs>
        <w:spacing w:before="240" w:line="276" w:lineRule="auto"/>
        <w:ind w:left="-1"/>
        <w:rPr>
          <w:rFonts w:ascii="Tahoma" w:hAnsi="Tahoma" w:cs="Tahoma"/>
          <w:sz w:val="18"/>
          <w:szCs w:val="18"/>
          <w:rtl/>
        </w:rPr>
        <w:sectPr w:rsidR="00FD70D7" w:rsidSect="00036B0E">
          <w:headerReference w:type="even" r:id="rId28"/>
          <w:footerReference w:type="even" r:id="rId29"/>
          <w:pgSz w:w="11906" w:h="16838" w:code="9"/>
          <w:pgMar w:top="3062" w:right="2268" w:bottom="2552" w:left="2268" w:header="1134" w:footer="1361" w:gutter="0"/>
          <w:pgNumType w:start="407"/>
          <w:cols w:space="708"/>
          <w:bidi/>
          <w:rtlGutter/>
          <w:docGrid w:linePitch="360"/>
        </w:sectPr>
      </w:pPr>
    </w:p>
    <w:p w:rsidR="00FD70D7" w:rsidRDefault="008C707B" w:rsidP="00FD70D7">
      <w:pPr>
        <w:pStyle w:val="736"/>
        <w:bidi w:val="0"/>
        <w:rPr>
          <w:b/>
          <w:bCs/>
          <w:noProof/>
          <w:color w:val="00305F"/>
          <w:sz w:val="40"/>
          <w:szCs w:val="36"/>
          <w:rtl/>
        </w:rPr>
      </w:pPr>
      <w:r>
        <w:rPr>
          <w:noProof/>
          <w:rtl/>
          <w:lang w:val="he-IL"/>
        </w:rPr>
        <w:lastRenderedPageBreak/>
        <mc:AlternateContent>
          <mc:Choice Requires="wps">
            <w:drawing>
              <wp:anchor distT="0" distB="0" distL="114300" distR="114300" simplePos="0" relativeHeight="251694080" behindDoc="0" locked="0" layoutInCell="1" allowOverlap="1">
                <wp:simplePos x="0" y="0"/>
                <wp:positionH relativeFrom="column">
                  <wp:posOffset>4002224</wp:posOffset>
                </wp:positionH>
                <wp:positionV relativeFrom="paragraph">
                  <wp:posOffset>6615884</wp:posOffset>
                </wp:positionV>
                <wp:extent cx="1349284" cy="1262743"/>
                <wp:effectExtent l="0" t="0" r="10160" b="7620"/>
                <wp:wrapNone/>
                <wp:docPr id="401424063" name="מלבן 1"/>
                <wp:cNvGraphicFramePr/>
                <a:graphic xmlns:a="http://schemas.openxmlformats.org/drawingml/2006/main">
                  <a:graphicData uri="http://schemas.microsoft.com/office/word/2010/wordprocessingShape">
                    <wps:wsp>
                      <wps:cNvSpPr/>
                      <wps:spPr>
                        <a:xfrm>
                          <a:off x="0" y="0"/>
                          <a:ext cx="1349284" cy="12627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5" style="width:106.25pt;height:99.45pt;margin-top:520.95pt;margin-left:315.15pt;mso-width-percent:0;mso-width-relative:margin;mso-wrap-distance-bottom:0;mso-wrap-distance-left:9pt;mso-wrap-distance-right:9pt;mso-wrap-distance-top:0;mso-wrap-style:square;position:absolute;visibility:visible;v-text-anchor:middle;z-index:251695104" fillcolor="white" strokecolor="white" strokeweight="1.25pt"/>
            </w:pict>
          </mc:Fallback>
        </mc:AlternateContent>
      </w:r>
      <w:r>
        <w:rPr>
          <w:noProof/>
          <w:rtl/>
          <w:lang w:val="he-IL"/>
        </w:rPr>
        <mc:AlternateContent>
          <mc:Choice Requires="wps">
            <w:drawing>
              <wp:anchor distT="0" distB="0" distL="114300" distR="114300" simplePos="0" relativeHeight="251692032" behindDoc="0" locked="0" layoutInCell="1" allowOverlap="1">
                <wp:simplePos x="0" y="0"/>
                <wp:positionH relativeFrom="column">
                  <wp:posOffset>-1396637</wp:posOffset>
                </wp:positionH>
                <wp:positionV relativeFrom="paragraph">
                  <wp:posOffset>-873216</wp:posOffset>
                </wp:positionV>
                <wp:extent cx="6191794" cy="1262743"/>
                <wp:effectExtent l="0" t="0" r="19050" b="7620"/>
                <wp:wrapNone/>
                <wp:docPr id="1005500002" name="מלבן 1"/>
                <wp:cNvGraphicFramePr/>
                <a:graphic xmlns:a="http://schemas.openxmlformats.org/drawingml/2006/main">
                  <a:graphicData uri="http://schemas.microsoft.com/office/word/2010/wordprocessingShape">
                    <wps:wsp>
                      <wps:cNvSpPr/>
                      <wps:spPr>
                        <a:xfrm>
                          <a:off x="0" y="0"/>
                          <a:ext cx="6191794" cy="12627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6" style="width:487.55pt;height:99.45pt;margin-top:-68.75pt;margin-left:-109.95pt;mso-wrap-distance-bottom:0;mso-wrap-distance-left:9pt;mso-wrap-distance-right:9pt;mso-wrap-distance-top:0;mso-wrap-style:square;position:absolute;visibility:visible;v-text-anchor:middle;z-index:251693056" fillcolor="white" strokecolor="white" strokeweight="1.25pt"/>
            </w:pict>
          </mc:Fallback>
        </mc:AlternateContent>
      </w:r>
      <w:r>
        <w:rPr>
          <w:rtl/>
        </w:rPr>
        <w:br w:type="page"/>
      </w:r>
    </w:p>
    <w:p w:rsidR="00586851" w:rsidRPr="007D6DEE" w:rsidRDefault="008C707B" w:rsidP="0078358A">
      <w:pPr>
        <w:pStyle w:val="7310"/>
        <w:bidi/>
        <w:rPr>
          <w:rtl/>
        </w:rPr>
      </w:pPr>
      <w:r w:rsidRPr="000A1625">
        <w:rPr>
          <w:rtl/>
        </w:rPr>
        <w:lastRenderedPageBreak/>
        <w:t xml:space="preserve">אסדרת הגנת הסייבר במוסד </w:t>
      </w:r>
      <w:r>
        <w:rPr>
          <w:rtl/>
        </w:rPr>
        <w:br/>
      </w:r>
      <w:r w:rsidRPr="000A1625">
        <w:rPr>
          <w:rtl/>
        </w:rPr>
        <w:t xml:space="preserve">לביטוח לאומי </w:t>
      </w:r>
    </w:p>
    <w:p w:rsidR="007324C6" w:rsidRDefault="008C707B" w:rsidP="007C7D40">
      <w:pPr>
        <w:pStyle w:val="733155"/>
        <w:jc w:val="both"/>
        <w:rPr>
          <w:rtl/>
        </w:rPr>
      </w:pPr>
      <w:r>
        <w:rPr>
          <w:rFonts w:hint="cs"/>
          <w:rtl/>
        </w:rPr>
        <w:t>מבוא</w:t>
      </w:r>
    </w:p>
    <w:p w:rsidR="00FD70D7" w:rsidRPr="00592CE3" w:rsidRDefault="008C707B" w:rsidP="00592CE3">
      <w:pPr>
        <w:pStyle w:val="7392"/>
        <w:rPr>
          <w:rtl/>
        </w:rPr>
      </w:pPr>
      <w:r w:rsidRPr="00592CE3">
        <w:rPr>
          <w:rFonts w:hint="cs"/>
          <w:rtl/>
        </w:rPr>
        <w:t>בעשור האחרון גברו ה</w:t>
      </w:r>
      <w:r w:rsidRPr="00592CE3">
        <w:rPr>
          <w:rtl/>
        </w:rPr>
        <w:t xml:space="preserve">תקיפות במרחב הקיברנטי (להלן - תקיפות סייבר) </w:t>
      </w:r>
      <w:r w:rsidRPr="00592CE3">
        <w:rPr>
          <w:rFonts w:hint="cs"/>
          <w:rtl/>
        </w:rPr>
        <w:t>על ארגונים ועל אנשים פרטיים ברחבי העולם. בשנת 2021 הודלפו בעולם יותר מ-22 מיליארד רשומות עקב תקיפות סייבר</w:t>
      </w:r>
      <w:r>
        <w:rPr>
          <w:rStyle w:val="a8"/>
          <w:rtl/>
        </w:rPr>
        <w:footnoteReference w:id="4"/>
      </w:r>
      <w:r w:rsidRPr="00592CE3">
        <w:rPr>
          <w:rFonts w:hint="cs"/>
          <w:rtl/>
        </w:rPr>
        <w:t xml:space="preserve">; שמות של אנשים ומספר ביטוח לאומי (ובהם </w:t>
      </w:r>
      <w:r w:rsidRPr="00592CE3">
        <w:rPr>
          <w:rFonts w:hint="cs"/>
        </w:rPr>
        <w:t>SSN</w:t>
      </w:r>
      <w:r>
        <w:rPr>
          <w:rStyle w:val="a8"/>
          <w:rtl/>
        </w:rPr>
        <w:footnoteReference w:id="5"/>
      </w:r>
      <w:r w:rsidRPr="00592CE3">
        <w:rPr>
          <w:rFonts w:hint="cs"/>
          <w:rtl/>
        </w:rPr>
        <w:t>) היו שני סוגי הנתונים שדלפו יותר מכל נתון אחר. נכון לנובמבר 2022, במוסד לביטוח לאומי (להלן - בט"ל) מתבצעות בכל יום כ-2.9 מיליון תקיפות סייבר בממוצע, ומהן כ-66,000 תקיפות עם פוטנציאל נזק.</w:t>
      </w:r>
    </w:p>
    <w:p w:rsidR="00FD70D7" w:rsidRPr="00592CE3" w:rsidRDefault="008C707B" w:rsidP="00592CE3">
      <w:pPr>
        <w:pStyle w:val="7392"/>
        <w:rPr>
          <w:rtl/>
        </w:rPr>
      </w:pPr>
      <w:r w:rsidRPr="00592CE3">
        <w:rPr>
          <w:rtl/>
        </w:rPr>
        <w:t>שכיחותן</w:t>
      </w:r>
      <w:r w:rsidRPr="00592CE3">
        <w:rPr>
          <w:rFonts w:hint="cs"/>
          <w:rtl/>
        </w:rPr>
        <w:t xml:space="preserve"> של תקיפות הסייבר כאמור </w:t>
      </w:r>
      <w:r w:rsidRPr="00592CE3">
        <w:rPr>
          <w:rtl/>
        </w:rPr>
        <w:t xml:space="preserve">הולכת וגדלה </w:t>
      </w:r>
      <w:r w:rsidRPr="00592CE3">
        <w:rPr>
          <w:rFonts w:hint="cs"/>
          <w:rtl/>
        </w:rPr>
        <w:t>מ</w:t>
      </w:r>
      <w:r w:rsidRPr="00592CE3">
        <w:rPr>
          <w:rtl/>
        </w:rPr>
        <w:t>מניעים שונים</w:t>
      </w:r>
      <w:r w:rsidRPr="00592CE3">
        <w:rPr>
          <w:rFonts w:hint="cs"/>
          <w:rtl/>
        </w:rPr>
        <w:t>,</w:t>
      </w:r>
      <w:r w:rsidRPr="00592CE3">
        <w:rPr>
          <w:rtl/>
        </w:rPr>
        <w:t xml:space="preserve"> ובהם כוונה לפגוע במערכות עצמן וכך לשבש את הפעילות התקינה והשוטפת של הארגון, החברה ואף המדינה, למטרת סחיטה, למטרת שינוי מידע כדי ליהנות מהטבות ומרווחים ואף במסגרת אתגר טכנולוגי לשמו. כך, בשנת 2021 טיפל </w:t>
      </w:r>
      <w:r w:rsidRPr="00592CE3">
        <w:rPr>
          <w:rFonts w:hint="cs"/>
          <w:rtl/>
        </w:rPr>
        <w:t>מערך הסייבר הלאומי</w:t>
      </w:r>
      <w:r>
        <w:rPr>
          <w:rStyle w:val="a8"/>
          <w:rtl/>
        </w:rPr>
        <w:footnoteReference w:id="6"/>
      </w:r>
      <w:r w:rsidRPr="00592CE3">
        <w:rPr>
          <w:rFonts w:hint="cs"/>
          <w:rtl/>
        </w:rPr>
        <w:t xml:space="preserve"> (להלן - מס"ל) </w:t>
      </w:r>
      <w:r w:rsidRPr="00592CE3">
        <w:rPr>
          <w:rtl/>
        </w:rPr>
        <w:t>בכ-2,200 אירועי סייבר (עלייה של כ-33% ב</w:t>
      </w:r>
      <w:r w:rsidRPr="00592CE3">
        <w:rPr>
          <w:rFonts w:hint="cs"/>
          <w:rtl/>
        </w:rPr>
        <w:t>השוואה</w:t>
      </w:r>
      <w:r w:rsidRPr="00592CE3">
        <w:rPr>
          <w:rtl/>
        </w:rPr>
        <w:t xml:space="preserve"> לשנה </w:t>
      </w:r>
      <w:r w:rsidRPr="00592CE3">
        <w:rPr>
          <w:rFonts w:hint="cs"/>
          <w:rtl/>
        </w:rPr>
        <w:t>ה</w:t>
      </w:r>
      <w:r w:rsidRPr="00592CE3">
        <w:rPr>
          <w:rtl/>
        </w:rPr>
        <w:t>קודמת)</w:t>
      </w:r>
      <w:r w:rsidRPr="00592CE3">
        <w:rPr>
          <w:rFonts w:hint="cs"/>
          <w:rtl/>
        </w:rPr>
        <w:t xml:space="preserve">, </w:t>
      </w:r>
      <w:r w:rsidRPr="00592CE3">
        <w:rPr>
          <w:rtl/>
        </w:rPr>
        <w:t>איתר כ-9,000 חולשות אבטחה חמורות בכ-3,300 גופים והעביר כ-4,400 דיווחים ממוקדים ל</w:t>
      </w:r>
      <w:r w:rsidRPr="00592CE3">
        <w:rPr>
          <w:rFonts w:hint="cs"/>
          <w:rtl/>
        </w:rPr>
        <w:t>חברות ולגופים במשק הישראלי</w:t>
      </w:r>
      <w:r w:rsidRPr="00592CE3">
        <w:rPr>
          <w:rtl/>
        </w:rPr>
        <w:t xml:space="preserve"> בגין הממצאים שאותרו. על פי מס"ל, בשנת 2021 נרשמה עלייה של 20% במספר הדיווחים שאותם הוא קיבל ואימת כאירועי סייבר בהשוואה לשנת 2020</w:t>
      </w:r>
      <w:r>
        <w:rPr>
          <w:rStyle w:val="a8"/>
          <w:rtl/>
        </w:rPr>
        <w:footnoteReference w:id="7"/>
      </w:r>
      <w:r w:rsidRPr="00592CE3">
        <w:rPr>
          <w:rFonts w:hint="cs"/>
          <w:rtl/>
        </w:rPr>
        <w:t>.</w:t>
      </w:r>
    </w:p>
    <w:p w:rsidR="00FD70D7" w:rsidRPr="00592CE3" w:rsidRDefault="008C707B" w:rsidP="00592CE3">
      <w:pPr>
        <w:pStyle w:val="7392"/>
        <w:rPr>
          <w:rtl/>
        </w:rPr>
      </w:pPr>
      <w:r w:rsidRPr="00592CE3">
        <w:rPr>
          <w:rFonts w:hint="cs"/>
          <w:rtl/>
        </w:rPr>
        <w:t>בט"ל מעניק מגוון שירותים רחב למבוטחיו - תושבי מדינת ישראל - מהלידה עד הפטירה. בכלל זה בט"ל משלם בכל שנה קצבאות בסך כ-122 מיליאר</w:t>
      </w:r>
      <w:r w:rsidRPr="00592CE3">
        <w:rPr>
          <w:rFonts w:hint="eastAsia"/>
          <w:rtl/>
        </w:rPr>
        <w:t>ד</w:t>
      </w:r>
      <w:r w:rsidRPr="00592CE3">
        <w:rPr>
          <w:rFonts w:hint="cs"/>
          <w:rtl/>
        </w:rPr>
        <w:t xml:space="preserve"> ש"ח</w:t>
      </w:r>
      <w:r>
        <w:rPr>
          <w:rStyle w:val="a8"/>
          <w:rtl/>
        </w:rPr>
        <w:footnoteReference w:id="8"/>
      </w:r>
      <w:r w:rsidRPr="00592CE3">
        <w:rPr>
          <w:rFonts w:hint="cs"/>
          <w:rtl/>
        </w:rPr>
        <w:t xml:space="preserve">. נוסף על כך, בשנת 2020, בעת משבר הקורונה ובעקבות החלטת ממשלה, העבירה הממשלה באמצעות בט"ל למבוטחים שהוצאו לחל"ת עקב צעדי הממשלה למניעת הדבקה והתפשטות המחלה, כ-23.6 מיליארד ש"ח. לצורך מילוי משימותיו, ובכלל זה לצורך תשלום הקצבאות, מאגרי המידע של בט"ל כוללים מידע על </w:t>
      </w:r>
      <w:r w:rsidRPr="00592CE3">
        <w:rPr>
          <w:rFonts w:hint="eastAsia"/>
          <w:rtl/>
        </w:rPr>
        <w:t>כ</w:t>
      </w:r>
      <w:r w:rsidRPr="00592CE3">
        <w:rPr>
          <w:rtl/>
        </w:rPr>
        <w:t>-</w:t>
      </w:r>
      <w:r w:rsidRPr="00592CE3">
        <w:rPr>
          <w:rFonts w:hint="cs"/>
          <w:rtl/>
        </w:rPr>
        <w:t>9.5 מיליון</w:t>
      </w:r>
      <w:r w:rsidRPr="00592CE3">
        <w:rPr>
          <w:rtl/>
        </w:rPr>
        <w:t xml:space="preserve"> </w:t>
      </w:r>
      <w:r w:rsidRPr="00592CE3">
        <w:rPr>
          <w:rFonts w:hint="eastAsia"/>
          <w:rtl/>
        </w:rPr>
        <w:t>מבוטחים</w:t>
      </w:r>
      <w:r w:rsidRPr="00592CE3">
        <w:rPr>
          <w:rFonts w:hint="cs"/>
          <w:rtl/>
        </w:rPr>
        <w:t>.</w:t>
      </w:r>
    </w:p>
    <w:p w:rsidR="00FD70D7" w:rsidRPr="00592CE3" w:rsidRDefault="008C707B" w:rsidP="00592CE3">
      <w:pPr>
        <w:pStyle w:val="733155"/>
        <w:rPr>
          <w:rtl/>
        </w:rPr>
      </w:pPr>
      <w:r w:rsidRPr="00592CE3">
        <w:rPr>
          <w:rFonts w:hint="cs"/>
          <w:rtl/>
        </w:rPr>
        <w:t>פעולות הביקורת</w:t>
      </w:r>
    </w:p>
    <w:p w:rsidR="00FD70D7" w:rsidRPr="00592CE3" w:rsidRDefault="008C707B" w:rsidP="00592CE3">
      <w:pPr>
        <w:pStyle w:val="7392"/>
        <w:rPr>
          <w:rtl/>
        </w:rPr>
      </w:pPr>
      <w:r w:rsidRPr="00592CE3">
        <w:rPr>
          <w:rtl/>
        </w:rPr>
        <w:t xml:space="preserve">בחודשים אוקטובר - דצמבר 2022 בדק משרד מבקר המדינה את נושא אסדרת הגנת הסייבר בבט"ל. הבדיקה כללה מיפוי של הגופים המאסדרים את בט"ל כיום, בחינת הנזק האפשרי מהיעדר גורם מאסדר קבוע ובחינת הצורך בשינוי גורמי האסדרה. הביקורת נערכה בבט"ל, במערך הסייבר הלאומי, בשירות הביטחון הכללי וברשות להגנת הפרטיות במשרד המשפטים. ועדת המשנה של הוועדה לענייני ביקורת המדינה של הכנסת החליטה שלא להניח דוח זה </w:t>
      </w:r>
      <w:r w:rsidRPr="00592CE3">
        <w:rPr>
          <w:rtl/>
        </w:rPr>
        <w:lastRenderedPageBreak/>
        <w:t>במלואו על שולחן הכנסת אלא לפרסם רק חלקים ממנו, לשם שמירה על ביטחון המדינה, בהתאם לסעיף 17 לחוק מבקר המדינה, התשי"ח-1958 [נוסח משולב]</w:t>
      </w:r>
      <w:r w:rsidRPr="00592CE3">
        <w:t>.</w:t>
      </w:r>
    </w:p>
    <w:p w:rsidR="00FD70D7" w:rsidRPr="00592CE3" w:rsidRDefault="008C707B" w:rsidP="00592CE3">
      <w:pPr>
        <w:pStyle w:val="7392"/>
        <w:rPr>
          <w:rtl/>
        </w:rPr>
      </w:pPr>
      <w:r w:rsidRPr="00592CE3">
        <w:rPr>
          <w:rStyle w:val="72"/>
          <w:rFonts w:eastAsiaTheme="minorHAnsi" w:hint="cs"/>
          <w:b/>
          <w:spacing w:val="0"/>
          <w:rtl/>
        </w:rPr>
        <w:t>היקפי המידע ורמת רגישות המידע בבט"ל:</w:t>
      </w:r>
      <w:r w:rsidRPr="00592CE3">
        <w:rPr>
          <w:rStyle w:val="72"/>
          <w:rFonts w:eastAsiaTheme="minorHAnsi" w:hint="cs"/>
          <w:bCs w:val="0"/>
          <w:spacing w:val="0"/>
          <w:rtl/>
        </w:rPr>
        <w:t xml:space="preserve"> </w:t>
      </w:r>
      <w:r w:rsidRPr="00592CE3">
        <w:rPr>
          <w:rFonts w:hint="cs"/>
          <w:rtl/>
        </w:rPr>
        <w:t xml:space="preserve">לצורך מתן השירותים הנדרשים למבוטחים פיתח בט"ל, עוד החל מתחילת שנות ה-80, מערכות מחשוב ייעודיות, שמטרתן טיפול בגמלאות שעליו לספק לזכאים להן בהתאם לחוק הביטוח הלאומי [נוסח משולב], התשנ"ה-1995. משנת 2010 החל בט"ל ביישום פרויקט "תבל" לשדרוג מערך המחשוב שלו. בדוח מבקר המדינה משנת 2020 שבחן את הפרויקט צוין בנוגע ל"תבל" כי </w:t>
      </w:r>
      <w:r w:rsidRPr="00592CE3">
        <w:rPr>
          <w:rtl/>
        </w:rPr>
        <w:t xml:space="preserve">אף </w:t>
      </w:r>
      <w:r w:rsidRPr="00592CE3">
        <w:rPr>
          <w:rFonts w:hint="cs"/>
          <w:rtl/>
        </w:rPr>
        <w:t>שבט"ל</w:t>
      </w:r>
      <w:r w:rsidRPr="00592CE3">
        <w:rPr>
          <w:rtl/>
        </w:rPr>
        <w:t xml:space="preserve"> יישם כמה מערכות חשובות ומתקדמות במסגרת </w:t>
      </w:r>
      <w:r w:rsidRPr="00592CE3">
        <w:rPr>
          <w:rFonts w:hint="cs"/>
          <w:rtl/>
        </w:rPr>
        <w:t>ה</w:t>
      </w:r>
      <w:r w:rsidRPr="00592CE3">
        <w:rPr>
          <w:rtl/>
        </w:rPr>
        <w:t>פרויקט</w:t>
      </w:r>
      <w:r w:rsidRPr="00592CE3">
        <w:rPr>
          <w:rFonts w:hint="cs"/>
          <w:rtl/>
        </w:rPr>
        <w:t>, מדובר</w:t>
      </w:r>
      <w:r w:rsidRPr="00592CE3">
        <w:rPr>
          <w:rtl/>
        </w:rPr>
        <w:t xml:space="preserve"> רק </w:t>
      </w:r>
      <w:r w:rsidRPr="00592CE3">
        <w:rPr>
          <w:rFonts w:hint="cs"/>
          <w:rtl/>
        </w:rPr>
        <w:t>ב</w:t>
      </w:r>
      <w:r w:rsidRPr="00592CE3">
        <w:rPr>
          <w:rtl/>
        </w:rPr>
        <w:t>חלק קטן מ</w:t>
      </w:r>
      <w:r w:rsidRPr="00592CE3">
        <w:rPr>
          <w:rFonts w:hint="cs"/>
          <w:rtl/>
        </w:rPr>
        <w:t xml:space="preserve">כלל </w:t>
      </w:r>
      <w:r w:rsidRPr="00592CE3">
        <w:rPr>
          <w:rtl/>
        </w:rPr>
        <w:t>המערכות שתוכננו</w:t>
      </w:r>
      <w:r w:rsidRPr="00592CE3">
        <w:rPr>
          <w:rFonts w:hint="cs"/>
          <w:rtl/>
        </w:rPr>
        <w:t xml:space="preserve"> במסגרתו</w:t>
      </w:r>
      <w:r>
        <w:rPr>
          <w:rStyle w:val="a8"/>
          <w:rtl/>
        </w:rPr>
        <w:footnoteReference w:id="9"/>
      </w:r>
      <w:r w:rsidRPr="00592CE3">
        <w:rPr>
          <w:rFonts w:hint="cs"/>
          <w:rtl/>
        </w:rPr>
        <w:t>. מלבד פיתוח המערכות בט"ל גם מעדכן אותן בהתאם לשינויים שחלים בחוק וכן מתחזק אותן לצורך שמירה על כשירותן.</w:t>
      </w:r>
    </w:p>
    <w:p w:rsidR="00FD70D7" w:rsidRPr="00592CE3" w:rsidRDefault="008C707B" w:rsidP="00592CE3">
      <w:pPr>
        <w:pStyle w:val="7392"/>
        <w:rPr>
          <w:rtl/>
        </w:rPr>
      </w:pPr>
      <w:r w:rsidRPr="00592CE3">
        <w:rPr>
          <w:rFonts w:hint="cs"/>
          <w:rtl/>
        </w:rPr>
        <w:t xml:space="preserve">להתפתחות הטכנולוגית המחויבת מתלווה גם התגברות של הסיכונים והאיומים על המערכות ועל המידע האגור בהן ומכאן צורך במערך לשמירתם ולאבטחתם. הגופים המקצועיים בבט"ל האחראים לכך הם חטיבת אבטחת מידע וחטיבת סייבר </w:t>
      </w:r>
      <w:r w:rsidRPr="00592CE3">
        <w:rPr>
          <w:rFonts w:hint="eastAsia"/>
          <w:rtl/>
        </w:rPr>
        <w:t>הכפופ</w:t>
      </w:r>
      <w:r w:rsidRPr="00592CE3">
        <w:rPr>
          <w:rFonts w:hint="cs"/>
          <w:rtl/>
        </w:rPr>
        <w:t xml:space="preserve">ים </w:t>
      </w:r>
      <w:r w:rsidRPr="00592CE3">
        <w:rPr>
          <w:rFonts w:hint="eastAsia"/>
          <w:rtl/>
        </w:rPr>
        <w:t>לסמנכ</w:t>
      </w:r>
      <w:r w:rsidRPr="00592CE3">
        <w:rPr>
          <w:rtl/>
        </w:rPr>
        <w:t>"ל</w:t>
      </w:r>
      <w:r w:rsidRPr="00592CE3">
        <w:rPr>
          <w:rFonts w:hint="cs"/>
          <w:rtl/>
        </w:rPr>
        <w:t xml:space="preserve"> מינהל תקשוב ומערכות מידע. </w:t>
      </w:r>
    </w:p>
    <w:p w:rsidR="00FD70D7" w:rsidRPr="00592CE3" w:rsidRDefault="008C707B" w:rsidP="00592CE3">
      <w:pPr>
        <w:pStyle w:val="7392"/>
        <w:rPr>
          <w:rtl/>
        </w:rPr>
      </w:pPr>
      <w:bookmarkStart w:id="1" w:name="_Hlk128318463"/>
      <w:r w:rsidRPr="00592CE3">
        <w:rPr>
          <w:rFonts w:hint="cs"/>
          <w:rtl/>
        </w:rPr>
        <w:t>ה</w:t>
      </w:r>
      <w:r w:rsidRPr="00592CE3">
        <w:rPr>
          <w:rtl/>
        </w:rPr>
        <w:t>תשתית</w:t>
      </w:r>
      <w:r w:rsidRPr="00592CE3">
        <w:rPr>
          <w:rFonts w:hint="cs"/>
          <w:rtl/>
        </w:rPr>
        <w:t xml:space="preserve"> המרכזית של מערכות המחשוב בבט"ל משמשת גם כתשתית המחשובית שמספק בט"ל באתר השירות האישי. האתר מאפשר לכ-3.5 מיליון מבוטחים שנרשמו לאתר גישה אינטרנטית לאזור האישי שלהם ובאמצעותו לבצע פעולות, לקבל מידע, לשלוח שאילתות ובקשות וכיו"ב</w:t>
      </w:r>
      <w:r w:rsidRPr="00592CE3">
        <w:rPr>
          <w:rtl/>
        </w:rPr>
        <w:t>.</w:t>
      </w:r>
      <w:r w:rsidRPr="00592CE3">
        <w:rPr>
          <w:rFonts w:hint="cs"/>
          <w:rtl/>
        </w:rPr>
        <w:t xml:space="preserve"> </w:t>
      </w:r>
      <w:bookmarkEnd w:id="1"/>
    </w:p>
    <w:p w:rsidR="00FD70D7" w:rsidRPr="00592CE3" w:rsidRDefault="008C707B" w:rsidP="00592CE3">
      <w:pPr>
        <w:pStyle w:val="7392"/>
        <w:rPr>
          <w:rtl/>
        </w:rPr>
      </w:pPr>
      <w:r w:rsidRPr="00592CE3">
        <w:rPr>
          <w:rFonts w:hint="eastAsia"/>
          <w:rtl/>
        </w:rPr>
        <w:t>למאגרי</w:t>
      </w:r>
      <w:r w:rsidRPr="00592CE3">
        <w:rPr>
          <w:rtl/>
        </w:rPr>
        <w:t xml:space="preserve"> המידע של </w:t>
      </w:r>
      <w:r w:rsidRPr="00592CE3">
        <w:rPr>
          <w:rFonts w:hint="eastAsia"/>
          <w:rtl/>
        </w:rPr>
        <w:t>בט</w:t>
      </w:r>
      <w:r w:rsidRPr="00592CE3">
        <w:rPr>
          <w:rtl/>
        </w:rPr>
        <w:t xml:space="preserve">"ל רגישות מיוחדת הן בשל היקפם העצום, הן בשל היותם מוגדרים כמידע רגיש על פי הקבוע בחוק הגנת הפרטיות התשמ"א-1981 (להלן - חוק הגנת הפרטיות) והן מפני שהמאגרים מתממשקים לגורמים שמחוץ </w:t>
      </w:r>
      <w:r w:rsidRPr="00592CE3">
        <w:rPr>
          <w:rFonts w:hint="eastAsia"/>
          <w:rtl/>
        </w:rPr>
        <w:t>לבט</w:t>
      </w:r>
      <w:r w:rsidRPr="00592CE3">
        <w:rPr>
          <w:rtl/>
        </w:rPr>
        <w:t>"ל,</w:t>
      </w:r>
      <w:r w:rsidRPr="00592CE3">
        <w:rPr>
          <w:rFonts w:hint="cs"/>
          <w:rtl/>
        </w:rPr>
        <w:t xml:space="preserve"> למשל לרשות המיסים, למשרד הרווחה והביטחון החברתי, לרשויות המקומיות ואף לגורמים פרטיים ובהם המעסיקים. בממשקים אלו קיימת תעבורת נתונים רבה אל בט"ל פנימה ומבט"ל החוצה. להלן תרשים המציג את </w:t>
      </w:r>
      <w:r w:rsidRPr="00592CE3">
        <w:rPr>
          <w:rtl/>
        </w:rPr>
        <w:t>סוגי המידע במאגרי המידע של בט"ל</w:t>
      </w:r>
      <w:r w:rsidRPr="00592CE3">
        <w:rPr>
          <w:rFonts w:hint="cs"/>
          <w:rtl/>
        </w:rPr>
        <w:t xml:space="preserve">. </w:t>
      </w:r>
    </w:p>
    <w:p w:rsidR="00FD70D7" w:rsidRPr="00592CE3" w:rsidRDefault="008C707B" w:rsidP="00592CE3">
      <w:pPr>
        <w:pStyle w:val="738"/>
        <w:rPr>
          <w:rtl/>
        </w:rPr>
      </w:pPr>
      <w:r w:rsidRPr="00592CE3">
        <w:rPr>
          <w:rFonts w:hint="eastAsia"/>
          <w:b w:val="0"/>
          <w:bCs w:val="0"/>
          <w:rtl/>
        </w:rPr>
        <w:lastRenderedPageBreak/>
        <w:t>תרשים</w:t>
      </w:r>
      <w:r w:rsidRPr="00592CE3">
        <w:rPr>
          <w:b w:val="0"/>
          <w:bCs w:val="0"/>
          <w:rtl/>
        </w:rPr>
        <w:t xml:space="preserve"> 1:</w:t>
      </w:r>
      <w:r w:rsidRPr="00592CE3">
        <w:rPr>
          <w:rFonts w:hint="cs"/>
          <w:rtl/>
        </w:rPr>
        <w:t xml:space="preserve"> סוגי המידע במאגרי המידע של בט"ל</w:t>
      </w:r>
    </w:p>
    <w:p w:rsidR="00FD70D7" w:rsidRDefault="008C707B" w:rsidP="00FD70D7">
      <w:pPr>
        <w:pStyle w:val="ae"/>
        <w:spacing w:line="269" w:lineRule="auto"/>
        <w:ind w:left="0"/>
        <w:jc w:val="center"/>
        <w:rPr>
          <w:rtl/>
        </w:rPr>
      </w:pPr>
      <w:r>
        <w:rPr>
          <w:b/>
          <w:bCs/>
          <w:noProof/>
          <w:sz w:val="22"/>
          <w:szCs w:val="22"/>
          <w:rtl/>
        </w:rPr>
        <w:drawing>
          <wp:inline distT="0" distB="0" distL="0" distR="0">
            <wp:extent cx="3909184" cy="3974338"/>
            <wp:effectExtent l="0" t="0" r="2540" b="1270"/>
            <wp:docPr id="1746924158" name="תמונה 1746924158" descr="מידע על מיליוני מבוטחים הכולל את הנתונים האלה: מידע רפואי; המצב המשפחתי; השכר בעבודה; מקום העבודה; מילואים; יציאה לחו&quot;ל; מקום המגורים; בעלות על רכב ועיקולים על רכב; מזונות; דמי לידה; קצבת אבטלה; קצבת סיעוד; דמי נכות, זקנה ושארים; הבטחת הכנס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24158" name="תמונה 1746924158"/>
                    <pic:cNvPicPr/>
                  </pic:nvPicPr>
                  <pic:blipFill>
                    <a:blip r:embed="rId30">
                      <a:extLst>
                        <a:ext uri="{28A0092B-C50C-407E-A947-70E740481C1C}">
                          <a14:useLocalDpi xmlns:a14="http://schemas.microsoft.com/office/drawing/2010/main" val="0"/>
                        </a:ext>
                      </a:extLst>
                    </a:blip>
                    <a:stretch>
                      <a:fillRect/>
                    </a:stretch>
                  </pic:blipFill>
                  <pic:spPr>
                    <a:xfrm>
                      <a:off x="0" y="0"/>
                      <a:ext cx="3909184" cy="3974338"/>
                    </a:xfrm>
                    <a:prstGeom prst="rect">
                      <a:avLst/>
                    </a:prstGeom>
                  </pic:spPr>
                </pic:pic>
              </a:graphicData>
            </a:graphic>
          </wp:inline>
        </w:drawing>
      </w:r>
    </w:p>
    <w:p w:rsidR="00FD70D7" w:rsidRPr="00592CE3" w:rsidRDefault="008C707B" w:rsidP="00592CE3">
      <w:pPr>
        <w:pStyle w:val="73e"/>
        <w:rPr>
          <w:rtl/>
        </w:rPr>
      </w:pPr>
      <w:r w:rsidRPr="00592CE3">
        <w:rPr>
          <w:rFonts w:hint="cs"/>
          <w:rtl/>
        </w:rPr>
        <w:t>ה</w:t>
      </w:r>
      <w:r w:rsidRPr="00592CE3">
        <w:rPr>
          <w:rFonts w:hint="eastAsia"/>
          <w:rtl/>
        </w:rPr>
        <w:t>מקור</w:t>
      </w:r>
      <w:r w:rsidRPr="00592CE3">
        <w:rPr>
          <w:rtl/>
        </w:rPr>
        <w:t xml:space="preserve">: מבקר המדינה, </w:t>
      </w:r>
      <w:r w:rsidRPr="00592CE3">
        <w:rPr>
          <w:rFonts w:hint="cs"/>
          <w:rtl/>
        </w:rPr>
        <w:t xml:space="preserve">דוח שנתי 70ג (2020), </w:t>
      </w:r>
      <w:r w:rsidRPr="00592CE3">
        <w:rPr>
          <w:rtl/>
        </w:rPr>
        <w:t xml:space="preserve">"פרויקט </w:t>
      </w:r>
      <w:r w:rsidRPr="00592CE3">
        <w:rPr>
          <w:rFonts w:hint="eastAsia"/>
          <w:rtl/>
        </w:rPr>
        <w:t>תבל</w:t>
      </w:r>
      <w:r w:rsidRPr="00592CE3">
        <w:rPr>
          <w:rtl/>
        </w:rPr>
        <w:t xml:space="preserve"> </w:t>
      </w:r>
      <w:r w:rsidRPr="00592CE3">
        <w:rPr>
          <w:rFonts w:hint="eastAsia"/>
          <w:rtl/>
        </w:rPr>
        <w:t>לשדרוג</w:t>
      </w:r>
      <w:r w:rsidRPr="00592CE3">
        <w:rPr>
          <w:rtl/>
        </w:rPr>
        <w:t xml:space="preserve"> </w:t>
      </w:r>
      <w:r w:rsidRPr="00592CE3">
        <w:rPr>
          <w:rFonts w:hint="eastAsia"/>
          <w:rtl/>
        </w:rPr>
        <w:t>מערך</w:t>
      </w:r>
      <w:r w:rsidRPr="00592CE3">
        <w:rPr>
          <w:rtl/>
        </w:rPr>
        <w:t xml:space="preserve"> </w:t>
      </w:r>
      <w:r w:rsidRPr="00592CE3">
        <w:rPr>
          <w:rFonts w:hint="eastAsia"/>
          <w:rtl/>
        </w:rPr>
        <w:t>המחשוב</w:t>
      </w:r>
      <w:r w:rsidRPr="00592CE3">
        <w:rPr>
          <w:rtl/>
        </w:rPr>
        <w:t xml:space="preserve"> </w:t>
      </w:r>
      <w:r w:rsidRPr="00592CE3">
        <w:rPr>
          <w:rFonts w:hint="eastAsia"/>
          <w:rtl/>
        </w:rPr>
        <w:t>במוסד</w:t>
      </w:r>
      <w:r w:rsidRPr="00592CE3">
        <w:rPr>
          <w:rtl/>
        </w:rPr>
        <w:t xml:space="preserve"> </w:t>
      </w:r>
      <w:r w:rsidRPr="00592CE3">
        <w:rPr>
          <w:rFonts w:hint="eastAsia"/>
          <w:rtl/>
        </w:rPr>
        <w:t>לביטוח</w:t>
      </w:r>
      <w:r w:rsidRPr="00592CE3">
        <w:rPr>
          <w:rtl/>
        </w:rPr>
        <w:t xml:space="preserve"> </w:t>
      </w:r>
      <w:r w:rsidRPr="00592CE3">
        <w:rPr>
          <w:rFonts w:hint="eastAsia"/>
          <w:rtl/>
        </w:rPr>
        <w:t>לאומי</w:t>
      </w:r>
      <w:r w:rsidRPr="00592CE3">
        <w:rPr>
          <w:rtl/>
        </w:rPr>
        <w:t>", עמ' 570.</w:t>
      </w:r>
    </w:p>
    <w:p w:rsidR="00FD70D7" w:rsidRDefault="008C707B" w:rsidP="00592CE3">
      <w:pPr>
        <w:pStyle w:val="7392"/>
        <w:rPr>
          <w:rtl/>
        </w:rPr>
      </w:pPr>
      <w:r w:rsidRPr="009A74F5">
        <w:rPr>
          <w:rFonts w:hint="cs"/>
          <w:rtl/>
        </w:rPr>
        <w:t>עולה מהתרשים כי על מנת למלא את משימותיו נדרש בט"ל להיקף מידע עצום (לפחות על כלל המבוטחים) ולסוגי מידע מגוונים, שאת חלקם הוא מקבל מגורמים החיצונים לו. על כן ניתן לקבוע כי בט"ל מחזיק במאגר מידע על תושבי מדינת ישראל, דבר המגביר את חובת ההגנה על מערכות המחשוב והמידע שלו דבר שיאפשר להבטיח שהן יתפקדו באופן יעיל, זמין, תקין, אמין ורציף.</w:t>
      </w:r>
      <w:r>
        <w:rPr>
          <w:rFonts w:hint="cs"/>
          <w:rtl/>
        </w:rPr>
        <w:t xml:space="preserve"> </w:t>
      </w:r>
    </w:p>
    <w:p w:rsidR="00FD70D7" w:rsidRDefault="008C707B" w:rsidP="00592CE3">
      <w:pPr>
        <w:pStyle w:val="7392"/>
        <w:rPr>
          <w:rtl/>
        </w:rPr>
      </w:pPr>
      <w:r>
        <w:rPr>
          <w:rFonts w:hint="cs"/>
          <w:rtl/>
        </w:rPr>
        <w:t xml:space="preserve">פגיעה במערכות המידע ובנתונים של בט"ל יכולה להתרחש בזדון או שלא בזדון. פגיעה בזדון יכולה למשל להיות לצורך שינוי המידע כדי לזכות בהטבות כלכליות, לצורך שיבוש תפעולי של המערכות, כפעולת סחיטה וכמתקפת סייבר בידי גורם עוין. פגיעה שלא בזדון יכולה להיות למשל חשיפת מידע למי שאינו מורשה או כפעולה שגויה בתהליך עסקי שעלולה למחוק מידע או לשבש אותו. </w:t>
      </w:r>
    </w:p>
    <w:p w:rsidR="00FD70D7" w:rsidRDefault="008C707B" w:rsidP="00592CE3">
      <w:pPr>
        <w:pStyle w:val="7392"/>
        <w:rPr>
          <w:rtl/>
        </w:rPr>
      </w:pPr>
      <w:r>
        <w:rPr>
          <w:rFonts w:hint="cs"/>
          <w:rtl/>
        </w:rPr>
        <w:t xml:space="preserve">ניתן לחלק את הנזק הנגרם מהפגיעות כמתואר לעיל לשלושה סוגים עיקריים: פגיעה בפרטיות, פגיעה או שיתוק עבודת הארגון ופגיעה  אחרת. </w:t>
      </w:r>
    </w:p>
    <w:p w:rsidR="00FD70D7" w:rsidRDefault="008C707B" w:rsidP="00592CE3">
      <w:pPr>
        <w:pStyle w:val="7392"/>
        <w:rPr>
          <w:rtl/>
        </w:rPr>
      </w:pPr>
      <w:r w:rsidRPr="00592CE3">
        <w:rPr>
          <w:rStyle w:val="7371"/>
          <w:rFonts w:hint="cs"/>
          <w:rtl/>
        </w:rPr>
        <w:lastRenderedPageBreak/>
        <w:t>פגיעה בפרטיות:</w:t>
      </w:r>
      <w:r>
        <w:rPr>
          <w:rFonts w:hint="cs"/>
          <w:rtl/>
        </w:rPr>
        <w:t xml:space="preserve"> </w:t>
      </w:r>
      <w:r w:rsidRPr="00273781">
        <w:rPr>
          <w:rFonts w:hint="cs"/>
          <w:rtl/>
        </w:rPr>
        <w:t xml:space="preserve">הזכות לפרטיות וחובת השמירה על צנעת הפרט עוגנו בחקיקה - הזכות לפרטיות מוגנת על פי סעיף 7 לחוק-יסוד: כבוד האדם וחירותו, הקובע כי כל אדם זכאי לפרטיות ולצנעת חייו"; חוק הגנת הפרטיות קובע </w:t>
      </w:r>
      <w:r>
        <w:rPr>
          <w:rFonts w:hint="cs"/>
          <w:rtl/>
        </w:rPr>
        <w:t>איסור על פגיעה בפרטיותו של אדם</w:t>
      </w:r>
      <w:r w:rsidRPr="00273781">
        <w:rPr>
          <w:rFonts w:hint="cs"/>
          <w:rtl/>
        </w:rPr>
        <w:t>.</w:t>
      </w:r>
    </w:p>
    <w:p w:rsidR="00FD70D7" w:rsidRDefault="008C707B" w:rsidP="00592CE3">
      <w:pPr>
        <w:pStyle w:val="7392"/>
        <w:rPr>
          <w:rtl/>
        </w:rPr>
      </w:pPr>
      <w:r>
        <w:rPr>
          <w:rFonts w:hint="cs"/>
          <w:rtl/>
        </w:rPr>
        <w:t>כאמור, בסיס המידע של בט"ל מכיל מידע אישי רגיש שנאגר ומעובד לשם מתן שירות למבוטחים וכן לצורך מיצוי זכויות מיטבי. בג"ץ עמד על חשיבות ההגנה על הפרטיות בעידן הדיגיטל</w:t>
      </w:r>
      <w:r>
        <w:rPr>
          <w:rFonts w:hint="eastAsia"/>
          <w:rtl/>
        </w:rPr>
        <w:t>י</w:t>
      </w:r>
      <w:r>
        <w:rPr>
          <w:rFonts w:hint="cs"/>
          <w:rtl/>
        </w:rPr>
        <w:t xml:space="preserve"> בפסיקתו וציין כי "התפתחויות בעולם המדע והטכנולוגיה הופכות מהירות יותר מאשר בעבר ועל כן ניצב בית המשפט בפני אתגרים חדשים בתכיפות גדולה מאשר בעידן הקודם... אמצעי המחשוב המודרניים והטכנולוגיה המתקדמת בתחום התקשורת מביאים עימם ברכה רבה בצד סכנות גוברות לפגיעה בזכותו של האדם לפרטיות"</w:t>
      </w:r>
      <w:r>
        <w:rPr>
          <w:rStyle w:val="a8"/>
          <w:rtl/>
        </w:rPr>
        <w:footnoteReference w:id="10"/>
      </w:r>
      <w:r>
        <w:rPr>
          <w:rFonts w:hint="cs"/>
          <w:rtl/>
        </w:rPr>
        <w:t xml:space="preserve">. </w:t>
      </w:r>
    </w:p>
    <w:p w:rsidR="00FD70D7" w:rsidRDefault="008C707B" w:rsidP="00592CE3">
      <w:pPr>
        <w:pStyle w:val="7392"/>
        <w:rPr>
          <w:rtl/>
        </w:rPr>
      </w:pPr>
      <w:r>
        <w:rPr>
          <w:rtl/>
        </w:rPr>
        <w:t xml:space="preserve">חוק הגנת הפרטיות </w:t>
      </w:r>
      <w:r>
        <w:rPr>
          <w:rFonts w:hint="cs"/>
          <w:rtl/>
        </w:rPr>
        <w:t xml:space="preserve">קובע כי האחריות לאבטחת המידע במאגר חלה על </w:t>
      </w:r>
      <w:r>
        <w:rPr>
          <w:rtl/>
        </w:rPr>
        <w:t xml:space="preserve"> בעל מאגר </w:t>
      </w:r>
      <w:r>
        <w:rPr>
          <w:rFonts w:hint="cs"/>
          <w:rtl/>
        </w:rPr>
        <w:t>ה</w:t>
      </w:r>
      <w:r>
        <w:rPr>
          <w:rtl/>
        </w:rPr>
        <w:t xml:space="preserve">מידע, מחזיק מאגר </w:t>
      </w:r>
      <w:r>
        <w:rPr>
          <w:rFonts w:hint="cs"/>
          <w:rtl/>
        </w:rPr>
        <w:t>ה</w:t>
      </w:r>
      <w:r>
        <w:rPr>
          <w:rtl/>
        </w:rPr>
        <w:t xml:space="preserve">מידע או מנהל מאגר </w:t>
      </w:r>
      <w:r>
        <w:rPr>
          <w:rFonts w:hint="cs"/>
          <w:rtl/>
        </w:rPr>
        <w:t>ה</w:t>
      </w:r>
      <w:r>
        <w:rPr>
          <w:rtl/>
        </w:rPr>
        <w:t>מידע כהגדרתו בחוק.</w:t>
      </w:r>
      <w:r>
        <w:rPr>
          <w:rFonts w:hint="cs"/>
          <w:rtl/>
        </w:rPr>
        <w:t xml:space="preserve"> </w:t>
      </w:r>
      <w:r>
        <w:rPr>
          <w:rtl/>
        </w:rPr>
        <w:t>תקנות הגנת הפרטיות (אבטחת מידע), התשע"ז-2017 (להלן - תקנות הגנת הפרטיות אבטחת מידע)</w:t>
      </w:r>
      <w:r>
        <w:rPr>
          <w:rFonts w:hint="cs"/>
          <w:rtl/>
        </w:rPr>
        <w:t>,</w:t>
      </w:r>
      <w:r>
        <w:rPr>
          <w:rtl/>
        </w:rPr>
        <w:t xml:space="preserve"> קובעות את החובות שחלות על בעל מאגר מידע</w:t>
      </w:r>
      <w:r>
        <w:rPr>
          <w:rFonts w:hint="cs"/>
          <w:rtl/>
        </w:rPr>
        <w:t>, מחזיק מאגר המידע</w:t>
      </w:r>
      <w:r>
        <w:rPr>
          <w:rtl/>
        </w:rPr>
        <w:t xml:space="preserve"> </w:t>
      </w:r>
      <w:r>
        <w:rPr>
          <w:rFonts w:hint="cs"/>
          <w:rtl/>
        </w:rPr>
        <w:t>או</w:t>
      </w:r>
      <w:r>
        <w:rPr>
          <w:rtl/>
        </w:rPr>
        <w:t xml:space="preserve"> מנהל מאגר </w:t>
      </w:r>
      <w:r>
        <w:rPr>
          <w:rFonts w:hint="cs"/>
          <w:rtl/>
        </w:rPr>
        <w:t>המידע</w:t>
      </w:r>
      <w:r>
        <w:rPr>
          <w:rStyle w:val="a8"/>
          <w:rtl/>
        </w:rPr>
        <w:footnoteReference w:id="11"/>
      </w:r>
      <w:r>
        <w:rPr>
          <w:rtl/>
        </w:rPr>
        <w:t xml:space="preserve">, בשינויים המחויבים ולפי העניין. </w:t>
      </w:r>
      <w:r w:rsidRPr="00B348CC">
        <w:rPr>
          <w:rFonts w:hint="cs"/>
          <w:rtl/>
        </w:rPr>
        <w:t xml:space="preserve">רמת רגישות המידע ורמת האבטחה הדרושה נקבעות לפי </w:t>
      </w:r>
      <w:r>
        <w:rPr>
          <w:rFonts w:hint="cs"/>
          <w:rtl/>
        </w:rPr>
        <w:t xml:space="preserve">סוג המידע, היקף נושאי המידע ומספר בעלי הרשאות הגישה למאגר בהתאם לאמור בתוספת הראשונה והשנייה בתקנות הגנת הפרטיות אבטחת מידע. </w:t>
      </w:r>
      <w:r>
        <w:rPr>
          <w:rtl/>
        </w:rPr>
        <w:t xml:space="preserve">התקנות קובעות שלוש רמות </w:t>
      </w:r>
      <w:r>
        <w:rPr>
          <w:rFonts w:hint="cs"/>
          <w:rtl/>
        </w:rPr>
        <w:t>אבטחה למאגרי מידע שונים</w:t>
      </w:r>
      <w:r>
        <w:rPr>
          <w:rtl/>
        </w:rPr>
        <w:t xml:space="preserve">: בסיסית, בינונית וגבוהה, בהתאם </w:t>
      </w:r>
      <w:r>
        <w:rPr>
          <w:rFonts w:hint="cs"/>
          <w:rtl/>
        </w:rPr>
        <w:t>לסוג המידע שהם כוללים, היקפו ומספר בעלי ההרשאה אליו</w:t>
      </w:r>
      <w:r>
        <w:rPr>
          <w:rStyle w:val="a8"/>
          <w:rtl/>
        </w:rPr>
        <w:footnoteReference w:id="12"/>
      </w:r>
      <w:r>
        <w:rPr>
          <w:rFonts w:hint="cs"/>
          <w:rtl/>
        </w:rPr>
        <w:t xml:space="preserve">. </w:t>
      </w:r>
      <w:r w:rsidRPr="00512EC5">
        <w:rPr>
          <w:rtl/>
        </w:rPr>
        <w:t xml:space="preserve">מטרת התקנות היא להגביר ולחזק את ההגנה על המידע האישי של </w:t>
      </w:r>
      <w:r>
        <w:rPr>
          <w:rFonts w:hint="cs"/>
          <w:rtl/>
        </w:rPr>
        <w:t>האזרחים</w:t>
      </w:r>
      <w:r w:rsidRPr="00512EC5">
        <w:rPr>
          <w:rtl/>
        </w:rPr>
        <w:t xml:space="preserve"> באמצעות דרישות אבטחת מידע ברורות </w:t>
      </w:r>
      <w:r>
        <w:rPr>
          <w:rFonts w:hint="cs"/>
          <w:rtl/>
        </w:rPr>
        <w:t>ש</w:t>
      </w:r>
      <w:r w:rsidRPr="00512EC5">
        <w:rPr>
          <w:rtl/>
        </w:rPr>
        <w:t xml:space="preserve">בהן על </w:t>
      </w:r>
      <w:r>
        <w:rPr>
          <w:rFonts w:hint="cs"/>
          <w:rtl/>
        </w:rPr>
        <w:t>ה</w:t>
      </w:r>
      <w:r w:rsidRPr="00512EC5">
        <w:rPr>
          <w:rtl/>
        </w:rPr>
        <w:t>גופים ו</w:t>
      </w:r>
      <w:r>
        <w:rPr>
          <w:rFonts w:hint="cs"/>
          <w:rtl/>
        </w:rPr>
        <w:t>ה</w:t>
      </w:r>
      <w:r w:rsidRPr="00512EC5">
        <w:rPr>
          <w:rtl/>
        </w:rPr>
        <w:t>ארגונים לעמוד, בהתאם לרגישות ו</w:t>
      </w:r>
      <w:r>
        <w:rPr>
          <w:rFonts w:hint="cs"/>
          <w:rtl/>
        </w:rPr>
        <w:t>ל</w:t>
      </w:r>
      <w:r w:rsidRPr="00512EC5">
        <w:rPr>
          <w:rtl/>
        </w:rPr>
        <w:t xml:space="preserve">היקף </w:t>
      </w:r>
      <w:r>
        <w:rPr>
          <w:rFonts w:hint="cs"/>
          <w:rtl/>
        </w:rPr>
        <w:t xml:space="preserve">של </w:t>
      </w:r>
      <w:r w:rsidRPr="00512EC5">
        <w:rPr>
          <w:rtl/>
        </w:rPr>
        <w:t xml:space="preserve">המידע האישי שמנוהל או מוחזק </w:t>
      </w:r>
      <w:r>
        <w:rPr>
          <w:rFonts w:hint="cs"/>
          <w:rtl/>
        </w:rPr>
        <w:t>בהם</w:t>
      </w:r>
      <w:r w:rsidRPr="00512EC5">
        <w:rPr>
          <w:rtl/>
        </w:rPr>
        <w:t>.</w:t>
      </w:r>
      <w:r>
        <w:rPr>
          <w:rFonts w:hint="cs"/>
          <w:rtl/>
        </w:rPr>
        <w:t xml:space="preserve"> </w:t>
      </w:r>
    </w:p>
    <w:p w:rsidR="00FD70D7" w:rsidRPr="00A47706" w:rsidRDefault="008C707B" w:rsidP="00592CE3">
      <w:pPr>
        <w:pStyle w:val="7392"/>
        <w:rPr>
          <w:rtl/>
        </w:rPr>
      </w:pPr>
      <w:r>
        <w:rPr>
          <w:rFonts w:hint="cs"/>
          <w:rtl/>
        </w:rPr>
        <w:t xml:space="preserve">הרשות להגנת הפרטיות בישראל </w:t>
      </w:r>
      <w:r w:rsidRPr="00DB653B">
        <w:rPr>
          <w:rtl/>
        </w:rPr>
        <w:t>(להלן - הרשות)</w:t>
      </w:r>
      <w:r>
        <w:rPr>
          <w:rFonts w:hint="cs"/>
          <w:rtl/>
        </w:rPr>
        <w:t xml:space="preserve"> מסרה לצוות הביקורת כי היות שהמאגר של בט"ל הוא מאגר מידע של גוף ציבורי, ככלל חלה עליו רמת אבטחה בינונית. עם זאת, בשל היקפי המידע הקיימים במאגר המידע, רמת האבטחה שחלה על המאגר היא רמת אבטחה גבוהה</w:t>
      </w:r>
      <w:r>
        <w:rPr>
          <w:rStyle w:val="a8"/>
          <w:rFonts w:eastAsiaTheme="majorEastAsia"/>
          <w:b/>
          <w:spacing w:val="40"/>
          <w:rtl/>
        </w:rPr>
        <w:footnoteReference w:id="13"/>
      </w:r>
      <w:r>
        <w:rPr>
          <w:rFonts w:hint="cs"/>
          <w:rtl/>
        </w:rPr>
        <w:t xml:space="preserve">. </w:t>
      </w:r>
    </w:p>
    <w:p w:rsidR="00FD70D7" w:rsidRDefault="008C707B" w:rsidP="00592CE3">
      <w:pPr>
        <w:pStyle w:val="7392"/>
        <w:rPr>
          <w:rtl/>
        </w:rPr>
      </w:pPr>
      <w:r w:rsidRPr="00592CE3">
        <w:rPr>
          <w:rStyle w:val="7371"/>
          <w:rFonts w:hint="cs"/>
          <w:rtl/>
        </w:rPr>
        <w:t>פגיעה או שיתוק עבודת הארגון:</w:t>
      </w:r>
      <w:r>
        <w:rPr>
          <w:rFonts w:hint="cs"/>
          <w:rtl/>
        </w:rPr>
        <w:t xml:space="preserve"> </w:t>
      </w:r>
      <w:r w:rsidRPr="00911BE7">
        <w:rPr>
          <w:rtl/>
        </w:rPr>
        <w:t>התקפות מניעת שירות (</w:t>
      </w:r>
      <w:r w:rsidRPr="00911BE7">
        <w:t>Denial of Service</w:t>
      </w:r>
      <w:r w:rsidRPr="00911BE7">
        <w:rPr>
          <w:rtl/>
        </w:rPr>
        <w:t xml:space="preserve">) נפוצות </w:t>
      </w:r>
      <w:r>
        <w:rPr>
          <w:rFonts w:hint="cs"/>
          <w:rtl/>
        </w:rPr>
        <w:t xml:space="preserve">מאוד, </w:t>
      </w:r>
      <w:r w:rsidRPr="00911BE7">
        <w:rPr>
          <w:rtl/>
        </w:rPr>
        <w:t>ו</w:t>
      </w:r>
      <w:r>
        <w:rPr>
          <w:rFonts w:hint="cs"/>
          <w:rtl/>
        </w:rPr>
        <w:t>הן</w:t>
      </w:r>
      <w:r w:rsidRPr="00911BE7">
        <w:rPr>
          <w:rtl/>
        </w:rPr>
        <w:t xml:space="preserve"> </w:t>
      </w:r>
      <w:r>
        <w:rPr>
          <w:rFonts w:hint="cs"/>
          <w:rtl/>
        </w:rPr>
        <w:t>מתבצעות</w:t>
      </w:r>
      <w:r w:rsidRPr="00911BE7">
        <w:rPr>
          <w:rtl/>
        </w:rPr>
        <w:t xml:space="preserve"> באופן יו</w:t>
      </w:r>
      <w:r>
        <w:rPr>
          <w:rFonts w:hint="cs"/>
          <w:rtl/>
        </w:rPr>
        <w:t>ם-</w:t>
      </w:r>
      <w:r w:rsidRPr="00911BE7">
        <w:rPr>
          <w:rtl/>
        </w:rPr>
        <w:t xml:space="preserve">יומי </w:t>
      </w:r>
      <w:r>
        <w:rPr>
          <w:rFonts w:hint="cs"/>
          <w:rtl/>
        </w:rPr>
        <w:t>על ארגונים שונים.</w:t>
      </w:r>
      <w:r w:rsidRPr="00911BE7">
        <w:rPr>
          <w:rtl/>
        </w:rPr>
        <w:t xml:space="preserve"> </w:t>
      </w:r>
      <w:r>
        <w:rPr>
          <w:rFonts w:hint="cs"/>
          <w:rtl/>
        </w:rPr>
        <w:t xml:space="preserve">במקרים רבים ההתקפות הללו מנסות </w:t>
      </w:r>
      <w:r w:rsidRPr="00911BE7">
        <w:rPr>
          <w:rtl/>
        </w:rPr>
        <w:t xml:space="preserve">להשבית </w:t>
      </w:r>
      <w:r>
        <w:rPr>
          <w:rFonts w:hint="cs"/>
          <w:rtl/>
        </w:rPr>
        <w:t xml:space="preserve">או לשבש </w:t>
      </w:r>
      <w:r w:rsidRPr="00911BE7">
        <w:rPr>
          <w:rtl/>
        </w:rPr>
        <w:t>את השירותים שמספק</w:t>
      </w:r>
      <w:r>
        <w:rPr>
          <w:rFonts w:hint="cs"/>
          <w:rtl/>
        </w:rPr>
        <w:t xml:space="preserve"> הארגון </w:t>
      </w:r>
      <w:r w:rsidRPr="00911BE7">
        <w:rPr>
          <w:rtl/>
        </w:rPr>
        <w:t xml:space="preserve">על ידי העמסה חריגה </w:t>
      </w:r>
      <w:r>
        <w:rPr>
          <w:rFonts w:hint="cs"/>
          <w:rtl/>
        </w:rPr>
        <w:t>על</w:t>
      </w:r>
      <w:r w:rsidRPr="00911BE7">
        <w:rPr>
          <w:rtl/>
        </w:rPr>
        <w:t xml:space="preserve"> המשאבים הקריטיים של</w:t>
      </w:r>
      <w:r>
        <w:rPr>
          <w:rFonts w:hint="cs"/>
          <w:rtl/>
        </w:rPr>
        <w:t xml:space="preserve"> </w:t>
      </w:r>
      <w:r w:rsidRPr="00911BE7">
        <w:rPr>
          <w:rtl/>
        </w:rPr>
        <w:t>ה</w:t>
      </w:r>
      <w:r>
        <w:rPr>
          <w:rFonts w:hint="cs"/>
          <w:rtl/>
        </w:rPr>
        <w:t>ארגון</w:t>
      </w:r>
      <w:r w:rsidRPr="00911BE7">
        <w:rPr>
          <w:rtl/>
        </w:rPr>
        <w:t xml:space="preserve"> באמצעות אוסף של טכניקות, כמו בקשות חוזרות לעיבוד</w:t>
      </w:r>
      <w:r>
        <w:rPr>
          <w:rFonts w:hint="cs"/>
          <w:rtl/>
        </w:rPr>
        <w:t xml:space="preserve"> הצורכות </w:t>
      </w:r>
      <w:r w:rsidRPr="00911BE7">
        <w:rPr>
          <w:rtl/>
        </w:rPr>
        <w:t>משאבים גדולים</w:t>
      </w:r>
      <w:r>
        <w:rPr>
          <w:rFonts w:hint="cs"/>
          <w:rtl/>
        </w:rPr>
        <w:t>.</w:t>
      </w:r>
      <w:r w:rsidRPr="00680A46">
        <w:rPr>
          <w:rtl/>
        </w:rPr>
        <w:t xml:space="preserve"> </w:t>
      </w:r>
    </w:p>
    <w:p w:rsidR="00FD70D7" w:rsidRDefault="008C707B" w:rsidP="00592CE3">
      <w:pPr>
        <w:pStyle w:val="7392"/>
        <w:rPr>
          <w:rtl/>
        </w:rPr>
      </w:pPr>
      <w:r w:rsidRPr="0022513C">
        <w:rPr>
          <w:rFonts w:hint="cs"/>
          <w:rtl/>
        </w:rPr>
        <w:t xml:space="preserve">סיכון זה קיים גם באשר למערכות המידע של בט"ל: לבט"ל יש מערכות </w:t>
      </w:r>
      <w:r w:rsidRPr="0022513C">
        <w:rPr>
          <w:rFonts w:eastAsia="Times New Roman" w:hint="cs"/>
          <w:rtl/>
        </w:rPr>
        <w:t xml:space="preserve">ורכיבים </w:t>
      </w:r>
      <w:r w:rsidRPr="0022513C">
        <w:rPr>
          <w:rFonts w:hint="cs"/>
          <w:rtl/>
        </w:rPr>
        <w:t>שהשבתה שלהם עלולה לשתק את פעילות</w:t>
      </w:r>
      <w:r w:rsidRPr="0022513C">
        <w:rPr>
          <w:rFonts w:eastAsia="Times New Roman" w:hint="cs"/>
          <w:rtl/>
        </w:rPr>
        <w:t xml:space="preserve"> הארגון</w:t>
      </w:r>
      <w:r w:rsidRPr="0022513C">
        <w:rPr>
          <w:rFonts w:hint="cs"/>
          <w:rtl/>
        </w:rPr>
        <w:t>;</w:t>
      </w:r>
      <w:r>
        <w:rPr>
          <w:rFonts w:hint="cs"/>
          <w:rtl/>
        </w:rPr>
        <w:t xml:space="preserve"> </w:t>
      </w:r>
      <w:r w:rsidRPr="0022513C">
        <w:rPr>
          <w:rFonts w:eastAsia="Times New Roman" w:hint="cs"/>
          <w:rtl/>
        </w:rPr>
        <w:t>מערכות נוספות אחרות אמנם לא ישתקו את הארגון כולו, אך פעילותן השוטפת תשובש משמעותית</w:t>
      </w:r>
      <w:r>
        <w:rPr>
          <w:rFonts w:eastAsia="Times New Roman" w:hint="cs"/>
          <w:rtl/>
        </w:rPr>
        <w:t>.</w:t>
      </w:r>
      <w:r w:rsidRPr="0022513C">
        <w:rPr>
          <w:rFonts w:eastAsia="Times New Roman" w:hint="cs"/>
          <w:rtl/>
        </w:rPr>
        <w:t xml:space="preserve"> </w:t>
      </w:r>
      <w:r w:rsidRPr="0022513C">
        <w:rPr>
          <w:rFonts w:hint="cs"/>
          <w:rtl/>
        </w:rPr>
        <w:t xml:space="preserve">שיתוק הפעילות השוטפת או שיבושה באופן </w:t>
      </w:r>
      <w:r w:rsidRPr="0022513C">
        <w:rPr>
          <w:rFonts w:hint="cs"/>
          <w:rtl/>
        </w:rPr>
        <w:lastRenderedPageBreak/>
        <w:t>משמעותי עלולים לגרום לפגיעה מהותית בציבור, למשל להפסקת העברת קצבאות למבוטחים - חלק מהקצבאות הן ממש קריטיות למבוטחים שכן הן מאפשרות המשך מחייתם כמו קצבאות הנכות לסוגיהן וקצבת הבטחת הכנסה.</w:t>
      </w:r>
      <w:r>
        <w:rPr>
          <w:rFonts w:hint="cs"/>
          <w:rtl/>
        </w:rPr>
        <w:t xml:space="preserve"> </w:t>
      </w:r>
    </w:p>
    <w:p w:rsidR="00FD70D7" w:rsidRDefault="008C707B" w:rsidP="00592CE3">
      <w:pPr>
        <w:pStyle w:val="7392"/>
        <w:rPr>
          <w:rtl/>
        </w:rPr>
      </w:pPr>
      <w:r w:rsidRPr="00592CE3">
        <w:rPr>
          <w:rStyle w:val="7371"/>
          <w:rFonts w:hint="cs"/>
          <w:rtl/>
        </w:rPr>
        <w:t>פגיעה אחרת:</w:t>
      </w:r>
      <w:r w:rsidRPr="0022513C">
        <w:rPr>
          <w:rStyle w:val="72"/>
          <w:rFonts w:eastAsiaTheme="majorEastAsia" w:hint="cs"/>
          <w:rtl/>
        </w:rPr>
        <w:t xml:space="preserve"> </w:t>
      </w:r>
      <w:r w:rsidRPr="0022513C">
        <w:rPr>
          <w:rFonts w:hint="cs"/>
          <w:rtl/>
        </w:rPr>
        <w:t>סיכון נוסף שעלול להתממש הוא בשל פריצה למאגרי המידע של בט"ל; סיכון זה עלול להוות סיכון</w:t>
      </w:r>
      <w:r>
        <w:rPr>
          <w:rFonts w:hint="cs"/>
          <w:rtl/>
        </w:rPr>
        <w:t xml:space="preserve"> אחר</w:t>
      </w:r>
      <w:r w:rsidRPr="0022513C">
        <w:rPr>
          <w:rFonts w:hint="cs"/>
          <w:rtl/>
        </w:rPr>
        <w:t xml:space="preserve"> היות ומדובר במאגר מידע הכולל מידע אישי ובו מיליוני רשומות</w:t>
      </w:r>
      <w:r>
        <w:rPr>
          <w:rFonts w:hint="cs"/>
          <w:rtl/>
        </w:rPr>
        <w:t>.</w:t>
      </w:r>
      <w:r w:rsidRPr="0022513C">
        <w:rPr>
          <w:rFonts w:hint="cs"/>
          <w:rtl/>
        </w:rPr>
        <w:t xml:space="preserve"> </w:t>
      </w:r>
      <w:r w:rsidRPr="00884B1E">
        <w:rPr>
          <w:rFonts w:hint="cs"/>
          <w:rtl/>
        </w:rPr>
        <w:t>בנסיבות אלו, במתקפת סייבר, מתקיים</w:t>
      </w:r>
      <w:r w:rsidRPr="0022513C">
        <w:rPr>
          <w:rFonts w:hint="cs"/>
          <w:rtl/>
        </w:rPr>
        <w:t xml:space="preserve"> סיכון של חשיפה בשל דליפת מידע רגיש ממערכות המידע של בט"ל.</w:t>
      </w:r>
      <w:r>
        <w:rPr>
          <w:rFonts w:hint="cs"/>
          <w:rtl/>
        </w:rPr>
        <w:t xml:space="preserve"> </w:t>
      </w:r>
    </w:p>
    <w:p w:rsidR="00FD70D7" w:rsidRPr="00592CE3" w:rsidRDefault="008C707B" w:rsidP="00592CE3">
      <w:pPr>
        <w:pStyle w:val="733155"/>
        <w:rPr>
          <w:rtl/>
        </w:rPr>
      </w:pPr>
      <w:r w:rsidRPr="00592CE3">
        <w:rPr>
          <w:rFonts w:hint="cs"/>
          <w:rtl/>
        </w:rPr>
        <w:t>תמונת המצב האסדרתית</w:t>
      </w:r>
    </w:p>
    <w:p w:rsidR="00FD70D7" w:rsidRDefault="008C707B" w:rsidP="00592CE3">
      <w:pPr>
        <w:pStyle w:val="7392"/>
        <w:rPr>
          <w:rtl/>
        </w:rPr>
      </w:pPr>
      <w:r>
        <w:rPr>
          <w:rFonts w:hint="cs"/>
          <w:rtl/>
        </w:rPr>
        <w:t xml:space="preserve">להלן האסדרה הנורמטיבית העיקרית בנוגע להגנת הסייבר ואבטחת מידע: חוק הגנת הפרטיות </w:t>
      </w:r>
      <w:r w:rsidRPr="00455AD8">
        <w:rPr>
          <w:rtl/>
        </w:rPr>
        <w:t>מגדיר את החובות של בעל מאגר מידע, מחזיק מאגר מידע או מנהל מאגר מידע לאבטחת המידע שבו</w:t>
      </w:r>
      <w:r>
        <w:rPr>
          <w:rFonts w:hint="cs"/>
          <w:rtl/>
        </w:rPr>
        <w:t>; תקנות הגנת הפרטיות (אבטחת מידע); חוק להסדרת הביטחון בגופים ציבוריים התשנ"ח-1998, אשר קובע סמכויות ואחריות לאבטחה פיזית, אבטחת מידע ואבטחת מערכות מחשוב חיוניות של גופים ציבוריים שונים בתוכם, הן גופי ממשלה והן גופים בבעלות פרטית; והחלטת ממשלה 2443 בדבר</w:t>
      </w:r>
      <w:r w:rsidRPr="005A7367">
        <w:rPr>
          <w:rFonts w:hint="cs"/>
          <w:rtl/>
        </w:rPr>
        <w:t xml:space="preserve"> "קידום אסדרה לאומית והובלה ממשלתית בהגנת הסייבר"</w:t>
      </w:r>
      <w:r>
        <w:rPr>
          <w:rStyle w:val="a8"/>
          <w:rtl/>
        </w:rPr>
        <w:footnoteReference w:id="14"/>
      </w:r>
      <w:r>
        <w:rPr>
          <w:rFonts w:hint="cs"/>
          <w:rtl/>
        </w:rPr>
        <w:t>.</w:t>
      </w:r>
    </w:p>
    <w:p w:rsidR="00FD70D7" w:rsidRDefault="008C707B" w:rsidP="00592CE3">
      <w:pPr>
        <w:pStyle w:val="7392"/>
        <w:rPr>
          <w:rtl/>
        </w:rPr>
      </w:pPr>
      <w:r w:rsidRPr="00A67F4F">
        <w:rPr>
          <w:rStyle w:val="7371"/>
          <w:rtl/>
        </w:rPr>
        <w:t>האסדרה</w:t>
      </w:r>
      <w:r w:rsidRPr="00A67F4F">
        <w:rPr>
          <w:rStyle w:val="7371"/>
          <w:rFonts w:hint="cs"/>
          <w:rtl/>
        </w:rPr>
        <w:t xml:space="preserve"> </w:t>
      </w:r>
      <w:r w:rsidRPr="00A67F4F">
        <w:rPr>
          <w:rStyle w:val="7371"/>
          <w:rtl/>
        </w:rPr>
        <w:t xml:space="preserve">של הרשות להגנת הפרטיות מול </w:t>
      </w:r>
      <w:r w:rsidRPr="00A67F4F">
        <w:rPr>
          <w:rStyle w:val="7371"/>
          <w:rFonts w:hint="cs"/>
          <w:rtl/>
        </w:rPr>
        <w:t>בט"ל</w:t>
      </w:r>
      <w:r w:rsidRPr="00A67F4F">
        <w:rPr>
          <w:rStyle w:val="7371"/>
          <w:rtl/>
        </w:rPr>
        <w:t>:</w:t>
      </w:r>
      <w:r>
        <w:rPr>
          <w:rStyle w:val="72"/>
          <w:rFonts w:eastAsiaTheme="majorEastAsia" w:hint="cs"/>
          <w:rtl/>
        </w:rPr>
        <w:t xml:space="preserve"> </w:t>
      </w:r>
      <w:r>
        <w:rPr>
          <w:rFonts w:hint="cs"/>
          <w:rtl/>
        </w:rPr>
        <w:t>הרשות מופקדת על הגנת המידע האישי במאגרי מידע דיגיטלי</w:t>
      </w:r>
      <w:r>
        <w:rPr>
          <w:rFonts w:hint="eastAsia"/>
          <w:rtl/>
        </w:rPr>
        <w:t>ים</w:t>
      </w:r>
      <w:r>
        <w:rPr>
          <w:rFonts w:hint="cs"/>
          <w:rtl/>
        </w:rPr>
        <w:t xml:space="preserve"> ועל ביצורה של הזכות לפרטיות. בידי הרשות סמכויות אכיפה פליליות וסמכויות אכיפה מינהליות על כלל הגופים בישראל - פרטיים, עסקיים וציבוריים, המחזיקים או מעבדים מידע אישי דיגיטל</w:t>
      </w:r>
      <w:r>
        <w:rPr>
          <w:rFonts w:hint="eastAsia"/>
          <w:rtl/>
        </w:rPr>
        <w:t>י</w:t>
      </w:r>
      <w:r>
        <w:rPr>
          <w:rFonts w:hint="cs"/>
          <w:rtl/>
        </w:rPr>
        <w:t>. הרשות נוקטת שני הליכים אסדרתיים עיקריים:</w:t>
      </w:r>
    </w:p>
    <w:p w:rsidR="00FD70D7" w:rsidRPr="00A67F4F" w:rsidRDefault="008C707B" w:rsidP="008C707B">
      <w:pPr>
        <w:pStyle w:val="739"/>
        <w:numPr>
          <w:ilvl w:val="0"/>
          <w:numId w:val="10"/>
        </w:numPr>
      </w:pPr>
      <w:r w:rsidRPr="00A67F4F">
        <w:rPr>
          <w:rStyle w:val="7371"/>
          <w:rFonts w:hint="cs"/>
          <w:rtl/>
        </w:rPr>
        <w:t>פיקוח רוחב:</w:t>
      </w:r>
      <w:r w:rsidRPr="00A67F4F">
        <w:rPr>
          <w:rFonts w:hint="cs"/>
          <w:rtl/>
        </w:rPr>
        <w:t xml:space="preserve"> מדי שנה בשנה מבצעת הרשות סקר סיכונים המבוסס על "שולחנות עגולים" בהשתתפות גופים במשק, גופים מהמגזר הציבורי ואנשי אקדמיה. בהתאם לסקר הסיכונים, הרשות בוחרת חמישה עד שבעה מגזרים שבהם יש רמת סיכון מוגברת, ובוחנת את רמת העמידה של הגופים השייכים לאותם מגזרים  בחוק הגנת הפרטיות ובתקנותיו (להלן - פיקוח רוחב). הפיקוח מבוסס על תשובות שאלונים שמילאו הגופים הנבדקים. תוצר הפיקוח מציג דוח המדרג (במדד גבוה, בינוני או נמוך) כל גוף שנבדק לפי רמת העמידה בחוק ובתקנות הגנת הפרטיות אבטחת מידע.</w:t>
      </w:r>
    </w:p>
    <w:p w:rsidR="00FD70D7" w:rsidRPr="00A67F4F" w:rsidRDefault="008C707B" w:rsidP="008C707B">
      <w:pPr>
        <w:pStyle w:val="739"/>
        <w:numPr>
          <w:ilvl w:val="0"/>
          <w:numId w:val="10"/>
        </w:numPr>
        <w:rPr>
          <w:rtl/>
        </w:rPr>
      </w:pPr>
      <w:r w:rsidRPr="00A67F4F">
        <w:rPr>
          <w:rStyle w:val="7371"/>
          <w:rFonts w:hint="cs"/>
          <w:rtl/>
        </w:rPr>
        <w:t>הליך מינהלי:</w:t>
      </w:r>
      <w:r w:rsidRPr="00A67F4F">
        <w:rPr>
          <w:rFonts w:hint="cs"/>
          <w:rtl/>
        </w:rPr>
        <w:t xml:space="preserve"> הליך זה נעשה כתולדה של אחד מאלו: אירוע אבטחת מידע בגוף הנבדק; חשד מודיעיני לאירוע; חשש להפרה של חוק הגנת הפרטיות או של תקנות הגנת הפרטיות (אבטחת מידע); קבלת תלונה קונקרטית; וכאשר הגוף מבצע שינויים מערכתיים העלולים לייצר אירוע של אבטחת מידע. במקרים שבהם הרשות להגנת הפרטיות סבורה כי מחזיק מאגר המידע או בעל מאגר המידע הפרו את הוראות החוק או את הוראות התקנות או לא מילאו אחר דרישות שהוצגו להם, יש בידי הרשות מספר כלים הקבועים בחוק ובהם הטלת קנס מינהלי, הנחיה לתיקון ליקויים, התלי</w:t>
      </w:r>
      <w:r w:rsidRPr="00A67F4F">
        <w:rPr>
          <w:rFonts w:hint="eastAsia"/>
          <w:rtl/>
        </w:rPr>
        <w:t>י</w:t>
      </w:r>
      <w:r w:rsidRPr="00A67F4F">
        <w:rPr>
          <w:rFonts w:hint="cs"/>
          <w:rtl/>
        </w:rPr>
        <w:t>ת  תוקפו של רישום המאגר לתקופה מסוימת או אף ביטול רישומו בפנקס מאגרי המידע</w:t>
      </w:r>
      <w:r>
        <w:rPr>
          <w:rStyle w:val="a8"/>
          <w:rtl/>
        </w:rPr>
        <w:footnoteReference w:id="15"/>
      </w:r>
      <w:r w:rsidRPr="00A67F4F">
        <w:rPr>
          <w:rFonts w:hint="cs"/>
          <w:rtl/>
        </w:rPr>
        <w:t>.</w:t>
      </w:r>
    </w:p>
    <w:p w:rsidR="00FD70D7" w:rsidRPr="00A67F4F" w:rsidRDefault="008C707B" w:rsidP="00A67F4F">
      <w:pPr>
        <w:pStyle w:val="735"/>
        <w:rPr>
          <w:rtl/>
        </w:rPr>
      </w:pPr>
      <w:r w:rsidRPr="00A67F4F">
        <w:rPr>
          <w:rFonts w:hint="cs"/>
          <w:rtl/>
        </w:rPr>
        <w:lastRenderedPageBreak/>
        <w:t>בביקורת עלה כי מאז הקמת הרשות להגנת הפרטיות בשנת 2006 ועד מועד סיום הביקורת (יותר מ-16 שנה) ביצעה הרשות שישה הליכים מינהליים בנושא אבטחת מידע בבט"ל. אשר לפיקוח רוחב, רק באוגוסט 2022 החלה הרשות להגנת הפרטיות לבצע בפעם הראשונה פיקוח רוחב בבט"ל</w:t>
      </w:r>
      <w:r w:rsidRPr="00A67F4F">
        <w:rPr>
          <w:rtl/>
        </w:rPr>
        <w:t>.</w:t>
      </w:r>
    </w:p>
    <w:p w:rsidR="00FD70D7" w:rsidRPr="0030272C" w:rsidRDefault="008C707B" w:rsidP="00A67F4F">
      <w:pPr>
        <w:pStyle w:val="7392"/>
        <w:rPr>
          <w:rtl/>
        </w:rPr>
      </w:pPr>
      <w:r w:rsidRPr="00A67F4F">
        <w:rPr>
          <w:rStyle w:val="7371"/>
          <w:rtl/>
        </w:rPr>
        <w:t xml:space="preserve">האסדרה של שירות הביטחון הכללי והממשק של מערך הסייבר הלאומי מול </w:t>
      </w:r>
      <w:r w:rsidRPr="00A67F4F">
        <w:rPr>
          <w:rStyle w:val="7371"/>
          <w:rFonts w:hint="cs"/>
          <w:rtl/>
        </w:rPr>
        <w:t>בט"ל</w:t>
      </w:r>
      <w:r w:rsidRPr="00A67F4F">
        <w:rPr>
          <w:rStyle w:val="7371"/>
          <w:rtl/>
        </w:rPr>
        <w:t>:</w:t>
      </w:r>
      <w:r w:rsidRPr="00D35DC7">
        <w:rPr>
          <w:rStyle w:val="72"/>
          <w:rFonts w:eastAsiaTheme="majorEastAsia"/>
          <w:rtl/>
        </w:rPr>
        <w:t xml:space="preserve"> </w:t>
      </w:r>
      <w:r w:rsidRPr="00C755E4">
        <w:rPr>
          <w:rFonts w:hint="cs"/>
          <w:rtl/>
        </w:rPr>
        <w:t>ה</w:t>
      </w:r>
      <w:r w:rsidRPr="00C755E4">
        <w:rPr>
          <w:rtl/>
        </w:rPr>
        <w:t xml:space="preserve">חוק להסדרת הביטחון קובע </w:t>
      </w:r>
      <w:r>
        <w:rPr>
          <w:rFonts w:hint="cs"/>
          <w:rtl/>
        </w:rPr>
        <w:t>את ה</w:t>
      </w:r>
      <w:r w:rsidRPr="00C755E4">
        <w:rPr>
          <w:rtl/>
        </w:rPr>
        <w:t>סמכויות ו</w:t>
      </w:r>
      <w:r>
        <w:rPr>
          <w:rFonts w:hint="cs"/>
          <w:rtl/>
        </w:rPr>
        <w:t>ה</w:t>
      </w:r>
      <w:r w:rsidRPr="00C755E4">
        <w:rPr>
          <w:rtl/>
        </w:rPr>
        <w:t xml:space="preserve">אחריות </w:t>
      </w:r>
      <w:r>
        <w:rPr>
          <w:rFonts w:hint="cs"/>
          <w:rtl/>
        </w:rPr>
        <w:t xml:space="preserve">של שירות הביטחון הכללי (השב"כ) </w:t>
      </w:r>
      <w:r w:rsidRPr="00C755E4">
        <w:rPr>
          <w:rtl/>
        </w:rPr>
        <w:t>לאבטחה פיזית,</w:t>
      </w:r>
      <w:r w:rsidRPr="00C755E4">
        <w:rPr>
          <w:rFonts w:hint="cs"/>
          <w:rtl/>
        </w:rPr>
        <w:t xml:space="preserve"> </w:t>
      </w:r>
      <w:r w:rsidRPr="00C755E4">
        <w:rPr>
          <w:rtl/>
        </w:rPr>
        <w:t>אבטחת מידע ואבטחת מערכות מחשוב חיוניות בגופי ממשלה ו</w:t>
      </w:r>
      <w:r>
        <w:rPr>
          <w:rFonts w:hint="cs"/>
          <w:rtl/>
        </w:rPr>
        <w:t>ב</w:t>
      </w:r>
      <w:r w:rsidRPr="00C755E4">
        <w:rPr>
          <w:rtl/>
        </w:rPr>
        <w:t xml:space="preserve">גופים </w:t>
      </w:r>
      <w:r>
        <w:rPr>
          <w:rFonts w:hint="cs"/>
          <w:rtl/>
        </w:rPr>
        <w:t>בהחזקה</w:t>
      </w:r>
      <w:r w:rsidRPr="00C755E4">
        <w:rPr>
          <w:rtl/>
        </w:rPr>
        <w:t xml:space="preserve"> פרטית</w:t>
      </w:r>
      <w:r>
        <w:rPr>
          <w:rFonts w:hint="cs"/>
          <w:rtl/>
        </w:rPr>
        <w:t xml:space="preserve"> או ציבורית</w:t>
      </w:r>
      <w:r w:rsidRPr="00C755E4">
        <w:rPr>
          <w:rtl/>
        </w:rPr>
        <w:t>.</w:t>
      </w:r>
      <w:r w:rsidRPr="00C755E4">
        <w:rPr>
          <w:rFonts w:hint="cs"/>
          <w:rtl/>
        </w:rPr>
        <w:t xml:space="preserve"> בתוספת השנייה לחוק מנויים גופים שמונחים על ידי השב"</w:t>
      </w:r>
      <w:r>
        <w:rPr>
          <w:rFonts w:hint="cs"/>
          <w:rtl/>
        </w:rPr>
        <w:t xml:space="preserve">כ </w:t>
      </w:r>
      <w:r w:rsidRPr="00C755E4">
        <w:rPr>
          <w:rFonts w:hint="cs"/>
          <w:rtl/>
        </w:rPr>
        <w:t>ב</w:t>
      </w:r>
      <w:r>
        <w:rPr>
          <w:rFonts w:hint="cs"/>
          <w:rtl/>
        </w:rPr>
        <w:t>נוגע</w:t>
      </w:r>
      <w:r w:rsidRPr="00C755E4">
        <w:rPr>
          <w:rFonts w:hint="cs"/>
          <w:rtl/>
        </w:rPr>
        <w:t xml:space="preserve"> לאבטחת מידע</w:t>
      </w:r>
      <w:r>
        <w:rPr>
          <w:rFonts w:hint="cs"/>
          <w:rtl/>
        </w:rPr>
        <w:t xml:space="preserve"> ב</w:t>
      </w:r>
      <w:r w:rsidRPr="005321A0">
        <w:rPr>
          <w:rtl/>
        </w:rPr>
        <w:t xml:space="preserve">נושאים </w:t>
      </w:r>
      <w:r>
        <w:rPr>
          <w:rFonts w:hint="cs"/>
          <w:rtl/>
        </w:rPr>
        <w:t>ש</w:t>
      </w:r>
      <w:r w:rsidRPr="005321A0">
        <w:rPr>
          <w:rtl/>
        </w:rPr>
        <w:t>ס</w:t>
      </w:r>
      <w:r>
        <w:rPr>
          <w:rFonts w:hint="cs"/>
          <w:rtl/>
        </w:rPr>
        <w:t>י</w:t>
      </w:r>
      <w:r w:rsidRPr="005321A0">
        <w:rPr>
          <w:rtl/>
        </w:rPr>
        <w:t xml:space="preserve">ווגם שמור </w:t>
      </w:r>
      <w:r>
        <w:rPr>
          <w:rFonts w:hint="cs"/>
          <w:rtl/>
        </w:rPr>
        <w:t xml:space="preserve">עד </w:t>
      </w:r>
      <w:r w:rsidRPr="005321A0">
        <w:rPr>
          <w:rtl/>
        </w:rPr>
        <w:t xml:space="preserve">סודי ביותר </w:t>
      </w:r>
      <w:r w:rsidRPr="0030272C">
        <w:rPr>
          <w:rFonts w:hint="cs"/>
          <w:rtl/>
        </w:rPr>
        <w:t>ובהם בט"ל</w:t>
      </w:r>
      <w:r>
        <w:rPr>
          <w:rFonts w:hint="cs"/>
          <w:rtl/>
        </w:rPr>
        <w:t>.</w:t>
      </w:r>
      <w:r w:rsidRPr="006715F9">
        <w:rPr>
          <w:b/>
          <w:bCs/>
          <w:rtl/>
        </w:rPr>
        <w:t xml:space="preserve"> </w:t>
      </w:r>
      <w:r w:rsidRPr="005321A0">
        <w:rPr>
          <w:rtl/>
        </w:rPr>
        <w:t xml:space="preserve">המשמעות היא שהיחידה מנחה את </w:t>
      </w:r>
      <w:r w:rsidRPr="005321A0">
        <w:rPr>
          <w:rFonts w:hint="eastAsia"/>
          <w:rtl/>
        </w:rPr>
        <w:t>בט</w:t>
      </w:r>
      <w:r w:rsidRPr="005321A0">
        <w:rPr>
          <w:rtl/>
        </w:rPr>
        <w:t>"ל</w:t>
      </w:r>
      <w:r>
        <w:rPr>
          <w:rFonts w:hint="cs"/>
          <w:rtl/>
        </w:rPr>
        <w:t xml:space="preserve"> בהיבטי אבטחת מידע מסווג.</w:t>
      </w:r>
    </w:p>
    <w:p w:rsidR="00FD70D7" w:rsidRDefault="008C707B" w:rsidP="00A67F4F">
      <w:pPr>
        <w:pStyle w:val="7392"/>
        <w:rPr>
          <w:rtl/>
        </w:rPr>
      </w:pPr>
      <w:r w:rsidRPr="00A67F4F">
        <w:rPr>
          <w:rStyle w:val="7371"/>
          <w:rFonts w:hint="eastAsia"/>
          <w:rtl/>
        </w:rPr>
        <w:t>מס</w:t>
      </w:r>
      <w:r w:rsidRPr="00A67F4F">
        <w:rPr>
          <w:rStyle w:val="7371"/>
          <w:rtl/>
        </w:rPr>
        <w:t>"ל</w:t>
      </w:r>
      <w:r w:rsidRPr="00A67F4F">
        <w:rPr>
          <w:rStyle w:val="7371"/>
          <w:rFonts w:hint="cs"/>
          <w:rtl/>
        </w:rPr>
        <w:t>:</w:t>
      </w:r>
      <w:r>
        <w:rPr>
          <w:rFonts w:hint="cs"/>
          <w:rtl/>
        </w:rPr>
        <w:t xml:space="preserve"> </w:t>
      </w:r>
      <w:r w:rsidRPr="008F174C">
        <w:rPr>
          <w:rFonts w:hint="cs"/>
          <w:rtl/>
        </w:rPr>
        <w:t xml:space="preserve">באוגוסט 2011 </w:t>
      </w:r>
      <w:r>
        <w:rPr>
          <w:rFonts w:hint="cs"/>
          <w:rtl/>
        </w:rPr>
        <w:t>החליטה הממשלה</w:t>
      </w:r>
      <w:r w:rsidRPr="008F174C">
        <w:rPr>
          <w:rFonts w:hint="cs"/>
          <w:rtl/>
        </w:rPr>
        <w:t xml:space="preserve"> על "קידום היכולת הלאומית במרחב הק</w:t>
      </w:r>
      <w:r>
        <w:rPr>
          <w:rFonts w:hint="cs"/>
          <w:rtl/>
        </w:rPr>
        <w:t>י</w:t>
      </w:r>
      <w:r w:rsidRPr="008F174C">
        <w:rPr>
          <w:rFonts w:hint="cs"/>
          <w:rtl/>
        </w:rPr>
        <w:t>ברנטי"</w:t>
      </w:r>
      <w:r>
        <w:rPr>
          <w:vertAlign w:val="superscript"/>
          <w:rtl/>
        </w:rPr>
        <w:footnoteReference w:id="16"/>
      </w:r>
      <w:r w:rsidRPr="008F174C">
        <w:rPr>
          <w:rFonts w:hint="cs"/>
          <w:rtl/>
        </w:rPr>
        <w:t xml:space="preserve">. </w:t>
      </w:r>
      <w:r>
        <w:rPr>
          <w:rFonts w:hint="cs"/>
          <w:rtl/>
        </w:rPr>
        <w:t>ההחלטה התייחסה</w:t>
      </w:r>
      <w:r w:rsidRPr="008F174C">
        <w:rPr>
          <w:rFonts w:hint="cs"/>
          <w:rtl/>
        </w:rPr>
        <w:t xml:space="preserve"> </w:t>
      </w:r>
      <w:r>
        <w:rPr>
          <w:rFonts w:hint="cs"/>
          <w:rtl/>
        </w:rPr>
        <w:t>ל</w:t>
      </w:r>
      <w:r w:rsidRPr="008F174C">
        <w:rPr>
          <w:rFonts w:hint="cs"/>
          <w:rtl/>
        </w:rPr>
        <w:t>קידום היכולת הלאומית במרחב הק</w:t>
      </w:r>
      <w:r>
        <w:rPr>
          <w:rFonts w:hint="cs"/>
          <w:rtl/>
        </w:rPr>
        <w:t>י</w:t>
      </w:r>
      <w:r w:rsidRPr="008F174C">
        <w:rPr>
          <w:rFonts w:hint="cs"/>
          <w:rtl/>
        </w:rPr>
        <w:t>ברנטי</w:t>
      </w:r>
      <w:r>
        <w:rPr>
          <w:rStyle w:val="a8"/>
          <w:rtl/>
        </w:rPr>
        <w:footnoteReference w:id="17"/>
      </w:r>
      <w:r w:rsidRPr="008F174C">
        <w:rPr>
          <w:rFonts w:hint="cs"/>
          <w:rtl/>
        </w:rPr>
        <w:t xml:space="preserve">; </w:t>
      </w:r>
      <w:r>
        <w:rPr>
          <w:rFonts w:hint="cs"/>
          <w:rtl/>
        </w:rPr>
        <w:t>ל</w:t>
      </w:r>
      <w:r w:rsidRPr="008F174C">
        <w:rPr>
          <w:rFonts w:hint="cs"/>
          <w:rtl/>
        </w:rPr>
        <w:t xml:space="preserve">שיפור </w:t>
      </w:r>
      <w:r>
        <w:rPr>
          <w:rFonts w:hint="cs"/>
          <w:rtl/>
        </w:rPr>
        <w:t xml:space="preserve">יכולת </w:t>
      </w:r>
      <w:r w:rsidRPr="008F174C">
        <w:rPr>
          <w:rFonts w:hint="cs"/>
          <w:rtl/>
        </w:rPr>
        <w:t>ההתמודדות עם האתגרים במרחב הק</w:t>
      </w:r>
      <w:r>
        <w:rPr>
          <w:rFonts w:hint="cs"/>
          <w:rtl/>
        </w:rPr>
        <w:t>י</w:t>
      </w:r>
      <w:r w:rsidRPr="008F174C">
        <w:rPr>
          <w:rFonts w:hint="cs"/>
          <w:rtl/>
        </w:rPr>
        <w:t xml:space="preserve">ברנטי; </w:t>
      </w:r>
      <w:r>
        <w:rPr>
          <w:rFonts w:hint="cs"/>
          <w:rtl/>
        </w:rPr>
        <w:t>ל</w:t>
      </w:r>
      <w:r w:rsidRPr="008F174C">
        <w:rPr>
          <w:rFonts w:hint="cs"/>
          <w:rtl/>
        </w:rPr>
        <w:t xml:space="preserve">שיפור ההגנה על תשתיות לאומיות חיוניות ועוד. </w:t>
      </w:r>
      <w:r>
        <w:rPr>
          <w:rFonts w:hint="cs"/>
          <w:rtl/>
        </w:rPr>
        <w:t xml:space="preserve">בדצמבר 2017 הופקד מס"ל </w:t>
      </w:r>
      <w:r w:rsidRPr="0075505B">
        <w:rPr>
          <w:rtl/>
        </w:rPr>
        <w:t>על הגנת הסייבר בישראל מכוח החלטת הממשלה 3270</w:t>
      </w:r>
      <w:r>
        <w:rPr>
          <w:rFonts w:hint="cs"/>
          <w:rtl/>
        </w:rPr>
        <w:t xml:space="preserve">. </w:t>
      </w:r>
      <w:r w:rsidRPr="008F174C">
        <w:rPr>
          <w:rFonts w:hint="cs"/>
          <w:rtl/>
        </w:rPr>
        <w:t xml:space="preserve">על מס"ל הוטל בין היתר לבנות ולחזק את חוסנו של כלל המשק להתמודדות עם התקפות סייבר. עוד </w:t>
      </w:r>
      <w:r>
        <w:rPr>
          <w:rFonts w:hint="cs"/>
          <w:rtl/>
        </w:rPr>
        <w:t xml:space="preserve">קבעה הממשלה בהחלטתה </w:t>
      </w:r>
      <w:r w:rsidRPr="008F174C">
        <w:rPr>
          <w:rFonts w:hint="cs"/>
          <w:rtl/>
        </w:rPr>
        <w:t>כי מס"ל יקבל את האחריות ל</w:t>
      </w:r>
      <w:r>
        <w:rPr>
          <w:rFonts w:hint="cs"/>
          <w:rtl/>
        </w:rPr>
        <w:t>הנחיי</w:t>
      </w:r>
      <w:r w:rsidRPr="008F174C">
        <w:rPr>
          <w:rFonts w:hint="cs"/>
          <w:rtl/>
        </w:rPr>
        <w:t xml:space="preserve">ת </w:t>
      </w:r>
      <w:r>
        <w:rPr>
          <w:rFonts w:hint="cs"/>
          <w:rtl/>
        </w:rPr>
        <w:t>הגופים המוגדרים כבעלי תשתיות מידע קריטיות (להלן - תמ"ק)</w:t>
      </w:r>
      <w:r w:rsidRPr="008F174C">
        <w:rPr>
          <w:rFonts w:hint="cs"/>
          <w:rtl/>
        </w:rPr>
        <w:t>.</w:t>
      </w:r>
      <w:r>
        <w:rPr>
          <w:rFonts w:hint="cs"/>
          <w:rtl/>
        </w:rPr>
        <w:t xml:space="preserve"> בתוספת החמישית לחוק מנויים הגופים שמס"ל תהיה אחראית להנחות אותם ובהם משרד האוצר, הלשכה המרכזית לסטטיסטיקה ובנק ישראל וכן חברות תשתית ותחבורה ובהן חברת החשמל לישראל, חברת נמל אשדוד ורשות שדות התעופה. הנחיית מס"ל לגוף תמ"ק כוללת מתן מענה מערכתי ובכלל זה  ליווי של הגוף באופן שוטף וסיוע בפעולות האלה: בניית תוכנית העבודה השנתית בתחום הגנת הסייבר ומעקב אחר ביצועה; ויישום תורת ההגנה הייעודית לגופי תמ"ק ופיקוח על אופן יישומה באמצעות ביצוע ביקורות ובהן מבדקי חדירה. כמו כן אגף תמ"ק במס"ל מלווה את גוף התמ"ק ומסייע לו כשיש חשש לאירוע סייבר</w:t>
      </w:r>
      <w:r>
        <w:rPr>
          <w:rStyle w:val="a8"/>
          <w:rtl/>
        </w:rPr>
        <w:footnoteReference w:id="18"/>
      </w:r>
      <w:r w:rsidRPr="00452552">
        <w:rPr>
          <w:rFonts w:hint="cs"/>
          <w:rtl/>
        </w:rPr>
        <w:t>.</w:t>
      </w:r>
      <w:r>
        <w:rPr>
          <w:rFonts w:hint="cs"/>
          <w:rtl/>
        </w:rPr>
        <w:t xml:space="preserve"> </w:t>
      </w:r>
    </w:p>
    <w:p w:rsidR="00FD70D7" w:rsidRPr="000E469C" w:rsidRDefault="008C707B" w:rsidP="00A67F4F">
      <w:pPr>
        <w:pStyle w:val="7392"/>
        <w:rPr>
          <w:rtl/>
        </w:rPr>
      </w:pPr>
      <w:r w:rsidRPr="000E469C">
        <w:rPr>
          <w:rFonts w:hint="cs"/>
          <w:rtl/>
        </w:rPr>
        <w:t xml:space="preserve">בתוספת השנייה לחוק להסדרת הביטחון מופיעים הגופים הנדרשים להנחיה בנוגע לנושאים המסווגים שמור עד סודי ביותר. </w:t>
      </w:r>
    </w:p>
    <w:p w:rsidR="00FD70D7" w:rsidRPr="002C58C6" w:rsidRDefault="008C707B" w:rsidP="002C58C6">
      <w:pPr>
        <w:pStyle w:val="735"/>
        <w:rPr>
          <w:rtl/>
        </w:rPr>
      </w:pPr>
      <w:r w:rsidRPr="002C58C6">
        <w:rPr>
          <w:rFonts w:hint="cs"/>
          <w:rtl/>
        </w:rPr>
        <w:t xml:space="preserve">עלה כי בט"ל אומנם מופיע בתוספת השנייה </w:t>
      </w:r>
      <w:r w:rsidRPr="002C58C6">
        <w:rPr>
          <w:rFonts w:hint="eastAsia"/>
          <w:rtl/>
        </w:rPr>
        <w:t>אך</w:t>
      </w:r>
      <w:r w:rsidRPr="002C58C6">
        <w:rPr>
          <w:rtl/>
        </w:rPr>
        <w:t xml:space="preserve"> </w:t>
      </w:r>
      <w:r w:rsidRPr="002C58C6">
        <w:rPr>
          <w:rFonts w:hint="cs"/>
          <w:rtl/>
        </w:rPr>
        <w:t xml:space="preserve">אינו מוגדר בתוספת החמישית לחוק להסדרת הביטחון המתייחסת לגופים המוגדרים כבעלי תשתיות מידע קריטיות, אף שהוא גוף שמחזיק במאגר מידע על תושבי מדינת ישראל. לפיכך, בט"ל מקבל הנחיה משב"כ בנוגע לנושאים המסווגים בלבד אך אינו נדרש להנחיה קבועה ממס"ל. </w:t>
      </w:r>
    </w:p>
    <w:p w:rsidR="00FD70D7" w:rsidRPr="00A67F4F" w:rsidRDefault="008C707B" w:rsidP="00A67F4F">
      <w:pPr>
        <w:pStyle w:val="7392"/>
        <w:rPr>
          <w:rtl/>
        </w:rPr>
      </w:pPr>
      <w:r w:rsidRPr="00A67F4F">
        <w:rPr>
          <w:rStyle w:val="7371"/>
          <w:rFonts w:hint="eastAsia"/>
          <w:rtl/>
        </w:rPr>
        <w:t>היחידה</w:t>
      </w:r>
      <w:r w:rsidRPr="00A67F4F">
        <w:rPr>
          <w:rStyle w:val="7371"/>
          <w:rtl/>
        </w:rPr>
        <w:t xml:space="preserve"> </w:t>
      </w:r>
      <w:r w:rsidRPr="00A67F4F">
        <w:rPr>
          <w:rStyle w:val="7371"/>
          <w:rFonts w:hint="eastAsia"/>
          <w:rtl/>
        </w:rPr>
        <w:t>להגנת</w:t>
      </w:r>
      <w:r w:rsidRPr="00A67F4F">
        <w:rPr>
          <w:rStyle w:val="7371"/>
          <w:rtl/>
        </w:rPr>
        <w:t xml:space="preserve"> </w:t>
      </w:r>
      <w:r w:rsidRPr="00A67F4F">
        <w:rPr>
          <w:rStyle w:val="7371"/>
          <w:rFonts w:hint="eastAsia"/>
          <w:rtl/>
        </w:rPr>
        <w:t>הסייבר</w:t>
      </w:r>
      <w:r w:rsidRPr="00A67F4F">
        <w:rPr>
          <w:rStyle w:val="7371"/>
          <w:rtl/>
        </w:rPr>
        <w:t xml:space="preserve"> </w:t>
      </w:r>
      <w:r w:rsidRPr="00A67F4F">
        <w:rPr>
          <w:rStyle w:val="7371"/>
          <w:rFonts w:hint="eastAsia"/>
          <w:rtl/>
        </w:rPr>
        <w:t>בממשלה</w:t>
      </w:r>
      <w:r w:rsidRPr="00A67F4F">
        <w:rPr>
          <w:rStyle w:val="7371"/>
          <w:rtl/>
        </w:rPr>
        <w:t>:</w:t>
      </w:r>
      <w:r w:rsidRPr="00A67F4F">
        <w:rPr>
          <w:rFonts w:hint="cs"/>
          <w:rtl/>
        </w:rPr>
        <w:t xml:space="preserve"> </w:t>
      </w:r>
      <w:r w:rsidRPr="00A67F4F">
        <w:rPr>
          <w:rFonts w:hint="eastAsia"/>
          <w:rtl/>
        </w:rPr>
        <w:t>ב</w:t>
      </w:r>
      <w:r w:rsidRPr="00A67F4F">
        <w:rPr>
          <w:rFonts w:hint="cs"/>
          <w:rtl/>
        </w:rPr>
        <w:t>ה</w:t>
      </w:r>
      <w:r w:rsidRPr="00A67F4F">
        <w:rPr>
          <w:rFonts w:hint="eastAsia"/>
          <w:rtl/>
        </w:rPr>
        <w:t>חלטת</w:t>
      </w:r>
      <w:r w:rsidRPr="00A67F4F">
        <w:rPr>
          <w:rtl/>
        </w:rPr>
        <w:t xml:space="preserve"> </w:t>
      </w:r>
      <w:r w:rsidRPr="00A67F4F">
        <w:rPr>
          <w:rFonts w:hint="eastAsia"/>
          <w:rtl/>
        </w:rPr>
        <w:t>הממשלה</w:t>
      </w:r>
      <w:r w:rsidRPr="00A67F4F">
        <w:rPr>
          <w:rFonts w:hint="cs"/>
          <w:rtl/>
        </w:rPr>
        <w:t xml:space="preserve"> 2443 </w:t>
      </w:r>
      <w:r w:rsidRPr="00A67F4F">
        <w:rPr>
          <w:rFonts w:hint="eastAsia"/>
          <w:rtl/>
        </w:rPr>
        <w:t>מפברואר</w:t>
      </w:r>
      <w:r w:rsidRPr="00A67F4F">
        <w:rPr>
          <w:rtl/>
        </w:rPr>
        <w:t xml:space="preserve"> 2015</w:t>
      </w:r>
      <w:r w:rsidRPr="00A67F4F">
        <w:rPr>
          <w:rFonts w:hint="cs"/>
          <w:rtl/>
        </w:rPr>
        <w:t xml:space="preserve"> בנושא קידום אסדרה לאומית והובלה ממשלתית בהגנת הסייבר, הוחלט על הקמת היחידה להגנת הסייבר </w:t>
      </w:r>
      <w:r w:rsidRPr="00A67F4F">
        <w:rPr>
          <w:rFonts w:hint="cs"/>
          <w:rtl/>
        </w:rPr>
        <w:lastRenderedPageBreak/>
        <w:t>בממשלה (להלן - יה"ב) אשר תפעל לשיפור רמת הגנת הסייבר, תכווין את משרדי הממשלה ואת יחידות הסמך שלה ותנחה אותם.</w:t>
      </w:r>
    </w:p>
    <w:p w:rsidR="00FD70D7" w:rsidRPr="005F35DE" w:rsidRDefault="008C707B" w:rsidP="002C58C6">
      <w:pPr>
        <w:pStyle w:val="735"/>
        <w:rPr>
          <w:rtl/>
        </w:rPr>
      </w:pPr>
      <w:r w:rsidRPr="005F35DE">
        <w:rPr>
          <w:rFonts w:hint="eastAsia"/>
          <w:rtl/>
        </w:rPr>
        <w:t>בט</w:t>
      </w:r>
      <w:r w:rsidRPr="005F35DE">
        <w:rPr>
          <w:rtl/>
        </w:rPr>
        <w:t>"ל הו</w:t>
      </w:r>
      <w:r>
        <w:rPr>
          <w:rFonts w:hint="cs"/>
          <w:rtl/>
        </w:rPr>
        <w:t>א</w:t>
      </w:r>
      <w:r w:rsidRPr="005F35DE">
        <w:rPr>
          <w:rtl/>
        </w:rPr>
        <w:t xml:space="preserve"> תאגיד אשר הוקם </w:t>
      </w:r>
      <w:r w:rsidRPr="005F35DE">
        <w:rPr>
          <w:rFonts w:hint="eastAsia"/>
          <w:rtl/>
        </w:rPr>
        <w:t>לפי</w:t>
      </w:r>
      <w:r w:rsidRPr="005F35DE">
        <w:rPr>
          <w:rtl/>
        </w:rPr>
        <w:t xml:space="preserve"> </w:t>
      </w:r>
      <w:r w:rsidRPr="005F35DE">
        <w:rPr>
          <w:rFonts w:hint="eastAsia"/>
          <w:sz w:val="24"/>
          <w:rtl/>
        </w:rPr>
        <w:t>חוק</w:t>
      </w:r>
      <w:r w:rsidRPr="005F35DE">
        <w:rPr>
          <w:sz w:val="24"/>
          <w:rtl/>
        </w:rPr>
        <w:t xml:space="preserve"> </w:t>
      </w:r>
      <w:r w:rsidRPr="005F35DE">
        <w:rPr>
          <w:rFonts w:hint="eastAsia"/>
          <w:sz w:val="24"/>
          <w:rtl/>
        </w:rPr>
        <w:t>הביטוח</w:t>
      </w:r>
      <w:r w:rsidRPr="005F35DE">
        <w:rPr>
          <w:sz w:val="24"/>
          <w:rtl/>
        </w:rPr>
        <w:t xml:space="preserve"> </w:t>
      </w:r>
      <w:r w:rsidRPr="005F35DE">
        <w:rPr>
          <w:rFonts w:hint="eastAsia"/>
          <w:sz w:val="24"/>
          <w:rtl/>
        </w:rPr>
        <w:t>הלאומי</w:t>
      </w:r>
      <w:r w:rsidRPr="005F35DE">
        <w:rPr>
          <w:sz w:val="24"/>
          <w:rtl/>
        </w:rPr>
        <w:t xml:space="preserve"> </w:t>
      </w:r>
      <w:r>
        <w:rPr>
          <w:rFonts w:hint="cs"/>
          <w:sz w:val="24"/>
          <w:rtl/>
        </w:rPr>
        <w:t>[</w:t>
      </w:r>
      <w:r w:rsidRPr="005F35DE">
        <w:rPr>
          <w:sz w:val="24"/>
          <w:rtl/>
        </w:rPr>
        <w:t xml:space="preserve">נוסח </w:t>
      </w:r>
      <w:r w:rsidRPr="005F35DE">
        <w:rPr>
          <w:rFonts w:hint="eastAsia"/>
          <w:sz w:val="24"/>
          <w:rtl/>
        </w:rPr>
        <w:t>משולב</w:t>
      </w:r>
      <w:r>
        <w:rPr>
          <w:rFonts w:hint="cs"/>
          <w:sz w:val="24"/>
          <w:rtl/>
        </w:rPr>
        <w:t>],</w:t>
      </w:r>
      <w:r w:rsidRPr="005F35DE">
        <w:rPr>
          <w:sz w:val="24"/>
          <w:rtl/>
        </w:rPr>
        <w:t xml:space="preserve"> </w:t>
      </w:r>
      <w:r>
        <w:rPr>
          <w:rFonts w:hint="cs"/>
          <w:sz w:val="24"/>
          <w:rtl/>
        </w:rPr>
        <w:t>ה</w:t>
      </w:r>
      <w:r w:rsidRPr="005F35DE">
        <w:rPr>
          <w:rFonts w:hint="eastAsia"/>
          <w:sz w:val="24"/>
          <w:rtl/>
        </w:rPr>
        <w:t>תשנ</w:t>
      </w:r>
      <w:r w:rsidRPr="005F35DE">
        <w:rPr>
          <w:sz w:val="24"/>
          <w:rtl/>
        </w:rPr>
        <w:t>"ה-1995</w:t>
      </w:r>
      <w:r>
        <w:rPr>
          <w:rFonts w:hint="cs"/>
          <w:rtl/>
        </w:rPr>
        <w:t>,</w:t>
      </w:r>
      <w:r w:rsidRPr="005F35DE">
        <w:rPr>
          <w:rtl/>
        </w:rPr>
        <w:t xml:space="preserve"> </w:t>
      </w:r>
      <w:r>
        <w:rPr>
          <w:rFonts w:hint="cs"/>
          <w:rtl/>
        </w:rPr>
        <w:t>ו</w:t>
      </w:r>
      <w:r w:rsidRPr="005F35DE">
        <w:rPr>
          <w:rtl/>
        </w:rPr>
        <w:t xml:space="preserve">על כן הוא אינו מונחה בידי </w:t>
      </w:r>
      <w:r w:rsidRPr="005F35DE">
        <w:rPr>
          <w:rFonts w:hint="eastAsia"/>
          <w:rtl/>
        </w:rPr>
        <w:t>יה</w:t>
      </w:r>
      <w:r w:rsidRPr="005F35DE">
        <w:rPr>
          <w:rtl/>
        </w:rPr>
        <w:t>"</w:t>
      </w:r>
      <w:r w:rsidRPr="000F0A13">
        <w:rPr>
          <w:rtl/>
        </w:rPr>
        <w:t>ב</w:t>
      </w:r>
      <w:r w:rsidRPr="000F0A13">
        <w:rPr>
          <w:rFonts w:hint="cs"/>
          <w:rtl/>
        </w:rPr>
        <w:t xml:space="preserve">, </w:t>
      </w:r>
      <w:r w:rsidRPr="000F0A13">
        <w:rPr>
          <w:rFonts w:hint="eastAsia"/>
          <w:rtl/>
        </w:rPr>
        <w:t>המנחה</w:t>
      </w:r>
      <w:r w:rsidRPr="000F0A13">
        <w:rPr>
          <w:rtl/>
        </w:rPr>
        <w:t xml:space="preserve"> כאמור משרדי ממשלה </w:t>
      </w:r>
      <w:r w:rsidRPr="000F0A13">
        <w:rPr>
          <w:rFonts w:hint="eastAsia"/>
          <w:rtl/>
        </w:rPr>
        <w:t>ויחידות</w:t>
      </w:r>
      <w:r w:rsidRPr="000F0A13">
        <w:rPr>
          <w:rtl/>
        </w:rPr>
        <w:t xml:space="preserve"> </w:t>
      </w:r>
      <w:r w:rsidRPr="000F0A13">
        <w:rPr>
          <w:rFonts w:hint="eastAsia"/>
          <w:rtl/>
        </w:rPr>
        <w:t>סמך</w:t>
      </w:r>
      <w:r w:rsidRPr="000F0A13">
        <w:rPr>
          <w:rtl/>
        </w:rPr>
        <w:t>.</w:t>
      </w:r>
    </w:p>
    <w:p w:rsidR="00FD70D7" w:rsidRPr="00103E25" w:rsidRDefault="008C707B" w:rsidP="00A67F4F">
      <w:pPr>
        <w:pStyle w:val="7392"/>
        <w:rPr>
          <w:rtl/>
        </w:rPr>
      </w:pPr>
      <w:r w:rsidRPr="00A67F4F">
        <w:rPr>
          <w:rStyle w:val="7371"/>
          <w:rFonts w:hint="eastAsia"/>
          <w:rtl/>
        </w:rPr>
        <w:t>פיקוח</w:t>
      </w:r>
      <w:r w:rsidRPr="00A67F4F">
        <w:rPr>
          <w:rStyle w:val="7371"/>
          <w:rtl/>
        </w:rPr>
        <w:t xml:space="preserve"> </w:t>
      </w:r>
      <w:r w:rsidRPr="00A67F4F">
        <w:rPr>
          <w:rStyle w:val="7371"/>
          <w:rFonts w:hint="eastAsia"/>
          <w:rtl/>
        </w:rPr>
        <w:t>עצמי</w:t>
      </w:r>
      <w:r w:rsidRPr="00A67F4F">
        <w:rPr>
          <w:rStyle w:val="7371"/>
          <w:rFonts w:hint="cs"/>
          <w:rtl/>
        </w:rPr>
        <w:t>:</w:t>
      </w:r>
      <w:r>
        <w:rPr>
          <w:rFonts w:hint="cs"/>
          <w:rtl/>
        </w:rPr>
        <w:t xml:space="preserve"> על פי החוק להסדרת הביטחון ישנם גופים </w:t>
      </w:r>
      <w:r w:rsidRPr="005061F0">
        <w:rPr>
          <w:rFonts w:hint="eastAsia"/>
          <w:rtl/>
        </w:rPr>
        <w:t>המבצעים</w:t>
      </w:r>
      <w:r w:rsidRPr="005061F0">
        <w:rPr>
          <w:rtl/>
        </w:rPr>
        <w:t xml:space="preserve"> </w:t>
      </w:r>
      <w:r w:rsidRPr="005061F0">
        <w:rPr>
          <w:rFonts w:hint="eastAsia"/>
          <w:rtl/>
        </w:rPr>
        <w:t>פיקוח</w:t>
      </w:r>
      <w:r w:rsidRPr="005061F0">
        <w:rPr>
          <w:rtl/>
        </w:rPr>
        <w:t xml:space="preserve"> </w:t>
      </w:r>
      <w:r w:rsidRPr="005061F0">
        <w:rPr>
          <w:rFonts w:hint="eastAsia"/>
          <w:rtl/>
        </w:rPr>
        <w:t>עצמי</w:t>
      </w:r>
      <w:r>
        <w:rPr>
          <w:rFonts w:hint="cs"/>
          <w:rtl/>
        </w:rPr>
        <w:t xml:space="preserve">. בגופים אלו </w:t>
      </w:r>
      <w:r w:rsidRPr="005061F0">
        <w:rPr>
          <w:rFonts w:hint="eastAsia"/>
          <w:rtl/>
        </w:rPr>
        <w:t>יש</w:t>
      </w:r>
      <w:r w:rsidRPr="005061F0">
        <w:rPr>
          <w:rtl/>
        </w:rPr>
        <w:t xml:space="preserve"> </w:t>
      </w:r>
      <w:r w:rsidRPr="005061F0">
        <w:rPr>
          <w:rFonts w:hint="eastAsia"/>
          <w:rtl/>
        </w:rPr>
        <w:t>יחידות</w:t>
      </w:r>
      <w:r w:rsidRPr="005061F0">
        <w:rPr>
          <w:rtl/>
        </w:rPr>
        <w:t xml:space="preserve"> </w:t>
      </w:r>
      <w:r w:rsidRPr="005061F0">
        <w:rPr>
          <w:rFonts w:hint="eastAsia"/>
          <w:rtl/>
        </w:rPr>
        <w:t>ייעודיות</w:t>
      </w:r>
      <w:r w:rsidRPr="005061F0">
        <w:rPr>
          <w:rtl/>
        </w:rPr>
        <w:t xml:space="preserve"> שמטרתן הגנה על מרחב הסייבר.</w:t>
      </w:r>
      <w:r>
        <w:rPr>
          <w:rFonts w:hint="cs"/>
          <w:rtl/>
        </w:rPr>
        <w:t xml:space="preserve"> </w:t>
      </w:r>
      <w:r w:rsidRPr="005061F0">
        <w:rPr>
          <w:rtl/>
        </w:rPr>
        <w:t xml:space="preserve">למשל בצה"ל יש אגף תקשוב וההגנה </w:t>
      </w:r>
      <w:r w:rsidRPr="005061F0">
        <w:rPr>
          <w:rFonts w:hint="eastAsia"/>
          <w:rtl/>
        </w:rPr>
        <w:t>בסב</w:t>
      </w:r>
      <w:r w:rsidRPr="005061F0">
        <w:rPr>
          <w:rtl/>
        </w:rPr>
        <w:t>"ר (סביבת רשת) ב</w:t>
      </w:r>
      <w:r>
        <w:rPr>
          <w:rFonts w:hint="cs"/>
          <w:rtl/>
        </w:rPr>
        <w:t>פיקוד</w:t>
      </w:r>
      <w:r w:rsidRPr="005061F0">
        <w:rPr>
          <w:rtl/>
        </w:rPr>
        <w:t xml:space="preserve"> קצין בדרגת אלוף. האגף אמון על הפעלת הכוח וכן על גיבוש מדיניות התקשוב בצה"ל </w:t>
      </w:r>
      <w:r>
        <w:rPr>
          <w:rFonts w:hint="cs"/>
          <w:rtl/>
        </w:rPr>
        <w:t xml:space="preserve">ומימושה </w:t>
      </w:r>
      <w:r w:rsidRPr="005061F0">
        <w:rPr>
          <w:rtl/>
        </w:rPr>
        <w:t>וב</w:t>
      </w:r>
      <w:r>
        <w:rPr>
          <w:rFonts w:hint="cs"/>
          <w:rtl/>
        </w:rPr>
        <w:t>כלל זה</w:t>
      </w:r>
      <w:r w:rsidRPr="005061F0">
        <w:rPr>
          <w:rtl/>
        </w:rPr>
        <w:t xml:space="preserve"> על ניהול הגנת הסייבר. כמו כן האגף מפעיל את חיל הקשר ו</w:t>
      </w:r>
      <w:r>
        <w:rPr>
          <w:rFonts w:hint="cs"/>
          <w:rtl/>
        </w:rPr>
        <w:t>כמה</w:t>
      </w:r>
      <w:r w:rsidRPr="005061F0">
        <w:rPr>
          <w:rtl/>
        </w:rPr>
        <w:t xml:space="preserve"> יחידות מסווגות</w:t>
      </w:r>
      <w:r>
        <w:rPr>
          <w:rStyle w:val="a8"/>
          <w:rtl/>
        </w:rPr>
        <w:footnoteReference w:id="19"/>
      </w:r>
      <w:r w:rsidRPr="00103E25">
        <w:rPr>
          <w:rFonts w:hint="cs"/>
          <w:rtl/>
        </w:rPr>
        <w:t xml:space="preserve">. </w:t>
      </w:r>
    </w:p>
    <w:p w:rsidR="00FD70D7" w:rsidRDefault="008C707B" w:rsidP="00A67F4F">
      <w:pPr>
        <w:pStyle w:val="7392"/>
        <w:rPr>
          <w:rtl/>
        </w:rPr>
      </w:pPr>
      <w:r>
        <w:rPr>
          <w:rFonts w:hint="cs"/>
          <w:rtl/>
        </w:rPr>
        <w:t>הגופיים המקצועיים בבט"ל האחראים ל</w:t>
      </w:r>
      <w:r w:rsidRPr="006B4C7C">
        <w:rPr>
          <w:rFonts w:hint="cs"/>
          <w:rtl/>
        </w:rPr>
        <w:t xml:space="preserve">אבטחת המידע במערכות הממוחשבות שלו </w:t>
      </w:r>
      <w:r>
        <w:rPr>
          <w:rFonts w:hint="cs"/>
          <w:rtl/>
        </w:rPr>
        <w:t>הם</w:t>
      </w:r>
      <w:r w:rsidRPr="006B4C7C">
        <w:rPr>
          <w:rFonts w:hint="cs"/>
          <w:rtl/>
        </w:rPr>
        <w:t xml:space="preserve"> </w:t>
      </w:r>
      <w:r>
        <w:rPr>
          <w:rFonts w:hint="cs"/>
          <w:rtl/>
        </w:rPr>
        <w:t>חטיבת אבטחת מידע ו</w:t>
      </w:r>
      <w:r w:rsidRPr="006B4C7C">
        <w:rPr>
          <w:rFonts w:hint="cs"/>
          <w:rtl/>
        </w:rPr>
        <w:t>חטיבת סייבר</w:t>
      </w:r>
      <w:r w:rsidRPr="00BE7496">
        <w:rPr>
          <w:rFonts w:hint="cs"/>
          <w:rtl/>
        </w:rPr>
        <w:t xml:space="preserve">, והם כפופים </w:t>
      </w:r>
      <w:r w:rsidRPr="006B4C7C">
        <w:rPr>
          <w:rFonts w:hint="eastAsia"/>
          <w:rtl/>
        </w:rPr>
        <w:t>לסמנכ</w:t>
      </w:r>
      <w:r w:rsidRPr="006B4C7C">
        <w:rPr>
          <w:rtl/>
        </w:rPr>
        <w:t>"ל</w:t>
      </w:r>
      <w:r w:rsidRPr="006B4C7C">
        <w:rPr>
          <w:rFonts w:ascii="Arial" w:hAnsi="Arial" w:cs="Arial" w:hint="cs"/>
          <w:rtl/>
        </w:rPr>
        <w:t xml:space="preserve"> </w:t>
      </w:r>
      <w:r>
        <w:rPr>
          <w:rFonts w:hint="cs"/>
          <w:rtl/>
        </w:rPr>
        <w:t xml:space="preserve">מינהל </w:t>
      </w:r>
      <w:r w:rsidRPr="006B4C7C">
        <w:rPr>
          <w:rFonts w:hint="cs"/>
          <w:rtl/>
        </w:rPr>
        <w:t>תקשוב ומערכות</w:t>
      </w:r>
      <w:r w:rsidRPr="006531AB">
        <w:rPr>
          <w:rFonts w:hint="cs"/>
          <w:rtl/>
        </w:rPr>
        <w:t xml:space="preserve"> מידע</w:t>
      </w:r>
      <w:r>
        <w:rPr>
          <w:rFonts w:hint="cs"/>
          <w:rtl/>
        </w:rPr>
        <w:t xml:space="preserve"> ומונים 20 עובדים</w:t>
      </w:r>
      <w:r>
        <w:rPr>
          <w:rStyle w:val="a8"/>
          <w:rtl/>
        </w:rPr>
        <w:footnoteReference w:id="20"/>
      </w:r>
      <w:r>
        <w:rPr>
          <w:rFonts w:hint="cs"/>
          <w:rtl/>
        </w:rPr>
        <w:t xml:space="preserve">. </w:t>
      </w:r>
    </w:p>
    <w:p w:rsidR="00FD70D7" w:rsidRDefault="008C707B" w:rsidP="00A67F4F">
      <w:pPr>
        <w:pStyle w:val="7392"/>
        <w:rPr>
          <w:rtl/>
        </w:rPr>
      </w:pPr>
      <w:r w:rsidRPr="00A67F4F">
        <w:rPr>
          <w:rStyle w:val="7371"/>
          <w:rtl/>
        </w:rPr>
        <w:t xml:space="preserve">תהליך ה"הנחיה מרצון" של </w:t>
      </w:r>
      <w:r w:rsidRPr="00A67F4F">
        <w:rPr>
          <w:rStyle w:val="7371"/>
          <w:rFonts w:hint="eastAsia"/>
          <w:rtl/>
        </w:rPr>
        <w:t>מס</w:t>
      </w:r>
      <w:r w:rsidRPr="00A67F4F">
        <w:rPr>
          <w:rStyle w:val="7371"/>
          <w:rtl/>
        </w:rPr>
        <w:t>"ל</w:t>
      </w:r>
      <w:r w:rsidRPr="00A67F4F">
        <w:rPr>
          <w:rStyle w:val="7371"/>
          <w:rFonts w:hint="cs"/>
          <w:rtl/>
        </w:rPr>
        <w:t>:</w:t>
      </w:r>
      <w:r>
        <w:rPr>
          <w:rFonts w:hint="cs"/>
          <w:rtl/>
        </w:rPr>
        <w:t xml:space="preserve"> בשנת 2016 החל מס"ל להנחות את בט"ל "</w:t>
      </w:r>
      <w:r w:rsidRPr="00C20762">
        <w:rPr>
          <w:rFonts w:hint="cs"/>
          <w:rtl/>
        </w:rPr>
        <w:t>הנחיה מרצון"</w:t>
      </w:r>
      <w:r>
        <w:rPr>
          <w:rFonts w:hint="cs"/>
          <w:rtl/>
        </w:rPr>
        <w:t>, וזאת בעקבות פניות של בט"ל אליו בעניין זה.</w:t>
      </w:r>
      <w:r w:rsidRPr="00C20762">
        <w:rPr>
          <w:rFonts w:hint="cs"/>
          <w:rtl/>
        </w:rPr>
        <w:t xml:space="preserve"> </w:t>
      </w:r>
      <w:r>
        <w:rPr>
          <w:rFonts w:hint="cs"/>
          <w:rtl/>
        </w:rPr>
        <w:t>משמעות הדבר היא שמס"ל מנחה את בט"ל</w:t>
      </w:r>
      <w:r w:rsidRPr="00C20762">
        <w:rPr>
          <w:rFonts w:hint="cs"/>
          <w:rtl/>
        </w:rPr>
        <w:t xml:space="preserve"> </w:t>
      </w:r>
      <w:r>
        <w:rPr>
          <w:rFonts w:hint="cs"/>
          <w:rtl/>
        </w:rPr>
        <w:t>כפי שהוא מנחה את גופי התמ"ק אולם לבט"ל אין</w:t>
      </w:r>
      <w:r w:rsidRPr="00C20762">
        <w:rPr>
          <w:rFonts w:hint="cs"/>
          <w:rtl/>
        </w:rPr>
        <w:t xml:space="preserve"> חובה לי</w:t>
      </w:r>
      <w:r>
        <w:rPr>
          <w:rFonts w:hint="cs"/>
          <w:rtl/>
        </w:rPr>
        <w:t>ישם את ההנחיות</w:t>
      </w:r>
      <w:r w:rsidRPr="00C20762">
        <w:rPr>
          <w:rFonts w:hint="cs"/>
          <w:rtl/>
        </w:rPr>
        <w:t xml:space="preserve">. </w:t>
      </w:r>
      <w:r>
        <w:rPr>
          <w:rFonts w:hint="cs"/>
          <w:rtl/>
        </w:rPr>
        <w:t>נכון למועד סיום הביקורת (דצמבר 2022) הנחו את בט"ל ארבעה מנחים מטעם מס"ל.</w:t>
      </w:r>
    </w:p>
    <w:p w:rsidR="00FD70D7" w:rsidRPr="002C58C6" w:rsidRDefault="008C707B" w:rsidP="002C58C6">
      <w:pPr>
        <w:pStyle w:val="735"/>
        <w:rPr>
          <w:rtl/>
        </w:rPr>
      </w:pPr>
      <w:r w:rsidRPr="002C58C6">
        <w:rPr>
          <w:rFonts w:hint="eastAsia"/>
          <w:rtl/>
        </w:rPr>
        <w:t>משיחות</w:t>
      </w:r>
      <w:r w:rsidRPr="002C58C6">
        <w:rPr>
          <w:rtl/>
        </w:rPr>
        <w:t xml:space="preserve"> של צוות הביקורת עם </w:t>
      </w:r>
      <w:r w:rsidRPr="002C58C6">
        <w:rPr>
          <w:rFonts w:hint="eastAsia"/>
          <w:rtl/>
        </w:rPr>
        <w:t>בט</w:t>
      </w:r>
      <w:r w:rsidRPr="002C58C6">
        <w:rPr>
          <w:rtl/>
        </w:rPr>
        <w:t xml:space="preserve">"ל התברר כי </w:t>
      </w:r>
      <w:r w:rsidRPr="002C58C6">
        <w:rPr>
          <w:rFonts w:hint="cs"/>
          <w:rtl/>
        </w:rPr>
        <w:t xml:space="preserve">רמת המעורבות של מס"ל לאורך השנים הלכה ופחתה: </w:t>
      </w:r>
      <w:r w:rsidRPr="002C58C6">
        <w:rPr>
          <w:rtl/>
        </w:rPr>
        <w:t>מ</w:t>
      </w:r>
      <w:r w:rsidRPr="002C58C6">
        <w:rPr>
          <w:rFonts w:hint="eastAsia"/>
          <w:rtl/>
        </w:rPr>
        <w:t>שנת</w:t>
      </w:r>
      <w:r w:rsidRPr="002C58C6">
        <w:rPr>
          <w:rtl/>
        </w:rPr>
        <w:t xml:space="preserve"> 2016 </w:t>
      </w:r>
      <w:r w:rsidRPr="002C58C6">
        <w:rPr>
          <w:rFonts w:hint="cs"/>
          <w:rtl/>
        </w:rPr>
        <w:t xml:space="preserve">ועד 2020 </w:t>
      </w:r>
      <w:r w:rsidRPr="002C58C6">
        <w:rPr>
          <w:rFonts w:hint="eastAsia"/>
          <w:rtl/>
        </w:rPr>
        <w:t>ה</w:t>
      </w:r>
      <w:r w:rsidRPr="002C58C6">
        <w:rPr>
          <w:rtl/>
        </w:rPr>
        <w:t>"</w:t>
      </w:r>
      <w:r w:rsidRPr="002C58C6">
        <w:rPr>
          <w:rFonts w:hint="eastAsia"/>
          <w:rtl/>
        </w:rPr>
        <w:t>הנחיה</w:t>
      </w:r>
      <w:r w:rsidRPr="002C58C6">
        <w:rPr>
          <w:rtl/>
        </w:rPr>
        <w:t xml:space="preserve"> </w:t>
      </w:r>
      <w:r w:rsidRPr="002C58C6">
        <w:rPr>
          <w:rFonts w:hint="eastAsia"/>
          <w:rtl/>
        </w:rPr>
        <w:t>מרצון</w:t>
      </w:r>
      <w:r w:rsidRPr="002C58C6">
        <w:rPr>
          <w:rtl/>
        </w:rPr>
        <w:t xml:space="preserve">" </w:t>
      </w:r>
      <w:r w:rsidRPr="002C58C6">
        <w:rPr>
          <w:rFonts w:hint="cs"/>
          <w:rtl/>
        </w:rPr>
        <w:t xml:space="preserve">הייתה </w:t>
      </w:r>
      <w:r w:rsidRPr="002C58C6">
        <w:rPr>
          <w:rFonts w:hint="eastAsia"/>
          <w:rtl/>
        </w:rPr>
        <w:t>צמודה</w:t>
      </w:r>
      <w:r w:rsidRPr="002C58C6">
        <w:rPr>
          <w:rtl/>
        </w:rPr>
        <w:t xml:space="preserve"> </w:t>
      </w:r>
      <w:r w:rsidRPr="002C58C6">
        <w:rPr>
          <w:rFonts w:hint="cs"/>
          <w:rtl/>
        </w:rPr>
        <w:t xml:space="preserve">וכללה </w:t>
      </w:r>
      <w:r w:rsidRPr="002C58C6">
        <w:rPr>
          <w:rFonts w:hint="eastAsia"/>
          <w:rtl/>
        </w:rPr>
        <w:t>התייעצות</w:t>
      </w:r>
      <w:r w:rsidRPr="002C58C6">
        <w:rPr>
          <w:rtl/>
        </w:rPr>
        <w:t xml:space="preserve"> </w:t>
      </w:r>
      <w:r w:rsidRPr="002C58C6">
        <w:rPr>
          <w:rFonts w:hint="eastAsia"/>
          <w:rtl/>
        </w:rPr>
        <w:t>שוטפת</w:t>
      </w:r>
      <w:r w:rsidRPr="002C58C6">
        <w:rPr>
          <w:rtl/>
        </w:rPr>
        <w:t xml:space="preserve"> </w:t>
      </w:r>
      <w:r w:rsidRPr="002C58C6">
        <w:rPr>
          <w:rFonts w:hint="eastAsia"/>
          <w:rtl/>
        </w:rPr>
        <w:t>על</w:t>
      </w:r>
      <w:r w:rsidRPr="002C58C6">
        <w:rPr>
          <w:rtl/>
        </w:rPr>
        <w:t xml:space="preserve"> </w:t>
      </w:r>
      <w:r w:rsidRPr="002C58C6">
        <w:rPr>
          <w:rFonts w:hint="eastAsia"/>
          <w:rtl/>
        </w:rPr>
        <w:t>בסיס</w:t>
      </w:r>
      <w:r w:rsidRPr="002C58C6">
        <w:rPr>
          <w:rtl/>
        </w:rPr>
        <w:t xml:space="preserve"> </w:t>
      </w:r>
      <w:r w:rsidRPr="002C58C6">
        <w:rPr>
          <w:rFonts w:hint="eastAsia"/>
          <w:rtl/>
        </w:rPr>
        <w:t>יום</w:t>
      </w:r>
      <w:r w:rsidRPr="002C58C6">
        <w:rPr>
          <w:rtl/>
        </w:rPr>
        <w:t>-</w:t>
      </w:r>
      <w:r w:rsidRPr="002C58C6">
        <w:rPr>
          <w:rFonts w:hint="eastAsia"/>
          <w:rtl/>
        </w:rPr>
        <w:t>יומי</w:t>
      </w:r>
      <w:r w:rsidRPr="002C58C6">
        <w:rPr>
          <w:rFonts w:hint="cs"/>
          <w:rtl/>
        </w:rPr>
        <w:t>; מסוף 2020 התחלפו שלושה מנחים ו</w:t>
      </w:r>
      <w:r w:rsidRPr="002C58C6">
        <w:rPr>
          <w:rtl/>
        </w:rPr>
        <w:t xml:space="preserve">ההנחיה הייתה </w:t>
      </w:r>
      <w:r w:rsidRPr="002C58C6">
        <w:rPr>
          <w:rFonts w:hint="eastAsia"/>
          <w:rtl/>
        </w:rPr>
        <w:t>מועטה</w:t>
      </w:r>
      <w:r w:rsidRPr="002C58C6">
        <w:rPr>
          <w:rtl/>
        </w:rPr>
        <w:t xml:space="preserve"> יותר ולא קבועה</w:t>
      </w:r>
      <w:r w:rsidRPr="002C58C6">
        <w:rPr>
          <w:rFonts w:hint="cs"/>
          <w:rtl/>
        </w:rPr>
        <w:t>; ובמועד סיום הביקורת אין מנחה מטעם מס"ל אלא הקשר מתבצע באמצעות המוקד של</w:t>
      </w:r>
      <w:r w:rsidRPr="002C58C6">
        <w:rPr>
          <w:rtl/>
        </w:rPr>
        <w:t xml:space="preserve"> </w:t>
      </w:r>
      <w:r w:rsidRPr="002C58C6">
        <w:rPr>
          <w:rFonts w:hint="eastAsia"/>
          <w:rtl/>
        </w:rPr>
        <w:t>מס</w:t>
      </w:r>
      <w:r w:rsidRPr="002C58C6">
        <w:rPr>
          <w:rtl/>
        </w:rPr>
        <w:t>"ל</w:t>
      </w:r>
      <w:r w:rsidRPr="002C58C6">
        <w:rPr>
          <w:rFonts w:hint="cs"/>
          <w:rtl/>
        </w:rPr>
        <w:t xml:space="preserve"> (</w:t>
      </w:r>
      <w:r w:rsidRPr="002C58C6">
        <w:rPr>
          <w:rFonts w:hint="cs"/>
        </w:rPr>
        <w:t>CERT</w:t>
      </w:r>
      <w:r>
        <w:rPr>
          <w:rStyle w:val="a8"/>
          <w:rtl/>
        </w:rPr>
        <w:footnoteReference w:id="21"/>
      </w:r>
      <w:r w:rsidRPr="002C58C6">
        <w:rPr>
          <w:rFonts w:hint="cs"/>
          <w:rtl/>
        </w:rPr>
        <w:t xml:space="preserve">) המטפל בכלל אירועי הסייבר בישראל. </w:t>
      </w:r>
      <w:r w:rsidRPr="002C58C6">
        <w:rPr>
          <w:rtl/>
        </w:rPr>
        <w:t xml:space="preserve">לפיכך לבט"ל אין מענה שוטף </w:t>
      </w:r>
      <w:r w:rsidRPr="002C58C6">
        <w:rPr>
          <w:rFonts w:hint="cs"/>
          <w:rtl/>
        </w:rPr>
        <w:t xml:space="preserve">ומערכתי </w:t>
      </w:r>
      <w:r w:rsidRPr="002C58C6">
        <w:rPr>
          <w:rtl/>
        </w:rPr>
        <w:t xml:space="preserve">לטיפול </w:t>
      </w:r>
      <w:r w:rsidRPr="002C58C6">
        <w:rPr>
          <w:rFonts w:hint="cs"/>
          <w:rtl/>
        </w:rPr>
        <w:t xml:space="preserve">בכלל </w:t>
      </w:r>
      <w:r w:rsidRPr="002C58C6">
        <w:rPr>
          <w:rtl/>
        </w:rPr>
        <w:t>אירועי אבטחת מידע.</w:t>
      </w:r>
    </w:p>
    <w:p w:rsidR="00FD70D7" w:rsidRPr="002C58C6" w:rsidRDefault="008C707B" w:rsidP="002C58C6">
      <w:pPr>
        <w:pStyle w:val="7392"/>
        <w:rPr>
          <w:rtl/>
        </w:rPr>
      </w:pPr>
      <w:r w:rsidRPr="002C58C6">
        <w:rPr>
          <w:rStyle w:val="72"/>
          <w:rFonts w:eastAsiaTheme="minorHAnsi" w:hint="eastAsia"/>
          <w:b/>
          <w:spacing w:val="0"/>
          <w:rtl/>
        </w:rPr>
        <w:t>סיכום</w:t>
      </w:r>
      <w:r w:rsidRPr="002C58C6">
        <w:rPr>
          <w:rStyle w:val="72"/>
          <w:rFonts w:eastAsiaTheme="minorHAnsi"/>
          <w:b/>
          <w:spacing w:val="0"/>
          <w:rtl/>
        </w:rPr>
        <w:t xml:space="preserve"> הגופים </w:t>
      </w:r>
      <w:r w:rsidRPr="002C58C6">
        <w:rPr>
          <w:rStyle w:val="72"/>
          <w:rFonts w:eastAsiaTheme="minorHAnsi" w:hint="eastAsia"/>
          <w:b/>
          <w:spacing w:val="0"/>
          <w:rtl/>
        </w:rPr>
        <w:t>האסדרתיים</w:t>
      </w:r>
      <w:r w:rsidRPr="002C58C6">
        <w:rPr>
          <w:rStyle w:val="72"/>
          <w:rFonts w:eastAsiaTheme="minorHAnsi"/>
          <w:b/>
          <w:spacing w:val="0"/>
          <w:rtl/>
        </w:rPr>
        <w:t xml:space="preserve"> הנוגעים </w:t>
      </w:r>
      <w:r w:rsidRPr="002C58C6">
        <w:rPr>
          <w:rStyle w:val="72"/>
          <w:rFonts w:eastAsiaTheme="minorHAnsi" w:hint="eastAsia"/>
          <w:b/>
          <w:spacing w:val="0"/>
          <w:rtl/>
        </w:rPr>
        <w:t>לבט</w:t>
      </w:r>
      <w:r w:rsidRPr="002C58C6">
        <w:rPr>
          <w:rStyle w:val="72"/>
          <w:rFonts w:eastAsiaTheme="minorHAnsi"/>
          <w:b/>
          <w:spacing w:val="0"/>
          <w:rtl/>
        </w:rPr>
        <w:t>"ל</w:t>
      </w:r>
      <w:r w:rsidRPr="002C58C6">
        <w:rPr>
          <w:rStyle w:val="40"/>
          <w:rFonts w:eastAsiaTheme="minorHAnsi"/>
          <w:b/>
          <w:szCs w:val="18"/>
          <w:rtl/>
        </w:rPr>
        <w:t>:</w:t>
      </w:r>
      <w:r w:rsidRPr="002C58C6">
        <w:rPr>
          <w:rFonts w:hint="cs"/>
          <w:rtl/>
        </w:rPr>
        <w:t xml:space="preserve"> להלן לוח המציג את הגופים האסדרתיים המרכזיים ואת סמכויותיהם בכל הנוגע לבט"ל.</w:t>
      </w:r>
    </w:p>
    <w:p w:rsidR="00FD70D7" w:rsidRDefault="008C707B" w:rsidP="002C58C6">
      <w:pPr>
        <w:pStyle w:val="738"/>
        <w:rPr>
          <w:rtl/>
        </w:rPr>
      </w:pPr>
      <w:r w:rsidRPr="002C58C6">
        <w:rPr>
          <w:rFonts w:hint="eastAsia"/>
          <w:b w:val="0"/>
          <w:bCs w:val="0"/>
          <w:rtl/>
        </w:rPr>
        <w:lastRenderedPageBreak/>
        <w:t>לוח</w:t>
      </w:r>
      <w:r w:rsidRPr="002C58C6">
        <w:rPr>
          <w:b w:val="0"/>
          <w:bCs w:val="0"/>
          <w:rtl/>
        </w:rPr>
        <w:t xml:space="preserve"> 1:</w:t>
      </w:r>
      <w:r w:rsidRPr="002C58C6">
        <w:rPr>
          <w:rFonts w:hint="cs"/>
          <w:rtl/>
        </w:rPr>
        <w:t xml:space="preserve"> הגופים האסדרתיים המרכזיים בתחום הגנת הסייבר ואבטחת המידע</w:t>
      </w:r>
    </w:p>
    <w:tbl>
      <w:tblPr>
        <w:tblStyle w:val="a9"/>
        <w:bidiVisual/>
        <w:tblW w:w="5000" w:type="pct"/>
        <w:tblBorders>
          <w:top w:val="none" w:sz="0" w:space="0" w:color="auto"/>
          <w:bottom w:val="none" w:sz="0" w:space="0" w:color="auto"/>
          <w:insideH w:val="none" w:sz="0" w:space="0" w:color="auto"/>
        </w:tblBorders>
        <w:tblLook w:val="04A0" w:firstRow="1" w:lastRow="0" w:firstColumn="1" w:lastColumn="0" w:noHBand="0" w:noVBand="1"/>
      </w:tblPr>
      <w:tblGrid>
        <w:gridCol w:w="947"/>
        <w:gridCol w:w="1663"/>
        <w:gridCol w:w="1674"/>
        <w:gridCol w:w="2009"/>
        <w:gridCol w:w="1067"/>
      </w:tblGrid>
      <w:tr w:rsidR="00EA14FF" w:rsidTr="00D70670">
        <w:trPr>
          <w:tblHeader/>
        </w:trPr>
        <w:tc>
          <w:tcPr>
            <w:tcW w:w="643" w:type="pct"/>
            <w:shd w:val="clear" w:color="auto" w:fill="C8DCE4"/>
            <w:vAlign w:val="bottom"/>
          </w:tcPr>
          <w:p w:rsidR="00FD70D7" w:rsidRPr="009B3DCF" w:rsidRDefault="00FD70D7" w:rsidP="00D70670">
            <w:pPr>
              <w:pStyle w:val="73R"/>
              <w:rPr>
                <w:rtl/>
              </w:rPr>
            </w:pPr>
          </w:p>
        </w:tc>
        <w:tc>
          <w:tcPr>
            <w:tcW w:w="1130" w:type="pct"/>
            <w:shd w:val="clear" w:color="auto" w:fill="C8DCE4"/>
            <w:vAlign w:val="bottom"/>
          </w:tcPr>
          <w:p w:rsidR="00FD70D7" w:rsidRPr="00DA6F61" w:rsidRDefault="008C707B" w:rsidP="00D70670">
            <w:pPr>
              <w:pStyle w:val="73R"/>
              <w:rPr>
                <w:b/>
                <w:bCs/>
                <w:rtl/>
              </w:rPr>
            </w:pPr>
            <w:r w:rsidRPr="00DA6F61">
              <w:rPr>
                <w:rFonts w:hint="eastAsia"/>
                <w:b/>
                <w:bCs/>
                <w:rtl/>
              </w:rPr>
              <w:t>החוק</w:t>
            </w:r>
            <w:r w:rsidRPr="00DA6F61">
              <w:rPr>
                <w:b/>
                <w:bCs/>
                <w:rtl/>
              </w:rPr>
              <w:t xml:space="preserve"> </w:t>
            </w:r>
            <w:r w:rsidR="00EC5A96">
              <w:rPr>
                <w:rFonts w:hint="cs"/>
                <w:b/>
                <w:bCs/>
                <w:rtl/>
              </w:rPr>
              <w:t>ש</w:t>
            </w:r>
            <w:r w:rsidRPr="00DA6F61">
              <w:rPr>
                <w:rFonts w:hint="eastAsia"/>
                <w:b/>
                <w:bCs/>
                <w:rtl/>
              </w:rPr>
              <w:t>על</w:t>
            </w:r>
            <w:r w:rsidRPr="00DA6F61">
              <w:rPr>
                <w:b/>
                <w:bCs/>
                <w:rtl/>
              </w:rPr>
              <w:t xml:space="preserve"> </w:t>
            </w:r>
            <w:r w:rsidRPr="00DA6F61">
              <w:rPr>
                <w:rFonts w:hint="eastAsia"/>
                <w:b/>
                <w:bCs/>
                <w:rtl/>
              </w:rPr>
              <w:t>פיו</w:t>
            </w:r>
            <w:r w:rsidRPr="00DA6F61">
              <w:rPr>
                <w:b/>
                <w:bCs/>
                <w:rtl/>
              </w:rPr>
              <w:t xml:space="preserve"> </w:t>
            </w:r>
            <w:r w:rsidRPr="00DA6F61">
              <w:rPr>
                <w:rFonts w:hint="eastAsia"/>
                <w:b/>
                <w:bCs/>
                <w:rtl/>
              </w:rPr>
              <w:t>פועל</w:t>
            </w:r>
            <w:r w:rsidRPr="00DA6F61">
              <w:rPr>
                <w:b/>
                <w:bCs/>
                <w:rtl/>
              </w:rPr>
              <w:t xml:space="preserve"> </w:t>
            </w:r>
            <w:r w:rsidRPr="00DA6F61">
              <w:rPr>
                <w:rFonts w:hint="eastAsia"/>
                <w:b/>
                <w:bCs/>
                <w:rtl/>
              </w:rPr>
              <w:t>הגוף</w:t>
            </w:r>
          </w:p>
        </w:tc>
        <w:tc>
          <w:tcPr>
            <w:tcW w:w="1137" w:type="pct"/>
            <w:shd w:val="clear" w:color="auto" w:fill="C8DCE4"/>
            <w:vAlign w:val="bottom"/>
          </w:tcPr>
          <w:p w:rsidR="00FD70D7" w:rsidRPr="00DA6F61" w:rsidRDefault="008C707B" w:rsidP="00D70670">
            <w:pPr>
              <w:pStyle w:val="73R"/>
              <w:rPr>
                <w:b/>
                <w:bCs/>
                <w:rtl/>
              </w:rPr>
            </w:pPr>
            <w:r w:rsidRPr="00DA6F61">
              <w:rPr>
                <w:rFonts w:hint="eastAsia"/>
                <w:b/>
                <w:bCs/>
                <w:rtl/>
              </w:rPr>
              <w:t>סמכות</w:t>
            </w:r>
          </w:p>
        </w:tc>
        <w:tc>
          <w:tcPr>
            <w:tcW w:w="1365" w:type="pct"/>
            <w:shd w:val="clear" w:color="auto" w:fill="C8DCE4"/>
            <w:vAlign w:val="bottom"/>
          </w:tcPr>
          <w:p w:rsidR="00FD70D7" w:rsidRPr="00DA6F61" w:rsidRDefault="008C707B" w:rsidP="00D70670">
            <w:pPr>
              <w:pStyle w:val="73R"/>
              <w:rPr>
                <w:b/>
                <w:bCs/>
                <w:rtl/>
              </w:rPr>
            </w:pPr>
            <w:r w:rsidRPr="00DA6F61">
              <w:rPr>
                <w:rFonts w:hint="eastAsia"/>
                <w:b/>
                <w:bCs/>
                <w:rtl/>
              </w:rPr>
              <w:t>גופים</w:t>
            </w:r>
            <w:r w:rsidRPr="00DA6F61">
              <w:rPr>
                <w:b/>
                <w:bCs/>
                <w:rtl/>
              </w:rPr>
              <w:t xml:space="preserve"> </w:t>
            </w:r>
            <w:r w:rsidRPr="00DA6F61">
              <w:rPr>
                <w:rFonts w:hint="eastAsia"/>
                <w:b/>
                <w:bCs/>
                <w:rtl/>
              </w:rPr>
              <w:t>כפופים</w:t>
            </w:r>
          </w:p>
        </w:tc>
        <w:tc>
          <w:tcPr>
            <w:tcW w:w="725" w:type="pct"/>
            <w:shd w:val="clear" w:color="auto" w:fill="C8DCE4"/>
            <w:vAlign w:val="bottom"/>
          </w:tcPr>
          <w:p w:rsidR="00FD70D7" w:rsidRPr="00DA6F61" w:rsidRDefault="008C707B" w:rsidP="00D70670">
            <w:pPr>
              <w:pStyle w:val="73R"/>
              <w:rPr>
                <w:b/>
                <w:bCs/>
                <w:rtl/>
              </w:rPr>
            </w:pPr>
            <w:r w:rsidRPr="00DA6F61">
              <w:rPr>
                <w:rFonts w:hint="eastAsia"/>
                <w:b/>
                <w:bCs/>
                <w:rtl/>
              </w:rPr>
              <w:t>מאסדרים</w:t>
            </w:r>
            <w:r w:rsidRPr="00DA6F61">
              <w:rPr>
                <w:b/>
                <w:bCs/>
                <w:rtl/>
              </w:rPr>
              <w:t xml:space="preserve"> של </w:t>
            </w:r>
            <w:r w:rsidRPr="00DA6F61">
              <w:rPr>
                <w:rFonts w:hint="eastAsia"/>
                <w:b/>
                <w:bCs/>
                <w:rtl/>
              </w:rPr>
              <w:t>בט</w:t>
            </w:r>
            <w:r w:rsidRPr="00DA6F61">
              <w:rPr>
                <w:b/>
                <w:bCs/>
                <w:rtl/>
              </w:rPr>
              <w:t>"ל</w:t>
            </w:r>
            <w:r w:rsidR="00DA6F61" w:rsidRPr="00DA6F61">
              <w:rPr>
                <w:rFonts w:hint="cs"/>
                <w:b/>
                <w:bCs/>
                <w:rtl/>
              </w:rPr>
              <w:t xml:space="preserve"> </w:t>
            </w:r>
            <w:r w:rsidRPr="00DA6F61">
              <w:rPr>
                <w:rFonts w:hint="cs"/>
                <w:b/>
                <w:bCs/>
                <w:rtl/>
              </w:rPr>
              <w:t>לפי חוק</w:t>
            </w:r>
          </w:p>
        </w:tc>
      </w:tr>
      <w:tr w:rsidR="00EA14FF" w:rsidTr="0032788F">
        <w:trPr>
          <w:trHeight w:val="850"/>
        </w:trPr>
        <w:tc>
          <w:tcPr>
            <w:tcW w:w="643" w:type="pct"/>
            <w:shd w:val="clear" w:color="auto" w:fill="DDEAEE"/>
          </w:tcPr>
          <w:p w:rsidR="00FD70D7" w:rsidRPr="00D70670" w:rsidRDefault="008C707B" w:rsidP="00DA6F61">
            <w:pPr>
              <w:pStyle w:val="73R"/>
              <w:rPr>
                <w:b/>
                <w:bCs/>
                <w:rtl/>
              </w:rPr>
            </w:pPr>
            <w:r w:rsidRPr="00D70670">
              <w:rPr>
                <w:rFonts w:hint="eastAsia"/>
                <w:b/>
                <w:bCs/>
                <w:rtl/>
              </w:rPr>
              <w:t>הרשות</w:t>
            </w:r>
            <w:r w:rsidRPr="00D70670">
              <w:rPr>
                <w:b/>
                <w:bCs/>
                <w:rtl/>
              </w:rPr>
              <w:t xml:space="preserve"> להגנת הפרטיות </w:t>
            </w:r>
          </w:p>
        </w:tc>
        <w:tc>
          <w:tcPr>
            <w:tcW w:w="1130" w:type="pct"/>
            <w:shd w:val="clear" w:color="auto" w:fill="DDEAEE"/>
          </w:tcPr>
          <w:p w:rsidR="00FD70D7" w:rsidRPr="009B3DCF" w:rsidRDefault="008C707B" w:rsidP="00DA6F61">
            <w:pPr>
              <w:pStyle w:val="73R"/>
              <w:rPr>
                <w:rtl/>
              </w:rPr>
            </w:pPr>
            <w:r w:rsidRPr="009B3DCF">
              <w:rPr>
                <w:rFonts w:hint="eastAsia"/>
                <w:rtl/>
              </w:rPr>
              <w:t>חוק</w:t>
            </w:r>
            <w:r w:rsidRPr="009B3DCF">
              <w:rPr>
                <w:rtl/>
              </w:rPr>
              <w:t xml:space="preserve"> הגנת הפרטיות ותקנות הגנת הפרטיות </w:t>
            </w:r>
          </w:p>
        </w:tc>
        <w:tc>
          <w:tcPr>
            <w:tcW w:w="1137" w:type="pct"/>
            <w:shd w:val="clear" w:color="auto" w:fill="DDEAEE"/>
          </w:tcPr>
          <w:p w:rsidR="00FD70D7" w:rsidRPr="009B3DCF" w:rsidRDefault="008C707B" w:rsidP="00DA6F61">
            <w:pPr>
              <w:pStyle w:val="73R"/>
              <w:rPr>
                <w:rtl/>
              </w:rPr>
            </w:pPr>
            <w:r w:rsidRPr="009B3DCF">
              <w:rPr>
                <w:rFonts w:hint="eastAsia"/>
                <w:rtl/>
              </w:rPr>
              <w:t>סמכויות</w:t>
            </w:r>
            <w:r w:rsidRPr="009B3DCF">
              <w:rPr>
                <w:rtl/>
              </w:rPr>
              <w:t xml:space="preserve"> אכיפה פליליות </w:t>
            </w:r>
            <w:r w:rsidRPr="009B3DCF">
              <w:rPr>
                <w:rFonts w:hint="eastAsia"/>
                <w:rtl/>
              </w:rPr>
              <w:t>ומינהליות</w:t>
            </w:r>
          </w:p>
        </w:tc>
        <w:tc>
          <w:tcPr>
            <w:tcW w:w="1365" w:type="pct"/>
            <w:shd w:val="clear" w:color="auto" w:fill="DDEAEE"/>
          </w:tcPr>
          <w:p w:rsidR="00FD70D7" w:rsidRPr="009B3DCF" w:rsidRDefault="008C707B" w:rsidP="00DA6F61">
            <w:pPr>
              <w:pStyle w:val="73R"/>
              <w:rPr>
                <w:rtl/>
              </w:rPr>
            </w:pPr>
            <w:r w:rsidRPr="009B3DCF">
              <w:rPr>
                <w:rFonts w:hint="eastAsia"/>
                <w:rtl/>
              </w:rPr>
              <w:t>כלל</w:t>
            </w:r>
            <w:r w:rsidRPr="009B3DCF">
              <w:rPr>
                <w:rtl/>
              </w:rPr>
              <w:t xml:space="preserve"> </w:t>
            </w:r>
            <w:r w:rsidRPr="009B3DCF">
              <w:rPr>
                <w:rFonts w:hint="eastAsia"/>
                <w:rtl/>
              </w:rPr>
              <w:t>הגופים</w:t>
            </w:r>
            <w:r w:rsidRPr="009B3DCF">
              <w:rPr>
                <w:rtl/>
              </w:rPr>
              <w:t xml:space="preserve"> </w:t>
            </w:r>
            <w:r w:rsidRPr="009B3DCF">
              <w:rPr>
                <w:rFonts w:hint="eastAsia"/>
                <w:rtl/>
              </w:rPr>
              <w:t>בישראל</w:t>
            </w:r>
            <w:r w:rsidRPr="009B3DCF">
              <w:rPr>
                <w:rtl/>
              </w:rPr>
              <w:t xml:space="preserve"> - </w:t>
            </w:r>
            <w:r w:rsidRPr="009B3DCF">
              <w:rPr>
                <w:rFonts w:hint="eastAsia"/>
                <w:rtl/>
              </w:rPr>
              <w:t>פרטיים</w:t>
            </w:r>
            <w:r w:rsidRPr="009B3DCF">
              <w:rPr>
                <w:rtl/>
              </w:rPr>
              <w:t xml:space="preserve">, </w:t>
            </w:r>
            <w:r w:rsidRPr="009B3DCF">
              <w:rPr>
                <w:rFonts w:hint="eastAsia"/>
                <w:rtl/>
              </w:rPr>
              <w:t>עסקיים</w:t>
            </w:r>
            <w:r w:rsidRPr="009B3DCF">
              <w:rPr>
                <w:rtl/>
              </w:rPr>
              <w:t xml:space="preserve"> </w:t>
            </w:r>
            <w:r w:rsidRPr="009B3DCF">
              <w:rPr>
                <w:rFonts w:hint="eastAsia"/>
                <w:rtl/>
              </w:rPr>
              <w:t>וציבוריים</w:t>
            </w:r>
            <w:r w:rsidRPr="009B3DCF">
              <w:rPr>
                <w:rtl/>
              </w:rPr>
              <w:t xml:space="preserve">, </w:t>
            </w:r>
            <w:r w:rsidRPr="009B3DCF">
              <w:rPr>
                <w:rFonts w:hint="eastAsia"/>
                <w:rtl/>
              </w:rPr>
              <w:t>המחזיקים</w:t>
            </w:r>
            <w:r w:rsidRPr="009B3DCF">
              <w:rPr>
                <w:rtl/>
              </w:rPr>
              <w:t xml:space="preserve"> </w:t>
            </w:r>
            <w:r w:rsidRPr="009B3DCF">
              <w:rPr>
                <w:rFonts w:hint="eastAsia"/>
                <w:rtl/>
              </w:rPr>
              <w:t>או</w:t>
            </w:r>
            <w:r w:rsidRPr="009B3DCF">
              <w:rPr>
                <w:rtl/>
              </w:rPr>
              <w:t xml:space="preserve"> </w:t>
            </w:r>
            <w:r w:rsidRPr="009B3DCF">
              <w:rPr>
                <w:rFonts w:hint="eastAsia"/>
                <w:rtl/>
              </w:rPr>
              <w:t>מעבדים</w:t>
            </w:r>
            <w:r w:rsidRPr="009B3DCF">
              <w:rPr>
                <w:rtl/>
              </w:rPr>
              <w:t xml:space="preserve"> </w:t>
            </w:r>
            <w:r w:rsidRPr="009B3DCF">
              <w:rPr>
                <w:rFonts w:hint="eastAsia"/>
                <w:rtl/>
              </w:rPr>
              <w:t>מידע</w:t>
            </w:r>
            <w:r w:rsidRPr="009B3DCF">
              <w:rPr>
                <w:rtl/>
              </w:rPr>
              <w:t xml:space="preserve"> </w:t>
            </w:r>
            <w:r w:rsidRPr="009B3DCF">
              <w:rPr>
                <w:rFonts w:hint="eastAsia"/>
                <w:rtl/>
              </w:rPr>
              <w:t>אישי</w:t>
            </w:r>
            <w:r w:rsidRPr="009B3DCF">
              <w:rPr>
                <w:rtl/>
              </w:rPr>
              <w:t xml:space="preserve"> </w:t>
            </w:r>
            <w:r w:rsidRPr="009B3DCF">
              <w:rPr>
                <w:rFonts w:hint="eastAsia"/>
                <w:rtl/>
              </w:rPr>
              <w:t>דיגיטלי</w:t>
            </w:r>
          </w:p>
        </w:tc>
        <w:tc>
          <w:tcPr>
            <w:tcW w:w="725" w:type="pct"/>
            <w:shd w:val="clear" w:color="auto" w:fill="DDEAEE"/>
          </w:tcPr>
          <w:p w:rsidR="00FD70D7" w:rsidRPr="00195C3F" w:rsidRDefault="008C707B" w:rsidP="0032788F">
            <w:pPr>
              <w:spacing w:before="120"/>
              <w:rPr>
                <w:rFonts w:ascii="Tahoma" w:hAnsi="Tahoma" w:cs="Tahoma"/>
                <w:b/>
                <w:bCs/>
                <w:color w:val="2F9E21"/>
                <w:sz w:val="48"/>
                <w:szCs w:val="48"/>
              </w:rPr>
            </w:pPr>
            <w:r w:rsidRPr="00B47A46">
              <w:rPr>
                <w:rFonts w:ascii="Wingdings" w:hAnsi="Wingdings" w:cs="Tahoma"/>
                <w:b/>
                <w:bCs/>
                <w:color w:val="2F9E21"/>
                <w:sz w:val="54"/>
                <w:szCs w:val="54"/>
              </w:rPr>
              <w:sym w:font="Wingdings" w:char="F0FC"/>
            </w:r>
            <w:r w:rsidR="0032788F">
              <w:rPr>
                <w:rFonts w:ascii="PingFang HK Light" w:eastAsia="PingFang HK Light" w:hAnsi="PingFang HK Light" w:hint="eastAsia"/>
                <w:b/>
                <w:bCs/>
                <w:rtl/>
              </w:rPr>
              <w:t xml:space="preserve"> </w:t>
            </w:r>
            <w:bookmarkStart w:id="2" w:name="tempMark"/>
            <w:bookmarkEnd w:id="2"/>
          </w:p>
        </w:tc>
      </w:tr>
      <w:tr w:rsidR="00EA14FF" w:rsidTr="00D70670">
        <w:tc>
          <w:tcPr>
            <w:tcW w:w="643" w:type="pct"/>
            <w:shd w:val="clear" w:color="auto" w:fill="EAF2F3"/>
          </w:tcPr>
          <w:p w:rsidR="00FD70D7" w:rsidRPr="00D70670" w:rsidRDefault="008C707B" w:rsidP="00DA6F61">
            <w:pPr>
              <w:pStyle w:val="73R"/>
              <w:rPr>
                <w:b/>
                <w:bCs/>
                <w:rtl/>
              </w:rPr>
            </w:pPr>
            <w:r w:rsidRPr="00D70670">
              <w:rPr>
                <w:rFonts w:hint="eastAsia"/>
                <w:b/>
                <w:bCs/>
                <w:rtl/>
              </w:rPr>
              <w:t>השב</w:t>
            </w:r>
            <w:r w:rsidRPr="00D70670">
              <w:rPr>
                <w:b/>
                <w:bCs/>
                <w:rtl/>
              </w:rPr>
              <w:t xml:space="preserve">"כ </w:t>
            </w:r>
          </w:p>
        </w:tc>
        <w:tc>
          <w:tcPr>
            <w:tcW w:w="1130" w:type="pct"/>
            <w:shd w:val="clear" w:color="auto" w:fill="EAF2F3"/>
          </w:tcPr>
          <w:p w:rsidR="00FD70D7" w:rsidRPr="009B3DCF" w:rsidRDefault="008C707B" w:rsidP="00DA6F61">
            <w:pPr>
              <w:pStyle w:val="73R"/>
              <w:rPr>
                <w:rtl/>
              </w:rPr>
            </w:pPr>
            <w:r w:rsidRPr="009B3DCF">
              <w:rPr>
                <w:rFonts w:hint="eastAsia"/>
                <w:rtl/>
              </w:rPr>
              <w:t>החוק</w:t>
            </w:r>
            <w:r w:rsidRPr="009B3DCF">
              <w:rPr>
                <w:rtl/>
              </w:rPr>
              <w:t xml:space="preserve"> להסדרת הביטחון בגופים ציבוריים - התוספת </w:t>
            </w:r>
            <w:r w:rsidRPr="009B3DCF">
              <w:rPr>
                <w:rFonts w:hint="eastAsia"/>
                <w:rtl/>
              </w:rPr>
              <w:t>הראשונה</w:t>
            </w:r>
            <w:r w:rsidRPr="009B3DCF">
              <w:rPr>
                <w:rtl/>
              </w:rPr>
              <w:t xml:space="preserve">, </w:t>
            </w:r>
            <w:r w:rsidRPr="009B3DCF">
              <w:rPr>
                <w:rFonts w:hint="eastAsia"/>
                <w:rtl/>
              </w:rPr>
              <w:t>השנייה</w:t>
            </w:r>
            <w:r w:rsidRPr="009B3DCF">
              <w:rPr>
                <w:rtl/>
              </w:rPr>
              <w:t xml:space="preserve"> </w:t>
            </w:r>
            <w:r w:rsidRPr="000F0A13">
              <w:rPr>
                <w:rtl/>
              </w:rPr>
              <w:t xml:space="preserve">ולא מופיעים בתוספת החמישית (לגבי פעולות לאבטחת מידע ) </w:t>
            </w:r>
            <w:r w:rsidRPr="009B3DCF">
              <w:rPr>
                <w:rFonts w:hint="eastAsia"/>
                <w:rtl/>
              </w:rPr>
              <w:t>והרביעית</w:t>
            </w:r>
            <w:r w:rsidRPr="009B3DCF">
              <w:rPr>
                <w:rtl/>
              </w:rPr>
              <w:t xml:space="preserve"> </w:t>
            </w:r>
            <w:r w:rsidRPr="009B3DCF">
              <w:rPr>
                <w:rFonts w:hint="eastAsia"/>
                <w:rtl/>
              </w:rPr>
              <w:t>לחוק</w:t>
            </w:r>
          </w:p>
        </w:tc>
        <w:tc>
          <w:tcPr>
            <w:tcW w:w="1137" w:type="pct"/>
            <w:shd w:val="clear" w:color="auto" w:fill="EAF2F3"/>
          </w:tcPr>
          <w:p w:rsidR="00FD70D7" w:rsidRPr="009B3DCF" w:rsidRDefault="008C707B" w:rsidP="00DA6F61">
            <w:pPr>
              <w:pStyle w:val="73R"/>
              <w:rPr>
                <w:rtl/>
              </w:rPr>
            </w:pPr>
            <w:r w:rsidRPr="009B3DCF">
              <w:rPr>
                <w:rFonts w:hint="eastAsia"/>
                <w:rtl/>
              </w:rPr>
              <w:t>הנחיות</w:t>
            </w:r>
            <w:r w:rsidRPr="009B3DCF">
              <w:rPr>
                <w:rtl/>
              </w:rPr>
              <w:t xml:space="preserve"> </w:t>
            </w:r>
            <w:r w:rsidRPr="009B3DCF">
              <w:rPr>
                <w:rFonts w:hint="eastAsia"/>
                <w:rtl/>
              </w:rPr>
              <w:t>מחייבות</w:t>
            </w:r>
            <w:r w:rsidRPr="009B3DCF">
              <w:rPr>
                <w:rtl/>
              </w:rPr>
              <w:t xml:space="preserve"> </w:t>
            </w:r>
            <w:r w:rsidRPr="009B3DCF">
              <w:rPr>
                <w:rFonts w:hint="eastAsia"/>
                <w:rtl/>
              </w:rPr>
              <w:t>לאבטחת</w:t>
            </w:r>
            <w:r w:rsidR="00DA6F61">
              <w:rPr>
                <w:rFonts w:hint="cs"/>
                <w:rtl/>
              </w:rPr>
              <w:t xml:space="preserve"> </w:t>
            </w:r>
            <w:r w:rsidRPr="009B3DCF">
              <w:rPr>
                <w:rFonts w:hint="eastAsia"/>
                <w:rtl/>
              </w:rPr>
              <w:t>מערכות</w:t>
            </w:r>
            <w:r w:rsidRPr="009B3DCF">
              <w:rPr>
                <w:rtl/>
              </w:rPr>
              <w:t xml:space="preserve"> </w:t>
            </w:r>
            <w:r w:rsidRPr="009B3DCF">
              <w:rPr>
                <w:rFonts w:hint="eastAsia"/>
                <w:rtl/>
              </w:rPr>
              <w:t>מסמכים</w:t>
            </w:r>
            <w:r w:rsidRPr="009B3DCF">
              <w:rPr>
                <w:rtl/>
              </w:rPr>
              <w:t xml:space="preserve"> </w:t>
            </w:r>
            <w:r w:rsidRPr="009B3DCF">
              <w:rPr>
                <w:rFonts w:hint="eastAsia"/>
                <w:rtl/>
              </w:rPr>
              <w:t>ותשתיות</w:t>
            </w:r>
            <w:r w:rsidRPr="009B3DCF">
              <w:rPr>
                <w:rtl/>
              </w:rPr>
              <w:t xml:space="preserve"> </w:t>
            </w:r>
            <w:r w:rsidRPr="009B3DCF">
              <w:rPr>
                <w:rFonts w:hint="eastAsia"/>
                <w:rtl/>
              </w:rPr>
              <w:t>אשר</w:t>
            </w:r>
            <w:r w:rsidRPr="009B3DCF">
              <w:rPr>
                <w:rtl/>
              </w:rPr>
              <w:t xml:space="preserve"> </w:t>
            </w:r>
            <w:r w:rsidRPr="009B3DCF">
              <w:rPr>
                <w:rFonts w:hint="eastAsia"/>
                <w:rtl/>
              </w:rPr>
              <w:t>מוגדרים</w:t>
            </w:r>
            <w:r w:rsidRPr="009B3DCF">
              <w:rPr>
                <w:rtl/>
              </w:rPr>
              <w:t xml:space="preserve"> </w:t>
            </w:r>
            <w:r w:rsidRPr="009B3DCF">
              <w:rPr>
                <w:rFonts w:hint="eastAsia"/>
                <w:rtl/>
              </w:rPr>
              <w:t>מסווגים</w:t>
            </w:r>
          </w:p>
        </w:tc>
        <w:tc>
          <w:tcPr>
            <w:tcW w:w="1365" w:type="pct"/>
            <w:shd w:val="clear" w:color="auto" w:fill="EAF2F3"/>
          </w:tcPr>
          <w:p w:rsidR="00FD70D7" w:rsidRPr="009B3DCF" w:rsidRDefault="008C707B" w:rsidP="00DA6F61">
            <w:pPr>
              <w:pStyle w:val="73R"/>
              <w:rPr>
                <w:rtl/>
              </w:rPr>
            </w:pPr>
            <w:r w:rsidRPr="009B3DCF">
              <w:rPr>
                <w:rFonts w:hint="eastAsia"/>
                <w:rtl/>
              </w:rPr>
              <w:t>למשל</w:t>
            </w:r>
            <w:r w:rsidRPr="009B3DCF">
              <w:rPr>
                <w:rtl/>
              </w:rPr>
              <w:t xml:space="preserve">: </w:t>
            </w:r>
            <w:r w:rsidR="00DA6F61">
              <w:rPr>
                <w:rtl/>
              </w:rPr>
              <w:br/>
            </w:r>
            <w:r w:rsidRPr="009B3DCF">
              <w:rPr>
                <w:rFonts w:hint="eastAsia"/>
                <w:rtl/>
              </w:rPr>
              <w:t>משרד</w:t>
            </w:r>
            <w:r w:rsidRPr="009B3DCF">
              <w:rPr>
                <w:rtl/>
              </w:rPr>
              <w:t xml:space="preserve"> החוץ </w:t>
            </w:r>
            <w:r w:rsidR="00DA6F61">
              <w:rPr>
                <w:rtl/>
              </w:rPr>
              <w:br/>
            </w:r>
            <w:r w:rsidRPr="009B3DCF">
              <w:rPr>
                <w:rFonts w:hint="eastAsia"/>
                <w:rtl/>
              </w:rPr>
              <w:t>בט</w:t>
            </w:r>
            <w:r w:rsidRPr="009B3DCF">
              <w:rPr>
                <w:rtl/>
              </w:rPr>
              <w:t xml:space="preserve">"ל </w:t>
            </w:r>
            <w:r w:rsidR="00DA6F61">
              <w:rPr>
                <w:rtl/>
              </w:rPr>
              <w:br/>
            </w:r>
            <w:r w:rsidRPr="009B3DCF">
              <w:rPr>
                <w:rFonts w:hint="eastAsia"/>
                <w:rtl/>
              </w:rPr>
              <w:t>הסוכנות</w:t>
            </w:r>
            <w:r w:rsidRPr="009B3DCF">
              <w:rPr>
                <w:rtl/>
              </w:rPr>
              <w:t xml:space="preserve"> היהודית </w:t>
            </w:r>
            <w:r w:rsidR="00DA6F61">
              <w:rPr>
                <w:rtl/>
              </w:rPr>
              <w:br/>
            </w:r>
            <w:r w:rsidRPr="009B3DCF">
              <w:rPr>
                <w:rFonts w:hint="eastAsia"/>
                <w:rtl/>
              </w:rPr>
              <w:t>חברות</w:t>
            </w:r>
            <w:r w:rsidRPr="009B3DCF">
              <w:rPr>
                <w:rtl/>
              </w:rPr>
              <w:t xml:space="preserve"> תקשורת </w:t>
            </w:r>
          </w:p>
        </w:tc>
        <w:tc>
          <w:tcPr>
            <w:tcW w:w="725" w:type="pct"/>
            <w:shd w:val="clear" w:color="auto" w:fill="EAF2F3"/>
          </w:tcPr>
          <w:p w:rsidR="00C416F2" w:rsidRDefault="008C707B" w:rsidP="0032788F">
            <w:pPr>
              <w:pStyle w:val="73R"/>
              <w:spacing w:before="360"/>
              <w:rPr>
                <w:rtl/>
              </w:rPr>
            </w:pPr>
            <w:r w:rsidRPr="00B47A46">
              <w:rPr>
                <w:rFonts w:ascii="Wingdings" w:hAnsi="Wingdings"/>
                <w:b/>
                <w:bCs/>
                <w:color w:val="2F9E21"/>
                <w:sz w:val="54"/>
                <w:szCs w:val="54"/>
              </w:rPr>
              <w:sym w:font="Wingdings" w:char="F0FC"/>
            </w:r>
          </w:p>
          <w:p w:rsidR="00FD70D7" w:rsidRPr="00FE37D7" w:rsidRDefault="008C707B" w:rsidP="00C416F2">
            <w:pPr>
              <w:pStyle w:val="73R"/>
              <w:rPr>
                <w:rtl/>
              </w:rPr>
            </w:pPr>
            <w:r w:rsidRPr="00FE37D7">
              <w:rPr>
                <w:rFonts w:hint="eastAsia"/>
                <w:rtl/>
              </w:rPr>
              <w:t>נתונים</w:t>
            </w:r>
            <w:r w:rsidRPr="00FE37D7">
              <w:rPr>
                <w:rtl/>
              </w:rPr>
              <w:t xml:space="preserve"> </w:t>
            </w:r>
            <w:r w:rsidRPr="00FE37D7">
              <w:rPr>
                <w:rFonts w:hint="eastAsia"/>
                <w:rtl/>
              </w:rPr>
              <w:t>מסווגים</w:t>
            </w:r>
            <w:r w:rsidRPr="00FE37D7">
              <w:rPr>
                <w:rtl/>
              </w:rPr>
              <w:t xml:space="preserve"> </w:t>
            </w:r>
            <w:r w:rsidRPr="00FE37D7">
              <w:rPr>
                <w:rFonts w:hint="eastAsia"/>
                <w:rtl/>
              </w:rPr>
              <w:t>וכן</w:t>
            </w:r>
            <w:r w:rsidRPr="00FE37D7">
              <w:rPr>
                <w:rtl/>
              </w:rPr>
              <w:t xml:space="preserve"> </w:t>
            </w:r>
            <w:r w:rsidRPr="00FE37D7">
              <w:rPr>
                <w:rFonts w:hint="eastAsia"/>
                <w:rtl/>
              </w:rPr>
              <w:t>מערכות</w:t>
            </w:r>
          </w:p>
        </w:tc>
      </w:tr>
      <w:tr w:rsidR="00EA14FF" w:rsidTr="00D70670">
        <w:tc>
          <w:tcPr>
            <w:tcW w:w="643" w:type="pct"/>
            <w:shd w:val="clear" w:color="auto" w:fill="DDEAEE"/>
          </w:tcPr>
          <w:p w:rsidR="00FD70D7" w:rsidRPr="00D70670" w:rsidRDefault="008C707B" w:rsidP="00DA6F61">
            <w:pPr>
              <w:pStyle w:val="73R"/>
              <w:rPr>
                <w:b/>
                <w:bCs/>
                <w:rtl/>
              </w:rPr>
            </w:pPr>
            <w:r w:rsidRPr="00D70670">
              <w:rPr>
                <w:rFonts w:hint="eastAsia"/>
                <w:b/>
                <w:bCs/>
                <w:rtl/>
              </w:rPr>
              <w:t>מס</w:t>
            </w:r>
            <w:r w:rsidRPr="00D70670">
              <w:rPr>
                <w:b/>
                <w:bCs/>
                <w:rtl/>
              </w:rPr>
              <w:t>"ל</w:t>
            </w:r>
            <w:r>
              <w:rPr>
                <w:rStyle w:val="a8"/>
                <w:b/>
                <w:bCs/>
                <w:rtl/>
              </w:rPr>
              <w:footnoteReference w:id="22"/>
            </w:r>
            <w:r w:rsidRPr="00D70670">
              <w:rPr>
                <w:b/>
                <w:bCs/>
                <w:rtl/>
              </w:rPr>
              <w:t xml:space="preserve"> - </w:t>
            </w:r>
            <w:r w:rsidRPr="00D70670">
              <w:rPr>
                <w:rFonts w:hint="eastAsia"/>
                <w:b/>
                <w:bCs/>
                <w:rtl/>
              </w:rPr>
              <w:t>תמ</w:t>
            </w:r>
            <w:r w:rsidRPr="00D70670">
              <w:rPr>
                <w:b/>
                <w:bCs/>
                <w:rtl/>
              </w:rPr>
              <w:t>"ק</w:t>
            </w:r>
          </w:p>
        </w:tc>
        <w:tc>
          <w:tcPr>
            <w:tcW w:w="1130" w:type="pct"/>
            <w:shd w:val="clear" w:color="auto" w:fill="DDEAEE"/>
          </w:tcPr>
          <w:p w:rsidR="00FD70D7" w:rsidRPr="009B3DCF" w:rsidRDefault="008C707B" w:rsidP="00DA6F61">
            <w:pPr>
              <w:pStyle w:val="73R"/>
              <w:rPr>
                <w:rtl/>
              </w:rPr>
            </w:pPr>
            <w:r w:rsidRPr="009B3DCF">
              <w:rPr>
                <w:rFonts w:hint="eastAsia"/>
                <w:rtl/>
              </w:rPr>
              <w:t>החוק</w:t>
            </w:r>
            <w:r w:rsidRPr="009B3DCF">
              <w:rPr>
                <w:rtl/>
              </w:rPr>
              <w:t xml:space="preserve"> להסדרת הביטחון בגופים - התוספת החמישית </w:t>
            </w:r>
            <w:r>
              <w:rPr>
                <w:rFonts w:hint="cs"/>
                <w:rtl/>
              </w:rPr>
              <w:t xml:space="preserve">ולגבי גופים המופיעים בתוספת השנייה והחמישית </w:t>
            </w:r>
          </w:p>
        </w:tc>
        <w:tc>
          <w:tcPr>
            <w:tcW w:w="1137" w:type="pct"/>
            <w:shd w:val="clear" w:color="auto" w:fill="DDEAEE"/>
          </w:tcPr>
          <w:p w:rsidR="00FD70D7" w:rsidRPr="009B3DCF" w:rsidRDefault="008C707B" w:rsidP="00DA6F61">
            <w:pPr>
              <w:pStyle w:val="73R"/>
              <w:rPr>
                <w:rtl/>
              </w:rPr>
            </w:pPr>
            <w:r w:rsidRPr="009B3DCF">
              <w:rPr>
                <w:rFonts w:hint="eastAsia"/>
                <w:rtl/>
              </w:rPr>
              <w:t>הנחיות</w:t>
            </w:r>
            <w:r w:rsidRPr="009B3DCF">
              <w:rPr>
                <w:rtl/>
              </w:rPr>
              <w:t xml:space="preserve"> </w:t>
            </w:r>
            <w:r w:rsidRPr="009B3DCF">
              <w:rPr>
                <w:rFonts w:hint="eastAsia"/>
                <w:rtl/>
              </w:rPr>
              <w:t>מחייבות</w:t>
            </w:r>
            <w:r w:rsidRPr="009B3DCF">
              <w:rPr>
                <w:rtl/>
              </w:rPr>
              <w:t xml:space="preserve"> </w:t>
            </w:r>
            <w:r w:rsidRPr="009B3DCF">
              <w:rPr>
                <w:rFonts w:hint="eastAsia"/>
                <w:rtl/>
              </w:rPr>
              <w:t>לאבטחת</w:t>
            </w:r>
            <w:r w:rsidRPr="009B3DCF">
              <w:rPr>
                <w:rtl/>
              </w:rPr>
              <w:t xml:space="preserve"> </w:t>
            </w:r>
            <w:r w:rsidRPr="009B3DCF">
              <w:rPr>
                <w:rFonts w:hint="eastAsia"/>
                <w:rtl/>
              </w:rPr>
              <w:t>מערכות</w:t>
            </w:r>
            <w:r w:rsidRPr="009B3DCF">
              <w:rPr>
                <w:rtl/>
              </w:rPr>
              <w:t xml:space="preserve"> </w:t>
            </w:r>
            <w:r w:rsidRPr="009B3DCF">
              <w:rPr>
                <w:rFonts w:hint="eastAsia"/>
                <w:rtl/>
              </w:rPr>
              <w:t>מידע</w:t>
            </w:r>
            <w:r w:rsidRPr="009B3DCF">
              <w:rPr>
                <w:rtl/>
              </w:rPr>
              <w:t xml:space="preserve"> </w:t>
            </w:r>
            <w:r w:rsidRPr="009B3DCF">
              <w:rPr>
                <w:rFonts w:hint="eastAsia"/>
                <w:rtl/>
              </w:rPr>
              <w:t>חיוניות</w:t>
            </w:r>
            <w:r w:rsidR="00DA6F61">
              <w:rPr>
                <w:rFonts w:hint="cs"/>
                <w:rtl/>
              </w:rPr>
              <w:t xml:space="preserve"> </w:t>
            </w:r>
            <w:r w:rsidRPr="009B3DCF">
              <w:rPr>
                <w:rFonts w:hint="eastAsia"/>
                <w:rtl/>
              </w:rPr>
              <w:t>וכן</w:t>
            </w:r>
            <w:r w:rsidRPr="009B3DCF">
              <w:rPr>
                <w:rtl/>
              </w:rPr>
              <w:t xml:space="preserve"> </w:t>
            </w:r>
            <w:r w:rsidRPr="009B3DCF">
              <w:rPr>
                <w:rFonts w:hint="eastAsia"/>
                <w:rtl/>
              </w:rPr>
              <w:t>מניעת</w:t>
            </w:r>
            <w:r w:rsidRPr="009B3DCF">
              <w:rPr>
                <w:rtl/>
              </w:rPr>
              <w:t xml:space="preserve"> </w:t>
            </w:r>
            <w:r w:rsidRPr="009B3DCF">
              <w:rPr>
                <w:rFonts w:hint="eastAsia"/>
                <w:rtl/>
              </w:rPr>
              <w:t>פגיעה</w:t>
            </w:r>
            <w:r w:rsidRPr="009B3DCF">
              <w:rPr>
                <w:rtl/>
              </w:rPr>
              <w:t xml:space="preserve"> </w:t>
            </w:r>
            <w:r w:rsidRPr="009B3DCF">
              <w:rPr>
                <w:rFonts w:hint="eastAsia"/>
                <w:rtl/>
              </w:rPr>
              <w:t>במידע</w:t>
            </w:r>
          </w:p>
        </w:tc>
        <w:tc>
          <w:tcPr>
            <w:tcW w:w="1365" w:type="pct"/>
            <w:shd w:val="clear" w:color="auto" w:fill="DDEAEE"/>
          </w:tcPr>
          <w:p w:rsidR="00FD70D7" w:rsidRPr="009B3DCF" w:rsidRDefault="008C707B" w:rsidP="00DA6F61">
            <w:pPr>
              <w:pStyle w:val="73R"/>
              <w:rPr>
                <w:rtl/>
              </w:rPr>
            </w:pPr>
            <w:r w:rsidRPr="009B3DCF">
              <w:rPr>
                <w:rFonts w:hint="eastAsia"/>
                <w:rtl/>
              </w:rPr>
              <w:t>למשל</w:t>
            </w:r>
            <w:r w:rsidRPr="009B3DCF">
              <w:rPr>
                <w:rtl/>
              </w:rPr>
              <w:t>:</w:t>
            </w:r>
            <w:r w:rsidR="00DA6F61">
              <w:rPr>
                <w:rtl/>
              </w:rPr>
              <w:br/>
            </w:r>
            <w:r w:rsidRPr="009B3DCF">
              <w:rPr>
                <w:rFonts w:hint="eastAsia"/>
                <w:rtl/>
              </w:rPr>
              <w:t>משרד</w:t>
            </w:r>
            <w:r w:rsidRPr="009B3DCF">
              <w:rPr>
                <w:rtl/>
              </w:rPr>
              <w:t xml:space="preserve"> </w:t>
            </w:r>
            <w:r w:rsidRPr="009B3DCF">
              <w:rPr>
                <w:rFonts w:hint="eastAsia"/>
                <w:rtl/>
              </w:rPr>
              <w:t>האוצר</w:t>
            </w:r>
            <w:r w:rsidR="00DA6F61">
              <w:rPr>
                <w:rtl/>
              </w:rPr>
              <w:br/>
            </w:r>
            <w:r w:rsidRPr="009B3DCF">
              <w:rPr>
                <w:rFonts w:hint="eastAsia"/>
                <w:rtl/>
              </w:rPr>
              <w:t>בנק</w:t>
            </w:r>
            <w:r w:rsidRPr="009B3DCF">
              <w:rPr>
                <w:rtl/>
              </w:rPr>
              <w:t xml:space="preserve"> ישראל </w:t>
            </w:r>
            <w:r w:rsidR="00DA6F61">
              <w:rPr>
                <w:rtl/>
              </w:rPr>
              <w:br/>
            </w:r>
            <w:r w:rsidRPr="009B3DCF">
              <w:rPr>
                <w:rFonts w:hint="eastAsia"/>
                <w:rtl/>
              </w:rPr>
              <w:t>וכן</w:t>
            </w:r>
            <w:r w:rsidRPr="009B3DCF">
              <w:rPr>
                <w:rtl/>
              </w:rPr>
              <w:t xml:space="preserve"> חברות תשתית ותחבורה ובהן: חברת החשמל לישראל ורשות שדות התעופה </w:t>
            </w:r>
            <w:r>
              <w:rPr>
                <w:rFonts w:hint="cs"/>
                <w:rtl/>
              </w:rPr>
              <w:t>(מופיעים בתוספת השנייה והחמישית)</w:t>
            </w:r>
          </w:p>
        </w:tc>
        <w:tc>
          <w:tcPr>
            <w:tcW w:w="725" w:type="pct"/>
            <w:shd w:val="clear" w:color="auto" w:fill="DDEAEE"/>
          </w:tcPr>
          <w:p w:rsidR="00657935" w:rsidRPr="00195C3F" w:rsidRDefault="008C707B" w:rsidP="00657935">
            <w:pPr>
              <w:pStyle w:val="73R"/>
              <w:spacing w:before="480"/>
              <w:rPr>
                <w:b/>
                <w:bCs/>
                <w:color w:val="DF1C1C"/>
                <w:sz w:val="48"/>
                <w:szCs w:val="48"/>
                <w:rtl/>
              </w:rPr>
            </w:pPr>
            <w:r w:rsidRPr="00B47A46">
              <w:rPr>
                <w:rFonts w:ascii="Wingdings" w:hAnsi="Wingdings"/>
                <w:color w:val="DF1C1C"/>
                <w:sz w:val="60"/>
                <w:szCs w:val="60"/>
              </w:rPr>
              <w:sym w:font="Wingdings" w:char="F0FB"/>
            </w:r>
          </w:p>
        </w:tc>
      </w:tr>
      <w:tr w:rsidR="00EA14FF" w:rsidTr="00D70670">
        <w:tc>
          <w:tcPr>
            <w:tcW w:w="643" w:type="pct"/>
            <w:shd w:val="clear" w:color="auto" w:fill="EAF2F3"/>
          </w:tcPr>
          <w:p w:rsidR="00FD70D7" w:rsidRPr="00D70670" w:rsidRDefault="008C707B" w:rsidP="00DA6F61">
            <w:pPr>
              <w:pStyle w:val="73R"/>
              <w:rPr>
                <w:b/>
                <w:bCs/>
                <w:rtl/>
              </w:rPr>
            </w:pPr>
            <w:r w:rsidRPr="00D70670">
              <w:rPr>
                <w:rFonts w:hint="eastAsia"/>
                <w:b/>
                <w:bCs/>
                <w:rtl/>
              </w:rPr>
              <w:t>יה</w:t>
            </w:r>
            <w:r w:rsidRPr="00D70670">
              <w:rPr>
                <w:b/>
                <w:bCs/>
                <w:rtl/>
              </w:rPr>
              <w:t>"ב</w:t>
            </w:r>
          </w:p>
        </w:tc>
        <w:tc>
          <w:tcPr>
            <w:tcW w:w="1130" w:type="pct"/>
            <w:shd w:val="clear" w:color="auto" w:fill="EAF2F3"/>
          </w:tcPr>
          <w:p w:rsidR="00FD70D7" w:rsidRPr="009B3DCF" w:rsidRDefault="008C707B" w:rsidP="00DA6F61">
            <w:pPr>
              <w:pStyle w:val="73R"/>
              <w:rPr>
                <w:rtl/>
              </w:rPr>
            </w:pPr>
            <w:r w:rsidRPr="009B3DCF">
              <w:rPr>
                <w:rFonts w:hint="eastAsia"/>
                <w:rtl/>
              </w:rPr>
              <w:t>החלטת</w:t>
            </w:r>
            <w:r w:rsidRPr="009B3DCF">
              <w:rPr>
                <w:rtl/>
              </w:rPr>
              <w:t xml:space="preserve"> </w:t>
            </w:r>
            <w:r w:rsidRPr="009B3DCF">
              <w:rPr>
                <w:rFonts w:hint="eastAsia"/>
                <w:rtl/>
              </w:rPr>
              <w:t>הממשלה</w:t>
            </w:r>
            <w:r w:rsidRPr="009B3DCF">
              <w:rPr>
                <w:rtl/>
              </w:rPr>
              <w:t xml:space="preserve"> 2443 </w:t>
            </w:r>
            <w:r w:rsidRPr="009B3DCF">
              <w:rPr>
                <w:rFonts w:hint="eastAsia"/>
                <w:rtl/>
              </w:rPr>
              <w:t>בנושא</w:t>
            </w:r>
            <w:r w:rsidRPr="009B3DCF">
              <w:rPr>
                <w:rtl/>
              </w:rPr>
              <w:t xml:space="preserve"> </w:t>
            </w:r>
            <w:r w:rsidRPr="009B3DCF">
              <w:rPr>
                <w:rFonts w:hint="eastAsia"/>
                <w:rtl/>
              </w:rPr>
              <w:t>קידום</w:t>
            </w:r>
            <w:r w:rsidRPr="009B3DCF">
              <w:rPr>
                <w:rtl/>
              </w:rPr>
              <w:t xml:space="preserve"> </w:t>
            </w:r>
            <w:r w:rsidRPr="009B3DCF">
              <w:rPr>
                <w:rFonts w:hint="eastAsia"/>
                <w:rtl/>
              </w:rPr>
              <w:t>אסדרה</w:t>
            </w:r>
            <w:r w:rsidRPr="009B3DCF">
              <w:rPr>
                <w:rtl/>
              </w:rPr>
              <w:t xml:space="preserve"> </w:t>
            </w:r>
            <w:r w:rsidRPr="009B3DCF">
              <w:rPr>
                <w:rFonts w:hint="eastAsia"/>
                <w:rtl/>
              </w:rPr>
              <w:t>לאומית</w:t>
            </w:r>
            <w:r w:rsidRPr="009B3DCF">
              <w:rPr>
                <w:rtl/>
              </w:rPr>
              <w:t xml:space="preserve"> </w:t>
            </w:r>
            <w:r w:rsidRPr="009B3DCF">
              <w:rPr>
                <w:rFonts w:hint="eastAsia"/>
                <w:rtl/>
              </w:rPr>
              <w:t>והובלה</w:t>
            </w:r>
            <w:r w:rsidRPr="009B3DCF">
              <w:rPr>
                <w:rtl/>
              </w:rPr>
              <w:t xml:space="preserve"> </w:t>
            </w:r>
            <w:r w:rsidRPr="009B3DCF">
              <w:rPr>
                <w:rFonts w:hint="eastAsia"/>
                <w:rtl/>
              </w:rPr>
              <w:t>ממשלתית</w:t>
            </w:r>
            <w:r w:rsidRPr="009B3DCF">
              <w:rPr>
                <w:rtl/>
              </w:rPr>
              <w:t xml:space="preserve"> </w:t>
            </w:r>
            <w:r w:rsidRPr="009B3DCF">
              <w:rPr>
                <w:rFonts w:hint="eastAsia"/>
                <w:rtl/>
              </w:rPr>
              <w:t>בהגנת</w:t>
            </w:r>
            <w:r w:rsidRPr="009B3DCF">
              <w:rPr>
                <w:rtl/>
              </w:rPr>
              <w:t xml:space="preserve"> </w:t>
            </w:r>
            <w:r w:rsidRPr="009B3DCF">
              <w:rPr>
                <w:rFonts w:hint="eastAsia"/>
                <w:rtl/>
              </w:rPr>
              <w:t>הסייבר</w:t>
            </w:r>
          </w:p>
        </w:tc>
        <w:tc>
          <w:tcPr>
            <w:tcW w:w="1137" w:type="pct"/>
            <w:shd w:val="clear" w:color="auto" w:fill="EAF2F3"/>
          </w:tcPr>
          <w:p w:rsidR="00FD70D7" w:rsidRPr="009B3DCF" w:rsidRDefault="008C707B" w:rsidP="00DA6F61">
            <w:pPr>
              <w:pStyle w:val="73R"/>
              <w:rPr>
                <w:rtl/>
              </w:rPr>
            </w:pPr>
            <w:r w:rsidRPr="009B3DCF">
              <w:rPr>
                <w:rFonts w:hint="eastAsia"/>
                <w:rtl/>
              </w:rPr>
              <w:t>הכוונה</w:t>
            </w:r>
            <w:r w:rsidRPr="009B3DCF">
              <w:rPr>
                <w:rtl/>
              </w:rPr>
              <w:t xml:space="preserve"> והנחיה מקצועיות בתחום הסייבר </w:t>
            </w:r>
          </w:p>
        </w:tc>
        <w:tc>
          <w:tcPr>
            <w:tcW w:w="1365" w:type="pct"/>
            <w:shd w:val="clear" w:color="auto" w:fill="EAF2F3"/>
          </w:tcPr>
          <w:p w:rsidR="00FD70D7" w:rsidRPr="009B3DCF" w:rsidRDefault="008C707B" w:rsidP="00DA6F61">
            <w:pPr>
              <w:pStyle w:val="73R"/>
              <w:rPr>
                <w:rtl/>
              </w:rPr>
            </w:pPr>
            <w:r w:rsidRPr="009B3DCF">
              <w:rPr>
                <w:rFonts w:hint="eastAsia"/>
                <w:rtl/>
              </w:rPr>
              <w:t>משרדי</w:t>
            </w:r>
            <w:r w:rsidRPr="009B3DCF">
              <w:rPr>
                <w:rtl/>
              </w:rPr>
              <w:t xml:space="preserve"> הממשלה ויחידות הסמך </w:t>
            </w:r>
          </w:p>
        </w:tc>
        <w:tc>
          <w:tcPr>
            <w:tcW w:w="725" w:type="pct"/>
            <w:shd w:val="clear" w:color="auto" w:fill="EAF2F3"/>
          </w:tcPr>
          <w:p w:rsidR="00FD70D7" w:rsidRPr="00195C3F" w:rsidRDefault="008C707B" w:rsidP="00657935">
            <w:pPr>
              <w:pStyle w:val="73R"/>
              <w:spacing w:before="480"/>
              <w:rPr>
                <w:b/>
                <w:bCs/>
                <w:rtl/>
              </w:rPr>
            </w:pPr>
            <w:r w:rsidRPr="00B47A46">
              <w:rPr>
                <w:rFonts w:ascii="Wingdings" w:hAnsi="Wingdings"/>
                <w:color w:val="DF1C1C"/>
                <w:sz w:val="60"/>
                <w:szCs w:val="60"/>
              </w:rPr>
              <w:sym w:font="Wingdings" w:char="F0FB"/>
            </w:r>
          </w:p>
        </w:tc>
      </w:tr>
      <w:tr w:rsidR="00EA14FF" w:rsidTr="00D70670">
        <w:tc>
          <w:tcPr>
            <w:tcW w:w="643" w:type="pct"/>
            <w:tcBorders>
              <w:bottom w:val="single" w:sz="4" w:space="0" w:color="auto"/>
            </w:tcBorders>
            <w:shd w:val="clear" w:color="auto" w:fill="DDEAEE"/>
          </w:tcPr>
          <w:p w:rsidR="00FD70D7" w:rsidRPr="00D70670" w:rsidRDefault="008C707B" w:rsidP="00DA6F61">
            <w:pPr>
              <w:pStyle w:val="73R"/>
              <w:rPr>
                <w:b/>
                <w:bCs/>
                <w:rtl/>
              </w:rPr>
            </w:pPr>
            <w:r w:rsidRPr="00D70670">
              <w:rPr>
                <w:rFonts w:hint="eastAsia"/>
                <w:b/>
                <w:bCs/>
                <w:rtl/>
              </w:rPr>
              <w:t>פיקוח</w:t>
            </w:r>
            <w:r w:rsidRPr="00D70670">
              <w:rPr>
                <w:b/>
                <w:bCs/>
                <w:rtl/>
              </w:rPr>
              <w:t xml:space="preserve"> </w:t>
            </w:r>
            <w:r w:rsidRPr="00D70670">
              <w:rPr>
                <w:rFonts w:hint="eastAsia"/>
                <w:b/>
                <w:bCs/>
                <w:rtl/>
              </w:rPr>
              <w:t>עצמי</w:t>
            </w:r>
          </w:p>
        </w:tc>
        <w:tc>
          <w:tcPr>
            <w:tcW w:w="1130" w:type="pct"/>
            <w:tcBorders>
              <w:bottom w:val="single" w:sz="4" w:space="0" w:color="auto"/>
            </w:tcBorders>
            <w:shd w:val="clear" w:color="auto" w:fill="DDEAEE"/>
          </w:tcPr>
          <w:p w:rsidR="00FD70D7" w:rsidRPr="009B3DCF" w:rsidRDefault="008C707B" w:rsidP="00DA6F61">
            <w:pPr>
              <w:pStyle w:val="73R"/>
              <w:rPr>
                <w:rtl/>
              </w:rPr>
            </w:pPr>
            <w:r w:rsidRPr="009B3DCF">
              <w:rPr>
                <w:rFonts w:hint="eastAsia"/>
                <w:rtl/>
              </w:rPr>
              <w:t>החוק</w:t>
            </w:r>
            <w:r w:rsidRPr="009B3DCF">
              <w:rPr>
                <w:rtl/>
              </w:rPr>
              <w:t xml:space="preserve"> </w:t>
            </w:r>
            <w:r w:rsidRPr="009B3DCF">
              <w:rPr>
                <w:rFonts w:hint="eastAsia"/>
                <w:rtl/>
              </w:rPr>
              <w:t>להסדרת</w:t>
            </w:r>
            <w:r w:rsidRPr="009B3DCF">
              <w:rPr>
                <w:rtl/>
              </w:rPr>
              <w:t xml:space="preserve"> </w:t>
            </w:r>
            <w:r w:rsidRPr="009B3DCF">
              <w:rPr>
                <w:rFonts w:hint="eastAsia"/>
                <w:rtl/>
              </w:rPr>
              <w:t>הביטחון</w:t>
            </w:r>
            <w:r w:rsidRPr="009B3DCF">
              <w:rPr>
                <w:rtl/>
              </w:rPr>
              <w:t xml:space="preserve"> </w:t>
            </w:r>
            <w:r w:rsidRPr="009B3DCF">
              <w:rPr>
                <w:rFonts w:hint="eastAsia"/>
                <w:rtl/>
              </w:rPr>
              <w:t>בגופים</w:t>
            </w:r>
            <w:r w:rsidRPr="009B3DCF">
              <w:rPr>
                <w:rtl/>
              </w:rPr>
              <w:t xml:space="preserve"> - </w:t>
            </w:r>
            <w:r w:rsidRPr="009B3DCF">
              <w:rPr>
                <w:rFonts w:hint="eastAsia"/>
                <w:rtl/>
              </w:rPr>
              <w:t>סעיף</w:t>
            </w:r>
            <w:r w:rsidRPr="009B3DCF">
              <w:rPr>
                <w:rtl/>
              </w:rPr>
              <w:t xml:space="preserve"> 21 </w:t>
            </w:r>
            <w:r w:rsidRPr="009B3DCF">
              <w:rPr>
                <w:rFonts w:hint="eastAsia"/>
                <w:rtl/>
              </w:rPr>
              <w:t>ו</w:t>
            </w:r>
            <w:r w:rsidRPr="009B3DCF">
              <w:rPr>
                <w:rtl/>
              </w:rPr>
              <w:t>-21א</w:t>
            </w:r>
          </w:p>
        </w:tc>
        <w:tc>
          <w:tcPr>
            <w:tcW w:w="1137" w:type="pct"/>
            <w:tcBorders>
              <w:bottom w:val="single" w:sz="4" w:space="0" w:color="auto"/>
            </w:tcBorders>
            <w:shd w:val="clear" w:color="auto" w:fill="DDEAEE"/>
          </w:tcPr>
          <w:p w:rsidR="00FD70D7" w:rsidRPr="009B3DCF" w:rsidRDefault="008C707B" w:rsidP="00DA6F61">
            <w:pPr>
              <w:pStyle w:val="73R"/>
              <w:rPr>
                <w:rtl/>
              </w:rPr>
            </w:pPr>
            <w:r w:rsidRPr="009B3DCF">
              <w:rPr>
                <w:rFonts w:hint="eastAsia"/>
                <w:rtl/>
              </w:rPr>
              <w:t>גופים</w:t>
            </w:r>
            <w:r w:rsidRPr="009B3DCF">
              <w:rPr>
                <w:rtl/>
              </w:rPr>
              <w:t xml:space="preserve"> המוחרגים מאחריות הנחיית השב"כ בהיבטים </w:t>
            </w:r>
            <w:r w:rsidRPr="009B3DCF">
              <w:rPr>
                <w:rFonts w:hint="eastAsia"/>
                <w:rtl/>
              </w:rPr>
              <w:t>הקיברנטיים</w:t>
            </w:r>
          </w:p>
        </w:tc>
        <w:tc>
          <w:tcPr>
            <w:tcW w:w="1365" w:type="pct"/>
            <w:tcBorders>
              <w:bottom w:val="single" w:sz="4" w:space="0" w:color="auto"/>
            </w:tcBorders>
            <w:shd w:val="clear" w:color="auto" w:fill="DDEAEE"/>
          </w:tcPr>
          <w:p w:rsidR="00FD70D7" w:rsidRPr="009B3DCF" w:rsidRDefault="008C707B" w:rsidP="00DA6F61">
            <w:pPr>
              <w:pStyle w:val="73R"/>
              <w:rPr>
                <w:rtl/>
              </w:rPr>
            </w:pPr>
            <w:r w:rsidRPr="009B3DCF">
              <w:rPr>
                <w:rFonts w:hint="eastAsia"/>
                <w:rtl/>
              </w:rPr>
              <w:t>בעיקר</w:t>
            </w:r>
            <w:r w:rsidRPr="009B3DCF">
              <w:rPr>
                <w:rtl/>
              </w:rPr>
              <w:t xml:space="preserve"> </w:t>
            </w:r>
            <w:r w:rsidRPr="009B3DCF">
              <w:rPr>
                <w:rFonts w:hint="eastAsia"/>
                <w:rtl/>
              </w:rPr>
              <w:t>גופי</w:t>
            </w:r>
            <w:r w:rsidRPr="009B3DCF">
              <w:rPr>
                <w:rtl/>
              </w:rPr>
              <w:t xml:space="preserve"> </w:t>
            </w:r>
            <w:r w:rsidRPr="009B3DCF">
              <w:rPr>
                <w:rFonts w:hint="eastAsia"/>
                <w:rtl/>
              </w:rPr>
              <w:t>ביטחון</w:t>
            </w:r>
            <w:r w:rsidRPr="009B3DCF">
              <w:rPr>
                <w:rtl/>
              </w:rPr>
              <w:t xml:space="preserve"> </w:t>
            </w:r>
            <w:r w:rsidRPr="009B3DCF">
              <w:rPr>
                <w:rFonts w:hint="eastAsia"/>
                <w:rtl/>
              </w:rPr>
              <w:t>רגישים</w:t>
            </w:r>
            <w:r w:rsidRPr="009B3DCF">
              <w:rPr>
                <w:rtl/>
              </w:rPr>
              <w:t xml:space="preserve">, </w:t>
            </w:r>
            <w:r w:rsidRPr="009B3DCF">
              <w:rPr>
                <w:rFonts w:hint="eastAsia"/>
                <w:rtl/>
              </w:rPr>
              <w:t>ובהם</w:t>
            </w:r>
            <w:r w:rsidRPr="009B3DCF">
              <w:rPr>
                <w:rtl/>
              </w:rPr>
              <w:t xml:space="preserve">: </w:t>
            </w:r>
            <w:r w:rsidRPr="009B3DCF">
              <w:rPr>
                <w:rFonts w:hint="eastAsia"/>
                <w:rtl/>
              </w:rPr>
              <w:t>השב</w:t>
            </w:r>
            <w:r w:rsidRPr="009B3DCF">
              <w:rPr>
                <w:rtl/>
              </w:rPr>
              <w:t xml:space="preserve">"כ, </w:t>
            </w:r>
            <w:r w:rsidRPr="009B3DCF">
              <w:rPr>
                <w:rFonts w:hint="eastAsia"/>
                <w:rtl/>
              </w:rPr>
              <w:t>המוסד</w:t>
            </w:r>
            <w:r w:rsidRPr="009B3DCF">
              <w:rPr>
                <w:rtl/>
              </w:rPr>
              <w:t xml:space="preserve"> </w:t>
            </w:r>
            <w:r w:rsidRPr="009B3DCF">
              <w:rPr>
                <w:rFonts w:hint="eastAsia"/>
                <w:rtl/>
              </w:rPr>
              <w:t>למודיעין</w:t>
            </w:r>
            <w:r w:rsidRPr="009B3DCF">
              <w:rPr>
                <w:rtl/>
              </w:rPr>
              <w:t xml:space="preserve"> </w:t>
            </w:r>
            <w:r w:rsidRPr="009B3DCF">
              <w:rPr>
                <w:rFonts w:hint="eastAsia"/>
                <w:rtl/>
              </w:rPr>
              <w:t>ותפקידים</w:t>
            </w:r>
            <w:r w:rsidRPr="009B3DCF">
              <w:rPr>
                <w:rtl/>
              </w:rPr>
              <w:t xml:space="preserve"> </w:t>
            </w:r>
            <w:r w:rsidRPr="009B3DCF">
              <w:rPr>
                <w:rFonts w:hint="eastAsia"/>
                <w:rtl/>
              </w:rPr>
              <w:t>מיוחדים</w:t>
            </w:r>
            <w:r w:rsidRPr="009B3DCF">
              <w:rPr>
                <w:rtl/>
              </w:rPr>
              <w:t xml:space="preserve"> </w:t>
            </w:r>
            <w:r w:rsidRPr="009B3DCF">
              <w:rPr>
                <w:rFonts w:hint="eastAsia"/>
                <w:rtl/>
              </w:rPr>
              <w:t>וצה</w:t>
            </w:r>
            <w:r w:rsidRPr="009B3DCF">
              <w:rPr>
                <w:rtl/>
              </w:rPr>
              <w:t xml:space="preserve">"ל, </w:t>
            </w:r>
            <w:r w:rsidRPr="009B3DCF">
              <w:rPr>
                <w:rFonts w:hint="eastAsia"/>
                <w:rtl/>
              </w:rPr>
              <w:t>המגנים</w:t>
            </w:r>
            <w:r w:rsidRPr="009B3DCF">
              <w:rPr>
                <w:rtl/>
              </w:rPr>
              <w:t xml:space="preserve"> </w:t>
            </w:r>
            <w:r w:rsidRPr="009B3DCF">
              <w:rPr>
                <w:rFonts w:hint="eastAsia"/>
                <w:rtl/>
              </w:rPr>
              <w:t>על</w:t>
            </w:r>
            <w:r w:rsidRPr="009B3DCF">
              <w:rPr>
                <w:rtl/>
              </w:rPr>
              <w:t xml:space="preserve"> </w:t>
            </w:r>
            <w:r w:rsidRPr="009B3DCF">
              <w:rPr>
                <w:rFonts w:hint="eastAsia"/>
                <w:rtl/>
              </w:rPr>
              <w:t>עצמם</w:t>
            </w:r>
            <w:r w:rsidRPr="009B3DCF">
              <w:rPr>
                <w:rtl/>
              </w:rPr>
              <w:t xml:space="preserve"> </w:t>
            </w:r>
            <w:r w:rsidRPr="009B3DCF">
              <w:rPr>
                <w:rFonts w:hint="eastAsia"/>
                <w:rtl/>
              </w:rPr>
              <w:t>ואינם</w:t>
            </w:r>
            <w:r w:rsidRPr="009B3DCF">
              <w:rPr>
                <w:rtl/>
              </w:rPr>
              <w:t xml:space="preserve"> </w:t>
            </w:r>
            <w:r w:rsidRPr="009B3DCF">
              <w:rPr>
                <w:rFonts w:hint="eastAsia"/>
                <w:rtl/>
              </w:rPr>
              <w:t>מחויבים</w:t>
            </w:r>
            <w:r w:rsidRPr="009B3DCF">
              <w:rPr>
                <w:rtl/>
              </w:rPr>
              <w:t xml:space="preserve"> </w:t>
            </w:r>
            <w:r w:rsidRPr="009B3DCF">
              <w:rPr>
                <w:rFonts w:hint="eastAsia"/>
                <w:rtl/>
              </w:rPr>
              <w:t>בדיווח</w:t>
            </w:r>
            <w:r w:rsidRPr="009B3DCF">
              <w:rPr>
                <w:rtl/>
              </w:rPr>
              <w:t xml:space="preserve"> </w:t>
            </w:r>
            <w:r w:rsidRPr="009B3DCF">
              <w:rPr>
                <w:rFonts w:hint="eastAsia"/>
                <w:rtl/>
              </w:rPr>
              <w:t>או</w:t>
            </w:r>
            <w:r w:rsidRPr="009B3DCF">
              <w:rPr>
                <w:rtl/>
              </w:rPr>
              <w:t xml:space="preserve"> </w:t>
            </w:r>
            <w:r w:rsidRPr="009B3DCF">
              <w:rPr>
                <w:rFonts w:hint="eastAsia"/>
                <w:rtl/>
              </w:rPr>
              <w:t>בפיקוח</w:t>
            </w:r>
            <w:r w:rsidRPr="009B3DCF">
              <w:rPr>
                <w:rtl/>
              </w:rPr>
              <w:t xml:space="preserve"> </w:t>
            </w:r>
            <w:r w:rsidRPr="009B3DCF">
              <w:rPr>
                <w:rFonts w:hint="eastAsia"/>
                <w:rtl/>
              </w:rPr>
              <w:t>חיצוני</w:t>
            </w:r>
            <w:r w:rsidRPr="009B3DCF">
              <w:rPr>
                <w:rtl/>
              </w:rPr>
              <w:t xml:space="preserve"> </w:t>
            </w:r>
            <w:r w:rsidRPr="009B3DCF">
              <w:rPr>
                <w:rFonts w:hint="eastAsia"/>
                <w:rtl/>
              </w:rPr>
              <w:t>על</w:t>
            </w:r>
            <w:r w:rsidRPr="009B3DCF">
              <w:rPr>
                <w:rtl/>
              </w:rPr>
              <w:t xml:space="preserve"> </w:t>
            </w:r>
            <w:r w:rsidRPr="009B3DCF">
              <w:rPr>
                <w:rFonts w:hint="eastAsia"/>
                <w:rtl/>
              </w:rPr>
              <w:t>אופן</w:t>
            </w:r>
            <w:r w:rsidRPr="009B3DCF">
              <w:rPr>
                <w:rtl/>
              </w:rPr>
              <w:t xml:space="preserve"> </w:t>
            </w:r>
            <w:r w:rsidRPr="009B3DCF">
              <w:rPr>
                <w:rFonts w:hint="eastAsia"/>
                <w:rtl/>
              </w:rPr>
              <w:t>התנהלותם</w:t>
            </w:r>
          </w:p>
        </w:tc>
        <w:tc>
          <w:tcPr>
            <w:tcW w:w="725" w:type="pct"/>
            <w:tcBorders>
              <w:bottom w:val="single" w:sz="4" w:space="0" w:color="auto"/>
            </w:tcBorders>
            <w:shd w:val="clear" w:color="auto" w:fill="DDEAEE"/>
          </w:tcPr>
          <w:p w:rsidR="00FD70D7" w:rsidRPr="00195C3F" w:rsidRDefault="008C707B" w:rsidP="00657935">
            <w:pPr>
              <w:pStyle w:val="73R"/>
              <w:spacing w:before="480"/>
              <w:rPr>
                <w:b/>
                <w:bCs/>
                <w:rtl/>
              </w:rPr>
            </w:pPr>
            <w:r w:rsidRPr="00B47A46">
              <w:rPr>
                <w:rFonts w:ascii="Wingdings" w:hAnsi="Wingdings"/>
                <w:color w:val="DF1C1C"/>
                <w:sz w:val="60"/>
                <w:szCs w:val="60"/>
              </w:rPr>
              <w:sym w:font="Wingdings" w:char="F0FB"/>
            </w:r>
          </w:p>
          <w:p w:rsidR="0032788F" w:rsidRPr="0032788F" w:rsidRDefault="0032788F" w:rsidP="0032788F">
            <w:pPr>
              <w:pStyle w:val="73R"/>
              <w:spacing w:before="360"/>
              <w:rPr>
                <w:color w:val="DF9427"/>
                <w:rtl/>
              </w:rPr>
            </w:pPr>
          </w:p>
        </w:tc>
      </w:tr>
      <w:tr w:rsidR="00EA14FF" w:rsidTr="00CC563D">
        <w:tc>
          <w:tcPr>
            <w:tcW w:w="643" w:type="pct"/>
            <w:tcBorders>
              <w:top w:val="single" w:sz="4" w:space="0" w:color="auto"/>
            </w:tcBorders>
            <w:shd w:val="clear" w:color="auto" w:fill="F6E4C8"/>
          </w:tcPr>
          <w:p w:rsidR="00FD70D7" w:rsidRPr="00D70670" w:rsidRDefault="008C707B" w:rsidP="00DA6F61">
            <w:pPr>
              <w:pStyle w:val="73R"/>
              <w:rPr>
                <w:b/>
                <w:bCs/>
                <w:rtl/>
              </w:rPr>
            </w:pPr>
            <w:r w:rsidRPr="00D70670">
              <w:rPr>
                <w:rFonts w:hint="eastAsia"/>
                <w:b/>
                <w:bCs/>
                <w:rtl/>
              </w:rPr>
              <w:t>הנחיה</w:t>
            </w:r>
            <w:r w:rsidRPr="00D70670">
              <w:rPr>
                <w:b/>
                <w:bCs/>
                <w:rtl/>
              </w:rPr>
              <w:t xml:space="preserve"> מרצון </w:t>
            </w:r>
          </w:p>
        </w:tc>
        <w:tc>
          <w:tcPr>
            <w:tcW w:w="3632" w:type="pct"/>
            <w:gridSpan w:val="3"/>
            <w:tcBorders>
              <w:top w:val="single" w:sz="4" w:space="0" w:color="auto"/>
            </w:tcBorders>
            <w:shd w:val="clear" w:color="auto" w:fill="F6E4C8"/>
            <w:vAlign w:val="center"/>
          </w:tcPr>
          <w:p w:rsidR="00FD70D7" w:rsidRPr="009B3DCF" w:rsidRDefault="008C707B" w:rsidP="00DA6F61">
            <w:pPr>
              <w:pStyle w:val="73R"/>
              <w:rPr>
                <w:rtl/>
              </w:rPr>
            </w:pPr>
            <w:r w:rsidRPr="009B3DCF">
              <w:rPr>
                <w:rFonts w:hint="eastAsia"/>
                <w:rtl/>
              </w:rPr>
              <w:t>הנחיית</w:t>
            </w:r>
            <w:r w:rsidRPr="009B3DCF">
              <w:rPr>
                <w:rtl/>
              </w:rPr>
              <w:t xml:space="preserve"> </w:t>
            </w:r>
            <w:r w:rsidRPr="009B3DCF">
              <w:rPr>
                <w:rFonts w:hint="eastAsia"/>
                <w:rtl/>
              </w:rPr>
              <w:t>מס</w:t>
            </w:r>
            <w:r w:rsidRPr="009B3DCF">
              <w:rPr>
                <w:rtl/>
              </w:rPr>
              <w:t xml:space="preserve">"ל בדומה לגופי </w:t>
            </w:r>
            <w:r w:rsidRPr="009B3DCF">
              <w:rPr>
                <w:rFonts w:hint="eastAsia"/>
                <w:rtl/>
              </w:rPr>
              <w:t>תמ</w:t>
            </w:r>
            <w:r w:rsidRPr="009B3DCF">
              <w:rPr>
                <w:rtl/>
              </w:rPr>
              <w:t xml:space="preserve">"ק לפי שיקול דעת של </w:t>
            </w:r>
            <w:r w:rsidRPr="009B3DCF">
              <w:rPr>
                <w:rFonts w:hint="eastAsia"/>
                <w:rtl/>
              </w:rPr>
              <w:t>הגוף</w:t>
            </w:r>
            <w:r w:rsidRPr="009B3DCF">
              <w:rPr>
                <w:rtl/>
              </w:rPr>
              <w:t xml:space="preserve"> </w:t>
            </w:r>
            <w:r w:rsidRPr="009B3DCF">
              <w:rPr>
                <w:rFonts w:hint="eastAsia"/>
                <w:rtl/>
              </w:rPr>
              <w:t>המונחה</w:t>
            </w:r>
          </w:p>
        </w:tc>
        <w:tc>
          <w:tcPr>
            <w:tcW w:w="725" w:type="pct"/>
            <w:tcBorders>
              <w:top w:val="single" w:sz="4" w:space="0" w:color="auto"/>
            </w:tcBorders>
            <w:shd w:val="clear" w:color="auto" w:fill="F6E4C8"/>
          </w:tcPr>
          <w:p w:rsidR="00FD70D7" w:rsidRPr="00195C3F" w:rsidRDefault="008C707B" w:rsidP="00D70670">
            <w:pPr>
              <w:pStyle w:val="73R"/>
              <w:spacing w:before="360"/>
              <w:rPr>
                <w:b/>
                <w:bCs/>
                <w:noProof/>
              </w:rPr>
            </w:pPr>
            <w:r w:rsidRPr="00B47A46">
              <w:rPr>
                <w:rFonts w:ascii="Wingdings" w:hAnsi="Wingdings"/>
                <w:b/>
                <w:bCs/>
                <w:color w:val="DF9427"/>
                <w:sz w:val="54"/>
                <w:szCs w:val="54"/>
              </w:rPr>
              <w:sym w:font="Wingdings" w:char="F0FC"/>
            </w:r>
          </w:p>
        </w:tc>
      </w:tr>
    </w:tbl>
    <w:p w:rsidR="005746FF" w:rsidRPr="005746FF" w:rsidRDefault="005746FF" w:rsidP="005746FF">
      <w:pPr>
        <w:rPr>
          <w:rtl/>
        </w:rPr>
      </w:pPr>
    </w:p>
    <w:p w:rsidR="00FD70D7" w:rsidRPr="005746FF" w:rsidRDefault="008C707B" w:rsidP="005746FF">
      <w:pPr>
        <w:pStyle w:val="735"/>
        <w:rPr>
          <w:rtl/>
        </w:rPr>
      </w:pPr>
      <w:r w:rsidRPr="005746FF">
        <w:rPr>
          <w:rFonts w:hint="cs"/>
          <w:rtl/>
        </w:rPr>
        <w:lastRenderedPageBreak/>
        <w:t xml:space="preserve">מלוח 1 עולה כי הרשות להגנת הפרטיות מנחה את כלל הגורמים ובכללם בט"ל בנושאים של הגנה על המידע האישי שבמאגרי המידע. נוסף על כך בט"ל מונחה על ידי השב"כ בכל הנוגע לענייני אבטחת מידע על נתונים מסווגים ומערכות. בט"ל אינו מונחה על ידי מס"ל, המנחה גופים שלהם מערכות מידע חיוניות (תמ"ק), ועל ידי יה"ב, המנחה את כל משרדי הממשלה ויחידות הסמך. </w:t>
      </w:r>
    </w:p>
    <w:p w:rsidR="00FD70D7" w:rsidRPr="005746FF" w:rsidRDefault="008C707B" w:rsidP="005746FF">
      <w:pPr>
        <w:pStyle w:val="735"/>
        <w:rPr>
          <w:rtl/>
        </w:rPr>
      </w:pPr>
      <w:r w:rsidRPr="005746FF">
        <w:rPr>
          <w:rFonts w:hint="cs"/>
          <w:rtl/>
        </w:rPr>
        <w:t xml:space="preserve">עולה כי מרבית מערכות המידע של בט"ל, שאינן מסווגות, אינן מונחות על ידי גורם מאסדר חיצוני כלשהו באופן שוטף ומערכתי, וזאת על אף הרגישות הרבה של מערכות מידע אלו ורמת הסיכון הגבוהה שלהן. </w:t>
      </w:r>
    </w:p>
    <w:p w:rsidR="00FD70D7" w:rsidRDefault="008C707B" w:rsidP="002C58C6">
      <w:pPr>
        <w:pStyle w:val="7392"/>
        <w:rPr>
          <w:rtl/>
        </w:rPr>
      </w:pPr>
      <w:r w:rsidRPr="00D358C1">
        <w:rPr>
          <w:rFonts w:hint="cs"/>
          <w:rtl/>
        </w:rPr>
        <w:t>להלן תרשים המציג את כלל הגופים המנחים את בט"ל</w:t>
      </w:r>
      <w:r>
        <w:rPr>
          <w:rFonts w:hint="cs"/>
          <w:rtl/>
        </w:rPr>
        <w:t>:</w:t>
      </w:r>
    </w:p>
    <w:p w:rsidR="00FD70D7" w:rsidRPr="002C58C6" w:rsidRDefault="008C707B" w:rsidP="002C58C6">
      <w:pPr>
        <w:pStyle w:val="738"/>
        <w:rPr>
          <w:rtl/>
        </w:rPr>
      </w:pPr>
      <w:r w:rsidRPr="002C58C6">
        <w:rPr>
          <w:rFonts w:hint="eastAsia"/>
          <w:b w:val="0"/>
          <w:bCs w:val="0"/>
          <w:rtl/>
        </w:rPr>
        <w:t>תרשים</w:t>
      </w:r>
      <w:r w:rsidRPr="002C58C6">
        <w:rPr>
          <w:b w:val="0"/>
          <w:bCs w:val="0"/>
          <w:rtl/>
        </w:rPr>
        <w:t xml:space="preserve"> 2:</w:t>
      </w:r>
      <w:r w:rsidRPr="002C58C6">
        <w:rPr>
          <w:rFonts w:hint="cs"/>
          <w:rtl/>
        </w:rPr>
        <w:t xml:space="preserve"> </w:t>
      </w:r>
      <w:r w:rsidRPr="002C58C6">
        <w:rPr>
          <w:rtl/>
        </w:rPr>
        <w:t>גורמי ה</w:t>
      </w:r>
      <w:r w:rsidRPr="002C58C6">
        <w:rPr>
          <w:rFonts w:hint="cs"/>
          <w:rtl/>
        </w:rPr>
        <w:t>אסדרה</w:t>
      </w:r>
      <w:r w:rsidRPr="002C58C6">
        <w:rPr>
          <w:rtl/>
        </w:rPr>
        <w:t xml:space="preserve"> בתחום אבטחת המידע</w:t>
      </w:r>
      <w:r w:rsidRPr="002C58C6">
        <w:rPr>
          <w:rFonts w:hint="cs"/>
          <w:rtl/>
        </w:rPr>
        <w:t xml:space="preserve"> בבט"ל</w:t>
      </w:r>
    </w:p>
    <w:p w:rsidR="00FD70D7" w:rsidRDefault="008C707B" w:rsidP="00FD70D7">
      <w:pPr>
        <w:spacing w:line="269" w:lineRule="auto"/>
        <w:jc w:val="center"/>
        <w:rPr>
          <w:sz w:val="22"/>
          <w:szCs w:val="22"/>
          <w:rtl/>
        </w:rPr>
      </w:pPr>
      <w:r w:rsidRPr="00F310B0">
        <w:rPr>
          <w:noProof/>
          <w:sz w:val="22"/>
          <w:szCs w:val="22"/>
          <w:rtl/>
        </w:rPr>
        <w:drawing>
          <wp:inline distT="0" distB="0" distL="0" distR="0">
            <wp:extent cx="3884610" cy="3884610"/>
            <wp:effectExtent l="0" t="0" r="1905" b="1905"/>
            <wp:docPr id="1267071624" name="תמונה 1267071624" descr="בתרשים מוצגים הגורמים המאסדרים את בט&quot;ל:&#10;הרשות להגנת הפרטיות - בנושא ההגנה על המידע האישי. שב&quot;כ - המנחה את קצין הביטחון בנושא השמירה על מידע מסווג. &#10;מערך הסייבר הלאומי - המנחה את בט&quot;ל הנחיה מרצון בנושא ההגנה על תשתיות מדינה קריטיות.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71624" name="תמונה 126707162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84610" cy="3884610"/>
                    </a:xfrm>
                    <a:prstGeom prst="rect">
                      <a:avLst/>
                    </a:prstGeom>
                  </pic:spPr>
                </pic:pic>
              </a:graphicData>
            </a:graphic>
          </wp:inline>
        </w:drawing>
      </w:r>
    </w:p>
    <w:p w:rsidR="00FD70D7" w:rsidRPr="000D7352" w:rsidRDefault="008C707B" w:rsidP="002C58C6">
      <w:pPr>
        <w:pStyle w:val="73e"/>
        <w:rPr>
          <w:rtl/>
        </w:rPr>
      </w:pPr>
      <w:r w:rsidRPr="000D7352">
        <w:rPr>
          <w:rFonts w:hint="cs"/>
          <w:rtl/>
        </w:rPr>
        <w:t xml:space="preserve">על פי נתוני בט"ל, בעיבוד משרד מבקר המדינה. </w:t>
      </w:r>
    </w:p>
    <w:p w:rsidR="00FD70D7" w:rsidRPr="005746FF" w:rsidRDefault="008C707B" w:rsidP="005746FF">
      <w:pPr>
        <w:pStyle w:val="735"/>
        <w:rPr>
          <w:rtl/>
        </w:rPr>
      </w:pPr>
      <w:r w:rsidRPr="005746FF">
        <w:rPr>
          <w:rFonts w:hint="eastAsia"/>
          <w:rtl/>
        </w:rPr>
        <w:lastRenderedPageBreak/>
        <w:t>מלוח</w:t>
      </w:r>
      <w:r w:rsidRPr="005746FF">
        <w:rPr>
          <w:rtl/>
        </w:rPr>
        <w:t xml:space="preserve"> 1 ומתרשים 2 עולה כי לעומת משרדי הממשלה, </w:t>
      </w:r>
      <w:r w:rsidRPr="005746FF">
        <w:rPr>
          <w:rFonts w:hint="cs"/>
          <w:rtl/>
        </w:rPr>
        <w:t>שלחלקם</w:t>
      </w:r>
      <w:r w:rsidRPr="005746FF">
        <w:rPr>
          <w:rtl/>
        </w:rPr>
        <w:t xml:space="preserve"> מאגרי מידע מצומצמים, המונחים בידי </w:t>
      </w:r>
      <w:r w:rsidRPr="005746FF">
        <w:rPr>
          <w:rFonts w:hint="eastAsia"/>
          <w:rtl/>
        </w:rPr>
        <w:t>יה</w:t>
      </w:r>
      <w:r w:rsidRPr="005746FF">
        <w:rPr>
          <w:rtl/>
        </w:rPr>
        <w:t xml:space="preserve">"ב, </w:t>
      </w:r>
      <w:r w:rsidRPr="005746FF">
        <w:rPr>
          <w:rFonts w:hint="eastAsia"/>
          <w:rtl/>
        </w:rPr>
        <w:t>בט</w:t>
      </w:r>
      <w:r w:rsidRPr="005746FF">
        <w:rPr>
          <w:rtl/>
        </w:rPr>
        <w:t>"ל האחראי ל</w:t>
      </w:r>
      <w:r w:rsidRPr="005746FF">
        <w:rPr>
          <w:rFonts w:hint="cs"/>
          <w:rtl/>
        </w:rPr>
        <w:t xml:space="preserve">מאגר מידע </w:t>
      </w:r>
      <w:r w:rsidRPr="005746FF">
        <w:rPr>
          <w:rtl/>
        </w:rPr>
        <w:t xml:space="preserve">מבצע פיקוח עצמי על מרבית המידע שלו, לפעמים בסיוע </w:t>
      </w:r>
      <w:r w:rsidRPr="005746FF">
        <w:rPr>
          <w:rFonts w:hint="eastAsia"/>
          <w:rtl/>
        </w:rPr>
        <w:t>מס</w:t>
      </w:r>
      <w:r w:rsidRPr="005746FF">
        <w:rPr>
          <w:rtl/>
        </w:rPr>
        <w:t xml:space="preserve">"ל באמצעות "הנחיה מרצון". </w:t>
      </w:r>
    </w:p>
    <w:p w:rsidR="00FD70D7" w:rsidRPr="005746FF" w:rsidRDefault="008C707B" w:rsidP="005746FF">
      <w:pPr>
        <w:pStyle w:val="73414"/>
        <w:rPr>
          <w:rtl/>
        </w:rPr>
      </w:pPr>
      <w:r w:rsidRPr="005746FF">
        <w:rPr>
          <w:rFonts w:hint="cs"/>
          <w:rtl/>
        </w:rPr>
        <w:t>ה</w:t>
      </w:r>
      <w:r w:rsidRPr="005746FF">
        <w:rPr>
          <w:rFonts w:hint="eastAsia"/>
          <w:rtl/>
        </w:rPr>
        <w:t>משמעות</w:t>
      </w:r>
      <w:r w:rsidRPr="005746FF">
        <w:rPr>
          <w:rtl/>
        </w:rPr>
        <w:t xml:space="preserve"> </w:t>
      </w:r>
      <w:r w:rsidRPr="005746FF">
        <w:rPr>
          <w:rFonts w:hint="cs"/>
          <w:rtl/>
        </w:rPr>
        <w:t xml:space="preserve">של </w:t>
      </w:r>
      <w:r w:rsidRPr="005746FF">
        <w:rPr>
          <w:rFonts w:hint="eastAsia"/>
          <w:rtl/>
        </w:rPr>
        <w:t>הנחיה</w:t>
      </w:r>
      <w:r w:rsidRPr="005746FF">
        <w:rPr>
          <w:rtl/>
        </w:rPr>
        <w:t xml:space="preserve"> </w:t>
      </w:r>
      <w:r w:rsidRPr="005746FF">
        <w:rPr>
          <w:rFonts w:hint="eastAsia"/>
          <w:rtl/>
        </w:rPr>
        <w:t>מרצון</w:t>
      </w:r>
    </w:p>
    <w:p w:rsidR="00FD70D7" w:rsidRPr="002C58C6" w:rsidRDefault="008C707B" w:rsidP="002C58C6">
      <w:pPr>
        <w:pStyle w:val="7392"/>
        <w:rPr>
          <w:rtl/>
        </w:rPr>
      </w:pPr>
      <w:r w:rsidRPr="002C58C6">
        <w:rPr>
          <w:rFonts w:hint="cs"/>
          <w:rtl/>
        </w:rPr>
        <w:t>כאשר גוף מקבל עליו באופן וולונטר</w:t>
      </w:r>
      <w:r w:rsidRPr="002C58C6">
        <w:rPr>
          <w:rFonts w:hint="eastAsia"/>
          <w:rtl/>
        </w:rPr>
        <w:t>י</w:t>
      </w:r>
      <w:r w:rsidRPr="002C58C6">
        <w:rPr>
          <w:rFonts w:hint="cs"/>
          <w:rtl/>
        </w:rPr>
        <w:t xml:space="preserve"> הנחיות של גורם מאסדר, הוא אינו מחויב למלא את ההוראות כפי שהן, והמאסדר אינו יכול לאכוף עליו את קיום ההנחיות. על כן, עלול להיווצ</w:t>
      </w:r>
      <w:r w:rsidRPr="002C58C6">
        <w:rPr>
          <w:rFonts w:hint="eastAsia"/>
          <w:rtl/>
        </w:rPr>
        <w:t>ר</w:t>
      </w:r>
      <w:r w:rsidRPr="002C58C6">
        <w:rPr>
          <w:rFonts w:hint="cs"/>
          <w:rtl/>
        </w:rPr>
        <w:t xml:space="preserve"> מצב בו המאסדרים לא יבחנו את הציות של גופים הנתונים לאסדרתם מרצון. כך למשל בדוח בנושא "אבטחת סייבר: אתגרים באבטחת רשת החשמל"</w:t>
      </w:r>
      <w:r>
        <w:rPr>
          <w:rStyle w:val="a8"/>
          <w:rtl/>
        </w:rPr>
        <w:footnoteReference w:id="23"/>
      </w:r>
      <w:r w:rsidRPr="002C58C6">
        <w:rPr>
          <w:rFonts w:hint="cs"/>
          <w:rtl/>
        </w:rPr>
        <w:t xml:space="preserve"> של מבקר המדינה האמריקאי משנת 2012 צוין כי המאסדר האמריקאי (</w:t>
      </w:r>
      <w:r w:rsidRPr="002C58C6">
        <w:rPr>
          <w:rFonts w:hint="cs"/>
        </w:rPr>
        <w:t>NERC</w:t>
      </w:r>
      <w:r w:rsidRPr="002C58C6">
        <w:rPr>
          <w:rFonts w:hint="cs"/>
          <w:rtl/>
        </w:rPr>
        <w:t>)</w:t>
      </w:r>
      <w:r w:rsidRPr="002C58C6">
        <w:rPr>
          <w:rtl/>
        </w:rPr>
        <w:t xml:space="preserve"> </w:t>
      </w:r>
      <w:r w:rsidRPr="002C58C6">
        <w:rPr>
          <w:rFonts w:hint="cs"/>
          <w:rtl/>
        </w:rPr>
        <w:t>לא בחן את הציות של חברות החשמל בארצות הברית להנחיותיו</w:t>
      </w:r>
      <w:r w:rsidRPr="002C58C6">
        <w:rPr>
          <w:rtl/>
        </w:rPr>
        <w:t xml:space="preserve"> </w:t>
      </w:r>
      <w:r w:rsidRPr="002C58C6">
        <w:rPr>
          <w:rFonts w:hint="cs"/>
          <w:rtl/>
        </w:rPr>
        <w:t xml:space="preserve">בנושא הגנת הסייבר </w:t>
      </w:r>
      <w:r w:rsidRPr="002C58C6">
        <w:rPr>
          <w:rtl/>
        </w:rPr>
        <w:t xml:space="preserve">כיוון שמדובר </w:t>
      </w:r>
      <w:r w:rsidRPr="002C58C6">
        <w:rPr>
          <w:rFonts w:hint="cs"/>
          <w:rtl/>
        </w:rPr>
        <w:t xml:space="preserve">היה </w:t>
      </w:r>
      <w:r w:rsidRPr="002C58C6">
        <w:rPr>
          <w:rtl/>
        </w:rPr>
        <w:t>ב</w:t>
      </w:r>
      <w:r w:rsidRPr="002C58C6">
        <w:rPr>
          <w:rFonts w:hint="cs"/>
          <w:rtl/>
        </w:rPr>
        <w:t>"</w:t>
      </w:r>
      <w:r w:rsidRPr="002C58C6">
        <w:rPr>
          <w:rtl/>
        </w:rPr>
        <w:t>הנחיה מרצון</w:t>
      </w:r>
      <w:r w:rsidRPr="002C58C6">
        <w:rPr>
          <w:rFonts w:hint="cs"/>
          <w:rtl/>
        </w:rPr>
        <w:t xml:space="preserve">", ואין חובה ליישם את הנחיותיו.  </w:t>
      </w:r>
    </w:p>
    <w:p w:rsidR="00FD70D7" w:rsidRPr="002C58C6" w:rsidRDefault="008C707B" w:rsidP="002C58C6">
      <w:pPr>
        <w:pStyle w:val="7392"/>
        <w:rPr>
          <w:rtl/>
        </w:rPr>
      </w:pPr>
      <w:r w:rsidRPr="002C58C6">
        <w:rPr>
          <w:rFonts w:hint="cs"/>
          <w:rtl/>
        </w:rPr>
        <w:t>להלן שני אירועים שהתרחשו בתקופת ה"הנחיה מרצון" של מס"ל. אירוע א' מציין כשל בהתנהלות בט"ל ואת הצורך בהנחיה מחייבת של מס"ל, ואירוע ב' מתאר את היתרון שיש בהנחיה של מנחה קבוע מטעם מס"ל.</w:t>
      </w:r>
    </w:p>
    <w:p w:rsidR="00FD70D7" w:rsidRPr="005746FF" w:rsidRDefault="008C707B" w:rsidP="005746FF">
      <w:pPr>
        <w:pStyle w:val="735"/>
        <w:rPr>
          <w:rtl/>
        </w:rPr>
      </w:pPr>
      <w:r w:rsidRPr="005746FF">
        <w:rPr>
          <w:rFonts w:hint="eastAsia"/>
          <w:rtl/>
        </w:rPr>
        <w:t>אירוע</w:t>
      </w:r>
      <w:r w:rsidRPr="005746FF">
        <w:rPr>
          <w:rtl/>
        </w:rPr>
        <w:t xml:space="preserve"> א'</w:t>
      </w:r>
      <w:r w:rsidRPr="005746FF">
        <w:rPr>
          <w:rFonts w:hint="cs"/>
          <w:rtl/>
        </w:rPr>
        <w:t>,</w:t>
      </w:r>
      <w:r w:rsidRPr="005746FF">
        <w:rPr>
          <w:rtl/>
        </w:rPr>
        <w:t xml:space="preserve"> </w:t>
      </w:r>
      <w:r w:rsidRPr="005746FF">
        <w:rPr>
          <w:rFonts w:hint="cs"/>
          <w:rtl/>
        </w:rPr>
        <w:t>שבמסגרתו עלה פער מסוים בבקרה מסוימת, כאשר אין</w:t>
      </w:r>
      <w:r w:rsidRPr="005746FF">
        <w:rPr>
          <w:rtl/>
        </w:rPr>
        <w:t xml:space="preserve"> </w:t>
      </w:r>
      <w:r w:rsidRPr="005746FF">
        <w:rPr>
          <w:rFonts w:hint="cs"/>
          <w:rtl/>
        </w:rPr>
        <w:t xml:space="preserve">לבט"ל </w:t>
      </w:r>
      <w:r w:rsidRPr="005746FF">
        <w:rPr>
          <w:rtl/>
        </w:rPr>
        <w:t xml:space="preserve">הנחיות מחייבות </w:t>
      </w:r>
      <w:r w:rsidRPr="005746FF">
        <w:rPr>
          <w:rFonts w:hint="cs"/>
          <w:rtl/>
        </w:rPr>
        <w:t xml:space="preserve">בהתנהלותו השוטפת בסוגיות </w:t>
      </w:r>
      <w:r w:rsidRPr="005746FF">
        <w:rPr>
          <w:rtl/>
        </w:rPr>
        <w:t>אבטחה</w:t>
      </w:r>
      <w:r w:rsidRPr="005746FF">
        <w:rPr>
          <w:rFonts w:hint="cs"/>
          <w:rtl/>
        </w:rPr>
        <w:t xml:space="preserve"> והגנת סייבר,הנהלת הארגון נדרשת להכריע בין הגנת הסייבר ואבטחת המידע לבין הנטל הצפוי והכרוך בכך עבור הארגון ועבור מקבל השירות. אם מדובר במסגרת כללים מחייבת שאינה ניתנת לגמישות הרי שהנורמות ידועות והחובה ליישמן ברורה, גם במחיר של פגיעה מסוימת בשירות למבוטח. לחלופין, אם מדובר ב"רצון" לקבל את הנורמות, קיים פתח להנהלת הארגון לא ליישם פתרונות נדרשים ובכך לוותר על הצורך להתמודד עם הסיכונים האפשריים. </w:t>
      </w:r>
    </w:p>
    <w:p w:rsidR="00FD70D7" w:rsidRDefault="008C707B" w:rsidP="002C58C6">
      <w:pPr>
        <w:pStyle w:val="7392"/>
        <w:rPr>
          <w:rtl/>
        </w:rPr>
      </w:pPr>
      <w:r>
        <w:rPr>
          <w:rFonts w:hint="cs"/>
          <w:rtl/>
        </w:rPr>
        <w:t xml:space="preserve">הרשות להגנת הפרטיות מסרה למשרד מבקר המדינה בפברואר 2023 כי בקרה מסוימת היא דרישה הקבועה בתקנות. </w:t>
      </w:r>
      <w:r w:rsidRPr="00A30F9E">
        <w:rPr>
          <w:rFonts w:hint="eastAsia"/>
          <w:rtl/>
        </w:rPr>
        <w:t>עוד</w:t>
      </w:r>
      <w:r w:rsidRPr="00A30F9E">
        <w:rPr>
          <w:rtl/>
        </w:rPr>
        <w:t xml:space="preserve"> </w:t>
      </w:r>
      <w:r w:rsidRPr="00A30F9E">
        <w:rPr>
          <w:rFonts w:hint="eastAsia"/>
          <w:rtl/>
        </w:rPr>
        <w:t>הוסיפה</w:t>
      </w:r>
      <w:r w:rsidRPr="00A30F9E">
        <w:rPr>
          <w:rtl/>
        </w:rPr>
        <w:t xml:space="preserve"> </w:t>
      </w:r>
      <w:r>
        <w:rPr>
          <w:rFonts w:hint="cs"/>
          <w:rtl/>
        </w:rPr>
        <w:t xml:space="preserve">הרשות כי </w:t>
      </w:r>
      <w:r w:rsidRPr="00A30F9E">
        <w:rPr>
          <w:rFonts w:hint="eastAsia"/>
          <w:rtl/>
        </w:rPr>
        <w:t>היא</w:t>
      </w:r>
      <w:r>
        <w:rPr>
          <w:rFonts w:hint="cs"/>
          <w:rtl/>
        </w:rPr>
        <w:t xml:space="preserve"> </w:t>
      </w:r>
      <w:r w:rsidRPr="0030439D">
        <w:rPr>
          <w:rFonts w:hint="cs"/>
          <w:rtl/>
        </w:rPr>
        <w:t xml:space="preserve">עוסקת במתן הנחיות </w:t>
      </w:r>
      <w:r>
        <w:rPr>
          <w:rFonts w:hint="cs"/>
          <w:rtl/>
        </w:rPr>
        <w:t xml:space="preserve">לגופים כיצד </w:t>
      </w:r>
      <w:r w:rsidRPr="00A30F9E">
        <w:rPr>
          <w:rFonts w:hint="eastAsia"/>
          <w:rtl/>
        </w:rPr>
        <w:t>ליישם</w:t>
      </w:r>
      <w:r w:rsidRPr="00A30F9E">
        <w:rPr>
          <w:rFonts w:hint="cs"/>
          <w:rtl/>
        </w:rPr>
        <w:t xml:space="preserve"> </w:t>
      </w:r>
      <w:r>
        <w:rPr>
          <w:rFonts w:hint="cs"/>
          <w:rtl/>
        </w:rPr>
        <w:t xml:space="preserve">בקרה מסוימת שאינה יוצרת נטל על הפעילות השוטפת, </w:t>
      </w:r>
      <w:r w:rsidRPr="00A30F9E">
        <w:rPr>
          <w:rFonts w:hint="eastAsia"/>
          <w:rtl/>
        </w:rPr>
        <w:t>ועם</w:t>
      </w:r>
      <w:r w:rsidRPr="00A30F9E">
        <w:rPr>
          <w:rtl/>
        </w:rPr>
        <w:t xml:space="preserve"> זאת</w:t>
      </w:r>
      <w:r>
        <w:rPr>
          <w:rFonts w:hint="cs"/>
          <w:rtl/>
        </w:rPr>
        <w:t xml:space="preserve"> אינה פוגמת ברמת האבטחה. עוד ציינה הרשות כי אירוע א' מצוי בבחינה במסגרת הליך פיקוח.</w:t>
      </w:r>
    </w:p>
    <w:p w:rsidR="00FD70D7" w:rsidRPr="002C58C6" w:rsidRDefault="008C707B" w:rsidP="002C58C6">
      <w:pPr>
        <w:pStyle w:val="7392"/>
        <w:rPr>
          <w:rStyle w:val="72"/>
          <w:rFonts w:eastAsiaTheme="minorHAnsi"/>
          <w:bCs w:val="0"/>
          <w:spacing w:val="0"/>
          <w:rtl/>
        </w:rPr>
      </w:pPr>
      <w:r w:rsidRPr="00CF2FAC">
        <w:rPr>
          <w:rStyle w:val="7371"/>
          <w:rFonts w:hint="cs"/>
          <w:b/>
          <w:bCs w:val="0"/>
          <w:rtl/>
        </w:rPr>
        <w:t>אירוע ב' - אירוע העברת מידע לגורם חיצוני במסגרת הסכם מסוים:</w:t>
      </w:r>
      <w:r w:rsidRPr="002C58C6">
        <w:rPr>
          <w:rStyle w:val="72"/>
          <w:rFonts w:eastAsiaTheme="minorHAnsi" w:hint="cs"/>
          <w:bCs w:val="0"/>
          <w:spacing w:val="0"/>
          <w:rtl/>
        </w:rPr>
        <w:t xml:space="preserve"> </w:t>
      </w:r>
      <w:r w:rsidRPr="002C58C6">
        <w:rPr>
          <w:rFonts w:hint="cs"/>
          <w:rtl/>
        </w:rPr>
        <w:t xml:space="preserve">בשנת 2016 נחתם הסכם עם גורם חיצוני שכלל בין השאר בקשה של הגורם החיצוני לגישה למערכות בט"ל כדי למשוך נתונים ומידע. </w:t>
      </w:r>
    </w:p>
    <w:p w:rsidR="00FD70D7" w:rsidRPr="002C58C6" w:rsidRDefault="008C707B" w:rsidP="002C58C6">
      <w:pPr>
        <w:pStyle w:val="7392"/>
        <w:rPr>
          <w:rtl/>
        </w:rPr>
      </w:pPr>
      <w:r w:rsidRPr="002C58C6">
        <w:rPr>
          <w:rFonts w:hint="cs"/>
          <w:rtl/>
        </w:rPr>
        <w:t xml:space="preserve">בעקבות זאת העלה "המנחה מרצון", מטעם מס"ל באותה העת, את המשמעות הנגזרת ממתן גישה ישירה לאותו גורם למערכות המחשוב של בט"ל. בחשיבה משותפת עם הגורמים המקצועיים בבט"ל גובש פתרון שאיפשר את מתן הגישה למערכות בט"ל באופן שלא יפגע באבטחת המידע.   </w:t>
      </w:r>
    </w:p>
    <w:p w:rsidR="00FD70D7" w:rsidRPr="002C58C6" w:rsidRDefault="008C707B" w:rsidP="002C58C6">
      <w:pPr>
        <w:pStyle w:val="7392"/>
        <w:rPr>
          <w:rtl/>
        </w:rPr>
      </w:pPr>
      <w:r w:rsidRPr="002C58C6">
        <w:rPr>
          <w:rFonts w:hint="cs"/>
          <w:rtl/>
        </w:rPr>
        <w:lastRenderedPageBreak/>
        <w:t>המנחה הדגיש לפני צוות הביקורת את הרגישות של בסיסי המידע בבט"ל האוגרים מידע שלם על האזרחים והתושבים בישראל מרגע לידתם ועד מותם. עוד ציין המנחה כי נוכח המידע הרגיש והסיכונים שלהם בט"ל חשוף, לדעתו בט"ל צריך לקבל הנחיה ממס"ל על פי חוק באמצעות מנחה ייעודי בהתאם לחוק הסדרת הביטחון.</w:t>
      </w:r>
    </w:p>
    <w:p w:rsidR="00FD70D7" w:rsidRPr="005746FF" w:rsidRDefault="008C707B" w:rsidP="005746FF">
      <w:pPr>
        <w:pStyle w:val="735"/>
        <w:rPr>
          <w:rtl/>
        </w:rPr>
      </w:pPr>
      <w:r w:rsidRPr="005746FF">
        <w:rPr>
          <w:rFonts w:hint="eastAsia"/>
          <w:rtl/>
        </w:rPr>
        <w:t>אירוע</w:t>
      </w:r>
      <w:r w:rsidRPr="005746FF">
        <w:rPr>
          <w:rtl/>
        </w:rPr>
        <w:t xml:space="preserve"> ב'</w:t>
      </w:r>
      <w:r w:rsidRPr="005746FF">
        <w:rPr>
          <w:rFonts w:hint="cs"/>
          <w:rtl/>
        </w:rPr>
        <w:t>, שעסק במתן גישה לגורם חיצוני למערכות בט"ל,</w:t>
      </w:r>
      <w:r w:rsidRPr="005746FF">
        <w:rPr>
          <w:rtl/>
        </w:rPr>
        <w:t xml:space="preserve"> </w:t>
      </w:r>
      <w:r w:rsidRPr="005746FF">
        <w:rPr>
          <w:rFonts w:hint="cs"/>
          <w:rtl/>
        </w:rPr>
        <w:t>מצביע על החיוניות הטמונה</w:t>
      </w:r>
      <w:r w:rsidRPr="005746FF">
        <w:rPr>
          <w:rtl/>
        </w:rPr>
        <w:t xml:space="preserve"> </w:t>
      </w:r>
      <w:r w:rsidRPr="005746FF">
        <w:rPr>
          <w:rFonts w:hint="cs"/>
          <w:rtl/>
        </w:rPr>
        <w:t>בהנחיה</w:t>
      </w:r>
      <w:r w:rsidRPr="005746FF">
        <w:rPr>
          <w:rtl/>
        </w:rPr>
        <w:t xml:space="preserve"> מקצועית</w:t>
      </w:r>
      <w:r w:rsidRPr="005746FF">
        <w:rPr>
          <w:rFonts w:hint="cs"/>
          <w:rtl/>
        </w:rPr>
        <w:t xml:space="preserve"> </w:t>
      </w:r>
      <w:r w:rsidRPr="005746FF">
        <w:rPr>
          <w:rFonts w:hint="eastAsia"/>
          <w:rtl/>
        </w:rPr>
        <w:t>שוטפת</w:t>
      </w:r>
      <w:r w:rsidRPr="005746FF">
        <w:rPr>
          <w:rtl/>
        </w:rPr>
        <w:t xml:space="preserve"> </w:t>
      </w:r>
      <w:r w:rsidRPr="005746FF">
        <w:rPr>
          <w:rFonts w:hint="eastAsia"/>
          <w:rtl/>
        </w:rPr>
        <w:t>לבט</w:t>
      </w:r>
      <w:r w:rsidRPr="005746FF">
        <w:rPr>
          <w:rtl/>
        </w:rPr>
        <w:t>"ל</w:t>
      </w:r>
      <w:r w:rsidRPr="005746FF">
        <w:rPr>
          <w:rFonts w:hint="cs"/>
          <w:rtl/>
        </w:rPr>
        <w:t>. בשל הערנות שגילה המנחה דאז, שליווה באופן שוטף את בט"ל וזיהה את הסיכון שבחשיפת המידע לגורם חיצוני, נמנע מימושו. אולם, אירוע ב' מצביע גם על הסיכון שעלול להתממש לנוכח אי-אסדרת ההנחיה של מס"ל בכל הנוגע למאגרי המידע של בט"ל.</w:t>
      </w:r>
    </w:p>
    <w:p w:rsidR="00FD70D7" w:rsidRPr="005746FF" w:rsidRDefault="008C707B" w:rsidP="005746FF">
      <w:pPr>
        <w:pStyle w:val="735"/>
        <w:rPr>
          <w:rtl/>
        </w:rPr>
      </w:pPr>
      <w:r w:rsidRPr="005746FF">
        <w:rPr>
          <w:rFonts w:hint="cs"/>
          <w:rtl/>
        </w:rPr>
        <w:t>נציגי בט"ל מסרו לצוות הביקורת כי בט"ל מתמודד בימים אלו (</w:t>
      </w:r>
      <w:r w:rsidRPr="005746FF">
        <w:rPr>
          <w:rtl/>
        </w:rPr>
        <w:t>אוקטובר-דצמבר 2022</w:t>
      </w:r>
      <w:r w:rsidRPr="005746FF">
        <w:rPr>
          <w:rFonts w:hint="cs"/>
          <w:rtl/>
        </w:rPr>
        <w:t xml:space="preserve">) עם אירוע אבטחת מידע של התחזות, ואף שמס"ל מודע לאירוע אבטחה זה, לא ניתן לבט"ל ליווי וייעוץ צמוד בנושא אלא באמצעות מוקד </w:t>
      </w:r>
      <w:r w:rsidRPr="005746FF">
        <w:rPr>
          <w:rFonts w:hint="cs"/>
        </w:rPr>
        <w:t>CERT</w:t>
      </w:r>
      <w:r w:rsidRPr="005746FF">
        <w:rPr>
          <w:rFonts w:hint="cs"/>
          <w:rtl/>
        </w:rPr>
        <w:t xml:space="preserve"> של מס"ל, אשר מטפל בכלל אירועי הסייבר בישראל. </w:t>
      </w:r>
    </w:p>
    <w:p w:rsidR="00FD70D7" w:rsidRPr="005746FF" w:rsidRDefault="008C707B" w:rsidP="005746FF">
      <w:pPr>
        <w:pStyle w:val="735"/>
        <w:rPr>
          <w:rtl/>
        </w:rPr>
      </w:pPr>
      <w:r w:rsidRPr="005746FF">
        <w:rPr>
          <w:rFonts w:hint="cs"/>
          <w:rtl/>
        </w:rPr>
        <w:t xml:space="preserve">מכלל האמור לעיל עולה כי היקף המידע שבידי בט"ל ורגישותו הרבה, מצריכים הגנה ומתן מענה שוטף במקרים של חשש לאירועי אבטחה. מן הראוי לוודא כי לבט"ל ניתנת הנחיה מקצועית מיטבית לטיפול במקרים אלה, בין אם כהנחיה מחייבת ע"י מס"ל ובין אם הנחיה ע"י גורמים אחרים.  </w:t>
      </w:r>
    </w:p>
    <w:p w:rsidR="00FD70D7" w:rsidRPr="005746FF" w:rsidRDefault="008C707B" w:rsidP="005746FF">
      <w:pPr>
        <w:pStyle w:val="73414"/>
        <w:rPr>
          <w:rtl/>
        </w:rPr>
      </w:pPr>
      <w:r w:rsidRPr="005746FF">
        <w:rPr>
          <w:rFonts w:hint="cs"/>
          <w:rtl/>
        </w:rPr>
        <w:t>הניסיון להגדיר את בט"ל כגוף תמ"ק</w:t>
      </w:r>
    </w:p>
    <w:p w:rsidR="00FD70D7" w:rsidRDefault="008C707B" w:rsidP="002C58C6">
      <w:pPr>
        <w:pStyle w:val="7392"/>
        <w:rPr>
          <w:rtl/>
        </w:rPr>
      </w:pPr>
      <w:r w:rsidRPr="002C58C6">
        <w:rPr>
          <w:rStyle w:val="7371"/>
          <w:rFonts w:hint="cs"/>
          <w:rtl/>
        </w:rPr>
        <w:t>חלוקת סמכויות בין מאסדרים:</w:t>
      </w:r>
      <w:r>
        <w:rPr>
          <w:rFonts w:hint="cs"/>
          <w:rtl/>
        </w:rPr>
        <w:t xml:space="preserve"> נושא חלוקת הסמכויות בין המאסדרים השונים בתחום הגנת הסייבר נדון במסגרת </w:t>
      </w:r>
      <w:r w:rsidRPr="00FD2C99">
        <w:rPr>
          <w:rtl/>
        </w:rPr>
        <w:t>ועדת החוץ והביטחון</w:t>
      </w:r>
      <w:r>
        <w:rPr>
          <w:rFonts w:hint="cs"/>
          <w:rtl/>
        </w:rPr>
        <w:t xml:space="preserve"> בשנת 2016. במסגרת זו הוקמה ועדת משנה אשר בחנה את </w:t>
      </w:r>
      <w:r w:rsidRPr="00FD2C99">
        <w:rPr>
          <w:rtl/>
        </w:rPr>
        <w:t>משמעויות החלטת הממשלה על הקמת רשות הסייבר הלאומית ואופן מימושה</w:t>
      </w:r>
      <w:r>
        <w:rPr>
          <w:rStyle w:val="a8"/>
          <w:rtl/>
        </w:rPr>
        <w:footnoteReference w:id="24"/>
      </w:r>
      <w:r w:rsidRPr="00FD2C99">
        <w:rPr>
          <w:rtl/>
        </w:rPr>
        <w:t>.</w:t>
      </w:r>
      <w:r>
        <w:rPr>
          <w:rFonts w:hint="cs"/>
          <w:rtl/>
        </w:rPr>
        <w:t xml:space="preserve"> ועדת המשנה סיכמה את עבודתה בדוח בנושא</w:t>
      </w:r>
      <w:r>
        <w:rPr>
          <w:rStyle w:val="a8"/>
          <w:rtl/>
        </w:rPr>
        <w:footnoteReference w:id="25"/>
      </w:r>
      <w:r>
        <w:rPr>
          <w:rFonts w:hint="cs"/>
          <w:rtl/>
        </w:rPr>
        <w:t xml:space="preserve"> אשר קבעה כי רשות הסייבר הלאומי צריכה להיות הגורם האחראי להגנת הסייבר בישראל, וכי תפקידה לחזק את החוסן המדינתי, להכווין את צורכי ההגנה הרלוונטיים בסייבר ולהתמודד עם אירועי תקיפת סייבר על יעדים ישראליים. עוד צוין בדוח כי יש צורך בשיתוף פעולה בין הגוף שעיסוקו הבלעדי הוא הגנת הסייבר, המביא בחשבון שיקולים אזרחיים-מדינתיים, לבין גופי הביטחון שהם בעלי מומחיות בהיבטים הביטחוניים והמודיעיניים במרחב זה. </w:t>
      </w:r>
    </w:p>
    <w:p w:rsidR="00FD70D7" w:rsidRDefault="008C707B" w:rsidP="002C58C6">
      <w:pPr>
        <w:pStyle w:val="7392"/>
        <w:rPr>
          <w:rtl/>
        </w:rPr>
      </w:pPr>
      <w:r>
        <w:rPr>
          <w:rFonts w:hint="cs"/>
          <w:rtl/>
        </w:rPr>
        <w:t>החשיבות שבאסדרת האחריות בין הגופים השונים העוסקים בסייבר עלתה גם בדוח מבקר המדינה משנת 2016</w:t>
      </w:r>
      <w:r>
        <w:rPr>
          <w:rStyle w:val="a8"/>
          <w:rtl/>
        </w:rPr>
        <w:footnoteReference w:id="26"/>
      </w:r>
      <w:r>
        <w:rPr>
          <w:rFonts w:hint="cs"/>
          <w:rtl/>
        </w:rPr>
        <w:t xml:space="preserve">, ובו עלה, בין היתר, כי בעבודת </w:t>
      </w:r>
      <w:r w:rsidRPr="00E20FA0">
        <w:rPr>
          <w:rtl/>
        </w:rPr>
        <w:t xml:space="preserve">המטה ובתהליך קבלת ההחלטות על </w:t>
      </w:r>
      <w:r>
        <w:rPr>
          <w:rFonts w:hint="cs"/>
          <w:rtl/>
        </w:rPr>
        <w:t>א</w:t>
      </w:r>
      <w:r w:rsidRPr="00E20FA0">
        <w:rPr>
          <w:rtl/>
        </w:rPr>
        <w:t xml:space="preserve">סדרת האחריות לטיפול בתחום הקיברנטי במדינת ישראל נפלו ליקויים מהותיים. </w:t>
      </w:r>
    </w:p>
    <w:p w:rsidR="00FD70D7" w:rsidRDefault="008C707B" w:rsidP="002C58C6">
      <w:pPr>
        <w:pStyle w:val="7392"/>
        <w:rPr>
          <w:rtl/>
        </w:rPr>
      </w:pPr>
      <w:r w:rsidRPr="00002ADC">
        <w:rPr>
          <w:rtl/>
        </w:rPr>
        <w:lastRenderedPageBreak/>
        <w:t xml:space="preserve">הגדרת דפוסי הפעולה והסמכויות </w:t>
      </w:r>
      <w:r>
        <w:rPr>
          <w:rFonts w:hint="cs"/>
          <w:rtl/>
        </w:rPr>
        <w:t xml:space="preserve">בנוגע </w:t>
      </w:r>
      <w:r w:rsidRPr="00002ADC">
        <w:rPr>
          <w:rtl/>
        </w:rPr>
        <w:t>להגנ</w:t>
      </w:r>
      <w:r>
        <w:rPr>
          <w:rFonts w:hint="cs"/>
          <w:rtl/>
        </w:rPr>
        <w:t>ת</w:t>
      </w:r>
      <w:r w:rsidRPr="00002ADC">
        <w:rPr>
          <w:rtl/>
        </w:rPr>
        <w:t xml:space="preserve"> הסייבר של ישראל בדגש על תשתיות חיוניות נקבע</w:t>
      </w:r>
      <w:r>
        <w:rPr>
          <w:rFonts w:hint="cs"/>
          <w:rtl/>
        </w:rPr>
        <w:t>ה</w:t>
      </w:r>
      <w:r w:rsidRPr="00002ADC">
        <w:rPr>
          <w:rtl/>
        </w:rPr>
        <w:t xml:space="preserve"> בהחלטת</w:t>
      </w:r>
      <w:r w:rsidRPr="00002ADC">
        <w:rPr>
          <w:rFonts w:hint="cs"/>
          <w:rtl/>
        </w:rPr>
        <w:t xml:space="preserve"> </w:t>
      </w:r>
      <w:r>
        <w:rPr>
          <w:rFonts w:hint="cs"/>
          <w:rtl/>
        </w:rPr>
        <w:t>ה</w:t>
      </w:r>
      <w:r w:rsidRPr="00002ADC">
        <w:rPr>
          <w:rtl/>
        </w:rPr>
        <w:t xml:space="preserve">ממשלה </w:t>
      </w:r>
      <w:r w:rsidRPr="00002ADC">
        <w:rPr>
          <w:rFonts w:hint="cs"/>
          <w:rtl/>
        </w:rPr>
        <w:t>84/ב</w:t>
      </w:r>
      <w:r w:rsidRPr="00002ADC">
        <w:rPr>
          <w:rtl/>
        </w:rPr>
        <w:t xml:space="preserve"> משנת 2002 </w:t>
      </w:r>
      <w:r w:rsidRPr="00002ADC">
        <w:rPr>
          <w:rFonts w:hint="cs"/>
          <w:rtl/>
        </w:rPr>
        <w:t>בנושא</w:t>
      </w:r>
      <w:r w:rsidRPr="00002ADC">
        <w:rPr>
          <w:rtl/>
        </w:rPr>
        <w:t xml:space="preserve"> "אחריות להגנה על מערכות ממוחשבות במדינת ישראל" של ועדת</w:t>
      </w:r>
      <w:r w:rsidRPr="00002ADC">
        <w:rPr>
          <w:rFonts w:hint="cs"/>
          <w:rtl/>
        </w:rPr>
        <w:t xml:space="preserve"> </w:t>
      </w:r>
      <w:r w:rsidRPr="00002ADC">
        <w:rPr>
          <w:rtl/>
        </w:rPr>
        <w:t>השרים לענייני ביטחון לאומי. בהחלטה נקבע כי יש להקים ועדת היגוי עליונה שתפקידה לבחון אילו גופים</w:t>
      </w:r>
      <w:r w:rsidRPr="00002ADC">
        <w:rPr>
          <w:rFonts w:hint="cs"/>
          <w:rtl/>
        </w:rPr>
        <w:t xml:space="preserve"> </w:t>
      </w:r>
      <w:r w:rsidRPr="00002ADC">
        <w:rPr>
          <w:rtl/>
        </w:rPr>
        <w:t>מוגדרים "חיוניים" ולכן זקוקים להגנה קיברנטית.</w:t>
      </w:r>
    </w:p>
    <w:p w:rsidR="00FD70D7" w:rsidRDefault="008C707B" w:rsidP="002C58C6">
      <w:pPr>
        <w:pStyle w:val="7392"/>
        <w:rPr>
          <w:rtl/>
        </w:rPr>
      </w:pPr>
      <w:r>
        <w:rPr>
          <w:rFonts w:hint="cs"/>
          <w:rtl/>
        </w:rPr>
        <w:t xml:space="preserve">יו"ר </w:t>
      </w:r>
      <w:r w:rsidRPr="00C04D1B">
        <w:rPr>
          <w:rtl/>
        </w:rPr>
        <w:t>ועדת ההיגוי</w:t>
      </w:r>
      <w:r>
        <w:rPr>
          <w:rFonts w:hint="cs"/>
          <w:rtl/>
        </w:rPr>
        <w:t xml:space="preserve"> הוא ראש מס"ל וחברים בה </w:t>
      </w:r>
      <w:r w:rsidRPr="003120C6">
        <w:rPr>
          <w:rFonts w:hint="cs"/>
          <w:rtl/>
        </w:rPr>
        <w:t>בין היתר</w:t>
      </w:r>
      <w:r>
        <w:rPr>
          <w:rFonts w:hint="cs"/>
          <w:rtl/>
        </w:rPr>
        <w:t xml:space="preserve"> נציגים ממשרד הביטחון, ממשרד המשפטים - ראש הרשות להגנת הפרטיות, מהמטה לביטחון לאומי, מצה"ל ומה</w:t>
      </w:r>
      <w:r w:rsidRPr="00C04D1B">
        <w:rPr>
          <w:rtl/>
        </w:rPr>
        <w:t xml:space="preserve">שב"כ. </w:t>
      </w:r>
      <w:r>
        <w:rPr>
          <w:rFonts w:hint="cs"/>
          <w:rtl/>
        </w:rPr>
        <w:t>אחד מתפקידי הוועדה הוא לבחון</w:t>
      </w:r>
      <w:r w:rsidRPr="00C04D1B">
        <w:rPr>
          <w:rFonts w:hint="cs"/>
          <w:rtl/>
        </w:rPr>
        <w:t xml:space="preserve"> </w:t>
      </w:r>
      <w:r w:rsidRPr="00C04D1B">
        <w:rPr>
          <w:rtl/>
        </w:rPr>
        <w:t xml:space="preserve">באופן תקופתי את האפשרות להכניס גופים נוספים </w:t>
      </w:r>
      <w:r>
        <w:rPr>
          <w:rFonts w:hint="cs"/>
          <w:rtl/>
        </w:rPr>
        <w:t>לתוספת החמישית לחוק הסדרת הביטחון - היינו ל</w:t>
      </w:r>
      <w:r w:rsidRPr="00C04D1B">
        <w:rPr>
          <w:rtl/>
        </w:rPr>
        <w:t>הנחיות המחייבות,</w:t>
      </w:r>
      <w:r w:rsidRPr="00C04D1B">
        <w:rPr>
          <w:rFonts w:hint="cs"/>
          <w:rtl/>
        </w:rPr>
        <w:t xml:space="preserve"> </w:t>
      </w:r>
      <w:r w:rsidRPr="00C04D1B">
        <w:rPr>
          <w:rtl/>
        </w:rPr>
        <w:t xml:space="preserve">או </w:t>
      </w:r>
      <w:r>
        <w:rPr>
          <w:rFonts w:hint="cs"/>
          <w:rtl/>
        </w:rPr>
        <w:t>לגרוע</w:t>
      </w:r>
      <w:r w:rsidRPr="00C04D1B">
        <w:rPr>
          <w:rtl/>
        </w:rPr>
        <w:t xml:space="preserve"> גופים </w:t>
      </w:r>
      <w:r>
        <w:rPr>
          <w:rFonts w:hint="cs"/>
          <w:rtl/>
        </w:rPr>
        <w:t>שאינם זקוקים לכך</w:t>
      </w:r>
      <w:r w:rsidRPr="00C04D1B">
        <w:rPr>
          <w:rtl/>
        </w:rPr>
        <w:t>.</w:t>
      </w:r>
      <w:r>
        <w:rPr>
          <w:rFonts w:hint="cs"/>
          <w:rtl/>
        </w:rPr>
        <w:t xml:space="preserve"> בכלל זה, עליה לבחון </w:t>
      </w:r>
      <w:r w:rsidRPr="00002ADC">
        <w:rPr>
          <w:rFonts w:hint="cs"/>
          <w:rtl/>
        </w:rPr>
        <w:t>בהתאם לסעיף 22ב(א) לחוק הסדרת הביטחון</w:t>
      </w:r>
      <w:r>
        <w:rPr>
          <w:rFonts w:hint="cs"/>
          <w:rtl/>
        </w:rPr>
        <w:t xml:space="preserve"> אם להוסיף גופים לרשימת </w:t>
      </w:r>
      <w:r w:rsidRPr="00002ADC">
        <w:rPr>
          <w:rFonts w:hint="cs"/>
          <w:rtl/>
        </w:rPr>
        <w:t xml:space="preserve"> </w:t>
      </w:r>
      <w:r>
        <w:rPr>
          <w:rFonts w:hint="cs"/>
          <w:rtl/>
        </w:rPr>
        <w:t>ה</w:t>
      </w:r>
      <w:r w:rsidRPr="00002ADC">
        <w:rPr>
          <w:rFonts w:hint="cs"/>
          <w:rtl/>
        </w:rPr>
        <w:t xml:space="preserve">גופים המנויים גם בתוספת השנייה וגם בתוספת החמישית לחוק. החוק קובע כי מס"ל ינחה את </w:t>
      </w:r>
      <w:r>
        <w:rPr>
          <w:rFonts w:hint="cs"/>
          <w:rtl/>
        </w:rPr>
        <w:t>ה</w:t>
      </w:r>
      <w:r w:rsidRPr="00002ADC">
        <w:rPr>
          <w:rFonts w:hint="cs"/>
          <w:rtl/>
        </w:rPr>
        <w:t>גופים בכל הנוגע לפעולות לאבטחת מידע ברמת סיווג עד "שמור" בהתאם לעקרונות  חוק שירות הביטחון הכללי</w:t>
      </w:r>
      <w:r>
        <w:rPr>
          <w:rFonts w:hint="cs"/>
          <w:rtl/>
        </w:rPr>
        <w:t>,</w:t>
      </w:r>
      <w:r w:rsidRPr="00002ADC">
        <w:rPr>
          <w:rFonts w:hint="cs"/>
          <w:rtl/>
        </w:rPr>
        <w:t xml:space="preserve"> התשס"ב-2002</w:t>
      </w:r>
      <w:r>
        <w:rPr>
          <w:rFonts w:hint="cs"/>
          <w:rtl/>
        </w:rPr>
        <w:t>,</w:t>
      </w:r>
      <w:r w:rsidRPr="00002ADC">
        <w:rPr>
          <w:rFonts w:hint="cs"/>
          <w:rtl/>
        </w:rPr>
        <w:t xml:space="preserve"> בעניין שמירה על מידע מסווג. לעניין פעולות לאבטחת מידע ברמה הגבוהה מ"שמור"</w:t>
      </w:r>
      <w:r>
        <w:rPr>
          <w:rFonts w:hint="cs"/>
          <w:rtl/>
        </w:rPr>
        <w:t>,</w:t>
      </w:r>
      <w:r w:rsidRPr="00002ADC">
        <w:rPr>
          <w:rFonts w:hint="cs"/>
          <w:rtl/>
        </w:rPr>
        <w:t xml:space="preserve"> מס"ל ינחה את הגופים בהתאם להוראות השב"כ בעניין שמירה על מידע מסווג.</w:t>
      </w:r>
    </w:p>
    <w:p w:rsidR="00FD70D7" w:rsidRDefault="008C707B" w:rsidP="002C58C6">
      <w:pPr>
        <w:pStyle w:val="7392"/>
        <w:rPr>
          <w:rtl/>
        </w:rPr>
      </w:pPr>
      <w:r w:rsidRPr="002C58C6">
        <w:rPr>
          <w:rStyle w:val="7371"/>
          <w:rFonts w:hint="eastAsia"/>
          <w:rtl/>
        </w:rPr>
        <w:t>אסדרת</w:t>
      </w:r>
      <w:r w:rsidRPr="002C58C6">
        <w:rPr>
          <w:rStyle w:val="7371"/>
          <w:rtl/>
        </w:rPr>
        <w:t xml:space="preserve"> </w:t>
      </w:r>
      <w:r w:rsidRPr="002C58C6">
        <w:rPr>
          <w:rStyle w:val="7371"/>
          <w:rFonts w:hint="eastAsia"/>
          <w:rtl/>
        </w:rPr>
        <w:t>בט</w:t>
      </w:r>
      <w:r w:rsidRPr="002C58C6">
        <w:rPr>
          <w:rStyle w:val="7371"/>
          <w:rtl/>
        </w:rPr>
        <w:t xml:space="preserve">"ל כגוף </w:t>
      </w:r>
      <w:r w:rsidRPr="002C58C6">
        <w:rPr>
          <w:rStyle w:val="7371"/>
          <w:rFonts w:hint="eastAsia"/>
          <w:rtl/>
        </w:rPr>
        <w:t>תמ</w:t>
      </w:r>
      <w:r w:rsidRPr="002C58C6">
        <w:rPr>
          <w:rStyle w:val="7371"/>
          <w:rtl/>
        </w:rPr>
        <w:t>"ק</w:t>
      </w:r>
      <w:r w:rsidRPr="002C58C6">
        <w:rPr>
          <w:rStyle w:val="7371"/>
          <w:rFonts w:hint="cs"/>
          <w:rtl/>
        </w:rPr>
        <w:t>:</w:t>
      </w:r>
      <w:r>
        <w:rPr>
          <w:rFonts w:hint="cs"/>
          <w:rtl/>
        </w:rPr>
        <w:t xml:space="preserve"> במסגרת דיון ועדת היגוי להגנה על מערכות ממוחשבות חיוניות שהתקיימה בדצמבר 2020 הציג ראש אגף בכיר תמ"ק במס"ל לאישור הוועדה גופים אשר מולם מתכנן מס"ל להתחיל תהליך בחינה כגופי תמ"ק - דהיינו לשלבם בתוספת החמישית לחוק; בט"ל תועדף ראשון מבין הגופים שנדונו. ואולם, בסיכום הדיון הנחה ראש מס"ל דאז להתחיל בתהליך בחינה של גוף אחר במהלך שנת 2021 ואחר כך להמשיך בבחינת הגופים לפי התיעדוף שהציע ראש אגף תמ"ק במס"ל.</w:t>
      </w:r>
    </w:p>
    <w:p w:rsidR="00FD70D7" w:rsidRDefault="008C707B" w:rsidP="002C58C6">
      <w:pPr>
        <w:pStyle w:val="7392"/>
        <w:rPr>
          <w:rtl/>
        </w:rPr>
      </w:pPr>
      <w:r>
        <w:rPr>
          <w:rFonts w:hint="cs"/>
          <w:rtl/>
        </w:rPr>
        <w:t>דוח מבקר המדינה משנת 2022</w:t>
      </w:r>
      <w:r>
        <w:rPr>
          <w:rStyle w:val="a8"/>
          <w:rtl/>
        </w:rPr>
        <w:footnoteReference w:id="27"/>
      </w:r>
      <w:r>
        <w:rPr>
          <w:rFonts w:hint="cs"/>
          <w:rtl/>
        </w:rPr>
        <w:t xml:space="preserve"> העלה כי לעיתים תהליך הגדרת גוף כתמ"ק עלול להימשך כמה שנים. כך לדוגמה, מס"ל המליץ להגדיר חברה בתחום הספנות והנמלים כגוף תמ"ק בנובמבר 2018, אולם רק באפריל 2022 התהליך הושלם. עוד ציין המבקר כי העיכובים בהגדרת גופי תמ"ק עלולים להביא לסיכונים בנושאים שטרם מטופלים וכן לניצול משאבים לא יעיל.</w:t>
      </w:r>
    </w:p>
    <w:p w:rsidR="00FD70D7" w:rsidRPr="005746FF" w:rsidRDefault="008C707B" w:rsidP="005746FF">
      <w:pPr>
        <w:pStyle w:val="735"/>
        <w:rPr>
          <w:rtl/>
        </w:rPr>
      </w:pPr>
      <w:r w:rsidRPr="005746FF">
        <w:rPr>
          <w:rFonts w:hint="eastAsia"/>
          <w:rtl/>
        </w:rPr>
        <w:t>נמצא</w:t>
      </w:r>
      <w:r w:rsidRPr="005746FF">
        <w:rPr>
          <w:rtl/>
        </w:rPr>
        <w:t xml:space="preserve"> כי נכון למועד סיום הביקורת </w:t>
      </w:r>
      <w:r w:rsidRPr="005746FF">
        <w:rPr>
          <w:rFonts w:hint="cs"/>
          <w:rtl/>
        </w:rPr>
        <w:t>-</w:t>
      </w:r>
      <w:r w:rsidRPr="005746FF">
        <w:rPr>
          <w:rtl/>
        </w:rPr>
        <w:t xml:space="preserve"> כשנתיים לאחר </w:t>
      </w:r>
      <w:r w:rsidRPr="005746FF">
        <w:rPr>
          <w:rFonts w:hint="eastAsia"/>
          <w:rtl/>
        </w:rPr>
        <w:t>הדיון</w:t>
      </w:r>
      <w:r w:rsidRPr="005746FF">
        <w:rPr>
          <w:rtl/>
        </w:rPr>
        <w:t xml:space="preserve"> </w:t>
      </w:r>
      <w:r w:rsidRPr="005746FF">
        <w:rPr>
          <w:rFonts w:hint="eastAsia"/>
          <w:rtl/>
        </w:rPr>
        <w:t>בו</w:t>
      </w:r>
      <w:r w:rsidRPr="005746FF">
        <w:rPr>
          <w:rFonts w:hint="cs"/>
          <w:rtl/>
        </w:rPr>
        <w:t>ו</w:t>
      </w:r>
      <w:r w:rsidRPr="005746FF">
        <w:rPr>
          <w:rFonts w:hint="eastAsia"/>
          <w:rtl/>
        </w:rPr>
        <w:t>עדת</w:t>
      </w:r>
      <w:r w:rsidRPr="005746FF">
        <w:rPr>
          <w:rtl/>
        </w:rPr>
        <w:t xml:space="preserve"> ההיגוי - </w:t>
      </w:r>
      <w:r w:rsidRPr="005746FF">
        <w:rPr>
          <w:rFonts w:hint="eastAsia"/>
          <w:rtl/>
        </w:rPr>
        <w:t>מס</w:t>
      </w:r>
      <w:r w:rsidRPr="005746FF">
        <w:rPr>
          <w:rtl/>
        </w:rPr>
        <w:t xml:space="preserve">"ל </w:t>
      </w:r>
      <w:r w:rsidRPr="005746FF">
        <w:rPr>
          <w:rFonts w:hint="cs"/>
          <w:rtl/>
        </w:rPr>
        <w:t>לא</w:t>
      </w:r>
      <w:r w:rsidRPr="005746FF">
        <w:rPr>
          <w:rtl/>
        </w:rPr>
        <w:t xml:space="preserve"> החל בהליך הבחינה </w:t>
      </w:r>
      <w:r w:rsidRPr="005746FF">
        <w:rPr>
          <w:rFonts w:hint="eastAsia"/>
          <w:rtl/>
        </w:rPr>
        <w:t>של</w:t>
      </w:r>
      <w:r w:rsidRPr="005746FF">
        <w:rPr>
          <w:rtl/>
        </w:rPr>
        <w:t xml:space="preserve"> </w:t>
      </w:r>
      <w:r w:rsidRPr="005746FF">
        <w:rPr>
          <w:rFonts w:hint="eastAsia"/>
          <w:rtl/>
        </w:rPr>
        <w:t>בט</w:t>
      </w:r>
      <w:r w:rsidRPr="005746FF">
        <w:rPr>
          <w:rtl/>
        </w:rPr>
        <w:t xml:space="preserve">"ל כגוף </w:t>
      </w:r>
      <w:r w:rsidRPr="005746FF">
        <w:rPr>
          <w:rFonts w:hint="eastAsia"/>
          <w:rtl/>
        </w:rPr>
        <w:t>תמ</w:t>
      </w:r>
      <w:r w:rsidRPr="005746FF">
        <w:rPr>
          <w:rtl/>
        </w:rPr>
        <w:t>"ק.</w:t>
      </w:r>
      <w:r w:rsidRPr="005746FF">
        <w:rPr>
          <w:rFonts w:hint="cs"/>
          <w:rtl/>
        </w:rPr>
        <w:t xml:space="preserve"> בבירור של צוות הביקורת במס"ל הועלה כי בכוונתו להתחיל בתהליך הבחינה של בט"ל כגוף תמ"ק ברבעון הראשון של שנת 2023. משמעות הדבר היא שבמועד סיום הביקורת בט"ל, המנהל מאגר מידע, אינו מונחה מקצועית באופן שוטף ומחייב, דבר העלול ליצור סיכון ברמה הלאומית.</w:t>
      </w:r>
    </w:p>
    <w:p w:rsidR="00FD70D7" w:rsidRPr="005746FF" w:rsidRDefault="008C707B" w:rsidP="005746FF">
      <w:pPr>
        <w:pStyle w:val="7392"/>
        <w:rPr>
          <w:rtl/>
        </w:rPr>
      </w:pPr>
      <w:r w:rsidRPr="005746FF">
        <w:rPr>
          <w:rFonts w:hint="cs"/>
          <w:rtl/>
        </w:rPr>
        <w:t>בט"ל מסר למשרד מבקר המדינה בפברואר 2023 כי הוא מקבל את ההמלצות המופיעות בטיוטת הדוח ומייחס חשיבות רבה לנושא אבטחת המידע וההגנה על מערכות המחשוב ומאגרי המיד</w:t>
      </w:r>
      <w:r w:rsidRPr="005746FF">
        <w:rPr>
          <w:rFonts w:hint="eastAsia"/>
          <w:rtl/>
        </w:rPr>
        <w:t>ע</w:t>
      </w:r>
      <w:r w:rsidRPr="005746FF">
        <w:rPr>
          <w:rFonts w:hint="cs"/>
          <w:rtl/>
        </w:rPr>
        <w:t xml:space="preserve"> בארגון. בהתאם לכך בט"ל יישם בשנים האחרונות הנחיה מרצון. עוד מסר בט"ל כי הוא רואה ערך רב בליווי והנחיה של הגופים הרלוונטיים לעמידה באירועי סייבר ולהתמודדות איתם. עם זאת, כגוף ציבורי שמטרתו בראש ובראשונה מתן שירות לציבור, תהליכי הנחיה חייבים ליצור איזון בין השמירה על רמת שירות גבוהה התואמת לסטנדרט שלו מצפה ציבור האזרחים, לבין השמירה על רמת אבטחת המידע וההגנה בסייבר.</w:t>
      </w:r>
    </w:p>
    <w:p w:rsidR="00FD70D7" w:rsidRPr="005746FF" w:rsidRDefault="008C707B" w:rsidP="005746FF">
      <w:pPr>
        <w:pStyle w:val="7392"/>
        <w:rPr>
          <w:rtl/>
        </w:rPr>
      </w:pPr>
      <w:r w:rsidRPr="005746FF">
        <w:rPr>
          <w:rFonts w:hint="cs"/>
          <w:rtl/>
        </w:rPr>
        <w:lastRenderedPageBreak/>
        <w:t xml:space="preserve">מס"ל מסר למשרד מבקר המדינה בפברואר 2023 כי לאחר קבלת טיוטת הדוח הוא החל בתהליך הבחינה של בט"ל </w:t>
      </w:r>
      <w:r w:rsidRPr="005746FF">
        <w:rPr>
          <w:rFonts w:hint="eastAsia"/>
          <w:rtl/>
        </w:rPr>
        <w:t>כגוף</w:t>
      </w:r>
      <w:r w:rsidRPr="005746FF">
        <w:rPr>
          <w:rtl/>
        </w:rPr>
        <w:t xml:space="preserve"> </w:t>
      </w:r>
      <w:r w:rsidRPr="005746FF">
        <w:rPr>
          <w:rFonts w:hint="eastAsia"/>
          <w:rtl/>
        </w:rPr>
        <w:t>תמ</w:t>
      </w:r>
      <w:r w:rsidRPr="005746FF">
        <w:rPr>
          <w:rtl/>
        </w:rPr>
        <w:t>"ק,</w:t>
      </w:r>
      <w:r w:rsidRPr="005746FF">
        <w:rPr>
          <w:rFonts w:hint="cs"/>
          <w:rtl/>
        </w:rPr>
        <w:t xml:space="preserve"> </w:t>
      </w:r>
      <w:r w:rsidRPr="005746FF">
        <w:rPr>
          <w:rFonts w:hint="eastAsia"/>
          <w:rtl/>
        </w:rPr>
        <w:t>ואף</w:t>
      </w:r>
      <w:r w:rsidRPr="005746FF">
        <w:rPr>
          <w:rFonts w:hint="cs"/>
          <w:rtl/>
        </w:rPr>
        <w:t xml:space="preserve"> </w:t>
      </w:r>
      <w:r w:rsidRPr="005746FF">
        <w:rPr>
          <w:rFonts w:hint="eastAsia"/>
          <w:rtl/>
        </w:rPr>
        <w:t>התקיימה</w:t>
      </w:r>
      <w:r w:rsidRPr="005746FF">
        <w:rPr>
          <w:rFonts w:hint="cs"/>
          <w:rtl/>
        </w:rPr>
        <w:t xml:space="preserve"> פגישה ראשונה עם בט"ל. מס"ל </w:t>
      </w:r>
      <w:r w:rsidRPr="005746FF">
        <w:rPr>
          <w:rFonts w:hint="eastAsia"/>
          <w:rtl/>
        </w:rPr>
        <w:t>הוסיף</w:t>
      </w:r>
      <w:r w:rsidRPr="005746FF">
        <w:rPr>
          <w:rFonts w:hint="cs"/>
          <w:rtl/>
        </w:rPr>
        <w:t xml:space="preserve"> כי עד סיום הבחינה מס"ל יעמוד בקשר מקצועי עם בט"ל. </w:t>
      </w:r>
    </w:p>
    <w:p w:rsidR="00FD70D7" w:rsidRPr="005746FF" w:rsidRDefault="008C707B" w:rsidP="005746FF">
      <w:pPr>
        <w:pStyle w:val="73fc"/>
        <w:rPr>
          <w:rtl/>
        </w:rPr>
      </w:pPr>
      <w:r w:rsidRPr="005746FF">
        <w:rPr>
          <w:rFonts w:hint="cs"/>
          <w:rtl/>
        </w:rPr>
        <w:t>סיכום</w:t>
      </w:r>
    </w:p>
    <w:p w:rsidR="00FD70D7" w:rsidRPr="005746FF" w:rsidRDefault="008C707B" w:rsidP="005746FF">
      <w:pPr>
        <w:pStyle w:val="735"/>
        <w:rPr>
          <w:rtl/>
        </w:rPr>
      </w:pPr>
      <w:r w:rsidRPr="005746FF">
        <w:rPr>
          <w:rFonts w:hint="cs"/>
          <w:rtl/>
        </w:rPr>
        <w:t xml:space="preserve">בדומה למדינות אחרות, ישראל חשופה לתקיפות סייבר לצורכי כופר וגניבת מידע. מלבד זאת, נוכח האקלים הגיאו-פוליטי המורכב ביטחונית, ישראל משמשת </w:t>
      </w:r>
      <w:r w:rsidRPr="005746FF">
        <w:rPr>
          <w:rtl/>
        </w:rPr>
        <w:t>כר מטרות נרחב לתוקף הקיברנטי הפוטנציאלי</w:t>
      </w:r>
      <w:r w:rsidRPr="005746FF">
        <w:rPr>
          <w:rFonts w:hint="cs"/>
          <w:rtl/>
        </w:rPr>
        <w:t xml:space="preserve"> </w:t>
      </w:r>
      <w:r w:rsidRPr="005746FF">
        <w:rPr>
          <w:rtl/>
        </w:rPr>
        <w:t>המעוניין לפגוע בחוסנה ובביטחון הלאומי שלה. על כן</w:t>
      </w:r>
      <w:r w:rsidRPr="005746FF">
        <w:rPr>
          <w:rFonts w:hint="cs"/>
          <w:rtl/>
        </w:rPr>
        <w:t>,</w:t>
      </w:r>
      <w:r w:rsidRPr="005746FF">
        <w:rPr>
          <w:rtl/>
        </w:rPr>
        <w:t xml:space="preserve"> </w:t>
      </w:r>
      <w:r w:rsidRPr="005746FF">
        <w:rPr>
          <w:rFonts w:hint="cs"/>
          <w:rtl/>
        </w:rPr>
        <w:t>היות שבט"ל הוא גוף</w:t>
      </w:r>
      <w:r w:rsidRPr="005746FF">
        <w:rPr>
          <w:rtl/>
        </w:rPr>
        <w:t xml:space="preserve"> </w:t>
      </w:r>
      <w:r w:rsidRPr="005746FF">
        <w:rPr>
          <w:rFonts w:hint="cs"/>
          <w:rtl/>
        </w:rPr>
        <w:t xml:space="preserve">שמחזיק במאגר מידע והיות שלו ממשקים רבים עם גופים ממשלתיים נוספים, הדבר מחייב שיגובש עבורו מענה אסדרתי מספק הכולל </w:t>
      </w:r>
      <w:r w:rsidRPr="005746FF">
        <w:rPr>
          <w:rtl/>
        </w:rPr>
        <w:t>הנחיה של מערך הסייבר הלאומי</w:t>
      </w:r>
      <w:r w:rsidRPr="005746FF">
        <w:rPr>
          <w:rFonts w:hint="cs"/>
          <w:rtl/>
        </w:rPr>
        <w:t xml:space="preserve">, הנחיה של הרשות להגנת הפרטיות ותיאום בין שניהם כדי להבטיח את ההגנה המיטבית. </w:t>
      </w:r>
    </w:p>
    <w:p w:rsidR="00036B0E" w:rsidRDefault="008C707B" w:rsidP="005746FF">
      <w:pPr>
        <w:pStyle w:val="735"/>
      </w:pPr>
      <w:r w:rsidRPr="005746FF">
        <w:rPr>
          <w:rFonts w:hint="cs"/>
          <w:rtl/>
        </w:rPr>
        <w:t xml:space="preserve">נוכח היקפי המידע השמורים בבט"ל והסיכונים לדליפתו מומלץ כי ועדת ההיגוי תקדם את הבחינה של בט"ל כגוף תמ"ק. מומלץ כי עד סיום הבחינה יוסדר ממשק מקצועי בין מס"ל לבט"ל לצורך מתן מענה ישיר, העברת דיווחים, בקרה על תיקון הליקויים וכיו"ב. כמו כן מומלץ כי ועדת ההיגוי תבחן אם יש עוד גופים בעלי מאגרי מידע בהיקפים הדומים לבט"ל </w:t>
      </w:r>
      <w:r w:rsidRPr="005746FF">
        <w:rPr>
          <w:rtl/>
        </w:rPr>
        <w:t>שיש לבחון את הגדרתם</w:t>
      </w:r>
      <w:r w:rsidRPr="005746FF">
        <w:rPr>
          <w:rFonts w:hint="cs"/>
          <w:rtl/>
        </w:rPr>
        <w:t xml:space="preserve"> כגופי תמ"ק, ובכך תשפר את ההגנה על התשתיות החיוניות של מדינת ישראל. </w:t>
      </w:r>
    </w:p>
    <w:p w:rsidR="00036B0E" w:rsidRDefault="008C707B">
      <w:pPr>
        <w:bidi w:val="0"/>
        <w:spacing w:after="200" w:line="276" w:lineRule="auto"/>
        <w:rPr>
          <w:rFonts w:ascii="Tahoma" w:eastAsia="Times New Roman" w:hAnsi="Tahoma" w:cs="Tahoma"/>
          <w:color w:val="0D0D0D" w:themeColor="text1" w:themeTint="F2"/>
          <w:sz w:val="18"/>
          <w:szCs w:val="18"/>
          <w:lang w:eastAsia="he-IL"/>
        </w:rPr>
      </w:pPr>
      <w:r>
        <w:br w:type="page"/>
      </w:r>
    </w:p>
    <w:p w:rsidR="00FD70D7" w:rsidRPr="00036B0E" w:rsidRDefault="008C707B" w:rsidP="00036B0E">
      <w:r>
        <w:rPr>
          <w:noProof/>
        </w:rPr>
        <w:lastRenderedPageBreak/>
        <mc:AlternateContent>
          <mc:Choice Requires="wps">
            <w:drawing>
              <wp:anchor distT="0" distB="0" distL="114300" distR="114300" simplePos="0" relativeHeight="251698176" behindDoc="0" locked="0" layoutInCell="1" allowOverlap="1">
                <wp:simplePos x="0" y="0"/>
                <wp:positionH relativeFrom="column">
                  <wp:posOffset>3741420</wp:posOffset>
                </wp:positionH>
                <wp:positionV relativeFrom="paragraph">
                  <wp:posOffset>6902450</wp:posOffset>
                </wp:positionV>
                <wp:extent cx="1516380" cy="922020"/>
                <wp:effectExtent l="0" t="0" r="0" b="5080"/>
                <wp:wrapNone/>
                <wp:docPr id="1192042469" name="מלבן 1"/>
                <wp:cNvGraphicFramePr/>
                <a:graphic xmlns:a="http://schemas.openxmlformats.org/drawingml/2006/main">
                  <a:graphicData uri="http://schemas.microsoft.com/office/word/2010/wordprocessingShape">
                    <wps:wsp>
                      <wps:cNvSpPr/>
                      <wps:spPr>
                        <a:xfrm>
                          <a:off x="0" y="0"/>
                          <a:ext cx="1516380" cy="922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7" style="width:119.4pt;height:72.6pt;margin-top:543.5pt;margin-left:294.6pt;mso-width-percent:0;mso-width-relative:margin;mso-wrap-distance-bottom:0;mso-wrap-distance-left:9pt;mso-wrap-distance-right:9pt;mso-wrap-distance-top:0;mso-wrap-style:square;position:absolute;visibility:visible;v-text-anchor:middle;z-index:251699200" fillcolor="white" stroked="f" strokeweight="1.25p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-1394460</wp:posOffset>
                </wp:positionH>
                <wp:positionV relativeFrom="paragraph">
                  <wp:posOffset>-732790</wp:posOffset>
                </wp:positionV>
                <wp:extent cx="6134100" cy="922020"/>
                <wp:effectExtent l="0" t="0" r="0" b="5080"/>
                <wp:wrapNone/>
                <wp:docPr id="1666729571" name="מלבן 1"/>
                <wp:cNvGraphicFramePr/>
                <a:graphic xmlns:a="http://schemas.openxmlformats.org/drawingml/2006/main">
                  <a:graphicData uri="http://schemas.microsoft.com/office/word/2010/wordprocessingShape">
                    <wps:wsp>
                      <wps:cNvSpPr/>
                      <wps:spPr>
                        <a:xfrm>
                          <a:off x="0" y="0"/>
                          <a:ext cx="6134100" cy="922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8" style="width:483pt;height:72.6pt;margin-top:-57.7pt;margin-left:-109.8pt;mso-wrap-distance-bottom:0;mso-wrap-distance-left:9pt;mso-wrap-distance-right:9pt;mso-wrap-distance-top:0;mso-wrap-style:square;position:absolute;visibility:visible;v-text-anchor:middle;z-index:251697152" fillcolor="white" stroked="f" strokeweight="1.25pt"/>
            </w:pict>
          </mc:Fallback>
        </mc:AlternateContent>
      </w:r>
    </w:p>
    <w:sectPr w:rsidR="00FD70D7" w:rsidRPr="00036B0E"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E0" w:rsidRDefault="00B357E0">
      <w:pPr>
        <w:spacing w:line="240" w:lineRule="auto"/>
      </w:pPr>
      <w:r>
        <w:separator/>
      </w:r>
    </w:p>
    <w:p w:rsidR="00B357E0" w:rsidRDefault="00B357E0"/>
    <w:p w:rsidR="00B357E0" w:rsidRDefault="00B357E0"/>
    <w:p w:rsidR="00B357E0" w:rsidRDefault="00B357E0"/>
  </w:endnote>
  <w:endnote w:type="continuationSeparator" w:id="0">
    <w:p w:rsidR="00B357E0" w:rsidRDefault="00B357E0">
      <w:pPr>
        <w:spacing w:line="240" w:lineRule="auto"/>
      </w:pPr>
      <w:r>
        <w:continuationSeparator/>
      </w:r>
    </w:p>
    <w:p w:rsidR="00B357E0" w:rsidRDefault="00B357E0"/>
    <w:p w:rsidR="00B357E0" w:rsidRDefault="00B357E0"/>
    <w:p w:rsidR="00B357E0" w:rsidRDefault="00B35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00000087" w:usb1="00000000" w:usb2="00000000" w:usb3="00000000" w:csb0="0000001B"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Levenim MT">
    <w:panose1 w:val="02010502060101010101"/>
    <w:charset w:val="00"/>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PingFang HK Light">
    <w:altName w:val="PINGFANG HK LIGHT"/>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C5" w:rsidRDefault="001A61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C707B"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C5" w:rsidRDefault="001A61C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1DD" w:rsidRDefault="004E71DD" w:rsidP="004E71DD">
    <w:pPr>
      <w:pStyle w:val="a5"/>
      <w:spacing w:after="120" w:line="312" w:lineRule="auto"/>
      <w:ind w:left="-510"/>
      <w:jc w:val="left"/>
      <w:rPr>
        <w:rFonts w:ascii="Tahoma" w:hAnsi="Tahoma" w:cs="Tahoma"/>
        <w:sz w:val="18"/>
        <w:szCs w:val="18"/>
        <w:rtl/>
      </w:rPr>
    </w:pPr>
  </w:p>
  <w:p w:rsidR="004E71DD" w:rsidRDefault="008C707B"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E0" w:rsidRDefault="00B357E0" w:rsidP="00E7235E">
      <w:pPr>
        <w:spacing w:line="240" w:lineRule="auto"/>
      </w:pPr>
      <w:r>
        <w:separator/>
      </w:r>
    </w:p>
  </w:footnote>
  <w:footnote w:type="continuationSeparator" w:id="0">
    <w:p w:rsidR="00B357E0" w:rsidRDefault="00B357E0" w:rsidP="00C23CC9">
      <w:pPr>
        <w:spacing w:line="240" w:lineRule="auto"/>
      </w:pPr>
      <w:r>
        <w:continuationSeparator/>
      </w:r>
    </w:p>
    <w:p w:rsidR="00B357E0" w:rsidRDefault="00B357E0"/>
    <w:p w:rsidR="00B357E0" w:rsidRDefault="00B357E0"/>
    <w:p w:rsidR="00B357E0" w:rsidRDefault="00B357E0"/>
  </w:footnote>
  <w:footnote w:id="1">
    <w:p w:rsidR="003901DA" w:rsidRPr="003901DA" w:rsidRDefault="008C707B" w:rsidP="005746FF">
      <w:pPr>
        <w:pStyle w:val="736"/>
      </w:pPr>
      <w:r w:rsidRPr="003901DA">
        <w:rPr>
          <w:rStyle w:val="a8"/>
          <w:vertAlign w:val="baseline"/>
        </w:rPr>
        <w:footnoteRef/>
      </w:r>
      <w:r w:rsidRPr="003901DA">
        <w:rPr>
          <w:rtl/>
        </w:rPr>
        <w:t xml:space="preserve"> </w:t>
      </w:r>
      <w:r w:rsidRPr="003901DA">
        <w:rPr>
          <w:rtl/>
        </w:rPr>
        <w:tab/>
      </w:r>
      <w:r w:rsidRPr="003901DA">
        <w:t xml:space="preserve">2021 </w:t>
      </w:r>
      <w:r w:rsidR="00CF2FAC">
        <w:t>Y</w:t>
      </w:r>
      <w:r w:rsidRPr="003901DA">
        <w:t xml:space="preserve">ear </w:t>
      </w:r>
      <w:r w:rsidR="00CF2FAC">
        <w:t>E</w:t>
      </w:r>
      <w:r w:rsidRPr="003901DA">
        <w:t xml:space="preserve">nd </w:t>
      </w:r>
      <w:r w:rsidR="00CF2FAC">
        <w:t>R</w:t>
      </w:r>
      <w:r w:rsidRPr="003901DA">
        <w:t>eport - Data Breach QuickView, RiskBased Security &amp; Flashpoint (p.</w:t>
      </w:r>
      <w:r w:rsidR="00EC5A96">
        <w:t xml:space="preserve"> </w:t>
      </w:r>
      <w:r w:rsidRPr="003901DA">
        <w:t>3)</w:t>
      </w:r>
    </w:p>
  </w:footnote>
  <w:footnote w:id="2">
    <w:p w:rsidR="003901DA" w:rsidRPr="003901DA" w:rsidRDefault="008C707B" w:rsidP="005746FF">
      <w:pPr>
        <w:pStyle w:val="736"/>
        <w:rPr>
          <w:rtl/>
        </w:rPr>
      </w:pPr>
      <w:r w:rsidRPr="003901DA">
        <w:rPr>
          <w:rStyle w:val="a8"/>
          <w:vertAlign w:val="baseline"/>
        </w:rPr>
        <w:footnoteRef/>
      </w:r>
      <w:r w:rsidRPr="003901DA">
        <w:rPr>
          <w:rtl/>
        </w:rPr>
        <w:t xml:space="preserve"> </w:t>
      </w:r>
      <w:r w:rsidRPr="003901DA">
        <w:rPr>
          <w:rtl/>
        </w:rPr>
        <w:tab/>
      </w:r>
      <w:r w:rsidRPr="003901DA">
        <w:t>Social Security Number</w:t>
      </w:r>
      <w:r w:rsidRPr="003901DA">
        <w:rPr>
          <w:rtl/>
        </w:rPr>
        <w:t xml:space="preserve"> (יצוין כי ב</w:t>
      </w:r>
      <w:r w:rsidR="00EC5A96">
        <w:rPr>
          <w:rFonts w:hint="cs"/>
          <w:rtl/>
        </w:rPr>
        <w:t>כמה</w:t>
      </w:r>
      <w:r w:rsidRPr="003901DA">
        <w:rPr>
          <w:rtl/>
        </w:rPr>
        <w:t xml:space="preserve"> מדינות כמו ארה"ב מספר ה-</w:t>
      </w:r>
      <w:r w:rsidRPr="003901DA">
        <w:t>SSN</w:t>
      </w:r>
      <w:r w:rsidRPr="003901DA">
        <w:rPr>
          <w:rtl/>
        </w:rPr>
        <w:t xml:space="preserve"> שקול למספר ת</w:t>
      </w:r>
      <w:r w:rsidR="00EC5A96" w:rsidRPr="003901DA">
        <w:rPr>
          <w:rtl/>
        </w:rPr>
        <w:t>"</w:t>
      </w:r>
      <w:r w:rsidRPr="003901DA">
        <w:rPr>
          <w:rtl/>
        </w:rPr>
        <w:t>ז בישראל).</w:t>
      </w:r>
    </w:p>
  </w:footnote>
  <w:footnote w:id="3">
    <w:p w:rsidR="003901DA" w:rsidRPr="003901DA" w:rsidRDefault="008C707B" w:rsidP="005746FF">
      <w:pPr>
        <w:pStyle w:val="736"/>
      </w:pPr>
      <w:r w:rsidRPr="003901DA">
        <w:rPr>
          <w:rStyle w:val="a8"/>
          <w:vertAlign w:val="baseline"/>
        </w:rPr>
        <w:footnoteRef/>
      </w:r>
      <w:r w:rsidRPr="003901DA">
        <w:rPr>
          <w:rtl/>
        </w:rPr>
        <w:t xml:space="preserve"> </w:t>
      </w:r>
      <w:r w:rsidRPr="003901DA">
        <w:rPr>
          <w:rtl/>
        </w:rPr>
        <w:tab/>
        <w:t>יו"ר ועדת ההיגוי הוא ראש מס"ל וחברים בה בין היתר נציגים ממשרד הביטחון, ממשרד המשפטים - ראש הרשות להגנת הפרטיות, מהמטה לביטחון לאומי, מצה"ל ומהשב"כ.</w:t>
      </w:r>
    </w:p>
  </w:footnote>
  <w:footnote w:id="4">
    <w:p w:rsidR="00FD70D7" w:rsidRPr="00592CE3" w:rsidRDefault="008C707B" w:rsidP="00592CE3">
      <w:pPr>
        <w:pStyle w:val="73f4"/>
      </w:pPr>
      <w:r w:rsidRPr="00592CE3">
        <w:rPr>
          <w:rStyle w:val="a8"/>
          <w:vertAlign w:val="baseline"/>
        </w:rPr>
        <w:footnoteRef/>
      </w:r>
      <w:r w:rsidRPr="00592CE3">
        <w:rPr>
          <w:rtl/>
        </w:rPr>
        <w:t xml:space="preserve"> </w:t>
      </w:r>
      <w:r w:rsidRPr="00592CE3">
        <w:rPr>
          <w:rtl/>
        </w:rPr>
        <w:tab/>
      </w:r>
      <w:r w:rsidRPr="00592CE3">
        <w:t xml:space="preserve">2021 </w:t>
      </w:r>
      <w:r w:rsidR="00CF2FAC">
        <w:t>Y</w:t>
      </w:r>
      <w:r w:rsidRPr="00592CE3">
        <w:t xml:space="preserve">ear </w:t>
      </w:r>
      <w:r w:rsidR="00CF2FAC">
        <w:t>E</w:t>
      </w:r>
      <w:r w:rsidRPr="00592CE3">
        <w:t xml:space="preserve">nd </w:t>
      </w:r>
      <w:r w:rsidR="00CF2FAC">
        <w:t>R</w:t>
      </w:r>
      <w:r w:rsidRPr="00592CE3">
        <w:t>eport - Data Breach QuickView, RiskBased Security &amp; Flashpoint (p.</w:t>
      </w:r>
      <w:r w:rsidR="00EC5A96">
        <w:t xml:space="preserve"> </w:t>
      </w:r>
      <w:r w:rsidRPr="00592CE3">
        <w:t>3)</w:t>
      </w:r>
    </w:p>
  </w:footnote>
  <w:footnote w:id="5">
    <w:p w:rsidR="00FD70D7" w:rsidRPr="00592CE3" w:rsidRDefault="008C707B" w:rsidP="00592CE3">
      <w:pPr>
        <w:pStyle w:val="73f4"/>
      </w:pPr>
      <w:r w:rsidRPr="00592CE3">
        <w:rPr>
          <w:rStyle w:val="a8"/>
          <w:vertAlign w:val="baseline"/>
        </w:rPr>
        <w:footnoteRef/>
      </w:r>
      <w:r w:rsidRPr="00592CE3">
        <w:rPr>
          <w:rtl/>
        </w:rPr>
        <w:t xml:space="preserve"> </w:t>
      </w:r>
      <w:r w:rsidRPr="00592CE3">
        <w:rPr>
          <w:rtl/>
        </w:rPr>
        <w:tab/>
      </w:r>
      <w:r w:rsidR="00EC5A96" w:rsidRPr="003901DA">
        <w:t>Social Security Number</w:t>
      </w:r>
      <w:r w:rsidR="00EC5A96" w:rsidRPr="003901DA">
        <w:rPr>
          <w:rtl/>
        </w:rPr>
        <w:t xml:space="preserve"> (יצוין כי ב</w:t>
      </w:r>
      <w:r w:rsidR="00EC5A96">
        <w:rPr>
          <w:rFonts w:hint="cs"/>
          <w:rtl/>
        </w:rPr>
        <w:t>כמה</w:t>
      </w:r>
      <w:r w:rsidR="00EC5A96" w:rsidRPr="003901DA">
        <w:rPr>
          <w:rtl/>
        </w:rPr>
        <w:t xml:space="preserve"> מדינות כמו ארה"ב מספר ה-</w:t>
      </w:r>
      <w:r w:rsidR="00EC5A96" w:rsidRPr="003901DA">
        <w:t>SSN</w:t>
      </w:r>
      <w:r w:rsidR="00EC5A96" w:rsidRPr="003901DA">
        <w:rPr>
          <w:rtl/>
        </w:rPr>
        <w:t xml:space="preserve"> שקול למספר ת"ז בישראל).</w:t>
      </w:r>
    </w:p>
  </w:footnote>
  <w:footnote w:id="6">
    <w:p w:rsidR="00FD70D7" w:rsidRPr="00592CE3" w:rsidRDefault="008C707B" w:rsidP="00592CE3">
      <w:pPr>
        <w:pStyle w:val="73f4"/>
      </w:pPr>
      <w:r w:rsidRPr="00592CE3">
        <w:rPr>
          <w:rStyle w:val="a8"/>
          <w:vertAlign w:val="baseline"/>
        </w:rPr>
        <w:footnoteRef/>
      </w:r>
      <w:r w:rsidRPr="00592CE3">
        <w:rPr>
          <w:rtl/>
        </w:rPr>
        <w:t xml:space="preserve"> </w:t>
      </w:r>
      <w:r w:rsidRPr="00592CE3">
        <w:rPr>
          <w:rtl/>
        </w:rPr>
        <w:tab/>
      </w:r>
      <w:r w:rsidRPr="00592CE3">
        <w:rPr>
          <w:rFonts w:hint="cs"/>
          <w:rtl/>
        </w:rPr>
        <w:t>גוף מבצעי טכנולוגי האמון על הגנת מרחב הסייבר בתחום האזרחי בישראל.</w:t>
      </w:r>
    </w:p>
  </w:footnote>
  <w:footnote w:id="7">
    <w:p w:rsidR="00FD70D7" w:rsidRDefault="008C707B" w:rsidP="00592CE3">
      <w:pPr>
        <w:pStyle w:val="73f4"/>
        <w:rPr>
          <w:rtl/>
        </w:rPr>
      </w:pPr>
      <w:r w:rsidRPr="00592CE3">
        <w:rPr>
          <w:rStyle w:val="a8"/>
          <w:vertAlign w:val="baseline"/>
        </w:rPr>
        <w:footnoteRef/>
      </w:r>
      <w:r w:rsidRPr="00592CE3">
        <w:rPr>
          <w:rtl/>
        </w:rPr>
        <w:t xml:space="preserve"> </w:t>
      </w:r>
      <w:r w:rsidRPr="00592CE3">
        <w:rPr>
          <w:rtl/>
        </w:rPr>
        <w:tab/>
      </w:r>
      <w:r>
        <w:rPr>
          <w:rFonts w:hint="cs"/>
          <w:rtl/>
        </w:rPr>
        <w:t xml:space="preserve">מבקר המדינה, </w:t>
      </w:r>
      <w:r w:rsidRPr="00C24FDB">
        <w:rPr>
          <w:rFonts w:hint="cs"/>
          <w:b/>
          <w:bCs/>
          <w:rtl/>
        </w:rPr>
        <w:t>דוח 73א</w:t>
      </w:r>
      <w:r>
        <w:rPr>
          <w:rFonts w:hint="cs"/>
          <w:rtl/>
        </w:rPr>
        <w:t xml:space="preserve"> (2022), "הגנת הסייבר על מערכות מידע במשרד החינוך ועל בחינות הבגרות וציוני הבגרות".</w:t>
      </w:r>
    </w:p>
  </w:footnote>
  <w:footnote w:id="8">
    <w:p w:rsidR="00FD70D7" w:rsidRDefault="008C707B" w:rsidP="00592CE3">
      <w:pPr>
        <w:pStyle w:val="73f4"/>
        <w:rPr>
          <w:rtl/>
        </w:rPr>
      </w:pPr>
      <w:r w:rsidRPr="00592CE3">
        <w:footnoteRef/>
      </w:r>
      <w:r w:rsidRPr="00592CE3">
        <w:rPr>
          <w:rtl/>
        </w:rPr>
        <w:t xml:space="preserve"> </w:t>
      </w:r>
      <w:r>
        <w:rPr>
          <w:rtl/>
        </w:rPr>
        <w:tab/>
      </w:r>
      <w:r>
        <w:rPr>
          <w:rFonts w:hint="cs"/>
          <w:rtl/>
        </w:rPr>
        <w:t>מתוך הירחון הסטטיסטי של בט"ל לשנת 2021, כללי פרק 1.5.1.</w:t>
      </w:r>
    </w:p>
  </w:footnote>
  <w:footnote w:id="9">
    <w:p w:rsidR="00FD70D7" w:rsidRPr="00D20267" w:rsidRDefault="008C707B" w:rsidP="00592CE3">
      <w:pPr>
        <w:pStyle w:val="73f4"/>
        <w:rPr>
          <w:rtl/>
        </w:rPr>
      </w:pPr>
      <w:r w:rsidRPr="00592CE3">
        <w:footnoteRef/>
      </w:r>
      <w:r w:rsidRPr="00592CE3">
        <w:rPr>
          <w:rtl/>
        </w:rPr>
        <w:t xml:space="preserve"> </w:t>
      </w:r>
      <w:r>
        <w:rPr>
          <w:rtl/>
        </w:rPr>
        <w:tab/>
      </w:r>
      <w:r>
        <w:rPr>
          <w:rFonts w:hint="cs"/>
          <w:rtl/>
        </w:rPr>
        <w:t xml:space="preserve">מבקר המדינה, </w:t>
      </w:r>
      <w:r w:rsidRPr="000F3E58">
        <w:rPr>
          <w:rFonts w:hint="cs"/>
          <w:b/>
          <w:bCs/>
          <w:rtl/>
        </w:rPr>
        <w:t xml:space="preserve">דוח שנתי </w:t>
      </w:r>
      <w:r>
        <w:rPr>
          <w:rFonts w:hint="cs"/>
          <w:b/>
          <w:bCs/>
          <w:rtl/>
        </w:rPr>
        <w:t>70ג</w:t>
      </w:r>
      <w:r w:rsidRPr="000F3E58">
        <w:rPr>
          <w:rFonts w:hint="cs"/>
          <w:rtl/>
        </w:rPr>
        <w:t xml:space="preserve"> (20</w:t>
      </w:r>
      <w:r>
        <w:rPr>
          <w:rFonts w:hint="cs"/>
          <w:rtl/>
        </w:rPr>
        <w:t>20</w:t>
      </w:r>
      <w:r w:rsidRPr="000F3E58">
        <w:rPr>
          <w:rFonts w:hint="cs"/>
          <w:rtl/>
        </w:rPr>
        <w:t>)</w:t>
      </w:r>
      <w:r>
        <w:rPr>
          <w:rFonts w:hint="cs"/>
          <w:rtl/>
        </w:rPr>
        <w:t>,</w:t>
      </w:r>
      <w:r w:rsidRPr="000F3E58">
        <w:rPr>
          <w:rFonts w:hint="cs"/>
          <w:rtl/>
        </w:rPr>
        <w:t xml:space="preserve"> "</w:t>
      </w:r>
      <w:r>
        <w:rPr>
          <w:rFonts w:hint="cs"/>
          <w:rtl/>
        </w:rPr>
        <w:t>פרויקט תבל לשדרוג מערך המחשוב במוסד לביטוח לאומי</w:t>
      </w:r>
      <w:r w:rsidRPr="000F3E58">
        <w:rPr>
          <w:rFonts w:hint="cs"/>
          <w:rtl/>
        </w:rPr>
        <w:t>"</w:t>
      </w:r>
      <w:r w:rsidRPr="00F36E71">
        <w:rPr>
          <w:rtl/>
        </w:rPr>
        <w:t xml:space="preserve">, </w:t>
      </w:r>
      <w:r>
        <w:rPr>
          <w:rFonts w:hint="cs"/>
          <w:rtl/>
        </w:rPr>
        <w:t>עמ' 538</w:t>
      </w:r>
      <w:r w:rsidRPr="00F36E71">
        <w:rPr>
          <w:rtl/>
        </w:rPr>
        <w:t>.</w:t>
      </w:r>
    </w:p>
  </w:footnote>
  <w:footnote w:id="10">
    <w:p w:rsidR="00FD70D7" w:rsidRDefault="008C707B" w:rsidP="005746FF">
      <w:pPr>
        <w:pStyle w:val="736"/>
      </w:pPr>
      <w:r w:rsidRPr="00592CE3">
        <w:footnoteRef/>
      </w:r>
      <w:r w:rsidRPr="00592CE3">
        <w:rPr>
          <w:rtl/>
        </w:rPr>
        <w:t xml:space="preserve"> </w:t>
      </w:r>
      <w:r>
        <w:rPr>
          <w:rtl/>
        </w:rPr>
        <w:tab/>
      </w:r>
      <w:r w:rsidRPr="0019050C">
        <w:rPr>
          <w:rtl/>
        </w:rPr>
        <w:t>בג"ץ 8070/98</w:t>
      </w:r>
      <w:r>
        <w:rPr>
          <w:rFonts w:hint="cs"/>
          <w:rtl/>
        </w:rPr>
        <w:t xml:space="preserve"> </w:t>
      </w:r>
      <w:r w:rsidRPr="00B348CC">
        <w:rPr>
          <w:b/>
          <w:bCs/>
          <w:rtl/>
        </w:rPr>
        <w:t>האגודה לזכויות האזרח בישראל נ' משרד הפנים</w:t>
      </w:r>
      <w:r>
        <w:rPr>
          <w:rFonts w:hint="cs"/>
          <w:rtl/>
        </w:rPr>
        <w:t>,</w:t>
      </w:r>
      <w:r>
        <w:rPr>
          <w:rtl/>
        </w:rPr>
        <w:t xml:space="preserve"> פ</w:t>
      </w:r>
      <w:r>
        <w:rPr>
          <w:rFonts w:hint="cs"/>
          <w:rtl/>
        </w:rPr>
        <w:t xml:space="preserve">סק </w:t>
      </w:r>
      <w:r>
        <w:rPr>
          <w:rtl/>
        </w:rPr>
        <w:t>די</w:t>
      </w:r>
      <w:r>
        <w:rPr>
          <w:rFonts w:hint="cs"/>
          <w:rtl/>
        </w:rPr>
        <w:t>ן</w:t>
      </w:r>
      <w:r>
        <w:rPr>
          <w:rtl/>
        </w:rPr>
        <w:t xml:space="preserve"> נ"ח (4)</w:t>
      </w:r>
      <w:r>
        <w:rPr>
          <w:rFonts w:hint="cs"/>
          <w:rtl/>
        </w:rPr>
        <w:t xml:space="preserve">, </w:t>
      </w:r>
      <w:r>
        <w:rPr>
          <w:rtl/>
        </w:rPr>
        <w:t>842, עמ' 864</w:t>
      </w:r>
      <w:r>
        <w:rPr>
          <w:rFonts w:hint="cs"/>
          <w:rtl/>
        </w:rPr>
        <w:t xml:space="preserve"> (2004).</w:t>
      </w:r>
    </w:p>
  </w:footnote>
  <w:footnote w:id="11">
    <w:p w:rsidR="00FD70D7" w:rsidRPr="00592CE3" w:rsidRDefault="008C707B" w:rsidP="00592CE3">
      <w:pPr>
        <w:pStyle w:val="736"/>
        <w:rPr>
          <w:rtl/>
        </w:rPr>
      </w:pPr>
      <w:r w:rsidRPr="00592CE3">
        <w:rPr>
          <w:rStyle w:val="a8"/>
          <w:vertAlign w:val="baseline"/>
        </w:rPr>
        <w:footnoteRef/>
      </w:r>
      <w:r w:rsidRPr="00592CE3">
        <w:rPr>
          <w:rtl/>
        </w:rPr>
        <w:t xml:space="preserve"> </w:t>
      </w:r>
      <w:r w:rsidRPr="00592CE3">
        <w:rPr>
          <w:rtl/>
        </w:rPr>
        <w:tab/>
      </w:r>
      <w:r w:rsidRPr="00592CE3">
        <w:rPr>
          <w:rFonts w:hint="cs"/>
          <w:rtl/>
        </w:rPr>
        <w:t xml:space="preserve">לפי תקנה 19 לתקנות על המחזיק יחולו כלל החובות למעט </w:t>
      </w:r>
      <w:r w:rsidRPr="00592CE3">
        <w:rPr>
          <w:rtl/>
        </w:rPr>
        <w:t>החובות לעניין מסמך הגדרות המאגר ומיקור חוץ</w:t>
      </w:r>
      <w:r w:rsidRPr="00592CE3">
        <w:rPr>
          <w:rFonts w:hint="cs"/>
          <w:rtl/>
        </w:rPr>
        <w:t xml:space="preserve"> </w:t>
      </w:r>
      <w:r w:rsidRPr="00592CE3">
        <w:rPr>
          <w:rtl/>
        </w:rPr>
        <w:t>תקנות 2 ו-15(א)</w:t>
      </w:r>
      <w:r w:rsidRPr="00592CE3">
        <w:rPr>
          <w:rFonts w:hint="cs"/>
          <w:rtl/>
        </w:rPr>
        <w:t>.</w:t>
      </w:r>
    </w:p>
  </w:footnote>
  <w:footnote w:id="12">
    <w:p w:rsidR="00FD70D7" w:rsidRDefault="008C707B" w:rsidP="00592CE3">
      <w:pPr>
        <w:pStyle w:val="736"/>
        <w:spacing w:after="0"/>
        <w:rPr>
          <w:rtl/>
        </w:rPr>
      </w:pPr>
      <w:r w:rsidRPr="00592CE3">
        <w:rPr>
          <w:rStyle w:val="a8"/>
          <w:vertAlign w:val="baseline"/>
        </w:rPr>
        <w:footnoteRef/>
      </w:r>
      <w:r w:rsidRPr="00592CE3">
        <w:rPr>
          <w:rtl/>
        </w:rPr>
        <w:t xml:space="preserve"> </w:t>
      </w:r>
      <w:r w:rsidRPr="00592CE3">
        <w:rPr>
          <w:rtl/>
        </w:rPr>
        <w:tab/>
      </w:r>
      <w:r w:rsidRPr="005739F0">
        <w:rPr>
          <w:rtl/>
        </w:rPr>
        <w:t>ראו את המדריך המלא לתקנות הגנת הפרטיות אבטחת מידע באתר:</w:t>
      </w:r>
    </w:p>
    <w:p w:rsidR="00FD70D7" w:rsidRPr="00592CE3" w:rsidRDefault="00B357E0" w:rsidP="00592CE3">
      <w:pPr>
        <w:pStyle w:val="73ff1"/>
        <w:bidi/>
        <w:ind w:firstLine="0"/>
      </w:pPr>
      <w:hyperlink r:id="rId1" w:history="1">
        <w:r w:rsidR="008C707B" w:rsidRPr="00592CE3">
          <w:rPr>
            <w:rStyle w:val="Hyperlink"/>
            <w:color w:val="6090CC"/>
          </w:rPr>
          <w:t>www.gov.il/he/departments/Guides/data_security_guide</w:t>
        </w:r>
      </w:hyperlink>
    </w:p>
  </w:footnote>
  <w:footnote w:id="13">
    <w:p w:rsidR="00FD70D7" w:rsidRDefault="008C707B" w:rsidP="005746FF">
      <w:pPr>
        <w:pStyle w:val="736"/>
        <w:rPr>
          <w:rtl/>
        </w:rPr>
      </w:pPr>
      <w:r w:rsidRPr="00D70670">
        <w:footnoteRef/>
      </w:r>
      <w:r w:rsidRPr="00D70670">
        <w:rPr>
          <w:rtl/>
        </w:rPr>
        <w:t xml:space="preserve"> </w:t>
      </w:r>
      <w:r>
        <w:rPr>
          <w:rtl/>
        </w:rPr>
        <w:tab/>
      </w:r>
      <w:r>
        <w:rPr>
          <w:rFonts w:hint="cs"/>
          <w:rtl/>
        </w:rPr>
        <w:t xml:space="preserve">על פי התוספת השנייה לתקנון, מאגר מידע שיש בו מידע על אודות 100,000 איש ומעלה, תחול עליו רמת אבטחה גבוהה. </w:t>
      </w:r>
    </w:p>
  </w:footnote>
  <w:footnote w:id="14">
    <w:p w:rsidR="00FD70D7" w:rsidRPr="00A67F4F" w:rsidRDefault="008C707B" w:rsidP="00A67F4F">
      <w:pPr>
        <w:pStyle w:val="736"/>
        <w:rPr>
          <w:rtl/>
        </w:rPr>
      </w:pPr>
      <w:r w:rsidRPr="00A67F4F">
        <w:rPr>
          <w:rStyle w:val="a8"/>
          <w:vertAlign w:val="baseline"/>
        </w:rPr>
        <w:footnoteRef/>
      </w:r>
      <w:r w:rsidRPr="00A67F4F">
        <w:rPr>
          <w:rtl/>
        </w:rPr>
        <w:t xml:space="preserve"> </w:t>
      </w:r>
      <w:r w:rsidRPr="00A67F4F">
        <w:rPr>
          <w:rtl/>
        </w:rPr>
        <w:tab/>
      </w:r>
      <w:r w:rsidRPr="00A67F4F">
        <w:rPr>
          <w:rFonts w:hint="cs"/>
          <w:rtl/>
        </w:rPr>
        <w:t>החלטת הממשלה 2443 (15.2.15, עדכון 28.7.15).</w:t>
      </w:r>
    </w:p>
  </w:footnote>
  <w:footnote w:id="15">
    <w:p w:rsidR="00FD70D7" w:rsidRDefault="008C707B" w:rsidP="00A67F4F">
      <w:pPr>
        <w:pStyle w:val="736"/>
        <w:rPr>
          <w:rtl/>
        </w:rPr>
      </w:pPr>
      <w:r w:rsidRPr="00A67F4F">
        <w:rPr>
          <w:rStyle w:val="a8"/>
          <w:vertAlign w:val="baseline"/>
        </w:rPr>
        <w:footnoteRef/>
      </w:r>
      <w:r w:rsidRPr="00A67F4F">
        <w:rPr>
          <w:rtl/>
        </w:rPr>
        <w:t xml:space="preserve"> </w:t>
      </w:r>
      <w:r w:rsidRPr="00A67F4F">
        <w:rPr>
          <w:rtl/>
        </w:rPr>
        <w:tab/>
      </w:r>
      <w:r>
        <w:rPr>
          <w:rFonts w:hint="cs"/>
          <w:rtl/>
        </w:rPr>
        <w:t xml:space="preserve">חוק הגנת הפרטיות, התשמ"א-1981, סעיף 10(ו). </w:t>
      </w:r>
    </w:p>
  </w:footnote>
  <w:footnote w:id="16">
    <w:p w:rsidR="00FD70D7" w:rsidRPr="002C58C6" w:rsidRDefault="008C707B" w:rsidP="002C58C6">
      <w:pPr>
        <w:pStyle w:val="73f4"/>
        <w:rPr>
          <w:rtl/>
        </w:rPr>
      </w:pPr>
      <w:r w:rsidRPr="002C58C6">
        <w:rPr>
          <w:rStyle w:val="a8"/>
          <w:vertAlign w:val="baseline"/>
        </w:rPr>
        <w:footnoteRef/>
      </w:r>
      <w:r w:rsidRPr="002C58C6">
        <w:rPr>
          <w:rtl/>
        </w:rPr>
        <w:t xml:space="preserve"> </w:t>
      </w:r>
      <w:r w:rsidRPr="002C58C6">
        <w:rPr>
          <w:rtl/>
        </w:rPr>
        <w:tab/>
      </w:r>
      <w:r w:rsidRPr="002C58C6">
        <w:rPr>
          <w:rFonts w:hint="cs"/>
          <w:rtl/>
        </w:rPr>
        <w:t>החלטת הממשלה 3611 (7.8.11).</w:t>
      </w:r>
    </w:p>
  </w:footnote>
  <w:footnote w:id="17">
    <w:p w:rsidR="00FD70D7" w:rsidRPr="002C58C6" w:rsidRDefault="008C707B" w:rsidP="002C58C6">
      <w:pPr>
        <w:pStyle w:val="73f4"/>
      </w:pPr>
      <w:r w:rsidRPr="002C58C6">
        <w:rPr>
          <w:rStyle w:val="a8"/>
          <w:vertAlign w:val="baseline"/>
        </w:rPr>
        <w:footnoteRef/>
      </w:r>
      <w:r w:rsidRPr="002C58C6">
        <w:rPr>
          <w:rtl/>
        </w:rPr>
        <w:t xml:space="preserve"> </w:t>
      </w:r>
      <w:r w:rsidRPr="002C58C6">
        <w:rPr>
          <w:rtl/>
        </w:rPr>
        <w:tab/>
      </w:r>
      <w:r w:rsidRPr="002C58C6">
        <w:rPr>
          <w:rFonts w:hint="cs"/>
          <w:rtl/>
        </w:rPr>
        <w:t>המתחם הפיזי והלא פיזי שנוצר או מורכב מחלק או מכל הגורמים הבאים: מערכות ממוכנות ממוחשבות, רשתות נחשבים  ותקשורת, תוכנות, מידע ממוחשב, תוכן שמועבר באופן ממוחשב, נתוני תעבורה, ובקרה והמשתמשים של כל אלה.</w:t>
      </w:r>
    </w:p>
  </w:footnote>
  <w:footnote w:id="18">
    <w:p w:rsidR="00FD70D7" w:rsidRDefault="008C707B" w:rsidP="002C58C6">
      <w:pPr>
        <w:pStyle w:val="73f4"/>
        <w:rPr>
          <w:rtl/>
        </w:rPr>
      </w:pPr>
      <w:r w:rsidRPr="002C58C6">
        <w:rPr>
          <w:rStyle w:val="a8"/>
          <w:vertAlign w:val="baseline"/>
        </w:rPr>
        <w:footnoteRef/>
      </w:r>
      <w:r>
        <w:rPr>
          <w:rtl/>
        </w:rPr>
        <w:t xml:space="preserve"> </w:t>
      </w:r>
      <w:r>
        <w:rPr>
          <w:rtl/>
        </w:rPr>
        <w:tab/>
      </w:r>
      <w:r w:rsidRPr="00CC5B52">
        <w:rPr>
          <w:rFonts w:hint="cs"/>
          <w:rtl/>
        </w:rPr>
        <w:t xml:space="preserve">מבקר המדינה, </w:t>
      </w:r>
      <w:r w:rsidRPr="00CC5B52">
        <w:rPr>
          <w:rFonts w:hint="cs"/>
          <w:b/>
          <w:bCs/>
          <w:rtl/>
        </w:rPr>
        <w:t>דוח שנתי 7</w:t>
      </w:r>
      <w:r>
        <w:rPr>
          <w:rFonts w:hint="cs"/>
          <w:b/>
          <w:bCs/>
          <w:rtl/>
        </w:rPr>
        <w:t>3א</w:t>
      </w:r>
      <w:r w:rsidRPr="00CC5B52">
        <w:rPr>
          <w:rFonts w:hint="cs"/>
          <w:rtl/>
        </w:rPr>
        <w:t xml:space="preserve"> (2022)</w:t>
      </w:r>
      <w:r>
        <w:rPr>
          <w:rFonts w:hint="cs"/>
          <w:rtl/>
        </w:rPr>
        <w:t>,</w:t>
      </w:r>
      <w:r w:rsidRPr="00CC5B52">
        <w:rPr>
          <w:rFonts w:hint="cs"/>
          <w:rtl/>
        </w:rPr>
        <w:t xml:space="preserve"> "הגנת </w:t>
      </w:r>
      <w:r>
        <w:rPr>
          <w:rFonts w:hint="cs"/>
          <w:rtl/>
        </w:rPr>
        <w:t>ה</w:t>
      </w:r>
      <w:r w:rsidRPr="00CC5B52">
        <w:rPr>
          <w:rFonts w:hint="cs"/>
          <w:rtl/>
        </w:rPr>
        <w:t xml:space="preserve">סייבר </w:t>
      </w:r>
      <w:r>
        <w:rPr>
          <w:rFonts w:hint="cs"/>
          <w:rtl/>
        </w:rPr>
        <w:t>במגזר התחבורה</w:t>
      </w:r>
      <w:r w:rsidRPr="00CC5B52">
        <w:rPr>
          <w:rFonts w:hint="cs"/>
          <w:rtl/>
        </w:rPr>
        <w:t xml:space="preserve">", </w:t>
      </w:r>
      <w:r>
        <w:rPr>
          <w:rFonts w:hint="cs"/>
          <w:rtl/>
        </w:rPr>
        <w:t>עמ' 54.</w:t>
      </w:r>
    </w:p>
  </w:footnote>
  <w:footnote w:id="19">
    <w:p w:rsidR="00FD70D7" w:rsidRPr="00DA6F61" w:rsidRDefault="008C707B" w:rsidP="00DA6F61">
      <w:pPr>
        <w:pStyle w:val="736"/>
      </w:pPr>
      <w:r w:rsidRPr="00DA6F61">
        <w:rPr>
          <w:rStyle w:val="a8"/>
          <w:vertAlign w:val="baseline"/>
        </w:rPr>
        <w:footnoteRef/>
      </w:r>
      <w:r w:rsidRPr="00DA6F61">
        <w:rPr>
          <w:rtl/>
        </w:rPr>
        <w:t xml:space="preserve"> </w:t>
      </w:r>
      <w:r w:rsidRPr="00DA6F61">
        <w:rPr>
          <w:rtl/>
        </w:rPr>
        <w:tab/>
      </w:r>
      <w:r w:rsidRPr="00DA6F61">
        <w:rPr>
          <w:rFonts w:hint="cs"/>
          <w:rtl/>
        </w:rPr>
        <w:t xml:space="preserve">מתוך אתר אגף התקשוב וההגנה בסב"ר במרשתת.  </w:t>
      </w:r>
    </w:p>
  </w:footnote>
  <w:footnote w:id="20">
    <w:p w:rsidR="00FD70D7" w:rsidRPr="00DA6F61" w:rsidRDefault="008C707B" w:rsidP="00DA6F61">
      <w:pPr>
        <w:pStyle w:val="736"/>
      </w:pPr>
      <w:r w:rsidRPr="00DA6F61">
        <w:rPr>
          <w:rStyle w:val="a8"/>
          <w:vertAlign w:val="baseline"/>
        </w:rPr>
        <w:footnoteRef/>
      </w:r>
      <w:r w:rsidRPr="00DA6F61">
        <w:rPr>
          <w:rtl/>
        </w:rPr>
        <w:t xml:space="preserve"> </w:t>
      </w:r>
      <w:r w:rsidRPr="00DA6F61">
        <w:rPr>
          <w:rtl/>
        </w:rPr>
        <w:tab/>
      </w:r>
      <w:r w:rsidRPr="00DA6F61">
        <w:rPr>
          <w:rFonts w:hint="cs"/>
          <w:rtl/>
        </w:rPr>
        <w:t xml:space="preserve">חטיבת אבטחת מידע, המונה שמונה עובדים, אחראית על מדיניות אבטחת מידע, גיבוש נהלים, אכיפה ובקרה בנושאי אבטחת מידע והגנת הפרטיות בארגון; חטיבת הסייבר אחראית על יישום אבטחת מידע והגנת הסייבר בארגון, לרבות הפעלת מוקד </w:t>
      </w:r>
      <w:r w:rsidRPr="00DA6F61">
        <w:rPr>
          <w:rFonts w:hint="cs"/>
        </w:rPr>
        <w:t>SOC</w:t>
      </w:r>
      <w:r w:rsidRPr="00DA6F61">
        <w:rPr>
          <w:rFonts w:hint="cs"/>
          <w:rtl/>
        </w:rPr>
        <w:t xml:space="preserve"> לניטור ומתן מענה מידי לאירועי סייבר הפועל 24/6. החטיבה מונה 6 עובדים ובנוסף, 6 מוקדנים העובדים במשמרות במוקד </w:t>
      </w:r>
      <w:r w:rsidRPr="00DA6F61">
        <w:rPr>
          <w:rFonts w:hint="cs"/>
        </w:rPr>
        <w:t>SOC</w:t>
      </w:r>
      <w:r w:rsidRPr="00DA6F61">
        <w:rPr>
          <w:rFonts w:hint="cs"/>
          <w:rtl/>
        </w:rPr>
        <w:t xml:space="preserve"> (</w:t>
      </w:r>
      <w:r w:rsidRPr="00DA6F61">
        <w:t>Secuity Operation Center</w:t>
      </w:r>
      <w:r w:rsidRPr="00DA6F61">
        <w:rPr>
          <w:rFonts w:hint="cs"/>
          <w:rtl/>
        </w:rPr>
        <w:t xml:space="preserve"> </w:t>
      </w:r>
      <w:r w:rsidRPr="00DA6F61">
        <w:rPr>
          <w:rtl/>
        </w:rPr>
        <w:t>–</w:t>
      </w:r>
      <w:r w:rsidRPr="00DA6F61">
        <w:rPr>
          <w:rFonts w:hint="cs"/>
          <w:rtl/>
        </w:rPr>
        <w:t xml:space="preserve"> מרכז שליטה ובקרה לאבטחת מידע לזיהוי פעילות חריגה במערכות המידע הארגוניות).</w:t>
      </w:r>
    </w:p>
  </w:footnote>
  <w:footnote w:id="21">
    <w:p w:rsidR="00FD70D7" w:rsidRDefault="008C707B" w:rsidP="00DA6F61">
      <w:pPr>
        <w:pStyle w:val="736"/>
        <w:rPr>
          <w:rtl/>
        </w:rPr>
      </w:pPr>
      <w:r w:rsidRPr="00DA6F61">
        <w:rPr>
          <w:rStyle w:val="a8"/>
          <w:vertAlign w:val="baseline"/>
        </w:rPr>
        <w:footnoteRef/>
      </w:r>
      <w:r w:rsidRPr="00DA6F61">
        <w:rPr>
          <w:rtl/>
        </w:rPr>
        <w:t xml:space="preserve"> </w:t>
      </w:r>
      <w:r w:rsidRPr="00DA6F61">
        <w:rPr>
          <w:rtl/>
        </w:rPr>
        <w:tab/>
      </w:r>
      <w:r w:rsidRPr="00DA6F61">
        <w:t>Cyber Emergency</w:t>
      </w:r>
      <w:r>
        <w:t xml:space="preserve"> Response Team</w:t>
      </w:r>
    </w:p>
  </w:footnote>
  <w:footnote w:id="22">
    <w:p w:rsidR="00FD70D7" w:rsidRDefault="008C707B" w:rsidP="005746FF">
      <w:pPr>
        <w:pStyle w:val="736"/>
        <w:rPr>
          <w:rtl/>
        </w:rPr>
      </w:pPr>
      <w:r w:rsidRPr="002C58C6">
        <w:footnoteRef/>
      </w:r>
      <w:r>
        <w:rPr>
          <w:rtl/>
        </w:rPr>
        <w:t xml:space="preserve"> </w:t>
      </w:r>
      <w:r>
        <w:rPr>
          <w:rtl/>
        </w:rPr>
        <w:tab/>
      </w:r>
      <w:r w:rsidRPr="001F45B7">
        <w:rPr>
          <w:rFonts w:hint="cs"/>
          <w:rtl/>
        </w:rPr>
        <w:t>מס"ל מורכב משני אגפים: האחד - אגף תמ"ק (ראו פירוט בלוח 1); והשני - אגף מגזר</w:t>
      </w:r>
      <w:r w:rsidR="00EC5A96">
        <w:rPr>
          <w:rFonts w:hint="cs"/>
          <w:rtl/>
        </w:rPr>
        <w:t>,</w:t>
      </w:r>
      <w:r w:rsidRPr="001F45B7">
        <w:rPr>
          <w:rFonts w:hint="cs"/>
          <w:rtl/>
        </w:rPr>
        <w:t xml:space="preserve"> המנחה מגזרים באופן עקיף באמצעות יחידה מגזרית במשרד הממשלתי הרלוונטי, למשל </w:t>
      </w:r>
      <w:r w:rsidRPr="001F45B7">
        <w:rPr>
          <w:rFonts w:hint="eastAsia"/>
          <w:rtl/>
        </w:rPr>
        <w:t>הוא</w:t>
      </w:r>
      <w:r w:rsidRPr="001F45B7">
        <w:rPr>
          <w:rtl/>
        </w:rPr>
        <w:t xml:space="preserve"> </w:t>
      </w:r>
      <w:r w:rsidRPr="001F45B7">
        <w:rPr>
          <w:rFonts w:hint="eastAsia"/>
          <w:rtl/>
        </w:rPr>
        <w:t>מנחה</w:t>
      </w:r>
      <w:r w:rsidRPr="001F45B7">
        <w:rPr>
          <w:rtl/>
        </w:rPr>
        <w:t xml:space="preserve"> </w:t>
      </w:r>
      <w:r w:rsidRPr="001F45B7">
        <w:rPr>
          <w:rFonts w:hint="eastAsia"/>
          <w:rtl/>
        </w:rPr>
        <w:t>את</w:t>
      </w:r>
      <w:r w:rsidRPr="001F45B7">
        <w:rPr>
          <w:rtl/>
        </w:rPr>
        <w:t xml:space="preserve"> </w:t>
      </w:r>
      <w:r w:rsidRPr="001F45B7">
        <w:rPr>
          <w:rFonts w:hint="eastAsia"/>
          <w:rtl/>
        </w:rPr>
        <w:t>בתי</w:t>
      </w:r>
      <w:r w:rsidRPr="001F45B7">
        <w:rPr>
          <w:rtl/>
        </w:rPr>
        <w:t xml:space="preserve"> </w:t>
      </w:r>
      <w:r w:rsidRPr="001F45B7">
        <w:rPr>
          <w:rFonts w:hint="eastAsia"/>
          <w:rtl/>
        </w:rPr>
        <w:t>החולים</w:t>
      </w:r>
      <w:r w:rsidRPr="001F45B7">
        <w:rPr>
          <w:rtl/>
        </w:rPr>
        <w:t xml:space="preserve"> </w:t>
      </w:r>
      <w:r>
        <w:rPr>
          <w:rFonts w:hint="cs"/>
          <w:rtl/>
        </w:rPr>
        <w:t xml:space="preserve">דרך משרד הבריאות </w:t>
      </w:r>
      <w:r w:rsidRPr="001F45B7">
        <w:rPr>
          <w:rFonts w:hint="eastAsia"/>
          <w:rtl/>
        </w:rPr>
        <w:t>במגזר</w:t>
      </w:r>
      <w:r w:rsidRPr="001F45B7">
        <w:rPr>
          <w:rtl/>
        </w:rPr>
        <w:t xml:space="preserve"> </w:t>
      </w:r>
      <w:r w:rsidRPr="001F45B7">
        <w:rPr>
          <w:rFonts w:hint="eastAsia"/>
          <w:rtl/>
        </w:rPr>
        <w:t>הבריאות</w:t>
      </w:r>
      <w:r w:rsidR="00EC5A96">
        <w:rPr>
          <w:rFonts w:hint="cs"/>
          <w:rtl/>
        </w:rPr>
        <w:t>.</w:t>
      </w:r>
    </w:p>
  </w:footnote>
  <w:footnote w:id="23">
    <w:p w:rsidR="00FD70D7" w:rsidRPr="002D1947" w:rsidRDefault="008C707B" w:rsidP="005746FF">
      <w:pPr>
        <w:pStyle w:val="736"/>
        <w:rPr>
          <w:rtl/>
        </w:rPr>
      </w:pPr>
      <w:r w:rsidRPr="00EC5A96">
        <w:footnoteRef/>
      </w:r>
      <w:r w:rsidRPr="00EC5A96">
        <w:rPr>
          <w:rtl/>
        </w:rPr>
        <w:t xml:space="preserve"> </w:t>
      </w:r>
      <w:r w:rsidRPr="002D1947">
        <w:rPr>
          <w:rtl/>
        </w:rPr>
        <w:tab/>
      </w:r>
      <w:r w:rsidRPr="002D1947">
        <w:t>GAO-12-926T</w:t>
      </w:r>
      <w:r w:rsidR="00EC5A96">
        <w:t xml:space="preserve"> </w:t>
      </w:r>
      <w:r w:rsidRPr="002D1947">
        <w:t>(2012)</w:t>
      </w:r>
      <w:r w:rsidRPr="002D1947">
        <w:rPr>
          <w:rFonts w:hint="cs"/>
          <w:rtl/>
        </w:rPr>
        <w:t xml:space="preserve"> </w:t>
      </w:r>
      <w:r w:rsidRPr="002D1947">
        <w:t>Challenges in Securing the Electricity Grid.</w:t>
      </w:r>
      <w:r w:rsidRPr="002D1947">
        <w:rPr>
          <w:rtl/>
        </w:rPr>
        <w:t>:</w:t>
      </w:r>
      <w:r w:rsidRPr="002D1947">
        <w:t xml:space="preserve"> Cybersecurity</w:t>
      </w:r>
      <w:r w:rsidR="005F39D9">
        <w:t xml:space="preserve"> </w:t>
      </w:r>
      <w:r w:rsidR="005F39D9">
        <w:rPr>
          <w:rFonts w:hint="cs"/>
          <w:rtl/>
        </w:rPr>
        <w:t xml:space="preserve"> </w:t>
      </w:r>
    </w:p>
  </w:footnote>
  <w:footnote w:id="24">
    <w:p w:rsidR="00FD70D7" w:rsidRPr="002C58C6" w:rsidRDefault="008C707B" w:rsidP="002C58C6">
      <w:pPr>
        <w:pStyle w:val="736"/>
      </w:pPr>
      <w:r w:rsidRPr="002C58C6">
        <w:rPr>
          <w:rStyle w:val="a8"/>
          <w:vertAlign w:val="baseline"/>
        </w:rPr>
        <w:footnoteRef/>
      </w:r>
      <w:r w:rsidRPr="002C58C6">
        <w:rPr>
          <w:rStyle w:val="a8"/>
          <w:vertAlign w:val="baseline"/>
          <w:rtl/>
        </w:rPr>
        <w:t xml:space="preserve"> </w:t>
      </w:r>
      <w:r w:rsidRPr="002C58C6">
        <w:rPr>
          <w:rStyle w:val="a8"/>
          <w:vertAlign w:val="baseline"/>
          <w:rtl/>
        </w:rPr>
        <w:tab/>
      </w:r>
      <w:r w:rsidRPr="002C58C6">
        <w:rPr>
          <w:rFonts w:hint="cs"/>
          <w:rtl/>
        </w:rPr>
        <w:t>ב</w:t>
      </w:r>
      <w:r w:rsidRPr="002C58C6">
        <w:rPr>
          <w:rtl/>
        </w:rPr>
        <w:t>החל</w:t>
      </w:r>
      <w:r w:rsidRPr="002C58C6">
        <w:rPr>
          <w:rFonts w:hint="cs"/>
          <w:rtl/>
        </w:rPr>
        <w:t>טת</w:t>
      </w:r>
      <w:r w:rsidRPr="002C58C6">
        <w:rPr>
          <w:rtl/>
        </w:rPr>
        <w:t xml:space="preserve"> </w:t>
      </w:r>
      <w:r w:rsidRPr="002C58C6">
        <w:rPr>
          <w:rFonts w:hint="cs"/>
          <w:rtl/>
        </w:rPr>
        <w:t>ה</w:t>
      </w:r>
      <w:r w:rsidRPr="002C58C6">
        <w:rPr>
          <w:rtl/>
        </w:rPr>
        <w:t>ממשלה</w:t>
      </w:r>
      <w:r w:rsidRPr="002C58C6">
        <w:rPr>
          <w:rFonts w:hint="cs"/>
          <w:rtl/>
        </w:rPr>
        <w:t xml:space="preserve"> 2444 הוחלט</w:t>
      </w:r>
      <w:r w:rsidRPr="002C58C6">
        <w:rPr>
          <w:rtl/>
        </w:rPr>
        <w:t xml:space="preserve"> להקים</w:t>
      </w:r>
      <w:r w:rsidRPr="002C58C6">
        <w:rPr>
          <w:rFonts w:hint="cs"/>
          <w:rtl/>
        </w:rPr>
        <w:t xml:space="preserve"> "</w:t>
      </w:r>
      <w:r w:rsidRPr="002C58C6">
        <w:rPr>
          <w:rtl/>
        </w:rPr>
        <w:t>רשות לאומית להגנת</w:t>
      </w:r>
      <w:r w:rsidRPr="002C58C6">
        <w:rPr>
          <w:rFonts w:hint="cs"/>
          <w:rtl/>
        </w:rPr>
        <w:t xml:space="preserve"> הסייבר". </w:t>
      </w:r>
      <w:r w:rsidRPr="002C58C6">
        <w:rPr>
          <w:rtl/>
        </w:rPr>
        <w:t xml:space="preserve">על פי ההחלטה, מטה הסייבר והרשות יהוו יחד את </w:t>
      </w:r>
      <w:r w:rsidRPr="002C58C6">
        <w:rPr>
          <w:rFonts w:hint="cs"/>
          <w:rtl/>
        </w:rPr>
        <w:t>"</w:t>
      </w:r>
      <w:r w:rsidRPr="002C58C6">
        <w:rPr>
          <w:rtl/>
        </w:rPr>
        <w:t>מערך הסייבר הלאומי</w:t>
      </w:r>
      <w:r w:rsidRPr="002C58C6">
        <w:rPr>
          <w:rFonts w:hint="cs"/>
          <w:rtl/>
        </w:rPr>
        <w:t>"</w:t>
      </w:r>
      <w:r w:rsidRPr="002C58C6">
        <w:rPr>
          <w:rtl/>
        </w:rPr>
        <w:t xml:space="preserve"> </w:t>
      </w:r>
      <w:r w:rsidRPr="002C58C6">
        <w:rPr>
          <w:rFonts w:hint="cs"/>
          <w:rtl/>
        </w:rPr>
        <w:t>ו</w:t>
      </w:r>
      <w:r w:rsidRPr="002C58C6">
        <w:rPr>
          <w:rtl/>
        </w:rPr>
        <w:t>בראשו יעמוד ראש</w:t>
      </w:r>
      <w:r w:rsidRPr="002C58C6">
        <w:rPr>
          <w:rStyle w:val="a8"/>
          <w:vertAlign w:val="baseline"/>
          <w:rtl/>
        </w:rPr>
        <w:t xml:space="preserve"> </w:t>
      </w:r>
      <w:r w:rsidRPr="002C58C6">
        <w:rPr>
          <w:rtl/>
        </w:rPr>
        <w:t>מטה הסייבר</w:t>
      </w:r>
      <w:r w:rsidRPr="002C58C6">
        <w:t>.</w:t>
      </w:r>
    </w:p>
  </w:footnote>
  <w:footnote w:id="25">
    <w:p w:rsidR="00FD70D7" w:rsidRDefault="008C707B" w:rsidP="002C58C6">
      <w:pPr>
        <w:pStyle w:val="736"/>
      </w:pPr>
      <w:r w:rsidRPr="002C58C6">
        <w:rPr>
          <w:rStyle w:val="a8"/>
          <w:vertAlign w:val="baseline"/>
        </w:rPr>
        <w:footnoteRef/>
      </w:r>
      <w:r w:rsidRPr="002C58C6">
        <w:rPr>
          <w:rtl/>
        </w:rPr>
        <w:t xml:space="preserve"> </w:t>
      </w:r>
      <w:r w:rsidRPr="002C58C6">
        <w:rPr>
          <w:rtl/>
        </w:rPr>
        <w:tab/>
      </w:r>
      <w:r w:rsidRPr="002C58C6">
        <w:rPr>
          <w:rFonts w:hint="cs"/>
          <w:rtl/>
        </w:rPr>
        <w:t>הכנסת</w:t>
      </w:r>
      <w:r w:rsidRPr="001D1EF2">
        <w:rPr>
          <w:rFonts w:hint="cs"/>
          <w:rtl/>
        </w:rPr>
        <w:t xml:space="preserve">, ועדת חוץ וביטחון, דין וחשבון בנושא: בחינת חלוקת האחריות והסמכות בנושא הגנת הסייבר בישראל, אוגוסט 2016. </w:t>
      </w:r>
      <w:r>
        <w:rPr>
          <w:rFonts w:hint="cs"/>
          <w:rtl/>
        </w:rPr>
        <w:t xml:space="preserve"> </w:t>
      </w:r>
    </w:p>
  </w:footnote>
  <w:footnote w:id="26">
    <w:p w:rsidR="00FD70D7" w:rsidRDefault="008C707B" w:rsidP="005746FF">
      <w:pPr>
        <w:pStyle w:val="736"/>
        <w:rPr>
          <w:rtl/>
        </w:rPr>
      </w:pPr>
      <w:r w:rsidRPr="005746FF">
        <w:footnoteRef/>
      </w:r>
      <w:r w:rsidRPr="005746FF">
        <w:rPr>
          <w:rtl/>
        </w:rPr>
        <w:t xml:space="preserve"> </w:t>
      </w:r>
      <w:r>
        <w:rPr>
          <w:rtl/>
        </w:rPr>
        <w:tab/>
      </w:r>
      <w:r w:rsidRPr="002A0778">
        <w:rPr>
          <w:rFonts w:hint="cs"/>
          <w:rtl/>
        </w:rPr>
        <w:t xml:space="preserve">מבקר המדינה , </w:t>
      </w:r>
      <w:r w:rsidRPr="002A0778">
        <w:rPr>
          <w:rFonts w:hint="cs"/>
          <w:b/>
          <w:bCs/>
          <w:rtl/>
        </w:rPr>
        <w:t>דוח שנתי 67א</w:t>
      </w:r>
      <w:r>
        <w:rPr>
          <w:rFonts w:hint="cs"/>
          <w:b/>
          <w:bCs/>
          <w:rtl/>
        </w:rPr>
        <w:t xml:space="preserve"> </w:t>
      </w:r>
      <w:r w:rsidRPr="006E3B07">
        <w:rPr>
          <w:rtl/>
        </w:rPr>
        <w:t>(2016)</w:t>
      </w:r>
      <w:r w:rsidRPr="0005631C">
        <w:rPr>
          <w:rFonts w:hint="cs"/>
          <w:rtl/>
        </w:rPr>
        <w:t>,</w:t>
      </w:r>
      <w:r>
        <w:rPr>
          <w:rFonts w:hint="cs"/>
          <w:rtl/>
        </w:rPr>
        <w:t xml:space="preserve"> "</w:t>
      </w:r>
      <w:r w:rsidRPr="002A0778">
        <w:rPr>
          <w:rtl/>
        </w:rPr>
        <w:t>היבטים</w:t>
      </w:r>
      <w:r w:rsidRPr="007A61ED">
        <w:rPr>
          <w:rtl/>
        </w:rPr>
        <w:t xml:space="preserve"> בהיערכ</w:t>
      </w:r>
      <w:r>
        <w:rPr>
          <w:rtl/>
        </w:rPr>
        <w:t>ות המדינה להגנת המרחב הקיברנטי</w:t>
      </w:r>
      <w:r>
        <w:rPr>
          <w:rFonts w:hint="cs"/>
          <w:rtl/>
        </w:rPr>
        <w:t>".</w:t>
      </w:r>
    </w:p>
  </w:footnote>
  <w:footnote w:id="27">
    <w:p w:rsidR="00FD70D7" w:rsidRDefault="008C707B" w:rsidP="005746FF">
      <w:pPr>
        <w:pStyle w:val="736"/>
        <w:rPr>
          <w:rtl/>
        </w:rPr>
      </w:pPr>
      <w:r w:rsidRPr="005746FF">
        <w:footnoteRef/>
      </w:r>
      <w:r w:rsidRPr="005746FF">
        <w:rPr>
          <w:rtl/>
        </w:rPr>
        <w:t xml:space="preserve"> </w:t>
      </w:r>
      <w:r>
        <w:rPr>
          <w:rtl/>
        </w:rPr>
        <w:tab/>
      </w:r>
      <w:r w:rsidRPr="00CC5B52">
        <w:rPr>
          <w:rFonts w:hint="cs"/>
          <w:rtl/>
        </w:rPr>
        <w:t xml:space="preserve">מבקר המדינה, </w:t>
      </w:r>
      <w:r w:rsidRPr="00CC5B52">
        <w:rPr>
          <w:rFonts w:hint="cs"/>
          <w:b/>
          <w:bCs/>
          <w:rtl/>
        </w:rPr>
        <w:t>דוח שנתי 7</w:t>
      </w:r>
      <w:r>
        <w:rPr>
          <w:rFonts w:hint="cs"/>
          <w:b/>
          <w:bCs/>
          <w:rtl/>
        </w:rPr>
        <w:t>3א</w:t>
      </w:r>
      <w:r w:rsidRPr="00CC5B52">
        <w:rPr>
          <w:rFonts w:hint="cs"/>
          <w:rtl/>
        </w:rPr>
        <w:t xml:space="preserve"> (2022)</w:t>
      </w:r>
      <w:r>
        <w:rPr>
          <w:rFonts w:hint="cs"/>
          <w:rtl/>
        </w:rPr>
        <w:t>,</w:t>
      </w:r>
      <w:r w:rsidRPr="00CC5B52">
        <w:rPr>
          <w:rFonts w:hint="cs"/>
          <w:rtl/>
        </w:rPr>
        <w:t xml:space="preserve"> "הגנת </w:t>
      </w:r>
      <w:r>
        <w:rPr>
          <w:rFonts w:hint="cs"/>
          <w:rtl/>
        </w:rPr>
        <w:t>ה</w:t>
      </w:r>
      <w:r w:rsidRPr="00CC5B52">
        <w:rPr>
          <w:rFonts w:hint="cs"/>
          <w:rtl/>
        </w:rPr>
        <w:t xml:space="preserve">סייבר </w:t>
      </w:r>
      <w:r>
        <w:rPr>
          <w:rFonts w:hint="cs"/>
          <w:rtl/>
        </w:rPr>
        <w:t>במגזר התחבורה</w:t>
      </w:r>
      <w:r w:rsidRPr="00CC5B52">
        <w:rPr>
          <w:rFonts w:hint="cs"/>
          <w:rtl/>
        </w:rPr>
        <w:t xml:space="preserve">", </w:t>
      </w:r>
      <w:r>
        <w:rPr>
          <w:rFonts w:hint="cs"/>
          <w:rtl/>
        </w:rPr>
        <w:t>עמ'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8C707B"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8C707B"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8"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JVHwIAABwEAAAOAAAAZHJzL2Uyb0RvYy54bWysU21v2yAQ/j5p/wHxfbHjJGtqxam6dJkm&#10;dS9Sux+AMY7RgGNAYme/fgdO06j7VpUPiOOOh+eeu1vdDFqRg3BegqnodJJTIgyHRppdRX89bj8s&#10;KfGBmYYpMKKiR+Hpzfr9u1VvS1FAB6oRjiCI8WVvK9qFYMss87wTmvkJWGHQ2YLTLKDpdlnjWI/o&#10;WmVFnn/MenCNdcCF93h7NzrpOuG3reDhR9t6EYiqKHILaXdpr+OerVes3DlmO8lPNNgrWGgmDX56&#10;hrpjgZG9k/9BackdeGjDhIPOoG0lFykHzGaav8jmoWNWpFxQHG/PMvm3g+XfDz8dkQ3WDitlmMYa&#10;PYohkE8wkCLK01tfYtSDxbgw4DWGplS9vQf+2xMDm46Znbh1DvpOsAbpTePL7OLpiOMjSN1/gwa/&#10;YfsACWhonY7aoRoE0bFMx3NpIhWOl7PZ9Go2n1PC0Vcs82Weapex8um1dT58EaBJPFTUYekTOjvc&#10;+xDZsPIpJH7mQclmK5VKhtvVG+XIgWGbbNNKCbwIU4b0Fb1eFIuEbCC+Tx2kZcA2VlJXFJnhGhsr&#10;qvHZNCkkMKnGMzJR5iRPVGTUJgz1gIFRsxqaIwrlYGxXHC88dOD+UtJjq1bU/9kzJyhRXw2KfT2d&#10;z2NvJ2O+uCrQcJee+tLDDEeoigZKxuMmpHlIOthbLMpWJr2emZy4YgsmGU/jEnv80k5Rz0O9/gcA&#10;AP//AwBQSwMEFAAGAAgAAAAhACe4tObaAAAABAEAAA8AAABkcnMvZG93bnJldi54bWxMj0FLw0AQ&#10;he+C/2EZwZvdNKRFYjZFBC/Sg60ePE6TaTZNdjZmN238945e9PJgeMN73ys2s+vVmcbQejawXCSg&#10;iCtft9wYeH97vrsHFSJyjb1nMvBFATbl9VWBee0vvKPzPjZKQjjkaMDGOORah8qSw7DwA7F4Rz86&#10;jHKOja5HvEi463WaJGvtsGVpsDjQk6Wq209OSrahmnb+87TcdvrDdmtcvdoXY25v5scHUJHm+PcM&#10;P/iCDqUwHfzEdVC9ARkSf1W8VZpmoA4GsiwFXRb6P3z5DQAA//8DAFBLAQItABQABgAIAAAAIQC2&#10;gziS/gAAAOEBAAATAAAAAAAAAAAAAAAAAAAAAABbQ29udGVudF9UeXBlc10ueG1sUEsBAi0AFAAG&#10;AAgAAAAhADj9If/WAAAAlAEAAAsAAAAAAAAAAAAAAAAALwEAAF9yZWxzLy5yZWxzUEsBAi0AFAAG&#10;AAgAAAAhACPKglUfAgAAHAQAAA4AAAAAAAAAAAAAAAAALgIAAGRycy9lMm9Eb2MueG1sUEsBAi0A&#10;FAAGAAgAAAAhACe4tObaAAAABAEAAA8AAAAAAAAAAAAAAAAAeQQAAGRycy9kb3ducmV2LnhtbFBL&#10;BQYAAAAABAAEAPMAAACABQAAAAA=&#10;" stroked="f">
              <v:textbox style="mso-fit-shape-to-text:t">
                <w:txbxContent>
                  <w:p w:rsidR="00F73EE0" w:rsidRDefault="008C707B"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C707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-1017929</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9" type="#_x0000_t202" style="position:absolute;left:0;text-align:left;margin-left:-75.25pt;margin-top:-80.15pt;width:510.25pt;height:708.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sGUwIAALMEAAAOAAAAZHJzL2Uyb0RvYy54bWysVE1PGzEQvVfqf7B8L5tAwkfEBlEQVSUK&#10;SFBxdrze7Eq2x7Wd7NJf32fvJlDaU9UcnPl4nvG8mdnzi95otlU+tGRLPj2YcKaspKq165J/f7r5&#10;dMpZiMJWQpNVJX9RgV8sP34479xCHVJDulKeIYgNi86VvInRLYoiyEYZEQ7IKQtnTd6ICNWvi8qL&#10;DtGNLg4nk+OiI185T1KFAOv14OTLHL+ulYz3dR1UZLrkeFvMp8/nKp3F8lws1l64ppXjM8Q/vMKI&#10;1iLpPtS1iIJtfPtHKNNKT4HqeCDJFFTXrVS5BlQznbyr5rERTuVaQE5we5rC/wsr77YPnrVVyedH&#10;nFlh0KMn1Uf2mXoGE/jpXFgA9ugAjD3s6PPOHmBMZfe1N+kfBTH4wfTLnt0UTcJ4PDud4MeZhO8s&#10;iVAQv3i97nyIXxQZloSSe7Qvsyq2tyEO0B0kZbN002qdW6gt60p+ND2Z5wuBdFslZ4LlYVJX2rOt&#10;wBis1tOM0RvzjarBdjx/fcwenp/2W6SU/FqEZrik10keS9AW8ETVQEmSYr/qM7V7ulZUvYBFT8Mc&#10;BidvWoS8FSE+CI/BAztYpniPo9aEimiUOGvI//ybPeExD/By1mGQSx5+bIRXnOmvFpNyNp3N0uRn&#10;ZTY/OYTi33pWbz12Y64IJE2xtk5mMeGj3om1J/OMnbtMWeESViJ3yeNOvIrDemFnpbq8zCDMuhPx&#10;1j46mUKnpiQqn/pn4d3Y7Ig5uaPdyIvFu54P2JHjgcdRwWbkTo1bnFbvrZ5Rr9+a5S8AAAD//wMA&#10;UEsDBBQABgAIAAAAIQDpRCVc4QAAAA4BAAAPAAAAZHJzL2Rvd25yZXYueG1sTI/BbsIwDIbvk/YO&#10;kZF2gwS2AipNEZqENMFp3biHxmsrGqdqQun29DOn7WbLn35/f7YdXSsG7EPjScN8pkAgld42VGn4&#10;/NhP1yBCNGRN6wk1fGOAbf74kJnU+hu941DESnAIhdRoqGPsUilDWaMzYeY7JL59+d6ZyGtfSdub&#10;G4e7Vi6UWkpnGuIPtenwtcbyUlydhtK90CGeLoef4VjsrDqe3sphr/XTZNxtQEQc4x8Md31Wh5yd&#10;zv5KNohWw3SeqITZ+7RUzyCYWa8U9zszvEhWCmSeyf818l8AAAD//wMAUEsBAi0AFAAGAAgAAAAh&#10;ALaDOJL+AAAA4QEAABMAAAAAAAAAAAAAAAAAAAAAAFtDb250ZW50X1R5cGVzXS54bWxQSwECLQAU&#10;AAYACAAAACEAOP0h/9YAAACUAQAACwAAAAAAAAAAAAAAAAAvAQAAX3JlbHMvLnJlbHNQSwECLQAU&#10;AAYACAAAACEAbd9rBlMCAACzBAAADgAAAAAAAAAAAAAAAAAuAgAAZHJzL2Uyb0RvYy54bWxQSwEC&#10;LQAUAAYACAAAACEA6UQlXOEAAAAOAQAADwAAAAAAAAAAAAAAAACtBAAAZHJzL2Rvd25yZXYueG1s&#10;UEsFBgAAAAAEAAQA8wAAALsFAAAAAA==&#10;" filled="f" strokecolor="#a5a5a5 [2092]" strokeweight=".25pt">
              <v:stroke dashstyle="longDash"/>
              <v:textbo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8C707B" w:rsidP="000A162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0A1625" w:rsidRPr="000A1625">
                            <w:rPr>
                              <w:rFonts w:ascii="Tahoma" w:hAnsi="Tahoma" w:cs="Tahoma"/>
                              <w:b/>
                              <w:bCs/>
                              <w:rtl/>
                            </w:rPr>
                            <w:t>אסדרת הגנת הסייבר במוסד לביטוח לאומי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6.4pt;margin-top:-57.45pt;width:24pt;height:6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hhTAIAALkEAAAOAAAAZHJzL2Uyb0RvYy54bWysVNuO2jAQfa/Uf7D8DkkgQECEFZdSVdpe&#10;pN1+gHEcEjXxuLYhWVX77x07BFD7Uq36EGfs8ZzMOTOT5UNbV+QstClBpjQahpQIySEr5TGl35/3&#10;g4QSY5nMWAVSpPRFGPqwev9u2aiFGEEBVSY0QRBpFo1KaWGtWgSB4YWomRmCEhKdOeiaWdzqY5Bp&#10;1iB6XQWjMJwGDehMaeDCGDzddU668vh5Lrj9mudGWFKlFHOzftV+Pbg1WC3Z4qiZKkp+SYO9IYua&#10;lRI/eoXaMcvISZd/QdUl12Agt0MOdQB5XnLhOSCbKPyDzVPBlPBcUByjrjKZ/wfLv5y/aVJmKY0j&#10;SiSrsUbPorVkAy2JZp4Tbh+Ndeycw7P6tY2S8W62nw428TwZxOPNeDCPk80gmo2SzWS0Xk8/xK8u&#10;OhN8gQ9oZsuz6CXGk3/jcKm2U2cW3HAoOTOsaOTqF/i8+rfPNGiUWXhqrhG8+aSQp22RlgtzZIx6&#10;BP7DEAnbgsmjWGsNTSFYhvJ2wHehHY5xIIfmM2QoEztZ8EBtrmsHiNUkiI5t9nJtLacYx8NxGCch&#10;eji6ZvNJEk8ml9z7aKWN/SigJs5IqcbW9ejsjJQ6mv0Vnz1UZbYvq8pv9PGwrXQnShiOw8n+gm7u&#10;r1XybZGosAv1qjoJOjFse2h954zct5xWB8heUCAN3ZjhbwENt45mSL3BKUup+XliWlBSfZKosxvJ&#10;3tC9cegNJnkBOKyWks7c2m50T0qXxwLBb3XC+fAtcJllN4D3e5/97Y+z+g0AAP//AwBQSwMEFAAG&#10;AAgAAAAhALgol9rgAAAADgEAAA8AAABkcnMvZG93bnJldi54bWxMj01OwzAQRvdI3MEaJDYodVJC&#10;KSFOVSHBrqpaegAnHuKo8TiK3Ta9PQMb2M3P0zdvytXkenHGMXSeFGSzFARS401HrYLD53uyBBGi&#10;JqN7T6jgigFW1e1NqQvjL7TD8z62gkMoFFqBjXEopAyNRafDzA9IvPvyo9OR27GVZtQXDne9nKfp&#10;QjrdEV+wesA3i81xf3IK1pvjDj+uujs8b5BMup3qpwer1P3dtH4FEXGKfzD86LM6VOxU+xOZIHoF&#10;SZbN2T3+VvkLCGaSRc6jmuHscZmDrEr5/43qGwAA//8DAFBLAQItABQABgAIAAAAIQC2gziS/gAA&#10;AOEBAAATAAAAAAAAAAAAAAAAAAAAAABbQ29udGVudF9UeXBlc10ueG1sUEsBAi0AFAAGAAgAAAAh&#10;ADj9If/WAAAAlAEAAAsAAAAAAAAAAAAAAAAALwEAAF9yZWxzLy5yZWxzUEsBAi0AFAAGAAgAAAAh&#10;ANWdKGFMAgAAuQQAAA4AAAAAAAAAAAAAAAAALgIAAGRycy9lMm9Eb2MueG1sUEsBAi0AFAAGAAgA&#10;AAAhALgol9rgAAAADgEAAA8AAAAAAAAAAAAAAAAApgQAAGRycy9kb3ducmV2LnhtbFBLBQYAAAAA&#10;BAAEAPMAAACzBQAAAAA=&#10;" fillcolor="#00305f" strokecolor="#00305f">
              <v:textbox style="layout-flow:vertical;mso-layout-flow-alt:bottom-to-top" inset="0,0,0,0">
                <w:txbxContent>
                  <w:p w:rsidR="00F73EE0" w:rsidRPr="009B7D1B" w:rsidRDefault="008C707B" w:rsidP="000A162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0A1625" w:rsidRPr="000A1625">
                      <w:rPr>
                        <w:rFonts w:ascii="Tahoma" w:hAnsi="Tahoma" w:cs="Tahoma"/>
                        <w:b/>
                        <w:bCs/>
                        <w:rtl/>
                      </w:rPr>
                      <w:t>אסדרת הגנת הסייבר במוסד לביטוח לאומי</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8C707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RDefault="008C707B" w:rsidP="00B244B0">
                          <w:pPr>
                            <w:jc w:val="right"/>
                            <w:rPr>
                              <w:color w:val="0D0D0D" w:themeColor="text1" w:themeTint="F2"/>
                              <w:sz w:val="16"/>
                              <w:szCs w:val="16"/>
                            </w:rPr>
                          </w:pPr>
                          <w:r w:rsidRPr="00437083">
                            <w:rPr>
                              <w:rFonts w:ascii="Tahoma" w:hAnsi="Tahoma" w:cs="Tahoma"/>
                              <w:color w:val="0D0D0D"/>
                              <w:sz w:val="16"/>
                              <w:szCs w:val="16"/>
                              <w:rtl/>
                            </w:rPr>
                            <w:t>דוח מבקר המדינה</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 סייבר ומערכות מידע | אייר התשפ"ג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1.4pt;margin-top:27.7pt;width:351.1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10dwIAAO8EAAAOAAAAZHJzL2Uyb0RvYy54bWysVG1vmzAQ/j5p/8Hy94SEQBOikqpJmmlS&#10;9yK1+wHGmGDN+JjtBrpq/31nk6TZ9mWahoTx+eyHe5678/VN3yhyEMZK0DmdjieUCM2hlHqf0y+P&#10;u9GCEuuYLpkCLXL6LCy9Wb19c921SxFDDaoUhiCItsuuzWntXLuMIstr0TA7hlZodFZgGubQNPuo&#10;NKxD9EZF8WRyFXVgytYAF9bi6nZw0lXAryrB3aeqssIRlVOMzYXRhLHwY7S6Zsu9YW0t+TEM9g9R&#10;NExq/OkZasscI09G/gHVSG7AQuXGHJoIqkpyETggm+nkNzYPNWtF4ILi2PYsk/1/sPzj4bMhssxp&#10;QolmDaboUfSOrKEncWCE1r11nptfD5xeNtPFbDvfXY3WSbYYJbP1bJQli/VoOo8X6zS+vb26S374&#10;06XgS3zBMCcP4iQwrvwdg2OuvTbz6BWHkgPDfE599qIQ1+kbIo261i4DMV8GYfrQIkvXIyt/zJOx&#10;7T3wr5Zo2NRM78WtMdDVgpUo7gB8cXTAsR6k6D5AiSqxJwcBqK9M4wExlwTRsciez4XlFeO4mCRp&#10;Nk/QxdEXZ2k6yY6xn063xrp3AhriJzk1WLgBnR2Q0kDztCVED0qWO6lUMMy+2CgziLILzxHdXm5T&#10;mnQ5zdI4HQS49IV+E2eQYn/S9heERjpsViWbnC4m/hnax6t2p8vQSo5JNcwxMUpjXryMXrlBQ9cX&#10;fSi3mT/rfQWUz6irgaE38S7BSQ3mOyUd9mVO7bcnZgQl6r3G3GTTxAvpgpGk8xgNc+kpLj1Mc4TK&#10;qaNkmG5caH6vqP85dlUoneMN4Nv20g67Xu+p1U8AAAD//wMAUEsDBBQABgAIAAAAIQALtp5d3wAA&#10;AAkBAAAPAAAAZHJzL2Rvd25yZXYueG1sTI/BTsMwEETvSPyDtUjcqJ0qKTTEqRCI3hBqQIWjEy9J&#10;RLyOYrcNfD3LCY6jGc28KTazG8QRp9B70pAsFAikxtueWg2vL49XNyBCNGTN4Ak1fGGATXl+Vpjc&#10;+hPt8FjFVnAJhdxo6GIccylD06EzYeFHJPY+/ORMZDm10k7mxOVukEulVtKZnnihMyPed9h8Vgen&#10;ITRqtX9Oq/1bLbf4vbb24X37pPXlxXx3CyLiHP/C8IvP6FAyU+0PZIMYNKRLJo8asiwFwf51miUg&#10;ag6qZA2yLOT/B+UPAAAA//8DAFBLAQItABQABgAIAAAAIQC2gziS/gAAAOEBAAATAAAAAAAAAAAA&#10;AAAAAAAAAABbQ29udGVudF9UeXBlc10ueG1sUEsBAi0AFAAGAAgAAAAhADj9If/WAAAAlAEAAAsA&#10;AAAAAAAAAAAAAAAALwEAAF9yZWxzLy5yZWxzUEsBAi0AFAAGAAgAAAAhAEcLrXR3AgAA7wQAAA4A&#10;AAAAAAAAAAAAAAAALgIAAGRycy9lMm9Eb2MueG1sUEsBAi0AFAAGAAgAAAAhAAu2nl3fAAAACQEA&#10;AA8AAAAAAAAAAAAAAAAA0QQAAGRycy9kb3ducmV2LnhtbFBLBQYAAAAABAAEAPMAAADdBQAAAAA=&#10;" strokecolor="white [3212]">
              <v:textbox>
                <w:txbxContent>
                  <w:p w:rsidR="00F73EE0" w:rsidRPr="00136A3E" w:rsidRDefault="008C707B" w:rsidP="00B244B0">
                    <w:pPr>
                      <w:jc w:val="right"/>
                      <w:rPr>
                        <w:color w:val="0D0D0D" w:themeColor="text1" w:themeTint="F2"/>
                        <w:sz w:val="16"/>
                        <w:szCs w:val="16"/>
                      </w:rPr>
                    </w:pPr>
                    <w:r w:rsidRPr="00437083">
                      <w:rPr>
                        <w:rFonts w:ascii="Tahoma" w:hAnsi="Tahoma" w:cs="Tahoma"/>
                        <w:color w:val="0D0D0D"/>
                        <w:sz w:val="16"/>
                        <w:szCs w:val="16"/>
                        <w:rtl/>
                      </w:rPr>
                      <w:t>דוח מבקר המדינה</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 סייבר ומערכות מידע | אייר התשפ"ג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1C5" w:rsidRDefault="001A61C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C707B">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32" type="#_x0000_t202" style="position:absolute;left:0;text-align:left;margin-left:-75.15pt;margin-top:-82.8pt;width:510.25pt;height:708.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PzUQIAALMEAAAOAAAAZHJzL2Uyb0RvYy54bWysVMlu2zAQvRfoPxC8N7JTZzMiB2mCFAXS&#10;JIBT5ExTlCWA5LAkbSn9+j5SsrO0p6I+0LM8DmfezOj8ojeabZUPLdmSTw8mnCkrqWrtuuQ/Hm8+&#10;nXIWorCV0GRVyZ9V4BeLjx/OOzdXh9SQrpRnCGLDvHMlb2J086IIslFGhANyysJZkzciQvXrovKi&#10;Q3Sji8PJ5LjoyFfOk1QhwHo9OPkix69rJeN9XQcVmS45cov59PlcpbNYnIv52gvXtHJMQ/xDFka0&#10;Fo/uQ12LKNjGt3+EMq30FKiOB5JMQXXdSpVrQDXTybtqlo1wKtcCcoLb0xT+X1h5t33wrK1K/nnK&#10;mRUGPXpUfWRfqGcwgZ/OhTlgSwdg7GFHn3f2AGMqu6+9Sf8oiMEPpp/37KZoEsbj2ekEP84kfGdJ&#10;hIL4xct150P8qsiwJJTco32ZVbG9DXGA7iDpNUs3rda5hdqyLtVwcpQvBNJtlZwJlodJXWnPtgJj&#10;sFpPM0ZvzHeqBtvx0Usye3hO7U2k9Pi1CM1wSa+TPJagLeCJqoGSJMV+1WdqZzu6VlQ9g0VPwxwG&#10;J29ahLwVIT4Ij8EDO1imeI+j1oSKaJQ4a8j/+ps94TEP8HLWYZBLHn5uhFec6W8Wk3I2nc3S5Gdl&#10;dnRyCMW/9qxee+zGXBFIwjAguywmfNQ7sfZknrBzl+lVuISVeLvkcSdexWG9sLNSXV5mEGbdiXhr&#10;l06m0KkpicrH/kl4NzY7Yk7uaDfyYv6u5wN25HjgcVSwGblT4xan1XutZ9TLt2bxGwAA//8DAFBL&#10;AwQUAAYACAAAACEAEql3oOIAAAAOAQAADwAAAGRycy9kb3ducmV2LnhtbEyPwU7DMAyG70i8Q2Qk&#10;blvSQrupNJ0mpEloO1HYPUtCW61xqibrCk+Pd4KbLX/6/f3lZnY9m+wYOo8SkqUAZlF702Ej4fNj&#10;t1gDC1GhUb1HK+HbBthU93elKoy/4rud6tgwCsFQKAltjEPBedCtdSos/WCRbl9+dCrSOjbcjOpK&#10;4a7nqRA5d6pD+tCqwb62Vp/ri5Og3TPu4/G8/5kO9daIw/FNTzspHx/m7QuwaOf4B8NNn9ShIqeT&#10;v6AJrJewSDLxROxtyrMcGDHrlUiBnQhOs2QFvCr5/xrVLwAAAP//AwBQSwECLQAUAAYACAAAACEA&#10;toM4kv4AAADhAQAAEwAAAAAAAAAAAAAAAAAAAAAAW0NvbnRlbnRfVHlwZXNdLnhtbFBLAQItABQA&#10;BgAIAAAAIQA4/SH/1gAAAJQBAAALAAAAAAAAAAAAAAAAAC8BAABfcmVscy8ucmVsc1BLAQItABQA&#10;BgAIAAAAIQDdGOPzUQIAALMEAAAOAAAAAAAAAAAAAAAAAC4CAABkcnMvZTJvRG9jLnhtbFBLAQIt&#10;ABQABgAIAAAAIQASqXeg4gAAAA4BAAAPAAAAAAAAAAAAAAAAAKsEAABkcnMvZG93bnJldi54bWxQ&#10;SwUGAAAAAAQABADzAAAAugUAAAAA&#10;" filled="f" strokecolor="#a5a5a5 [2092]" strokeweight=".25pt">
              <v:stroke dashstyle="longDash"/>
              <v:textbo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8C707B">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8C707B"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3" type="#_x0000_t202" style="position:absolute;left:0;text-align:left;margin-left:-8.4pt;margin-top:16.15pt;width:357.2pt;height:2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3IgIAACMEAAAOAAAAZHJzL2Uyb0RvYy54bWysU9uO2yAQfa/Uf0C8N3a8STZrxVlts01V&#10;aXuRdvsBGOMYFRgKJHb69R1wkkbbt6o8IGCGw5lzhtX9oBU5COclmIpOJzklwnBopNlV9PvL9t2S&#10;Eh+YaZgCIyp6FJ7er9++WfW2FAV0oBrhCIIYX/a2ol0ItswyzzuhmZ+AFQaDLTjNAm7dLmsc6xFd&#10;q6zI80XWg2usAy68x9PHMUjXCb9tBQ9f29aLQFRFkVtIs0tzHedsvWLlzjHbSX6iwf6BhWbS4KMX&#10;qEcWGNk7+ReUltyBhzZMOOgM2lZykWrAaqb5q2qeO2ZFqgXF8fYik/9/sPzL4ZsjsqnoTUGJYRo9&#10;ehFDIO9hIEWUp7e+xKxni3lhwGO0OZXq7RPwH54Y2HTM7MSDc9B3gjVIbxpvZldXRxwfQer+MzT4&#10;DNsHSEBD63TUDtUgiI42HS/WRCocD2fzm8VshiGOsWKZL26Tdxkrz7et8+GjAE3ioqIOrU/o7PDk&#10;Q2TDynNKfMyDks1WKpU2bldvlCMHhm2yTSMV8CpNGdJX9G5ezBOygXg/dZCWAdtYSV3RZR7H2FhR&#10;jQ+mSSmBSTWukYkyJ3miIqM2YaiHZMT8rHoNzRH1cjB2Lf4yXHTgflHSY8dW1P/cMycoUZ8Man43&#10;TQKFtJnNbwtUy11H6usIMxyhKhooGZebkL5FksM+oDdbmWSLJo5MTpSxE5Oap18TW/16n7L+/O31&#10;bwAAAP//AwBQSwMEFAAGAAgAAAAhAKXdWgnfAAAACQEAAA8AAABkcnMvZG93bnJldi54bWxMjzFP&#10;wzAUhHck/oP1kNhaJ63q0hCnQkgsqAMtDIyviRuHxM8hdtrw73lMdDzd6e67fDu5TpzNEBpPGtJ5&#10;AsJQ6auGag0f7y+zBxAhIlXYeTIafkyAbXF7k2NW+QvtzfkQa8ElFDLUYGPsMylDaY3DMPe9IfZO&#10;fnAYWQ61rAa8cLnr5CJJlHTYEC9Y7M2zNWV7GB2P7EI57v33V7pr5adtFa7e7KvW93fT0yOIaKb4&#10;H4Y/fEaHgpmOfqQqiE7DLFWMHjUsF0sQHFCbtQJx1LBWK5BFLq8fFL8AAAD//wMAUEsBAi0AFAAG&#10;AAgAAAAhALaDOJL+AAAA4QEAABMAAAAAAAAAAAAAAAAAAAAAAFtDb250ZW50X1R5cGVzXS54bWxQ&#10;SwECLQAUAAYACAAAACEAOP0h/9YAAACUAQAACwAAAAAAAAAAAAAAAAAvAQAAX3JlbHMvLnJlbHNQ&#10;SwECLQAUAAYACAAAACEA5G8TtyICAAAjBAAADgAAAAAAAAAAAAAAAAAuAgAAZHJzL2Uyb0RvYy54&#10;bWxQSwECLQAUAAYACAAAACEApd1aCd8AAAAJAQAADwAAAAAAAAAAAAAAAAB8BAAAZHJzL2Rvd25y&#10;ZXYueG1sUEsFBgAAAAAEAAQA8wAAAIgFAAAAAA==&#10;" stroked="f">
              <v:textbox style="mso-fit-shape-to-text:t">
                <w:txbxContent>
                  <w:p w:rsidR="00F73EE0" w:rsidRPr="003D62C4" w:rsidRDefault="008C707B"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RDefault="008C707B"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1DD" w:rsidRDefault="008C707B" w:rsidP="004E71DD">
    <w:pPr>
      <w:pStyle w:val="a4"/>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75.15pt;margin-top:-82.8pt;width:510.25pt;height:708.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IhUwIAALMEAAAOAAAAZHJzL2Uyb0RvYy54bWysVEuP2jAQvlfqf7B8LyG8dhcRVhREVWm7&#10;uxJUezaOQyLZHtc2JPTXd+yER7c9VeVg5vF5xvPNTGaPjZLkKKyrQGc07fUpEZpDXul9Rr9v15/u&#10;KXGe6ZxJ0CKjJ+Ho4/zjh1ltpmIAJchcWIJBtJvWJqOl92aaJI6XQjHXAyM0OguwinlU7T7JLasx&#10;upLJoN+fJDXY3Fjgwjm0rlonncf4RSG4fykKJzyRGcW3+XjaeO7CmcxnbLq3zJQV757B/uEVilUa&#10;k15CrZhn5GCrP0KpiltwUPgeB5VAUVRcxBqwmrT/rppNyYyItSA5zlxocv8vLH8+vlpS5RkdDSnR&#10;TGGPtqLx5DM0ZJgGfmrjpgjbGAT6Bu3Y57PdoTGU3RRWhX8siKAfmT5d2A3ROBono/s+/ijh6HsI&#10;IioYP7leN9b5LwIUCUJGLbYvssqOT8630DMkZNOwrqSMLZSa1BkdpnfjeMGBrPLgDLA4TGIpLTky&#10;HIPdPo0YeVDfIG9tk/H1MRd4fNpvkULyFXNle0nug9yVIDXCA1UtJUHyza6J1E7OdO0gPyGLFto5&#10;dIavKwz5xJx/ZRYHD9nBZfIveBQSsCLoJEpKsD//Zg94nAf0UlLjIGfU/TgwKyiRXzVOykM6GoXJ&#10;j8pofDdAxd56drcefVBLQJJSXFvDoxjwXp7FwoJ6w51bhKzoYppj7oz6s7j07XrhznKxWEQQzrph&#10;/klvDA+hQ1MCldvmjVnTNdvjnDzDeeTZ9F3PW2zHcctjp+BmxE51WxxW71aPqOu3Zv4LAAD//wMA&#10;UEsDBBQABgAIAAAAIQASqXeg4gAAAA4BAAAPAAAAZHJzL2Rvd25yZXYueG1sTI/BTsMwDIbvSLxD&#10;ZCRuW9JCu6k0nSakSWg7Udg9S0JbrXGqJusKT493gpstf/r9/eVmdj2b7Bg6jxKSpQBmUXvTYSPh&#10;82O3WAMLUaFRvUcr4dsG2FT3d6UqjL/iu53q2DAKwVAoCW2MQ8F50K11Kiz9YJFuX350KtI6NtyM&#10;6krhruepEDl3qkP60KrBvrZWn+uLk6DdM+7j8bz/mQ711ojD8U1POykfH+btC7Bo5/gHw02f1KEi&#10;p5O/oAmsl7BIMvFE7G3KsxwYMeuVSIGdCE6zZAW8Kvn/GtUvAAAA//8DAFBLAQItABQABgAIAAAA&#10;IQC2gziS/gAAAOEBAAATAAAAAAAAAAAAAAAAAAAAAABbQ29udGVudF9UeXBlc10ueG1sUEsBAi0A&#10;FAAGAAgAAAAhADj9If/WAAAAlAEAAAsAAAAAAAAAAAAAAAAALwEAAF9yZWxzLy5yZWxzUEsBAi0A&#10;FAAGAAgAAAAhAKMMgiFTAgAAswQAAA4AAAAAAAAAAAAAAAAALgIAAGRycy9lMm9Eb2MueG1sUEsB&#10;Ai0AFAAGAAgAAAAhABKpd6DiAAAADgEAAA8AAAAAAAAAAAAAAAAArQQAAGRycy9kb3ducmV2Lnht&#10;bFBLBQYAAAAABAAEAPMAAAC8BQAAAAA=&#10;" filled="f" strokecolor="#a5a5a5 [2092]" strokeweight=".25pt">
              <v:stroke dashstyle="longDash"/>
              <v:textbox>
                <w:txbxContent>
                  <w:p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rsidR="004E71DD" w:rsidRDefault="004E71DD" w:rsidP="004E71DD">
    <w:pPr>
      <w:pStyle w:val="a4"/>
      <w:ind w:firstLine="720"/>
      <w:rPr>
        <w:rtl/>
      </w:rPr>
    </w:pPr>
  </w:p>
  <w:p w:rsidR="004E71DD" w:rsidRDefault="004E71DD" w:rsidP="004E71DD">
    <w:pPr>
      <w:pStyle w:val="a4"/>
      <w:rPr>
        <w:rtl/>
      </w:rPr>
    </w:pPr>
  </w:p>
  <w:p w:rsidR="004E71DD" w:rsidRDefault="008C707B"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RDefault="008C707B" w:rsidP="004E71DD">
                          <w:pPr>
                            <w:pStyle w:val="1"/>
                            <w:spacing w:line="269" w:lineRule="auto"/>
                            <w:jc w:val="left"/>
                            <w:rPr>
                              <w:rFonts w:ascii="Tahoma" w:eastAsiaTheme="minorHAnsi" w:hAnsi="Tahoma" w:cs="Tahoma"/>
                              <w:bCs w:val="0"/>
                              <w:color w:val="0D0D0D" w:themeColor="text1" w:themeTint="F2"/>
                              <w:sz w:val="16"/>
                              <w:szCs w:val="16"/>
                              <w:u w:val="none"/>
                            </w:rPr>
                          </w:pPr>
                          <w:r w:rsidRPr="000A1625">
                            <w:rPr>
                              <w:rFonts w:ascii="Tahoma" w:eastAsiaTheme="minorHAnsi" w:hAnsi="Tahoma" w:cs="Tahoma"/>
                              <w:bCs w:val="0"/>
                              <w:color w:val="0D0D0D" w:themeColor="text1" w:themeTint="F2"/>
                              <w:sz w:val="16"/>
                              <w:szCs w:val="16"/>
                              <w:u w:val="none"/>
                              <w:rtl/>
                            </w:rPr>
                            <w:t>אסדרת הגנת הסייבר במוסד לביטוח לאומי</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5" type="#_x0000_t202" style="position:absolute;left:0;text-align:left;margin-left:-8.4pt;margin-top:16.15pt;width:357.2pt;height:2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sdwIAAOIEAAAOAAAAZHJzL2Uyb0RvYy54bWysVG1v2jAQ/j5p/8HydxoIAQJqqICWaVL3&#10;IrX7AcZxiDXHl9kuoZv233e+QIu2L9O0SDhnn+/hnufucn1zbAw7KOc12IKProacKSuh1HZf8C+P&#10;20HOmQ/ClsKAVQV/Vp7fLN++ue7ahUqhBlMqxxDE+kXXFrwOoV0kiZe1aoS/glZZdFbgGhFw6/ZJ&#10;6USH6I1J0uFwmnTgytaBVN7j6W3v5EvCryolw6eq8iowU3DMLdDqaN3FNVlei8XeibbW8pSG+Ics&#10;GqEt/ukL1K0Igj05/QdUo6UDD1W4ktAkUFVaKuKAbEbD39g81KJVxAXF8e2LTP7/wcqPh8+O6bLg&#10;2YQzKxqs0aM6BraGI0uJEu7ufYjk4jmR+rEZ5ePb2XY6WGfzfJCN1+PBPMvXg9EszdeTdLWa3mU/&#10;Y3Sp5AJ/4ETQB3VWGE/+jsKp2FGcWfKKw9lBYEFHsXwJ5XV+U6ZJ1/oFMYt9QOZDizTDEVnFsEjG&#10;t/cgv3pmYVMLu1cr56CrlShR3R74IrTH8RFk132AElUSTwEI6Fi5JgJiMRmiY5c9v3RWVEziYTYZ&#10;T7MMXRJ9aT6czqj1MPdzdOt8eKegYdEouMPOJXRxQEo9zfMVyh6MLrfaGNq4/W5jXC/Klp6TMv7y&#10;mrGsK/h8kk4I2UKMpwFodMApNLopeD6MTz8XUY07W9KVILTpbUzaWNQ7yhMV6bUJx92R+mgWY6Nv&#10;B+Uz6uWgHzr8SKBRg/vOWYcDV3D/7Uk4xZl5b1Hz+YgECrTJJrMU1XKXnt2lR1iJUAUPnPXmJtBU&#10;95VdYW22mmR7zeSUMg4SNctp6OOkXu7p1uunafkLAAD//wMAUEsDBBQABgAIAAAAIQCl3VoJ3wAA&#10;AAkBAAAPAAAAZHJzL2Rvd25yZXYueG1sTI8xT8MwFIR3JP6D9ZDYWiet6tIQp0JILKgDLQyMr4kb&#10;h8TPIXba8O95THQ83enuu3w7uU6czRAaTxrSeQLCUOmrhmoNH+8vswcQISJV2HkyGn5MgG1xe5Nj&#10;VvkL7c35EGvBJRQy1GBj7DMpQ2mNwzD3vSH2Tn5wGFkOtawGvHC56+QiSZR02BAvWOzNszVlexgd&#10;j+xCOe7991e6a+WnbRWu3uyr1vd309MjiGim+B+GP3xGh4KZjn6kKohOwyxVjB41LBdLEBxQm7UC&#10;cdSwViuQRS6vHxS/AAAA//8DAFBLAQItABQABgAIAAAAIQC2gziS/gAAAOEBAAATAAAAAAAAAAAA&#10;AAAAAAAAAABbQ29udGVudF9UeXBlc10ueG1sUEsBAi0AFAAGAAgAAAAhADj9If/WAAAAlAEAAAsA&#10;AAAAAAAAAAAAAAAALwEAAF9yZWxzLy5yZWxzUEsBAi0AFAAGAAgAAAAhADT+dGx3AgAA4gQAAA4A&#10;AAAAAAAAAAAAAAAALgIAAGRycy9lMm9Eb2MueG1sUEsBAi0AFAAGAAgAAAAhAKXdWgnfAAAACQEA&#10;AA8AAAAAAAAAAAAAAAAA0QQAAGRycy9kb3ducmV2LnhtbFBLBQYAAAAABAAEAPMAAADdBQAAAAA=&#10;" stroked="f">
              <v:textbox style="mso-fit-shape-to-text:t">
                <w:txbxContent>
                  <w:p w:rsidR="004E71DD" w:rsidRPr="003D62C4" w:rsidRDefault="008C707B" w:rsidP="004E71DD">
                    <w:pPr>
                      <w:pStyle w:val="1"/>
                      <w:spacing w:line="269" w:lineRule="auto"/>
                      <w:jc w:val="left"/>
                      <w:rPr>
                        <w:rFonts w:ascii="Tahoma" w:eastAsiaTheme="minorHAnsi" w:hAnsi="Tahoma" w:cs="Tahoma"/>
                        <w:bCs w:val="0"/>
                        <w:color w:val="0D0D0D" w:themeColor="text1" w:themeTint="F2"/>
                        <w:sz w:val="16"/>
                        <w:szCs w:val="16"/>
                        <w:u w:val="none"/>
                      </w:rPr>
                    </w:pPr>
                    <w:r w:rsidRPr="000A1625">
                      <w:rPr>
                        <w:rFonts w:ascii="Tahoma" w:eastAsiaTheme="minorHAnsi" w:hAnsi="Tahoma" w:cs="Tahoma"/>
                        <w:bCs w:val="0"/>
                        <w:color w:val="0D0D0D" w:themeColor="text1" w:themeTint="F2"/>
                        <w:sz w:val="16"/>
                        <w:szCs w:val="16"/>
                        <w:u w:val="none"/>
                        <w:rtl/>
                      </w:rPr>
                      <w:t>אסדרת הגנת הסייבר במוסד לביטוח לאומי</w:t>
                    </w:r>
                  </w:p>
                </w:txbxContent>
              </v:textbox>
              <w10:wrap type="square"/>
            </v:shape>
          </w:pict>
        </mc:Fallback>
      </mc:AlternateContent>
    </w:r>
  </w:p>
  <w:p w:rsidR="004E71DD" w:rsidRDefault="008C707B" w:rsidP="004E71DD">
    <w:pPr>
      <w:pStyle w:val="a4"/>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563774718" name="תמונה 5637747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747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8C707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75.25pt;margin-top:-82.9pt;width:510.25pt;height:708.6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6gUwIAALMEAAAOAAAAZHJzL2Uyb0RvYy54bWysVEuP2jAQvlfqf7B8LwEWWECEFQVRVaK7&#10;K0G1Z+M4JJLtcW1DQn99x054dNtTVQ5mHp9nPN/MZPZUK0lOwroSdEp7nS4lQnPISn1I6ffd+tOY&#10;EueZzpgELVJ6Fo4+zT9+mFVmKvpQgMyEJRhEu2llUlp4b6ZJ4nghFHMdMEKjMwermEfVHpLMsgqj&#10;K5n0u91RUoHNjAUunEPrqnHSeYyf54L7lzx3whOZUnybj6eN5z6cyXzGpgfLTFHy9hnsH16hWKkx&#10;6TXUinlGjrb8I5QquQUHue9wUAnkeclFrAGr6XXfVbMtmBGxFiTHmStN7v+F5c+nV0vKLKXDCSWa&#10;KezRTtSefIaaDB8CP5VxU4RtDQJ9jXbs88Xu0BjKrnOrwj8WRNCPTJ+v7IZoHI2jwbiLP0o4+iZB&#10;RAXjJ7frxjr/RYAiQUipxfZFVtlp43wDvUBCNg3rUsrYQqlJldKH3uMwXnAgyyw4AywOk1hKS04M&#10;x2B/6EWMPKpvkDW20fD2mCs8Pu23SCH5irmiuSQPQW5LkBrhgaqGkiD5el9HascXuvaQnZFFC80c&#10;OsPXJYbcMOdfmcXBQ3ZwmfwLHrkErAhaiZIC7M+/2QMe5wG9lFQ4yCl1P47MCkrkV42TMukNBmHy&#10;ozIYPvZRsfee/b1HH9USkKQerq3hUQx4Ly9ibkG94c4tQlZ0Mc0xd0r9RVz6Zr1wZ7lYLCIIZ90w&#10;v9Fbw0Po0JRA5a5+Y9a0zfY4J89wGXk2fdfzBtty3PDYKrgZsVPtFofVu9cj6vatmf8CAAD//wMA&#10;UEsDBBQABgAIAAAAIQA7jdmz4AAAAA4BAAAPAAAAZHJzL2Rvd25yZXYueG1sTI/BbsIwDIbvk/YO&#10;kZF2g6RoYahritAkpAlO68Y9JKGtaJyqCaXb08+ctpstf/r9f8Vm8h0b3RDbgAqyhQDm0ATbYq3g&#10;63M3XwOLSaPVXUCn4NtF2JSPD4XObbjhhxurVDMKwZhrBU1Kfc55NI3zOi5C75Bu5zB4nWgdam4H&#10;faNw3/GlECvudYv0odG9e2ucuVRXr8D4Z9yn42X/Mx6qrRWH47sZd0o9zabtK7DkpvQHw70+VYeS&#10;Op3CFW1knYJ5JoUk9j6tJFkQs34R5HcieCkzCbws+H+N8hcAAP//AwBQSwECLQAUAAYACAAAACEA&#10;toM4kv4AAADhAQAAEwAAAAAAAAAAAAAAAAAAAAAAW0NvbnRlbnRfVHlwZXNdLnhtbFBLAQItABQA&#10;BgAIAAAAIQA4/SH/1gAAAJQBAAALAAAAAAAAAAAAAAAAAC8BAABfcmVscy8ucmVsc1BLAQItABQA&#10;BgAIAAAAIQDSJc6gUwIAALMEAAAOAAAAAAAAAAAAAAAAAC4CAABkcnMvZTJvRG9jLnhtbFBLAQIt&#10;ABQABgAIAAAAIQA7jdmz4AAAAA4BAAAPAAAAAAAAAAAAAAAAAK0EAABkcnMvZG93bnJldi54bWxQ&#10;SwUGAAAAAAQABADzAAAAugUAAAAA&#10;" filled="f" strokecolor="#a5a5a5 [2092]" strokeweight=".25pt">
              <v:stroke dashstyle="longDash"/>
              <v:textbo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8C707B" w:rsidP="000A1625">
                          <w:pPr>
                            <w:pStyle w:val="Bodytext70"/>
                            <w:shd w:val="clear" w:color="auto" w:fill="003060"/>
                            <w:rPr>
                              <w:rFonts w:ascii="Tahoma" w:hAnsi="Tahoma" w:cs="Tahoma"/>
                              <w:b/>
                              <w:bCs/>
                              <w:rtl/>
                            </w:rPr>
                          </w:pPr>
                          <w:r>
                            <w:rPr>
                              <w:rStyle w:val="Bodytext7NotBoldExact"/>
                              <w:rFonts w:hint="cs"/>
                              <w:rtl/>
                            </w:rPr>
                            <w:t>....ה</w:t>
                          </w:r>
                          <w:r>
                            <w:rPr>
                              <w:rFonts w:hint="cs"/>
                              <w:rtl/>
                            </w:rPr>
                            <w:t xml:space="preserve">                                      </w:t>
                          </w:r>
                          <w:bookmarkStart w:id="3" w:name="_GoBack"/>
                          <w:bookmarkEnd w:id="3"/>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0A1625" w:rsidRPr="000A1625">
                            <w:rPr>
                              <w:rFonts w:ascii="Tahoma" w:hAnsi="Tahoma" w:cs="Tahoma"/>
                              <w:b/>
                              <w:bCs/>
                              <w:rtl/>
                            </w:rPr>
                            <w:t>אסדרת הגנת הסייבר במוסד לביטוח לאומי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6.4pt;margin-top:-57.45pt;width:24pt;height:62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2RTAIAALkEAAAOAAAAZHJzL2Uyb0RvYy54bWysVNuO2jAQfa/Uf7D8DkkgQECEFZdSVdpe&#10;pN1+gHEcEjXxuLYhWVX77x07BFD7Uq36EGfs8ZzMOTOT5UNbV+QstClBpjQahpQIySEr5TGl35/3&#10;g4QSY5nMWAVSpPRFGPqwev9u2aiFGEEBVSY0QRBpFo1KaWGtWgSB4YWomRmCEhKdOeiaWdzqY5Bp&#10;1iB6XQWjMJwGDehMaeDCGDzddU668vh5Lrj9mudGWFKlFHOzftV+Pbg1WC3Z4qiZKkp+SYO9IYua&#10;lRI/eoXaMcvISZd/QdUl12Agt0MOdQB5XnLhOSCbKPyDzVPBlPBcUByjrjKZ/wfLv5y/aVJmKZ2i&#10;PJLVWKNn0VqygZZEM88Jt4/GOnbO4Vn92kbJeDfbTwebeJ4M4vFmPJjHyWYQzUbJZjJar6cf4lcX&#10;nQm+wAc0s+VZ9BLjyb9xuFTbqTMLbjiUnBlWNHL1C3xe/dtnGjTKLDw11wjefFLI07ZIy4U5MkY9&#10;Av9hiIRtweRRrLWGphAsQ3k74LvQDsc4kEPzGTKUiZ0seKA217UDxGoSREcdX66t5RTjeDgO4yRE&#10;D0fXbD5J4snkknsfrbSxHwXUxBkp1di6Hp2dkVJHs7/is4eqzPZlVfmNPh62le5ECcNxONlf0M39&#10;tUq+LRIVdqFeVSdBJ4ZtD63vnLn7ltPqANkLCqShGzP8LaDh1tEMqTc4ZSk1P09MC0qqTxJ1xmPb&#10;G7o3Dr3BJC8Ah9VS0plb243uSenyWCD4rU44H74FLrPsBvB+77O//XFWvwEAAP//AwBQSwMEFAAG&#10;AAgAAAAhALgol9rgAAAADgEAAA8AAABkcnMvZG93bnJldi54bWxMj01OwzAQRvdI3MEaJDYodVJC&#10;KSFOVSHBrqpaegAnHuKo8TiK3Ta9PQMb2M3P0zdvytXkenHGMXSeFGSzFARS401HrYLD53uyBBGi&#10;JqN7T6jgigFW1e1NqQvjL7TD8z62gkMoFFqBjXEopAyNRafDzA9IvPvyo9OR27GVZtQXDne9nKfp&#10;QjrdEV+wesA3i81xf3IK1pvjDj+uujs8b5BMup3qpwer1P3dtH4FEXGKfzD86LM6VOxU+xOZIHoF&#10;SZbN2T3+VvkLCGaSRc6jmuHscZmDrEr5/43qGwAA//8DAFBLAQItABQABgAIAAAAIQC2gziS/gAA&#10;AOEBAAATAAAAAAAAAAAAAAAAAAAAAABbQ29udGVudF9UeXBlc10ueG1sUEsBAi0AFAAGAAgAAAAh&#10;ADj9If/WAAAAlAEAAAsAAAAAAAAAAAAAAAAALwEAAF9yZWxzLy5yZWxzUEsBAi0AFAAGAAgAAAAh&#10;AGJ5rZFMAgAAuQQAAA4AAAAAAAAAAAAAAAAALgIAAGRycy9lMm9Eb2MueG1sUEsBAi0AFAAGAAgA&#10;AAAhALgol9rgAAAADgEAAA8AAAAAAAAAAAAAAAAApgQAAGRycy9kb3ducmV2LnhtbFBLBQYAAAAA&#10;BAAEAPMAAACzBQAAAAA=&#10;" fillcolor="#00305f" strokecolor="#00305f">
              <v:textbox style="layout-flow:vertical;mso-layout-flow-alt:bottom-to-top" inset="0,0,0,0">
                <w:txbxContent>
                  <w:p w:rsidR="00E56721" w:rsidRPr="009B7D1B" w:rsidRDefault="008C707B" w:rsidP="000A1625">
                    <w:pPr>
                      <w:pStyle w:val="Bodytext70"/>
                      <w:shd w:val="clear" w:color="auto" w:fill="003060"/>
                      <w:rPr>
                        <w:rFonts w:ascii="Tahoma" w:hAnsi="Tahoma" w:cs="Tahoma"/>
                        <w:b/>
                        <w:bCs/>
                        <w:rtl/>
                      </w:rPr>
                    </w:pPr>
                    <w:r>
                      <w:rPr>
                        <w:rStyle w:val="Bodytext7NotBoldExact"/>
                        <w:rFonts w:hint="cs"/>
                        <w:rtl/>
                      </w:rPr>
                      <w:t>....ה</w:t>
                    </w:r>
                    <w:r>
                      <w:rPr>
                        <w:rFonts w:hint="cs"/>
                        <w:rtl/>
                      </w:rPr>
                      <w:t xml:space="preserve">                                      </w:t>
                    </w:r>
                    <w:bookmarkStart w:id="4" w:name="_GoBack"/>
                    <w:bookmarkEnd w:id="4"/>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0A1625" w:rsidRPr="000A1625">
                      <w:rPr>
                        <w:rFonts w:ascii="Tahoma" w:hAnsi="Tahoma" w:cs="Tahoma"/>
                        <w:b/>
                        <w:bCs/>
                        <w:rtl/>
                      </w:rPr>
                      <w:t>אסדרת הגנת הסייבר במוסד לביטוח לאומי</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8C707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8C707B" w:rsidP="00B244B0">
                          <w:pPr>
                            <w:jc w:val="right"/>
                            <w:rPr>
                              <w:color w:val="0D0D0D" w:themeColor="text1" w:themeTint="F2"/>
                              <w:sz w:val="16"/>
                              <w:szCs w:val="16"/>
                            </w:rPr>
                          </w:pPr>
                          <w:r w:rsidRPr="00437083">
                            <w:rPr>
                              <w:rFonts w:ascii="Tahoma" w:hAnsi="Tahoma" w:cs="Tahoma"/>
                              <w:color w:val="0D0D0D"/>
                              <w:sz w:val="16"/>
                              <w:szCs w:val="16"/>
                              <w:rtl/>
                            </w:rPr>
                            <w:t xml:space="preserve">דוח מבקר המדינה </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סייבר ומערכות מידע | אייר התשפ"ג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1.4pt;margin-top:27.7pt;width:351.15pt;height:2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83dwIAAPEEAAAOAAAAZHJzL2Uyb0RvYy54bWysVG1vmzAQ/j5p/8Hy95RAIQlRSdWkzTSp&#10;e5Ha/QBjTLBmfMx2A121/76zSdJs+zJNQ8L4fPbDPc/d+ep6aBXZC2Ml6ILGF1NKhOZQSb0r6JfH&#10;7WRBiXVMV0yBFgV9FpZer96+ueq7pUigAVUJQxBE22XfFbRxrltGkeWNaJm9gE5odNZgWubQNLuo&#10;MqxH9FZFyXQ6i3owVWeAC2tx9XZ00lXAr2vB3ae6tsIRVVCMzYXRhLH0Y7S6YsudYV0j+SEM9g9R&#10;tExq/OkJ6pY5Rp6M/AOqldyAhdpdcGgjqGvJReCAbOLpb2weGtaJwAXFsd1JJvv/YPnH/WdDZFXQ&#10;WUyJZi3m6FEMjqxhIEmghNa9dZ6cXw+kXjbx4vJ2vp1N1mm+mKSX68tJni7Wk3ieLNZZcnMzu0t/&#10;+NOV4Et8wTAn9+KoMK78HYVDsr048+gVh5I9w4TGPn1RiOv4DZFGfWeXgZmvgzB96JCmG5CVP+bJ&#10;2O4e+FdLNGwapnfixhjoG8EqVHcEPjs64lgPUvYfoEKV2JODADTUpvWAmEyC6Fhlz6fK8opxXEzT&#10;LJ+n6OLoS/Ism+aH2I+nO2PdOwEt8ZOCGqzcgM72SGmkedwSogclq61UKhhmV26UGUXZhueAbs+3&#10;KU36guZZko0CnPtCw4kTSLk7avsLQisddquSbUEXU/+M/eNVu9NV6CXHpBrnmBilMS9eRq/cqKEb&#10;yiHUWxwOe2cJ1TMKa2DsTrxNcNKA+U5Jj51ZUPvtiRlBiXqvMTl5nHolXTDSbJ6gYc495bmHaY5Q&#10;BXWUjNONC+3vJfU/x74KtXO4A3zjntth1+tNtfoJAAD//wMAUEsDBBQABgAIAAAAIQALtp5d3wAA&#10;AAkBAAAPAAAAZHJzL2Rvd25yZXYueG1sTI/BTsMwEETvSPyDtUjcqJ0qKTTEqRCI3hBqQIWjEy9J&#10;RLyOYrcNfD3LCY6jGc28KTazG8QRp9B70pAsFAikxtueWg2vL49XNyBCNGTN4Ak1fGGATXl+Vpjc&#10;+hPt8FjFVnAJhdxo6GIccylD06EzYeFHJPY+/ORMZDm10k7mxOVukEulVtKZnnihMyPed9h8Vgen&#10;ITRqtX9Oq/1bLbf4vbb24X37pPXlxXx3CyLiHP/C8IvP6FAyU+0PZIMYNKRLJo8asiwFwf51miUg&#10;ag6qZA2yLOT/B+UPAAAA//8DAFBLAQItABQABgAIAAAAIQC2gziS/gAAAOEBAAATAAAAAAAAAAAA&#10;AAAAAAAAAABbQ29udGVudF9UeXBlc10ueG1sUEsBAi0AFAAGAAgAAAAhADj9If/WAAAAlAEAAAsA&#10;AAAAAAAAAAAAAAAALwEAAF9yZWxzLy5yZWxzUEsBAi0AFAAGAAgAAAAhAHYhXzd3AgAA8QQAAA4A&#10;AAAAAAAAAAAAAAAALgIAAGRycy9lMm9Eb2MueG1sUEsBAi0AFAAGAAgAAAAhAAu2nl3fAAAACQEA&#10;AA8AAAAAAAAAAAAAAAAA0QQAAGRycy9kb3ducmV2LnhtbFBLBQYAAAAABAAEAPMAAADdBQAAAAA=&#10;" strokecolor="white [3212]">
              <v:textbox>
                <w:txbxContent>
                  <w:p w:rsidR="00E56721" w:rsidRPr="00C55DC9" w:rsidRDefault="008C707B" w:rsidP="00B244B0">
                    <w:pPr>
                      <w:jc w:val="right"/>
                      <w:rPr>
                        <w:color w:val="0D0D0D" w:themeColor="text1" w:themeTint="F2"/>
                        <w:sz w:val="16"/>
                        <w:szCs w:val="16"/>
                      </w:rPr>
                    </w:pPr>
                    <w:r w:rsidRPr="00437083">
                      <w:rPr>
                        <w:rFonts w:ascii="Tahoma" w:hAnsi="Tahoma" w:cs="Tahoma"/>
                        <w:color w:val="0D0D0D"/>
                        <w:sz w:val="16"/>
                        <w:szCs w:val="16"/>
                        <w:rtl/>
                      </w:rPr>
                      <w:t xml:space="preserve">דוח מבקר המדינה </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סייבר ומערכות מידע | אייר התשפ"ג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8062BDA4">
      <w:start w:val="1"/>
      <w:numFmt w:val="bullet"/>
      <w:pStyle w:val="73BULLETS"/>
      <w:lvlText w:val=""/>
      <w:lvlJc w:val="left"/>
      <w:pPr>
        <w:ind w:left="720" w:hanging="360"/>
      </w:pPr>
      <w:rPr>
        <w:rFonts w:ascii="Symbol" w:hAnsi="Symbol" w:hint="default"/>
      </w:rPr>
    </w:lvl>
    <w:lvl w:ilvl="1" w:tplc="DEF61944" w:tentative="1">
      <w:start w:val="1"/>
      <w:numFmt w:val="bullet"/>
      <w:lvlText w:val="o"/>
      <w:lvlJc w:val="left"/>
      <w:pPr>
        <w:ind w:left="1440" w:hanging="360"/>
      </w:pPr>
      <w:rPr>
        <w:rFonts w:ascii="Courier New" w:hAnsi="Courier New" w:cs="Courier New" w:hint="default"/>
      </w:rPr>
    </w:lvl>
    <w:lvl w:ilvl="2" w:tplc="884AF294" w:tentative="1">
      <w:start w:val="1"/>
      <w:numFmt w:val="bullet"/>
      <w:lvlText w:val=""/>
      <w:lvlJc w:val="left"/>
      <w:pPr>
        <w:ind w:left="2160" w:hanging="360"/>
      </w:pPr>
      <w:rPr>
        <w:rFonts w:ascii="Wingdings" w:hAnsi="Wingdings" w:hint="default"/>
      </w:rPr>
    </w:lvl>
    <w:lvl w:ilvl="3" w:tplc="C7965BB0" w:tentative="1">
      <w:start w:val="1"/>
      <w:numFmt w:val="bullet"/>
      <w:lvlText w:val=""/>
      <w:lvlJc w:val="left"/>
      <w:pPr>
        <w:ind w:left="2880" w:hanging="360"/>
      </w:pPr>
      <w:rPr>
        <w:rFonts w:ascii="Symbol" w:hAnsi="Symbol" w:hint="default"/>
      </w:rPr>
    </w:lvl>
    <w:lvl w:ilvl="4" w:tplc="DA4E858A" w:tentative="1">
      <w:start w:val="1"/>
      <w:numFmt w:val="bullet"/>
      <w:lvlText w:val="o"/>
      <w:lvlJc w:val="left"/>
      <w:pPr>
        <w:ind w:left="3600" w:hanging="360"/>
      </w:pPr>
      <w:rPr>
        <w:rFonts w:ascii="Courier New" w:hAnsi="Courier New" w:cs="Courier New" w:hint="default"/>
      </w:rPr>
    </w:lvl>
    <w:lvl w:ilvl="5" w:tplc="6ABC4EA6" w:tentative="1">
      <w:start w:val="1"/>
      <w:numFmt w:val="bullet"/>
      <w:lvlText w:val=""/>
      <w:lvlJc w:val="left"/>
      <w:pPr>
        <w:ind w:left="4320" w:hanging="360"/>
      </w:pPr>
      <w:rPr>
        <w:rFonts w:ascii="Wingdings" w:hAnsi="Wingdings" w:hint="default"/>
      </w:rPr>
    </w:lvl>
    <w:lvl w:ilvl="6" w:tplc="9AF4EAF0" w:tentative="1">
      <w:start w:val="1"/>
      <w:numFmt w:val="bullet"/>
      <w:lvlText w:val=""/>
      <w:lvlJc w:val="left"/>
      <w:pPr>
        <w:ind w:left="5040" w:hanging="360"/>
      </w:pPr>
      <w:rPr>
        <w:rFonts w:ascii="Symbol" w:hAnsi="Symbol" w:hint="default"/>
      </w:rPr>
    </w:lvl>
    <w:lvl w:ilvl="7" w:tplc="B5CE448E" w:tentative="1">
      <w:start w:val="1"/>
      <w:numFmt w:val="bullet"/>
      <w:lvlText w:val="o"/>
      <w:lvlJc w:val="left"/>
      <w:pPr>
        <w:ind w:left="5760" w:hanging="360"/>
      </w:pPr>
      <w:rPr>
        <w:rFonts w:ascii="Courier New" w:hAnsi="Courier New" w:cs="Courier New" w:hint="default"/>
      </w:rPr>
    </w:lvl>
    <w:lvl w:ilvl="8" w:tplc="533ECD3C"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DEA61FF2">
      <w:start w:val="1"/>
      <w:numFmt w:val="hebrew1"/>
      <w:pStyle w:val="7"/>
      <w:lvlText w:val="%1."/>
      <w:lvlJc w:val="left"/>
      <w:pPr>
        <w:ind w:left="794" w:hanging="397"/>
      </w:pPr>
      <w:rPr>
        <w:rFonts w:hint="default"/>
      </w:rPr>
    </w:lvl>
    <w:lvl w:ilvl="1" w:tplc="D0C82932" w:tentative="1">
      <w:start w:val="1"/>
      <w:numFmt w:val="lowerLetter"/>
      <w:lvlText w:val="%2."/>
      <w:lvlJc w:val="left"/>
      <w:pPr>
        <w:ind w:left="1440" w:hanging="360"/>
      </w:pPr>
    </w:lvl>
    <w:lvl w:ilvl="2" w:tplc="BBCE770E" w:tentative="1">
      <w:start w:val="1"/>
      <w:numFmt w:val="lowerRoman"/>
      <w:lvlText w:val="%3."/>
      <w:lvlJc w:val="right"/>
      <w:pPr>
        <w:ind w:left="2160" w:hanging="180"/>
      </w:pPr>
    </w:lvl>
    <w:lvl w:ilvl="3" w:tplc="E23E0B16" w:tentative="1">
      <w:start w:val="1"/>
      <w:numFmt w:val="decimal"/>
      <w:lvlText w:val="%4."/>
      <w:lvlJc w:val="left"/>
      <w:pPr>
        <w:ind w:left="2880" w:hanging="360"/>
      </w:pPr>
    </w:lvl>
    <w:lvl w:ilvl="4" w:tplc="C5586A2E" w:tentative="1">
      <w:start w:val="1"/>
      <w:numFmt w:val="lowerLetter"/>
      <w:lvlText w:val="%5."/>
      <w:lvlJc w:val="left"/>
      <w:pPr>
        <w:ind w:left="3600" w:hanging="360"/>
      </w:pPr>
    </w:lvl>
    <w:lvl w:ilvl="5" w:tplc="D4AEA6C4" w:tentative="1">
      <w:start w:val="1"/>
      <w:numFmt w:val="lowerRoman"/>
      <w:lvlText w:val="%6."/>
      <w:lvlJc w:val="right"/>
      <w:pPr>
        <w:ind w:left="4320" w:hanging="180"/>
      </w:pPr>
    </w:lvl>
    <w:lvl w:ilvl="6" w:tplc="1D747084" w:tentative="1">
      <w:start w:val="1"/>
      <w:numFmt w:val="decimal"/>
      <w:lvlText w:val="%7."/>
      <w:lvlJc w:val="left"/>
      <w:pPr>
        <w:ind w:left="5040" w:hanging="360"/>
      </w:pPr>
    </w:lvl>
    <w:lvl w:ilvl="7" w:tplc="E74E59A4" w:tentative="1">
      <w:start w:val="1"/>
      <w:numFmt w:val="lowerLetter"/>
      <w:lvlText w:val="%8."/>
      <w:lvlJc w:val="left"/>
      <w:pPr>
        <w:ind w:left="5760" w:hanging="360"/>
      </w:pPr>
    </w:lvl>
    <w:lvl w:ilvl="8" w:tplc="54C6C758"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B9852DE"/>
    <w:multiLevelType w:val="hybridMultilevel"/>
    <w:tmpl w:val="FE0E0CD0"/>
    <w:lvl w:ilvl="0" w:tplc="C316D09C">
      <w:start w:val="1"/>
      <w:numFmt w:val="decimal"/>
      <w:lvlText w:val="%1."/>
      <w:lvlJc w:val="left"/>
      <w:pPr>
        <w:ind w:left="397" w:hanging="397"/>
      </w:pPr>
      <w:rPr>
        <w:rFonts w:hint="default"/>
      </w:rPr>
    </w:lvl>
    <w:lvl w:ilvl="1" w:tplc="9CA84D3E" w:tentative="1">
      <w:start w:val="1"/>
      <w:numFmt w:val="lowerLetter"/>
      <w:lvlText w:val="%2."/>
      <w:lvlJc w:val="left"/>
      <w:pPr>
        <w:ind w:left="1440" w:hanging="360"/>
      </w:pPr>
    </w:lvl>
    <w:lvl w:ilvl="2" w:tplc="C060B79A" w:tentative="1">
      <w:start w:val="1"/>
      <w:numFmt w:val="lowerRoman"/>
      <w:lvlText w:val="%3."/>
      <w:lvlJc w:val="right"/>
      <w:pPr>
        <w:ind w:left="2160" w:hanging="180"/>
      </w:pPr>
    </w:lvl>
    <w:lvl w:ilvl="3" w:tplc="07D6F7AC" w:tentative="1">
      <w:start w:val="1"/>
      <w:numFmt w:val="decimal"/>
      <w:lvlText w:val="%4."/>
      <w:lvlJc w:val="left"/>
      <w:pPr>
        <w:ind w:left="2880" w:hanging="360"/>
      </w:pPr>
    </w:lvl>
    <w:lvl w:ilvl="4" w:tplc="04548728" w:tentative="1">
      <w:start w:val="1"/>
      <w:numFmt w:val="lowerLetter"/>
      <w:lvlText w:val="%5."/>
      <w:lvlJc w:val="left"/>
      <w:pPr>
        <w:ind w:left="3600" w:hanging="360"/>
      </w:pPr>
    </w:lvl>
    <w:lvl w:ilvl="5" w:tplc="920C45C8" w:tentative="1">
      <w:start w:val="1"/>
      <w:numFmt w:val="lowerRoman"/>
      <w:lvlText w:val="%6."/>
      <w:lvlJc w:val="right"/>
      <w:pPr>
        <w:ind w:left="4320" w:hanging="180"/>
      </w:pPr>
    </w:lvl>
    <w:lvl w:ilvl="6" w:tplc="672A10B4" w:tentative="1">
      <w:start w:val="1"/>
      <w:numFmt w:val="decimal"/>
      <w:lvlText w:val="%7."/>
      <w:lvlJc w:val="left"/>
      <w:pPr>
        <w:ind w:left="5040" w:hanging="360"/>
      </w:pPr>
    </w:lvl>
    <w:lvl w:ilvl="7" w:tplc="1C4033B4" w:tentative="1">
      <w:start w:val="1"/>
      <w:numFmt w:val="lowerLetter"/>
      <w:lvlText w:val="%8."/>
      <w:lvlJc w:val="left"/>
      <w:pPr>
        <w:ind w:left="5760" w:hanging="360"/>
      </w:pPr>
    </w:lvl>
    <w:lvl w:ilvl="8" w:tplc="0F967232" w:tentative="1">
      <w:start w:val="1"/>
      <w:numFmt w:val="lowerRoman"/>
      <w:lvlText w:val="%9."/>
      <w:lvlJc w:val="right"/>
      <w:pPr>
        <w:ind w:left="6480" w:hanging="180"/>
      </w:pPr>
    </w:lvl>
  </w:abstractNum>
  <w:abstractNum w:abstractNumId="9"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9"/>
  </w:num>
  <w:num w:numId="5">
    <w:abstractNumId w:val="0"/>
  </w:num>
  <w:num w:numId="6">
    <w:abstractNumId w:val="4"/>
  </w:num>
  <w:num w:numId="7">
    <w:abstractNumId w:val="7"/>
  </w:num>
  <w:num w:numId="8">
    <w:abstractNumId w:val="1"/>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ADC"/>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E"/>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31C"/>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1625"/>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352"/>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69C"/>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13"/>
    <w:rsid w:val="000F158C"/>
    <w:rsid w:val="000F1DEA"/>
    <w:rsid w:val="000F23C7"/>
    <w:rsid w:val="000F2408"/>
    <w:rsid w:val="000F2A10"/>
    <w:rsid w:val="000F2E36"/>
    <w:rsid w:val="000F2F7E"/>
    <w:rsid w:val="000F3700"/>
    <w:rsid w:val="000F3E58"/>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3E25"/>
    <w:rsid w:val="0010413A"/>
    <w:rsid w:val="00104FBC"/>
    <w:rsid w:val="00105970"/>
    <w:rsid w:val="00106A59"/>
    <w:rsid w:val="00107175"/>
    <w:rsid w:val="0010747A"/>
    <w:rsid w:val="00107707"/>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A4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50C"/>
    <w:rsid w:val="00190855"/>
    <w:rsid w:val="00190F93"/>
    <w:rsid w:val="00191D43"/>
    <w:rsid w:val="00191FF6"/>
    <w:rsid w:val="00192E51"/>
    <w:rsid w:val="00192F16"/>
    <w:rsid w:val="00193071"/>
    <w:rsid w:val="0019399F"/>
    <w:rsid w:val="00194286"/>
    <w:rsid w:val="00194332"/>
    <w:rsid w:val="00195732"/>
    <w:rsid w:val="00195BC7"/>
    <w:rsid w:val="00195C3F"/>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1C5"/>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0D62"/>
    <w:rsid w:val="001D1192"/>
    <w:rsid w:val="001D1EF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45B7"/>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3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2F39"/>
    <w:rsid w:val="00263521"/>
    <w:rsid w:val="00263A1E"/>
    <w:rsid w:val="00263DB7"/>
    <w:rsid w:val="002643D4"/>
    <w:rsid w:val="00264AC3"/>
    <w:rsid w:val="00264CFB"/>
    <w:rsid w:val="0026519B"/>
    <w:rsid w:val="00265428"/>
    <w:rsid w:val="002654D1"/>
    <w:rsid w:val="0026633D"/>
    <w:rsid w:val="0027101D"/>
    <w:rsid w:val="0027121E"/>
    <w:rsid w:val="0027188F"/>
    <w:rsid w:val="00273781"/>
    <w:rsid w:val="002739B2"/>
    <w:rsid w:val="00273FDF"/>
    <w:rsid w:val="0027424D"/>
    <w:rsid w:val="00274B10"/>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778"/>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5FD1"/>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58C6"/>
    <w:rsid w:val="002C65B3"/>
    <w:rsid w:val="002C6D22"/>
    <w:rsid w:val="002C70A2"/>
    <w:rsid w:val="002C7A5A"/>
    <w:rsid w:val="002C7D35"/>
    <w:rsid w:val="002C7FC3"/>
    <w:rsid w:val="002D083D"/>
    <w:rsid w:val="002D1688"/>
    <w:rsid w:val="002D1947"/>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72C"/>
    <w:rsid w:val="00302C17"/>
    <w:rsid w:val="00302DC7"/>
    <w:rsid w:val="0030338B"/>
    <w:rsid w:val="003038A7"/>
    <w:rsid w:val="00303B4E"/>
    <w:rsid w:val="0030415A"/>
    <w:rsid w:val="0030439D"/>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0C6"/>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88F"/>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2CD"/>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1DA"/>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65D"/>
    <w:rsid w:val="00434C19"/>
    <w:rsid w:val="00435E93"/>
    <w:rsid w:val="0043603B"/>
    <w:rsid w:val="00436048"/>
    <w:rsid w:val="00436479"/>
    <w:rsid w:val="0043662F"/>
    <w:rsid w:val="0043667B"/>
    <w:rsid w:val="00436B23"/>
    <w:rsid w:val="00436B37"/>
    <w:rsid w:val="00436EC1"/>
    <w:rsid w:val="0043708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552"/>
    <w:rsid w:val="00452950"/>
    <w:rsid w:val="00452FA4"/>
    <w:rsid w:val="00453265"/>
    <w:rsid w:val="00453750"/>
    <w:rsid w:val="004537EC"/>
    <w:rsid w:val="00453CEB"/>
    <w:rsid w:val="00454096"/>
    <w:rsid w:val="004547C8"/>
    <w:rsid w:val="0045495E"/>
    <w:rsid w:val="00454EF7"/>
    <w:rsid w:val="00455AD8"/>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84"/>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58"/>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456D"/>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1F0"/>
    <w:rsid w:val="0050657A"/>
    <w:rsid w:val="005073F1"/>
    <w:rsid w:val="00507986"/>
    <w:rsid w:val="00510184"/>
    <w:rsid w:val="00510973"/>
    <w:rsid w:val="00510A6C"/>
    <w:rsid w:val="00510D89"/>
    <w:rsid w:val="00511F6D"/>
    <w:rsid w:val="005125A5"/>
    <w:rsid w:val="00512DCB"/>
    <w:rsid w:val="00512EC5"/>
    <w:rsid w:val="005130A4"/>
    <w:rsid w:val="0051326F"/>
    <w:rsid w:val="00513BCD"/>
    <w:rsid w:val="00513F33"/>
    <w:rsid w:val="005147FC"/>
    <w:rsid w:val="005148A4"/>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256"/>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1A0"/>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39F0"/>
    <w:rsid w:val="00574579"/>
    <w:rsid w:val="00574593"/>
    <w:rsid w:val="005746FF"/>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CE3"/>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67"/>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5DE"/>
    <w:rsid w:val="005F39D9"/>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9CA"/>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AB"/>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35"/>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15F9"/>
    <w:rsid w:val="0067240D"/>
    <w:rsid w:val="006726E0"/>
    <w:rsid w:val="006742C5"/>
    <w:rsid w:val="00674A96"/>
    <w:rsid w:val="00674D18"/>
    <w:rsid w:val="006750F1"/>
    <w:rsid w:val="00675A81"/>
    <w:rsid w:val="0067643D"/>
    <w:rsid w:val="0067675D"/>
    <w:rsid w:val="00677A1C"/>
    <w:rsid w:val="00677C73"/>
    <w:rsid w:val="00677F7C"/>
    <w:rsid w:val="0068074C"/>
    <w:rsid w:val="00680A46"/>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C7C"/>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B07"/>
    <w:rsid w:val="006E3C03"/>
    <w:rsid w:val="006E3FE7"/>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38E6"/>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05B"/>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5E63"/>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0F0B"/>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D"/>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C96"/>
    <w:rsid w:val="00833E19"/>
    <w:rsid w:val="00834535"/>
    <w:rsid w:val="00834E18"/>
    <w:rsid w:val="00834E9C"/>
    <w:rsid w:val="008352B9"/>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B1E"/>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07B"/>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29BC"/>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74C"/>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1BE7"/>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E59"/>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4FD"/>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4F5"/>
    <w:rsid w:val="009A78AB"/>
    <w:rsid w:val="009B03D5"/>
    <w:rsid w:val="009B0A9C"/>
    <w:rsid w:val="009B10AE"/>
    <w:rsid w:val="009B1240"/>
    <w:rsid w:val="009B1690"/>
    <w:rsid w:val="009B18D7"/>
    <w:rsid w:val="009B1C40"/>
    <w:rsid w:val="009B1FD6"/>
    <w:rsid w:val="009B23EE"/>
    <w:rsid w:val="009B257E"/>
    <w:rsid w:val="009B30DD"/>
    <w:rsid w:val="009B3610"/>
    <w:rsid w:val="009B37D3"/>
    <w:rsid w:val="009B3DCF"/>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7AB"/>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173"/>
    <w:rsid w:val="009D33BC"/>
    <w:rsid w:val="009D41AC"/>
    <w:rsid w:val="009D4244"/>
    <w:rsid w:val="009D55EE"/>
    <w:rsid w:val="009D58A8"/>
    <w:rsid w:val="009D5970"/>
    <w:rsid w:val="009D59AE"/>
    <w:rsid w:val="009D5C32"/>
    <w:rsid w:val="009D5EF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0F9E"/>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8C7"/>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706"/>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4F"/>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6F9"/>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65D1"/>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CD"/>
    <w:rsid w:val="00B30FEF"/>
    <w:rsid w:val="00B31431"/>
    <w:rsid w:val="00B316BA"/>
    <w:rsid w:val="00B31D3D"/>
    <w:rsid w:val="00B32623"/>
    <w:rsid w:val="00B32BC9"/>
    <w:rsid w:val="00B331DC"/>
    <w:rsid w:val="00B33BCF"/>
    <w:rsid w:val="00B348CC"/>
    <w:rsid w:val="00B3520E"/>
    <w:rsid w:val="00B35546"/>
    <w:rsid w:val="00B3556A"/>
    <w:rsid w:val="00B35594"/>
    <w:rsid w:val="00B357E0"/>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A4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496"/>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4D1B"/>
    <w:rsid w:val="00C0531C"/>
    <w:rsid w:val="00C05806"/>
    <w:rsid w:val="00C05FA3"/>
    <w:rsid w:val="00C06A1F"/>
    <w:rsid w:val="00C06D0D"/>
    <w:rsid w:val="00C07158"/>
    <w:rsid w:val="00C073A5"/>
    <w:rsid w:val="00C10147"/>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762"/>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4FD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605"/>
    <w:rsid w:val="00C37741"/>
    <w:rsid w:val="00C37E3D"/>
    <w:rsid w:val="00C4041E"/>
    <w:rsid w:val="00C40C64"/>
    <w:rsid w:val="00C41011"/>
    <w:rsid w:val="00C416F2"/>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5E4"/>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63D"/>
    <w:rsid w:val="00CC5B06"/>
    <w:rsid w:val="00CC5B52"/>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2FAC"/>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868"/>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67"/>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8C1"/>
    <w:rsid w:val="00D35DC7"/>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313"/>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70"/>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4FDA"/>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6F61"/>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3B"/>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0F47"/>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A0"/>
    <w:rsid w:val="00E20FC3"/>
    <w:rsid w:val="00E21906"/>
    <w:rsid w:val="00E21BB4"/>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778ED"/>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4FF"/>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B7858"/>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5A96"/>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7DA"/>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6E71"/>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56E"/>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C99"/>
    <w:rsid w:val="00FD2DBC"/>
    <w:rsid w:val="00FD2FA7"/>
    <w:rsid w:val="00FD3B87"/>
    <w:rsid w:val="00FD4B79"/>
    <w:rsid w:val="00FD5465"/>
    <w:rsid w:val="00FD58EF"/>
    <w:rsid w:val="00FD5BC9"/>
    <w:rsid w:val="00FD620D"/>
    <w:rsid w:val="00FD64B8"/>
    <w:rsid w:val="00FD667B"/>
    <w:rsid w:val="00FD70D7"/>
    <w:rsid w:val="00FD7165"/>
    <w:rsid w:val="00FE00CF"/>
    <w:rsid w:val="00FE013B"/>
    <w:rsid w:val="00FE0207"/>
    <w:rsid w:val="00FE1303"/>
    <w:rsid w:val="00FE1ABB"/>
    <w:rsid w:val="00FE291B"/>
    <w:rsid w:val="00FE330C"/>
    <w:rsid w:val="00FE37D7"/>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a1"/>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Bullet List,FooterText,LP1,List Paragraph1,List Paragraph_0,List Paragraph_1,List Paragraph_2,Paragraphe de liste1,lp1,numbered,style 2,פיסקת bullets"/>
    <w:basedOn w:val="a0"/>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Bullet List תו,FooterText תו,LP1 תו,List Paragraph1 תו,List Paragraph_0 תו,List Paragraph_1 תו,List Paragraph_2 תו,Paragraphe de liste1 תו,lp1 תו,numbered תו,style 2 תו,פיסקת bullets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semiHidden/>
    <w:unhideWhenUsed/>
    <w:rsid w:val="006D5CCE"/>
    <w:pPr>
      <w:spacing w:line="240" w:lineRule="auto"/>
    </w:pPr>
    <w:rPr>
      <w:szCs w:val="20"/>
    </w:rPr>
  </w:style>
  <w:style w:type="character" w:customStyle="1" w:styleId="aff">
    <w:name w:val="טקסט הערת סיום תו"/>
    <w:basedOn w:val="a1"/>
    <w:link w:val="afe"/>
    <w:uiPriority w:val="99"/>
    <w:semiHidden/>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8"/>
    <w:uiPriority w:val="99"/>
    <w:rsid w:val="002516DF"/>
    <w:rPr>
      <w:rFonts w:eastAsia="Calibri"/>
    </w:rPr>
  </w:style>
  <w:style w:type="paragraph" w:customStyle="1" w:styleId="19">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9"/>
    <w:uiPriority w:val="99"/>
    <w:rsid w:val="002516DF"/>
    <w:rPr>
      <w:rFonts w:eastAsia="Calibri"/>
    </w:rPr>
  </w:style>
  <w:style w:type="paragraph" w:customStyle="1" w:styleId="1a">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a"/>
    <w:uiPriority w:val="99"/>
    <w:rsid w:val="002516DF"/>
    <w:rPr>
      <w:rFonts w:eastAsia="Calibri"/>
    </w:rPr>
  </w:style>
  <w:style w:type="character" w:customStyle="1" w:styleId="aff4">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d"/>
    <w:uiPriority w:val="99"/>
    <w:semiHidden/>
    <w:rsid w:val="002516DF"/>
    <w:rPr>
      <w:rFonts w:ascii="Tahoma" w:eastAsia="Calibri" w:hAnsi="Tahoma" w:cs="Tahoma"/>
      <w:sz w:val="18"/>
      <w:szCs w:val="18"/>
    </w:rPr>
  </w:style>
  <w:style w:type="paragraph" w:customStyle="1" w:styleId="1e">
    <w:name w:val="גוף טקסט1"/>
    <w:basedOn w:val="a0"/>
    <w:link w:val="1f"/>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4"/>
    <w:uiPriority w:val="99"/>
    <w:rsid w:val="002516DF"/>
    <w:rPr>
      <w:rFonts w:eastAsia="Calibri"/>
      <w:szCs w:val="20"/>
    </w:rPr>
  </w:style>
  <w:style w:type="paragraph" w:customStyle="1" w:styleId="1f5">
    <w:name w:val="נושא הערה1"/>
    <w:basedOn w:val="1f4"/>
    <w:next w:val="1f4"/>
    <w:link w:val="aff9"/>
    <w:uiPriority w:val="99"/>
    <w:semiHidden/>
    <w:unhideWhenUsed/>
    <w:rsid w:val="002516DF"/>
    <w:rPr>
      <w:b/>
      <w:bCs/>
    </w:rPr>
  </w:style>
  <w:style w:type="character" w:customStyle="1" w:styleId="aff9">
    <w:name w:val="נושא הערה תו"/>
    <w:link w:val="1f5"/>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6">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7">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5"/>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0"/>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1"/>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8"/>
    <w:link w:val="73ff0"/>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8">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0">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5"/>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2">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3">
    <w:name w:val="page number"/>
    <w:basedOn w:val="a1"/>
    <w:uiPriority w:val="99"/>
    <w:semiHidden/>
    <w:unhideWhenUsed/>
    <w:rsid w:val="005B2BF5"/>
  </w:style>
  <w:style w:type="table" w:customStyle="1" w:styleId="1f9">
    <w:name w:val="טבלת רשת1"/>
    <w:basedOn w:val="a2"/>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f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6">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ff8">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character" w:customStyle="1" w:styleId="1fa">
    <w:name w:val="אזכור לא מזוהה1"/>
    <w:basedOn w:val="a1"/>
    <w:uiPriority w:val="99"/>
    <w:semiHidden/>
    <w:unhideWhenUsed/>
    <w:rsid w:val="00FD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3.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ov.il/he/departments/Guides/data_security_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1D5D-6A4C-46AD-A1D1-001800634DEC}"/>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5DFF3180-731A-43E0-9FAB-7CE2526A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26</TotalTime>
  <Pages>22</Pages>
  <Words>4691</Words>
  <Characters>23457</Characters>
  <Application>Microsoft Office Word</Application>
  <DocSecurity>0</DocSecurity>
  <Lines>195</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אינטרנט</dc:creator>
  <cp:lastModifiedBy>אינטרנט</cp:lastModifiedBy>
  <cp:revision>16</cp:revision>
  <dcterms:created xsi:type="dcterms:W3CDTF">2023-11-29T06:43:00Z</dcterms:created>
  <dcterms:modified xsi:type="dcterms:W3CDTF">2023-12-19T09:33:00Z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