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bookmarkStart w:id="0" w:name="_Toc349122061"/>
    <w:bookmarkStart w:id="1" w:name="_Toc349136480"/>
    <w:bookmarkStart w:id="2" w:name="_Toc352831083"/>
    <w:bookmarkStart w:id="3" w:name="_Toc354324568"/>
    <w:bookmarkStart w:id="4" w:name="_Toc354661923"/>
    <w:p w:rsidR="00E077B7" w:rsidRPr="00590929" w:rsidP="003323CD" w14:paraId="44EF2C79" w14:textId="4D2D2D5B">
      <w:pPr>
        <w:spacing w:line="240" w:lineRule="exact"/>
        <w:jc w:val="both"/>
        <w:rPr>
          <w:rFonts w:ascii="Tahoma" w:hAnsi="Tahoma" w:cs="Tahoma"/>
          <w:sz w:val="17"/>
          <w:szCs w:val="18"/>
          <w:rtl/>
        </w:rPr>
      </w:pPr>
      <w:r>
        <w:rPr>
          <w:noProof/>
          <w:szCs w:val="18"/>
        </w:rPr>
        <mc:AlternateContent>
          <mc:Choice Requires="wps">
            <w:drawing>
              <wp:anchor distT="0" distB="0" distL="114300" distR="114300" simplePos="0" relativeHeight="251664384" behindDoc="0" locked="0" layoutInCell="1" allowOverlap="1">
                <wp:simplePos x="0" y="0"/>
                <wp:positionH relativeFrom="column">
                  <wp:posOffset>-307134</wp:posOffset>
                </wp:positionH>
                <wp:positionV relativeFrom="paragraph">
                  <wp:posOffset>-2140860</wp:posOffset>
                </wp:positionV>
                <wp:extent cx="6436840" cy="10836533"/>
                <wp:effectExtent l="12700" t="12700" r="15240" b="952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436840" cy="10836533"/>
                        </a:xfrm>
                        <a:prstGeom prst="rect">
                          <a:avLst/>
                        </a:prstGeom>
                        <a:solidFill>
                          <a:srgbClr val="0030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style="width:506.85pt;height:853.25pt;margin-top:-168.55pt;margin-left:-24.2pt;mso-height-percent:0;mso-height-relative:margin;mso-width-percent:0;mso-width-relative:margin;mso-wrap-distance-bottom:0;mso-wrap-distance-left:9pt;mso-wrap-distance-right:9pt;mso-wrap-distance-top:0;mso-wrap-style:square;position:absolute;visibility:visible;v-text-anchor:middle;z-index:251665408" fillcolor="#00305f" strokecolor="#073662" strokeweight="1.5pt">
                <v:stroke endcap="round"/>
              </v:rect>
            </w:pict>
          </mc:Fallback>
        </mc:AlternateContent>
      </w:r>
      <w:r w:rsidR="00316D38">
        <w:rPr>
          <w:rFonts w:ascii="Tahoma" w:hAnsi="Tahoma" w:cs="Tahoma"/>
          <w:noProof/>
          <w:sz w:val="17"/>
          <w:szCs w:val="18"/>
        </w:rPr>
        <mc:AlternateContent>
          <mc:Choice Requires="wps">
            <w:drawing>
              <wp:anchor distT="0" distB="0" distL="114300" distR="114300" simplePos="0" relativeHeight="251658240" behindDoc="0" locked="0" layoutInCell="1" allowOverlap="1">
                <wp:simplePos x="0" y="0"/>
                <wp:positionH relativeFrom="column">
                  <wp:posOffset>1550035</wp:posOffset>
                </wp:positionH>
                <wp:positionV relativeFrom="paragraph">
                  <wp:posOffset>1248410</wp:posOffset>
                </wp:positionV>
                <wp:extent cx="53975" cy="273494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3975" cy="27349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7" style="width:4.25pt;height:215.35pt;margin-top:98.3pt;margin-left:122.05pt;mso-height-percent:0;mso-height-relative:margin;mso-width-percent:0;mso-width-relative:margin;mso-wrap-distance-bottom:0;mso-wrap-distance-left:9pt;mso-wrap-distance-right:9pt;mso-wrap-distance-top:0;mso-wrap-style:square;position:absolute;visibility:visible;v-text-anchor:middle;z-index:251659264" fillcolor="white" stroked="f" strokeweight="1.5pt">
                <v:stroke endcap="round"/>
              </v:rect>
            </w:pict>
          </mc:Fallback>
        </mc:AlternateContent>
      </w:r>
      <w:r w:rsidR="00316D38">
        <w:rPr>
          <w:rFonts w:ascii="Tahoma" w:hAnsi="Tahoma" w:cs="Tahoma"/>
          <w:sz w:val="17"/>
          <w:szCs w:val="18"/>
          <w:rtl/>
        </w:rPr>
        <w:softHyphen/>
      </w:r>
      <w:r w:rsidR="00316D38">
        <w:rPr>
          <w:rFonts w:ascii="Tahoma" w:hAnsi="Tahoma" w:cs="Tahoma"/>
          <w:sz w:val="17"/>
          <w:szCs w:val="18"/>
          <w:rtl/>
        </w:rPr>
        <w:softHyphen/>
      </w:r>
    </w:p>
    <w:p w:rsidR="006C5F46" w:rsidRPr="00E077B7" w:rsidP="00E077B7" w14:paraId="268A03C9" w14:textId="13185450">
      <w:pPr>
        <w:pStyle w:val="NAME"/>
        <w:rPr>
          <w:rtl/>
        </w:rPr>
        <w:sectPr w:rsidSect="00D05191">
          <w:footerReference w:type="even" r:id="rId7"/>
          <w:footerReference w:type="default" r:id="rId8"/>
          <w:headerReference w:type="first" r:id="rId9"/>
          <w:pgSz w:w="11906" w:h="16838" w:code="9"/>
          <w:pgMar w:top="3119" w:right="2268" w:bottom="2268" w:left="2268" w:header="1985" w:footer="709" w:gutter="0"/>
          <w:pgNumType w:start="1"/>
          <w:cols w:space="708"/>
          <w:titlePg/>
          <w:bidi/>
          <w:rtlGutter/>
          <w:docGrid w:linePitch="360"/>
        </w:sectPr>
      </w:pPr>
      <w:r>
        <w:rPr>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1600487</wp:posOffset>
                </wp:positionH>
                <wp:positionV relativeFrom="paragraph">
                  <wp:posOffset>1024009</wp:posOffset>
                </wp:positionV>
                <wp:extent cx="0" cy="3650082"/>
                <wp:effectExtent l="25400" t="25400" r="25400" b="33020"/>
                <wp:wrapNone/>
                <wp:docPr id="1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650082"/>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8" style="mso-height-percent:0;mso-height-relative:margin;mso-width-percent:0;mso-width-relative:margin;mso-wrap-distance-bottom:0;mso-wrap-distance-left:9pt;mso-wrap-distance-right:9pt;mso-wrap-distance-top:0;mso-wrap-style:square;position:absolute;visibility:visible;z-index:251669504" from="126pt,80.65pt" to="126pt,368.05pt" strokecolor="white" strokeweight="4pt">
                <v:stroke endcap="round"/>
              </v:line>
            </w:pict>
          </mc:Fallback>
        </mc:AlternateContent>
      </w:r>
      <w:r w:rsidRPr="00E539EA">
        <w:rPr>
          <w:noProof/>
          <w:sz w:val="17"/>
          <w:szCs w:val="18"/>
        </w:rPr>
        <mc:AlternateContent>
          <mc:Choice Requires="wps">
            <w:drawing>
              <wp:anchor distT="0" distB="0" distL="114300" distR="114300" simplePos="0" relativeHeight="251673600" behindDoc="0" locked="0" layoutInCell="1" allowOverlap="1">
                <wp:simplePos x="0" y="0"/>
                <wp:positionH relativeFrom="column">
                  <wp:posOffset>1767205</wp:posOffset>
                </wp:positionH>
                <wp:positionV relativeFrom="paragraph">
                  <wp:posOffset>2776855</wp:posOffset>
                </wp:positionV>
                <wp:extent cx="3153410" cy="2560320"/>
                <wp:effectExtent l="0" t="0" r="0" b="0"/>
                <wp:wrapNone/>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3410" cy="2560320"/>
                        </a:xfrm>
                        <a:prstGeom prst="rect">
                          <a:avLst/>
                        </a:prstGeom>
                        <a:noFill/>
                        <a:ln w="9525">
                          <a:noFill/>
                          <a:miter lim="800000"/>
                          <a:headEnd/>
                          <a:tailEnd/>
                        </a:ln>
                      </wps:spPr>
                      <wps:txbx>
                        <w:txbxContent>
                          <w:p w:rsidR="00355057" w:rsidRPr="00133E28" w:rsidP="006B6A43" w14:textId="08073CA6">
                            <w:pPr>
                              <w:bidi w:val="0"/>
                              <w:spacing w:line="276" w:lineRule="auto"/>
                              <w:rPr>
                                <w:rFonts w:ascii="Tahoma" w:hAnsi="Tahoma" w:cs="Tahoma"/>
                                <w:b/>
                                <w:bCs/>
                                <w:color w:val="FFFFFF" w:themeColor="background1"/>
                                <w:spacing w:val="6"/>
                                <w:sz w:val="40"/>
                                <w:szCs w:val="40"/>
                              </w:rPr>
                            </w:pPr>
                            <w:r w:rsidRPr="00A37112">
                              <w:rPr>
                                <w:rFonts w:ascii="Tahoma" w:hAnsi="Tahoma" w:cs="Tahoma"/>
                                <w:b/>
                                <w:bCs/>
                                <w:color w:val="FFFFFF" w:themeColor="background1"/>
                                <w:spacing w:val="6"/>
                                <w:sz w:val="40"/>
                                <w:szCs w:val="40"/>
                              </w:rPr>
                              <w:t>Engagements Exempt</w:t>
                            </w:r>
                            <w:r w:rsidR="00C45779">
                              <w:rPr>
                                <w:rFonts w:ascii="Tahoma" w:hAnsi="Tahoma" w:cs="Tahoma"/>
                                <w:b/>
                                <w:bCs/>
                                <w:color w:val="FFFFFF" w:themeColor="background1"/>
                                <w:spacing w:val="6"/>
                                <w:sz w:val="40"/>
                                <w:szCs w:val="40"/>
                              </w:rPr>
                              <w:t>ed</w:t>
                            </w:r>
                            <w:r w:rsidRPr="00A37112">
                              <w:rPr>
                                <w:rFonts w:ascii="Tahoma" w:hAnsi="Tahoma" w:cs="Tahoma"/>
                                <w:b/>
                                <w:bCs/>
                                <w:color w:val="FFFFFF" w:themeColor="background1"/>
                                <w:spacing w:val="6"/>
                                <w:sz w:val="40"/>
                                <w:szCs w:val="40"/>
                              </w:rPr>
                              <w:t xml:space="preserve"> from Tender in the ICT Sector</w:t>
                            </w:r>
                          </w:p>
                          <w:p w:rsidR="00355057" w:rsidRPr="00950E0A" w:rsidP="00355057" w14:textId="77777777">
                            <w:pPr>
                              <w:bidi w:val="0"/>
                              <w:spacing w:after="0" w:line="240" w:lineRule="auto"/>
                              <w:rPr>
                                <w:rFonts w:asciiTheme="majorBidi" w:hAnsiTheme="majorBidi" w:cstheme="majorBidi"/>
                                <w:b/>
                                <w:bCs/>
                                <w:sz w:val="28"/>
                                <w:szCs w:val="28"/>
                                <w:rtl/>
                              </w:rPr>
                            </w:pPr>
                          </w:p>
                          <w:p w:rsidR="00E16003" w:rsidRPr="00950E0A" w:rsidP="00E16003" w14:textId="7DF0ECB1">
                            <w:pPr>
                              <w:bidi w:val="0"/>
                              <w:spacing w:after="0" w:line="600" w:lineRule="exact"/>
                              <w:rPr>
                                <w:rFonts w:asciiTheme="majorBidi" w:hAnsiTheme="majorBidi" w:cstheme="majorBidi"/>
                                <w:b/>
                                <w:bCs/>
                                <w:sz w:val="28"/>
                                <w:szCs w:val="28"/>
                                <w:rtl/>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248.3pt;height:201.6pt;margin-top:218.65pt;margin-left:139.15pt;mso-height-percent:0;mso-height-relative:margin;mso-width-percent:0;mso-width-relative:margin;mso-wrap-distance-bottom:0;mso-wrap-distance-left:9pt;mso-wrap-distance-right:9pt;mso-wrap-distance-top:0;mso-wrap-style:square;position:absolute;visibility:visible;v-text-anchor:top;z-index:251674624" filled="f" stroked="f">
                <v:textbox>
                  <w:txbxContent>
                    <w:p w:rsidR="00355057" w:rsidRPr="00133E28" w:rsidP="006B6A43" w14:paraId="6B027A3C" w14:textId="08073CA6">
                      <w:pPr>
                        <w:bidi w:val="0"/>
                        <w:spacing w:line="276" w:lineRule="auto"/>
                        <w:rPr>
                          <w:rFonts w:ascii="Tahoma" w:hAnsi="Tahoma" w:cs="Tahoma"/>
                          <w:b/>
                          <w:bCs/>
                          <w:color w:val="FFFFFF" w:themeColor="background1"/>
                          <w:spacing w:val="6"/>
                          <w:sz w:val="40"/>
                          <w:szCs w:val="40"/>
                        </w:rPr>
                      </w:pPr>
                      <w:r w:rsidRPr="00A37112">
                        <w:rPr>
                          <w:rFonts w:ascii="Tahoma" w:hAnsi="Tahoma" w:cs="Tahoma"/>
                          <w:b/>
                          <w:bCs/>
                          <w:color w:val="FFFFFF" w:themeColor="background1"/>
                          <w:spacing w:val="6"/>
                          <w:sz w:val="40"/>
                          <w:szCs w:val="40"/>
                        </w:rPr>
                        <w:t>Engagements Exempt</w:t>
                      </w:r>
                      <w:r w:rsidR="00C45779">
                        <w:rPr>
                          <w:rFonts w:ascii="Tahoma" w:hAnsi="Tahoma" w:cs="Tahoma"/>
                          <w:b/>
                          <w:bCs/>
                          <w:color w:val="FFFFFF" w:themeColor="background1"/>
                          <w:spacing w:val="6"/>
                          <w:sz w:val="40"/>
                          <w:szCs w:val="40"/>
                        </w:rPr>
                        <w:t>ed</w:t>
                      </w:r>
                      <w:r w:rsidRPr="00A37112">
                        <w:rPr>
                          <w:rFonts w:ascii="Tahoma" w:hAnsi="Tahoma" w:cs="Tahoma"/>
                          <w:b/>
                          <w:bCs/>
                          <w:color w:val="FFFFFF" w:themeColor="background1"/>
                          <w:spacing w:val="6"/>
                          <w:sz w:val="40"/>
                          <w:szCs w:val="40"/>
                        </w:rPr>
                        <w:t xml:space="preserve"> from Tender in the ICT Sector</w:t>
                      </w:r>
                    </w:p>
                    <w:p w:rsidR="00355057" w:rsidRPr="00950E0A" w:rsidP="00355057" w14:paraId="59184F06" w14:textId="77777777">
                      <w:pPr>
                        <w:bidi w:val="0"/>
                        <w:spacing w:after="0" w:line="240" w:lineRule="auto"/>
                        <w:rPr>
                          <w:rFonts w:asciiTheme="majorBidi" w:hAnsiTheme="majorBidi" w:cstheme="majorBidi"/>
                          <w:b/>
                          <w:bCs/>
                          <w:sz w:val="28"/>
                          <w:szCs w:val="28"/>
                          <w:rtl/>
                        </w:rPr>
                      </w:pPr>
                    </w:p>
                    <w:p w:rsidR="00E16003" w:rsidRPr="00950E0A" w:rsidP="00E16003" w14:paraId="28E63122" w14:textId="7DF0ECB1">
                      <w:pPr>
                        <w:bidi w:val="0"/>
                        <w:spacing w:after="0" w:line="600" w:lineRule="exact"/>
                        <w:rPr>
                          <w:rFonts w:asciiTheme="majorBidi" w:hAnsiTheme="majorBidi" w:cstheme="majorBidi"/>
                          <w:b/>
                          <w:bCs/>
                          <w:sz w:val="28"/>
                          <w:szCs w:val="28"/>
                          <w:rtl/>
                        </w:rPr>
                      </w:pPr>
                    </w:p>
                  </w:txbxContent>
                </v:textbox>
              </v:shape>
            </w:pict>
          </mc:Fallback>
        </mc:AlternateContent>
      </w:r>
      <w:r w:rsidRPr="00E539EA">
        <w:rPr>
          <w:noProof/>
          <w:sz w:val="17"/>
          <w:szCs w:val="18"/>
        </w:rPr>
        <mc:AlternateContent>
          <mc:Choice Requires="wps">
            <w:drawing>
              <wp:anchor distT="0" distB="0" distL="114300" distR="114300" simplePos="0" relativeHeight="251671552" behindDoc="0" locked="0" layoutInCell="1" allowOverlap="1">
                <wp:simplePos x="0" y="0"/>
                <wp:positionH relativeFrom="column">
                  <wp:posOffset>1775460</wp:posOffset>
                </wp:positionH>
                <wp:positionV relativeFrom="paragraph">
                  <wp:posOffset>2336800</wp:posOffset>
                </wp:positionV>
                <wp:extent cx="3226435" cy="317500"/>
                <wp:effectExtent l="0" t="0" r="0" b="0"/>
                <wp:wrapNone/>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26435" cy="317500"/>
                        </a:xfrm>
                        <a:prstGeom prst="rect">
                          <a:avLst/>
                        </a:prstGeom>
                        <a:noFill/>
                        <a:ln w="9525">
                          <a:noFill/>
                          <a:miter lim="800000"/>
                          <a:headEnd/>
                          <a:tailEnd/>
                        </a:ln>
                      </wps:spPr>
                      <wps:txbx>
                        <w:txbxContent>
                          <w:p w:rsidR="00E16003" w:rsidRPr="00463924" w:rsidP="004736B8" w14:textId="07AA71A5">
                            <w:pPr>
                              <w:bidi w:val="0"/>
                              <w:spacing w:line="276" w:lineRule="auto"/>
                              <w:rPr>
                                <w:rFonts w:ascii="Tahoma" w:hAnsi="Tahoma" w:cs="Tahoma"/>
                                <w:color w:val="FFFFFF" w:themeColor="background1"/>
                                <w:spacing w:val="6"/>
                                <w:sz w:val="28"/>
                                <w:szCs w:val="28"/>
                                <w:rtl/>
                                <w:lang w:val="en"/>
                              </w:rPr>
                            </w:pPr>
                            <w:r w:rsidRPr="002F0E08">
                              <w:rPr>
                                <w:rFonts w:ascii="Tahoma" w:hAnsi="Tahoma" w:cs="Tahoma"/>
                                <w:color w:val="FFFFFF" w:themeColor="background1"/>
                                <w:sz w:val="28"/>
                                <w:szCs w:val="28"/>
                                <w:lang w:val="en"/>
                              </w:rPr>
                              <w:t>Systemic Topics</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254.05pt;height:25pt;margin-top:184pt;margin-left:139.8pt;mso-height-percent:0;mso-height-relative:margin;mso-width-percent:0;mso-width-relative:margin;mso-wrap-distance-bottom:0;mso-wrap-distance-left:9pt;mso-wrap-distance-right:9pt;mso-wrap-distance-top:0;mso-wrap-style:square;position:absolute;visibility:visible;v-text-anchor:top;z-index:251672576" filled="f" stroked="f">
                <v:textbox>
                  <w:txbxContent>
                    <w:p w:rsidR="00E16003" w:rsidRPr="00463924" w:rsidP="004736B8" w14:paraId="5EE59732" w14:textId="07AA71A5">
                      <w:pPr>
                        <w:bidi w:val="0"/>
                        <w:spacing w:line="276" w:lineRule="auto"/>
                        <w:rPr>
                          <w:rFonts w:ascii="Tahoma" w:hAnsi="Tahoma" w:cs="Tahoma"/>
                          <w:color w:val="FFFFFF" w:themeColor="background1"/>
                          <w:spacing w:val="6"/>
                          <w:sz w:val="28"/>
                          <w:szCs w:val="28"/>
                          <w:rtl/>
                          <w:lang w:val="en"/>
                        </w:rPr>
                      </w:pPr>
                      <w:r w:rsidRPr="002F0E08">
                        <w:rPr>
                          <w:rFonts w:ascii="Tahoma" w:hAnsi="Tahoma" w:cs="Tahoma"/>
                          <w:color w:val="FFFFFF" w:themeColor="background1"/>
                          <w:sz w:val="28"/>
                          <w:szCs w:val="28"/>
                          <w:lang w:val="en"/>
                        </w:rPr>
                        <w:t xml:space="preserve">Systemic </w:t>
                      </w:r>
                      <w:r w:rsidRPr="002F0E08">
                        <w:rPr>
                          <w:rFonts w:ascii="Tahoma" w:hAnsi="Tahoma" w:cs="Tahoma"/>
                          <w:color w:val="FFFFFF" w:themeColor="background1"/>
                          <w:sz w:val="28"/>
                          <w:szCs w:val="28"/>
                          <w:lang w:val="en"/>
                        </w:rPr>
                        <w:t>Topics</w:t>
                      </w:r>
                    </w:p>
                  </w:txbxContent>
                </v:textbox>
              </v:shape>
            </w:pict>
          </mc:Fallback>
        </mc:AlternateContent>
      </w:r>
      <w:r>
        <w:rPr>
          <w:noProof/>
          <w:sz w:val="22"/>
          <w:szCs w:val="22"/>
          <w:rtl/>
          <w:lang w:val="he-IL"/>
        </w:rPr>
        <mc:AlternateContent>
          <mc:Choice Requires="wps">
            <w:drawing>
              <wp:anchor distT="0" distB="0" distL="114300" distR="114300" simplePos="0" relativeHeight="251680768" behindDoc="0" locked="0" layoutInCell="1" allowOverlap="1">
                <wp:simplePos x="0" y="0"/>
                <wp:positionH relativeFrom="column">
                  <wp:posOffset>1849755</wp:posOffset>
                </wp:positionH>
                <wp:positionV relativeFrom="paragraph">
                  <wp:posOffset>2724191</wp:posOffset>
                </wp:positionV>
                <wp:extent cx="3074670" cy="0"/>
                <wp:effectExtent l="12700" t="12700" r="24130" b="12700"/>
                <wp:wrapNone/>
                <wp:docPr id="24"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307467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 y;mso-height-percent:0;mso-height-relative:margin;mso-width-percent:0;mso-width-relative:margin;mso-wrap-distance-bottom:0;mso-wrap-distance-left:9pt;mso-wrap-distance-right:9pt;mso-wrap-distance-top:0;mso-wrap-style:square;position:absolute;visibility:visible;z-index:251681792" from="145.65pt,214.5pt" to="387.75pt,214.5pt" strokecolor="white" strokeweight="1.5pt">
                <v:stroke endcap="round"/>
              </v:line>
            </w:pict>
          </mc:Fallback>
        </mc:AlternateContent>
      </w:r>
      <w:r w:rsidRPr="00E539EA">
        <w:rPr>
          <w:noProof/>
          <w:sz w:val="17"/>
          <w:szCs w:val="18"/>
        </w:rPr>
        <mc:AlternateContent>
          <mc:Choice Requires="wps">
            <w:drawing>
              <wp:anchor distT="0" distB="0" distL="114300" distR="114300" simplePos="0" relativeHeight="251675648" behindDoc="0" locked="0" layoutInCell="1" allowOverlap="1">
                <wp:simplePos x="0" y="0"/>
                <wp:positionH relativeFrom="column">
                  <wp:posOffset>1774968</wp:posOffset>
                </wp:positionH>
                <wp:positionV relativeFrom="paragraph">
                  <wp:posOffset>1374693</wp:posOffset>
                </wp:positionV>
                <wp:extent cx="3146364" cy="530942"/>
                <wp:effectExtent l="0" t="0" r="0"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46364" cy="530942"/>
                        </a:xfrm>
                        <a:prstGeom prst="rect">
                          <a:avLst/>
                        </a:prstGeom>
                        <a:noFill/>
                        <a:ln w="9525">
                          <a:noFill/>
                          <a:miter lim="800000"/>
                          <a:headEnd/>
                          <a:tailEnd/>
                        </a:ln>
                      </wps:spPr>
                      <wps:txbx>
                        <w:txbxContent>
                          <w:p w:rsidR="00E16003" w:rsidRPr="00CE2FA5" w:rsidP="00B121DD" w14:textId="529FDCE5">
                            <w:pPr>
                              <w:bidi w:val="0"/>
                              <w:rPr>
                                <w:rFonts w:ascii="Tahoma" w:hAnsi="Tahoma" w:cs="Tahoma"/>
                                <w:color w:val="FFFFFF" w:themeColor="background1"/>
                                <w:spacing w:val="6"/>
                                <w:sz w:val="17"/>
                                <w:szCs w:val="17"/>
                              </w:rPr>
                            </w:pPr>
                            <w:r w:rsidRPr="000903F8">
                              <w:rPr>
                                <w:rFonts w:ascii="Tahoma" w:hAnsi="Tahoma" w:cs="Tahoma"/>
                                <w:color w:val="FFFFFF" w:themeColor="background1"/>
                                <w:spacing w:val="6"/>
                                <w:sz w:val="17"/>
                                <w:szCs w:val="17"/>
                              </w:rPr>
                              <w:t>State Comptroller's Report – Cyber and Information Systems | May 2023</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247.75pt;height:41.8pt;margin-top:108.25pt;margin-left:139.75pt;mso-height-percent:0;mso-height-relative:margin;mso-width-percent:0;mso-width-relative:margin;mso-wrap-distance-bottom:0;mso-wrap-distance-left:9pt;mso-wrap-distance-right:9pt;mso-wrap-distance-top:0;mso-wrap-style:square;position:absolute;visibility:visible;v-text-anchor:top;z-index:251676672" filled="f" stroked="f">
                <v:textbox>
                  <w:txbxContent>
                    <w:p w:rsidR="00E16003" w:rsidRPr="00CE2FA5" w:rsidP="00B121DD" w14:paraId="5156A4BB" w14:textId="529FDCE5">
                      <w:pPr>
                        <w:bidi w:val="0"/>
                        <w:rPr>
                          <w:rFonts w:ascii="Tahoma" w:hAnsi="Tahoma" w:cs="Tahoma"/>
                          <w:color w:val="FFFFFF" w:themeColor="background1"/>
                          <w:spacing w:val="6"/>
                          <w:sz w:val="17"/>
                          <w:szCs w:val="17"/>
                        </w:rPr>
                      </w:pPr>
                      <w:r w:rsidRPr="000903F8">
                        <w:rPr>
                          <w:rFonts w:ascii="Tahoma" w:hAnsi="Tahoma" w:cs="Tahoma"/>
                          <w:color w:val="FFFFFF" w:themeColor="background1"/>
                          <w:spacing w:val="6"/>
                          <w:sz w:val="17"/>
                          <w:szCs w:val="17"/>
                        </w:rPr>
                        <w:t>State Comptroller's Report – Cyber and Information Systems | May 2023</w:t>
                      </w:r>
                    </w:p>
                  </w:txbxContent>
                </v:textbox>
              </v:shape>
            </w:pict>
          </mc:Fallback>
        </mc:AlternateContent>
      </w:r>
      <w:r w:rsidR="00B650F8">
        <w:rPr>
          <w:noProof/>
          <w:sz w:val="22"/>
          <w:szCs w:val="22"/>
          <w:rtl/>
          <w:lang w:val="he-IL"/>
        </w:rPr>
        <w:drawing>
          <wp:anchor distT="0" distB="0" distL="114300" distR="114300" simplePos="0" relativeHeight="251670528" behindDoc="0" locked="0" layoutInCell="1" allowOverlap="1">
            <wp:simplePos x="0" y="0"/>
            <wp:positionH relativeFrom="column">
              <wp:posOffset>471805</wp:posOffset>
            </wp:positionH>
            <wp:positionV relativeFrom="paragraph">
              <wp:posOffset>1159510</wp:posOffset>
            </wp:positionV>
            <wp:extent cx="1010285" cy="707390"/>
            <wp:effectExtent l="0" t="0" r="0" b="0"/>
            <wp:wrapSquare wrapText="bothSides"/>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Pr>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8342613</wp:posOffset>
                </wp:positionH>
                <wp:positionV relativeFrom="paragraph">
                  <wp:posOffset>748665</wp:posOffset>
                </wp:positionV>
                <wp:extent cx="0" cy="3448050"/>
                <wp:effectExtent l="25400" t="25400" r="25400" b="31750"/>
                <wp:wrapNone/>
                <wp:docPr id="13"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44805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33" style="mso-height-percent:0;mso-height-relative:margin;mso-wrap-distance-bottom:0;mso-wrap-distance-left:9pt;mso-wrap-distance-right:9pt;mso-wrap-distance-top:0;mso-wrap-style:square;position:absolute;visibility:visible;z-index:251667456" from="656.9pt,58.95pt" to="656.9pt,330.45pt" strokecolor="white" strokeweight="4pt">
                <v:stroke endcap="round"/>
              </v:line>
            </w:pict>
          </mc:Fallback>
        </mc:AlternateContent>
      </w:r>
    </w:p>
    <w:p w:rsidR="00F1368B" w:rsidRPr="00590929" w:rsidP="003323CD" w14:paraId="17C00A18" w14:textId="77777777">
      <w:pPr>
        <w:spacing w:line="240" w:lineRule="exact"/>
        <w:jc w:val="both"/>
        <w:rPr>
          <w:rFonts w:ascii="Tahoma" w:hAnsi="Tahoma" w:cs="Tahoma"/>
          <w:sz w:val="17"/>
          <w:szCs w:val="18"/>
          <w:rtl/>
        </w:rPr>
      </w:pPr>
    </w:p>
    <w:p w:rsidR="00327FBF" w:rsidRPr="0010599F" w:rsidP="003323CD" w14:paraId="3D4FE68D" w14:textId="77777777">
      <w:pPr>
        <w:spacing w:line="240" w:lineRule="exact"/>
        <w:jc w:val="both"/>
        <w:rPr>
          <w:rFonts w:ascii="Tahoma" w:hAnsi="Tahoma" w:cs="Tahoma"/>
          <w:sz w:val="17"/>
          <w:szCs w:val="17"/>
          <w:rtl/>
        </w:rPr>
        <w:sectPr w:rsidSect="00D05191">
          <w:headerReference w:type="even" r:id="rId11"/>
          <w:headerReference w:type="default" r:id="rId12"/>
          <w:headerReference w:type="first" r:id="rId13"/>
          <w:pgSz w:w="11906" w:h="16838" w:code="9"/>
          <w:pgMar w:top="3119" w:right="2268" w:bottom="2268" w:left="2268" w:header="1871" w:footer="709" w:gutter="0"/>
          <w:pgNumType w:start="2"/>
          <w:cols w:space="708"/>
          <w:titlePg/>
          <w:bidi/>
          <w:rtlGutter/>
          <w:docGrid w:linePitch="360"/>
        </w:sectPr>
      </w:pPr>
    </w:p>
    <w:bookmarkEnd w:id="0"/>
    <w:bookmarkEnd w:id="1"/>
    <w:bookmarkEnd w:id="2"/>
    <w:bookmarkEnd w:id="3"/>
    <w:bookmarkEnd w:id="4"/>
    <w:p w:rsidR="001D65CE" w:rsidRPr="00A37112" w:rsidP="001D65CE" w14:paraId="647EBF7B" w14:textId="76803799">
      <w:pPr>
        <w:pStyle w:val="7120"/>
        <w:bidi w:val="0"/>
        <w:spacing w:before="0" w:after="0"/>
        <w:ind w:right="-142"/>
        <w:rPr>
          <w:rFonts w:eastAsiaTheme="majorEastAsia"/>
          <w:sz w:val="34"/>
          <w:rtl/>
        </w:rPr>
      </w:pPr>
      <w:r>
        <w:rPr>
          <w:rFonts w:eastAsiaTheme="majorEastAsia" w:hint="cs"/>
          <w:noProof/>
          <w:sz w:val="34"/>
        </w:rPr>
        <mc:AlternateContent>
          <mc:Choice Requires="wps">
            <w:drawing>
              <wp:anchor distT="0" distB="0" distL="114300" distR="114300" simplePos="0" relativeHeight="251682816" behindDoc="0" locked="0" layoutInCell="1" allowOverlap="1">
                <wp:simplePos x="0" y="0"/>
                <wp:positionH relativeFrom="column">
                  <wp:posOffset>5069205</wp:posOffset>
                </wp:positionH>
                <wp:positionV relativeFrom="paragraph">
                  <wp:posOffset>199256</wp:posOffset>
                </wp:positionV>
                <wp:extent cx="192405" cy="6086475"/>
                <wp:effectExtent l="0" t="0" r="0" b="0"/>
                <wp:wrapNone/>
                <wp:docPr id="31" name="מלבן 31"/>
                <wp:cNvGraphicFramePr/>
                <a:graphic xmlns:a="http://schemas.openxmlformats.org/drawingml/2006/main">
                  <a:graphicData uri="http://schemas.microsoft.com/office/word/2010/wordprocessingShape">
                    <wps:wsp xmlns:wps="http://schemas.microsoft.com/office/word/2010/wordprocessingShape">
                      <wps:cNvSpPr/>
                      <wps:spPr>
                        <a:xfrm>
                          <a:off x="0" y="0"/>
                          <a:ext cx="192405" cy="6086475"/>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31" o:spid="_x0000_s1034" style="width:15.15pt;height:479.25pt;margin-top:15.7pt;margin-left:399.15pt;mso-height-percent:0;mso-height-relative:margin;mso-width-percent:0;mso-width-relative:margin;mso-wrap-distance-bottom:0;mso-wrap-distance-left:9pt;mso-wrap-distance-right:9pt;mso-wrap-distance-top:0;mso-wrap-style:square;position:absolute;visibility:visible;v-text-anchor:middle;z-index:251683840" fillcolor="#00305f" stroked="f" strokeweight="1.5pt">
                <v:stroke endcap="round"/>
              </v:rect>
            </w:pict>
          </mc:Fallback>
        </mc:AlternateContent>
      </w:r>
      <w:r w:rsidRPr="00A37112" w:rsidR="00A37112">
        <w:rPr>
          <w:rFonts w:eastAsiaTheme="majorEastAsia"/>
          <w:noProof/>
          <w:sz w:val="34"/>
        </w:rPr>
        <w:t>Engagements Exempt</w:t>
      </w:r>
      <w:r w:rsidR="00C45779">
        <w:rPr>
          <w:rFonts w:eastAsiaTheme="majorEastAsia"/>
          <w:noProof/>
          <w:sz w:val="34"/>
        </w:rPr>
        <w:t>ed</w:t>
      </w:r>
      <w:r w:rsidRPr="00A37112" w:rsidR="00A37112">
        <w:rPr>
          <w:rFonts w:eastAsiaTheme="majorEastAsia"/>
          <w:noProof/>
          <w:sz w:val="34"/>
        </w:rPr>
        <w:t xml:space="preserve"> from Tender in the ICT Sector</w:t>
      </w:r>
    </w:p>
    <w:p w:rsidR="00605DF2" w:rsidP="00BB1479" w14:paraId="55A1FDE5" w14:textId="335E4CD7">
      <w:pPr>
        <w:bidi w:val="0"/>
        <w:spacing w:before="360" w:after="240" w:line="240" w:lineRule="atLeast"/>
        <w:jc w:val="both"/>
        <w:rPr>
          <w:rFonts w:ascii="Tahoma" w:hAnsi="Tahoma" w:cs="Tahoma"/>
          <w:color w:val="0D0D0D" w:themeColor="text1" w:themeTint="F2"/>
          <w:sz w:val="24"/>
          <w:szCs w:val="18"/>
          <w:rtl/>
        </w:rPr>
      </w:pPr>
      <w:r>
        <w:rPr>
          <w:rFonts w:ascii="Tahoma" w:hAnsi="Tahoma" w:cs="Tahoma"/>
          <w:noProof/>
          <w:color w:val="0D0D0D" w:themeColor="text1" w:themeTint="F2"/>
          <w:sz w:val="24"/>
          <w:szCs w:val="18"/>
          <w:rtl/>
        </w:rPr>
        <w:drawing>
          <wp:inline distT="0" distB="0" distL="0" distR="0">
            <wp:extent cx="1335027" cy="32091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5027" cy="320919"/>
                    </a:xfrm>
                    <a:prstGeom prst="rect">
                      <a:avLst/>
                    </a:prstGeom>
                  </pic:spPr>
                </pic:pic>
              </a:graphicData>
            </a:graphic>
          </wp:inline>
        </w:drawing>
      </w:r>
    </w:p>
    <w:p w:rsidR="0009228A" w:rsidRPr="00107277" w:rsidP="0009228A" w14:paraId="1AB61BF0" w14:textId="77777777">
      <w:pPr>
        <w:pStyle w:val="719"/>
        <w:bidi w:val="0"/>
      </w:pPr>
      <w:r w:rsidRPr="00107277">
        <w:t>Government procurement is a central pillar in the activity of government bodies since most government activity depends on the procurement of goods or services. An efficient government procurement system ensures proper conduct and optimal utilization of public funds. Streamlining ICT procurement, based on technology that changes frequently, is essential for promoting ICT and technological innovation in government bodies. The transparency of procurement procedures in the government is of great importance, both from a Moral Perception of responsibility for public funds and from a professional aspect, according to which a transparent and competitive procurement process will bring better results for the government bodies. In June 2022, a draft was published for public comments regarding the amendment to the Mandatory Tenders Regulations, 1993.</w:t>
      </w:r>
    </w:p>
    <w:p w:rsidR="0009228A" w:rsidRPr="00107277" w:rsidP="0009228A" w14:paraId="575A7B03" w14:textId="77777777">
      <w:pPr>
        <w:pStyle w:val="719"/>
        <w:bidi w:val="0"/>
      </w:pPr>
      <w:r w:rsidRPr="00107277">
        <w:t>The scope of ICT procurement in 2019</w:t>
      </w:r>
      <m:oMath>
        <m:r>
          <m:rPr>
            <m:sty m:val="p"/>
          </m:rPr>
          <w:rPr>
            <w:rFonts w:ascii="Cambria Math" w:hAnsi="Cambria Math"/>
          </w:rPr>
          <m:t>-</m:t>
        </m:r>
      </m:oMath>
      <w:r w:rsidRPr="00107277">
        <w:t>2021 was about NIS 14.4 billion, about 15.6% of the total government procurement in these years. The scope of ICT procurement carried out through exempt from the tender in 2019</w:t>
      </w:r>
      <m:oMath>
        <m:r>
          <m:rPr>
            <m:sty m:val="p"/>
          </m:rPr>
          <w:rPr>
            <w:rFonts w:ascii="Cambria Math" w:hAnsi="Cambria Math"/>
          </w:rPr>
          <m:t>-</m:t>
        </m:r>
      </m:oMath>
      <w:r w:rsidRPr="00107277">
        <w:t>2021 was about NIS 1.79 billion, about 14.2% of total ICT procurement in those years.</w:t>
      </w:r>
    </w:p>
    <w:p w:rsidR="0015187B" w:rsidP="0015187B" w14:paraId="19EA9AF1" w14:textId="319D1B55">
      <w:pPr>
        <w:pStyle w:val="719"/>
        <w:bidi w:val="0"/>
        <w:spacing w:after="360"/>
      </w:pPr>
    </w:p>
    <w:p w:rsidR="00C50F58" w14:paraId="732E4F63" w14:textId="601C6591">
      <w:pPr>
        <w:bidi w:val="0"/>
        <w:rPr>
          <w:rFonts w:ascii="Tahoma" w:hAnsi="Tahoma" w:eastAsiaTheme="minorHAnsi" w:cs="Tahoma"/>
          <w:color w:val="0D0D0D" w:themeColor="text1" w:themeTint="F2"/>
          <w:sz w:val="18"/>
          <w:szCs w:val="18"/>
        </w:rPr>
      </w:pPr>
      <w:r>
        <w:br w:type="page"/>
      </w:r>
    </w:p>
    <w:p w:rsidR="008A5E62" w:rsidRPr="00DA3862" w:rsidP="003E0EAA" w14:paraId="498BB033" w14:textId="57B15B91">
      <w:pPr>
        <w:bidi w:val="0"/>
        <w:spacing w:before="240" w:after="180" w:line="240" w:lineRule="atLeast"/>
        <w:jc w:val="both"/>
        <w:rPr>
          <w:rtl/>
        </w:rPr>
      </w:pPr>
      <w:r>
        <w:rPr>
          <w:noProof/>
          <w:rtl/>
        </w:rPr>
        <w:drawing>
          <wp:inline distT="0" distB="0" distL="0" distR="0">
            <wp:extent cx="1328928" cy="319454"/>
            <wp:effectExtent l="0" t="0" r="508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28928" cy="319454"/>
                    </a:xfrm>
                    <a:prstGeom prst="rect">
                      <a:avLst/>
                    </a:prstGeom>
                  </pic:spPr>
                </pic:pic>
              </a:graphicData>
            </a:graphic>
          </wp:inline>
        </w:drawing>
      </w:r>
    </w:p>
    <w:tbl>
      <w:tblPr>
        <w:tblStyle w:val="TableGrid"/>
        <w:tblW w:w="7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
      <w:tblGrid>
        <w:gridCol w:w="1663"/>
        <w:gridCol w:w="175"/>
        <w:gridCol w:w="1668"/>
        <w:gridCol w:w="175"/>
        <w:gridCol w:w="1666"/>
        <w:gridCol w:w="175"/>
        <w:gridCol w:w="155"/>
        <w:gridCol w:w="1518"/>
        <w:gridCol w:w="193"/>
      </w:tblGrid>
      <w:tr w14:paraId="5198069E" w14:textId="77777777" w:rsidTr="004B2754">
        <w:tblPrEx>
          <w:tblW w:w="7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tblPrEx>
        <w:trPr>
          <w:gridAfter w:val="1"/>
          <w:wAfter w:w="201" w:type="dxa"/>
        </w:trPr>
        <w:tc>
          <w:tcPr>
            <w:tcW w:w="1701" w:type="dxa"/>
            <w:tcBorders>
              <w:bottom w:val="single" w:sz="8" w:space="0" w:color="auto"/>
            </w:tcBorders>
            <w:vAlign w:val="bottom"/>
          </w:tcPr>
          <w:p w:rsidR="0009228A" w:rsidRPr="0009228A" w:rsidP="0009228A" w14:paraId="1FB37F5E" w14:textId="520E90F7">
            <w:pPr>
              <w:bidi w:val="0"/>
              <w:spacing w:before="120" w:after="60" w:line="240" w:lineRule="auto"/>
              <w:rPr>
                <w:rFonts w:ascii="Tahoma" w:hAnsi="Tahoma" w:cs="Tahoma"/>
                <w:b/>
                <w:bCs/>
                <w:color w:val="0D0D0D" w:themeColor="text1" w:themeTint="F2"/>
                <w:sz w:val="24"/>
                <w:szCs w:val="24"/>
                <w:rtl/>
              </w:rPr>
            </w:pPr>
            <w:r w:rsidRPr="0009228A">
              <w:rPr>
                <w:rFonts w:ascii="Tahoma" w:hAnsi="Tahoma" w:cs="Tahoma"/>
                <w:b/>
                <w:bCs/>
                <w:sz w:val="26"/>
                <w:szCs w:val="26"/>
              </w:rPr>
              <w:t>NIS</w:t>
            </w:r>
            <w:r w:rsidRPr="0009228A">
              <w:rPr>
                <w:rFonts w:ascii="Tahoma" w:hAnsi="Tahoma" w:cs="Tahoma"/>
                <w:b/>
                <w:bCs/>
                <w:color w:val="0D0D0D" w:themeColor="text1" w:themeTint="F2"/>
                <w:sz w:val="36"/>
                <w:szCs w:val="36"/>
              </w:rPr>
              <w:t xml:space="preserve"> 14.4 </w:t>
            </w:r>
            <w:r w:rsidRPr="0009228A">
              <w:rPr>
                <w:rFonts w:ascii="Tahoma" w:hAnsi="Tahoma" w:cs="Tahoma"/>
                <w:b/>
                <w:bCs/>
                <w:sz w:val="26"/>
                <w:szCs w:val="26"/>
              </w:rPr>
              <w:t>billion</w:t>
            </w:r>
            <w:r w:rsidRPr="0009228A">
              <w:rPr>
                <w:rFonts w:ascii="Tahoma" w:hAnsi="Tahoma" w:cs="Tahoma"/>
                <w:b/>
                <w:bCs/>
                <w:color w:val="0D0D0D" w:themeColor="text1" w:themeTint="F2"/>
                <w:sz w:val="36"/>
                <w:szCs w:val="36"/>
              </w:rPr>
              <w:t xml:space="preserve"> </w:t>
            </w:r>
          </w:p>
        </w:tc>
        <w:tc>
          <w:tcPr>
            <w:tcW w:w="127" w:type="dxa"/>
            <w:vAlign w:val="bottom"/>
          </w:tcPr>
          <w:p w:rsidR="0009228A" w:rsidRPr="0009228A" w:rsidP="0009228A" w14:paraId="4429F28B" w14:textId="77777777">
            <w:pPr>
              <w:bidi w:val="0"/>
              <w:spacing w:before="120" w:after="60" w:line="240" w:lineRule="auto"/>
              <w:rPr>
                <w:rFonts w:ascii="Tahoma" w:hAnsi="Tahoma" w:cs="Tahoma"/>
                <w:b/>
                <w:bCs/>
                <w:color w:val="0D0D0D" w:themeColor="text1" w:themeTint="F2"/>
                <w:spacing w:val="-10"/>
              </w:rPr>
            </w:pPr>
          </w:p>
        </w:tc>
        <w:tc>
          <w:tcPr>
            <w:tcW w:w="1701" w:type="dxa"/>
            <w:tcBorders>
              <w:bottom w:val="single" w:sz="8" w:space="0" w:color="auto"/>
            </w:tcBorders>
            <w:vAlign w:val="bottom"/>
          </w:tcPr>
          <w:p w:rsidR="0009228A" w:rsidRPr="0009228A" w:rsidP="0009228A" w14:paraId="018C23DE" w14:textId="51F5F8D8">
            <w:pPr>
              <w:bidi w:val="0"/>
              <w:spacing w:after="60" w:line="240" w:lineRule="auto"/>
              <w:rPr>
                <w:rFonts w:ascii="Tahoma" w:hAnsi="Tahoma" w:cs="Tahoma"/>
                <w:b/>
                <w:bCs/>
                <w:color w:val="0D0D0D" w:themeColor="text1" w:themeTint="F2"/>
                <w:sz w:val="36"/>
                <w:szCs w:val="36"/>
                <w:rtl/>
              </w:rPr>
            </w:pPr>
            <w:r w:rsidRPr="0009228A">
              <w:rPr>
                <w:rFonts w:ascii="Tahoma" w:hAnsi="Tahoma" w:cs="Tahoma"/>
                <w:b/>
                <w:bCs/>
                <w:sz w:val="26"/>
                <w:szCs w:val="26"/>
              </w:rPr>
              <w:t>NIS</w:t>
            </w:r>
            <w:r w:rsidRPr="0009228A">
              <w:rPr>
                <w:rFonts w:ascii="Tahoma" w:hAnsi="Tahoma" w:cs="Tahoma"/>
                <w:b/>
                <w:bCs/>
                <w:sz w:val="36"/>
                <w:szCs w:val="36"/>
              </w:rPr>
              <w:t xml:space="preserve"> 4.2 </w:t>
            </w:r>
            <w:r w:rsidRPr="0009228A">
              <w:rPr>
                <w:rFonts w:ascii="Tahoma" w:hAnsi="Tahoma" w:cs="Tahoma"/>
                <w:b/>
                <w:bCs/>
                <w:sz w:val="26"/>
                <w:szCs w:val="26"/>
              </w:rPr>
              <w:t>billion</w:t>
            </w:r>
            <w:r w:rsidRPr="0009228A">
              <w:rPr>
                <w:rFonts w:ascii="Tahoma" w:hAnsi="Tahoma" w:cs="Tahoma"/>
                <w:b/>
                <w:bCs/>
                <w:sz w:val="36"/>
                <w:szCs w:val="36"/>
              </w:rPr>
              <w:t xml:space="preserve"> </w:t>
            </w:r>
          </w:p>
        </w:tc>
        <w:tc>
          <w:tcPr>
            <w:tcW w:w="134" w:type="dxa"/>
            <w:vAlign w:val="bottom"/>
          </w:tcPr>
          <w:p w:rsidR="0009228A" w:rsidRPr="0009228A" w:rsidP="0009228A" w14:paraId="78489ABE" w14:textId="77777777">
            <w:pPr>
              <w:bidi w:val="0"/>
              <w:spacing w:before="120" w:after="60" w:line="240" w:lineRule="auto"/>
              <w:rPr>
                <w:rFonts w:ascii="Tahoma" w:hAnsi="Tahoma" w:cs="Tahoma"/>
                <w:b/>
                <w:bCs/>
                <w:color w:val="0D0D0D" w:themeColor="text1" w:themeTint="F2"/>
              </w:rPr>
            </w:pPr>
          </w:p>
        </w:tc>
        <w:tc>
          <w:tcPr>
            <w:tcW w:w="1695" w:type="dxa"/>
            <w:tcBorders>
              <w:bottom w:val="single" w:sz="8" w:space="0" w:color="000000"/>
            </w:tcBorders>
            <w:vAlign w:val="bottom"/>
          </w:tcPr>
          <w:p w:rsidR="0009228A" w:rsidRPr="0009228A" w:rsidP="0009228A" w14:paraId="1465537A" w14:textId="29D18699">
            <w:pPr>
              <w:bidi w:val="0"/>
              <w:spacing w:before="120" w:after="60" w:line="240" w:lineRule="auto"/>
              <w:rPr>
                <w:rFonts w:ascii="Tahoma" w:hAnsi="Tahoma" w:cs="Tahoma"/>
                <w:b/>
                <w:bCs/>
                <w:color w:val="0D0D0D" w:themeColor="text1" w:themeTint="F2"/>
                <w:sz w:val="36"/>
                <w:szCs w:val="36"/>
              </w:rPr>
            </w:pPr>
            <w:r w:rsidRPr="0009228A">
              <w:rPr>
                <w:rFonts w:ascii="Tahoma" w:hAnsi="Tahoma" w:cs="Tahoma"/>
                <w:b/>
                <w:bCs/>
                <w:sz w:val="26"/>
                <w:szCs w:val="26"/>
              </w:rPr>
              <w:t>NIS</w:t>
            </w:r>
            <w:r w:rsidRPr="0009228A">
              <w:rPr>
                <w:rFonts w:ascii="Tahoma" w:hAnsi="Tahoma" w:cs="Tahoma"/>
                <w:b/>
                <w:bCs/>
                <w:sz w:val="36"/>
                <w:szCs w:val="36"/>
              </w:rPr>
              <w:t xml:space="preserve"> 1.79 </w:t>
            </w:r>
            <w:r w:rsidRPr="0009228A">
              <w:rPr>
                <w:rFonts w:ascii="Tahoma" w:hAnsi="Tahoma" w:cs="Tahoma"/>
                <w:b/>
                <w:bCs/>
                <w:sz w:val="26"/>
                <w:szCs w:val="26"/>
              </w:rPr>
              <w:t>billion</w:t>
            </w:r>
            <w:r w:rsidRPr="0009228A">
              <w:rPr>
                <w:rFonts w:ascii="Tahoma" w:hAnsi="Tahoma" w:cs="Tahoma"/>
                <w:b/>
                <w:bCs/>
                <w:sz w:val="36"/>
                <w:szCs w:val="36"/>
              </w:rPr>
              <w:t xml:space="preserve"> </w:t>
            </w:r>
          </w:p>
        </w:tc>
        <w:tc>
          <w:tcPr>
            <w:tcW w:w="128" w:type="dxa"/>
          </w:tcPr>
          <w:p w:rsidR="0009228A" w:rsidRPr="0009228A" w:rsidP="0009228A" w14:paraId="0E403648" w14:textId="77777777">
            <w:pPr>
              <w:bidi w:val="0"/>
              <w:spacing w:before="120" w:after="60" w:line="240" w:lineRule="auto"/>
              <w:rPr>
                <w:rFonts w:ascii="Tahoma" w:hAnsi="Tahoma" w:cs="Tahoma"/>
                <w:b/>
                <w:bCs/>
                <w:color w:val="0D0D0D" w:themeColor="text1" w:themeTint="F2"/>
                <w:sz w:val="36"/>
                <w:szCs w:val="36"/>
              </w:rPr>
            </w:pPr>
          </w:p>
        </w:tc>
        <w:tc>
          <w:tcPr>
            <w:tcW w:w="1701" w:type="dxa"/>
            <w:gridSpan w:val="2"/>
            <w:tcBorders>
              <w:bottom w:val="single" w:sz="8" w:space="0" w:color="auto"/>
            </w:tcBorders>
            <w:vAlign w:val="bottom"/>
          </w:tcPr>
          <w:p w:rsidR="0009228A" w:rsidRPr="0009228A" w:rsidP="0009228A" w14:paraId="506F1C28" w14:textId="44F70ED7">
            <w:pPr>
              <w:bidi w:val="0"/>
              <w:spacing w:after="60" w:line="240" w:lineRule="auto"/>
              <w:rPr>
                <w:rFonts w:ascii="Tahoma" w:hAnsi="Tahoma" w:cs="Tahoma"/>
                <w:b/>
                <w:bCs/>
                <w:color w:val="0D0D0D" w:themeColor="text1" w:themeTint="F2"/>
                <w:sz w:val="36"/>
                <w:szCs w:val="36"/>
              </w:rPr>
            </w:pPr>
            <w:r w:rsidRPr="0009228A">
              <w:rPr>
                <w:rFonts w:ascii="Tahoma" w:hAnsi="Tahoma" w:cs="Tahoma"/>
                <w:b/>
                <w:bCs/>
                <w:sz w:val="36"/>
                <w:szCs w:val="36"/>
                <w:rtl/>
              </w:rPr>
              <w:t xml:space="preserve">717 </w:t>
            </w:r>
          </w:p>
        </w:tc>
      </w:tr>
      <w:tr w14:paraId="633F9A1A" w14:textId="77777777" w:rsidTr="00041AEB">
        <w:tblPrEx>
          <w:tblW w:w="7388" w:type="dxa"/>
          <w:tblCellMar>
            <w:left w:w="57" w:type="dxa"/>
            <w:right w:w="57" w:type="dxa"/>
          </w:tblCellMar>
          <w:tblLook w:val="04A0"/>
        </w:tblPrEx>
        <w:trPr>
          <w:gridAfter w:val="1"/>
          <w:wAfter w:w="201" w:type="dxa"/>
        </w:trPr>
        <w:tc>
          <w:tcPr>
            <w:tcW w:w="1701" w:type="dxa"/>
            <w:tcBorders>
              <w:top w:val="single" w:sz="8" w:space="0" w:color="auto"/>
            </w:tcBorders>
          </w:tcPr>
          <w:p w:rsidR="0009228A" w:rsidRPr="00041AEB" w:rsidP="00C45779" w14:paraId="5042BE4E" w14:textId="6A591497">
            <w:pPr>
              <w:bidi w:val="0"/>
              <w:spacing w:after="0" w:line="240" w:lineRule="auto"/>
              <w:ind w:right="23"/>
              <w:rPr>
                <w:rFonts w:ascii="Tahoma" w:hAnsi="Tahoma" w:cs="Tahoma"/>
                <w:bCs/>
                <w:color w:val="0D0D0D" w:themeColor="text1" w:themeTint="F2"/>
                <w:w w:val="90"/>
                <w:sz w:val="18"/>
                <w:szCs w:val="18"/>
              </w:rPr>
            </w:pPr>
            <w:r w:rsidRPr="00107277">
              <w:rPr>
                <w:rFonts w:ascii="Tahoma" w:hAnsi="Tahoma" w:cs="Tahoma"/>
                <w:bCs/>
                <w:color w:val="0D0D0D" w:themeColor="text1" w:themeTint="F2"/>
                <w:w w:val="90"/>
                <w:sz w:val="18"/>
                <w:szCs w:val="18"/>
              </w:rPr>
              <w:t>the scope of ICT procurement in 2019</w:t>
            </w:r>
            <m:oMath>
              <m:r>
                <m:rPr>
                  <m:sty m:val="p"/>
                </m:rPr>
                <w:rPr>
                  <w:rFonts w:ascii="Cambria Math" w:hAnsi="Cambria Math" w:cs="Tahoma"/>
                  <w:color w:val="0D0D0D" w:themeColor="text1" w:themeTint="F2"/>
                  <w:w w:val="90"/>
                  <w:sz w:val="18"/>
                  <w:szCs w:val="18"/>
                </w:rPr>
                <m:t>-</m:t>
              </m:r>
            </m:oMath>
            <w:r w:rsidRPr="00107277">
              <w:rPr>
                <w:rFonts w:ascii="Tahoma" w:hAnsi="Tahoma" w:cs="Tahoma"/>
                <w:bCs/>
                <w:color w:val="0D0D0D" w:themeColor="text1" w:themeTint="F2"/>
                <w:w w:val="90"/>
                <w:sz w:val="18"/>
                <w:szCs w:val="18"/>
              </w:rPr>
              <w:t>2021</w:t>
            </w:r>
          </w:p>
        </w:tc>
        <w:tc>
          <w:tcPr>
            <w:tcW w:w="127" w:type="dxa"/>
          </w:tcPr>
          <w:p w:rsidR="0009228A" w:rsidRPr="00041AEB" w:rsidP="00C45779" w14:paraId="2B8B872F" w14:textId="77777777">
            <w:pPr>
              <w:bidi w:val="0"/>
              <w:spacing w:after="0" w:line="240" w:lineRule="auto"/>
              <w:rPr>
                <w:rFonts w:ascii="Tahoma" w:hAnsi="Tahoma" w:cs="Tahoma"/>
                <w:bCs/>
                <w:color w:val="0D0D0D" w:themeColor="text1" w:themeTint="F2"/>
                <w:w w:val="90"/>
                <w:sz w:val="18"/>
                <w:szCs w:val="18"/>
                <w:rtl/>
              </w:rPr>
            </w:pPr>
          </w:p>
        </w:tc>
        <w:tc>
          <w:tcPr>
            <w:tcW w:w="1701" w:type="dxa"/>
            <w:tcBorders>
              <w:top w:val="single" w:sz="8" w:space="0" w:color="auto"/>
            </w:tcBorders>
          </w:tcPr>
          <w:p w:rsidR="0009228A" w:rsidRPr="00A0699D" w:rsidP="00C45779" w14:paraId="22CDEF8A" w14:textId="436E864A">
            <w:pPr>
              <w:pStyle w:val="2021"/>
              <w:bidi w:val="0"/>
              <w:spacing w:after="0"/>
              <w:rPr>
                <w:bCs/>
                <w:rtl/>
              </w:rPr>
            </w:pPr>
            <w:r w:rsidRPr="00107277">
              <w:rPr>
                <w:bCs/>
              </w:rPr>
              <w:t xml:space="preserve">the gap between the procurement scope in 2020 presented in Merkava system and the scope published by the Government Procurement Administration </w:t>
            </w:r>
          </w:p>
        </w:tc>
        <w:tc>
          <w:tcPr>
            <w:tcW w:w="134" w:type="dxa"/>
          </w:tcPr>
          <w:p w:rsidR="0009228A" w:rsidRPr="00041AEB" w:rsidP="00C45779" w14:paraId="516B5653" w14:textId="77777777">
            <w:pPr>
              <w:bidi w:val="0"/>
              <w:spacing w:after="0" w:line="240" w:lineRule="auto"/>
              <w:rPr>
                <w:rFonts w:ascii="Tahoma" w:hAnsi="Tahoma" w:cs="Tahoma"/>
                <w:bCs/>
                <w:color w:val="0D0D0D" w:themeColor="text1" w:themeTint="F2"/>
                <w:w w:val="90"/>
                <w:sz w:val="18"/>
                <w:szCs w:val="18"/>
                <w:rtl/>
              </w:rPr>
            </w:pPr>
          </w:p>
        </w:tc>
        <w:tc>
          <w:tcPr>
            <w:tcW w:w="1695" w:type="dxa"/>
            <w:tcBorders>
              <w:top w:val="single" w:sz="8" w:space="0" w:color="000000"/>
            </w:tcBorders>
          </w:tcPr>
          <w:p w:rsidR="0009228A" w:rsidRPr="00041AEB" w:rsidP="00C45779" w14:paraId="1DDB9C26" w14:textId="03EDFF5E">
            <w:pPr>
              <w:bidi w:val="0"/>
              <w:spacing w:after="0" w:line="240" w:lineRule="auto"/>
              <w:ind w:right="23"/>
              <w:rPr>
                <w:rFonts w:ascii="Tahoma" w:hAnsi="Tahoma" w:cs="Tahoma"/>
                <w:bCs/>
                <w:color w:val="0D0D0D" w:themeColor="text1" w:themeTint="F2"/>
                <w:w w:val="90"/>
                <w:sz w:val="18"/>
                <w:szCs w:val="18"/>
              </w:rPr>
            </w:pPr>
            <w:r w:rsidRPr="00107277">
              <w:rPr>
                <w:rFonts w:ascii="Tahoma" w:hAnsi="Tahoma" w:cs="Tahoma"/>
                <w:bCs/>
                <w:color w:val="0D0D0D" w:themeColor="text1" w:themeTint="F2"/>
                <w:w w:val="90"/>
                <w:sz w:val="18"/>
                <w:szCs w:val="18"/>
              </w:rPr>
              <w:t>the total ICT procurement exempt from the tender in 2019</w:t>
            </w:r>
            <m:oMath>
              <m:r>
                <m:rPr>
                  <m:sty m:val="p"/>
                </m:rPr>
                <w:rPr>
                  <w:rFonts w:ascii="Cambria Math" w:hAnsi="Cambria Math" w:cs="Tahoma"/>
                  <w:color w:val="0D0D0D" w:themeColor="text1" w:themeTint="F2"/>
                  <w:w w:val="90"/>
                  <w:sz w:val="18"/>
                  <w:szCs w:val="18"/>
                </w:rPr>
                <m:t>-</m:t>
              </m:r>
            </m:oMath>
            <w:r w:rsidRPr="00107277">
              <w:rPr>
                <w:rFonts w:ascii="Tahoma" w:hAnsi="Tahoma" w:cs="Tahoma"/>
                <w:bCs/>
                <w:color w:val="0D0D0D" w:themeColor="text1" w:themeTint="F2"/>
                <w:w w:val="90"/>
                <w:sz w:val="18"/>
                <w:szCs w:val="18"/>
              </w:rPr>
              <w:t>2021 (14.2% of the total ICT procurement in those years)</w:t>
            </w:r>
          </w:p>
        </w:tc>
        <w:tc>
          <w:tcPr>
            <w:tcW w:w="128" w:type="dxa"/>
          </w:tcPr>
          <w:p w:rsidR="0009228A" w:rsidRPr="00041AEB" w:rsidP="00C45779" w14:paraId="0D022A29" w14:textId="77777777">
            <w:pPr>
              <w:bidi w:val="0"/>
              <w:spacing w:after="0" w:line="240" w:lineRule="auto"/>
              <w:ind w:right="23"/>
              <w:rPr>
                <w:rFonts w:ascii="Tahoma" w:hAnsi="Tahoma" w:cs="Tahoma"/>
                <w:bCs/>
                <w:color w:val="0D0D0D" w:themeColor="text1" w:themeTint="F2"/>
                <w:w w:val="90"/>
                <w:sz w:val="18"/>
                <w:szCs w:val="18"/>
              </w:rPr>
            </w:pPr>
          </w:p>
        </w:tc>
        <w:tc>
          <w:tcPr>
            <w:tcW w:w="1701" w:type="dxa"/>
            <w:gridSpan w:val="2"/>
            <w:tcBorders>
              <w:top w:val="single" w:sz="8" w:space="0" w:color="auto"/>
            </w:tcBorders>
          </w:tcPr>
          <w:p w:rsidR="0009228A" w:rsidRPr="0015187B" w:rsidP="00C45779" w14:paraId="27181DE5" w14:textId="79F2DD7E">
            <w:pPr>
              <w:bidi w:val="0"/>
              <w:spacing w:line="240" w:lineRule="auto"/>
              <w:rPr>
                <w:rFonts w:ascii="Tahoma" w:hAnsi="Tahoma" w:cs="Tahoma"/>
                <w:bCs/>
                <w:color w:val="0D0D0D" w:themeColor="text1" w:themeTint="F2"/>
                <w:w w:val="90"/>
                <w:sz w:val="18"/>
                <w:szCs w:val="18"/>
                <w:rtl/>
              </w:rPr>
            </w:pPr>
            <w:r w:rsidRPr="00107277">
              <w:rPr>
                <w:rFonts w:ascii="Tahoma" w:hAnsi="Tahoma" w:cs="Tahoma"/>
                <w:bCs/>
                <w:color w:val="0D0D0D" w:themeColor="text1" w:themeTint="F2"/>
                <w:w w:val="90"/>
                <w:sz w:val="18"/>
                <w:szCs w:val="18"/>
              </w:rPr>
              <w:t>the number of ICT purchase orders in the range of NIS 47,500</w:t>
            </w:r>
            <m:oMath>
              <m:r>
                <m:rPr>
                  <m:sty m:val="p"/>
                </m:rPr>
                <w:rPr>
                  <w:rFonts w:ascii="Cambria Math" w:hAnsi="Cambria Math" w:cs="Tahoma"/>
                  <w:color w:val="0D0D0D" w:themeColor="text1" w:themeTint="F2"/>
                  <w:w w:val="90"/>
                  <w:sz w:val="18"/>
                  <w:szCs w:val="18"/>
                </w:rPr>
                <m:t>-</m:t>
              </m:r>
            </m:oMath>
            <w:r w:rsidRPr="00107277">
              <w:rPr>
                <w:rFonts w:ascii="Tahoma" w:hAnsi="Tahoma" w:cs="Tahoma"/>
                <w:bCs/>
                <w:color w:val="0D0D0D" w:themeColor="text1" w:themeTint="F2"/>
                <w:w w:val="90"/>
                <w:sz w:val="18"/>
                <w:szCs w:val="18"/>
              </w:rPr>
              <w:t>50,000 through an exemption from the tender on the grounds of "purchases up to NIS 50,000"</w:t>
            </w:r>
          </w:p>
        </w:tc>
      </w:tr>
      <w:tr w14:paraId="3A3B2768" w14:textId="77777777" w:rsidTr="008A5E62">
        <w:tblPrEx>
          <w:tblW w:w="7388" w:type="dxa"/>
          <w:tblCellMar>
            <w:left w:w="57" w:type="dxa"/>
            <w:right w:w="57" w:type="dxa"/>
          </w:tblCellMar>
          <w:tblLook w:val="04A0"/>
        </w:tblPrEx>
        <w:trPr>
          <w:trHeight w:val="397"/>
        </w:trPr>
        <w:tc>
          <w:tcPr>
            <w:tcW w:w="1701" w:type="dxa"/>
          </w:tcPr>
          <w:p w:rsidR="001E44CF" w:rsidRPr="00B47903" w:rsidP="001E44CF" w14:paraId="1A07D554" w14:textId="35E38359">
            <w:pPr>
              <w:bidi w:val="0"/>
              <w:spacing w:before="120" w:after="0" w:line="240" w:lineRule="auto"/>
              <w:rPr>
                <w:rFonts w:ascii="Tahoma" w:hAnsi="Tahoma" w:cs="Tahoma"/>
                <w:b/>
                <w:bCs/>
                <w:color w:val="0D0D0D" w:themeColor="text1" w:themeTint="F2"/>
                <w:sz w:val="14"/>
                <w:szCs w:val="14"/>
                <w:rtl/>
              </w:rPr>
            </w:pPr>
          </w:p>
        </w:tc>
        <w:tc>
          <w:tcPr>
            <w:tcW w:w="127" w:type="dxa"/>
          </w:tcPr>
          <w:p w:rsidR="001E44CF" w:rsidRPr="00B47903" w:rsidP="001E44CF" w14:paraId="398FB0FD" w14:textId="77777777">
            <w:pPr>
              <w:bidi w:val="0"/>
              <w:spacing w:before="120" w:after="0" w:line="240" w:lineRule="auto"/>
              <w:rPr>
                <w:rFonts w:ascii="Tahoma" w:hAnsi="Tahoma" w:cs="Tahoma"/>
                <w:b/>
                <w:bCs/>
                <w:color w:val="0D0D0D" w:themeColor="text1" w:themeTint="F2"/>
                <w:sz w:val="14"/>
                <w:szCs w:val="14"/>
              </w:rPr>
            </w:pPr>
          </w:p>
        </w:tc>
        <w:tc>
          <w:tcPr>
            <w:tcW w:w="1701" w:type="dxa"/>
          </w:tcPr>
          <w:p w:rsidR="001E44CF" w:rsidRPr="00B47903" w:rsidP="001E44CF" w14:paraId="58859999" w14:textId="77777777">
            <w:pPr>
              <w:bidi w:val="0"/>
              <w:spacing w:before="120" w:after="0" w:line="240" w:lineRule="auto"/>
              <w:rPr>
                <w:rFonts w:ascii="Tahoma" w:hAnsi="Tahoma" w:cs="Tahoma"/>
                <w:b/>
                <w:bCs/>
                <w:color w:val="0D0D0D" w:themeColor="text1" w:themeTint="F2"/>
                <w:sz w:val="14"/>
                <w:szCs w:val="14"/>
                <w:rtl/>
              </w:rPr>
            </w:pPr>
          </w:p>
        </w:tc>
        <w:tc>
          <w:tcPr>
            <w:tcW w:w="174" w:type="dxa"/>
          </w:tcPr>
          <w:p w:rsidR="001E44CF" w:rsidRPr="00B47903" w:rsidP="001E44CF" w14:paraId="18626B8F" w14:textId="77777777">
            <w:pPr>
              <w:bidi w:val="0"/>
              <w:spacing w:before="120" w:after="0" w:line="240" w:lineRule="auto"/>
              <w:rPr>
                <w:rFonts w:ascii="Tahoma" w:hAnsi="Tahoma" w:cs="Tahoma"/>
                <w:b/>
                <w:bCs/>
                <w:color w:val="0D0D0D" w:themeColor="text1" w:themeTint="F2"/>
                <w:sz w:val="14"/>
                <w:szCs w:val="14"/>
              </w:rPr>
            </w:pPr>
          </w:p>
        </w:tc>
        <w:tc>
          <w:tcPr>
            <w:tcW w:w="1701" w:type="dxa"/>
          </w:tcPr>
          <w:p w:rsidR="001E44CF" w:rsidRPr="00B47903" w:rsidP="001E44CF" w14:paraId="12C512C9" w14:textId="77777777">
            <w:pPr>
              <w:bidi w:val="0"/>
              <w:spacing w:before="120" w:after="0" w:line="240" w:lineRule="auto"/>
              <w:rPr>
                <w:rFonts w:ascii="Tahoma" w:hAnsi="Tahoma" w:cs="Tahoma"/>
                <w:b/>
                <w:bCs/>
                <w:color w:val="0D0D0D" w:themeColor="text1" w:themeTint="F2"/>
                <w:sz w:val="14"/>
                <w:szCs w:val="14"/>
                <w:rtl/>
              </w:rPr>
            </w:pPr>
          </w:p>
        </w:tc>
        <w:tc>
          <w:tcPr>
            <w:tcW w:w="283" w:type="dxa"/>
            <w:gridSpan w:val="2"/>
          </w:tcPr>
          <w:p w:rsidR="001E44CF" w:rsidRPr="00B47903" w:rsidP="001E44CF" w14:paraId="2D6E6796" w14:textId="77777777">
            <w:pPr>
              <w:bidi w:val="0"/>
              <w:spacing w:before="120" w:after="0" w:line="240" w:lineRule="auto"/>
              <w:rPr>
                <w:rFonts w:ascii="Tahoma" w:hAnsi="Tahoma" w:cs="Tahoma"/>
                <w:b/>
                <w:bCs/>
                <w:color w:val="0D0D0D" w:themeColor="text1" w:themeTint="F2"/>
                <w:sz w:val="14"/>
                <w:szCs w:val="14"/>
                <w:rtl/>
              </w:rPr>
            </w:pPr>
          </w:p>
        </w:tc>
        <w:tc>
          <w:tcPr>
            <w:tcW w:w="1701" w:type="dxa"/>
            <w:gridSpan w:val="2"/>
          </w:tcPr>
          <w:p w:rsidR="001E44CF" w:rsidRPr="00B47903" w:rsidP="001E44CF" w14:paraId="7F88B2AA" w14:textId="77777777">
            <w:pPr>
              <w:bidi w:val="0"/>
              <w:spacing w:before="120" w:after="0" w:line="240" w:lineRule="auto"/>
              <w:rPr>
                <w:rFonts w:ascii="Tahoma" w:hAnsi="Tahoma" w:cs="Tahoma"/>
                <w:b/>
                <w:bCs/>
                <w:color w:val="0D0D0D" w:themeColor="text1" w:themeTint="F2"/>
                <w:sz w:val="14"/>
                <w:szCs w:val="14"/>
                <w:rtl/>
              </w:rPr>
            </w:pPr>
          </w:p>
        </w:tc>
      </w:tr>
      <w:tr w14:paraId="69DAE9C2" w14:textId="77777777" w:rsidTr="00DA6C38">
        <w:tblPrEx>
          <w:tblW w:w="7388" w:type="dxa"/>
          <w:tblCellMar>
            <w:left w:w="57" w:type="dxa"/>
            <w:right w:w="57" w:type="dxa"/>
          </w:tblCellMar>
          <w:tblLook w:val="04A0"/>
        </w:tblPrEx>
        <w:trPr>
          <w:gridAfter w:val="1"/>
          <w:wAfter w:w="201" w:type="dxa"/>
        </w:trPr>
        <w:tc>
          <w:tcPr>
            <w:tcW w:w="1701" w:type="dxa"/>
            <w:tcBorders>
              <w:bottom w:val="single" w:sz="8" w:space="0" w:color="auto"/>
            </w:tcBorders>
            <w:vAlign w:val="bottom"/>
          </w:tcPr>
          <w:p w:rsidR="0009228A" w:rsidRPr="0009228A" w:rsidP="0009228A" w14:paraId="0A63A02B" w14:textId="071A9F7A">
            <w:pPr>
              <w:bidi w:val="0"/>
              <w:spacing w:after="60" w:line="240" w:lineRule="auto"/>
              <w:rPr>
                <w:rFonts w:ascii="Tahoma" w:hAnsi="Tahoma" w:cs="Tahoma"/>
                <w:b/>
                <w:bCs/>
                <w:color w:val="0D0D0D" w:themeColor="text1" w:themeTint="F2"/>
                <w:sz w:val="36"/>
                <w:szCs w:val="36"/>
              </w:rPr>
            </w:pPr>
            <w:r w:rsidRPr="0009228A">
              <w:rPr>
                <w:rFonts w:ascii="Tahoma" w:hAnsi="Tahoma" w:cs="Tahoma"/>
                <w:b/>
                <w:bCs/>
                <w:color w:val="0D0D0D" w:themeColor="text1" w:themeTint="F2"/>
                <w:sz w:val="36"/>
                <w:szCs w:val="36"/>
                <w:rtl/>
              </w:rPr>
              <w:t>25%</w:t>
            </w:r>
          </w:p>
        </w:tc>
        <w:tc>
          <w:tcPr>
            <w:tcW w:w="127" w:type="dxa"/>
            <w:tcBorders>
              <w:bottom w:val="single" w:sz="8" w:space="0" w:color="FFFFFF"/>
            </w:tcBorders>
            <w:vAlign w:val="bottom"/>
          </w:tcPr>
          <w:p w:rsidR="0009228A" w:rsidRPr="0009228A" w:rsidP="0009228A" w14:paraId="2B044DDD" w14:textId="77777777">
            <w:pPr>
              <w:bidi w:val="0"/>
              <w:spacing w:after="60" w:line="240" w:lineRule="auto"/>
              <w:rPr>
                <w:rFonts w:ascii="Tahoma" w:hAnsi="Tahoma" w:cs="Tahoma"/>
                <w:b/>
                <w:bCs/>
                <w:color w:val="0D0D0D" w:themeColor="text1" w:themeTint="F2"/>
                <w:sz w:val="36"/>
                <w:szCs w:val="36"/>
              </w:rPr>
            </w:pPr>
          </w:p>
        </w:tc>
        <w:tc>
          <w:tcPr>
            <w:tcW w:w="1701" w:type="dxa"/>
            <w:tcBorders>
              <w:bottom w:val="single" w:sz="8" w:space="0" w:color="auto"/>
            </w:tcBorders>
            <w:vAlign w:val="bottom"/>
          </w:tcPr>
          <w:p w:rsidR="0009228A" w:rsidRPr="0009228A" w:rsidP="0009228A" w14:paraId="5F2BF29F" w14:textId="69BAFF23">
            <w:pPr>
              <w:bidi w:val="0"/>
              <w:spacing w:after="60" w:line="240" w:lineRule="auto"/>
              <w:rPr>
                <w:rFonts w:ascii="Tahoma" w:hAnsi="Tahoma" w:cs="Tahoma"/>
                <w:b/>
                <w:bCs/>
                <w:color w:val="0D0D0D" w:themeColor="text1" w:themeTint="F2"/>
                <w:sz w:val="36"/>
                <w:szCs w:val="36"/>
              </w:rPr>
            </w:pPr>
            <w:r w:rsidRPr="0009228A">
              <w:rPr>
                <w:rFonts w:ascii="Tahoma" w:hAnsi="Tahoma" w:cs="Tahoma"/>
                <w:b/>
                <w:bCs/>
                <w:sz w:val="36"/>
                <w:szCs w:val="36"/>
                <w:rtl/>
              </w:rPr>
              <w:t>40%</w:t>
            </w:r>
          </w:p>
        </w:tc>
        <w:tc>
          <w:tcPr>
            <w:tcW w:w="134" w:type="dxa"/>
            <w:tcBorders>
              <w:bottom w:val="single" w:sz="8" w:space="0" w:color="FFFFFF"/>
            </w:tcBorders>
            <w:vAlign w:val="bottom"/>
          </w:tcPr>
          <w:p w:rsidR="0009228A" w:rsidRPr="0009228A" w:rsidP="0009228A" w14:paraId="3407A7B6" w14:textId="77777777">
            <w:pPr>
              <w:bidi w:val="0"/>
              <w:spacing w:after="60" w:line="240" w:lineRule="auto"/>
              <w:rPr>
                <w:rFonts w:ascii="Tahoma" w:hAnsi="Tahoma" w:cs="Tahoma"/>
                <w:b/>
                <w:bCs/>
                <w:color w:val="0D0D0D" w:themeColor="text1" w:themeTint="F2"/>
                <w:sz w:val="36"/>
                <w:szCs w:val="36"/>
              </w:rPr>
            </w:pPr>
          </w:p>
        </w:tc>
        <w:tc>
          <w:tcPr>
            <w:tcW w:w="1695" w:type="dxa"/>
            <w:tcBorders>
              <w:bottom w:val="single" w:sz="8" w:space="0" w:color="000000"/>
            </w:tcBorders>
            <w:vAlign w:val="bottom"/>
          </w:tcPr>
          <w:p w:rsidR="0009228A" w:rsidRPr="0009228A" w:rsidP="0009228A" w14:paraId="24B9C4D0" w14:textId="740C403D">
            <w:pPr>
              <w:bidi w:val="0"/>
              <w:spacing w:after="60" w:line="240" w:lineRule="auto"/>
              <w:rPr>
                <w:rFonts w:ascii="Tahoma" w:hAnsi="Tahoma" w:cs="Tahoma"/>
                <w:b/>
                <w:bCs/>
                <w:color w:val="0D0D0D" w:themeColor="text1" w:themeTint="F2"/>
                <w:sz w:val="24"/>
                <w:szCs w:val="24"/>
              </w:rPr>
            </w:pPr>
            <w:r w:rsidRPr="0009228A">
              <w:rPr>
                <w:rFonts w:ascii="Tahoma" w:hAnsi="Tahoma" w:cs="Tahoma"/>
                <w:b/>
                <w:bCs/>
                <w:color w:val="0D0D0D" w:themeColor="text1" w:themeTint="F2"/>
                <w:sz w:val="36"/>
                <w:szCs w:val="36"/>
                <w:rtl/>
              </w:rPr>
              <w:t>61%</w:t>
            </w:r>
          </w:p>
        </w:tc>
        <w:tc>
          <w:tcPr>
            <w:tcW w:w="128" w:type="dxa"/>
          </w:tcPr>
          <w:p w:rsidR="0009228A" w:rsidRPr="0009228A" w:rsidP="0009228A" w14:paraId="05C03549" w14:textId="77777777">
            <w:pPr>
              <w:bidi w:val="0"/>
              <w:spacing w:after="60" w:line="240" w:lineRule="auto"/>
              <w:rPr>
                <w:rFonts w:ascii="Tahoma" w:hAnsi="Tahoma" w:cs="Tahoma"/>
                <w:b/>
                <w:bCs/>
                <w:color w:val="0D0D0D" w:themeColor="text1" w:themeTint="F2"/>
                <w:sz w:val="24"/>
                <w:szCs w:val="24"/>
              </w:rPr>
            </w:pPr>
          </w:p>
        </w:tc>
        <w:tc>
          <w:tcPr>
            <w:tcW w:w="1701" w:type="dxa"/>
            <w:gridSpan w:val="2"/>
            <w:tcBorders>
              <w:bottom w:val="single" w:sz="8" w:space="0" w:color="auto"/>
            </w:tcBorders>
            <w:vAlign w:val="bottom"/>
          </w:tcPr>
          <w:p w:rsidR="0009228A" w:rsidRPr="00C45779" w:rsidP="0009228A" w14:paraId="39C8DD34" w14:textId="207F4206">
            <w:pPr>
              <w:bidi w:val="0"/>
              <w:spacing w:after="60" w:line="240" w:lineRule="auto"/>
              <w:ind w:right="23"/>
              <w:rPr>
                <w:rFonts w:ascii="Tahoma" w:hAnsi="Tahoma" w:cs="Tahoma"/>
                <w:b/>
                <w:bCs/>
                <w:color w:val="0D0D0D" w:themeColor="text1" w:themeTint="F2"/>
                <w:sz w:val="26"/>
                <w:szCs w:val="26"/>
              </w:rPr>
            </w:pPr>
            <w:r w:rsidRPr="00C45779">
              <w:rPr>
                <w:rFonts w:ascii="Tahoma" w:hAnsi="Tahoma" w:cs="Tahoma"/>
                <w:b/>
                <w:bCs/>
                <w:color w:val="0D0D0D" w:themeColor="text1" w:themeTint="F2"/>
                <w:sz w:val="26"/>
                <w:szCs w:val="26"/>
              </w:rPr>
              <w:t>Six-fold</w:t>
            </w:r>
          </w:p>
        </w:tc>
      </w:tr>
      <w:tr w14:paraId="7FB01C39" w14:textId="77777777" w:rsidTr="00041AEB">
        <w:tblPrEx>
          <w:tblW w:w="7388" w:type="dxa"/>
          <w:tblCellMar>
            <w:left w:w="57" w:type="dxa"/>
            <w:right w:w="57" w:type="dxa"/>
          </w:tblCellMar>
          <w:tblLook w:val="04A0"/>
        </w:tblPrEx>
        <w:trPr>
          <w:gridAfter w:val="1"/>
          <w:wAfter w:w="201" w:type="dxa"/>
        </w:trPr>
        <w:tc>
          <w:tcPr>
            <w:tcW w:w="1701" w:type="dxa"/>
            <w:tcBorders>
              <w:top w:val="single" w:sz="8" w:space="0" w:color="000000"/>
            </w:tcBorders>
          </w:tcPr>
          <w:p w:rsidR="0009228A" w:rsidRPr="008A5E62" w:rsidP="00C45779" w14:paraId="0E469777" w14:textId="59C09E6E">
            <w:pPr>
              <w:bidi w:val="0"/>
              <w:spacing w:after="0" w:line="240" w:lineRule="auto"/>
              <w:rPr>
                <w:rFonts w:ascii="Tahoma" w:hAnsi="Tahoma" w:cs="Tahoma"/>
                <w:bCs/>
                <w:color w:val="0D0D0D" w:themeColor="text1" w:themeTint="F2"/>
                <w:w w:val="90"/>
                <w:sz w:val="18"/>
                <w:szCs w:val="18"/>
                <w:rtl/>
              </w:rPr>
            </w:pPr>
            <w:r w:rsidRPr="00107277">
              <w:rPr>
                <w:rFonts w:ascii="Tahoma" w:hAnsi="Tahoma" w:cs="Tahoma"/>
                <w:bCs/>
                <w:color w:val="0D0D0D" w:themeColor="text1" w:themeTint="F2"/>
                <w:w w:val="90"/>
                <w:sz w:val="18"/>
                <w:szCs w:val="18"/>
              </w:rPr>
              <w:t xml:space="preserve">of the government bodies did not submit the required reports for 2021 to the </w:t>
            </w:r>
            <w:r w:rsidR="00377776">
              <w:rPr>
                <w:rFonts w:ascii="Tahoma" w:hAnsi="Tahoma" w:cs="Tahoma"/>
                <w:bCs/>
                <w:color w:val="0D0D0D" w:themeColor="text1" w:themeTint="F2"/>
                <w:w w:val="90"/>
                <w:sz w:val="18"/>
                <w:szCs w:val="18"/>
              </w:rPr>
              <w:t>G</w:t>
            </w:r>
            <w:r w:rsidRPr="00107277">
              <w:rPr>
                <w:rFonts w:ascii="Tahoma" w:hAnsi="Tahoma" w:cs="Tahoma"/>
                <w:bCs/>
                <w:color w:val="0D0D0D" w:themeColor="text1" w:themeTint="F2"/>
                <w:w w:val="90"/>
                <w:sz w:val="18"/>
                <w:szCs w:val="18"/>
              </w:rPr>
              <w:t>overnment Freedom of Information Unit</w:t>
            </w:r>
          </w:p>
        </w:tc>
        <w:tc>
          <w:tcPr>
            <w:tcW w:w="127" w:type="dxa"/>
            <w:tcBorders>
              <w:top w:val="single" w:sz="8" w:space="0" w:color="FFFFFF"/>
            </w:tcBorders>
          </w:tcPr>
          <w:p w:rsidR="0009228A" w:rsidRPr="008A5E62" w:rsidP="00C45779" w14:paraId="452D577E" w14:textId="77777777">
            <w:pPr>
              <w:bidi w:val="0"/>
              <w:spacing w:after="0" w:line="240" w:lineRule="auto"/>
              <w:rPr>
                <w:rFonts w:ascii="Tahoma" w:hAnsi="Tahoma" w:cs="Tahoma"/>
                <w:bCs/>
                <w:color w:val="0D0D0D" w:themeColor="text1" w:themeTint="F2"/>
                <w:w w:val="90"/>
                <w:sz w:val="18"/>
                <w:szCs w:val="18"/>
                <w:rtl/>
              </w:rPr>
            </w:pPr>
          </w:p>
        </w:tc>
        <w:tc>
          <w:tcPr>
            <w:tcW w:w="1701" w:type="dxa"/>
            <w:tcBorders>
              <w:top w:val="single" w:sz="8" w:space="0" w:color="000000"/>
            </w:tcBorders>
          </w:tcPr>
          <w:p w:rsidR="0009228A" w:rsidRPr="0015187B" w:rsidP="00C45779" w14:paraId="77825D81" w14:textId="48E206AF">
            <w:pPr>
              <w:bidi w:val="0"/>
              <w:spacing w:after="0" w:line="240" w:lineRule="auto"/>
              <w:rPr>
                <w:rFonts w:ascii="Tahoma" w:hAnsi="Tahoma" w:cs="Tahoma"/>
                <w:bCs/>
                <w:color w:val="0D0D0D" w:themeColor="text1" w:themeTint="F2"/>
                <w:w w:val="90"/>
                <w:sz w:val="18"/>
                <w:szCs w:val="18"/>
                <w:rtl/>
              </w:rPr>
            </w:pPr>
            <w:r w:rsidRPr="00107277">
              <w:rPr>
                <w:rFonts w:ascii="Tahoma" w:hAnsi="Tahoma" w:cs="Tahoma"/>
                <w:bCs/>
                <w:color w:val="0D0D0D" w:themeColor="text1" w:themeTint="F2"/>
                <w:w w:val="90"/>
                <w:sz w:val="18"/>
                <w:szCs w:val="18"/>
              </w:rPr>
              <w:t>of the contracts exempt from tender publicized, lack essential information required by law</w:t>
            </w:r>
          </w:p>
        </w:tc>
        <w:tc>
          <w:tcPr>
            <w:tcW w:w="134" w:type="dxa"/>
            <w:tcBorders>
              <w:top w:val="single" w:sz="8" w:space="0" w:color="FFFFFF"/>
              <w:bottom w:val="single" w:sz="8" w:space="0" w:color="FFFFFF"/>
            </w:tcBorders>
          </w:tcPr>
          <w:p w:rsidR="0009228A" w:rsidRPr="008A5E62" w:rsidP="00C45779" w14:paraId="5F4A0ACF" w14:textId="77777777">
            <w:pPr>
              <w:bidi w:val="0"/>
              <w:spacing w:after="0" w:line="240" w:lineRule="auto"/>
              <w:rPr>
                <w:rFonts w:ascii="Tahoma" w:hAnsi="Tahoma" w:cs="Tahoma"/>
                <w:bCs/>
                <w:color w:val="0D0D0D" w:themeColor="text1" w:themeTint="F2"/>
                <w:w w:val="90"/>
                <w:sz w:val="18"/>
                <w:szCs w:val="18"/>
                <w:rtl/>
              </w:rPr>
            </w:pPr>
          </w:p>
        </w:tc>
        <w:tc>
          <w:tcPr>
            <w:tcW w:w="1695" w:type="dxa"/>
            <w:tcBorders>
              <w:top w:val="single" w:sz="8" w:space="0" w:color="000000"/>
            </w:tcBorders>
          </w:tcPr>
          <w:p w:rsidR="0009228A" w:rsidRPr="00353BAA" w:rsidP="00C45779" w14:paraId="368D853C" w14:textId="53366E12">
            <w:pPr>
              <w:bidi w:val="0"/>
              <w:spacing w:line="240" w:lineRule="auto"/>
              <w:ind w:right="23"/>
            </w:pPr>
            <w:r w:rsidRPr="00107277">
              <w:rPr>
                <w:rFonts w:ascii="Tahoma" w:hAnsi="Tahoma" w:cs="Tahoma"/>
                <w:bCs/>
                <w:color w:val="0D0D0D" w:themeColor="text1" w:themeTint="F2"/>
                <w:w w:val="90"/>
                <w:sz w:val="18"/>
                <w:szCs w:val="18"/>
              </w:rPr>
              <w:t>of the ICT engagements exempt from tender on the grounds of a "sole source purchase" (NIS 1.1 billion)</w:t>
            </w:r>
          </w:p>
        </w:tc>
        <w:tc>
          <w:tcPr>
            <w:tcW w:w="128" w:type="dxa"/>
          </w:tcPr>
          <w:p w:rsidR="0009228A" w:rsidRPr="008A5E62" w:rsidP="00C45779" w14:paraId="6E3D270F" w14:textId="77777777">
            <w:pPr>
              <w:bidi w:val="0"/>
              <w:spacing w:after="0" w:line="240" w:lineRule="auto"/>
              <w:ind w:right="23"/>
              <w:rPr>
                <w:rFonts w:ascii="Tahoma" w:hAnsi="Tahoma" w:cs="Tahoma"/>
                <w:bCs/>
                <w:color w:val="0D0D0D" w:themeColor="text1" w:themeTint="F2"/>
                <w:w w:val="90"/>
                <w:sz w:val="18"/>
                <w:szCs w:val="18"/>
              </w:rPr>
            </w:pPr>
          </w:p>
        </w:tc>
        <w:tc>
          <w:tcPr>
            <w:tcW w:w="1701" w:type="dxa"/>
            <w:gridSpan w:val="2"/>
            <w:tcBorders>
              <w:top w:val="single" w:sz="8" w:space="0" w:color="auto"/>
            </w:tcBorders>
          </w:tcPr>
          <w:p w:rsidR="0009228A" w:rsidRPr="00A0699D" w:rsidP="00C45779" w14:paraId="3B10699A" w14:textId="2EF07574">
            <w:pPr>
              <w:bidi w:val="0"/>
              <w:spacing w:after="0" w:line="240" w:lineRule="auto"/>
              <w:ind w:right="23"/>
              <w:rPr>
                <w:rFonts w:ascii="Tahoma" w:hAnsi="Tahoma" w:cs="Tahoma"/>
                <w:bCs/>
                <w:color w:val="0D0D0D" w:themeColor="text1" w:themeTint="F2"/>
                <w:w w:val="90"/>
                <w:sz w:val="18"/>
                <w:szCs w:val="18"/>
                <w:rtl/>
              </w:rPr>
            </w:pPr>
            <w:r w:rsidRPr="00107277">
              <w:rPr>
                <w:rFonts w:ascii="Tahoma" w:hAnsi="Tahoma" w:cs="Tahoma"/>
                <w:bCs/>
                <w:color w:val="0D0D0D" w:themeColor="text1" w:themeTint="F2"/>
                <w:w w:val="90"/>
                <w:sz w:val="18"/>
                <w:szCs w:val="18"/>
              </w:rPr>
              <w:t>the government bodies' use rate of the "sole source purchase " exempt in ICT procurement (61%) is six-fold than the one in non-ICT government procurement (9.72%)</w:t>
            </w:r>
          </w:p>
        </w:tc>
      </w:tr>
    </w:tbl>
    <w:p w:rsidR="001E44CF" w:rsidP="009661D6" w14:paraId="5BE35871" w14:textId="7EACB9A5">
      <w:pPr>
        <w:bidi w:val="0"/>
        <w:spacing w:before="120" w:after="180" w:line="240" w:lineRule="atLeast"/>
        <w:rPr>
          <w:rFonts w:ascii="Tahoma" w:hAnsi="Tahoma" w:cs="Tahoma"/>
          <w:b/>
          <w:bCs/>
          <w:color w:val="00305F"/>
          <w:sz w:val="32"/>
          <w:szCs w:val="32"/>
        </w:rPr>
      </w:pPr>
      <w:bookmarkStart w:id="6" w:name="_Hlk62029958"/>
      <w:r>
        <w:rPr>
          <w:rFonts w:ascii="Tahoma" w:hAnsi="Tahoma" w:cs="Tahoma"/>
          <w:b/>
          <w:bCs/>
          <w:noProof/>
          <w:color w:val="003364"/>
          <w:w w:val="90"/>
          <w:sz w:val="32"/>
          <w:szCs w:val="32"/>
        </w:rPr>
        <w:drawing>
          <wp:inline distT="0" distB="0" distL="0" distR="0">
            <wp:extent cx="4679950" cy="45720"/>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5720"/>
                    </a:xfrm>
                    <a:prstGeom prst="rect">
                      <a:avLst/>
                    </a:prstGeom>
                  </pic:spPr>
                </pic:pic>
              </a:graphicData>
            </a:graphic>
          </wp:inline>
        </w:drawing>
      </w:r>
    </w:p>
    <w:p w:rsidR="009A341D" w:rsidRPr="00902625" w:rsidP="001E44CF" w14:paraId="62E9D9E2" w14:textId="0F597CD8">
      <w:pPr>
        <w:bidi w:val="0"/>
        <w:spacing w:before="120" w:after="180" w:line="240" w:lineRule="atLeast"/>
        <w:rPr>
          <w:rFonts w:ascii="Tahoma" w:hAnsi="Tahoma" w:cs="Tahoma"/>
          <w:b/>
          <w:bCs/>
          <w:color w:val="00305F"/>
          <w:sz w:val="32"/>
          <w:szCs w:val="32"/>
        </w:rPr>
      </w:pPr>
      <w:r w:rsidRPr="00AE5F94">
        <w:rPr>
          <w:rFonts w:ascii="Tahoma" w:hAnsi="Tahoma" w:cs="Tahoma"/>
          <w:b/>
          <w:bCs/>
          <w:color w:val="00305F"/>
          <w:sz w:val="32"/>
          <w:szCs w:val="32"/>
        </w:rPr>
        <w:t xml:space="preserve">Audit </w:t>
      </w:r>
      <w:r w:rsidR="004806D7">
        <w:rPr>
          <w:rFonts w:ascii="Tahoma" w:hAnsi="Tahoma" w:cs="Tahoma"/>
          <w:b/>
          <w:bCs/>
          <w:color w:val="00305F"/>
          <w:sz w:val="32"/>
          <w:szCs w:val="32"/>
        </w:rPr>
        <w:t>A</w:t>
      </w:r>
      <w:r w:rsidRPr="00AE5F94">
        <w:rPr>
          <w:rFonts w:ascii="Tahoma" w:hAnsi="Tahoma" w:cs="Tahoma"/>
          <w:b/>
          <w:bCs/>
          <w:color w:val="00305F"/>
          <w:sz w:val="32"/>
          <w:szCs w:val="32"/>
        </w:rPr>
        <w:t>ctions</w:t>
      </w:r>
    </w:p>
    <w:bookmarkEnd w:id="6"/>
    <w:p w:rsidR="00A73A45" w:rsidP="00AD3D04" w14:paraId="602B8997" w14:textId="77172E34">
      <w:pPr>
        <w:bidi w:val="0"/>
        <w:spacing w:after="480" w:line="260" w:lineRule="exact"/>
        <w:ind w:left="397"/>
        <w:jc w:val="both"/>
        <w:rPr>
          <w:rStyle w:val="7190"/>
        </w:rPr>
      </w:pPr>
      <w:r w:rsidRPr="002229D0">
        <w:rPr>
          <w:rStyle w:val="7190"/>
          <w:noProof/>
        </w:rPr>
        <w:drawing>
          <wp:anchor distT="0" distB="0" distL="0" distR="0" simplePos="0" relativeHeight="251678720" behindDoc="1" locked="0" layoutInCell="1" allowOverlap="1">
            <wp:simplePos x="0" y="0"/>
            <wp:positionH relativeFrom="margin">
              <wp:posOffset>0</wp:posOffset>
            </wp:positionH>
            <wp:positionV relativeFrom="margin">
              <wp:posOffset>5204197</wp:posOffset>
            </wp:positionV>
            <wp:extent cx="162000" cy="162000"/>
            <wp:effectExtent l="0" t="0" r="3175" b="3175"/>
            <wp:wrapTight wrapText="bothSides">
              <wp:wrapPolygon>
                <wp:start x="0" y="0"/>
                <wp:lineTo x="0" y="16941"/>
                <wp:lineTo x="11859" y="20329"/>
                <wp:lineTo x="20329" y="20329"/>
                <wp:lineTo x="20329" y="11859"/>
                <wp:lineTo x="16941" y="0"/>
                <wp:lineTo x="0" y="0"/>
              </wp:wrapPolygon>
            </wp:wrapTight>
            <wp:docPr id="21" name="תמונה 33"/>
            <wp:cNvGraphicFramePr/>
            <a:graphic xmlns:a="http://schemas.openxmlformats.org/drawingml/2006/main">
              <a:graphicData uri="http://schemas.openxmlformats.org/drawingml/2006/picture">
                <pic:pic xmlns:pic="http://schemas.openxmlformats.org/drawingml/2006/picture">
                  <pic:nvPicPr>
                    <pic:cNvPr id="21" name="תמונה 33"/>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7277" w:rsidR="0009228A">
        <w:rPr>
          <w:rStyle w:val="7190"/>
        </w:rPr>
        <w:t>From</w:t>
      </w:r>
      <w:r w:rsidRPr="00107277" w:rsidR="0009228A">
        <w:rPr>
          <w:rStyle w:val="7190"/>
          <w:noProof/>
        </w:rPr>
        <w:t xml:space="preserve"> April to October 2022, the State Comptroller's Office examined government bodies' ICT engagements through an exemption from a tender. The audit was conducted in the Accountant General's Division of the Ministry of Finance (the Accountant General). It was based on data retrieved by the State Comptroller's Office from the Merkava (Comprehensive Lateral System in Government Ministries) system, the website of the Procurement Administration at the Ministry of Finance, and the Government Freedom of Information Unit website. Completion examinations were conducted at the Ministry of Welfare and Social Security, Construction and Housing, the National Digital Agency at the Ministry of Economy and Industry (the National Digital Agency), the Israel Mapping Center, and the Competition Authority</w:t>
      </w:r>
      <w:r>
        <w:rPr>
          <w:rStyle w:val="7190"/>
        </w:rPr>
        <w:t>.</w:t>
      </w:r>
    </w:p>
    <w:p w:rsidR="000A1D75" w:rsidP="00B56681" w14:paraId="44F553C6" w14:textId="7CB8EAAE">
      <w:pPr>
        <w:keepNext/>
        <w:keepLines/>
        <w:bidi w:val="0"/>
        <w:spacing w:before="600"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254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2545"/>
                    </a:xfrm>
                    <a:prstGeom prst="rect">
                      <a:avLst/>
                    </a:prstGeom>
                  </pic:spPr>
                </pic:pic>
              </a:graphicData>
            </a:graphic>
          </wp:inline>
        </w:drawing>
      </w:r>
    </w:p>
    <w:p w:rsidR="000A1D75" w:rsidP="009661D6" w14:paraId="129BA907" w14:textId="373EDBA1">
      <w:pPr>
        <w:keepNext/>
        <w:keepLines/>
        <w:bidi w:val="0"/>
        <w:spacing w:before="120" w:after="180" w:line="240" w:lineRule="atLeast"/>
        <w:rPr>
          <w:rFonts w:ascii="Tahoma" w:hAnsi="Tahoma" w:cs="Tahoma"/>
          <w:b/>
          <w:bCs/>
          <w:color w:val="00305F"/>
          <w:sz w:val="32"/>
          <w:szCs w:val="32"/>
          <w:rtl/>
        </w:rPr>
      </w:pPr>
      <w:bookmarkStart w:id="7" w:name="_Hlk62030689"/>
      <w:r w:rsidRPr="00AE5F94">
        <w:rPr>
          <w:rFonts w:ascii="Tahoma" w:hAnsi="Tahoma" w:cs="Tahoma"/>
          <w:b/>
          <w:bCs/>
          <w:color w:val="00305F"/>
          <w:sz w:val="32"/>
          <w:szCs w:val="32"/>
        </w:rPr>
        <w:t xml:space="preserve">Key </w:t>
      </w:r>
      <w:r w:rsidR="004806D7">
        <w:rPr>
          <w:rFonts w:ascii="Tahoma" w:hAnsi="Tahoma" w:cs="Tahoma"/>
          <w:b/>
          <w:bCs/>
          <w:color w:val="00305F"/>
          <w:sz w:val="32"/>
          <w:szCs w:val="32"/>
        </w:rPr>
        <w:t>F</w:t>
      </w:r>
      <w:r w:rsidRPr="00AE5F94">
        <w:rPr>
          <w:rFonts w:ascii="Tahoma" w:hAnsi="Tahoma" w:cs="Tahoma"/>
          <w:b/>
          <w:bCs/>
          <w:color w:val="00305F"/>
          <w:sz w:val="32"/>
          <w:szCs w:val="32"/>
        </w:rPr>
        <w:t>indings</w:t>
      </w:r>
    </w:p>
    <w:p w:rsidR="00BD3044" w:rsidRPr="00BD3044" w:rsidP="00BD3044" w14:paraId="007359CF" w14:textId="45D83CF5">
      <w:pPr>
        <w:keepNext/>
        <w:keepLines/>
        <w:bidi w:val="0"/>
        <w:spacing w:after="180" w:line="240" w:lineRule="atLeast"/>
        <w:rPr>
          <w:rFonts w:ascii="Tahoma" w:hAnsi="Tahoma" w:cs="Tahoma"/>
          <w:b/>
          <w:bCs/>
          <w:color w:val="00305F"/>
          <w:sz w:val="4"/>
          <w:szCs w:val="4"/>
          <w:rtl/>
        </w:rPr>
      </w:pPr>
      <w:r>
        <w:rPr>
          <w:b/>
          <w:bCs/>
          <w:noProof/>
          <w:sz w:val="18"/>
        </w:rPr>
        <w:drawing>
          <wp:anchor distT="0" distB="0" distL="114300" distR="114300" simplePos="0" relativeHeight="251677696" behindDoc="1" locked="0" layoutInCell="1" allowOverlap="1">
            <wp:simplePos x="0" y="0"/>
            <wp:positionH relativeFrom="column">
              <wp:posOffset>1270</wp:posOffset>
            </wp:positionH>
            <wp:positionV relativeFrom="paragraph">
              <wp:posOffset>38295</wp:posOffset>
            </wp:positionV>
            <wp:extent cx="2879725" cy="158115"/>
            <wp:effectExtent l="0" t="0" r="0" b="0"/>
            <wp:wrapTight wrapText="bothSides">
              <wp:wrapPolygon>
                <wp:start x="4191" y="0"/>
                <wp:lineTo x="0" y="5205"/>
                <wp:lineTo x="0" y="8675"/>
                <wp:lineTo x="4191" y="19084"/>
                <wp:lineTo x="5906" y="19084"/>
                <wp:lineTo x="21433" y="8675"/>
                <wp:lineTo x="21433" y="5205"/>
                <wp:lineTo x="5906" y="0"/>
                <wp:lineTo x="419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879725" cy="158115"/>
                    </a:xfrm>
                    <a:prstGeom prst="rect">
                      <a:avLst/>
                    </a:prstGeom>
                  </pic:spPr>
                </pic:pic>
              </a:graphicData>
            </a:graphic>
            <wp14:sizeRelH relativeFrom="page">
              <wp14:pctWidth>0</wp14:pctWidth>
            </wp14:sizeRelH>
            <wp14:sizeRelV relativeFrom="page">
              <wp14:pctHeight>0</wp14:pctHeight>
            </wp14:sizeRelV>
          </wp:anchor>
        </w:drawing>
      </w:r>
    </w:p>
    <w:bookmarkEnd w:id="7"/>
    <w:p w:rsidR="00EA3DAD" w:rsidP="00A463D3" w14:paraId="6867AAEC" w14:textId="19A13E87">
      <w:pPr>
        <w:pStyle w:val="7191"/>
        <w:bidi w:val="0"/>
        <w:spacing w:before="240"/>
        <w:ind w:left="397"/>
        <w:rPr>
          <w:bCs/>
        </w:rPr>
      </w:pPr>
      <w:r w:rsidRPr="0009228A">
        <w:rPr>
          <w:rFonts w:hint="cs"/>
          <w:b/>
          <w:noProof/>
          <w:rtl/>
        </w:rPr>
        <w:drawing>
          <wp:anchor distT="0" distB="0" distL="0" distR="0" simplePos="0" relativeHeight="251679744" behindDoc="0" locked="0" layoutInCell="1" allowOverlap="1">
            <wp:simplePos x="0" y="0"/>
            <wp:positionH relativeFrom="column">
              <wp:posOffset>15875</wp:posOffset>
            </wp:positionH>
            <wp:positionV relativeFrom="paragraph">
              <wp:posOffset>65881</wp:posOffset>
            </wp:positionV>
            <wp:extent cx="162000" cy="162000"/>
            <wp:effectExtent l="0" t="0" r="3175" b="3175"/>
            <wp:wrapSquare wrapText="bothSides"/>
            <wp:docPr id="2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9228A" w:rsidR="0009228A">
        <w:rPr>
          <w:b/>
          <w:noProof/>
        </w:rPr>
        <w:t>ICT Engagements Through an Exempt from Tender on the Grounds of a "Sole Source Purchase " –</w:t>
      </w:r>
      <w:r w:rsidRPr="0009228A" w:rsidR="0009228A">
        <w:rPr>
          <w:bCs/>
          <w:noProof/>
        </w:rPr>
        <w:t xml:space="preserve"> ICT procurement </w:t>
      </w:r>
      <w:bookmarkStart w:id="8" w:name="_Hlk143497356"/>
      <w:r w:rsidRPr="0009228A" w:rsidR="0009228A">
        <w:rPr>
          <w:bCs/>
          <w:noProof/>
        </w:rPr>
        <w:t xml:space="preserve">through an exempt from tender </w:t>
      </w:r>
      <w:bookmarkEnd w:id="8"/>
      <w:r w:rsidRPr="0009228A" w:rsidR="0009228A">
        <w:rPr>
          <w:bCs/>
          <w:noProof/>
        </w:rPr>
        <w:t xml:space="preserve">on the grounds of a </w:t>
      </w:r>
      <w:bookmarkStart w:id="9" w:name="_Hlk143497446"/>
      <w:r w:rsidRPr="0009228A" w:rsidR="0009228A">
        <w:rPr>
          <w:bCs/>
          <w:noProof/>
        </w:rPr>
        <w:t xml:space="preserve">sole source purchase </w:t>
      </w:r>
      <w:bookmarkEnd w:id="9"/>
      <w:r w:rsidRPr="0009228A" w:rsidR="0009228A">
        <w:rPr>
          <w:bCs/>
          <w:noProof/>
        </w:rPr>
        <w:t>in 2019</w:t>
      </w:r>
      <m:oMath>
        <m:r>
          <m:rPr>
            <m:sty m:val="p"/>
          </m:rPr>
          <w:rPr>
            <w:rFonts w:ascii="Cambria Math" w:hAnsi="Cambria Math"/>
            <w:noProof/>
          </w:rPr>
          <m:t>-</m:t>
        </m:r>
      </m:oMath>
      <w:r w:rsidRPr="0009228A" w:rsidR="0009228A">
        <w:rPr>
          <w:bCs/>
          <w:noProof/>
        </w:rPr>
        <w:t>2021 was NIS 1.1 billion – about 61% of the total ICT procurement through an exempt from tender, this compared to a corresponding rate of 9.7% in general procurement (without ICT</w:t>
      </w:r>
      <w:r w:rsidRPr="0009228A" w:rsidR="0009228A">
        <w:rPr>
          <w:bCs/>
        </w:rPr>
        <w:t>)</w:t>
      </w:r>
      <w:r w:rsidRPr="0009228A">
        <w:rPr>
          <w:bCs/>
        </w:rPr>
        <w:t>.</w:t>
      </w:r>
    </w:p>
    <w:p w:rsidR="0009228A" w:rsidRPr="0009228A" w:rsidP="0009228A" w14:paraId="5C65AAED" w14:textId="77777777">
      <w:pPr>
        <w:pStyle w:val="7191"/>
        <w:numPr>
          <w:ilvl w:val="1"/>
          <w:numId w:val="31"/>
        </w:numPr>
        <w:bidi w:val="0"/>
        <w:spacing w:before="240"/>
        <w:rPr>
          <w:bCs/>
          <w:noProof/>
        </w:rPr>
      </w:pPr>
      <w:r w:rsidRPr="0009228A">
        <w:rPr>
          <w:bCs/>
          <w:noProof/>
        </w:rPr>
        <w:t xml:space="preserve">It was found that the use of the </w:t>
      </w:r>
      <w:bookmarkStart w:id="10" w:name="_Hlk143497985"/>
      <w:r w:rsidRPr="0009228A">
        <w:rPr>
          <w:bCs/>
          <w:noProof/>
        </w:rPr>
        <w:t xml:space="preserve">sole source purchase </w:t>
      </w:r>
      <w:bookmarkEnd w:id="10"/>
      <w:r w:rsidRPr="0009228A">
        <w:rPr>
          <w:bCs/>
          <w:noProof/>
        </w:rPr>
        <w:t>exemption by the government bodies in ICT procurement (61%) was over six-fold than in non-ICT government procurement (9.72%).</w:t>
      </w:r>
    </w:p>
    <w:p w:rsidR="0009228A" w:rsidRPr="0009228A" w:rsidP="0009228A" w14:paraId="435B2B8D" w14:textId="77777777">
      <w:pPr>
        <w:pStyle w:val="7191"/>
        <w:numPr>
          <w:ilvl w:val="1"/>
          <w:numId w:val="31"/>
        </w:numPr>
        <w:bidi w:val="0"/>
        <w:spacing w:before="240"/>
        <w:rPr>
          <w:bCs/>
          <w:noProof/>
        </w:rPr>
      </w:pPr>
      <w:r w:rsidRPr="0009228A">
        <w:rPr>
          <w:bCs/>
          <w:noProof/>
        </w:rPr>
        <w:t>It was found that the government procurement system has eight suppliers when two-thirds and more of the ICT procurement orders (in monetary terms) issued to them, at about NIS 130 million, were exempted from the tender on the grounds of a sole source purchase. Furthermore, six suppliers with which the sum of the engagements, exempt from the tender on the grounds of a sole source purchase, was the largest – about NIS 467 million. It should be noted that engagements were also made with those suppliers through tender procedures. This may raise concerns regarding the lack of perfect competition and the violation of the principle of equality under the principles established by law, as well as the non-exhaustion of the examination of the alternatives by the government body before the decision to use the exemption on the grounds of a sole source purchase.</w:t>
      </w:r>
    </w:p>
    <w:p w:rsidR="0009228A" w:rsidRPr="0009228A" w:rsidP="0009228A" w14:paraId="1BA297D1" w14:textId="3C02B0BB">
      <w:pPr>
        <w:pStyle w:val="7191"/>
        <w:numPr>
          <w:ilvl w:val="1"/>
          <w:numId w:val="31"/>
        </w:numPr>
        <w:bidi w:val="0"/>
        <w:spacing w:before="240"/>
        <w:rPr>
          <w:bCs/>
          <w:noProof/>
        </w:rPr>
      </w:pPr>
      <w:r w:rsidRPr="0009228A">
        <w:rPr>
          <w:bCs/>
          <w:noProof/>
        </w:rPr>
        <w:t>It was found that in four government bodies – the Ministry of Transport and Road Safety (Ministry of Transport), the Ministry of Agriculture and Rural Development, the Labor Division of the Ministry of Economy and Industry, and the Israel Tax Authority (the Tax Authority) – the average rate of ICT procurement through an exempt from tender on the grounds of a sole source purchase in 2019</w:t>
      </w:r>
      <m:oMath>
        <m:r>
          <m:rPr>
            <m:sty m:val="p"/>
          </m:rPr>
          <w:rPr>
            <w:rFonts w:ascii="Cambria Math" w:hAnsi="Cambria Math"/>
            <w:noProof/>
          </w:rPr>
          <m:t>-</m:t>
        </m:r>
      </m:oMath>
      <w:r w:rsidRPr="0009228A">
        <w:rPr>
          <w:bCs/>
          <w:noProof/>
        </w:rPr>
        <w:t xml:space="preserve">2021 is almost double to more than double the average rate of ICT procurement that is carried out without a tender in all government ministries (14%) (Ministry of Transport – 31%; Ministry of Agriculture and Rural Development – 31%; Labor Division of the Ministry of Economy and Industry – 27%; Tax Authority – 26%). The total of the ICT procurement through an exemption from the tender on the grounds of a </w:t>
      </w:r>
      <w:bookmarkStart w:id="11" w:name="_Hlk143498322"/>
      <w:r w:rsidRPr="0009228A">
        <w:rPr>
          <w:bCs/>
          <w:noProof/>
        </w:rPr>
        <w:t xml:space="preserve">sole source purchase </w:t>
      </w:r>
      <w:bookmarkEnd w:id="11"/>
      <w:r w:rsidRPr="0009228A">
        <w:rPr>
          <w:bCs/>
          <w:noProof/>
        </w:rPr>
        <w:t>in the four entities was about NIS 627.7 million.</w:t>
      </w:r>
    </w:p>
    <w:p w:rsidR="0009228A" w:rsidRPr="0009228A" w:rsidP="0009228A" w14:paraId="47A6ED5D" w14:textId="711BD3C7">
      <w:pPr>
        <w:pStyle w:val="7191"/>
        <w:numPr>
          <w:ilvl w:val="1"/>
          <w:numId w:val="31"/>
        </w:numPr>
        <w:bidi w:val="0"/>
        <w:spacing w:before="240"/>
        <w:rPr>
          <w:bCs/>
          <w:noProof/>
        </w:rPr>
      </w:pPr>
      <w:r w:rsidRPr="0009228A">
        <w:rPr>
          <w:bCs/>
          <w:noProof/>
        </w:rPr>
        <w:t>In an examination of 65 minutes of ministerial committees convened in 2019</w:t>
      </w:r>
      <m:oMath>
        <m:r>
          <m:rPr>
            <m:sty m:val="p"/>
          </m:rPr>
          <w:rPr>
            <w:rFonts w:ascii="Cambria Math" w:hAnsi="Cambria Math"/>
            <w:noProof/>
          </w:rPr>
          <m:t>-</m:t>
        </m:r>
      </m:oMath>
      <w:r w:rsidRPr="0009228A">
        <w:rPr>
          <w:bCs/>
          <w:noProof/>
        </w:rPr>
        <w:t xml:space="preserve">2021, it was raised that in the vast majority (97%) of the professional opinions submitted to the tender committees, the measures taken to locate additional suppliers were not detailed as required under the provisions of the Directives on Regulation, Finance, and Economy (TAKAM Directives). Without this information, the </w:t>
      </w:r>
      <w:r w:rsidRPr="0009228A">
        <w:rPr>
          <w:bCs/>
          <w:noProof/>
        </w:rPr>
        <w:t>committee's ability to reach the certainty required to approve the request is significantly impaired.</w:t>
      </w:r>
    </w:p>
    <w:p w:rsidR="0009228A" w:rsidRPr="0009228A" w:rsidP="0009228A" w14:paraId="69ECEAB7" w14:textId="77777777">
      <w:pPr>
        <w:pStyle w:val="7191"/>
        <w:numPr>
          <w:ilvl w:val="1"/>
          <w:numId w:val="31"/>
        </w:numPr>
        <w:bidi w:val="0"/>
        <w:spacing w:before="240"/>
        <w:rPr>
          <w:bCs/>
          <w:noProof/>
        </w:rPr>
      </w:pPr>
      <w:r w:rsidRPr="0009228A">
        <w:rPr>
          <w:bCs/>
          <w:noProof/>
        </w:rPr>
        <w:t>The audit raised that the Procurement Administration does not have comprehensive information on the objections to engage through an exemption from the tender on the grounds of a sole source purchase, and in practice, each government body handles separately the objections submitted to it on its intentions to engage on these grounds. The presence of comprehensive information on the objections submitted to the government bodies on the engagement exempt from tender at the government body in charge of government procurement – will improve its decisions regarding optimizing the government procurement processes.</w:t>
      </w:r>
    </w:p>
    <w:p w:rsidR="001B5E86" w:rsidP="00A463D3" w14:paraId="21FB8B77" w14:textId="72E22DA5">
      <w:pPr>
        <w:pStyle w:val="7191"/>
        <w:bidi w:val="0"/>
        <w:ind w:left="397"/>
      </w:pPr>
      <w:r w:rsidRPr="0009228A">
        <w:rPr>
          <w:rFonts w:hint="cs"/>
          <w:b/>
          <w:bCs/>
          <w:noProof/>
          <w:rtl/>
        </w:rPr>
        <w:drawing>
          <wp:anchor distT="0" distB="0" distL="0" distR="0" simplePos="0" relativeHeight="251661312" behindDoc="0" locked="0" layoutInCell="1" allowOverlap="1">
            <wp:simplePos x="0" y="0"/>
            <wp:positionH relativeFrom="column">
              <wp:posOffset>17042</wp:posOffset>
            </wp:positionH>
            <wp:positionV relativeFrom="paragraph">
              <wp:posOffset>35560</wp:posOffset>
            </wp:positionV>
            <wp:extent cx="162000" cy="162000"/>
            <wp:effectExtent l="0" t="0" r="3175" b="3175"/>
            <wp:wrapSquare wrapText="bothSides"/>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09228A" w:rsidR="0009228A">
        <w:rPr>
          <w:b/>
          <w:bCs/>
          <w:noProof/>
        </w:rPr>
        <w:t>ICT Engagements Through an Exempt from Tender due to a Contract Sum of up to NIS 50,000 –</w:t>
      </w:r>
      <w:r w:rsidRPr="0009228A" w:rsidR="0009228A">
        <w:rPr>
          <w:noProof/>
        </w:rPr>
        <w:t xml:space="preserve"> in 2019</w:t>
      </w:r>
      <m:oMath>
        <m:r>
          <m:rPr>
            <m:sty m:val="p"/>
          </m:rPr>
          <w:rPr>
            <w:rFonts w:ascii="Cambria Math" w:hAnsi="Cambria Math"/>
            <w:noProof/>
          </w:rPr>
          <m:t>-</m:t>
        </m:r>
      </m:oMath>
      <w:r w:rsidRPr="0009228A" w:rsidR="0009228A">
        <w:rPr>
          <w:noProof/>
        </w:rPr>
        <w:t>2021, ICT procurement orders through an exempt from tender due to an engagement of up to NIS 50,000 (Regulation 3(1)) were NIS 161 million, about 9.1% of the total ICT procurement orders through an exempt from tender in these years, compared to a corresponding rate of 2.8% in general procurement (without ICT</w:t>
      </w:r>
      <w:r w:rsidR="0009228A">
        <w:t>)</w:t>
      </w:r>
      <w:r>
        <w:t>.</w:t>
      </w:r>
    </w:p>
    <w:p w:rsidR="0009228A" w:rsidRPr="0009228A" w:rsidP="0009228A" w14:paraId="4B58D520" w14:textId="77777777">
      <w:pPr>
        <w:pStyle w:val="7191"/>
        <w:numPr>
          <w:ilvl w:val="1"/>
          <w:numId w:val="31"/>
        </w:numPr>
        <w:bidi w:val="0"/>
        <w:spacing w:before="240"/>
        <w:rPr>
          <w:bCs/>
          <w:noProof/>
        </w:rPr>
      </w:pPr>
      <w:r w:rsidRPr="0009228A">
        <w:rPr>
          <w:bCs/>
          <w:noProof/>
        </w:rPr>
        <w:t>Nine cases were found, at NIS 898,000, in which several procurement orders from the same supplier for the same service were made within up to 14 days, each in less than NIS 50,000, but cumulatively they were over this sum. Artificial splitting of engagements, if done, violates the principle of equality based on the tender laws. The obligation to carry out the procurement through a tender is circumvented through it. Furthermore, due to fragmentation, public funds may be overused due to the non-utilization of the size advantage.</w:t>
      </w:r>
    </w:p>
    <w:p w:rsidR="0009228A" w:rsidRPr="0009228A" w:rsidP="0009228A" w14:paraId="29F4F887" w14:textId="77777777">
      <w:pPr>
        <w:pStyle w:val="7191"/>
        <w:numPr>
          <w:ilvl w:val="1"/>
          <w:numId w:val="31"/>
        </w:numPr>
        <w:bidi w:val="0"/>
        <w:spacing w:before="240"/>
        <w:rPr>
          <w:bCs/>
          <w:noProof/>
        </w:rPr>
      </w:pPr>
      <w:r w:rsidRPr="0009228A">
        <w:rPr>
          <w:bCs/>
          <w:noProof/>
        </w:rPr>
        <w:t>Regarding procurement orders classified as engagements exempt from tender under Regulation 3(1) made in the range of NIS 25,000</w:t>
      </w:r>
      <m:oMath>
        <m:r>
          <m:rPr>
            <m:sty m:val="p"/>
          </m:rPr>
          <w:rPr>
            <w:rFonts w:ascii="Cambria Math" w:hAnsi="Cambria Math"/>
            <w:noProof/>
          </w:rPr>
          <m:t>-</m:t>
        </m:r>
      </m:oMath>
      <w:r w:rsidRPr="0009228A">
        <w:rPr>
          <w:bCs/>
          <w:noProof/>
        </w:rPr>
        <w:t>50,000, it was found that in 2019</w:t>
      </w:r>
      <m:oMath>
        <m:r>
          <m:rPr>
            <m:sty m:val="p"/>
          </m:rPr>
          <w:rPr>
            <w:rFonts w:ascii="Cambria Math" w:hAnsi="Cambria Math"/>
            <w:noProof/>
          </w:rPr>
          <m:t>-</m:t>
        </m:r>
      </m:oMath>
      <w:r w:rsidRPr="0009228A">
        <w:rPr>
          <w:bCs/>
          <w:noProof/>
        </w:rPr>
        <w:t>2021 717 procurement orders were made in the range of NIS 47,500</w:t>
      </w:r>
      <m:oMath>
        <m:r>
          <m:rPr>
            <m:sty m:val="p"/>
          </m:rPr>
          <w:rPr>
            <w:rFonts w:ascii="Cambria Math" w:hAnsi="Cambria Math"/>
            <w:noProof/>
          </w:rPr>
          <m:t>-</m:t>
        </m:r>
      </m:oMath>
      <w:r w:rsidRPr="0009228A">
        <w:rPr>
          <w:bCs/>
          <w:noProof/>
        </w:rPr>
        <w:t>50,000 – the most significant number of procurement orders from all the sum tiers included in the range of NIS 25,000</w:t>
      </w:r>
      <m:oMath>
        <m:r>
          <m:rPr>
            <m:sty m:val="p"/>
          </m:rPr>
          <w:rPr>
            <w:rFonts w:ascii="Cambria Math" w:hAnsi="Cambria Math"/>
            <w:noProof/>
          </w:rPr>
          <m:t>-</m:t>
        </m:r>
      </m:oMath>
      <w:r w:rsidRPr="0009228A">
        <w:rPr>
          <w:bCs/>
          <w:noProof/>
        </w:rPr>
        <w:t>50,000. The number of procurement orders in the second largest sum tier was 202. That is, the number of ICT procurement orders classified as engagements exempt from tender under Regulation 3(1) and carried out in sums close to the exemption cap set in the regulations is three-fold than the number of procurement orders in any other sum tier.</w:t>
      </w:r>
    </w:p>
    <w:p w:rsidR="0009228A" w:rsidRPr="0009228A" w:rsidP="0009228A" w14:paraId="35EF2CF5" w14:textId="77777777">
      <w:pPr>
        <w:pStyle w:val="7191"/>
        <w:numPr>
          <w:ilvl w:val="1"/>
          <w:numId w:val="31"/>
        </w:numPr>
        <w:bidi w:val="0"/>
        <w:spacing w:before="240"/>
        <w:rPr>
          <w:bCs/>
          <w:noProof/>
        </w:rPr>
      </w:pPr>
      <w:r w:rsidRPr="0009228A">
        <w:rPr>
          <w:bCs/>
          <w:noProof/>
        </w:rPr>
        <w:t xml:space="preserve">Moreover, it was found that the Prime Minister's Office executed about 22% (156) of the 717 procurement orders, the Central Bureau of Statistics executed about 7.5% (53), the Ministry of Justice executed about 7.3% (52), and the Ministry of Health executed about 5.9% (42). It was also found that there are three suppliers with whom the number of engagements made by the government bodies in this </w:t>
      </w:r>
      <w:r w:rsidRPr="0009228A">
        <w:rPr>
          <w:bCs/>
          <w:noProof/>
        </w:rPr>
        <w:t>price range constituted over 40% of all engagements with them in 2019</w:t>
      </w:r>
      <m:oMath>
        <m:r>
          <m:rPr>
            <m:sty m:val="p"/>
          </m:rPr>
          <w:rPr>
            <w:rFonts w:ascii="Cambria Math" w:hAnsi="Cambria Math"/>
            <w:noProof/>
          </w:rPr>
          <m:t>-</m:t>
        </m:r>
      </m:oMath>
      <w:r w:rsidRPr="0009228A">
        <w:rPr>
          <w:bCs/>
          <w:noProof/>
        </w:rPr>
        <w:t>2021. This raises the concern that government bodies sometimes adjust procurement orders to the sum exempted from the tender. Due to the reduction of the quality or quantity of the procurement to avoid a tender, a waiver of requirements necessary for the activity of the governmental body is possible. Furthermore, the ability to plan the procurement may be adversely affected due to the absence of a complete situation report of the government body's procurement needs.</w:t>
      </w:r>
    </w:p>
    <w:p w:rsidR="0009228A" w:rsidP="00A463D3" w14:paraId="01F36E79" w14:textId="77777777">
      <w:pPr>
        <w:pStyle w:val="7191"/>
        <w:bidi w:val="0"/>
        <w:spacing w:before="240"/>
        <w:ind w:left="397"/>
      </w:pPr>
      <w:r w:rsidRPr="00C50F58">
        <w:rPr>
          <w:rFonts w:hint="cs"/>
          <w:bCs/>
          <w:noProof/>
          <w:rtl/>
        </w:rPr>
        <w:drawing>
          <wp:anchor distT="0" distB="0" distL="0" distR="0" simplePos="0" relativeHeight="251688960" behindDoc="0" locked="0" layoutInCell="1" allowOverlap="1">
            <wp:simplePos x="0" y="0"/>
            <wp:positionH relativeFrom="column">
              <wp:posOffset>15875</wp:posOffset>
            </wp:positionH>
            <wp:positionV relativeFrom="paragraph">
              <wp:posOffset>61984</wp:posOffset>
            </wp:positionV>
            <wp:extent cx="162000" cy="162000"/>
            <wp:effectExtent l="0" t="0" r="3175" b="3175"/>
            <wp:wrapSquare wrapText="bothSides"/>
            <wp:docPr id="1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7277">
        <w:rPr>
          <w:b/>
          <w:bCs/>
          <w:noProof/>
        </w:rPr>
        <w:t>Publication of Government Engagements</w:t>
      </w:r>
    </w:p>
    <w:p w:rsidR="0009228A" w:rsidRPr="0009228A" w:rsidP="0009228A" w14:paraId="72E1BC72" w14:textId="7BAB4003">
      <w:pPr>
        <w:pStyle w:val="7191"/>
        <w:numPr>
          <w:ilvl w:val="1"/>
          <w:numId w:val="33"/>
        </w:numPr>
        <w:bidi w:val="0"/>
        <w:spacing w:before="240"/>
        <w:ind w:left="794" w:hanging="397"/>
        <w:rPr>
          <w:bCs/>
          <w:noProof/>
        </w:rPr>
      </w:pPr>
      <w:r w:rsidRPr="0009228A">
        <w:rPr>
          <w:bCs/>
          <w:noProof/>
        </w:rPr>
        <w:t>It was found that in about 40% (about 7,000) of the publications of engagements through an exempt from the tender in 2019</w:t>
      </w:r>
      <m:oMath>
        <m:r>
          <m:rPr>
            <m:sty m:val="p"/>
          </m:rPr>
          <w:rPr>
            <w:rFonts w:ascii="Cambria Math" w:hAnsi="Cambria Math"/>
            <w:noProof/>
          </w:rPr>
          <m:t>-</m:t>
        </m:r>
      </m:oMath>
      <w:r w:rsidRPr="0009228A">
        <w:rPr>
          <w:bCs/>
          <w:noProof/>
        </w:rPr>
        <w:t xml:space="preserve">2021, the government bodies did not publicize all of the information (the name of the supplier, The value of the engagement or an estimate thereof; The dates of the start and end of the engagement) in contravention of the legal requirements when engaging with suppliers through an exempt from the tender. This affected the </w:t>
      </w:r>
      <w:r w:rsidRPr="00ED0AC4" w:rsidR="00ED0AC4">
        <w:rPr>
          <w:bCs/>
          <w:noProof/>
        </w:rPr>
        <w:t xml:space="preserve">transparency to the public </w:t>
      </w:r>
      <w:r w:rsidRPr="0009228A">
        <w:rPr>
          <w:bCs/>
          <w:noProof/>
        </w:rPr>
        <w:t>and the Procurement Administration's control ability.</w:t>
      </w:r>
    </w:p>
    <w:p w:rsidR="0009228A" w:rsidRPr="0009228A" w:rsidP="0009228A" w14:paraId="59074CDD" w14:textId="2DEBA32A">
      <w:pPr>
        <w:pStyle w:val="7191"/>
        <w:numPr>
          <w:ilvl w:val="1"/>
          <w:numId w:val="33"/>
        </w:numPr>
        <w:bidi w:val="0"/>
        <w:spacing w:before="240"/>
        <w:ind w:left="794" w:hanging="397"/>
        <w:rPr>
          <w:bCs/>
          <w:noProof/>
        </w:rPr>
      </w:pPr>
      <w:r w:rsidRPr="0009228A">
        <w:rPr>
          <w:bCs/>
          <w:noProof/>
        </w:rPr>
        <w:t>Regarding the completeness and reliability of the data published in the engagements report, it was raised that in hundreds of cases, material errors were found in the details of the engagements: in six cases, the engagements were categorized as exempt</w:t>
      </w:r>
      <w:r w:rsidR="00ED0AC4">
        <w:rPr>
          <w:bCs/>
          <w:noProof/>
        </w:rPr>
        <w:t>ed</w:t>
      </w:r>
      <w:r w:rsidRPr="0009228A">
        <w:rPr>
          <w:bCs/>
          <w:noProof/>
        </w:rPr>
        <w:t xml:space="preserve"> on the grounds of being up to NIS 50,000, even though the scope was over this sum; In 822 cases the engagements were categorized as exempt</w:t>
      </w:r>
      <w:r w:rsidR="00ED0AC4">
        <w:rPr>
          <w:bCs/>
          <w:noProof/>
        </w:rPr>
        <w:t>ed</w:t>
      </w:r>
      <w:r w:rsidRPr="0009228A">
        <w:rPr>
          <w:bCs/>
          <w:noProof/>
        </w:rPr>
        <w:t xml:space="preserve"> when the required approving party according to this ground for exemption is different than the party specified as the approving party; In 585 cases the engagements were categorized as exempt</w:t>
      </w:r>
      <w:r w:rsidR="00ED0AC4">
        <w:rPr>
          <w:bCs/>
          <w:noProof/>
        </w:rPr>
        <w:t>ed</w:t>
      </w:r>
      <w:r w:rsidRPr="0009228A">
        <w:rPr>
          <w:bCs/>
          <w:noProof/>
        </w:rPr>
        <w:t xml:space="preserve"> on the grounds of a sole source purchase, while the relative professional opinion was not attached, as required under the provisions of the Directives on Regulation, Finance, and Economy (TAKAM). These could have been avoided if there were basic controls in the publication module alerting the government bodies of errors or deficiencies in the data entry.</w:t>
      </w:r>
    </w:p>
    <w:p w:rsidR="0009228A" w:rsidRPr="0009228A" w:rsidP="0009228A" w14:paraId="081C96FA" w14:textId="16BA43AC">
      <w:pPr>
        <w:pStyle w:val="7191"/>
        <w:numPr>
          <w:ilvl w:val="1"/>
          <w:numId w:val="33"/>
        </w:numPr>
        <w:bidi w:val="0"/>
        <w:spacing w:before="240"/>
        <w:ind w:left="794" w:hanging="397"/>
        <w:rPr>
          <w:bCs/>
          <w:noProof/>
        </w:rPr>
      </w:pPr>
      <w:r w:rsidRPr="0009228A">
        <w:rPr>
          <w:bCs/>
          <w:noProof/>
        </w:rPr>
        <w:t>It was found that in 2019</w:t>
      </w:r>
      <m:oMath>
        <m:r>
          <m:rPr>
            <m:sty m:val="p"/>
          </m:rPr>
          <w:rPr>
            <w:rFonts w:ascii="Cambria Math" w:hAnsi="Cambria Math"/>
            <w:noProof/>
          </w:rPr>
          <m:t>-</m:t>
        </m:r>
      </m:oMath>
      <w:r w:rsidRPr="0009228A">
        <w:rPr>
          <w:bCs/>
          <w:noProof/>
        </w:rPr>
        <w:t>2021, the government bodies submitted an average of 62.5% of the reports on the date set by the directives of the Freedom of Information Unit. In contrast, over a third of the bodies (37.5%) did not submit a report or submitted it late. The delay ranged from a few days to a few months. This is in contravention of the Unit's directives and the government's resolution to promote transparency and expand the proactive dissemination of information for the benefit of the public.</w:t>
      </w:r>
    </w:p>
    <w:p w:rsidR="006D5526" w:rsidRPr="0009228A" w:rsidP="0009228A" w14:paraId="60372BE9" w14:textId="7AF8B96C">
      <w:pPr>
        <w:pStyle w:val="7191"/>
        <w:numPr>
          <w:ilvl w:val="1"/>
          <w:numId w:val="33"/>
        </w:numPr>
        <w:bidi w:val="0"/>
        <w:spacing w:before="240"/>
        <w:ind w:left="794" w:hanging="397"/>
        <w:rPr>
          <w:bCs/>
          <w:noProof/>
        </w:rPr>
      </w:pPr>
      <w:r w:rsidRPr="0009228A">
        <w:rPr>
          <w:bCs/>
          <w:noProof/>
        </w:rPr>
        <w:t>Regarding 70 ICT procurement orders by the Ministry of Transport in 2019</w:t>
      </w:r>
      <m:oMath>
        <m:r>
          <m:rPr>
            <m:sty m:val="p"/>
          </m:rPr>
          <w:rPr>
            <w:rFonts w:ascii="Cambria Math" w:hAnsi="Cambria Math"/>
            <w:noProof/>
          </w:rPr>
          <m:t>-</m:t>
        </m:r>
      </m:oMath>
      <w:r w:rsidRPr="0009228A">
        <w:rPr>
          <w:bCs/>
          <w:noProof/>
        </w:rPr>
        <w:t xml:space="preserve">2020, 9 (13%) of them, for about NIS 3.3 million, were not published on the Freedom of Information Unit website. Regarding 135 ICT procurement orders executed by the </w:t>
      </w:r>
      <w:r w:rsidRPr="0009228A">
        <w:rPr>
          <w:bCs/>
          <w:noProof/>
        </w:rPr>
        <w:t>Ministry the Health in 2019</w:t>
      </w:r>
      <m:oMath>
        <m:r>
          <m:rPr>
            <m:sty m:val="p"/>
          </m:rPr>
          <w:rPr>
            <w:rFonts w:ascii="Cambria Math" w:hAnsi="Cambria Math"/>
            <w:noProof/>
          </w:rPr>
          <m:t>-</m:t>
        </m:r>
      </m:oMath>
      <w:r w:rsidRPr="0009228A">
        <w:rPr>
          <w:bCs/>
          <w:noProof/>
        </w:rPr>
        <w:t>2020, 7 (5%) of them, at about NIS 5.2 million, were not published on the Freedom of Information Unit website.</w:t>
      </w:r>
      <w:r w:rsidRPr="0009228A" w:rsidR="00770D17">
        <w:rPr>
          <w:bCs/>
        </w:rPr>
        <w:t xml:space="preserve"> </w:t>
      </w:r>
    </w:p>
    <w:p w:rsidR="00770D17" w:rsidRPr="007E0204" w:rsidP="00A463D3" w14:paraId="5AE8DA88" w14:textId="72FD3933">
      <w:pPr>
        <w:pStyle w:val="7191"/>
        <w:bidi w:val="0"/>
        <w:ind w:left="397"/>
        <w:rPr>
          <w:rtl/>
        </w:rPr>
      </w:pPr>
      <w:r w:rsidRPr="00C50F58">
        <w:rPr>
          <w:rFonts w:hint="cs"/>
          <w:bCs/>
          <w:noProof/>
          <w:rtl/>
        </w:rPr>
        <w:drawing>
          <wp:anchor distT="0" distB="0" distL="0" distR="0" simplePos="0" relativeHeight="251662336" behindDoc="0" locked="0" layoutInCell="1" allowOverlap="1">
            <wp:simplePos x="0" y="0"/>
            <wp:positionH relativeFrom="column">
              <wp:posOffset>-12912</wp:posOffset>
            </wp:positionH>
            <wp:positionV relativeFrom="paragraph">
              <wp:posOffset>18415</wp:posOffset>
            </wp:positionV>
            <wp:extent cx="162000" cy="162000"/>
            <wp:effectExtent l="0" t="0" r="3175" b="3175"/>
            <wp:wrapSquare wrapText="bothSides"/>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7277" w:rsidR="0009228A">
        <w:rPr>
          <w:b/>
          <w:bCs/>
          <w:noProof/>
        </w:rPr>
        <w:t>Information Publishe</w:t>
      </w:r>
      <w:r w:rsidR="00C45779">
        <w:rPr>
          <w:b/>
          <w:bCs/>
          <w:noProof/>
        </w:rPr>
        <w:t>d</w:t>
      </w:r>
      <w:r w:rsidRPr="00107277" w:rsidR="0009228A">
        <w:rPr>
          <w:b/>
          <w:bCs/>
          <w:noProof/>
        </w:rPr>
        <w:t xml:space="preserve"> by </w:t>
      </w:r>
      <w:r w:rsidR="00C45779">
        <w:rPr>
          <w:b/>
          <w:bCs/>
          <w:noProof/>
        </w:rPr>
        <w:t xml:space="preserve">the </w:t>
      </w:r>
      <w:r w:rsidRPr="00107277" w:rsidR="0009228A">
        <w:rPr>
          <w:b/>
          <w:bCs/>
          <w:noProof/>
        </w:rPr>
        <w:t>Procurement Administration in the Annual Government Procurement Reports</w:t>
      </w:r>
      <w:r w:rsidRPr="00107277" w:rsidR="0009228A">
        <w:rPr>
          <w:b/>
          <w:noProof/>
        </w:rPr>
        <w:t xml:space="preserve"> – </w:t>
      </w:r>
      <w:r w:rsidRPr="0009228A" w:rsidR="0009228A">
        <w:rPr>
          <w:bCs/>
          <w:noProof/>
        </w:rPr>
        <w:t>the Procurement Administration presents, in its annual report, the comparative data of the previous year based on the data published in the previous year and not based on a new retrieval intended to obtain current data. As a result, updates made by the government bodies to procurement orders created in subsequent years do not appear in the Procurement Administration data. It was found that there are gaps of NIS 1.2</w:t>
      </w:r>
      <w:r w:rsidR="00C45779">
        <w:rPr>
          <w:bCs/>
          <w:noProof/>
        </w:rPr>
        <w:t>–</w:t>
      </w:r>
      <w:r w:rsidRPr="0009228A" w:rsidR="0009228A">
        <w:rPr>
          <w:bCs/>
          <w:noProof/>
        </w:rPr>
        <w:t>4.2 billion between the scope of procurement presented in the Procurement Administration's report for 2019</w:t>
      </w:r>
      <m:oMath>
        <m:r>
          <m:rPr>
            <m:sty m:val="p"/>
          </m:rPr>
          <w:rPr>
            <w:rFonts w:ascii="Cambria Math" w:hAnsi="Cambria Math"/>
            <w:noProof/>
          </w:rPr>
          <m:t>-</m:t>
        </m:r>
      </m:oMath>
      <w:r w:rsidRPr="0009228A" w:rsidR="0009228A">
        <w:rPr>
          <w:bCs/>
          <w:noProof/>
        </w:rPr>
        <w:t>2020 (NIS 27.3 billion and NIS 30.5 billion, respectively) and the scope of procurement for these years in the data of the Merkava (Comprehensive Lateral System in Government Ministries) system as of June 2022 (NIS 28.5 billion and NIS 34.7 billion, respectively</w:t>
      </w:r>
      <w:r w:rsidRPr="0009228A" w:rsidR="0009228A">
        <w:rPr>
          <w:bCs/>
        </w:rPr>
        <w:t>)</w:t>
      </w:r>
      <w:r w:rsidRPr="007E0204">
        <w:t xml:space="preserve">. </w:t>
      </w:r>
    </w:p>
    <w:p w:rsidR="00770D17" w:rsidRPr="0009228A" w:rsidP="00A463D3" w14:paraId="65C73F0E" w14:textId="351EA042">
      <w:pPr>
        <w:pStyle w:val="7191"/>
        <w:bidi w:val="0"/>
        <w:ind w:left="397"/>
        <w:rPr>
          <w:bCs/>
          <w:rtl/>
        </w:rPr>
      </w:pPr>
      <w:r w:rsidRPr="00707AB4">
        <w:rPr>
          <w:rStyle w:val="7195Char"/>
          <w:rFonts w:hint="cs"/>
          <w:b/>
          <w:bCs w:val="0"/>
          <w:spacing w:val="-2"/>
          <w:szCs w:val="18"/>
          <w:rtl/>
          <w:lang w:val="en-US"/>
        </w:rPr>
        <w:drawing>
          <wp:anchor distT="0" distB="0" distL="0" distR="0" simplePos="0" relativeHeight="251663360" behindDoc="0" locked="0" layoutInCell="1" allowOverlap="1">
            <wp:simplePos x="0" y="0"/>
            <wp:positionH relativeFrom="column">
              <wp:posOffset>-11007</wp:posOffset>
            </wp:positionH>
            <wp:positionV relativeFrom="paragraph">
              <wp:posOffset>29210</wp:posOffset>
            </wp:positionV>
            <wp:extent cx="162000" cy="162000"/>
            <wp:effectExtent l="0" t="0" r="3175" b="3175"/>
            <wp:wrapSquare wrapText="bothSides"/>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707AB4" w:rsidR="0009228A">
        <w:rPr>
          <w:b/>
          <w:bCs/>
          <w:noProof/>
          <w:spacing w:val="-2"/>
        </w:rPr>
        <w:t>Categorization of ICT Procurement in the Merkava (Comprehensive Lateral System in Government Ministries) System</w:t>
      </w:r>
      <w:r w:rsidRPr="00707AB4" w:rsidR="0009228A">
        <w:rPr>
          <w:b/>
          <w:noProof/>
          <w:spacing w:val="-2"/>
        </w:rPr>
        <w:t xml:space="preserve"> – </w:t>
      </w:r>
      <w:r w:rsidRPr="00707AB4" w:rsidR="0009228A">
        <w:rPr>
          <w:bCs/>
          <w:noProof/>
          <w:spacing w:val="-2"/>
        </w:rPr>
        <w:t>Merkava does not have defined rules or a binding government directive for the use of SKUs or specific groups of material enabling to identify all or some of the ICT procurement operations. It was also raised that Merkava does not have a compensatory control, such as a computerized control mechanism to warn of using SKUs that do not match the procurement group or to prevent this use. Therefore, government bodies cannot obtain a current and accurate ICT procurement situation report through computerized means. In addition, the supervisory and control bodies</w:t>
      </w:r>
      <w:r w:rsidRPr="00707AB4" w:rsidR="00707AB4">
        <w:rPr>
          <w:bCs/>
          <w:noProof/>
          <w:spacing w:val="-2"/>
        </w:rPr>
        <w:t xml:space="preserve"> </w:t>
      </w:r>
      <w:r w:rsidRPr="00707AB4" w:rsidR="0009228A">
        <w:rPr>
          <w:bCs/>
          <w:noProof/>
          <w:spacing w:val="-2"/>
        </w:rPr>
        <w:t>–</w:t>
      </w:r>
      <w:r w:rsidRPr="00707AB4" w:rsidR="00707AB4">
        <w:rPr>
          <w:bCs/>
          <w:noProof/>
          <w:spacing w:val="-2"/>
        </w:rPr>
        <w:t xml:space="preserve"> </w:t>
      </w:r>
      <w:r w:rsidRPr="00707AB4" w:rsidR="0009228A">
        <w:rPr>
          <w:bCs/>
          <w:noProof/>
          <w:spacing w:val="-2"/>
        </w:rPr>
        <w:t>the Accountant General, the Procurement Administration, and the National Digital Agency – cannot receive comprehensive information on ICT procurement in all government bodies. For example, the Central Election Committee entered into the Merkava system in 2019</w:t>
      </w:r>
      <m:oMath>
        <m:r>
          <m:rPr>
            <m:sty m:val="p"/>
          </m:rPr>
          <w:rPr>
            <w:rFonts w:ascii="Cambria Math" w:hAnsi="Cambria Math"/>
            <w:noProof/>
            <w:spacing w:val="-2"/>
          </w:rPr>
          <m:t>-</m:t>
        </m:r>
      </m:oMath>
      <w:r w:rsidRPr="00707AB4" w:rsidR="0009228A">
        <w:rPr>
          <w:bCs/>
          <w:noProof/>
          <w:spacing w:val="-2"/>
        </w:rPr>
        <w:t>2021 procurement orders at NIS 227 million for payments to the Knesset factions for their representatives' attendance at the polling stations. These orders were categorized by Merkava as "computer services," even though they are payments to factions. In other words, the ICT procurement analysis, including the "computer services" category, would have created a significant bias in the data</w:t>
      </w:r>
      <w:r w:rsidRPr="00707AB4" w:rsidR="00DB7611">
        <w:rPr>
          <w:rFonts w:eastAsia="Times New Roman" w:hint="cs"/>
          <w:b/>
          <w:rtl/>
          <w:lang w:eastAsia="he-IL"/>
        </w:rPr>
        <w:t>.</w:t>
      </w:r>
      <w:r w:rsidRPr="0009228A">
        <w:rPr>
          <w:bCs/>
        </w:rPr>
        <w:t xml:space="preserve"> </w:t>
      </w:r>
    </w:p>
    <w:p w:rsidR="00DB7611" w:rsidRPr="0009228A" w:rsidP="00A463D3" w14:paraId="3632C828" w14:textId="459AB01C">
      <w:pPr>
        <w:pStyle w:val="7191"/>
        <w:bidi w:val="0"/>
        <w:ind w:left="397"/>
        <w:rPr>
          <w:bCs/>
        </w:rPr>
      </w:pPr>
      <w:r w:rsidRPr="001B5E86">
        <w:rPr>
          <w:rFonts w:hint="cs"/>
          <w:b/>
          <w:noProof/>
          <w:rtl/>
        </w:rPr>
        <w:drawing>
          <wp:anchor distT="0" distB="0" distL="0" distR="0" simplePos="0" relativeHeight="251687936" behindDoc="0" locked="0" layoutInCell="1" allowOverlap="1">
            <wp:simplePos x="0" y="0"/>
            <wp:positionH relativeFrom="column">
              <wp:posOffset>-12912</wp:posOffset>
            </wp:positionH>
            <wp:positionV relativeFrom="paragraph">
              <wp:posOffset>31115</wp:posOffset>
            </wp:positionV>
            <wp:extent cx="162000" cy="162000"/>
            <wp:effectExtent l="0" t="0" r="3175" b="3175"/>
            <wp:wrapSquare wrapText="bothSides"/>
            <wp:docPr id="4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7277" w:rsidR="0009228A">
        <w:rPr>
          <w:b/>
          <w:bCs/>
          <w:noProof/>
        </w:rPr>
        <w:t>Built-in Controls in the Merkava System</w:t>
      </w:r>
      <w:r w:rsidRPr="00107277" w:rsidR="0009228A">
        <w:rPr>
          <w:b/>
          <w:noProof/>
        </w:rPr>
        <w:t xml:space="preserve"> – </w:t>
      </w:r>
      <w:r w:rsidRPr="0009228A" w:rsidR="0009228A">
        <w:rPr>
          <w:bCs/>
          <w:noProof/>
        </w:rPr>
        <w:t>Merkava lacks some built-in controls that could have prevented errors made as part of the execution of a procurement order through an exempt from tender, or that could have alerted such errors, such as classifying procurement orders as exempt from tender due to an engagement with a government company, even though the engagement is with a private company; Classification of procurement orders as exempt from the tender on the grounds of engagement of up to NIS 50,000, even though the order sum is more significant. It even reaches hundreds of thousands and millions of NIS</w:t>
      </w:r>
      <w:r w:rsidRPr="0009228A">
        <w:rPr>
          <w:bCs/>
        </w:rPr>
        <w:t>.</w:t>
      </w:r>
    </w:p>
    <w:p w:rsidR="00DB7611" w:rsidRPr="0009228A" w:rsidP="00A463D3" w14:paraId="55356BD7" w14:textId="262D3BEA">
      <w:pPr>
        <w:pStyle w:val="7191"/>
        <w:bidi w:val="0"/>
        <w:ind w:left="397"/>
        <w:rPr>
          <w:bCs/>
        </w:rPr>
      </w:pPr>
      <w:r w:rsidRPr="001B5E86">
        <w:rPr>
          <w:rFonts w:hint="cs"/>
          <w:b/>
          <w:noProof/>
          <w:rtl/>
        </w:rPr>
        <w:drawing>
          <wp:anchor distT="0" distB="0" distL="0" distR="0" simplePos="0" relativeHeight="251685888" behindDoc="0" locked="0" layoutInCell="1" allowOverlap="1">
            <wp:simplePos x="0" y="0"/>
            <wp:positionH relativeFrom="column">
              <wp:posOffset>-12277</wp:posOffset>
            </wp:positionH>
            <wp:positionV relativeFrom="paragraph">
              <wp:posOffset>33655</wp:posOffset>
            </wp:positionV>
            <wp:extent cx="162000" cy="162000"/>
            <wp:effectExtent l="0" t="0" r="3175" b="3175"/>
            <wp:wrapSquare wrapText="bothSides"/>
            <wp:docPr id="4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7277" w:rsidR="0009228A">
        <w:rPr>
          <w:b/>
          <w:bCs/>
          <w:noProof/>
        </w:rPr>
        <w:t xml:space="preserve">National Digital Agency Information on the Scope of ICT Procurement </w:t>
      </w:r>
      <w:r w:rsidRPr="00107277" w:rsidR="0009228A">
        <w:rPr>
          <w:b/>
          <w:noProof/>
        </w:rPr>
        <w:t xml:space="preserve">– </w:t>
      </w:r>
      <w:r w:rsidRPr="0009228A" w:rsidR="0009228A">
        <w:rPr>
          <w:bCs/>
          <w:noProof/>
        </w:rPr>
        <w:t xml:space="preserve">the managers of digital and information technology departments manually enter into the Agency's dedicated system the data on which the National Digital Agency bases the </w:t>
      </w:r>
      <w:r w:rsidRPr="0009228A" w:rsidR="0009228A">
        <w:rPr>
          <w:bCs/>
          <w:noProof/>
        </w:rPr>
        <w:t>report. These data are not linked to the Merkava data, and in practice, there are gaps between the information reported by the Agency and the data in the Merkava system. The sums reported in the Agency may be larger or smaller than the data in the Merkava system. The audit raised gaps of NIS 1.2</w:t>
      </w:r>
      <w:r w:rsidR="00C45779">
        <w:rPr>
          <w:bCs/>
          <w:noProof/>
        </w:rPr>
        <w:t>–</w:t>
      </w:r>
      <w:r w:rsidRPr="0009228A" w:rsidR="0009228A">
        <w:rPr>
          <w:bCs/>
          <w:noProof/>
        </w:rPr>
        <w:t>1.4 billion per year between the sums published by the National Digital Agency each year, and the sums in Merkava, defined as ICT procurement by the State Comptroller's Office</w:t>
      </w:r>
      <w:r w:rsidRPr="0009228A">
        <w:rPr>
          <w:bCs/>
        </w:rPr>
        <w:t xml:space="preserve">. </w:t>
      </w:r>
    </w:p>
    <w:p w:rsidR="00DB7611" w:rsidRPr="0009228A" w:rsidP="00A463D3" w14:paraId="7D76F19E" w14:textId="15EB0821">
      <w:pPr>
        <w:pStyle w:val="7191"/>
        <w:bidi w:val="0"/>
        <w:ind w:left="397"/>
        <w:rPr>
          <w:bCs/>
          <w:rtl/>
        </w:rPr>
      </w:pPr>
      <w:r w:rsidRPr="00C50F58">
        <w:rPr>
          <w:rFonts w:hint="cs"/>
          <w:bCs/>
          <w:noProof/>
          <w:rtl/>
        </w:rPr>
        <w:drawing>
          <wp:anchor distT="0" distB="0" distL="0" distR="0" simplePos="0" relativeHeight="251686912" behindDoc="0" locked="0" layoutInCell="1" allowOverlap="1">
            <wp:simplePos x="0" y="0"/>
            <wp:positionH relativeFrom="column">
              <wp:posOffset>-10795</wp:posOffset>
            </wp:positionH>
            <wp:positionV relativeFrom="paragraph">
              <wp:posOffset>73025</wp:posOffset>
            </wp:positionV>
            <wp:extent cx="162000" cy="162000"/>
            <wp:effectExtent l="0" t="0" r="3175" b="3175"/>
            <wp:wrapSquare wrapText="bothSides"/>
            <wp:docPr id="4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07277" w:rsidR="0009228A">
        <w:rPr>
          <w:b/>
          <w:bCs/>
          <w:noProof/>
        </w:rPr>
        <w:t>Classification of Engagements as Sensitive</w:t>
      </w:r>
      <w:r w:rsidRPr="00107277" w:rsidR="0009228A">
        <w:rPr>
          <w:b/>
          <w:noProof/>
        </w:rPr>
        <w:t xml:space="preserve"> – </w:t>
      </w:r>
      <w:r w:rsidRPr="0009228A" w:rsidR="0009228A">
        <w:rPr>
          <w:bCs/>
          <w:noProof/>
        </w:rPr>
        <w:t>the State Comptroller's Office sampled 25 procurement orders from among the ICT engagements of government bodies in 2019</w:t>
      </w:r>
      <m:oMath>
        <m:r>
          <m:rPr>
            <m:sty m:val="p"/>
          </m:rPr>
          <w:rPr>
            <w:rFonts w:ascii="Cambria Math" w:hAnsi="Cambria Math"/>
            <w:noProof/>
          </w:rPr>
          <m:t>-</m:t>
        </m:r>
      </m:oMath>
      <w:r w:rsidRPr="0009228A" w:rsidR="0009228A">
        <w:rPr>
          <w:bCs/>
          <w:noProof/>
        </w:rPr>
        <w:t>2021 through an exemption from tender and classified as sensitive. It was found that 5 (20%) of them, at NIS 390,000, were unnecessarily classified as sensitive and were not published on the government Freedom of Information Unit website</w:t>
      </w:r>
      <w:r w:rsidRPr="0009228A">
        <w:rPr>
          <w:bCs/>
        </w:rPr>
        <w:t xml:space="preserve">. </w:t>
      </w:r>
    </w:p>
    <w:p w:rsidR="003E0EAA" w:rsidRPr="008874F2" w:rsidP="003E0EAA" w14:paraId="13335FCD" w14:textId="3C836A42">
      <w:pPr>
        <w:pStyle w:val="719"/>
        <w:bidi w:val="0"/>
        <w:rPr>
          <w:rtl/>
        </w:rPr>
      </w:pPr>
      <w:r>
        <w:rPr>
          <w:noProof/>
          <w:sz w:val="19"/>
          <w:szCs w:val="19"/>
        </w:rPr>
        <w:drawing>
          <wp:anchor distT="0" distB="0" distL="114300" distR="114300" simplePos="0" relativeHeight="251684864" behindDoc="0" locked="0" layoutInCell="1" allowOverlap="1">
            <wp:simplePos x="0" y="0"/>
            <wp:positionH relativeFrom="column">
              <wp:posOffset>-3175</wp:posOffset>
            </wp:positionH>
            <wp:positionV relativeFrom="paragraph">
              <wp:posOffset>54787</wp:posOffset>
            </wp:positionV>
            <wp:extent cx="2879725" cy="158115"/>
            <wp:effectExtent l="0" t="0" r="0" b="0"/>
            <wp:wrapNone/>
            <wp:docPr id="145106665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52" name="Picture 2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2879725" cy="158115"/>
                    </a:xfrm>
                    <a:prstGeom prst="rect">
                      <a:avLst/>
                    </a:prstGeom>
                  </pic:spPr>
                </pic:pic>
              </a:graphicData>
            </a:graphic>
            <wp14:sizeRelH relativeFrom="page">
              <wp14:pctWidth>0</wp14:pctWidth>
            </wp14:sizeRelH>
            <wp14:sizeRelV relativeFrom="page">
              <wp14:pctHeight>0</wp14:pctHeight>
            </wp14:sizeRelV>
          </wp:anchor>
        </w:drawing>
      </w:r>
    </w:p>
    <w:p w:rsidR="003E0EAA" w:rsidRPr="0009228A" w:rsidP="008860A4" w14:paraId="34EEF4F2" w14:textId="7394ACAB">
      <w:pPr>
        <w:pStyle w:val="7191"/>
        <w:bidi w:val="0"/>
        <w:spacing w:before="360"/>
        <w:ind w:left="397"/>
        <w:rPr>
          <w:bCs/>
          <w:rtl/>
        </w:rPr>
      </w:pPr>
      <w:r w:rsidRPr="00107277">
        <w:rPr>
          <w:b/>
          <w:bCs/>
          <w:noProof/>
        </w:rPr>
        <w:t>The Procurement Administration's Activities to Strengthen Transparency</w:t>
      </w:r>
      <w:r w:rsidRPr="00107277">
        <w:rPr>
          <w:b/>
          <w:noProof/>
        </w:rPr>
        <w:t xml:space="preserve"> – </w:t>
      </w:r>
      <w:r w:rsidRPr="0009228A">
        <w:rPr>
          <w:bCs/>
          <w:noProof/>
        </w:rPr>
        <w:t>the State Comptroller's Office commends the Procurement Administration website strengthening the transparency of various aspects of government procurement, including the engagements through an exemption from a tender. Such as, the publication of general information on the Procurement Administration's activities, the publication of reports, and the creation of a dashboard and a database of questions and answers</w:t>
      </w:r>
      <w:r w:rsidRPr="0009228A">
        <w:rPr>
          <w:bCs/>
        </w:rPr>
        <w:t>.</w:t>
      </w:r>
    </w:p>
    <w:p w:rsidR="004516D9" w:rsidP="004516D9" w14:paraId="3B611378" w14:textId="77777777">
      <w:pPr>
        <w:pStyle w:val="7191"/>
        <w:bidi w:val="0"/>
        <w:spacing w:after="0"/>
      </w:pPr>
    </w:p>
    <w:p w:rsidR="007E0204" w:rsidP="007E0204" w14:paraId="45D89D2D" w14:textId="77777777">
      <w:pPr>
        <w:bidi w:val="0"/>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2545"/>
            <wp:effectExtent l="0" t="0" r="6350" b="0"/>
            <wp:docPr id="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0"/>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2545"/>
                    </a:xfrm>
                    <a:prstGeom prst="rect">
                      <a:avLst/>
                    </a:prstGeom>
                  </pic:spPr>
                </pic:pic>
              </a:graphicData>
            </a:graphic>
          </wp:inline>
        </w:drawing>
      </w:r>
    </w:p>
    <w:p w:rsidR="007E0204" w:rsidRPr="00902625" w:rsidP="007E0204" w14:paraId="221294C0" w14:textId="2073DB49">
      <w:pPr>
        <w:bidi w:val="0"/>
        <w:spacing w:before="120" w:after="240" w:line="240" w:lineRule="atLeast"/>
        <w:rPr>
          <w:rFonts w:ascii="Tahoma" w:hAnsi="Tahoma" w:cs="Tahoma"/>
          <w:b/>
          <w:bCs/>
          <w:color w:val="00305F"/>
          <w:sz w:val="32"/>
          <w:szCs w:val="32"/>
          <w:rtl/>
        </w:rPr>
      </w:pPr>
      <w:r w:rsidRPr="00AE5F94">
        <w:rPr>
          <w:rFonts w:ascii="Tahoma" w:hAnsi="Tahoma" w:cs="Tahoma"/>
          <w:b/>
          <w:bCs/>
          <w:color w:val="00305F"/>
          <w:sz w:val="32"/>
          <w:szCs w:val="32"/>
        </w:rPr>
        <w:t xml:space="preserve">Key </w:t>
      </w:r>
      <w:r w:rsidR="004806D7">
        <w:rPr>
          <w:rFonts w:ascii="Tahoma" w:hAnsi="Tahoma" w:cs="Tahoma"/>
          <w:b/>
          <w:bCs/>
          <w:color w:val="00305F"/>
          <w:sz w:val="32"/>
          <w:szCs w:val="32"/>
        </w:rPr>
        <w:t>R</w:t>
      </w:r>
      <w:r w:rsidRPr="00AE5F94">
        <w:rPr>
          <w:rFonts w:ascii="Tahoma" w:hAnsi="Tahoma" w:cs="Tahoma"/>
          <w:b/>
          <w:bCs/>
          <w:color w:val="00305F"/>
          <w:sz w:val="32"/>
          <w:szCs w:val="32"/>
        </w:rPr>
        <w:t>ecommendations</w:t>
      </w:r>
    </w:p>
    <w:p w:rsidR="007E0204" w:rsidRPr="00C50F58" w:rsidP="00682C3F" w14:paraId="33D561A5" w14:textId="6A2981B4">
      <w:pPr>
        <w:pStyle w:val="ListParagraph"/>
        <w:numPr>
          <w:ilvl w:val="0"/>
          <w:numId w:val="0"/>
        </w:numPr>
        <w:bidi w:val="0"/>
        <w:spacing w:after="180" w:line="260" w:lineRule="exact"/>
        <w:ind w:left="397"/>
        <w:rPr>
          <w:spacing w:val="-2"/>
          <w:sz w:val="18"/>
          <w:szCs w:val="18"/>
        </w:rPr>
      </w:pPr>
      <w:r w:rsidRPr="00C50F58">
        <w:rPr>
          <w:noProof/>
          <w:spacing w:val="-2"/>
          <w:sz w:val="18"/>
          <w:szCs w:val="18"/>
        </w:rPr>
        <w:drawing>
          <wp:anchor distT="0" distB="3600450" distL="114300" distR="114300" simplePos="0" relativeHeight="251691008"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49" name="תמונה 33"/>
            <wp:cNvGraphicFramePr/>
            <a:graphic xmlns:a="http://schemas.openxmlformats.org/drawingml/2006/main">
              <a:graphicData uri="http://schemas.openxmlformats.org/drawingml/2006/picture">
                <pic:pic xmlns:pic="http://schemas.openxmlformats.org/drawingml/2006/picture">
                  <pic:nvPicPr>
                    <pic:cNvPr id="49"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 xml:space="preserve">The Procurement Administration should examine the gaps between the procurement data in its publications and the data on procurement carried out in practice in a particular year as presented in the Merkava (Comprehensive Lateral System in Government Ministries) system. It is also appropriate to examine </w:t>
      </w:r>
      <w:r w:rsidRPr="00ED0AC4" w:rsidR="00ED0AC4">
        <w:rPr>
          <w:spacing w:val="-2"/>
          <w:sz w:val="18"/>
          <w:szCs w:val="18"/>
        </w:rPr>
        <w:t>whether</w:t>
      </w:r>
      <w:r w:rsidR="00ED0AC4">
        <w:rPr>
          <w:spacing w:val="-2"/>
          <w:sz w:val="18"/>
          <w:szCs w:val="18"/>
        </w:rPr>
        <w:t xml:space="preserve"> </w:t>
      </w:r>
      <w:r w:rsidRPr="007C21B0" w:rsidR="00E72823">
        <w:rPr>
          <w:spacing w:val="-2"/>
          <w:sz w:val="18"/>
          <w:szCs w:val="18"/>
        </w:rPr>
        <w:t>the Procurement Administration presents a complete and updated situation report of the procurement carried out in practice each year, and not rely on data entered in previous years that, as stated, do not reflect the actual procurement</w:t>
      </w:r>
      <w:r w:rsidRPr="00C50F58">
        <w:rPr>
          <w:rFonts w:hint="cs"/>
          <w:spacing w:val="-2"/>
          <w:sz w:val="18"/>
          <w:szCs w:val="18"/>
        </w:rPr>
        <w:t xml:space="preserve">. </w:t>
      </w:r>
    </w:p>
    <w:p w:rsidR="007E0204" w:rsidRPr="00C50F58" w:rsidP="00682C3F" w14:paraId="1C0FBD87" w14:textId="3C33882B">
      <w:pPr>
        <w:pStyle w:val="ListParagraph"/>
        <w:numPr>
          <w:ilvl w:val="0"/>
          <w:numId w:val="0"/>
        </w:numPr>
        <w:bidi w:val="0"/>
        <w:spacing w:after="180" w:line="260" w:lineRule="exact"/>
        <w:ind w:left="397"/>
        <w:rPr>
          <w:spacing w:val="-2"/>
          <w:sz w:val="18"/>
          <w:szCs w:val="18"/>
          <w:rtl/>
        </w:rPr>
      </w:pPr>
      <w:r w:rsidRPr="00C50F58">
        <w:rPr>
          <w:noProof/>
          <w:spacing w:val="-2"/>
          <w:sz w:val="18"/>
          <w:szCs w:val="18"/>
        </w:rPr>
        <w:drawing>
          <wp:anchor distT="0" distB="3600450" distL="114300" distR="114300" simplePos="0" relativeHeight="251692032"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47" name="תמונה 33"/>
            <wp:cNvGraphicFramePr/>
            <a:graphic xmlns:a="http://schemas.openxmlformats.org/drawingml/2006/main">
              <a:graphicData uri="http://schemas.openxmlformats.org/drawingml/2006/picture">
                <pic:pic xmlns:pic="http://schemas.openxmlformats.org/drawingml/2006/picture">
                  <pic:nvPicPr>
                    <pic:cNvPr id="47"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 xml:space="preserve">Due to the procurement scope in general, and the ICT procurement scope in particular, the Procurement Administration and the Merkava unit, in cooperation with the National Digital Agency, should establish an outline computer </w:t>
      </w:r>
      <w:r w:rsidRPr="007C21B0" w:rsidR="00E72823">
        <w:rPr>
          <w:spacing w:val="-2"/>
          <w:sz w:val="18"/>
          <w:szCs w:val="18"/>
        </w:rPr>
        <w:t>classifing</w:t>
      </w:r>
      <w:r w:rsidRPr="007C21B0" w:rsidR="00E72823">
        <w:rPr>
          <w:spacing w:val="-2"/>
          <w:sz w:val="18"/>
          <w:szCs w:val="18"/>
        </w:rPr>
        <w:t xml:space="preserve"> the ICT ministerial and the governmental expenditure. Establishing a computerized reporting mechanism to receive reliable information from various governmental bodies is also appropriate. Thus, the situation report of the governmental ICT activity will reflect the actual procurement and will be compatible with the procurement data in the Merkava system</w:t>
      </w:r>
      <w:r w:rsidRPr="00C50F58">
        <w:rPr>
          <w:rFonts w:hint="cs"/>
          <w:spacing w:val="-2"/>
          <w:sz w:val="18"/>
          <w:szCs w:val="18"/>
        </w:rPr>
        <w:t>.</w:t>
      </w:r>
    </w:p>
    <w:p w:rsidR="007E0204" w:rsidRPr="004B3772" w:rsidP="00682C3F" w14:paraId="22E69B91" w14:textId="3E3C8DBE">
      <w:pPr>
        <w:pStyle w:val="ListParagraph"/>
        <w:numPr>
          <w:ilvl w:val="0"/>
          <w:numId w:val="0"/>
        </w:numPr>
        <w:bidi w:val="0"/>
        <w:spacing w:after="180" w:line="260" w:lineRule="exact"/>
        <w:ind w:left="397"/>
        <w:rPr>
          <w:spacing w:val="-2"/>
          <w:sz w:val="18"/>
          <w:szCs w:val="18"/>
          <w:rtl/>
        </w:rPr>
      </w:pPr>
      <w:r w:rsidRPr="00C50F58">
        <w:rPr>
          <w:noProof/>
          <w:spacing w:val="-2"/>
          <w:sz w:val="18"/>
          <w:szCs w:val="18"/>
        </w:rPr>
        <w:drawing>
          <wp:anchor distT="0" distB="3600450" distL="114300" distR="114300" simplePos="0" relativeHeight="251693056"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50" name="תמונה 33"/>
            <wp:cNvGraphicFramePr/>
            <a:graphic xmlns:a="http://schemas.openxmlformats.org/drawingml/2006/main">
              <a:graphicData uri="http://schemas.openxmlformats.org/drawingml/2006/picture">
                <pic:pic xmlns:pic="http://schemas.openxmlformats.org/drawingml/2006/picture">
                  <pic:nvPicPr>
                    <pic:cNvPr id="50"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It is recommended that the Procurement Administration and the Merkava unit implement structured controls in the Merkava system and appropriate compensatory controls to prevent and detect errors in the entry of procurement data to the Merkava system, reliably presenting the data to the public and in the analysis of the data by the government bodies and the Procurement Administration</w:t>
      </w:r>
      <w:r w:rsidRPr="004B3772">
        <w:rPr>
          <w:rFonts w:hint="cs"/>
          <w:spacing w:val="-2"/>
          <w:sz w:val="18"/>
          <w:szCs w:val="18"/>
        </w:rPr>
        <w:t xml:space="preserve">. </w:t>
      </w:r>
    </w:p>
    <w:p w:rsidR="007E0204" w:rsidRPr="00C50F58" w:rsidP="00682C3F" w14:paraId="03EAD402" w14:textId="0766AC0F">
      <w:pPr>
        <w:pStyle w:val="ListParagraph"/>
        <w:numPr>
          <w:ilvl w:val="0"/>
          <w:numId w:val="0"/>
        </w:numPr>
        <w:bidi w:val="0"/>
        <w:spacing w:after="180" w:line="260" w:lineRule="exact"/>
        <w:ind w:left="397"/>
        <w:rPr>
          <w:spacing w:val="-2"/>
          <w:sz w:val="18"/>
          <w:szCs w:val="18"/>
        </w:rPr>
      </w:pPr>
      <w:r w:rsidRPr="00C50F58">
        <w:rPr>
          <w:noProof/>
          <w:spacing w:val="-2"/>
          <w:sz w:val="18"/>
          <w:szCs w:val="18"/>
        </w:rPr>
        <w:drawing>
          <wp:anchor distT="0" distB="3600450" distL="114300" distR="114300" simplePos="0" relativeHeight="251694080"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51" name="תמונה 33"/>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It is recommended that the Accountant General examine individually the engagements of the government bodies with the suppliers, most of which through exemption from the tender on the grounds of a sole source purchase, and the engagements with the suppliers whose scope of the exemption from tendering, for this reason, reaches tens and hundreds of millions of NIS. It is further recommended that the Accountant General employ digital tools for continuously monitoring multiple purchase orders from the same supplier with an exemption on the grounds of a sole source purchase and consider intervention in the appropriate cases. It is also recommended that the Procurement Administration consult, to the extent necessary, with the Competition Authority regarding examining the findings raised and improving perfect competition</w:t>
      </w:r>
      <w:r w:rsidRPr="00C50F58">
        <w:rPr>
          <w:rFonts w:hint="cs"/>
          <w:spacing w:val="-2"/>
          <w:sz w:val="18"/>
          <w:szCs w:val="18"/>
        </w:rPr>
        <w:t xml:space="preserve">. </w:t>
      </w:r>
    </w:p>
    <w:p w:rsidR="007E0204" w:rsidP="00C50F58" w14:paraId="62D40B65" w14:textId="3F0A4C6F">
      <w:pPr>
        <w:pStyle w:val="ListParagraph"/>
        <w:numPr>
          <w:ilvl w:val="0"/>
          <w:numId w:val="0"/>
        </w:numPr>
        <w:bidi w:val="0"/>
        <w:spacing w:after="180" w:line="260" w:lineRule="exact"/>
        <w:ind w:left="397"/>
        <w:rPr>
          <w:sz w:val="18"/>
          <w:szCs w:val="18"/>
        </w:rPr>
      </w:pPr>
      <w:r w:rsidRPr="00C50F58">
        <w:rPr>
          <w:noProof/>
          <w:spacing w:val="-2"/>
          <w:sz w:val="18"/>
          <w:szCs w:val="18"/>
        </w:rPr>
        <w:drawing>
          <wp:anchor distT="0" distB="3600450" distL="114300" distR="114300" simplePos="0" relativeHeight="251695104"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52" name="תמונה 33"/>
            <wp:cNvGraphicFramePr/>
            <a:graphic xmlns:a="http://schemas.openxmlformats.org/drawingml/2006/main">
              <a:graphicData uri="http://schemas.openxmlformats.org/drawingml/2006/picture">
                <pic:pic xmlns:pic="http://schemas.openxmlformats.org/drawingml/2006/picture">
                  <pic:nvPicPr>
                    <pic:cNvPr id="52"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It is recommended that the Accountant General control the implementation of the guidelines among all government bodies in these matters: (a) The level of detail required in the professional opinion from each ordering unit, including the attachment of documents on the examinations, carried out and their results; (b) The degree of certainty required from the ministerial committees before approving engagements on the grounds of a single supplier. It is appropriate that according to the outcome of the control, the Accountant General will consider refining its guidelines. It is also appropriate that the Accountant General characterize a digital tool compiling all the objections received in the various procurement procedures in the ministries and present to the Procurement Administration cases of multiple objections to a particular supplier, of numerous objections on a specific object of an engagement or of multiple objections on the intentions of a particular body of government so that the Administration can use the tools at its disposal according to the need regarding the decision on exemption from tendering for the government ministries, the creation of agreed terms and prices, passing on dedicated instructions to the tender committees and more</w:t>
      </w:r>
      <w:r w:rsidRPr="00C142FF">
        <w:rPr>
          <w:rFonts w:hint="cs"/>
          <w:sz w:val="18"/>
          <w:szCs w:val="18"/>
        </w:rPr>
        <w:t>.</w:t>
      </w:r>
    </w:p>
    <w:p w:rsidR="00C50F58" w:rsidRPr="00C50F58" w:rsidP="00C50F58" w14:paraId="1F49BA47" w14:textId="7B0D5E40">
      <w:pPr>
        <w:pStyle w:val="ListParagraph"/>
        <w:numPr>
          <w:ilvl w:val="0"/>
          <w:numId w:val="0"/>
        </w:numPr>
        <w:bidi w:val="0"/>
        <w:spacing w:after="180" w:line="260" w:lineRule="exact"/>
        <w:ind w:left="397"/>
        <w:rPr>
          <w:spacing w:val="-2"/>
          <w:sz w:val="18"/>
          <w:szCs w:val="18"/>
          <w:rtl/>
        </w:rPr>
      </w:pPr>
      <w:r w:rsidRPr="00C50F58">
        <w:rPr>
          <w:noProof/>
          <w:spacing w:val="-2"/>
          <w:sz w:val="18"/>
          <w:szCs w:val="18"/>
        </w:rPr>
        <w:drawing>
          <wp:anchor distT="0" distB="3600450" distL="114300" distR="114300" simplePos="0" relativeHeight="251696128"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2141188837" name="תמונה 2141188837"/>
            <wp:cNvGraphicFramePr/>
            <a:graphic xmlns:a="http://schemas.openxmlformats.org/drawingml/2006/main">
              <a:graphicData uri="http://schemas.openxmlformats.org/drawingml/2006/picture">
                <pic:pic xmlns:pic="http://schemas.openxmlformats.org/drawingml/2006/picture">
                  <pic:nvPicPr>
                    <pic:cNvPr id="2141188837"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It is recommended that the government bodies ensure that the procurement requirements are not reduced in quantity or quality and do not try to circumvent tendering in this way. It is also appropriate that the Ministry of Finance complete the amendment to the regulations, including raising the threshold requiring the execution of procurement through a tender, which at the audit completion was NIS 50,000. It is further recommended that the Procurement Administration consider additional controls on engagements made in sums close to the exemption cap to ensure no reduction in quantity or quality and examine the need for holding a central tender for computer products purchased in sums close to the exemption cap</w:t>
      </w:r>
      <w:r w:rsidRPr="00C50F58">
        <w:rPr>
          <w:rFonts w:hint="cs"/>
          <w:spacing w:val="-2"/>
          <w:sz w:val="18"/>
          <w:szCs w:val="18"/>
        </w:rPr>
        <w:t>.</w:t>
      </w:r>
    </w:p>
    <w:p w:rsidR="00C50F58" w:rsidRPr="00E72823" w:rsidP="00E72823" w14:paraId="0B498A42" w14:textId="0FF5896A">
      <w:pPr>
        <w:pStyle w:val="ListParagraph"/>
        <w:numPr>
          <w:ilvl w:val="0"/>
          <w:numId w:val="0"/>
        </w:numPr>
        <w:bidi w:val="0"/>
        <w:spacing w:after="360" w:line="260" w:lineRule="exact"/>
        <w:ind w:left="397"/>
        <w:rPr>
          <w:spacing w:val="-2"/>
          <w:sz w:val="18"/>
          <w:szCs w:val="18"/>
        </w:rPr>
      </w:pPr>
      <w:r w:rsidRPr="00C50F58">
        <w:rPr>
          <w:noProof/>
          <w:spacing w:val="-2"/>
          <w:sz w:val="18"/>
          <w:szCs w:val="18"/>
        </w:rPr>
        <w:drawing>
          <wp:anchor distT="0" distB="3600450" distL="114300" distR="114300" simplePos="0" relativeHeight="251697152" behindDoc="0" locked="0" layoutInCell="1" allowOverlap="1">
            <wp:simplePos x="0" y="0"/>
            <wp:positionH relativeFrom="margin">
              <wp:posOffset>0</wp:posOffset>
            </wp:positionH>
            <wp:positionV relativeFrom="paragraph">
              <wp:posOffset>0</wp:posOffset>
            </wp:positionV>
            <wp:extent cx="140335" cy="161925"/>
            <wp:effectExtent l="0" t="0" r="0" b="3175"/>
            <wp:wrapNone/>
            <wp:docPr id="101062145" name="תמונה 101062145"/>
            <wp:cNvGraphicFramePr/>
            <a:graphic xmlns:a="http://schemas.openxmlformats.org/drawingml/2006/main">
              <a:graphicData uri="http://schemas.openxmlformats.org/drawingml/2006/picture">
                <pic:pic xmlns:pic="http://schemas.openxmlformats.org/drawingml/2006/picture">
                  <pic:nvPicPr>
                    <pic:cNvPr id="101062145" name="תמונה 3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21B0" w:rsidR="00E72823">
        <w:rPr>
          <w:spacing w:val="-2"/>
          <w:sz w:val="18"/>
          <w:szCs w:val="18"/>
        </w:rPr>
        <w:t>The governmental bodies should ensure complete and accurate publication of the data of the engagements under the provisions of the TAKAM Directives. The Freedom of Information Unit, in cooperation with the Accountant General, should enforce the publication of the engagements of all entities within the stipulations set in the Freedom of Information Law. It is also recommended that all the parties involved – the Procurement Administration, the Merkava (Comprehensive Lateral System in Government Ministries) Unit, and the Freedom of Information Unit – consider establishing computerized interfaces between the systems to ensure an accurate presentation of the government engagements</w:t>
      </w:r>
      <w:r w:rsidRPr="00C50F58">
        <w:rPr>
          <w:rFonts w:hint="cs"/>
          <w:spacing w:val="-2"/>
          <w:sz w:val="18"/>
          <w:szCs w:val="18"/>
        </w:rPr>
        <w:t>.</w:t>
      </w:r>
    </w:p>
    <w:p w:rsidR="00E72823" w:rsidP="00921FB5" w14:paraId="74DBF577" w14:textId="77777777">
      <w:pPr>
        <w:bidi w:val="0"/>
        <w:spacing w:before="120" w:line="240" w:lineRule="auto"/>
        <w:ind w:left="283"/>
        <w:rPr>
          <w:sz w:val="18"/>
          <w:szCs w:val="18"/>
        </w:rPr>
      </w:pPr>
    </w:p>
    <w:p w:rsidR="00921FB5" w:rsidRPr="004E3C71" w:rsidP="00E72823" w14:paraId="31C14254" w14:textId="39D50CF3">
      <w:pPr>
        <w:bidi w:val="0"/>
        <w:spacing w:before="120" w:line="240" w:lineRule="auto"/>
        <w:ind w:left="283"/>
        <w:rPr>
          <w:rFonts w:ascii="Tahoma" w:hAnsi="Tahoma" w:cs="Tahoma"/>
          <w:b/>
          <w:bCs/>
          <w:color w:val="FFFFFF" w:themeColor="background1"/>
          <w:sz w:val="22"/>
          <w:szCs w:val="22"/>
        </w:rPr>
      </w:pPr>
      <w:r w:rsidRPr="00474ED3">
        <w:rPr>
          <w:rFonts w:ascii="Tahoma" w:hAnsi="Tahoma" w:cs="Tahoma" w:hint="eastAsia"/>
          <w:b/>
          <w:bCs/>
          <w:noProof/>
          <w:color w:val="FFFFFF" w:themeColor="background1"/>
          <w:sz w:val="22"/>
          <w:szCs w:val="22"/>
          <w:rtl/>
        </w:rPr>
        <w:drawing>
          <wp:anchor distT="0" distB="0" distL="114300" distR="114300" simplePos="0" relativeHeight="251660288" behindDoc="1" locked="0" layoutInCell="1" allowOverlap="1">
            <wp:simplePos x="0" y="0"/>
            <wp:positionH relativeFrom="column">
              <wp:posOffset>12536</wp:posOffset>
            </wp:positionH>
            <wp:positionV relativeFrom="paragraph">
              <wp:posOffset>-101417</wp:posOffset>
            </wp:positionV>
            <wp:extent cx="4699533" cy="870155"/>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26822" cy="893724"/>
                    </a:xfrm>
                    <a:prstGeom prst="rect">
                      <a:avLst/>
                    </a:prstGeom>
                  </pic:spPr>
                </pic:pic>
              </a:graphicData>
            </a:graphic>
            <wp14:sizeRelH relativeFrom="margin">
              <wp14:pctWidth>0</wp14:pctWidth>
            </wp14:sizeRelH>
            <wp14:sizeRelV relativeFrom="margin">
              <wp14:pctHeight>0</wp14:pctHeight>
            </wp14:sizeRelV>
          </wp:anchor>
        </w:drawing>
      </w:r>
      <w:r w:rsidRPr="00E72823" w:rsidR="00E72823">
        <w:rPr>
          <w:rFonts w:ascii="Tahoma" w:hAnsi="Tahoma" w:cs="Tahoma"/>
          <w:b/>
          <w:bCs/>
          <w:color w:val="FFFFFF" w:themeColor="background1"/>
          <w:sz w:val="22"/>
          <w:szCs w:val="22"/>
        </w:rPr>
        <w:t>The Frequency of ICT Purchase Orders Through Exempt Under Regulation 3(1) at NIS 40,000</w:t>
      </w:r>
      <w:r w:rsidR="00C45779">
        <w:rPr>
          <w:rFonts w:ascii="Tahoma" w:hAnsi="Tahoma" w:cs="Tahoma"/>
          <w:b/>
          <w:bCs/>
          <w:color w:val="FFFFFF" w:themeColor="background1"/>
          <w:sz w:val="22"/>
          <w:szCs w:val="22"/>
        </w:rPr>
        <w:t>–</w:t>
      </w:r>
      <w:r w:rsidRPr="00E72823" w:rsidR="00E72823">
        <w:rPr>
          <w:rFonts w:ascii="Tahoma" w:hAnsi="Tahoma" w:cs="Tahoma"/>
          <w:b/>
          <w:bCs/>
          <w:color w:val="FFFFFF" w:themeColor="background1"/>
          <w:sz w:val="22"/>
          <w:szCs w:val="22"/>
        </w:rPr>
        <w:t>50,000 NIS, in Increments of NIS 1,000, 2019</w:t>
      </w:r>
      <w:r w:rsidR="00C45779">
        <w:rPr>
          <w:rFonts w:ascii="Tahoma" w:hAnsi="Tahoma" w:cs="Tahoma"/>
          <w:b/>
          <w:bCs/>
          <w:color w:val="FFFFFF" w:themeColor="background1"/>
          <w:sz w:val="22"/>
          <w:szCs w:val="22"/>
        </w:rPr>
        <w:t>–</w:t>
      </w:r>
      <w:r w:rsidRPr="00E72823" w:rsidR="00E72823">
        <w:rPr>
          <w:rFonts w:ascii="Tahoma" w:hAnsi="Tahoma" w:cs="Tahoma"/>
          <w:b/>
          <w:bCs/>
          <w:color w:val="FFFFFF" w:themeColor="background1"/>
          <w:sz w:val="22"/>
          <w:szCs w:val="22"/>
        </w:rPr>
        <w:t>2021</w:t>
      </w:r>
    </w:p>
    <w:p w:rsidR="00CD183A" w:rsidP="00613C40" w14:paraId="31371617" w14:textId="575F9DD6">
      <w:pPr>
        <w:spacing w:before="480" w:after="0" w:line="100" w:lineRule="exact"/>
        <w:ind w:left="1361" w:right="57"/>
        <w:jc w:val="right"/>
        <w:rPr>
          <w:rFonts w:ascii="Tahoma" w:hAnsi="Tahoma" w:cs="Tahoma"/>
          <w:b/>
          <w:bCs/>
          <w:noProof/>
          <w:color w:val="FFFFFF" w:themeColor="background1"/>
          <w:sz w:val="22"/>
          <w:szCs w:val="22"/>
        </w:rPr>
      </w:pPr>
    </w:p>
    <w:p w:rsidR="004B3772" w:rsidP="00E72823" w14:paraId="75FAEC0E" w14:textId="0993D276">
      <w:r>
        <w:rPr>
          <w:noProof/>
        </w:rPr>
        <w:drawing>
          <wp:inline distT="0" distB="0" distL="0" distR="0">
            <wp:extent cx="4667533" cy="4292600"/>
            <wp:effectExtent l="0" t="0" r="6350" b="0"/>
            <wp:docPr id="92395245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52455" name="תמונה 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4448" cy="4298960"/>
                    </a:xfrm>
                    <a:prstGeom prst="rect">
                      <a:avLst/>
                    </a:prstGeom>
                    <a:extLst>
                      <a:ext xmlns:a="http://schemas.openxmlformats.org/drawingml/2006/main" uri="{53640926-AAD7-44D8-BBD7-CCE9431645EC}">
                        <a14:shadowObscured xmlns:a14="http://schemas.microsoft.com/office/drawing/2010/main"/>
                      </a:ext>
                    </a:extLst>
                  </pic:spPr>
                </pic:pic>
              </a:graphicData>
            </a:graphic>
          </wp:inline>
        </w:drawing>
      </w:r>
    </w:p>
    <w:p w:rsidR="00E72823" w:rsidRPr="007C21B0" w:rsidP="00E72823" w14:paraId="1CA3D223" w14:textId="77777777">
      <w:pPr>
        <w:pStyle w:val="711"/>
        <w:bidi w:val="0"/>
        <w:spacing w:after="0"/>
        <w:jc w:val="left"/>
        <w:rPr>
          <w:rtl/>
        </w:rPr>
      </w:pPr>
      <w:r w:rsidRPr="007C21B0">
        <w:t>According to the Merkava data processed by the State Comptroller's Office</w:t>
      </w:r>
      <w:r w:rsidRPr="007C21B0">
        <w:rPr>
          <w:rtl/>
        </w:rPr>
        <w:t>.</w:t>
      </w:r>
    </w:p>
    <w:p w:rsidR="004B3772" w:rsidRPr="004C3206" w:rsidP="00ED0AC4" w14:paraId="65300AB3" w14:textId="4D8AB6FF">
      <w:pPr>
        <w:bidi w:val="0"/>
        <w:spacing w:before="120" w:after="240" w:line="240" w:lineRule="auto"/>
        <w:ind w:left="283" w:right="57"/>
        <w:rPr>
          <w:rFonts w:ascii="Tahoma" w:hAnsi="Tahoma" w:cs="Tahoma"/>
          <w:b/>
          <w:bCs/>
          <w:color w:val="FFFFFF" w:themeColor="background1"/>
          <w:sz w:val="22"/>
          <w:szCs w:val="22"/>
        </w:rPr>
      </w:pPr>
      <w:r w:rsidRPr="00474ED3">
        <w:rPr>
          <w:rFonts w:ascii="Tahoma" w:hAnsi="Tahoma" w:cs="Tahoma" w:hint="eastAsia"/>
          <w:b/>
          <w:bCs/>
          <w:noProof/>
          <w:color w:val="FFFFFF" w:themeColor="background1"/>
          <w:sz w:val="22"/>
          <w:szCs w:val="22"/>
          <w:rtl/>
        </w:rPr>
        <w:drawing>
          <wp:anchor distT="0" distB="0" distL="114300" distR="114300" simplePos="0" relativeHeight="251689984" behindDoc="1" locked="0" layoutInCell="1" allowOverlap="1">
            <wp:simplePos x="0" y="0"/>
            <wp:positionH relativeFrom="column">
              <wp:posOffset>12536</wp:posOffset>
            </wp:positionH>
            <wp:positionV relativeFrom="paragraph">
              <wp:posOffset>-101416</wp:posOffset>
            </wp:positionV>
            <wp:extent cx="4703960" cy="840658"/>
            <wp:effectExtent l="0" t="0" r="0" b="0"/>
            <wp:wrapNone/>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57494" cy="850225"/>
                    </a:xfrm>
                    <a:prstGeom prst="rect">
                      <a:avLst/>
                    </a:prstGeom>
                  </pic:spPr>
                </pic:pic>
              </a:graphicData>
            </a:graphic>
            <wp14:sizeRelH relativeFrom="margin">
              <wp14:pctWidth>0</wp14:pctWidth>
            </wp14:sizeRelH>
            <wp14:sizeRelV relativeFrom="margin">
              <wp14:pctHeight>0</wp14:pctHeight>
            </wp14:sizeRelV>
          </wp:anchor>
        </w:drawing>
      </w:r>
      <w:r w:rsidRPr="00E72823" w:rsidR="00E72823">
        <w:rPr>
          <w:rFonts w:ascii="Tahoma" w:hAnsi="Tahoma" w:cs="Tahoma"/>
          <w:b/>
          <w:bCs/>
          <w:color w:val="FFFFFF" w:themeColor="background1"/>
          <w:sz w:val="22"/>
          <w:szCs w:val="22"/>
        </w:rPr>
        <w:t>The Scope and Number of ICT Purchase Orders Through Exempt Under Regulation 3(1) at NIS 47,500</w:t>
      </w:r>
      <w:r w:rsidR="00C45779">
        <w:rPr>
          <w:rFonts w:ascii="Tahoma" w:hAnsi="Tahoma" w:cs="Tahoma"/>
          <w:b/>
          <w:bCs/>
          <w:color w:val="FFFFFF" w:themeColor="background1"/>
          <w:sz w:val="22"/>
          <w:szCs w:val="22"/>
        </w:rPr>
        <w:t>–</w:t>
      </w:r>
      <w:r w:rsidRPr="00E72823" w:rsidR="00E72823">
        <w:rPr>
          <w:rFonts w:ascii="Tahoma" w:hAnsi="Tahoma" w:cs="Tahoma"/>
          <w:b/>
          <w:bCs/>
          <w:color w:val="FFFFFF" w:themeColor="background1"/>
          <w:sz w:val="22"/>
          <w:szCs w:val="22"/>
        </w:rPr>
        <w:t>50,000 by Government Bodies that Made at Least 30 Orders, 2019</w:t>
      </w:r>
      <w:r w:rsidR="00C45779">
        <w:rPr>
          <w:rFonts w:ascii="Tahoma" w:hAnsi="Tahoma" w:cs="Tahoma"/>
          <w:b/>
          <w:bCs/>
          <w:color w:val="FFFFFF" w:themeColor="background1"/>
          <w:sz w:val="22"/>
          <w:szCs w:val="22"/>
        </w:rPr>
        <w:t>–</w:t>
      </w:r>
      <w:r w:rsidRPr="00E72823" w:rsidR="00E72823">
        <w:rPr>
          <w:rFonts w:ascii="Tahoma" w:hAnsi="Tahoma" w:cs="Tahoma"/>
          <w:b/>
          <w:bCs/>
          <w:color w:val="FFFFFF" w:themeColor="background1"/>
          <w:sz w:val="22"/>
          <w:szCs w:val="22"/>
        </w:rPr>
        <w:t>2021</w:t>
      </w:r>
    </w:p>
    <w:p w:rsidR="004B58CE" w:rsidRPr="004B58CE" w:rsidP="004B58CE" w14:paraId="3ADE1FD2" w14:textId="3C9707C0">
      <w:pPr>
        <w:spacing w:before="480"/>
        <w:rPr>
          <w:rtl/>
        </w:rPr>
      </w:pPr>
      <w:r>
        <w:rPr>
          <w:noProof/>
          <w:rtl/>
          <w:lang w:val="he-IL"/>
        </w:rPr>
        <w:drawing>
          <wp:inline distT="0" distB="0" distL="0" distR="0">
            <wp:extent cx="4742577" cy="3876144"/>
            <wp:effectExtent l="0" t="0" r="0" b="0"/>
            <wp:docPr id="180261448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614487" name="תמונה 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2577" cy="3876144"/>
                    </a:xfrm>
                    <a:prstGeom prst="rect">
                      <a:avLst/>
                    </a:prstGeom>
                  </pic:spPr>
                </pic:pic>
              </a:graphicData>
            </a:graphic>
          </wp:inline>
        </w:drawing>
      </w:r>
    </w:p>
    <w:p w:rsidR="00E72823" w:rsidRPr="007C21B0" w:rsidP="00E72823" w14:paraId="215E1245" w14:textId="77777777">
      <w:pPr>
        <w:pStyle w:val="711"/>
        <w:bidi w:val="0"/>
        <w:spacing w:after="0"/>
        <w:jc w:val="left"/>
      </w:pPr>
      <w:r w:rsidRPr="007C21B0">
        <w:t>According to the Merkava data processed by the State Comptroller's Office</w:t>
      </w:r>
      <w:r w:rsidRPr="007C21B0">
        <w:rPr>
          <w:rtl/>
        </w:rPr>
        <w:t>.</w:t>
      </w:r>
    </w:p>
    <w:p w:rsidR="00C50F58" w14:paraId="55D0C230" w14:textId="461879D3">
      <w:pPr>
        <w:bidi w:val="0"/>
        <w:rPr>
          <w:rFonts w:ascii="Tahoma" w:hAnsi="Tahoma" w:eastAsiaTheme="minorHAnsi" w:cs="Tahoma"/>
          <w:color w:val="0D0D0D" w:themeColor="text1" w:themeTint="F2"/>
          <w:sz w:val="16"/>
          <w:szCs w:val="16"/>
        </w:rPr>
      </w:pPr>
      <w:r>
        <w:br w:type="page"/>
      </w:r>
    </w:p>
    <w:p w:rsidR="00496CBE" w:rsidP="004B3772" w14:paraId="5C46C175" w14:textId="452FDA13">
      <w:pPr>
        <w:bidi w:val="0"/>
        <w:spacing w:after="0" w:line="200" w:lineRule="exact"/>
        <w:rPr>
          <w:rFonts w:ascii="Tahoma" w:hAnsi="Tahoma" w:cs="Tahoma"/>
          <w:b/>
          <w:bCs/>
          <w:color w:val="003364"/>
          <w:w w:val="90"/>
          <w:sz w:val="32"/>
          <w:szCs w:val="32"/>
        </w:rPr>
      </w:pPr>
      <w:r>
        <w:rPr>
          <w:rFonts w:ascii="Tahoma" w:hAnsi="Tahoma" w:cs="Tahoma"/>
          <w:b/>
          <w:bCs/>
          <w:noProof/>
          <w:color w:val="003364"/>
          <w:w w:val="90"/>
          <w:sz w:val="32"/>
          <w:szCs w:val="32"/>
        </w:rPr>
        <w:drawing>
          <wp:inline distT="0" distB="0" distL="0" distR="0">
            <wp:extent cx="4679950" cy="4572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79950" cy="45720"/>
                    </a:xfrm>
                    <a:prstGeom prst="rect">
                      <a:avLst/>
                    </a:prstGeom>
                  </pic:spPr>
                </pic:pic>
              </a:graphicData>
            </a:graphic>
          </wp:inline>
        </w:drawing>
      </w:r>
    </w:p>
    <w:p w:rsidR="00496CBE" w:rsidRPr="00902625" w:rsidP="009661D6" w14:paraId="21789D2B" w14:textId="045CFE37">
      <w:pPr>
        <w:bidi w:val="0"/>
        <w:spacing w:before="120" w:after="180" w:line="240" w:lineRule="atLeast"/>
        <w:rPr>
          <w:rFonts w:ascii="Tahoma" w:hAnsi="Tahoma" w:cs="Tahoma"/>
          <w:b/>
          <w:bCs/>
          <w:color w:val="00305F"/>
          <w:sz w:val="32"/>
          <w:szCs w:val="32"/>
        </w:rPr>
      </w:pPr>
      <w:r w:rsidRPr="00AE5F94">
        <w:rPr>
          <w:rFonts w:ascii="Tahoma" w:hAnsi="Tahoma" w:cs="Tahoma"/>
          <w:b/>
          <w:bCs/>
          <w:color w:val="00305F"/>
          <w:sz w:val="32"/>
          <w:szCs w:val="32"/>
        </w:rPr>
        <w:t>Summary</w:t>
      </w:r>
    </w:p>
    <w:p w:rsidR="00E72823" w:rsidRPr="007C21B0" w:rsidP="00E72823" w14:paraId="736C6A6B" w14:textId="77777777">
      <w:pPr>
        <w:pStyle w:val="running-text"/>
        <w:spacing w:after="180" w:line="260" w:lineRule="exact"/>
        <w:ind w:right="0"/>
        <w:rPr>
          <w:color w:val="0D0D0D" w:themeColor="text1" w:themeTint="F2"/>
          <w:sz w:val="18"/>
        </w:rPr>
      </w:pPr>
      <w:r w:rsidRPr="007C21B0">
        <w:rPr>
          <w:color w:val="0D0D0D" w:themeColor="text1" w:themeTint="F2"/>
          <w:sz w:val="18"/>
        </w:rPr>
        <w:t>The rapid development of the ICT field means that government bodies should implement innovation quickly and efficiently to prevent the relevant technology from becoming obsolete until the procurement process is completed. At the same time, the public interest requires that the procurement procedures be conducted in a fair, equitable, and transparent consistent with the provisions of the law and lead to business results and economic efficiency.</w:t>
      </w:r>
    </w:p>
    <w:p w:rsidR="00E72823" w:rsidRPr="007C21B0" w:rsidP="00E72823" w14:paraId="213B8A67" w14:textId="77777777">
      <w:pPr>
        <w:pStyle w:val="running-text"/>
        <w:spacing w:after="180" w:line="260" w:lineRule="exact"/>
        <w:ind w:right="0"/>
        <w:rPr>
          <w:color w:val="0D0D0D" w:themeColor="text1" w:themeTint="F2"/>
          <w:sz w:val="18"/>
        </w:rPr>
      </w:pPr>
      <w:r w:rsidRPr="007C21B0">
        <w:rPr>
          <w:color w:val="0D0D0D" w:themeColor="text1" w:themeTint="F2"/>
          <w:sz w:val="18"/>
        </w:rPr>
        <w:t>The findings of this report indicate a series of deficiencies in procurement, with an emphasis on ICT engagements exempt from tender. The following are the main deficiencies: the information published by the Procurement Administration and the National Digital Agency in procurement does not match the information in the Merkava system, thereby compromising the transparency to the public and the control capabilities of government procurement activity; Hundreds of percent higher use of government bodies of the exempt from tender on the grounds of a sole source purchase and on the grounds of engagements in sums up to NIS 50,000 in ICT procurement, compared to general procurement; And non-compliance with the provisions of the law concerning the publication of engagements.</w:t>
      </w:r>
    </w:p>
    <w:p w:rsidR="00CA57E7" w:rsidP="00E72823" w14:paraId="04394AE4" w14:textId="6775BBD2">
      <w:pPr>
        <w:pStyle w:val="running-text"/>
        <w:spacing w:after="180" w:line="260" w:lineRule="exact"/>
        <w:ind w:right="0"/>
        <w:rPr>
          <w:color w:val="0D0D0D" w:themeColor="text1" w:themeTint="F2"/>
          <w:sz w:val="18"/>
        </w:rPr>
      </w:pPr>
      <w:r w:rsidRPr="007C21B0">
        <w:rPr>
          <w:color w:val="0D0D0D" w:themeColor="text1" w:themeTint="F2"/>
          <w:sz w:val="18"/>
        </w:rPr>
        <w:t>The government bodies should adhere to the provisions of the law and the government procurement provisions of the TAKAM Directives. It is recommended that the Procurement Administration improve the procurement process in the Merkava system, including implementing computerized controls and compensatory controls, to verify the information's completeness and reliability and improve the ongoing supervision and control and the decision-making processes. The Accountant General and the Freedom of Information Unit should enforce the publication of the engagements of all entities under the provisions of the law while ensuring the reliability of the information made available to the public.</w:t>
      </w:r>
    </w:p>
    <w:p w:rsidR="00CA57E7" w14:paraId="2AB356B6" w14:textId="77777777">
      <w:pPr>
        <w:bidi w:val="0"/>
        <w:rPr>
          <w:rFonts w:ascii="Tahoma" w:hAnsi="Tahoma" w:cs="Tahoma"/>
          <w:color w:val="0D0D0D" w:themeColor="text1" w:themeTint="F2"/>
          <w:sz w:val="18"/>
          <w:szCs w:val="18"/>
        </w:rPr>
      </w:pPr>
      <w:r>
        <w:rPr>
          <w:color w:val="0D0D0D" w:themeColor="text1" w:themeTint="F2"/>
          <w:sz w:val="18"/>
        </w:rPr>
        <w:br w:type="page"/>
      </w:r>
    </w:p>
    <w:p w:rsidR="00E72823" w:rsidRPr="007C21B0" w:rsidP="00E72823" w14:paraId="6BC7B4F3" w14:textId="2755CDD4">
      <w:pPr>
        <w:pStyle w:val="running-text"/>
        <w:spacing w:after="180" w:line="260" w:lineRule="exact"/>
        <w:ind w:right="0"/>
        <w:rPr>
          <w:color w:val="0D0D0D" w:themeColor="text1" w:themeTint="F2"/>
          <w:sz w:val="18"/>
        </w:rPr>
      </w:pPr>
      <w:r>
        <w:rPr>
          <w:noProof/>
          <w:color w:val="0D0D0D" w:themeColor="text1" w:themeTint="F2"/>
          <w:sz w:val="18"/>
        </w:rPr>
        <mc:AlternateContent>
          <mc:Choice Requires="wps">
            <w:drawing>
              <wp:anchor distT="0" distB="0" distL="114300" distR="114300" simplePos="0" relativeHeight="251698176" behindDoc="0" locked="0" layoutInCell="1" allowOverlap="1">
                <wp:simplePos x="0" y="0"/>
                <wp:positionH relativeFrom="column">
                  <wp:posOffset>-245043</wp:posOffset>
                </wp:positionH>
                <wp:positionV relativeFrom="paragraph">
                  <wp:posOffset>-874930</wp:posOffset>
                </wp:positionV>
                <wp:extent cx="6200274" cy="810127"/>
                <wp:effectExtent l="12700" t="12700" r="10160" b="15875"/>
                <wp:wrapNone/>
                <wp:docPr id="142851668"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00274" cy="8101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5" style="width:488.2pt;height:63.8pt;margin-top:-68.9pt;margin-left:-19.3pt;mso-wrap-distance-bottom:0;mso-wrap-distance-left:9pt;mso-wrap-distance-right:9pt;mso-wrap-distance-top:0;mso-wrap-style:square;position:absolute;visibility:visible;v-text-anchor:middle;z-index:251699200" fillcolor="white" strokecolor="white" strokeweight="1.5pt">
                <v:stroke endcap="round"/>
              </v:rect>
            </w:pict>
          </mc:Fallback>
        </mc:AlternateContent>
      </w:r>
    </w:p>
    <w:p w:rsidR="00E72823" w:rsidRPr="007C21B0" w:rsidP="00E72823" w14:paraId="24FACC85" w14:textId="222C2A09">
      <w:pPr>
        <w:pStyle w:val="running-text"/>
        <w:spacing w:after="180" w:line="260" w:lineRule="exact"/>
        <w:ind w:right="0"/>
        <w:rPr>
          <w:color w:val="0D0D0D" w:themeColor="text1" w:themeTint="F2"/>
          <w:sz w:val="18"/>
          <w:rtl/>
        </w:rPr>
      </w:pPr>
    </w:p>
    <w:p w:rsidR="00C82866" w:rsidRPr="00485F83" w:rsidP="00E72823" w14:paraId="06F4B564" w14:textId="13556899">
      <w:pPr>
        <w:pStyle w:val="running-text"/>
        <w:spacing w:after="180" w:line="260" w:lineRule="exact"/>
        <w:ind w:right="0"/>
        <w:rPr>
          <w:color w:val="0D0D0D" w:themeColor="text1" w:themeTint="F2"/>
          <w:sz w:val="18"/>
          <w:rtl/>
        </w:rPr>
      </w:pPr>
      <w:r>
        <w:rPr>
          <w:noProof/>
          <w:color w:val="0D0D0D" w:themeColor="text1" w:themeTint="F2"/>
          <w:sz w:val="18"/>
        </w:rPr>
        <mc:AlternateContent>
          <mc:Choice Requires="wps">
            <w:drawing>
              <wp:anchor distT="0" distB="0" distL="114300" distR="114300" simplePos="0" relativeHeight="251700224" behindDoc="0" locked="0" layoutInCell="1" allowOverlap="1">
                <wp:simplePos x="0" y="0"/>
                <wp:positionH relativeFrom="column">
                  <wp:posOffset>-741781</wp:posOffset>
                </wp:positionH>
                <wp:positionV relativeFrom="paragraph">
                  <wp:posOffset>6243320</wp:posOffset>
                </wp:positionV>
                <wp:extent cx="6200274" cy="810127"/>
                <wp:effectExtent l="12700" t="12700" r="10160" b="15875"/>
                <wp:wrapNone/>
                <wp:docPr id="1560380253"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00274" cy="81012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6" style="width:488.2pt;height:63.8pt;margin-top:491.6pt;margin-left:-58.4pt;mso-wrap-distance-bottom:0;mso-wrap-distance-left:9pt;mso-wrap-distance-right:9pt;mso-wrap-distance-top:0;mso-wrap-style:square;position:absolute;visibility:visible;v-text-anchor:middle;z-index:251701248" fillcolor="white" strokecolor="white" strokeweight="1.5pt">
                <v:stroke endcap="round"/>
              </v:rect>
            </w:pict>
          </mc:Fallback>
        </mc:AlternateContent>
      </w:r>
    </w:p>
    <w:sectPr w:rsidSect="00CA57E7">
      <w:headerReference w:type="even" r:id="rId26"/>
      <w:headerReference w:type="default" r:id="rId27"/>
      <w:headerReference w:type="first" r:id="rId28"/>
      <w:pgSz w:w="11906" w:h="16838" w:code="9"/>
      <w:pgMar w:top="2892" w:right="2268" w:bottom="2438" w:left="2268" w:header="1871" w:footer="1928" w:gutter="0"/>
      <w:pgNumType w:start="15"/>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C576E" w14:paraId="4304787B" w14:textId="77777777">
      <w:pPr>
        <w:spacing w:after="0" w:line="240" w:lineRule="auto"/>
      </w:pPr>
      <w:r>
        <w:separator/>
      </w:r>
    </w:p>
  </w:endnote>
  <w:endnote w:type="continuationSeparator" w:id="1">
    <w:p w:rsidR="005C576E" w14:paraId="0BD86D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MDL2 Assets">
    <w:altName w:val="Segoe UI"/>
    <w:panose1 w:val="020B0604020202020204"/>
    <w:charset w:val="00"/>
    <w:family w:val="roman"/>
    <w:pitch w:val="variable"/>
    <w:sig w:usb0="00000003" w:usb1="10000000" w:usb2="00000000" w:usb3="00000000" w:csb0="00000001" w:csb1="00000000"/>
  </w:font>
  <w:font w:name="FrankRuehl">
    <w:panose1 w:val="020E0503060101010101"/>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roman"/>
    <w:pitch w:val="default"/>
  </w:font>
  <w:font w:name="Gisha">
    <w:panose1 w:val="020B0502040204020203"/>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750A" w:rsidRPr="009507DB" w:rsidP="00440360" w14:paraId="0F4EB562" w14:textId="77777777">
    <w:pPr>
      <w:pStyle w:val="Footer"/>
      <w:tabs>
        <w:tab w:val="center" w:pos="-284"/>
        <w:tab w:val="right" w:pos="0"/>
        <w:tab w:val="clear" w:pos="4320"/>
        <w:tab w:val="clear" w:pos="8640"/>
      </w:tabs>
      <w:bidi w:val="0"/>
      <w:ind w:left="-1191" w:right="7314"/>
      <w:jc w:val="right"/>
      <w:rPr>
        <w:rFonts w:ascii="Tahoma" w:hAnsi="Tahoma" w:cs="Tahoma"/>
        <w:sz w:val="18"/>
        <w:szCs w:val="18"/>
      </w:rPr>
    </w:pPr>
    <w:r w:rsidRPr="009507DB">
      <w:rPr>
        <w:rFonts w:ascii="Tahoma" w:hAnsi="Tahoma" w:cs="Tahoma"/>
        <w:sz w:val="18"/>
        <w:szCs w:val="18"/>
        <w:rtl/>
      </w:rPr>
      <w:t xml:space="preserve">| </w:t>
    </w:r>
    <w:r w:rsidR="008E1EBA">
      <w:rPr>
        <w:rFonts w:ascii="Tahoma" w:hAnsi="Tahoma" w:cs="Tahoma" w:hint="cs"/>
        <w:sz w:val="18"/>
        <w:szCs w:val="18"/>
        <w:rtl/>
      </w:rPr>
      <w:t xml:space="preserve"> </w:t>
    </w:r>
    <w:r w:rsidR="00975710">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B7022A">
      <w:rPr>
        <w:rFonts w:ascii="Tahoma" w:hAnsi="Tahoma" w:cs="Tahoma"/>
        <w:noProof/>
        <w:color w:val="231F20"/>
        <w:sz w:val="18"/>
        <w:szCs w:val="18"/>
      </w:rPr>
      <w:t>16</w:t>
    </w:r>
    <w:r w:rsidRPr="009507DB">
      <w:rPr>
        <w:rFonts w:ascii="Tahoma" w:hAnsi="Tahoma" w:cs="Tahoma"/>
        <w:noProof/>
        <w:color w:val="231F20"/>
        <w:sz w:val="18"/>
        <w:szCs w:val="18"/>
      </w:rPr>
      <w:fldChar w:fldCharType="end"/>
    </w:r>
    <w:r w:rsidR="00975710">
      <w:rPr>
        <w:rFonts w:ascii="Tahoma" w:hAnsi="Tahoma" w:cs="Tahoma" w:hint="cs"/>
        <w:noProof/>
        <w:color w:val="231F20"/>
        <w:sz w:val="18"/>
        <w:szCs w:val="18"/>
        <w:rtl/>
      </w:rPr>
      <w:t xml:space="preserve"> </w:t>
    </w:r>
    <w:r w:rsidR="008E1EBA">
      <w:rPr>
        <w:rFonts w:ascii="Tahoma" w:hAnsi="Tahoma" w:cs="Tahoma" w:hint="cs"/>
        <w:noProof/>
        <w:color w:val="231F20"/>
        <w:sz w:val="18"/>
        <w:szCs w:val="18"/>
        <w:rtl/>
      </w:rPr>
      <w:t xml:space="preserve"> </w:t>
    </w:r>
    <w:r w:rsidR="00975710">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08F2" w:rsidRPr="009507DB" w:rsidP="00440360" w14:paraId="2E4A7A26" w14:textId="77777777">
    <w:pPr>
      <w:pStyle w:val="Footer"/>
      <w:tabs>
        <w:tab w:val="clear" w:pos="4320"/>
        <w:tab w:val="center" w:pos="7654"/>
        <w:tab w:val="right" w:pos="7937"/>
        <w:tab w:val="clear" w:pos="8640"/>
      </w:tabs>
      <w:bidi w:val="0"/>
      <w:ind w:left="7343" w:right="-1247"/>
      <w:rPr>
        <w:rFonts w:ascii="Tahoma" w:hAnsi="Tahoma" w:cs="Tahoma"/>
        <w:sz w:val="18"/>
        <w:szCs w:val="18"/>
      </w:rPr>
    </w:pPr>
    <w:r w:rsidRPr="009507DB">
      <w:rPr>
        <w:rFonts w:ascii="Tahoma" w:hAnsi="Tahoma" w:cs="Tahoma"/>
        <w:sz w:val="18"/>
        <w:szCs w:val="18"/>
        <w:rtl/>
      </w:rPr>
      <w:t xml:space="preserve">| </w:t>
    </w:r>
    <w:r w:rsidR="008E1EBA">
      <w:rPr>
        <w:rFonts w:ascii="Tahoma" w:hAnsi="Tahoma" w:cs="Tahoma" w:hint="cs"/>
        <w:sz w:val="18"/>
        <w:szCs w:val="18"/>
        <w:rtl/>
      </w:rPr>
      <w:t xml:space="preserve"> </w:t>
    </w:r>
    <w:r w:rsidR="00975710">
      <w:rPr>
        <w:rFonts w:ascii="Tahoma" w:hAnsi="Tahoma" w:cs="Tahoma" w:hint="cs"/>
        <w:sz w:val="18"/>
        <w:szCs w:val="18"/>
        <w:rtl/>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B7022A">
      <w:rPr>
        <w:rFonts w:ascii="Tahoma" w:hAnsi="Tahoma" w:cs="Tahoma"/>
        <w:noProof/>
        <w:color w:val="231F20"/>
        <w:sz w:val="18"/>
        <w:szCs w:val="18"/>
      </w:rPr>
      <w:t>15</w:t>
    </w:r>
    <w:r w:rsidRPr="009507DB">
      <w:rPr>
        <w:rFonts w:ascii="Tahoma" w:hAnsi="Tahoma" w:cs="Tahoma"/>
        <w:noProof/>
        <w:color w:val="231F20"/>
        <w:sz w:val="18"/>
        <w:szCs w:val="18"/>
      </w:rPr>
      <w:fldChar w:fldCharType="end"/>
    </w:r>
    <w:r w:rsidR="00975710">
      <w:rPr>
        <w:rFonts w:ascii="Tahoma" w:hAnsi="Tahoma" w:cs="Tahoma" w:hint="cs"/>
        <w:noProof/>
        <w:color w:val="231F20"/>
        <w:sz w:val="18"/>
        <w:szCs w:val="18"/>
        <w:rtl/>
      </w:rPr>
      <w:t xml:space="preserve"> </w:t>
    </w:r>
    <w:r w:rsidR="008E1EBA">
      <w:rPr>
        <w:rFonts w:ascii="Tahoma" w:hAnsi="Tahoma" w:cs="Tahoma" w:hint="cs"/>
        <w:noProof/>
        <w:color w:val="231F20"/>
        <w:sz w:val="18"/>
        <w:szCs w:val="18"/>
        <w:rtl/>
      </w:rPr>
      <w:t xml:space="preserve"> </w:t>
    </w:r>
    <w:r w:rsidR="00975710">
      <w:rPr>
        <w:rFonts w:ascii="Tahoma" w:hAnsi="Tahoma" w:cs="Tahoma" w:hint="cs"/>
        <w:noProof/>
        <w:color w:val="231F20"/>
        <w:sz w:val="18"/>
        <w:szCs w:val="18"/>
        <w:rtl/>
      </w:rPr>
      <w:t xml:space="preserve"> </w:t>
    </w:r>
    <w:r w:rsidRPr="009507DB">
      <w:rPr>
        <w:rFonts w:ascii="Tahoma" w:hAnsi="Tahoma" w:cs="Tahoma"/>
        <w:sz w:val="18"/>
        <w:szCs w:val="18"/>
        <w:rt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C576E" w:rsidP="00BD3044" w14:paraId="4EE525D2" w14:textId="77777777">
      <w:pPr>
        <w:spacing w:after="0" w:line="240" w:lineRule="auto"/>
        <w:jc w:val="right"/>
      </w:pPr>
      <w:r>
        <w:separator/>
      </w:r>
    </w:p>
  </w:footnote>
  <w:footnote w:type="continuationSeparator" w:id="1">
    <w:p w:rsidR="005C576E" w14:paraId="46172B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63775048"/>
  <w:bookmarkEnd w:id="5"/>
  <w:p w:rsidR="00B650F8" w:rsidRPr="00B650F8" w:rsidP="00B650F8" w14:paraId="2F61E770" w14:textId="502FA0FF">
    <w:r>
      <w:rPr>
        <w:noProof/>
      </w:rPr>
      <mc:AlternateContent>
        <mc:Choice Requires="wps">
          <w:drawing>
            <wp:anchor distT="0" distB="0" distL="114300" distR="114300" simplePos="0" relativeHeight="251665408" behindDoc="1" locked="0" layoutInCell="1" allowOverlap="1">
              <wp:simplePos x="0" y="0"/>
              <wp:positionH relativeFrom="column">
                <wp:posOffset>-1464894</wp:posOffset>
              </wp:positionH>
              <wp:positionV relativeFrom="paragraph">
                <wp:posOffset>-247221</wp:posOffset>
              </wp:positionV>
              <wp:extent cx="7594686" cy="0"/>
              <wp:effectExtent l="0" t="0" r="12700"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7594686" cy="0"/>
                      </a:xfrm>
                      <a:prstGeom prst="line">
                        <a:avLst/>
                      </a:prstGeom>
                      <a:ln>
                        <a:gradFill rotWithShape="1">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2049" style="flip:x;mso-height-percent:0;mso-height-relative:margin;mso-width-percent:0;mso-width-relative:margin;mso-wrap-distance-bottom:0;mso-wrap-distance-left:9pt;mso-wrap-distance-right:9pt;mso-wrap-distance-top:0;mso-wrap-style:square;position:absolute;visibility:visible;z-index:-251650048" from="-115.35pt,-19.45pt" to="482.65pt,-19.45pt">
              <v:stroke endcap="round"/>
            </v:line>
          </w:pict>
        </mc:Fallback>
      </mc:AlternateContent>
    </w:r>
    <w:r>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642E60" w:rsidP="00642E60" w14:paraId="09CB2E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7F1A39" w14:paraId="174E2EDE" w14:textId="77777777">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cs"/>
        <w:noProof/>
        <w:color w:val="0B5294" w:themeColor="accent1" w:themeShade="BF"/>
        <w:sz w:val="16"/>
        <w:szCs w:val="16"/>
        <w:rtl/>
      </w:rPr>
      <w:t>שם הגוף המבוקר</w:t>
    </w:r>
    <w:r w:rsidR="00767790">
      <w:rPr>
        <w:rFonts w:ascii="Tahoma" w:hAnsi="Tahoma" w:eastAsiaTheme="majorEastAsia" w:cs="Tahoma" w:hint="cs"/>
        <w:noProof/>
        <w:color w:val="0B5294" w:themeColor="accent1" w:themeShade="BF"/>
        <w:sz w:val="16"/>
        <w:szCs w:val="16"/>
        <w:rtl/>
      </w:rPr>
      <w:t xml:space="preserve"> </w:t>
    </w:r>
    <w:r w:rsidRPr="007F1A39">
      <w:rPr>
        <w:rFonts w:ascii="Tahoma" w:hAnsi="Tahoma" w:eastAsiaTheme="majorEastAsia" w:cs="Tahoma" w:hint="cs"/>
        <w:noProof/>
        <w:color w:val="0B5294" w:themeColor="accent1" w:themeShade="BF"/>
        <w:sz w:val="16"/>
        <w:szCs w:val="16"/>
        <w:rtl/>
      </w:rPr>
      <w:t>|</w:t>
    </w:r>
    <w:r w:rsidR="00767790">
      <w:rPr>
        <w:rFonts w:ascii="Tahoma" w:hAnsi="Tahoma" w:eastAsiaTheme="majorEastAsia" w:cs="Tahoma" w:hint="cs"/>
        <w:noProof/>
        <w:color w:val="0B5294" w:themeColor="accent1" w:themeShade="BF"/>
        <w:sz w:val="16"/>
        <w:szCs w:val="16"/>
        <w:rtl/>
      </w:rPr>
      <w:t xml:space="preserve">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3323CD">
      <w:rPr>
        <w:rFonts w:ascii="Tahoma" w:hAnsi="Tahoma" w:eastAsiaTheme="majorEastAsia" w:cs="Tahoma"/>
        <w:b/>
        <w:bCs/>
        <w:noProof/>
        <w:color w:val="0B5294" w:themeColor="accent1" w:themeShade="BF"/>
        <w:sz w:val="16"/>
        <w:szCs w:val="16"/>
        <w:rtl/>
      </w:rPr>
      <w:t>3</w:t>
    </w:r>
    <w:r w:rsidRPr="007F1A39">
      <w:rPr>
        <w:rFonts w:ascii="Tahoma" w:hAnsi="Tahoma" w:eastAsiaTheme="majorEastAsia" w:cs="Tahoma"/>
        <w:b/>
        <w:bCs/>
        <w:noProof/>
        <w:color w:val="0B5294" w:themeColor="accent1" w:themeShade="BF"/>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890ED9" w:rsidP="00890ED9" w14:paraId="24EF87A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0CA" w:rsidRPr="007C10CA" w:rsidP="00086BC2" w14:paraId="3F4CF5A8" w14:textId="6E876EED">
    <w:pPr>
      <w:bidi w:val="0"/>
      <w:spacing w:after="0" w:line="240" w:lineRule="auto"/>
      <w:rPr>
        <w:rFonts w:ascii="Tahoma" w:hAnsi="Tahoma" w:cs="Tahoma"/>
        <w:color w:val="0D0D0D" w:themeColor="text1" w:themeTint="F2"/>
        <w:sz w:val="16"/>
        <w:szCs w:val="16"/>
      </w:rPr>
    </w:pPr>
    <w:r>
      <w:rPr>
        <w:noProof/>
        <w:rtl/>
        <w:lang w:val="he-IL"/>
      </w:rPr>
      <mc:AlternateContent>
        <mc:Choice Requires="wps">
          <w:drawing>
            <wp:anchor distT="0" distB="0" distL="114300" distR="114300" simplePos="0" relativeHeight="251669504" behindDoc="1" locked="0" layoutInCell="1" allowOverlap="1">
              <wp:simplePos x="0" y="0"/>
              <wp:positionH relativeFrom="margin">
                <wp:posOffset>-952500</wp:posOffset>
              </wp:positionH>
              <wp:positionV relativeFrom="margin">
                <wp:posOffset>-1054735</wp:posOffset>
              </wp:positionV>
              <wp:extent cx="6479540" cy="8999855"/>
              <wp:effectExtent l="0" t="0" r="10160" b="17145"/>
              <wp:wrapNone/>
              <wp:docPr id="1141261157"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3340AD" w:rsidRPr="00DE3ECA" w:rsidP="003340A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0" type="#_x0000_t202" style="width:510.2pt;height:708.65pt;margin-top:-83.05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5952" filled="f" strokecolor="#a5a5a5" strokeweight="0.25pt">
              <v:stroke dashstyle="longDash"/>
              <v:textbox>
                <w:txbxContent>
                  <w:p w:rsidR="003340AD" w:rsidRPr="00DE3ECA" w:rsidP="003340AD" w14:paraId="01679594"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r w:rsidRPr="006637B9" w:rsidR="00086BC2">
      <w:rPr>
        <w:rFonts w:ascii="Tahoma" w:hAnsi="Tahoma" w:cs="Tahoma"/>
        <w:noProof/>
        <w:color w:val="002060"/>
        <w:sz w:val="18"/>
        <w:szCs w:val="18"/>
      </w:rPr>
      <mc:AlternateContent>
        <mc:Choice Requires="wps">
          <w:drawing>
            <wp:anchor distT="0" distB="0" distL="114300" distR="114300" simplePos="0" relativeHeight="251667456" behindDoc="0" locked="0" layoutInCell="1" allowOverlap="1">
              <wp:simplePos x="0" y="0"/>
              <wp:positionH relativeFrom="column">
                <wp:posOffset>219710</wp:posOffset>
              </wp:positionH>
              <wp:positionV relativeFrom="paragraph">
                <wp:posOffset>175895</wp:posOffset>
              </wp:positionV>
              <wp:extent cx="4536440" cy="224790"/>
              <wp:effectExtent l="0" t="0" r="0" b="3810"/>
              <wp:wrapSquare wrapText="bothSides"/>
              <wp:docPr id="14510666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24790"/>
                      </a:xfrm>
                      <a:prstGeom prst="rect">
                        <a:avLst/>
                      </a:prstGeom>
                      <a:solidFill>
                        <a:srgbClr val="FFFFFF"/>
                      </a:solidFill>
                      <a:ln w="9525">
                        <a:noFill/>
                        <a:miter lim="800000"/>
                        <a:headEnd/>
                        <a:tailEnd/>
                      </a:ln>
                    </wps:spPr>
                    <wps:txbx>
                      <w:txbxContent>
                        <w:p w:rsidR="00086BC2" w:rsidRPr="00FC4CA4" w:rsidP="00086BC2" w14:textId="430CC95B">
                          <w:pPr>
                            <w:bidi w:val="0"/>
                            <w:spacing w:after="0" w:line="240" w:lineRule="auto"/>
                            <w:rPr>
                              <w:rFonts w:ascii="Tahoma" w:hAnsi="Tahoma" w:cs="Tahoma"/>
                              <w:color w:val="0D0D0D" w:themeColor="text1" w:themeTint="F2"/>
                              <w:sz w:val="16"/>
                              <w:szCs w:val="16"/>
                              <w:lang w:val="en"/>
                            </w:rPr>
                          </w:pPr>
                          <w:r w:rsidRPr="00A37112">
                            <w:rPr>
                              <w:rFonts w:ascii="Tahoma" w:hAnsi="Tahoma" w:cs="Tahoma"/>
                              <w:color w:val="0D0D0D" w:themeColor="text1" w:themeTint="F2"/>
                              <w:sz w:val="16"/>
                              <w:szCs w:val="16"/>
                              <w:lang w:val="en"/>
                            </w:rPr>
                            <w:t>Engagements Exempt</w:t>
                          </w:r>
                          <w:r w:rsidR="00C45779">
                            <w:rPr>
                              <w:rFonts w:ascii="Tahoma" w:hAnsi="Tahoma" w:cs="Tahoma"/>
                              <w:color w:val="0D0D0D" w:themeColor="text1" w:themeTint="F2"/>
                              <w:sz w:val="16"/>
                              <w:szCs w:val="16"/>
                              <w:lang w:val="en"/>
                            </w:rPr>
                            <w:t>ed</w:t>
                          </w:r>
                          <w:r w:rsidRPr="00A37112">
                            <w:rPr>
                              <w:rFonts w:ascii="Tahoma" w:hAnsi="Tahoma" w:cs="Tahoma"/>
                              <w:color w:val="0D0D0D" w:themeColor="text1" w:themeTint="F2"/>
                              <w:sz w:val="16"/>
                              <w:szCs w:val="16"/>
                              <w:lang w:val="en"/>
                            </w:rPr>
                            <w:t xml:space="preserve"> from Tender in the ICT Sector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357.2pt;height:17.7pt;margin-top:13.85pt;margin-left:17.3pt;mso-height-percent:0;mso-height-relative:margin;mso-width-percent:0;mso-width-relative:margin;mso-wrap-distance-bottom:0;mso-wrap-distance-left:9pt;mso-wrap-distance-right:9pt;mso-wrap-distance-top:0;mso-wrap-style:square;position:absolute;visibility:visible;v-text-anchor:top;z-index:251668480" stroked="f">
              <v:textbox>
                <w:txbxContent>
                  <w:p w:rsidR="00086BC2" w:rsidRPr="00FC4CA4" w:rsidP="00086BC2" w14:paraId="760267C9" w14:textId="430CC95B">
                    <w:pPr>
                      <w:bidi w:val="0"/>
                      <w:spacing w:after="0" w:line="240" w:lineRule="auto"/>
                      <w:rPr>
                        <w:rFonts w:ascii="Tahoma" w:hAnsi="Tahoma" w:cs="Tahoma"/>
                        <w:color w:val="0D0D0D" w:themeColor="text1" w:themeTint="F2"/>
                        <w:sz w:val="16"/>
                        <w:szCs w:val="16"/>
                        <w:lang w:val="en"/>
                      </w:rPr>
                    </w:pPr>
                    <w:r w:rsidRPr="00A37112">
                      <w:rPr>
                        <w:rFonts w:ascii="Tahoma" w:hAnsi="Tahoma" w:cs="Tahoma"/>
                        <w:color w:val="0D0D0D" w:themeColor="text1" w:themeTint="F2"/>
                        <w:sz w:val="16"/>
                        <w:szCs w:val="16"/>
                        <w:lang w:val="en"/>
                      </w:rPr>
                      <w:t>Engagements Exempt</w:t>
                    </w:r>
                    <w:r w:rsidR="00C45779">
                      <w:rPr>
                        <w:rFonts w:ascii="Tahoma" w:hAnsi="Tahoma" w:cs="Tahoma"/>
                        <w:color w:val="0D0D0D" w:themeColor="text1" w:themeTint="F2"/>
                        <w:sz w:val="16"/>
                        <w:szCs w:val="16"/>
                        <w:lang w:val="en"/>
                      </w:rPr>
                      <w:t>ed</w:t>
                    </w:r>
                    <w:r w:rsidRPr="00A37112">
                      <w:rPr>
                        <w:rFonts w:ascii="Tahoma" w:hAnsi="Tahoma" w:cs="Tahoma"/>
                        <w:color w:val="0D0D0D" w:themeColor="text1" w:themeTint="F2"/>
                        <w:sz w:val="16"/>
                        <w:szCs w:val="16"/>
                        <w:lang w:val="en"/>
                      </w:rPr>
                      <w:t xml:space="preserve"> from Tender in the ICT Sector</w:t>
                    </w:r>
                  </w:p>
                </w:txbxContent>
              </v:textbox>
              <w10:wrap type="square"/>
            </v:shape>
          </w:pict>
        </mc:Fallback>
      </mc:AlternateContent>
    </w:r>
    <w:r w:rsidRPr="007C10CA">
      <w:rPr>
        <w:rFonts w:ascii="Tahoma" w:hAnsi="Tahoma" w:eastAsiaTheme="minorHAnsi" w:cs="Tahoma" w:hint="eastAsia"/>
        <w:color w:val="0D0D0D" w:themeColor="text1" w:themeTint="F2"/>
        <w:sz w:val="16"/>
        <w:szCs w:val="16"/>
        <w:rtl/>
        <w:lang w:val="en"/>
      </w:rPr>
      <w:t xml:space="preserve"> </w:t>
    </w:r>
    <w:r w:rsidRPr="007C10CA" w:rsidR="008615A2">
      <w:rPr>
        <w:rFonts w:ascii="Tahoma" w:hAnsi="Tahoma" w:eastAsiaTheme="minorHAnsi" w:cs="Tahoma" w:hint="eastAsia"/>
        <w:noProof/>
        <w:color w:val="0D0D0D" w:themeColor="text1" w:themeTint="F2"/>
        <w:sz w:val="16"/>
        <w:szCs w:val="16"/>
        <w:rtl/>
        <w:lang w:val="en"/>
      </w:rPr>
      <w:drawing>
        <wp:anchor distT="0" distB="0" distL="114300" distR="114300" simplePos="0" relativeHeight="251659264" behindDoc="1" locked="0" layoutInCell="1" allowOverlap="1">
          <wp:simplePos x="0" y="0"/>
          <wp:positionH relativeFrom="page">
            <wp:posOffset>5745</wp:posOffset>
          </wp:positionH>
          <wp:positionV relativeFrom="page">
            <wp:posOffset>65674</wp:posOffset>
          </wp:positionV>
          <wp:extent cx="7549200" cy="10670400"/>
          <wp:effectExtent l="0" t="0" r="0" b="0"/>
          <wp:wrapNone/>
          <wp:docPr id="1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0"/>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p>
  <w:p w:rsidR="00C82866" w:rsidRPr="00950E0A" w:rsidP="008A4007" w14:paraId="74C5211B" w14:textId="01775043">
    <w:pPr>
      <w:pStyle w:val="Header"/>
      <w:bidi w:val="0"/>
      <w:spacing w:before="240" w:after="180"/>
      <w:rPr>
        <w:rFonts w:ascii="Tahoma" w:hAnsi="Tahoma" w:eastAsiaTheme="majorEastAsia" w:cs="Tahoma"/>
        <w:noProof/>
        <w:color w:val="0D0D0D" w:themeColor="text1" w:themeTint="F2"/>
        <w:sz w:val="16"/>
        <w:szCs w:val="16"/>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866" w:rsidRPr="00D05191" w:rsidP="005411EA" w14:paraId="50443D29" w14:textId="17AC9D2A">
    <w:pPr>
      <w:pStyle w:val="Header"/>
      <w:bidi w:val="0"/>
      <w:spacing w:before="240" w:after="180"/>
      <w:ind w:right="567"/>
      <w:jc w:val="right"/>
      <w:rPr>
        <w:rFonts w:ascii="Tahoma" w:hAnsi="Tahoma" w:eastAsiaTheme="majorEastAsia" w:cs="Tahoma"/>
        <w:noProof/>
        <w:color w:val="231F20"/>
        <w:sz w:val="16"/>
        <w:szCs w:val="16"/>
      </w:rPr>
    </w:pPr>
    <w:r>
      <w:rPr>
        <w:noProof/>
        <w:rtl/>
        <w:lang w:val="he-IL"/>
      </w:rPr>
      <mc:AlternateContent>
        <mc:Choice Requires="wps">
          <w:drawing>
            <wp:anchor distT="0" distB="0" distL="114300" distR="114300" simplePos="0" relativeHeight="251671552" behindDoc="1" locked="0" layoutInCell="1" allowOverlap="1">
              <wp:simplePos x="0" y="0"/>
              <wp:positionH relativeFrom="margin">
                <wp:posOffset>-957930</wp:posOffset>
              </wp:positionH>
              <wp:positionV relativeFrom="margin">
                <wp:posOffset>-903605</wp:posOffset>
              </wp:positionV>
              <wp:extent cx="6479540" cy="8999855"/>
              <wp:effectExtent l="0" t="0" r="10160" b="17145"/>
              <wp:wrapNone/>
              <wp:docPr id="545322748"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3340AD" w:rsidRPr="00DE3ECA" w:rsidP="003340A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510.2pt;height:708.65pt;margin-top:-71.15pt;margin-left:-75.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3904" filled="f" strokecolor="#a5a5a5" strokeweight="0.25pt">
              <v:stroke dashstyle="longDash"/>
              <v:textbox>
                <w:txbxContent>
                  <w:p w:rsidR="003340AD" w:rsidRPr="00DE3ECA" w:rsidP="003340AD" w14:paraId="5E74C7C1"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r w:rsidRPr="006061A9" w:rsidR="00555EDA">
      <w:rPr>
        <w:rFonts w:ascii="Tahoma" w:hAnsi="Tahoma" w:eastAsiaTheme="majorEastAsia" w:cs="Tahoma"/>
        <w:noProof/>
        <w:color w:val="0D0D0D" w:themeColor="text1" w:themeTint="F2"/>
        <w:sz w:val="16"/>
        <w:szCs w:val="16"/>
      </w:rPr>
      <mc:AlternateContent>
        <mc:Choice Requires="wps">
          <w:drawing>
            <wp:anchor distT="0" distB="0" distL="114300" distR="114300" simplePos="0" relativeHeight="251662336" behindDoc="0" locked="0" layoutInCell="1" allowOverlap="1">
              <wp:simplePos x="0" y="0"/>
              <wp:positionH relativeFrom="column">
                <wp:posOffset>4960620</wp:posOffset>
              </wp:positionH>
              <wp:positionV relativeFrom="paragraph">
                <wp:posOffset>-41077</wp:posOffset>
              </wp:positionV>
              <wp:extent cx="489585" cy="7483377"/>
              <wp:effectExtent l="0" t="0" r="0" b="0"/>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9585" cy="7483377"/>
                      </a:xfrm>
                      <a:prstGeom prst="rect">
                        <a:avLst/>
                      </a:prstGeom>
                      <a:noFill/>
                      <a:ln w="9525">
                        <a:noFill/>
                        <a:miter lim="800000"/>
                        <a:headEnd/>
                        <a:tailEnd/>
                      </a:ln>
                    </wps:spPr>
                    <wps:txbx>
                      <w:txbxContent>
                        <w:p w:rsidR="00741C9B" w:rsidRPr="0022183F" w:rsidP="00A37112" w14:textId="6EA2465A">
                          <w:pPr>
                            <w:pStyle w:val="7120"/>
                            <w:bidi w:val="0"/>
                            <w:spacing w:before="0" w:after="0"/>
                            <w:ind w:left="284" w:right="-142"/>
                            <w:rPr>
                              <w:color w:val="FFFFFF" w:themeColor="background1"/>
                              <w:sz w:val="19"/>
                              <w:szCs w:val="19"/>
                            </w:rPr>
                          </w:pPr>
                          <w:r w:rsidRPr="00555EDA">
                            <w:rPr>
                              <w:b w:val="0"/>
                              <w:bCs w:val="0"/>
                              <w:color w:val="FFFFFF" w:themeColor="background1"/>
                              <w:sz w:val="20"/>
                              <w:szCs w:val="20"/>
                            </w:rPr>
                            <w:t xml:space="preserve">Abstract </w:t>
                          </w:r>
                          <w:r w:rsidRPr="00555EDA" w:rsidR="001B75AD">
                            <w:rPr>
                              <w:b w:val="0"/>
                              <w:bCs w:val="0"/>
                              <w:color w:val="FFFFFF" w:themeColor="background1"/>
                              <w:sz w:val="20"/>
                              <w:szCs w:val="20"/>
                            </w:rPr>
                            <w:t xml:space="preserve"> </w:t>
                          </w:r>
                          <w:r w:rsidRPr="00555EDA">
                            <w:rPr>
                              <w:rFonts w:hint="cs"/>
                              <w:b w:val="0"/>
                              <w:bCs w:val="0"/>
                              <w:color w:val="FFFFFF" w:themeColor="background1"/>
                              <w:sz w:val="20"/>
                              <w:szCs w:val="20"/>
                              <w:rtl/>
                            </w:rPr>
                            <w:t>|</w:t>
                          </w:r>
                          <w:r w:rsidRPr="00555EDA" w:rsidR="00690F71">
                            <w:rPr>
                              <w:b w:val="0"/>
                              <w:bCs w:val="0"/>
                              <w:color w:val="FFFFFF" w:themeColor="background1"/>
                              <w:sz w:val="18"/>
                              <w:szCs w:val="18"/>
                            </w:rPr>
                            <w:t xml:space="preserve"> </w:t>
                          </w:r>
                          <w:r w:rsidRPr="00555EDA" w:rsidR="001B75AD">
                            <w:rPr>
                              <w:b w:val="0"/>
                              <w:bCs w:val="0"/>
                              <w:color w:val="FFFFFF" w:themeColor="background1"/>
                              <w:sz w:val="19"/>
                              <w:szCs w:val="19"/>
                            </w:rPr>
                            <w:t xml:space="preserve"> </w:t>
                          </w:r>
                          <w:r w:rsidRPr="00A37112" w:rsidR="00A37112">
                            <w:rPr>
                              <w:rFonts w:eastAsiaTheme="minorEastAsia"/>
                              <w:color w:val="FFFFFF" w:themeColor="background1"/>
                              <w:sz w:val="20"/>
                              <w:szCs w:val="20"/>
                            </w:rPr>
                            <w:t>Engagements Exempt</w:t>
                          </w:r>
                          <w:r w:rsidR="00C45779">
                            <w:rPr>
                              <w:rFonts w:eastAsiaTheme="minorEastAsia"/>
                              <w:color w:val="FFFFFF" w:themeColor="background1"/>
                              <w:sz w:val="20"/>
                              <w:szCs w:val="20"/>
                            </w:rPr>
                            <w:t>ed</w:t>
                          </w:r>
                          <w:r w:rsidRPr="00A37112" w:rsidR="00A37112">
                            <w:rPr>
                              <w:rFonts w:eastAsiaTheme="minorEastAsia"/>
                              <w:color w:val="FFFFFF" w:themeColor="background1"/>
                              <w:sz w:val="20"/>
                              <w:szCs w:val="20"/>
                            </w:rPr>
                            <w:t xml:space="preserve"> from Tender in the ICT Sector</w:t>
                          </w:r>
                        </w:p>
                      </w:txbxContent>
                    </wps:txbx>
                    <wps:bodyPr rot="0" vert="vert" wrap="square"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8.55pt;height:589.25pt;margin-top:-3.25pt;margin-left:390.6pt;mso-height-percent:0;mso-height-relative:margin;mso-width-percent:0;mso-width-relative:margin;mso-wrap-distance-bottom:0;mso-wrap-distance-left:9pt;mso-wrap-distance-right:9pt;mso-wrap-distance-top:0;mso-wrap-style:square;position:absolute;visibility:visible;v-text-anchor:top;z-index:251663360" filled="f" stroked="f">
              <v:textbox style="layout-flow:vertical">
                <w:txbxContent>
                  <w:p w:rsidR="00741C9B" w:rsidRPr="0022183F" w:rsidP="00A37112" w14:paraId="542790B6" w14:textId="6EA2465A">
                    <w:pPr>
                      <w:pStyle w:val="7120"/>
                      <w:bidi w:val="0"/>
                      <w:spacing w:before="0" w:after="0"/>
                      <w:ind w:left="284" w:right="-142"/>
                      <w:rPr>
                        <w:color w:val="FFFFFF" w:themeColor="background1"/>
                        <w:sz w:val="19"/>
                        <w:szCs w:val="19"/>
                      </w:rPr>
                    </w:pPr>
                    <w:r w:rsidRPr="00555EDA">
                      <w:rPr>
                        <w:b w:val="0"/>
                        <w:bCs w:val="0"/>
                        <w:color w:val="FFFFFF" w:themeColor="background1"/>
                        <w:sz w:val="20"/>
                        <w:szCs w:val="20"/>
                      </w:rPr>
                      <w:t xml:space="preserve">Abstract </w:t>
                    </w:r>
                    <w:r w:rsidRPr="00555EDA" w:rsidR="001B75AD">
                      <w:rPr>
                        <w:b w:val="0"/>
                        <w:bCs w:val="0"/>
                        <w:color w:val="FFFFFF" w:themeColor="background1"/>
                        <w:sz w:val="20"/>
                        <w:szCs w:val="20"/>
                      </w:rPr>
                      <w:t xml:space="preserve"> </w:t>
                    </w:r>
                    <w:r w:rsidRPr="00555EDA">
                      <w:rPr>
                        <w:rFonts w:hint="cs"/>
                        <w:b w:val="0"/>
                        <w:bCs w:val="0"/>
                        <w:color w:val="FFFFFF" w:themeColor="background1"/>
                        <w:sz w:val="20"/>
                        <w:szCs w:val="20"/>
                        <w:rtl/>
                      </w:rPr>
                      <w:t>|</w:t>
                    </w:r>
                    <w:r w:rsidRPr="00555EDA" w:rsidR="00690F71">
                      <w:rPr>
                        <w:b w:val="0"/>
                        <w:bCs w:val="0"/>
                        <w:color w:val="FFFFFF" w:themeColor="background1"/>
                        <w:sz w:val="18"/>
                        <w:szCs w:val="18"/>
                      </w:rPr>
                      <w:t xml:space="preserve"> </w:t>
                    </w:r>
                    <w:r w:rsidRPr="00555EDA" w:rsidR="001B75AD">
                      <w:rPr>
                        <w:b w:val="0"/>
                        <w:bCs w:val="0"/>
                        <w:color w:val="FFFFFF" w:themeColor="background1"/>
                        <w:sz w:val="19"/>
                        <w:szCs w:val="19"/>
                      </w:rPr>
                      <w:t xml:space="preserve"> </w:t>
                    </w:r>
                    <w:r w:rsidRPr="00A37112" w:rsidR="00A37112">
                      <w:rPr>
                        <w:rFonts w:eastAsiaTheme="minorEastAsia"/>
                        <w:color w:val="FFFFFF" w:themeColor="background1"/>
                        <w:sz w:val="20"/>
                        <w:szCs w:val="20"/>
                      </w:rPr>
                      <w:t>Engagements Exempt</w:t>
                    </w:r>
                    <w:r w:rsidR="00C45779">
                      <w:rPr>
                        <w:rFonts w:eastAsiaTheme="minorEastAsia"/>
                        <w:color w:val="FFFFFF" w:themeColor="background1"/>
                        <w:sz w:val="20"/>
                        <w:szCs w:val="20"/>
                      </w:rPr>
                      <w:t>ed</w:t>
                    </w:r>
                    <w:r w:rsidRPr="00A37112" w:rsidR="00A37112">
                      <w:rPr>
                        <w:rFonts w:eastAsiaTheme="minorEastAsia"/>
                        <w:color w:val="FFFFFF" w:themeColor="background1"/>
                        <w:sz w:val="20"/>
                        <w:szCs w:val="20"/>
                      </w:rPr>
                      <w:t xml:space="preserve"> from Tender in the ICT Sector</w:t>
                    </w:r>
                  </w:p>
                </w:txbxContent>
              </v:textbox>
            </v:shape>
          </w:pict>
        </mc:Fallback>
      </mc:AlternateContent>
    </w:r>
    <w:r w:rsidRPr="00C86180" w:rsidR="00463924">
      <w:rPr>
        <w:noProof/>
        <w:sz w:val="22"/>
        <w:szCs w:val="22"/>
        <w:rtl/>
        <w:lang w:val="he-IL"/>
      </w:rPr>
      <mc:AlternateContent>
        <mc:Choice Requires="wps">
          <w:drawing>
            <wp:anchor distT="0" distB="0" distL="114300" distR="114300" simplePos="0" relativeHeight="251660288" behindDoc="0" locked="0" layoutInCell="1" allowOverlap="1">
              <wp:simplePos x="0" y="0"/>
              <wp:positionH relativeFrom="column">
                <wp:posOffset>5037992</wp:posOffset>
              </wp:positionH>
              <wp:positionV relativeFrom="paragraph">
                <wp:posOffset>-1181051</wp:posOffset>
              </wp:positionV>
              <wp:extent cx="299085" cy="8229160"/>
              <wp:effectExtent l="0" t="0" r="5715" b="635"/>
              <wp:wrapNone/>
              <wp:docPr id="6"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299085" cy="822916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2054" style="width:23.55pt;height:647.95pt;margin-top:-93pt;margin-left:396.7pt;flip:y;mso-height-percent:0;mso-height-relative:margin;mso-width-percent:0;mso-width-relative:margin;mso-wrap-distance-bottom:0;mso-wrap-distance-left:9pt;mso-wrap-distance-right:9pt;mso-wrap-distance-top:0;mso-wrap-style:square;position:absolute;visibility:visible;v-text-anchor:middle;z-index:251661312" fillcolor="#00305f" stroked="f" strokeweight="1.5pt">
              <v:stroke endcap="round"/>
            </v:rect>
          </w:pict>
        </mc:Fallback>
      </mc:AlternateContent>
    </w:r>
    <w:r w:rsidR="008615A2">
      <w:rPr>
        <w:rFonts w:ascii="Tahoma" w:hAnsi="Tahoma" w:eastAsiaTheme="majorEastAsia" w:cs="Tahoma"/>
        <w:noProof/>
        <w:color w:val="0D0D0D" w:themeColor="text1" w:themeTint="F2"/>
        <w:sz w:val="16"/>
        <w:szCs w:val="16"/>
      </w:rPr>
      <w:drawing>
        <wp:anchor distT="0" distB="0" distL="114300" distR="114300" simplePos="0" relativeHeight="251658240" behindDoc="1" locked="0" layoutInCell="1" allowOverlap="1">
          <wp:simplePos x="0" y="0"/>
          <wp:positionH relativeFrom="column">
            <wp:align>center</wp:align>
          </wp:positionH>
          <wp:positionV relativeFrom="page">
            <wp:align>center</wp:align>
          </wp:positionV>
          <wp:extent cx="7549200" cy="10670400"/>
          <wp:effectExtent l="0" t="0" r="0" b="0"/>
          <wp:wrapNone/>
          <wp:docPr id="2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D05191" w:rsidR="0038050A">
      <w:rPr>
        <w:rFonts w:ascii="Tahoma" w:hAnsi="Tahoma" w:eastAsiaTheme="majorEastAsia" w:cs="Tahoma"/>
        <w:noProof/>
        <w:color w:val="0D0D0D" w:themeColor="text1" w:themeTint="F2"/>
        <w:sz w:val="15"/>
        <w:szCs w:val="15"/>
      </w:rPr>
      <w:t xml:space="preserve"> </w:t>
    </w:r>
    <w:r w:rsidRPr="000903F8" w:rsidR="000903F8">
      <w:rPr>
        <w:rFonts w:ascii="Tahoma" w:hAnsi="Tahoma" w:eastAsiaTheme="majorEastAsia" w:cs="Tahoma"/>
        <w:noProof/>
        <w:color w:val="0D0D0D" w:themeColor="text1" w:themeTint="F2"/>
        <w:sz w:val="15"/>
        <w:szCs w:val="15"/>
      </w:rPr>
      <w:t>State Comptroller's Report – Cyber and Information Systems | May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2866" w:rsidRPr="00890ED9" w:rsidP="00890ED9" w14:paraId="3011DE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8.95pt" o:bullet="t">
        <v:imagedata r:id="rId1" o:title=""/>
      </v:shape>
    </w:pict>
  </w:numPicBullet>
  <w:abstractNum w:abstractNumId="0">
    <w:nsid w:val="FFFFFF89"/>
    <w:multiLevelType w:val="singleLevel"/>
    <w:tmpl w:val="386851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C54509"/>
    <w:multiLevelType w:val="multilevel"/>
    <w:tmpl w:val="3030E6FC"/>
    <w:lvl w:ilvl="0">
      <w:start w:val="1"/>
      <w:numFmt w:val="decimal"/>
      <w:pStyle w:val="71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A0929C8"/>
    <w:multiLevelType w:val="hybridMultilevel"/>
    <w:tmpl w:val="4BE4C000"/>
    <w:lvl w:ilvl="0">
      <w:start w:val="1"/>
      <w:numFmt w:val="bullet"/>
      <w:lvlText w:val=""/>
      <w:lvlJc w:val="left"/>
      <w:pPr>
        <w:ind w:left="1117" w:hanging="360"/>
      </w:pPr>
      <w:rPr>
        <w:rFonts w:ascii="Symbol" w:hAnsi="Symbol" w:cs="Symbol" w:hint="default"/>
        <w:b/>
        <w:i w:val="0"/>
        <w:caps w:val="0"/>
        <w:strike w:val="0"/>
        <w:dstrike w:val="0"/>
        <w:vanish w:val="0"/>
        <w:color w:val="E41E2A"/>
        <w:sz w:val="28"/>
        <w:szCs w:val="28"/>
        <w:vertAlign w:val="baseline"/>
      </w:rPr>
    </w:lvl>
    <w:lvl w:ilvl="1">
      <w:start w:val="1"/>
      <w:numFmt w:val="bullet"/>
      <w:lvlText w:val=""/>
      <w:lvlJc w:val="left"/>
      <w:pPr>
        <w:ind w:left="1837" w:hanging="360"/>
      </w:pPr>
      <w:rPr>
        <w:rFonts w:ascii="Symbol" w:hAnsi="Symbol" w:cs="Symbol" w:hint="default"/>
        <w:b/>
        <w:i w:val="0"/>
        <w:caps w:val="0"/>
        <w:strike w:val="0"/>
        <w:dstrike w:val="0"/>
        <w:vanish w:val="0"/>
        <w:color w:val="E41E2A"/>
        <w:sz w:val="28"/>
        <w:szCs w:val="28"/>
        <w:vertAlign w:val="baseline"/>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
    <w:nsid w:val="0D1C1A57"/>
    <w:multiLevelType w:val="hybridMultilevel"/>
    <w:tmpl w:val="79BA3268"/>
    <w:lvl w:ilvl="0">
      <w:start w:val="5"/>
      <w:numFmt w:val="bullet"/>
      <w:lvlText w:val=""/>
      <w:lvlJc w:val="left"/>
      <w:pPr>
        <w:ind w:left="72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6C55F3"/>
    <w:multiLevelType w:val="multilevel"/>
    <w:tmpl w:val="767C0EC2"/>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1A013EB0"/>
    <w:multiLevelType w:val="hybridMultilevel"/>
    <w:tmpl w:val="1662FF5E"/>
    <w:lvl w:ilvl="0">
      <w:start w:val="2"/>
      <w:numFmt w:val="decimal"/>
      <w:lvlText w:val="%1."/>
      <w:lvlJc w:val="left"/>
      <w:pPr>
        <w:ind w:left="72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1D0C0DF6"/>
    <w:multiLevelType w:val="hybridMultilevel"/>
    <w:tmpl w:val="A1EC5E72"/>
    <w:lvl w:ilvl="0">
      <w:start w:val="1"/>
      <w:numFmt w:val="bullet"/>
      <w:lvlText w:val=""/>
      <w:lvlPicBulletId w:val="0"/>
      <w:lvlJc w:val="left"/>
      <w:pPr>
        <w:ind w:left="397" w:hanging="397"/>
      </w:pPr>
      <w:rPr>
        <w:rFonts w:ascii="Symbol" w:hAnsi="Symbol" w:hint="default"/>
        <w:color w:val="auto"/>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8">
    <w:nsid w:val="235F1CDB"/>
    <w:multiLevelType w:val="hybridMultilevel"/>
    <w:tmpl w:val="8284614E"/>
    <w:lvl w:ilvl="0">
      <w:start w:val="1"/>
      <w:numFmt w:val="decimal"/>
      <w:pStyle w:val="ListParagraph"/>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3D0009"/>
    <w:multiLevelType w:val="hybridMultilevel"/>
    <w:tmpl w:val="3F6A506E"/>
    <w:lvl w:ilvl="0">
      <w:start w:val="1"/>
      <w:numFmt w:val="decimal"/>
      <w:lvlText w:val="%1."/>
      <w:lvlJc w:val="left"/>
      <w:pPr>
        <w:ind w:left="170" w:hanging="170"/>
      </w:pPr>
      <w:rPr>
        <w:rFonts w:hint="default"/>
        <w:b w:val="0"/>
        <w:b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6231C6"/>
    <w:multiLevelType w:val="hybridMultilevel"/>
    <w:tmpl w:val="95C2A144"/>
    <w:lvl w:ilvl="0">
      <w:start w:val="1"/>
      <w:numFmt w:val="bullet"/>
      <w:lvlText w:val=""/>
      <w:lvlJc w:val="left"/>
      <w:pPr>
        <w:ind w:left="1117" w:hanging="360"/>
      </w:pPr>
      <w:rPr>
        <w:rFonts w:ascii="Symbol" w:hAnsi="Symbol" w:cs="Symbol" w:hint="default"/>
        <w:b/>
        <w:i w:val="0"/>
        <w:caps w:val="0"/>
        <w:strike w:val="0"/>
        <w:dstrike w:val="0"/>
        <w:vanish w:val="0"/>
        <w:color w:val="E41E2A"/>
        <w:sz w:val="28"/>
        <w:szCs w:val="28"/>
        <w:vertAlign w:val="baseline"/>
      </w:rPr>
    </w:lvl>
    <w:lvl w:ilvl="1">
      <w:start w:val="1"/>
      <w:numFmt w:val="bullet"/>
      <w:lvlText w:val=""/>
      <w:lvlJc w:val="left"/>
      <w:pPr>
        <w:ind w:left="1837" w:hanging="360"/>
      </w:pPr>
      <w:rPr>
        <w:rFonts w:ascii="Symbol" w:hAnsi="Symbol" w:cs="Symbol" w:hint="default"/>
        <w:b/>
        <w:i w:val="0"/>
        <w:caps w:val="0"/>
        <w:strike w:val="0"/>
        <w:dstrike w:val="0"/>
        <w:vanish w:val="0"/>
        <w:color w:val="E41E2A"/>
        <w:sz w:val="28"/>
        <w:szCs w:val="28"/>
        <w:vertAlign w:val="baseline"/>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1">
    <w:nsid w:val="2F9C3FEC"/>
    <w:multiLevelType w:val="hybridMultilevel"/>
    <w:tmpl w:val="DF4E4378"/>
    <w:lvl w:ilvl="0">
      <w:start w:val="1"/>
      <w:numFmt w:val="bullet"/>
      <w:lvlText w:val=""/>
      <w:lvlJc w:val="left"/>
      <w:pPr>
        <w:ind w:left="1117" w:hanging="360"/>
      </w:pPr>
      <w:rPr>
        <w:rFonts w:ascii="Symbol" w:hAnsi="Symbol" w:cs="Symbol" w:hint="default"/>
        <w:b/>
        <w:i w:val="0"/>
        <w:caps w:val="0"/>
        <w:strike w:val="0"/>
        <w:dstrike w:val="0"/>
        <w:vanish w:val="0"/>
        <w:color w:val="E41E2A"/>
        <w:sz w:val="28"/>
        <w:szCs w:val="28"/>
        <w:vertAlign w:val="baseline"/>
      </w:rPr>
    </w:lvl>
    <w:lvl w:ilvl="1">
      <w:start w:val="1"/>
      <w:numFmt w:val="bullet"/>
      <w:lvlText w:val=""/>
      <w:lvlJc w:val="left"/>
      <w:pPr>
        <w:ind w:left="1837" w:hanging="360"/>
      </w:pPr>
      <w:rPr>
        <w:rFonts w:ascii="Symbol" w:hAnsi="Symbol" w:cs="Symbol" w:hint="default"/>
        <w:b/>
        <w:i w:val="0"/>
        <w:caps w:val="0"/>
        <w:strike w:val="0"/>
        <w:dstrike w:val="0"/>
        <w:vanish w:val="0"/>
        <w:color w:val="E41E2A"/>
        <w:sz w:val="28"/>
        <w:szCs w:val="28"/>
        <w:vertAlign w:val="baseline"/>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30BD0013"/>
    <w:multiLevelType w:val="hybridMultilevel"/>
    <w:tmpl w:val="0B841B14"/>
    <w:lvl w:ilvl="0">
      <w:start w:val="1"/>
      <w:numFmt w:val="bullet"/>
      <w:lvlText w:val=""/>
      <w:lvlJc w:val="left"/>
      <w:pPr>
        <w:ind w:left="1117" w:hanging="360"/>
      </w:pPr>
      <w:rPr>
        <w:rFonts w:ascii="Symbol" w:hAnsi="Symbol" w:cs="Symbol" w:hint="default"/>
        <w:b/>
        <w:i w:val="0"/>
        <w:caps w:val="0"/>
        <w:strike w:val="0"/>
        <w:dstrike w:val="0"/>
        <w:vanish w:val="0"/>
        <w:color w:val="E41E2A"/>
        <w:sz w:val="28"/>
        <w:szCs w:val="28"/>
        <w:vertAlign w:val="baseline"/>
      </w:rPr>
    </w:lvl>
    <w:lvl w:ilvl="1">
      <w:start w:val="1"/>
      <w:numFmt w:val="bullet"/>
      <w:lvlText w:val=""/>
      <w:lvlJc w:val="left"/>
      <w:pPr>
        <w:ind w:left="794" w:hanging="397"/>
      </w:pPr>
      <w:rPr>
        <w:rFonts w:ascii="Symbol" w:hAnsi="Symbol" w:cs="Symbol" w:hint="default"/>
        <w:b/>
        <w:i w:val="0"/>
        <w:caps w:val="0"/>
        <w:strike w:val="0"/>
        <w:dstrike w:val="0"/>
        <w:vanish w:val="0"/>
        <w:color w:val="E41E2A"/>
        <w:sz w:val="28"/>
        <w:szCs w:val="28"/>
        <w:vertAlign w:val="baseline"/>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30C40368"/>
    <w:multiLevelType w:val="hybridMultilevel"/>
    <w:tmpl w:val="A95E18E0"/>
    <w:lvl w:ilvl="0">
      <w:start w:val="1"/>
      <w:numFmt w:val="bullet"/>
      <w:lvlText w:val=""/>
      <w:lvlJc w:val="left"/>
      <w:pPr>
        <w:ind w:left="284" w:firstLine="1023"/>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DE49CA"/>
    <w:multiLevelType w:val="hybridMultilevel"/>
    <w:tmpl w:val="A488764C"/>
    <w:lvl w:ilvl="0">
      <w:start w:val="1"/>
      <w:numFmt w:val="decimal"/>
      <w:lvlText w:val="%1."/>
      <w:lvlJc w:val="left"/>
      <w:pPr>
        <w:ind w:left="1060" w:hanging="360"/>
      </w:pPr>
      <w:rPr>
        <w:rFonts w:hint="default"/>
        <w:b/>
        <w:bCs/>
        <w:color w:val="FFFFFF" w:themeColor="background1"/>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5">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6765C41"/>
    <w:multiLevelType w:val="hybridMultilevel"/>
    <w:tmpl w:val="C504B200"/>
    <w:lvl w:ilvl="0">
      <w:start w:val="5"/>
      <w:numFmt w:val="bullet"/>
      <w:lvlText w:val=""/>
      <w:lvlJc w:val="left"/>
      <w:pPr>
        <w:ind w:left="720" w:hanging="360"/>
      </w:pPr>
      <w:rPr>
        <w:rFonts w:ascii="Symbol" w:eastAsia="Calibri" w:hAnsi="Symbol"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AE0F0F"/>
    <w:multiLevelType w:val="hybridMultilevel"/>
    <w:tmpl w:val="7C7897AA"/>
    <w:lvl w:ilvl="0">
      <w:start w:val="2"/>
      <w:numFmt w:val="decimal"/>
      <w:lvlText w:val="%1."/>
      <w:lvlJc w:val="left"/>
      <w:pPr>
        <w:ind w:left="1060" w:hanging="360"/>
      </w:pPr>
      <w:rPr>
        <w:rFonts w:hint="default"/>
        <w:b/>
        <w:bCs/>
        <w:color w:val="FFFFFF" w:themeColor="background1"/>
      </w:rPr>
    </w:lvl>
    <w:lvl w:ilvl="1" w:tentative="1">
      <w:start w:val="1"/>
      <w:numFmt w:val="lowerLetter"/>
      <w:lvlText w:val="%2."/>
      <w:lvlJc w:val="left"/>
      <w:pPr>
        <w:ind w:left="1648" w:hanging="360"/>
      </w:pPr>
    </w:lvl>
    <w:lvl w:ilvl="2" w:tentative="1">
      <w:start w:val="1"/>
      <w:numFmt w:val="lowerRoman"/>
      <w:lvlText w:val="%3."/>
      <w:lvlJc w:val="right"/>
      <w:pPr>
        <w:ind w:left="2368" w:hanging="180"/>
      </w:pPr>
    </w:lvl>
    <w:lvl w:ilvl="3" w:tentative="1">
      <w:start w:val="1"/>
      <w:numFmt w:val="decimal"/>
      <w:lvlText w:val="%4."/>
      <w:lvlJc w:val="left"/>
      <w:pPr>
        <w:ind w:left="3088" w:hanging="360"/>
      </w:pPr>
    </w:lvl>
    <w:lvl w:ilvl="4" w:tentative="1">
      <w:start w:val="1"/>
      <w:numFmt w:val="lowerLetter"/>
      <w:lvlText w:val="%5."/>
      <w:lvlJc w:val="left"/>
      <w:pPr>
        <w:ind w:left="3808" w:hanging="360"/>
      </w:pPr>
    </w:lvl>
    <w:lvl w:ilvl="5" w:tentative="1">
      <w:start w:val="1"/>
      <w:numFmt w:val="lowerRoman"/>
      <w:lvlText w:val="%6."/>
      <w:lvlJc w:val="right"/>
      <w:pPr>
        <w:ind w:left="4528" w:hanging="180"/>
      </w:pPr>
    </w:lvl>
    <w:lvl w:ilvl="6" w:tentative="1">
      <w:start w:val="1"/>
      <w:numFmt w:val="decimal"/>
      <w:lvlText w:val="%7."/>
      <w:lvlJc w:val="left"/>
      <w:pPr>
        <w:ind w:left="5248" w:hanging="360"/>
      </w:pPr>
    </w:lvl>
    <w:lvl w:ilvl="7" w:tentative="1">
      <w:start w:val="1"/>
      <w:numFmt w:val="lowerLetter"/>
      <w:lvlText w:val="%8."/>
      <w:lvlJc w:val="left"/>
      <w:pPr>
        <w:ind w:left="5968" w:hanging="360"/>
      </w:pPr>
    </w:lvl>
    <w:lvl w:ilvl="8" w:tentative="1">
      <w:start w:val="1"/>
      <w:numFmt w:val="lowerRoman"/>
      <w:lvlText w:val="%9."/>
      <w:lvlJc w:val="right"/>
      <w:pPr>
        <w:ind w:left="6688" w:hanging="180"/>
      </w:pPr>
    </w:lvl>
  </w:abstractNum>
  <w:abstractNum w:abstractNumId="18">
    <w:nsid w:val="5EDA18C9"/>
    <w:multiLevelType w:val="hybridMultilevel"/>
    <w:tmpl w:val="18F24D2E"/>
    <w:lvl w:ilvl="0">
      <w:start w:val="1"/>
      <w:numFmt w:val="decimal"/>
      <w:lvlText w:val="%1."/>
      <w:lvlJc w:val="left"/>
      <w:pPr>
        <w:ind w:left="700" w:hanging="360"/>
      </w:pPr>
      <w:rPr>
        <w:rFonts w:ascii="Tahoma" w:hAnsi="Tahoma" w:cs="Tahoma" w:hint="default"/>
        <w:b/>
        <w:color w:val="FFFFFF" w:themeColor="background1"/>
        <w:sz w:val="22"/>
      </w:rPr>
    </w:lvl>
    <w:lvl w:ilvl="1" w:tentative="1">
      <w:start w:val="1"/>
      <w:numFmt w:val="lowerLetter"/>
      <w:lvlText w:val="%2."/>
      <w:lvlJc w:val="left"/>
      <w:pPr>
        <w:ind w:left="1420" w:hanging="360"/>
      </w:p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19">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7BF5139"/>
    <w:multiLevelType w:val="multilevel"/>
    <w:tmpl w:val="DC6C961C"/>
    <w:lvl w:ilvl="0">
      <w:start w:val="1"/>
      <w:numFmt w:val="decimal"/>
      <w:pStyle w:val="a1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22">
    <w:nsid w:val="68B7092F"/>
    <w:multiLevelType w:val="hybridMultilevel"/>
    <w:tmpl w:val="CD303DDE"/>
    <w:lvl w:ilvl="0">
      <w:start w:val="1"/>
      <w:numFmt w:val="bullet"/>
      <w:lvlText w:val=""/>
      <w:lvlPicBulletId w:val="0"/>
      <w:lvlJc w:val="left"/>
      <w:pPr>
        <w:ind w:left="397" w:hanging="397"/>
      </w:pPr>
      <w:rPr>
        <w:rFonts w:ascii="Symbol" w:hAnsi="Symbol" w:hint="default"/>
        <w:color w:val="auto"/>
        <w:sz w:val="28"/>
        <w:szCs w:val="28"/>
      </w:rPr>
    </w:lvl>
    <w:lvl w:ilvl="1">
      <w:start w:val="1"/>
      <w:numFmt w:val="bullet"/>
      <w:lvlText w:val="o"/>
      <w:lvlJc w:val="left"/>
      <w:pPr>
        <w:ind w:left="927"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365B29"/>
    <w:multiLevelType w:val="multilevel"/>
    <w:tmpl w:val="E3AA6D54"/>
    <w:lvl w:ilvl="0">
      <w:start w:val="1"/>
      <w:numFmt w:val="hebrew1"/>
      <w:pStyle w:val="715"/>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5"/>
  </w:num>
  <w:num w:numId="2">
    <w:abstractNumId w:val="21"/>
  </w:num>
  <w:num w:numId="3">
    <w:abstractNumId w:val="8"/>
  </w:num>
  <w:num w:numId="4">
    <w:abstractNumId w:val="7"/>
  </w:num>
  <w:num w:numId="5">
    <w:abstractNumId w:val="6"/>
  </w:num>
  <w:num w:numId="6">
    <w:abstractNumId w:val="1"/>
  </w:num>
  <w:num w:numId="7">
    <w:abstractNumId w:val="3"/>
  </w:num>
  <w:num w:numId="8">
    <w:abstractNumId w:val="23"/>
  </w:num>
  <w:num w:numId="9">
    <w:abstractNumId w:val="13"/>
  </w:num>
  <w:num w:numId="10">
    <w:abstractNumId w:val="8"/>
  </w:num>
  <w:num w:numId="11">
    <w:abstractNumId w:val="16"/>
  </w:num>
  <w:num w:numId="12">
    <w:abstractNumId w:val="5"/>
  </w:num>
  <w:num w:numId="13">
    <w:abstractNumId w:val="17"/>
  </w:num>
  <w:num w:numId="14">
    <w:abstractNumId w:val="8"/>
  </w:num>
  <w:num w:numId="15">
    <w:abstractNumId w:val="14"/>
  </w:num>
  <w:num w:numId="16">
    <w:abstractNumId w:val="18"/>
  </w:num>
  <w:num w:numId="17">
    <w:abstractNumId w:val="8"/>
  </w:num>
  <w:num w:numId="18">
    <w:abstractNumId w:val="20"/>
  </w:num>
  <w:num w:numId="19">
    <w:abstractNumId w:val="8"/>
  </w:num>
  <w:num w:numId="20">
    <w:abstractNumId w:val="4"/>
  </w:num>
  <w:num w:numId="21">
    <w:abstractNumId w:val="19"/>
  </w:num>
  <w:num w:numId="22">
    <w:abstractNumId w:val="22"/>
  </w:num>
  <w:num w:numId="23">
    <w:abstractNumId w:val="8"/>
  </w:num>
  <w:num w:numId="24">
    <w:abstractNumId w:val="8"/>
  </w:num>
  <w:num w:numId="25">
    <w:abstractNumId w:val="0"/>
  </w:num>
  <w:num w:numId="26">
    <w:abstractNumId w:val="9"/>
  </w:num>
  <w:num w:numId="27">
    <w:abstractNumId w:val="8"/>
  </w:num>
  <w:num w:numId="28">
    <w:abstractNumId w:val="8"/>
  </w:num>
  <w:num w:numId="29">
    <w:abstractNumId w:val="8"/>
  </w:num>
  <w:num w:numId="30">
    <w:abstractNumId w:val="11"/>
  </w:num>
  <w:num w:numId="31">
    <w:abstractNumId w:val="12"/>
  </w:num>
  <w:num w:numId="32">
    <w:abstractNumId w:val="2"/>
  </w:num>
  <w:num w:numId="3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isplayBackgroundShape/>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397"/>
  <w:evenAndOddHeaders/>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AF"/>
    <w:rsid w:val="0000095B"/>
    <w:rsid w:val="00002000"/>
    <w:rsid w:val="000021BD"/>
    <w:rsid w:val="00002A6A"/>
    <w:rsid w:val="00002B48"/>
    <w:rsid w:val="000035C3"/>
    <w:rsid w:val="0000362C"/>
    <w:rsid w:val="0000373B"/>
    <w:rsid w:val="0000400F"/>
    <w:rsid w:val="000047FD"/>
    <w:rsid w:val="00005D49"/>
    <w:rsid w:val="00006C22"/>
    <w:rsid w:val="000073CC"/>
    <w:rsid w:val="000105AD"/>
    <w:rsid w:val="0001149A"/>
    <w:rsid w:val="000114F5"/>
    <w:rsid w:val="000114FE"/>
    <w:rsid w:val="00011508"/>
    <w:rsid w:val="000123B5"/>
    <w:rsid w:val="00012511"/>
    <w:rsid w:val="00012E42"/>
    <w:rsid w:val="00012FC5"/>
    <w:rsid w:val="00013127"/>
    <w:rsid w:val="00015A73"/>
    <w:rsid w:val="00015D42"/>
    <w:rsid w:val="00017099"/>
    <w:rsid w:val="000174BC"/>
    <w:rsid w:val="00021662"/>
    <w:rsid w:val="000217C4"/>
    <w:rsid w:val="00021A89"/>
    <w:rsid w:val="000225D3"/>
    <w:rsid w:val="000249E2"/>
    <w:rsid w:val="00025440"/>
    <w:rsid w:val="00025650"/>
    <w:rsid w:val="0002681A"/>
    <w:rsid w:val="0002689B"/>
    <w:rsid w:val="00027245"/>
    <w:rsid w:val="000315F5"/>
    <w:rsid w:val="00031938"/>
    <w:rsid w:val="00032126"/>
    <w:rsid w:val="000331D3"/>
    <w:rsid w:val="0003392D"/>
    <w:rsid w:val="00033E04"/>
    <w:rsid w:val="0003470F"/>
    <w:rsid w:val="00034F3F"/>
    <w:rsid w:val="000350BF"/>
    <w:rsid w:val="000356A7"/>
    <w:rsid w:val="00035AA3"/>
    <w:rsid w:val="00035BD0"/>
    <w:rsid w:val="00036469"/>
    <w:rsid w:val="00036B1B"/>
    <w:rsid w:val="00036F3C"/>
    <w:rsid w:val="00037596"/>
    <w:rsid w:val="00040CFC"/>
    <w:rsid w:val="00041AEB"/>
    <w:rsid w:val="00044478"/>
    <w:rsid w:val="00044647"/>
    <w:rsid w:val="00044A44"/>
    <w:rsid w:val="00045345"/>
    <w:rsid w:val="000461F4"/>
    <w:rsid w:val="0004650A"/>
    <w:rsid w:val="00046B8C"/>
    <w:rsid w:val="00046DDB"/>
    <w:rsid w:val="00046F96"/>
    <w:rsid w:val="000473A2"/>
    <w:rsid w:val="0004763A"/>
    <w:rsid w:val="000504A0"/>
    <w:rsid w:val="00051008"/>
    <w:rsid w:val="000523CB"/>
    <w:rsid w:val="0005567A"/>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14D"/>
    <w:rsid w:val="00072DC7"/>
    <w:rsid w:val="000760A4"/>
    <w:rsid w:val="00076160"/>
    <w:rsid w:val="000761E8"/>
    <w:rsid w:val="00076AD4"/>
    <w:rsid w:val="00076C3B"/>
    <w:rsid w:val="00076C6A"/>
    <w:rsid w:val="00076C94"/>
    <w:rsid w:val="000771FA"/>
    <w:rsid w:val="000772F2"/>
    <w:rsid w:val="000812BC"/>
    <w:rsid w:val="00082C54"/>
    <w:rsid w:val="0008321A"/>
    <w:rsid w:val="00083F4F"/>
    <w:rsid w:val="00084171"/>
    <w:rsid w:val="000841FE"/>
    <w:rsid w:val="000847F9"/>
    <w:rsid w:val="00084F1F"/>
    <w:rsid w:val="0008572D"/>
    <w:rsid w:val="000868BD"/>
    <w:rsid w:val="00086BC2"/>
    <w:rsid w:val="000903F8"/>
    <w:rsid w:val="00090AB0"/>
    <w:rsid w:val="00092220"/>
    <w:rsid w:val="0009228A"/>
    <w:rsid w:val="0009240F"/>
    <w:rsid w:val="00092F71"/>
    <w:rsid w:val="00093068"/>
    <w:rsid w:val="00093178"/>
    <w:rsid w:val="00095581"/>
    <w:rsid w:val="0009699F"/>
    <w:rsid w:val="000A0FC0"/>
    <w:rsid w:val="000A16EF"/>
    <w:rsid w:val="000A18FC"/>
    <w:rsid w:val="000A1D75"/>
    <w:rsid w:val="000A251B"/>
    <w:rsid w:val="000A2903"/>
    <w:rsid w:val="000A2BC9"/>
    <w:rsid w:val="000A34B5"/>
    <w:rsid w:val="000A3864"/>
    <w:rsid w:val="000A3CD0"/>
    <w:rsid w:val="000A3DC6"/>
    <w:rsid w:val="000A4798"/>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939"/>
    <w:rsid w:val="000B2D78"/>
    <w:rsid w:val="000B3659"/>
    <w:rsid w:val="000B3933"/>
    <w:rsid w:val="000B4E54"/>
    <w:rsid w:val="000B544F"/>
    <w:rsid w:val="000B565F"/>
    <w:rsid w:val="000B6085"/>
    <w:rsid w:val="000B62E6"/>
    <w:rsid w:val="000B6799"/>
    <w:rsid w:val="000B7227"/>
    <w:rsid w:val="000B73A9"/>
    <w:rsid w:val="000C0334"/>
    <w:rsid w:val="000C0F9D"/>
    <w:rsid w:val="000C19F9"/>
    <w:rsid w:val="000C1BB0"/>
    <w:rsid w:val="000C1DB1"/>
    <w:rsid w:val="000C1F02"/>
    <w:rsid w:val="000C2518"/>
    <w:rsid w:val="000C2E22"/>
    <w:rsid w:val="000C4DEF"/>
    <w:rsid w:val="000C5425"/>
    <w:rsid w:val="000C57FF"/>
    <w:rsid w:val="000C6595"/>
    <w:rsid w:val="000C6708"/>
    <w:rsid w:val="000C7018"/>
    <w:rsid w:val="000D1157"/>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F0D"/>
    <w:rsid w:val="000E5AF7"/>
    <w:rsid w:val="000E5B6C"/>
    <w:rsid w:val="000E5C35"/>
    <w:rsid w:val="000E642B"/>
    <w:rsid w:val="000E6B72"/>
    <w:rsid w:val="000E6D1A"/>
    <w:rsid w:val="000E761F"/>
    <w:rsid w:val="000E7743"/>
    <w:rsid w:val="000E7FC4"/>
    <w:rsid w:val="000F0117"/>
    <w:rsid w:val="000F0D79"/>
    <w:rsid w:val="000F311F"/>
    <w:rsid w:val="000F3B27"/>
    <w:rsid w:val="000F41D0"/>
    <w:rsid w:val="000F4951"/>
    <w:rsid w:val="000F4997"/>
    <w:rsid w:val="000F49B9"/>
    <w:rsid w:val="000F4C6C"/>
    <w:rsid w:val="000F4E31"/>
    <w:rsid w:val="000F4F2E"/>
    <w:rsid w:val="000F51B7"/>
    <w:rsid w:val="000F5901"/>
    <w:rsid w:val="000F68CD"/>
    <w:rsid w:val="000F69B0"/>
    <w:rsid w:val="000F6B40"/>
    <w:rsid w:val="000F722D"/>
    <w:rsid w:val="000F7E18"/>
    <w:rsid w:val="00100786"/>
    <w:rsid w:val="0010121F"/>
    <w:rsid w:val="001012CC"/>
    <w:rsid w:val="001017ED"/>
    <w:rsid w:val="00101DD5"/>
    <w:rsid w:val="0010229A"/>
    <w:rsid w:val="001024AF"/>
    <w:rsid w:val="001033B3"/>
    <w:rsid w:val="00103971"/>
    <w:rsid w:val="00103CED"/>
    <w:rsid w:val="00103D42"/>
    <w:rsid w:val="00103FBC"/>
    <w:rsid w:val="00104839"/>
    <w:rsid w:val="00104E94"/>
    <w:rsid w:val="0010564D"/>
    <w:rsid w:val="0010599F"/>
    <w:rsid w:val="00105A73"/>
    <w:rsid w:val="00105B88"/>
    <w:rsid w:val="00105ED4"/>
    <w:rsid w:val="00106FBF"/>
    <w:rsid w:val="00106FC5"/>
    <w:rsid w:val="00107277"/>
    <w:rsid w:val="00107938"/>
    <w:rsid w:val="00110E7D"/>
    <w:rsid w:val="00111817"/>
    <w:rsid w:val="00111D0B"/>
    <w:rsid w:val="00112B7B"/>
    <w:rsid w:val="00112D83"/>
    <w:rsid w:val="00113A65"/>
    <w:rsid w:val="00113BEC"/>
    <w:rsid w:val="0011400B"/>
    <w:rsid w:val="00114587"/>
    <w:rsid w:val="00114818"/>
    <w:rsid w:val="001156F5"/>
    <w:rsid w:val="00115F32"/>
    <w:rsid w:val="00116EC6"/>
    <w:rsid w:val="00117163"/>
    <w:rsid w:val="00117668"/>
    <w:rsid w:val="00120C15"/>
    <w:rsid w:val="00121460"/>
    <w:rsid w:val="001215F4"/>
    <w:rsid w:val="001221B2"/>
    <w:rsid w:val="00123BF9"/>
    <w:rsid w:val="00124D10"/>
    <w:rsid w:val="00125732"/>
    <w:rsid w:val="00126FB8"/>
    <w:rsid w:val="00127083"/>
    <w:rsid w:val="00127147"/>
    <w:rsid w:val="00127204"/>
    <w:rsid w:val="001275EC"/>
    <w:rsid w:val="00130912"/>
    <w:rsid w:val="00130ABF"/>
    <w:rsid w:val="00130E45"/>
    <w:rsid w:val="0013170A"/>
    <w:rsid w:val="00131A11"/>
    <w:rsid w:val="00131AAF"/>
    <w:rsid w:val="0013238E"/>
    <w:rsid w:val="00132921"/>
    <w:rsid w:val="00132FFC"/>
    <w:rsid w:val="00133E28"/>
    <w:rsid w:val="00134716"/>
    <w:rsid w:val="00135EB9"/>
    <w:rsid w:val="00136B9E"/>
    <w:rsid w:val="00141E28"/>
    <w:rsid w:val="00142877"/>
    <w:rsid w:val="001435CD"/>
    <w:rsid w:val="00143613"/>
    <w:rsid w:val="00144786"/>
    <w:rsid w:val="00144967"/>
    <w:rsid w:val="00145DAD"/>
    <w:rsid w:val="00146345"/>
    <w:rsid w:val="00150E90"/>
    <w:rsid w:val="001510CF"/>
    <w:rsid w:val="0015132E"/>
    <w:rsid w:val="0015187B"/>
    <w:rsid w:val="001519D2"/>
    <w:rsid w:val="00152684"/>
    <w:rsid w:val="00152C39"/>
    <w:rsid w:val="00153D39"/>
    <w:rsid w:val="00154886"/>
    <w:rsid w:val="00154C30"/>
    <w:rsid w:val="00154C71"/>
    <w:rsid w:val="001551EA"/>
    <w:rsid w:val="001553E4"/>
    <w:rsid w:val="00156292"/>
    <w:rsid w:val="001563D0"/>
    <w:rsid w:val="0015640A"/>
    <w:rsid w:val="0015686E"/>
    <w:rsid w:val="00156A81"/>
    <w:rsid w:val="001571C9"/>
    <w:rsid w:val="00160149"/>
    <w:rsid w:val="00160DE1"/>
    <w:rsid w:val="00161297"/>
    <w:rsid w:val="00161324"/>
    <w:rsid w:val="0016160F"/>
    <w:rsid w:val="00161CBD"/>
    <w:rsid w:val="0016215A"/>
    <w:rsid w:val="00162B28"/>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8EF"/>
    <w:rsid w:val="00176E39"/>
    <w:rsid w:val="00177295"/>
    <w:rsid w:val="001772DD"/>
    <w:rsid w:val="00177493"/>
    <w:rsid w:val="0018090E"/>
    <w:rsid w:val="00180C76"/>
    <w:rsid w:val="001816A1"/>
    <w:rsid w:val="00181B5A"/>
    <w:rsid w:val="001856B7"/>
    <w:rsid w:val="0018650A"/>
    <w:rsid w:val="001866EE"/>
    <w:rsid w:val="00186FA6"/>
    <w:rsid w:val="0018762D"/>
    <w:rsid w:val="001876BD"/>
    <w:rsid w:val="0018773C"/>
    <w:rsid w:val="001877CA"/>
    <w:rsid w:val="0019127D"/>
    <w:rsid w:val="001927CC"/>
    <w:rsid w:val="00192DC4"/>
    <w:rsid w:val="001933DD"/>
    <w:rsid w:val="0019373E"/>
    <w:rsid w:val="00193C51"/>
    <w:rsid w:val="00194AD1"/>
    <w:rsid w:val="00194E25"/>
    <w:rsid w:val="00194FE0"/>
    <w:rsid w:val="00195AB1"/>
    <w:rsid w:val="00196762"/>
    <w:rsid w:val="00196B27"/>
    <w:rsid w:val="00196D01"/>
    <w:rsid w:val="001A06FA"/>
    <w:rsid w:val="001A14B8"/>
    <w:rsid w:val="001A1832"/>
    <w:rsid w:val="001A1A35"/>
    <w:rsid w:val="001A1D8E"/>
    <w:rsid w:val="001A214C"/>
    <w:rsid w:val="001A2CAF"/>
    <w:rsid w:val="001A2E4B"/>
    <w:rsid w:val="001A2F80"/>
    <w:rsid w:val="001A39E5"/>
    <w:rsid w:val="001A3DA4"/>
    <w:rsid w:val="001A417A"/>
    <w:rsid w:val="001A4362"/>
    <w:rsid w:val="001A4C86"/>
    <w:rsid w:val="001A559D"/>
    <w:rsid w:val="001A56B7"/>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5590"/>
    <w:rsid w:val="001B5E86"/>
    <w:rsid w:val="001B75AD"/>
    <w:rsid w:val="001B7FC5"/>
    <w:rsid w:val="001C0ABC"/>
    <w:rsid w:val="001C125C"/>
    <w:rsid w:val="001C265D"/>
    <w:rsid w:val="001C29CD"/>
    <w:rsid w:val="001C3D63"/>
    <w:rsid w:val="001C3F29"/>
    <w:rsid w:val="001C4789"/>
    <w:rsid w:val="001C4FC8"/>
    <w:rsid w:val="001C5E08"/>
    <w:rsid w:val="001C6058"/>
    <w:rsid w:val="001C617B"/>
    <w:rsid w:val="001C65F5"/>
    <w:rsid w:val="001C7011"/>
    <w:rsid w:val="001C7644"/>
    <w:rsid w:val="001D200A"/>
    <w:rsid w:val="001D220E"/>
    <w:rsid w:val="001D2336"/>
    <w:rsid w:val="001D3B88"/>
    <w:rsid w:val="001D409D"/>
    <w:rsid w:val="001D4460"/>
    <w:rsid w:val="001D458D"/>
    <w:rsid w:val="001D5906"/>
    <w:rsid w:val="001D65CE"/>
    <w:rsid w:val="001D7F39"/>
    <w:rsid w:val="001E070A"/>
    <w:rsid w:val="001E179C"/>
    <w:rsid w:val="001E21EA"/>
    <w:rsid w:val="001E25A0"/>
    <w:rsid w:val="001E3273"/>
    <w:rsid w:val="001E3AD0"/>
    <w:rsid w:val="001E3D2B"/>
    <w:rsid w:val="001E44CF"/>
    <w:rsid w:val="001E5A0D"/>
    <w:rsid w:val="001E5BF1"/>
    <w:rsid w:val="001E5C22"/>
    <w:rsid w:val="001E7054"/>
    <w:rsid w:val="001E7248"/>
    <w:rsid w:val="001E732D"/>
    <w:rsid w:val="001E7790"/>
    <w:rsid w:val="001F03F5"/>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8F6"/>
    <w:rsid w:val="001F6D2B"/>
    <w:rsid w:val="001F7132"/>
    <w:rsid w:val="00201773"/>
    <w:rsid w:val="00201C60"/>
    <w:rsid w:val="002020AF"/>
    <w:rsid w:val="00202CDF"/>
    <w:rsid w:val="00203A69"/>
    <w:rsid w:val="0020423A"/>
    <w:rsid w:val="00204FD5"/>
    <w:rsid w:val="00206427"/>
    <w:rsid w:val="00206B50"/>
    <w:rsid w:val="00206E89"/>
    <w:rsid w:val="0020737B"/>
    <w:rsid w:val="002108C3"/>
    <w:rsid w:val="00211189"/>
    <w:rsid w:val="00211542"/>
    <w:rsid w:val="002115E2"/>
    <w:rsid w:val="00211890"/>
    <w:rsid w:val="00211BD2"/>
    <w:rsid w:val="00211CD5"/>
    <w:rsid w:val="00212C70"/>
    <w:rsid w:val="00212CC9"/>
    <w:rsid w:val="0021383C"/>
    <w:rsid w:val="002138DE"/>
    <w:rsid w:val="00213D63"/>
    <w:rsid w:val="00214667"/>
    <w:rsid w:val="002164D6"/>
    <w:rsid w:val="00216564"/>
    <w:rsid w:val="00216CE4"/>
    <w:rsid w:val="00216E18"/>
    <w:rsid w:val="00217002"/>
    <w:rsid w:val="00217D25"/>
    <w:rsid w:val="00220150"/>
    <w:rsid w:val="00220A56"/>
    <w:rsid w:val="00220B1E"/>
    <w:rsid w:val="00220D93"/>
    <w:rsid w:val="0022183F"/>
    <w:rsid w:val="0022195F"/>
    <w:rsid w:val="00221B6D"/>
    <w:rsid w:val="002229D0"/>
    <w:rsid w:val="00222EFD"/>
    <w:rsid w:val="00223498"/>
    <w:rsid w:val="00223E18"/>
    <w:rsid w:val="00224285"/>
    <w:rsid w:val="00225614"/>
    <w:rsid w:val="00225E4F"/>
    <w:rsid w:val="002262C7"/>
    <w:rsid w:val="00226BE5"/>
    <w:rsid w:val="00226D6C"/>
    <w:rsid w:val="0023014C"/>
    <w:rsid w:val="002303B8"/>
    <w:rsid w:val="00230D48"/>
    <w:rsid w:val="0023147E"/>
    <w:rsid w:val="002314C8"/>
    <w:rsid w:val="002330D7"/>
    <w:rsid w:val="00233EF1"/>
    <w:rsid w:val="002348BC"/>
    <w:rsid w:val="0023632E"/>
    <w:rsid w:val="00236CF1"/>
    <w:rsid w:val="0023718D"/>
    <w:rsid w:val="0023728A"/>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DC7"/>
    <w:rsid w:val="002511A2"/>
    <w:rsid w:val="002518DB"/>
    <w:rsid w:val="002525CC"/>
    <w:rsid w:val="002529D6"/>
    <w:rsid w:val="002530C2"/>
    <w:rsid w:val="00253904"/>
    <w:rsid w:val="002557C3"/>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0B91"/>
    <w:rsid w:val="002712C2"/>
    <w:rsid w:val="002717B8"/>
    <w:rsid w:val="00271BBF"/>
    <w:rsid w:val="002722F1"/>
    <w:rsid w:val="00272DCB"/>
    <w:rsid w:val="00273409"/>
    <w:rsid w:val="002735DC"/>
    <w:rsid w:val="00273C82"/>
    <w:rsid w:val="00273E3E"/>
    <w:rsid w:val="00274CC2"/>
    <w:rsid w:val="00274D7E"/>
    <w:rsid w:val="0027512D"/>
    <w:rsid w:val="0027747C"/>
    <w:rsid w:val="00277717"/>
    <w:rsid w:val="00277BC2"/>
    <w:rsid w:val="00277E0B"/>
    <w:rsid w:val="002805E4"/>
    <w:rsid w:val="00280807"/>
    <w:rsid w:val="00280A33"/>
    <w:rsid w:val="00280F37"/>
    <w:rsid w:val="00281CA7"/>
    <w:rsid w:val="00281D26"/>
    <w:rsid w:val="00281E80"/>
    <w:rsid w:val="002821A4"/>
    <w:rsid w:val="0028253B"/>
    <w:rsid w:val="00282FD6"/>
    <w:rsid w:val="00283C5E"/>
    <w:rsid w:val="00284052"/>
    <w:rsid w:val="0028477B"/>
    <w:rsid w:val="00285214"/>
    <w:rsid w:val="002861DE"/>
    <w:rsid w:val="00286F9F"/>
    <w:rsid w:val="002870C0"/>
    <w:rsid w:val="00287413"/>
    <w:rsid w:val="0028785B"/>
    <w:rsid w:val="002908EC"/>
    <w:rsid w:val="002917D1"/>
    <w:rsid w:val="00293651"/>
    <w:rsid w:val="00293C1D"/>
    <w:rsid w:val="00294765"/>
    <w:rsid w:val="0029606C"/>
    <w:rsid w:val="002963FC"/>
    <w:rsid w:val="0029657A"/>
    <w:rsid w:val="00296649"/>
    <w:rsid w:val="00296C96"/>
    <w:rsid w:val="0029750A"/>
    <w:rsid w:val="002975FB"/>
    <w:rsid w:val="00297F9D"/>
    <w:rsid w:val="002A049D"/>
    <w:rsid w:val="002A0F5E"/>
    <w:rsid w:val="002A11BD"/>
    <w:rsid w:val="002A122A"/>
    <w:rsid w:val="002A38DF"/>
    <w:rsid w:val="002A4062"/>
    <w:rsid w:val="002A4C50"/>
    <w:rsid w:val="002A51A3"/>
    <w:rsid w:val="002A6B27"/>
    <w:rsid w:val="002A7A49"/>
    <w:rsid w:val="002A7A4A"/>
    <w:rsid w:val="002A7C14"/>
    <w:rsid w:val="002B0204"/>
    <w:rsid w:val="002B064A"/>
    <w:rsid w:val="002B0758"/>
    <w:rsid w:val="002B07BA"/>
    <w:rsid w:val="002B0A10"/>
    <w:rsid w:val="002B1D68"/>
    <w:rsid w:val="002B285B"/>
    <w:rsid w:val="002B3C5B"/>
    <w:rsid w:val="002B4623"/>
    <w:rsid w:val="002B5441"/>
    <w:rsid w:val="002B5517"/>
    <w:rsid w:val="002B5743"/>
    <w:rsid w:val="002B6920"/>
    <w:rsid w:val="002B6B84"/>
    <w:rsid w:val="002B701A"/>
    <w:rsid w:val="002C0374"/>
    <w:rsid w:val="002C0D01"/>
    <w:rsid w:val="002C167F"/>
    <w:rsid w:val="002C1805"/>
    <w:rsid w:val="002C3001"/>
    <w:rsid w:val="002C3A61"/>
    <w:rsid w:val="002C517F"/>
    <w:rsid w:val="002C53F1"/>
    <w:rsid w:val="002C5B2A"/>
    <w:rsid w:val="002C5D25"/>
    <w:rsid w:val="002C6165"/>
    <w:rsid w:val="002C6364"/>
    <w:rsid w:val="002C68CB"/>
    <w:rsid w:val="002C6F0A"/>
    <w:rsid w:val="002C796B"/>
    <w:rsid w:val="002D1462"/>
    <w:rsid w:val="002D173D"/>
    <w:rsid w:val="002D1F63"/>
    <w:rsid w:val="002D2002"/>
    <w:rsid w:val="002D238D"/>
    <w:rsid w:val="002D239D"/>
    <w:rsid w:val="002D2A02"/>
    <w:rsid w:val="002D2A09"/>
    <w:rsid w:val="002D2B39"/>
    <w:rsid w:val="002D30FC"/>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22A"/>
    <w:rsid w:val="002E7650"/>
    <w:rsid w:val="002E7F4E"/>
    <w:rsid w:val="002F0438"/>
    <w:rsid w:val="002F0B22"/>
    <w:rsid w:val="002F0C58"/>
    <w:rsid w:val="002F0E08"/>
    <w:rsid w:val="002F1280"/>
    <w:rsid w:val="002F165F"/>
    <w:rsid w:val="002F195C"/>
    <w:rsid w:val="002F1A0D"/>
    <w:rsid w:val="002F2133"/>
    <w:rsid w:val="002F2319"/>
    <w:rsid w:val="002F2754"/>
    <w:rsid w:val="002F3251"/>
    <w:rsid w:val="002F6D3A"/>
    <w:rsid w:val="003006EA"/>
    <w:rsid w:val="00300E9F"/>
    <w:rsid w:val="00301280"/>
    <w:rsid w:val="00302559"/>
    <w:rsid w:val="003027AA"/>
    <w:rsid w:val="00302CDA"/>
    <w:rsid w:val="00303F69"/>
    <w:rsid w:val="003044D4"/>
    <w:rsid w:val="00304A28"/>
    <w:rsid w:val="00305501"/>
    <w:rsid w:val="00306333"/>
    <w:rsid w:val="00310CE8"/>
    <w:rsid w:val="00311D24"/>
    <w:rsid w:val="00312650"/>
    <w:rsid w:val="003133FC"/>
    <w:rsid w:val="00313EC4"/>
    <w:rsid w:val="00314CE5"/>
    <w:rsid w:val="003150B1"/>
    <w:rsid w:val="00316C90"/>
    <w:rsid w:val="00316D38"/>
    <w:rsid w:val="003173E0"/>
    <w:rsid w:val="00320159"/>
    <w:rsid w:val="00321D1B"/>
    <w:rsid w:val="0032364A"/>
    <w:rsid w:val="00323E46"/>
    <w:rsid w:val="003243AF"/>
    <w:rsid w:val="00325332"/>
    <w:rsid w:val="00325469"/>
    <w:rsid w:val="00327C2A"/>
    <w:rsid w:val="00327FBF"/>
    <w:rsid w:val="0033032D"/>
    <w:rsid w:val="00330465"/>
    <w:rsid w:val="00330697"/>
    <w:rsid w:val="00330FEC"/>
    <w:rsid w:val="0033100C"/>
    <w:rsid w:val="00331522"/>
    <w:rsid w:val="00331A56"/>
    <w:rsid w:val="00331DAB"/>
    <w:rsid w:val="003323CD"/>
    <w:rsid w:val="00333810"/>
    <w:rsid w:val="00333FB0"/>
    <w:rsid w:val="003340AD"/>
    <w:rsid w:val="00334BBC"/>
    <w:rsid w:val="00334E99"/>
    <w:rsid w:val="00335960"/>
    <w:rsid w:val="00335F65"/>
    <w:rsid w:val="00336334"/>
    <w:rsid w:val="00336A22"/>
    <w:rsid w:val="00336A9C"/>
    <w:rsid w:val="003408F2"/>
    <w:rsid w:val="00341EDA"/>
    <w:rsid w:val="00342E41"/>
    <w:rsid w:val="00342F9F"/>
    <w:rsid w:val="003437E8"/>
    <w:rsid w:val="00344900"/>
    <w:rsid w:val="00345A36"/>
    <w:rsid w:val="003464F7"/>
    <w:rsid w:val="003466C7"/>
    <w:rsid w:val="00346DF9"/>
    <w:rsid w:val="003504AD"/>
    <w:rsid w:val="00350894"/>
    <w:rsid w:val="00350FCA"/>
    <w:rsid w:val="00351463"/>
    <w:rsid w:val="00352F48"/>
    <w:rsid w:val="00353326"/>
    <w:rsid w:val="0035361A"/>
    <w:rsid w:val="00353BAA"/>
    <w:rsid w:val="003541A3"/>
    <w:rsid w:val="0035442A"/>
    <w:rsid w:val="00354900"/>
    <w:rsid w:val="00355057"/>
    <w:rsid w:val="003572C8"/>
    <w:rsid w:val="00357D06"/>
    <w:rsid w:val="003609E2"/>
    <w:rsid w:val="00361B78"/>
    <w:rsid w:val="00361CD3"/>
    <w:rsid w:val="00362B2C"/>
    <w:rsid w:val="0036393B"/>
    <w:rsid w:val="00363C25"/>
    <w:rsid w:val="00363DBE"/>
    <w:rsid w:val="00364230"/>
    <w:rsid w:val="00364FDF"/>
    <w:rsid w:val="003651AA"/>
    <w:rsid w:val="00366DF1"/>
    <w:rsid w:val="00367BD8"/>
    <w:rsid w:val="00370725"/>
    <w:rsid w:val="003707D3"/>
    <w:rsid w:val="00370A28"/>
    <w:rsid w:val="00373C76"/>
    <w:rsid w:val="0037422E"/>
    <w:rsid w:val="0037507E"/>
    <w:rsid w:val="00375407"/>
    <w:rsid w:val="003757ED"/>
    <w:rsid w:val="00375D53"/>
    <w:rsid w:val="00377776"/>
    <w:rsid w:val="00377C93"/>
    <w:rsid w:val="0038050A"/>
    <w:rsid w:val="003807F4"/>
    <w:rsid w:val="00380913"/>
    <w:rsid w:val="00381451"/>
    <w:rsid w:val="00381B6E"/>
    <w:rsid w:val="00381C43"/>
    <w:rsid w:val="00381C86"/>
    <w:rsid w:val="00381F88"/>
    <w:rsid w:val="0038206D"/>
    <w:rsid w:val="00382431"/>
    <w:rsid w:val="00382614"/>
    <w:rsid w:val="00383BAA"/>
    <w:rsid w:val="00384065"/>
    <w:rsid w:val="00384B2A"/>
    <w:rsid w:val="003850F7"/>
    <w:rsid w:val="00385249"/>
    <w:rsid w:val="003859A8"/>
    <w:rsid w:val="00386540"/>
    <w:rsid w:val="00386671"/>
    <w:rsid w:val="003866F8"/>
    <w:rsid w:val="003875EE"/>
    <w:rsid w:val="00387A0C"/>
    <w:rsid w:val="00390616"/>
    <w:rsid w:val="00390F86"/>
    <w:rsid w:val="003923EB"/>
    <w:rsid w:val="00392980"/>
    <w:rsid w:val="00392AA4"/>
    <w:rsid w:val="00392AA6"/>
    <w:rsid w:val="0039302F"/>
    <w:rsid w:val="0039384A"/>
    <w:rsid w:val="00393B5E"/>
    <w:rsid w:val="00393B7D"/>
    <w:rsid w:val="00393D36"/>
    <w:rsid w:val="00394124"/>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9BE"/>
    <w:rsid w:val="003B1E8D"/>
    <w:rsid w:val="003B1FEC"/>
    <w:rsid w:val="003B348F"/>
    <w:rsid w:val="003B4927"/>
    <w:rsid w:val="003B4D44"/>
    <w:rsid w:val="003B5B95"/>
    <w:rsid w:val="003B69D2"/>
    <w:rsid w:val="003B6EA3"/>
    <w:rsid w:val="003B7DC9"/>
    <w:rsid w:val="003C0020"/>
    <w:rsid w:val="003C02EE"/>
    <w:rsid w:val="003C0AAE"/>
    <w:rsid w:val="003C1185"/>
    <w:rsid w:val="003C11B6"/>
    <w:rsid w:val="003C2223"/>
    <w:rsid w:val="003C317B"/>
    <w:rsid w:val="003C3AD5"/>
    <w:rsid w:val="003C4C2F"/>
    <w:rsid w:val="003C4D6C"/>
    <w:rsid w:val="003C57DC"/>
    <w:rsid w:val="003C5926"/>
    <w:rsid w:val="003C5929"/>
    <w:rsid w:val="003C67A4"/>
    <w:rsid w:val="003D04FC"/>
    <w:rsid w:val="003D0701"/>
    <w:rsid w:val="003D09D3"/>
    <w:rsid w:val="003D0B43"/>
    <w:rsid w:val="003D14AF"/>
    <w:rsid w:val="003D15EC"/>
    <w:rsid w:val="003D3AD8"/>
    <w:rsid w:val="003D4208"/>
    <w:rsid w:val="003D4441"/>
    <w:rsid w:val="003D4A2A"/>
    <w:rsid w:val="003D4DAC"/>
    <w:rsid w:val="003D4DE9"/>
    <w:rsid w:val="003D4FDE"/>
    <w:rsid w:val="003D5F15"/>
    <w:rsid w:val="003D7986"/>
    <w:rsid w:val="003E04AC"/>
    <w:rsid w:val="003E06C7"/>
    <w:rsid w:val="003E0C5E"/>
    <w:rsid w:val="003E0EAA"/>
    <w:rsid w:val="003E1352"/>
    <w:rsid w:val="003E1383"/>
    <w:rsid w:val="003E323C"/>
    <w:rsid w:val="003E5430"/>
    <w:rsid w:val="003E709A"/>
    <w:rsid w:val="003E79AE"/>
    <w:rsid w:val="003F0A5C"/>
    <w:rsid w:val="003F0C3A"/>
    <w:rsid w:val="003F112F"/>
    <w:rsid w:val="003F1906"/>
    <w:rsid w:val="003F2367"/>
    <w:rsid w:val="003F2902"/>
    <w:rsid w:val="003F2CA1"/>
    <w:rsid w:val="003F2E86"/>
    <w:rsid w:val="003F2FA6"/>
    <w:rsid w:val="003F35EC"/>
    <w:rsid w:val="003F3B10"/>
    <w:rsid w:val="003F4201"/>
    <w:rsid w:val="003F566D"/>
    <w:rsid w:val="003F5CC7"/>
    <w:rsid w:val="003F5E93"/>
    <w:rsid w:val="003F6C4B"/>
    <w:rsid w:val="003F6E1A"/>
    <w:rsid w:val="003F6FB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3FB8"/>
    <w:rsid w:val="004248CA"/>
    <w:rsid w:val="00424B82"/>
    <w:rsid w:val="00424CEB"/>
    <w:rsid w:val="0042536D"/>
    <w:rsid w:val="00425447"/>
    <w:rsid w:val="004255E3"/>
    <w:rsid w:val="00425D49"/>
    <w:rsid w:val="00426A12"/>
    <w:rsid w:val="00427615"/>
    <w:rsid w:val="004278E5"/>
    <w:rsid w:val="00427CBA"/>
    <w:rsid w:val="00427DE9"/>
    <w:rsid w:val="00430526"/>
    <w:rsid w:val="004309B3"/>
    <w:rsid w:val="004309C5"/>
    <w:rsid w:val="00431864"/>
    <w:rsid w:val="00431E6E"/>
    <w:rsid w:val="00432DBC"/>
    <w:rsid w:val="004334FD"/>
    <w:rsid w:val="004335F4"/>
    <w:rsid w:val="00434573"/>
    <w:rsid w:val="00434710"/>
    <w:rsid w:val="00434979"/>
    <w:rsid w:val="004359AD"/>
    <w:rsid w:val="00436B3D"/>
    <w:rsid w:val="00436DAE"/>
    <w:rsid w:val="00437A8F"/>
    <w:rsid w:val="00437CA8"/>
    <w:rsid w:val="00440360"/>
    <w:rsid w:val="00440A9C"/>
    <w:rsid w:val="00441319"/>
    <w:rsid w:val="00441A9F"/>
    <w:rsid w:val="00442153"/>
    <w:rsid w:val="00442D2E"/>
    <w:rsid w:val="00442E1F"/>
    <w:rsid w:val="00443717"/>
    <w:rsid w:val="00444737"/>
    <w:rsid w:val="00445112"/>
    <w:rsid w:val="00445C07"/>
    <w:rsid w:val="00445CE5"/>
    <w:rsid w:val="00446104"/>
    <w:rsid w:val="0044687F"/>
    <w:rsid w:val="00446C74"/>
    <w:rsid w:val="00447EBD"/>
    <w:rsid w:val="0045028B"/>
    <w:rsid w:val="004505D6"/>
    <w:rsid w:val="00450E59"/>
    <w:rsid w:val="004516D9"/>
    <w:rsid w:val="00451F72"/>
    <w:rsid w:val="00451F8B"/>
    <w:rsid w:val="004535E7"/>
    <w:rsid w:val="00455350"/>
    <w:rsid w:val="004557A8"/>
    <w:rsid w:val="00456349"/>
    <w:rsid w:val="00456430"/>
    <w:rsid w:val="0045656B"/>
    <w:rsid w:val="0045684E"/>
    <w:rsid w:val="00456CEF"/>
    <w:rsid w:val="00456E23"/>
    <w:rsid w:val="00457C4A"/>
    <w:rsid w:val="00460732"/>
    <w:rsid w:val="00460993"/>
    <w:rsid w:val="00460F53"/>
    <w:rsid w:val="004618B5"/>
    <w:rsid w:val="00461FDC"/>
    <w:rsid w:val="00462875"/>
    <w:rsid w:val="004638C4"/>
    <w:rsid w:val="00463924"/>
    <w:rsid w:val="00464628"/>
    <w:rsid w:val="004649FA"/>
    <w:rsid w:val="004660F8"/>
    <w:rsid w:val="00466196"/>
    <w:rsid w:val="0046631D"/>
    <w:rsid w:val="0046700E"/>
    <w:rsid w:val="00467F06"/>
    <w:rsid w:val="00470F05"/>
    <w:rsid w:val="004718D9"/>
    <w:rsid w:val="00472462"/>
    <w:rsid w:val="00472670"/>
    <w:rsid w:val="00472C02"/>
    <w:rsid w:val="00472DBD"/>
    <w:rsid w:val="00473314"/>
    <w:rsid w:val="0047349A"/>
    <w:rsid w:val="004736B8"/>
    <w:rsid w:val="004739CF"/>
    <w:rsid w:val="00473C08"/>
    <w:rsid w:val="0047493C"/>
    <w:rsid w:val="00474ED3"/>
    <w:rsid w:val="00475484"/>
    <w:rsid w:val="00475740"/>
    <w:rsid w:val="004768DA"/>
    <w:rsid w:val="004800D1"/>
    <w:rsid w:val="004806D7"/>
    <w:rsid w:val="0048083D"/>
    <w:rsid w:val="00480E15"/>
    <w:rsid w:val="00480F04"/>
    <w:rsid w:val="004813E6"/>
    <w:rsid w:val="0048191F"/>
    <w:rsid w:val="00484C76"/>
    <w:rsid w:val="00484D2D"/>
    <w:rsid w:val="004859FE"/>
    <w:rsid w:val="00485F83"/>
    <w:rsid w:val="004862E9"/>
    <w:rsid w:val="0048660B"/>
    <w:rsid w:val="00487C38"/>
    <w:rsid w:val="00487D38"/>
    <w:rsid w:val="00487D6F"/>
    <w:rsid w:val="0049073A"/>
    <w:rsid w:val="004912FC"/>
    <w:rsid w:val="00491500"/>
    <w:rsid w:val="00491894"/>
    <w:rsid w:val="00491D9E"/>
    <w:rsid w:val="00492046"/>
    <w:rsid w:val="0049260B"/>
    <w:rsid w:val="00492BEB"/>
    <w:rsid w:val="00492C38"/>
    <w:rsid w:val="004936A3"/>
    <w:rsid w:val="0049381F"/>
    <w:rsid w:val="00493A82"/>
    <w:rsid w:val="00494463"/>
    <w:rsid w:val="00494D79"/>
    <w:rsid w:val="00494DFB"/>
    <w:rsid w:val="00494F20"/>
    <w:rsid w:val="00494FCB"/>
    <w:rsid w:val="0049571D"/>
    <w:rsid w:val="004957E6"/>
    <w:rsid w:val="004958EF"/>
    <w:rsid w:val="00496CBE"/>
    <w:rsid w:val="00497B53"/>
    <w:rsid w:val="004A0293"/>
    <w:rsid w:val="004A083D"/>
    <w:rsid w:val="004A1648"/>
    <w:rsid w:val="004A36ED"/>
    <w:rsid w:val="004A4AA6"/>
    <w:rsid w:val="004A4B65"/>
    <w:rsid w:val="004A5646"/>
    <w:rsid w:val="004A6733"/>
    <w:rsid w:val="004A7324"/>
    <w:rsid w:val="004A7AFD"/>
    <w:rsid w:val="004B02B5"/>
    <w:rsid w:val="004B1AC6"/>
    <w:rsid w:val="004B2AE7"/>
    <w:rsid w:val="004B2F00"/>
    <w:rsid w:val="004B3772"/>
    <w:rsid w:val="004B4683"/>
    <w:rsid w:val="004B4F74"/>
    <w:rsid w:val="004B58CE"/>
    <w:rsid w:val="004B5BE6"/>
    <w:rsid w:val="004B6CE7"/>
    <w:rsid w:val="004B781B"/>
    <w:rsid w:val="004B7EE2"/>
    <w:rsid w:val="004C0DF9"/>
    <w:rsid w:val="004C1982"/>
    <w:rsid w:val="004C24BD"/>
    <w:rsid w:val="004C2BED"/>
    <w:rsid w:val="004C3206"/>
    <w:rsid w:val="004C41A4"/>
    <w:rsid w:val="004C5249"/>
    <w:rsid w:val="004C646D"/>
    <w:rsid w:val="004C777F"/>
    <w:rsid w:val="004D04A5"/>
    <w:rsid w:val="004D0789"/>
    <w:rsid w:val="004D2DF8"/>
    <w:rsid w:val="004D37E1"/>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3C71"/>
    <w:rsid w:val="004E44CC"/>
    <w:rsid w:val="004E55BE"/>
    <w:rsid w:val="004E5760"/>
    <w:rsid w:val="004E5C99"/>
    <w:rsid w:val="004E7AEF"/>
    <w:rsid w:val="004F0150"/>
    <w:rsid w:val="004F08EA"/>
    <w:rsid w:val="004F172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0381"/>
    <w:rsid w:val="00501EBE"/>
    <w:rsid w:val="00503016"/>
    <w:rsid w:val="00503346"/>
    <w:rsid w:val="00503914"/>
    <w:rsid w:val="00505054"/>
    <w:rsid w:val="00505951"/>
    <w:rsid w:val="00505E67"/>
    <w:rsid w:val="00505EE4"/>
    <w:rsid w:val="00505EE7"/>
    <w:rsid w:val="00506823"/>
    <w:rsid w:val="00506896"/>
    <w:rsid w:val="00506FE2"/>
    <w:rsid w:val="005072C0"/>
    <w:rsid w:val="005073A4"/>
    <w:rsid w:val="00510C73"/>
    <w:rsid w:val="0051115F"/>
    <w:rsid w:val="00511771"/>
    <w:rsid w:val="00511D75"/>
    <w:rsid w:val="00512355"/>
    <w:rsid w:val="005124C7"/>
    <w:rsid w:val="00512C90"/>
    <w:rsid w:val="00512CF1"/>
    <w:rsid w:val="00513FBC"/>
    <w:rsid w:val="00514E43"/>
    <w:rsid w:val="00515123"/>
    <w:rsid w:val="0051556D"/>
    <w:rsid w:val="0052041C"/>
    <w:rsid w:val="00521E20"/>
    <w:rsid w:val="00522AB2"/>
    <w:rsid w:val="0052337C"/>
    <w:rsid w:val="00523A2E"/>
    <w:rsid w:val="0052427E"/>
    <w:rsid w:val="00524A5D"/>
    <w:rsid w:val="005256F3"/>
    <w:rsid w:val="00525E93"/>
    <w:rsid w:val="0052621D"/>
    <w:rsid w:val="00527462"/>
    <w:rsid w:val="005276C3"/>
    <w:rsid w:val="00527873"/>
    <w:rsid w:val="00530040"/>
    <w:rsid w:val="005302AB"/>
    <w:rsid w:val="00530806"/>
    <w:rsid w:val="00530A7F"/>
    <w:rsid w:val="00530F88"/>
    <w:rsid w:val="00531652"/>
    <w:rsid w:val="00531E87"/>
    <w:rsid w:val="00532AAB"/>
    <w:rsid w:val="00532B27"/>
    <w:rsid w:val="00535208"/>
    <w:rsid w:val="00536356"/>
    <w:rsid w:val="00536463"/>
    <w:rsid w:val="0053710C"/>
    <w:rsid w:val="005377A6"/>
    <w:rsid w:val="00540FE0"/>
    <w:rsid w:val="005411EA"/>
    <w:rsid w:val="0054263B"/>
    <w:rsid w:val="0054264F"/>
    <w:rsid w:val="00542ACA"/>
    <w:rsid w:val="005437E8"/>
    <w:rsid w:val="005438E7"/>
    <w:rsid w:val="00543BD2"/>
    <w:rsid w:val="00543F87"/>
    <w:rsid w:val="00544C20"/>
    <w:rsid w:val="00544E40"/>
    <w:rsid w:val="00545D3C"/>
    <w:rsid w:val="00545FBB"/>
    <w:rsid w:val="005476ED"/>
    <w:rsid w:val="00551A41"/>
    <w:rsid w:val="00552038"/>
    <w:rsid w:val="005529D8"/>
    <w:rsid w:val="00553692"/>
    <w:rsid w:val="00554557"/>
    <w:rsid w:val="00554A39"/>
    <w:rsid w:val="00555B3E"/>
    <w:rsid w:val="00555EDA"/>
    <w:rsid w:val="005560EB"/>
    <w:rsid w:val="005562B3"/>
    <w:rsid w:val="0055660D"/>
    <w:rsid w:val="00556AFE"/>
    <w:rsid w:val="00557333"/>
    <w:rsid w:val="00557DD2"/>
    <w:rsid w:val="0056030C"/>
    <w:rsid w:val="00561B31"/>
    <w:rsid w:val="00562A5B"/>
    <w:rsid w:val="00562D71"/>
    <w:rsid w:val="00563438"/>
    <w:rsid w:val="005634A6"/>
    <w:rsid w:val="005638B0"/>
    <w:rsid w:val="00563A26"/>
    <w:rsid w:val="00563B11"/>
    <w:rsid w:val="005643A3"/>
    <w:rsid w:val="0056507A"/>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0C4"/>
    <w:rsid w:val="00580C39"/>
    <w:rsid w:val="005814FF"/>
    <w:rsid w:val="005818ED"/>
    <w:rsid w:val="00582EEE"/>
    <w:rsid w:val="00584ECC"/>
    <w:rsid w:val="0058546D"/>
    <w:rsid w:val="0058562D"/>
    <w:rsid w:val="00586C76"/>
    <w:rsid w:val="0058797C"/>
    <w:rsid w:val="00590929"/>
    <w:rsid w:val="0059097C"/>
    <w:rsid w:val="00590AF8"/>
    <w:rsid w:val="00591657"/>
    <w:rsid w:val="00592124"/>
    <w:rsid w:val="00592176"/>
    <w:rsid w:val="0059367A"/>
    <w:rsid w:val="00593D11"/>
    <w:rsid w:val="005943AE"/>
    <w:rsid w:val="00595206"/>
    <w:rsid w:val="00595D31"/>
    <w:rsid w:val="00595EE3"/>
    <w:rsid w:val="005968D1"/>
    <w:rsid w:val="00597D43"/>
    <w:rsid w:val="00597F91"/>
    <w:rsid w:val="005A00A1"/>
    <w:rsid w:val="005A01C8"/>
    <w:rsid w:val="005A0264"/>
    <w:rsid w:val="005A02D4"/>
    <w:rsid w:val="005A15A4"/>
    <w:rsid w:val="005A169C"/>
    <w:rsid w:val="005A1CF1"/>
    <w:rsid w:val="005A1F68"/>
    <w:rsid w:val="005A2372"/>
    <w:rsid w:val="005A4DBF"/>
    <w:rsid w:val="005A720C"/>
    <w:rsid w:val="005B0219"/>
    <w:rsid w:val="005B07DE"/>
    <w:rsid w:val="005B0DFE"/>
    <w:rsid w:val="005B12E9"/>
    <w:rsid w:val="005B1713"/>
    <w:rsid w:val="005B2281"/>
    <w:rsid w:val="005B2537"/>
    <w:rsid w:val="005B3350"/>
    <w:rsid w:val="005B3874"/>
    <w:rsid w:val="005B426A"/>
    <w:rsid w:val="005B463B"/>
    <w:rsid w:val="005B515A"/>
    <w:rsid w:val="005B55EC"/>
    <w:rsid w:val="005B59FC"/>
    <w:rsid w:val="005B5C8A"/>
    <w:rsid w:val="005B622B"/>
    <w:rsid w:val="005B7B43"/>
    <w:rsid w:val="005B7EBA"/>
    <w:rsid w:val="005C0F41"/>
    <w:rsid w:val="005C33A1"/>
    <w:rsid w:val="005C3866"/>
    <w:rsid w:val="005C4646"/>
    <w:rsid w:val="005C576E"/>
    <w:rsid w:val="005C593E"/>
    <w:rsid w:val="005C7407"/>
    <w:rsid w:val="005D0510"/>
    <w:rsid w:val="005D142B"/>
    <w:rsid w:val="005D198B"/>
    <w:rsid w:val="005D2DCD"/>
    <w:rsid w:val="005D2F13"/>
    <w:rsid w:val="005D4091"/>
    <w:rsid w:val="005D4105"/>
    <w:rsid w:val="005D42F8"/>
    <w:rsid w:val="005D4696"/>
    <w:rsid w:val="005D4C93"/>
    <w:rsid w:val="005D4FBA"/>
    <w:rsid w:val="005D5D01"/>
    <w:rsid w:val="005D5EA2"/>
    <w:rsid w:val="005D6AA1"/>
    <w:rsid w:val="005D6EC7"/>
    <w:rsid w:val="005D713A"/>
    <w:rsid w:val="005D7B4E"/>
    <w:rsid w:val="005D7FE0"/>
    <w:rsid w:val="005E234F"/>
    <w:rsid w:val="005E2557"/>
    <w:rsid w:val="005E441D"/>
    <w:rsid w:val="005E4B81"/>
    <w:rsid w:val="005E50FE"/>
    <w:rsid w:val="005E539D"/>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5026"/>
    <w:rsid w:val="005F620B"/>
    <w:rsid w:val="005F665B"/>
    <w:rsid w:val="005F6FCA"/>
    <w:rsid w:val="0060059B"/>
    <w:rsid w:val="00601C39"/>
    <w:rsid w:val="00601FC8"/>
    <w:rsid w:val="00602B4F"/>
    <w:rsid w:val="0060384E"/>
    <w:rsid w:val="0060570A"/>
    <w:rsid w:val="00605DF2"/>
    <w:rsid w:val="00605EF8"/>
    <w:rsid w:val="006061A9"/>
    <w:rsid w:val="00606EC8"/>
    <w:rsid w:val="00607172"/>
    <w:rsid w:val="00607298"/>
    <w:rsid w:val="00610160"/>
    <w:rsid w:val="00611F89"/>
    <w:rsid w:val="0061200A"/>
    <w:rsid w:val="0061213D"/>
    <w:rsid w:val="00613A83"/>
    <w:rsid w:val="00613B94"/>
    <w:rsid w:val="00613C40"/>
    <w:rsid w:val="0061400C"/>
    <w:rsid w:val="00614331"/>
    <w:rsid w:val="006152BC"/>
    <w:rsid w:val="00615BC7"/>
    <w:rsid w:val="006162C2"/>
    <w:rsid w:val="00616A04"/>
    <w:rsid w:val="00622048"/>
    <w:rsid w:val="00622944"/>
    <w:rsid w:val="00624217"/>
    <w:rsid w:val="006243BF"/>
    <w:rsid w:val="00624795"/>
    <w:rsid w:val="00624B39"/>
    <w:rsid w:val="00624B91"/>
    <w:rsid w:val="0062578F"/>
    <w:rsid w:val="00625EFD"/>
    <w:rsid w:val="00626741"/>
    <w:rsid w:val="006274AF"/>
    <w:rsid w:val="00627BBF"/>
    <w:rsid w:val="00630845"/>
    <w:rsid w:val="006339F3"/>
    <w:rsid w:val="00633BB2"/>
    <w:rsid w:val="00634119"/>
    <w:rsid w:val="0063470B"/>
    <w:rsid w:val="0063519E"/>
    <w:rsid w:val="0063628B"/>
    <w:rsid w:val="0063632E"/>
    <w:rsid w:val="00640298"/>
    <w:rsid w:val="00641FC6"/>
    <w:rsid w:val="006423C5"/>
    <w:rsid w:val="00642E60"/>
    <w:rsid w:val="0064502B"/>
    <w:rsid w:val="00645307"/>
    <w:rsid w:val="006453AA"/>
    <w:rsid w:val="006454C5"/>
    <w:rsid w:val="00646076"/>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65F7"/>
    <w:rsid w:val="00676683"/>
    <w:rsid w:val="00677315"/>
    <w:rsid w:val="006779F2"/>
    <w:rsid w:val="00677C89"/>
    <w:rsid w:val="00680880"/>
    <w:rsid w:val="00682C3F"/>
    <w:rsid w:val="0068493A"/>
    <w:rsid w:val="00685F36"/>
    <w:rsid w:val="006864D0"/>
    <w:rsid w:val="006869CE"/>
    <w:rsid w:val="006869E9"/>
    <w:rsid w:val="00686AC9"/>
    <w:rsid w:val="006879DE"/>
    <w:rsid w:val="00690F71"/>
    <w:rsid w:val="006915EC"/>
    <w:rsid w:val="006917A2"/>
    <w:rsid w:val="00692071"/>
    <w:rsid w:val="0069266B"/>
    <w:rsid w:val="00692787"/>
    <w:rsid w:val="006928C5"/>
    <w:rsid w:val="00692AB8"/>
    <w:rsid w:val="006949D7"/>
    <w:rsid w:val="006953FC"/>
    <w:rsid w:val="00696B9F"/>
    <w:rsid w:val="00696D29"/>
    <w:rsid w:val="006977B2"/>
    <w:rsid w:val="00697BF1"/>
    <w:rsid w:val="00697F56"/>
    <w:rsid w:val="006A019B"/>
    <w:rsid w:val="006A257A"/>
    <w:rsid w:val="006A2939"/>
    <w:rsid w:val="006A534E"/>
    <w:rsid w:val="006A639B"/>
    <w:rsid w:val="006A7554"/>
    <w:rsid w:val="006A77B5"/>
    <w:rsid w:val="006B0E6C"/>
    <w:rsid w:val="006B1191"/>
    <w:rsid w:val="006B1C39"/>
    <w:rsid w:val="006B3631"/>
    <w:rsid w:val="006B3684"/>
    <w:rsid w:val="006B3FDE"/>
    <w:rsid w:val="006B5117"/>
    <w:rsid w:val="006B5429"/>
    <w:rsid w:val="006B59CA"/>
    <w:rsid w:val="006B5D69"/>
    <w:rsid w:val="006B6A43"/>
    <w:rsid w:val="006B6B3C"/>
    <w:rsid w:val="006B6E97"/>
    <w:rsid w:val="006B77AC"/>
    <w:rsid w:val="006B78C5"/>
    <w:rsid w:val="006C085A"/>
    <w:rsid w:val="006C2067"/>
    <w:rsid w:val="006C314D"/>
    <w:rsid w:val="006C3610"/>
    <w:rsid w:val="006C3674"/>
    <w:rsid w:val="006C3E19"/>
    <w:rsid w:val="006C47F6"/>
    <w:rsid w:val="006C4AC5"/>
    <w:rsid w:val="006C5F46"/>
    <w:rsid w:val="006C6EFC"/>
    <w:rsid w:val="006C7D34"/>
    <w:rsid w:val="006D0320"/>
    <w:rsid w:val="006D07E5"/>
    <w:rsid w:val="006D0882"/>
    <w:rsid w:val="006D093A"/>
    <w:rsid w:val="006D278D"/>
    <w:rsid w:val="006D497F"/>
    <w:rsid w:val="006D50D8"/>
    <w:rsid w:val="006D5526"/>
    <w:rsid w:val="006D5D93"/>
    <w:rsid w:val="006D6574"/>
    <w:rsid w:val="006D6D82"/>
    <w:rsid w:val="006D738E"/>
    <w:rsid w:val="006D7F0F"/>
    <w:rsid w:val="006E139E"/>
    <w:rsid w:val="006E1EA3"/>
    <w:rsid w:val="006E2471"/>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2F1B"/>
    <w:rsid w:val="007034C9"/>
    <w:rsid w:val="00703639"/>
    <w:rsid w:val="00703667"/>
    <w:rsid w:val="00703D4D"/>
    <w:rsid w:val="007046B8"/>
    <w:rsid w:val="007050EE"/>
    <w:rsid w:val="007052DE"/>
    <w:rsid w:val="0070658D"/>
    <w:rsid w:val="00706A5D"/>
    <w:rsid w:val="00706D86"/>
    <w:rsid w:val="00707AB4"/>
    <w:rsid w:val="00707B71"/>
    <w:rsid w:val="0071065C"/>
    <w:rsid w:val="00710A24"/>
    <w:rsid w:val="00710B0D"/>
    <w:rsid w:val="00710F9E"/>
    <w:rsid w:val="0071172E"/>
    <w:rsid w:val="00711A26"/>
    <w:rsid w:val="007121A5"/>
    <w:rsid w:val="007124F9"/>
    <w:rsid w:val="00712AAD"/>
    <w:rsid w:val="0071362B"/>
    <w:rsid w:val="00714130"/>
    <w:rsid w:val="0071436C"/>
    <w:rsid w:val="007151B8"/>
    <w:rsid w:val="0071538E"/>
    <w:rsid w:val="00715C5C"/>
    <w:rsid w:val="00716502"/>
    <w:rsid w:val="00716E79"/>
    <w:rsid w:val="00717591"/>
    <w:rsid w:val="007177E4"/>
    <w:rsid w:val="00720F2C"/>
    <w:rsid w:val="007215EA"/>
    <w:rsid w:val="0072431C"/>
    <w:rsid w:val="007256CC"/>
    <w:rsid w:val="00725709"/>
    <w:rsid w:val="00726A8E"/>
    <w:rsid w:val="00726E7C"/>
    <w:rsid w:val="007310D1"/>
    <w:rsid w:val="007318CB"/>
    <w:rsid w:val="00731C66"/>
    <w:rsid w:val="00731F92"/>
    <w:rsid w:val="007323EF"/>
    <w:rsid w:val="0073258E"/>
    <w:rsid w:val="007334C1"/>
    <w:rsid w:val="0073386A"/>
    <w:rsid w:val="00733F84"/>
    <w:rsid w:val="00734514"/>
    <w:rsid w:val="007345A2"/>
    <w:rsid w:val="007349B8"/>
    <w:rsid w:val="007359A3"/>
    <w:rsid w:val="00736A81"/>
    <w:rsid w:val="007373F6"/>
    <w:rsid w:val="00737811"/>
    <w:rsid w:val="0073787B"/>
    <w:rsid w:val="00737F3F"/>
    <w:rsid w:val="00737F8A"/>
    <w:rsid w:val="00740459"/>
    <w:rsid w:val="00741B41"/>
    <w:rsid w:val="00741B9F"/>
    <w:rsid w:val="00741C9B"/>
    <w:rsid w:val="00741CCD"/>
    <w:rsid w:val="00742351"/>
    <w:rsid w:val="00742EB6"/>
    <w:rsid w:val="00742F52"/>
    <w:rsid w:val="007443E2"/>
    <w:rsid w:val="00744AB2"/>
    <w:rsid w:val="00745414"/>
    <w:rsid w:val="007457FE"/>
    <w:rsid w:val="00745E61"/>
    <w:rsid w:val="00745EA3"/>
    <w:rsid w:val="00747605"/>
    <w:rsid w:val="007478C9"/>
    <w:rsid w:val="00747A16"/>
    <w:rsid w:val="00747C60"/>
    <w:rsid w:val="00747EEB"/>
    <w:rsid w:val="00747FE0"/>
    <w:rsid w:val="007508DF"/>
    <w:rsid w:val="007509FE"/>
    <w:rsid w:val="00750CA6"/>
    <w:rsid w:val="00751401"/>
    <w:rsid w:val="0075152D"/>
    <w:rsid w:val="00751A50"/>
    <w:rsid w:val="00751CE2"/>
    <w:rsid w:val="00752D9A"/>
    <w:rsid w:val="0075390C"/>
    <w:rsid w:val="00754C8A"/>
    <w:rsid w:val="00755065"/>
    <w:rsid w:val="00755174"/>
    <w:rsid w:val="00755361"/>
    <w:rsid w:val="0075563D"/>
    <w:rsid w:val="007568D6"/>
    <w:rsid w:val="00757121"/>
    <w:rsid w:val="007579EE"/>
    <w:rsid w:val="00760971"/>
    <w:rsid w:val="0076145B"/>
    <w:rsid w:val="0076183F"/>
    <w:rsid w:val="007621B6"/>
    <w:rsid w:val="00762B63"/>
    <w:rsid w:val="00763840"/>
    <w:rsid w:val="00763FE4"/>
    <w:rsid w:val="0076417E"/>
    <w:rsid w:val="00764C43"/>
    <w:rsid w:val="00764CDA"/>
    <w:rsid w:val="00766489"/>
    <w:rsid w:val="00766F23"/>
    <w:rsid w:val="00767790"/>
    <w:rsid w:val="00767C08"/>
    <w:rsid w:val="0077052B"/>
    <w:rsid w:val="00770607"/>
    <w:rsid w:val="00770C49"/>
    <w:rsid w:val="00770D17"/>
    <w:rsid w:val="00770FE5"/>
    <w:rsid w:val="0077271C"/>
    <w:rsid w:val="00772DF5"/>
    <w:rsid w:val="007763DB"/>
    <w:rsid w:val="00776637"/>
    <w:rsid w:val="007778F3"/>
    <w:rsid w:val="00777AED"/>
    <w:rsid w:val="00781580"/>
    <w:rsid w:val="00781B8F"/>
    <w:rsid w:val="007825F8"/>
    <w:rsid w:val="007829F0"/>
    <w:rsid w:val="00783703"/>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14"/>
    <w:rsid w:val="00792257"/>
    <w:rsid w:val="00792932"/>
    <w:rsid w:val="00793681"/>
    <w:rsid w:val="0079422A"/>
    <w:rsid w:val="00795996"/>
    <w:rsid w:val="00796B9C"/>
    <w:rsid w:val="00796C2E"/>
    <w:rsid w:val="007A071F"/>
    <w:rsid w:val="007A1C50"/>
    <w:rsid w:val="007A2601"/>
    <w:rsid w:val="007A2DB8"/>
    <w:rsid w:val="007A3327"/>
    <w:rsid w:val="007A3601"/>
    <w:rsid w:val="007A55DD"/>
    <w:rsid w:val="007A6A91"/>
    <w:rsid w:val="007A6F7E"/>
    <w:rsid w:val="007A73F1"/>
    <w:rsid w:val="007A76BA"/>
    <w:rsid w:val="007A7AAB"/>
    <w:rsid w:val="007B1194"/>
    <w:rsid w:val="007B1532"/>
    <w:rsid w:val="007B24B1"/>
    <w:rsid w:val="007B2A3E"/>
    <w:rsid w:val="007B3E10"/>
    <w:rsid w:val="007B42B1"/>
    <w:rsid w:val="007B485B"/>
    <w:rsid w:val="007B4ADC"/>
    <w:rsid w:val="007B55B2"/>
    <w:rsid w:val="007B654B"/>
    <w:rsid w:val="007B6EC7"/>
    <w:rsid w:val="007B7880"/>
    <w:rsid w:val="007C08FF"/>
    <w:rsid w:val="007C10CA"/>
    <w:rsid w:val="007C1B63"/>
    <w:rsid w:val="007C206C"/>
    <w:rsid w:val="007C21B0"/>
    <w:rsid w:val="007C237A"/>
    <w:rsid w:val="007C270F"/>
    <w:rsid w:val="007C2833"/>
    <w:rsid w:val="007C2B52"/>
    <w:rsid w:val="007C375F"/>
    <w:rsid w:val="007C4083"/>
    <w:rsid w:val="007C438D"/>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AD6"/>
    <w:rsid w:val="007D5EA7"/>
    <w:rsid w:val="007D65FD"/>
    <w:rsid w:val="007D7362"/>
    <w:rsid w:val="007E0204"/>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3F5B"/>
    <w:rsid w:val="007F4D25"/>
    <w:rsid w:val="007F58F7"/>
    <w:rsid w:val="007F5F57"/>
    <w:rsid w:val="007F6279"/>
    <w:rsid w:val="007F6E0D"/>
    <w:rsid w:val="007F7121"/>
    <w:rsid w:val="007F7833"/>
    <w:rsid w:val="007F78FF"/>
    <w:rsid w:val="00800A36"/>
    <w:rsid w:val="008011FB"/>
    <w:rsid w:val="00801750"/>
    <w:rsid w:val="00801B26"/>
    <w:rsid w:val="00801D83"/>
    <w:rsid w:val="00804534"/>
    <w:rsid w:val="00805601"/>
    <w:rsid w:val="0081005B"/>
    <w:rsid w:val="00810C64"/>
    <w:rsid w:val="00810F32"/>
    <w:rsid w:val="008116BD"/>
    <w:rsid w:val="008120B2"/>
    <w:rsid w:val="00812495"/>
    <w:rsid w:val="00812889"/>
    <w:rsid w:val="008129CB"/>
    <w:rsid w:val="0081405F"/>
    <w:rsid w:val="0081431F"/>
    <w:rsid w:val="008145FF"/>
    <w:rsid w:val="008149D8"/>
    <w:rsid w:val="00814F32"/>
    <w:rsid w:val="00815050"/>
    <w:rsid w:val="00815294"/>
    <w:rsid w:val="0081575E"/>
    <w:rsid w:val="0081584B"/>
    <w:rsid w:val="00816193"/>
    <w:rsid w:val="00816EF0"/>
    <w:rsid w:val="008170D9"/>
    <w:rsid w:val="008173FC"/>
    <w:rsid w:val="00817431"/>
    <w:rsid w:val="00817709"/>
    <w:rsid w:val="00817DC4"/>
    <w:rsid w:val="00820812"/>
    <w:rsid w:val="00821549"/>
    <w:rsid w:val="00821CC7"/>
    <w:rsid w:val="00822AC6"/>
    <w:rsid w:val="008231DC"/>
    <w:rsid w:val="0082398B"/>
    <w:rsid w:val="00824815"/>
    <w:rsid w:val="00824E8B"/>
    <w:rsid w:val="00824F71"/>
    <w:rsid w:val="00825707"/>
    <w:rsid w:val="008266BB"/>
    <w:rsid w:val="008269D5"/>
    <w:rsid w:val="00827C3F"/>
    <w:rsid w:val="0083167E"/>
    <w:rsid w:val="00831834"/>
    <w:rsid w:val="00831F16"/>
    <w:rsid w:val="00832EA1"/>
    <w:rsid w:val="00833570"/>
    <w:rsid w:val="008341F0"/>
    <w:rsid w:val="008345DE"/>
    <w:rsid w:val="00835A31"/>
    <w:rsid w:val="00837A4C"/>
    <w:rsid w:val="00837D6E"/>
    <w:rsid w:val="008405E1"/>
    <w:rsid w:val="00840A50"/>
    <w:rsid w:val="00840ECB"/>
    <w:rsid w:val="00841411"/>
    <w:rsid w:val="00842D0F"/>
    <w:rsid w:val="008435D2"/>
    <w:rsid w:val="00843AF4"/>
    <w:rsid w:val="00843FC0"/>
    <w:rsid w:val="0084415B"/>
    <w:rsid w:val="008446DF"/>
    <w:rsid w:val="008460DC"/>
    <w:rsid w:val="00846205"/>
    <w:rsid w:val="00846236"/>
    <w:rsid w:val="00850CF8"/>
    <w:rsid w:val="00850D48"/>
    <w:rsid w:val="00850FF6"/>
    <w:rsid w:val="008510EB"/>
    <w:rsid w:val="00851C2F"/>
    <w:rsid w:val="00852B4D"/>
    <w:rsid w:val="008536FF"/>
    <w:rsid w:val="0085406D"/>
    <w:rsid w:val="008541DD"/>
    <w:rsid w:val="0085492B"/>
    <w:rsid w:val="00854FDC"/>
    <w:rsid w:val="00855126"/>
    <w:rsid w:val="00855AA6"/>
    <w:rsid w:val="008562A8"/>
    <w:rsid w:val="0085690A"/>
    <w:rsid w:val="00856FB0"/>
    <w:rsid w:val="008572A2"/>
    <w:rsid w:val="00857574"/>
    <w:rsid w:val="00857767"/>
    <w:rsid w:val="008577DA"/>
    <w:rsid w:val="00860D6C"/>
    <w:rsid w:val="008615A2"/>
    <w:rsid w:val="008617C9"/>
    <w:rsid w:val="00862168"/>
    <w:rsid w:val="0086284D"/>
    <w:rsid w:val="008635A7"/>
    <w:rsid w:val="00865CCF"/>
    <w:rsid w:val="00865D67"/>
    <w:rsid w:val="00865F8B"/>
    <w:rsid w:val="00866E36"/>
    <w:rsid w:val="008672D0"/>
    <w:rsid w:val="00870102"/>
    <w:rsid w:val="0087179D"/>
    <w:rsid w:val="008723A0"/>
    <w:rsid w:val="00874CE4"/>
    <w:rsid w:val="00875335"/>
    <w:rsid w:val="0087623D"/>
    <w:rsid w:val="008769A8"/>
    <w:rsid w:val="008809B1"/>
    <w:rsid w:val="00881ACD"/>
    <w:rsid w:val="00882BBF"/>
    <w:rsid w:val="00882DEC"/>
    <w:rsid w:val="00884819"/>
    <w:rsid w:val="00884846"/>
    <w:rsid w:val="008854C1"/>
    <w:rsid w:val="00885759"/>
    <w:rsid w:val="008860A4"/>
    <w:rsid w:val="008862D2"/>
    <w:rsid w:val="0088680D"/>
    <w:rsid w:val="00886893"/>
    <w:rsid w:val="008874F2"/>
    <w:rsid w:val="00890ED9"/>
    <w:rsid w:val="008917FE"/>
    <w:rsid w:val="00891992"/>
    <w:rsid w:val="00891FD5"/>
    <w:rsid w:val="00892CCE"/>
    <w:rsid w:val="0089389E"/>
    <w:rsid w:val="00893B2F"/>
    <w:rsid w:val="008947B7"/>
    <w:rsid w:val="0089480A"/>
    <w:rsid w:val="00894B47"/>
    <w:rsid w:val="008952A5"/>
    <w:rsid w:val="008960FE"/>
    <w:rsid w:val="008968F5"/>
    <w:rsid w:val="00896F60"/>
    <w:rsid w:val="00897663"/>
    <w:rsid w:val="00897B6A"/>
    <w:rsid w:val="008A007A"/>
    <w:rsid w:val="008A0E23"/>
    <w:rsid w:val="008A0E45"/>
    <w:rsid w:val="008A19E8"/>
    <w:rsid w:val="008A1C40"/>
    <w:rsid w:val="008A1DA2"/>
    <w:rsid w:val="008A281D"/>
    <w:rsid w:val="008A3686"/>
    <w:rsid w:val="008A3BB9"/>
    <w:rsid w:val="008A3FF2"/>
    <w:rsid w:val="008A4007"/>
    <w:rsid w:val="008A4077"/>
    <w:rsid w:val="008A4453"/>
    <w:rsid w:val="008A5932"/>
    <w:rsid w:val="008A5E62"/>
    <w:rsid w:val="008A6F4C"/>
    <w:rsid w:val="008A74DD"/>
    <w:rsid w:val="008A76FB"/>
    <w:rsid w:val="008B059F"/>
    <w:rsid w:val="008B1A71"/>
    <w:rsid w:val="008B3389"/>
    <w:rsid w:val="008B5613"/>
    <w:rsid w:val="008B5617"/>
    <w:rsid w:val="008B57E5"/>
    <w:rsid w:val="008B6FFC"/>
    <w:rsid w:val="008C03D1"/>
    <w:rsid w:val="008C15A5"/>
    <w:rsid w:val="008C1E66"/>
    <w:rsid w:val="008C25DE"/>
    <w:rsid w:val="008C26B7"/>
    <w:rsid w:val="008C3428"/>
    <w:rsid w:val="008C37DE"/>
    <w:rsid w:val="008C3BD6"/>
    <w:rsid w:val="008C438F"/>
    <w:rsid w:val="008C43F1"/>
    <w:rsid w:val="008C51A0"/>
    <w:rsid w:val="008C590F"/>
    <w:rsid w:val="008C6028"/>
    <w:rsid w:val="008C64A5"/>
    <w:rsid w:val="008C6B96"/>
    <w:rsid w:val="008C6DE4"/>
    <w:rsid w:val="008D0753"/>
    <w:rsid w:val="008D14B1"/>
    <w:rsid w:val="008D1C34"/>
    <w:rsid w:val="008D3AE9"/>
    <w:rsid w:val="008D405B"/>
    <w:rsid w:val="008D4FAC"/>
    <w:rsid w:val="008D629E"/>
    <w:rsid w:val="008D6F63"/>
    <w:rsid w:val="008D7A33"/>
    <w:rsid w:val="008E0524"/>
    <w:rsid w:val="008E0A00"/>
    <w:rsid w:val="008E1DB9"/>
    <w:rsid w:val="008E1EBA"/>
    <w:rsid w:val="008E20FC"/>
    <w:rsid w:val="008E3519"/>
    <w:rsid w:val="008E3AF7"/>
    <w:rsid w:val="008E405A"/>
    <w:rsid w:val="008E4957"/>
    <w:rsid w:val="008E6454"/>
    <w:rsid w:val="008E71D2"/>
    <w:rsid w:val="008E76BF"/>
    <w:rsid w:val="008F0135"/>
    <w:rsid w:val="008F1460"/>
    <w:rsid w:val="008F2459"/>
    <w:rsid w:val="008F2583"/>
    <w:rsid w:val="008F2C31"/>
    <w:rsid w:val="008F3566"/>
    <w:rsid w:val="008F459A"/>
    <w:rsid w:val="008F4DD2"/>
    <w:rsid w:val="008F4F78"/>
    <w:rsid w:val="008F5897"/>
    <w:rsid w:val="008F6EB4"/>
    <w:rsid w:val="008F6EFC"/>
    <w:rsid w:val="008F7A3A"/>
    <w:rsid w:val="00901329"/>
    <w:rsid w:val="009016E3"/>
    <w:rsid w:val="00902085"/>
    <w:rsid w:val="00902426"/>
    <w:rsid w:val="00902625"/>
    <w:rsid w:val="00903071"/>
    <w:rsid w:val="00903450"/>
    <w:rsid w:val="00903F84"/>
    <w:rsid w:val="009044F4"/>
    <w:rsid w:val="009053DA"/>
    <w:rsid w:val="009059FF"/>
    <w:rsid w:val="009060FE"/>
    <w:rsid w:val="009101A6"/>
    <w:rsid w:val="00910747"/>
    <w:rsid w:val="00910E3B"/>
    <w:rsid w:val="00911329"/>
    <w:rsid w:val="009122D0"/>
    <w:rsid w:val="009125B7"/>
    <w:rsid w:val="00912880"/>
    <w:rsid w:val="00912B57"/>
    <w:rsid w:val="00912CFB"/>
    <w:rsid w:val="009139E6"/>
    <w:rsid w:val="00913C98"/>
    <w:rsid w:val="009175E4"/>
    <w:rsid w:val="00917AF0"/>
    <w:rsid w:val="00917C5F"/>
    <w:rsid w:val="00920A37"/>
    <w:rsid w:val="00920ACC"/>
    <w:rsid w:val="00920F8A"/>
    <w:rsid w:val="00921FB5"/>
    <w:rsid w:val="00922D49"/>
    <w:rsid w:val="009243D2"/>
    <w:rsid w:val="0092481E"/>
    <w:rsid w:val="00926506"/>
    <w:rsid w:val="0092688E"/>
    <w:rsid w:val="00927CFC"/>
    <w:rsid w:val="00927DF8"/>
    <w:rsid w:val="00930567"/>
    <w:rsid w:val="00930E5C"/>
    <w:rsid w:val="009313D4"/>
    <w:rsid w:val="0093159F"/>
    <w:rsid w:val="00931974"/>
    <w:rsid w:val="009319B4"/>
    <w:rsid w:val="00931A16"/>
    <w:rsid w:val="0093264A"/>
    <w:rsid w:val="00932776"/>
    <w:rsid w:val="00932A90"/>
    <w:rsid w:val="00933096"/>
    <w:rsid w:val="00934385"/>
    <w:rsid w:val="009350D0"/>
    <w:rsid w:val="00935FD5"/>
    <w:rsid w:val="00936019"/>
    <w:rsid w:val="0093607D"/>
    <w:rsid w:val="0093614F"/>
    <w:rsid w:val="009366F7"/>
    <w:rsid w:val="00936799"/>
    <w:rsid w:val="009370FC"/>
    <w:rsid w:val="009374D4"/>
    <w:rsid w:val="00940034"/>
    <w:rsid w:val="009403CE"/>
    <w:rsid w:val="0094087B"/>
    <w:rsid w:val="00942A3D"/>
    <w:rsid w:val="0094352E"/>
    <w:rsid w:val="00944100"/>
    <w:rsid w:val="00944AE0"/>
    <w:rsid w:val="00945C1B"/>
    <w:rsid w:val="00946475"/>
    <w:rsid w:val="00946587"/>
    <w:rsid w:val="0094720D"/>
    <w:rsid w:val="0094772D"/>
    <w:rsid w:val="009507DB"/>
    <w:rsid w:val="00950E0A"/>
    <w:rsid w:val="009511E5"/>
    <w:rsid w:val="0095149D"/>
    <w:rsid w:val="009517F6"/>
    <w:rsid w:val="009521C1"/>
    <w:rsid w:val="00952A15"/>
    <w:rsid w:val="009534C9"/>
    <w:rsid w:val="00953EF6"/>
    <w:rsid w:val="0095402B"/>
    <w:rsid w:val="00954A6B"/>
    <w:rsid w:val="00955290"/>
    <w:rsid w:val="00955331"/>
    <w:rsid w:val="00955773"/>
    <w:rsid w:val="00955EBD"/>
    <w:rsid w:val="009568B5"/>
    <w:rsid w:val="00960237"/>
    <w:rsid w:val="00961752"/>
    <w:rsid w:val="00962F77"/>
    <w:rsid w:val="00963193"/>
    <w:rsid w:val="00964AA4"/>
    <w:rsid w:val="00964DE9"/>
    <w:rsid w:val="00965598"/>
    <w:rsid w:val="009661D6"/>
    <w:rsid w:val="00966367"/>
    <w:rsid w:val="009665B5"/>
    <w:rsid w:val="0096660F"/>
    <w:rsid w:val="009677C7"/>
    <w:rsid w:val="009712EA"/>
    <w:rsid w:val="009729A9"/>
    <w:rsid w:val="00972C6C"/>
    <w:rsid w:val="00973643"/>
    <w:rsid w:val="009752BE"/>
    <w:rsid w:val="009752D4"/>
    <w:rsid w:val="0097535C"/>
    <w:rsid w:val="00975710"/>
    <w:rsid w:val="00975A23"/>
    <w:rsid w:val="009761D3"/>
    <w:rsid w:val="009762F4"/>
    <w:rsid w:val="00976F28"/>
    <w:rsid w:val="009809B5"/>
    <w:rsid w:val="0098132E"/>
    <w:rsid w:val="009822AB"/>
    <w:rsid w:val="00982A00"/>
    <w:rsid w:val="00983048"/>
    <w:rsid w:val="0098318A"/>
    <w:rsid w:val="0098335A"/>
    <w:rsid w:val="00983B82"/>
    <w:rsid w:val="00986127"/>
    <w:rsid w:val="009864F0"/>
    <w:rsid w:val="00986603"/>
    <w:rsid w:val="00986D7B"/>
    <w:rsid w:val="00987481"/>
    <w:rsid w:val="009877D6"/>
    <w:rsid w:val="00987864"/>
    <w:rsid w:val="00987BF2"/>
    <w:rsid w:val="00990141"/>
    <w:rsid w:val="00993242"/>
    <w:rsid w:val="0099325E"/>
    <w:rsid w:val="00993CF6"/>
    <w:rsid w:val="009943FA"/>
    <w:rsid w:val="009960EE"/>
    <w:rsid w:val="00996ACF"/>
    <w:rsid w:val="00997F29"/>
    <w:rsid w:val="009A01B1"/>
    <w:rsid w:val="009A2106"/>
    <w:rsid w:val="009A29D8"/>
    <w:rsid w:val="009A29E9"/>
    <w:rsid w:val="009A2D45"/>
    <w:rsid w:val="009A341D"/>
    <w:rsid w:val="009A4540"/>
    <w:rsid w:val="009A56C0"/>
    <w:rsid w:val="009A61FF"/>
    <w:rsid w:val="009A6C25"/>
    <w:rsid w:val="009A6D2A"/>
    <w:rsid w:val="009A797B"/>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13C8"/>
    <w:rsid w:val="009C29DF"/>
    <w:rsid w:val="009C3181"/>
    <w:rsid w:val="009C555E"/>
    <w:rsid w:val="009C68C7"/>
    <w:rsid w:val="009C7936"/>
    <w:rsid w:val="009D0074"/>
    <w:rsid w:val="009D1A50"/>
    <w:rsid w:val="009D2E7D"/>
    <w:rsid w:val="009D3321"/>
    <w:rsid w:val="009D491B"/>
    <w:rsid w:val="009D557A"/>
    <w:rsid w:val="009D65BC"/>
    <w:rsid w:val="009D7C5D"/>
    <w:rsid w:val="009D7F07"/>
    <w:rsid w:val="009D7F36"/>
    <w:rsid w:val="009E124C"/>
    <w:rsid w:val="009E2122"/>
    <w:rsid w:val="009E2170"/>
    <w:rsid w:val="009E2628"/>
    <w:rsid w:val="009E2729"/>
    <w:rsid w:val="009E29EC"/>
    <w:rsid w:val="009E2E72"/>
    <w:rsid w:val="009E2FC5"/>
    <w:rsid w:val="009E343C"/>
    <w:rsid w:val="009E4190"/>
    <w:rsid w:val="009E4504"/>
    <w:rsid w:val="009E4F58"/>
    <w:rsid w:val="009E5242"/>
    <w:rsid w:val="009E71B8"/>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8AF"/>
    <w:rsid w:val="009F3D37"/>
    <w:rsid w:val="009F4DAB"/>
    <w:rsid w:val="009F5C95"/>
    <w:rsid w:val="009F5F29"/>
    <w:rsid w:val="009F6428"/>
    <w:rsid w:val="009F64DC"/>
    <w:rsid w:val="00A0092D"/>
    <w:rsid w:val="00A00AB9"/>
    <w:rsid w:val="00A00FC6"/>
    <w:rsid w:val="00A014DF"/>
    <w:rsid w:val="00A018DB"/>
    <w:rsid w:val="00A018F9"/>
    <w:rsid w:val="00A01C8C"/>
    <w:rsid w:val="00A02A8E"/>
    <w:rsid w:val="00A02BE8"/>
    <w:rsid w:val="00A0304E"/>
    <w:rsid w:val="00A0323A"/>
    <w:rsid w:val="00A05E5D"/>
    <w:rsid w:val="00A068D1"/>
    <w:rsid w:val="00A0699D"/>
    <w:rsid w:val="00A069A8"/>
    <w:rsid w:val="00A079A4"/>
    <w:rsid w:val="00A1046C"/>
    <w:rsid w:val="00A11E5A"/>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AA"/>
    <w:rsid w:val="00A21ED8"/>
    <w:rsid w:val="00A22EA6"/>
    <w:rsid w:val="00A239BC"/>
    <w:rsid w:val="00A24167"/>
    <w:rsid w:val="00A25379"/>
    <w:rsid w:val="00A25895"/>
    <w:rsid w:val="00A26B14"/>
    <w:rsid w:val="00A27187"/>
    <w:rsid w:val="00A27B7B"/>
    <w:rsid w:val="00A3003D"/>
    <w:rsid w:val="00A30122"/>
    <w:rsid w:val="00A30FE4"/>
    <w:rsid w:val="00A31BFA"/>
    <w:rsid w:val="00A31F85"/>
    <w:rsid w:val="00A36F15"/>
    <w:rsid w:val="00A37112"/>
    <w:rsid w:val="00A371B5"/>
    <w:rsid w:val="00A40BC1"/>
    <w:rsid w:val="00A41377"/>
    <w:rsid w:val="00A413BE"/>
    <w:rsid w:val="00A428DD"/>
    <w:rsid w:val="00A43126"/>
    <w:rsid w:val="00A439BC"/>
    <w:rsid w:val="00A4464E"/>
    <w:rsid w:val="00A44AA1"/>
    <w:rsid w:val="00A44DE9"/>
    <w:rsid w:val="00A460E1"/>
    <w:rsid w:val="00A463D3"/>
    <w:rsid w:val="00A47580"/>
    <w:rsid w:val="00A479C4"/>
    <w:rsid w:val="00A50246"/>
    <w:rsid w:val="00A51691"/>
    <w:rsid w:val="00A51EC8"/>
    <w:rsid w:val="00A52274"/>
    <w:rsid w:val="00A523F8"/>
    <w:rsid w:val="00A52DF0"/>
    <w:rsid w:val="00A52F64"/>
    <w:rsid w:val="00A53A47"/>
    <w:rsid w:val="00A548C5"/>
    <w:rsid w:val="00A54FBC"/>
    <w:rsid w:val="00A5509C"/>
    <w:rsid w:val="00A55649"/>
    <w:rsid w:val="00A557A7"/>
    <w:rsid w:val="00A56559"/>
    <w:rsid w:val="00A56B64"/>
    <w:rsid w:val="00A6114C"/>
    <w:rsid w:val="00A6230A"/>
    <w:rsid w:val="00A6310F"/>
    <w:rsid w:val="00A63741"/>
    <w:rsid w:val="00A63E2A"/>
    <w:rsid w:val="00A644A5"/>
    <w:rsid w:val="00A6494D"/>
    <w:rsid w:val="00A64AFA"/>
    <w:rsid w:val="00A64BC4"/>
    <w:rsid w:val="00A64E0C"/>
    <w:rsid w:val="00A6523B"/>
    <w:rsid w:val="00A654A2"/>
    <w:rsid w:val="00A65B5B"/>
    <w:rsid w:val="00A65E42"/>
    <w:rsid w:val="00A67EE2"/>
    <w:rsid w:val="00A67F8F"/>
    <w:rsid w:val="00A71215"/>
    <w:rsid w:val="00A71736"/>
    <w:rsid w:val="00A71870"/>
    <w:rsid w:val="00A7298C"/>
    <w:rsid w:val="00A72A97"/>
    <w:rsid w:val="00A73A45"/>
    <w:rsid w:val="00A73EAD"/>
    <w:rsid w:val="00A740B1"/>
    <w:rsid w:val="00A74325"/>
    <w:rsid w:val="00A75949"/>
    <w:rsid w:val="00A76915"/>
    <w:rsid w:val="00A80991"/>
    <w:rsid w:val="00A8099A"/>
    <w:rsid w:val="00A8199B"/>
    <w:rsid w:val="00A82511"/>
    <w:rsid w:val="00A827F3"/>
    <w:rsid w:val="00A82A69"/>
    <w:rsid w:val="00A8379B"/>
    <w:rsid w:val="00A84A7A"/>
    <w:rsid w:val="00A8593C"/>
    <w:rsid w:val="00A863C1"/>
    <w:rsid w:val="00A8660E"/>
    <w:rsid w:val="00A879CC"/>
    <w:rsid w:val="00A9017C"/>
    <w:rsid w:val="00A90478"/>
    <w:rsid w:val="00A90667"/>
    <w:rsid w:val="00A91319"/>
    <w:rsid w:val="00A913C6"/>
    <w:rsid w:val="00A914F9"/>
    <w:rsid w:val="00A9188B"/>
    <w:rsid w:val="00A92764"/>
    <w:rsid w:val="00A92AB8"/>
    <w:rsid w:val="00A92DE6"/>
    <w:rsid w:val="00A92E65"/>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6AC"/>
    <w:rsid w:val="00AA3E65"/>
    <w:rsid w:val="00AA4691"/>
    <w:rsid w:val="00AA4DC0"/>
    <w:rsid w:val="00AA5779"/>
    <w:rsid w:val="00AA5C59"/>
    <w:rsid w:val="00AA5D8A"/>
    <w:rsid w:val="00AA673E"/>
    <w:rsid w:val="00AA69B7"/>
    <w:rsid w:val="00AA6EDE"/>
    <w:rsid w:val="00AA77AB"/>
    <w:rsid w:val="00AB180E"/>
    <w:rsid w:val="00AB1B9B"/>
    <w:rsid w:val="00AB1DEE"/>
    <w:rsid w:val="00AB37FE"/>
    <w:rsid w:val="00AB3B26"/>
    <w:rsid w:val="00AB4D98"/>
    <w:rsid w:val="00AB51DF"/>
    <w:rsid w:val="00AB54B2"/>
    <w:rsid w:val="00AB598D"/>
    <w:rsid w:val="00AB598E"/>
    <w:rsid w:val="00AB59EB"/>
    <w:rsid w:val="00AB62DA"/>
    <w:rsid w:val="00AB6EB2"/>
    <w:rsid w:val="00AB753D"/>
    <w:rsid w:val="00AB7EB3"/>
    <w:rsid w:val="00AC0359"/>
    <w:rsid w:val="00AC0DBD"/>
    <w:rsid w:val="00AC3E3F"/>
    <w:rsid w:val="00AC428D"/>
    <w:rsid w:val="00AC4547"/>
    <w:rsid w:val="00AC4609"/>
    <w:rsid w:val="00AC4636"/>
    <w:rsid w:val="00AC49A9"/>
    <w:rsid w:val="00AC4E14"/>
    <w:rsid w:val="00AC58AC"/>
    <w:rsid w:val="00AC58FF"/>
    <w:rsid w:val="00AC6194"/>
    <w:rsid w:val="00AC6547"/>
    <w:rsid w:val="00AC67E4"/>
    <w:rsid w:val="00AC68A0"/>
    <w:rsid w:val="00AC76EA"/>
    <w:rsid w:val="00AC7BC7"/>
    <w:rsid w:val="00AC7CAA"/>
    <w:rsid w:val="00AD028A"/>
    <w:rsid w:val="00AD1019"/>
    <w:rsid w:val="00AD13F3"/>
    <w:rsid w:val="00AD1AEF"/>
    <w:rsid w:val="00AD1C51"/>
    <w:rsid w:val="00AD1CB2"/>
    <w:rsid w:val="00AD262A"/>
    <w:rsid w:val="00AD2BA6"/>
    <w:rsid w:val="00AD380D"/>
    <w:rsid w:val="00AD38D9"/>
    <w:rsid w:val="00AD39BA"/>
    <w:rsid w:val="00AD3B93"/>
    <w:rsid w:val="00AD3D04"/>
    <w:rsid w:val="00AD4FCA"/>
    <w:rsid w:val="00AD57B5"/>
    <w:rsid w:val="00AD6429"/>
    <w:rsid w:val="00AD6A86"/>
    <w:rsid w:val="00AD7241"/>
    <w:rsid w:val="00AE0583"/>
    <w:rsid w:val="00AE1C4C"/>
    <w:rsid w:val="00AE1E4E"/>
    <w:rsid w:val="00AE2012"/>
    <w:rsid w:val="00AE387A"/>
    <w:rsid w:val="00AE3E83"/>
    <w:rsid w:val="00AE473B"/>
    <w:rsid w:val="00AE547B"/>
    <w:rsid w:val="00AE5987"/>
    <w:rsid w:val="00AE5ABB"/>
    <w:rsid w:val="00AE5B9F"/>
    <w:rsid w:val="00AE5F94"/>
    <w:rsid w:val="00AE627E"/>
    <w:rsid w:val="00AE67E3"/>
    <w:rsid w:val="00AE6B27"/>
    <w:rsid w:val="00AE6B76"/>
    <w:rsid w:val="00AE712D"/>
    <w:rsid w:val="00AE7B89"/>
    <w:rsid w:val="00AF0C95"/>
    <w:rsid w:val="00AF1D04"/>
    <w:rsid w:val="00AF21F0"/>
    <w:rsid w:val="00AF2CFE"/>
    <w:rsid w:val="00AF2F84"/>
    <w:rsid w:val="00AF31C6"/>
    <w:rsid w:val="00AF3B28"/>
    <w:rsid w:val="00AF4BB2"/>
    <w:rsid w:val="00AF4D00"/>
    <w:rsid w:val="00AF7C38"/>
    <w:rsid w:val="00B00474"/>
    <w:rsid w:val="00B00878"/>
    <w:rsid w:val="00B0276C"/>
    <w:rsid w:val="00B0286F"/>
    <w:rsid w:val="00B030C8"/>
    <w:rsid w:val="00B043D6"/>
    <w:rsid w:val="00B050C4"/>
    <w:rsid w:val="00B05327"/>
    <w:rsid w:val="00B05B8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1DD"/>
    <w:rsid w:val="00B12DE1"/>
    <w:rsid w:val="00B12E08"/>
    <w:rsid w:val="00B130FD"/>
    <w:rsid w:val="00B13320"/>
    <w:rsid w:val="00B13D0A"/>
    <w:rsid w:val="00B13D36"/>
    <w:rsid w:val="00B1464A"/>
    <w:rsid w:val="00B14D75"/>
    <w:rsid w:val="00B15605"/>
    <w:rsid w:val="00B160CB"/>
    <w:rsid w:val="00B165D6"/>
    <w:rsid w:val="00B172F9"/>
    <w:rsid w:val="00B174F2"/>
    <w:rsid w:val="00B20507"/>
    <w:rsid w:val="00B2219E"/>
    <w:rsid w:val="00B2285D"/>
    <w:rsid w:val="00B22929"/>
    <w:rsid w:val="00B237F8"/>
    <w:rsid w:val="00B243C7"/>
    <w:rsid w:val="00B245CD"/>
    <w:rsid w:val="00B25E04"/>
    <w:rsid w:val="00B26A10"/>
    <w:rsid w:val="00B278EC"/>
    <w:rsid w:val="00B30AF1"/>
    <w:rsid w:val="00B30C3B"/>
    <w:rsid w:val="00B3356E"/>
    <w:rsid w:val="00B3392D"/>
    <w:rsid w:val="00B33F95"/>
    <w:rsid w:val="00B353A7"/>
    <w:rsid w:val="00B35C04"/>
    <w:rsid w:val="00B35CE3"/>
    <w:rsid w:val="00B367CB"/>
    <w:rsid w:val="00B3765C"/>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903"/>
    <w:rsid w:val="00B47EDD"/>
    <w:rsid w:val="00B5059C"/>
    <w:rsid w:val="00B50AB6"/>
    <w:rsid w:val="00B50C14"/>
    <w:rsid w:val="00B51222"/>
    <w:rsid w:val="00B514C6"/>
    <w:rsid w:val="00B51761"/>
    <w:rsid w:val="00B51829"/>
    <w:rsid w:val="00B51968"/>
    <w:rsid w:val="00B52936"/>
    <w:rsid w:val="00B529B9"/>
    <w:rsid w:val="00B52D6D"/>
    <w:rsid w:val="00B52F79"/>
    <w:rsid w:val="00B54E91"/>
    <w:rsid w:val="00B55203"/>
    <w:rsid w:val="00B55C79"/>
    <w:rsid w:val="00B56002"/>
    <w:rsid w:val="00B56681"/>
    <w:rsid w:val="00B570C1"/>
    <w:rsid w:val="00B572E8"/>
    <w:rsid w:val="00B57514"/>
    <w:rsid w:val="00B57CE4"/>
    <w:rsid w:val="00B6077E"/>
    <w:rsid w:val="00B616D3"/>
    <w:rsid w:val="00B6296B"/>
    <w:rsid w:val="00B634DD"/>
    <w:rsid w:val="00B638B6"/>
    <w:rsid w:val="00B6458A"/>
    <w:rsid w:val="00B650F8"/>
    <w:rsid w:val="00B658C4"/>
    <w:rsid w:val="00B66841"/>
    <w:rsid w:val="00B670B3"/>
    <w:rsid w:val="00B671C2"/>
    <w:rsid w:val="00B67321"/>
    <w:rsid w:val="00B7022A"/>
    <w:rsid w:val="00B70706"/>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85F0B"/>
    <w:rsid w:val="00B8653F"/>
    <w:rsid w:val="00B90C3E"/>
    <w:rsid w:val="00B90E79"/>
    <w:rsid w:val="00B914C7"/>
    <w:rsid w:val="00B9160E"/>
    <w:rsid w:val="00B9248D"/>
    <w:rsid w:val="00B92AC7"/>
    <w:rsid w:val="00B947EE"/>
    <w:rsid w:val="00B95615"/>
    <w:rsid w:val="00B96064"/>
    <w:rsid w:val="00B96F64"/>
    <w:rsid w:val="00B972EE"/>
    <w:rsid w:val="00B97379"/>
    <w:rsid w:val="00B97A74"/>
    <w:rsid w:val="00BA051B"/>
    <w:rsid w:val="00BA08DC"/>
    <w:rsid w:val="00BA0B98"/>
    <w:rsid w:val="00BA18EC"/>
    <w:rsid w:val="00BA26BF"/>
    <w:rsid w:val="00BA2C23"/>
    <w:rsid w:val="00BA3299"/>
    <w:rsid w:val="00BA358D"/>
    <w:rsid w:val="00BA4104"/>
    <w:rsid w:val="00BA482A"/>
    <w:rsid w:val="00BA4CF3"/>
    <w:rsid w:val="00BA5F0A"/>
    <w:rsid w:val="00BA6595"/>
    <w:rsid w:val="00BA6B90"/>
    <w:rsid w:val="00BA6DE9"/>
    <w:rsid w:val="00BA74E6"/>
    <w:rsid w:val="00BA76BF"/>
    <w:rsid w:val="00BA797C"/>
    <w:rsid w:val="00BA7C7A"/>
    <w:rsid w:val="00BB04B9"/>
    <w:rsid w:val="00BB0D0A"/>
    <w:rsid w:val="00BB0DD3"/>
    <w:rsid w:val="00BB143A"/>
    <w:rsid w:val="00BB1479"/>
    <w:rsid w:val="00BB162C"/>
    <w:rsid w:val="00BB3047"/>
    <w:rsid w:val="00BB4C24"/>
    <w:rsid w:val="00BB4C95"/>
    <w:rsid w:val="00BB58FC"/>
    <w:rsid w:val="00BB6D1C"/>
    <w:rsid w:val="00BB6D74"/>
    <w:rsid w:val="00BC0FC9"/>
    <w:rsid w:val="00BC4504"/>
    <w:rsid w:val="00BC54FE"/>
    <w:rsid w:val="00BC6C3B"/>
    <w:rsid w:val="00BC6F81"/>
    <w:rsid w:val="00BC7E86"/>
    <w:rsid w:val="00BD0182"/>
    <w:rsid w:val="00BD01FC"/>
    <w:rsid w:val="00BD0E50"/>
    <w:rsid w:val="00BD1505"/>
    <w:rsid w:val="00BD178B"/>
    <w:rsid w:val="00BD296C"/>
    <w:rsid w:val="00BD2B58"/>
    <w:rsid w:val="00BD3044"/>
    <w:rsid w:val="00BD38C5"/>
    <w:rsid w:val="00BD436E"/>
    <w:rsid w:val="00BD43BF"/>
    <w:rsid w:val="00BD675C"/>
    <w:rsid w:val="00BD6C42"/>
    <w:rsid w:val="00BD704C"/>
    <w:rsid w:val="00BD71E6"/>
    <w:rsid w:val="00BE03E9"/>
    <w:rsid w:val="00BE0988"/>
    <w:rsid w:val="00BE110D"/>
    <w:rsid w:val="00BE237A"/>
    <w:rsid w:val="00BE37E0"/>
    <w:rsid w:val="00BE3F2F"/>
    <w:rsid w:val="00BE475F"/>
    <w:rsid w:val="00BE531E"/>
    <w:rsid w:val="00BE5EA7"/>
    <w:rsid w:val="00BE630D"/>
    <w:rsid w:val="00BE6D46"/>
    <w:rsid w:val="00BE6D7B"/>
    <w:rsid w:val="00BF044F"/>
    <w:rsid w:val="00BF071E"/>
    <w:rsid w:val="00BF1F74"/>
    <w:rsid w:val="00BF3588"/>
    <w:rsid w:val="00BF3CC5"/>
    <w:rsid w:val="00BF42A4"/>
    <w:rsid w:val="00BF5C04"/>
    <w:rsid w:val="00BF6CCE"/>
    <w:rsid w:val="00BF7116"/>
    <w:rsid w:val="00BF7CA8"/>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2FF"/>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109"/>
    <w:rsid w:val="00C45621"/>
    <w:rsid w:val="00C45779"/>
    <w:rsid w:val="00C4624B"/>
    <w:rsid w:val="00C46382"/>
    <w:rsid w:val="00C46854"/>
    <w:rsid w:val="00C47F61"/>
    <w:rsid w:val="00C47FB9"/>
    <w:rsid w:val="00C5074B"/>
    <w:rsid w:val="00C508EA"/>
    <w:rsid w:val="00C50F58"/>
    <w:rsid w:val="00C51E75"/>
    <w:rsid w:val="00C524A1"/>
    <w:rsid w:val="00C52CB1"/>
    <w:rsid w:val="00C54AF8"/>
    <w:rsid w:val="00C564D6"/>
    <w:rsid w:val="00C57862"/>
    <w:rsid w:val="00C5799C"/>
    <w:rsid w:val="00C60040"/>
    <w:rsid w:val="00C6028A"/>
    <w:rsid w:val="00C61068"/>
    <w:rsid w:val="00C61174"/>
    <w:rsid w:val="00C61467"/>
    <w:rsid w:val="00C62529"/>
    <w:rsid w:val="00C63553"/>
    <w:rsid w:val="00C64599"/>
    <w:rsid w:val="00C64FB4"/>
    <w:rsid w:val="00C654B2"/>
    <w:rsid w:val="00C658F0"/>
    <w:rsid w:val="00C65C4E"/>
    <w:rsid w:val="00C663C1"/>
    <w:rsid w:val="00C66A56"/>
    <w:rsid w:val="00C66B15"/>
    <w:rsid w:val="00C66EBD"/>
    <w:rsid w:val="00C709C7"/>
    <w:rsid w:val="00C7227D"/>
    <w:rsid w:val="00C72405"/>
    <w:rsid w:val="00C73D25"/>
    <w:rsid w:val="00C755DA"/>
    <w:rsid w:val="00C7701F"/>
    <w:rsid w:val="00C80CDA"/>
    <w:rsid w:val="00C8105B"/>
    <w:rsid w:val="00C81E8F"/>
    <w:rsid w:val="00C8274E"/>
    <w:rsid w:val="00C82866"/>
    <w:rsid w:val="00C830F4"/>
    <w:rsid w:val="00C83C29"/>
    <w:rsid w:val="00C83EC4"/>
    <w:rsid w:val="00C84EB4"/>
    <w:rsid w:val="00C85E9F"/>
    <w:rsid w:val="00C86438"/>
    <w:rsid w:val="00C86D14"/>
    <w:rsid w:val="00C86E09"/>
    <w:rsid w:val="00C86FBB"/>
    <w:rsid w:val="00C873AE"/>
    <w:rsid w:val="00C90B47"/>
    <w:rsid w:val="00C9124C"/>
    <w:rsid w:val="00C92423"/>
    <w:rsid w:val="00C92E91"/>
    <w:rsid w:val="00C95789"/>
    <w:rsid w:val="00C95D08"/>
    <w:rsid w:val="00C96091"/>
    <w:rsid w:val="00C969A5"/>
    <w:rsid w:val="00C96B43"/>
    <w:rsid w:val="00C97642"/>
    <w:rsid w:val="00C97EE5"/>
    <w:rsid w:val="00CA02EF"/>
    <w:rsid w:val="00CA07ED"/>
    <w:rsid w:val="00CA1595"/>
    <w:rsid w:val="00CA1A7A"/>
    <w:rsid w:val="00CA2809"/>
    <w:rsid w:val="00CA2E35"/>
    <w:rsid w:val="00CA39BF"/>
    <w:rsid w:val="00CA3AD1"/>
    <w:rsid w:val="00CA4073"/>
    <w:rsid w:val="00CA43A3"/>
    <w:rsid w:val="00CA44DA"/>
    <w:rsid w:val="00CA4558"/>
    <w:rsid w:val="00CA47FD"/>
    <w:rsid w:val="00CA4E2D"/>
    <w:rsid w:val="00CA54D1"/>
    <w:rsid w:val="00CA57E7"/>
    <w:rsid w:val="00CA761A"/>
    <w:rsid w:val="00CA77B7"/>
    <w:rsid w:val="00CB13D3"/>
    <w:rsid w:val="00CB1E24"/>
    <w:rsid w:val="00CB232B"/>
    <w:rsid w:val="00CB2820"/>
    <w:rsid w:val="00CB3322"/>
    <w:rsid w:val="00CB3A3B"/>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567"/>
    <w:rsid w:val="00CD183A"/>
    <w:rsid w:val="00CD1B85"/>
    <w:rsid w:val="00CD2727"/>
    <w:rsid w:val="00CD293F"/>
    <w:rsid w:val="00CD3559"/>
    <w:rsid w:val="00CD3FC9"/>
    <w:rsid w:val="00CD632A"/>
    <w:rsid w:val="00CD63F0"/>
    <w:rsid w:val="00CD7551"/>
    <w:rsid w:val="00CE0511"/>
    <w:rsid w:val="00CE0A90"/>
    <w:rsid w:val="00CE1025"/>
    <w:rsid w:val="00CE172B"/>
    <w:rsid w:val="00CE1CCD"/>
    <w:rsid w:val="00CE28D6"/>
    <w:rsid w:val="00CE2FA5"/>
    <w:rsid w:val="00CE3019"/>
    <w:rsid w:val="00CE30E3"/>
    <w:rsid w:val="00CE312E"/>
    <w:rsid w:val="00CE3D12"/>
    <w:rsid w:val="00CE3D6F"/>
    <w:rsid w:val="00CE3E1D"/>
    <w:rsid w:val="00CE3E46"/>
    <w:rsid w:val="00CE4847"/>
    <w:rsid w:val="00CE5877"/>
    <w:rsid w:val="00CE7203"/>
    <w:rsid w:val="00CE7948"/>
    <w:rsid w:val="00CF0094"/>
    <w:rsid w:val="00CF2005"/>
    <w:rsid w:val="00CF31C2"/>
    <w:rsid w:val="00CF3645"/>
    <w:rsid w:val="00CF3951"/>
    <w:rsid w:val="00CF3EF0"/>
    <w:rsid w:val="00CF3FF4"/>
    <w:rsid w:val="00CF455A"/>
    <w:rsid w:val="00CF68E5"/>
    <w:rsid w:val="00CF6A48"/>
    <w:rsid w:val="00CF7D0D"/>
    <w:rsid w:val="00CF7D0F"/>
    <w:rsid w:val="00D00580"/>
    <w:rsid w:val="00D005FD"/>
    <w:rsid w:val="00D015BA"/>
    <w:rsid w:val="00D01782"/>
    <w:rsid w:val="00D02C6D"/>
    <w:rsid w:val="00D02D97"/>
    <w:rsid w:val="00D03561"/>
    <w:rsid w:val="00D03764"/>
    <w:rsid w:val="00D03998"/>
    <w:rsid w:val="00D0513D"/>
    <w:rsid w:val="00D05191"/>
    <w:rsid w:val="00D074AE"/>
    <w:rsid w:val="00D0792B"/>
    <w:rsid w:val="00D10410"/>
    <w:rsid w:val="00D10817"/>
    <w:rsid w:val="00D108DB"/>
    <w:rsid w:val="00D114FE"/>
    <w:rsid w:val="00D119AC"/>
    <w:rsid w:val="00D11AF0"/>
    <w:rsid w:val="00D13727"/>
    <w:rsid w:val="00D147D7"/>
    <w:rsid w:val="00D15224"/>
    <w:rsid w:val="00D17D22"/>
    <w:rsid w:val="00D20DDF"/>
    <w:rsid w:val="00D21745"/>
    <w:rsid w:val="00D228C5"/>
    <w:rsid w:val="00D228EE"/>
    <w:rsid w:val="00D2438E"/>
    <w:rsid w:val="00D255A3"/>
    <w:rsid w:val="00D25F82"/>
    <w:rsid w:val="00D27368"/>
    <w:rsid w:val="00D3198F"/>
    <w:rsid w:val="00D31CB3"/>
    <w:rsid w:val="00D3342D"/>
    <w:rsid w:val="00D3355B"/>
    <w:rsid w:val="00D33781"/>
    <w:rsid w:val="00D33C49"/>
    <w:rsid w:val="00D33D8A"/>
    <w:rsid w:val="00D343EC"/>
    <w:rsid w:val="00D35654"/>
    <w:rsid w:val="00D3573F"/>
    <w:rsid w:val="00D36781"/>
    <w:rsid w:val="00D36866"/>
    <w:rsid w:val="00D373E5"/>
    <w:rsid w:val="00D37527"/>
    <w:rsid w:val="00D3772C"/>
    <w:rsid w:val="00D40268"/>
    <w:rsid w:val="00D40382"/>
    <w:rsid w:val="00D40B22"/>
    <w:rsid w:val="00D40DD4"/>
    <w:rsid w:val="00D4121F"/>
    <w:rsid w:val="00D41CF8"/>
    <w:rsid w:val="00D42A82"/>
    <w:rsid w:val="00D4381E"/>
    <w:rsid w:val="00D43BAD"/>
    <w:rsid w:val="00D452E5"/>
    <w:rsid w:val="00D45FC0"/>
    <w:rsid w:val="00D46617"/>
    <w:rsid w:val="00D4689F"/>
    <w:rsid w:val="00D46996"/>
    <w:rsid w:val="00D46ECB"/>
    <w:rsid w:val="00D47438"/>
    <w:rsid w:val="00D47996"/>
    <w:rsid w:val="00D47B16"/>
    <w:rsid w:val="00D47D8C"/>
    <w:rsid w:val="00D50466"/>
    <w:rsid w:val="00D527BD"/>
    <w:rsid w:val="00D5367E"/>
    <w:rsid w:val="00D5428E"/>
    <w:rsid w:val="00D54395"/>
    <w:rsid w:val="00D54DF6"/>
    <w:rsid w:val="00D5644A"/>
    <w:rsid w:val="00D56955"/>
    <w:rsid w:val="00D56993"/>
    <w:rsid w:val="00D5717C"/>
    <w:rsid w:val="00D5730E"/>
    <w:rsid w:val="00D57418"/>
    <w:rsid w:val="00D575ED"/>
    <w:rsid w:val="00D57DA6"/>
    <w:rsid w:val="00D6123D"/>
    <w:rsid w:val="00D6153D"/>
    <w:rsid w:val="00D615BB"/>
    <w:rsid w:val="00D61C87"/>
    <w:rsid w:val="00D61CAC"/>
    <w:rsid w:val="00D62DB8"/>
    <w:rsid w:val="00D631C3"/>
    <w:rsid w:val="00D63803"/>
    <w:rsid w:val="00D63A85"/>
    <w:rsid w:val="00D63A93"/>
    <w:rsid w:val="00D6487C"/>
    <w:rsid w:val="00D64BAB"/>
    <w:rsid w:val="00D6685C"/>
    <w:rsid w:val="00D70430"/>
    <w:rsid w:val="00D707E1"/>
    <w:rsid w:val="00D714D0"/>
    <w:rsid w:val="00D7180F"/>
    <w:rsid w:val="00D719EC"/>
    <w:rsid w:val="00D71DD0"/>
    <w:rsid w:val="00D7309D"/>
    <w:rsid w:val="00D7311C"/>
    <w:rsid w:val="00D7331D"/>
    <w:rsid w:val="00D73FED"/>
    <w:rsid w:val="00D74906"/>
    <w:rsid w:val="00D74C73"/>
    <w:rsid w:val="00D74F71"/>
    <w:rsid w:val="00D75313"/>
    <w:rsid w:val="00D762C2"/>
    <w:rsid w:val="00D770B2"/>
    <w:rsid w:val="00D77E06"/>
    <w:rsid w:val="00D80113"/>
    <w:rsid w:val="00D80DC8"/>
    <w:rsid w:val="00D814E6"/>
    <w:rsid w:val="00D81C35"/>
    <w:rsid w:val="00D81DDF"/>
    <w:rsid w:val="00D824AE"/>
    <w:rsid w:val="00D82742"/>
    <w:rsid w:val="00D82986"/>
    <w:rsid w:val="00D82A10"/>
    <w:rsid w:val="00D82BD3"/>
    <w:rsid w:val="00D8333F"/>
    <w:rsid w:val="00D83408"/>
    <w:rsid w:val="00D83AE7"/>
    <w:rsid w:val="00D84096"/>
    <w:rsid w:val="00D84D68"/>
    <w:rsid w:val="00D864F9"/>
    <w:rsid w:val="00D86A15"/>
    <w:rsid w:val="00D86B3D"/>
    <w:rsid w:val="00D86FC5"/>
    <w:rsid w:val="00D87793"/>
    <w:rsid w:val="00D9086E"/>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CB6"/>
    <w:rsid w:val="00DA1E5D"/>
    <w:rsid w:val="00DA35D6"/>
    <w:rsid w:val="00DA3862"/>
    <w:rsid w:val="00DA4F09"/>
    <w:rsid w:val="00DA52E3"/>
    <w:rsid w:val="00DA5A48"/>
    <w:rsid w:val="00DA5AB2"/>
    <w:rsid w:val="00DA607F"/>
    <w:rsid w:val="00DA6850"/>
    <w:rsid w:val="00DA6C5B"/>
    <w:rsid w:val="00DB1106"/>
    <w:rsid w:val="00DB12CA"/>
    <w:rsid w:val="00DB19C5"/>
    <w:rsid w:val="00DB1D55"/>
    <w:rsid w:val="00DB212F"/>
    <w:rsid w:val="00DB348A"/>
    <w:rsid w:val="00DB48E2"/>
    <w:rsid w:val="00DB4D24"/>
    <w:rsid w:val="00DB514B"/>
    <w:rsid w:val="00DB553B"/>
    <w:rsid w:val="00DB6C5A"/>
    <w:rsid w:val="00DB7611"/>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1C36"/>
    <w:rsid w:val="00DD29E9"/>
    <w:rsid w:val="00DD31F3"/>
    <w:rsid w:val="00DD3938"/>
    <w:rsid w:val="00DD3AE5"/>
    <w:rsid w:val="00DD5506"/>
    <w:rsid w:val="00DD5587"/>
    <w:rsid w:val="00DD5D7C"/>
    <w:rsid w:val="00DD733B"/>
    <w:rsid w:val="00DD7E98"/>
    <w:rsid w:val="00DD7F36"/>
    <w:rsid w:val="00DD7F4E"/>
    <w:rsid w:val="00DE0589"/>
    <w:rsid w:val="00DE1685"/>
    <w:rsid w:val="00DE1AE0"/>
    <w:rsid w:val="00DE1C0C"/>
    <w:rsid w:val="00DE1F98"/>
    <w:rsid w:val="00DE3984"/>
    <w:rsid w:val="00DE3B4A"/>
    <w:rsid w:val="00DE3C4A"/>
    <w:rsid w:val="00DE3ECA"/>
    <w:rsid w:val="00DE4168"/>
    <w:rsid w:val="00DE447F"/>
    <w:rsid w:val="00DE575A"/>
    <w:rsid w:val="00DE5E8E"/>
    <w:rsid w:val="00DE63CA"/>
    <w:rsid w:val="00DE7757"/>
    <w:rsid w:val="00DE7947"/>
    <w:rsid w:val="00DF009A"/>
    <w:rsid w:val="00DF0608"/>
    <w:rsid w:val="00DF090C"/>
    <w:rsid w:val="00DF0A38"/>
    <w:rsid w:val="00DF0FE3"/>
    <w:rsid w:val="00DF13A8"/>
    <w:rsid w:val="00DF1DBA"/>
    <w:rsid w:val="00DF21D0"/>
    <w:rsid w:val="00DF34C1"/>
    <w:rsid w:val="00DF4141"/>
    <w:rsid w:val="00DF41D1"/>
    <w:rsid w:val="00DF6172"/>
    <w:rsid w:val="00DF77EF"/>
    <w:rsid w:val="00DF7D2F"/>
    <w:rsid w:val="00E00145"/>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6EA7"/>
    <w:rsid w:val="00E077B7"/>
    <w:rsid w:val="00E10234"/>
    <w:rsid w:val="00E10A13"/>
    <w:rsid w:val="00E11DD7"/>
    <w:rsid w:val="00E11F05"/>
    <w:rsid w:val="00E12809"/>
    <w:rsid w:val="00E12EE0"/>
    <w:rsid w:val="00E12F4E"/>
    <w:rsid w:val="00E12FFB"/>
    <w:rsid w:val="00E13798"/>
    <w:rsid w:val="00E138C6"/>
    <w:rsid w:val="00E13CEF"/>
    <w:rsid w:val="00E14358"/>
    <w:rsid w:val="00E14804"/>
    <w:rsid w:val="00E15AE5"/>
    <w:rsid w:val="00E16003"/>
    <w:rsid w:val="00E167E6"/>
    <w:rsid w:val="00E170B7"/>
    <w:rsid w:val="00E1723C"/>
    <w:rsid w:val="00E1774A"/>
    <w:rsid w:val="00E2018D"/>
    <w:rsid w:val="00E205EB"/>
    <w:rsid w:val="00E2089B"/>
    <w:rsid w:val="00E21918"/>
    <w:rsid w:val="00E21F2E"/>
    <w:rsid w:val="00E220A2"/>
    <w:rsid w:val="00E23066"/>
    <w:rsid w:val="00E250CE"/>
    <w:rsid w:val="00E25CAE"/>
    <w:rsid w:val="00E26BCB"/>
    <w:rsid w:val="00E270D3"/>
    <w:rsid w:val="00E27274"/>
    <w:rsid w:val="00E2744B"/>
    <w:rsid w:val="00E27572"/>
    <w:rsid w:val="00E27A76"/>
    <w:rsid w:val="00E27F7E"/>
    <w:rsid w:val="00E3002F"/>
    <w:rsid w:val="00E306E0"/>
    <w:rsid w:val="00E309D7"/>
    <w:rsid w:val="00E30DEE"/>
    <w:rsid w:val="00E317B9"/>
    <w:rsid w:val="00E321AA"/>
    <w:rsid w:val="00E32B95"/>
    <w:rsid w:val="00E3316F"/>
    <w:rsid w:val="00E335E0"/>
    <w:rsid w:val="00E33AFB"/>
    <w:rsid w:val="00E33C75"/>
    <w:rsid w:val="00E343D4"/>
    <w:rsid w:val="00E358D2"/>
    <w:rsid w:val="00E36E76"/>
    <w:rsid w:val="00E3779D"/>
    <w:rsid w:val="00E40305"/>
    <w:rsid w:val="00E40973"/>
    <w:rsid w:val="00E40ADE"/>
    <w:rsid w:val="00E40F44"/>
    <w:rsid w:val="00E41D67"/>
    <w:rsid w:val="00E43F01"/>
    <w:rsid w:val="00E46189"/>
    <w:rsid w:val="00E46878"/>
    <w:rsid w:val="00E46C28"/>
    <w:rsid w:val="00E50BA5"/>
    <w:rsid w:val="00E5284F"/>
    <w:rsid w:val="00E53108"/>
    <w:rsid w:val="00E53841"/>
    <w:rsid w:val="00E539EA"/>
    <w:rsid w:val="00E53BBE"/>
    <w:rsid w:val="00E549F2"/>
    <w:rsid w:val="00E54EB6"/>
    <w:rsid w:val="00E5529E"/>
    <w:rsid w:val="00E56791"/>
    <w:rsid w:val="00E56EA4"/>
    <w:rsid w:val="00E57291"/>
    <w:rsid w:val="00E61369"/>
    <w:rsid w:val="00E6240F"/>
    <w:rsid w:val="00E62CC8"/>
    <w:rsid w:val="00E64F58"/>
    <w:rsid w:val="00E657A9"/>
    <w:rsid w:val="00E665E9"/>
    <w:rsid w:val="00E66603"/>
    <w:rsid w:val="00E66DCA"/>
    <w:rsid w:val="00E67056"/>
    <w:rsid w:val="00E677DE"/>
    <w:rsid w:val="00E67E7C"/>
    <w:rsid w:val="00E710A4"/>
    <w:rsid w:val="00E721AF"/>
    <w:rsid w:val="00E72823"/>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3DAD"/>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C46"/>
    <w:rsid w:val="00EB5E88"/>
    <w:rsid w:val="00EB6CAF"/>
    <w:rsid w:val="00EB7BDE"/>
    <w:rsid w:val="00EB7D56"/>
    <w:rsid w:val="00EB7D7A"/>
    <w:rsid w:val="00EC0238"/>
    <w:rsid w:val="00EC106E"/>
    <w:rsid w:val="00EC38E4"/>
    <w:rsid w:val="00EC411D"/>
    <w:rsid w:val="00EC42A5"/>
    <w:rsid w:val="00EC4B5F"/>
    <w:rsid w:val="00EC6320"/>
    <w:rsid w:val="00EC6340"/>
    <w:rsid w:val="00EC6FC1"/>
    <w:rsid w:val="00ED00B0"/>
    <w:rsid w:val="00ED01F1"/>
    <w:rsid w:val="00ED07DF"/>
    <w:rsid w:val="00ED091A"/>
    <w:rsid w:val="00ED0AC4"/>
    <w:rsid w:val="00ED0E81"/>
    <w:rsid w:val="00ED1385"/>
    <w:rsid w:val="00ED15C2"/>
    <w:rsid w:val="00ED347F"/>
    <w:rsid w:val="00ED37A2"/>
    <w:rsid w:val="00ED4067"/>
    <w:rsid w:val="00ED4BB5"/>
    <w:rsid w:val="00ED5E40"/>
    <w:rsid w:val="00ED6E15"/>
    <w:rsid w:val="00ED7639"/>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7CC"/>
    <w:rsid w:val="00EE7D3F"/>
    <w:rsid w:val="00EF020B"/>
    <w:rsid w:val="00EF2B60"/>
    <w:rsid w:val="00EF2C79"/>
    <w:rsid w:val="00EF3241"/>
    <w:rsid w:val="00EF41CD"/>
    <w:rsid w:val="00EF524B"/>
    <w:rsid w:val="00EF58D8"/>
    <w:rsid w:val="00EF6212"/>
    <w:rsid w:val="00F00459"/>
    <w:rsid w:val="00F00FDE"/>
    <w:rsid w:val="00F01D75"/>
    <w:rsid w:val="00F0213D"/>
    <w:rsid w:val="00F03432"/>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5CD2"/>
    <w:rsid w:val="00F16057"/>
    <w:rsid w:val="00F17776"/>
    <w:rsid w:val="00F17B6C"/>
    <w:rsid w:val="00F209E9"/>
    <w:rsid w:val="00F20BD8"/>
    <w:rsid w:val="00F20EBB"/>
    <w:rsid w:val="00F2229D"/>
    <w:rsid w:val="00F22B38"/>
    <w:rsid w:val="00F22C95"/>
    <w:rsid w:val="00F23538"/>
    <w:rsid w:val="00F2356D"/>
    <w:rsid w:val="00F24631"/>
    <w:rsid w:val="00F2504F"/>
    <w:rsid w:val="00F2553B"/>
    <w:rsid w:val="00F25B9A"/>
    <w:rsid w:val="00F268B5"/>
    <w:rsid w:val="00F27446"/>
    <w:rsid w:val="00F30688"/>
    <w:rsid w:val="00F30756"/>
    <w:rsid w:val="00F308C8"/>
    <w:rsid w:val="00F30D7F"/>
    <w:rsid w:val="00F313AE"/>
    <w:rsid w:val="00F314F5"/>
    <w:rsid w:val="00F32AFF"/>
    <w:rsid w:val="00F32B41"/>
    <w:rsid w:val="00F340BA"/>
    <w:rsid w:val="00F34506"/>
    <w:rsid w:val="00F34FA4"/>
    <w:rsid w:val="00F3514E"/>
    <w:rsid w:val="00F3577A"/>
    <w:rsid w:val="00F3666B"/>
    <w:rsid w:val="00F36A56"/>
    <w:rsid w:val="00F3702E"/>
    <w:rsid w:val="00F379A8"/>
    <w:rsid w:val="00F404B0"/>
    <w:rsid w:val="00F40685"/>
    <w:rsid w:val="00F40C61"/>
    <w:rsid w:val="00F413CE"/>
    <w:rsid w:val="00F42536"/>
    <w:rsid w:val="00F42F16"/>
    <w:rsid w:val="00F43906"/>
    <w:rsid w:val="00F44A9E"/>
    <w:rsid w:val="00F44AFB"/>
    <w:rsid w:val="00F46152"/>
    <w:rsid w:val="00F46AFB"/>
    <w:rsid w:val="00F46BF5"/>
    <w:rsid w:val="00F47170"/>
    <w:rsid w:val="00F47BD3"/>
    <w:rsid w:val="00F47FF3"/>
    <w:rsid w:val="00F50B37"/>
    <w:rsid w:val="00F514E1"/>
    <w:rsid w:val="00F521FE"/>
    <w:rsid w:val="00F52D85"/>
    <w:rsid w:val="00F52E56"/>
    <w:rsid w:val="00F535ED"/>
    <w:rsid w:val="00F5471B"/>
    <w:rsid w:val="00F55B59"/>
    <w:rsid w:val="00F566D4"/>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123"/>
    <w:rsid w:val="00F72A6B"/>
    <w:rsid w:val="00F73DC1"/>
    <w:rsid w:val="00F744C3"/>
    <w:rsid w:val="00F75043"/>
    <w:rsid w:val="00F7554E"/>
    <w:rsid w:val="00F76CF7"/>
    <w:rsid w:val="00F77502"/>
    <w:rsid w:val="00F77CE9"/>
    <w:rsid w:val="00F80159"/>
    <w:rsid w:val="00F8029A"/>
    <w:rsid w:val="00F80A42"/>
    <w:rsid w:val="00F829DA"/>
    <w:rsid w:val="00F8432A"/>
    <w:rsid w:val="00F84838"/>
    <w:rsid w:val="00F8705E"/>
    <w:rsid w:val="00F870DE"/>
    <w:rsid w:val="00F87698"/>
    <w:rsid w:val="00F87ED6"/>
    <w:rsid w:val="00F9001F"/>
    <w:rsid w:val="00F901E3"/>
    <w:rsid w:val="00F90409"/>
    <w:rsid w:val="00F90411"/>
    <w:rsid w:val="00F90FEF"/>
    <w:rsid w:val="00F9180A"/>
    <w:rsid w:val="00F91AD7"/>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0B20"/>
    <w:rsid w:val="00FA0C07"/>
    <w:rsid w:val="00FA2663"/>
    <w:rsid w:val="00FA296C"/>
    <w:rsid w:val="00FA2A0F"/>
    <w:rsid w:val="00FA409F"/>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154"/>
    <w:rsid w:val="00FB5D10"/>
    <w:rsid w:val="00FC0A33"/>
    <w:rsid w:val="00FC10A2"/>
    <w:rsid w:val="00FC11B6"/>
    <w:rsid w:val="00FC149D"/>
    <w:rsid w:val="00FC1512"/>
    <w:rsid w:val="00FC1B41"/>
    <w:rsid w:val="00FC2CE7"/>
    <w:rsid w:val="00FC2E4B"/>
    <w:rsid w:val="00FC35E0"/>
    <w:rsid w:val="00FC4CA4"/>
    <w:rsid w:val="00FC4D11"/>
    <w:rsid w:val="00FC5175"/>
    <w:rsid w:val="00FC6B5B"/>
    <w:rsid w:val="00FC6C0B"/>
    <w:rsid w:val="00FC778C"/>
    <w:rsid w:val="00FC7EC0"/>
    <w:rsid w:val="00FD0A22"/>
    <w:rsid w:val="00FD0CA5"/>
    <w:rsid w:val="00FD10C3"/>
    <w:rsid w:val="00FD15E8"/>
    <w:rsid w:val="00FD32D1"/>
    <w:rsid w:val="00FD3317"/>
    <w:rsid w:val="00FD3AAE"/>
    <w:rsid w:val="00FD3D4B"/>
    <w:rsid w:val="00FD3E67"/>
    <w:rsid w:val="00FD3F95"/>
    <w:rsid w:val="00FD4271"/>
    <w:rsid w:val="00FE0AD4"/>
    <w:rsid w:val="00FE1FB9"/>
    <w:rsid w:val="00FE22AD"/>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B2"/>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14:docId w14:val="537A6EB2"/>
  <w15:docId w15:val="{479C3BBB-F8F5-4A83-8CC9-F12CB0F6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8C7"/>
    <w:pPr>
      <w:bidi/>
    </w:pPr>
  </w:style>
  <w:style w:type="paragraph" w:styleId="Heading1">
    <w:name w:val="heading 1"/>
    <w:basedOn w:val="Normal"/>
    <w:next w:val="Normal"/>
    <w:link w:val="11"/>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21"/>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31"/>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41"/>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53"/>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62"/>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73"/>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81"/>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91"/>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21">
    <w:name w:val="כותרת 2 תו1"/>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31">
    <w:name w:val="כותרת 3 תו1"/>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41">
    <w:name w:val="כותרת 4 תו1"/>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53">
    <w:name w:val="כותרת 5 תו3"/>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62">
    <w:name w:val="כותרת 6 תו2"/>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73">
    <w:name w:val="כותרת 7 תו3"/>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81">
    <w:name w:val="כותרת 8 תו1"/>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91">
    <w:name w:val="כותרת 9 תו1"/>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aliases w:val="Bullet List,FooterText,LP1,List Paragraph1,List Paragraph_0,List Paragraph_1,List Paragraph_2,Paragraphe de liste1,lp1,numbered,style 2,פיסקת bullets"/>
    <w:basedOn w:val="Normal"/>
    <w:link w:val="a"/>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a">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1"/>
    <w:uiPriority w:val="99"/>
    <w:unhideWhenUsed/>
    <w:rsid w:val="00CB3322"/>
    <w:pPr>
      <w:tabs>
        <w:tab w:val="center" w:pos="4320"/>
        <w:tab w:val="right" w:pos="8640"/>
      </w:tabs>
      <w:spacing w:after="0" w:line="240" w:lineRule="auto"/>
    </w:pPr>
  </w:style>
  <w:style w:type="character" w:customStyle="1" w:styleId="1">
    <w:name w:val="כותרת עליונה תו1"/>
    <w:basedOn w:val="DefaultParagraphFont"/>
    <w:link w:val="Header"/>
    <w:uiPriority w:val="99"/>
    <w:rsid w:val="00CB3322"/>
    <w:rPr>
      <w:rFonts w:cs="David"/>
      <w:sz w:val="24"/>
      <w:szCs w:val="24"/>
    </w:rPr>
  </w:style>
  <w:style w:type="paragraph" w:styleId="Footer">
    <w:name w:val="footer"/>
    <w:basedOn w:val="Normal"/>
    <w:link w:val="10"/>
    <w:uiPriority w:val="99"/>
    <w:unhideWhenUsed/>
    <w:qFormat/>
    <w:rsid w:val="00CB3322"/>
    <w:pPr>
      <w:tabs>
        <w:tab w:val="center" w:pos="4320"/>
        <w:tab w:val="right" w:pos="8640"/>
      </w:tabs>
      <w:spacing w:after="0" w:line="240" w:lineRule="auto"/>
    </w:pPr>
  </w:style>
  <w:style w:type="character" w:customStyle="1" w:styleId="10">
    <w:name w:val="כותרת תחתונה תו1"/>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a0"/>
    <w:uiPriority w:val="99"/>
    <w:unhideWhenUsed/>
    <w:rsid w:val="00702D9F"/>
    <w:pPr>
      <w:spacing w:line="240" w:lineRule="auto"/>
    </w:pPr>
    <w:rPr>
      <w:sz w:val="20"/>
      <w:szCs w:val="20"/>
    </w:rPr>
  </w:style>
  <w:style w:type="character" w:customStyle="1" w:styleId="a0">
    <w:name w:val="טקסט הערה תו"/>
    <w:basedOn w:val="DefaultParagraphFont"/>
    <w:link w:val="CommentText"/>
    <w:uiPriority w:val="99"/>
    <w:rsid w:val="00702D9F"/>
    <w:rPr>
      <w:rFonts w:cs="David"/>
    </w:rPr>
  </w:style>
  <w:style w:type="paragraph" w:styleId="CommentSubject">
    <w:name w:val="annotation subject"/>
    <w:basedOn w:val="CommentText"/>
    <w:next w:val="CommentText"/>
    <w:link w:val="a1"/>
    <w:uiPriority w:val="99"/>
    <w:semiHidden/>
    <w:unhideWhenUsed/>
    <w:rsid w:val="00702D9F"/>
    <w:rPr>
      <w:b/>
      <w:bCs/>
    </w:rPr>
  </w:style>
  <w:style w:type="character" w:customStyle="1" w:styleId="a1">
    <w:name w:val="נושא הערה תו"/>
    <w:basedOn w:val="a0"/>
    <w:link w:val="CommentSubject"/>
    <w:uiPriority w:val="99"/>
    <w:semiHidden/>
    <w:rsid w:val="00702D9F"/>
    <w:rPr>
      <w:rFonts w:cs="David"/>
      <w:b/>
      <w:bCs/>
    </w:rPr>
  </w:style>
  <w:style w:type="paragraph" w:styleId="BalloonText">
    <w:name w:val="Balloon Text"/>
    <w:basedOn w:val="Normal"/>
    <w:link w:val="a2"/>
    <w:uiPriority w:val="99"/>
    <w:semiHidden/>
    <w:unhideWhenUsed/>
    <w:rsid w:val="00702D9F"/>
    <w:pPr>
      <w:spacing w:after="0" w:line="240" w:lineRule="auto"/>
    </w:pPr>
    <w:rPr>
      <w:rFonts w:ascii="Segoe UI" w:hAnsi="Segoe UI" w:cs="Segoe UI"/>
      <w:sz w:val="18"/>
      <w:szCs w:val="18"/>
    </w:rPr>
  </w:style>
  <w:style w:type="character" w:customStyle="1" w:styleId="a2">
    <w:name w:val="טקסט בלונים תו"/>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aliases w:val="ללא"/>
    <w:basedOn w:val="TableNormal"/>
    <w:uiPriority w:val="3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FOOTNOTES,Footnote Text - Sharp,Footnote Text - Sharp Char,Footnote Text - Sharp Char Char,Footnote Text Char Char Char Char Char,Footnote reference,Sharp - Footnote Text,Sharp - Footnote Text1 Char,fn,footnote text,single space"/>
    <w:basedOn w:val="Normal"/>
    <w:link w:val="12"/>
    <w:unhideWhenUsed/>
    <w:qFormat/>
    <w:rsid w:val="00D36781"/>
    <w:pPr>
      <w:keepLines/>
      <w:spacing w:after="40" w:line="200" w:lineRule="exact"/>
      <w:ind w:left="397" w:right="2268" w:hanging="397"/>
      <w:jc w:val="both"/>
    </w:pPr>
    <w:rPr>
      <w:rFonts w:ascii="Tahoma" w:hAnsi="Tahoma" w:cs="Tahoma"/>
      <w:sz w:val="14"/>
      <w:szCs w:val="14"/>
    </w:rPr>
  </w:style>
  <w:style w:type="character" w:customStyle="1" w:styleId="12">
    <w:name w:val="טקסט הערת שוליים תו1"/>
    <w:aliases w:val="Char תו,FOOTNOTES תו,Footnote Text - Sharp Char Char תו,Footnote Text - Sharp Char תו,Footnote Text - Sharp תו,Footnote Text Char Char Char Char Char תו,Footnote reference תו,Sharp - Footnote Text תו,Sharp - Footnote Text1 Char תו"/>
    <w:basedOn w:val="DefaultParagraphFont"/>
    <w:link w:val="FootnoteText"/>
    <w:uiPriority w:val="99"/>
    <w:rsid w:val="00D36781"/>
    <w:rPr>
      <w:rFonts w:ascii="Tahoma" w:hAnsi="Tahoma" w:cs="Tahoma"/>
      <w:sz w:val="14"/>
      <w:szCs w:val="14"/>
    </w:rPr>
  </w:style>
  <w:style w:type="character" w:styleId="FootnoteReference1">
    <w:name w:val="footnote reference"/>
    <w:aliases w:val="Footnote Reference_0,Footnote Reference_0_0,Footnote Reference_0_0_0,Footnote Reference_0_0_0_0,Footnote Reference_1,Footnote Reference_1_0,Footnote Reference_2,Footnote Reference_3,Footnote Reference_4,Footnote Reference_4_0,Style,מ"/>
    <w:basedOn w:val="DefaultParagraphFont"/>
    <w:unhideWhenUsed/>
    <w:qFormat/>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13"/>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13">
    <w:name w:val="כותרת טקסט תו1"/>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a3"/>
    <w:uiPriority w:val="11"/>
    <w:qFormat/>
    <w:rsid w:val="005C0F41"/>
    <w:pPr>
      <w:numPr>
        <w:ilvl w:val="1"/>
      </w:numPr>
      <w:bidi w:val="0"/>
      <w:spacing w:after="240"/>
    </w:pPr>
    <w:rPr>
      <w:caps/>
      <w:color w:val="404040" w:themeColor="text1" w:themeTint="BF"/>
      <w:spacing w:val="20"/>
      <w:sz w:val="28"/>
      <w:szCs w:val="28"/>
    </w:rPr>
  </w:style>
  <w:style w:type="character" w:customStyle="1" w:styleId="a3">
    <w:name w:val="כותרת משנה תו"/>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a4"/>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4">
    <w:name w:val="ציטוט תו"/>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a5"/>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5">
    <w:name w:val="ציטוט חזק תו"/>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a6"/>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a6">
    <w:name w:val="גוף טקסט תו"/>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2"/>
    <w:unhideWhenUsed/>
    <w:rsid w:val="00DB1D55"/>
    <w:pPr>
      <w:tabs>
        <w:tab w:val="left" w:pos="340"/>
      </w:tabs>
      <w:spacing w:line="360" w:lineRule="exact"/>
      <w:jc w:val="both"/>
    </w:pPr>
    <w:rPr>
      <w:rFonts w:ascii="Tahoma" w:hAnsi="Tahoma" w:cs="Tahoma"/>
      <w:sz w:val="22"/>
      <w:szCs w:val="22"/>
    </w:rPr>
  </w:style>
  <w:style w:type="character" w:customStyle="1" w:styleId="2">
    <w:name w:val="גוף טקסט 2 תו"/>
    <w:basedOn w:val="DefaultParagraphFont"/>
    <w:link w:val="BodyText2"/>
    <w:uiPriority w:val="99"/>
    <w:rsid w:val="00DB1D55"/>
    <w:rPr>
      <w:rFonts w:ascii="Tahoma" w:hAnsi="Tahoma" w:cs="Tahoma"/>
      <w:sz w:val="22"/>
      <w:szCs w:val="22"/>
    </w:rPr>
  </w:style>
  <w:style w:type="character" w:customStyle="1" w:styleId="14">
    <w:name w:val="כותרת 1 תו"/>
    <w:locked/>
    <w:rsid w:val="00F1368B"/>
    <w:rPr>
      <w:rFonts w:ascii="Cambria" w:hAnsi="Cambria" w:cs="Times New Roman"/>
      <w:b/>
      <w:bCs/>
      <w:kern w:val="32"/>
      <w:sz w:val="32"/>
      <w:szCs w:val="32"/>
    </w:rPr>
  </w:style>
  <w:style w:type="character" w:customStyle="1" w:styleId="20">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7">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8">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9">
    <w:name w:val="כותרת עליונה תו"/>
    <w:uiPriority w:val="99"/>
    <w:locked/>
    <w:rsid w:val="00F1368B"/>
    <w:rPr>
      <w:rFonts w:cs="David"/>
      <w:sz w:val="24"/>
      <w:szCs w:val="24"/>
      <w:lang w:bidi="he-IL"/>
    </w:rPr>
  </w:style>
  <w:style w:type="character" w:customStyle="1" w:styleId="a10">
    <w:name w:val="כותרת תחתונה תו"/>
    <w:locked/>
    <w:rsid w:val="00F1368B"/>
    <w:rPr>
      <w:rFonts w:cs="David"/>
      <w:sz w:val="24"/>
      <w:szCs w:val="24"/>
      <w:lang w:bidi="he-IL"/>
    </w:rPr>
  </w:style>
  <w:style w:type="character" w:customStyle="1" w:styleId="a11">
    <w:name w:val="טקסט הערת סיום תו"/>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a11"/>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32">
    <w:name w:val="גוף טקסט 3 תו"/>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32"/>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a12"/>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a12">
    <w:name w:val="טקסט רגיל תו"/>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1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1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5">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22">
    <w:name w:val="כניסה בגוף טקסט 2 תו"/>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22"/>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15">
    <w:name w:val="טקסט הערות שוליים תו"/>
    <w:rsid w:val="00F1368B"/>
    <w:rPr>
      <w:lang w:val="en-US" w:eastAsia="en-US"/>
    </w:rPr>
  </w:style>
  <w:style w:type="character" w:customStyle="1" w:styleId="a16">
    <w:name w:val="טקסט הערת שוליים תו"/>
    <w:aliases w:val="FT Char Char תו,FT Char Char1 Char Char תו,FT תו,Footnote Text Char Char תו,Footnote Text Char Char1 Char Char תו,Footnote Text Char1 Char Char תו,Footnote Text1 תו,f תו,fn Char Char Char Char תו,fn Char Char תו,fn Char תו,fn תו"/>
    <w:uiPriority w:val="99"/>
    <w:locked/>
    <w:rsid w:val="00F1368B"/>
    <w:rPr>
      <w:lang w:val="en-US" w:eastAsia="en-US"/>
    </w:rPr>
  </w:style>
  <w:style w:type="character" w:customStyle="1" w:styleId="33">
    <w:name w:val="כניסה בגוף טקסט 3 תו"/>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33"/>
    <w:semiHidden/>
    <w:rsid w:val="00F1368B"/>
    <w:pPr>
      <w:spacing w:line="240" w:lineRule="exact"/>
      <w:ind w:left="283"/>
    </w:pPr>
    <w:rPr>
      <w:rFonts w:ascii="Times New Roman" w:eastAsia="Times New Roman" w:hAnsi="Times New Roman" w:cs="David"/>
      <w:sz w:val="16"/>
      <w:szCs w:val="16"/>
    </w:rPr>
  </w:style>
  <w:style w:type="paragraph" w:customStyle="1" w:styleId="16">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a17">
    <w:name w:val="כניסה בגוף טקסט תו"/>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a17"/>
    <w:semiHidden/>
    <w:rsid w:val="00F1368B"/>
    <w:pPr>
      <w:spacing w:line="240" w:lineRule="exact"/>
      <w:ind w:left="283"/>
    </w:pPr>
    <w:rPr>
      <w:rFonts w:ascii="Times New Roman" w:eastAsia="Times New Roman" w:hAnsi="Times New Roman" w:cs="David"/>
      <w:sz w:val="24"/>
      <w:szCs w:val="24"/>
    </w:rPr>
  </w:style>
  <w:style w:type="paragraph" w:customStyle="1" w:styleId="310">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0">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3">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0">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1">
    <w:name w:val="כותרת 41 תו"/>
    <w:rsid w:val="00F1368B"/>
    <w:rPr>
      <w:rFonts w:cs="David"/>
      <w:b/>
      <w:bCs/>
      <w:sz w:val="22"/>
      <w:szCs w:val="26"/>
    </w:rPr>
  </w:style>
  <w:style w:type="character" w:customStyle="1" w:styleId="a18">
    <w:name w:val="מפת מסמך תו"/>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a18"/>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19">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20">
    <w:name w:val="נבנצאל תו"/>
    <w:uiPriority w:val="99"/>
    <w:locked/>
    <w:rsid w:val="00F1368B"/>
    <w:rPr>
      <w:rFonts w:ascii="Rockwell" w:eastAsia="Rockwell" w:hAnsi="Rockwell" w:cs="David"/>
      <w:sz w:val="22"/>
    </w:rPr>
  </w:style>
  <w:style w:type="paragraph" w:styleId="Date">
    <w:name w:val="Date"/>
    <w:basedOn w:val="Normal"/>
    <w:next w:val="Normal"/>
    <w:link w:val="17"/>
    <w:uiPriority w:val="99"/>
    <w:rsid w:val="00F1368B"/>
    <w:pPr>
      <w:spacing w:before="120" w:after="200" w:line="240" w:lineRule="auto"/>
    </w:pPr>
    <w:rPr>
      <w:rFonts w:ascii="Rockwell" w:eastAsia="Rockwell" w:hAnsi="Rockwell" w:cs="David"/>
      <w:sz w:val="22"/>
      <w:szCs w:val="22"/>
    </w:rPr>
  </w:style>
  <w:style w:type="character" w:customStyle="1" w:styleId="17">
    <w:name w:val="תאריך תו1"/>
    <w:basedOn w:val="DefaultParagraphFont"/>
    <w:link w:val="Date"/>
    <w:uiPriority w:val="99"/>
    <w:rsid w:val="00F1368B"/>
    <w:rPr>
      <w:rFonts w:ascii="Rockwell" w:eastAsia="Rockwell" w:hAnsi="Rockwell" w:cs="David"/>
      <w:sz w:val="22"/>
      <w:szCs w:val="22"/>
    </w:rPr>
  </w:style>
  <w:style w:type="character" w:customStyle="1" w:styleId="a21">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customStyle="1" w:styleId="18">
    <w:name w:val="רשת טבלה1"/>
    <w:basedOn w:val="TableNormal"/>
    <w:next w:val="TableGrid"/>
    <w:uiPriority w:val="59"/>
    <w:rsid w:val="005C33A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T1N">
    <w:name w:val="KOT1N"/>
    <w:qFormat/>
    <w:rsid w:val="008723A0"/>
    <w:pPr>
      <w:spacing w:line="440" w:lineRule="exact"/>
      <w:jc w:val="center"/>
    </w:pPr>
    <w:rPr>
      <w:rFonts w:ascii="Arial Bold" w:hAnsi="Arial Bold" w:eastAsiaTheme="majorEastAsia" w:cs="Tahoma"/>
      <w:b/>
      <w:bCs/>
      <w:color w:val="00305F"/>
      <w:sz w:val="34"/>
      <w:szCs w:val="34"/>
    </w:rPr>
  </w:style>
  <w:style w:type="paragraph" w:customStyle="1" w:styleId="KOT2N">
    <w:name w:val="KOT2N"/>
    <w:basedOn w:val="KOT2"/>
    <w:qFormat/>
    <w:rsid w:val="008723A0"/>
    <w:pPr>
      <w:pageBreakBefore w:val="0"/>
      <w:spacing w:line="440" w:lineRule="exact"/>
      <w:ind w:right="0"/>
      <w:outlineLvl w:val="1"/>
    </w:pPr>
    <w:rPr>
      <w:b/>
      <w:bCs/>
      <w:color w:val="00305F"/>
      <w:sz w:val="34"/>
      <w:szCs w:val="34"/>
    </w:rPr>
  </w:style>
  <w:style w:type="paragraph" w:customStyle="1" w:styleId="KOT3N">
    <w:name w:val="KOT3N"/>
    <w:basedOn w:val="Normal"/>
    <w:qFormat/>
    <w:rsid w:val="008723A0"/>
    <w:pPr>
      <w:spacing w:before="360" w:after="180" w:line="240" w:lineRule="atLeast"/>
      <w:outlineLvl w:val="2"/>
    </w:pPr>
    <w:rPr>
      <w:rFonts w:ascii="Tahoma" w:hAnsi="Tahoma" w:cs="Tahoma"/>
      <w:b/>
      <w:bCs/>
      <w:color w:val="00305F"/>
      <w:sz w:val="32"/>
      <w:szCs w:val="32"/>
    </w:rPr>
  </w:style>
  <w:style w:type="paragraph" w:customStyle="1" w:styleId="KOT4N">
    <w:name w:val="KOT4N"/>
    <w:basedOn w:val="Normal"/>
    <w:qFormat/>
    <w:rsid w:val="008723A0"/>
    <w:pPr>
      <w:spacing w:before="240" w:after="180" w:line="240" w:lineRule="atLeast"/>
      <w:outlineLvl w:val="2"/>
    </w:pPr>
    <w:rPr>
      <w:rFonts w:ascii="Tahoma" w:hAnsi="Tahoma" w:cs="Tahoma"/>
      <w:b/>
      <w:bCs/>
      <w:color w:val="00305F"/>
      <w:sz w:val="28"/>
      <w:szCs w:val="28"/>
    </w:rPr>
  </w:style>
  <w:style w:type="paragraph" w:customStyle="1" w:styleId="KOT5N">
    <w:name w:val="KOT5N"/>
    <w:basedOn w:val="Normal"/>
    <w:qFormat/>
    <w:rsid w:val="008723A0"/>
    <w:pPr>
      <w:spacing w:before="240" w:after="180" w:line="240" w:lineRule="atLeast"/>
      <w:outlineLvl w:val="4"/>
    </w:pPr>
    <w:rPr>
      <w:rFonts w:ascii="Tahoma" w:hAnsi="Tahoma" w:cs="Tahoma"/>
      <w:b/>
      <w:bCs/>
      <w:color w:val="00305F"/>
      <w:sz w:val="24"/>
      <w:szCs w:val="24"/>
    </w:rPr>
  </w:style>
  <w:style w:type="paragraph" w:customStyle="1" w:styleId="KOT6N">
    <w:name w:val="KOT6N"/>
    <w:basedOn w:val="Normal"/>
    <w:qFormat/>
    <w:rsid w:val="008723A0"/>
    <w:pPr>
      <w:spacing w:before="240" w:after="180" w:line="240" w:lineRule="atLeast"/>
      <w:outlineLvl w:val="4"/>
    </w:pPr>
    <w:rPr>
      <w:rFonts w:ascii="Tahoma" w:hAnsi="Tahoma" w:cs="Tahoma"/>
      <w:color w:val="00305F"/>
      <w:sz w:val="20"/>
      <w:szCs w:val="20"/>
    </w:rPr>
  </w:style>
  <w:style w:type="character" w:customStyle="1" w:styleId="KOT8N">
    <w:name w:val="KOT8N"/>
    <w:basedOn w:val="DefaultParagraphFont"/>
    <w:uiPriority w:val="1"/>
    <w:qFormat/>
    <w:rsid w:val="00AC58AC"/>
    <w:rPr>
      <w:rFonts w:ascii="Tahoma" w:hAnsi="Tahoma" w:cs="Tahoma"/>
      <w:color w:val="00305F"/>
      <w:spacing w:val="20"/>
      <w:sz w:val="19"/>
      <w:szCs w:val="19"/>
    </w:rPr>
  </w:style>
  <w:style w:type="character" w:customStyle="1" w:styleId="KOT7N">
    <w:name w:val="KOT7N"/>
    <w:basedOn w:val="KOT8N"/>
    <w:uiPriority w:val="1"/>
    <w:qFormat/>
    <w:rsid w:val="00AC58AC"/>
    <w:rPr>
      <w:rFonts w:ascii="Tahoma" w:hAnsi="Tahoma" w:cs="Tahoma"/>
      <w:b/>
      <w:bCs/>
      <w:color w:val="00305F"/>
      <w:spacing w:val="20"/>
      <w:sz w:val="18"/>
      <w:szCs w:val="18"/>
    </w:rPr>
  </w:style>
  <w:style w:type="paragraph" w:customStyle="1" w:styleId="KOT-TAB">
    <w:name w:val="KOT-TAB"/>
    <w:basedOn w:val="Normal"/>
    <w:qFormat/>
    <w:rsid w:val="00AC58AC"/>
    <w:pPr>
      <w:keepNext/>
      <w:tabs>
        <w:tab w:val="left" w:pos="424"/>
      </w:tabs>
      <w:spacing w:before="240" w:after="240" w:line="260" w:lineRule="exact"/>
      <w:jc w:val="center"/>
    </w:pPr>
    <w:rPr>
      <w:rFonts w:ascii="Tahoma" w:hAnsi="Tahoma" w:cs="Tahoma"/>
      <w:color w:val="0D0D0D" w:themeColor="text1" w:themeTint="F2"/>
      <w:sz w:val="20"/>
      <w:szCs w:val="20"/>
    </w:rPr>
  </w:style>
  <w:style w:type="paragraph" w:customStyle="1" w:styleId="KOT-source">
    <w:name w:val="KOT-source"/>
    <w:basedOn w:val="Normal"/>
    <w:qFormat/>
    <w:rsid w:val="00AC58AC"/>
    <w:pPr>
      <w:tabs>
        <w:tab w:val="left" w:pos="424"/>
      </w:tabs>
      <w:spacing w:after="240" w:line="260" w:lineRule="exact"/>
      <w:jc w:val="both"/>
    </w:pPr>
    <w:rPr>
      <w:rFonts w:ascii="Tahoma" w:hAnsi="Tahoma" w:cs="Tahoma"/>
      <w:color w:val="0D0D0D" w:themeColor="text1" w:themeTint="F2"/>
      <w:sz w:val="16"/>
      <w:szCs w:val="16"/>
    </w:rPr>
  </w:style>
  <w:style w:type="paragraph" w:customStyle="1" w:styleId="7195">
    <w:name w:val="71ג בולד 9.5 בתוך שורה"/>
    <w:basedOn w:val="Normal"/>
    <w:link w:val="7195Char"/>
    <w:qFormat/>
    <w:rsid w:val="00770D17"/>
    <w:pPr>
      <w:spacing w:after="180" w:line="260" w:lineRule="exact"/>
      <w:ind w:left="397"/>
      <w:jc w:val="both"/>
      <w:outlineLvl w:val="3"/>
    </w:pPr>
    <w:rPr>
      <w:rFonts w:ascii="Tahoma" w:hAnsi="Tahoma" w:eastAsiaTheme="minorHAnsi" w:cs="Tahoma"/>
      <w:bCs/>
      <w:noProof/>
      <w:color w:val="0D0D0D" w:themeColor="text1" w:themeTint="F2"/>
      <w:sz w:val="18"/>
      <w:szCs w:val="19"/>
      <w:lang w:val="he-IL"/>
    </w:rPr>
  </w:style>
  <w:style w:type="character" w:customStyle="1" w:styleId="7195Char">
    <w:name w:val="71ג בולד 9.5 בתוך שורה Char"/>
    <w:basedOn w:val="DefaultParagraphFont"/>
    <w:link w:val="7195"/>
    <w:rsid w:val="00770D17"/>
    <w:rPr>
      <w:rFonts w:ascii="Tahoma" w:hAnsi="Tahoma" w:eastAsiaTheme="minorHAnsi" w:cs="Tahoma"/>
      <w:bCs/>
      <w:noProof/>
      <w:color w:val="0D0D0D" w:themeColor="text1" w:themeTint="F2"/>
      <w:sz w:val="18"/>
      <w:szCs w:val="19"/>
      <w:lang w:val="he-IL"/>
    </w:rPr>
  </w:style>
  <w:style w:type="table" w:customStyle="1" w:styleId="BlueTable">
    <w:name w:val="Blue Table"/>
    <w:basedOn w:val="GridTable4Accent1"/>
    <w:uiPriority w:val="99"/>
    <w:rsid w:val="00770D17"/>
    <w:pPr>
      <w:spacing w:before="120"/>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0F6FC6"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C7E2FA"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770D17"/>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paragraph" w:customStyle="1" w:styleId="a22">
    <w:name w:val="הערות שוליים דוח קורונה"/>
    <w:basedOn w:val="FootnoteText"/>
    <w:qFormat/>
    <w:rsid w:val="00B70706"/>
    <w:pPr>
      <w:bidi w:val="0"/>
      <w:spacing w:after="120"/>
      <w:ind w:left="0" w:right="0" w:firstLine="0"/>
    </w:pPr>
  </w:style>
  <w:style w:type="paragraph" w:customStyle="1" w:styleId="719">
    <w:name w:val="71ג׳ טקסט רץ 9"/>
    <w:basedOn w:val="Normal"/>
    <w:link w:val="7190"/>
    <w:qFormat/>
    <w:rsid w:val="00BD3044"/>
    <w:pPr>
      <w:spacing w:after="180" w:line="260" w:lineRule="exact"/>
      <w:jc w:val="both"/>
    </w:pPr>
    <w:rPr>
      <w:rFonts w:ascii="Tahoma" w:hAnsi="Tahoma" w:eastAsiaTheme="minorHAnsi" w:cs="Tahoma"/>
      <w:color w:val="0D0D0D" w:themeColor="text1" w:themeTint="F2"/>
      <w:sz w:val="18"/>
      <w:szCs w:val="18"/>
    </w:rPr>
  </w:style>
  <w:style w:type="character" w:customStyle="1" w:styleId="7190">
    <w:name w:val="71ג׳ טקסט רץ 9 תו"/>
    <w:basedOn w:val="DefaultParagraphFont"/>
    <w:link w:val="719"/>
    <w:rsid w:val="00BD3044"/>
    <w:rPr>
      <w:rFonts w:ascii="Tahoma" w:hAnsi="Tahoma" w:eastAsiaTheme="minorHAnsi" w:cs="Tahoma"/>
      <w:color w:val="0D0D0D" w:themeColor="text1" w:themeTint="F2"/>
      <w:sz w:val="18"/>
      <w:szCs w:val="18"/>
    </w:rPr>
  </w:style>
  <w:style w:type="paragraph" w:customStyle="1" w:styleId="710">
    <w:name w:val="71ג הערות שוליים"/>
    <w:basedOn w:val="FootnoteText"/>
    <w:link w:val="71Char"/>
    <w:qFormat/>
    <w:rsid w:val="00A52F64"/>
    <w:pPr>
      <w:keepLines w:val="0"/>
      <w:spacing w:after="60" w:line="220" w:lineRule="exact"/>
      <w:ind w:right="0"/>
    </w:pPr>
    <w:rPr>
      <w:rFonts w:eastAsiaTheme="minorHAnsi"/>
      <w:color w:val="0D0D0D" w:themeColor="text1" w:themeTint="F2"/>
    </w:rPr>
  </w:style>
  <w:style w:type="paragraph" w:customStyle="1" w:styleId="711">
    <w:name w:val="71ג מקרא+הערות לתרשים/לוח/תמונה"/>
    <w:basedOn w:val="710"/>
    <w:link w:val="71Char0"/>
    <w:qFormat/>
    <w:rsid w:val="00A52F64"/>
    <w:pPr>
      <w:spacing w:before="120" w:after="240" w:line="260" w:lineRule="exact"/>
    </w:pPr>
    <w:rPr>
      <w:sz w:val="16"/>
      <w:szCs w:val="16"/>
    </w:rPr>
  </w:style>
  <w:style w:type="character" w:customStyle="1" w:styleId="71Char">
    <w:name w:val="71ג הערות שוליים Char"/>
    <w:basedOn w:val="DefaultParagraphFont"/>
    <w:link w:val="710"/>
    <w:rsid w:val="00A52F64"/>
    <w:rPr>
      <w:rFonts w:ascii="Tahoma" w:hAnsi="Tahoma" w:eastAsiaTheme="minorHAnsi" w:cs="Tahoma"/>
      <w:color w:val="0D0D0D" w:themeColor="text1" w:themeTint="F2"/>
      <w:sz w:val="14"/>
      <w:szCs w:val="14"/>
    </w:rPr>
  </w:style>
  <w:style w:type="character" w:customStyle="1" w:styleId="71Char0">
    <w:name w:val="71ג מקרא+הערות לתרשים/לוח/תמונה Char"/>
    <w:basedOn w:val="71Char"/>
    <w:link w:val="711"/>
    <w:rsid w:val="00A52F64"/>
    <w:rPr>
      <w:rFonts w:ascii="Tahoma" w:hAnsi="Tahoma" w:eastAsiaTheme="minorHAnsi" w:cs="Tahoma"/>
      <w:color w:val="0D0D0D" w:themeColor="text1" w:themeTint="F2"/>
      <w:sz w:val="16"/>
      <w:szCs w:val="16"/>
    </w:rPr>
  </w:style>
  <w:style w:type="paragraph" w:customStyle="1" w:styleId="712">
    <w:name w:val="71ג היפרלינק"/>
    <w:basedOn w:val="710"/>
    <w:link w:val="71Char1"/>
    <w:qFormat/>
    <w:rsid w:val="00A52F64"/>
    <w:pPr>
      <w:bidi w:val="0"/>
    </w:pPr>
    <w:rPr>
      <w:color w:val="0000FF"/>
      <w:u w:val="single"/>
    </w:rPr>
  </w:style>
  <w:style w:type="character" w:customStyle="1" w:styleId="71Char1">
    <w:name w:val="71ג היפרלינק Char"/>
    <w:basedOn w:val="71Char"/>
    <w:link w:val="712"/>
    <w:rsid w:val="00A52F64"/>
    <w:rPr>
      <w:rFonts w:ascii="Tahoma" w:hAnsi="Tahoma" w:eastAsiaTheme="minorHAnsi" w:cs="Tahoma"/>
      <w:color w:val="0000FF"/>
      <w:sz w:val="14"/>
      <w:szCs w:val="14"/>
      <w:u w:val="single"/>
    </w:rPr>
  </w:style>
  <w:style w:type="paragraph" w:customStyle="1" w:styleId="7120">
    <w:name w:val="71ג כותרת 2"/>
    <w:basedOn w:val="Normal"/>
    <w:link w:val="712Char"/>
    <w:qFormat/>
    <w:rsid w:val="001D65CE"/>
    <w:pPr>
      <w:keepNext/>
      <w:spacing w:before="360" w:after="240" w:line="440" w:lineRule="exact"/>
      <w:outlineLvl w:val="1"/>
    </w:pPr>
    <w:rPr>
      <w:rFonts w:ascii="Tahoma" w:hAnsi="Tahoma" w:eastAsiaTheme="minorHAnsi" w:cs="Tahoma"/>
      <w:b/>
      <w:bCs/>
      <w:color w:val="00305F"/>
      <w:sz w:val="40"/>
      <w:szCs w:val="34"/>
    </w:rPr>
  </w:style>
  <w:style w:type="character" w:customStyle="1" w:styleId="712Char">
    <w:name w:val="71ג כותרת 2 Char"/>
    <w:basedOn w:val="DefaultParagraphFont"/>
    <w:link w:val="7120"/>
    <w:rsid w:val="001D65CE"/>
    <w:rPr>
      <w:rFonts w:ascii="Tahoma" w:hAnsi="Tahoma" w:eastAsiaTheme="minorHAnsi" w:cs="Tahoma"/>
      <w:b/>
      <w:bCs/>
      <w:color w:val="00305F"/>
      <w:sz w:val="40"/>
      <w:szCs w:val="34"/>
    </w:rPr>
  </w:style>
  <w:style w:type="paragraph" w:customStyle="1" w:styleId="713">
    <w:name w:val="71ג מספור הערות שוליים"/>
    <w:basedOn w:val="710"/>
    <w:qFormat/>
    <w:rsid w:val="001E44CF"/>
  </w:style>
  <w:style w:type="paragraph" w:customStyle="1" w:styleId="7191">
    <w:name w:val="71ג טקסט רץ 9"/>
    <w:basedOn w:val="Normal"/>
    <w:link w:val="719Char"/>
    <w:qFormat/>
    <w:rsid w:val="0010564D"/>
    <w:pPr>
      <w:spacing w:after="180" w:line="260" w:lineRule="exact"/>
      <w:jc w:val="both"/>
      <w:outlineLvl w:val="3"/>
    </w:pPr>
    <w:rPr>
      <w:rFonts w:ascii="Tahoma" w:hAnsi="Tahoma" w:eastAsiaTheme="minorHAnsi" w:cs="Tahoma"/>
      <w:color w:val="0D0D0D" w:themeColor="text1" w:themeTint="F2"/>
      <w:sz w:val="18"/>
      <w:szCs w:val="18"/>
    </w:rPr>
  </w:style>
  <w:style w:type="character" w:customStyle="1" w:styleId="719Char">
    <w:name w:val="71ג טקסט רץ 9 Char"/>
    <w:basedOn w:val="DefaultParagraphFont"/>
    <w:link w:val="7191"/>
    <w:rsid w:val="0010564D"/>
    <w:rPr>
      <w:rFonts w:ascii="Tahoma" w:hAnsi="Tahoma" w:eastAsiaTheme="minorHAnsi" w:cs="Tahoma"/>
      <w:color w:val="0D0D0D" w:themeColor="text1" w:themeTint="F2"/>
      <w:sz w:val="18"/>
      <w:szCs w:val="18"/>
    </w:rPr>
  </w:style>
  <w:style w:type="paragraph" w:customStyle="1" w:styleId="71612">
    <w:name w:val="71ג כותרת 6_12"/>
    <w:basedOn w:val="Normal"/>
    <w:link w:val="716120"/>
    <w:qFormat/>
    <w:rsid w:val="0010564D"/>
    <w:pPr>
      <w:spacing w:before="240" w:after="180" w:line="240" w:lineRule="atLeast"/>
    </w:pPr>
    <w:rPr>
      <w:rFonts w:ascii="Tahoma" w:hAnsi="Tahoma" w:eastAsiaTheme="minorHAnsi" w:cs="Tahoma"/>
      <w:color w:val="00305F"/>
      <w:sz w:val="24"/>
      <w:szCs w:val="24"/>
    </w:rPr>
  </w:style>
  <w:style w:type="character" w:customStyle="1" w:styleId="716120">
    <w:name w:val="71ג כותרת 6_12 תו"/>
    <w:basedOn w:val="DefaultParagraphFont"/>
    <w:link w:val="71612"/>
    <w:rsid w:val="0010564D"/>
    <w:rPr>
      <w:rFonts w:ascii="Tahoma" w:hAnsi="Tahoma" w:eastAsiaTheme="minorHAnsi" w:cs="Tahoma"/>
      <w:color w:val="00305F"/>
      <w:sz w:val="24"/>
      <w:szCs w:val="24"/>
    </w:rPr>
  </w:style>
  <w:style w:type="paragraph" w:customStyle="1" w:styleId="714">
    <w:name w:val="71ג מספור בתוך קוביה"/>
    <w:basedOn w:val="ListParagraph"/>
    <w:qFormat/>
    <w:rsid w:val="00463924"/>
    <w:pPr>
      <w:numPr>
        <w:numId w:val="6"/>
      </w:numPr>
      <w:pBdr>
        <w:top w:val="single" w:sz="18" w:space="4" w:color="EDF1FA"/>
        <w:left w:val="single" w:sz="18" w:space="11" w:color="EDF1FA"/>
        <w:bottom w:val="single" w:sz="18" w:space="6" w:color="EDF1FA"/>
        <w:right w:val="single" w:sz="18" w:space="11" w:color="EDF1FA"/>
      </w:pBdr>
      <w:shd w:val="solid" w:color="EDF1FA" w:fill="CEEAF5"/>
      <w:autoSpaceDE/>
      <w:autoSpaceDN/>
      <w:adjustRightInd/>
      <w:spacing w:after="180" w:line="260" w:lineRule="exact"/>
      <w:ind w:left="397" w:right="227" w:hanging="397"/>
    </w:pPr>
    <w:rPr>
      <w:rFonts w:eastAsiaTheme="minorHAnsi"/>
      <w:color w:val="0D0D0D" w:themeColor="text1" w:themeTint="F2"/>
      <w:sz w:val="18"/>
      <w:szCs w:val="18"/>
    </w:rPr>
  </w:style>
  <w:style w:type="paragraph" w:customStyle="1" w:styleId="2021">
    <w:name w:val="כיתוב בתוך טבלת תקציר 2021"/>
    <w:basedOn w:val="Normal"/>
    <w:link w:val="2021Char"/>
    <w:qFormat/>
    <w:rsid w:val="00041AEB"/>
    <w:pPr>
      <w:spacing w:after="180" w:line="240" w:lineRule="auto"/>
      <w:outlineLvl w:val="0"/>
    </w:pPr>
    <w:rPr>
      <w:rFonts w:ascii="Tahoma" w:hAnsi="Tahoma" w:cs="Tahoma"/>
      <w:color w:val="0D0D0D" w:themeColor="text1" w:themeTint="F2"/>
      <w:w w:val="90"/>
      <w:sz w:val="18"/>
      <w:szCs w:val="18"/>
    </w:rPr>
  </w:style>
  <w:style w:type="character" w:customStyle="1" w:styleId="2021Char">
    <w:name w:val="כיתוב בתוך טבלת תקציר 2021 Char"/>
    <w:basedOn w:val="DefaultParagraphFont"/>
    <w:link w:val="2021"/>
    <w:rsid w:val="00041AEB"/>
    <w:rPr>
      <w:rFonts w:ascii="Tahoma" w:hAnsi="Tahoma" w:cs="Tahoma"/>
      <w:color w:val="0D0D0D" w:themeColor="text1" w:themeTint="F2"/>
      <w:w w:val="90"/>
      <w:sz w:val="18"/>
      <w:szCs w:val="18"/>
    </w:rPr>
  </w:style>
  <w:style w:type="character" w:customStyle="1" w:styleId="24">
    <w:name w:val="כותרת תחתונה תו2"/>
    <w:basedOn w:val="DefaultParagraphFont"/>
    <w:uiPriority w:val="99"/>
    <w:rsid w:val="00B56681"/>
  </w:style>
  <w:style w:type="paragraph" w:customStyle="1" w:styleId="715">
    <w:name w:val="71ג הזחה אותיות"/>
    <w:basedOn w:val="ListParagraph"/>
    <w:qFormat/>
    <w:rsid w:val="007E0204"/>
    <w:pPr>
      <w:numPr>
        <w:numId w:val="8"/>
      </w:numPr>
      <w:autoSpaceDE/>
      <w:autoSpaceDN/>
      <w:adjustRightInd/>
      <w:spacing w:after="180" w:line="260" w:lineRule="exact"/>
      <w:ind w:left="794" w:hanging="397"/>
      <w:contextualSpacing/>
    </w:pPr>
    <w:rPr>
      <w:rFonts w:eastAsiaTheme="minorHAnsi"/>
      <w:color w:val="0D0D0D" w:themeColor="text1" w:themeTint="F2"/>
      <w:sz w:val="18"/>
      <w:szCs w:val="18"/>
    </w:rPr>
  </w:style>
  <w:style w:type="paragraph" w:customStyle="1" w:styleId="font2">
    <w:name w:val="font_2"/>
    <w:basedOn w:val="Normal"/>
    <w:rsid w:val="007E02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17Char">
    <w:name w:val="71 ג כותרת 7 הדגשת קטע בטקסט רץ Char"/>
    <w:basedOn w:val="7190"/>
    <w:link w:val="717"/>
    <w:rsid w:val="00A8593C"/>
    <w:rPr>
      <w:rFonts w:ascii="Tahoma" w:hAnsi="Tahoma" w:eastAsiaTheme="minorHAnsi" w:cs="Tahoma"/>
      <w:bCs/>
      <w:color w:val="0D0D0D" w:themeColor="text1" w:themeTint="F2"/>
      <w:sz w:val="18"/>
      <w:szCs w:val="18"/>
    </w:rPr>
  </w:style>
  <w:style w:type="paragraph" w:customStyle="1" w:styleId="717">
    <w:name w:val="71 ג כותרת 7 הדגשת קטע בטקסט רץ"/>
    <w:basedOn w:val="719"/>
    <w:link w:val="717Char"/>
    <w:qFormat/>
    <w:rsid w:val="00A8593C"/>
    <w:rPr>
      <w:rFonts w:eastAsiaTheme="minorEastAsia"/>
      <w:bCs/>
    </w:rPr>
  </w:style>
  <w:style w:type="paragraph" w:customStyle="1" w:styleId="716">
    <w:name w:val="71ג הזחה ראשונה ללא מספר"/>
    <w:basedOn w:val="Normal"/>
    <w:qFormat/>
    <w:rsid w:val="008874F2"/>
    <w:pPr>
      <w:spacing w:after="180" w:line="260" w:lineRule="exact"/>
      <w:ind w:left="397"/>
      <w:jc w:val="both"/>
    </w:pPr>
    <w:rPr>
      <w:rFonts w:ascii="Tahoma" w:hAnsi="Tahoma" w:eastAsiaTheme="minorHAnsi" w:cs="Tahoma"/>
      <w:color w:val="0D0D0D" w:themeColor="text1" w:themeTint="F2"/>
      <w:sz w:val="18"/>
      <w:szCs w:val="18"/>
    </w:rPr>
  </w:style>
  <w:style w:type="paragraph" w:styleId="ListBullet">
    <w:name w:val="List Bullet"/>
    <w:basedOn w:val="Normal"/>
    <w:uiPriority w:val="99"/>
    <w:unhideWhenUsed/>
    <w:rsid w:val="00424CEB"/>
    <w:pPr>
      <w:numPr>
        <w:numId w:val="25"/>
      </w:numPr>
      <w:bidi w:val="0"/>
      <w:spacing w:after="0" w:line="259" w:lineRule="auto"/>
      <w:contextualSpacing/>
      <w:jc w:val="both"/>
    </w:pPr>
    <w:rPr>
      <w:rFonts w:ascii="Times New Roman" w:hAnsi="Times New Roman" w:eastAsiaTheme="minorHAnsi" w:cs="David"/>
      <w:sz w:val="24"/>
      <w:szCs w:val="28"/>
    </w:rPr>
  </w:style>
  <w:style w:type="paragraph" w:customStyle="1" w:styleId="73R">
    <w:name w:val="73א טבלה טקסט R"/>
    <w:basedOn w:val="Normal"/>
    <w:qFormat/>
    <w:rsid w:val="00921FB5"/>
    <w:pPr>
      <w:keepLines/>
      <w:spacing w:before="120" w:line="180" w:lineRule="exact"/>
    </w:pPr>
    <w:rPr>
      <w:rFonts w:ascii="Tahoma" w:hAnsi="Tahoma" w:cs="Tahoma"/>
      <w:sz w:val="16"/>
      <w:szCs w:val="16"/>
    </w:rPr>
  </w:style>
  <w:style w:type="paragraph" w:customStyle="1" w:styleId="a23">
    <w:name w:val="טקסט טבלה"/>
    <w:basedOn w:val="Normal"/>
    <w:qFormat/>
    <w:rsid w:val="00921FB5"/>
    <w:pPr>
      <w:keepLines/>
      <w:bidi w:val="0"/>
      <w:spacing w:before="120" w:line="240" w:lineRule="auto"/>
    </w:pPr>
    <w:rPr>
      <w:rFonts w:ascii="Tahoma" w:hAnsi="Tahoma" w:cs="Tahoma"/>
      <w:sz w:val="16"/>
      <w:szCs w:val="16"/>
    </w:rPr>
  </w:style>
  <w:style w:type="paragraph" w:customStyle="1" w:styleId="730">
    <w:name w:val="73א מקרא+הערות לתרשים/לוח/תמונה"/>
    <w:basedOn w:val="Normal"/>
    <w:link w:val="731"/>
    <w:qFormat/>
    <w:rsid w:val="00E72823"/>
    <w:pPr>
      <w:widowControl w:val="0"/>
      <w:spacing w:before="120" w:after="240" w:line="260" w:lineRule="exact"/>
      <w:jc w:val="both"/>
    </w:pPr>
    <w:rPr>
      <w:rFonts w:ascii="Tahoma" w:hAnsi="Tahoma" w:eastAsiaTheme="minorHAnsi" w:cs="Tahoma"/>
      <w:color w:val="0D0D0D" w:themeColor="text1" w:themeTint="F2"/>
      <w:sz w:val="16"/>
      <w:szCs w:val="16"/>
    </w:rPr>
  </w:style>
  <w:style w:type="character" w:customStyle="1" w:styleId="731">
    <w:name w:val="73א מקרא+הערות לתרשים/לוח/תמונה תו"/>
    <w:basedOn w:val="DefaultParagraphFont"/>
    <w:link w:val="730"/>
    <w:rsid w:val="00E72823"/>
    <w:rPr>
      <w:rFonts w:ascii="Tahoma" w:hAnsi="Tahoma" w:eastAsiaTheme="minorHAnsi" w:cs="Tahoma"/>
      <w:color w:val="0D0D0D" w:themeColor="text1" w:themeTint="F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7.jpeg"/><Relationship Id="rId26" Type="http://schemas.openxmlformats.org/officeDocument/2006/relationships/header" Target="header5.xml"/><Relationship Id="rId21" Type="http://schemas.openxmlformats.org/officeDocument/2006/relationships/image" Target="media/image10.jpeg"/><Relationship Id="rId3" Type="http://schemas.openxmlformats.org/officeDocument/2006/relationships/settings" Target="settings.xml"/><Relationship Id="rId34" Type="http://schemas.openxmlformats.org/officeDocument/2006/relationships/customXml" Target="../customXml/item4.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image" Target="media/image14.jpeg"/><Relationship Id="rId7" Type="http://schemas.openxmlformats.org/officeDocument/2006/relationships/footer" Target="footer1.xml"/><Relationship Id="rId33" Type="http://schemas.openxmlformats.org/officeDocument/2006/relationships/customXml" Target="../customXml/item3.xml"/><Relationship Id="rId16" Type="http://schemas.openxmlformats.org/officeDocument/2006/relationships/image" Target="media/image5.jpeg"/><Relationship Id="rId2" Type="http://schemas.openxmlformats.org/officeDocument/2006/relationships/endnotes" Target="endnotes.xm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jpeg"/><Relationship Id="rId6" Type="http://schemas.openxmlformats.org/officeDocument/2006/relationships/customXml" Target="../customXml/item1.xml"/><Relationship Id="rId32" Type="http://schemas.openxmlformats.org/officeDocument/2006/relationships/customXml" Target="../customXml/item2.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eader" Target="header7.xml"/><Relationship Id="rId5"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styles" Target="styl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eader" Target="header6.xml"/><Relationship Id="rId30" Type="http://schemas.openxmlformats.org/officeDocument/2006/relationships/numbering" Target="numbering.xml"/><Relationship Id="rId4" Type="http://schemas.openxmlformats.org/officeDocument/2006/relationships/webSettings" Target="webSettings.xml"/><Relationship Id="rId9"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15.jpeg" /></Relationships>
</file>

<file path=word/_rels/header6.xml.rels><?xml version="1.0" encoding="utf-8" standalone="yes"?><Relationships xmlns="http://schemas.openxmlformats.org/package/2006/relationships"><Relationship Id="rId1" Type="http://schemas.openxmlformats.org/officeDocument/2006/relationships/image" Target="media/image16.jpeg" /></Relationships>
</file>

<file path=word/_rels/numbering.xml.rels><?xml version="1.0" encoding="utf-8" standalone="yes"?><Relationships xmlns="http://schemas.openxmlformats.org/package/2006/relationships"><Relationship Id="rId1" Type="http://schemas.openxmlformats.org/officeDocument/2006/relationships/image" Target="media/image17.png" /></Relationships>
</file>

<file path=word/theme/_rels/theme1.xml.rels><?xml version="1.0" encoding="utf-8" standalone="yes"?><Relationships xmlns="http://schemas.openxmlformats.org/package/2006/relationships"><Relationship Id="rId1" Type="http://schemas.openxmlformats.org/officeDocument/2006/relationships/image" Target="../media/image18.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1DF395-4A6D-4BC0-978A-D3BFA99824FB}">
  <ds:schemaRefs>
    <ds:schemaRef ds:uri="http://schemas.openxmlformats.org/officeDocument/2006/bibliography"/>
  </ds:schemaRefs>
</ds:datastoreItem>
</file>

<file path=customXml/itemProps2.xml><?xml version="1.0" encoding="utf-8"?>
<ds:datastoreItem xmlns:ds="http://schemas.openxmlformats.org/officeDocument/2006/customXml" ds:itemID="{B4B0E4C8-1BA3-4D05-8474-367C8E601C9F}"/>
</file>

<file path=customXml/itemProps3.xml><?xml version="1.0" encoding="utf-8"?>
<ds:datastoreItem xmlns:ds="http://schemas.openxmlformats.org/officeDocument/2006/customXml" ds:itemID="{51E38A2F-BAA1-457A-8847-C4E0C5FBFFAE}"/>
</file>

<file path=customXml/itemProps4.xml><?xml version="1.0" encoding="utf-8"?>
<ds:datastoreItem xmlns:ds="http://schemas.openxmlformats.org/officeDocument/2006/customXml" ds:itemID="{74796EF9-2C92-4A02-B78E-28D810A5B4FF}"/>
</file>

<file path=docProps/app.xml><?xml version="1.0" encoding="utf-8"?>
<Properties xmlns="http://schemas.openxmlformats.org/officeDocument/2006/extended-properties" xmlns:vt="http://schemas.openxmlformats.org/officeDocument/2006/docPropsVTypes">
  <Template>Normal.dotm</Template>
  <TotalTime>26</TotalTime>
  <Pages>14</Pages>
  <Words>3890</Words>
  <Characters>19450</Characters>
  <Application>Microsoft Office Word</Application>
  <DocSecurity>0</DocSecurity>
  <Lines>162</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סטודיו אי.אר.</cp:lastModifiedBy>
  <cp:revision>9</cp:revision>
  <cp:lastPrinted>2022-08-30T09:23:00Z</cp:lastPrinted>
  <dcterms:created xsi:type="dcterms:W3CDTF">2023-09-27T07:57:00Z</dcterms:created>
  <dcterms:modified xsi:type="dcterms:W3CDTF">2023-10-16T13:38:00Z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